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D533" w14:textId="5CF752F3" w:rsidR="00497060" w:rsidRPr="00A53005" w:rsidRDefault="00497060" w:rsidP="002C0D32">
      <w:pPr>
        <w:spacing w:after="0" w:line="240" w:lineRule="auto"/>
        <w:ind w:left="714" w:hanging="357"/>
        <w:contextualSpacing/>
        <w:jc w:val="center"/>
        <w:rPr>
          <w:rFonts w:ascii="Cambria" w:hAnsi="Cambria"/>
          <w:b/>
          <w:bCs/>
          <w:sz w:val="32"/>
          <w:szCs w:val="32"/>
        </w:rPr>
      </w:pPr>
      <w:bookmarkStart w:id="0" w:name="_top"/>
      <w:bookmarkEnd w:id="0"/>
      <w:r w:rsidRPr="00A53005">
        <w:rPr>
          <w:rFonts w:ascii="Cambria" w:hAnsi="Cambria"/>
          <w:b/>
          <w:bCs/>
          <w:sz w:val="32"/>
          <w:szCs w:val="32"/>
        </w:rPr>
        <w:t>Centro de Información Conozca a su Cliente</w:t>
      </w:r>
    </w:p>
    <w:p w14:paraId="17360B6C" w14:textId="4A3DC39D" w:rsidR="00497060" w:rsidRPr="00A53005" w:rsidRDefault="00497060" w:rsidP="002C0D32">
      <w:pPr>
        <w:spacing w:after="0" w:line="240" w:lineRule="auto"/>
        <w:ind w:left="714" w:hanging="357"/>
        <w:contextualSpacing/>
        <w:jc w:val="center"/>
        <w:rPr>
          <w:rFonts w:ascii="Cambria" w:hAnsi="Cambria"/>
          <w:b/>
          <w:bCs/>
          <w:sz w:val="32"/>
          <w:szCs w:val="32"/>
        </w:rPr>
      </w:pPr>
      <w:r w:rsidRPr="00A53005">
        <w:rPr>
          <w:rFonts w:ascii="Cambria" w:hAnsi="Cambria"/>
          <w:b/>
          <w:bCs/>
          <w:sz w:val="32"/>
          <w:szCs w:val="32"/>
        </w:rPr>
        <w:t>CICAC</w:t>
      </w:r>
    </w:p>
    <w:p w14:paraId="3E8646A3" w14:textId="48A82209" w:rsidR="00497060" w:rsidRPr="00A53005" w:rsidRDefault="00497060" w:rsidP="002C0D32">
      <w:pPr>
        <w:spacing w:after="0" w:line="240" w:lineRule="auto"/>
        <w:ind w:left="714" w:hanging="357"/>
        <w:contextualSpacing/>
        <w:jc w:val="center"/>
        <w:rPr>
          <w:rFonts w:ascii="Cambria" w:hAnsi="Cambria"/>
          <w:b/>
          <w:bCs/>
          <w:sz w:val="32"/>
          <w:szCs w:val="32"/>
        </w:rPr>
      </w:pPr>
      <w:r w:rsidRPr="00A53005">
        <w:rPr>
          <w:rFonts w:ascii="Cambria" w:hAnsi="Cambria"/>
          <w:b/>
          <w:bCs/>
          <w:sz w:val="32"/>
          <w:szCs w:val="32"/>
        </w:rPr>
        <w:t>Preguntas frecuentes</w:t>
      </w:r>
    </w:p>
    <w:p w14:paraId="1BA06D8D" w14:textId="77777777" w:rsidR="00A53005" w:rsidRDefault="00A53005" w:rsidP="002C0D32">
      <w:pPr>
        <w:spacing w:after="0" w:line="240" w:lineRule="auto"/>
        <w:ind w:left="714" w:hanging="357"/>
        <w:contextualSpacing/>
        <w:jc w:val="center"/>
        <w:rPr>
          <w:rFonts w:ascii="Cambria" w:hAnsi="Cambria"/>
          <w:b/>
          <w:bCs/>
          <w:sz w:val="32"/>
          <w:szCs w:val="32"/>
        </w:rPr>
      </w:pPr>
    </w:p>
    <w:p w14:paraId="75F834D0" w14:textId="20F434ED" w:rsidR="00497060" w:rsidRPr="00A53005" w:rsidRDefault="008A19C3" w:rsidP="002C0D32">
      <w:pPr>
        <w:spacing w:after="0" w:line="240" w:lineRule="auto"/>
        <w:ind w:left="714" w:hanging="357"/>
        <w:contextualSpacing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Público en General</w:t>
      </w:r>
    </w:p>
    <w:p w14:paraId="576D471D" w14:textId="2FA4A1C3" w:rsidR="002C0D32" w:rsidRDefault="002C0D3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9804857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D9601" w14:textId="3D23BF8E" w:rsidR="00C710F2" w:rsidRPr="00DB57EA" w:rsidRDefault="00C710F2" w:rsidP="00DB57EA">
          <w:pPr>
            <w:pStyle w:val="TtuloTDC"/>
            <w:jc w:val="center"/>
            <w:rPr>
              <w:rFonts w:ascii="Cambria" w:hAnsi="Cambria"/>
              <w:color w:val="auto"/>
            </w:rPr>
          </w:pPr>
          <w:r w:rsidRPr="00DB57EA">
            <w:rPr>
              <w:rFonts w:ascii="Cambria" w:hAnsi="Cambria"/>
              <w:color w:val="auto"/>
              <w:lang w:val="es-ES"/>
            </w:rPr>
            <w:t>Contenido</w:t>
          </w:r>
        </w:p>
        <w:p w14:paraId="104AA107" w14:textId="3679DC45" w:rsidR="00864362" w:rsidRDefault="00C710F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417059" w:history="1"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I.</w:t>
            </w:r>
            <w:r w:rsidR="00864362">
              <w:rPr>
                <w:rFonts w:eastAsiaTheme="minorEastAsia"/>
                <w:noProof/>
                <w:lang w:eastAsia="es-CR"/>
              </w:rPr>
              <w:tab/>
            </w:r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Generales</w:t>
            </w:r>
            <w:r w:rsidR="00864362">
              <w:rPr>
                <w:noProof/>
                <w:webHidden/>
              </w:rPr>
              <w:tab/>
            </w:r>
            <w:r w:rsidR="00864362">
              <w:rPr>
                <w:noProof/>
                <w:webHidden/>
              </w:rPr>
              <w:fldChar w:fldCharType="begin"/>
            </w:r>
            <w:r w:rsidR="00864362">
              <w:rPr>
                <w:noProof/>
                <w:webHidden/>
              </w:rPr>
              <w:instrText xml:space="preserve"> PAGEREF _Toc107417059 \h </w:instrText>
            </w:r>
            <w:r w:rsidR="00864362">
              <w:rPr>
                <w:noProof/>
                <w:webHidden/>
              </w:rPr>
            </w:r>
            <w:r w:rsidR="00864362">
              <w:rPr>
                <w:noProof/>
                <w:webHidden/>
              </w:rPr>
              <w:fldChar w:fldCharType="separate"/>
            </w:r>
            <w:r w:rsidR="00864362">
              <w:rPr>
                <w:noProof/>
                <w:webHidden/>
              </w:rPr>
              <w:t>2</w:t>
            </w:r>
            <w:r w:rsidR="00864362">
              <w:rPr>
                <w:noProof/>
                <w:webHidden/>
              </w:rPr>
              <w:fldChar w:fldCharType="end"/>
            </w:r>
          </w:hyperlink>
        </w:p>
        <w:p w14:paraId="1A10535A" w14:textId="1411BE70" w:rsidR="00864362" w:rsidRDefault="00144CC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07417060" w:history="1"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II.</w:t>
            </w:r>
            <w:r w:rsidR="00864362">
              <w:rPr>
                <w:rFonts w:eastAsiaTheme="minorEastAsia"/>
                <w:noProof/>
                <w:lang w:eastAsia="es-CR"/>
              </w:rPr>
              <w:tab/>
            </w:r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Autorizaciones y Consentimiento Informado</w:t>
            </w:r>
            <w:r w:rsidR="00864362">
              <w:rPr>
                <w:noProof/>
                <w:webHidden/>
              </w:rPr>
              <w:tab/>
            </w:r>
            <w:r w:rsidR="00864362">
              <w:rPr>
                <w:noProof/>
                <w:webHidden/>
              </w:rPr>
              <w:fldChar w:fldCharType="begin"/>
            </w:r>
            <w:r w:rsidR="00864362">
              <w:rPr>
                <w:noProof/>
                <w:webHidden/>
              </w:rPr>
              <w:instrText xml:space="preserve"> PAGEREF _Toc107417060 \h </w:instrText>
            </w:r>
            <w:r w:rsidR="00864362">
              <w:rPr>
                <w:noProof/>
                <w:webHidden/>
              </w:rPr>
            </w:r>
            <w:r w:rsidR="00864362">
              <w:rPr>
                <w:noProof/>
                <w:webHidden/>
              </w:rPr>
              <w:fldChar w:fldCharType="separate"/>
            </w:r>
            <w:r w:rsidR="00864362">
              <w:rPr>
                <w:noProof/>
                <w:webHidden/>
              </w:rPr>
              <w:t>7</w:t>
            </w:r>
            <w:r w:rsidR="00864362">
              <w:rPr>
                <w:noProof/>
                <w:webHidden/>
              </w:rPr>
              <w:fldChar w:fldCharType="end"/>
            </w:r>
          </w:hyperlink>
        </w:p>
        <w:p w14:paraId="7F5A53F2" w14:textId="63EFA19E" w:rsidR="00864362" w:rsidRDefault="00144CC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107417061" w:history="1"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III.</w:t>
            </w:r>
            <w:r w:rsidR="00864362">
              <w:rPr>
                <w:rFonts w:eastAsiaTheme="minorEastAsia"/>
                <w:noProof/>
                <w:lang w:eastAsia="es-CR"/>
              </w:rPr>
              <w:tab/>
            </w:r>
            <w:r w:rsidR="00864362" w:rsidRPr="00166D88">
              <w:rPr>
                <w:rStyle w:val="Hipervnculo"/>
                <w:rFonts w:ascii="Cambria" w:hAnsi="Cambria"/>
                <w:b/>
                <w:bCs/>
                <w:noProof/>
                <w:lang w:val="es-ES"/>
              </w:rPr>
              <w:t>Servicios de Notificación</w:t>
            </w:r>
            <w:r w:rsidR="00864362">
              <w:rPr>
                <w:noProof/>
                <w:webHidden/>
              </w:rPr>
              <w:tab/>
            </w:r>
            <w:r w:rsidR="00864362">
              <w:rPr>
                <w:noProof/>
                <w:webHidden/>
              </w:rPr>
              <w:fldChar w:fldCharType="begin"/>
            </w:r>
            <w:r w:rsidR="00864362">
              <w:rPr>
                <w:noProof/>
                <w:webHidden/>
              </w:rPr>
              <w:instrText xml:space="preserve"> PAGEREF _Toc107417061 \h </w:instrText>
            </w:r>
            <w:r w:rsidR="00864362">
              <w:rPr>
                <w:noProof/>
                <w:webHidden/>
              </w:rPr>
            </w:r>
            <w:r w:rsidR="00864362">
              <w:rPr>
                <w:noProof/>
                <w:webHidden/>
              </w:rPr>
              <w:fldChar w:fldCharType="separate"/>
            </w:r>
            <w:r w:rsidR="00864362">
              <w:rPr>
                <w:noProof/>
                <w:webHidden/>
              </w:rPr>
              <w:t>9</w:t>
            </w:r>
            <w:r w:rsidR="00864362">
              <w:rPr>
                <w:noProof/>
                <w:webHidden/>
              </w:rPr>
              <w:fldChar w:fldCharType="end"/>
            </w:r>
          </w:hyperlink>
        </w:p>
        <w:p w14:paraId="4A606088" w14:textId="47536A38" w:rsidR="00C710F2" w:rsidRDefault="00C710F2">
          <w:r>
            <w:rPr>
              <w:b/>
              <w:bCs/>
              <w:lang w:val="es-ES"/>
            </w:rPr>
            <w:fldChar w:fldCharType="end"/>
          </w:r>
        </w:p>
      </w:sdtContent>
    </w:sdt>
    <w:p w14:paraId="59DE955F" w14:textId="4B154E0E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0B60422F" w14:textId="06D7C96A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1F568DCC" w14:textId="568A9DFB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1EDB7BFB" w14:textId="652FFED5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7D50297C" w14:textId="075480C6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4FDCCFD2" w14:textId="651D855A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3891B446" w14:textId="48BDAE75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2FDA8DDB" w14:textId="6E80CBBE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5E153946" w14:textId="6F431901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7C232EC0" w14:textId="6CC57176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6D9EA37E" w14:textId="79F2FAB4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7988B4D0" w14:textId="0C8D7F49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2B58C067" w14:textId="06DA01B1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747FA7B5" w14:textId="6051C4BC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3BF55569" w14:textId="7CA79E74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4576C0C6" w14:textId="77CE56D9" w:rsidR="001A2707" w:rsidRDefault="001A2707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41E6CAC1" w14:textId="77777777" w:rsidR="001A2707" w:rsidRDefault="001A2707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5086998E" w14:textId="56BDC017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487F1496" w14:textId="4E459D5A" w:rsidR="00C710F2" w:rsidRDefault="00C710F2" w:rsidP="002C0D32">
      <w:pPr>
        <w:jc w:val="both"/>
        <w:rPr>
          <w:rFonts w:ascii="Cambria" w:hAnsi="Cambria"/>
          <w:sz w:val="24"/>
          <w:szCs w:val="24"/>
          <w:lang w:val="es-ES"/>
        </w:rPr>
      </w:pPr>
    </w:p>
    <w:p w14:paraId="43B2BEC7" w14:textId="33ED74AA" w:rsidR="00532474" w:rsidRPr="00C710F2" w:rsidRDefault="00532474" w:rsidP="00C710F2">
      <w:pPr>
        <w:pStyle w:val="Ttulo1"/>
        <w:numPr>
          <w:ilvl w:val="0"/>
          <w:numId w:val="11"/>
        </w:numPr>
        <w:spacing w:before="0" w:line="240" w:lineRule="auto"/>
        <w:contextualSpacing/>
        <w:rPr>
          <w:rFonts w:ascii="Cambria" w:hAnsi="Cambria"/>
          <w:b/>
          <w:bCs/>
          <w:color w:val="auto"/>
          <w:lang w:val="es-ES"/>
        </w:rPr>
      </w:pPr>
      <w:bookmarkStart w:id="1" w:name="_Toc107417059"/>
      <w:r w:rsidRPr="00C710F2">
        <w:rPr>
          <w:rFonts w:ascii="Cambria" w:hAnsi="Cambria"/>
          <w:b/>
          <w:bCs/>
          <w:color w:val="auto"/>
          <w:lang w:val="es-ES"/>
        </w:rPr>
        <w:t>Generales</w:t>
      </w:r>
      <w:bookmarkEnd w:id="1"/>
    </w:p>
    <w:p w14:paraId="0F171193" w14:textId="77777777" w:rsidR="002C0D32" w:rsidRPr="002C0D32" w:rsidRDefault="002C0D32" w:rsidP="002A0AFE">
      <w:pPr>
        <w:spacing w:after="0" w:line="240" w:lineRule="auto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00A65E60" w14:textId="5A2CCFF7" w:rsidR="00174AF8" w:rsidRPr="002A0AFE" w:rsidRDefault="00174AF8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174AF8">
        <w:rPr>
          <w:rFonts w:ascii="Cambria" w:hAnsi="Cambria"/>
          <w:b/>
          <w:bCs/>
          <w:sz w:val="24"/>
          <w:szCs w:val="24"/>
        </w:rPr>
        <w:t>¿Qué es la política conozca a su cliente?</w:t>
      </w:r>
    </w:p>
    <w:p w14:paraId="5C83DD94" w14:textId="77777777" w:rsidR="002A0AFE" w:rsidRDefault="002A0AFE" w:rsidP="002A0AFE">
      <w:pPr>
        <w:spacing w:after="0" w:line="240" w:lineRule="auto"/>
        <w:ind w:firstLine="360"/>
        <w:rPr>
          <w:rFonts w:ascii="Cambria" w:hAnsi="Cambria"/>
          <w:b/>
          <w:bCs/>
          <w:sz w:val="24"/>
          <w:szCs w:val="24"/>
          <w:lang w:val="es-ES"/>
        </w:rPr>
      </w:pPr>
    </w:p>
    <w:p w14:paraId="702FAF9A" w14:textId="480AAC61" w:rsidR="00174AF8" w:rsidRPr="002A0AFE" w:rsidRDefault="00303EFF" w:rsidP="002A0AFE">
      <w:pPr>
        <w:spacing w:after="0" w:line="240" w:lineRule="auto"/>
        <w:ind w:firstLine="360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b/>
          <w:bCs/>
          <w:sz w:val="24"/>
          <w:szCs w:val="24"/>
          <w:lang w:val="es-ES"/>
        </w:rPr>
        <w:t>Respuesta:</w:t>
      </w:r>
    </w:p>
    <w:p w14:paraId="09BA0AAC" w14:textId="05718CB5" w:rsidR="00174AF8" w:rsidRPr="002A0AFE" w:rsidRDefault="00174AF8" w:rsidP="002A0AFE">
      <w:pPr>
        <w:pStyle w:val="Prrafodelista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Son los procedimientos que las entidades financieras utilizan para conocer a sus clientes y el origen de sus ingresos.</w:t>
      </w:r>
    </w:p>
    <w:p w14:paraId="413819DD" w14:textId="77777777" w:rsidR="00174AF8" w:rsidRPr="002A0AFE" w:rsidRDefault="00174AF8" w:rsidP="002A0AFE">
      <w:pPr>
        <w:pStyle w:val="Prrafodelista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Permite dar seguimiento a las operaciones financieras en las que participen sus clientes (en relación con los riesgos y prácticas de legitimación de capitales y financiamiento al terrorismo)</w:t>
      </w:r>
    </w:p>
    <w:p w14:paraId="204501AA" w14:textId="77777777" w:rsidR="00174AF8" w:rsidRPr="002A0AFE" w:rsidRDefault="00174AF8" w:rsidP="002A0AFE">
      <w:pPr>
        <w:pStyle w:val="Prrafodelista"/>
        <w:numPr>
          <w:ilvl w:val="0"/>
          <w:numId w:val="13"/>
        </w:num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Su objetivo es minimizar la posibilidad de que se introduzca dinero de origen ilícito al sistema financiero o que contribuya con el financiamiento de actividades terroristas.</w:t>
      </w:r>
    </w:p>
    <w:p w14:paraId="0EFD09CD" w14:textId="77777777" w:rsidR="00174AF8" w:rsidRDefault="00174AF8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3B4DC191" w14:textId="0539A1B3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¿Qué es el Centro de Información Conozca a su Cliente (CICAC)? </w:t>
      </w:r>
    </w:p>
    <w:p w14:paraId="31530EE8" w14:textId="77777777" w:rsidR="002C0D32" w:rsidRDefault="002C0D32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  <w:bookmarkStart w:id="2" w:name="_Hlk92978633"/>
    </w:p>
    <w:p w14:paraId="2CA3FAA1" w14:textId="45B75367" w:rsidR="00174AF8" w:rsidRPr="002A0AFE" w:rsidRDefault="00532474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9B363C" w:rsidRPr="002C0D32">
        <w:rPr>
          <w:rFonts w:ascii="Cambria" w:hAnsi="Cambria"/>
          <w:sz w:val="24"/>
          <w:szCs w:val="24"/>
          <w:lang w:val="es-ES"/>
        </w:rPr>
        <w:t xml:space="preserve">Es un expediente electrónico que recopila y almacena la información como insumo básico para la atención de la política conozca a su cliente. </w:t>
      </w:r>
      <w:r w:rsidR="00174AF8">
        <w:rPr>
          <w:rFonts w:ascii="Cambria" w:hAnsi="Cambria"/>
          <w:sz w:val="24"/>
          <w:szCs w:val="24"/>
        </w:rPr>
        <w:t>Además, e</w:t>
      </w:r>
      <w:r w:rsidR="00174AF8" w:rsidRPr="002A0AFE">
        <w:rPr>
          <w:rFonts w:ascii="Cambria" w:hAnsi="Cambria"/>
          <w:sz w:val="24"/>
          <w:szCs w:val="24"/>
        </w:rPr>
        <w:t>s una herramienta de prevención de los riesgos de Lavado de Dinero y Financiamiento del Terrorismo para uso del sistema financiero supervisado.</w:t>
      </w:r>
    </w:p>
    <w:p w14:paraId="3F5D8111" w14:textId="77777777" w:rsidR="00532474" w:rsidRPr="002A0AFE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bookmarkEnd w:id="2"/>
    <w:p w14:paraId="3107B962" w14:textId="5A6FADD4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¿Cómo nace el CICAC? </w:t>
      </w:r>
    </w:p>
    <w:p w14:paraId="096C7CCE" w14:textId="77777777" w:rsidR="002C0D32" w:rsidRPr="002C0D32" w:rsidRDefault="002C0D32" w:rsidP="002A0AFE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6E502572" w14:textId="3F941D2E" w:rsidR="009B363C" w:rsidRPr="002C0D32" w:rsidRDefault="00532474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9B363C" w:rsidRPr="002C0D32">
        <w:rPr>
          <w:rFonts w:ascii="Cambria" w:hAnsi="Cambria"/>
          <w:sz w:val="24"/>
          <w:szCs w:val="24"/>
          <w:lang w:val="es-ES"/>
        </w:rPr>
        <w:t xml:space="preserve">Nace con la Ley 9449 “Reforma Ley sobre estupefacientes, sustancias psicotrópicas, drogas de uso No Autorizado, actividades Conexas, legitimación de capitales y financiamiento al terrorismo”, que adiciona el artículo 16 bis a la Ley 7786 “Ley sobre estupefacientes, sustancias psicotrópicas, drogas de uso No Autorizado, actividades Conexas, legitimación de capitales y financiamiento al terrorismo”. </w:t>
      </w:r>
    </w:p>
    <w:p w14:paraId="6EA6B0D3" w14:textId="77777777" w:rsidR="009B363C" w:rsidRPr="002C0D32" w:rsidRDefault="009B363C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3FC1669C" w14:textId="42D18630" w:rsidR="009B363C" w:rsidRPr="002C0D32" w:rsidRDefault="009B363C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sz w:val="24"/>
          <w:szCs w:val="24"/>
          <w:lang w:val="es-ES"/>
        </w:rPr>
        <w:t xml:space="preserve">En el artículo 16 bis se establece la creación en la Superintendencia General de Entidades Financieras (Sugef) de la base de datos con información de la política Conozca a su Cliente de los sujetos obligados. </w:t>
      </w:r>
    </w:p>
    <w:p w14:paraId="4A5BFBF6" w14:textId="77777777" w:rsidR="00532474" w:rsidRPr="002C0D32" w:rsidRDefault="00532474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105FB90D" w14:textId="0565DF27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>¿Cuál es la reglamentación técnica</w:t>
      </w:r>
      <w:r w:rsidR="00541989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que regula </w:t>
      </w:r>
      <w:r w:rsidR="00541989">
        <w:rPr>
          <w:rFonts w:ascii="Cambria" w:hAnsi="Cambria"/>
          <w:b/>
          <w:bCs/>
          <w:sz w:val="24"/>
          <w:szCs w:val="24"/>
          <w:lang w:val="es-ES"/>
        </w:rPr>
        <w:t>el s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>istema</w:t>
      </w:r>
      <w:r w:rsidR="00541989">
        <w:rPr>
          <w:rFonts w:ascii="Cambria" w:hAnsi="Cambria"/>
          <w:b/>
          <w:bCs/>
          <w:sz w:val="24"/>
          <w:szCs w:val="24"/>
          <w:lang w:val="es-ES"/>
        </w:rPr>
        <w:t xml:space="preserve"> CICAC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? </w:t>
      </w:r>
    </w:p>
    <w:p w14:paraId="1C72CBFF" w14:textId="77777777" w:rsidR="002C0D32" w:rsidRDefault="002C0D32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7AF9E84" w14:textId="6B0F782E" w:rsidR="00C60369" w:rsidRPr="002C0D32" w:rsidRDefault="00532474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>Respuesta:</w:t>
      </w:r>
      <w:r w:rsidRPr="002C0D32">
        <w:rPr>
          <w:rFonts w:ascii="Cambria" w:hAnsi="Cambria"/>
          <w:sz w:val="24"/>
          <w:szCs w:val="24"/>
          <w:lang w:val="es-ES"/>
        </w:rPr>
        <w:t xml:space="preserve"> </w:t>
      </w:r>
      <w:r w:rsidR="009B363C" w:rsidRPr="002C0D32">
        <w:rPr>
          <w:rFonts w:ascii="Cambria" w:hAnsi="Cambria"/>
          <w:sz w:val="24"/>
          <w:szCs w:val="24"/>
          <w:lang w:val="es-ES"/>
        </w:rPr>
        <w:t>El 01 de enero del 2021, El Consejo Nacional de Supervisión de</w:t>
      </w:r>
      <w:r w:rsidR="00C60369" w:rsidRPr="002C0D32">
        <w:rPr>
          <w:rFonts w:ascii="Cambria" w:hAnsi="Cambria"/>
          <w:sz w:val="24"/>
          <w:szCs w:val="24"/>
          <w:lang w:val="es-ES"/>
        </w:rPr>
        <w:t>l Sistema Financiero Nacional</w:t>
      </w:r>
      <w:r w:rsidR="004628A0">
        <w:rPr>
          <w:rFonts w:ascii="Cambria" w:hAnsi="Cambria"/>
          <w:sz w:val="24"/>
          <w:szCs w:val="24"/>
          <w:lang w:val="es-ES"/>
        </w:rPr>
        <w:t xml:space="preserve"> (CONASSIF)</w:t>
      </w:r>
      <w:r w:rsidR="00C60369" w:rsidRPr="002C0D32">
        <w:rPr>
          <w:rFonts w:ascii="Cambria" w:hAnsi="Cambria"/>
          <w:sz w:val="24"/>
          <w:szCs w:val="24"/>
          <w:lang w:val="es-ES"/>
        </w:rPr>
        <w:t>, aprobó el Reglamento del Centro de Información Conozca a su Cliente (CICAC), Acuerdo CONASSIF 11-21.</w:t>
      </w:r>
    </w:p>
    <w:p w14:paraId="507437B4" w14:textId="77777777" w:rsidR="00C60369" w:rsidRPr="002C0D32" w:rsidRDefault="00C60369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2ABA6A62" w14:textId="4139E7E7" w:rsidR="00C60369" w:rsidRPr="002C0D32" w:rsidRDefault="00C60369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sz w:val="24"/>
          <w:szCs w:val="24"/>
          <w:lang w:val="es-ES"/>
        </w:rPr>
        <w:t xml:space="preserve">Asimismo, el 27 de enero del 2021, la SUGEF mediante resolución SGF-0241-2021, emite los Lineamientos operativos para el funcionamiento, acceso y uso del CICAC. </w:t>
      </w:r>
    </w:p>
    <w:p w14:paraId="641B0F32" w14:textId="77777777" w:rsidR="00C60369" w:rsidRPr="002C0D32" w:rsidRDefault="00C60369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2CBC02FF" w14:textId="7249F819" w:rsidR="00C60369" w:rsidRPr="002C0D32" w:rsidRDefault="00C60369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sz w:val="24"/>
          <w:szCs w:val="24"/>
          <w:lang w:val="es-ES"/>
        </w:rPr>
        <w:lastRenderedPageBreak/>
        <w:t xml:space="preserve">El Acuerdo CONASSIF 11-21 y sus lineamientos se encuentran vigentes desde el mes de enero del 2022. </w:t>
      </w:r>
    </w:p>
    <w:p w14:paraId="3F3D4A9A" w14:textId="77777777" w:rsidR="00532474" w:rsidRPr="002C0D32" w:rsidRDefault="00532474" w:rsidP="002A0AFE">
      <w:pPr>
        <w:spacing w:after="0" w:line="240" w:lineRule="auto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34AD009" w14:textId="20F32B22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¿Cuáles sujetos obligados tendrán acceso al CICAC? </w:t>
      </w:r>
      <w:r w:rsidR="007C36FF" w:rsidRPr="00541989">
        <w:rPr>
          <w:rFonts w:ascii="Cambria" w:hAnsi="Cambria"/>
          <w:b/>
          <w:bCs/>
          <w:sz w:val="24"/>
          <w:szCs w:val="24"/>
          <w:lang w:val="es-ES"/>
        </w:rPr>
        <w:t xml:space="preserve">Y ¿Cuáles sujetos obligados no tendrán acceso al CICAC? </w:t>
      </w:r>
    </w:p>
    <w:p w14:paraId="197A0A9C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CEDF4E4" w14:textId="66DEF064" w:rsidR="00532474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>Respuesta:</w:t>
      </w:r>
      <w:r w:rsidR="00C60369" w:rsidRPr="002C0D32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7C36FF" w:rsidRPr="002C0D32">
        <w:rPr>
          <w:rFonts w:ascii="Cambria" w:hAnsi="Cambria"/>
          <w:sz w:val="24"/>
          <w:szCs w:val="24"/>
          <w:lang w:val="es-ES"/>
        </w:rPr>
        <w:t>De conformidad con lo establecido en el artículo 2</w:t>
      </w:r>
      <w:r w:rsidR="004628A0">
        <w:rPr>
          <w:rFonts w:ascii="Cambria" w:hAnsi="Cambria"/>
          <w:sz w:val="24"/>
          <w:szCs w:val="24"/>
          <w:lang w:val="es-ES"/>
        </w:rPr>
        <w:t xml:space="preserve"> “Ámbito de aplicación” del Acuerdo CONASSIF 11-21,</w:t>
      </w:r>
      <w:r w:rsidR="007C36FF" w:rsidRPr="002C0D32">
        <w:rPr>
          <w:rFonts w:ascii="Cambria" w:hAnsi="Cambria"/>
          <w:sz w:val="24"/>
          <w:szCs w:val="24"/>
          <w:lang w:val="es-ES"/>
        </w:rPr>
        <w:t xml:space="preserve"> </w:t>
      </w:r>
      <w:r w:rsidR="004628A0">
        <w:rPr>
          <w:rFonts w:ascii="Cambria" w:hAnsi="Cambria"/>
          <w:sz w:val="24"/>
          <w:szCs w:val="24"/>
          <w:lang w:val="es-ES"/>
        </w:rPr>
        <w:t xml:space="preserve">tendrán acceso </w:t>
      </w:r>
      <w:r w:rsidR="00C60369" w:rsidRPr="002C0D32">
        <w:rPr>
          <w:rFonts w:ascii="Cambria" w:hAnsi="Cambria"/>
          <w:sz w:val="24"/>
          <w:szCs w:val="24"/>
          <w:lang w:val="es-ES"/>
        </w:rPr>
        <w:t xml:space="preserve">los sujetos obligados por el artículo 14 de la Ley 7786, y se exceptúan: </w:t>
      </w:r>
    </w:p>
    <w:p w14:paraId="11B90E43" w14:textId="77777777" w:rsidR="002A0AFE" w:rsidRPr="002C0D32" w:rsidRDefault="002A0AFE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21BBFEC2" w14:textId="77777777" w:rsidR="007C36FF" w:rsidRPr="002C0D32" w:rsidRDefault="00C60369" w:rsidP="002A0A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C0D32">
        <w:rPr>
          <w:rFonts w:ascii="Cambria" w:hAnsi="Cambria" w:cs="Cambria"/>
          <w:sz w:val="24"/>
          <w:szCs w:val="24"/>
          <w:lang w:val="es-ES"/>
        </w:rPr>
        <w:t xml:space="preserve">A </w:t>
      </w:r>
      <w:r w:rsidRPr="002C0D32">
        <w:rPr>
          <w:rFonts w:ascii="Cambria" w:hAnsi="Cambria" w:cs="Cambria"/>
          <w:sz w:val="24"/>
          <w:szCs w:val="24"/>
        </w:rPr>
        <w:t>las operadoras de pensiones en lo relacionado al Régimen obligatorio de</w:t>
      </w:r>
      <w:r w:rsidR="007C36FF" w:rsidRPr="002C0D32">
        <w:rPr>
          <w:rFonts w:ascii="Cambria" w:hAnsi="Cambria" w:cs="Cambria"/>
          <w:sz w:val="24"/>
          <w:szCs w:val="24"/>
        </w:rPr>
        <w:t xml:space="preserve"> </w:t>
      </w:r>
      <w:r w:rsidRPr="002C0D32">
        <w:rPr>
          <w:rFonts w:ascii="Cambria" w:hAnsi="Cambria" w:cs="Cambria"/>
          <w:sz w:val="24"/>
          <w:szCs w:val="24"/>
        </w:rPr>
        <w:t>pensiones (ROP) y al Fondo de capitalización laboral (FCL), salvo para aquellos</w:t>
      </w:r>
      <w:r w:rsidR="007C36FF" w:rsidRPr="002C0D32">
        <w:rPr>
          <w:rFonts w:ascii="Cambria" w:hAnsi="Cambria" w:cs="Cambria"/>
          <w:sz w:val="24"/>
          <w:szCs w:val="24"/>
        </w:rPr>
        <w:t xml:space="preserve"> </w:t>
      </w:r>
      <w:r w:rsidRPr="002C0D32">
        <w:rPr>
          <w:rFonts w:ascii="Cambria" w:hAnsi="Cambria" w:cs="Cambria"/>
          <w:sz w:val="24"/>
          <w:szCs w:val="24"/>
        </w:rPr>
        <w:t>afiliados al ROP que realicen algún aporte extraordinario,</w:t>
      </w:r>
    </w:p>
    <w:p w14:paraId="1FD15F54" w14:textId="77777777" w:rsidR="007C36FF" w:rsidRPr="002C0D32" w:rsidRDefault="00C60369" w:rsidP="002A0A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C0D32">
        <w:rPr>
          <w:rFonts w:ascii="Cambria" w:hAnsi="Cambria" w:cs="Cambria"/>
          <w:sz w:val="24"/>
          <w:szCs w:val="24"/>
        </w:rPr>
        <w:t>al Régimen de invalidez, vejez y muerte de la Caja Costarricense de Seguro Social,</w:t>
      </w:r>
    </w:p>
    <w:p w14:paraId="30B0193A" w14:textId="77777777" w:rsidR="007C36FF" w:rsidRPr="002C0D32" w:rsidRDefault="00C60369" w:rsidP="002A0A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C0D32">
        <w:rPr>
          <w:rFonts w:ascii="Cambria" w:hAnsi="Cambria" w:cs="Cambria"/>
          <w:sz w:val="24"/>
          <w:szCs w:val="24"/>
        </w:rPr>
        <w:t>al Régimen básico del Poder Judicial,</w:t>
      </w:r>
    </w:p>
    <w:p w14:paraId="495C8A1B" w14:textId="77777777" w:rsidR="007C36FF" w:rsidRPr="002C0D32" w:rsidRDefault="00C60369" w:rsidP="002A0A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C0D32">
        <w:rPr>
          <w:rFonts w:ascii="Cambria" w:hAnsi="Cambria" w:cs="Cambria"/>
          <w:sz w:val="24"/>
          <w:szCs w:val="24"/>
        </w:rPr>
        <w:t>al Régimen de capitalización colectiva del Magisterio Nacional, y otros regímenes</w:t>
      </w:r>
      <w:r w:rsidR="007C36FF" w:rsidRPr="002C0D32">
        <w:rPr>
          <w:rFonts w:ascii="Cambria" w:hAnsi="Cambria" w:cs="Cambria"/>
          <w:sz w:val="24"/>
          <w:szCs w:val="24"/>
        </w:rPr>
        <w:t xml:space="preserve"> </w:t>
      </w:r>
      <w:r w:rsidRPr="002C0D32">
        <w:rPr>
          <w:rFonts w:ascii="Cambria" w:hAnsi="Cambria" w:cs="Cambria"/>
          <w:sz w:val="24"/>
          <w:szCs w:val="24"/>
        </w:rPr>
        <w:t>complementarios creados por leyes especiales,</w:t>
      </w:r>
    </w:p>
    <w:p w14:paraId="065DDCD9" w14:textId="47DE561E" w:rsidR="00C60369" w:rsidRPr="002C0D32" w:rsidRDefault="00C60369" w:rsidP="002A0A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C0D32">
        <w:rPr>
          <w:rFonts w:ascii="Cambria" w:hAnsi="Cambria" w:cs="Cambria"/>
          <w:sz w:val="24"/>
          <w:szCs w:val="24"/>
        </w:rPr>
        <w:t>a las sociedades agencia de seguros, agentes de seguros y vendedores de seguro</w:t>
      </w:r>
      <w:r w:rsidR="007C36FF" w:rsidRPr="002C0D32">
        <w:rPr>
          <w:rFonts w:ascii="Cambria" w:hAnsi="Cambria" w:cs="Cambria"/>
          <w:sz w:val="24"/>
          <w:szCs w:val="24"/>
        </w:rPr>
        <w:t xml:space="preserve">s </w:t>
      </w:r>
      <w:r w:rsidRPr="002C0D32">
        <w:rPr>
          <w:rFonts w:ascii="Cambria" w:hAnsi="Cambria" w:cs="Cambria"/>
          <w:sz w:val="24"/>
          <w:szCs w:val="24"/>
        </w:rPr>
        <w:t>autoexpedibles</w:t>
      </w:r>
      <w:r w:rsidR="007C36FF" w:rsidRPr="002C0D32">
        <w:rPr>
          <w:rFonts w:ascii="Cambria" w:hAnsi="Cambria" w:cs="Cambria"/>
          <w:sz w:val="24"/>
          <w:szCs w:val="24"/>
        </w:rPr>
        <w:t xml:space="preserve">, </w:t>
      </w:r>
    </w:p>
    <w:p w14:paraId="583882BD" w14:textId="3B75B8D6" w:rsidR="00C60369" w:rsidRPr="002C0D32" w:rsidRDefault="00CE1087" w:rsidP="002A0AF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</w:t>
      </w:r>
      <w:r w:rsidR="00C60369" w:rsidRPr="002C0D32">
        <w:rPr>
          <w:rFonts w:ascii="Cambria" w:hAnsi="Cambria" w:cs="Cambria"/>
          <w:sz w:val="24"/>
          <w:szCs w:val="24"/>
        </w:rPr>
        <w:t xml:space="preserve"> la Bolsa Nacional de Valores. </w:t>
      </w:r>
    </w:p>
    <w:p w14:paraId="102BF049" w14:textId="77777777" w:rsidR="007C36FF" w:rsidRPr="002C0D32" w:rsidRDefault="007C36FF" w:rsidP="002A0AFE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4A80AD35" w14:textId="2BCA6FB3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¿Cuáles son las fuentes oficiales de información que utiliza el CICAC? </w:t>
      </w:r>
    </w:p>
    <w:p w14:paraId="65BDBA6B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066EF577" w14:textId="1DA8A9FA" w:rsidR="00532474" w:rsidRPr="002C0D32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 w:cs="TimesNewRoman"/>
          <w:sz w:val="24"/>
          <w:szCs w:val="24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7C36FF" w:rsidRPr="002C0D32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7C36FF" w:rsidRPr="002C0D32">
        <w:rPr>
          <w:rFonts w:ascii="Cambria" w:hAnsi="Cambria"/>
          <w:sz w:val="24"/>
          <w:szCs w:val="24"/>
          <w:lang w:val="es-ES"/>
        </w:rPr>
        <w:t xml:space="preserve">el CICAC utiliza </w:t>
      </w:r>
      <w:r w:rsidR="007C36FF" w:rsidRPr="002C0D32">
        <w:rPr>
          <w:rFonts w:ascii="Cambria" w:hAnsi="Cambria" w:cs="TimesNewRoman"/>
          <w:sz w:val="24"/>
          <w:szCs w:val="24"/>
        </w:rPr>
        <w:t>el Tribunal Supremo de Elecciones (TSE), la Dirección General de Migración y Extranjería, el Ministerio de Relaciones Exteriores y Culto</w:t>
      </w:r>
      <w:r w:rsidR="00CE1087">
        <w:rPr>
          <w:rFonts w:ascii="Cambria" w:hAnsi="Cambria" w:cs="TimesNewRoman"/>
          <w:sz w:val="24"/>
          <w:szCs w:val="24"/>
        </w:rPr>
        <w:t>,</w:t>
      </w:r>
      <w:r w:rsidR="007C36FF" w:rsidRPr="002C0D32">
        <w:rPr>
          <w:rFonts w:ascii="Cambria" w:hAnsi="Cambria" w:cs="TimesNewRoman"/>
          <w:sz w:val="24"/>
          <w:szCs w:val="24"/>
        </w:rPr>
        <w:t xml:space="preserve"> el Registro Nacional</w:t>
      </w:r>
      <w:r w:rsidR="00CE1087">
        <w:rPr>
          <w:rFonts w:ascii="Cambria" w:hAnsi="Cambria" w:cs="TimesNewRoman"/>
          <w:sz w:val="24"/>
          <w:szCs w:val="24"/>
        </w:rPr>
        <w:t>, Contraloría General de la República, Sistema de inscripción de sujetos obligados de la SUGEF y el sistema de Registro de transparencia de accionistas y beneficiarios finales.</w:t>
      </w:r>
    </w:p>
    <w:p w14:paraId="69DDD1BF" w14:textId="77777777" w:rsidR="007C36FF" w:rsidRPr="002C0D32" w:rsidRDefault="007C36FF" w:rsidP="002A0AFE">
      <w:pPr>
        <w:spacing w:after="0" w:line="240" w:lineRule="auto"/>
        <w:contextualSpacing/>
        <w:jc w:val="both"/>
        <w:rPr>
          <w:rFonts w:ascii="Cambria" w:hAnsi="Cambria" w:cs="TimesNewRoman"/>
          <w:sz w:val="24"/>
          <w:szCs w:val="24"/>
        </w:rPr>
      </w:pPr>
    </w:p>
    <w:p w14:paraId="6AB1C881" w14:textId="17A28615" w:rsidR="007C36FF" w:rsidRPr="00541989" w:rsidRDefault="007C36FF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>¿Cuál es la información que se va a incluir en el CICAC?</w:t>
      </w:r>
    </w:p>
    <w:p w14:paraId="7BA01793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6B141FD7" w14:textId="215BC979" w:rsidR="007C36FF" w:rsidRPr="002C0D32" w:rsidRDefault="007C36FF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>Respuesta:</w:t>
      </w:r>
      <w:r w:rsidRPr="002C0D32">
        <w:rPr>
          <w:rFonts w:ascii="Cambria" w:hAnsi="Cambria"/>
          <w:sz w:val="24"/>
          <w:szCs w:val="24"/>
          <w:lang w:val="es-ES"/>
        </w:rPr>
        <w:t xml:space="preserve"> En el CICAC se </w:t>
      </w:r>
      <w:r w:rsidR="002C0D32" w:rsidRPr="002C0D32">
        <w:rPr>
          <w:rFonts w:ascii="Cambria" w:hAnsi="Cambria"/>
          <w:sz w:val="24"/>
          <w:szCs w:val="24"/>
          <w:lang w:val="es-ES"/>
        </w:rPr>
        <w:t>va a</w:t>
      </w:r>
      <w:r w:rsidRPr="002C0D32">
        <w:rPr>
          <w:rFonts w:ascii="Cambria" w:hAnsi="Cambria"/>
          <w:sz w:val="24"/>
          <w:szCs w:val="24"/>
          <w:lang w:val="es-ES"/>
        </w:rPr>
        <w:t xml:space="preserve"> incluir información de los clientes físicos y jurídicos de las entidades del Sistema Financiero Nacional, de la siguiente forma: </w:t>
      </w:r>
    </w:p>
    <w:p w14:paraId="14106C02" w14:textId="77777777" w:rsidR="002C0D32" w:rsidRDefault="002C0D32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284097DB" w14:textId="47B55F28" w:rsidR="007C36FF" w:rsidRPr="002C0D32" w:rsidRDefault="007C36FF" w:rsidP="002A0AFE">
      <w:pPr>
        <w:spacing w:after="0" w:line="240" w:lineRule="auto"/>
        <w:ind w:firstLine="360"/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</w:pPr>
      <w:r w:rsidRPr="002C0D32"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  <w:t xml:space="preserve">Para personas físicas: </w:t>
      </w:r>
    </w:p>
    <w:p w14:paraId="75DA552E" w14:textId="77777777" w:rsidR="002C0D32" w:rsidRDefault="002C0D32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</w:p>
    <w:p w14:paraId="510E8174" w14:textId="594CE42C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a) Información de identidad: </w:t>
      </w:r>
    </w:p>
    <w:p w14:paraId="34892844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Tipo de identificación</w:t>
      </w:r>
    </w:p>
    <w:p w14:paraId="0CDA8C7A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Número de identificación</w:t>
      </w:r>
    </w:p>
    <w:p w14:paraId="374BDAA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Nombre y apellidos</w:t>
      </w:r>
    </w:p>
    <w:p w14:paraId="740FB9DD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iv) Conocido como</w:t>
      </w:r>
    </w:p>
    <w:p w14:paraId="1A5A4FE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v) País de nacimiento</w:t>
      </w:r>
    </w:p>
    <w:p w14:paraId="15B7BA5E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vi) Fecha de nacimiento</w:t>
      </w:r>
    </w:p>
    <w:p w14:paraId="44756823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vii) Lugar de nacimiento</w:t>
      </w:r>
    </w:p>
    <w:p w14:paraId="6728E533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viii) Estado civil</w:t>
      </w:r>
    </w:p>
    <w:p w14:paraId="26EDB13E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lastRenderedPageBreak/>
        <w:t>ix) Fallecido: Sí/No</w:t>
      </w:r>
    </w:p>
    <w:p w14:paraId="52EDFAF2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Persona expuesta políticamente (PEP): Sí/No registra en la fuente</w:t>
      </w:r>
    </w:p>
    <w:p w14:paraId="0EC0ED82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oficial / Cliente relacionado con un PEP.</w:t>
      </w:r>
    </w:p>
    <w:p w14:paraId="1A6454AB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Relacionado con PEP: No registra en la fuente oficial.</w:t>
      </w:r>
    </w:p>
    <w:p w14:paraId="1610DFB1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Persona inscrita por artículo 15 y 15 bis: Sí/No registra en la fuente</w:t>
      </w:r>
    </w:p>
    <w:p w14:paraId="76157531" w14:textId="25606E49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oficial.</w:t>
      </w:r>
    </w:p>
    <w:p w14:paraId="303DCF7D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b) Información personal: </w:t>
      </w:r>
    </w:p>
    <w:p w14:paraId="4E4DBD7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Profesión oficio u ocupación</w:t>
      </w:r>
    </w:p>
    <w:p w14:paraId="5DE276DE" w14:textId="7F73B976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Nacionalidades</w:t>
      </w:r>
    </w:p>
    <w:p w14:paraId="53F707A7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c) Medios de comunicación: </w:t>
      </w:r>
    </w:p>
    <w:p w14:paraId="46ED65D0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Teléfono fijo</w:t>
      </w:r>
    </w:p>
    <w:p w14:paraId="1C67B5BB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Teléfono móvil</w:t>
      </w:r>
    </w:p>
    <w:p w14:paraId="6E4C15BA" w14:textId="159EE6FF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Correo electrónico</w:t>
      </w:r>
    </w:p>
    <w:p w14:paraId="77EA71C9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d) Domicilio en Costa Rica: </w:t>
      </w:r>
    </w:p>
    <w:p w14:paraId="781C178A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Provincia</w:t>
      </w:r>
    </w:p>
    <w:p w14:paraId="68BFFC2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Cantón</w:t>
      </w:r>
    </w:p>
    <w:p w14:paraId="283910C1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Distrito</w:t>
      </w:r>
    </w:p>
    <w:p w14:paraId="4CE9E07C" w14:textId="0C107352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iv) Otras señas</w:t>
      </w:r>
    </w:p>
    <w:p w14:paraId="4355C72B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e) Domicilio en el extranjero: </w:t>
      </w:r>
    </w:p>
    <w:p w14:paraId="4CC6997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País</w:t>
      </w:r>
    </w:p>
    <w:p w14:paraId="05E05927" w14:textId="6E24CA7B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Otras señas</w:t>
      </w:r>
    </w:p>
    <w:p w14:paraId="57E325AA" w14:textId="1478CBA5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f) Origen de fondos.</w:t>
      </w:r>
    </w:p>
    <w:p w14:paraId="4028C665" w14:textId="77777777" w:rsidR="007C36FF" w:rsidRPr="002C0D32" w:rsidRDefault="007C36FF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g) Capacidad de inversión (para intermediarios de valores supervisados por SUGEVAL)</w:t>
      </w:r>
    </w:p>
    <w:p w14:paraId="774FF026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Moneda</w:t>
      </w:r>
    </w:p>
    <w:p w14:paraId="50BCCB61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Monto de capacidad de inversión</w:t>
      </w:r>
    </w:p>
    <w:p w14:paraId="3F6D6F56" w14:textId="59447774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Justificación del origen de fondos</w:t>
      </w:r>
    </w:p>
    <w:p w14:paraId="0CDD9035" w14:textId="499CFCA9" w:rsidR="007C36FF" w:rsidRPr="002C0D32" w:rsidRDefault="007C36FF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u w:val="single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u w:val="single"/>
          <w:lang w:eastAsia="es-CR"/>
        </w:rPr>
        <w:t xml:space="preserve">h) Documentos de evidencia: </w:t>
      </w:r>
      <w:r w:rsidRPr="002C0D32">
        <w:rPr>
          <w:rFonts w:ascii="Cambria" w:hAnsi="Cambria"/>
          <w:sz w:val="24"/>
          <w:szCs w:val="24"/>
          <w:lang w:eastAsia="es-CR"/>
        </w:rPr>
        <w:t>estos se suben al CICAC para el respaldo del origen de los fondos, cuando corresponda.</w:t>
      </w:r>
      <w:r w:rsidRPr="002C0D32">
        <w:rPr>
          <w:rFonts w:ascii="Cambria" w:hAnsi="Cambria"/>
          <w:b/>
          <w:bCs/>
          <w:sz w:val="24"/>
          <w:szCs w:val="24"/>
          <w:u w:val="single"/>
          <w:lang w:eastAsia="es-CR"/>
        </w:rPr>
        <w:t xml:space="preserve"> </w:t>
      </w:r>
    </w:p>
    <w:p w14:paraId="5292157E" w14:textId="77777777" w:rsidR="002C0D32" w:rsidRDefault="002C0D32" w:rsidP="002A0AFE">
      <w:pPr>
        <w:spacing w:after="0" w:line="240" w:lineRule="auto"/>
        <w:ind w:firstLine="360"/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</w:pPr>
    </w:p>
    <w:p w14:paraId="0F8C927C" w14:textId="6A8D9031" w:rsidR="007C36FF" w:rsidRDefault="007C36FF" w:rsidP="002A0AFE">
      <w:pPr>
        <w:spacing w:after="0" w:line="240" w:lineRule="auto"/>
        <w:ind w:firstLine="360"/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</w:pPr>
      <w:r w:rsidRPr="002C0D32"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  <w:t xml:space="preserve">Para personas jurídicas: </w:t>
      </w:r>
    </w:p>
    <w:p w14:paraId="53E1A6BA" w14:textId="77777777" w:rsidR="00CB6BD7" w:rsidRPr="002C0D32" w:rsidRDefault="00CB6BD7" w:rsidP="002A0AFE">
      <w:pPr>
        <w:spacing w:after="0" w:line="240" w:lineRule="auto"/>
        <w:ind w:firstLine="360"/>
        <w:contextualSpacing/>
        <w:jc w:val="both"/>
        <w:rPr>
          <w:rFonts w:ascii="Cambria" w:hAnsi="Cambria"/>
          <w:b/>
          <w:bCs/>
          <w:i/>
          <w:iCs/>
          <w:sz w:val="24"/>
          <w:szCs w:val="24"/>
          <w:u w:val="single"/>
          <w:lang w:val="es-ES"/>
        </w:rPr>
      </w:pPr>
    </w:p>
    <w:p w14:paraId="1EDC4EB4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a) Información de identidad</w:t>
      </w:r>
    </w:p>
    <w:p w14:paraId="04C416F3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Tipo de identificación</w:t>
      </w:r>
    </w:p>
    <w:p w14:paraId="71B12DA9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Número de identificación</w:t>
      </w:r>
    </w:p>
    <w:p w14:paraId="35318DE1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Razón social</w:t>
      </w:r>
    </w:p>
    <w:p w14:paraId="491CB05A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iv) Fecha de constitución</w:t>
      </w:r>
    </w:p>
    <w:p w14:paraId="6CA64EB3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v) Estado actual</w:t>
      </w:r>
    </w:p>
    <w:p w14:paraId="43261958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vi) Nombre comercial</w:t>
      </w:r>
    </w:p>
    <w:p w14:paraId="52F3AA3F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b) Medios de comunicación: </w:t>
      </w:r>
    </w:p>
    <w:p w14:paraId="68D720A8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Teléfono fijo</w:t>
      </w:r>
    </w:p>
    <w:p w14:paraId="200CAAD8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Teléfono móvil</w:t>
      </w:r>
    </w:p>
    <w:p w14:paraId="2102E3D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Correo electrónico</w:t>
      </w:r>
    </w:p>
    <w:p w14:paraId="056450B5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 xml:space="preserve">c) Domicilio en Costa Rica: </w:t>
      </w:r>
    </w:p>
    <w:p w14:paraId="7478DA4F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Provincia</w:t>
      </w:r>
    </w:p>
    <w:p w14:paraId="5B5C0F7E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Cantón</w:t>
      </w:r>
    </w:p>
    <w:p w14:paraId="75CB4C48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lastRenderedPageBreak/>
        <w:t>iii) Distrito</w:t>
      </w:r>
    </w:p>
    <w:p w14:paraId="133A5B7F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iv) Otras señas</w:t>
      </w:r>
    </w:p>
    <w:p w14:paraId="41089CB4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d) Domicilio en el extranjero:</w:t>
      </w:r>
      <w:r w:rsidRPr="002C0D32">
        <w:rPr>
          <w:rFonts w:ascii="Cambria" w:hAnsi="Cambria"/>
          <w:sz w:val="24"/>
          <w:szCs w:val="24"/>
          <w:lang w:eastAsia="es-CR"/>
        </w:rPr>
        <w:t xml:space="preserve"> </w:t>
      </w:r>
    </w:p>
    <w:p w14:paraId="027081C8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País</w:t>
      </w:r>
    </w:p>
    <w:p w14:paraId="312F87B6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Otras señas</w:t>
      </w:r>
    </w:p>
    <w:p w14:paraId="57898DA6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e) Origen de fondos</w:t>
      </w:r>
    </w:p>
    <w:p w14:paraId="0E10F1E2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f) Capacidad de inversión (para intermediarios de valores supervisados por SUGEVAL)</w:t>
      </w:r>
    </w:p>
    <w:p w14:paraId="3B1C1882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Moneda</w:t>
      </w:r>
    </w:p>
    <w:p w14:paraId="3FE50FEA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Monto de capacidad de inversión</w:t>
      </w:r>
    </w:p>
    <w:p w14:paraId="51A051EF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Justificación del origen de fondos</w:t>
      </w:r>
    </w:p>
    <w:p w14:paraId="3115C89A" w14:textId="07BD00E3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g) Puestos Principales</w:t>
      </w:r>
      <w:r w:rsidRPr="002C0D32">
        <w:rPr>
          <w:rFonts w:ascii="Cambria" w:hAnsi="Cambria"/>
          <w:sz w:val="24"/>
          <w:szCs w:val="24"/>
          <w:lang w:eastAsia="es-CR"/>
        </w:rPr>
        <w:t>, muestra la siguiente información para todos los miembros de</w:t>
      </w:r>
      <w:r w:rsidR="002C0D32">
        <w:rPr>
          <w:rFonts w:ascii="Cambria" w:hAnsi="Cambria"/>
          <w:sz w:val="24"/>
          <w:szCs w:val="24"/>
          <w:lang w:eastAsia="es-CR"/>
        </w:rPr>
        <w:t xml:space="preserve"> </w:t>
      </w:r>
      <w:r w:rsidRPr="002C0D32">
        <w:rPr>
          <w:rFonts w:ascii="Cambria" w:hAnsi="Cambria"/>
          <w:sz w:val="24"/>
          <w:szCs w:val="24"/>
          <w:lang w:eastAsia="es-CR"/>
        </w:rPr>
        <w:t>puestos principales</w:t>
      </w:r>
    </w:p>
    <w:p w14:paraId="2BBD7830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i) Tipo de identificación</w:t>
      </w:r>
    </w:p>
    <w:p w14:paraId="1EB8A4C7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ii) Número de identificación</w:t>
      </w:r>
    </w:p>
    <w:p w14:paraId="2C9629E1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iii) Nombre y apellidos</w:t>
      </w:r>
    </w:p>
    <w:p w14:paraId="17D17070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iv) Cargo</w:t>
      </w:r>
    </w:p>
    <w:p w14:paraId="58D3280A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eastAsia="es-CR"/>
        </w:rPr>
      </w:pPr>
      <w:r w:rsidRPr="002C0D32">
        <w:rPr>
          <w:rFonts w:ascii="Cambria" w:hAnsi="Cambria"/>
          <w:sz w:val="24"/>
          <w:szCs w:val="24"/>
          <w:lang w:eastAsia="es-CR"/>
        </w:rPr>
        <w:t>v) Vigencia</w:t>
      </w:r>
    </w:p>
    <w:p w14:paraId="0F727BDE" w14:textId="77777777" w:rsidR="007C36FF" w:rsidRPr="002C0D32" w:rsidRDefault="007C36FF" w:rsidP="002A0AFE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lang w:eastAsia="es-CR"/>
        </w:rPr>
        <w:t>h) Accionistas y beneficiarios finales</w:t>
      </w:r>
    </w:p>
    <w:p w14:paraId="57D93103" w14:textId="4C5A561A" w:rsidR="007C36FF" w:rsidRPr="002C0D32" w:rsidRDefault="007C36FF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u w:val="single"/>
          <w:lang w:eastAsia="es-CR"/>
        </w:rPr>
      </w:pPr>
      <w:r w:rsidRPr="002C0D32">
        <w:rPr>
          <w:rFonts w:ascii="Cambria" w:hAnsi="Cambria"/>
          <w:b/>
          <w:bCs/>
          <w:sz w:val="24"/>
          <w:szCs w:val="24"/>
          <w:u w:val="single"/>
          <w:lang w:eastAsia="es-CR"/>
        </w:rPr>
        <w:t xml:space="preserve">i) Documentos de evidencia: </w:t>
      </w:r>
      <w:r w:rsidRPr="002C0D32">
        <w:rPr>
          <w:rFonts w:ascii="Cambria" w:hAnsi="Cambria"/>
          <w:sz w:val="24"/>
          <w:szCs w:val="24"/>
          <w:lang w:eastAsia="es-CR"/>
        </w:rPr>
        <w:t>estos se suben al CICAC para el respaldo del origen de los fondos, cuando corresponda.</w:t>
      </w:r>
      <w:r w:rsidRPr="002C0D32">
        <w:rPr>
          <w:rFonts w:ascii="Cambria" w:hAnsi="Cambria"/>
          <w:b/>
          <w:bCs/>
          <w:sz w:val="24"/>
          <w:szCs w:val="24"/>
          <w:u w:val="single"/>
          <w:lang w:eastAsia="es-CR"/>
        </w:rPr>
        <w:t xml:space="preserve"> </w:t>
      </w:r>
    </w:p>
    <w:p w14:paraId="009BE780" w14:textId="77777777" w:rsidR="007C36FF" w:rsidRPr="002C0D32" w:rsidRDefault="007C36FF" w:rsidP="002A0AFE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0A9FB359" w14:textId="4E1B89B2" w:rsidR="00532474" w:rsidRPr="00541989" w:rsidRDefault="009A11B9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>¿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Tengo que aportar la documentación del respaldo del origen de los fondos y que tipo de documentación debo aportar</w:t>
      </w:r>
      <w:r w:rsidR="00532474" w:rsidRPr="00541989">
        <w:rPr>
          <w:rFonts w:ascii="Cambria" w:hAnsi="Cambria"/>
          <w:b/>
          <w:bCs/>
          <w:sz w:val="24"/>
          <w:szCs w:val="24"/>
          <w:lang w:val="es-ES"/>
        </w:rPr>
        <w:t>?</w:t>
      </w:r>
    </w:p>
    <w:p w14:paraId="080E7AD6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3ACB511E" w14:textId="5A95A941" w:rsidR="00532474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B93521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B93521" w:rsidRPr="00B93521">
        <w:rPr>
          <w:rFonts w:ascii="Cambria" w:hAnsi="Cambria"/>
          <w:sz w:val="24"/>
          <w:szCs w:val="24"/>
          <w:lang w:val="es-ES"/>
        </w:rPr>
        <w:t>Sí, cuando corresponda</w:t>
      </w:r>
      <w:r w:rsidR="009A11B9">
        <w:rPr>
          <w:rFonts w:ascii="Cambria" w:hAnsi="Cambria"/>
          <w:sz w:val="24"/>
          <w:szCs w:val="24"/>
          <w:lang w:val="es-ES"/>
        </w:rPr>
        <w:t>,</w:t>
      </w:r>
      <w:r w:rsidR="00B93521" w:rsidRPr="00B93521">
        <w:rPr>
          <w:rFonts w:ascii="Cambria" w:hAnsi="Cambria"/>
          <w:sz w:val="24"/>
          <w:szCs w:val="24"/>
          <w:lang w:val="es-ES"/>
        </w:rPr>
        <w:t xml:space="preserve"> según las políticas y procedimientos definidos por las entidades financieras, y l</w:t>
      </w:r>
      <w:r w:rsidR="007C36FF" w:rsidRPr="00B93521">
        <w:rPr>
          <w:rFonts w:ascii="Cambria" w:hAnsi="Cambria"/>
          <w:sz w:val="24"/>
          <w:szCs w:val="24"/>
          <w:lang w:val="es-ES"/>
        </w:rPr>
        <w:t xml:space="preserve">os documentos de evidencia que se pueden subir al CICAC son los establecidos en los Lineamientos operativos para el funcionamiento, acceso y uso del CICAC en la Sección II </w:t>
      </w:r>
      <w:r w:rsidR="004628A0" w:rsidRPr="00B93521">
        <w:rPr>
          <w:rFonts w:ascii="Cambria" w:hAnsi="Cambria"/>
          <w:sz w:val="24"/>
          <w:szCs w:val="24"/>
          <w:lang w:val="es-ES"/>
        </w:rPr>
        <w:t>“</w:t>
      </w:r>
      <w:r w:rsidR="00517179" w:rsidRPr="00B93521">
        <w:rPr>
          <w:rFonts w:ascii="Cambria" w:hAnsi="Cambria"/>
          <w:sz w:val="24"/>
          <w:szCs w:val="24"/>
          <w:lang w:val="es-ES"/>
        </w:rPr>
        <w:t>Evidencias para orígenes de fondos</w:t>
      </w:r>
      <w:r w:rsidR="004628A0" w:rsidRPr="00B93521">
        <w:rPr>
          <w:rFonts w:ascii="Cambria" w:hAnsi="Cambria"/>
          <w:sz w:val="24"/>
          <w:szCs w:val="24"/>
          <w:lang w:val="es-ES"/>
        </w:rPr>
        <w:t>”</w:t>
      </w:r>
      <w:r w:rsidR="00517179" w:rsidRPr="00B93521">
        <w:rPr>
          <w:rFonts w:ascii="Cambria" w:hAnsi="Cambria"/>
          <w:sz w:val="24"/>
          <w:szCs w:val="24"/>
          <w:lang w:val="es-ES"/>
        </w:rPr>
        <w:t>.</w:t>
      </w:r>
    </w:p>
    <w:p w14:paraId="3A8B1122" w14:textId="041D1C1F" w:rsidR="009A11B9" w:rsidRDefault="009A11B9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6BCC91C6" w14:textId="610A9D29" w:rsidR="009A11B9" w:rsidRPr="009A11B9" w:rsidRDefault="009A11B9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 xml:space="preserve">¿Puedo acceder al CICAC </w:t>
      </w:r>
      <w:r w:rsidR="00C71965">
        <w:rPr>
          <w:rFonts w:ascii="Cambria" w:hAnsi="Cambria"/>
          <w:b/>
          <w:bCs/>
          <w:sz w:val="24"/>
          <w:szCs w:val="24"/>
          <w:lang w:val="es-ES"/>
        </w:rPr>
        <w:t>a consultar y modificar mi información</w:t>
      </w:r>
      <w:r w:rsidRPr="009A11B9">
        <w:rPr>
          <w:rFonts w:ascii="Cambria" w:hAnsi="Cambria"/>
          <w:b/>
          <w:bCs/>
          <w:sz w:val="24"/>
          <w:szCs w:val="24"/>
          <w:lang w:val="es-ES"/>
        </w:rPr>
        <w:t>?</w:t>
      </w:r>
    </w:p>
    <w:p w14:paraId="11F126E5" w14:textId="425C3E23" w:rsidR="009A11B9" w:rsidRDefault="009A11B9" w:rsidP="002A0AFE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67C8A020" w14:textId="6F3C215B" w:rsidR="009A11B9" w:rsidRDefault="009A11B9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>Respuesta:</w:t>
      </w:r>
      <w:r>
        <w:rPr>
          <w:rFonts w:ascii="Cambria" w:hAnsi="Cambria"/>
          <w:sz w:val="24"/>
          <w:szCs w:val="24"/>
          <w:lang w:val="es-ES"/>
        </w:rPr>
        <w:t xml:space="preserve"> Sí, puede acceder al CICAC para consultar y modificar su información, siempre y cuando posea una firma digital certificada emitida por el Banco Central de Costa Rica. </w:t>
      </w:r>
    </w:p>
    <w:p w14:paraId="70D89CBD" w14:textId="4101E217" w:rsidR="00C71965" w:rsidRDefault="00C71965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</w:p>
    <w:p w14:paraId="004B67B3" w14:textId="4B2FD46E" w:rsidR="00C71965" w:rsidRPr="00147F65" w:rsidRDefault="00C71965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147F65">
        <w:rPr>
          <w:rFonts w:ascii="Cambria" w:hAnsi="Cambria"/>
          <w:b/>
          <w:bCs/>
          <w:sz w:val="24"/>
          <w:szCs w:val="24"/>
          <w:lang w:val="es-ES"/>
        </w:rPr>
        <w:t>¿Qué proceso tengo que realizar para poder acceder al CICAC?</w:t>
      </w:r>
    </w:p>
    <w:p w14:paraId="04F54FC3" w14:textId="1763DF93" w:rsidR="00C71965" w:rsidRDefault="00C71965" w:rsidP="002A0AFE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2DE35E62" w14:textId="71AAFCC1" w:rsidR="00147F65" w:rsidRPr="00080022" w:rsidRDefault="00C71965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C71965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080022">
        <w:rPr>
          <w:rFonts w:ascii="Cambria" w:hAnsi="Cambria"/>
          <w:sz w:val="24"/>
          <w:szCs w:val="24"/>
          <w:lang w:val="es-ES"/>
        </w:rPr>
        <w:t xml:space="preserve">Debe firmar el </w:t>
      </w:r>
      <w:r w:rsidR="00147F65" w:rsidRPr="00147F65">
        <w:rPr>
          <w:rFonts w:ascii="Cambria" w:hAnsi="Cambria"/>
          <w:sz w:val="24"/>
          <w:szCs w:val="24"/>
          <w:lang w:val="es-ES"/>
        </w:rPr>
        <w:t>acuerdo de suscripción, para poder ingresar a los servicios de la superintendencia. Esto lo debe realizar en la opción “Suscríbase” disponible en el portal de cada superintendencia, según corresponda.</w:t>
      </w:r>
    </w:p>
    <w:p w14:paraId="7BDD9CC8" w14:textId="7FD4AB86" w:rsidR="009A11B9" w:rsidRDefault="009A11B9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</w:p>
    <w:p w14:paraId="4E3E8D25" w14:textId="6E727E00" w:rsidR="00174AF8" w:rsidRDefault="00174AF8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>¿Cuáles son los beneficios del CICAC?</w:t>
      </w:r>
    </w:p>
    <w:p w14:paraId="561C2A84" w14:textId="77777777" w:rsidR="00CB6BD7" w:rsidRDefault="00CB6BD7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3958C2FB" w14:textId="12C6223D" w:rsidR="00174AF8" w:rsidRDefault="00303EFF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>Respuesta:</w:t>
      </w:r>
    </w:p>
    <w:p w14:paraId="6B6FFEE7" w14:textId="028E1FFB" w:rsidR="00174AF8" w:rsidRPr="002A0AFE" w:rsidRDefault="00174AF8" w:rsidP="002A0AF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lastRenderedPageBreak/>
        <w:t xml:space="preserve">Construye un </w:t>
      </w:r>
      <w:r w:rsidR="004474AE">
        <w:rPr>
          <w:rFonts w:ascii="Cambria" w:hAnsi="Cambria"/>
          <w:sz w:val="24"/>
          <w:szCs w:val="24"/>
        </w:rPr>
        <w:t xml:space="preserve">expediente </w:t>
      </w:r>
      <w:r w:rsidRPr="002A0AFE">
        <w:rPr>
          <w:rFonts w:ascii="Cambria" w:hAnsi="Cambria"/>
          <w:sz w:val="24"/>
          <w:szCs w:val="24"/>
        </w:rPr>
        <w:t xml:space="preserve">del cliente con la información </w:t>
      </w:r>
      <w:r w:rsidR="004474AE">
        <w:rPr>
          <w:rFonts w:ascii="Cambria" w:hAnsi="Cambria"/>
          <w:sz w:val="24"/>
          <w:szCs w:val="24"/>
        </w:rPr>
        <w:t xml:space="preserve">insumo para el cumplimiento de la política conozca a su cliente, </w:t>
      </w:r>
      <w:r w:rsidRPr="002A0AFE">
        <w:rPr>
          <w:rFonts w:ascii="Cambria" w:hAnsi="Cambria"/>
          <w:sz w:val="24"/>
          <w:szCs w:val="24"/>
        </w:rPr>
        <w:t>que el mismo cliente suministra a cada entidad financiera.</w:t>
      </w:r>
    </w:p>
    <w:p w14:paraId="348F4D27" w14:textId="30AC3E2E" w:rsidR="00174AF8" w:rsidRPr="002A0AFE" w:rsidRDefault="00174AF8" w:rsidP="002A0AF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Apoya la simplificación de trámites y reducción de costos, ya que el cliente no tendrá que suministrar información en cada entidad financiera, basta con autorizar su consulta.</w:t>
      </w:r>
    </w:p>
    <w:p w14:paraId="7C165036" w14:textId="77777777" w:rsidR="00174AF8" w:rsidRPr="002A0AFE" w:rsidRDefault="00174AF8" w:rsidP="002A0AF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Contribuye en la lucha contra el lavado de dinero y financiamiento del terrorismo</w:t>
      </w:r>
    </w:p>
    <w:p w14:paraId="34F37B1C" w14:textId="77777777" w:rsidR="00174AF8" w:rsidRPr="00174AF8" w:rsidRDefault="00174AF8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DCCE4A6" w14:textId="77777777" w:rsidR="006507A0" w:rsidRPr="00C5118C" w:rsidRDefault="006507A0" w:rsidP="00C5118C">
      <w:pPr>
        <w:pStyle w:val="Prrafodelista"/>
        <w:spacing w:after="0" w:line="240" w:lineRule="auto"/>
        <w:ind w:left="644"/>
        <w:jc w:val="both"/>
        <w:rPr>
          <w:rFonts w:ascii="Cambria" w:hAnsi="Cambria"/>
          <w:sz w:val="24"/>
          <w:szCs w:val="24"/>
          <w:lang w:val="es-ES"/>
        </w:rPr>
      </w:pPr>
    </w:p>
    <w:p w14:paraId="1AC99351" w14:textId="6A122618" w:rsidR="00174AF8" w:rsidRDefault="00CB6BD7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>¿</w:t>
      </w:r>
      <w:r w:rsidR="00174AF8">
        <w:rPr>
          <w:rFonts w:ascii="Cambria" w:hAnsi="Cambria"/>
          <w:b/>
          <w:bCs/>
          <w:sz w:val="24"/>
          <w:szCs w:val="24"/>
          <w:lang w:val="es-ES"/>
        </w:rPr>
        <w:t>Qué tan seguro es el CICAC, puedo confi</w:t>
      </w:r>
      <w:r w:rsidR="00303EFF">
        <w:rPr>
          <w:rFonts w:ascii="Cambria" w:hAnsi="Cambria"/>
          <w:b/>
          <w:bCs/>
          <w:sz w:val="24"/>
          <w:szCs w:val="24"/>
          <w:lang w:val="es-ES"/>
        </w:rPr>
        <w:t>ar en subir mi información en el expediente del CICAC</w:t>
      </w:r>
      <w:r w:rsidR="00174AF8">
        <w:rPr>
          <w:rFonts w:ascii="Cambria" w:hAnsi="Cambria"/>
          <w:b/>
          <w:bCs/>
          <w:sz w:val="24"/>
          <w:szCs w:val="24"/>
          <w:lang w:val="es-ES"/>
        </w:rPr>
        <w:t>?</w:t>
      </w:r>
    </w:p>
    <w:p w14:paraId="0BC0C8CC" w14:textId="77777777" w:rsidR="00CB6BD7" w:rsidRDefault="00CB6BD7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D65135B" w14:textId="1D817DB8" w:rsidR="00174AF8" w:rsidRDefault="00303EFF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>Respuesta:</w:t>
      </w:r>
    </w:p>
    <w:p w14:paraId="55791A73" w14:textId="04F73E5D" w:rsidR="00303EFF" w:rsidRDefault="00303EFF" w:rsidP="00CB6BD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 xml:space="preserve">El CICAC es un sistema que cuenta con servidores dedicados y </w:t>
      </w:r>
      <w:r w:rsidR="004474AE" w:rsidRPr="004474AE">
        <w:rPr>
          <w:rFonts w:ascii="Cambria" w:hAnsi="Cambria"/>
          <w:sz w:val="24"/>
          <w:szCs w:val="24"/>
        </w:rPr>
        <w:t>está</w:t>
      </w:r>
      <w:r w:rsidRPr="002A0AFE">
        <w:rPr>
          <w:rFonts w:ascii="Cambria" w:hAnsi="Cambria"/>
          <w:sz w:val="24"/>
          <w:szCs w:val="24"/>
        </w:rPr>
        <w:t xml:space="preserve"> bajo altos estándares y las más estrictas normas de seguridad del Banco Central de Costa Rica.</w:t>
      </w:r>
    </w:p>
    <w:p w14:paraId="2CCCD0AA" w14:textId="77777777" w:rsidR="00303EFF" w:rsidRDefault="00303EFF" w:rsidP="00CB6BD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El ingreso al CICAC sólo se puede realizar con el uso de la firma digital certificada, lo cual garantiza que solo una persona autorizada puede consultar o modificar la información.</w:t>
      </w:r>
    </w:p>
    <w:p w14:paraId="2DEC6B01" w14:textId="77777777" w:rsidR="00303EFF" w:rsidRDefault="00303EFF" w:rsidP="00CB6BD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La entidad financiera puede consultar o modificar la información relacionada con la política conozca a su cliente, sólo si cuenta con una autorización por parte del cliente.</w:t>
      </w:r>
    </w:p>
    <w:p w14:paraId="72A41A01" w14:textId="50D8F2EE" w:rsidR="00303EFF" w:rsidRPr="002A0AFE" w:rsidRDefault="00303EFF" w:rsidP="00CB6BD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El CICAC cuenta con una amplia gama de bitácoras que permite tener registros sobre accesos, modificaciones y consulta de la información por parte de los usuarios.</w:t>
      </w:r>
    </w:p>
    <w:p w14:paraId="70ECF37E" w14:textId="77777777" w:rsidR="00174AF8" w:rsidRPr="00CB6BD7" w:rsidRDefault="00174AF8" w:rsidP="00CB6BD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A3ECD24" w14:textId="711752A9" w:rsidR="00303EFF" w:rsidRDefault="00303EFF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CB6BD7">
        <w:rPr>
          <w:rFonts w:ascii="Cambria" w:hAnsi="Cambria"/>
          <w:b/>
          <w:bCs/>
          <w:sz w:val="24"/>
          <w:szCs w:val="24"/>
          <w:lang w:val="es-ES"/>
        </w:rPr>
        <w:t>¿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Como cliente que consejos puedo considerar para evitar ser </w:t>
      </w:r>
      <w:r w:rsidR="00CB6BD7">
        <w:rPr>
          <w:rFonts w:ascii="Cambria" w:hAnsi="Cambria"/>
          <w:b/>
          <w:bCs/>
          <w:sz w:val="24"/>
          <w:szCs w:val="24"/>
          <w:lang w:val="es-ES"/>
        </w:rPr>
        <w:t>víctima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 de fraude?</w:t>
      </w:r>
    </w:p>
    <w:p w14:paraId="515B25AA" w14:textId="77777777" w:rsidR="00CB6BD7" w:rsidRDefault="00CB6BD7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0A3EDA97" w14:textId="33FB78EF" w:rsidR="00303EFF" w:rsidRDefault="00303EFF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>Respuesta:</w:t>
      </w:r>
    </w:p>
    <w:p w14:paraId="3A135EC7" w14:textId="77777777" w:rsidR="00303EFF" w:rsidRPr="002A0AFE" w:rsidRDefault="00303EFF" w:rsidP="00CB6BD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 xml:space="preserve">Verifique que toda comunicación con las entidades financieras sea autentica. </w:t>
      </w:r>
    </w:p>
    <w:p w14:paraId="72C8E494" w14:textId="77777777" w:rsidR="00303EFF" w:rsidRPr="002A0AFE" w:rsidRDefault="00303EFF" w:rsidP="00CB6BD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Evite ingresar a enlaces sospechosos que le envíen por cualquier medio.</w:t>
      </w:r>
    </w:p>
    <w:p w14:paraId="5B12A568" w14:textId="6E62CD02" w:rsidR="00303EFF" w:rsidRPr="002A0AFE" w:rsidRDefault="00303EFF" w:rsidP="00CB6BD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 xml:space="preserve">Su entidad financiera NUNCA le pedirá datos como claves o información sensible que exponga la seguridad de sus datos. </w:t>
      </w:r>
    </w:p>
    <w:p w14:paraId="24C05AA3" w14:textId="3C2098F7" w:rsidR="00303EFF" w:rsidRPr="002A0AFE" w:rsidRDefault="00303EFF" w:rsidP="00CB6BD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 xml:space="preserve">Ingrese directamente a la dirección web para acceder al </w:t>
      </w:r>
      <w:r w:rsidR="00CB6BD7" w:rsidRPr="002A0AFE">
        <w:rPr>
          <w:rFonts w:ascii="Cambria" w:hAnsi="Cambria"/>
          <w:sz w:val="24"/>
          <w:szCs w:val="24"/>
        </w:rPr>
        <w:t>CICAC https://www.sugefdirecto.sugef.fi.cr/Sitio/Portal/Inicio</w:t>
      </w:r>
    </w:p>
    <w:p w14:paraId="341512A7" w14:textId="77777777" w:rsidR="00303EFF" w:rsidRPr="00303EFF" w:rsidRDefault="00303EFF" w:rsidP="00CB6BD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2A0AFE">
        <w:rPr>
          <w:rFonts w:ascii="Cambria" w:hAnsi="Cambria"/>
          <w:sz w:val="24"/>
          <w:szCs w:val="24"/>
        </w:rPr>
        <w:t>Recuerde que el ingreso al CICAC es sólo mediante firma digital certificada</w:t>
      </w:r>
      <w:r w:rsidRPr="00303EFF">
        <w:rPr>
          <w:rFonts w:ascii="Cambria" w:hAnsi="Cambria"/>
          <w:b/>
          <w:bCs/>
          <w:sz w:val="24"/>
          <w:szCs w:val="24"/>
        </w:rPr>
        <w:t xml:space="preserve">, </w:t>
      </w:r>
      <w:r w:rsidRPr="002A0AFE">
        <w:rPr>
          <w:rFonts w:ascii="Cambria" w:hAnsi="Cambria"/>
          <w:sz w:val="24"/>
          <w:szCs w:val="24"/>
        </w:rPr>
        <w:t>no requiere del uso de contraseñas.</w:t>
      </w:r>
    </w:p>
    <w:p w14:paraId="4D08A42E" w14:textId="77777777" w:rsidR="00303EFF" w:rsidRPr="00CB6BD7" w:rsidRDefault="00303EFF" w:rsidP="00CB6BD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CC53216" w14:textId="61D1D755" w:rsidR="009A11B9" w:rsidRPr="009A11B9" w:rsidRDefault="009A11B9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bookmarkStart w:id="3" w:name="_Hlk107418686"/>
      <w:r w:rsidRPr="009A11B9">
        <w:rPr>
          <w:rFonts w:ascii="Cambria" w:hAnsi="Cambria"/>
          <w:b/>
          <w:bCs/>
          <w:sz w:val="24"/>
          <w:szCs w:val="24"/>
          <w:lang w:val="es-ES"/>
        </w:rPr>
        <w:t>¿Dónde puedo consultar información relacionada con el CICAC?</w:t>
      </w:r>
    </w:p>
    <w:p w14:paraId="06DE4799" w14:textId="6A4C5F6E" w:rsidR="009A11B9" w:rsidRDefault="009A11B9" w:rsidP="002A0AFE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0EF5E5FE" w14:textId="539FEE89" w:rsidR="009A11B9" w:rsidRPr="009A11B9" w:rsidRDefault="009A11B9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9A11B9">
        <w:rPr>
          <w:rFonts w:ascii="Cambria" w:hAnsi="Cambria"/>
          <w:b/>
          <w:bCs/>
          <w:sz w:val="24"/>
          <w:szCs w:val="24"/>
          <w:lang w:val="es-ES"/>
        </w:rPr>
        <w:t>Respuesta:</w:t>
      </w:r>
      <w:r>
        <w:rPr>
          <w:rFonts w:ascii="Cambria" w:hAnsi="Cambria"/>
          <w:sz w:val="24"/>
          <w:szCs w:val="24"/>
          <w:lang w:val="es-ES"/>
        </w:rPr>
        <w:t xml:space="preserve"> En la página de la SUGEF </w:t>
      </w:r>
      <w:hyperlink r:id="rId8" w:history="1">
        <w:r w:rsidRPr="00AB5502">
          <w:rPr>
            <w:rStyle w:val="Hipervnculo"/>
            <w:rFonts w:ascii="Cambria" w:hAnsi="Cambria"/>
            <w:sz w:val="24"/>
            <w:szCs w:val="24"/>
            <w:lang w:val="es-ES"/>
          </w:rPr>
          <w:t>www.sugef.fi.cr</w:t>
        </w:r>
      </w:hyperlink>
      <w:r>
        <w:rPr>
          <w:rFonts w:ascii="Cambria" w:hAnsi="Cambria"/>
          <w:sz w:val="24"/>
          <w:szCs w:val="24"/>
          <w:lang w:val="es-ES"/>
        </w:rPr>
        <w:t xml:space="preserve"> en la ruta (Trámites y Servicios/CICAC/Público en general) puede encontrar información general sobre el </w:t>
      </w:r>
      <w:r>
        <w:rPr>
          <w:rFonts w:ascii="Cambria" w:hAnsi="Cambria"/>
          <w:sz w:val="24"/>
          <w:szCs w:val="24"/>
          <w:lang w:val="es-ES"/>
        </w:rPr>
        <w:lastRenderedPageBreak/>
        <w:t xml:space="preserve">CICAC, videos con la demostración de los procesos que puede realizar en CICAC y boletines informativos. </w:t>
      </w:r>
    </w:p>
    <w:bookmarkEnd w:id="3"/>
    <w:p w14:paraId="26847BFF" w14:textId="787EFA36" w:rsidR="00532474" w:rsidRDefault="00532474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3A51DBCF" w14:textId="77777777" w:rsidR="00CB6BD7" w:rsidRPr="002C0D32" w:rsidRDefault="00CB6BD7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6EC76628" w14:textId="2E8B1F29" w:rsidR="00532474" w:rsidRPr="00C710F2" w:rsidRDefault="00532474" w:rsidP="002A0AFE">
      <w:pPr>
        <w:pStyle w:val="Ttulo1"/>
        <w:numPr>
          <w:ilvl w:val="0"/>
          <w:numId w:val="11"/>
        </w:numPr>
        <w:spacing w:before="0" w:line="240" w:lineRule="auto"/>
        <w:contextualSpacing/>
        <w:rPr>
          <w:rFonts w:ascii="Cambria" w:hAnsi="Cambria"/>
          <w:b/>
          <w:bCs/>
          <w:color w:val="auto"/>
          <w:lang w:val="es-ES"/>
        </w:rPr>
      </w:pPr>
      <w:bookmarkStart w:id="4" w:name="_Toc107417060"/>
      <w:r w:rsidRPr="00C710F2">
        <w:rPr>
          <w:rFonts w:ascii="Cambria" w:hAnsi="Cambria"/>
          <w:b/>
          <w:bCs/>
          <w:color w:val="auto"/>
          <w:lang w:val="es-ES"/>
        </w:rPr>
        <w:t>Autorizaciones y Consentimiento Informado</w:t>
      </w:r>
      <w:bookmarkEnd w:id="4"/>
    </w:p>
    <w:p w14:paraId="2A37434F" w14:textId="77777777" w:rsidR="002C0D32" w:rsidRPr="002C0D32" w:rsidRDefault="002C0D32" w:rsidP="002A0AFE">
      <w:pPr>
        <w:spacing w:after="0" w:line="240" w:lineRule="auto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72A70936" w14:textId="4605BB74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¿Qué requieren los sujetos obligados para poder consultar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mi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 información? </w:t>
      </w:r>
    </w:p>
    <w:p w14:paraId="139547EF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64692CD1" w14:textId="4AEB163D" w:rsidR="00532474" w:rsidRPr="002C0D32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517179" w:rsidRPr="002C0D32">
        <w:rPr>
          <w:rFonts w:ascii="Cambria" w:hAnsi="Cambria"/>
          <w:sz w:val="24"/>
          <w:szCs w:val="24"/>
          <w:lang w:val="es-ES"/>
        </w:rPr>
        <w:t xml:space="preserve">Los sujetos obligados requieren </w:t>
      </w:r>
      <w:r w:rsidR="004628A0">
        <w:rPr>
          <w:rFonts w:ascii="Cambria" w:hAnsi="Cambria"/>
          <w:sz w:val="24"/>
          <w:szCs w:val="24"/>
          <w:lang w:val="es-ES"/>
        </w:rPr>
        <w:t xml:space="preserve">de 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previo </w:t>
      </w:r>
      <w:r w:rsidR="00517179" w:rsidRPr="002C0D32">
        <w:rPr>
          <w:rFonts w:ascii="Cambria" w:hAnsi="Cambria"/>
          <w:sz w:val="24"/>
          <w:szCs w:val="24"/>
          <w:lang w:val="es-ES"/>
        </w:rPr>
        <w:t xml:space="preserve">una autorización por parte </w:t>
      </w:r>
      <w:r w:rsidR="00B93521">
        <w:rPr>
          <w:rFonts w:ascii="Cambria" w:hAnsi="Cambria"/>
          <w:sz w:val="24"/>
          <w:szCs w:val="24"/>
          <w:lang w:val="es-ES"/>
        </w:rPr>
        <w:t xml:space="preserve">del 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cliente para poder consultar la información contenida en el CICAC. Los temas de autorización se encuentran normados en el artículo 15 “Autorizaciones” del Acuerdo CONASSIF 11-21 y en la Sección V “Autorizaciones” de los Lineamientos operativos para el funcionamiento, acceso y uso del CICAC. </w:t>
      </w:r>
    </w:p>
    <w:p w14:paraId="6BA74B68" w14:textId="77777777" w:rsidR="00511084" w:rsidRPr="002C0D32" w:rsidRDefault="00511084" w:rsidP="002A0AFE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0D19400D" w14:textId="64735B97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¿Puede el sujeto obligado consultar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mi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 información sin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 xml:space="preserve">que le haya 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>autoriza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do</w:t>
      </w:r>
      <w:r w:rsidR="00B93521">
        <w:rPr>
          <w:rFonts w:ascii="Cambria" w:hAnsi="Cambria"/>
          <w:b/>
          <w:bCs/>
          <w:sz w:val="24"/>
          <w:szCs w:val="24"/>
          <w:lang w:val="es-ES"/>
        </w:rPr>
        <w:t xml:space="preserve"> a hacerlo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? </w:t>
      </w:r>
    </w:p>
    <w:p w14:paraId="4000F6D9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7536CB30" w14:textId="1C4D96FC" w:rsidR="00532474" w:rsidRPr="002C0D32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>Respuesta:</w:t>
      </w:r>
      <w:r w:rsidR="00B93521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B93521" w:rsidRPr="00B93521">
        <w:rPr>
          <w:rFonts w:ascii="Cambria" w:hAnsi="Cambria"/>
          <w:sz w:val="24"/>
          <w:szCs w:val="24"/>
          <w:lang w:val="es-ES"/>
        </w:rPr>
        <w:t>No,</w:t>
      </w:r>
      <w:r w:rsidR="00B93521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B93521" w:rsidRPr="00B93521">
        <w:rPr>
          <w:rFonts w:ascii="Cambria" w:hAnsi="Cambria"/>
          <w:sz w:val="24"/>
          <w:szCs w:val="24"/>
          <w:lang w:val="es-ES"/>
        </w:rPr>
        <w:t xml:space="preserve">el </w:t>
      </w:r>
      <w:r w:rsidR="00561990" w:rsidRPr="002C0D32">
        <w:rPr>
          <w:rFonts w:ascii="Cambria" w:hAnsi="Cambria"/>
          <w:sz w:val="24"/>
          <w:szCs w:val="24"/>
          <w:lang w:val="es-ES"/>
        </w:rPr>
        <w:t>sujeto obligado no puede consultar la información de un cliente sino cuenta con una autorización del cliente</w:t>
      </w:r>
      <w:r w:rsidR="004628A0">
        <w:rPr>
          <w:rFonts w:ascii="Cambria" w:hAnsi="Cambria"/>
          <w:sz w:val="24"/>
          <w:szCs w:val="24"/>
          <w:lang w:val="es-ES"/>
        </w:rPr>
        <w:t xml:space="preserve"> 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activa en el CICAC, el sistema CICAC cuenta con las validaciones correspondientes. </w:t>
      </w:r>
      <w:r w:rsidR="004628A0">
        <w:rPr>
          <w:rFonts w:ascii="Cambria" w:hAnsi="Cambria"/>
          <w:sz w:val="24"/>
          <w:szCs w:val="24"/>
          <w:lang w:val="es-ES"/>
        </w:rPr>
        <w:t xml:space="preserve">Esto se encuentra normado en el artículo 15 “Autorizaciones” del Acuerdo CONASSIF 11-21. </w:t>
      </w:r>
    </w:p>
    <w:p w14:paraId="5BC31E84" w14:textId="77777777" w:rsidR="00532474" w:rsidRPr="002C0D32" w:rsidRDefault="00532474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1CBAE7B3" w14:textId="11FB82CF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¿Cada vez que el sujeto obligado consulta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mi información en el CICAC, debo firma la autorización de consulta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? </w:t>
      </w:r>
    </w:p>
    <w:p w14:paraId="383C956A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6D3AA739" w14:textId="07589705" w:rsidR="00B93521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B93521" w:rsidRPr="009A11B9">
        <w:rPr>
          <w:rFonts w:ascii="Cambria" w:hAnsi="Cambria"/>
          <w:sz w:val="24"/>
          <w:szCs w:val="24"/>
          <w:lang w:val="es-ES"/>
        </w:rPr>
        <w:t>No, en el caso de que la</w:t>
      </w:r>
      <w:r w:rsidR="00B93521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autorización de consulta </w:t>
      </w:r>
      <w:r w:rsidR="00B93521">
        <w:rPr>
          <w:rFonts w:ascii="Cambria" w:hAnsi="Cambria"/>
          <w:sz w:val="24"/>
          <w:szCs w:val="24"/>
          <w:lang w:val="es-ES"/>
        </w:rPr>
        <w:t>brindada a la entidad financiera hay</w:t>
      </w:r>
      <w:r w:rsidR="00C71965">
        <w:rPr>
          <w:rFonts w:ascii="Cambria" w:hAnsi="Cambria"/>
          <w:sz w:val="24"/>
          <w:szCs w:val="24"/>
          <w:lang w:val="es-ES"/>
        </w:rPr>
        <w:t>a</w:t>
      </w:r>
      <w:r w:rsidR="00B93521">
        <w:rPr>
          <w:rFonts w:ascii="Cambria" w:hAnsi="Cambria"/>
          <w:sz w:val="24"/>
          <w:szCs w:val="24"/>
          <w:lang w:val="es-ES"/>
        </w:rPr>
        <w:t xml:space="preserve"> sido </w:t>
      </w:r>
      <w:r w:rsidR="00561990" w:rsidRPr="002C0D32">
        <w:rPr>
          <w:rFonts w:ascii="Cambria" w:hAnsi="Cambria"/>
          <w:sz w:val="24"/>
          <w:szCs w:val="24"/>
          <w:lang w:val="es-ES"/>
        </w:rPr>
        <w:t>por tiempo indefinido, no requiere de una autorización adicional cada vez que la entidad desee consultar</w:t>
      </w:r>
      <w:r w:rsidR="00C71965">
        <w:rPr>
          <w:rFonts w:ascii="Cambria" w:hAnsi="Cambria"/>
          <w:sz w:val="24"/>
          <w:szCs w:val="24"/>
          <w:lang w:val="es-ES"/>
        </w:rPr>
        <w:t xml:space="preserve"> su información</w:t>
      </w:r>
      <w:r w:rsidR="00B93521">
        <w:rPr>
          <w:rFonts w:ascii="Cambria" w:hAnsi="Cambria"/>
          <w:sz w:val="24"/>
          <w:szCs w:val="24"/>
          <w:lang w:val="es-ES"/>
        </w:rPr>
        <w:t xml:space="preserve">. </w:t>
      </w:r>
    </w:p>
    <w:p w14:paraId="4D0526E8" w14:textId="77777777" w:rsidR="00B93521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40C02497" w14:textId="1C2030FB" w:rsidR="00532474" w:rsidRPr="002C0D32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C</w:t>
      </w:r>
      <w:r w:rsidR="00561990" w:rsidRPr="002C0D32">
        <w:rPr>
          <w:rFonts w:ascii="Cambria" w:hAnsi="Cambria"/>
          <w:sz w:val="24"/>
          <w:szCs w:val="24"/>
          <w:lang w:val="es-ES"/>
        </w:rPr>
        <w:t>aso contrario</w:t>
      </w:r>
      <w:r>
        <w:rPr>
          <w:rFonts w:ascii="Cambria" w:hAnsi="Cambria"/>
          <w:sz w:val="24"/>
          <w:szCs w:val="24"/>
          <w:lang w:val="es-ES"/>
        </w:rPr>
        <w:t>, si la autorización de consulta que brindó fue una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 autorización por plazo definido (30 o 90 días), </w:t>
      </w:r>
      <w:r w:rsidR="00511084">
        <w:rPr>
          <w:rFonts w:ascii="Cambria" w:hAnsi="Cambria"/>
          <w:sz w:val="24"/>
          <w:szCs w:val="24"/>
          <w:lang w:val="es-ES"/>
        </w:rPr>
        <w:t>y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 una vez transcurrido este plazo </w:t>
      </w:r>
      <w:r w:rsidR="00511084">
        <w:rPr>
          <w:rFonts w:ascii="Cambria" w:hAnsi="Cambria"/>
          <w:sz w:val="24"/>
          <w:szCs w:val="24"/>
          <w:lang w:val="es-ES"/>
        </w:rPr>
        <w:t xml:space="preserve">el sistema 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cancela </w:t>
      </w:r>
      <w:r w:rsidR="00511084">
        <w:rPr>
          <w:rFonts w:ascii="Cambria" w:hAnsi="Cambria"/>
          <w:sz w:val="24"/>
          <w:szCs w:val="24"/>
          <w:lang w:val="es-ES"/>
        </w:rPr>
        <w:t xml:space="preserve">de manera automática </w:t>
      </w:r>
      <w:r w:rsidR="00561990" w:rsidRPr="002C0D32">
        <w:rPr>
          <w:rFonts w:ascii="Cambria" w:hAnsi="Cambria"/>
          <w:sz w:val="24"/>
          <w:szCs w:val="24"/>
          <w:lang w:val="es-ES"/>
        </w:rPr>
        <w:t>la autorización de consulta y a partir de</w:t>
      </w:r>
      <w:r w:rsidR="004628A0">
        <w:rPr>
          <w:rFonts w:ascii="Cambria" w:hAnsi="Cambria"/>
          <w:sz w:val="24"/>
          <w:szCs w:val="24"/>
          <w:lang w:val="es-ES"/>
        </w:rPr>
        <w:t xml:space="preserve"> e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se momento la entidad financiera no puede </w:t>
      </w:r>
      <w:r>
        <w:rPr>
          <w:rFonts w:ascii="Cambria" w:hAnsi="Cambria"/>
          <w:sz w:val="24"/>
          <w:szCs w:val="24"/>
          <w:lang w:val="es-ES"/>
        </w:rPr>
        <w:t>consultar su información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. </w:t>
      </w:r>
      <w:r w:rsidR="004628A0">
        <w:rPr>
          <w:rFonts w:ascii="Cambria" w:hAnsi="Cambria"/>
          <w:sz w:val="24"/>
          <w:szCs w:val="24"/>
          <w:lang w:val="es-ES"/>
        </w:rPr>
        <w:t>Esto se encuentra normado en los Lineamientos operativos para el funcionamiento, acceso y uso del CICAC, en la Sección V “Autorizaciones”, apartado B “Plazos de las autorizaciones”.</w:t>
      </w:r>
    </w:p>
    <w:p w14:paraId="33BCEDF6" w14:textId="77777777" w:rsidR="00561990" w:rsidRPr="002C0D32" w:rsidRDefault="00561990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957819D" w14:textId="31E260B1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¿Cuándo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debo brindar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 una autorización por tiempo definido (30 o 90 días) y c</w:t>
      </w:r>
      <w:r w:rsidR="005C19C0" w:rsidRPr="00541989">
        <w:rPr>
          <w:rFonts w:ascii="Cambria" w:hAnsi="Cambria"/>
          <w:b/>
          <w:bCs/>
          <w:sz w:val="24"/>
          <w:szCs w:val="24"/>
          <w:lang w:val="es-ES"/>
        </w:rPr>
        <w:t>uá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ndo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debo brindar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 una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 xml:space="preserve">autorización 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>por tiempo indefinido?</w:t>
      </w: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</w:p>
    <w:p w14:paraId="43890FB6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u w:val="single"/>
          <w:lang w:val="es-ES"/>
        </w:rPr>
      </w:pPr>
    </w:p>
    <w:p w14:paraId="6029AD09" w14:textId="4CEDF4AD" w:rsidR="00532474" w:rsidRPr="002C0D32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u w:val="single"/>
          <w:lang w:val="es-ES"/>
        </w:rPr>
        <w:t>Respuesta:</w:t>
      </w:r>
      <w:r w:rsidRPr="002C0D32">
        <w:rPr>
          <w:rFonts w:ascii="Cambria" w:hAnsi="Cambria"/>
          <w:sz w:val="24"/>
          <w:szCs w:val="24"/>
          <w:lang w:val="es-ES"/>
        </w:rPr>
        <w:t xml:space="preserve"> </w:t>
      </w:r>
      <w:r w:rsidR="00561990" w:rsidRPr="002C0D32">
        <w:rPr>
          <w:rFonts w:ascii="Cambria" w:hAnsi="Cambria"/>
          <w:sz w:val="24"/>
          <w:szCs w:val="24"/>
          <w:lang w:val="es-ES"/>
        </w:rPr>
        <w:t>Según lo establecido en la Sección V “Autorizaciones”, apartado B “Plazos de las autorizaciones”, de los Lineamientos operativos para el funcionamiento, acceso y uso del CICAC,</w:t>
      </w:r>
      <w:r w:rsidR="00B93521">
        <w:rPr>
          <w:rFonts w:ascii="Cambria" w:hAnsi="Cambria"/>
          <w:sz w:val="24"/>
          <w:szCs w:val="24"/>
          <w:lang w:val="es-ES"/>
        </w:rPr>
        <w:t xml:space="preserve"> los plazos de las autorizaciones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 se utilizan de la siguiente forma: </w:t>
      </w:r>
    </w:p>
    <w:p w14:paraId="27179FD1" w14:textId="77777777" w:rsidR="004628A0" w:rsidRDefault="004628A0" w:rsidP="002A0AF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mbria" w:hAnsi="Cambria" w:cs="TimesNewRoman"/>
          <w:sz w:val="24"/>
          <w:szCs w:val="24"/>
        </w:rPr>
      </w:pPr>
    </w:p>
    <w:p w14:paraId="6D61808D" w14:textId="18D10E20" w:rsidR="00561990" w:rsidRPr="002C0D32" w:rsidRDefault="00561990" w:rsidP="002A0AF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Cambria" w:hAnsi="Cambria" w:cs="TimesNewRoman"/>
          <w:sz w:val="24"/>
          <w:szCs w:val="24"/>
        </w:rPr>
      </w:pPr>
      <w:r w:rsidRPr="002C0D32">
        <w:rPr>
          <w:rFonts w:ascii="Cambria" w:hAnsi="Cambria" w:cs="TimesNewRoman"/>
          <w:sz w:val="24"/>
          <w:szCs w:val="24"/>
        </w:rPr>
        <w:lastRenderedPageBreak/>
        <w:t xml:space="preserve">i) 30 días naturales: para trámites sencillos cuando la persona física o jurídica </w:t>
      </w:r>
      <w:r w:rsidRPr="002C0D32">
        <w:rPr>
          <w:rFonts w:ascii="Cambria" w:hAnsi="Cambria" w:cs="TimesNewRoman"/>
          <w:b/>
          <w:bCs/>
          <w:sz w:val="24"/>
          <w:szCs w:val="24"/>
          <w:u w:val="single"/>
        </w:rPr>
        <w:t>aún no se encuentra vinculada como cliente en el sujeto obligado</w:t>
      </w:r>
      <w:r w:rsidRPr="002C0D32">
        <w:rPr>
          <w:rFonts w:ascii="Cambria" w:hAnsi="Cambria" w:cs="TimesNewRoman"/>
          <w:sz w:val="24"/>
          <w:szCs w:val="24"/>
        </w:rPr>
        <w:t>,</w:t>
      </w:r>
    </w:p>
    <w:p w14:paraId="60633337" w14:textId="6DB7A3E9" w:rsidR="00561990" w:rsidRPr="002C0D32" w:rsidRDefault="00561990" w:rsidP="002A0AF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Cambria" w:hAnsi="Cambria" w:cs="TimesNewRoman"/>
          <w:sz w:val="24"/>
          <w:szCs w:val="24"/>
        </w:rPr>
      </w:pPr>
      <w:r w:rsidRPr="002C0D32">
        <w:rPr>
          <w:rFonts w:ascii="Cambria" w:hAnsi="Cambria" w:cs="TimesNewRoman"/>
          <w:sz w:val="24"/>
          <w:szCs w:val="24"/>
        </w:rPr>
        <w:t xml:space="preserve">ii) 90 días naturales: para trámites complejos cuando la persona física o </w:t>
      </w:r>
      <w:r w:rsidRPr="002C0D32">
        <w:rPr>
          <w:rFonts w:ascii="Cambria" w:hAnsi="Cambria" w:cs="TimesNewRoman"/>
          <w:b/>
          <w:bCs/>
          <w:sz w:val="24"/>
          <w:szCs w:val="24"/>
          <w:u w:val="single"/>
        </w:rPr>
        <w:t>jurídica aún no se encuentra vinculada como cliente en el sujeto obligado</w:t>
      </w:r>
      <w:r w:rsidRPr="002C0D32">
        <w:rPr>
          <w:rFonts w:ascii="Cambria" w:hAnsi="Cambria" w:cs="TimesNewRoman"/>
          <w:sz w:val="24"/>
          <w:szCs w:val="24"/>
        </w:rPr>
        <w:t>,</w:t>
      </w:r>
    </w:p>
    <w:p w14:paraId="00A5F4C8" w14:textId="4E38D6E1" w:rsidR="00561990" w:rsidRPr="002C0D32" w:rsidRDefault="00561990" w:rsidP="002A0AFE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Cambria" w:hAnsi="Cambria" w:cs="TimesNewRoman"/>
          <w:sz w:val="24"/>
          <w:szCs w:val="24"/>
        </w:rPr>
      </w:pPr>
      <w:r w:rsidRPr="002C0D32">
        <w:rPr>
          <w:rFonts w:ascii="Cambria" w:hAnsi="Cambria" w:cs="TimesNewRoman"/>
          <w:sz w:val="24"/>
          <w:szCs w:val="24"/>
        </w:rPr>
        <w:t xml:space="preserve">iii) plazo indefinido: </w:t>
      </w:r>
      <w:r w:rsidRPr="002C0D32">
        <w:rPr>
          <w:rFonts w:ascii="Cambria" w:hAnsi="Cambria" w:cs="TimesNewRoman"/>
          <w:b/>
          <w:bCs/>
          <w:sz w:val="24"/>
          <w:szCs w:val="24"/>
          <w:u w:val="single"/>
        </w:rPr>
        <w:t>cuando exista una relación comercial entre el cliente y el sujeto obligado</w:t>
      </w:r>
      <w:r w:rsidRPr="002C0D32">
        <w:rPr>
          <w:rFonts w:ascii="Cambria" w:hAnsi="Cambria" w:cs="TimesNewRoman"/>
          <w:sz w:val="24"/>
          <w:szCs w:val="24"/>
        </w:rPr>
        <w:t>.</w:t>
      </w:r>
    </w:p>
    <w:p w14:paraId="4FF38817" w14:textId="77777777" w:rsidR="00532474" w:rsidRPr="002C0D32" w:rsidRDefault="00532474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3D1437BB" w14:textId="2BC4DAE0" w:rsidR="00532474" w:rsidRPr="00541989" w:rsidRDefault="00532474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>¿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Qué es el consentimiento informado? ¿C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uándo se genera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 xml:space="preserve">este 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>consentimiento informado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 xml:space="preserve">? ¿Cómo debo firmarlo? </w:t>
      </w: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</w:p>
    <w:p w14:paraId="565C03AC" w14:textId="77777777" w:rsidR="002C0D32" w:rsidRDefault="002C0D32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5EC4996C" w14:textId="659218D5" w:rsidR="00B93521" w:rsidRDefault="00532474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B93521" w:rsidRPr="00B93521">
        <w:rPr>
          <w:rFonts w:ascii="Cambria" w:hAnsi="Cambria"/>
          <w:sz w:val="24"/>
          <w:szCs w:val="24"/>
          <w:lang w:val="es-ES"/>
        </w:rPr>
        <w:t xml:space="preserve">Es toda manifestación de voluntad expresa, libre, inequívoca, informada y específica que se otorgue por escrito o en medio digital para un fin determinado, mediante la cual el titular de los datos personales o su representante consienta el tratamiento de sus datos personales. </w:t>
      </w:r>
    </w:p>
    <w:p w14:paraId="7C25A3D3" w14:textId="77777777" w:rsidR="00B93521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0D67D1A6" w14:textId="78B29033" w:rsidR="00532474" w:rsidRPr="002C0D32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E</w:t>
      </w:r>
      <w:r w:rsidR="00561990" w:rsidRPr="002C0D32">
        <w:rPr>
          <w:rFonts w:ascii="Cambria" w:hAnsi="Cambria"/>
          <w:sz w:val="24"/>
          <w:szCs w:val="24"/>
          <w:lang w:val="es-ES"/>
        </w:rPr>
        <w:t>l consentimiento informado se gener</w:t>
      </w:r>
      <w:r w:rsidR="004E6982" w:rsidRPr="002C0D32">
        <w:rPr>
          <w:rFonts w:ascii="Cambria" w:hAnsi="Cambria"/>
          <w:sz w:val="24"/>
          <w:szCs w:val="24"/>
          <w:lang w:val="es-ES"/>
        </w:rPr>
        <w:t>a</w:t>
      </w:r>
      <w:r w:rsidR="00561990" w:rsidRPr="002C0D32">
        <w:rPr>
          <w:rFonts w:ascii="Cambria" w:hAnsi="Cambria"/>
          <w:sz w:val="24"/>
          <w:szCs w:val="24"/>
          <w:lang w:val="es-ES"/>
        </w:rPr>
        <w:t xml:space="preserve"> cuando el cliente brinde la primera autorización de consulta en el CICAC</w:t>
      </w:r>
      <w:r w:rsidR="004E6982" w:rsidRPr="002C0D32">
        <w:rPr>
          <w:rFonts w:ascii="Cambria" w:hAnsi="Cambria"/>
          <w:sz w:val="24"/>
          <w:szCs w:val="24"/>
          <w:lang w:val="es-ES"/>
        </w:rPr>
        <w:t xml:space="preserve">. </w:t>
      </w:r>
      <w:r w:rsidR="004628A0">
        <w:rPr>
          <w:rFonts w:ascii="Cambria" w:hAnsi="Cambria"/>
          <w:sz w:val="24"/>
          <w:szCs w:val="24"/>
          <w:lang w:val="es-ES"/>
        </w:rPr>
        <w:t>Esto se establece en el artículo 15 “Autorizaciones” del Acuerdo CONASSIF 11-21.</w:t>
      </w:r>
    </w:p>
    <w:p w14:paraId="306499A6" w14:textId="77777777" w:rsidR="002C0D32" w:rsidRDefault="002C0D32" w:rsidP="002A0AFE">
      <w:pPr>
        <w:spacing w:after="0" w:line="240" w:lineRule="auto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61D20EE" w14:textId="219F33DC" w:rsidR="00B93521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Este documento puede ser firmado mediante dos tipos de firmas únicamente: i) Firma m</w:t>
      </w:r>
      <w:r w:rsidR="004E6982" w:rsidRPr="002C0D32">
        <w:rPr>
          <w:rFonts w:ascii="Cambria" w:hAnsi="Cambria"/>
          <w:sz w:val="24"/>
          <w:szCs w:val="24"/>
          <w:lang w:val="es-ES"/>
        </w:rPr>
        <w:t>anuscrita</w:t>
      </w:r>
      <w:r>
        <w:rPr>
          <w:rFonts w:ascii="Cambria" w:hAnsi="Cambria"/>
          <w:sz w:val="24"/>
          <w:szCs w:val="24"/>
          <w:lang w:val="es-ES"/>
        </w:rPr>
        <w:t xml:space="preserve">; y ii) </w:t>
      </w:r>
      <w:r w:rsidR="00C71965">
        <w:rPr>
          <w:rFonts w:ascii="Cambria" w:hAnsi="Cambria"/>
          <w:sz w:val="24"/>
          <w:szCs w:val="24"/>
          <w:lang w:val="es-ES"/>
        </w:rPr>
        <w:t>F</w:t>
      </w:r>
      <w:r w:rsidR="004E6982" w:rsidRPr="002C0D32">
        <w:rPr>
          <w:rFonts w:ascii="Cambria" w:hAnsi="Cambria"/>
          <w:sz w:val="24"/>
          <w:szCs w:val="24"/>
          <w:lang w:val="es-ES"/>
        </w:rPr>
        <w:t xml:space="preserve">irma digital certificada emitida por el Banco Central de Costa Rica. </w:t>
      </w:r>
    </w:p>
    <w:p w14:paraId="1D69A8AA" w14:textId="77777777" w:rsidR="00B93521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79A08B59" w14:textId="6486F6C5" w:rsidR="00532474" w:rsidRPr="002C0D32" w:rsidRDefault="00B9352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Lo anterior, se e</w:t>
      </w:r>
      <w:r w:rsidR="005C19C0">
        <w:rPr>
          <w:rFonts w:ascii="Cambria" w:hAnsi="Cambria"/>
          <w:sz w:val="24"/>
          <w:szCs w:val="24"/>
          <w:lang w:val="es-ES"/>
        </w:rPr>
        <w:t xml:space="preserve">ncuentra normado en los Lineamientos operativos para el funcionamiento, acceso y uso del CICAC, en la </w:t>
      </w:r>
      <w:r w:rsidR="005C19C0" w:rsidRPr="002C0D32">
        <w:rPr>
          <w:rFonts w:ascii="Cambria" w:hAnsi="Cambria"/>
          <w:sz w:val="24"/>
          <w:szCs w:val="24"/>
          <w:lang w:val="es-ES"/>
        </w:rPr>
        <w:t xml:space="preserve">Sección V “Autorizaciones”, apartado </w:t>
      </w:r>
      <w:r w:rsidR="005C19C0">
        <w:rPr>
          <w:rFonts w:ascii="Cambria" w:hAnsi="Cambria"/>
          <w:sz w:val="24"/>
          <w:szCs w:val="24"/>
          <w:lang w:val="es-ES"/>
        </w:rPr>
        <w:t>C</w:t>
      </w:r>
      <w:r w:rsidR="005C19C0" w:rsidRPr="002C0D32">
        <w:rPr>
          <w:rFonts w:ascii="Cambria" w:hAnsi="Cambria"/>
          <w:sz w:val="24"/>
          <w:szCs w:val="24"/>
          <w:lang w:val="es-ES"/>
        </w:rPr>
        <w:t xml:space="preserve"> “</w:t>
      </w:r>
      <w:r w:rsidR="005C19C0">
        <w:rPr>
          <w:rFonts w:ascii="Cambria" w:hAnsi="Cambria"/>
          <w:sz w:val="24"/>
          <w:szCs w:val="24"/>
          <w:lang w:val="es-ES"/>
        </w:rPr>
        <w:t>Tipos de verificación de la autorización</w:t>
      </w:r>
      <w:r w:rsidR="005C19C0" w:rsidRPr="002C0D32">
        <w:rPr>
          <w:rFonts w:ascii="Cambria" w:hAnsi="Cambria"/>
          <w:sz w:val="24"/>
          <w:szCs w:val="24"/>
          <w:lang w:val="es-ES"/>
        </w:rPr>
        <w:t>”</w:t>
      </w:r>
      <w:r w:rsidR="005C19C0">
        <w:rPr>
          <w:rFonts w:ascii="Cambria" w:hAnsi="Cambria"/>
          <w:sz w:val="24"/>
          <w:szCs w:val="24"/>
          <w:lang w:val="es-ES"/>
        </w:rPr>
        <w:t>.</w:t>
      </w:r>
    </w:p>
    <w:p w14:paraId="11A755D2" w14:textId="79ECF3A7" w:rsidR="00C83E41" w:rsidRPr="002C0D32" w:rsidRDefault="00C83E41" w:rsidP="002A0AFE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4E6C7C7D" w14:textId="5FD03EC9" w:rsidR="00CF7901" w:rsidRPr="00144CC0" w:rsidRDefault="00CF7901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  <w:r w:rsidRPr="00144CC0">
        <w:rPr>
          <w:rFonts w:ascii="Cambria" w:hAnsi="Cambria"/>
          <w:b/>
          <w:bCs/>
          <w:sz w:val="24"/>
          <w:szCs w:val="24"/>
          <w:lang w:val="es-ES"/>
        </w:rPr>
        <w:t>¿</w:t>
      </w:r>
      <w:r w:rsidR="00021F76" w:rsidRPr="00144CC0">
        <w:rPr>
          <w:rFonts w:ascii="Cambria" w:hAnsi="Cambria"/>
          <w:b/>
          <w:bCs/>
          <w:sz w:val="24"/>
          <w:szCs w:val="24"/>
          <w:lang w:val="es-ES"/>
        </w:rPr>
        <w:t xml:space="preserve">Debo </w:t>
      </w:r>
      <w:r w:rsidR="008A19C3" w:rsidRPr="00144CC0">
        <w:rPr>
          <w:rFonts w:ascii="Cambria" w:hAnsi="Cambria"/>
          <w:b/>
          <w:bCs/>
          <w:sz w:val="24"/>
          <w:szCs w:val="24"/>
          <w:lang w:val="es-ES"/>
        </w:rPr>
        <w:t xml:space="preserve">como cliente de una entidad financiera </w:t>
      </w:r>
      <w:r w:rsidRPr="00144CC0">
        <w:rPr>
          <w:rFonts w:ascii="Cambria" w:hAnsi="Cambria"/>
          <w:b/>
          <w:bCs/>
          <w:sz w:val="24"/>
          <w:szCs w:val="24"/>
          <w:lang w:val="es-ES"/>
        </w:rPr>
        <w:t>autorizar</w:t>
      </w:r>
      <w:r w:rsidR="00021F76" w:rsidRPr="00144CC0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Pr="00144CC0">
        <w:rPr>
          <w:rFonts w:ascii="Cambria" w:hAnsi="Cambria"/>
          <w:b/>
          <w:bCs/>
          <w:sz w:val="24"/>
          <w:szCs w:val="24"/>
          <w:lang w:val="es-ES"/>
        </w:rPr>
        <w:t xml:space="preserve">la inclusión </w:t>
      </w:r>
      <w:r w:rsidR="00BF4832" w:rsidRPr="00144CC0">
        <w:rPr>
          <w:rFonts w:ascii="Cambria" w:hAnsi="Cambria"/>
          <w:b/>
          <w:bCs/>
          <w:sz w:val="24"/>
          <w:szCs w:val="24"/>
          <w:lang w:val="es-ES"/>
        </w:rPr>
        <w:t xml:space="preserve">y </w:t>
      </w:r>
      <w:r w:rsidR="00BF4832" w:rsidRPr="00144CC0">
        <w:rPr>
          <w:rFonts w:ascii="Cambria" w:hAnsi="Cambria"/>
          <w:b/>
          <w:bCs/>
          <w:sz w:val="24"/>
          <w:szCs w:val="24"/>
          <w:lang w:val="es-ES"/>
        </w:rPr>
        <w:t xml:space="preserve">consulta </w:t>
      </w:r>
      <w:r w:rsidRPr="00144CC0">
        <w:rPr>
          <w:rFonts w:ascii="Cambria" w:hAnsi="Cambria"/>
          <w:b/>
          <w:bCs/>
          <w:sz w:val="24"/>
          <w:szCs w:val="24"/>
          <w:lang w:val="es-ES"/>
        </w:rPr>
        <w:t xml:space="preserve">de </w:t>
      </w:r>
      <w:r w:rsidR="008A19C3" w:rsidRPr="00144CC0">
        <w:rPr>
          <w:rFonts w:ascii="Cambria" w:hAnsi="Cambria"/>
          <w:b/>
          <w:bCs/>
          <w:sz w:val="24"/>
          <w:szCs w:val="24"/>
          <w:lang w:val="es-ES"/>
        </w:rPr>
        <w:t>mi</w:t>
      </w:r>
      <w:r w:rsidRPr="00144CC0">
        <w:rPr>
          <w:rFonts w:ascii="Cambria" w:hAnsi="Cambria"/>
          <w:b/>
          <w:bCs/>
          <w:sz w:val="24"/>
          <w:szCs w:val="24"/>
          <w:lang w:val="es-ES"/>
        </w:rPr>
        <w:t xml:space="preserve"> información en el CICAC? </w:t>
      </w:r>
    </w:p>
    <w:p w14:paraId="160E3FF6" w14:textId="77777777" w:rsidR="008A19C3" w:rsidRPr="00144CC0" w:rsidRDefault="008A19C3" w:rsidP="002A0AFE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</w:p>
    <w:p w14:paraId="19C9B377" w14:textId="773BB2A4" w:rsidR="00112B3A" w:rsidRDefault="00CF7901" w:rsidP="002A0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144CC0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="00021F76" w:rsidRPr="00144CC0">
        <w:rPr>
          <w:rFonts w:ascii="Cambria" w:hAnsi="Cambria"/>
          <w:sz w:val="24"/>
          <w:szCs w:val="24"/>
          <w:lang w:val="es-ES"/>
        </w:rPr>
        <w:t>L</w:t>
      </w:r>
      <w:r w:rsidR="00B93521" w:rsidRPr="00144CC0">
        <w:rPr>
          <w:rFonts w:ascii="Cambria" w:hAnsi="Cambria"/>
          <w:sz w:val="24"/>
          <w:szCs w:val="24"/>
          <w:lang w:val="es-ES"/>
        </w:rPr>
        <w:t>a inclusión de su información en esta base de datos le representará simplificación de trámites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; esto debido a que una vez que </w:t>
      </w:r>
      <w:r w:rsidR="00BF4832" w:rsidRPr="00144CC0">
        <w:rPr>
          <w:rFonts w:ascii="Cambria" w:hAnsi="Cambria"/>
          <w:sz w:val="24"/>
          <w:szCs w:val="24"/>
          <w:lang w:val="es-ES"/>
        </w:rPr>
        <w:t>se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 encuentre en el CICAC no tendrá que aportar la información</w:t>
      </w:r>
      <w:r w:rsidR="00C71965" w:rsidRPr="00144CC0">
        <w:rPr>
          <w:rFonts w:ascii="Cambria" w:hAnsi="Cambria"/>
          <w:sz w:val="24"/>
          <w:szCs w:val="24"/>
          <w:lang w:val="es-ES"/>
        </w:rPr>
        <w:t xml:space="preserve"> insumo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 de la política conozca a su cliente en cada entidad financiera</w:t>
      </w:r>
      <w:r w:rsidR="00BF4832" w:rsidRPr="00144CC0">
        <w:rPr>
          <w:rFonts w:ascii="Cambria" w:hAnsi="Cambria"/>
          <w:sz w:val="24"/>
          <w:szCs w:val="24"/>
          <w:lang w:val="es-ES"/>
        </w:rPr>
        <w:t xml:space="preserve"> y para su seguridad las entidades solo pueden consultar sus datos si cuentan con una autorización de consulta, para esto puede 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otorgar </w:t>
      </w:r>
      <w:r w:rsidR="00BF4832" w:rsidRPr="00144CC0">
        <w:rPr>
          <w:rFonts w:ascii="Cambria" w:hAnsi="Cambria"/>
          <w:sz w:val="24"/>
          <w:szCs w:val="24"/>
          <w:lang w:val="es-ES"/>
        </w:rPr>
        <w:t>la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 autorización de consulta</w:t>
      </w:r>
      <w:r w:rsidR="00021F76" w:rsidRPr="00144CC0">
        <w:rPr>
          <w:rFonts w:ascii="Cambria" w:hAnsi="Cambria"/>
          <w:sz w:val="24"/>
          <w:szCs w:val="24"/>
          <w:lang w:val="es-ES"/>
        </w:rPr>
        <w:t xml:space="preserve"> a aquellas entidades donde mantenga una relación comercial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. </w:t>
      </w:r>
      <w:r w:rsidR="00021F76" w:rsidRPr="00144CC0">
        <w:rPr>
          <w:rFonts w:ascii="Cambria" w:hAnsi="Cambria"/>
          <w:sz w:val="24"/>
          <w:szCs w:val="24"/>
          <w:lang w:val="es-ES"/>
        </w:rPr>
        <w:t xml:space="preserve">De momento, no representa una obligatoriedad para el cliente; no obstante, </w:t>
      </w:r>
      <w:r w:rsidR="00112B3A" w:rsidRPr="00144CC0">
        <w:rPr>
          <w:rFonts w:ascii="Cambria" w:hAnsi="Cambria"/>
          <w:sz w:val="24"/>
          <w:szCs w:val="24"/>
          <w:lang w:val="es-ES"/>
        </w:rPr>
        <w:t xml:space="preserve">la implementación de este sistema responde a una estrategia del país para contribuir con la prevención de la legitimación de capitales, financiamiento al terrorismo y financiamiento a la proliferación de armas de destrucción masiva. </w:t>
      </w:r>
    </w:p>
    <w:p w14:paraId="379FAEA1" w14:textId="77777777" w:rsidR="00112B3A" w:rsidRDefault="00112B3A" w:rsidP="002A0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</w:p>
    <w:p w14:paraId="2D1477F5" w14:textId="1FBFAA96" w:rsidR="00CF7901" w:rsidRPr="00541989" w:rsidRDefault="00CF7901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¿Qué pasa si ya no tengo relación comercial 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 xml:space="preserve">con una entidad financiera 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>y aún mantengo la autorización por tiempo indefinido? ¿Qué de</w:t>
      </w:r>
      <w:r w:rsidR="008A19C3">
        <w:rPr>
          <w:rFonts w:ascii="Cambria" w:hAnsi="Cambria"/>
          <w:b/>
          <w:bCs/>
          <w:sz w:val="24"/>
          <w:szCs w:val="24"/>
          <w:lang w:val="es-ES"/>
        </w:rPr>
        <w:t>bo</w:t>
      </w:r>
      <w:r w:rsidRPr="00541989">
        <w:rPr>
          <w:rFonts w:ascii="Cambria" w:hAnsi="Cambria"/>
          <w:b/>
          <w:bCs/>
          <w:sz w:val="24"/>
          <w:szCs w:val="24"/>
          <w:lang w:val="es-ES"/>
        </w:rPr>
        <w:t xml:space="preserve"> hacer? </w:t>
      </w:r>
    </w:p>
    <w:p w14:paraId="7DB5C587" w14:textId="77777777" w:rsidR="005C19C0" w:rsidRDefault="005C19C0" w:rsidP="002A0AFE">
      <w:pPr>
        <w:spacing w:after="0" w:line="240" w:lineRule="auto"/>
        <w:ind w:left="360"/>
        <w:contextualSpacing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0D271C79" w14:textId="7C4993AC" w:rsidR="00112B3A" w:rsidRDefault="00CF7901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2C0D32">
        <w:rPr>
          <w:rFonts w:ascii="Cambria" w:hAnsi="Cambria"/>
          <w:b/>
          <w:bCs/>
          <w:sz w:val="24"/>
          <w:szCs w:val="24"/>
          <w:lang w:val="es-ES"/>
        </w:rPr>
        <w:t>Respuesta:</w:t>
      </w:r>
      <w:r w:rsidRPr="002C0D32">
        <w:rPr>
          <w:rFonts w:ascii="Cambria" w:hAnsi="Cambria"/>
          <w:sz w:val="24"/>
          <w:szCs w:val="24"/>
          <w:lang w:val="es-ES"/>
        </w:rPr>
        <w:t xml:space="preserve"> </w:t>
      </w:r>
      <w:r w:rsidR="00112B3A">
        <w:rPr>
          <w:rFonts w:ascii="Cambria" w:hAnsi="Cambria"/>
          <w:sz w:val="24"/>
          <w:szCs w:val="24"/>
          <w:lang w:val="es-ES"/>
        </w:rPr>
        <w:t xml:space="preserve">Puede solicitar la revocatoria de la autorización. Este proceso lo puede realizar mediante una entidad financiera o ingresando mediante su firma digital </w:t>
      </w:r>
      <w:r w:rsidR="00112B3A">
        <w:rPr>
          <w:rFonts w:ascii="Cambria" w:hAnsi="Cambria"/>
          <w:sz w:val="24"/>
          <w:szCs w:val="24"/>
          <w:lang w:val="es-ES"/>
        </w:rPr>
        <w:lastRenderedPageBreak/>
        <w:t>certificada emitida por el Banco Central de Costa Rica al CICAC y realizar la solicitud correspondiente</w:t>
      </w:r>
      <w:r w:rsidR="00BB3B4F">
        <w:rPr>
          <w:rFonts w:ascii="Cambria" w:hAnsi="Cambria"/>
          <w:sz w:val="24"/>
          <w:szCs w:val="24"/>
          <w:lang w:val="es-ES"/>
        </w:rPr>
        <w:t xml:space="preserve"> en el módulo de Revocaciones</w:t>
      </w:r>
      <w:r w:rsidR="00112B3A">
        <w:rPr>
          <w:rFonts w:ascii="Cambria" w:hAnsi="Cambria"/>
          <w:sz w:val="24"/>
          <w:szCs w:val="24"/>
          <w:lang w:val="es-ES"/>
        </w:rPr>
        <w:t xml:space="preserve">. </w:t>
      </w:r>
    </w:p>
    <w:p w14:paraId="3383127A" w14:textId="1A03D3B2" w:rsidR="00112B3A" w:rsidRDefault="00112B3A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Si ya no tiene una relación comercial con la entidad financiera a la cual tiene autorizada, esta entidad debe aprobar la solicitud de revocatoria y producto de este proceso no tendría que firmar ningún documento.</w:t>
      </w:r>
    </w:p>
    <w:p w14:paraId="0932E494" w14:textId="6940B7AE" w:rsidR="009A11B9" w:rsidRDefault="00112B3A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Una </w:t>
      </w:r>
      <w:r w:rsidR="009A11B9">
        <w:rPr>
          <w:rFonts w:ascii="Cambria" w:hAnsi="Cambria"/>
          <w:sz w:val="24"/>
          <w:szCs w:val="24"/>
          <w:lang w:val="es-ES"/>
        </w:rPr>
        <w:t xml:space="preserve">vez que </w:t>
      </w:r>
      <w:r>
        <w:rPr>
          <w:rFonts w:ascii="Cambria" w:hAnsi="Cambria"/>
          <w:sz w:val="24"/>
          <w:szCs w:val="24"/>
          <w:lang w:val="es-ES"/>
        </w:rPr>
        <w:t xml:space="preserve">la entidad apruebe la solicitud de revocatoria, esta entidad no tendrá acceso a su información contenida en el CICAC.  </w:t>
      </w:r>
    </w:p>
    <w:p w14:paraId="72D383EC" w14:textId="14867511" w:rsidR="00C71965" w:rsidRDefault="00C71965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60D42EA4" w14:textId="3220B471" w:rsidR="006507A0" w:rsidRDefault="00D83918" w:rsidP="006507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>¿</w:t>
      </w:r>
      <w:r w:rsidR="006507A0">
        <w:rPr>
          <w:rFonts w:ascii="Cambria" w:hAnsi="Cambria"/>
          <w:b/>
          <w:bCs/>
          <w:sz w:val="24"/>
          <w:szCs w:val="24"/>
          <w:lang w:val="es-ES"/>
        </w:rPr>
        <w:t xml:space="preserve">Puedo </w:t>
      </w:r>
      <w:r w:rsidR="00767C25">
        <w:rPr>
          <w:rFonts w:ascii="Cambria" w:hAnsi="Cambria"/>
          <w:b/>
          <w:bCs/>
          <w:sz w:val="24"/>
          <w:szCs w:val="24"/>
          <w:lang w:val="es-ES"/>
        </w:rPr>
        <w:t>saber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566777">
        <w:rPr>
          <w:rFonts w:ascii="Cambria" w:hAnsi="Cambria"/>
          <w:b/>
          <w:bCs/>
          <w:sz w:val="24"/>
          <w:szCs w:val="24"/>
          <w:lang w:val="es-ES"/>
        </w:rPr>
        <w:t>quién</w:t>
      </w:r>
      <w:r w:rsidR="006507A0">
        <w:rPr>
          <w:rFonts w:ascii="Cambria" w:hAnsi="Cambria"/>
          <w:b/>
          <w:bCs/>
          <w:sz w:val="24"/>
          <w:szCs w:val="24"/>
          <w:lang w:val="es-ES"/>
        </w:rPr>
        <w:t xml:space="preserve"> ha consultado mi información</w:t>
      </w:r>
      <w:r w:rsidRPr="00D83918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es-ES"/>
        </w:rPr>
        <w:t>en el CICAC</w:t>
      </w:r>
      <w:r w:rsidR="006507A0">
        <w:rPr>
          <w:rFonts w:ascii="Cambria" w:hAnsi="Cambria"/>
          <w:b/>
          <w:bCs/>
          <w:sz w:val="24"/>
          <w:szCs w:val="24"/>
          <w:lang w:val="es-ES"/>
        </w:rPr>
        <w:t>?</w:t>
      </w:r>
    </w:p>
    <w:p w14:paraId="2BAC35BF" w14:textId="77777777" w:rsidR="00D83918" w:rsidRDefault="00D83918" w:rsidP="006507A0">
      <w:pPr>
        <w:pStyle w:val="Prrafodelista"/>
        <w:spacing w:after="0" w:line="240" w:lineRule="auto"/>
        <w:ind w:left="644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470E20CB" w14:textId="4D687DC0" w:rsidR="006507A0" w:rsidRPr="003B68F5" w:rsidRDefault="006507A0" w:rsidP="003B68F5">
      <w:pPr>
        <w:spacing w:after="0" w:line="240" w:lineRule="auto"/>
        <w:ind w:left="284"/>
        <w:jc w:val="both"/>
        <w:rPr>
          <w:rFonts w:ascii="Cambria" w:hAnsi="Cambria"/>
          <w:sz w:val="24"/>
          <w:szCs w:val="24"/>
          <w:lang w:val="es-ES"/>
        </w:rPr>
      </w:pPr>
      <w:r w:rsidRPr="003B68F5">
        <w:rPr>
          <w:rFonts w:ascii="Cambria" w:hAnsi="Cambria"/>
          <w:b/>
          <w:bCs/>
          <w:sz w:val="24"/>
          <w:szCs w:val="24"/>
          <w:lang w:val="es-ES"/>
        </w:rPr>
        <w:t xml:space="preserve">Respuesta: </w:t>
      </w:r>
      <w:r w:rsidRPr="003B68F5">
        <w:rPr>
          <w:rFonts w:ascii="Cambria" w:hAnsi="Cambria"/>
          <w:sz w:val="24"/>
          <w:szCs w:val="24"/>
          <w:lang w:val="es-ES"/>
        </w:rPr>
        <w:t xml:space="preserve">Sí, </w:t>
      </w:r>
      <w:r w:rsidR="00D83918" w:rsidRPr="003B68F5">
        <w:rPr>
          <w:rFonts w:ascii="Cambria" w:hAnsi="Cambria"/>
          <w:sz w:val="24"/>
          <w:szCs w:val="24"/>
          <w:lang w:val="es-ES"/>
        </w:rPr>
        <w:t>si cuenta con firma digital certificada emitida por el Banco Central de Costa Rica, puede ingresar al</w:t>
      </w:r>
      <w:r w:rsidRPr="003B68F5">
        <w:rPr>
          <w:rFonts w:ascii="Cambria" w:hAnsi="Cambria"/>
          <w:sz w:val="24"/>
          <w:szCs w:val="24"/>
          <w:lang w:val="es-ES"/>
        </w:rPr>
        <w:t xml:space="preserve"> CICAC </w:t>
      </w:r>
      <w:r w:rsidR="00D83918" w:rsidRPr="003B68F5">
        <w:rPr>
          <w:rFonts w:ascii="Cambria" w:hAnsi="Cambria"/>
          <w:sz w:val="24"/>
          <w:szCs w:val="24"/>
          <w:lang w:val="es-ES"/>
        </w:rPr>
        <w:t xml:space="preserve">y visualizar </w:t>
      </w:r>
      <w:r w:rsidRPr="003B68F5">
        <w:rPr>
          <w:rFonts w:ascii="Cambria" w:hAnsi="Cambria"/>
          <w:sz w:val="24"/>
          <w:szCs w:val="24"/>
          <w:lang w:val="es-ES"/>
        </w:rPr>
        <w:t xml:space="preserve">las acciones de consulta realizadas por las entidades autorizadas y las consultas realizadas por </w:t>
      </w:r>
      <w:r w:rsidR="00D83918" w:rsidRPr="003B68F5">
        <w:rPr>
          <w:rFonts w:ascii="Cambria" w:hAnsi="Cambria"/>
          <w:sz w:val="24"/>
          <w:szCs w:val="24"/>
          <w:lang w:val="es-ES"/>
        </w:rPr>
        <w:t>sí mismo</w:t>
      </w:r>
      <w:r w:rsidRPr="003B68F5">
        <w:rPr>
          <w:rFonts w:ascii="Cambria" w:hAnsi="Cambria"/>
          <w:sz w:val="24"/>
          <w:szCs w:val="24"/>
          <w:lang w:val="es-ES"/>
        </w:rPr>
        <w:t>.</w:t>
      </w:r>
    </w:p>
    <w:p w14:paraId="0545C646" w14:textId="77777777" w:rsidR="006507A0" w:rsidRDefault="006507A0" w:rsidP="002A0AFE">
      <w:p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  <w:lang w:val="es-ES"/>
        </w:rPr>
      </w:pPr>
    </w:p>
    <w:p w14:paraId="2C2F455C" w14:textId="2605EE96" w:rsidR="00C71965" w:rsidRDefault="00C71965" w:rsidP="002A0AFE">
      <w:pPr>
        <w:pStyle w:val="Ttulo1"/>
        <w:numPr>
          <w:ilvl w:val="0"/>
          <w:numId w:val="11"/>
        </w:numPr>
        <w:spacing w:before="0" w:line="240" w:lineRule="auto"/>
        <w:contextualSpacing/>
        <w:rPr>
          <w:rFonts w:ascii="Cambria" w:hAnsi="Cambria"/>
          <w:b/>
          <w:bCs/>
          <w:color w:val="auto"/>
          <w:lang w:val="es-ES"/>
        </w:rPr>
      </w:pPr>
      <w:bookmarkStart w:id="5" w:name="_Toc107417061"/>
      <w:r>
        <w:rPr>
          <w:rFonts w:ascii="Cambria" w:hAnsi="Cambria"/>
          <w:b/>
          <w:bCs/>
          <w:color w:val="auto"/>
          <w:lang w:val="es-ES"/>
        </w:rPr>
        <w:t>Servicios de Notificación</w:t>
      </w:r>
      <w:bookmarkEnd w:id="5"/>
    </w:p>
    <w:p w14:paraId="4C9EC53C" w14:textId="02017959" w:rsidR="00C71965" w:rsidRDefault="00C71965" w:rsidP="002A0AFE">
      <w:pPr>
        <w:spacing w:after="0" w:line="240" w:lineRule="auto"/>
        <w:rPr>
          <w:lang w:val="es-ES"/>
        </w:rPr>
      </w:pPr>
    </w:p>
    <w:p w14:paraId="0D990A0D" w14:textId="51943DDD" w:rsidR="00C71965" w:rsidRDefault="00C71965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C71965">
        <w:rPr>
          <w:rFonts w:ascii="Cambria" w:hAnsi="Cambria"/>
          <w:b/>
          <w:bCs/>
          <w:sz w:val="24"/>
          <w:szCs w:val="24"/>
          <w:lang w:val="es-ES"/>
        </w:rPr>
        <w:t>¿El sistema tiene implementado algún tipo de notificación para el cliente?</w:t>
      </w:r>
    </w:p>
    <w:p w14:paraId="2D9E87C0" w14:textId="77777777" w:rsidR="00CB6BD7" w:rsidRDefault="00CB6BD7" w:rsidP="00CB6BD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</w:p>
    <w:p w14:paraId="3F161FED" w14:textId="67F13F06" w:rsidR="00BB6C19" w:rsidRPr="00CB6BD7" w:rsidRDefault="00CB6BD7" w:rsidP="00CB6BD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CB6BD7">
        <w:rPr>
          <w:rFonts w:ascii="Cambria" w:hAnsi="Cambria"/>
          <w:b/>
          <w:bCs/>
          <w:sz w:val="24"/>
          <w:szCs w:val="24"/>
          <w:lang w:val="es-ES"/>
        </w:rPr>
        <w:t>Respuesta:</w:t>
      </w:r>
      <w:r>
        <w:rPr>
          <w:rFonts w:ascii="Cambria" w:hAnsi="Cambria"/>
          <w:sz w:val="24"/>
          <w:szCs w:val="24"/>
          <w:lang w:val="es-ES"/>
        </w:rPr>
        <w:t xml:space="preserve"> </w:t>
      </w:r>
      <w:r w:rsidR="00BB6C19" w:rsidRPr="00CB6BD7">
        <w:rPr>
          <w:rFonts w:ascii="Cambria" w:hAnsi="Cambria"/>
          <w:sz w:val="24"/>
          <w:szCs w:val="24"/>
          <w:lang w:val="es-ES"/>
        </w:rPr>
        <w:t>Sí, el sistema envía al cliente una notificación cuando una entidad realiza</w:t>
      </w:r>
      <w:r>
        <w:rPr>
          <w:rFonts w:ascii="Cambria" w:hAnsi="Cambria"/>
          <w:sz w:val="24"/>
          <w:szCs w:val="24"/>
          <w:lang w:val="es-ES"/>
        </w:rPr>
        <w:t xml:space="preserve"> los siguientes procesos:</w:t>
      </w:r>
      <w:r w:rsidR="00BB6C19" w:rsidRPr="00CB6BD7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  <w:lang w:val="es-ES"/>
        </w:rPr>
        <w:t xml:space="preserve">i) </w:t>
      </w:r>
      <w:r w:rsidR="00BB6C19" w:rsidRPr="00CB6BD7">
        <w:rPr>
          <w:rFonts w:ascii="Cambria" w:hAnsi="Cambria"/>
          <w:sz w:val="24"/>
          <w:szCs w:val="24"/>
          <w:lang w:val="es-ES"/>
        </w:rPr>
        <w:t xml:space="preserve">una actualización de la información en el expediente del cliente, </w:t>
      </w:r>
      <w:r>
        <w:rPr>
          <w:rFonts w:ascii="Cambria" w:hAnsi="Cambria"/>
          <w:sz w:val="24"/>
          <w:szCs w:val="24"/>
          <w:lang w:val="es-ES"/>
        </w:rPr>
        <w:t xml:space="preserve">ii) </w:t>
      </w:r>
      <w:r w:rsidR="00BB6C19" w:rsidRPr="00CB6BD7">
        <w:rPr>
          <w:rFonts w:ascii="Cambria" w:hAnsi="Cambria"/>
          <w:sz w:val="24"/>
          <w:szCs w:val="24"/>
          <w:lang w:val="es-ES"/>
        </w:rPr>
        <w:t xml:space="preserve">cuando se aprueba una evidencia para justificar los orígenes de fondos, </w:t>
      </w:r>
      <w:r>
        <w:rPr>
          <w:rFonts w:ascii="Cambria" w:hAnsi="Cambria"/>
          <w:sz w:val="24"/>
          <w:szCs w:val="24"/>
          <w:lang w:val="es-ES"/>
        </w:rPr>
        <w:t xml:space="preserve">iii) </w:t>
      </w:r>
      <w:r w:rsidR="00BB6C19" w:rsidRPr="00CB6BD7">
        <w:rPr>
          <w:rFonts w:ascii="Cambria" w:hAnsi="Cambria"/>
          <w:sz w:val="24"/>
          <w:szCs w:val="24"/>
          <w:lang w:val="es-ES"/>
        </w:rPr>
        <w:t xml:space="preserve">cuando se aprueba un documento de composición accionario y </w:t>
      </w:r>
      <w:r>
        <w:rPr>
          <w:rFonts w:ascii="Cambria" w:hAnsi="Cambria"/>
          <w:sz w:val="24"/>
          <w:szCs w:val="24"/>
          <w:lang w:val="es-ES"/>
        </w:rPr>
        <w:t xml:space="preserve">iv) </w:t>
      </w:r>
      <w:r w:rsidR="00BB6C19" w:rsidRPr="00CB6BD7">
        <w:rPr>
          <w:rFonts w:ascii="Cambria" w:hAnsi="Cambria"/>
          <w:sz w:val="24"/>
          <w:szCs w:val="24"/>
          <w:lang w:val="es-ES"/>
        </w:rPr>
        <w:t>cuando se aprueba la solicitud de revocatoria.</w:t>
      </w:r>
    </w:p>
    <w:p w14:paraId="29A4F6F6" w14:textId="38A2FDFB" w:rsidR="00BB6C19" w:rsidRDefault="00BB6C19" w:rsidP="002A0AFE">
      <w:pPr>
        <w:pStyle w:val="Prrafodelista"/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p w14:paraId="5FF64C04" w14:textId="4FD213DD" w:rsidR="00BB6C19" w:rsidRPr="00CB6BD7" w:rsidRDefault="00BB6C19" w:rsidP="002A0A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  <w:r w:rsidRPr="002A0AFE">
        <w:rPr>
          <w:rFonts w:ascii="Cambria" w:hAnsi="Cambria"/>
          <w:b/>
          <w:bCs/>
          <w:sz w:val="24"/>
          <w:szCs w:val="24"/>
          <w:lang w:val="es-ES"/>
        </w:rPr>
        <w:t>¿Cómo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 puedo habilitar el servicio de </w:t>
      </w:r>
      <w:r w:rsidR="009A571F">
        <w:rPr>
          <w:rFonts w:ascii="Cambria" w:hAnsi="Cambria"/>
          <w:b/>
          <w:bCs/>
          <w:sz w:val="24"/>
          <w:szCs w:val="24"/>
          <w:lang w:val="es-ES"/>
        </w:rPr>
        <w:t>mensajería para recibir notificaciones del CICAC?</w:t>
      </w:r>
    </w:p>
    <w:p w14:paraId="4950EC76" w14:textId="408C4947" w:rsidR="009A571F" w:rsidRDefault="009A571F" w:rsidP="002A0AFE">
      <w:pPr>
        <w:pStyle w:val="Prrafodelista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ES"/>
        </w:rPr>
      </w:pPr>
    </w:p>
    <w:p w14:paraId="60E3FD89" w14:textId="7CA4ED48" w:rsidR="009A571F" w:rsidRPr="00CB6BD7" w:rsidRDefault="00CB6BD7" w:rsidP="00CB6BD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CB6BD7">
        <w:rPr>
          <w:rFonts w:ascii="Cambria" w:hAnsi="Cambria"/>
          <w:b/>
          <w:bCs/>
          <w:sz w:val="24"/>
          <w:szCs w:val="24"/>
          <w:lang w:val="es-ES"/>
        </w:rPr>
        <w:t>Respuesta:</w:t>
      </w:r>
      <w:r>
        <w:rPr>
          <w:rFonts w:ascii="Cambria" w:hAnsi="Cambria"/>
          <w:sz w:val="24"/>
          <w:szCs w:val="24"/>
          <w:lang w:val="es-ES"/>
        </w:rPr>
        <w:t xml:space="preserve"> </w:t>
      </w:r>
      <w:r w:rsidR="009A571F" w:rsidRPr="00CB6BD7">
        <w:rPr>
          <w:rFonts w:ascii="Cambria" w:hAnsi="Cambria"/>
          <w:sz w:val="24"/>
          <w:szCs w:val="24"/>
          <w:lang w:val="es-ES"/>
        </w:rPr>
        <w:t xml:space="preserve">Debe ingresar </w:t>
      </w:r>
      <w:r w:rsidR="00864362">
        <w:rPr>
          <w:rFonts w:ascii="Cambria" w:hAnsi="Cambria"/>
          <w:sz w:val="24"/>
          <w:szCs w:val="24"/>
          <w:lang w:val="es-ES"/>
        </w:rPr>
        <w:t xml:space="preserve">a </w:t>
      </w:r>
      <w:r w:rsidR="009A571F" w:rsidRPr="00CB6BD7">
        <w:rPr>
          <w:rFonts w:ascii="Cambria" w:hAnsi="Cambria"/>
          <w:sz w:val="24"/>
          <w:szCs w:val="24"/>
          <w:lang w:val="es-ES"/>
        </w:rPr>
        <w:t>SUGEF Directo, en la cejilla de “</w:t>
      </w:r>
      <w:r w:rsidR="009A571F" w:rsidRPr="00CB6BD7">
        <w:rPr>
          <w:rFonts w:ascii="Cambria" w:hAnsi="Cambria"/>
          <w:b/>
          <w:bCs/>
          <w:sz w:val="24"/>
          <w:szCs w:val="24"/>
          <w:lang w:val="es-ES"/>
        </w:rPr>
        <w:t>Generales</w:t>
      </w:r>
      <w:r w:rsidR="009A571F" w:rsidRPr="00CB6BD7">
        <w:rPr>
          <w:rFonts w:ascii="Cambria" w:hAnsi="Cambria"/>
          <w:sz w:val="24"/>
          <w:szCs w:val="24"/>
          <w:lang w:val="es-ES"/>
        </w:rPr>
        <w:t xml:space="preserve">” </w:t>
      </w:r>
      <w:r>
        <w:rPr>
          <w:rFonts w:ascii="Cambria" w:hAnsi="Cambria"/>
          <w:sz w:val="24"/>
          <w:szCs w:val="24"/>
          <w:lang w:val="es-ES"/>
        </w:rPr>
        <w:t xml:space="preserve">donde </w:t>
      </w:r>
      <w:r w:rsidR="009A571F" w:rsidRPr="00CB6BD7">
        <w:rPr>
          <w:rFonts w:ascii="Cambria" w:hAnsi="Cambria"/>
          <w:sz w:val="24"/>
          <w:szCs w:val="24"/>
          <w:lang w:val="es-ES"/>
        </w:rPr>
        <w:t xml:space="preserve">se encuentra el servicio de mensajería </w:t>
      </w:r>
      <w:r>
        <w:rPr>
          <w:rFonts w:ascii="Cambria" w:hAnsi="Cambria"/>
          <w:sz w:val="24"/>
          <w:szCs w:val="24"/>
          <w:lang w:val="es-ES"/>
        </w:rPr>
        <w:t>y</w:t>
      </w:r>
      <w:r w:rsidR="009A571F" w:rsidRPr="00CB6BD7">
        <w:rPr>
          <w:rFonts w:ascii="Cambria" w:hAnsi="Cambria"/>
          <w:sz w:val="24"/>
          <w:szCs w:val="24"/>
          <w:lang w:val="es-ES"/>
        </w:rPr>
        <w:t xml:space="preserve"> debe de seleccionar la opción de “Suscripción”</w:t>
      </w:r>
      <w:r w:rsidR="00182664" w:rsidRPr="00CB6BD7">
        <w:rPr>
          <w:rFonts w:ascii="Cambria" w:hAnsi="Cambria"/>
          <w:sz w:val="24"/>
          <w:szCs w:val="24"/>
          <w:lang w:val="es-ES"/>
        </w:rPr>
        <w:t xml:space="preserve">. </w:t>
      </w:r>
    </w:p>
    <w:p w14:paraId="67F38130" w14:textId="076524F0" w:rsidR="00182664" w:rsidRPr="00CB6BD7" w:rsidRDefault="00182664" w:rsidP="00CB6BD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CB6BD7">
        <w:rPr>
          <w:rFonts w:ascii="Cambria" w:hAnsi="Cambria"/>
          <w:sz w:val="24"/>
          <w:szCs w:val="24"/>
          <w:lang w:val="es-ES"/>
        </w:rPr>
        <w:t xml:space="preserve">Al ingresar al módulo de “Mensajería” debe de dar clic al botón de “configurar” para </w:t>
      </w:r>
      <w:r w:rsidR="002C15F0" w:rsidRPr="00CB6BD7">
        <w:rPr>
          <w:rFonts w:ascii="Cambria" w:hAnsi="Cambria"/>
          <w:sz w:val="24"/>
          <w:szCs w:val="24"/>
          <w:lang w:val="es-ES"/>
        </w:rPr>
        <w:t>seleccionar las</w:t>
      </w:r>
      <w:r w:rsidRPr="00CB6BD7">
        <w:rPr>
          <w:rFonts w:ascii="Cambria" w:hAnsi="Cambria"/>
          <w:sz w:val="24"/>
          <w:szCs w:val="24"/>
          <w:lang w:val="es-ES"/>
        </w:rPr>
        <w:t xml:space="preserve"> notificaciones que desea configurar.</w:t>
      </w:r>
    </w:p>
    <w:p w14:paraId="54ADAD93" w14:textId="0D208A2A" w:rsidR="002C15F0" w:rsidRPr="00CB6BD7" w:rsidRDefault="00182664" w:rsidP="00CB6BD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s-ES"/>
        </w:rPr>
      </w:pPr>
      <w:r w:rsidRPr="00CB6BD7">
        <w:rPr>
          <w:rFonts w:ascii="Cambria" w:hAnsi="Cambria"/>
          <w:sz w:val="24"/>
          <w:szCs w:val="24"/>
          <w:lang w:val="es-ES"/>
        </w:rPr>
        <w:t xml:space="preserve">Como segundo paso debe asociar el usuario válido </w:t>
      </w:r>
      <w:r w:rsidR="00CB6BD7">
        <w:rPr>
          <w:rFonts w:ascii="Cambria" w:hAnsi="Cambria"/>
          <w:sz w:val="24"/>
          <w:szCs w:val="24"/>
          <w:lang w:val="es-ES"/>
        </w:rPr>
        <w:t>(corresponde al</w:t>
      </w:r>
      <w:r w:rsidR="002C15F0" w:rsidRPr="00CB6BD7">
        <w:rPr>
          <w:rFonts w:ascii="Cambria" w:hAnsi="Cambria"/>
          <w:sz w:val="24"/>
          <w:szCs w:val="24"/>
          <w:lang w:val="es-ES"/>
        </w:rPr>
        <w:t xml:space="preserve"> nombre del cliente</w:t>
      </w:r>
      <w:r w:rsidR="00CB6BD7">
        <w:rPr>
          <w:rFonts w:ascii="Cambria" w:hAnsi="Cambria"/>
          <w:sz w:val="24"/>
          <w:szCs w:val="24"/>
          <w:lang w:val="es-ES"/>
        </w:rPr>
        <w:t>)</w:t>
      </w:r>
      <w:r w:rsidR="002C15F0" w:rsidRPr="00CB6BD7">
        <w:rPr>
          <w:rFonts w:ascii="Cambria" w:hAnsi="Cambria"/>
          <w:sz w:val="24"/>
          <w:szCs w:val="24"/>
          <w:lang w:val="es-ES"/>
        </w:rPr>
        <w:t xml:space="preserve"> a las notificaciones y por último dar clic en el botón de “Suscribir” y luego “Aplicar.</w:t>
      </w:r>
    </w:p>
    <w:p w14:paraId="368E73F1" w14:textId="2BD6B85D" w:rsidR="00182664" w:rsidRPr="00CB6BD7" w:rsidRDefault="00182664" w:rsidP="00CB6BD7">
      <w:pPr>
        <w:spacing w:after="0" w:line="240" w:lineRule="auto"/>
        <w:jc w:val="both"/>
        <w:rPr>
          <w:rFonts w:ascii="Cambria" w:hAnsi="Cambria"/>
          <w:sz w:val="24"/>
          <w:szCs w:val="24"/>
          <w:lang w:val="es-ES"/>
        </w:rPr>
      </w:pPr>
    </w:p>
    <w:sectPr w:rsidR="00182664" w:rsidRPr="00CB6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6AE8" w14:textId="77777777" w:rsidR="00FA35D3" w:rsidRDefault="00FA35D3" w:rsidP="00685B08">
      <w:pPr>
        <w:spacing w:after="0" w:line="240" w:lineRule="auto"/>
      </w:pPr>
      <w:r>
        <w:separator/>
      </w:r>
    </w:p>
  </w:endnote>
  <w:endnote w:type="continuationSeparator" w:id="0">
    <w:p w14:paraId="24284DD4" w14:textId="77777777" w:rsidR="00FA35D3" w:rsidRDefault="00FA35D3" w:rsidP="006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CEE8" w14:textId="77777777" w:rsidR="00541989" w:rsidRDefault="00541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82307"/>
      <w:docPartObj>
        <w:docPartGallery w:val="Page Numbers (Bottom of Page)"/>
        <w:docPartUnique/>
      </w:docPartObj>
    </w:sdtPr>
    <w:sdtEndPr/>
    <w:sdtContent>
      <w:p w14:paraId="1DBEB026" w14:textId="1EFC365D" w:rsidR="00541989" w:rsidRDefault="005419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861920" w14:textId="77777777" w:rsidR="00541989" w:rsidRDefault="005419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E1DD" w14:textId="77777777" w:rsidR="00541989" w:rsidRDefault="00541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386A" w14:textId="77777777" w:rsidR="00FA35D3" w:rsidRDefault="00FA35D3" w:rsidP="00685B08">
      <w:pPr>
        <w:spacing w:after="0" w:line="240" w:lineRule="auto"/>
      </w:pPr>
      <w:r>
        <w:separator/>
      </w:r>
    </w:p>
  </w:footnote>
  <w:footnote w:type="continuationSeparator" w:id="0">
    <w:p w14:paraId="420B299F" w14:textId="77777777" w:rsidR="00FA35D3" w:rsidRDefault="00FA35D3" w:rsidP="0068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69BD" w14:textId="77777777" w:rsidR="00541989" w:rsidRDefault="005419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B900" w14:textId="77777777" w:rsidR="00541989" w:rsidRDefault="005419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D613" w14:textId="77777777" w:rsidR="00541989" w:rsidRDefault="005419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498"/>
    <w:multiLevelType w:val="hybridMultilevel"/>
    <w:tmpl w:val="BA1084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F30"/>
    <w:multiLevelType w:val="hybridMultilevel"/>
    <w:tmpl w:val="37F65BFC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167F6"/>
    <w:multiLevelType w:val="hybridMultilevel"/>
    <w:tmpl w:val="0CD8356C"/>
    <w:lvl w:ilvl="0" w:tplc="EAEE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135DF"/>
    <w:multiLevelType w:val="hybridMultilevel"/>
    <w:tmpl w:val="9E1043A2"/>
    <w:lvl w:ilvl="0" w:tplc="FBF82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60D6"/>
    <w:multiLevelType w:val="hybridMultilevel"/>
    <w:tmpl w:val="5A4EF13E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3A040E"/>
    <w:multiLevelType w:val="hybridMultilevel"/>
    <w:tmpl w:val="7810777C"/>
    <w:lvl w:ilvl="0" w:tplc="638685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4093"/>
    <w:multiLevelType w:val="hybridMultilevel"/>
    <w:tmpl w:val="F388411A"/>
    <w:lvl w:ilvl="0" w:tplc="D76E483E">
      <w:start w:val="1"/>
      <w:numFmt w:val="upperLetter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14989"/>
    <w:multiLevelType w:val="hybridMultilevel"/>
    <w:tmpl w:val="041262EE"/>
    <w:lvl w:ilvl="0" w:tplc="2C6C7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12EF"/>
    <w:multiLevelType w:val="hybridMultilevel"/>
    <w:tmpl w:val="33826944"/>
    <w:lvl w:ilvl="0" w:tplc="AA4E1A9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778"/>
    <w:multiLevelType w:val="hybridMultilevel"/>
    <w:tmpl w:val="8D28A7A4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39743C"/>
    <w:multiLevelType w:val="hybridMultilevel"/>
    <w:tmpl w:val="CD6C4DD2"/>
    <w:lvl w:ilvl="0" w:tplc="FCCC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C3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87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A0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2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8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3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8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C1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371EB3"/>
    <w:multiLevelType w:val="hybridMultilevel"/>
    <w:tmpl w:val="E0CC6C68"/>
    <w:lvl w:ilvl="0" w:tplc="66D45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8B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66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4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E0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E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82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581516"/>
    <w:multiLevelType w:val="hybridMultilevel"/>
    <w:tmpl w:val="30BC156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F4297"/>
    <w:multiLevelType w:val="hybridMultilevel"/>
    <w:tmpl w:val="D25C934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F2B08"/>
    <w:multiLevelType w:val="hybridMultilevel"/>
    <w:tmpl w:val="DE702EC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D007A5"/>
    <w:multiLevelType w:val="hybridMultilevel"/>
    <w:tmpl w:val="D6D66CC0"/>
    <w:lvl w:ilvl="0" w:tplc="8A8453C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8"/>
  </w:num>
  <w:num w:numId="9">
    <w:abstractNumId w:val="15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8"/>
    <w:rsid w:val="00021F76"/>
    <w:rsid w:val="00080022"/>
    <w:rsid w:val="000D4800"/>
    <w:rsid w:val="00112B3A"/>
    <w:rsid w:val="00117C4A"/>
    <w:rsid w:val="00144CC0"/>
    <w:rsid w:val="00147F65"/>
    <w:rsid w:val="00174AF8"/>
    <w:rsid w:val="00180F81"/>
    <w:rsid w:val="00182664"/>
    <w:rsid w:val="001A2707"/>
    <w:rsid w:val="00284F6B"/>
    <w:rsid w:val="002A0AFE"/>
    <w:rsid w:val="002C0D32"/>
    <w:rsid w:val="002C15F0"/>
    <w:rsid w:val="002D3978"/>
    <w:rsid w:val="00303EFF"/>
    <w:rsid w:val="003609DC"/>
    <w:rsid w:val="003B68F5"/>
    <w:rsid w:val="003D1D64"/>
    <w:rsid w:val="004474AE"/>
    <w:rsid w:val="004628A0"/>
    <w:rsid w:val="00497060"/>
    <w:rsid w:val="004B54F4"/>
    <w:rsid w:val="004E6982"/>
    <w:rsid w:val="004F25E8"/>
    <w:rsid w:val="00511084"/>
    <w:rsid w:val="00517179"/>
    <w:rsid w:val="00532474"/>
    <w:rsid w:val="00541989"/>
    <w:rsid w:val="00561990"/>
    <w:rsid w:val="00566777"/>
    <w:rsid w:val="005C19C0"/>
    <w:rsid w:val="006507A0"/>
    <w:rsid w:val="00685B08"/>
    <w:rsid w:val="00767C25"/>
    <w:rsid w:val="00786BF3"/>
    <w:rsid w:val="007C36FF"/>
    <w:rsid w:val="007C5ADE"/>
    <w:rsid w:val="007D5C0B"/>
    <w:rsid w:val="008257D7"/>
    <w:rsid w:val="00864362"/>
    <w:rsid w:val="00867FA0"/>
    <w:rsid w:val="008A19C3"/>
    <w:rsid w:val="00943DFE"/>
    <w:rsid w:val="009A11B9"/>
    <w:rsid w:val="009A571F"/>
    <w:rsid w:val="009B363C"/>
    <w:rsid w:val="009E5803"/>
    <w:rsid w:val="00A53005"/>
    <w:rsid w:val="00A55DAB"/>
    <w:rsid w:val="00B93521"/>
    <w:rsid w:val="00BB3B4F"/>
    <w:rsid w:val="00BB6C19"/>
    <w:rsid w:val="00BB6F7B"/>
    <w:rsid w:val="00BF4832"/>
    <w:rsid w:val="00C5118C"/>
    <w:rsid w:val="00C60369"/>
    <w:rsid w:val="00C710F2"/>
    <w:rsid w:val="00C71965"/>
    <w:rsid w:val="00C83E41"/>
    <w:rsid w:val="00CB6BD7"/>
    <w:rsid w:val="00CE1087"/>
    <w:rsid w:val="00CF293A"/>
    <w:rsid w:val="00CF7901"/>
    <w:rsid w:val="00D83918"/>
    <w:rsid w:val="00D90961"/>
    <w:rsid w:val="00DB57EA"/>
    <w:rsid w:val="00E14E6B"/>
    <w:rsid w:val="00E23F7D"/>
    <w:rsid w:val="00E3035D"/>
    <w:rsid w:val="00EE3856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07E46"/>
  <w15:chartTrackingRefBased/>
  <w15:docId w15:val="{FE8DD4FE-34F4-4F71-BAE7-8E72B7CD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0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4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58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8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5803"/>
    <w:rPr>
      <w:color w:val="954F72" w:themeColor="followedHyperlink"/>
      <w:u w:val="single"/>
    </w:rPr>
  </w:style>
  <w:style w:type="character" w:customStyle="1" w:styleId="spelle">
    <w:name w:val="spelle"/>
    <w:basedOn w:val="Fuentedeprrafopredeter"/>
    <w:rsid w:val="009B363C"/>
  </w:style>
  <w:style w:type="character" w:customStyle="1" w:styleId="TextoChar">
    <w:name w:val="Texto Char"/>
    <w:basedOn w:val="Fuentedeprrafopredeter"/>
    <w:link w:val="Texto"/>
    <w:locked/>
    <w:rsid w:val="00180F81"/>
    <w:rPr>
      <w:rFonts w:ascii="Cambria" w:eastAsia="Times New Roman" w:hAnsi="Cambria" w:cs="Times New Roman"/>
      <w:szCs w:val="24"/>
      <w:lang w:val="es-ES"/>
    </w:rPr>
  </w:style>
  <w:style w:type="paragraph" w:customStyle="1" w:styleId="Texto">
    <w:name w:val="Texto"/>
    <w:basedOn w:val="Normal"/>
    <w:link w:val="TextoChar"/>
    <w:qFormat/>
    <w:rsid w:val="00180F81"/>
    <w:pPr>
      <w:spacing w:before="120" w:after="120" w:line="360" w:lineRule="auto"/>
      <w:jc w:val="both"/>
    </w:pPr>
    <w:rPr>
      <w:rFonts w:ascii="Cambria" w:eastAsia="Times New Roman" w:hAnsi="Cambria" w:cs="Times New Roman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7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710F2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C710F2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541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989"/>
  </w:style>
  <w:style w:type="paragraph" w:styleId="Piedepgina">
    <w:name w:val="footer"/>
    <w:basedOn w:val="Normal"/>
    <w:link w:val="PiedepginaCar"/>
    <w:uiPriority w:val="99"/>
    <w:unhideWhenUsed/>
    <w:rsid w:val="00541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89"/>
  </w:style>
  <w:style w:type="paragraph" w:styleId="NormalWeb">
    <w:name w:val="Normal (Web)"/>
    <w:basedOn w:val="Normal"/>
    <w:uiPriority w:val="99"/>
    <w:semiHidden/>
    <w:unhideWhenUsed/>
    <w:rsid w:val="004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147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F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F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F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4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6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ef.fi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137F-02D1-4BD4-8F2E-A5DF5C2F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2452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MIRANDA JACKELINE REBECCA</dc:creator>
  <cp:keywords/>
  <dc:description/>
  <cp:lastModifiedBy>MORALES MIRANDA JACKELINE REBECCA</cp:lastModifiedBy>
  <cp:revision>6</cp:revision>
  <dcterms:created xsi:type="dcterms:W3CDTF">2022-07-08T17:04:00Z</dcterms:created>
  <dcterms:modified xsi:type="dcterms:W3CDTF">2022-07-08T17:31:00Z</dcterms:modified>
</cp:coreProperties>
</file>