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BD5BF" w14:textId="19E5FA98" w:rsidR="009F02F0" w:rsidRPr="003227FF" w:rsidRDefault="00562836" w:rsidP="00D44F9A">
      <w:pPr>
        <w:spacing w:before="120" w:after="240"/>
        <w:jc w:val="center"/>
        <w:rPr>
          <w:rFonts w:ascii="Cambria" w:hAnsi="Cambria"/>
          <w:b/>
          <w:sz w:val="28"/>
          <w:szCs w:val="28"/>
        </w:rPr>
      </w:pPr>
      <w:r w:rsidRPr="003227FF">
        <w:rPr>
          <w:rFonts w:ascii="Cambria" w:hAnsi="Cambria"/>
          <w:b/>
          <w:sz w:val="28"/>
          <w:szCs w:val="28"/>
        </w:rPr>
        <w:t>Anexos</w:t>
      </w:r>
      <w:r w:rsidR="00627436">
        <w:rPr>
          <w:rFonts w:ascii="Cambria" w:hAnsi="Cambria"/>
          <w:b/>
          <w:sz w:val="28"/>
          <w:szCs w:val="28"/>
        </w:rPr>
        <w:t xml:space="preserve"> al</w:t>
      </w:r>
    </w:p>
    <w:p w14:paraId="42A3DB5A" w14:textId="1209F0DA" w:rsidR="00AB24AF" w:rsidRDefault="00AB24AF" w:rsidP="00D44F9A">
      <w:pPr>
        <w:spacing w:before="120" w:after="240"/>
        <w:jc w:val="center"/>
        <w:rPr>
          <w:rFonts w:ascii="Cambria" w:hAnsi="Cambria"/>
          <w:b/>
          <w:sz w:val="28"/>
          <w:szCs w:val="28"/>
        </w:rPr>
      </w:pPr>
      <w:r w:rsidRPr="003227FF">
        <w:rPr>
          <w:rFonts w:ascii="Cambria" w:hAnsi="Cambria"/>
          <w:b/>
          <w:sz w:val="28"/>
          <w:szCs w:val="28"/>
        </w:rPr>
        <w:t>Reglamento de Información Financiera</w:t>
      </w:r>
    </w:p>
    <w:p w14:paraId="2269A05B" w14:textId="08427874" w:rsidR="00627436" w:rsidRPr="003227FF" w:rsidRDefault="00627436" w:rsidP="00D44F9A">
      <w:pPr>
        <w:spacing w:before="120" w:after="240"/>
        <w:jc w:val="center"/>
        <w:rPr>
          <w:rFonts w:ascii="Cambria" w:hAnsi="Cambria"/>
          <w:b/>
          <w:sz w:val="28"/>
          <w:szCs w:val="28"/>
        </w:rPr>
      </w:pPr>
      <w:r>
        <w:rPr>
          <w:rFonts w:ascii="Cambria" w:hAnsi="Cambria"/>
          <w:b/>
          <w:sz w:val="28"/>
          <w:szCs w:val="28"/>
        </w:rPr>
        <w:t>Acuerdo CONASSIF 6-18</w:t>
      </w:r>
    </w:p>
    <w:p w14:paraId="2322D2CE" w14:textId="192BA15F" w:rsidR="00691D83" w:rsidRPr="003227FF" w:rsidRDefault="00562836">
      <w:pPr>
        <w:spacing w:before="120" w:after="240"/>
        <w:jc w:val="both"/>
        <w:rPr>
          <w:rFonts w:ascii="Cambria" w:hAnsi="Cambria"/>
        </w:rPr>
      </w:pPr>
      <w:r w:rsidRPr="003227FF">
        <w:rPr>
          <w:rFonts w:ascii="Cambria" w:hAnsi="Cambria"/>
          <w:b/>
        </w:rPr>
        <w:t>Anexo 1</w:t>
      </w:r>
      <w:r w:rsidR="00C21B54" w:rsidRPr="003227FF">
        <w:rPr>
          <w:rFonts w:ascii="Cambria" w:hAnsi="Cambria"/>
        </w:rPr>
        <w:t xml:space="preserve">: </w:t>
      </w:r>
      <w:r w:rsidRPr="003227FF">
        <w:rPr>
          <w:rFonts w:ascii="Cambria" w:hAnsi="Cambria"/>
        </w:rPr>
        <w:t>Plan de cuentas para las entidades supervisadas por SUGEF, SUGEVAL y SUPEN, los grupos y conglomerados financieros</w:t>
      </w:r>
      <w:bookmarkStart w:id="0" w:name="Anexo1"/>
      <w:r w:rsidR="00F25FD4">
        <w:rPr>
          <w:rFonts w:ascii="Cambria" w:hAnsi="Cambria"/>
        </w:rPr>
        <w:t xml:space="preserve"> </w:t>
      </w:r>
      <w:bookmarkEnd w:id="0"/>
    </w:p>
    <w:p w14:paraId="09FDEAC7" w14:textId="5A0F5E56" w:rsidR="009E215B" w:rsidRPr="003227FF" w:rsidRDefault="00F57B5A">
      <w:pPr>
        <w:spacing w:before="120" w:after="240"/>
        <w:jc w:val="both"/>
        <w:rPr>
          <w:rFonts w:ascii="Cambria" w:hAnsi="Cambria"/>
          <w:strike/>
        </w:rPr>
      </w:pPr>
      <w:r>
        <w:rPr>
          <w:rFonts w:ascii="Cambria" w:hAnsi="Cambria"/>
          <w:strike/>
        </w:rPr>
        <w:object w:dxaOrig="1508" w:dyaOrig="983" w14:anchorId="1AA2F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3pt;height:49.2pt" o:ole="">
            <v:imagedata r:id="rId10" o:title=""/>
          </v:shape>
          <o:OLEObject Type="Embed" ProgID="Package" ShapeID="_x0000_i1030" DrawAspect="Icon" ObjectID="_1763788001" r:id="rId11"/>
        </w:object>
      </w:r>
    </w:p>
    <w:p w14:paraId="6D2481C6" w14:textId="77777777" w:rsidR="001054E4" w:rsidRPr="003227FF" w:rsidRDefault="001054E4">
      <w:pPr>
        <w:spacing w:before="120" w:after="240"/>
        <w:jc w:val="both"/>
        <w:rPr>
          <w:rFonts w:ascii="Cambria" w:hAnsi="Cambria"/>
          <w:strike/>
        </w:rPr>
      </w:pPr>
    </w:p>
    <w:p w14:paraId="2C936C96" w14:textId="0E31B974" w:rsidR="00562836" w:rsidRPr="003227FF" w:rsidRDefault="00562836">
      <w:pPr>
        <w:spacing w:before="120" w:after="240"/>
        <w:jc w:val="both"/>
        <w:rPr>
          <w:rFonts w:ascii="Cambria" w:hAnsi="Cambria"/>
        </w:rPr>
      </w:pPr>
      <w:r w:rsidRPr="003227FF">
        <w:rPr>
          <w:rFonts w:ascii="Cambria" w:hAnsi="Cambria"/>
          <w:b/>
        </w:rPr>
        <w:t>Anexo 2</w:t>
      </w:r>
      <w:r w:rsidR="00C21B54" w:rsidRPr="003227FF">
        <w:rPr>
          <w:rFonts w:ascii="Cambria" w:hAnsi="Cambria"/>
        </w:rPr>
        <w:t xml:space="preserve">: </w:t>
      </w:r>
      <w:r w:rsidRPr="003227FF">
        <w:rPr>
          <w:rFonts w:ascii="Cambria" w:hAnsi="Cambria"/>
        </w:rPr>
        <w:t>Plan de cuentas para las e</w:t>
      </w:r>
      <w:r w:rsidR="009E215B" w:rsidRPr="003227FF">
        <w:rPr>
          <w:rFonts w:ascii="Cambria" w:hAnsi="Cambria"/>
        </w:rPr>
        <w:t>ntidades supervisadas por SUGESE</w:t>
      </w:r>
      <w:r w:rsidR="00FD16A4">
        <w:rPr>
          <w:rFonts w:ascii="Cambria" w:hAnsi="Cambria"/>
        </w:rPr>
        <w:t xml:space="preserve"> </w:t>
      </w:r>
    </w:p>
    <w:p w14:paraId="5D774B85" w14:textId="6089839D" w:rsidR="00DD08A3" w:rsidRPr="00DD08A3" w:rsidRDefault="00DD08A3">
      <w:pPr>
        <w:spacing w:before="120" w:after="240"/>
        <w:jc w:val="both"/>
        <w:rPr>
          <w:rFonts w:ascii="Cambria" w:hAnsi="Cambria"/>
          <w:bCs/>
          <w:color w:val="000000" w:themeColor="text1"/>
          <w:lang w:val="en-US"/>
        </w:rPr>
      </w:pPr>
      <w:r>
        <w:rPr>
          <w:rFonts w:ascii="Cambria" w:hAnsi="Cambria"/>
          <w:b/>
          <w:color w:val="000000" w:themeColor="text1"/>
          <w:lang w:val="en-US"/>
        </w:rPr>
        <w:t xml:space="preserve">Enlace: </w:t>
      </w:r>
      <w:hyperlink r:id="rId12" w:history="1">
        <w:r w:rsidRPr="00DD08A3">
          <w:rPr>
            <w:rStyle w:val="Hipervnculo"/>
            <w:rFonts w:ascii="Cambria" w:hAnsi="Cambria"/>
            <w:bCs/>
            <w:lang w:val="en-US"/>
          </w:rPr>
          <w:t>https://www.sugese.fi.cr/seccion-marco-legal/ReglamentoMercadoSeguros/ANEXO2-RIF_NIIF17.pdf</w:t>
        </w:r>
      </w:hyperlink>
    </w:p>
    <w:p w14:paraId="1D8179F8" w14:textId="77777777" w:rsidR="00766072" w:rsidRPr="003227FF" w:rsidRDefault="00766072">
      <w:pPr>
        <w:spacing w:before="120" w:after="240"/>
        <w:jc w:val="both"/>
        <w:rPr>
          <w:rFonts w:ascii="Cambria" w:hAnsi="Cambria"/>
          <w:strike/>
          <w:lang w:val="en-US"/>
        </w:rPr>
      </w:pPr>
    </w:p>
    <w:p w14:paraId="0B30EFCC" w14:textId="39DA7E72" w:rsidR="00562836" w:rsidRPr="003227FF" w:rsidRDefault="00562836">
      <w:pPr>
        <w:spacing w:before="120" w:after="240"/>
        <w:jc w:val="both"/>
        <w:rPr>
          <w:rFonts w:ascii="Cambria" w:hAnsi="Cambria"/>
        </w:rPr>
      </w:pPr>
      <w:r w:rsidRPr="003227FF">
        <w:rPr>
          <w:rFonts w:ascii="Cambria" w:hAnsi="Cambria"/>
          <w:b/>
        </w:rPr>
        <w:t>Anexo 3</w:t>
      </w:r>
      <w:r w:rsidR="00C21B54" w:rsidRPr="003227FF">
        <w:rPr>
          <w:rFonts w:ascii="Cambria" w:hAnsi="Cambria"/>
        </w:rPr>
        <w:t xml:space="preserve">: </w:t>
      </w:r>
      <w:r w:rsidRPr="003227FF">
        <w:rPr>
          <w:rFonts w:ascii="Cambria" w:hAnsi="Cambria"/>
        </w:rPr>
        <w:t>Catálogo de cuentas para las entidades supervisadas por SUGEF, SUGEVAL y SUPEN, los grupos y conglomerados financieros</w:t>
      </w:r>
      <w:r w:rsidR="00F25FD4">
        <w:rPr>
          <w:rFonts w:ascii="Cambria" w:hAnsi="Cambria"/>
        </w:rPr>
        <w:t xml:space="preserve"> </w:t>
      </w:r>
    </w:p>
    <w:p w14:paraId="6F6C0A45" w14:textId="33D7A7B8" w:rsidR="00691D83" w:rsidRPr="003227FF" w:rsidRDefault="00F57B5A">
      <w:pPr>
        <w:spacing w:before="120" w:after="240"/>
        <w:jc w:val="both"/>
        <w:rPr>
          <w:rFonts w:ascii="Cambria" w:hAnsi="Cambria"/>
          <w:strike/>
        </w:rPr>
      </w:pPr>
      <w:r>
        <w:rPr>
          <w:rFonts w:ascii="Cambria" w:hAnsi="Cambria"/>
          <w:strike/>
        </w:rPr>
        <w:object w:dxaOrig="1508" w:dyaOrig="983" w14:anchorId="734A0F83">
          <v:shape id="_x0000_i1034" type="#_x0000_t75" style="width:75.3pt;height:49.2pt" o:ole="">
            <v:imagedata r:id="rId13" o:title=""/>
          </v:shape>
          <o:OLEObject Type="Embed" ProgID="Excel.Sheet.12" ShapeID="_x0000_i1034" DrawAspect="Icon" ObjectID="_1763788002" r:id="rId14"/>
        </w:object>
      </w:r>
    </w:p>
    <w:p w14:paraId="1ED2FCDE" w14:textId="77777777" w:rsidR="00F21AD9" w:rsidRPr="003227FF" w:rsidRDefault="00F21AD9">
      <w:pPr>
        <w:spacing w:before="120" w:after="240"/>
        <w:jc w:val="both"/>
        <w:rPr>
          <w:rFonts w:ascii="Cambria" w:hAnsi="Cambria"/>
          <w:strike/>
        </w:rPr>
      </w:pPr>
    </w:p>
    <w:p w14:paraId="1F3B979C" w14:textId="5541943E" w:rsidR="00562836" w:rsidRPr="003227FF" w:rsidRDefault="00562836">
      <w:pPr>
        <w:pStyle w:val="NormalWeb"/>
        <w:spacing w:before="120" w:beforeAutospacing="0" w:after="240" w:afterAutospacing="0"/>
        <w:jc w:val="both"/>
        <w:rPr>
          <w:rFonts w:ascii="Cambria" w:hAnsi="Cambria"/>
          <w:color w:val="auto"/>
          <w:sz w:val="24"/>
          <w:szCs w:val="24"/>
        </w:rPr>
      </w:pPr>
      <w:r w:rsidRPr="003227FF">
        <w:rPr>
          <w:rFonts w:ascii="Cambria" w:hAnsi="Cambria"/>
          <w:b/>
          <w:color w:val="auto"/>
          <w:sz w:val="24"/>
          <w:szCs w:val="24"/>
        </w:rPr>
        <w:lastRenderedPageBreak/>
        <w:t>Anexo 4</w:t>
      </w:r>
      <w:r w:rsidR="00415999" w:rsidRPr="003227FF">
        <w:rPr>
          <w:rFonts w:ascii="Cambria" w:hAnsi="Cambria"/>
          <w:sz w:val="24"/>
          <w:szCs w:val="24"/>
        </w:rPr>
        <w:t xml:space="preserve">: </w:t>
      </w:r>
      <w:r w:rsidRPr="003227FF">
        <w:rPr>
          <w:rFonts w:ascii="Cambria" w:hAnsi="Cambria"/>
          <w:color w:val="auto"/>
          <w:sz w:val="24"/>
          <w:szCs w:val="24"/>
        </w:rPr>
        <w:t>Catálogo de cuentas para las entidades supervisadas por SUGESE</w:t>
      </w:r>
    </w:p>
    <w:p w14:paraId="4C33EFAC" w14:textId="351BC81E" w:rsidR="00435F70" w:rsidRPr="00DD08A3" w:rsidRDefault="00DD08A3">
      <w:pPr>
        <w:pStyle w:val="NormalWeb"/>
        <w:spacing w:before="120" w:beforeAutospacing="0" w:after="240" w:afterAutospacing="0"/>
        <w:jc w:val="both"/>
        <w:rPr>
          <w:rFonts w:ascii="Cambria" w:hAnsi="Cambria"/>
          <w:bCs/>
          <w:sz w:val="24"/>
          <w:szCs w:val="24"/>
          <w:lang w:val="en-US"/>
        </w:rPr>
      </w:pPr>
      <w:r w:rsidRPr="00DD08A3">
        <w:rPr>
          <w:rFonts w:ascii="Cambria" w:hAnsi="Cambria"/>
          <w:b/>
          <w:color w:val="000000" w:themeColor="text1"/>
          <w:sz w:val="24"/>
          <w:szCs w:val="24"/>
          <w:lang w:val="en-US"/>
        </w:rPr>
        <w:t xml:space="preserve">Enlace: </w:t>
      </w:r>
      <w:r w:rsidRPr="00DD08A3">
        <w:rPr>
          <w:rFonts w:ascii="Cambria" w:hAnsi="Cambria"/>
          <w:bCs/>
          <w:color w:val="000000" w:themeColor="text1"/>
          <w:sz w:val="24"/>
          <w:szCs w:val="24"/>
          <w:lang w:val="en-US"/>
        </w:rPr>
        <w:t>https://www.sugese.fi.cr/seccion-marco-legal/ReglamentoMercadoSeguros/ANEXO4-RIF_NIIF17.xlsx</w:t>
      </w:r>
    </w:p>
    <w:p w14:paraId="7F7E7591" w14:textId="4FE0EE6E" w:rsidR="00CA44F2" w:rsidRPr="003227FF" w:rsidRDefault="00562836" w:rsidP="00CA4B70">
      <w:pPr>
        <w:pStyle w:val="NormalWeb"/>
        <w:spacing w:before="120" w:beforeAutospacing="0" w:after="240" w:afterAutospacing="0"/>
        <w:jc w:val="both"/>
        <w:rPr>
          <w:rFonts w:ascii="Cambria" w:hAnsi="Cambria"/>
          <w:color w:val="auto"/>
          <w:sz w:val="24"/>
          <w:szCs w:val="24"/>
        </w:rPr>
      </w:pPr>
      <w:r w:rsidRPr="003227FF">
        <w:rPr>
          <w:rFonts w:ascii="Cambria" w:hAnsi="Cambria"/>
          <w:b/>
          <w:color w:val="auto"/>
          <w:sz w:val="24"/>
          <w:szCs w:val="24"/>
        </w:rPr>
        <w:t>Anexo 5</w:t>
      </w:r>
      <w:r w:rsidR="00C21B54" w:rsidRPr="003227FF">
        <w:rPr>
          <w:rFonts w:ascii="Cambria" w:hAnsi="Cambria"/>
          <w:b/>
          <w:color w:val="auto"/>
          <w:sz w:val="24"/>
          <w:szCs w:val="24"/>
        </w:rPr>
        <w:t xml:space="preserve">: </w:t>
      </w:r>
      <w:r w:rsidR="00415999" w:rsidRPr="003227FF">
        <w:rPr>
          <w:rFonts w:ascii="Cambria" w:hAnsi="Cambria"/>
          <w:color w:val="auto"/>
          <w:sz w:val="24"/>
          <w:szCs w:val="24"/>
        </w:rPr>
        <w:t>Modelos de e</w:t>
      </w:r>
      <w:r w:rsidRPr="003227FF">
        <w:rPr>
          <w:rFonts w:ascii="Cambria" w:hAnsi="Cambria"/>
          <w:color w:val="auto"/>
          <w:sz w:val="24"/>
          <w:szCs w:val="24"/>
        </w:rPr>
        <w:t>stados financieros</w:t>
      </w:r>
      <w:r w:rsidR="00FD16A4">
        <w:rPr>
          <w:rFonts w:ascii="Cambria" w:hAnsi="Cambria"/>
          <w:color w:val="auto"/>
          <w:sz w:val="24"/>
          <w:szCs w:val="24"/>
        </w:rPr>
        <w:t xml:space="preserve"> </w:t>
      </w:r>
    </w:p>
    <w:p w14:paraId="317144F2" w14:textId="37AF2A62" w:rsidR="00231D01" w:rsidRDefault="00F57B5A" w:rsidP="00CA4B70">
      <w:pPr>
        <w:pStyle w:val="NormalWeb"/>
        <w:spacing w:before="120" w:beforeAutospacing="0" w:after="240" w:afterAutospacing="0"/>
        <w:jc w:val="both"/>
        <w:rPr>
          <w:rFonts w:ascii="Cambria" w:hAnsi="Cambria"/>
          <w:color w:val="auto"/>
          <w:sz w:val="24"/>
          <w:szCs w:val="24"/>
        </w:rPr>
      </w:pPr>
      <w:r>
        <w:rPr>
          <w:rFonts w:ascii="Cambria" w:hAnsi="Cambria"/>
          <w:color w:val="auto"/>
          <w:sz w:val="24"/>
          <w:szCs w:val="24"/>
        </w:rPr>
        <w:object w:dxaOrig="1508" w:dyaOrig="983" w14:anchorId="55F9CBAA">
          <v:shape id="_x0000_i1036" type="#_x0000_t75" style="width:75.3pt;height:49.2pt" o:ole="">
            <v:imagedata r:id="rId15" o:title=""/>
          </v:shape>
          <o:OLEObject Type="Embed" ProgID="Excel.Sheet.12" ShapeID="_x0000_i1036" DrawAspect="Icon" ObjectID="_1763788003" r:id="rId16"/>
        </w:object>
      </w:r>
    </w:p>
    <w:p w14:paraId="616EC8C3" w14:textId="77777777" w:rsidR="003227FF" w:rsidRPr="003227FF" w:rsidRDefault="003227FF" w:rsidP="00CA4B70">
      <w:pPr>
        <w:pStyle w:val="NormalWeb"/>
        <w:spacing w:before="120" w:beforeAutospacing="0" w:after="240" w:afterAutospacing="0"/>
        <w:jc w:val="both"/>
        <w:rPr>
          <w:rFonts w:ascii="Cambria" w:hAnsi="Cambria"/>
          <w:color w:val="auto"/>
          <w:sz w:val="24"/>
          <w:szCs w:val="24"/>
        </w:rPr>
      </w:pPr>
    </w:p>
    <w:p w14:paraId="7218BA4D" w14:textId="77777777" w:rsidR="00415999" w:rsidRPr="003227FF" w:rsidRDefault="00415999" w:rsidP="00CA4B70">
      <w:pPr>
        <w:pStyle w:val="NormalWeb"/>
        <w:spacing w:before="120" w:beforeAutospacing="0" w:after="240" w:afterAutospacing="0"/>
        <w:jc w:val="both"/>
        <w:rPr>
          <w:rFonts w:ascii="Cambria" w:hAnsi="Cambria"/>
          <w:color w:val="auto"/>
          <w:sz w:val="24"/>
          <w:szCs w:val="24"/>
        </w:rPr>
      </w:pPr>
      <w:r w:rsidRPr="003227FF">
        <w:rPr>
          <w:rFonts w:ascii="Cambria" w:hAnsi="Cambria"/>
          <w:b/>
          <w:color w:val="auto"/>
          <w:sz w:val="24"/>
          <w:szCs w:val="24"/>
        </w:rPr>
        <w:t xml:space="preserve">Anexo 6: </w:t>
      </w:r>
      <w:r w:rsidRPr="003227FF">
        <w:rPr>
          <w:rFonts w:ascii="Cambria" w:hAnsi="Cambria"/>
          <w:color w:val="auto"/>
          <w:sz w:val="24"/>
          <w:szCs w:val="24"/>
        </w:rPr>
        <w:t>Formatos de Publicación</w:t>
      </w:r>
    </w:p>
    <w:bookmarkStart w:id="1" w:name="_MON_1597737659"/>
    <w:bookmarkEnd w:id="1"/>
    <w:p w14:paraId="39B01788" w14:textId="77777777" w:rsidR="002F1ED3" w:rsidRDefault="00B9575E" w:rsidP="00CA4B70">
      <w:pPr>
        <w:pStyle w:val="NormalWeb"/>
        <w:spacing w:before="120" w:beforeAutospacing="0" w:after="240" w:afterAutospacing="0"/>
        <w:jc w:val="both"/>
        <w:rPr>
          <w:rFonts w:ascii="Cambria" w:hAnsi="Cambria"/>
          <w:b/>
          <w:color w:val="auto"/>
          <w:sz w:val="24"/>
          <w:szCs w:val="24"/>
        </w:rPr>
      </w:pPr>
      <w:r w:rsidRPr="003227FF">
        <w:rPr>
          <w:rFonts w:ascii="Cambria" w:hAnsi="Cambria"/>
          <w:b/>
          <w:color w:val="auto"/>
          <w:sz w:val="24"/>
          <w:szCs w:val="24"/>
        </w:rPr>
        <w:object w:dxaOrig="1543" w:dyaOrig="991" w14:anchorId="1E7C43F2">
          <v:shape id="_x0000_i1028" type="#_x0000_t75" style="width:77.1pt;height:49.5pt" o:ole="">
            <v:imagedata r:id="rId17" o:title=""/>
          </v:shape>
          <o:OLEObject Type="Embed" ProgID="Word.Document.12" ShapeID="_x0000_i1028" DrawAspect="Icon" ObjectID="_1763788004" r:id="rId18">
            <o:FieldCodes>\s</o:FieldCodes>
          </o:OLEObject>
        </w:object>
      </w:r>
    </w:p>
    <w:p w14:paraId="57701FDB" w14:textId="26CB486D" w:rsidR="003227FF" w:rsidRDefault="003227FF">
      <w:pPr>
        <w:spacing w:after="160" w:line="259" w:lineRule="auto"/>
        <w:rPr>
          <w:rFonts w:ascii="Cambria" w:hAnsi="Cambria"/>
          <w:b/>
        </w:rPr>
      </w:pPr>
    </w:p>
    <w:p w14:paraId="5FA641B5" w14:textId="08339ADE" w:rsidR="00627436" w:rsidRDefault="00627436">
      <w:pPr>
        <w:spacing w:after="160" w:line="259" w:lineRule="auto"/>
        <w:rPr>
          <w:rFonts w:ascii="Cambria" w:hAnsi="Cambria"/>
          <w:b/>
        </w:rPr>
      </w:pPr>
    </w:p>
    <w:p w14:paraId="3EC8EF85" w14:textId="3D9995FC" w:rsidR="00627436" w:rsidRDefault="00627436">
      <w:pPr>
        <w:spacing w:after="160" w:line="259" w:lineRule="auto"/>
        <w:rPr>
          <w:rFonts w:ascii="Cambria" w:hAnsi="Cambria"/>
          <w:b/>
        </w:rPr>
      </w:pPr>
    </w:p>
    <w:p w14:paraId="481BC820" w14:textId="6CD95CD2" w:rsidR="00627436" w:rsidRDefault="00627436">
      <w:pPr>
        <w:spacing w:after="160" w:line="259" w:lineRule="auto"/>
        <w:rPr>
          <w:rFonts w:ascii="Cambria" w:hAnsi="Cambria"/>
          <w:b/>
        </w:rPr>
      </w:pPr>
    </w:p>
    <w:p w14:paraId="69CAE563" w14:textId="27CF05F8" w:rsidR="00627436" w:rsidRDefault="00627436">
      <w:pPr>
        <w:spacing w:after="160" w:line="259" w:lineRule="auto"/>
        <w:rPr>
          <w:rFonts w:ascii="Cambria" w:hAnsi="Cambria"/>
          <w:b/>
        </w:rPr>
      </w:pPr>
    </w:p>
    <w:p w14:paraId="4C24D05D" w14:textId="3B5A4E63" w:rsidR="00627436" w:rsidRDefault="00627436">
      <w:pPr>
        <w:spacing w:after="160" w:line="259" w:lineRule="auto"/>
        <w:rPr>
          <w:rFonts w:ascii="Cambria" w:hAnsi="Cambria"/>
          <w:b/>
        </w:rPr>
      </w:pPr>
    </w:p>
    <w:p w14:paraId="127DF433" w14:textId="77777777" w:rsidR="00627436" w:rsidRDefault="00627436">
      <w:pPr>
        <w:spacing w:after="160" w:line="259" w:lineRule="auto"/>
        <w:rPr>
          <w:rFonts w:ascii="Cambria" w:hAnsi="Cambria"/>
          <w:b/>
        </w:rPr>
      </w:pPr>
    </w:p>
    <w:p w14:paraId="0382EDCD" w14:textId="77777777" w:rsidR="00415999" w:rsidRPr="003227FF" w:rsidRDefault="00415999" w:rsidP="00CA4B70">
      <w:pPr>
        <w:pStyle w:val="NormalWeb"/>
        <w:spacing w:before="120" w:beforeAutospacing="0" w:after="240" w:afterAutospacing="0"/>
        <w:jc w:val="both"/>
        <w:rPr>
          <w:rFonts w:ascii="Cambria" w:hAnsi="Cambria"/>
          <w:color w:val="auto"/>
          <w:sz w:val="24"/>
          <w:szCs w:val="24"/>
        </w:rPr>
      </w:pPr>
      <w:r w:rsidRPr="003227FF">
        <w:rPr>
          <w:rFonts w:ascii="Cambria" w:hAnsi="Cambria"/>
          <w:b/>
          <w:color w:val="auto"/>
          <w:sz w:val="24"/>
          <w:szCs w:val="24"/>
        </w:rPr>
        <w:lastRenderedPageBreak/>
        <w:t>Anexo 7</w:t>
      </w:r>
      <w:r w:rsidR="0021723B" w:rsidRPr="003227FF">
        <w:rPr>
          <w:rFonts w:ascii="Cambria" w:hAnsi="Cambria"/>
          <w:b/>
          <w:color w:val="auto"/>
          <w:sz w:val="24"/>
          <w:szCs w:val="24"/>
        </w:rPr>
        <w:t xml:space="preserve">: </w:t>
      </w:r>
      <w:r w:rsidR="0021723B" w:rsidRPr="003227FF">
        <w:rPr>
          <w:rFonts w:ascii="Cambria" w:hAnsi="Cambria"/>
          <w:color w:val="auto"/>
          <w:sz w:val="24"/>
          <w:szCs w:val="24"/>
        </w:rPr>
        <w:t>Diagrama codificación del catálogo de cuentas</w:t>
      </w:r>
    </w:p>
    <w:p w14:paraId="50E991C3" w14:textId="77777777" w:rsidR="000C3A32" w:rsidRPr="003227FF" w:rsidRDefault="000C3A32" w:rsidP="00CA4B70">
      <w:pPr>
        <w:pStyle w:val="NormalWeb"/>
        <w:spacing w:before="120" w:beforeAutospacing="0" w:after="240" w:afterAutospacing="0"/>
        <w:jc w:val="both"/>
        <w:rPr>
          <w:rFonts w:ascii="Cambria" w:hAnsi="Cambria"/>
          <w:b/>
          <w:color w:val="auto"/>
          <w:sz w:val="24"/>
          <w:szCs w:val="24"/>
        </w:rPr>
      </w:pPr>
      <w:r w:rsidRPr="003227FF">
        <w:rPr>
          <w:rFonts w:ascii="Cambria" w:hAnsi="Cambria"/>
          <w:b/>
          <w:color w:val="auto"/>
          <w:sz w:val="24"/>
          <w:szCs w:val="24"/>
        </w:rPr>
        <w:t xml:space="preserve">                    </w:t>
      </w:r>
      <w:r w:rsidRPr="003227FF">
        <w:rPr>
          <w:rFonts w:ascii="Cambria" w:hAnsi="Cambria"/>
          <w:b/>
          <w:color w:val="auto"/>
          <w:sz w:val="24"/>
          <w:szCs w:val="24"/>
        </w:rPr>
        <w:tab/>
      </w:r>
      <w:r w:rsidRPr="003227FF">
        <w:rPr>
          <w:rFonts w:ascii="Cambria" w:hAnsi="Cambria"/>
          <w:b/>
          <w:color w:val="auto"/>
          <w:sz w:val="24"/>
          <w:szCs w:val="24"/>
        </w:rPr>
        <w:tab/>
        <w:t>Plan de cuentas Homologado</w:t>
      </w:r>
      <w:r w:rsidRPr="003227FF">
        <w:rPr>
          <w:rFonts w:ascii="Cambria" w:hAnsi="Cambria"/>
          <w:b/>
          <w:color w:val="auto"/>
          <w:sz w:val="24"/>
          <w:szCs w:val="24"/>
        </w:rPr>
        <w:tab/>
      </w:r>
      <w:r w:rsidRPr="003227FF">
        <w:rPr>
          <w:rFonts w:ascii="Cambria" w:hAnsi="Cambria"/>
          <w:b/>
          <w:color w:val="auto"/>
          <w:sz w:val="24"/>
          <w:szCs w:val="24"/>
        </w:rPr>
        <w:tab/>
      </w:r>
      <w:r w:rsidRPr="003227FF">
        <w:rPr>
          <w:rFonts w:ascii="Cambria" w:hAnsi="Cambria"/>
          <w:b/>
          <w:color w:val="auto"/>
          <w:sz w:val="24"/>
          <w:szCs w:val="24"/>
        </w:rPr>
        <w:tab/>
      </w:r>
      <w:r w:rsidRPr="003227FF">
        <w:rPr>
          <w:rFonts w:ascii="Cambria" w:hAnsi="Cambria"/>
          <w:b/>
          <w:color w:val="auto"/>
          <w:sz w:val="24"/>
          <w:szCs w:val="24"/>
        </w:rPr>
        <w:tab/>
        <w:t>Plan de cuentas SUGESE</w:t>
      </w:r>
    </w:p>
    <w:p w14:paraId="2B89B9D6" w14:textId="6C5A9C37" w:rsidR="0021723B" w:rsidRDefault="000C3A32" w:rsidP="000C3A32">
      <w:pPr>
        <w:pStyle w:val="NormalWeb"/>
        <w:spacing w:before="120" w:beforeAutospacing="0" w:after="240" w:afterAutospacing="0"/>
        <w:jc w:val="center"/>
      </w:pPr>
      <w:r w:rsidRPr="00B61810">
        <w:rPr>
          <w:noProof/>
          <w:lang w:val="es-CR" w:eastAsia="es-CR"/>
        </w:rPr>
        <w:drawing>
          <wp:inline distT="0" distB="0" distL="0" distR="0" wp14:anchorId="20475BD7" wp14:editId="7AE9E0F4">
            <wp:extent cx="2719120" cy="2084832"/>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1162" cy="2101732"/>
                    </a:xfrm>
                    <a:prstGeom prst="rect">
                      <a:avLst/>
                    </a:prstGeom>
                    <a:noFill/>
                    <a:ln>
                      <a:noFill/>
                    </a:ln>
                  </pic:spPr>
                </pic:pic>
              </a:graphicData>
            </a:graphic>
          </wp:inline>
        </w:drawing>
      </w:r>
      <w:r w:rsidR="00F25FD4">
        <w:t xml:space="preserve">     </w:t>
      </w:r>
      <w:r w:rsidR="0021723B" w:rsidRPr="00B61810">
        <w:rPr>
          <w:noProof/>
          <w:sz w:val="24"/>
          <w:szCs w:val="24"/>
          <w:lang w:val="es-CR" w:eastAsia="es-CR"/>
        </w:rPr>
        <w:drawing>
          <wp:inline distT="0" distB="0" distL="0" distR="0" wp14:anchorId="15AC2CC4" wp14:editId="01D8C7F9">
            <wp:extent cx="2601036" cy="2080829"/>
            <wp:effectExtent l="0" t="0" r="889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srcRect/>
                    <a:stretch>
                      <a:fillRect/>
                    </a:stretch>
                  </pic:blipFill>
                  <pic:spPr bwMode="auto">
                    <a:xfrm>
                      <a:off x="0" y="0"/>
                      <a:ext cx="2622562" cy="2098050"/>
                    </a:xfrm>
                    <a:prstGeom prst="rect">
                      <a:avLst/>
                    </a:prstGeom>
                    <a:noFill/>
                    <a:ln w="9525">
                      <a:noFill/>
                      <a:miter lim="800000"/>
                      <a:headEnd/>
                      <a:tailEnd/>
                    </a:ln>
                  </pic:spPr>
                </pic:pic>
              </a:graphicData>
            </a:graphic>
          </wp:inline>
        </w:drawing>
      </w:r>
    </w:p>
    <w:p w14:paraId="051EFD50" w14:textId="77777777" w:rsidR="00627436" w:rsidRDefault="00627436">
      <w:pPr>
        <w:spacing w:after="160" w:line="259" w:lineRule="auto"/>
        <w:rPr>
          <w:rFonts w:eastAsiaTheme="majorEastAsia"/>
          <w:b/>
          <w:bCs/>
          <w:lang w:eastAsia="es-CR"/>
        </w:rPr>
      </w:pPr>
      <w:bookmarkStart w:id="2" w:name="_Toc115946561"/>
      <w:r>
        <w:rPr>
          <w:b/>
          <w:bCs/>
          <w:lang w:eastAsia="es-CR"/>
        </w:rPr>
        <w:br w:type="page"/>
      </w:r>
    </w:p>
    <w:p w14:paraId="7D2508C9" w14:textId="050DFFE7" w:rsidR="0079058B" w:rsidRPr="0079058B" w:rsidRDefault="0079058B" w:rsidP="00F57B5A">
      <w:pPr>
        <w:pStyle w:val="Ttulo3"/>
        <w:spacing w:before="0" w:after="120"/>
        <w:rPr>
          <w:rFonts w:ascii="Times New Roman" w:hAnsi="Times New Roman" w:cs="Times New Roman"/>
          <w:b/>
          <w:bCs/>
          <w:color w:val="auto"/>
          <w:lang w:eastAsia="es-CR"/>
        </w:rPr>
      </w:pPr>
      <w:r w:rsidRPr="0079058B">
        <w:rPr>
          <w:rFonts w:ascii="Times New Roman" w:hAnsi="Times New Roman" w:cs="Times New Roman"/>
          <w:b/>
          <w:bCs/>
          <w:color w:val="auto"/>
          <w:lang w:eastAsia="es-CR"/>
        </w:rPr>
        <w:lastRenderedPageBreak/>
        <w:t>HISTORIAL DE CAMBIOS</w:t>
      </w:r>
      <w:bookmarkEnd w:id="2"/>
    </w:p>
    <w:p w14:paraId="350F35DB" w14:textId="77777777" w:rsidR="0079058B" w:rsidRPr="0079058B" w:rsidRDefault="0079058B" w:rsidP="00F57B5A">
      <w:pPr>
        <w:spacing w:after="120"/>
        <w:rPr>
          <w:lang w:eastAsia="es-CR"/>
        </w:rPr>
      </w:pPr>
    </w:p>
    <w:p w14:paraId="10CF002F" w14:textId="77777777" w:rsidR="0079058B" w:rsidRPr="00425102" w:rsidRDefault="0079058B" w:rsidP="00F57B5A">
      <w:pPr>
        <w:widowControl w:val="0"/>
        <w:spacing w:after="120"/>
        <w:ind w:left="1418" w:hanging="1418"/>
        <w:jc w:val="both"/>
        <w:rPr>
          <w:bCs/>
          <w:sz w:val="22"/>
          <w:szCs w:val="22"/>
          <w:lang w:eastAsia="es-CR"/>
        </w:rPr>
      </w:pPr>
      <w:bookmarkStart w:id="3" w:name="Version1"/>
      <w:r w:rsidRPr="00425102">
        <w:rPr>
          <w:b/>
          <w:bCs/>
          <w:sz w:val="22"/>
          <w:szCs w:val="22"/>
          <w:lang w:eastAsia="es-CR"/>
        </w:rPr>
        <w:t>Versión 01</w:t>
      </w:r>
      <w:bookmarkEnd w:id="3"/>
      <w:r w:rsidRPr="00425102">
        <w:rPr>
          <w:bCs/>
          <w:sz w:val="22"/>
          <w:szCs w:val="22"/>
          <w:lang w:eastAsia="es-CR"/>
        </w:rPr>
        <w:t>:</w:t>
      </w:r>
      <w:r>
        <w:rPr>
          <w:bCs/>
          <w:sz w:val="22"/>
          <w:szCs w:val="22"/>
          <w:lang w:eastAsia="es-CR"/>
        </w:rPr>
        <w:tab/>
      </w:r>
      <w:r w:rsidRPr="00425102">
        <w:rPr>
          <w:bCs/>
          <w:sz w:val="22"/>
          <w:szCs w:val="22"/>
          <w:lang w:eastAsia="es-CR"/>
        </w:rPr>
        <w:t xml:space="preserve">Texto del reglamento aprobado por el </w:t>
      </w:r>
      <w:r w:rsidRPr="00425102">
        <w:rPr>
          <w:sz w:val="22"/>
          <w:szCs w:val="22"/>
        </w:rPr>
        <w:t xml:space="preserve">Consejo Nacional de Supervisión del Sistema Financiero mediante los artículos 6 y 5 de las actas de las sesiones 1442-2018 y 1443-2018, ambas celebradas el 11 de setiembre de 2018. </w:t>
      </w:r>
      <w:r w:rsidRPr="00425102">
        <w:rPr>
          <w:bCs/>
          <w:sz w:val="22"/>
          <w:szCs w:val="22"/>
          <w:lang w:eastAsia="es-CR"/>
        </w:rPr>
        <w:t xml:space="preserve">Rige a partir del 1 de enero del 2020. </w:t>
      </w:r>
      <w:r w:rsidRPr="00425102">
        <w:rPr>
          <w:sz w:val="22"/>
          <w:szCs w:val="22"/>
        </w:rPr>
        <w:t>P</w:t>
      </w:r>
      <w:r w:rsidRPr="00425102">
        <w:rPr>
          <w:bCs/>
          <w:sz w:val="22"/>
          <w:szCs w:val="22"/>
          <w:lang w:eastAsia="es-CR"/>
        </w:rPr>
        <w:t xml:space="preserve">endiente de publicación en La Gaceta. </w:t>
      </w:r>
    </w:p>
    <w:p w14:paraId="7046B39C" w14:textId="77777777" w:rsidR="0079058B" w:rsidRPr="00425102" w:rsidRDefault="0079058B" w:rsidP="00F57B5A">
      <w:pPr>
        <w:spacing w:after="120"/>
        <w:ind w:left="1418" w:hanging="1418"/>
        <w:jc w:val="both"/>
        <w:rPr>
          <w:bCs/>
          <w:sz w:val="22"/>
          <w:szCs w:val="22"/>
          <w:lang w:eastAsia="es-CR"/>
        </w:rPr>
      </w:pPr>
      <w:r w:rsidRPr="00425102">
        <w:rPr>
          <w:b/>
          <w:bCs/>
          <w:sz w:val="22"/>
          <w:szCs w:val="22"/>
          <w:lang w:eastAsia="es-CR"/>
        </w:rPr>
        <w:t>Versión 02</w:t>
      </w:r>
      <w:r w:rsidRPr="00425102">
        <w:rPr>
          <w:bCs/>
          <w:sz w:val="22"/>
          <w:szCs w:val="22"/>
          <w:lang w:eastAsia="es-CR"/>
        </w:rPr>
        <w:t>:</w:t>
      </w:r>
      <w:r>
        <w:rPr>
          <w:bCs/>
          <w:sz w:val="22"/>
          <w:szCs w:val="22"/>
          <w:lang w:eastAsia="es-CR"/>
        </w:rPr>
        <w:tab/>
      </w:r>
      <w:r w:rsidRPr="00425102">
        <w:rPr>
          <w:bCs/>
          <w:sz w:val="22"/>
          <w:szCs w:val="22"/>
          <w:lang w:eastAsia="es-CR"/>
        </w:rPr>
        <w:t>Texto del reglamento publicado en el diario oficial La Gaceta no. 196 del Alcance 188 del 24 de octubre del 2018.</w:t>
      </w:r>
    </w:p>
    <w:p w14:paraId="63654BC6" w14:textId="77777777" w:rsidR="0079058B" w:rsidRPr="00425102" w:rsidRDefault="0079058B" w:rsidP="00F57B5A">
      <w:pPr>
        <w:tabs>
          <w:tab w:val="left" w:pos="1750"/>
        </w:tabs>
        <w:spacing w:after="120"/>
        <w:ind w:left="1418" w:hanging="1418"/>
        <w:jc w:val="both"/>
        <w:rPr>
          <w:i/>
          <w:sz w:val="22"/>
          <w:szCs w:val="22"/>
        </w:rPr>
      </w:pPr>
      <w:r w:rsidRPr="00425102">
        <w:rPr>
          <w:b/>
          <w:noProof/>
          <w:sz w:val="22"/>
          <w:szCs w:val="22"/>
          <w:lang w:val="es-CR" w:eastAsia="es-CR"/>
        </w:rPr>
        <w:t>Versión 03a</w:t>
      </w:r>
      <w:r w:rsidRPr="00425102">
        <w:rPr>
          <w:noProof/>
          <w:sz w:val="22"/>
          <w:szCs w:val="22"/>
          <w:lang w:val="es-CR" w:eastAsia="es-CR"/>
        </w:rPr>
        <w:t>:</w:t>
      </w:r>
      <w:r>
        <w:rPr>
          <w:noProof/>
          <w:sz w:val="22"/>
          <w:szCs w:val="22"/>
          <w:lang w:val="es-CR" w:eastAsia="es-CR"/>
        </w:rPr>
        <w:tab/>
      </w:r>
      <w:r w:rsidRPr="00425102">
        <w:rPr>
          <w:sz w:val="22"/>
          <w:szCs w:val="22"/>
        </w:rPr>
        <w:t>Adicionar la cuenta analítica</w:t>
      </w:r>
      <w:r w:rsidRPr="00425102">
        <w:rPr>
          <w:i/>
          <w:sz w:val="22"/>
          <w:szCs w:val="22"/>
        </w:rPr>
        <w:t xml:space="preserve"> 139.02.M.04 (Componente Genérico para Cartera de Créditos - Transitorio) </w:t>
      </w:r>
      <w:r w:rsidRPr="00425102">
        <w:rPr>
          <w:sz w:val="22"/>
          <w:szCs w:val="22"/>
        </w:rPr>
        <w:t xml:space="preserve">a los anexos 1, 2, 3 y 4 del </w:t>
      </w:r>
      <w:r w:rsidRPr="00425102">
        <w:rPr>
          <w:i/>
          <w:sz w:val="22"/>
          <w:szCs w:val="22"/>
        </w:rPr>
        <w:t xml:space="preserve">Reglamento de Información Financiera. </w:t>
      </w:r>
      <w:r w:rsidRPr="00425102">
        <w:rPr>
          <w:sz w:val="22"/>
          <w:szCs w:val="22"/>
        </w:rPr>
        <w:t>Aprobado por</w:t>
      </w:r>
      <w:r w:rsidRPr="00425102">
        <w:rPr>
          <w:i/>
          <w:sz w:val="22"/>
          <w:szCs w:val="22"/>
        </w:rPr>
        <w:t xml:space="preserve"> </w:t>
      </w:r>
      <w:r w:rsidRPr="00425102">
        <w:rPr>
          <w:sz w:val="22"/>
          <w:szCs w:val="22"/>
        </w:rPr>
        <w:t>el Consejo Nacional de Supervisión del Sistema Financiero en el artículo 6, del acta de la sesión 1515-2019, celebrada el 29 de julio de 2019. Publicado en el diario oficial La Gaceta no. 152 del Alcance 182 del 14 de agosto del 2019. Rige a partir del 1 de enero del 2020.</w:t>
      </w:r>
    </w:p>
    <w:p w14:paraId="4018DE8B" w14:textId="77777777" w:rsidR="0079058B" w:rsidRPr="00425102" w:rsidRDefault="0079058B" w:rsidP="00F57B5A">
      <w:pPr>
        <w:widowControl w:val="0"/>
        <w:spacing w:after="120"/>
        <w:ind w:left="1418" w:hanging="1418"/>
        <w:jc w:val="both"/>
        <w:rPr>
          <w:sz w:val="22"/>
          <w:szCs w:val="22"/>
        </w:rPr>
      </w:pPr>
      <w:r w:rsidRPr="00425102">
        <w:rPr>
          <w:b/>
          <w:noProof/>
          <w:sz w:val="22"/>
          <w:szCs w:val="22"/>
          <w:lang w:val="es-CR" w:eastAsia="es-CR"/>
        </w:rPr>
        <w:t>Versión 03b</w:t>
      </w:r>
      <w:r w:rsidRPr="00425102">
        <w:rPr>
          <w:noProof/>
          <w:sz w:val="22"/>
          <w:szCs w:val="22"/>
          <w:lang w:val="es-CR" w:eastAsia="es-CR"/>
        </w:rPr>
        <w:t>:</w:t>
      </w:r>
      <w:r>
        <w:rPr>
          <w:noProof/>
          <w:sz w:val="22"/>
          <w:szCs w:val="22"/>
          <w:lang w:val="es-CR" w:eastAsia="es-CR"/>
        </w:rPr>
        <w:tab/>
      </w:r>
      <w:r w:rsidRPr="00425102">
        <w:rPr>
          <w:color w:val="000000" w:themeColor="text1"/>
          <w:sz w:val="22"/>
          <w:szCs w:val="22"/>
        </w:rPr>
        <w:t xml:space="preserve">Modificación de los Anexos 1, 2, 3 y 4 del </w:t>
      </w:r>
      <w:r w:rsidRPr="00425102">
        <w:rPr>
          <w:i/>
          <w:color w:val="000000" w:themeColor="text1"/>
          <w:sz w:val="22"/>
          <w:szCs w:val="22"/>
        </w:rPr>
        <w:t>Reglamento de Información Financiera</w:t>
      </w:r>
      <w:r w:rsidRPr="00425102">
        <w:rPr>
          <w:color w:val="000000" w:themeColor="text1"/>
          <w:sz w:val="22"/>
          <w:szCs w:val="22"/>
        </w:rPr>
        <w:t>, a efectos de incorporar el concepto, las subcuentas y cuentas analíticas para el registro del Impuesto al Valor Agregado soportado y deducible, así como el registro del deterioro de las inversiones clasificadas a valor razonable con cambios en otro resultado integral. Aprobado por el</w:t>
      </w:r>
      <w:r w:rsidRPr="00425102">
        <w:rPr>
          <w:sz w:val="22"/>
          <w:szCs w:val="22"/>
        </w:rPr>
        <w:t xml:space="preserve"> Consejo Nacional de Supervisión del Sistema Financiero, en los artículos 7, de las actas de las sesiones 1539-2019 y 1540-2019, celebradas el 21 de octubre de 2019. Pendiente de publicación en el Diario Oficial La Gaceta. Rige a partir del 1° de enero del 2020.</w:t>
      </w:r>
    </w:p>
    <w:p w14:paraId="151E5EC1" w14:textId="60D9DD0A" w:rsidR="0079058B" w:rsidRPr="00425102" w:rsidRDefault="0079058B" w:rsidP="00F57B5A">
      <w:pPr>
        <w:widowControl w:val="0"/>
        <w:spacing w:after="120"/>
        <w:ind w:left="1418" w:hanging="1418"/>
        <w:jc w:val="both"/>
        <w:rPr>
          <w:color w:val="000000" w:themeColor="text1"/>
          <w:sz w:val="22"/>
          <w:szCs w:val="22"/>
        </w:rPr>
      </w:pPr>
      <w:r w:rsidRPr="00425102">
        <w:rPr>
          <w:b/>
          <w:noProof/>
          <w:sz w:val="22"/>
          <w:szCs w:val="22"/>
          <w:lang w:val="es-CR" w:eastAsia="es-CR"/>
        </w:rPr>
        <w:t>Versión 03c</w:t>
      </w:r>
      <w:r w:rsidRPr="00425102">
        <w:rPr>
          <w:noProof/>
          <w:sz w:val="22"/>
          <w:szCs w:val="22"/>
          <w:lang w:val="es-CR" w:eastAsia="es-CR"/>
        </w:rPr>
        <w:t>:</w:t>
      </w:r>
      <w:r>
        <w:rPr>
          <w:noProof/>
          <w:sz w:val="22"/>
          <w:szCs w:val="22"/>
          <w:lang w:val="es-CR" w:eastAsia="es-CR"/>
        </w:rPr>
        <w:tab/>
      </w:r>
      <w:r w:rsidRPr="00425102">
        <w:rPr>
          <w:color w:val="000000" w:themeColor="text1"/>
          <w:sz w:val="22"/>
          <w:szCs w:val="22"/>
        </w:rPr>
        <w:t>Modificación de los artículos 12 y 32, en relación a reexpresar los importes de moneda extranjera al tipo de cambio de venta de referencia del BCCR de conformidad con la Ley de Fortalecimiento de las Finanzas Públicas (Ley 9635). Modificación del Transitorio 1 donde se incluye lo siguiente: a) no se requieren estados financieros comparativos intermedios y anuales auditados para el 2020, b) se debe utilizar la cuenta de resultados acumulados para la implementación del RIF y c) aplicar en enero 2020 a los resultados del periodo el ajuste inicial por el tipo de cambio de referencia para la conversión de moneda extranjera. Aprobado por el</w:t>
      </w:r>
      <w:r w:rsidRPr="00425102">
        <w:rPr>
          <w:sz w:val="22"/>
          <w:szCs w:val="22"/>
        </w:rPr>
        <w:t xml:space="preserve"> Consejo Nacional de Supervisión del Sistema Financiero, en los artículos 10 y 6, de las actas de las sesiones 1545-2019 y 1546-2019, ambas celebradas el 25 de noviembre de 2019. </w:t>
      </w:r>
      <w:r w:rsidRPr="00425102">
        <w:rPr>
          <w:color w:val="000000" w:themeColor="text1"/>
          <w:sz w:val="22"/>
          <w:szCs w:val="22"/>
        </w:rPr>
        <w:t xml:space="preserve">Publicado en el Alcance 272 del Diario Oficial La Gaceta del 6 de diciembre de 2019. Rige a partir del </w:t>
      </w:r>
      <w:r w:rsidRPr="00425102">
        <w:rPr>
          <w:sz w:val="22"/>
          <w:szCs w:val="22"/>
        </w:rPr>
        <w:t xml:space="preserve">1° </w:t>
      </w:r>
      <w:r w:rsidRPr="00425102">
        <w:rPr>
          <w:color w:val="000000" w:themeColor="text1"/>
          <w:sz w:val="22"/>
          <w:szCs w:val="22"/>
        </w:rPr>
        <w:t>de enero del 2020</w:t>
      </w:r>
      <w:r w:rsidRPr="00425102">
        <w:rPr>
          <w:sz w:val="22"/>
          <w:szCs w:val="22"/>
        </w:rPr>
        <w:t>.</w:t>
      </w:r>
    </w:p>
    <w:p w14:paraId="4925C6F0" w14:textId="7A84C0D4" w:rsidR="0079058B" w:rsidRDefault="0079058B" w:rsidP="00F57B5A">
      <w:pPr>
        <w:widowControl w:val="0"/>
        <w:spacing w:after="120"/>
        <w:ind w:left="1418" w:hanging="1418"/>
        <w:jc w:val="both"/>
        <w:rPr>
          <w:sz w:val="22"/>
          <w:szCs w:val="22"/>
        </w:rPr>
      </w:pPr>
      <w:r w:rsidRPr="00425102">
        <w:rPr>
          <w:b/>
          <w:sz w:val="22"/>
          <w:szCs w:val="22"/>
        </w:rPr>
        <w:t>Versión 03d:</w:t>
      </w:r>
      <w:r>
        <w:rPr>
          <w:b/>
          <w:sz w:val="22"/>
          <w:szCs w:val="22"/>
        </w:rPr>
        <w:tab/>
      </w:r>
      <w:r w:rsidRPr="00425102">
        <w:rPr>
          <w:sz w:val="22"/>
          <w:szCs w:val="22"/>
        </w:rPr>
        <w:t xml:space="preserve">Se agrega el Transitorio VII, indicando que la aplicación de la medición de las pérdidas crediticias esperadas en fondos de inversión de la categoría de mercado de dinero, dispuesta en la Norma Internacional de Información Financiera 9 (NIIF-9), requerida por los artículos 3 y 18 del Reglamento de Información Financiera. </w:t>
      </w:r>
      <w:r w:rsidRPr="00425102">
        <w:rPr>
          <w:color w:val="000000" w:themeColor="text1"/>
          <w:sz w:val="22"/>
          <w:szCs w:val="22"/>
        </w:rPr>
        <w:t>Publicado en el Diario Oficial La Gaceta no. 2 del 7 de enero de 2020.</w:t>
      </w:r>
      <w:r w:rsidRPr="00425102">
        <w:rPr>
          <w:sz w:val="22"/>
          <w:szCs w:val="22"/>
        </w:rPr>
        <w:t xml:space="preserve"> Rige a partir del 1° de abril de 2020.</w:t>
      </w:r>
    </w:p>
    <w:p w14:paraId="51E68777" w14:textId="77777777" w:rsidR="0079058B" w:rsidRPr="00425102" w:rsidRDefault="0079058B" w:rsidP="00F57B5A">
      <w:pPr>
        <w:widowControl w:val="0"/>
        <w:spacing w:after="120"/>
        <w:ind w:left="1418" w:hanging="1418"/>
        <w:jc w:val="both"/>
        <w:rPr>
          <w:sz w:val="22"/>
          <w:szCs w:val="22"/>
        </w:rPr>
      </w:pPr>
    </w:p>
    <w:p w14:paraId="494DC133" w14:textId="3D38C66F" w:rsidR="0079058B" w:rsidRPr="00425102" w:rsidRDefault="0079058B" w:rsidP="00F57B5A">
      <w:pPr>
        <w:widowControl w:val="0"/>
        <w:spacing w:after="120"/>
        <w:ind w:left="1418" w:hanging="1418"/>
        <w:jc w:val="both"/>
        <w:rPr>
          <w:sz w:val="22"/>
          <w:szCs w:val="22"/>
        </w:rPr>
      </w:pPr>
      <w:r w:rsidRPr="00425102">
        <w:rPr>
          <w:b/>
          <w:sz w:val="22"/>
          <w:szCs w:val="22"/>
        </w:rPr>
        <w:lastRenderedPageBreak/>
        <w:t>Versión 4:</w:t>
      </w:r>
      <w:r>
        <w:rPr>
          <w:b/>
          <w:sz w:val="22"/>
          <w:szCs w:val="22"/>
        </w:rPr>
        <w:tab/>
      </w:r>
      <w:r w:rsidRPr="00425102">
        <w:rPr>
          <w:sz w:val="22"/>
          <w:szCs w:val="22"/>
        </w:rPr>
        <w:t>Incorporación de nuevas cuentas contables para el registro del impuesto por financiamiento del INEC en el Anexo 2 Plan de Cuentas SUGESE y Anexo 4 Catálogo de Cuentas SUGESE. Aprobado por el Consejo Nacional de Supervisión del Sistema Financiero en los artículos 17 y 13 de las actas de las sesiones 1542-2019 y 1543-2019 celebradas el 4 y el 18 de noviembre de 2019. Publicado en la Gaceta 232 del 5 de diciembre de 2019.</w:t>
      </w:r>
    </w:p>
    <w:p w14:paraId="46F99D77" w14:textId="77777777" w:rsidR="0079058B" w:rsidRPr="00425102" w:rsidRDefault="0079058B" w:rsidP="00F57B5A">
      <w:pPr>
        <w:spacing w:after="120"/>
        <w:ind w:left="1418" w:hanging="1418"/>
        <w:jc w:val="both"/>
        <w:rPr>
          <w:noProof/>
          <w:color w:val="000000" w:themeColor="text1"/>
          <w:sz w:val="22"/>
          <w:szCs w:val="22"/>
          <w:lang w:val="es-CR" w:eastAsia="es-CR"/>
        </w:rPr>
      </w:pPr>
      <w:bookmarkStart w:id="4" w:name="Versión5"/>
      <w:r w:rsidRPr="00425102">
        <w:rPr>
          <w:b/>
          <w:bCs/>
          <w:sz w:val="22"/>
          <w:szCs w:val="22"/>
          <w:lang w:eastAsia="es-CR"/>
        </w:rPr>
        <w:t>Versión 5</w:t>
      </w:r>
      <w:bookmarkEnd w:id="4"/>
      <w:r w:rsidRPr="00425102">
        <w:rPr>
          <w:bCs/>
          <w:sz w:val="22"/>
          <w:szCs w:val="22"/>
          <w:lang w:eastAsia="es-CR"/>
        </w:rPr>
        <w:t>:</w:t>
      </w:r>
      <w:r>
        <w:rPr>
          <w:bCs/>
          <w:sz w:val="22"/>
          <w:szCs w:val="22"/>
          <w:lang w:eastAsia="es-CR"/>
        </w:rPr>
        <w:tab/>
      </w:r>
      <w:r w:rsidRPr="00425102">
        <w:rPr>
          <w:bCs/>
          <w:sz w:val="22"/>
          <w:szCs w:val="22"/>
          <w:lang w:eastAsia="es-CR"/>
        </w:rPr>
        <w:t>Modifica el párrafo primero del Transitorio VII para cambiar la entrada en vigencia de la aplicación de la medición de las pérdidas crediticias esperadas en fondos de inversión de la categoría de mercado de dinero, requerida por los artículos 3 y 18 del Reglamento de Información Financiera. Aprobado por el Consejo Nacional de Supervisión del Sistema Financiero, en inciso I, artículo 9, del acta de la sesión 1564-2020, celebrada el 16 de marzo de 2020. Publicado en el Diario Oficial La Gaceta N° 61 del 26 de marzo de 2020.</w:t>
      </w:r>
      <w:r w:rsidRPr="00425102">
        <w:rPr>
          <w:noProof/>
          <w:color w:val="000000" w:themeColor="text1"/>
          <w:sz w:val="22"/>
          <w:szCs w:val="22"/>
          <w:lang w:val="es-CR" w:eastAsia="es-CR"/>
        </w:rPr>
        <w:t xml:space="preserve"> </w:t>
      </w:r>
    </w:p>
    <w:p w14:paraId="711AB332" w14:textId="0A4626B1" w:rsidR="0079058B" w:rsidRPr="00425102" w:rsidRDefault="0079058B" w:rsidP="00F57B5A">
      <w:pPr>
        <w:spacing w:after="120"/>
        <w:ind w:left="1418" w:hanging="1418"/>
        <w:jc w:val="both"/>
        <w:rPr>
          <w:noProof/>
          <w:color w:val="000000" w:themeColor="text1"/>
          <w:sz w:val="22"/>
          <w:szCs w:val="22"/>
          <w:lang w:val="es-CR" w:eastAsia="es-CR"/>
        </w:rPr>
      </w:pPr>
      <w:r w:rsidRPr="00425102">
        <w:rPr>
          <w:b/>
          <w:bCs/>
          <w:sz w:val="22"/>
          <w:szCs w:val="22"/>
          <w:lang w:eastAsia="es-CR"/>
        </w:rPr>
        <w:t>Versión 6:</w:t>
      </w:r>
      <w:r>
        <w:rPr>
          <w:b/>
          <w:bCs/>
          <w:sz w:val="22"/>
          <w:szCs w:val="22"/>
          <w:lang w:eastAsia="es-CR"/>
        </w:rPr>
        <w:tab/>
      </w:r>
      <w:r w:rsidRPr="00425102">
        <w:rPr>
          <w:bCs/>
          <w:sz w:val="22"/>
          <w:szCs w:val="22"/>
          <w:lang w:eastAsia="es-CR"/>
        </w:rPr>
        <w:t>Modifica el Artículo 38 – Prórrogas. Aprobado en firme por el Consejo Nacional de Supervisión del Sistema Financiero, en los artículos 5 y 8, de las actas de la</w:t>
      </w:r>
      <w:r>
        <w:rPr>
          <w:bCs/>
          <w:sz w:val="22"/>
          <w:szCs w:val="22"/>
          <w:lang w:eastAsia="es-CR"/>
        </w:rPr>
        <w:t>s</w:t>
      </w:r>
      <w:r w:rsidRPr="00425102">
        <w:rPr>
          <w:bCs/>
          <w:sz w:val="22"/>
          <w:szCs w:val="22"/>
          <w:lang w:eastAsia="es-CR"/>
        </w:rPr>
        <w:t xml:space="preserve"> sesiones 1570-2020 y 1571-2020, ambas celebradas el 20 de abril de 2020. Publicado en el Diario Oficial La Gaceta N° 94 del 28 de abril de 2020.</w:t>
      </w:r>
      <w:r w:rsidRPr="00425102">
        <w:rPr>
          <w:noProof/>
          <w:color w:val="000000" w:themeColor="text1"/>
          <w:sz w:val="22"/>
          <w:szCs w:val="22"/>
          <w:lang w:val="es-CR" w:eastAsia="es-CR"/>
        </w:rPr>
        <w:t xml:space="preserve"> </w:t>
      </w:r>
    </w:p>
    <w:p w14:paraId="2859849E" w14:textId="77777777" w:rsidR="0079058B" w:rsidRPr="00425102" w:rsidRDefault="0079058B" w:rsidP="00F57B5A">
      <w:pPr>
        <w:spacing w:after="120"/>
        <w:ind w:left="1418" w:hanging="1418"/>
        <w:jc w:val="both"/>
        <w:rPr>
          <w:noProof/>
          <w:color w:val="000000" w:themeColor="text1"/>
          <w:sz w:val="22"/>
          <w:szCs w:val="22"/>
          <w:lang w:val="es-CR" w:eastAsia="es-CR"/>
        </w:rPr>
      </w:pPr>
      <w:r w:rsidRPr="00425102">
        <w:rPr>
          <w:b/>
          <w:noProof/>
          <w:color w:val="000000" w:themeColor="text1"/>
          <w:sz w:val="22"/>
          <w:szCs w:val="22"/>
          <w:lang w:val="es-CR" w:eastAsia="es-CR"/>
        </w:rPr>
        <w:t>Versión 7a</w:t>
      </w:r>
      <w:r w:rsidRPr="00425102">
        <w:rPr>
          <w:noProof/>
          <w:color w:val="000000" w:themeColor="text1"/>
          <w:sz w:val="22"/>
          <w:szCs w:val="22"/>
          <w:lang w:val="es-CR" w:eastAsia="es-CR"/>
        </w:rPr>
        <w:t>:</w:t>
      </w:r>
      <w:r>
        <w:rPr>
          <w:noProof/>
          <w:color w:val="000000" w:themeColor="text1"/>
          <w:sz w:val="22"/>
          <w:szCs w:val="22"/>
          <w:lang w:val="es-CR" w:eastAsia="es-CR"/>
        </w:rPr>
        <w:tab/>
      </w:r>
      <w:r w:rsidRPr="00425102">
        <w:rPr>
          <w:noProof/>
          <w:color w:val="000000" w:themeColor="text1"/>
          <w:sz w:val="22"/>
          <w:szCs w:val="22"/>
          <w:lang w:val="es-CR" w:eastAsia="es-CR"/>
        </w:rPr>
        <w:t xml:space="preserve">Modifica el Artículo 16. NIIF 5. Activos no corrientes mantenidos para la venta y operaciones descontinuadas. Aprobado en firme por el Consejo Nacional de Supervisión del Sistema Financiero, en los artículos 9 y 10, de las actas de la sesiones 1573-2020 y 1574-2020, ambas celebradas el 4 de mayo de 2020. Publicado en el Diario Oficial La Gaceta N° 108 del 12 de mayo de 2020. </w:t>
      </w:r>
    </w:p>
    <w:p w14:paraId="0D417A31" w14:textId="77777777" w:rsidR="0079058B" w:rsidRPr="00425102" w:rsidRDefault="0079058B" w:rsidP="00F57B5A">
      <w:pPr>
        <w:spacing w:after="120"/>
        <w:ind w:left="1418" w:hanging="1418"/>
        <w:jc w:val="both"/>
        <w:rPr>
          <w:noProof/>
          <w:color w:val="000000" w:themeColor="text1"/>
          <w:sz w:val="22"/>
          <w:szCs w:val="22"/>
          <w:lang w:val="es-CR" w:eastAsia="es-CR"/>
        </w:rPr>
      </w:pPr>
      <w:r w:rsidRPr="00425102">
        <w:rPr>
          <w:b/>
          <w:noProof/>
          <w:color w:val="000000" w:themeColor="text1"/>
          <w:sz w:val="22"/>
          <w:szCs w:val="22"/>
          <w:lang w:val="es-CR" w:eastAsia="es-CR"/>
        </w:rPr>
        <w:t>Versión 7b</w:t>
      </w:r>
      <w:r w:rsidRPr="00425102">
        <w:rPr>
          <w:noProof/>
          <w:color w:val="000000" w:themeColor="text1"/>
          <w:sz w:val="22"/>
          <w:szCs w:val="22"/>
          <w:lang w:val="es-CR" w:eastAsia="es-CR"/>
        </w:rPr>
        <w:t>:</w:t>
      </w:r>
      <w:r>
        <w:rPr>
          <w:noProof/>
          <w:color w:val="000000" w:themeColor="text1"/>
          <w:sz w:val="22"/>
          <w:szCs w:val="22"/>
          <w:lang w:val="es-CR" w:eastAsia="es-CR"/>
        </w:rPr>
        <w:tab/>
      </w:r>
      <w:r w:rsidRPr="00425102">
        <w:rPr>
          <w:noProof/>
          <w:color w:val="000000" w:themeColor="text1"/>
          <w:sz w:val="22"/>
          <w:szCs w:val="22"/>
          <w:lang w:val="es-CR" w:eastAsia="es-CR"/>
        </w:rPr>
        <w:t xml:space="preserve">Incluye un transitorio VII. Aprobado en firme por el Consejo Nacional de Supervisión del Sistema Financiero, en los artículos 9 y 10, de las actas de la sesiones 1573-2020 y 1574-2020, ambas celebradas el 4 de mayo de 2020. Publicado en el Diario Oficial La Gaceta N° 108 del 12 de mayo de 2020. </w:t>
      </w:r>
    </w:p>
    <w:p w14:paraId="23F966A5" w14:textId="77777777" w:rsidR="0079058B" w:rsidRDefault="0079058B" w:rsidP="00F57B5A">
      <w:pPr>
        <w:spacing w:after="120"/>
        <w:ind w:left="1418" w:hanging="1418"/>
        <w:jc w:val="both"/>
        <w:rPr>
          <w:noProof/>
          <w:color w:val="000000" w:themeColor="text1"/>
          <w:sz w:val="22"/>
          <w:szCs w:val="22"/>
          <w:lang w:val="es-CR" w:eastAsia="es-CR"/>
        </w:rPr>
      </w:pPr>
      <w:r w:rsidRPr="00660DF4">
        <w:rPr>
          <w:b/>
          <w:noProof/>
          <w:color w:val="000000" w:themeColor="text1"/>
          <w:sz w:val="22"/>
          <w:szCs w:val="22"/>
          <w:lang w:val="es-CR" w:eastAsia="es-CR"/>
        </w:rPr>
        <w:t>Versión 8</w:t>
      </w:r>
      <w:r>
        <w:rPr>
          <w:noProof/>
          <w:color w:val="000000" w:themeColor="text1"/>
          <w:sz w:val="22"/>
          <w:szCs w:val="22"/>
          <w:lang w:val="es-CR" w:eastAsia="es-CR"/>
        </w:rPr>
        <w:t>:</w:t>
      </w:r>
      <w:r>
        <w:rPr>
          <w:noProof/>
          <w:color w:val="000000" w:themeColor="text1"/>
          <w:sz w:val="22"/>
          <w:szCs w:val="22"/>
          <w:lang w:val="es-CR" w:eastAsia="es-CR"/>
        </w:rPr>
        <w:tab/>
      </w:r>
      <w:r w:rsidRPr="00660DF4">
        <w:rPr>
          <w:noProof/>
          <w:color w:val="000000" w:themeColor="text1"/>
          <w:sz w:val="22"/>
          <w:szCs w:val="22"/>
          <w:lang w:val="es-CR" w:eastAsia="es-CR"/>
        </w:rPr>
        <w:t>Resolución</w:t>
      </w:r>
      <w:r>
        <w:rPr>
          <w:noProof/>
          <w:color w:val="000000" w:themeColor="text1"/>
          <w:sz w:val="22"/>
          <w:szCs w:val="22"/>
          <w:lang w:val="es-CR" w:eastAsia="es-CR"/>
        </w:rPr>
        <w:t xml:space="preserve"> del Superintendente General de Entidades Financieras</w:t>
      </w:r>
      <w:r w:rsidRPr="00660DF4">
        <w:rPr>
          <w:noProof/>
          <w:color w:val="000000" w:themeColor="text1"/>
          <w:sz w:val="22"/>
          <w:szCs w:val="22"/>
          <w:lang w:val="es-CR" w:eastAsia="es-CR"/>
        </w:rPr>
        <w:t xml:space="preserve"> </w:t>
      </w:r>
      <w:r>
        <w:rPr>
          <w:noProof/>
          <w:color w:val="000000" w:themeColor="text1"/>
          <w:sz w:val="22"/>
          <w:szCs w:val="22"/>
          <w:lang w:val="es-CR" w:eastAsia="es-CR"/>
        </w:rPr>
        <w:t xml:space="preserve">SGF-2198-2020 del 24 de junio de 2020. </w:t>
      </w:r>
      <w:r w:rsidRPr="00660DF4">
        <w:rPr>
          <w:noProof/>
          <w:color w:val="000000" w:themeColor="text1"/>
          <w:sz w:val="22"/>
          <w:szCs w:val="22"/>
          <w:lang w:val="es-CR" w:eastAsia="es-CR"/>
        </w:rPr>
        <w:t>Actualización de las cuentas contables para el registro de los créditos concedidos al Estado y demás instituciones de derecho público, por parte del Sistema Bancario Nacional, en cumplimiento de lo dispuesto en el inciso 5) del Artículo 61 de la Ley Orgánica del Sistema Bancario Nacional.</w:t>
      </w:r>
      <w:r>
        <w:rPr>
          <w:noProof/>
          <w:color w:val="000000" w:themeColor="text1"/>
          <w:sz w:val="22"/>
          <w:szCs w:val="22"/>
          <w:lang w:val="es-CR" w:eastAsia="es-CR"/>
        </w:rPr>
        <w:t xml:space="preserve"> Publicado en el Diario Oficial </w:t>
      </w:r>
      <w:r w:rsidRPr="00660DF4">
        <w:rPr>
          <w:noProof/>
          <w:color w:val="000000" w:themeColor="text1"/>
          <w:sz w:val="22"/>
          <w:szCs w:val="22"/>
          <w:lang w:val="es-CR" w:eastAsia="es-CR"/>
        </w:rPr>
        <w:t>La Gaceta Nº 202</w:t>
      </w:r>
      <w:r>
        <w:rPr>
          <w:noProof/>
          <w:color w:val="000000" w:themeColor="text1"/>
          <w:sz w:val="22"/>
          <w:szCs w:val="22"/>
          <w:lang w:val="es-CR" w:eastAsia="es-CR"/>
        </w:rPr>
        <w:t xml:space="preserve"> del v</w:t>
      </w:r>
      <w:r w:rsidRPr="00660DF4">
        <w:rPr>
          <w:noProof/>
          <w:color w:val="000000" w:themeColor="text1"/>
          <w:sz w:val="22"/>
          <w:szCs w:val="22"/>
          <w:lang w:val="es-CR" w:eastAsia="es-CR"/>
        </w:rPr>
        <w:t>iernes 14 de agosto del 2020</w:t>
      </w:r>
      <w:r>
        <w:rPr>
          <w:noProof/>
          <w:color w:val="000000" w:themeColor="text1"/>
          <w:sz w:val="22"/>
          <w:szCs w:val="22"/>
          <w:lang w:val="es-CR" w:eastAsia="es-CR"/>
        </w:rPr>
        <w:t>.</w:t>
      </w:r>
    </w:p>
    <w:p w14:paraId="31E38E4D" w14:textId="77777777" w:rsidR="0079058B" w:rsidRDefault="0079058B" w:rsidP="00F57B5A">
      <w:pPr>
        <w:spacing w:after="120"/>
        <w:ind w:left="1418" w:hanging="1418"/>
        <w:jc w:val="both"/>
        <w:rPr>
          <w:noProof/>
          <w:color w:val="000000" w:themeColor="text1"/>
          <w:sz w:val="22"/>
          <w:szCs w:val="22"/>
          <w:lang w:val="es-CR" w:eastAsia="es-CR"/>
        </w:rPr>
      </w:pPr>
      <w:r w:rsidRPr="00660DF4">
        <w:rPr>
          <w:b/>
          <w:noProof/>
          <w:color w:val="000000" w:themeColor="text1"/>
          <w:sz w:val="22"/>
          <w:szCs w:val="22"/>
          <w:lang w:val="es-CR" w:eastAsia="es-CR"/>
        </w:rPr>
        <w:t xml:space="preserve">Versión </w:t>
      </w:r>
      <w:r>
        <w:rPr>
          <w:b/>
          <w:noProof/>
          <w:color w:val="000000" w:themeColor="text1"/>
          <w:sz w:val="22"/>
          <w:szCs w:val="22"/>
          <w:lang w:val="es-CR" w:eastAsia="es-CR"/>
        </w:rPr>
        <w:t>9</w:t>
      </w:r>
      <w:r>
        <w:rPr>
          <w:noProof/>
          <w:color w:val="000000" w:themeColor="text1"/>
          <w:sz w:val="22"/>
          <w:szCs w:val="22"/>
          <w:lang w:val="es-CR" w:eastAsia="es-CR"/>
        </w:rPr>
        <w:t>:</w:t>
      </w:r>
      <w:r>
        <w:rPr>
          <w:noProof/>
          <w:color w:val="000000" w:themeColor="text1"/>
          <w:sz w:val="22"/>
          <w:szCs w:val="22"/>
          <w:lang w:val="es-CR" w:eastAsia="es-CR"/>
        </w:rPr>
        <w:tab/>
        <w:t>Modificación aprobada en firme por e</w:t>
      </w:r>
      <w:r w:rsidRPr="00510258">
        <w:rPr>
          <w:noProof/>
          <w:color w:val="000000" w:themeColor="text1"/>
          <w:sz w:val="22"/>
          <w:szCs w:val="22"/>
          <w:lang w:val="es-CR" w:eastAsia="es-CR"/>
        </w:rPr>
        <w:t>l Consejo Nacional de Supervisión del Sistema Financiero, en los artículos 8 y 6, de las actas de las sesiones 1602-2020 y 1604-2020, celebradas el 31 de agosto y 7 de setiembre de 2020</w:t>
      </w:r>
      <w:r>
        <w:rPr>
          <w:noProof/>
          <w:color w:val="000000" w:themeColor="text1"/>
          <w:sz w:val="22"/>
          <w:szCs w:val="22"/>
          <w:lang w:val="es-CR" w:eastAsia="es-CR"/>
        </w:rPr>
        <w:t>.</w:t>
      </w:r>
      <w:r w:rsidRPr="00510258">
        <w:t xml:space="preserve"> </w:t>
      </w:r>
      <w:r w:rsidRPr="00510258">
        <w:rPr>
          <w:noProof/>
          <w:color w:val="000000" w:themeColor="text1"/>
          <w:sz w:val="22"/>
          <w:szCs w:val="22"/>
          <w:lang w:val="es-CR" w:eastAsia="es-CR"/>
        </w:rPr>
        <w:t xml:space="preserve">Rige a </w:t>
      </w:r>
      <w:r>
        <w:rPr>
          <w:noProof/>
          <w:color w:val="000000" w:themeColor="text1"/>
          <w:sz w:val="22"/>
          <w:szCs w:val="22"/>
          <w:lang w:val="es-CR" w:eastAsia="es-CR"/>
        </w:rPr>
        <w:t>partir de su publicación en el D</w:t>
      </w:r>
      <w:r w:rsidRPr="00510258">
        <w:rPr>
          <w:noProof/>
          <w:color w:val="000000" w:themeColor="text1"/>
          <w:sz w:val="22"/>
          <w:szCs w:val="22"/>
          <w:lang w:val="es-CR" w:eastAsia="es-CR"/>
        </w:rPr>
        <w:t xml:space="preserve">iario </w:t>
      </w:r>
      <w:r>
        <w:rPr>
          <w:noProof/>
          <w:color w:val="000000" w:themeColor="text1"/>
          <w:sz w:val="22"/>
          <w:szCs w:val="22"/>
          <w:lang w:val="es-CR" w:eastAsia="es-CR"/>
        </w:rPr>
        <w:t>O</w:t>
      </w:r>
      <w:r w:rsidRPr="00510258">
        <w:rPr>
          <w:noProof/>
          <w:color w:val="000000" w:themeColor="text1"/>
          <w:sz w:val="22"/>
          <w:szCs w:val="22"/>
          <w:lang w:val="es-CR" w:eastAsia="es-CR"/>
        </w:rPr>
        <w:t>ficial La Gaceta</w:t>
      </w:r>
      <w:r>
        <w:rPr>
          <w:noProof/>
          <w:color w:val="000000" w:themeColor="text1"/>
          <w:sz w:val="22"/>
          <w:szCs w:val="22"/>
          <w:lang w:val="es-CR" w:eastAsia="es-CR"/>
        </w:rPr>
        <w:t xml:space="preserve">. Publicado en el Diario Oficial </w:t>
      </w:r>
      <w:r w:rsidRPr="00EF1AB9">
        <w:rPr>
          <w:noProof/>
          <w:color w:val="000000" w:themeColor="text1"/>
          <w:sz w:val="22"/>
          <w:szCs w:val="22"/>
          <w:lang w:val="es-CR" w:eastAsia="es-CR"/>
        </w:rPr>
        <w:t xml:space="preserve">La Gaceta Nº 230 </w:t>
      </w:r>
      <w:r>
        <w:rPr>
          <w:noProof/>
          <w:color w:val="000000" w:themeColor="text1"/>
          <w:sz w:val="22"/>
          <w:szCs w:val="22"/>
          <w:lang w:val="es-CR" w:eastAsia="es-CR"/>
        </w:rPr>
        <w:t>del m</w:t>
      </w:r>
      <w:r w:rsidRPr="00EF1AB9">
        <w:rPr>
          <w:noProof/>
          <w:color w:val="000000" w:themeColor="text1"/>
          <w:sz w:val="22"/>
          <w:szCs w:val="22"/>
          <w:lang w:val="es-CR" w:eastAsia="es-CR"/>
        </w:rPr>
        <w:t>iércoles 16 de setiembre del 2020</w:t>
      </w:r>
      <w:r>
        <w:rPr>
          <w:noProof/>
          <w:color w:val="000000" w:themeColor="text1"/>
          <w:sz w:val="22"/>
          <w:szCs w:val="22"/>
          <w:lang w:val="es-CR" w:eastAsia="es-CR"/>
        </w:rPr>
        <w:t>.</w:t>
      </w:r>
    </w:p>
    <w:p w14:paraId="01D6E8F5" w14:textId="77777777" w:rsidR="0079058B" w:rsidRDefault="0079058B" w:rsidP="00F57B5A">
      <w:pPr>
        <w:spacing w:after="120"/>
        <w:ind w:left="1418" w:hanging="1418"/>
        <w:jc w:val="both"/>
        <w:rPr>
          <w:noProof/>
          <w:color w:val="000000" w:themeColor="text1"/>
          <w:sz w:val="22"/>
          <w:szCs w:val="22"/>
          <w:lang w:val="es-CR" w:eastAsia="es-CR"/>
        </w:rPr>
      </w:pPr>
      <w:r>
        <w:rPr>
          <w:b/>
          <w:noProof/>
          <w:color w:val="000000" w:themeColor="text1"/>
          <w:sz w:val="22"/>
          <w:szCs w:val="22"/>
          <w:lang w:val="es-CR" w:eastAsia="es-CR"/>
        </w:rPr>
        <w:tab/>
      </w:r>
      <w:bookmarkStart w:id="5" w:name="Version9a"/>
      <w:r>
        <w:rPr>
          <w:b/>
          <w:noProof/>
          <w:color w:val="000000" w:themeColor="text1"/>
          <w:sz w:val="22"/>
          <w:szCs w:val="22"/>
          <w:lang w:val="es-CR" w:eastAsia="es-CR"/>
        </w:rPr>
        <w:fldChar w:fldCharType="begin"/>
      </w:r>
      <w:r>
        <w:rPr>
          <w:b/>
          <w:noProof/>
          <w:color w:val="000000" w:themeColor="text1"/>
          <w:sz w:val="22"/>
          <w:szCs w:val="22"/>
          <w:lang w:val="es-CR" w:eastAsia="es-CR"/>
        </w:rPr>
        <w:instrText xml:space="preserve"> HYPERLINK  \l "Articulo33" </w:instrText>
      </w:r>
      <w:r>
        <w:rPr>
          <w:b/>
          <w:noProof/>
          <w:color w:val="000000" w:themeColor="text1"/>
          <w:sz w:val="22"/>
          <w:szCs w:val="22"/>
          <w:lang w:val="es-CR" w:eastAsia="es-CR"/>
        </w:rPr>
        <w:fldChar w:fldCharType="separate"/>
      </w:r>
      <w:r w:rsidRPr="00B00C2A">
        <w:rPr>
          <w:rStyle w:val="Hipervnculo"/>
          <w:b/>
          <w:noProof/>
          <w:sz w:val="22"/>
          <w:szCs w:val="22"/>
          <w:lang w:val="es-CR" w:eastAsia="es-CR"/>
        </w:rPr>
        <w:t>[9a]</w:t>
      </w:r>
      <w:bookmarkEnd w:id="5"/>
      <w:r>
        <w:rPr>
          <w:b/>
          <w:noProof/>
          <w:color w:val="000000" w:themeColor="text1"/>
          <w:sz w:val="22"/>
          <w:szCs w:val="22"/>
          <w:lang w:val="es-CR" w:eastAsia="es-CR"/>
        </w:rPr>
        <w:fldChar w:fldCharType="end"/>
      </w:r>
      <w:r>
        <w:rPr>
          <w:b/>
          <w:noProof/>
          <w:color w:val="000000" w:themeColor="text1"/>
          <w:sz w:val="22"/>
          <w:szCs w:val="22"/>
          <w:lang w:val="es-CR" w:eastAsia="es-CR"/>
        </w:rPr>
        <w:tab/>
      </w:r>
      <w:r w:rsidRPr="00510258">
        <w:rPr>
          <w:noProof/>
          <w:color w:val="000000" w:themeColor="text1"/>
          <w:sz w:val="22"/>
          <w:szCs w:val="22"/>
          <w:lang w:val="es-CR" w:eastAsia="es-CR"/>
        </w:rPr>
        <w:t xml:space="preserve">Modificar el párrafo tercero del </w:t>
      </w:r>
      <w:r>
        <w:rPr>
          <w:noProof/>
          <w:color w:val="000000" w:themeColor="text1"/>
          <w:sz w:val="22"/>
          <w:szCs w:val="22"/>
          <w:lang w:val="es-CR" w:eastAsia="es-CR"/>
        </w:rPr>
        <w:t>“A</w:t>
      </w:r>
      <w:r w:rsidRPr="00510258">
        <w:rPr>
          <w:noProof/>
          <w:color w:val="000000" w:themeColor="text1"/>
          <w:sz w:val="22"/>
          <w:szCs w:val="22"/>
          <w:lang w:val="es-CR" w:eastAsia="es-CR"/>
        </w:rPr>
        <w:t>rtículo 33. Opinión expresada por el auditor externo</w:t>
      </w:r>
      <w:r>
        <w:rPr>
          <w:noProof/>
          <w:color w:val="000000" w:themeColor="text1"/>
          <w:sz w:val="22"/>
          <w:szCs w:val="22"/>
          <w:lang w:val="es-CR" w:eastAsia="es-CR"/>
        </w:rPr>
        <w:t>”</w:t>
      </w:r>
      <w:r w:rsidRPr="00510258">
        <w:rPr>
          <w:noProof/>
          <w:color w:val="000000" w:themeColor="text1"/>
          <w:sz w:val="22"/>
          <w:szCs w:val="22"/>
          <w:lang w:val="es-CR" w:eastAsia="es-CR"/>
        </w:rPr>
        <w:t>.</w:t>
      </w:r>
    </w:p>
    <w:p w14:paraId="2CB3AF56" w14:textId="77777777" w:rsidR="0079058B" w:rsidRPr="00510258" w:rsidRDefault="0079058B" w:rsidP="00F57B5A">
      <w:pPr>
        <w:spacing w:after="120"/>
        <w:ind w:left="1418" w:hanging="1418"/>
        <w:jc w:val="both"/>
        <w:rPr>
          <w:noProof/>
          <w:color w:val="000000" w:themeColor="text1"/>
          <w:sz w:val="22"/>
          <w:szCs w:val="22"/>
          <w:lang w:val="es-CR" w:eastAsia="es-CR"/>
        </w:rPr>
      </w:pPr>
      <w:r>
        <w:rPr>
          <w:b/>
          <w:noProof/>
          <w:color w:val="000000" w:themeColor="text1"/>
          <w:sz w:val="22"/>
          <w:szCs w:val="22"/>
          <w:lang w:val="es-CR" w:eastAsia="es-CR"/>
        </w:rPr>
        <w:tab/>
      </w:r>
      <w:bookmarkStart w:id="6" w:name="Version9b"/>
      <w:r>
        <w:rPr>
          <w:b/>
          <w:noProof/>
          <w:color w:val="000000" w:themeColor="text1"/>
          <w:sz w:val="22"/>
          <w:szCs w:val="22"/>
          <w:lang w:val="es-CR" w:eastAsia="es-CR"/>
        </w:rPr>
        <w:fldChar w:fldCharType="begin"/>
      </w:r>
      <w:r>
        <w:rPr>
          <w:b/>
          <w:noProof/>
          <w:color w:val="000000" w:themeColor="text1"/>
          <w:sz w:val="22"/>
          <w:szCs w:val="22"/>
          <w:lang w:val="es-CR" w:eastAsia="es-CR"/>
        </w:rPr>
        <w:instrText xml:space="preserve"> HYPERLINK  \l "Articulo36" </w:instrText>
      </w:r>
      <w:r>
        <w:rPr>
          <w:b/>
          <w:noProof/>
          <w:color w:val="000000" w:themeColor="text1"/>
          <w:sz w:val="22"/>
          <w:szCs w:val="22"/>
          <w:lang w:val="es-CR" w:eastAsia="es-CR"/>
        </w:rPr>
        <w:fldChar w:fldCharType="separate"/>
      </w:r>
      <w:r w:rsidRPr="00B00C2A">
        <w:rPr>
          <w:rStyle w:val="Hipervnculo"/>
          <w:b/>
          <w:noProof/>
          <w:sz w:val="22"/>
          <w:szCs w:val="22"/>
          <w:lang w:val="es-CR" w:eastAsia="es-CR"/>
        </w:rPr>
        <w:t>[9b]</w:t>
      </w:r>
      <w:bookmarkEnd w:id="6"/>
      <w:r>
        <w:rPr>
          <w:b/>
          <w:noProof/>
          <w:color w:val="000000" w:themeColor="text1"/>
          <w:sz w:val="22"/>
          <w:szCs w:val="22"/>
          <w:lang w:val="es-CR" w:eastAsia="es-CR"/>
        </w:rPr>
        <w:fldChar w:fldCharType="end"/>
      </w:r>
      <w:r w:rsidRPr="00510258">
        <w:rPr>
          <w:noProof/>
          <w:color w:val="000000" w:themeColor="text1"/>
          <w:sz w:val="22"/>
          <w:szCs w:val="22"/>
          <w:lang w:val="es-CR" w:eastAsia="es-CR"/>
        </w:rPr>
        <w:tab/>
        <w:t xml:space="preserve">Modificar </w:t>
      </w:r>
      <w:r>
        <w:rPr>
          <w:noProof/>
          <w:color w:val="000000" w:themeColor="text1"/>
          <w:sz w:val="22"/>
          <w:szCs w:val="22"/>
          <w:lang w:val="es-CR" w:eastAsia="es-CR"/>
        </w:rPr>
        <w:t xml:space="preserve">el </w:t>
      </w:r>
      <w:r w:rsidRPr="00510258">
        <w:rPr>
          <w:noProof/>
          <w:color w:val="000000" w:themeColor="text1"/>
          <w:sz w:val="22"/>
          <w:szCs w:val="22"/>
          <w:lang w:val="es-CR" w:eastAsia="es-CR"/>
        </w:rPr>
        <w:t xml:space="preserve">párrafo </w:t>
      </w:r>
      <w:r>
        <w:rPr>
          <w:noProof/>
          <w:color w:val="000000" w:themeColor="text1"/>
          <w:sz w:val="22"/>
          <w:szCs w:val="22"/>
          <w:lang w:val="es-CR" w:eastAsia="es-CR"/>
        </w:rPr>
        <w:t xml:space="preserve">segundo del </w:t>
      </w:r>
      <w:r w:rsidRPr="00510258">
        <w:rPr>
          <w:noProof/>
          <w:color w:val="000000" w:themeColor="text1"/>
          <w:sz w:val="22"/>
          <w:szCs w:val="22"/>
          <w:lang w:val="es-CR" w:eastAsia="es-CR"/>
        </w:rPr>
        <w:t>“Artículo 36. Plazos para la presentación de la información financiera</w:t>
      </w:r>
      <w:r>
        <w:rPr>
          <w:noProof/>
          <w:color w:val="000000" w:themeColor="text1"/>
          <w:sz w:val="22"/>
          <w:szCs w:val="22"/>
          <w:lang w:val="es-CR" w:eastAsia="es-CR"/>
        </w:rPr>
        <w:t>”</w:t>
      </w:r>
      <w:r w:rsidRPr="00510258">
        <w:rPr>
          <w:noProof/>
          <w:color w:val="000000" w:themeColor="text1"/>
          <w:sz w:val="22"/>
          <w:szCs w:val="22"/>
          <w:lang w:val="es-CR" w:eastAsia="es-CR"/>
        </w:rPr>
        <w:t>.</w:t>
      </w:r>
    </w:p>
    <w:p w14:paraId="045A2FCB" w14:textId="77777777" w:rsidR="0079058B" w:rsidRDefault="00F57B5A" w:rsidP="00F57B5A">
      <w:pPr>
        <w:spacing w:after="120"/>
        <w:ind w:left="1418" w:hanging="1418"/>
        <w:jc w:val="both"/>
        <w:rPr>
          <w:noProof/>
          <w:color w:val="000000" w:themeColor="text1"/>
          <w:sz w:val="22"/>
          <w:szCs w:val="22"/>
          <w:lang w:val="es-CR" w:eastAsia="es-CR"/>
        </w:rPr>
      </w:pPr>
      <w:hyperlink w:anchor="Anexos" w:history="1">
        <w:r w:rsidR="0079058B" w:rsidRPr="00CE2424">
          <w:rPr>
            <w:rStyle w:val="Hipervnculo"/>
            <w:b/>
            <w:noProof/>
            <w:sz w:val="22"/>
            <w:szCs w:val="22"/>
            <w:lang w:val="es-CR" w:eastAsia="es-CR"/>
          </w:rPr>
          <w:t>Versión 10</w:t>
        </w:r>
      </w:hyperlink>
      <w:r w:rsidR="0079058B">
        <w:rPr>
          <w:noProof/>
          <w:color w:val="000000" w:themeColor="text1"/>
          <w:sz w:val="22"/>
          <w:szCs w:val="22"/>
          <w:lang w:val="es-CR" w:eastAsia="es-CR"/>
        </w:rPr>
        <w:t>:</w:t>
      </w:r>
      <w:r w:rsidR="0079058B">
        <w:rPr>
          <w:noProof/>
          <w:color w:val="000000" w:themeColor="text1"/>
          <w:sz w:val="22"/>
          <w:szCs w:val="22"/>
          <w:lang w:val="es-CR" w:eastAsia="es-CR"/>
        </w:rPr>
        <w:tab/>
        <w:t>Modificación aprobada en firme por e</w:t>
      </w:r>
      <w:r w:rsidR="0079058B" w:rsidRPr="00510258">
        <w:rPr>
          <w:noProof/>
          <w:color w:val="000000" w:themeColor="text1"/>
          <w:sz w:val="22"/>
          <w:szCs w:val="22"/>
          <w:lang w:val="es-CR" w:eastAsia="es-CR"/>
        </w:rPr>
        <w:t xml:space="preserve">l Consejo Nacional de Supervisión del Sistema Financiero, en los artículos </w:t>
      </w:r>
      <w:r w:rsidR="0079058B">
        <w:rPr>
          <w:noProof/>
          <w:color w:val="000000" w:themeColor="text1"/>
          <w:sz w:val="22"/>
          <w:szCs w:val="22"/>
          <w:lang w:val="es-CR" w:eastAsia="es-CR"/>
        </w:rPr>
        <w:t>7</w:t>
      </w:r>
      <w:r w:rsidR="0079058B" w:rsidRPr="00510258">
        <w:rPr>
          <w:noProof/>
          <w:color w:val="000000" w:themeColor="text1"/>
          <w:sz w:val="22"/>
          <w:szCs w:val="22"/>
          <w:lang w:val="es-CR" w:eastAsia="es-CR"/>
        </w:rPr>
        <w:t>, de las actas de las sesiones 16</w:t>
      </w:r>
      <w:r w:rsidR="0079058B">
        <w:rPr>
          <w:noProof/>
          <w:color w:val="000000" w:themeColor="text1"/>
          <w:sz w:val="22"/>
          <w:szCs w:val="22"/>
          <w:lang w:val="es-CR" w:eastAsia="es-CR"/>
        </w:rPr>
        <w:t>34</w:t>
      </w:r>
      <w:r w:rsidR="0079058B" w:rsidRPr="00510258">
        <w:rPr>
          <w:noProof/>
          <w:color w:val="000000" w:themeColor="text1"/>
          <w:sz w:val="22"/>
          <w:szCs w:val="22"/>
          <w:lang w:val="es-CR" w:eastAsia="es-CR"/>
        </w:rPr>
        <w:t>-2020 y 16</w:t>
      </w:r>
      <w:r w:rsidR="0079058B">
        <w:rPr>
          <w:noProof/>
          <w:color w:val="000000" w:themeColor="text1"/>
          <w:sz w:val="22"/>
          <w:szCs w:val="22"/>
          <w:lang w:val="es-CR" w:eastAsia="es-CR"/>
        </w:rPr>
        <w:t>35</w:t>
      </w:r>
      <w:r w:rsidR="0079058B" w:rsidRPr="00510258">
        <w:rPr>
          <w:noProof/>
          <w:color w:val="000000" w:themeColor="text1"/>
          <w:sz w:val="22"/>
          <w:szCs w:val="22"/>
          <w:lang w:val="es-CR" w:eastAsia="es-CR"/>
        </w:rPr>
        <w:t xml:space="preserve">-2020, celebradas </w:t>
      </w:r>
      <w:r w:rsidR="0079058B">
        <w:rPr>
          <w:noProof/>
          <w:color w:val="000000" w:themeColor="text1"/>
          <w:sz w:val="22"/>
          <w:szCs w:val="22"/>
          <w:lang w:val="es-CR" w:eastAsia="es-CR"/>
        </w:rPr>
        <w:t xml:space="preserve">ambas </w:t>
      </w:r>
      <w:r w:rsidR="0079058B" w:rsidRPr="00510258">
        <w:rPr>
          <w:noProof/>
          <w:color w:val="000000" w:themeColor="text1"/>
          <w:sz w:val="22"/>
          <w:szCs w:val="22"/>
          <w:lang w:val="es-CR" w:eastAsia="es-CR"/>
        </w:rPr>
        <w:t xml:space="preserve">el </w:t>
      </w:r>
      <w:r w:rsidR="0079058B">
        <w:rPr>
          <w:noProof/>
          <w:color w:val="000000" w:themeColor="text1"/>
          <w:sz w:val="22"/>
          <w:szCs w:val="22"/>
          <w:lang w:val="es-CR" w:eastAsia="es-CR"/>
        </w:rPr>
        <w:t>2</w:t>
      </w:r>
      <w:r w:rsidR="0079058B" w:rsidRPr="00510258">
        <w:rPr>
          <w:noProof/>
          <w:color w:val="000000" w:themeColor="text1"/>
          <w:sz w:val="22"/>
          <w:szCs w:val="22"/>
          <w:lang w:val="es-CR" w:eastAsia="es-CR"/>
        </w:rPr>
        <w:t>1 de</w:t>
      </w:r>
      <w:r w:rsidR="0079058B">
        <w:rPr>
          <w:noProof/>
          <w:color w:val="000000" w:themeColor="text1"/>
          <w:sz w:val="22"/>
          <w:szCs w:val="22"/>
          <w:lang w:val="es-CR" w:eastAsia="es-CR"/>
        </w:rPr>
        <w:t xml:space="preserve"> diciembre de 2020. A</w:t>
      </w:r>
      <w:r w:rsidR="0079058B" w:rsidRPr="00CE2424">
        <w:rPr>
          <w:noProof/>
          <w:color w:val="000000" w:themeColor="text1"/>
          <w:sz w:val="22"/>
          <w:szCs w:val="22"/>
          <w:lang w:val="es-CR" w:eastAsia="es-CR"/>
        </w:rPr>
        <w:t xml:space="preserve">grega la cuenta y subcuenta necesarias para el </w:t>
      </w:r>
      <w:r w:rsidR="0079058B" w:rsidRPr="00CE2424">
        <w:rPr>
          <w:noProof/>
          <w:color w:val="000000" w:themeColor="text1"/>
          <w:sz w:val="22"/>
          <w:szCs w:val="22"/>
          <w:lang w:val="es-CR" w:eastAsia="es-CR"/>
        </w:rPr>
        <w:lastRenderedPageBreak/>
        <w:t>registro del capital para el funcionamiento de las sucursales bancarias domiciliadas en Costa Rica de bancos extranjeros</w:t>
      </w:r>
      <w:r w:rsidR="0079058B">
        <w:rPr>
          <w:noProof/>
          <w:color w:val="000000" w:themeColor="text1"/>
          <w:sz w:val="22"/>
          <w:szCs w:val="22"/>
          <w:lang w:val="es-CR" w:eastAsia="es-CR"/>
        </w:rPr>
        <w:t>.</w:t>
      </w:r>
      <w:r w:rsidR="0079058B" w:rsidRPr="00510258">
        <w:t xml:space="preserve"> </w:t>
      </w:r>
      <w:r w:rsidR="0079058B" w:rsidRPr="00510258">
        <w:rPr>
          <w:noProof/>
          <w:color w:val="000000" w:themeColor="text1"/>
          <w:sz w:val="22"/>
          <w:szCs w:val="22"/>
          <w:lang w:val="es-CR" w:eastAsia="es-CR"/>
        </w:rPr>
        <w:t xml:space="preserve">Rige a </w:t>
      </w:r>
      <w:r w:rsidR="0079058B">
        <w:rPr>
          <w:noProof/>
          <w:color w:val="000000" w:themeColor="text1"/>
          <w:sz w:val="22"/>
          <w:szCs w:val="22"/>
          <w:lang w:val="es-CR" w:eastAsia="es-CR"/>
        </w:rPr>
        <w:t>partir de su publicación en el D</w:t>
      </w:r>
      <w:r w:rsidR="0079058B" w:rsidRPr="00510258">
        <w:rPr>
          <w:noProof/>
          <w:color w:val="000000" w:themeColor="text1"/>
          <w:sz w:val="22"/>
          <w:szCs w:val="22"/>
          <w:lang w:val="es-CR" w:eastAsia="es-CR"/>
        </w:rPr>
        <w:t xml:space="preserve">iario </w:t>
      </w:r>
      <w:r w:rsidR="0079058B">
        <w:rPr>
          <w:noProof/>
          <w:color w:val="000000" w:themeColor="text1"/>
          <w:sz w:val="22"/>
          <w:szCs w:val="22"/>
          <w:lang w:val="es-CR" w:eastAsia="es-CR"/>
        </w:rPr>
        <w:t>O</w:t>
      </w:r>
      <w:r w:rsidR="0079058B" w:rsidRPr="00510258">
        <w:rPr>
          <w:noProof/>
          <w:color w:val="000000" w:themeColor="text1"/>
          <w:sz w:val="22"/>
          <w:szCs w:val="22"/>
          <w:lang w:val="es-CR" w:eastAsia="es-CR"/>
        </w:rPr>
        <w:t>ficial La Gaceta</w:t>
      </w:r>
      <w:r w:rsidR="0079058B">
        <w:rPr>
          <w:noProof/>
          <w:color w:val="000000" w:themeColor="text1"/>
          <w:sz w:val="22"/>
          <w:szCs w:val="22"/>
          <w:lang w:val="es-CR" w:eastAsia="es-CR"/>
        </w:rPr>
        <w:t>. Pendiente de publicación en el Diario Oficial La Gaceta.</w:t>
      </w:r>
    </w:p>
    <w:p w14:paraId="12E8360C" w14:textId="77777777" w:rsidR="0079058B" w:rsidRDefault="0079058B" w:rsidP="00F57B5A">
      <w:pPr>
        <w:spacing w:after="120"/>
        <w:ind w:left="1418" w:hanging="1418"/>
        <w:jc w:val="both"/>
        <w:rPr>
          <w:noProof/>
          <w:color w:val="000000" w:themeColor="text1"/>
          <w:sz w:val="22"/>
          <w:szCs w:val="22"/>
          <w:lang w:val="es-CR" w:eastAsia="es-CR"/>
        </w:rPr>
      </w:pPr>
      <w:r w:rsidRPr="007C5CC2">
        <w:rPr>
          <w:b/>
          <w:noProof/>
          <w:color w:val="000000" w:themeColor="text1"/>
          <w:sz w:val="22"/>
          <w:szCs w:val="22"/>
          <w:lang w:val="es-CR" w:eastAsia="es-CR"/>
        </w:rPr>
        <w:t>Versión 1</w:t>
      </w:r>
      <w:r>
        <w:rPr>
          <w:b/>
          <w:noProof/>
          <w:color w:val="000000" w:themeColor="text1"/>
          <w:sz w:val="22"/>
          <w:szCs w:val="22"/>
          <w:lang w:val="es-CR" w:eastAsia="es-CR"/>
        </w:rPr>
        <w:t>1</w:t>
      </w:r>
      <w:r>
        <w:rPr>
          <w:noProof/>
          <w:color w:val="000000" w:themeColor="text1"/>
          <w:sz w:val="22"/>
          <w:szCs w:val="22"/>
          <w:lang w:val="es-CR" w:eastAsia="es-CR"/>
        </w:rPr>
        <w:t>:</w:t>
      </w:r>
      <w:r>
        <w:rPr>
          <w:noProof/>
          <w:color w:val="000000" w:themeColor="text1"/>
          <w:sz w:val="22"/>
          <w:szCs w:val="22"/>
          <w:lang w:val="es-CR" w:eastAsia="es-CR"/>
        </w:rPr>
        <w:tab/>
        <w:t>Modificación aprobada en firme por e</w:t>
      </w:r>
      <w:r w:rsidRPr="00510258">
        <w:rPr>
          <w:noProof/>
          <w:color w:val="000000" w:themeColor="text1"/>
          <w:sz w:val="22"/>
          <w:szCs w:val="22"/>
          <w:lang w:val="es-CR" w:eastAsia="es-CR"/>
        </w:rPr>
        <w:t xml:space="preserve">l Consejo Nacional de Supervisión del Sistema Financiero, en los artículos </w:t>
      </w:r>
      <w:r>
        <w:rPr>
          <w:noProof/>
          <w:color w:val="000000" w:themeColor="text1"/>
          <w:sz w:val="22"/>
          <w:szCs w:val="22"/>
          <w:lang w:val="es-CR" w:eastAsia="es-CR"/>
        </w:rPr>
        <w:t>7</w:t>
      </w:r>
      <w:r w:rsidRPr="00510258">
        <w:rPr>
          <w:noProof/>
          <w:color w:val="000000" w:themeColor="text1"/>
          <w:sz w:val="22"/>
          <w:szCs w:val="22"/>
          <w:lang w:val="es-CR" w:eastAsia="es-CR"/>
        </w:rPr>
        <w:t>, de las actas de las sesiones 16</w:t>
      </w:r>
      <w:r>
        <w:rPr>
          <w:noProof/>
          <w:color w:val="000000" w:themeColor="text1"/>
          <w:sz w:val="22"/>
          <w:szCs w:val="22"/>
          <w:lang w:val="es-CR" w:eastAsia="es-CR"/>
        </w:rPr>
        <w:t>34</w:t>
      </w:r>
      <w:r w:rsidRPr="00510258">
        <w:rPr>
          <w:noProof/>
          <w:color w:val="000000" w:themeColor="text1"/>
          <w:sz w:val="22"/>
          <w:szCs w:val="22"/>
          <w:lang w:val="es-CR" w:eastAsia="es-CR"/>
        </w:rPr>
        <w:t>-2020 y 16</w:t>
      </w:r>
      <w:r>
        <w:rPr>
          <w:noProof/>
          <w:color w:val="000000" w:themeColor="text1"/>
          <w:sz w:val="22"/>
          <w:szCs w:val="22"/>
          <w:lang w:val="es-CR" w:eastAsia="es-CR"/>
        </w:rPr>
        <w:t>35</w:t>
      </w:r>
      <w:r w:rsidRPr="00510258">
        <w:rPr>
          <w:noProof/>
          <w:color w:val="000000" w:themeColor="text1"/>
          <w:sz w:val="22"/>
          <w:szCs w:val="22"/>
          <w:lang w:val="es-CR" w:eastAsia="es-CR"/>
        </w:rPr>
        <w:t xml:space="preserve">-2020, celebradas </w:t>
      </w:r>
      <w:r>
        <w:rPr>
          <w:noProof/>
          <w:color w:val="000000" w:themeColor="text1"/>
          <w:sz w:val="22"/>
          <w:szCs w:val="22"/>
          <w:lang w:val="es-CR" w:eastAsia="es-CR"/>
        </w:rPr>
        <w:t xml:space="preserve">ambas </w:t>
      </w:r>
      <w:r w:rsidRPr="00510258">
        <w:rPr>
          <w:noProof/>
          <w:color w:val="000000" w:themeColor="text1"/>
          <w:sz w:val="22"/>
          <w:szCs w:val="22"/>
          <w:lang w:val="es-CR" w:eastAsia="es-CR"/>
        </w:rPr>
        <w:t xml:space="preserve">el </w:t>
      </w:r>
      <w:r>
        <w:rPr>
          <w:noProof/>
          <w:color w:val="000000" w:themeColor="text1"/>
          <w:sz w:val="22"/>
          <w:szCs w:val="22"/>
          <w:lang w:val="es-CR" w:eastAsia="es-CR"/>
        </w:rPr>
        <w:t>2</w:t>
      </w:r>
      <w:r w:rsidRPr="00510258">
        <w:rPr>
          <w:noProof/>
          <w:color w:val="000000" w:themeColor="text1"/>
          <w:sz w:val="22"/>
          <w:szCs w:val="22"/>
          <w:lang w:val="es-CR" w:eastAsia="es-CR"/>
        </w:rPr>
        <w:t>1 de</w:t>
      </w:r>
      <w:r>
        <w:rPr>
          <w:noProof/>
          <w:color w:val="000000" w:themeColor="text1"/>
          <w:sz w:val="22"/>
          <w:szCs w:val="22"/>
          <w:lang w:val="es-CR" w:eastAsia="es-CR"/>
        </w:rPr>
        <w:t xml:space="preserve"> diciembre de 2020. A</w:t>
      </w:r>
      <w:r w:rsidRPr="00CE2424">
        <w:rPr>
          <w:noProof/>
          <w:color w:val="000000" w:themeColor="text1"/>
          <w:sz w:val="22"/>
          <w:szCs w:val="22"/>
          <w:lang w:val="es-CR" w:eastAsia="es-CR"/>
        </w:rPr>
        <w:t>grega la cuenta y subcuenta necesarias para el registro del capital para el funcionamiento de las sucursales bancarias domiciliadas en Costa Rica de bancos extranjeros</w:t>
      </w:r>
      <w:r>
        <w:rPr>
          <w:noProof/>
          <w:color w:val="000000" w:themeColor="text1"/>
          <w:sz w:val="22"/>
          <w:szCs w:val="22"/>
          <w:lang w:val="es-CR" w:eastAsia="es-CR"/>
        </w:rPr>
        <w:t>.</w:t>
      </w:r>
      <w:r w:rsidRPr="00510258">
        <w:t xml:space="preserve"> </w:t>
      </w:r>
      <w:r w:rsidRPr="00510258">
        <w:rPr>
          <w:noProof/>
          <w:color w:val="000000" w:themeColor="text1"/>
          <w:sz w:val="22"/>
          <w:szCs w:val="22"/>
          <w:lang w:val="es-CR" w:eastAsia="es-CR"/>
        </w:rPr>
        <w:t xml:space="preserve">Rige a </w:t>
      </w:r>
      <w:r>
        <w:rPr>
          <w:noProof/>
          <w:color w:val="000000" w:themeColor="text1"/>
          <w:sz w:val="22"/>
          <w:szCs w:val="22"/>
          <w:lang w:val="es-CR" w:eastAsia="es-CR"/>
        </w:rPr>
        <w:t>partir de su publicación en el D</w:t>
      </w:r>
      <w:r w:rsidRPr="00510258">
        <w:rPr>
          <w:noProof/>
          <w:color w:val="000000" w:themeColor="text1"/>
          <w:sz w:val="22"/>
          <w:szCs w:val="22"/>
          <w:lang w:val="es-CR" w:eastAsia="es-CR"/>
        </w:rPr>
        <w:t xml:space="preserve">iario </w:t>
      </w:r>
      <w:r>
        <w:rPr>
          <w:noProof/>
          <w:color w:val="000000" w:themeColor="text1"/>
          <w:sz w:val="22"/>
          <w:szCs w:val="22"/>
          <w:lang w:val="es-CR" w:eastAsia="es-CR"/>
        </w:rPr>
        <w:t>O</w:t>
      </w:r>
      <w:r w:rsidRPr="00510258">
        <w:rPr>
          <w:noProof/>
          <w:color w:val="000000" w:themeColor="text1"/>
          <w:sz w:val="22"/>
          <w:szCs w:val="22"/>
          <w:lang w:val="es-CR" w:eastAsia="es-CR"/>
        </w:rPr>
        <w:t>ficial La Gaceta</w:t>
      </w:r>
      <w:r>
        <w:rPr>
          <w:noProof/>
          <w:color w:val="000000" w:themeColor="text1"/>
          <w:sz w:val="22"/>
          <w:szCs w:val="22"/>
          <w:lang w:val="es-CR" w:eastAsia="es-CR"/>
        </w:rPr>
        <w:t xml:space="preserve">. </w:t>
      </w:r>
      <w:r w:rsidRPr="007C5CC2">
        <w:rPr>
          <w:noProof/>
          <w:color w:val="000000" w:themeColor="text1"/>
          <w:sz w:val="22"/>
          <w:szCs w:val="22"/>
          <w:lang w:val="es-CR" w:eastAsia="es-CR"/>
        </w:rPr>
        <w:t>Publicado en el Diario Oficial La Gaceta 18 del miércoles 27 de enero del 2021.</w:t>
      </w:r>
    </w:p>
    <w:p w14:paraId="716E1FC8" w14:textId="77777777" w:rsidR="0079058B" w:rsidRDefault="0079058B" w:rsidP="00F57B5A">
      <w:pPr>
        <w:spacing w:after="120"/>
        <w:ind w:left="1418" w:hanging="1418"/>
        <w:jc w:val="both"/>
        <w:rPr>
          <w:noProof/>
          <w:color w:val="000000" w:themeColor="text1"/>
          <w:sz w:val="22"/>
          <w:szCs w:val="22"/>
          <w:lang w:val="es-CR" w:eastAsia="es-CR"/>
        </w:rPr>
      </w:pPr>
      <w:r w:rsidRPr="00817F63">
        <w:rPr>
          <w:b/>
          <w:bCs/>
          <w:noProof/>
          <w:color w:val="000000" w:themeColor="text1"/>
          <w:sz w:val="22"/>
          <w:szCs w:val="22"/>
          <w:lang w:val="es-CR" w:eastAsia="es-CR"/>
        </w:rPr>
        <w:t>Versión 12:</w:t>
      </w:r>
      <w:r>
        <w:rPr>
          <w:noProof/>
          <w:color w:val="000000" w:themeColor="text1"/>
          <w:sz w:val="22"/>
          <w:szCs w:val="22"/>
          <w:lang w:val="es-CR" w:eastAsia="es-CR"/>
        </w:rPr>
        <w:tab/>
        <w:t xml:space="preserve">Mediante </w:t>
      </w:r>
      <w:r w:rsidRPr="00807453">
        <w:rPr>
          <w:noProof/>
          <w:color w:val="000000" w:themeColor="text1"/>
          <w:sz w:val="22"/>
          <w:szCs w:val="22"/>
          <w:lang w:val="es-CR" w:eastAsia="es-CR"/>
        </w:rPr>
        <w:t>artículo 5, del acta de la sesión 1640-2021, celebrada el 28 de enero de 2021</w:t>
      </w:r>
      <w:r>
        <w:rPr>
          <w:noProof/>
          <w:color w:val="000000" w:themeColor="text1"/>
          <w:sz w:val="22"/>
          <w:szCs w:val="22"/>
          <w:lang w:val="es-CR" w:eastAsia="es-CR"/>
        </w:rPr>
        <w:t xml:space="preserve"> e</w:t>
      </w:r>
      <w:r w:rsidRPr="00807453">
        <w:rPr>
          <w:noProof/>
          <w:color w:val="000000" w:themeColor="text1"/>
          <w:sz w:val="22"/>
          <w:szCs w:val="22"/>
          <w:lang w:val="es-CR" w:eastAsia="es-CR"/>
        </w:rPr>
        <w:t>l Consejo Nacional de Supervisión del Sistema Financiero</w:t>
      </w:r>
      <w:r>
        <w:rPr>
          <w:noProof/>
          <w:color w:val="000000" w:themeColor="text1"/>
          <w:sz w:val="22"/>
          <w:szCs w:val="22"/>
          <w:lang w:val="es-CR" w:eastAsia="es-CR"/>
        </w:rPr>
        <w:t xml:space="preserve"> dispuso en firme modificar: el anexo 1 para </w:t>
      </w:r>
      <w:r w:rsidRPr="00807453">
        <w:rPr>
          <w:noProof/>
          <w:color w:val="000000" w:themeColor="text1"/>
          <w:sz w:val="22"/>
          <w:szCs w:val="22"/>
          <w:lang w:val="es-CR" w:eastAsia="es-CR"/>
        </w:rPr>
        <w:t>agregar subcuenta necesaria para el registro del uso contingente de los recursos del encaje mínimo legal y de la reserva de liquidez para financiar el Fondo de Garantía de Depósito (FGD)</w:t>
      </w:r>
      <w:r>
        <w:rPr>
          <w:noProof/>
          <w:color w:val="000000" w:themeColor="text1"/>
          <w:sz w:val="22"/>
          <w:szCs w:val="22"/>
          <w:lang w:val="es-CR" w:eastAsia="es-CR"/>
        </w:rPr>
        <w:t xml:space="preserve">; anexo 3 para </w:t>
      </w:r>
      <w:r w:rsidRPr="00807453">
        <w:rPr>
          <w:noProof/>
          <w:color w:val="000000" w:themeColor="text1"/>
          <w:sz w:val="22"/>
          <w:szCs w:val="22"/>
          <w:lang w:val="es-CR" w:eastAsia="es-CR"/>
        </w:rPr>
        <w:t>la subcuenta y cuentas analíticas para el registro del uso contingente de los recursos del encaje mínimo legal y de la reserva de liquidez para financiar el Fondo de Garantía de Depósito (FGD)</w:t>
      </w:r>
      <w:r>
        <w:rPr>
          <w:noProof/>
          <w:color w:val="000000" w:themeColor="text1"/>
          <w:sz w:val="22"/>
          <w:szCs w:val="22"/>
          <w:lang w:val="es-CR" w:eastAsia="es-CR"/>
        </w:rPr>
        <w:t xml:space="preserve"> y 5 </w:t>
      </w:r>
      <w:r w:rsidRPr="00807453">
        <w:rPr>
          <w:noProof/>
          <w:color w:val="000000" w:themeColor="text1"/>
          <w:sz w:val="22"/>
          <w:szCs w:val="22"/>
          <w:lang w:val="es-CR" w:eastAsia="es-CR"/>
        </w:rPr>
        <w:t>para agregar la cuenta 125.90 Garantía contingente al Fondo de Garantía de Depósitos (FGD) – Reserva de liquidez para la presentación en el activo de la garantía contingente del 2% sobre la reserva de liquidez</w:t>
      </w:r>
      <w:r>
        <w:rPr>
          <w:noProof/>
          <w:color w:val="000000" w:themeColor="text1"/>
          <w:sz w:val="22"/>
          <w:szCs w:val="22"/>
          <w:lang w:val="es-CR" w:eastAsia="es-CR"/>
        </w:rPr>
        <w:t xml:space="preserve">. </w:t>
      </w:r>
      <w:r w:rsidRPr="00807453">
        <w:rPr>
          <w:noProof/>
          <w:color w:val="000000" w:themeColor="text1"/>
          <w:sz w:val="22"/>
          <w:szCs w:val="22"/>
          <w:lang w:val="es-CR" w:eastAsia="es-CR"/>
        </w:rPr>
        <w:t>Rige tres meses después de su publicación en el diario oficial La Gaceta.</w:t>
      </w:r>
      <w:r>
        <w:rPr>
          <w:noProof/>
          <w:color w:val="000000" w:themeColor="text1"/>
          <w:sz w:val="22"/>
          <w:szCs w:val="22"/>
          <w:lang w:val="es-CR" w:eastAsia="es-CR"/>
        </w:rPr>
        <w:t xml:space="preserve"> </w:t>
      </w:r>
      <w:r w:rsidRPr="006B18B9">
        <w:rPr>
          <w:noProof/>
          <w:color w:val="000000" w:themeColor="text1"/>
          <w:sz w:val="22"/>
          <w:szCs w:val="22"/>
          <w:lang w:val="es-CR" w:eastAsia="es-CR"/>
        </w:rPr>
        <w:t>Publicado en el Alcance 23 a La Gaceta 22 del miércoles 3 de febrero del 2021.</w:t>
      </w:r>
    </w:p>
    <w:p w14:paraId="28C6290E" w14:textId="77777777" w:rsidR="0079058B" w:rsidRDefault="0079058B" w:rsidP="00F57B5A">
      <w:pPr>
        <w:spacing w:after="120"/>
        <w:ind w:left="1418" w:hanging="1418"/>
        <w:jc w:val="both"/>
        <w:rPr>
          <w:noProof/>
          <w:color w:val="000000" w:themeColor="text1"/>
          <w:sz w:val="22"/>
          <w:szCs w:val="22"/>
          <w:lang w:val="es-CR" w:eastAsia="es-CR"/>
        </w:rPr>
      </w:pPr>
      <w:r w:rsidRPr="00817F63">
        <w:rPr>
          <w:b/>
          <w:bCs/>
          <w:noProof/>
          <w:color w:val="000000" w:themeColor="text1"/>
          <w:sz w:val="22"/>
          <w:szCs w:val="22"/>
          <w:lang w:val="es-CR" w:eastAsia="es-CR"/>
        </w:rPr>
        <w:t>Versión 13</w:t>
      </w:r>
      <w:r>
        <w:rPr>
          <w:noProof/>
          <w:color w:val="000000" w:themeColor="text1"/>
          <w:sz w:val="22"/>
          <w:szCs w:val="22"/>
          <w:lang w:val="es-CR" w:eastAsia="es-CR"/>
        </w:rPr>
        <w:t>:</w:t>
      </w:r>
      <w:r>
        <w:rPr>
          <w:noProof/>
          <w:color w:val="000000" w:themeColor="text1"/>
          <w:sz w:val="22"/>
          <w:szCs w:val="22"/>
          <w:lang w:val="es-CR" w:eastAsia="es-CR"/>
        </w:rPr>
        <w:tab/>
        <w:t xml:space="preserve">Mediante </w:t>
      </w:r>
      <w:r w:rsidRPr="00B81E45">
        <w:rPr>
          <w:noProof/>
          <w:color w:val="000000" w:themeColor="text1"/>
          <w:sz w:val="22"/>
          <w:szCs w:val="22"/>
          <w:lang w:val="es-CR" w:eastAsia="es-CR"/>
        </w:rPr>
        <w:t>artículos 5 y 8, de las actas de las sesiones 1674-2021 y 1675-2021, respectivamente, celebradas el 19 de julio de 2021</w:t>
      </w:r>
      <w:r>
        <w:rPr>
          <w:noProof/>
          <w:color w:val="000000" w:themeColor="text1"/>
          <w:sz w:val="22"/>
          <w:szCs w:val="22"/>
          <w:lang w:val="es-CR" w:eastAsia="es-CR"/>
        </w:rPr>
        <w:t xml:space="preserve"> el </w:t>
      </w:r>
      <w:r w:rsidRPr="00B81E45">
        <w:rPr>
          <w:noProof/>
          <w:color w:val="000000" w:themeColor="text1"/>
          <w:sz w:val="22"/>
          <w:szCs w:val="22"/>
          <w:lang w:val="es-CR" w:eastAsia="es-CR"/>
        </w:rPr>
        <w:t>Consejo Nacional de Supervisión del Sistema Financiero</w:t>
      </w:r>
      <w:r>
        <w:rPr>
          <w:noProof/>
          <w:color w:val="000000" w:themeColor="text1"/>
          <w:sz w:val="22"/>
          <w:szCs w:val="22"/>
          <w:lang w:val="es-CR" w:eastAsia="es-CR"/>
        </w:rPr>
        <w:t xml:space="preserve"> dispuso en firme:</w:t>
      </w:r>
    </w:p>
    <w:p w14:paraId="5521B90E" w14:textId="77777777" w:rsidR="0079058B" w:rsidRPr="0079058B" w:rsidRDefault="0079058B" w:rsidP="00F57B5A">
      <w:pPr>
        <w:spacing w:after="120"/>
        <w:ind w:left="1418"/>
        <w:jc w:val="both"/>
        <w:rPr>
          <w:noProof/>
          <w:color w:val="000000" w:themeColor="text1"/>
          <w:sz w:val="22"/>
          <w:szCs w:val="22"/>
          <w:lang w:val="es-CR" w:eastAsia="es-CR"/>
        </w:rPr>
      </w:pPr>
      <w:r w:rsidRPr="0079058B">
        <w:rPr>
          <w:bCs/>
          <w:iCs/>
          <w:noProof/>
          <w:color w:val="000000" w:themeColor="text1"/>
          <w:sz w:val="22"/>
          <w:szCs w:val="22"/>
          <w:lang w:val="es-CR" w:eastAsia="es-CR"/>
        </w:rPr>
        <w:t>[</w:t>
      </w:r>
      <w:bookmarkStart w:id="7" w:name="Version13a"/>
      <w:r w:rsidRPr="0079058B">
        <w:rPr>
          <w:bCs/>
          <w:iCs/>
          <w:noProof/>
          <w:color w:val="000000" w:themeColor="text1"/>
          <w:sz w:val="22"/>
          <w:szCs w:val="22"/>
          <w:lang w:val="es-CR" w:eastAsia="es-CR"/>
        </w:rPr>
        <w:t>13a</w:t>
      </w:r>
      <w:bookmarkEnd w:id="7"/>
      <w:r w:rsidRPr="0079058B">
        <w:rPr>
          <w:bCs/>
          <w:iCs/>
          <w:noProof/>
          <w:color w:val="000000" w:themeColor="text1"/>
          <w:sz w:val="22"/>
          <w:szCs w:val="22"/>
          <w:lang w:val="es-CR" w:eastAsia="es-CR"/>
        </w:rPr>
        <w:t>]</w:t>
      </w:r>
      <w:r w:rsidRPr="0079058B">
        <w:rPr>
          <w:noProof/>
          <w:color w:val="000000" w:themeColor="text1"/>
          <w:sz w:val="22"/>
          <w:szCs w:val="22"/>
          <w:lang w:val="es-CR" w:eastAsia="es-CR"/>
        </w:rPr>
        <w:t xml:space="preserve"> derogar el cuarto párrafo del </w:t>
      </w:r>
      <w:r w:rsidRPr="0079058B">
        <w:rPr>
          <w:iCs/>
          <w:noProof/>
          <w:color w:val="000000" w:themeColor="text1"/>
          <w:sz w:val="22"/>
          <w:szCs w:val="22"/>
          <w:lang w:val="es-CR" w:eastAsia="es-CR"/>
        </w:rPr>
        <w:t>Artículo 23.- NIC 38. Activos intangibles</w:t>
      </w:r>
      <w:r w:rsidRPr="0079058B">
        <w:rPr>
          <w:noProof/>
          <w:color w:val="000000" w:themeColor="text1"/>
          <w:sz w:val="22"/>
          <w:szCs w:val="22"/>
          <w:lang w:val="es-CR" w:eastAsia="es-CR"/>
        </w:rPr>
        <w:t xml:space="preserve">; </w:t>
      </w:r>
    </w:p>
    <w:p w14:paraId="09C5260E" w14:textId="77777777" w:rsidR="0079058B" w:rsidRPr="0079058B" w:rsidRDefault="0079058B" w:rsidP="00F57B5A">
      <w:pPr>
        <w:spacing w:after="120"/>
        <w:ind w:left="1418"/>
        <w:jc w:val="both"/>
        <w:rPr>
          <w:noProof/>
          <w:color w:val="000000" w:themeColor="text1"/>
          <w:sz w:val="22"/>
          <w:szCs w:val="22"/>
          <w:lang w:val="es-CR" w:eastAsia="es-CR"/>
        </w:rPr>
      </w:pPr>
      <w:r w:rsidRPr="0079058B">
        <w:rPr>
          <w:bCs/>
          <w:iCs/>
          <w:noProof/>
          <w:color w:val="000000" w:themeColor="text1"/>
          <w:sz w:val="22"/>
          <w:szCs w:val="22"/>
          <w:lang w:val="es-CR" w:eastAsia="es-CR"/>
        </w:rPr>
        <w:t>[13b]</w:t>
      </w:r>
      <w:r w:rsidRPr="0079058B">
        <w:rPr>
          <w:iCs/>
          <w:noProof/>
          <w:color w:val="000000" w:themeColor="text1"/>
          <w:sz w:val="22"/>
          <w:szCs w:val="22"/>
          <w:lang w:val="es-CR" w:eastAsia="es-CR"/>
        </w:rPr>
        <w:t xml:space="preserve"> </w:t>
      </w:r>
      <w:r w:rsidRPr="0079058B">
        <w:rPr>
          <w:noProof/>
          <w:color w:val="000000" w:themeColor="text1"/>
          <w:sz w:val="22"/>
          <w:szCs w:val="22"/>
          <w:lang w:val="es-CR" w:eastAsia="es-CR"/>
        </w:rPr>
        <w:t xml:space="preserve">derogar del </w:t>
      </w:r>
      <w:r w:rsidRPr="0079058B">
        <w:rPr>
          <w:iCs/>
          <w:noProof/>
          <w:color w:val="000000" w:themeColor="text1"/>
          <w:sz w:val="22"/>
          <w:szCs w:val="22"/>
          <w:lang w:val="es-CR" w:eastAsia="es-CR"/>
        </w:rPr>
        <w:t>Anexo 1: Plan de cuentas para las entidades supervisadas por SUGEF, SUGEVAL y SUPEN, los grupos y conglomerados financieros</w:t>
      </w:r>
      <w:r w:rsidRPr="0079058B">
        <w:rPr>
          <w:noProof/>
          <w:color w:val="000000" w:themeColor="text1"/>
          <w:sz w:val="22"/>
          <w:szCs w:val="22"/>
          <w:lang w:val="es-CR" w:eastAsia="es-CR"/>
        </w:rPr>
        <w:t xml:space="preserve"> y del </w:t>
      </w:r>
      <w:r w:rsidRPr="0079058B">
        <w:rPr>
          <w:iCs/>
          <w:noProof/>
          <w:color w:val="000000" w:themeColor="text1"/>
          <w:sz w:val="22"/>
          <w:szCs w:val="22"/>
          <w:lang w:val="es-CR" w:eastAsia="es-CR"/>
        </w:rPr>
        <w:t>Anexo 3: Catálogo de cuentas para las entidades supervisadas por SUGEF, SUGEVAL y SUPEN, los grupos y conglomerados financieros</w:t>
      </w:r>
      <w:r w:rsidRPr="0079058B">
        <w:rPr>
          <w:noProof/>
          <w:color w:val="000000" w:themeColor="text1"/>
          <w:sz w:val="22"/>
          <w:szCs w:val="22"/>
          <w:lang w:val="es-CR" w:eastAsia="es-CR"/>
        </w:rPr>
        <w:t xml:space="preserve">, las siguientes subcuentas y cuentas analíticas del Estado de Situación Financiera: 182.01 Gastos de organización e instalación, 182.01.M.01 Costos de organización e instalación, 182.01.M.02 (Amortización de costos de organización e instalación); </w:t>
      </w:r>
    </w:p>
    <w:p w14:paraId="6B51A400"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bCs/>
          <w:iCs/>
          <w:noProof/>
          <w:color w:val="000000" w:themeColor="text1"/>
          <w:sz w:val="22"/>
          <w:szCs w:val="22"/>
          <w:lang w:val="es-CR" w:eastAsia="es-CR"/>
        </w:rPr>
        <w:t>[13c]</w:t>
      </w:r>
      <w:r w:rsidRPr="0079058B">
        <w:rPr>
          <w:iCs/>
          <w:noProof/>
          <w:color w:val="000000" w:themeColor="text1"/>
          <w:sz w:val="22"/>
          <w:szCs w:val="22"/>
          <w:lang w:val="es-CR" w:eastAsia="es-CR"/>
        </w:rPr>
        <w:t xml:space="preserve"> derogar del Anexo 1: Plan de cuentas para las entidades supervisadas por SUGEF, SUGEVAL y SUPEN, los grupos y conglomerados financieros y del Anexo 3: Catálogo de cuentas para las entidades supervisadas por SUGEF, SUGEVAL y SUPEN, los grupos y conglomerados financieros, las subcuentas y cuentas analíticas del Estado de Resultados y otro resultado integral del período, que se describen a continuación: 445.04 Amortización de Gastos de Organización e Instalación, 445.04.M.00 Amortización de Gastos de Organización e Instalación; </w:t>
      </w:r>
    </w:p>
    <w:p w14:paraId="360D87B1"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bCs/>
          <w:iCs/>
          <w:noProof/>
          <w:color w:val="000000" w:themeColor="text1"/>
          <w:sz w:val="22"/>
          <w:szCs w:val="22"/>
          <w:lang w:val="es-CR" w:eastAsia="es-CR"/>
        </w:rPr>
        <w:t xml:space="preserve">[13d] </w:t>
      </w:r>
      <w:r w:rsidRPr="0079058B">
        <w:rPr>
          <w:noProof/>
          <w:color w:val="000000" w:themeColor="text1"/>
          <w:sz w:val="22"/>
          <w:szCs w:val="22"/>
          <w:lang w:val="es-CR" w:eastAsia="es-CR"/>
        </w:rPr>
        <w:t>derogar del</w:t>
      </w:r>
      <w:r w:rsidRPr="0079058B">
        <w:rPr>
          <w:iCs/>
          <w:noProof/>
          <w:color w:val="000000" w:themeColor="text1"/>
          <w:sz w:val="22"/>
          <w:szCs w:val="22"/>
          <w:lang w:val="es-CR" w:eastAsia="es-CR"/>
        </w:rPr>
        <w:t xml:space="preserve"> Anexo 2: Plan de cuentas para las entidades supervisadas por SUGESE </w:t>
      </w:r>
      <w:r w:rsidRPr="0079058B">
        <w:rPr>
          <w:noProof/>
          <w:color w:val="000000" w:themeColor="text1"/>
          <w:sz w:val="22"/>
          <w:szCs w:val="22"/>
          <w:lang w:val="es-CR" w:eastAsia="es-CR"/>
        </w:rPr>
        <w:t>y del</w:t>
      </w:r>
      <w:r w:rsidRPr="0079058B">
        <w:rPr>
          <w:iCs/>
          <w:noProof/>
          <w:color w:val="000000" w:themeColor="text1"/>
          <w:sz w:val="22"/>
          <w:szCs w:val="22"/>
          <w:lang w:val="es-CR" w:eastAsia="es-CR"/>
        </w:rPr>
        <w:t xml:space="preserve"> Anexo 4: Catálogo de cuentas para las entidades supervisadas por SUGESE del Reglamento de Información Financiera, las subcuentas y cuentas analíticas del Estado </w:t>
      </w:r>
      <w:r w:rsidRPr="0079058B">
        <w:rPr>
          <w:iCs/>
          <w:noProof/>
          <w:color w:val="000000" w:themeColor="text1"/>
          <w:sz w:val="22"/>
          <w:szCs w:val="22"/>
          <w:lang w:val="es-CR" w:eastAsia="es-CR"/>
        </w:rPr>
        <w:lastRenderedPageBreak/>
        <w:t xml:space="preserve">de Situación Financiera, que se describen a continuación 1 090 020 010 Gastos de organización e instalación, 1.090.020.010.M.010 Costos de organización e instalación, 1.090.020.010.M.020 (Amortización de costos de organización e instalación); </w:t>
      </w:r>
    </w:p>
    <w:p w14:paraId="401B5629"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bCs/>
          <w:iCs/>
          <w:noProof/>
          <w:color w:val="000000" w:themeColor="text1"/>
          <w:sz w:val="22"/>
          <w:szCs w:val="22"/>
          <w:lang w:val="es-CR" w:eastAsia="es-CR"/>
        </w:rPr>
        <w:t xml:space="preserve">[13e] </w:t>
      </w:r>
      <w:r w:rsidRPr="0079058B">
        <w:rPr>
          <w:noProof/>
          <w:color w:val="000000" w:themeColor="text1"/>
          <w:sz w:val="22"/>
          <w:szCs w:val="22"/>
          <w:lang w:val="es-CR" w:eastAsia="es-CR"/>
        </w:rPr>
        <w:t>derogar del</w:t>
      </w:r>
      <w:r w:rsidRPr="0079058B">
        <w:rPr>
          <w:iCs/>
          <w:noProof/>
          <w:color w:val="000000" w:themeColor="text1"/>
          <w:sz w:val="22"/>
          <w:szCs w:val="22"/>
          <w:lang w:val="es-CR" w:eastAsia="es-CR"/>
        </w:rPr>
        <w:t xml:space="preserve"> Anexo 2: Plan de cuentas para las entidades supervisadas por SUGESE y del Anexo 4: Catálogo de cuentas para las entidades supervisadas por SUGESE, las subcuentas y cuentas analíticas del Estado de Situación Financiera, las subcuentas y cuentas analíticas del Estado de Resultados y otro resultado integral del período, que se describen a continuación: 4 070 050 040 Amortización de gastos de organización e instalación, 4 070 100 040 Amortización de gastos de organización e instalación, 4.070.100.040.M.010 Seguros Generales, 4.070.100.040.M.020 Seguros Personales.</w:t>
      </w:r>
    </w:p>
    <w:p w14:paraId="73C539F5" w14:textId="77777777" w:rsidR="0079058B" w:rsidRPr="0079058B" w:rsidRDefault="0079058B" w:rsidP="00F57B5A">
      <w:pPr>
        <w:spacing w:after="120"/>
        <w:ind w:left="1418" w:hanging="1418"/>
        <w:jc w:val="both"/>
        <w:rPr>
          <w:iCs/>
          <w:noProof/>
          <w:color w:val="000000" w:themeColor="text1"/>
          <w:sz w:val="22"/>
          <w:szCs w:val="22"/>
          <w:lang w:val="es-CR" w:eastAsia="es-CR"/>
        </w:rPr>
      </w:pPr>
      <w:r w:rsidRPr="00AB75C5">
        <w:rPr>
          <w:b/>
          <w:iCs/>
          <w:noProof/>
          <w:color w:val="000000" w:themeColor="text1"/>
          <w:sz w:val="22"/>
          <w:szCs w:val="22"/>
          <w:lang w:val="es-CR" w:eastAsia="es-CR"/>
        </w:rPr>
        <w:t>Versión 14</w:t>
      </w:r>
      <w:r w:rsidRPr="0079058B">
        <w:rPr>
          <w:bCs/>
          <w:iCs/>
          <w:noProof/>
          <w:color w:val="000000" w:themeColor="text1"/>
          <w:sz w:val="22"/>
          <w:szCs w:val="22"/>
          <w:lang w:val="es-CR" w:eastAsia="es-CR"/>
        </w:rPr>
        <w:t>:</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El Consejo Nacional de Supervisión del Sistema Financiero, en el artículo 7, del acta de la sesión 1682-2021, celebrada el 23 de agosto del 2021, resolvió en firme modificar el Reglamento de Información Financiera de la siguiente manera:</w:t>
      </w:r>
    </w:p>
    <w:p w14:paraId="704D6EC0"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[14a]</w:t>
      </w:r>
      <w:r w:rsidRPr="0079058B">
        <w:rPr>
          <w:iCs/>
          <w:noProof/>
          <w:color w:val="000000" w:themeColor="text1"/>
          <w:sz w:val="22"/>
          <w:szCs w:val="22"/>
          <w:lang w:val="es-CR" w:eastAsia="es-CR"/>
        </w:rPr>
        <w:tab/>
        <w:t>Modificar el artículo 3.</w:t>
      </w:r>
    </w:p>
    <w:p w14:paraId="659EBA9A"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[14b]</w:t>
      </w:r>
      <w:r w:rsidRPr="0079058B">
        <w:rPr>
          <w:iCs/>
          <w:noProof/>
          <w:color w:val="000000" w:themeColor="text1"/>
          <w:sz w:val="22"/>
          <w:szCs w:val="22"/>
          <w:lang w:val="es-CR" w:eastAsia="es-CR"/>
        </w:rPr>
        <w:tab/>
        <w:t>Modificar el artículo 9.</w:t>
      </w:r>
    </w:p>
    <w:p w14:paraId="156993B8" w14:textId="77777777" w:rsidR="0079058B" w:rsidRPr="0079058B" w:rsidRDefault="0079058B" w:rsidP="00F57B5A">
      <w:pPr>
        <w:pStyle w:val="Prrafodelista"/>
        <w:spacing w:after="120"/>
        <w:ind w:left="1985" w:hanging="567"/>
        <w:contextualSpacing w:val="0"/>
        <w:jc w:val="both"/>
        <w:rPr>
          <w:iCs/>
          <w:noProof/>
          <w:color w:val="000000" w:themeColor="text1"/>
          <w:sz w:val="22"/>
          <w:szCs w:val="22"/>
          <w:lang w:val="es-CR" w:eastAsia="es-CR"/>
        </w:rPr>
      </w:pPr>
      <w:r w:rsidRPr="0079058B">
        <w:rPr>
          <w:bCs/>
          <w:iCs/>
          <w:noProof/>
          <w:color w:val="000000" w:themeColor="text1"/>
          <w:sz w:val="22"/>
          <w:szCs w:val="22"/>
          <w:lang w:val="es-CR" w:eastAsia="es-CR"/>
        </w:rPr>
        <w:t>[14c]</w:t>
      </w:r>
      <w:r w:rsidRPr="0079058B">
        <w:rPr>
          <w:iCs/>
          <w:noProof/>
          <w:color w:val="000000" w:themeColor="text1"/>
          <w:sz w:val="22"/>
          <w:szCs w:val="22"/>
          <w:lang w:val="es-CR" w:eastAsia="es-CR"/>
        </w:rPr>
        <w:tab/>
        <w:t>Modificar el artículo 25.</w:t>
      </w:r>
    </w:p>
    <w:p w14:paraId="0E54B14B" w14:textId="77777777" w:rsidR="0079058B" w:rsidRPr="0079058B" w:rsidRDefault="0079058B" w:rsidP="00F57B5A">
      <w:pPr>
        <w:pStyle w:val="Prrafodelista"/>
        <w:spacing w:after="120"/>
        <w:ind w:left="1985" w:hanging="567"/>
        <w:contextualSpacing w:val="0"/>
        <w:jc w:val="both"/>
        <w:rPr>
          <w:iCs/>
          <w:noProof/>
          <w:color w:val="000000" w:themeColor="text1"/>
          <w:sz w:val="22"/>
          <w:szCs w:val="22"/>
          <w:lang w:val="es-CR" w:eastAsia="es-CR"/>
        </w:rPr>
      </w:pPr>
      <w:r w:rsidRPr="0079058B">
        <w:rPr>
          <w:bCs/>
          <w:iCs/>
          <w:noProof/>
          <w:color w:val="000000" w:themeColor="text1"/>
          <w:sz w:val="22"/>
          <w:szCs w:val="22"/>
          <w:lang w:val="es-CR" w:eastAsia="es-CR"/>
        </w:rPr>
        <w:t>[14d]</w:t>
      </w:r>
      <w:r w:rsidRPr="0079058B">
        <w:rPr>
          <w:iCs/>
          <w:noProof/>
          <w:color w:val="000000" w:themeColor="text1"/>
          <w:sz w:val="22"/>
          <w:szCs w:val="22"/>
          <w:lang w:val="es-CR" w:eastAsia="es-CR"/>
        </w:rPr>
        <w:tab/>
        <w:t>Modificar el artículo 31.</w:t>
      </w:r>
    </w:p>
    <w:p w14:paraId="62224D9B" w14:textId="77777777" w:rsidR="0079058B" w:rsidRPr="0079058B" w:rsidRDefault="0079058B" w:rsidP="00F57B5A">
      <w:pPr>
        <w:pStyle w:val="Prrafodelista"/>
        <w:spacing w:after="120"/>
        <w:ind w:left="1985" w:hanging="567"/>
        <w:contextualSpacing w:val="0"/>
        <w:jc w:val="both"/>
        <w:rPr>
          <w:iCs/>
          <w:noProof/>
          <w:color w:val="000000" w:themeColor="text1"/>
          <w:sz w:val="22"/>
          <w:szCs w:val="22"/>
          <w:lang w:val="es-CR" w:eastAsia="es-CR"/>
        </w:rPr>
      </w:pPr>
      <w:r w:rsidRPr="0079058B">
        <w:rPr>
          <w:bCs/>
          <w:iCs/>
          <w:noProof/>
          <w:color w:val="000000" w:themeColor="text1"/>
          <w:sz w:val="22"/>
          <w:szCs w:val="22"/>
          <w:lang w:val="es-CR" w:eastAsia="es-CR"/>
        </w:rPr>
        <w:t>[14e]</w:t>
      </w:r>
      <w:r w:rsidRPr="0079058B">
        <w:rPr>
          <w:iCs/>
          <w:noProof/>
          <w:color w:val="000000" w:themeColor="text1"/>
          <w:sz w:val="22"/>
          <w:szCs w:val="22"/>
          <w:lang w:val="es-CR" w:eastAsia="es-CR"/>
        </w:rPr>
        <w:tab/>
        <w:t>Modificar, eliminar y agregar las cuentas, subcuentas y cuentas analíticas, así como la descripción de las cuentas en los Anexos 2 y 4.</w:t>
      </w:r>
    </w:p>
    <w:p w14:paraId="59081876" w14:textId="77777777" w:rsidR="0079058B" w:rsidRPr="0079058B" w:rsidRDefault="0079058B" w:rsidP="00F57B5A">
      <w:pPr>
        <w:pStyle w:val="Prrafodelista"/>
        <w:spacing w:after="120"/>
        <w:ind w:left="1985" w:hanging="567"/>
        <w:contextualSpacing w:val="0"/>
        <w:jc w:val="both"/>
        <w:rPr>
          <w:iCs/>
          <w:noProof/>
          <w:color w:val="000000" w:themeColor="text1"/>
          <w:sz w:val="22"/>
          <w:szCs w:val="22"/>
          <w:lang w:val="es-CR" w:eastAsia="es-CR"/>
        </w:rPr>
      </w:pPr>
      <w:r w:rsidRPr="0079058B">
        <w:rPr>
          <w:bCs/>
          <w:iCs/>
          <w:noProof/>
          <w:color w:val="000000" w:themeColor="text1"/>
          <w:sz w:val="22"/>
          <w:szCs w:val="22"/>
          <w:lang w:val="es-CR" w:eastAsia="es-CR"/>
        </w:rPr>
        <w:t>[14f]</w:t>
      </w:r>
      <w:r w:rsidRPr="0079058B">
        <w:rPr>
          <w:iCs/>
          <w:noProof/>
          <w:color w:val="000000" w:themeColor="text1"/>
          <w:sz w:val="22"/>
          <w:szCs w:val="22"/>
          <w:lang w:val="es-CR" w:eastAsia="es-CR"/>
        </w:rPr>
        <w:tab/>
        <w:t>Adicionar un transitorio IX.</w:t>
      </w:r>
    </w:p>
    <w:p w14:paraId="269F48F3"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iCs/>
          <w:noProof/>
          <w:color w:val="000000" w:themeColor="text1"/>
          <w:sz w:val="22"/>
          <w:szCs w:val="22"/>
          <w:lang w:val="es-CR" w:eastAsia="es-CR"/>
        </w:rPr>
        <w:t>Publicado en el Alcance 178 de La Gaceta 174 del 9 de setiembre de 2021. Estas reformas entran en vigor a partir del 1° de enero del 2024, sin embargo, las entidades supervisadas por la SUGESE deberán ajustar sus políticas contables a partir del 1° de enero de 2023.</w:t>
      </w:r>
    </w:p>
    <w:p w14:paraId="47BE6333" w14:textId="77777777" w:rsidR="0079058B" w:rsidRPr="0079058B" w:rsidRDefault="0079058B" w:rsidP="00F57B5A">
      <w:pPr>
        <w:spacing w:after="120"/>
        <w:ind w:left="1418" w:hanging="1418"/>
        <w:jc w:val="both"/>
        <w:rPr>
          <w:iCs/>
          <w:noProof/>
          <w:color w:val="000000" w:themeColor="text1"/>
          <w:sz w:val="22"/>
          <w:szCs w:val="22"/>
          <w:lang w:val="es-CR" w:eastAsia="es-CR"/>
        </w:rPr>
      </w:pPr>
      <w:r w:rsidRPr="00AB75C5">
        <w:rPr>
          <w:b/>
          <w:iCs/>
          <w:noProof/>
          <w:color w:val="000000" w:themeColor="text1"/>
          <w:sz w:val="22"/>
          <w:szCs w:val="22"/>
          <w:lang w:val="es-CR" w:eastAsia="es-CR"/>
        </w:rPr>
        <w:t>Versión 15</w:t>
      </w:r>
      <w:r w:rsidRPr="0079058B">
        <w:rPr>
          <w:bCs/>
          <w:iCs/>
          <w:noProof/>
          <w:color w:val="000000" w:themeColor="text1"/>
          <w:sz w:val="22"/>
          <w:szCs w:val="22"/>
          <w:lang w:val="es-CR" w:eastAsia="es-CR"/>
        </w:rPr>
        <w:t>:</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El Consejo Nacional de Supervisión del Sistema Financiero, en los artículos 8 y 9 de las actas de las sesiones 1725-2022 y 1726-2022, celebradas el 18 de abril del 2022, dispuso en firme modificar la nomenclatura de los reglamentos con alcance transversal, por lo que este Acuerdo SUGEF 12-21 pasa a ser Acuerdo CONASSIF 12-21. Rige a partir de su publicación en La Gaceta. Publicado en el Alcance 83 a La Gaceta 78 del viernes 29 de abril del 2022.</w:t>
      </w:r>
    </w:p>
    <w:p w14:paraId="3DD05D71"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iCs/>
          <w:noProof/>
          <w:color w:val="000000" w:themeColor="text1"/>
          <w:sz w:val="22"/>
          <w:szCs w:val="22"/>
          <w:lang w:val="es-CR" w:eastAsia="es-CR"/>
        </w:rPr>
        <w:t>El Consejo Nacional de Supervisión del Sistema Financiero, en el artículo 9 del acta de la sesión 1752-2022, celebrada el 29 de agosto del 2022, dispuso en firme:</w:t>
      </w:r>
    </w:p>
    <w:p w14:paraId="7D9D8034"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lastRenderedPageBreak/>
        <w:t>[15a]</w:t>
      </w:r>
      <w:r w:rsidRPr="0079058B">
        <w:rPr>
          <w:iCs/>
          <w:noProof/>
          <w:color w:val="000000" w:themeColor="text1"/>
          <w:sz w:val="22"/>
          <w:szCs w:val="22"/>
          <w:lang w:val="es-CR" w:eastAsia="es-CR"/>
        </w:rPr>
        <w:tab/>
        <w:t>Agregar la cuenta analítica “139.02.M.05 (Componente para Deudores con Exposición a Riesgo Cambiario)”, en el Anexo 1 del Plan de Cuentas y el Anexo 3 Catálogo de Cuentas, para las entidades supervisadas por SUGEF, SUGEVAL y SUPEN, los grupos y conglomerados financieros.</w:t>
      </w:r>
    </w:p>
    <w:p w14:paraId="1E4C4806"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[15b]</w:t>
      </w:r>
      <w:r w:rsidRPr="0079058B">
        <w:rPr>
          <w:iCs/>
          <w:noProof/>
          <w:color w:val="000000" w:themeColor="text1"/>
          <w:sz w:val="22"/>
          <w:szCs w:val="22"/>
          <w:lang w:val="es-CR" w:eastAsia="es-CR"/>
        </w:rPr>
        <w:tab/>
        <w:t>Agregar la cuenta analítica “1.030.090.020.M.050 (Componente para Deudores no Generadores)”, en el Anexo 2 del Plan de Cuentas y el Anexo 4 Catálogo de Cuentas, para las entidades supervisadas por SUGESE.</w:t>
      </w:r>
    </w:p>
    <w:p w14:paraId="6F73CED7"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[15c]</w:t>
      </w:r>
      <w:r w:rsidRPr="0079058B">
        <w:rPr>
          <w:iCs/>
          <w:noProof/>
          <w:color w:val="000000" w:themeColor="text1"/>
          <w:sz w:val="22"/>
          <w:szCs w:val="22"/>
          <w:lang w:val="es-CR" w:eastAsia="es-CR"/>
        </w:rPr>
        <w:tab/>
        <w:t>Adicionar el Transitorio X.</w:t>
      </w:r>
    </w:p>
    <w:p w14:paraId="48D304F1" w14:textId="77777777" w:rsidR="0079058B" w:rsidRPr="0079058B" w:rsidRDefault="0079058B" w:rsidP="00F57B5A">
      <w:pPr>
        <w:spacing w:after="120"/>
        <w:ind w:left="1418"/>
        <w:jc w:val="both"/>
        <w:rPr>
          <w:iCs/>
          <w:noProof/>
          <w:color w:val="000000" w:themeColor="text1"/>
          <w:sz w:val="22"/>
          <w:szCs w:val="22"/>
          <w:lang w:val="es-CR" w:eastAsia="es-CR"/>
        </w:rPr>
      </w:pPr>
      <w:r w:rsidRPr="0079058B">
        <w:rPr>
          <w:iCs/>
          <w:noProof/>
          <w:color w:val="000000" w:themeColor="text1"/>
          <w:sz w:val="22"/>
          <w:szCs w:val="22"/>
          <w:lang w:val="es-CR" w:eastAsia="es-CR"/>
        </w:rPr>
        <w:t>Rige a partir del 1° de enero de 2024. Pendiente de publicar en el diario oficial La Gaceta.</w:t>
      </w:r>
    </w:p>
    <w:p w14:paraId="62716EAF" w14:textId="77777777" w:rsidR="0079058B" w:rsidRPr="0079058B" w:rsidRDefault="0079058B" w:rsidP="00F57B5A">
      <w:pPr>
        <w:spacing w:after="120"/>
        <w:ind w:left="1418" w:hanging="1418"/>
        <w:jc w:val="both"/>
        <w:rPr>
          <w:iCs/>
          <w:noProof/>
          <w:color w:val="000000" w:themeColor="text1"/>
          <w:sz w:val="22"/>
          <w:szCs w:val="22"/>
          <w:lang w:val="es-CR" w:eastAsia="es-CR"/>
        </w:rPr>
      </w:pPr>
      <w:r w:rsidRPr="00AB75C5">
        <w:rPr>
          <w:b/>
          <w:iCs/>
          <w:noProof/>
          <w:color w:val="000000" w:themeColor="text1"/>
          <w:sz w:val="22"/>
          <w:szCs w:val="22"/>
          <w:lang w:val="es-CR" w:eastAsia="es-CR"/>
        </w:rPr>
        <w:t>Versión 16:</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El Consejo Nacional de Supervisión del Sistema Financiero, en los artículos 5 y 6 de las actas de las sesiones 1759-2022 y 1760-2022, celebradas el 26 de setiembre del 2022, dispuso:</w:t>
      </w:r>
    </w:p>
    <w:p w14:paraId="34B02750"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[16a]</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Reformar el primer párrafo del artículo 2.</w:t>
      </w:r>
    </w:p>
    <w:p w14:paraId="64E0E594" w14:textId="77777777" w:rsidR="0079058B" w:rsidRP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[16b]</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Modificar el párrafo final del artículo 29.</w:t>
      </w:r>
    </w:p>
    <w:p w14:paraId="22D43D7A" w14:textId="0DDC2C96" w:rsidR="0079058B" w:rsidRDefault="0079058B" w:rsidP="00F57B5A">
      <w:pPr>
        <w:spacing w:after="120"/>
        <w:ind w:left="1985" w:hanging="567"/>
        <w:jc w:val="both"/>
        <w:rPr>
          <w:iCs/>
          <w:noProof/>
          <w:color w:val="000000" w:themeColor="text1"/>
          <w:sz w:val="22"/>
          <w:szCs w:val="22"/>
          <w:lang w:val="es-CR" w:eastAsia="es-CR"/>
        </w:rPr>
      </w:pPr>
      <w:r w:rsidRPr="0079058B">
        <w:rPr>
          <w:bCs/>
          <w:iCs/>
          <w:noProof/>
          <w:color w:val="000000" w:themeColor="text1"/>
          <w:sz w:val="22"/>
          <w:szCs w:val="22"/>
          <w:lang w:val="es-CR" w:eastAsia="es-CR"/>
        </w:rPr>
        <w:t>[16c]</w:t>
      </w:r>
      <w:r w:rsidRPr="0079058B">
        <w:rPr>
          <w:bCs/>
          <w:iCs/>
          <w:noProof/>
          <w:color w:val="000000" w:themeColor="text1"/>
          <w:sz w:val="22"/>
          <w:szCs w:val="22"/>
          <w:lang w:val="es-CR" w:eastAsia="es-CR"/>
        </w:rPr>
        <w:tab/>
      </w:r>
      <w:r w:rsidRPr="0079058B">
        <w:rPr>
          <w:iCs/>
          <w:noProof/>
          <w:color w:val="000000" w:themeColor="text1"/>
          <w:sz w:val="22"/>
          <w:szCs w:val="22"/>
          <w:lang w:val="es-CR" w:eastAsia="es-CR"/>
        </w:rPr>
        <w:t>Modificar los Anexos 1, 2 y 4.</w:t>
      </w:r>
    </w:p>
    <w:p w14:paraId="52A73488" w14:textId="738B85A6" w:rsidR="006C2141" w:rsidRDefault="00EC2EBE" w:rsidP="00F57B5A">
      <w:pPr>
        <w:spacing w:after="120"/>
        <w:ind w:left="1985" w:hanging="567"/>
        <w:jc w:val="both"/>
        <w:rPr>
          <w:iCs/>
          <w:noProof/>
          <w:color w:val="000000" w:themeColor="text1"/>
          <w:sz w:val="22"/>
          <w:szCs w:val="22"/>
          <w:lang w:val="es-CR" w:eastAsia="es-CR"/>
        </w:rPr>
      </w:pPr>
      <w:bookmarkStart w:id="8" w:name="_Hlk117241203"/>
      <w:r>
        <w:rPr>
          <w:iCs/>
          <w:noProof/>
          <w:color w:val="000000" w:themeColor="text1"/>
          <w:sz w:val="22"/>
          <w:szCs w:val="22"/>
          <w:lang w:val="es-CR" w:eastAsia="es-CR"/>
        </w:rPr>
        <w:t xml:space="preserve">Rige a partir del 1° de enero del 2023. </w:t>
      </w:r>
      <w:r w:rsidR="006C2141">
        <w:rPr>
          <w:iCs/>
          <w:noProof/>
          <w:color w:val="000000" w:themeColor="text1"/>
          <w:sz w:val="22"/>
          <w:szCs w:val="22"/>
          <w:lang w:val="es-CR" w:eastAsia="es-CR"/>
        </w:rPr>
        <w:t>Publicado en el Alcance 222 a La Gaceta 198 del martes 18 de octubre de 2022.</w:t>
      </w:r>
      <w:bookmarkEnd w:id="8"/>
    </w:p>
    <w:p w14:paraId="4A9326A4" w14:textId="4B0FB53C" w:rsidR="00CE4F8B" w:rsidRDefault="00CE4F8B" w:rsidP="00F57B5A">
      <w:pPr>
        <w:spacing w:after="120"/>
        <w:ind w:left="1418" w:hanging="1418"/>
        <w:jc w:val="both"/>
        <w:rPr>
          <w:iCs/>
          <w:noProof/>
          <w:color w:val="000000" w:themeColor="text1"/>
          <w:sz w:val="22"/>
          <w:szCs w:val="22"/>
          <w:lang w:val="es-CR" w:eastAsia="es-CR"/>
        </w:rPr>
      </w:pPr>
      <w:bookmarkStart w:id="9" w:name="_Hlk118376163"/>
      <w:r w:rsidRPr="00AB75C5">
        <w:rPr>
          <w:b/>
          <w:bCs/>
          <w:iCs/>
          <w:noProof/>
          <w:color w:val="000000" w:themeColor="text1"/>
          <w:sz w:val="22"/>
          <w:szCs w:val="22"/>
          <w:lang w:val="es-CR" w:eastAsia="es-CR"/>
        </w:rPr>
        <w:t>Versión 17:</w:t>
      </w:r>
      <w:r>
        <w:rPr>
          <w:iCs/>
          <w:noProof/>
          <w:color w:val="000000" w:themeColor="text1"/>
          <w:sz w:val="22"/>
          <w:szCs w:val="22"/>
          <w:lang w:val="es-CR" w:eastAsia="es-CR"/>
        </w:rPr>
        <w:tab/>
      </w:r>
      <w:r w:rsidRPr="00CE4F8B">
        <w:rPr>
          <w:iCs/>
          <w:noProof/>
          <w:color w:val="000000" w:themeColor="text1"/>
          <w:sz w:val="22"/>
          <w:szCs w:val="22"/>
          <w:lang w:val="es-CR" w:eastAsia="es-CR"/>
        </w:rPr>
        <w:t>El Consejo Nacional de Supervisión del Sistema Financiero, en el artículo 9 del acta de la sesión 1724-2022, celebrada el 4 de abril del 2022,</w:t>
      </w:r>
      <w:r>
        <w:rPr>
          <w:iCs/>
          <w:noProof/>
          <w:color w:val="000000" w:themeColor="text1"/>
          <w:sz w:val="22"/>
          <w:szCs w:val="22"/>
          <w:lang w:val="es-CR" w:eastAsia="es-CR"/>
        </w:rPr>
        <w:t xml:space="preserve"> </w:t>
      </w:r>
      <w:r w:rsidRPr="00CE4F8B">
        <w:rPr>
          <w:iCs/>
          <w:noProof/>
          <w:color w:val="000000" w:themeColor="text1"/>
          <w:sz w:val="22"/>
          <w:szCs w:val="22"/>
          <w:lang w:val="es-CR" w:eastAsia="es-CR"/>
        </w:rPr>
        <w:t>dispuso, en firme</w:t>
      </w:r>
      <w:r>
        <w:rPr>
          <w:iCs/>
          <w:noProof/>
          <w:color w:val="000000" w:themeColor="text1"/>
          <w:sz w:val="22"/>
          <w:szCs w:val="22"/>
          <w:lang w:val="es-CR" w:eastAsia="es-CR"/>
        </w:rPr>
        <w:t>:</w:t>
      </w:r>
    </w:p>
    <w:p w14:paraId="34A8A1DA" w14:textId="3E9DBE9C" w:rsidR="00CE4F8B" w:rsidRDefault="00CE4F8B" w:rsidP="00F57B5A">
      <w:pPr>
        <w:spacing w:after="120"/>
        <w:ind w:left="1985" w:hanging="567"/>
        <w:jc w:val="both"/>
        <w:rPr>
          <w:iCs/>
          <w:noProof/>
          <w:color w:val="000000" w:themeColor="text1"/>
          <w:sz w:val="22"/>
          <w:szCs w:val="22"/>
          <w:lang w:val="es-CR" w:eastAsia="es-CR"/>
        </w:rPr>
      </w:pPr>
      <w:r>
        <w:rPr>
          <w:iCs/>
          <w:noProof/>
          <w:color w:val="000000" w:themeColor="text1"/>
          <w:sz w:val="22"/>
          <w:szCs w:val="22"/>
          <w:lang w:val="es-CR" w:eastAsia="es-CR"/>
        </w:rPr>
        <w:t>[17a]</w:t>
      </w:r>
      <w:r>
        <w:rPr>
          <w:iCs/>
          <w:noProof/>
          <w:color w:val="000000" w:themeColor="text1"/>
          <w:sz w:val="22"/>
          <w:szCs w:val="22"/>
          <w:lang w:val="es-CR" w:eastAsia="es-CR"/>
        </w:rPr>
        <w:tab/>
      </w:r>
      <w:r w:rsidRPr="00CE4F8B">
        <w:rPr>
          <w:iCs/>
          <w:noProof/>
          <w:color w:val="000000" w:themeColor="text1"/>
          <w:sz w:val="22"/>
          <w:szCs w:val="22"/>
          <w:lang w:val="es-CR" w:eastAsia="es-CR"/>
        </w:rPr>
        <w:t xml:space="preserve">Adicionar en el Anexo 1 </w:t>
      </w:r>
      <w:r w:rsidRPr="0058512C">
        <w:rPr>
          <w:i/>
          <w:noProof/>
          <w:color w:val="000000" w:themeColor="text1"/>
          <w:sz w:val="22"/>
          <w:szCs w:val="22"/>
          <w:lang w:val="es-CR" w:eastAsia="es-CR"/>
        </w:rPr>
        <w:t>Plan de cuentas para las entidades supervisadas por SUGEF, SUGEVAL y SUPEN, los grupos y conglomerados financieros</w:t>
      </w:r>
      <w:r w:rsidRPr="00CE4F8B">
        <w:rPr>
          <w:iCs/>
          <w:noProof/>
          <w:color w:val="000000" w:themeColor="text1"/>
          <w:sz w:val="22"/>
          <w:szCs w:val="22"/>
          <w:lang w:val="es-CR" w:eastAsia="es-CR"/>
        </w:rPr>
        <w:t>, la subcuenta 311.07 Cuotas de participación mutualista en la cuenta 311 Capital pagado</w:t>
      </w:r>
      <w:r>
        <w:rPr>
          <w:iCs/>
          <w:noProof/>
          <w:color w:val="000000" w:themeColor="text1"/>
          <w:sz w:val="22"/>
          <w:szCs w:val="22"/>
          <w:lang w:val="es-CR" w:eastAsia="es-CR"/>
        </w:rPr>
        <w:t>.</w:t>
      </w:r>
    </w:p>
    <w:p w14:paraId="4A40FE49" w14:textId="4ECF434B" w:rsidR="000822AF" w:rsidRDefault="000822AF" w:rsidP="00F57B5A">
      <w:pPr>
        <w:spacing w:after="120"/>
        <w:ind w:left="1985" w:hanging="567"/>
        <w:jc w:val="both"/>
        <w:rPr>
          <w:iCs/>
          <w:noProof/>
          <w:color w:val="000000" w:themeColor="text1"/>
          <w:sz w:val="22"/>
          <w:szCs w:val="22"/>
          <w:lang w:val="es-CR" w:eastAsia="es-CR"/>
        </w:rPr>
      </w:pPr>
      <w:r>
        <w:rPr>
          <w:iCs/>
          <w:noProof/>
          <w:color w:val="000000" w:themeColor="text1"/>
          <w:sz w:val="22"/>
          <w:szCs w:val="22"/>
          <w:lang w:val="es-CR" w:eastAsia="es-CR"/>
        </w:rPr>
        <w:t>[17b]</w:t>
      </w:r>
      <w:r>
        <w:rPr>
          <w:iCs/>
          <w:noProof/>
          <w:color w:val="000000" w:themeColor="text1"/>
          <w:sz w:val="22"/>
          <w:szCs w:val="22"/>
          <w:lang w:val="es-CR" w:eastAsia="es-CR"/>
        </w:rPr>
        <w:tab/>
      </w:r>
      <w:r w:rsidRPr="000822AF">
        <w:rPr>
          <w:iCs/>
          <w:noProof/>
          <w:color w:val="000000" w:themeColor="text1"/>
          <w:sz w:val="22"/>
          <w:szCs w:val="22"/>
          <w:lang w:val="es-CR" w:eastAsia="es-CR"/>
        </w:rPr>
        <w:t xml:space="preserve">Adicionar en el Anexo 3 </w:t>
      </w:r>
      <w:r w:rsidRPr="0058512C">
        <w:rPr>
          <w:i/>
          <w:noProof/>
          <w:color w:val="000000" w:themeColor="text1"/>
          <w:sz w:val="22"/>
          <w:szCs w:val="22"/>
          <w:lang w:val="es-CR" w:eastAsia="es-CR"/>
        </w:rPr>
        <w:t>Catálogo de cuentas para las entidades supervisadas por SUGEF, SUGEVAL y SUPEN, los grupos y conglomerados financieros</w:t>
      </w:r>
      <w:r w:rsidRPr="000822AF">
        <w:rPr>
          <w:iCs/>
          <w:noProof/>
          <w:color w:val="000000" w:themeColor="text1"/>
          <w:sz w:val="22"/>
          <w:szCs w:val="22"/>
          <w:lang w:val="es-CR" w:eastAsia="es-CR"/>
        </w:rPr>
        <w:t>; la subcuenta 311.07 Cuotas de participación mutualista en la cuenta 311 Capital pagado</w:t>
      </w:r>
      <w:r>
        <w:rPr>
          <w:iCs/>
          <w:noProof/>
          <w:color w:val="000000" w:themeColor="text1"/>
          <w:sz w:val="22"/>
          <w:szCs w:val="22"/>
          <w:lang w:val="es-CR" w:eastAsia="es-CR"/>
        </w:rPr>
        <w:t>.</w:t>
      </w:r>
    </w:p>
    <w:p w14:paraId="00558398" w14:textId="6F9EBBFF" w:rsidR="0058512C" w:rsidRDefault="0058512C" w:rsidP="00F57B5A">
      <w:pPr>
        <w:spacing w:after="120"/>
        <w:ind w:left="1985" w:hanging="567"/>
        <w:jc w:val="both"/>
        <w:rPr>
          <w:iCs/>
          <w:noProof/>
          <w:color w:val="000000" w:themeColor="text1"/>
          <w:sz w:val="22"/>
          <w:szCs w:val="22"/>
          <w:lang w:val="es-CR" w:eastAsia="es-CR"/>
        </w:rPr>
      </w:pPr>
      <w:r>
        <w:rPr>
          <w:iCs/>
          <w:noProof/>
          <w:color w:val="000000" w:themeColor="text1"/>
          <w:sz w:val="22"/>
          <w:szCs w:val="22"/>
          <w:lang w:val="es-CR" w:eastAsia="es-CR"/>
        </w:rPr>
        <w:t>[17c]</w:t>
      </w:r>
      <w:r>
        <w:rPr>
          <w:iCs/>
          <w:noProof/>
          <w:color w:val="000000" w:themeColor="text1"/>
          <w:sz w:val="22"/>
          <w:szCs w:val="22"/>
          <w:lang w:val="es-CR" w:eastAsia="es-CR"/>
        </w:rPr>
        <w:tab/>
      </w:r>
      <w:r w:rsidRPr="0058512C">
        <w:rPr>
          <w:iCs/>
          <w:noProof/>
          <w:color w:val="000000" w:themeColor="text1"/>
          <w:sz w:val="22"/>
          <w:szCs w:val="22"/>
          <w:lang w:val="es-CR" w:eastAsia="es-CR"/>
        </w:rPr>
        <w:t xml:space="preserve">Modificar el concepto de la subcuenta 321.03 (Costos de emisión y colocación de acciones), en el Anexo 1 </w:t>
      </w:r>
      <w:r w:rsidRPr="0058512C">
        <w:rPr>
          <w:i/>
          <w:noProof/>
          <w:color w:val="000000" w:themeColor="text1"/>
          <w:sz w:val="22"/>
          <w:szCs w:val="22"/>
          <w:lang w:val="es-CR" w:eastAsia="es-CR"/>
        </w:rPr>
        <w:t>Plan de cuentas para las entidades supervisadas por SUGEF, SUGEVAL y SUPEN, los grupos y conglomerados financieros</w:t>
      </w:r>
      <w:r w:rsidRPr="0058512C">
        <w:rPr>
          <w:iCs/>
          <w:noProof/>
          <w:color w:val="000000" w:themeColor="text1"/>
          <w:sz w:val="22"/>
          <w:szCs w:val="22"/>
          <w:lang w:val="es-CR" w:eastAsia="es-CR"/>
        </w:rPr>
        <w:t>.</w:t>
      </w:r>
    </w:p>
    <w:p w14:paraId="550B6EA7" w14:textId="5A315DFA" w:rsidR="000822AF" w:rsidRPr="000822AF" w:rsidRDefault="000822AF" w:rsidP="00F57B5A">
      <w:pPr>
        <w:spacing w:after="120"/>
        <w:ind w:left="1418"/>
        <w:jc w:val="both"/>
        <w:rPr>
          <w:iCs/>
          <w:noProof/>
          <w:color w:val="000000" w:themeColor="text1"/>
          <w:sz w:val="22"/>
          <w:szCs w:val="22"/>
          <w:lang w:val="es-CR" w:eastAsia="es-CR"/>
        </w:rPr>
      </w:pPr>
      <w:r w:rsidRPr="000822AF">
        <w:rPr>
          <w:iCs/>
          <w:noProof/>
          <w:color w:val="000000" w:themeColor="text1"/>
          <w:sz w:val="22"/>
          <w:szCs w:val="22"/>
          <w:lang w:val="es-CR" w:eastAsia="es-CR"/>
        </w:rPr>
        <w:t>Rige para la información que debe ser remitida por las entidades a SUGEF con corte a junio del 2022.</w:t>
      </w:r>
      <w:r>
        <w:rPr>
          <w:iCs/>
          <w:noProof/>
          <w:color w:val="000000" w:themeColor="text1"/>
          <w:sz w:val="22"/>
          <w:szCs w:val="22"/>
          <w:lang w:val="es-CR" w:eastAsia="es-CR"/>
        </w:rPr>
        <w:t xml:space="preserve"> Publicado en La Gaceta 71 del 20 de abril de 2022.</w:t>
      </w:r>
    </w:p>
    <w:bookmarkEnd w:id="9"/>
    <w:p w14:paraId="0A8028EE" w14:textId="55464CC0" w:rsidR="00BC5D28" w:rsidRPr="0079058B" w:rsidRDefault="00BC5D28" w:rsidP="00F57B5A">
      <w:pPr>
        <w:spacing w:after="120"/>
        <w:ind w:left="1418" w:hanging="1418"/>
        <w:jc w:val="both"/>
        <w:rPr>
          <w:iCs/>
          <w:noProof/>
          <w:color w:val="000000" w:themeColor="text1"/>
          <w:sz w:val="22"/>
          <w:szCs w:val="22"/>
          <w:lang w:val="es-CR" w:eastAsia="es-CR"/>
        </w:rPr>
      </w:pPr>
      <w:r w:rsidRPr="00AB75C5">
        <w:rPr>
          <w:b/>
          <w:bCs/>
          <w:iCs/>
          <w:noProof/>
          <w:color w:val="000000" w:themeColor="text1"/>
          <w:sz w:val="22"/>
          <w:szCs w:val="22"/>
          <w:lang w:val="es-CR" w:eastAsia="es-CR"/>
        </w:rPr>
        <w:t>Versión 18:</w:t>
      </w:r>
      <w:r>
        <w:rPr>
          <w:iCs/>
          <w:noProof/>
          <w:color w:val="000000" w:themeColor="text1"/>
          <w:sz w:val="22"/>
          <w:szCs w:val="22"/>
          <w:lang w:val="es-CR" w:eastAsia="es-CR"/>
        </w:rPr>
        <w:tab/>
      </w:r>
      <w:r w:rsidRPr="0079058B">
        <w:rPr>
          <w:iCs/>
          <w:noProof/>
          <w:color w:val="000000" w:themeColor="text1"/>
          <w:sz w:val="22"/>
          <w:szCs w:val="22"/>
          <w:lang w:val="es-CR" w:eastAsia="es-CR"/>
        </w:rPr>
        <w:t>El Consejo Nacional de Supervisión del Sistema Financiero, en el artículo 9 del acta de la sesión 1752-2022, celebrada el 29 de agosto del 2022, dispuso en firme:</w:t>
      </w:r>
      <w:r>
        <w:rPr>
          <w:iCs/>
          <w:noProof/>
          <w:color w:val="000000" w:themeColor="text1"/>
          <w:sz w:val="22"/>
          <w:szCs w:val="22"/>
          <w:lang w:val="es-CR" w:eastAsia="es-CR"/>
        </w:rPr>
        <w:t xml:space="preserve"> </w:t>
      </w:r>
      <w:r w:rsidRPr="0079058B">
        <w:rPr>
          <w:bCs/>
          <w:iCs/>
          <w:noProof/>
          <w:color w:val="000000" w:themeColor="text1"/>
          <w:sz w:val="22"/>
          <w:szCs w:val="22"/>
          <w:lang w:val="es-CR" w:eastAsia="es-CR"/>
        </w:rPr>
        <w:t>a</w:t>
      </w:r>
      <w:r>
        <w:rPr>
          <w:bCs/>
          <w:iCs/>
          <w:noProof/>
          <w:color w:val="000000" w:themeColor="text1"/>
          <w:sz w:val="22"/>
          <w:szCs w:val="22"/>
          <w:lang w:val="es-CR" w:eastAsia="es-CR"/>
        </w:rPr>
        <w:t xml:space="preserve">) </w:t>
      </w:r>
      <w:r w:rsidRPr="0079058B">
        <w:rPr>
          <w:iCs/>
          <w:noProof/>
          <w:color w:val="000000" w:themeColor="text1"/>
          <w:sz w:val="22"/>
          <w:szCs w:val="22"/>
          <w:lang w:val="es-CR" w:eastAsia="es-CR"/>
        </w:rPr>
        <w:t xml:space="preserve">Agregar la cuenta analítica “139.02.M.05 (Componente para Deudores con Exposición a Riesgo Cambiario)”, en el Anexo 1 del Plan de Cuentas y el Anexo 3 Catálogo de Cuentas, para las entidades supervisadas por SUGEF, </w:t>
      </w:r>
      <w:r w:rsidRPr="0079058B">
        <w:rPr>
          <w:iCs/>
          <w:noProof/>
          <w:color w:val="000000" w:themeColor="text1"/>
          <w:sz w:val="22"/>
          <w:szCs w:val="22"/>
          <w:lang w:val="es-CR" w:eastAsia="es-CR"/>
        </w:rPr>
        <w:lastRenderedPageBreak/>
        <w:t>SUGEVAL y SUPEN, los grupos y conglomerados financieros</w:t>
      </w:r>
      <w:r>
        <w:rPr>
          <w:iCs/>
          <w:noProof/>
          <w:color w:val="000000" w:themeColor="text1"/>
          <w:sz w:val="22"/>
          <w:szCs w:val="22"/>
          <w:lang w:val="es-CR" w:eastAsia="es-CR"/>
        </w:rPr>
        <w:t xml:space="preserve">; </w:t>
      </w:r>
      <w:r w:rsidRPr="0079058B">
        <w:rPr>
          <w:bCs/>
          <w:iCs/>
          <w:noProof/>
          <w:color w:val="000000" w:themeColor="text1"/>
          <w:sz w:val="22"/>
          <w:szCs w:val="22"/>
          <w:lang w:val="es-CR" w:eastAsia="es-CR"/>
        </w:rPr>
        <w:t>b</w:t>
      </w:r>
      <w:r>
        <w:rPr>
          <w:bCs/>
          <w:iCs/>
          <w:noProof/>
          <w:color w:val="000000" w:themeColor="text1"/>
          <w:sz w:val="22"/>
          <w:szCs w:val="22"/>
          <w:lang w:val="es-CR" w:eastAsia="es-CR"/>
        </w:rPr>
        <w:t xml:space="preserve">) </w:t>
      </w:r>
      <w:r w:rsidRPr="0079058B">
        <w:rPr>
          <w:iCs/>
          <w:noProof/>
          <w:color w:val="000000" w:themeColor="text1"/>
          <w:sz w:val="22"/>
          <w:szCs w:val="22"/>
          <w:lang w:val="es-CR" w:eastAsia="es-CR"/>
        </w:rPr>
        <w:t>Agregar la cuenta analítica “1.030.090.020.M.050 (Componente para Deudores no Generadores)”, en el Anexo 2 del Plan de Cuentas y el Anexo 4 Catálogo de Cuentas, para las entidades supervisadas por SUGESE</w:t>
      </w:r>
      <w:r>
        <w:rPr>
          <w:iCs/>
          <w:noProof/>
          <w:color w:val="000000" w:themeColor="text1"/>
          <w:sz w:val="22"/>
          <w:szCs w:val="22"/>
          <w:lang w:val="es-CR" w:eastAsia="es-CR"/>
        </w:rPr>
        <w:t xml:space="preserve">; </w:t>
      </w:r>
      <w:r w:rsidRPr="0079058B">
        <w:rPr>
          <w:bCs/>
          <w:iCs/>
          <w:noProof/>
          <w:color w:val="000000" w:themeColor="text1"/>
          <w:sz w:val="22"/>
          <w:szCs w:val="22"/>
          <w:lang w:val="es-CR" w:eastAsia="es-CR"/>
        </w:rPr>
        <w:t>c</w:t>
      </w:r>
      <w:r>
        <w:rPr>
          <w:bCs/>
          <w:iCs/>
          <w:noProof/>
          <w:color w:val="000000" w:themeColor="text1"/>
          <w:sz w:val="22"/>
          <w:szCs w:val="22"/>
          <w:lang w:val="es-CR" w:eastAsia="es-CR"/>
        </w:rPr>
        <w:t xml:space="preserve">) </w:t>
      </w:r>
      <w:r w:rsidRPr="0079058B">
        <w:rPr>
          <w:iCs/>
          <w:noProof/>
          <w:color w:val="000000" w:themeColor="text1"/>
          <w:sz w:val="22"/>
          <w:szCs w:val="22"/>
          <w:lang w:val="es-CR" w:eastAsia="es-CR"/>
        </w:rPr>
        <w:t>Adicionar el Transitorio X.</w:t>
      </w:r>
      <w:r>
        <w:rPr>
          <w:iCs/>
          <w:noProof/>
          <w:color w:val="000000" w:themeColor="text1"/>
          <w:sz w:val="22"/>
          <w:szCs w:val="22"/>
          <w:lang w:val="es-CR" w:eastAsia="es-CR"/>
        </w:rPr>
        <w:t xml:space="preserve"> </w:t>
      </w:r>
      <w:r w:rsidRPr="0079058B">
        <w:rPr>
          <w:iCs/>
          <w:noProof/>
          <w:color w:val="000000" w:themeColor="text1"/>
          <w:sz w:val="22"/>
          <w:szCs w:val="22"/>
          <w:lang w:val="es-CR" w:eastAsia="es-CR"/>
        </w:rPr>
        <w:t>Rige a partir del 1° de enero de 2024. Publica</w:t>
      </w:r>
      <w:r>
        <w:rPr>
          <w:iCs/>
          <w:noProof/>
          <w:color w:val="000000" w:themeColor="text1"/>
          <w:sz w:val="22"/>
          <w:szCs w:val="22"/>
          <w:lang w:val="es-CR" w:eastAsia="es-CR"/>
        </w:rPr>
        <w:t xml:space="preserve">do </w:t>
      </w:r>
      <w:r w:rsidRPr="00BC5D28">
        <w:rPr>
          <w:iCs/>
          <w:noProof/>
          <w:color w:val="000000" w:themeColor="text1"/>
          <w:sz w:val="22"/>
          <w:szCs w:val="22"/>
          <w:lang w:val="es-CR" w:eastAsia="es-CR"/>
        </w:rPr>
        <w:t>en el Alcance 237 a La Gaceta 212 del lunes 7 de noviembre de 2022.</w:t>
      </w:r>
    </w:p>
    <w:p w14:paraId="44A6326D" w14:textId="23E8D700" w:rsidR="000822AF" w:rsidRDefault="00D24DD8" w:rsidP="00F57B5A">
      <w:pPr>
        <w:spacing w:after="120"/>
        <w:ind w:left="1418" w:hanging="1418"/>
        <w:jc w:val="both"/>
        <w:rPr>
          <w:iCs/>
          <w:noProof/>
          <w:color w:val="000000" w:themeColor="text1"/>
          <w:sz w:val="22"/>
          <w:szCs w:val="22"/>
          <w:lang w:val="es-CR" w:eastAsia="es-CR"/>
        </w:rPr>
      </w:pPr>
      <w:r w:rsidRPr="00AB75C5">
        <w:rPr>
          <w:b/>
          <w:iCs/>
          <w:noProof/>
          <w:color w:val="000000" w:themeColor="text1"/>
          <w:sz w:val="22"/>
          <w:szCs w:val="22"/>
          <w:lang w:val="es-CR" w:eastAsia="es-CR"/>
        </w:rPr>
        <w:t>Versión 19</w:t>
      </w:r>
      <w:r w:rsidRPr="0079058B">
        <w:rPr>
          <w:bCs/>
          <w:iCs/>
          <w:noProof/>
          <w:color w:val="000000" w:themeColor="text1"/>
          <w:sz w:val="22"/>
          <w:szCs w:val="22"/>
          <w:lang w:val="es-CR" w:eastAsia="es-CR"/>
        </w:rPr>
        <w:t>:</w:t>
      </w:r>
      <w:r w:rsidRPr="0079058B">
        <w:rPr>
          <w:bCs/>
          <w:iCs/>
          <w:noProof/>
          <w:color w:val="000000" w:themeColor="text1"/>
          <w:sz w:val="22"/>
          <w:szCs w:val="22"/>
          <w:lang w:val="es-CR" w:eastAsia="es-CR"/>
        </w:rPr>
        <w:tab/>
      </w:r>
      <w:r w:rsidR="00B74886">
        <w:rPr>
          <w:bCs/>
          <w:iCs/>
          <w:noProof/>
          <w:color w:val="000000" w:themeColor="text1"/>
          <w:sz w:val="22"/>
          <w:szCs w:val="22"/>
          <w:lang w:val="es-CR" w:eastAsia="es-CR"/>
        </w:rPr>
        <w:t>Entrada en vigor de</w:t>
      </w:r>
      <w:r>
        <w:rPr>
          <w:bCs/>
          <w:iCs/>
          <w:noProof/>
          <w:color w:val="000000" w:themeColor="text1"/>
          <w:sz w:val="22"/>
          <w:szCs w:val="22"/>
          <w:lang w:val="es-CR" w:eastAsia="es-CR"/>
        </w:rPr>
        <w:t xml:space="preserve"> los cambios aprobados por e</w:t>
      </w:r>
      <w:r w:rsidRPr="0079058B">
        <w:rPr>
          <w:iCs/>
          <w:noProof/>
          <w:color w:val="000000" w:themeColor="text1"/>
          <w:sz w:val="22"/>
          <w:szCs w:val="22"/>
          <w:lang w:val="es-CR" w:eastAsia="es-CR"/>
        </w:rPr>
        <w:t>l Consejo Nacional de Supervisión del Sistema Financiero, en los artículos 5 y 6 de las actas de las sesiones 1759-2022 y 1760-2022, celebradas el 26 de setiembre del 2022</w:t>
      </w:r>
      <w:r w:rsidR="00B74886">
        <w:rPr>
          <w:iCs/>
          <w:noProof/>
          <w:color w:val="000000" w:themeColor="text1"/>
          <w:sz w:val="22"/>
          <w:szCs w:val="22"/>
          <w:lang w:val="es-CR" w:eastAsia="es-CR"/>
        </w:rPr>
        <w:t xml:space="preserve"> y en </w:t>
      </w:r>
      <w:r w:rsidR="00B74886" w:rsidRPr="00B74886">
        <w:rPr>
          <w:iCs/>
          <w:noProof/>
          <w:color w:val="000000" w:themeColor="text1"/>
          <w:sz w:val="22"/>
          <w:szCs w:val="22"/>
          <w:lang w:val="es-CR" w:eastAsia="es-CR"/>
        </w:rPr>
        <w:t>el artículo 9 del acta de la sesión 1752-2022, celebrada el 29 de agosto del 2022</w:t>
      </w:r>
      <w:r>
        <w:rPr>
          <w:iCs/>
          <w:noProof/>
          <w:color w:val="000000" w:themeColor="text1"/>
          <w:sz w:val="22"/>
          <w:szCs w:val="22"/>
          <w:lang w:val="es-CR" w:eastAsia="es-CR"/>
        </w:rPr>
        <w:t>. Rige a partir del 1° de enero del 2023.</w:t>
      </w:r>
    </w:p>
    <w:p w14:paraId="5491BC34" w14:textId="77777777" w:rsidR="0066363A" w:rsidRPr="00E12F38" w:rsidRDefault="0066363A" w:rsidP="00F57B5A">
      <w:pPr>
        <w:spacing w:after="120"/>
        <w:ind w:left="1418" w:hanging="1418"/>
        <w:jc w:val="both"/>
        <w:rPr>
          <w:sz w:val="22"/>
          <w:szCs w:val="22"/>
          <w:lang w:val="es-CR" w:eastAsia="es-CR"/>
        </w:rPr>
      </w:pPr>
      <w:r w:rsidRPr="00AB75C5">
        <w:rPr>
          <w:b/>
          <w:bCs/>
          <w:noProof/>
          <w:color w:val="000000" w:themeColor="text1"/>
          <w:sz w:val="22"/>
          <w:szCs w:val="22"/>
          <w:lang w:val="es-CR" w:eastAsia="es-CR"/>
        </w:rPr>
        <w:t>Versión 20:</w:t>
      </w:r>
      <w:r>
        <w:rPr>
          <w:sz w:val="22"/>
          <w:szCs w:val="22"/>
          <w:lang w:val="es-CR" w:eastAsia="es-CR"/>
        </w:rPr>
        <w:tab/>
      </w:r>
      <w:r w:rsidRPr="00E12F38">
        <w:rPr>
          <w:sz w:val="22"/>
          <w:szCs w:val="22"/>
          <w:lang w:val="es-CR" w:eastAsia="es-CR"/>
        </w:rPr>
        <w:t>El Consejo Nacional de Supervisión del Sistema Financiero, en el artículo 11, del acta de la sesión 1777-2022, celebrada el 22 de diciembre de 2022,</w:t>
      </w:r>
      <w:r>
        <w:rPr>
          <w:sz w:val="22"/>
          <w:szCs w:val="22"/>
          <w:lang w:val="es-CR" w:eastAsia="es-CR"/>
        </w:rPr>
        <w:t xml:space="preserve"> </w:t>
      </w:r>
      <w:r w:rsidRPr="00E12F38">
        <w:rPr>
          <w:sz w:val="22"/>
          <w:szCs w:val="22"/>
          <w:lang w:val="es-CR" w:eastAsia="es-CR"/>
        </w:rPr>
        <w:t>dispuso en firme:</w:t>
      </w:r>
    </w:p>
    <w:p w14:paraId="75EE05EE" w14:textId="77777777" w:rsidR="0066363A" w:rsidRPr="00E12F38" w:rsidRDefault="0066363A" w:rsidP="00F57B5A">
      <w:pPr>
        <w:spacing w:after="120"/>
        <w:ind w:left="1418" w:hanging="1418"/>
        <w:jc w:val="both"/>
        <w:rPr>
          <w:sz w:val="22"/>
          <w:szCs w:val="22"/>
          <w:lang w:val="es-CR" w:eastAsia="es-CR"/>
        </w:rPr>
      </w:pPr>
      <w:r w:rsidRPr="00E12F38">
        <w:rPr>
          <w:sz w:val="22"/>
          <w:szCs w:val="22"/>
          <w:lang w:val="es-CR" w:eastAsia="es-CR"/>
        </w:rPr>
        <w:tab/>
        <w:t>Reforma al Anexo 1, Plan de cuentas para las entidades supervisadas por SUGEF, SUGEVAL y SUPEN, los grupos y conglomerados financieros y Anexo 3, Catálogo de cuentas para las entidades supervisadas por SUGEF, SUGEVAL y SUPEN, los grupos y conglomerados financieros:</w:t>
      </w:r>
    </w:p>
    <w:p w14:paraId="47668302" w14:textId="77777777" w:rsidR="0066363A" w:rsidRPr="00E12F38" w:rsidRDefault="0066363A" w:rsidP="00F57B5A">
      <w:pPr>
        <w:spacing w:after="120"/>
        <w:ind w:left="1985" w:hanging="567"/>
        <w:jc w:val="both"/>
        <w:rPr>
          <w:sz w:val="22"/>
          <w:szCs w:val="22"/>
          <w:lang w:val="es-CR" w:eastAsia="es-CR"/>
        </w:rPr>
      </w:pPr>
      <w:r>
        <w:rPr>
          <w:sz w:val="22"/>
          <w:szCs w:val="22"/>
          <w:lang w:val="es-CR" w:eastAsia="es-CR"/>
        </w:rPr>
        <w:t>[a]</w:t>
      </w:r>
      <w:r w:rsidRPr="00E12F38">
        <w:rPr>
          <w:sz w:val="22"/>
          <w:szCs w:val="22"/>
          <w:lang w:val="es-CR" w:eastAsia="es-CR"/>
        </w:rPr>
        <w:tab/>
      </w:r>
      <w:r>
        <w:rPr>
          <w:sz w:val="22"/>
          <w:szCs w:val="22"/>
          <w:lang w:val="es-CR" w:eastAsia="es-CR"/>
        </w:rPr>
        <w:t>A</w:t>
      </w:r>
      <w:r w:rsidRPr="00E12F38">
        <w:rPr>
          <w:sz w:val="22"/>
          <w:szCs w:val="22"/>
          <w:lang w:val="es-CR" w:eastAsia="es-CR"/>
        </w:rPr>
        <w:t xml:space="preserve"> la cuenta 231, OBLIGACIONES A LA VISTA CON ENTIDADES FINANCIERAS</w:t>
      </w:r>
      <w:r>
        <w:rPr>
          <w:sz w:val="22"/>
          <w:szCs w:val="22"/>
          <w:lang w:val="es-CR" w:eastAsia="es-CR"/>
        </w:rPr>
        <w:t>, s</w:t>
      </w:r>
      <w:r w:rsidRPr="00E12F38">
        <w:rPr>
          <w:sz w:val="22"/>
          <w:szCs w:val="22"/>
          <w:lang w:val="es-CR" w:eastAsia="es-CR"/>
        </w:rPr>
        <w:t xml:space="preserve">e adiciona la subcuenta 231.16 y sus respectivas cuentas analíticas, </w:t>
      </w:r>
    </w:p>
    <w:p w14:paraId="42BCADD5" w14:textId="77777777" w:rsidR="0066363A" w:rsidRPr="00E12F38" w:rsidRDefault="0066363A" w:rsidP="00F57B5A">
      <w:pPr>
        <w:spacing w:after="120"/>
        <w:ind w:left="1985" w:hanging="567"/>
        <w:jc w:val="both"/>
        <w:rPr>
          <w:sz w:val="22"/>
          <w:szCs w:val="22"/>
          <w:lang w:val="es-CR" w:eastAsia="es-CR"/>
        </w:rPr>
      </w:pPr>
      <w:r>
        <w:rPr>
          <w:sz w:val="22"/>
          <w:szCs w:val="22"/>
          <w:lang w:val="es-CR" w:eastAsia="es-CR"/>
        </w:rPr>
        <w:t>[b]</w:t>
      </w:r>
      <w:r w:rsidRPr="00E12F38">
        <w:rPr>
          <w:sz w:val="22"/>
          <w:szCs w:val="22"/>
          <w:lang w:val="es-CR" w:eastAsia="es-CR"/>
        </w:rPr>
        <w:tab/>
      </w:r>
      <w:r>
        <w:rPr>
          <w:sz w:val="22"/>
          <w:szCs w:val="22"/>
          <w:lang w:val="es-CR" w:eastAsia="es-CR"/>
        </w:rPr>
        <w:t>A</w:t>
      </w:r>
      <w:r w:rsidRPr="00E12F38">
        <w:rPr>
          <w:sz w:val="22"/>
          <w:szCs w:val="22"/>
          <w:lang w:val="es-CR" w:eastAsia="es-CR"/>
        </w:rPr>
        <w:t xml:space="preserve"> la cuenta 251, INGRESOS DIFERIDOS</w:t>
      </w:r>
      <w:r>
        <w:rPr>
          <w:sz w:val="22"/>
          <w:szCs w:val="22"/>
          <w:lang w:val="es-CR" w:eastAsia="es-CR"/>
        </w:rPr>
        <w:t>, s</w:t>
      </w:r>
      <w:r w:rsidRPr="00E12F38">
        <w:rPr>
          <w:sz w:val="22"/>
          <w:szCs w:val="22"/>
          <w:lang w:val="es-CR" w:eastAsia="es-CR"/>
        </w:rPr>
        <w:t>e adicionan las subcuentas: 251.07</w:t>
      </w:r>
      <w:r>
        <w:rPr>
          <w:sz w:val="22"/>
          <w:szCs w:val="22"/>
          <w:lang w:val="es-CR" w:eastAsia="es-CR"/>
        </w:rPr>
        <w:t xml:space="preserve"> </w:t>
      </w:r>
      <w:r w:rsidRPr="00E12F38">
        <w:rPr>
          <w:sz w:val="22"/>
          <w:szCs w:val="22"/>
          <w:lang w:val="es-CR" w:eastAsia="es-CR"/>
        </w:rPr>
        <w:t>y 51.08 y sus respectivas cuentas analíticas</w:t>
      </w:r>
      <w:r>
        <w:rPr>
          <w:sz w:val="22"/>
          <w:szCs w:val="22"/>
          <w:lang w:val="es-CR" w:eastAsia="es-CR"/>
        </w:rPr>
        <w:t>.</w:t>
      </w:r>
    </w:p>
    <w:p w14:paraId="5B659081" w14:textId="77777777" w:rsidR="0066363A" w:rsidRDefault="0066363A" w:rsidP="00F57B5A">
      <w:pPr>
        <w:spacing w:after="120"/>
        <w:ind w:left="1985" w:hanging="567"/>
        <w:jc w:val="both"/>
        <w:rPr>
          <w:sz w:val="22"/>
          <w:szCs w:val="22"/>
          <w:lang w:val="es-CR" w:eastAsia="es-CR"/>
        </w:rPr>
      </w:pPr>
      <w:r>
        <w:rPr>
          <w:sz w:val="22"/>
          <w:szCs w:val="22"/>
          <w:lang w:val="es-CR" w:eastAsia="es-CR"/>
        </w:rPr>
        <w:t>[c]</w:t>
      </w:r>
      <w:r w:rsidRPr="00E12F38">
        <w:rPr>
          <w:sz w:val="22"/>
          <w:szCs w:val="22"/>
          <w:lang w:val="es-CR" w:eastAsia="es-CR"/>
        </w:rPr>
        <w:tab/>
      </w:r>
      <w:r>
        <w:rPr>
          <w:sz w:val="22"/>
          <w:szCs w:val="22"/>
          <w:lang w:val="es-CR" w:eastAsia="es-CR"/>
        </w:rPr>
        <w:t>A</w:t>
      </w:r>
      <w:r w:rsidRPr="00E12F38">
        <w:rPr>
          <w:sz w:val="22"/>
          <w:szCs w:val="22"/>
          <w:lang w:val="es-CR" w:eastAsia="es-CR"/>
        </w:rPr>
        <w:t xml:space="preserve"> la cuenta 531 COMISIONES POR SERVICIOS</w:t>
      </w:r>
      <w:r>
        <w:rPr>
          <w:sz w:val="22"/>
          <w:szCs w:val="22"/>
          <w:lang w:val="es-CR" w:eastAsia="es-CR"/>
        </w:rPr>
        <w:t>, se adicionan las subcuentas 531.42, 531.43, 531.44</w:t>
      </w:r>
      <w:r w:rsidRPr="00042901">
        <w:rPr>
          <w:sz w:val="22"/>
          <w:szCs w:val="22"/>
          <w:lang w:val="es-CR" w:eastAsia="es-CR"/>
        </w:rPr>
        <w:t xml:space="preserve"> </w:t>
      </w:r>
      <w:r w:rsidRPr="00E12F38">
        <w:rPr>
          <w:sz w:val="22"/>
          <w:szCs w:val="22"/>
          <w:lang w:val="es-CR" w:eastAsia="es-CR"/>
        </w:rPr>
        <w:t>y sus respectivas</w:t>
      </w:r>
      <w:r w:rsidRPr="00042901">
        <w:rPr>
          <w:sz w:val="22"/>
          <w:szCs w:val="22"/>
          <w:lang w:val="es-CR" w:eastAsia="es-CR"/>
        </w:rPr>
        <w:t xml:space="preserve"> </w:t>
      </w:r>
      <w:r w:rsidRPr="00E12F38">
        <w:rPr>
          <w:sz w:val="22"/>
          <w:szCs w:val="22"/>
          <w:lang w:val="es-CR" w:eastAsia="es-CR"/>
        </w:rPr>
        <w:t>cuentas analíticas</w:t>
      </w:r>
      <w:r>
        <w:rPr>
          <w:sz w:val="22"/>
          <w:szCs w:val="22"/>
          <w:lang w:val="es-CR" w:eastAsia="es-CR"/>
        </w:rPr>
        <w:t>.</w:t>
      </w:r>
    </w:p>
    <w:p w14:paraId="626593AE" w14:textId="172655F2" w:rsidR="0066363A" w:rsidRDefault="0066363A" w:rsidP="00F57B5A">
      <w:pPr>
        <w:spacing w:after="120"/>
        <w:ind w:left="1985" w:hanging="567"/>
        <w:jc w:val="both"/>
        <w:rPr>
          <w:sz w:val="22"/>
          <w:szCs w:val="22"/>
          <w:lang w:val="es-CR" w:eastAsia="es-CR"/>
        </w:rPr>
      </w:pPr>
      <w:r>
        <w:rPr>
          <w:sz w:val="22"/>
          <w:szCs w:val="22"/>
          <w:lang w:val="es-CR" w:eastAsia="es-CR"/>
        </w:rPr>
        <w:t>[d]</w:t>
      </w:r>
      <w:r>
        <w:rPr>
          <w:sz w:val="22"/>
          <w:szCs w:val="22"/>
          <w:lang w:val="es-CR" w:eastAsia="es-CR"/>
        </w:rPr>
        <w:tab/>
        <w:t>A</w:t>
      </w:r>
      <w:r w:rsidRPr="00E12F38">
        <w:rPr>
          <w:sz w:val="22"/>
          <w:szCs w:val="22"/>
          <w:lang w:val="es-CR" w:eastAsia="es-CR"/>
        </w:rPr>
        <w:t xml:space="preserve"> la cuenta 538 OTROS INGRESOS CON PARTES RELACIONADAS,</w:t>
      </w:r>
      <w:r>
        <w:rPr>
          <w:sz w:val="22"/>
          <w:szCs w:val="22"/>
          <w:lang w:val="es-CR" w:eastAsia="es-CR"/>
        </w:rPr>
        <w:t xml:space="preserve"> se adicionan las subcuentas </w:t>
      </w:r>
      <w:r w:rsidRPr="00E12F38">
        <w:rPr>
          <w:sz w:val="22"/>
          <w:szCs w:val="22"/>
          <w:lang w:val="es-CR" w:eastAsia="es-CR"/>
        </w:rPr>
        <w:t>538.04</w:t>
      </w:r>
      <w:r>
        <w:rPr>
          <w:sz w:val="22"/>
          <w:szCs w:val="22"/>
          <w:lang w:val="es-CR" w:eastAsia="es-CR"/>
        </w:rPr>
        <w:t xml:space="preserve">, </w:t>
      </w:r>
      <w:r w:rsidRPr="00E12F38">
        <w:rPr>
          <w:sz w:val="22"/>
          <w:szCs w:val="22"/>
          <w:lang w:val="es-CR" w:eastAsia="es-CR"/>
        </w:rPr>
        <w:t>538.05</w:t>
      </w:r>
      <w:r>
        <w:rPr>
          <w:sz w:val="22"/>
          <w:szCs w:val="22"/>
          <w:lang w:val="es-CR" w:eastAsia="es-CR"/>
        </w:rPr>
        <w:t xml:space="preserve"> </w:t>
      </w:r>
      <w:r w:rsidRPr="00E12F38">
        <w:rPr>
          <w:sz w:val="22"/>
          <w:szCs w:val="22"/>
          <w:lang w:val="es-CR" w:eastAsia="es-CR"/>
        </w:rPr>
        <w:t>y sus respectivas</w:t>
      </w:r>
      <w:r w:rsidRPr="00042901">
        <w:rPr>
          <w:sz w:val="22"/>
          <w:szCs w:val="22"/>
          <w:lang w:val="es-CR" w:eastAsia="es-CR"/>
        </w:rPr>
        <w:t xml:space="preserve"> </w:t>
      </w:r>
      <w:r w:rsidRPr="00E12F38">
        <w:rPr>
          <w:sz w:val="22"/>
          <w:szCs w:val="22"/>
          <w:lang w:val="es-CR" w:eastAsia="es-CR"/>
        </w:rPr>
        <w:t>cuentas analíticas</w:t>
      </w:r>
    </w:p>
    <w:p w14:paraId="368CD9F1" w14:textId="7D3B0F43" w:rsidR="0066363A" w:rsidRDefault="0066363A" w:rsidP="00F57B5A">
      <w:pPr>
        <w:spacing w:after="120"/>
        <w:ind w:left="1418"/>
        <w:jc w:val="both"/>
        <w:rPr>
          <w:sz w:val="22"/>
          <w:szCs w:val="22"/>
          <w:lang w:val="es-CR" w:eastAsia="es-CR"/>
        </w:rPr>
      </w:pPr>
      <w:r w:rsidRPr="00E12F38">
        <w:rPr>
          <w:sz w:val="22"/>
          <w:szCs w:val="22"/>
          <w:lang w:val="es-CR" w:eastAsia="es-CR"/>
        </w:rPr>
        <w:t>La reforma al plan de cuentas y catálogos de cuentas rige a partir del 1º de enero del 2024.</w:t>
      </w:r>
      <w:r>
        <w:rPr>
          <w:sz w:val="22"/>
          <w:szCs w:val="22"/>
          <w:lang w:val="es-CR" w:eastAsia="es-CR"/>
        </w:rPr>
        <w:t xml:space="preserve"> </w:t>
      </w:r>
      <w:r w:rsidR="002D39F5" w:rsidRPr="002D39F5">
        <w:rPr>
          <w:sz w:val="22"/>
          <w:szCs w:val="22"/>
          <w:lang w:val="es-CR" w:eastAsia="es-CR"/>
        </w:rPr>
        <w:t>Publicado en el Alcance 5 a La Gaceta 5 del 13 de enero del 2023.</w:t>
      </w:r>
    </w:p>
    <w:p w14:paraId="7BA4E3D5" w14:textId="77777777" w:rsidR="00513423" w:rsidRPr="00075C96" w:rsidRDefault="00513423" w:rsidP="00F57B5A">
      <w:pPr>
        <w:spacing w:after="120"/>
        <w:ind w:left="1418" w:hanging="1418"/>
        <w:jc w:val="both"/>
        <w:rPr>
          <w:noProof/>
          <w:color w:val="000000" w:themeColor="text1"/>
          <w:sz w:val="22"/>
          <w:szCs w:val="22"/>
          <w:lang w:val="es-CR" w:eastAsia="es-CR"/>
        </w:rPr>
      </w:pPr>
      <w:r>
        <w:rPr>
          <w:b/>
          <w:bCs/>
          <w:noProof/>
          <w:color w:val="000000" w:themeColor="text1"/>
          <w:sz w:val="22"/>
          <w:szCs w:val="22"/>
          <w:lang w:val="es-CR" w:eastAsia="es-CR"/>
        </w:rPr>
        <w:t>Versión 21:</w:t>
      </w:r>
      <w:r>
        <w:rPr>
          <w:sz w:val="22"/>
          <w:szCs w:val="22"/>
          <w:lang w:val="es-CR" w:eastAsia="es-CR"/>
        </w:rPr>
        <w:tab/>
      </w:r>
      <w:r w:rsidRPr="00AB35E3">
        <w:rPr>
          <w:noProof/>
          <w:color w:val="000000" w:themeColor="text1"/>
          <w:sz w:val="22"/>
          <w:szCs w:val="22"/>
          <w:lang w:val="es-CR" w:eastAsia="es-CR"/>
        </w:rPr>
        <w:t>El Consejo Nacional de Supervisión del Sistema Financiero, en los artículos 7 y 4 de las actas</w:t>
      </w:r>
      <w:r>
        <w:rPr>
          <w:noProof/>
          <w:color w:val="000000" w:themeColor="text1"/>
          <w:sz w:val="22"/>
          <w:szCs w:val="22"/>
          <w:lang w:val="es-CR" w:eastAsia="es-CR"/>
        </w:rPr>
        <w:t xml:space="preserve"> </w:t>
      </w:r>
      <w:r w:rsidRPr="00AB35E3">
        <w:rPr>
          <w:noProof/>
          <w:color w:val="000000" w:themeColor="text1"/>
          <w:sz w:val="22"/>
          <w:szCs w:val="22"/>
          <w:lang w:val="es-CR" w:eastAsia="es-CR"/>
        </w:rPr>
        <w:t>de las sesiones 1810-2023 y 1811-2023, celebradas el 25 de julio del 2023,</w:t>
      </w:r>
      <w:r>
        <w:rPr>
          <w:noProof/>
          <w:color w:val="000000" w:themeColor="text1"/>
          <w:sz w:val="22"/>
          <w:szCs w:val="22"/>
          <w:lang w:val="es-CR" w:eastAsia="es-CR"/>
        </w:rPr>
        <w:t xml:space="preserve"> </w:t>
      </w:r>
      <w:r w:rsidRPr="00AB35E3">
        <w:rPr>
          <w:noProof/>
          <w:color w:val="000000" w:themeColor="text1"/>
          <w:sz w:val="22"/>
          <w:szCs w:val="22"/>
          <w:lang w:val="es-CR" w:eastAsia="es-CR"/>
        </w:rPr>
        <w:t>dispuso</w:t>
      </w:r>
      <w:r>
        <w:rPr>
          <w:noProof/>
          <w:color w:val="000000" w:themeColor="text1"/>
          <w:sz w:val="22"/>
          <w:szCs w:val="22"/>
          <w:lang w:val="es-CR" w:eastAsia="es-CR"/>
        </w:rPr>
        <w:t xml:space="preserve"> m</w:t>
      </w:r>
      <w:r w:rsidRPr="00AB35E3">
        <w:rPr>
          <w:noProof/>
          <w:color w:val="000000" w:themeColor="text1"/>
          <w:sz w:val="22"/>
          <w:szCs w:val="22"/>
          <w:lang w:val="es-CR" w:eastAsia="es-CR"/>
        </w:rPr>
        <w:t>odificar el concepto de la Cuenta analítica 139.02.M.04 (Componente Genérico</w:t>
      </w:r>
      <w:r>
        <w:rPr>
          <w:noProof/>
          <w:color w:val="000000" w:themeColor="text1"/>
          <w:sz w:val="22"/>
          <w:szCs w:val="22"/>
          <w:lang w:val="es-CR" w:eastAsia="es-CR"/>
        </w:rPr>
        <w:t xml:space="preserve"> </w:t>
      </w:r>
      <w:r w:rsidRPr="00AB35E3">
        <w:rPr>
          <w:noProof/>
          <w:color w:val="000000" w:themeColor="text1"/>
          <w:sz w:val="22"/>
          <w:szCs w:val="22"/>
          <w:lang w:val="es-CR" w:eastAsia="es-CR"/>
        </w:rPr>
        <w:t>para Cartera de Créditos - Transitorio)</w:t>
      </w:r>
      <w:r>
        <w:rPr>
          <w:noProof/>
          <w:color w:val="000000" w:themeColor="text1"/>
          <w:sz w:val="22"/>
          <w:szCs w:val="22"/>
          <w:lang w:val="es-CR" w:eastAsia="es-CR"/>
        </w:rPr>
        <w:t xml:space="preserve"> y m</w:t>
      </w:r>
      <w:r w:rsidRPr="00AB35E3">
        <w:rPr>
          <w:noProof/>
          <w:color w:val="000000" w:themeColor="text1"/>
          <w:sz w:val="22"/>
          <w:szCs w:val="22"/>
          <w:lang w:val="es-CR" w:eastAsia="es-CR"/>
        </w:rPr>
        <w:t>odificar el concepto de la Cuenta analítica 1.030.090.020.M.040 (Componente</w:t>
      </w:r>
      <w:r>
        <w:rPr>
          <w:noProof/>
          <w:color w:val="000000" w:themeColor="text1"/>
          <w:sz w:val="22"/>
          <w:szCs w:val="22"/>
          <w:lang w:val="es-CR" w:eastAsia="es-CR"/>
        </w:rPr>
        <w:t xml:space="preserve"> </w:t>
      </w:r>
      <w:r w:rsidRPr="00AB35E3">
        <w:rPr>
          <w:noProof/>
          <w:color w:val="000000" w:themeColor="text1"/>
          <w:sz w:val="22"/>
          <w:szCs w:val="22"/>
          <w:lang w:val="es-CR" w:eastAsia="es-CR"/>
        </w:rPr>
        <w:t>Genérico para Cartera de Créditos - Transitorio)</w:t>
      </w:r>
      <w:r>
        <w:rPr>
          <w:noProof/>
          <w:color w:val="000000" w:themeColor="text1"/>
          <w:sz w:val="22"/>
          <w:szCs w:val="22"/>
          <w:lang w:val="es-CR" w:eastAsia="es-CR"/>
        </w:rPr>
        <w:t xml:space="preserve">. </w:t>
      </w:r>
      <w:r w:rsidRPr="001E1F49">
        <w:rPr>
          <w:noProof/>
          <w:color w:val="000000" w:themeColor="text1"/>
          <w:sz w:val="22"/>
          <w:szCs w:val="22"/>
          <w:lang w:val="es-CR" w:eastAsia="es-CR"/>
        </w:rPr>
        <w:t>Rige a partir de su publicación en el diario oficial La Gaceta.</w:t>
      </w:r>
      <w:r>
        <w:rPr>
          <w:noProof/>
          <w:color w:val="000000" w:themeColor="text1"/>
          <w:sz w:val="22"/>
          <w:szCs w:val="22"/>
          <w:lang w:val="es-CR" w:eastAsia="es-CR"/>
        </w:rPr>
        <w:t xml:space="preserve"> Publicado en el </w:t>
      </w:r>
      <w:r w:rsidRPr="001E1F49">
        <w:rPr>
          <w:noProof/>
          <w:color w:val="000000" w:themeColor="text1"/>
          <w:sz w:val="22"/>
          <w:szCs w:val="22"/>
          <w:lang w:val="es-CR" w:eastAsia="es-CR"/>
        </w:rPr>
        <w:t xml:space="preserve">Alcance 161 </w:t>
      </w:r>
      <w:r>
        <w:rPr>
          <w:noProof/>
          <w:color w:val="000000" w:themeColor="text1"/>
          <w:sz w:val="22"/>
          <w:szCs w:val="22"/>
          <w:lang w:val="es-CR" w:eastAsia="es-CR"/>
        </w:rPr>
        <w:t>a</w:t>
      </w:r>
      <w:r w:rsidRPr="001E1F49">
        <w:rPr>
          <w:noProof/>
          <w:color w:val="000000" w:themeColor="text1"/>
          <w:sz w:val="22"/>
          <w:szCs w:val="22"/>
          <w:lang w:val="es-CR" w:eastAsia="es-CR"/>
        </w:rPr>
        <w:t xml:space="preserve"> La Gaceta</w:t>
      </w:r>
      <w:r>
        <w:rPr>
          <w:noProof/>
          <w:color w:val="000000" w:themeColor="text1"/>
          <w:sz w:val="22"/>
          <w:szCs w:val="22"/>
          <w:lang w:val="es-CR" w:eastAsia="es-CR"/>
        </w:rPr>
        <w:t xml:space="preserve"> 1</w:t>
      </w:r>
      <w:r w:rsidRPr="001E1F49">
        <w:rPr>
          <w:noProof/>
          <w:color w:val="000000" w:themeColor="text1"/>
          <w:sz w:val="22"/>
          <w:szCs w:val="22"/>
          <w:lang w:val="es-CR" w:eastAsia="es-CR"/>
        </w:rPr>
        <w:t xml:space="preserve">55 </w:t>
      </w:r>
      <w:r>
        <w:rPr>
          <w:noProof/>
          <w:color w:val="000000" w:themeColor="text1"/>
          <w:sz w:val="22"/>
          <w:szCs w:val="22"/>
          <w:lang w:val="es-CR" w:eastAsia="es-CR"/>
        </w:rPr>
        <w:t>del</w:t>
      </w:r>
      <w:r w:rsidRPr="001E1F49">
        <w:rPr>
          <w:noProof/>
          <w:color w:val="000000" w:themeColor="text1"/>
          <w:sz w:val="22"/>
          <w:szCs w:val="22"/>
          <w:lang w:val="es-CR" w:eastAsia="es-CR"/>
        </w:rPr>
        <w:t xml:space="preserve"> viernes 25 de agosto del 2023</w:t>
      </w:r>
      <w:r>
        <w:rPr>
          <w:noProof/>
          <w:color w:val="000000" w:themeColor="text1"/>
          <w:sz w:val="22"/>
          <w:szCs w:val="22"/>
          <w:lang w:val="es-CR" w:eastAsia="es-CR"/>
        </w:rPr>
        <w:t>.</w:t>
      </w:r>
    </w:p>
    <w:p w14:paraId="738DF883" w14:textId="30C984E3" w:rsidR="00BB04C3" w:rsidRPr="00BB04C3" w:rsidRDefault="00BB04C3" w:rsidP="00F57B5A">
      <w:pPr>
        <w:spacing w:after="120"/>
        <w:ind w:left="1418" w:hanging="1418"/>
        <w:jc w:val="both"/>
        <w:rPr>
          <w:noProof/>
          <w:color w:val="000000" w:themeColor="text1"/>
          <w:sz w:val="22"/>
          <w:szCs w:val="22"/>
          <w:lang w:val="es-CR" w:eastAsia="es-CR"/>
        </w:rPr>
      </w:pPr>
      <w:r w:rsidRPr="00BB04C3">
        <w:rPr>
          <w:b/>
          <w:bCs/>
          <w:noProof/>
          <w:color w:val="000000" w:themeColor="text1"/>
          <w:sz w:val="22"/>
          <w:szCs w:val="22"/>
          <w:lang w:val="es-CR" w:eastAsia="es-CR"/>
        </w:rPr>
        <w:t>Versión 22:</w:t>
      </w:r>
      <w:r w:rsidRPr="00BB04C3">
        <w:rPr>
          <w:b/>
          <w:bCs/>
          <w:noProof/>
          <w:color w:val="000000" w:themeColor="text1"/>
          <w:sz w:val="22"/>
          <w:szCs w:val="22"/>
          <w:lang w:val="es-CR" w:eastAsia="es-CR"/>
        </w:rPr>
        <w:tab/>
      </w:r>
      <w:r w:rsidRPr="00BB04C3">
        <w:rPr>
          <w:noProof/>
          <w:color w:val="000000" w:themeColor="text1"/>
          <w:sz w:val="22"/>
          <w:szCs w:val="22"/>
          <w:lang w:val="es-CR" w:eastAsia="es-CR"/>
        </w:rPr>
        <w:t>El Consejo Nacional de Supervisión del Sistema Financiero, en el artículo 11 del acta de la sesión 1830-2023, celebrada el 30 de octubre del 2023,</w:t>
      </w:r>
      <w:r>
        <w:rPr>
          <w:noProof/>
          <w:color w:val="000000" w:themeColor="text1"/>
          <w:sz w:val="22"/>
          <w:szCs w:val="22"/>
          <w:lang w:val="es-CR" w:eastAsia="es-CR"/>
        </w:rPr>
        <w:t xml:space="preserve"> </w:t>
      </w:r>
      <w:r w:rsidRPr="00BB04C3">
        <w:rPr>
          <w:noProof/>
          <w:color w:val="000000" w:themeColor="text1"/>
          <w:sz w:val="22"/>
          <w:szCs w:val="22"/>
          <w:lang w:val="es-CR" w:eastAsia="es-CR"/>
        </w:rPr>
        <w:t>dispuso en firme</w:t>
      </w:r>
      <w:r>
        <w:rPr>
          <w:noProof/>
          <w:color w:val="000000" w:themeColor="text1"/>
          <w:sz w:val="22"/>
          <w:szCs w:val="22"/>
          <w:lang w:val="es-CR" w:eastAsia="es-CR"/>
        </w:rPr>
        <w:t>:</w:t>
      </w:r>
    </w:p>
    <w:p w14:paraId="5EE624CD" w14:textId="6FCA6E19" w:rsidR="00BB04C3" w:rsidRPr="00BB04C3" w:rsidRDefault="00BB04C3" w:rsidP="00F57B5A">
      <w:pPr>
        <w:spacing w:after="120"/>
        <w:ind w:left="1985" w:hanging="567"/>
        <w:jc w:val="both"/>
        <w:rPr>
          <w:noProof/>
          <w:color w:val="000000" w:themeColor="text1"/>
          <w:sz w:val="22"/>
          <w:szCs w:val="22"/>
          <w:lang w:val="es-CR" w:eastAsia="es-CR"/>
        </w:rPr>
      </w:pPr>
      <w:r>
        <w:rPr>
          <w:noProof/>
          <w:color w:val="000000" w:themeColor="text1"/>
          <w:sz w:val="22"/>
          <w:szCs w:val="22"/>
          <w:lang w:val="es-CR" w:eastAsia="es-CR"/>
        </w:rPr>
        <w:lastRenderedPageBreak/>
        <w:t>[a]</w:t>
      </w:r>
      <w:r>
        <w:rPr>
          <w:noProof/>
          <w:color w:val="000000" w:themeColor="text1"/>
          <w:sz w:val="22"/>
          <w:szCs w:val="22"/>
          <w:lang w:val="es-CR" w:eastAsia="es-CR"/>
        </w:rPr>
        <w:tab/>
      </w:r>
      <w:r w:rsidRPr="00BB04C3">
        <w:rPr>
          <w:noProof/>
          <w:color w:val="000000" w:themeColor="text1"/>
          <w:sz w:val="22"/>
          <w:szCs w:val="22"/>
          <w:lang w:val="es-CR" w:eastAsia="es-CR"/>
        </w:rPr>
        <w:t>Modificar el transitorio IX del acuerdo Conassif 06-18 Reglamento de Información Financiera adicionado por el Consejo Nacional de Supervisión del Sistema Financiero (Conassif), mediante artículo 7, del acta de la sesión 1682-2021, celebrada el 23 de agosto del 2021</w:t>
      </w:r>
      <w:r>
        <w:rPr>
          <w:noProof/>
          <w:color w:val="000000" w:themeColor="text1"/>
          <w:sz w:val="22"/>
          <w:szCs w:val="22"/>
          <w:lang w:val="es-CR" w:eastAsia="es-CR"/>
        </w:rPr>
        <w:t>.</w:t>
      </w:r>
    </w:p>
    <w:p w14:paraId="387ACD1B" w14:textId="3BDDDDF4" w:rsidR="00BB04C3" w:rsidRPr="00BB04C3" w:rsidRDefault="00BB04C3" w:rsidP="00F57B5A">
      <w:pPr>
        <w:spacing w:after="120"/>
        <w:ind w:left="1985" w:hanging="567"/>
        <w:jc w:val="both"/>
        <w:rPr>
          <w:noProof/>
          <w:color w:val="000000" w:themeColor="text1"/>
          <w:sz w:val="22"/>
          <w:szCs w:val="22"/>
          <w:lang w:val="es-CR" w:eastAsia="es-CR"/>
        </w:rPr>
      </w:pPr>
      <w:r>
        <w:rPr>
          <w:noProof/>
          <w:color w:val="000000" w:themeColor="text1"/>
          <w:sz w:val="22"/>
          <w:szCs w:val="22"/>
          <w:lang w:val="es-CR" w:eastAsia="es-CR"/>
        </w:rPr>
        <w:t>[b]</w:t>
      </w:r>
      <w:r w:rsidRPr="00BB04C3">
        <w:rPr>
          <w:noProof/>
          <w:color w:val="000000" w:themeColor="text1"/>
          <w:sz w:val="22"/>
          <w:szCs w:val="22"/>
          <w:lang w:val="es-CR" w:eastAsia="es-CR"/>
        </w:rPr>
        <w:tab/>
        <w:t>Modificar las disposiciones finales I y II del apartado XI del acuerdo del Conassif tomado mediante artículo 7, del acta de la sesión 1682-2021, celebrada el 23 de agosto de 2021 para que se lean de la siguiente manera:</w:t>
      </w:r>
    </w:p>
    <w:p w14:paraId="652DAD71" w14:textId="77777777" w:rsidR="00BB04C3" w:rsidRPr="00BB04C3" w:rsidRDefault="00BB04C3" w:rsidP="00F57B5A">
      <w:pPr>
        <w:spacing w:after="120"/>
        <w:ind w:left="1985"/>
        <w:jc w:val="both"/>
        <w:rPr>
          <w:noProof/>
          <w:color w:val="000000" w:themeColor="text1"/>
          <w:sz w:val="22"/>
          <w:szCs w:val="22"/>
          <w:lang w:val="es-CR" w:eastAsia="es-CR"/>
        </w:rPr>
      </w:pPr>
      <w:r w:rsidRPr="00BB04C3">
        <w:rPr>
          <w:noProof/>
          <w:color w:val="000000" w:themeColor="text1"/>
          <w:sz w:val="22"/>
          <w:szCs w:val="22"/>
          <w:lang w:val="es-CR" w:eastAsia="es-CR"/>
        </w:rPr>
        <w:t>“Disposición Final I</w:t>
      </w:r>
    </w:p>
    <w:p w14:paraId="2463C15D" w14:textId="77777777" w:rsidR="00BB04C3" w:rsidRPr="00BB04C3" w:rsidRDefault="00BB04C3" w:rsidP="00F57B5A">
      <w:pPr>
        <w:spacing w:after="120"/>
        <w:ind w:left="1985"/>
        <w:jc w:val="both"/>
        <w:rPr>
          <w:noProof/>
          <w:color w:val="000000" w:themeColor="text1"/>
          <w:sz w:val="22"/>
          <w:szCs w:val="22"/>
          <w:lang w:val="es-CR" w:eastAsia="es-CR"/>
        </w:rPr>
      </w:pPr>
      <w:r w:rsidRPr="00BB04C3">
        <w:rPr>
          <w:noProof/>
          <w:color w:val="000000" w:themeColor="text1"/>
          <w:sz w:val="22"/>
          <w:szCs w:val="22"/>
          <w:lang w:val="es-CR" w:eastAsia="es-CR"/>
        </w:rPr>
        <w:t>Las reformas al Reglamento sobre la Solvencia de Entidades de Seguro y Reaseguro y al Reglamento sobre el Registro de Productos de Seguro relacionadas con la adopción de la NIIF 17 entran a regir a partir del 1° de enero de 2026. No obstante, en cuanto al Transitorio XIV adicionado al Reglamento sobre la Solvencia de Entidades de Seguros y Reaseguros en la disposición IX de este acuerdo su vigencia será a partir de su aprobación.</w:t>
      </w:r>
    </w:p>
    <w:p w14:paraId="1F35B6F8" w14:textId="77777777" w:rsidR="00BB04C3" w:rsidRPr="00BB04C3" w:rsidRDefault="00BB04C3" w:rsidP="00F57B5A">
      <w:pPr>
        <w:spacing w:after="120"/>
        <w:ind w:left="1985"/>
        <w:jc w:val="both"/>
        <w:rPr>
          <w:noProof/>
          <w:color w:val="000000" w:themeColor="text1"/>
          <w:sz w:val="22"/>
          <w:szCs w:val="22"/>
          <w:lang w:val="es-CR" w:eastAsia="es-CR"/>
        </w:rPr>
      </w:pPr>
      <w:r w:rsidRPr="00BB04C3">
        <w:rPr>
          <w:noProof/>
          <w:color w:val="000000" w:themeColor="text1"/>
          <w:sz w:val="22"/>
          <w:szCs w:val="22"/>
          <w:lang w:val="es-CR" w:eastAsia="es-CR"/>
        </w:rPr>
        <w:t xml:space="preserve">Disposición Final II </w:t>
      </w:r>
    </w:p>
    <w:p w14:paraId="6AB91A36" w14:textId="77777777" w:rsidR="00BB04C3" w:rsidRPr="00BB04C3" w:rsidRDefault="00BB04C3" w:rsidP="00F57B5A">
      <w:pPr>
        <w:spacing w:after="120"/>
        <w:ind w:left="1985"/>
        <w:jc w:val="both"/>
        <w:rPr>
          <w:noProof/>
          <w:color w:val="000000" w:themeColor="text1"/>
          <w:sz w:val="22"/>
          <w:szCs w:val="22"/>
          <w:lang w:val="es-CR" w:eastAsia="es-CR"/>
        </w:rPr>
      </w:pPr>
      <w:r w:rsidRPr="00BB04C3">
        <w:rPr>
          <w:noProof/>
          <w:color w:val="000000" w:themeColor="text1"/>
          <w:sz w:val="22"/>
          <w:szCs w:val="22"/>
          <w:lang w:val="es-CR" w:eastAsia="es-CR"/>
        </w:rPr>
        <w:t xml:space="preserve">Las reformas al Reglamento de Información Financiera entran en vigor a partir del 1° de enero de 2026. Sin embargo, para que las entidades de seguros puedan realizar los comparativos señalados en el transitorio de la disposición III de este acuerdo, las entidades supervisadas por la SUGESE deberán ajustar sus políticas contables a partir del 1° de enero de 2025 de conformidad con las consideraciones de la NIIF 17, a efectos de contar con información suficiente para la realización de los comparativos durante el 2026. Además, se faculta a la SUGESE a establecer, de forma previa a esta fecha, los requerimientos de información paralela que permitan la adopción de la NIIF 17 en los plazos establecidos. </w:t>
      </w:r>
    </w:p>
    <w:p w14:paraId="5DC5784C" w14:textId="1E29E1B4" w:rsidR="00513423" w:rsidRDefault="00BB04C3" w:rsidP="00F57B5A">
      <w:pPr>
        <w:spacing w:after="120"/>
        <w:ind w:left="1985" w:hanging="567"/>
        <w:jc w:val="both"/>
        <w:rPr>
          <w:noProof/>
          <w:color w:val="000000" w:themeColor="text1"/>
          <w:sz w:val="22"/>
          <w:szCs w:val="22"/>
          <w:lang w:val="es-CR" w:eastAsia="es-CR"/>
        </w:rPr>
      </w:pPr>
      <w:r>
        <w:rPr>
          <w:noProof/>
          <w:color w:val="000000" w:themeColor="text1"/>
          <w:sz w:val="22"/>
          <w:szCs w:val="22"/>
          <w:lang w:val="es-CR" w:eastAsia="es-CR"/>
        </w:rPr>
        <w:t>[c]</w:t>
      </w:r>
      <w:r w:rsidRPr="00BB04C3">
        <w:rPr>
          <w:noProof/>
          <w:color w:val="000000" w:themeColor="text1"/>
          <w:sz w:val="22"/>
          <w:szCs w:val="22"/>
          <w:lang w:val="es-CR" w:eastAsia="es-CR"/>
        </w:rPr>
        <w:tab/>
        <w:t>Actualizar la entrada de la NIIF 17 en todas aquellas disposiciones acordadas por el Conassif mediante el artículo 7, del acta de la sesión 1682-2021, celebrada el 23 de agosto del 2021, de forma tal que quede claro que la entrada en vigor de la NIIF 17 y las normas relacionadas es el 1° de enero de 2026.</w:t>
      </w:r>
    </w:p>
    <w:p w14:paraId="47C47ED9" w14:textId="74DE9172" w:rsidR="00210725" w:rsidRDefault="00210725" w:rsidP="00F57B5A">
      <w:pPr>
        <w:spacing w:after="120"/>
        <w:ind w:left="1985" w:hanging="567"/>
        <w:jc w:val="both"/>
        <w:rPr>
          <w:noProof/>
          <w:color w:val="000000" w:themeColor="text1"/>
          <w:sz w:val="22"/>
          <w:szCs w:val="22"/>
          <w:lang w:val="es-CR" w:eastAsia="es-CR"/>
        </w:rPr>
      </w:pPr>
      <w:r>
        <w:rPr>
          <w:noProof/>
          <w:color w:val="000000" w:themeColor="text1"/>
          <w:sz w:val="22"/>
          <w:szCs w:val="22"/>
          <w:lang w:val="es-CR" w:eastAsia="es-CR"/>
        </w:rPr>
        <w:t>Publicado en La Gaceta 207 del 8 de noviembre de 2023.</w:t>
      </w:r>
    </w:p>
    <w:p w14:paraId="2EFCF926" w14:textId="77777777" w:rsidR="00F57B5A" w:rsidRDefault="00F57B5A" w:rsidP="00F57B5A">
      <w:pPr>
        <w:spacing w:after="120" w:line="276" w:lineRule="auto"/>
        <w:ind w:left="1418" w:hanging="1418"/>
        <w:jc w:val="both"/>
        <w:rPr>
          <w:noProof/>
          <w:color w:val="000000" w:themeColor="text1"/>
          <w:sz w:val="22"/>
          <w:szCs w:val="22"/>
          <w:lang w:val="es-CR" w:eastAsia="es-CR"/>
        </w:rPr>
      </w:pPr>
      <w:r w:rsidRPr="00BB04C3">
        <w:rPr>
          <w:b/>
          <w:bCs/>
          <w:noProof/>
          <w:color w:val="000000" w:themeColor="text1"/>
          <w:sz w:val="22"/>
          <w:szCs w:val="22"/>
          <w:lang w:val="es-CR" w:eastAsia="es-CR"/>
        </w:rPr>
        <w:t>Versión 2</w:t>
      </w:r>
      <w:r>
        <w:rPr>
          <w:b/>
          <w:bCs/>
          <w:noProof/>
          <w:color w:val="000000" w:themeColor="text1"/>
          <w:sz w:val="22"/>
          <w:szCs w:val="22"/>
          <w:lang w:val="es-CR" w:eastAsia="es-CR"/>
        </w:rPr>
        <w:t>3</w:t>
      </w:r>
      <w:r w:rsidRPr="00BB04C3">
        <w:rPr>
          <w:b/>
          <w:bCs/>
          <w:noProof/>
          <w:color w:val="000000" w:themeColor="text1"/>
          <w:sz w:val="22"/>
          <w:szCs w:val="22"/>
          <w:lang w:val="es-CR" w:eastAsia="es-CR"/>
        </w:rPr>
        <w:t>:</w:t>
      </w:r>
      <w:r w:rsidRPr="00BB04C3">
        <w:rPr>
          <w:b/>
          <w:bCs/>
          <w:noProof/>
          <w:color w:val="000000" w:themeColor="text1"/>
          <w:sz w:val="22"/>
          <w:szCs w:val="22"/>
          <w:lang w:val="es-CR" w:eastAsia="es-CR"/>
        </w:rPr>
        <w:tab/>
      </w:r>
      <w:r w:rsidRPr="00BB04C3">
        <w:rPr>
          <w:noProof/>
          <w:color w:val="000000" w:themeColor="text1"/>
          <w:sz w:val="22"/>
          <w:szCs w:val="22"/>
          <w:lang w:val="es-CR" w:eastAsia="es-CR"/>
        </w:rPr>
        <w:t xml:space="preserve">El Consejo Nacional de Supervisión del Sistema Financiero, en el artículo </w:t>
      </w:r>
      <w:r w:rsidRPr="002C2A19">
        <w:rPr>
          <w:noProof/>
          <w:color w:val="000000" w:themeColor="text1"/>
          <w:sz w:val="22"/>
          <w:szCs w:val="22"/>
          <w:lang w:val="es-CR" w:eastAsia="es-CR"/>
        </w:rPr>
        <w:t>8 del acta de la sesión 1836-2023, celebrada el 27 de noviembre del 2023</w:t>
      </w:r>
      <w:r w:rsidRPr="00BB04C3">
        <w:rPr>
          <w:noProof/>
          <w:color w:val="000000" w:themeColor="text1"/>
          <w:sz w:val="22"/>
          <w:szCs w:val="22"/>
          <w:lang w:val="es-CR" w:eastAsia="es-CR"/>
        </w:rPr>
        <w:t>,</w:t>
      </w:r>
      <w:r>
        <w:rPr>
          <w:noProof/>
          <w:color w:val="000000" w:themeColor="text1"/>
          <w:sz w:val="22"/>
          <w:szCs w:val="22"/>
          <w:lang w:val="es-CR" w:eastAsia="es-CR"/>
        </w:rPr>
        <w:t xml:space="preserve"> </w:t>
      </w:r>
      <w:r w:rsidRPr="00BB04C3">
        <w:rPr>
          <w:noProof/>
          <w:color w:val="000000" w:themeColor="text1"/>
          <w:sz w:val="22"/>
          <w:szCs w:val="22"/>
          <w:lang w:val="es-CR" w:eastAsia="es-CR"/>
        </w:rPr>
        <w:t>dispuso en firme</w:t>
      </w:r>
      <w:r>
        <w:rPr>
          <w:noProof/>
          <w:color w:val="000000" w:themeColor="text1"/>
          <w:sz w:val="22"/>
          <w:szCs w:val="22"/>
          <w:lang w:val="es-CR" w:eastAsia="es-CR"/>
        </w:rPr>
        <w:t>:</w:t>
      </w:r>
    </w:p>
    <w:p w14:paraId="39EEE0CD" w14:textId="77777777" w:rsidR="00F57B5A" w:rsidRDefault="00F57B5A" w:rsidP="00F57B5A">
      <w:pPr>
        <w:spacing w:after="120" w:line="276" w:lineRule="auto"/>
        <w:ind w:left="1985" w:hanging="567"/>
        <w:jc w:val="both"/>
        <w:rPr>
          <w:b/>
          <w:bCs/>
          <w:noProof/>
          <w:color w:val="000000" w:themeColor="text1"/>
          <w:sz w:val="22"/>
          <w:szCs w:val="22"/>
          <w:lang w:val="es-CR" w:eastAsia="es-CR"/>
        </w:rPr>
      </w:pPr>
      <w:r>
        <w:rPr>
          <w:b/>
          <w:bCs/>
          <w:noProof/>
          <w:color w:val="000000" w:themeColor="text1"/>
          <w:sz w:val="22"/>
          <w:szCs w:val="22"/>
          <w:lang w:val="es-CR" w:eastAsia="es-CR"/>
        </w:rPr>
        <w:t>[a]</w:t>
      </w:r>
      <w:r>
        <w:rPr>
          <w:b/>
          <w:bCs/>
          <w:noProof/>
          <w:color w:val="000000" w:themeColor="text1"/>
          <w:sz w:val="22"/>
          <w:szCs w:val="22"/>
          <w:lang w:val="es-CR" w:eastAsia="es-CR"/>
        </w:rPr>
        <w:tab/>
      </w:r>
      <w:r w:rsidRPr="002C2A19">
        <w:rPr>
          <w:noProof/>
          <w:color w:val="000000" w:themeColor="text1"/>
          <w:sz w:val="22"/>
          <w:szCs w:val="22"/>
          <w:lang w:val="es-CR" w:eastAsia="es-CR"/>
        </w:rPr>
        <w:t>Modificar el Artículo 16. NIIF 5. Activos no corrientes mantenidos para la venta y operaciones descontinuadas</w:t>
      </w:r>
      <w:r>
        <w:rPr>
          <w:b/>
          <w:bCs/>
          <w:noProof/>
          <w:color w:val="000000" w:themeColor="text1"/>
          <w:sz w:val="22"/>
          <w:szCs w:val="22"/>
          <w:lang w:val="es-CR" w:eastAsia="es-CR"/>
        </w:rPr>
        <w:t>.</w:t>
      </w:r>
    </w:p>
    <w:p w14:paraId="1C32E294" w14:textId="77777777" w:rsidR="00F57B5A" w:rsidRPr="002C2A19" w:rsidRDefault="00F57B5A" w:rsidP="00F57B5A">
      <w:pPr>
        <w:spacing w:after="120" w:line="276" w:lineRule="auto"/>
        <w:ind w:left="1985" w:hanging="567"/>
        <w:jc w:val="both"/>
        <w:rPr>
          <w:noProof/>
          <w:color w:val="000000" w:themeColor="text1"/>
          <w:sz w:val="22"/>
          <w:szCs w:val="22"/>
          <w:lang w:val="es-CR" w:eastAsia="es-CR"/>
        </w:rPr>
      </w:pPr>
      <w:r>
        <w:rPr>
          <w:b/>
          <w:bCs/>
          <w:noProof/>
          <w:color w:val="000000" w:themeColor="text1"/>
          <w:sz w:val="22"/>
          <w:szCs w:val="22"/>
          <w:lang w:val="es-CR" w:eastAsia="es-CR"/>
        </w:rPr>
        <w:t>[b]</w:t>
      </w:r>
      <w:r>
        <w:rPr>
          <w:b/>
          <w:bCs/>
          <w:noProof/>
          <w:color w:val="000000" w:themeColor="text1"/>
          <w:sz w:val="22"/>
          <w:szCs w:val="22"/>
          <w:lang w:val="es-CR" w:eastAsia="es-CR"/>
        </w:rPr>
        <w:tab/>
      </w:r>
      <w:r w:rsidRPr="002C2A19">
        <w:rPr>
          <w:noProof/>
          <w:color w:val="000000" w:themeColor="text1"/>
          <w:sz w:val="22"/>
          <w:szCs w:val="22"/>
          <w:lang w:val="es-CR" w:eastAsia="es-CR"/>
        </w:rPr>
        <w:t>Eliminar el Transitorio VIII.</w:t>
      </w:r>
    </w:p>
    <w:p w14:paraId="672B13E4" w14:textId="77777777" w:rsidR="00F57B5A" w:rsidRDefault="00F57B5A" w:rsidP="00F57B5A">
      <w:pPr>
        <w:spacing w:after="120" w:line="276" w:lineRule="auto"/>
        <w:ind w:left="1985" w:hanging="567"/>
        <w:jc w:val="both"/>
        <w:rPr>
          <w:noProof/>
          <w:color w:val="000000" w:themeColor="text1"/>
          <w:sz w:val="22"/>
          <w:szCs w:val="22"/>
          <w:lang w:val="es-CR" w:eastAsia="es-CR"/>
        </w:rPr>
      </w:pPr>
      <w:r>
        <w:rPr>
          <w:b/>
          <w:bCs/>
          <w:noProof/>
          <w:color w:val="000000" w:themeColor="text1"/>
          <w:sz w:val="22"/>
          <w:szCs w:val="22"/>
          <w:lang w:val="es-CR" w:eastAsia="es-CR"/>
        </w:rPr>
        <w:t>[c]</w:t>
      </w:r>
      <w:r>
        <w:rPr>
          <w:b/>
          <w:bCs/>
          <w:noProof/>
          <w:color w:val="000000" w:themeColor="text1"/>
          <w:sz w:val="22"/>
          <w:szCs w:val="22"/>
          <w:lang w:val="es-CR" w:eastAsia="es-CR"/>
        </w:rPr>
        <w:tab/>
      </w:r>
      <w:r w:rsidRPr="002C2A19">
        <w:rPr>
          <w:noProof/>
          <w:color w:val="000000" w:themeColor="text1"/>
          <w:sz w:val="22"/>
          <w:szCs w:val="22"/>
          <w:lang w:val="es-CR" w:eastAsia="es-CR"/>
        </w:rPr>
        <w:t>Adicionar un Transitorio XX.</w:t>
      </w:r>
    </w:p>
    <w:p w14:paraId="7AA700A5" w14:textId="77777777" w:rsidR="00F57B5A" w:rsidRPr="002C2A19" w:rsidRDefault="00F57B5A" w:rsidP="00F57B5A">
      <w:pPr>
        <w:spacing w:after="120" w:line="276" w:lineRule="auto"/>
        <w:ind w:left="1985" w:hanging="567"/>
        <w:jc w:val="both"/>
        <w:rPr>
          <w:b/>
          <w:bCs/>
          <w:noProof/>
          <w:color w:val="000000" w:themeColor="text1"/>
          <w:sz w:val="22"/>
          <w:szCs w:val="22"/>
          <w:lang w:val="es-CR" w:eastAsia="es-CR"/>
        </w:rPr>
      </w:pPr>
      <w:r>
        <w:rPr>
          <w:b/>
          <w:bCs/>
          <w:noProof/>
          <w:color w:val="000000" w:themeColor="text1"/>
          <w:sz w:val="22"/>
          <w:szCs w:val="22"/>
          <w:lang w:val="es-CR" w:eastAsia="es-CR"/>
        </w:rPr>
        <w:lastRenderedPageBreak/>
        <w:t>[d]</w:t>
      </w:r>
      <w:r>
        <w:rPr>
          <w:b/>
          <w:bCs/>
          <w:noProof/>
          <w:color w:val="000000" w:themeColor="text1"/>
          <w:sz w:val="22"/>
          <w:szCs w:val="22"/>
          <w:lang w:val="es-CR" w:eastAsia="es-CR"/>
        </w:rPr>
        <w:tab/>
      </w:r>
      <w:r w:rsidRPr="002C2A19">
        <w:rPr>
          <w:noProof/>
          <w:color w:val="000000" w:themeColor="text1"/>
          <w:sz w:val="22"/>
          <w:szCs w:val="22"/>
          <w:lang w:val="es-CR" w:eastAsia="es-CR"/>
        </w:rPr>
        <w:t>Adicionar el Transitorio XXI</w:t>
      </w:r>
      <w:r>
        <w:rPr>
          <w:b/>
          <w:bCs/>
          <w:noProof/>
          <w:color w:val="000000" w:themeColor="text1"/>
          <w:sz w:val="22"/>
          <w:szCs w:val="22"/>
          <w:lang w:val="es-CR" w:eastAsia="es-CR"/>
        </w:rPr>
        <w:t>.</w:t>
      </w:r>
    </w:p>
    <w:p w14:paraId="73D0AC94" w14:textId="77777777" w:rsidR="00F57B5A" w:rsidRDefault="00F57B5A" w:rsidP="00F57B5A">
      <w:pPr>
        <w:spacing w:after="120" w:line="276" w:lineRule="auto"/>
        <w:ind w:left="1985" w:hanging="567"/>
        <w:jc w:val="both"/>
        <w:rPr>
          <w:noProof/>
          <w:color w:val="000000" w:themeColor="text1"/>
          <w:sz w:val="22"/>
          <w:szCs w:val="22"/>
          <w:lang w:val="es-CR" w:eastAsia="es-CR"/>
        </w:rPr>
      </w:pPr>
      <w:r>
        <w:rPr>
          <w:b/>
          <w:bCs/>
          <w:noProof/>
          <w:color w:val="000000" w:themeColor="text1"/>
          <w:sz w:val="22"/>
          <w:szCs w:val="22"/>
          <w:lang w:val="es-CR" w:eastAsia="es-CR"/>
        </w:rPr>
        <w:t>[e]</w:t>
      </w:r>
      <w:r>
        <w:rPr>
          <w:b/>
          <w:bCs/>
          <w:noProof/>
          <w:color w:val="000000" w:themeColor="text1"/>
          <w:sz w:val="22"/>
          <w:szCs w:val="22"/>
          <w:lang w:val="es-CR" w:eastAsia="es-CR"/>
        </w:rPr>
        <w:tab/>
      </w:r>
      <w:r w:rsidRPr="002C2A19">
        <w:rPr>
          <w:noProof/>
          <w:color w:val="000000" w:themeColor="text1"/>
          <w:sz w:val="22"/>
          <w:szCs w:val="22"/>
          <w:lang w:val="es-CR" w:eastAsia="es-CR"/>
        </w:rPr>
        <w:t>Modificar el concepto de la cuenta 151 Bienes y Valores Adquiridos en Recuperación de Créditos.</w:t>
      </w:r>
    </w:p>
    <w:p w14:paraId="2779A6AC"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[f]</w:t>
      </w:r>
      <w:r>
        <w:rPr>
          <w:noProof/>
          <w:color w:val="000000" w:themeColor="text1"/>
          <w:sz w:val="22"/>
          <w:szCs w:val="22"/>
          <w:lang w:val="es-CR" w:eastAsia="es-CR"/>
        </w:rPr>
        <w:tab/>
      </w:r>
      <w:r w:rsidRPr="002C2A19">
        <w:rPr>
          <w:noProof/>
          <w:color w:val="000000" w:themeColor="text1"/>
          <w:sz w:val="22"/>
          <w:szCs w:val="22"/>
          <w:lang w:val="es-CR" w:eastAsia="es-CR"/>
        </w:rPr>
        <w:t>Modificar el nombre y concepto de la cuenta 159 Estimación por deterioro y por disposición legal o prudencial</w:t>
      </w:r>
      <w:r>
        <w:rPr>
          <w:noProof/>
          <w:color w:val="000000" w:themeColor="text1"/>
          <w:sz w:val="22"/>
          <w:szCs w:val="22"/>
          <w:lang w:val="es-CR" w:eastAsia="es-CR"/>
        </w:rPr>
        <w:t>.</w:t>
      </w:r>
    </w:p>
    <w:p w14:paraId="00FBE689"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g</w:t>
      </w:r>
      <w:r w:rsidRPr="007C2528">
        <w:rPr>
          <w:b/>
          <w:bCs/>
          <w:noProof/>
          <w:color w:val="000000" w:themeColor="text1"/>
          <w:sz w:val="22"/>
          <w:szCs w:val="22"/>
          <w:lang w:val="es-CR" w:eastAsia="es-CR"/>
        </w:rPr>
        <w:t>]</w:t>
      </w:r>
      <w:r w:rsidRPr="002C2A19">
        <w:rPr>
          <w:noProof/>
          <w:color w:val="000000" w:themeColor="text1"/>
          <w:sz w:val="22"/>
          <w:szCs w:val="22"/>
          <w:lang w:val="es-CR" w:eastAsia="es-CR"/>
        </w:rPr>
        <w:tab/>
        <w:t>Adicionar la cuenta 188 Otros Activos Disponibles para la Venta Fuera del Alcance de NIIF 5 del grupo 180 Otros Activos</w:t>
      </w:r>
      <w:r>
        <w:rPr>
          <w:noProof/>
          <w:color w:val="000000" w:themeColor="text1"/>
          <w:sz w:val="22"/>
          <w:szCs w:val="22"/>
          <w:lang w:val="es-CR" w:eastAsia="es-CR"/>
        </w:rPr>
        <w:t>.</w:t>
      </w:r>
    </w:p>
    <w:p w14:paraId="5AC7C546" w14:textId="77777777" w:rsidR="00F57B5A" w:rsidRPr="002C2A19"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h</w:t>
      </w:r>
      <w:r w:rsidRPr="007C2528">
        <w:rPr>
          <w:b/>
          <w:bCs/>
          <w:noProof/>
          <w:color w:val="000000" w:themeColor="text1"/>
          <w:sz w:val="22"/>
          <w:szCs w:val="22"/>
          <w:lang w:val="es-CR" w:eastAsia="es-CR"/>
        </w:rPr>
        <w:t>]</w:t>
      </w:r>
      <w:r w:rsidRPr="002C2A19">
        <w:rPr>
          <w:noProof/>
          <w:color w:val="000000" w:themeColor="text1"/>
          <w:sz w:val="22"/>
          <w:szCs w:val="22"/>
          <w:lang w:val="es-CR" w:eastAsia="es-CR"/>
        </w:rPr>
        <w:tab/>
        <w:t>Modificar el nombre y concepto de la subcuenta 432.11 Pérdida por estimación de deterioro y disposición regulatoria de bienes mantenidos para la venta</w:t>
      </w:r>
      <w:r>
        <w:rPr>
          <w:noProof/>
          <w:color w:val="000000" w:themeColor="text1"/>
          <w:sz w:val="22"/>
          <w:szCs w:val="22"/>
          <w:lang w:val="es-CR" w:eastAsia="es-CR"/>
        </w:rPr>
        <w:t>.</w:t>
      </w:r>
    </w:p>
    <w:p w14:paraId="3CE7EE6A"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i</w:t>
      </w:r>
      <w:r w:rsidRPr="007C2528">
        <w:rPr>
          <w:b/>
          <w:bCs/>
          <w:noProof/>
          <w:color w:val="000000" w:themeColor="text1"/>
          <w:sz w:val="22"/>
          <w:szCs w:val="22"/>
          <w:lang w:val="es-CR" w:eastAsia="es-CR"/>
        </w:rPr>
        <w:t>]</w:t>
      </w:r>
      <w:r w:rsidRPr="002C2A19">
        <w:rPr>
          <w:noProof/>
          <w:color w:val="000000" w:themeColor="text1"/>
          <w:sz w:val="22"/>
          <w:szCs w:val="22"/>
          <w:lang w:val="es-CR" w:eastAsia="es-CR"/>
        </w:rPr>
        <w:tab/>
        <w:t>Adicionar la cuenta 434 Gastos por otros activos disponibles para la venta fuera del alcance de NIIF 5 en el grupo 430 Gastos Operativos Diversos</w:t>
      </w:r>
      <w:r>
        <w:rPr>
          <w:noProof/>
          <w:color w:val="000000" w:themeColor="text1"/>
          <w:sz w:val="22"/>
          <w:szCs w:val="22"/>
          <w:lang w:val="es-CR" w:eastAsia="es-CR"/>
        </w:rPr>
        <w:t>.</w:t>
      </w:r>
    </w:p>
    <w:p w14:paraId="28B23199"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j</w:t>
      </w:r>
      <w:r w:rsidRPr="007C2528">
        <w:rPr>
          <w:b/>
          <w:bCs/>
          <w:noProof/>
          <w:color w:val="000000" w:themeColor="text1"/>
          <w:sz w:val="22"/>
          <w:szCs w:val="22"/>
          <w:lang w:val="es-CR" w:eastAsia="es-CR"/>
        </w:rPr>
        <w:t>]</w:t>
      </w:r>
      <w:r w:rsidRPr="002C2A19">
        <w:rPr>
          <w:noProof/>
          <w:color w:val="000000" w:themeColor="text1"/>
          <w:sz w:val="22"/>
          <w:szCs w:val="22"/>
          <w:lang w:val="es-CR" w:eastAsia="es-CR"/>
        </w:rPr>
        <w:tab/>
        <w:t>Adicionar la cuenta 536 Ingresos por otros activos disponibles para la venta fuera del alcance de NIIF 5 en el grupo 530 Ingresos Operativos Diversos</w:t>
      </w:r>
      <w:r>
        <w:rPr>
          <w:noProof/>
          <w:color w:val="000000" w:themeColor="text1"/>
          <w:sz w:val="22"/>
          <w:szCs w:val="22"/>
          <w:lang w:val="es-CR" w:eastAsia="es-CR"/>
        </w:rPr>
        <w:t>.</w:t>
      </w:r>
    </w:p>
    <w:p w14:paraId="5725934C"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k</w:t>
      </w:r>
      <w:r w:rsidRPr="007C2528">
        <w:rPr>
          <w:b/>
          <w:bCs/>
          <w:noProof/>
          <w:color w:val="000000" w:themeColor="text1"/>
          <w:sz w:val="22"/>
          <w:szCs w:val="22"/>
          <w:lang w:val="es-CR" w:eastAsia="es-CR"/>
        </w:rPr>
        <w:t>]</w:t>
      </w:r>
      <w:r>
        <w:rPr>
          <w:noProof/>
          <w:color w:val="000000" w:themeColor="text1"/>
          <w:sz w:val="22"/>
          <w:szCs w:val="22"/>
          <w:lang w:val="es-CR" w:eastAsia="es-CR"/>
        </w:rPr>
        <w:tab/>
      </w:r>
      <w:r w:rsidRPr="002C2A19">
        <w:rPr>
          <w:noProof/>
          <w:color w:val="000000" w:themeColor="text1"/>
          <w:sz w:val="22"/>
          <w:szCs w:val="22"/>
          <w:lang w:val="es-CR" w:eastAsia="es-CR"/>
        </w:rPr>
        <w:t>Modificar el concepto de la cuenta 1.070.010 Bienes y Valores Adquiridos en Recuperación de Créditos</w:t>
      </w:r>
      <w:r>
        <w:rPr>
          <w:noProof/>
          <w:color w:val="000000" w:themeColor="text1"/>
          <w:sz w:val="22"/>
          <w:szCs w:val="22"/>
          <w:lang w:val="es-CR" w:eastAsia="es-CR"/>
        </w:rPr>
        <w:t>.</w:t>
      </w:r>
    </w:p>
    <w:p w14:paraId="5790A6D8" w14:textId="77777777" w:rsidR="00F57B5A" w:rsidRDefault="00F57B5A" w:rsidP="00F57B5A">
      <w:pPr>
        <w:spacing w:after="120" w:line="276" w:lineRule="auto"/>
        <w:ind w:left="1985" w:hanging="567"/>
        <w:jc w:val="both"/>
        <w:rPr>
          <w:noProof/>
          <w:color w:val="000000" w:themeColor="text1"/>
          <w:sz w:val="22"/>
          <w:szCs w:val="22"/>
          <w:lang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l</w:t>
      </w:r>
      <w:r w:rsidRPr="007C2528">
        <w:rPr>
          <w:b/>
          <w:bCs/>
          <w:noProof/>
          <w:color w:val="000000" w:themeColor="text1"/>
          <w:sz w:val="22"/>
          <w:szCs w:val="22"/>
          <w:lang w:val="es-CR" w:eastAsia="es-CR"/>
        </w:rPr>
        <w:t>]</w:t>
      </w:r>
      <w:r>
        <w:rPr>
          <w:noProof/>
          <w:color w:val="000000" w:themeColor="text1"/>
          <w:sz w:val="22"/>
          <w:szCs w:val="22"/>
          <w:lang w:eastAsia="es-CR"/>
        </w:rPr>
        <w:tab/>
      </w:r>
      <w:r w:rsidRPr="007C2528">
        <w:rPr>
          <w:noProof/>
          <w:color w:val="000000" w:themeColor="text1"/>
          <w:sz w:val="22"/>
          <w:szCs w:val="22"/>
          <w:lang w:eastAsia="es-CR"/>
        </w:rPr>
        <w:t>Modificar el nombre y concepto de la cuenta 1.070.090 Estimación por deterioro y por disposición legal o prudencial</w:t>
      </w:r>
      <w:r>
        <w:rPr>
          <w:noProof/>
          <w:color w:val="000000" w:themeColor="text1"/>
          <w:sz w:val="22"/>
          <w:szCs w:val="22"/>
          <w:lang w:eastAsia="es-CR"/>
        </w:rPr>
        <w:t>.</w:t>
      </w:r>
    </w:p>
    <w:p w14:paraId="635D9D4F" w14:textId="77777777" w:rsidR="00F57B5A" w:rsidRDefault="00F57B5A" w:rsidP="00F57B5A">
      <w:pPr>
        <w:spacing w:after="120" w:line="276" w:lineRule="auto"/>
        <w:ind w:left="1985" w:hanging="567"/>
        <w:jc w:val="both"/>
        <w:rPr>
          <w:noProof/>
          <w:color w:val="000000" w:themeColor="text1"/>
          <w:sz w:val="22"/>
          <w:szCs w:val="22"/>
          <w:lang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m</w:t>
      </w:r>
      <w:r w:rsidRPr="007C2528">
        <w:rPr>
          <w:b/>
          <w:bCs/>
          <w:noProof/>
          <w:color w:val="000000" w:themeColor="text1"/>
          <w:sz w:val="22"/>
          <w:szCs w:val="22"/>
          <w:lang w:val="es-CR" w:eastAsia="es-CR"/>
        </w:rPr>
        <w:t>]</w:t>
      </w:r>
      <w:r>
        <w:rPr>
          <w:noProof/>
          <w:color w:val="000000" w:themeColor="text1"/>
          <w:sz w:val="22"/>
          <w:szCs w:val="22"/>
          <w:lang w:eastAsia="es-CR"/>
        </w:rPr>
        <w:tab/>
      </w:r>
      <w:r w:rsidRPr="007C2528">
        <w:rPr>
          <w:noProof/>
          <w:color w:val="000000" w:themeColor="text1"/>
          <w:sz w:val="22"/>
          <w:szCs w:val="22"/>
          <w:lang w:eastAsia="es-CR"/>
        </w:rPr>
        <w:t>Eliminar la subcuenta 1.070.090.100 (Estimación regulatoria de bienes mantenidos para la venta)</w:t>
      </w:r>
      <w:r>
        <w:rPr>
          <w:noProof/>
          <w:color w:val="000000" w:themeColor="text1"/>
          <w:sz w:val="22"/>
          <w:szCs w:val="22"/>
          <w:lang w:eastAsia="es-CR"/>
        </w:rPr>
        <w:t>.</w:t>
      </w:r>
    </w:p>
    <w:p w14:paraId="1968CEAC" w14:textId="77777777" w:rsidR="00F57B5A" w:rsidRDefault="00F57B5A" w:rsidP="00F57B5A">
      <w:pPr>
        <w:spacing w:after="120" w:line="276" w:lineRule="auto"/>
        <w:ind w:left="1985" w:hanging="567"/>
        <w:jc w:val="both"/>
        <w:rPr>
          <w:noProof/>
          <w:color w:val="000000" w:themeColor="text1"/>
          <w:sz w:val="22"/>
          <w:szCs w:val="22"/>
          <w:lang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n</w:t>
      </w:r>
      <w:r w:rsidRPr="007C2528">
        <w:rPr>
          <w:b/>
          <w:bCs/>
          <w:noProof/>
          <w:color w:val="000000" w:themeColor="text1"/>
          <w:sz w:val="22"/>
          <w:szCs w:val="22"/>
          <w:lang w:val="es-CR" w:eastAsia="es-CR"/>
        </w:rPr>
        <w:t>]</w:t>
      </w:r>
      <w:r>
        <w:rPr>
          <w:noProof/>
          <w:color w:val="000000" w:themeColor="text1"/>
          <w:sz w:val="22"/>
          <w:szCs w:val="22"/>
          <w:lang w:eastAsia="es-CR"/>
        </w:rPr>
        <w:tab/>
      </w:r>
      <w:r w:rsidRPr="007C2528">
        <w:rPr>
          <w:noProof/>
          <w:color w:val="000000" w:themeColor="text1"/>
          <w:sz w:val="22"/>
          <w:szCs w:val="22"/>
          <w:lang w:eastAsia="es-CR"/>
        </w:rPr>
        <w:t>Adicionar la cuenta 1.090.110 Otros activos disponibles para la venta fuera del alcance de NIIF 5 del grupo 1.090 Otros Activos</w:t>
      </w:r>
      <w:r>
        <w:rPr>
          <w:noProof/>
          <w:color w:val="000000" w:themeColor="text1"/>
          <w:sz w:val="22"/>
          <w:szCs w:val="22"/>
          <w:lang w:eastAsia="es-CR"/>
        </w:rPr>
        <w:t>.</w:t>
      </w:r>
    </w:p>
    <w:p w14:paraId="64CD5055" w14:textId="77777777" w:rsidR="00F57B5A" w:rsidRDefault="00F57B5A" w:rsidP="00F57B5A">
      <w:pPr>
        <w:spacing w:after="120" w:line="276" w:lineRule="auto"/>
        <w:ind w:left="1985" w:hanging="567"/>
        <w:jc w:val="both"/>
        <w:rPr>
          <w:noProof/>
          <w:color w:val="000000" w:themeColor="text1"/>
          <w:sz w:val="22"/>
          <w:szCs w:val="22"/>
          <w:lang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o</w:t>
      </w:r>
      <w:r w:rsidRPr="007C2528">
        <w:rPr>
          <w:b/>
          <w:bCs/>
          <w:noProof/>
          <w:color w:val="000000" w:themeColor="text1"/>
          <w:sz w:val="22"/>
          <w:szCs w:val="22"/>
          <w:lang w:val="es-CR" w:eastAsia="es-CR"/>
        </w:rPr>
        <w:t>]</w:t>
      </w:r>
      <w:r>
        <w:rPr>
          <w:noProof/>
          <w:color w:val="000000" w:themeColor="text1"/>
          <w:sz w:val="22"/>
          <w:szCs w:val="22"/>
          <w:lang w:eastAsia="es-CR"/>
        </w:rPr>
        <w:tab/>
      </w:r>
      <w:r w:rsidRPr="007C2528">
        <w:rPr>
          <w:noProof/>
          <w:color w:val="000000" w:themeColor="text1"/>
          <w:sz w:val="22"/>
          <w:szCs w:val="22"/>
          <w:lang w:eastAsia="es-CR"/>
        </w:rPr>
        <w:t>Modificar el nombre y concepto de la subcuenta 4.060.020.110 Pérdida por estimación de deterioro y disposición regulatoria de bienes mantenidos para la venta</w:t>
      </w:r>
      <w:r>
        <w:rPr>
          <w:noProof/>
          <w:color w:val="000000" w:themeColor="text1"/>
          <w:sz w:val="22"/>
          <w:szCs w:val="22"/>
          <w:lang w:eastAsia="es-CR"/>
        </w:rPr>
        <w:t>.</w:t>
      </w:r>
    </w:p>
    <w:p w14:paraId="338FC165" w14:textId="77777777" w:rsidR="00F57B5A" w:rsidRDefault="00F57B5A" w:rsidP="00F57B5A">
      <w:pPr>
        <w:spacing w:after="120" w:line="276" w:lineRule="auto"/>
        <w:ind w:left="1985" w:hanging="567"/>
        <w:jc w:val="both"/>
        <w:rPr>
          <w:noProof/>
          <w:color w:val="000000" w:themeColor="text1"/>
          <w:sz w:val="22"/>
          <w:szCs w:val="22"/>
          <w:lang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p</w:t>
      </w:r>
      <w:r w:rsidRPr="007C2528">
        <w:rPr>
          <w:b/>
          <w:bCs/>
          <w:noProof/>
          <w:color w:val="000000" w:themeColor="text1"/>
          <w:sz w:val="22"/>
          <w:szCs w:val="22"/>
          <w:lang w:val="es-CR" w:eastAsia="es-CR"/>
        </w:rPr>
        <w:t>]</w:t>
      </w:r>
      <w:r>
        <w:rPr>
          <w:noProof/>
          <w:color w:val="000000" w:themeColor="text1"/>
          <w:sz w:val="22"/>
          <w:szCs w:val="22"/>
          <w:lang w:eastAsia="es-CR"/>
        </w:rPr>
        <w:tab/>
      </w:r>
      <w:r w:rsidRPr="007C2528">
        <w:rPr>
          <w:noProof/>
          <w:color w:val="000000" w:themeColor="text1"/>
          <w:sz w:val="22"/>
          <w:szCs w:val="22"/>
          <w:lang w:eastAsia="es-CR"/>
        </w:rPr>
        <w:t>Adicionar la cuenta 4.060.040 Gastos por otros activos disponibles para la venta fuera del alcance de NIIF 5 en el grupo 4.060 Gastos Operativos Diversos</w:t>
      </w:r>
      <w:r>
        <w:rPr>
          <w:noProof/>
          <w:color w:val="000000" w:themeColor="text1"/>
          <w:sz w:val="22"/>
          <w:szCs w:val="22"/>
          <w:lang w:eastAsia="es-CR"/>
        </w:rPr>
        <w:t>.</w:t>
      </w:r>
    </w:p>
    <w:p w14:paraId="2CFB047A" w14:textId="77777777" w:rsidR="00F57B5A" w:rsidRDefault="00F57B5A" w:rsidP="00F57B5A">
      <w:pPr>
        <w:spacing w:after="120" w:line="276" w:lineRule="auto"/>
        <w:ind w:left="1985" w:hanging="567"/>
        <w:jc w:val="both"/>
        <w:rPr>
          <w:noProof/>
          <w:color w:val="000000" w:themeColor="text1"/>
          <w:sz w:val="22"/>
          <w:szCs w:val="22"/>
          <w:lang w:val="es-CR" w:eastAsia="es-CR"/>
        </w:rPr>
      </w:pPr>
      <w:r w:rsidRPr="007C2528">
        <w:rPr>
          <w:b/>
          <w:bCs/>
          <w:noProof/>
          <w:color w:val="000000" w:themeColor="text1"/>
          <w:sz w:val="22"/>
          <w:szCs w:val="22"/>
          <w:lang w:val="es-CR" w:eastAsia="es-CR"/>
        </w:rPr>
        <w:t>[</w:t>
      </w:r>
      <w:r>
        <w:rPr>
          <w:b/>
          <w:bCs/>
          <w:noProof/>
          <w:color w:val="000000" w:themeColor="text1"/>
          <w:sz w:val="22"/>
          <w:szCs w:val="22"/>
          <w:lang w:val="es-CR" w:eastAsia="es-CR"/>
        </w:rPr>
        <w:t>q</w:t>
      </w:r>
      <w:r w:rsidRPr="007C2528">
        <w:rPr>
          <w:b/>
          <w:bCs/>
          <w:noProof/>
          <w:color w:val="000000" w:themeColor="text1"/>
          <w:sz w:val="22"/>
          <w:szCs w:val="22"/>
          <w:lang w:val="es-CR" w:eastAsia="es-CR"/>
        </w:rPr>
        <w:t>]</w:t>
      </w:r>
      <w:r>
        <w:rPr>
          <w:b/>
          <w:bCs/>
          <w:noProof/>
          <w:color w:val="000000" w:themeColor="text1"/>
          <w:sz w:val="22"/>
          <w:szCs w:val="22"/>
          <w:lang w:val="es-CR" w:eastAsia="es-CR"/>
        </w:rPr>
        <w:tab/>
      </w:r>
      <w:r w:rsidRPr="007C2528">
        <w:rPr>
          <w:noProof/>
          <w:color w:val="000000" w:themeColor="text1"/>
          <w:sz w:val="22"/>
          <w:szCs w:val="22"/>
          <w:lang w:val="es-CR" w:eastAsia="es-CR"/>
        </w:rPr>
        <w:t>Adicionar la cuenta 5.060.060 Ingresos por otros activos disponibles para la venta fuera del alcance de NIIF 5 en el grupo 5.060 Ingresos Operativos Diversos</w:t>
      </w:r>
      <w:r>
        <w:rPr>
          <w:noProof/>
          <w:color w:val="000000" w:themeColor="text1"/>
          <w:sz w:val="22"/>
          <w:szCs w:val="22"/>
          <w:lang w:val="es-CR" w:eastAsia="es-CR"/>
        </w:rPr>
        <w:t>.</w:t>
      </w:r>
    </w:p>
    <w:p w14:paraId="34E78C6B" w14:textId="77777777" w:rsidR="00F57B5A" w:rsidRDefault="00F57B5A" w:rsidP="00F57B5A">
      <w:pPr>
        <w:spacing w:after="120" w:line="276" w:lineRule="auto"/>
        <w:ind w:left="1985" w:hanging="567"/>
        <w:jc w:val="both"/>
        <w:rPr>
          <w:noProof/>
          <w:color w:val="000000" w:themeColor="text1"/>
          <w:sz w:val="22"/>
          <w:szCs w:val="22"/>
          <w:lang w:val="es-CR" w:eastAsia="es-CR"/>
        </w:rPr>
      </w:pPr>
      <w:r>
        <w:rPr>
          <w:b/>
          <w:bCs/>
          <w:noProof/>
          <w:color w:val="000000" w:themeColor="text1"/>
          <w:sz w:val="22"/>
          <w:szCs w:val="22"/>
          <w:lang w:val="es-CR" w:eastAsia="es-CR"/>
        </w:rPr>
        <w:t>[r]</w:t>
      </w:r>
      <w:r>
        <w:rPr>
          <w:b/>
          <w:bCs/>
          <w:noProof/>
          <w:color w:val="000000" w:themeColor="text1"/>
          <w:sz w:val="22"/>
          <w:szCs w:val="22"/>
          <w:lang w:val="es-CR" w:eastAsia="es-CR"/>
        </w:rPr>
        <w:tab/>
      </w:r>
      <w:r w:rsidRPr="007C2528">
        <w:rPr>
          <w:noProof/>
          <w:color w:val="000000" w:themeColor="text1"/>
          <w:sz w:val="22"/>
          <w:szCs w:val="22"/>
          <w:lang w:val="es-CR" w:eastAsia="es-CR"/>
        </w:rPr>
        <w:t>Modificar el MODELO 1 ESTADO DE SITUACIÓN FINANCIERA</w:t>
      </w:r>
      <w:r>
        <w:rPr>
          <w:noProof/>
          <w:color w:val="000000" w:themeColor="text1"/>
          <w:sz w:val="22"/>
          <w:szCs w:val="22"/>
          <w:lang w:val="es-CR" w:eastAsia="es-CR"/>
        </w:rPr>
        <w:t xml:space="preserve"> del Anexo 5.</w:t>
      </w:r>
    </w:p>
    <w:p w14:paraId="3202C561" w14:textId="77777777" w:rsidR="00F57B5A" w:rsidRDefault="00F57B5A" w:rsidP="00F57B5A">
      <w:pPr>
        <w:spacing w:after="120" w:line="276" w:lineRule="auto"/>
        <w:ind w:left="1985" w:hanging="567"/>
        <w:jc w:val="both"/>
        <w:rPr>
          <w:noProof/>
          <w:color w:val="000000" w:themeColor="text1"/>
          <w:sz w:val="22"/>
          <w:szCs w:val="22"/>
          <w:lang w:val="es-CR" w:eastAsia="es-CR"/>
        </w:rPr>
      </w:pPr>
      <w:r>
        <w:rPr>
          <w:b/>
          <w:bCs/>
          <w:noProof/>
          <w:color w:val="000000" w:themeColor="text1"/>
          <w:sz w:val="22"/>
          <w:szCs w:val="22"/>
          <w:lang w:val="es-CR" w:eastAsia="es-CR"/>
        </w:rPr>
        <w:lastRenderedPageBreak/>
        <w:t>[s]</w:t>
      </w:r>
      <w:r>
        <w:rPr>
          <w:b/>
          <w:bCs/>
          <w:noProof/>
          <w:color w:val="000000" w:themeColor="text1"/>
          <w:sz w:val="22"/>
          <w:szCs w:val="22"/>
          <w:lang w:val="es-CR" w:eastAsia="es-CR"/>
        </w:rPr>
        <w:tab/>
      </w:r>
      <w:r w:rsidRPr="007C2528">
        <w:rPr>
          <w:noProof/>
          <w:color w:val="000000" w:themeColor="text1"/>
          <w:sz w:val="22"/>
          <w:szCs w:val="22"/>
          <w:lang w:val="es-CR" w:eastAsia="es-CR"/>
        </w:rPr>
        <w:t>Modificar el MODELO 2 ESTADO DE RESULTADOS INTEGRAL</w:t>
      </w:r>
      <w:r>
        <w:rPr>
          <w:noProof/>
          <w:color w:val="000000" w:themeColor="text1"/>
          <w:sz w:val="22"/>
          <w:szCs w:val="22"/>
          <w:lang w:val="es-CR" w:eastAsia="es-CR"/>
        </w:rPr>
        <w:t xml:space="preserve"> del Anexo 5.</w:t>
      </w:r>
    </w:p>
    <w:p w14:paraId="2F5AF248" w14:textId="77777777" w:rsidR="00F57B5A" w:rsidRPr="00075C96" w:rsidRDefault="00F57B5A" w:rsidP="00F57B5A">
      <w:pPr>
        <w:spacing w:after="120" w:line="276" w:lineRule="auto"/>
        <w:ind w:left="1418"/>
        <w:jc w:val="both"/>
        <w:rPr>
          <w:noProof/>
          <w:color w:val="000000" w:themeColor="text1"/>
          <w:sz w:val="22"/>
          <w:szCs w:val="22"/>
          <w:lang w:val="es-CR" w:eastAsia="es-CR"/>
        </w:rPr>
      </w:pPr>
      <w:r w:rsidRPr="007E5208">
        <w:rPr>
          <w:noProof/>
          <w:color w:val="000000" w:themeColor="text1"/>
          <w:sz w:val="22"/>
          <w:szCs w:val="22"/>
          <w:lang w:eastAsia="es-CR"/>
        </w:rPr>
        <w:t>Estas modificaciones rigen a partir del 1° de enero del 2024.</w:t>
      </w:r>
      <w:r>
        <w:rPr>
          <w:noProof/>
          <w:color w:val="000000" w:themeColor="text1"/>
          <w:sz w:val="22"/>
          <w:szCs w:val="22"/>
          <w:lang w:eastAsia="es-CR"/>
        </w:rPr>
        <w:t xml:space="preserve"> Publicado en La Gaceta 229 del 11 de diciembre de 2023.</w:t>
      </w:r>
    </w:p>
    <w:p w14:paraId="197EC29E" w14:textId="77777777" w:rsidR="00F57B5A" w:rsidRPr="00BB04C3" w:rsidRDefault="00F57B5A" w:rsidP="00F57B5A">
      <w:pPr>
        <w:spacing w:after="120"/>
        <w:ind w:left="1985" w:hanging="567"/>
        <w:jc w:val="both"/>
        <w:rPr>
          <w:noProof/>
          <w:color w:val="000000" w:themeColor="text1"/>
          <w:sz w:val="22"/>
          <w:szCs w:val="22"/>
          <w:lang w:val="es-CR" w:eastAsia="es-CR"/>
        </w:rPr>
      </w:pPr>
    </w:p>
    <w:sectPr w:rsidR="00F57B5A" w:rsidRPr="00BB04C3" w:rsidSect="004051FA">
      <w:headerReference w:type="even" r:id="rId21"/>
      <w:headerReference w:type="default" r:id="rId22"/>
      <w:footerReference w:type="even" r:id="rId23"/>
      <w:footerReference w:type="default" r:id="rId24"/>
      <w:headerReference w:type="first" r:id="rId25"/>
      <w:footerReference w:type="first" r:id="rId2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F663" w14:textId="77777777" w:rsidR="0044449A" w:rsidRDefault="0044449A" w:rsidP="00764E9B">
      <w:r>
        <w:separator/>
      </w:r>
    </w:p>
  </w:endnote>
  <w:endnote w:type="continuationSeparator" w:id="0">
    <w:p w14:paraId="7DC3C9D6" w14:textId="77777777" w:rsidR="0044449A" w:rsidRDefault="0044449A" w:rsidP="0076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8CD7" w14:textId="77777777" w:rsidR="00F57B5A" w:rsidRDefault="00F57B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487C" w14:textId="44758EBF" w:rsidR="00627436" w:rsidRDefault="00804242">
    <w:pPr>
      <w:pStyle w:val="Piedepgina"/>
    </w:pPr>
    <w:r>
      <w:rPr>
        <w:noProof/>
      </w:rPr>
      <mc:AlternateContent>
        <mc:Choice Requires="wps">
          <w:drawing>
            <wp:anchor distT="0" distB="0" distL="114300" distR="114300" simplePos="0" relativeHeight="251660288" behindDoc="0" locked="0" layoutInCell="0" allowOverlap="1" wp14:anchorId="6CF209FA" wp14:editId="4E570EA3">
              <wp:simplePos x="0" y="0"/>
              <wp:positionH relativeFrom="page">
                <wp:posOffset>0</wp:posOffset>
              </wp:positionH>
              <wp:positionV relativeFrom="page">
                <wp:posOffset>7308215</wp:posOffset>
              </wp:positionV>
              <wp:extent cx="10058400" cy="273050"/>
              <wp:effectExtent l="0" t="0" r="0" b="12700"/>
              <wp:wrapNone/>
              <wp:docPr id="4" name="MSIPCM73194fd098d909254b563248" descr="{&quot;HashCode&quot;:1186230005,&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582F5F" w14:textId="73971286" w:rsidR="00804242" w:rsidRPr="00804242" w:rsidRDefault="00804242" w:rsidP="00804242">
                          <w:pPr>
                            <w:jc w:val="center"/>
                            <w:rPr>
                              <w:rFonts w:ascii="Calibri" w:hAnsi="Calibri" w:cs="Calibri"/>
                              <w:color w:val="000000"/>
                              <w:sz w:val="20"/>
                            </w:rPr>
                          </w:pPr>
                          <w:r w:rsidRPr="00804242">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F209FA" id="_x0000_t202" coordsize="21600,21600" o:spt="202" path="m,l,21600r21600,l21600,xe">
              <v:stroke joinstyle="miter"/>
              <v:path gradientshapeok="t" o:connecttype="rect"/>
            </v:shapetype>
            <v:shape id="MSIPCM73194fd098d909254b563248" o:spid="_x0000_s1026" type="#_x0000_t202" alt="{&quot;HashCode&quot;:1186230005,&quot;Height&quot;:612.0,&quot;Width&quot;:792.0,&quot;Placement&quot;:&quot;Footer&quot;,&quot;Index&quot;:&quot;Primary&quot;,&quot;Section&quot;:1,&quot;Top&quot;:0.0,&quot;Left&quot;:0.0}" style="position:absolute;margin-left:0;margin-top:575.45pt;width:11in;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" o:allowincell="f" filled="f" stroked="f" strokeweight=".5pt">
              <v:fill o:detectmouseclick="t"/>
              <v:textbox inset=",0,,0">
                <w:txbxContent>
                  <w:p w14:paraId="1A582F5F" w14:textId="73971286" w:rsidR="00804242" w:rsidRPr="00804242" w:rsidRDefault="00804242" w:rsidP="00804242">
                    <w:pPr>
                      <w:jc w:val="center"/>
                      <w:rPr>
                        <w:rFonts w:ascii="Calibri" w:hAnsi="Calibri" w:cs="Calibri"/>
                        <w:color w:val="000000"/>
                        <w:sz w:val="20"/>
                      </w:rPr>
                    </w:pPr>
                    <w:r w:rsidRPr="00804242">
                      <w:rPr>
                        <w:rFonts w:ascii="Calibri" w:hAnsi="Calibri" w:cs="Calibri"/>
                        <w:color w:val="000000"/>
                        <w:sz w:val="2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CCB1" w14:textId="77777777" w:rsidR="00F57B5A" w:rsidRDefault="00F57B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0DCE1" w14:textId="77777777" w:rsidR="0044449A" w:rsidRDefault="0044449A" w:rsidP="00764E9B">
      <w:r>
        <w:separator/>
      </w:r>
    </w:p>
  </w:footnote>
  <w:footnote w:type="continuationSeparator" w:id="0">
    <w:p w14:paraId="3E6E240A" w14:textId="77777777" w:rsidR="0044449A" w:rsidRDefault="0044449A" w:rsidP="00764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2B07" w14:textId="77777777" w:rsidR="00F57B5A" w:rsidRDefault="00F57B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2FE4" w14:textId="5F875E91" w:rsidR="00627436" w:rsidRDefault="00627436">
    <w:pPr>
      <w:pStyle w:val="Encabezado"/>
    </w:pPr>
    <w:r>
      <w:rPr>
        <w:noProof/>
        <w:lang w:val="es-CR" w:eastAsia="es-CR"/>
      </w:rPr>
      <w:drawing>
        <wp:anchor distT="0" distB="0" distL="114300" distR="114300" simplePos="0" relativeHeight="251659264" behindDoc="0" locked="0" layoutInCell="1" allowOverlap="1" wp14:anchorId="68CD0F45" wp14:editId="1DCFCC12">
          <wp:simplePos x="0" y="0"/>
          <wp:positionH relativeFrom="column">
            <wp:posOffset>0</wp:posOffset>
          </wp:positionH>
          <wp:positionV relativeFrom="paragraph">
            <wp:posOffset>173990</wp:posOffset>
          </wp:positionV>
          <wp:extent cx="4750435" cy="5105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043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9C027" w14:textId="6E17CAF3" w:rsidR="00627436" w:rsidRDefault="00627436">
    <w:pPr>
      <w:pStyle w:val="Encabezado"/>
    </w:pPr>
  </w:p>
  <w:p w14:paraId="21D1BF5F" w14:textId="06A752FE" w:rsidR="00627436" w:rsidRDefault="00627436">
    <w:pPr>
      <w:pStyle w:val="Encabezado"/>
    </w:pPr>
  </w:p>
  <w:p w14:paraId="5C278595" w14:textId="733C7E84" w:rsidR="00627436" w:rsidRDefault="00627436">
    <w:pPr>
      <w:pStyle w:val="Encabezado"/>
    </w:pPr>
  </w:p>
  <w:p w14:paraId="72CE828A" w14:textId="77777777" w:rsidR="00627436" w:rsidRDefault="006274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8F1A" w14:textId="77777777" w:rsidR="00F57B5A" w:rsidRDefault="00F57B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6D9"/>
    <w:multiLevelType w:val="hybridMultilevel"/>
    <w:tmpl w:val="B0E60332"/>
    <w:lvl w:ilvl="0" w:tplc="55368836">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D10554"/>
    <w:multiLevelType w:val="hybridMultilevel"/>
    <w:tmpl w:val="1C484AC4"/>
    <w:lvl w:ilvl="0" w:tplc="140A001B">
      <w:start w:val="1"/>
      <w:numFmt w:val="lowerRoman"/>
      <w:lvlText w:val="%1."/>
      <w:lvlJc w:val="righ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6F7217"/>
    <w:multiLevelType w:val="hybridMultilevel"/>
    <w:tmpl w:val="3C68E99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DC58C4"/>
    <w:multiLevelType w:val="hybridMultilevel"/>
    <w:tmpl w:val="5FE0A958"/>
    <w:lvl w:ilvl="0" w:tplc="2B163966">
      <w:start w:val="3"/>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B95B13"/>
    <w:multiLevelType w:val="hybridMultilevel"/>
    <w:tmpl w:val="D38AE064"/>
    <w:lvl w:ilvl="0" w:tplc="FEB4E4F8">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F64FA6"/>
    <w:multiLevelType w:val="hybridMultilevel"/>
    <w:tmpl w:val="A23C8924"/>
    <w:lvl w:ilvl="0" w:tplc="140A0019">
      <w:start w:val="1"/>
      <w:numFmt w:val="lowerLetter"/>
      <w:lvlText w:val="%1."/>
      <w:lvlJc w:val="lef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6" w15:restartNumberingAfterBreak="0">
    <w:nsid w:val="135C675E"/>
    <w:multiLevelType w:val="hybridMultilevel"/>
    <w:tmpl w:val="F18C1580"/>
    <w:lvl w:ilvl="0" w:tplc="3808E39C">
      <w:start w:val="1"/>
      <w:numFmt w:val="lowerRoman"/>
      <w:lvlText w:val="%1."/>
      <w:lvlJc w:val="righ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5087EC1"/>
    <w:multiLevelType w:val="hybridMultilevel"/>
    <w:tmpl w:val="FB160B26"/>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5771B74"/>
    <w:multiLevelType w:val="hybridMultilevel"/>
    <w:tmpl w:val="250A5DE0"/>
    <w:lvl w:ilvl="0" w:tplc="140A001B">
      <w:start w:val="1"/>
      <w:numFmt w:val="lowerRoman"/>
      <w:lvlText w:val="%1."/>
      <w:lvlJc w:val="right"/>
      <w:pPr>
        <w:ind w:left="1428" w:hanging="360"/>
      </w:pPr>
    </w:lvl>
    <w:lvl w:ilvl="1" w:tplc="140A001B">
      <w:start w:val="1"/>
      <w:numFmt w:val="lowerRoman"/>
      <w:lvlText w:val="%2."/>
      <w:lvlJc w:val="righ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9" w15:restartNumberingAfterBreak="0">
    <w:nsid w:val="159A754B"/>
    <w:multiLevelType w:val="hybridMultilevel"/>
    <w:tmpl w:val="9C2CE26E"/>
    <w:lvl w:ilvl="0" w:tplc="191EF8DE">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675354B"/>
    <w:multiLevelType w:val="hybridMultilevel"/>
    <w:tmpl w:val="76BEF6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70D0940"/>
    <w:multiLevelType w:val="hybridMultilevel"/>
    <w:tmpl w:val="FB0EE146"/>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711125A"/>
    <w:multiLevelType w:val="hybridMultilevel"/>
    <w:tmpl w:val="04242030"/>
    <w:lvl w:ilvl="0" w:tplc="346C5B78">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CA75886"/>
    <w:multiLevelType w:val="hybridMultilevel"/>
    <w:tmpl w:val="B4BC24E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A940F6"/>
    <w:multiLevelType w:val="hybridMultilevel"/>
    <w:tmpl w:val="708ABF94"/>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3787687"/>
    <w:multiLevelType w:val="hybridMultilevel"/>
    <w:tmpl w:val="FB92BB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57403EC"/>
    <w:multiLevelType w:val="hybridMultilevel"/>
    <w:tmpl w:val="96AE1218"/>
    <w:lvl w:ilvl="0" w:tplc="860026CA">
      <w:start w:val="2"/>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6BC236B"/>
    <w:multiLevelType w:val="hybridMultilevel"/>
    <w:tmpl w:val="4DF4ECBC"/>
    <w:lvl w:ilvl="0" w:tplc="140A0015">
      <w:start w:val="1"/>
      <w:numFmt w:val="upperLetter"/>
      <w:lvlText w:val="%1."/>
      <w:lvlJc w:val="left"/>
      <w:pPr>
        <w:ind w:left="502" w:hanging="360"/>
      </w:pPr>
    </w:lvl>
    <w:lvl w:ilvl="1" w:tplc="9958750C">
      <w:start w:val="1"/>
      <w:numFmt w:val="lowerRoman"/>
      <w:lvlText w:val="%2."/>
      <w:lvlJc w:val="left"/>
      <w:pPr>
        <w:ind w:left="1732" w:hanging="870"/>
      </w:pPr>
      <w:rPr>
        <w:rFonts w:hint="default"/>
      </w:r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8" w15:restartNumberingAfterBreak="0">
    <w:nsid w:val="2A1928DE"/>
    <w:multiLevelType w:val="hybridMultilevel"/>
    <w:tmpl w:val="1EF885B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F6978AA"/>
    <w:multiLevelType w:val="hybridMultilevel"/>
    <w:tmpl w:val="96DE6566"/>
    <w:lvl w:ilvl="0" w:tplc="5E0C483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F824F0D"/>
    <w:multiLevelType w:val="hybridMultilevel"/>
    <w:tmpl w:val="D3585D74"/>
    <w:lvl w:ilvl="0" w:tplc="9AD44760">
      <w:start w:val="5"/>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00E4E62"/>
    <w:multiLevelType w:val="hybridMultilevel"/>
    <w:tmpl w:val="D786DEC8"/>
    <w:lvl w:ilvl="0" w:tplc="140A0019">
      <w:start w:val="1"/>
      <w:numFmt w:val="lowerLetter"/>
      <w:lvlText w:val="%1."/>
      <w:lvlJc w:val="left"/>
      <w:pPr>
        <w:ind w:left="502" w:hanging="360"/>
      </w:pPr>
    </w:lvl>
    <w:lvl w:ilvl="1" w:tplc="9958750C">
      <w:start w:val="1"/>
      <w:numFmt w:val="lowerRoman"/>
      <w:lvlText w:val="%2."/>
      <w:lvlJc w:val="left"/>
      <w:pPr>
        <w:ind w:left="1732" w:hanging="870"/>
      </w:pPr>
      <w:rPr>
        <w:rFonts w:hint="default"/>
      </w:rPr>
    </w:lvl>
    <w:lvl w:ilvl="2" w:tplc="38BE38DE">
      <w:start w:val="1"/>
      <w:numFmt w:val="lowerLetter"/>
      <w:lvlText w:val="%3)"/>
      <w:lvlJc w:val="left"/>
      <w:pPr>
        <w:ind w:left="2467" w:hanging="705"/>
      </w:pPr>
      <w:rPr>
        <w:rFonts w:hint="default"/>
      </w:r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2" w15:restartNumberingAfterBreak="0">
    <w:nsid w:val="3047425B"/>
    <w:multiLevelType w:val="hybridMultilevel"/>
    <w:tmpl w:val="A096130A"/>
    <w:lvl w:ilvl="0" w:tplc="140A0013">
      <w:start w:val="1"/>
      <w:numFmt w:val="upperRoman"/>
      <w:lvlText w:val="%1."/>
      <w:lvlJc w:val="right"/>
      <w:pPr>
        <w:ind w:left="502" w:hanging="360"/>
      </w:pPr>
      <w:rPr>
        <w:rFonts w:hint="default"/>
      </w:rPr>
    </w:lvl>
    <w:lvl w:ilvl="1" w:tplc="D098EBC0">
      <w:start w:val="1"/>
      <w:numFmt w:val="lowerLetter"/>
      <w:lvlText w:val="%2."/>
      <w:lvlJc w:val="left"/>
      <w:pPr>
        <w:ind w:left="1440" w:hanging="360"/>
      </w:pPr>
      <w:rPr>
        <w:b/>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1C51037"/>
    <w:multiLevelType w:val="hybridMultilevel"/>
    <w:tmpl w:val="E75C5B6A"/>
    <w:lvl w:ilvl="0" w:tplc="8B2A72C2">
      <w:start w:val="1"/>
      <w:numFmt w:val="lowerLetter"/>
      <w:lvlText w:val="%1."/>
      <w:lvlJc w:val="left"/>
      <w:pPr>
        <w:ind w:left="862" w:hanging="360"/>
      </w:pPr>
      <w:rPr>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4" w15:restartNumberingAfterBreak="0">
    <w:nsid w:val="32274178"/>
    <w:multiLevelType w:val="hybridMultilevel"/>
    <w:tmpl w:val="6F80EAB0"/>
    <w:lvl w:ilvl="0" w:tplc="C58AB1CC">
      <w:start w:val="1"/>
      <w:numFmt w:val="lowerLetter"/>
      <w:lvlText w:val="%1."/>
      <w:lvlJc w:val="left"/>
      <w:pPr>
        <w:ind w:left="502" w:hanging="360"/>
      </w:pPr>
      <w:rPr>
        <w:rFonts w:ascii="Cambria" w:hAnsi="Cambria"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5" w15:restartNumberingAfterBreak="0">
    <w:nsid w:val="332C4D77"/>
    <w:multiLevelType w:val="hybridMultilevel"/>
    <w:tmpl w:val="3F2CDCBA"/>
    <w:lvl w:ilvl="0" w:tplc="AF4A1D38">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77533FF"/>
    <w:multiLevelType w:val="hybridMultilevel"/>
    <w:tmpl w:val="FC04E734"/>
    <w:lvl w:ilvl="0" w:tplc="140A0019">
      <w:start w:val="1"/>
      <w:numFmt w:val="lowerLetter"/>
      <w:lvlText w:val="%1."/>
      <w:lvlJc w:val="lef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7" w15:restartNumberingAfterBreak="0">
    <w:nsid w:val="3955345A"/>
    <w:multiLevelType w:val="hybridMultilevel"/>
    <w:tmpl w:val="24285AE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8" w15:restartNumberingAfterBreak="0">
    <w:nsid w:val="3C5C49B0"/>
    <w:multiLevelType w:val="hybridMultilevel"/>
    <w:tmpl w:val="4F2A66B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D9D7252"/>
    <w:multiLevelType w:val="hybridMultilevel"/>
    <w:tmpl w:val="4DC03558"/>
    <w:lvl w:ilvl="0" w:tplc="BE30C3F2">
      <w:start w:val="4"/>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3166FDC"/>
    <w:multiLevelType w:val="hybridMultilevel"/>
    <w:tmpl w:val="3C68E99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36F47FA"/>
    <w:multiLevelType w:val="hybridMultilevel"/>
    <w:tmpl w:val="8D00C65C"/>
    <w:lvl w:ilvl="0" w:tplc="38C2D2B8">
      <w:start w:val="1"/>
      <w:numFmt w:val="upperRoman"/>
      <w:lvlText w:val="%1."/>
      <w:lvlJc w:val="right"/>
      <w:pPr>
        <w:ind w:left="502" w:hanging="360"/>
      </w:pPr>
      <w:rPr>
        <w:rFonts w:hint="default"/>
        <w:b/>
      </w:rPr>
    </w:lvl>
    <w:lvl w:ilvl="1" w:tplc="9CD2C8D8">
      <w:start w:val="1"/>
      <w:numFmt w:val="lowerLetter"/>
      <w:lvlText w:val="%2."/>
      <w:lvlJc w:val="left"/>
      <w:pPr>
        <w:ind w:left="1440" w:hanging="360"/>
      </w:pPr>
      <w:rPr>
        <w:b/>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3A25603"/>
    <w:multiLevelType w:val="hybridMultilevel"/>
    <w:tmpl w:val="1A4AE414"/>
    <w:lvl w:ilvl="0" w:tplc="140A001B">
      <w:start w:val="1"/>
      <w:numFmt w:val="lowerRoman"/>
      <w:lvlText w:val="%1."/>
      <w:lvlJc w:val="right"/>
      <w:pPr>
        <w:ind w:left="720" w:hanging="360"/>
      </w:pPr>
    </w:lvl>
    <w:lvl w:ilvl="1" w:tplc="140A001B">
      <w:start w:val="1"/>
      <w:numFmt w:val="lowerRoman"/>
      <w:lvlText w:val="%2."/>
      <w:lvlJc w:val="righ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4D2609D"/>
    <w:multiLevelType w:val="hybridMultilevel"/>
    <w:tmpl w:val="2D56B3C4"/>
    <w:lvl w:ilvl="0" w:tplc="1DCC6B4C">
      <w:start w:val="1"/>
      <w:numFmt w:val="lowerRoman"/>
      <w:lvlText w:val="%1."/>
      <w:lvlJc w:val="righ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1A15314"/>
    <w:multiLevelType w:val="hybridMultilevel"/>
    <w:tmpl w:val="C96EFE7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80A4C7A"/>
    <w:multiLevelType w:val="hybridMultilevel"/>
    <w:tmpl w:val="CDF6ED94"/>
    <w:lvl w:ilvl="0" w:tplc="779C32DE">
      <w:start w:val="2"/>
      <w:numFmt w:val="lowerLetter"/>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36" w15:restartNumberingAfterBreak="0">
    <w:nsid w:val="5DA713A0"/>
    <w:multiLevelType w:val="hybridMultilevel"/>
    <w:tmpl w:val="A42CD2DA"/>
    <w:lvl w:ilvl="0" w:tplc="140A0013">
      <w:start w:val="1"/>
      <w:numFmt w:val="upperRoman"/>
      <w:lvlText w:val="%1."/>
      <w:lvlJc w:val="right"/>
      <w:pPr>
        <w:ind w:left="502"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F120073"/>
    <w:multiLevelType w:val="hybridMultilevel"/>
    <w:tmpl w:val="D4EE37C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F9D46D0"/>
    <w:multiLevelType w:val="hybridMultilevel"/>
    <w:tmpl w:val="708657E2"/>
    <w:lvl w:ilvl="0" w:tplc="CF125BAE">
      <w:start w:val="1"/>
      <w:numFmt w:val="upperRoman"/>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2BD3615"/>
    <w:multiLevelType w:val="hybridMultilevel"/>
    <w:tmpl w:val="09D8F48E"/>
    <w:lvl w:ilvl="0" w:tplc="140A0019">
      <w:start w:val="1"/>
      <w:numFmt w:val="lowerLetter"/>
      <w:lvlText w:val="%1."/>
      <w:lvlJc w:val="left"/>
      <w:pPr>
        <w:ind w:left="1854" w:hanging="360"/>
      </w:p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40" w15:restartNumberingAfterBreak="0">
    <w:nsid w:val="65203EAB"/>
    <w:multiLevelType w:val="hybridMultilevel"/>
    <w:tmpl w:val="F39C60D4"/>
    <w:lvl w:ilvl="0" w:tplc="4252B120">
      <w:start w:val="1"/>
      <w:numFmt w:val="lowerLetter"/>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8EB45DB"/>
    <w:multiLevelType w:val="hybridMultilevel"/>
    <w:tmpl w:val="6BCCF308"/>
    <w:lvl w:ilvl="0" w:tplc="93C68EC6">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B433E76"/>
    <w:multiLevelType w:val="hybridMultilevel"/>
    <w:tmpl w:val="B0589D90"/>
    <w:lvl w:ilvl="0" w:tplc="140A0019">
      <w:start w:val="1"/>
      <w:numFmt w:val="lowerLetter"/>
      <w:lvlText w:val="%1."/>
      <w:lvlJc w:val="left"/>
      <w:pPr>
        <w:ind w:left="3240" w:hanging="360"/>
      </w:pPr>
    </w:lvl>
    <w:lvl w:ilvl="1" w:tplc="140A0019" w:tentative="1">
      <w:start w:val="1"/>
      <w:numFmt w:val="lowerLetter"/>
      <w:lvlText w:val="%2."/>
      <w:lvlJc w:val="left"/>
      <w:pPr>
        <w:ind w:left="3960" w:hanging="360"/>
      </w:pPr>
    </w:lvl>
    <w:lvl w:ilvl="2" w:tplc="140A001B" w:tentative="1">
      <w:start w:val="1"/>
      <w:numFmt w:val="lowerRoman"/>
      <w:lvlText w:val="%3."/>
      <w:lvlJc w:val="right"/>
      <w:pPr>
        <w:ind w:left="4680" w:hanging="180"/>
      </w:pPr>
    </w:lvl>
    <w:lvl w:ilvl="3" w:tplc="140A000F" w:tentative="1">
      <w:start w:val="1"/>
      <w:numFmt w:val="decimal"/>
      <w:lvlText w:val="%4."/>
      <w:lvlJc w:val="left"/>
      <w:pPr>
        <w:ind w:left="5400" w:hanging="360"/>
      </w:pPr>
    </w:lvl>
    <w:lvl w:ilvl="4" w:tplc="140A0019" w:tentative="1">
      <w:start w:val="1"/>
      <w:numFmt w:val="lowerLetter"/>
      <w:lvlText w:val="%5."/>
      <w:lvlJc w:val="left"/>
      <w:pPr>
        <w:ind w:left="6120" w:hanging="360"/>
      </w:pPr>
    </w:lvl>
    <w:lvl w:ilvl="5" w:tplc="140A001B" w:tentative="1">
      <w:start w:val="1"/>
      <w:numFmt w:val="lowerRoman"/>
      <w:lvlText w:val="%6."/>
      <w:lvlJc w:val="right"/>
      <w:pPr>
        <w:ind w:left="6840" w:hanging="180"/>
      </w:pPr>
    </w:lvl>
    <w:lvl w:ilvl="6" w:tplc="140A000F" w:tentative="1">
      <w:start w:val="1"/>
      <w:numFmt w:val="decimal"/>
      <w:lvlText w:val="%7."/>
      <w:lvlJc w:val="left"/>
      <w:pPr>
        <w:ind w:left="7560" w:hanging="360"/>
      </w:pPr>
    </w:lvl>
    <w:lvl w:ilvl="7" w:tplc="140A0019" w:tentative="1">
      <w:start w:val="1"/>
      <w:numFmt w:val="lowerLetter"/>
      <w:lvlText w:val="%8."/>
      <w:lvlJc w:val="left"/>
      <w:pPr>
        <w:ind w:left="8280" w:hanging="360"/>
      </w:pPr>
    </w:lvl>
    <w:lvl w:ilvl="8" w:tplc="140A001B" w:tentative="1">
      <w:start w:val="1"/>
      <w:numFmt w:val="lowerRoman"/>
      <w:lvlText w:val="%9."/>
      <w:lvlJc w:val="right"/>
      <w:pPr>
        <w:ind w:left="9000" w:hanging="180"/>
      </w:pPr>
    </w:lvl>
  </w:abstractNum>
  <w:abstractNum w:abstractNumId="43" w15:restartNumberingAfterBreak="0">
    <w:nsid w:val="6C37440D"/>
    <w:multiLevelType w:val="hybridMultilevel"/>
    <w:tmpl w:val="875EC0B4"/>
    <w:lvl w:ilvl="0" w:tplc="631454DC">
      <w:start w:val="3"/>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E172E0C"/>
    <w:multiLevelType w:val="hybridMultilevel"/>
    <w:tmpl w:val="FA005EEC"/>
    <w:lvl w:ilvl="0" w:tplc="E8ACA08E">
      <w:start w:val="1"/>
      <w:numFmt w:val="lowerRoman"/>
      <w:lvlText w:val="%1."/>
      <w:lvlJc w:val="righ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0BC294D"/>
    <w:multiLevelType w:val="hybridMultilevel"/>
    <w:tmpl w:val="7572111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273735F"/>
    <w:multiLevelType w:val="hybridMultilevel"/>
    <w:tmpl w:val="F1A84A0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3292C36"/>
    <w:multiLevelType w:val="hybridMultilevel"/>
    <w:tmpl w:val="87D208FC"/>
    <w:lvl w:ilvl="0" w:tplc="0C8C9CE0">
      <w:start w:val="1"/>
      <w:numFmt w:val="lowerLetter"/>
      <w:lvlText w:val="%1."/>
      <w:lvlJc w:val="left"/>
      <w:pPr>
        <w:ind w:left="862" w:hanging="360"/>
      </w:pPr>
      <w:rPr>
        <w:b/>
        <w:color w:val="auto"/>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8" w15:restartNumberingAfterBreak="0">
    <w:nsid w:val="79B151C5"/>
    <w:multiLevelType w:val="hybridMultilevel"/>
    <w:tmpl w:val="8A2E9C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A573AD1"/>
    <w:multiLevelType w:val="hybridMultilevel"/>
    <w:tmpl w:val="3F30978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7A875A0F"/>
    <w:multiLevelType w:val="hybridMultilevel"/>
    <w:tmpl w:val="92961E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DD70259"/>
    <w:multiLevelType w:val="hybridMultilevel"/>
    <w:tmpl w:val="5E429910"/>
    <w:lvl w:ilvl="0" w:tplc="DBCA917E">
      <w:start w:val="3"/>
      <w:numFmt w:val="lowerLetter"/>
      <w:lvlText w:val="%1."/>
      <w:lvlJc w:val="left"/>
      <w:pPr>
        <w:ind w:left="502" w:hanging="360"/>
      </w:pPr>
      <w:rPr>
        <w:rFonts w:ascii="Cambria" w:hAnsi="Cambria"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1056955">
    <w:abstractNumId w:val="17"/>
  </w:num>
  <w:num w:numId="2" w16cid:durableId="317928262">
    <w:abstractNumId w:val="8"/>
  </w:num>
  <w:num w:numId="3" w16cid:durableId="1772050396">
    <w:abstractNumId w:val="21"/>
  </w:num>
  <w:num w:numId="4" w16cid:durableId="1017148355">
    <w:abstractNumId w:val="35"/>
  </w:num>
  <w:num w:numId="5" w16cid:durableId="2002272382">
    <w:abstractNumId w:val="24"/>
  </w:num>
  <w:num w:numId="6" w16cid:durableId="1253315090">
    <w:abstractNumId w:val="51"/>
  </w:num>
  <w:num w:numId="7" w16cid:durableId="2088726496">
    <w:abstractNumId w:val="32"/>
  </w:num>
  <w:num w:numId="8" w16cid:durableId="1658920793">
    <w:abstractNumId w:val="7"/>
  </w:num>
  <w:num w:numId="9" w16cid:durableId="898512231">
    <w:abstractNumId w:val="26"/>
  </w:num>
  <w:num w:numId="10" w16cid:durableId="702824334">
    <w:abstractNumId w:val="13"/>
  </w:num>
  <w:num w:numId="11" w16cid:durableId="1762482918">
    <w:abstractNumId w:val="49"/>
  </w:num>
  <w:num w:numId="12" w16cid:durableId="1985349665">
    <w:abstractNumId w:val="37"/>
  </w:num>
  <w:num w:numId="13" w16cid:durableId="526791439">
    <w:abstractNumId w:val="34"/>
  </w:num>
  <w:num w:numId="14" w16cid:durableId="1052657133">
    <w:abstractNumId w:val="11"/>
  </w:num>
  <w:num w:numId="15" w16cid:durableId="688606384">
    <w:abstractNumId w:val="2"/>
  </w:num>
  <w:num w:numId="16" w16cid:durableId="1330989011">
    <w:abstractNumId w:val="23"/>
  </w:num>
  <w:num w:numId="17" w16cid:durableId="1562523990">
    <w:abstractNumId w:val="44"/>
  </w:num>
  <w:num w:numId="18" w16cid:durableId="1068110336">
    <w:abstractNumId w:val="18"/>
  </w:num>
  <w:num w:numId="19" w16cid:durableId="1289777631">
    <w:abstractNumId w:val="47"/>
  </w:num>
  <w:num w:numId="20" w16cid:durableId="601377871">
    <w:abstractNumId w:val="14"/>
  </w:num>
  <w:num w:numId="21" w16cid:durableId="1737819339">
    <w:abstractNumId w:val="30"/>
  </w:num>
  <w:num w:numId="22" w16cid:durableId="253634845">
    <w:abstractNumId w:val="25"/>
  </w:num>
  <w:num w:numId="23" w16cid:durableId="1361127035">
    <w:abstractNumId w:val="3"/>
  </w:num>
  <w:num w:numId="24" w16cid:durableId="1440686742">
    <w:abstractNumId w:val="29"/>
  </w:num>
  <w:num w:numId="25" w16cid:durableId="1290235862">
    <w:abstractNumId w:val="20"/>
  </w:num>
  <w:num w:numId="26" w16cid:durableId="1072773580">
    <w:abstractNumId w:val="41"/>
  </w:num>
  <w:num w:numId="27" w16cid:durableId="1091852585">
    <w:abstractNumId w:val="28"/>
  </w:num>
  <w:num w:numId="28" w16cid:durableId="43406348">
    <w:abstractNumId w:val="6"/>
  </w:num>
  <w:num w:numId="29" w16cid:durableId="748700210">
    <w:abstractNumId w:val="19"/>
  </w:num>
  <w:num w:numId="30" w16cid:durableId="1268122225">
    <w:abstractNumId w:val="16"/>
  </w:num>
  <w:num w:numId="31" w16cid:durableId="822088258">
    <w:abstractNumId w:val="43"/>
  </w:num>
  <w:num w:numId="32" w16cid:durableId="2136633745">
    <w:abstractNumId w:val="48"/>
  </w:num>
  <w:num w:numId="33" w16cid:durableId="1930768446">
    <w:abstractNumId w:val="10"/>
  </w:num>
  <w:num w:numId="34" w16cid:durableId="1375889916">
    <w:abstractNumId w:val="50"/>
  </w:num>
  <w:num w:numId="35" w16cid:durableId="684595797">
    <w:abstractNumId w:val="15"/>
  </w:num>
  <w:num w:numId="36" w16cid:durableId="230434418">
    <w:abstractNumId w:val="45"/>
  </w:num>
  <w:num w:numId="37" w16cid:durableId="303507248">
    <w:abstractNumId w:val="4"/>
  </w:num>
  <w:num w:numId="38" w16cid:durableId="1521355684">
    <w:abstractNumId w:val="33"/>
  </w:num>
  <w:num w:numId="39" w16cid:durableId="873929133">
    <w:abstractNumId w:val="31"/>
  </w:num>
  <w:num w:numId="40" w16cid:durableId="534857066">
    <w:abstractNumId w:val="1"/>
  </w:num>
  <w:num w:numId="41" w16cid:durableId="997340660">
    <w:abstractNumId w:val="38"/>
  </w:num>
  <w:num w:numId="42" w16cid:durableId="537669346">
    <w:abstractNumId w:val="42"/>
  </w:num>
  <w:num w:numId="43" w16cid:durableId="734158405">
    <w:abstractNumId w:val="36"/>
  </w:num>
  <w:num w:numId="44" w16cid:durableId="26488537">
    <w:abstractNumId w:val="39"/>
  </w:num>
  <w:num w:numId="45" w16cid:durableId="829978514">
    <w:abstractNumId w:val="5"/>
  </w:num>
  <w:num w:numId="46" w16cid:durableId="1516726714">
    <w:abstractNumId w:val="22"/>
  </w:num>
  <w:num w:numId="47" w16cid:durableId="1166824183">
    <w:abstractNumId w:val="40"/>
  </w:num>
  <w:num w:numId="48" w16cid:durableId="138421813">
    <w:abstractNumId w:val="12"/>
  </w:num>
  <w:num w:numId="49" w16cid:durableId="1622109282">
    <w:abstractNumId w:val="9"/>
  </w:num>
  <w:num w:numId="50" w16cid:durableId="380179501">
    <w:abstractNumId w:val="46"/>
  </w:num>
  <w:num w:numId="51" w16cid:durableId="1145047543">
    <w:abstractNumId w:val="27"/>
  </w:num>
  <w:num w:numId="52" w16cid:durableId="2028484428">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FA"/>
    <w:rsid w:val="000066B3"/>
    <w:rsid w:val="0001050F"/>
    <w:rsid w:val="00014AAC"/>
    <w:rsid w:val="00015322"/>
    <w:rsid w:val="00020924"/>
    <w:rsid w:val="000225D7"/>
    <w:rsid w:val="00025100"/>
    <w:rsid w:val="00025E98"/>
    <w:rsid w:val="000261FB"/>
    <w:rsid w:val="000334E4"/>
    <w:rsid w:val="000345D7"/>
    <w:rsid w:val="000408B6"/>
    <w:rsid w:val="00041C52"/>
    <w:rsid w:val="00042815"/>
    <w:rsid w:val="000437F1"/>
    <w:rsid w:val="00043D01"/>
    <w:rsid w:val="000441AD"/>
    <w:rsid w:val="00047AE5"/>
    <w:rsid w:val="000519F1"/>
    <w:rsid w:val="00052729"/>
    <w:rsid w:val="00052D3A"/>
    <w:rsid w:val="00053F3A"/>
    <w:rsid w:val="0005626C"/>
    <w:rsid w:val="00062ADA"/>
    <w:rsid w:val="00062D34"/>
    <w:rsid w:val="00063925"/>
    <w:rsid w:val="0006445F"/>
    <w:rsid w:val="00066010"/>
    <w:rsid w:val="00066B15"/>
    <w:rsid w:val="00066BF1"/>
    <w:rsid w:val="00072103"/>
    <w:rsid w:val="00075DE7"/>
    <w:rsid w:val="00077A9B"/>
    <w:rsid w:val="000822AF"/>
    <w:rsid w:val="00085B5C"/>
    <w:rsid w:val="0008686B"/>
    <w:rsid w:val="0009144D"/>
    <w:rsid w:val="00092CC6"/>
    <w:rsid w:val="0009367B"/>
    <w:rsid w:val="000A02D0"/>
    <w:rsid w:val="000A1CC8"/>
    <w:rsid w:val="000A46F3"/>
    <w:rsid w:val="000A6EE6"/>
    <w:rsid w:val="000B0C6F"/>
    <w:rsid w:val="000B2CE3"/>
    <w:rsid w:val="000B7CE5"/>
    <w:rsid w:val="000C1BDC"/>
    <w:rsid w:val="000C3A32"/>
    <w:rsid w:val="000C4C66"/>
    <w:rsid w:val="000C557C"/>
    <w:rsid w:val="000C5CA5"/>
    <w:rsid w:val="000C7F93"/>
    <w:rsid w:val="000D0F27"/>
    <w:rsid w:val="000D2F64"/>
    <w:rsid w:val="000E0AEC"/>
    <w:rsid w:val="000E13C9"/>
    <w:rsid w:val="000E159E"/>
    <w:rsid w:val="000E7803"/>
    <w:rsid w:val="001001A4"/>
    <w:rsid w:val="00103E18"/>
    <w:rsid w:val="001054E4"/>
    <w:rsid w:val="00111367"/>
    <w:rsid w:val="00112D0A"/>
    <w:rsid w:val="00113EDB"/>
    <w:rsid w:val="00116E1A"/>
    <w:rsid w:val="00122763"/>
    <w:rsid w:val="00122C73"/>
    <w:rsid w:val="00123F47"/>
    <w:rsid w:val="001241B5"/>
    <w:rsid w:val="0013049C"/>
    <w:rsid w:val="001356F3"/>
    <w:rsid w:val="00136DF1"/>
    <w:rsid w:val="00137139"/>
    <w:rsid w:val="001433EE"/>
    <w:rsid w:val="001511CF"/>
    <w:rsid w:val="00162009"/>
    <w:rsid w:val="00166FC3"/>
    <w:rsid w:val="001712C1"/>
    <w:rsid w:val="0017266F"/>
    <w:rsid w:val="00172ECC"/>
    <w:rsid w:val="00174453"/>
    <w:rsid w:val="00174589"/>
    <w:rsid w:val="00175C51"/>
    <w:rsid w:val="00175C90"/>
    <w:rsid w:val="00176634"/>
    <w:rsid w:val="00176A27"/>
    <w:rsid w:val="00177192"/>
    <w:rsid w:val="001855FE"/>
    <w:rsid w:val="00195F7B"/>
    <w:rsid w:val="0019756D"/>
    <w:rsid w:val="001A0A2C"/>
    <w:rsid w:val="001A2A46"/>
    <w:rsid w:val="001A2CAA"/>
    <w:rsid w:val="001A5F57"/>
    <w:rsid w:val="001B11D4"/>
    <w:rsid w:val="001B1216"/>
    <w:rsid w:val="001B621C"/>
    <w:rsid w:val="001C330F"/>
    <w:rsid w:val="001C4181"/>
    <w:rsid w:val="001D148A"/>
    <w:rsid w:val="001E1C9B"/>
    <w:rsid w:val="001E2291"/>
    <w:rsid w:val="001E30AD"/>
    <w:rsid w:val="001E4B20"/>
    <w:rsid w:val="001E4D7C"/>
    <w:rsid w:val="001E5571"/>
    <w:rsid w:val="001E5925"/>
    <w:rsid w:val="001E59F9"/>
    <w:rsid w:val="001E7462"/>
    <w:rsid w:val="001F1424"/>
    <w:rsid w:val="001F268B"/>
    <w:rsid w:val="001F3804"/>
    <w:rsid w:val="001F53F0"/>
    <w:rsid w:val="001F750F"/>
    <w:rsid w:val="00204FC7"/>
    <w:rsid w:val="002067CE"/>
    <w:rsid w:val="00207FFE"/>
    <w:rsid w:val="00210725"/>
    <w:rsid w:val="00216E61"/>
    <w:rsid w:val="0021723B"/>
    <w:rsid w:val="00217CF5"/>
    <w:rsid w:val="002244EA"/>
    <w:rsid w:val="002274D0"/>
    <w:rsid w:val="00231D01"/>
    <w:rsid w:val="00232D7A"/>
    <w:rsid w:val="00234D5E"/>
    <w:rsid w:val="0023535E"/>
    <w:rsid w:val="00235642"/>
    <w:rsid w:val="00236740"/>
    <w:rsid w:val="0024027C"/>
    <w:rsid w:val="00240F37"/>
    <w:rsid w:val="0024150E"/>
    <w:rsid w:val="00242DAA"/>
    <w:rsid w:val="00243C46"/>
    <w:rsid w:val="0024696A"/>
    <w:rsid w:val="002557B1"/>
    <w:rsid w:val="00262020"/>
    <w:rsid w:val="0026409F"/>
    <w:rsid w:val="00264722"/>
    <w:rsid w:val="00264887"/>
    <w:rsid w:val="00270DA4"/>
    <w:rsid w:val="0027176F"/>
    <w:rsid w:val="00271CCD"/>
    <w:rsid w:val="00274329"/>
    <w:rsid w:val="00274F23"/>
    <w:rsid w:val="00274FCB"/>
    <w:rsid w:val="002865E9"/>
    <w:rsid w:val="0028679C"/>
    <w:rsid w:val="00287E57"/>
    <w:rsid w:val="0029121C"/>
    <w:rsid w:val="00294981"/>
    <w:rsid w:val="002968D6"/>
    <w:rsid w:val="002A407F"/>
    <w:rsid w:val="002B00A4"/>
    <w:rsid w:val="002B1801"/>
    <w:rsid w:val="002B2A61"/>
    <w:rsid w:val="002B49B4"/>
    <w:rsid w:val="002B4B0D"/>
    <w:rsid w:val="002B56C1"/>
    <w:rsid w:val="002C02D0"/>
    <w:rsid w:val="002C1244"/>
    <w:rsid w:val="002C29F6"/>
    <w:rsid w:val="002C360B"/>
    <w:rsid w:val="002C6EAD"/>
    <w:rsid w:val="002D11D6"/>
    <w:rsid w:val="002D39F5"/>
    <w:rsid w:val="002E12A1"/>
    <w:rsid w:val="002E19D6"/>
    <w:rsid w:val="002E432E"/>
    <w:rsid w:val="002E6648"/>
    <w:rsid w:val="002F11AE"/>
    <w:rsid w:val="002F1E56"/>
    <w:rsid w:val="002F1ED3"/>
    <w:rsid w:val="00302930"/>
    <w:rsid w:val="003036E7"/>
    <w:rsid w:val="00306727"/>
    <w:rsid w:val="00307013"/>
    <w:rsid w:val="0031302A"/>
    <w:rsid w:val="00315D72"/>
    <w:rsid w:val="00317621"/>
    <w:rsid w:val="00321248"/>
    <w:rsid w:val="003227FF"/>
    <w:rsid w:val="00323597"/>
    <w:rsid w:val="00323D1B"/>
    <w:rsid w:val="00324192"/>
    <w:rsid w:val="0032797B"/>
    <w:rsid w:val="0033150C"/>
    <w:rsid w:val="00335BE7"/>
    <w:rsid w:val="0034167E"/>
    <w:rsid w:val="00343407"/>
    <w:rsid w:val="0034463C"/>
    <w:rsid w:val="003474AB"/>
    <w:rsid w:val="00351430"/>
    <w:rsid w:val="00351CD6"/>
    <w:rsid w:val="0035234D"/>
    <w:rsid w:val="00352974"/>
    <w:rsid w:val="00353FE8"/>
    <w:rsid w:val="00355174"/>
    <w:rsid w:val="00362CC2"/>
    <w:rsid w:val="00362DC7"/>
    <w:rsid w:val="00363486"/>
    <w:rsid w:val="00364256"/>
    <w:rsid w:val="0036488F"/>
    <w:rsid w:val="003662D9"/>
    <w:rsid w:val="003678EA"/>
    <w:rsid w:val="00367F59"/>
    <w:rsid w:val="00370B47"/>
    <w:rsid w:val="00374C7F"/>
    <w:rsid w:val="00374EA4"/>
    <w:rsid w:val="003751B6"/>
    <w:rsid w:val="003769BB"/>
    <w:rsid w:val="00380690"/>
    <w:rsid w:val="00381EF0"/>
    <w:rsid w:val="0038366A"/>
    <w:rsid w:val="003868C9"/>
    <w:rsid w:val="00386F28"/>
    <w:rsid w:val="00387830"/>
    <w:rsid w:val="003920DF"/>
    <w:rsid w:val="00392F1A"/>
    <w:rsid w:val="0039692F"/>
    <w:rsid w:val="003A2BAE"/>
    <w:rsid w:val="003A5221"/>
    <w:rsid w:val="003A5B88"/>
    <w:rsid w:val="003A69C4"/>
    <w:rsid w:val="003A6FAB"/>
    <w:rsid w:val="003A7D5D"/>
    <w:rsid w:val="003B1305"/>
    <w:rsid w:val="003B1DDC"/>
    <w:rsid w:val="003B1EC3"/>
    <w:rsid w:val="003B3A74"/>
    <w:rsid w:val="003B4CAD"/>
    <w:rsid w:val="003C3971"/>
    <w:rsid w:val="003C4CB3"/>
    <w:rsid w:val="003C6105"/>
    <w:rsid w:val="003C766C"/>
    <w:rsid w:val="003C7AA6"/>
    <w:rsid w:val="003D0C86"/>
    <w:rsid w:val="003D3259"/>
    <w:rsid w:val="003E60FC"/>
    <w:rsid w:val="003E6CFF"/>
    <w:rsid w:val="003F0F01"/>
    <w:rsid w:val="003F4D52"/>
    <w:rsid w:val="00401AA5"/>
    <w:rsid w:val="004026E4"/>
    <w:rsid w:val="00403EC5"/>
    <w:rsid w:val="004051FA"/>
    <w:rsid w:val="004073C9"/>
    <w:rsid w:val="00410BCE"/>
    <w:rsid w:val="00412E7C"/>
    <w:rsid w:val="00415999"/>
    <w:rsid w:val="00420213"/>
    <w:rsid w:val="00420A9E"/>
    <w:rsid w:val="004225DA"/>
    <w:rsid w:val="00422E5B"/>
    <w:rsid w:val="004245B0"/>
    <w:rsid w:val="00430CBA"/>
    <w:rsid w:val="00432748"/>
    <w:rsid w:val="004328B2"/>
    <w:rsid w:val="00434497"/>
    <w:rsid w:val="00435F70"/>
    <w:rsid w:val="00435FC1"/>
    <w:rsid w:val="004363ED"/>
    <w:rsid w:val="0044449A"/>
    <w:rsid w:val="00444DF3"/>
    <w:rsid w:val="004468A4"/>
    <w:rsid w:val="00452C42"/>
    <w:rsid w:val="004532C6"/>
    <w:rsid w:val="00455362"/>
    <w:rsid w:val="00464406"/>
    <w:rsid w:val="00464BC7"/>
    <w:rsid w:val="004653CE"/>
    <w:rsid w:val="0046564D"/>
    <w:rsid w:val="0046625A"/>
    <w:rsid w:val="00470DF9"/>
    <w:rsid w:val="0047648C"/>
    <w:rsid w:val="00476FBF"/>
    <w:rsid w:val="00477B83"/>
    <w:rsid w:val="004803B1"/>
    <w:rsid w:val="00480916"/>
    <w:rsid w:val="004835B3"/>
    <w:rsid w:val="00483CF3"/>
    <w:rsid w:val="00484972"/>
    <w:rsid w:val="004A1957"/>
    <w:rsid w:val="004A2BE6"/>
    <w:rsid w:val="004A2F55"/>
    <w:rsid w:val="004A5DEC"/>
    <w:rsid w:val="004A60A4"/>
    <w:rsid w:val="004A6988"/>
    <w:rsid w:val="004B005B"/>
    <w:rsid w:val="004B02DC"/>
    <w:rsid w:val="004B0C5C"/>
    <w:rsid w:val="004B1E3C"/>
    <w:rsid w:val="004B2A73"/>
    <w:rsid w:val="004B38CE"/>
    <w:rsid w:val="004B465A"/>
    <w:rsid w:val="004B5E4A"/>
    <w:rsid w:val="004B6667"/>
    <w:rsid w:val="004B674C"/>
    <w:rsid w:val="004C51A4"/>
    <w:rsid w:val="004C533F"/>
    <w:rsid w:val="004C627D"/>
    <w:rsid w:val="004D0C0B"/>
    <w:rsid w:val="004D1AEB"/>
    <w:rsid w:val="004D49B5"/>
    <w:rsid w:val="004D519E"/>
    <w:rsid w:val="004D6C83"/>
    <w:rsid w:val="004E0471"/>
    <w:rsid w:val="004E05DA"/>
    <w:rsid w:val="004E1001"/>
    <w:rsid w:val="004E3682"/>
    <w:rsid w:val="004E46FE"/>
    <w:rsid w:val="004E7EA5"/>
    <w:rsid w:val="004F12EB"/>
    <w:rsid w:val="004F700A"/>
    <w:rsid w:val="00504183"/>
    <w:rsid w:val="00506E8C"/>
    <w:rsid w:val="00510C49"/>
    <w:rsid w:val="005110DA"/>
    <w:rsid w:val="005112DF"/>
    <w:rsid w:val="005122C0"/>
    <w:rsid w:val="00513423"/>
    <w:rsid w:val="00513DDB"/>
    <w:rsid w:val="00514052"/>
    <w:rsid w:val="00522E0C"/>
    <w:rsid w:val="0052432D"/>
    <w:rsid w:val="005254A9"/>
    <w:rsid w:val="005256E5"/>
    <w:rsid w:val="00531F71"/>
    <w:rsid w:val="0053346D"/>
    <w:rsid w:val="005360A0"/>
    <w:rsid w:val="00536F3D"/>
    <w:rsid w:val="00542FB3"/>
    <w:rsid w:val="00543A87"/>
    <w:rsid w:val="005462C2"/>
    <w:rsid w:val="00552F1F"/>
    <w:rsid w:val="005542FF"/>
    <w:rsid w:val="00555604"/>
    <w:rsid w:val="0055667A"/>
    <w:rsid w:val="005574CC"/>
    <w:rsid w:val="00560E7C"/>
    <w:rsid w:val="00562605"/>
    <w:rsid w:val="00562836"/>
    <w:rsid w:val="00563593"/>
    <w:rsid w:val="00564AEE"/>
    <w:rsid w:val="00566EEE"/>
    <w:rsid w:val="00577D8B"/>
    <w:rsid w:val="00581D51"/>
    <w:rsid w:val="00582517"/>
    <w:rsid w:val="0058512C"/>
    <w:rsid w:val="00585BE8"/>
    <w:rsid w:val="00590D9E"/>
    <w:rsid w:val="005A2862"/>
    <w:rsid w:val="005A5F56"/>
    <w:rsid w:val="005B2414"/>
    <w:rsid w:val="005B4114"/>
    <w:rsid w:val="005C12EB"/>
    <w:rsid w:val="005C218C"/>
    <w:rsid w:val="005C2DE9"/>
    <w:rsid w:val="005C3F93"/>
    <w:rsid w:val="005C52A2"/>
    <w:rsid w:val="005C7ABD"/>
    <w:rsid w:val="005D66A0"/>
    <w:rsid w:val="005E3FCB"/>
    <w:rsid w:val="005E4ECE"/>
    <w:rsid w:val="005E4F05"/>
    <w:rsid w:val="005F1D43"/>
    <w:rsid w:val="005F5102"/>
    <w:rsid w:val="005F5BB3"/>
    <w:rsid w:val="005F7115"/>
    <w:rsid w:val="00600F58"/>
    <w:rsid w:val="006018E0"/>
    <w:rsid w:val="00602F20"/>
    <w:rsid w:val="0060433E"/>
    <w:rsid w:val="006068D9"/>
    <w:rsid w:val="00606C97"/>
    <w:rsid w:val="00612078"/>
    <w:rsid w:val="00614CA0"/>
    <w:rsid w:val="00616015"/>
    <w:rsid w:val="006210F6"/>
    <w:rsid w:val="00625EC4"/>
    <w:rsid w:val="00627436"/>
    <w:rsid w:val="006313F5"/>
    <w:rsid w:val="00636129"/>
    <w:rsid w:val="00640593"/>
    <w:rsid w:val="006456F4"/>
    <w:rsid w:val="00646D7F"/>
    <w:rsid w:val="00647780"/>
    <w:rsid w:val="0065555B"/>
    <w:rsid w:val="00657E37"/>
    <w:rsid w:val="0066363A"/>
    <w:rsid w:val="0066565A"/>
    <w:rsid w:val="006666C5"/>
    <w:rsid w:val="00670EED"/>
    <w:rsid w:val="0067378D"/>
    <w:rsid w:val="0067420A"/>
    <w:rsid w:val="00675747"/>
    <w:rsid w:val="006761DB"/>
    <w:rsid w:val="006804CE"/>
    <w:rsid w:val="00680743"/>
    <w:rsid w:val="00683B55"/>
    <w:rsid w:val="00686A0D"/>
    <w:rsid w:val="00687A0C"/>
    <w:rsid w:val="00687FF5"/>
    <w:rsid w:val="00691D83"/>
    <w:rsid w:val="006920C5"/>
    <w:rsid w:val="00692547"/>
    <w:rsid w:val="00693D1B"/>
    <w:rsid w:val="00696172"/>
    <w:rsid w:val="006A07BA"/>
    <w:rsid w:val="006A0C61"/>
    <w:rsid w:val="006A2B27"/>
    <w:rsid w:val="006A6E88"/>
    <w:rsid w:val="006B2C25"/>
    <w:rsid w:val="006B5C0C"/>
    <w:rsid w:val="006B62B8"/>
    <w:rsid w:val="006B6385"/>
    <w:rsid w:val="006C0666"/>
    <w:rsid w:val="006C2141"/>
    <w:rsid w:val="006C2EEF"/>
    <w:rsid w:val="006C350E"/>
    <w:rsid w:val="006C4458"/>
    <w:rsid w:val="006C5721"/>
    <w:rsid w:val="006C652A"/>
    <w:rsid w:val="006C7303"/>
    <w:rsid w:val="006D4753"/>
    <w:rsid w:val="006D68BA"/>
    <w:rsid w:val="006E6931"/>
    <w:rsid w:val="006F2A43"/>
    <w:rsid w:val="006F3C96"/>
    <w:rsid w:val="006F3E15"/>
    <w:rsid w:val="00700593"/>
    <w:rsid w:val="007032E4"/>
    <w:rsid w:val="00703B92"/>
    <w:rsid w:val="0071076C"/>
    <w:rsid w:val="00711B20"/>
    <w:rsid w:val="00713CAF"/>
    <w:rsid w:val="00726A82"/>
    <w:rsid w:val="00730544"/>
    <w:rsid w:val="00732946"/>
    <w:rsid w:val="007342A0"/>
    <w:rsid w:val="007376E2"/>
    <w:rsid w:val="00741B15"/>
    <w:rsid w:val="00746EF4"/>
    <w:rsid w:val="00747111"/>
    <w:rsid w:val="00750566"/>
    <w:rsid w:val="007521FC"/>
    <w:rsid w:val="0075246C"/>
    <w:rsid w:val="00755106"/>
    <w:rsid w:val="00756388"/>
    <w:rsid w:val="00756CF7"/>
    <w:rsid w:val="007573B8"/>
    <w:rsid w:val="00764B37"/>
    <w:rsid w:val="00764E9B"/>
    <w:rsid w:val="00765FD3"/>
    <w:rsid w:val="00766072"/>
    <w:rsid w:val="00766CC2"/>
    <w:rsid w:val="0077163D"/>
    <w:rsid w:val="0078193E"/>
    <w:rsid w:val="0078271E"/>
    <w:rsid w:val="00784D6A"/>
    <w:rsid w:val="007854EF"/>
    <w:rsid w:val="00786807"/>
    <w:rsid w:val="0078769C"/>
    <w:rsid w:val="0079058B"/>
    <w:rsid w:val="00793105"/>
    <w:rsid w:val="00794EFD"/>
    <w:rsid w:val="007960AA"/>
    <w:rsid w:val="007A2780"/>
    <w:rsid w:val="007A362D"/>
    <w:rsid w:val="007A43B5"/>
    <w:rsid w:val="007A602E"/>
    <w:rsid w:val="007B146F"/>
    <w:rsid w:val="007B228A"/>
    <w:rsid w:val="007B60FC"/>
    <w:rsid w:val="007C103E"/>
    <w:rsid w:val="007C71E7"/>
    <w:rsid w:val="007C7FDB"/>
    <w:rsid w:val="007D4885"/>
    <w:rsid w:val="007D534E"/>
    <w:rsid w:val="007E0DAE"/>
    <w:rsid w:val="007E1C02"/>
    <w:rsid w:val="007E2E74"/>
    <w:rsid w:val="007E3316"/>
    <w:rsid w:val="007E4B4A"/>
    <w:rsid w:val="007E62A4"/>
    <w:rsid w:val="007F1651"/>
    <w:rsid w:val="007F1B90"/>
    <w:rsid w:val="007F39BB"/>
    <w:rsid w:val="007F3D0C"/>
    <w:rsid w:val="007F4C95"/>
    <w:rsid w:val="007F5780"/>
    <w:rsid w:val="007F727A"/>
    <w:rsid w:val="007F7B6C"/>
    <w:rsid w:val="00800DD3"/>
    <w:rsid w:val="00801B72"/>
    <w:rsid w:val="00804242"/>
    <w:rsid w:val="00804E45"/>
    <w:rsid w:val="0081040A"/>
    <w:rsid w:val="00812598"/>
    <w:rsid w:val="00820EFA"/>
    <w:rsid w:val="00824539"/>
    <w:rsid w:val="0082516D"/>
    <w:rsid w:val="0082776B"/>
    <w:rsid w:val="00827C49"/>
    <w:rsid w:val="008305D1"/>
    <w:rsid w:val="00841BAA"/>
    <w:rsid w:val="00842558"/>
    <w:rsid w:val="00844620"/>
    <w:rsid w:val="00846B14"/>
    <w:rsid w:val="008508F8"/>
    <w:rsid w:val="00853639"/>
    <w:rsid w:val="0085688B"/>
    <w:rsid w:val="00856EA3"/>
    <w:rsid w:val="00860AE3"/>
    <w:rsid w:val="00861CF9"/>
    <w:rsid w:val="00862335"/>
    <w:rsid w:val="00864C3B"/>
    <w:rsid w:val="00872C56"/>
    <w:rsid w:val="008743D3"/>
    <w:rsid w:val="00876C95"/>
    <w:rsid w:val="00876D91"/>
    <w:rsid w:val="008775F9"/>
    <w:rsid w:val="008800AD"/>
    <w:rsid w:val="00890A39"/>
    <w:rsid w:val="0089656D"/>
    <w:rsid w:val="008A4603"/>
    <w:rsid w:val="008A500D"/>
    <w:rsid w:val="008B27BF"/>
    <w:rsid w:val="008B4898"/>
    <w:rsid w:val="008B714E"/>
    <w:rsid w:val="008C0708"/>
    <w:rsid w:val="008C1589"/>
    <w:rsid w:val="008C58F6"/>
    <w:rsid w:val="008C5BD1"/>
    <w:rsid w:val="008C6988"/>
    <w:rsid w:val="008D17BF"/>
    <w:rsid w:val="008D2168"/>
    <w:rsid w:val="008D2C30"/>
    <w:rsid w:val="008D628E"/>
    <w:rsid w:val="008D68C4"/>
    <w:rsid w:val="008D7B16"/>
    <w:rsid w:val="008E2540"/>
    <w:rsid w:val="008E46B4"/>
    <w:rsid w:val="008E7016"/>
    <w:rsid w:val="008F0F31"/>
    <w:rsid w:val="008F1345"/>
    <w:rsid w:val="00905F03"/>
    <w:rsid w:val="00912CD8"/>
    <w:rsid w:val="009137F6"/>
    <w:rsid w:val="0091401B"/>
    <w:rsid w:val="009145B9"/>
    <w:rsid w:val="00916C77"/>
    <w:rsid w:val="00917104"/>
    <w:rsid w:val="00921821"/>
    <w:rsid w:val="00922142"/>
    <w:rsid w:val="00923874"/>
    <w:rsid w:val="00926BCC"/>
    <w:rsid w:val="0092745B"/>
    <w:rsid w:val="00927953"/>
    <w:rsid w:val="00930A86"/>
    <w:rsid w:val="00931321"/>
    <w:rsid w:val="00932213"/>
    <w:rsid w:val="009332DF"/>
    <w:rsid w:val="00937ECB"/>
    <w:rsid w:val="00942F9E"/>
    <w:rsid w:val="009463A4"/>
    <w:rsid w:val="00963472"/>
    <w:rsid w:val="009677BC"/>
    <w:rsid w:val="00973716"/>
    <w:rsid w:val="00982BD5"/>
    <w:rsid w:val="0098515E"/>
    <w:rsid w:val="00985BDC"/>
    <w:rsid w:val="00986490"/>
    <w:rsid w:val="009911CB"/>
    <w:rsid w:val="00993983"/>
    <w:rsid w:val="00995DD6"/>
    <w:rsid w:val="009964CC"/>
    <w:rsid w:val="009A04D2"/>
    <w:rsid w:val="009A29B1"/>
    <w:rsid w:val="009B1CA8"/>
    <w:rsid w:val="009B1D76"/>
    <w:rsid w:val="009C4075"/>
    <w:rsid w:val="009C5E09"/>
    <w:rsid w:val="009D4FC7"/>
    <w:rsid w:val="009D7284"/>
    <w:rsid w:val="009E0F09"/>
    <w:rsid w:val="009E18B5"/>
    <w:rsid w:val="009E215B"/>
    <w:rsid w:val="009E3026"/>
    <w:rsid w:val="009E79EA"/>
    <w:rsid w:val="009F02F0"/>
    <w:rsid w:val="009F170B"/>
    <w:rsid w:val="009F3B41"/>
    <w:rsid w:val="009F4A6B"/>
    <w:rsid w:val="009F56A1"/>
    <w:rsid w:val="009F71B1"/>
    <w:rsid w:val="00A0344B"/>
    <w:rsid w:val="00A13A73"/>
    <w:rsid w:val="00A16669"/>
    <w:rsid w:val="00A17E44"/>
    <w:rsid w:val="00A216E8"/>
    <w:rsid w:val="00A25066"/>
    <w:rsid w:val="00A25887"/>
    <w:rsid w:val="00A26C97"/>
    <w:rsid w:val="00A31A9C"/>
    <w:rsid w:val="00A34656"/>
    <w:rsid w:val="00A40632"/>
    <w:rsid w:val="00A42C51"/>
    <w:rsid w:val="00A50761"/>
    <w:rsid w:val="00A52E49"/>
    <w:rsid w:val="00A52FDF"/>
    <w:rsid w:val="00A53832"/>
    <w:rsid w:val="00A5457B"/>
    <w:rsid w:val="00A56416"/>
    <w:rsid w:val="00A571B8"/>
    <w:rsid w:val="00A57EA4"/>
    <w:rsid w:val="00A60963"/>
    <w:rsid w:val="00A62342"/>
    <w:rsid w:val="00A63A18"/>
    <w:rsid w:val="00A64FBE"/>
    <w:rsid w:val="00A666F3"/>
    <w:rsid w:val="00A671CC"/>
    <w:rsid w:val="00A773A7"/>
    <w:rsid w:val="00A84661"/>
    <w:rsid w:val="00A87C85"/>
    <w:rsid w:val="00A90F0E"/>
    <w:rsid w:val="00A950E0"/>
    <w:rsid w:val="00A968AF"/>
    <w:rsid w:val="00A96AA9"/>
    <w:rsid w:val="00AA07FC"/>
    <w:rsid w:val="00AA1651"/>
    <w:rsid w:val="00AA360D"/>
    <w:rsid w:val="00AA5121"/>
    <w:rsid w:val="00AA66BD"/>
    <w:rsid w:val="00AB24AF"/>
    <w:rsid w:val="00AB2BC3"/>
    <w:rsid w:val="00AB7534"/>
    <w:rsid w:val="00AB75C5"/>
    <w:rsid w:val="00AC06B4"/>
    <w:rsid w:val="00AC0781"/>
    <w:rsid w:val="00AC11D7"/>
    <w:rsid w:val="00AC41D7"/>
    <w:rsid w:val="00AC4B58"/>
    <w:rsid w:val="00AC65EF"/>
    <w:rsid w:val="00AC7E62"/>
    <w:rsid w:val="00AD00C9"/>
    <w:rsid w:val="00AD08CB"/>
    <w:rsid w:val="00AD7973"/>
    <w:rsid w:val="00AE31A5"/>
    <w:rsid w:val="00AE46C6"/>
    <w:rsid w:val="00AF1FE4"/>
    <w:rsid w:val="00AF4363"/>
    <w:rsid w:val="00AF64A9"/>
    <w:rsid w:val="00B0017F"/>
    <w:rsid w:val="00B009AB"/>
    <w:rsid w:val="00B05D56"/>
    <w:rsid w:val="00B05F90"/>
    <w:rsid w:val="00B06137"/>
    <w:rsid w:val="00B06DB4"/>
    <w:rsid w:val="00B073BC"/>
    <w:rsid w:val="00B07954"/>
    <w:rsid w:val="00B209E8"/>
    <w:rsid w:val="00B22325"/>
    <w:rsid w:val="00B23E7B"/>
    <w:rsid w:val="00B2596F"/>
    <w:rsid w:val="00B27B33"/>
    <w:rsid w:val="00B347B3"/>
    <w:rsid w:val="00B34D8A"/>
    <w:rsid w:val="00B35416"/>
    <w:rsid w:val="00B3747D"/>
    <w:rsid w:val="00B37D37"/>
    <w:rsid w:val="00B41145"/>
    <w:rsid w:val="00B420D5"/>
    <w:rsid w:val="00B52EA1"/>
    <w:rsid w:val="00B537A3"/>
    <w:rsid w:val="00B56109"/>
    <w:rsid w:val="00B61810"/>
    <w:rsid w:val="00B62590"/>
    <w:rsid w:val="00B6286B"/>
    <w:rsid w:val="00B674B9"/>
    <w:rsid w:val="00B714A1"/>
    <w:rsid w:val="00B729D7"/>
    <w:rsid w:val="00B73CDA"/>
    <w:rsid w:val="00B74886"/>
    <w:rsid w:val="00B7503A"/>
    <w:rsid w:val="00B75DF1"/>
    <w:rsid w:val="00B764B0"/>
    <w:rsid w:val="00B76747"/>
    <w:rsid w:val="00B81283"/>
    <w:rsid w:val="00B82657"/>
    <w:rsid w:val="00B82F01"/>
    <w:rsid w:val="00B8645F"/>
    <w:rsid w:val="00B93552"/>
    <w:rsid w:val="00B93D2F"/>
    <w:rsid w:val="00B9575E"/>
    <w:rsid w:val="00B959E7"/>
    <w:rsid w:val="00B96DEF"/>
    <w:rsid w:val="00BA0F0D"/>
    <w:rsid w:val="00BA5906"/>
    <w:rsid w:val="00BA70AA"/>
    <w:rsid w:val="00BA7DD1"/>
    <w:rsid w:val="00BB04C3"/>
    <w:rsid w:val="00BB3E63"/>
    <w:rsid w:val="00BC5D28"/>
    <w:rsid w:val="00BC600F"/>
    <w:rsid w:val="00BD02F2"/>
    <w:rsid w:val="00BD1756"/>
    <w:rsid w:val="00BD774A"/>
    <w:rsid w:val="00BE4482"/>
    <w:rsid w:val="00BE4FD1"/>
    <w:rsid w:val="00BF387E"/>
    <w:rsid w:val="00BF3EB7"/>
    <w:rsid w:val="00BF4156"/>
    <w:rsid w:val="00BF46AC"/>
    <w:rsid w:val="00BF4A76"/>
    <w:rsid w:val="00C03CE4"/>
    <w:rsid w:val="00C049B6"/>
    <w:rsid w:val="00C05C62"/>
    <w:rsid w:val="00C0636E"/>
    <w:rsid w:val="00C067A1"/>
    <w:rsid w:val="00C13BDA"/>
    <w:rsid w:val="00C14441"/>
    <w:rsid w:val="00C14EB8"/>
    <w:rsid w:val="00C15443"/>
    <w:rsid w:val="00C15EF3"/>
    <w:rsid w:val="00C21B02"/>
    <w:rsid w:val="00C21B54"/>
    <w:rsid w:val="00C225ED"/>
    <w:rsid w:val="00C22971"/>
    <w:rsid w:val="00C26EA8"/>
    <w:rsid w:val="00C360D3"/>
    <w:rsid w:val="00C422BC"/>
    <w:rsid w:val="00C42325"/>
    <w:rsid w:val="00C5369F"/>
    <w:rsid w:val="00C5481C"/>
    <w:rsid w:val="00C57E72"/>
    <w:rsid w:val="00C60FC6"/>
    <w:rsid w:val="00C61C13"/>
    <w:rsid w:val="00C62CAE"/>
    <w:rsid w:val="00C6708C"/>
    <w:rsid w:val="00C67CA6"/>
    <w:rsid w:val="00C724B8"/>
    <w:rsid w:val="00C762F6"/>
    <w:rsid w:val="00C777CA"/>
    <w:rsid w:val="00C77A2B"/>
    <w:rsid w:val="00C77AC8"/>
    <w:rsid w:val="00C77E7C"/>
    <w:rsid w:val="00C83F08"/>
    <w:rsid w:val="00C85B61"/>
    <w:rsid w:val="00C935DC"/>
    <w:rsid w:val="00C93DEA"/>
    <w:rsid w:val="00C9481E"/>
    <w:rsid w:val="00C954D9"/>
    <w:rsid w:val="00C977E2"/>
    <w:rsid w:val="00CA2999"/>
    <w:rsid w:val="00CA44F2"/>
    <w:rsid w:val="00CA4B70"/>
    <w:rsid w:val="00CA69E0"/>
    <w:rsid w:val="00CB4478"/>
    <w:rsid w:val="00CC4B81"/>
    <w:rsid w:val="00CC634D"/>
    <w:rsid w:val="00CC7C76"/>
    <w:rsid w:val="00CD267C"/>
    <w:rsid w:val="00CD4ABC"/>
    <w:rsid w:val="00CD713F"/>
    <w:rsid w:val="00CE1A19"/>
    <w:rsid w:val="00CE1A21"/>
    <w:rsid w:val="00CE2CD2"/>
    <w:rsid w:val="00CE2ED0"/>
    <w:rsid w:val="00CE43CF"/>
    <w:rsid w:val="00CE4F8B"/>
    <w:rsid w:val="00CE52D2"/>
    <w:rsid w:val="00D01FFE"/>
    <w:rsid w:val="00D02FDA"/>
    <w:rsid w:val="00D068BF"/>
    <w:rsid w:val="00D07196"/>
    <w:rsid w:val="00D10268"/>
    <w:rsid w:val="00D1265B"/>
    <w:rsid w:val="00D133AF"/>
    <w:rsid w:val="00D1745F"/>
    <w:rsid w:val="00D17CBA"/>
    <w:rsid w:val="00D21480"/>
    <w:rsid w:val="00D226DC"/>
    <w:rsid w:val="00D22C06"/>
    <w:rsid w:val="00D22C93"/>
    <w:rsid w:val="00D24DD8"/>
    <w:rsid w:val="00D31387"/>
    <w:rsid w:val="00D317AB"/>
    <w:rsid w:val="00D3197D"/>
    <w:rsid w:val="00D3209B"/>
    <w:rsid w:val="00D321DF"/>
    <w:rsid w:val="00D337AD"/>
    <w:rsid w:val="00D337F6"/>
    <w:rsid w:val="00D3746C"/>
    <w:rsid w:val="00D42408"/>
    <w:rsid w:val="00D43CCF"/>
    <w:rsid w:val="00D44F9A"/>
    <w:rsid w:val="00D455A3"/>
    <w:rsid w:val="00D46BE0"/>
    <w:rsid w:val="00D51766"/>
    <w:rsid w:val="00D51AAF"/>
    <w:rsid w:val="00D55113"/>
    <w:rsid w:val="00D600FE"/>
    <w:rsid w:val="00D607A7"/>
    <w:rsid w:val="00D70133"/>
    <w:rsid w:val="00D72DAF"/>
    <w:rsid w:val="00D733FE"/>
    <w:rsid w:val="00D74121"/>
    <w:rsid w:val="00D755DD"/>
    <w:rsid w:val="00D77622"/>
    <w:rsid w:val="00D8107C"/>
    <w:rsid w:val="00D823F8"/>
    <w:rsid w:val="00D82B62"/>
    <w:rsid w:val="00D85035"/>
    <w:rsid w:val="00D8548A"/>
    <w:rsid w:val="00D86675"/>
    <w:rsid w:val="00D932D7"/>
    <w:rsid w:val="00D94A68"/>
    <w:rsid w:val="00D958F2"/>
    <w:rsid w:val="00DA140F"/>
    <w:rsid w:val="00DA54A2"/>
    <w:rsid w:val="00DB4119"/>
    <w:rsid w:val="00DC251B"/>
    <w:rsid w:val="00DC5F4F"/>
    <w:rsid w:val="00DC7637"/>
    <w:rsid w:val="00DC7D5F"/>
    <w:rsid w:val="00DD08A3"/>
    <w:rsid w:val="00DD4B0F"/>
    <w:rsid w:val="00DE07BF"/>
    <w:rsid w:val="00DE1A40"/>
    <w:rsid w:val="00DE6B14"/>
    <w:rsid w:val="00DF59BE"/>
    <w:rsid w:val="00E006FC"/>
    <w:rsid w:val="00E04BDD"/>
    <w:rsid w:val="00E10B79"/>
    <w:rsid w:val="00E12A34"/>
    <w:rsid w:val="00E13814"/>
    <w:rsid w:val="00E16D62"/>
    <w:rsid w:val="00E16FDA"/>
    <w:rsid w:val="00E170A1"/>
    <w:rsid w:val="00E21673"/>
    <w:rsid w:val="00E22D99"/>
    <w:rsid w:val="00E238DA"/>
    <w:rsid w:val="00E240D0"/>
    <w:rsid w:val="00E25F8E"/>
    <w:rsid w:val="00E316F4"/>
    <w:rsid w:val="00E325A2"/>
    <w:rsid w:val="00E33973"/>
    <w:rsid w:val="00E36642"/>
    <w:rsid w:val="00E4193B"/>
    <w:rsid w:val="00E42C9F"/>
    <w:rsid w:val="00E42DA5"/>
    <w:rsid w:val="00E43882"/>
    <w:rsid w:val="00E44550"/>
    <w:rsid w:val="00E4740A"/>
    <w:rsid w:val="00E50B24"/>
    <w:rsid w:val="00E54234"/>
    <w:rsid w:val="00E57999"/>
    <w:rsid w:val="00E65BC2"/>
    <w:rsid w:val="00E65E27"/>
    <w:rsid w:val="00E66E97"/>
    <w:rsid w:val="00E715B7"/>
    <w:rsid w:val="00E72112"/>
    <w:rsid w:val="00E74E80"/>
    <w:rsid w:val="00E85C0C"/>
    <w:rsid w:val="00E93C70"/>
    <w:rsid w:val="00E95723"/>
    <w:rsid w:val="00E97400"/>
    <w:rsid w:val="00EA1B89"/>
    <w:rsid w:val="00EA2316"/>
    <w:rsid w:val="00EA5EDE"/>
    <w:rsid w:val="00EA7D41"/>
    <w:rsid w:val="00EB0B13"/>
    <w:rsid w:val="00EB1367"/>
    <w:rsid w:val="00EB23AD"/>
    <w:rsid w:val="00EC2675"/>
    <w:rsid w:val="00EC2EBE"/>
    <w:rsid w:val="00ED2EBD"/>
    <w:rsid w:val="00ED7F92"/>
    <w:rsid w:val="00EE0C4F"/>
    <w:rsid w:val="00EE7B83"/>
    <w:rsid w:val="00EF074F"/>
    <w:rsid w:val="00EF1730"/>
    <w:rsid w:val="00EF345B"/>
    <w:rsid w:val="00EF6C78"/>
    <w:rsid w:val="00F05FFA"/>
    <w:rsid w:val="00F100B7"/>
    <w:rsid w:val="00F10C74"/>
    <w:rsid w:val="00F13298"/>
    <w:rsid w:val="00F13AFB"/>
    <w:rsid w:val="00F166B3"/>
    <w:rsid w:val="00F21AD9"/>
    <w:rsid w:val="00F21EEE"/>
    <w:rsid w:val="00F249C0"/>
    <w:rsid w:val="00F252D8"/>
    <w:rsid w:val="00F25FD4"/>
    <w:rsid w:val="00F30CDF"/>
    <w:rsid w:val="00F32C35"/>
    <w:rsid w:val="00F41002"/>
    <w:rsid w:val="00F410A3"/>
    <w:rsid w:val="00F42462"/>
    <w:rsid w:val="00F45300"/>
    <w:rsid w:val="00F51E23"/>
    <w:rsid w:val="00F5749F"/>
    <w:rsid w:val="00F57B5A"/>
    <w:rsid w:val="00F62851"/>
    <w:rsid w:val="00F62D2B"/>
    <w:rsid w:val="00F65E13"/>
    <w:rsid w:val="00F66154"/>
    <w:rsid w:val="00F66307"/>
    <w:rsid w:val="00F66B0B"/>
    <w:rsid w:val="00F706AE"/>
    <w:rsid w:val="00F71219"/>
    <w:rsid w:val="00F720F9"/>
    <w:rsid w:val="00F75870"/>
    <w:rsid w:val="00F872D0"/>
    <w:rsid w:val="00F87963"/>
    <w:rsid w:val="00F879CE"/>
    <w:rsid w:val="00F907E3"/>
    <w:rsid w:val="00F91198"/>
    <w:rsid w:val="00FA4616"/>
    <w:rsid w:val="00FA58E9"/>
    <w:rsid w:val="00FA77E1"/>
    <w:rsid w:val="00FB25B5"/>
    <w:rsid w:val="00FB2CB3"/>
    <w:rsid w:val="00FB3B4E"/>
    <w:rsid w:val="00FB4753"/>
    <w:rsid w:val="00FC2D24"/>
    <w:rsid w:val="00FC3D1C"/>
    <w:rsid w:val="00FD16A4"/>
    <w:rsid w:val="00FD6080"/>
    <w:rsid w:val="00FD6F20"/>
    <w:rsid w:val="00FE3C58"/>
    <w:rsid w:val="00FE653B"/>
    <w:rsid w:val="00FF06D9"/>
    <w:rsid w:val="00FF1630"/>
    <w:rsid w:val="00FF30A9"/>
    <w:rsid w:val="00FF456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FAD1826"/>
  <w15:chartTrackingRefBased/>
  <w15:docId w15:val="{1A6845C7-3247-43D0-8E9A-F40F9238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qFormat/>
    <w:rsid w:val="004051FA"/>
    <w:pPr>
      <w:spacing w:before="100" w:beforeAutospacing="1" w:after="100" w:afterAutospacing="1"/>
      <w:jc w:val="center"/>
      <w:outlineLvl w:val="0"/>
    </w:pPr>
    <w:rPr>
      <w:rFonts w:ascii="Tahoma" w:hAnsi="Tahoma" w:cs="Tahoma"/>
      <w:b/>
      <w:bCs/>
      <w:color w:val="000066"/>
      <w:kern w:val="36"/>
    </w:rPr>
  </w:style>
  <w:style w:type="paragraph" w:styleId="Ttulo2">
    <w:name w:val="heading 2"/>
    <w:basedOn w:val="Normal"/>
    <w:link w:val="Ttulo2Car"/>
    <w:qFormat/>
    <w:rsid w:val="004051FA"/>
    <w:pPr>
      <w:spacing w:before="100" w:beforeAutospacing="1" w:after="100" w:afterAutospacing="1"/>
      <w:jc w:val="center"/>
      <w:outlineLvl w:val="1"/>
    </w:pPr>
    <w:rPr>
      <w:rFonts w:ascii="Tahoma" w:hAnsi="Tahoma" w:cs="Tahoma"/>
      <w:b/>
      <w:bCs/>
      <w:color w:val="B34700"/>
      <w:sz w:val="20"/>
      <w:szCs w:val="20"/>
    </w:rPr>
  </w:style>
  <w:style w:type="paragraph" w:styleId="Ttulo3">
    <w:name w:val="heading 3"/>
    <w:basedOn w:val="Normal"/>
    <w:next w:val="Normal"/>
    <w:link w:val="Ttulo3Car"/>
    <w:uiPriority w:val="9"/>
    <w:semiHidden/>
    <w:unhideWhenUsed/>
    <w:qFormat/>
    <w:rsid w:val="0079058B"/>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1FA"/>
    <w:rPr>
      <w:rFonts w:ascii="Tahoma" w:eastAsia="Times New Roman" w:hAnsi="Tahoma" w:cs="Tahoma"/>
      <w:b/>
      <w:bCs/>
      <w:color w:val="000066"/>
      <w:kern w:val="36"/>
      <w:sz w:val="24"/>
      <w:szCs w:val="24"/>
      <w:lang w:val="es-ES" w:eastAsia="es-ES"/>
    </w:rPr>
  </w:style>
  <w:style w:type="character" w:customStyle="1" w:styleId="Ttulo2Car">
    <w:name w:val="Título 2 Car"/>
    <w:basedOn w:val="Fuentedeprrafopredeter"/>
    <w:link w:val="Ttulo2"/>
    <w:rsid w:val="004051FA"/>
    <w:rPr>
      <w:rFonts w:ascii="Tahoma" w:eastAsia="Times New Roman" w:hAnsi="Tahoma" w:cs="Tahoma"/>
      <w:b/>
      <w:bCs/>
      <w:color w:val="B34700"/>
      <w:sz w:val="20"/>
      <w:szCs w:val="20"/>
      <w:lang w:val="es-ES" w:eastAsia="es-ES"/>
    </w:rPr>
  </w:style>
  <w:style w:type="character" w:styleId="Hipervnculo">
    <w:name w:val="Hyperlink"/>
    <w:basedOn w:val="Fuentedeprrafopredeter"/>
    <w:uiPriority w:val="99"/>
    <w:rsid w:val="004051FA"/>
  </w:style>
  <w:style w:type="paragraph" w:styleId="NormalWeb">
    <w:name w:val="Normal (Web)"/>
    <w:basedOn w:val="Normal"/>
    <w:rsid w:val="004051FA"/>
    <w:pPr>
      <w:spacing w:before="100" w:beforeAutospacing="1" w:after="100" w:afterAutospacing="1"/>
    </w:pPr>
    <w:rPr>
      <w:color w:val="000000"/>
      <w:sz w:val="20"/>
      <w:szCs w:val="20"/>
    </w:rPr>
  </w:style>
  <w:style w:type="paragraph" w:styleId="Prrafodelista">
    <w:name w:val="List Paragraph"/>
    <w:aliases w:val="Informe,Con viñetas,Normal con viñetas,3,Use Case List Paragraph,Bullet 1,titulo 3,figuras y gráficos,Viñetas,Bulletr List Paragraph"/>
    <w:basedOn w:val="Normal"/>
    <w:link w:val="PrrafodelistaCar"/>
    <w:uiPriority w:val="34"/>
    <w:qFormat/>
    <w:rsid w:val="004051FA"/>
    <w:pPr>
      <w:ind w:left="720"/>
      <w:contextualSpacing/>
    </w:pPr>
  </w:style>
  <w:style w:type="table" w:styleId="Tablaconcuadrcula">
    <w:name w:val="Table Grid"/>
    <w:basedOn w:val="Tablanormal"/>
    <w:uiPriority w:val="39"/>
    <w:rsid w:val="00405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C2EEF"/>
    <w:rPr>
      <w:sz w:val="16"/>
      <w:szCs w:val="16"/>
    </w:rPr>
  </w:style>
  <w:style w:type="paragraph" w:styleId="Textocomentario">
    <w:name w:val="annotation text"/>
    <w:basedOn w:val="Normal"/>
    <w:link w:val="TextocomentarioCar"/>
    <w:uiPriority w:val="99"/>
    <w:unhideWhenUsed/>
    <w:rsid w:val="006C2EEF"/>
    <w:rPr>
      <w:sz w:val="20"/>
      <w:szCs w:val="20"/>
    </w:rPr>
  </w:style>
  <w:style w:type="character" w:customStyle="1" w:styleId="TextocomentarioCar">
    <w:name w:val="Texto comentario Car"/>
    <w:basedOn w:val="Fuentedeprrafopredeter"/>
    <w:link w:val="Textocomentario"/>
    <w:uiPriority w:val="99"/>
    <w:rsid w:val="006C2EE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C2EEF"/>
    <w:rPr>
      <w:b/>
      <w:bCs/>
    </w:rPr>
  </w:style>
  <w:style w:type="character" w:customStyle="1" w:styleId="AsuntodelcomentarioCar">
    <w:name w:val="Asunto del comentario Car"/>
    <w:basedOn w:val="TextocomentarioCar"/>
    <w:link w:val="Asuntodelcomentario"/>
    <w:uiPriority w:val="99"/>
    <w:semiHidden/>
    <w:rsid w:val="006C2EEF"/>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6C2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2EEF"/>
    <w:rPr>
      <w:rFonts w:ascii="Segoe UI" w:eastAsia="Times New Roman" w:hAnsi="Segoe UI" w:cs="Segoe UI"/>
      <w:sz w:val="18"/>
      <w:szCs w:val="18"/>
      <w:lang w:val="es-ES" w:eastAsia="es-ES"/>
    </w:rPr>
  </w:style>
  <w:style w:type="paragraph" w:customStyle="1" w:styleId="hbg1">
    <w:name w:val="hbg1"/>
    <w:basedOn w:val="Normal"/>
    <w:rsid w:val="006C2EEF"/>
    <w:pPr>
      <w:ind w:left="567" w:right="567"/>
      <w:jc w:val="both"/>
    </w:pPr>
    <w:rPr>
      <w:sz w:val="22"/>
      <w:szCs w:val="20"/>
      <w:lang w:val="es-CO" w:eastAsia="en-US"/>
    </w:rPr>
  </w:style>
  <w:style w:type="paragraph" w:styleId="Textonotapie">
    <w:name w:val="footnote text"/>
    <w:basedOn w:val="Normal"/>
    <w:link w:val="TextonotapieCar"/>
    <w:uiPriority w:val="99"/>
    <w:unhideWhenUsed/>
    <w:rsid w:val="00764E9B"/>
    <w:rPr>
      <w:sz w:val="20"/>
      <w:szCs w:val="20"/>
    </w:rPr>
  </w:style>
  <w:style w:type="character" w:customStyle="1" w:styleId="TextonotapieCar">
    <w:name w:val="Texto nota pie Car"/>
    <w:basedOn w:val="Fuentedeprrafopredeter"/>
    <w:link w:val="Textonotapie"/>
    <w:uiPriority w:val="99"/>
    <w:rsid w:val="00764E9B"/>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764E9B"/>
    <w:rPr>
      <w:vertAlign w:val="superscript"/>
    </w:rPr>
  </w:style>
  <w:style w:type="paragraph" w:styleId="Revisin">
    <w:name w:val="Revision"/>
    <w:hidden/>
    <w:uiPriority w:val="99"/>
    <w:semiHidden/>
    <w:rsid w:val="008508F8"/>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9F17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
    <w:link w:val="Prrafodelista"/>
    <w:uiPriority w:val="34"/>
    <w:locked/>
    <w:rsid w:val="00AB7534"/>
    <w:rPr>
      <w:rFonts w:ascii="Times New Roman" w:eastAsia="Times New Roman" w:hAnsi="Times New Roman" w:cs="Times New Roman"/>
      <w:sz w:val="24"/>
      <w:szCs w:val="24"/>
      <w:lang w:val="es-ES" w:eastAsia="es-ES"/>
    </w:rPr>
  </w:style>
  <w:style w:type="paragraph" w:customStyle="1" w:styleId="Texto">
    <w:name w:val="Texto"/>
    <w:basedOn w:val="Normal"/>
    <w:link w:val="TextoChar"/>
    <w:qFormat/>
    <w:rsid w:val="007E62A4"/>
    <w:pPr>
      <w:spacing w:before="120" w:after="120" w:line="360" w:lineRule="auto"/>
      <w:jc w:val="both"/>
    </w:pPr>
    <w:rPr>
      <w:rFonts w:ascii="Cambria" w:hAnsi="Cambria"/>
      <w:sz w:val="22"/>
      <w:lang w:eastAsia="en-US"/>
    </w:rPr>
  </w:style>
  <w:style w:type="character" w:customStyle="1" w:styleId="TextoChar">
    <w:name w:val="Texto Char"/>
    <w:basedOn w:val="Fuentedeprrafopredeter"/>
    <w:link w:val="Texto"/>
    <w:rsid w:val="007E62A4"/>
    <w:rPr>
      <w:rFonts w:ascii="Cambria" w:eastAsia="Times New Roman" w:hAnsi="Cambria" w:cs="Times New Roman"/>
      <w:szCs w:val="24"/>
      <w:lang w:val="es-ES"/>
    </w:rPr>
  </w:style>
  <w:style w:type="paragraph" w:styleId="Encabezado">
    <w:name w:val="header"/>
    <w:basedOn w:val="Normal"/>
    <w:link w:val="EncabezadoCar"/>
    <w:uiPriority w:val="99"/>
    <w:unhideWhenUsed/>
    <w:rsid w:val="003A69C4"/>
    <w:pPr>
      <w:tabs>
        <w:tab w:val="center" w:pos="4419"/>
        <w:tab w:val="right" w:pos="8838"/>
      </w:tabs>
    </w:pPr>
  </w:style>
  <w:style w:type="character" w:customStyle="1" w:styleId="EncabezadoCar">
    <w:name w:val="Encabezado Car"/>
    <w:basedOn w:val="Fuentedeprrafopredeter"/>
    <w:link w:val="Encabezado"/>
    <w:uiPriority w:val="99"/>
    <w:rsid w:val="003A69C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A69C4"/>
    <w:pPr>
      <w:tabs>
        <w:tab w:val="center" w:pos="4419"/>
        <w:tab w:val="right" w:pos="8838"/>
      </w:tabs>
    </w:pPr>
  </w:style>
  <w:style w:type="character" w:customStyle="1" w:styleId="PiedepginaCar">
    <w:name w:val="Pie de página Car"/>
    <w:basedOn w:val="Fuentedeprrafopredeter"/>
    <w:link w:val="Piedepgina"/>
    <w:uiPriority w:val="99"/>
    <w:rsid w:val="003A69C4"/>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rsid w:val="005C2DE9"/>
    <w:pPr>
      <w:widowControl w:val="0"/>
      <w:ind w:firstLine="360"/>
      <w:jc w:val="both"/>
    </w:pPr>
    <w:rPr>
      <w:bCs/>
      <w:lang w:val="es-CR" w:eastAsia="en-US"/>
    </w:rPr>
  </w:style>
  <w:style w:type="character" w:customStyle="1" w:styleId="Sangra2detindependienteCar">
    <w:name w:val="Sangría 2 de t. independiente Car"/>
    <w:basedOn w:val="Fuentedeprrafopredeter"/>
    <w:link w:val="Sangra2detindependiente"/>
    <w:uiPriority w:val="99"/>
    <w:rsid w:val="005C2DE9"/>
    <w:rPr>
      <w:rFonts w:ascii="Times New Roman" w:eastAsia="Times New Roman" w:hAnsi="Times New Roman" w:cs="Times New Roman"/>
      <w:bCs/>
      <w:sz w:val="24"/>
      <w:szCs w:val="24"/>
    </w:rPr>
  </w:style>
  <w:style w:type="character" w:styleId="Hipervnculovisitado">
    <w:name w:val="FollowedHyperlink"/>
    <w:basedOn w:val="Fuentedeprrafopredeter"/>
    <w:uiPriority w:val="99"/>
    <w:semiHidden/>
    <w:unhideWhenUsed/>
    <w:rsid w:val="00435F70"/>
    <w:rPr>
      <w:color w:val="954F72" w:themeColor="followedHyperlink"/>
      <w:u w:val="single"/>
    </w:rPr>
  </w:style>
  <w:style w:type="character" w:styleId="Mencinsinresolver">
    <w:name w:val="Unresolved Mention"/>
    <w:basedOn w:val="Fuentedeprrafopredeter"/>
    <w:uiPriority w:val="99"/>
    <w:semiHidden/>
    <w:unhideWhenUsed/>
    <w:rsid w:val="00DD08A3"/>
    <w:rPr>
      <w:color w:val="605E5C"/>
      <w:shd w:val="clear" w:color="auto" w:fill="E1DFDD"/>
    </w:rPr>
  </w:style>
  <w:style w:type="character" w:customStyle="1" w:styleId="Ttulo3Car">
    <w:name w:val="Título 3 Car"/>
    <w:basedOn w:val="Fuentedeprrafopredeter"/>
    <w:link w:val="Ttulo3"/>
    <w:uiPriority w:val="9"/>
    <w:semiHidden/>
    <w:rsid w:val="0079058B"/>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02398">
      <w:bodyDiv w:val="1"/>
      <w:marLeft w:val="0"/>
      <w:marRight w:val="0"/>
      <w:marTop w:val="0"/>
      <w:marBottom w:val="0"/>
      <w:divBdr>
        <w:top w:val="none" w:sz="0" w:space="0" w:color="auto"/>
        <w:left w:val="none" w:sz="0" w:space="0" w:color="auto"/>
        <w:bottom w:val="none" w:sz="0" w:space="0" w:color="auto"/>
        <w:right w:val="none" w:sz="0" w:space="0" w:color="auto"/>
      </w:divBdr>
    </w:div>
    <w:div w:id="1211184715">
      <w:bodyDiv w:val="1"/>
      <w:marLeft w:val="0"/>
      <w:marRight w:val="0"/>
      <w:marTop w:val="0"/>
      <w:marBottom w:val="0"/>
      <w:divBdr>
        <w:top w:val="none" w:sz="0" w:space="0" w:color="auto"/>
        <w:left w:val="none" w:sz="0" w:space="0" w:color="auto"/>
        <w:bottom w:val="none" w:sz="0" w:space="0" w:color="auto"/>
        <w:right w:val="none" w:sz="0" w:space="0" w:color="auto"/>
      </w:divBdr>
    </w:div>
    <w:div w:id="15016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ugese.fi.cr/seccion-marco-legal/ReglamentoMercadoSeguros/ANEXO2-RIF_NIIF17.pdf" TargetMode="Externa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Excel_Worksheet.xlsx"/><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9763960BC008489138FBBA9F93E546" ma:contentTypeVersion="0" ma:contentTypeDescription="Crear nuevo documento." ma:contentTypeScope="" ma:versionID="dafb51d342bc0df6c9fbd2c4f74fd65f">
  <xsd:schema xmlns:xsd="http://www.w3.org/2001/XMLSchema" xmlns:p="http://schemas.microsoft.com/office/2006/metadata/properties" targetNamespace="http://schemas.microsoft.com/office/2006/metadata/properties" ma:root="true" ma:fieldsID="3a2c4484fdc29ac551f27639d01fc9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Nombre Anex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2CB213-E7A7-4D9E-9502-372F96CBC389}">
  <ds:schemaRefs>
    <ds:schemaRef ds:uri="http://schemas.openxmlformats.org/officeDocument/2006/bibliography"/>
  </ds:schemaRefs>
</ds:datastoreItem>
</file>

<file path=customXml/itemProps2.xml><?xml version="1.0" encoding="utf-8"?>
<ds:datastoreItem xmlns:ds="http://schemas.openxmlformats.org/officeDocument/2006/customXml" ds:itemID="{E4EDDEFD-A035-4C93-8D37-5DA91148E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5B7DB2F-5805-4183-88E9-05738447B4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12</Pages>
  <Words>3499</Words>
  <Characters>19248</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Rojas Cordero</dc:creator>
  <cp:keywords/>
  <dc:description/>
  <cp:lastModifiedBy>MARTINEZ RODRIGUEZ XINIA</cp:lastModifiedBy>
  <cp:revision>47</cp:revision>
  <dcterms:created xsi:type="dcterms:W3CDTF">2020-03-04T21:48:00Z</dcterms:created>
  <dcterms:modified xsi:type="dcterms:W3CDTF">2023-12-11T14:17:00Z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0x010100609763960BC008489138FBBA9F93E546</vt:lpwstr>
  </property>
  <property fmtid="{D5CDD505-2E9C-101B-9397-08002B2CF9AE}" pid="3" name="MSIP_Label_b8b4be34-365a-4a68-b9fb-75c1b6874315_Enabled">
    <vt:lpwstr>true</vt:lpwstr>
  </property>
  <property fmtid="{D5CDD505-2E9C-101B-9397-08002B2CF9AE}" pid="4" name="MSIP_Label_b8b4be34-365a-4a68-b9fb-75c1b6874315_SetDate">
    <vt:lpwstr>2022-12-23T17:11:16Z</vt:lpwstr>
  </property>
  <property fmtid="{D5CDD505-2E9C-101B-9397-08002B2CF9AE}" pid="5" name="MSIP_Label_b8b4be34-365a-4a68-b9fb-75c1b6874315_Method">
    <vt:lpwstr>Standard</vt:lpwstr>
  </property>
  <property fmtid="{D5CDD505-2E9C-101B-9397-08002B2CF9AE}" pid="6" name="MSIP_Label_b8b4be34-365a-4a68-b9fb-75c1b6874315_Name">
    <vt:lpwstr>b8b4be34-365a-4a68-b9fb-75c1b6874315</vt:lpwstr>
  </property>
  <property fmtid="{D5CDD505-2E9C-101B-9397-08002B2CF9AE}" pid="7" name="MSIP_Label_b8b4be34-365a-4a68-b9fb-75c1b6874315_SiteId">
    <vt:lpwstr>618d0a45-25a6-4618-9f80-8f70a435ee52</vt:lpwstr>
  </property>
  <property fmtid="{D5CDD505-2E9C-101B-9397-08002B2CF9AE}" pid="8" name="MSIP_Label_b8b4be34-365a-4a68-b9fb-75c1b6874315_ActionId">
    <vt:lpwstr>6ae48369-cc9b-4e3c-baed-0000bf75771a</vt:lpwstr>
  </property>
  <property fmtid="{D5CDD505-2E9C-101B-9397-08002B2CF9AE}" pid="9" name="MSIP_Label_b8b4be34-365a-4a68-b9fb-75c1b6874315_ContentBits">
    <vt:lpwstr>2</vt:lpwstr>
  </property>
</Properties>
</file>