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A8E6" w14:textId="77777777" w:rsidR="001F0B02" w:rsidRPr="00AA1493" w:rsidRDefault="001F0B02" w:rsidP="001F668A">
      <w:pPr>
        <w:widowControl w:val="0"/>
        <w:jc w:val="both"/>
        <w:rPr>
          <w:color w:val="000000" w:themeColor="text1"/>
          <w:sz w:val="24"/>
          <w:szCs w:val="24"/>
          <w:highlight w:val="yellow"/>
          <w:lang w:val="es-CR"/>
        </w:rPr>
      </w:pPr>
    </w:p>
    <w:p w14:paraId="21452ECC" w14:textId="0CD0753F" w:rsidR="001F668A" w:rsidRPr="00AA1493" w:rsidRDefault="00236A97" w:rsidP="001F668A">
      <w:pPr>
        <w:widowControl w:val="0"/>
        <w:jc w:val="both"/>
        <w:rPr>
          <w:color w:val="000000" w:themeColor="text1"/>
          <w:sz w:val="24"/>
          <w:szCs w:val="24"/>
          <w:lang w:val="es-CR"/>
        </w:rPr>
      </w:pPr>
      <w:r w:rsidRPr="00AA1493">
        <w:rPr>
          <w:color w:val="000000" w:themeColor="text1"/>
          <w:sz w:val="24"/>
          <w:szCs w:val="24"/>
          <w:lang w:val="es-CR"/>
        </w:rPr>
        <w:t>2</w:t>
      </w:r>
      <w:r w:rsidR="00282747" w:rsidRPr="00AA1493">
        <w:rPr>
          <w:color w:val="000000" w:themeColor="text1"/>
          <w:sz w:val="24"/>
          <w:szCs w:val="24"/>
          <w:lang w:val="es-CR"/>
        </w:rPr>
        <w:t>9</w:t>
      </w:r>
      <w:r w:rsidR="001F668A" w:rsidRPr="00AA1493">
        <w:rPr>
          <w:color w:val="000000" w:themeColor="text1"/>
          <w:sz w:val="24"/>
          <w:szCs w:val="24"/>
          <w:lang w:val="es-CR"/>
        </w:rPr>
        <w:t xml:space="preserve"> de</w:t>
      </w:r>
      <w:r w:rsidR="006A38B1" w:rsidRPr="00AA1493">
        <w:rPr>
          <w:color w:val="000000" w:themeColor="text1"/>
          <w:sz w:val="24"/>
          <w:szCs w:val="24"/>
          <w:lang w:val="es-CR"/>
        </w:rPr>
        <w:t xml:space="preserve"> </w:t>
      </w:r>
      <w:r w:rsidRPr="00AA1493">
        <w:rPr>
          <w:color w:val="000000" w:themeColor="text1"/>
          <w:sz w:val="24"/>
          <w:szCs w:val="24"/>
          <w:lang w:val="es-CR"/>
        </w:rPr>
        <w:t xml:space="preserve">octubre </w:t>
      </w:r>
      <w:r w:rsidR="001F668A" w:rsidRPr="00AA1493">
        <w:rPr>
          <w:color w:val="000000" w:themeColor="text1"/>
          <w:sz w:val="24"/>
          <w:szCs w:val="24"/>
          <w:lang w:val="es-CR"/>
        </w:rPr>
        <w:t>de 202</w:t>
      </w:r>
      <w:r w:rsidR="008A7625" w:rsidRPr="00AA1493">
        <w:rPr>
          <w:color w:val="000000" w:themeColor="text1"/>
          <w:sz w:val="24"/>
          <w:szCs w:val="24"/>
          <w:lang w:val="es-CR"/>
        </w:rPr>
        <w:t>6</w:t>
      </w:r>
    </w:p>
    <w:p w14:paraId="7621150F" w14:textId="204EE959" w:rsidR="001F668A" w:rsidRPr="00AA1493" w:rsidRDefault="001F668A" w:rsidP="001F668A">
      <w:pPr>
        <w:widowControl w:val="0"/>
        <w:jc w:val="both"/>
        <w:rPr>
          <w:color w:val="000000" w:themeColor="text1"/>
          <w:sz w:val="24"/>
          <w:szCs w:val="24"/>
          <w:lang w:val="es-CR"/>
        </w:rPr>
      </w:pPr>
      <w:r w:rsidRPr="00AA1493">
        <w:rPr>
          <w:color w:val="000000" w:themeColor="text1"/>
          <w:sz w:val="24"/>
          <w:szCs w:val="24"/>
          <w:lang w:val="es-CR"/>
        </w:rPr>
        <w:t>CNS-</w:t>
      </w:r>
      <w:r w:rsidR="00403F49" w:rsidRPr="00AA1493">
        <w:rPr>
          <w:color w:val="000000" w:themeColor="text1"/>
          <w:sz w:val="24"/>
          <w:szCs w:val="24"/>
          <w:lang w:val="es-CR"/>
        </w:rPr>
        <w:t>20</w:t>
      </w:r>
      <w:r w:rsidR="00236A97" w:rsidRPr="00AA1493">
        <w:rPr>
          <w:color w:val="000000" w:themeColor="text1"/>
          <w:sz w:val="24"/>
          <w:szCs w:val="24"/>
          <w:lang w:val="es-CR"/>
        </w:rPr>
        <w:t>60</w:t>
      </w:r>
      <w:r w:rsidR="00403F49" w:rsidRPr="00AA1493">
        <w:rPr>
          <w:color w:val="000000" w:themeColor="text1"/>
          <w:sz w:val="24"/>
          <w:szCs w:val="24"/>
          <w:lang w:val="es-CR"/>
        </w:rPr>
        <w:t>/0</w:t>
      </w:r>
      <w:r w:rsidR="00F911D2">
        <w:rPr>
          <w:color w:val="000000" w:themeColor="text1"/>
          <w:sz w:val="24"/>
          <w:szCs w:val="24"/>
          <w:lang w:val="es-CR"/>
        </w:rPr>
        <w:t>6</w:t>
      </w:r>
    </w:p>
    <w:p w14:paraId="4A342772" w14:textId="405F3A88" w:rsidR="00D83864" w:rsidRPr="00AA1493" w:rsidRDefault="00D83864" w:rsidP="001F668A">
      <w:pPr>
        <w:widowControl w:val="0"/>
        <w:jc w:val="both"/>
        <w:rPr>
          <w:color w:val="000000" w:themeColor="text1"/>
          <w:sz w:val="24"/>
          <w:szCs w:val="24"/>
          <w:lang w:val="es-CR"/>
        </w:rPr>
      </w:pPr>
      <w:r w:rsidRPr="00AA1493">
        <w:rPr>
          <w:color w:val="000000" w:themeColor="text1"/>
          <w:sz w:val="24"/>
          <w:szCs w:val="24"/>
          <w:lang w:val="es-CR"/>
        </w:rPr>
        <w:t>CNS-2061/04</w:t>
      </w:r>
    </w:p>
    <w:p w14:paraId="1BFF55D6" w14:textId="77777777" w:rsidR="00414D18" w:rsidRPr="00AA1493" w:rsidRDefault="00414D18" w:rsidP="009E3ED9">
      <w:pPr>
        <w:jc w:val="both"/>
        <w:rPr>
          <w:color w:val="000000" w:themeColor="text1"/>
          <w:sz w:val="24"/>
          <w:szCs w:val="24"/>
          <w:lang w:val="es-CR"/>
        </w:rPr>
      </w:pPr>
    </w:p>
    <w:p w14:paraId="15EC3EB0" w14:textId="77777777" w:rsidR="00A2676E" w:rsidRDefault="00A2676E" w:rsidP="005F5F5D">
      <w:pPr>
        <w:widowControl w:val="0"/>
        <w:jc w:val="both"/>
        <w:rPr>
          <w:color w:val="000000" w:themeColor="text1"/>
          <w:sz w:val="24"/>
          <w:szCs w:val="24"/>
          <w:lang w:val="es-CR"/>
        </w:rPr>
      </w:pPr>
    </w:p>
    <w:p w14:paraId="497BC842" w14:textId="77777777" w:rsidR="00F911D2" w:rsidRPr="00AA1493" w:rsidRDefault="00F911D2" w:rsidP="005F5F5D">
      <w:pPr>
        <w:widowControl w:val="0"/>
        <w:jc w:val="both"/>
        <w:rPr>
          <w:color w:val="000000" w:themeColor="text1"/>
          <w:sz w:val="24"/>
          <w:szCs w:val="24"/>
          <w:lang w:val="es-CR"/>
        </w:rPr>
      </w:pPr>
    </w:p>
    <w:p w14:paraId="7B6BB8D0" w14:textId="77777777" w:rsidR="00535501" w:rsidRPr="00535501" w:rsidRDefault="00535501" w:rsidP="00535501">
      <w:pPr>
        <w:widowControl w:val="0"/>
        <w:jc w:val="both"/>
        <w:rPr>
          <w:sz w:val="24"/>
          <w:szCs w:val="24"/>
          <w:lang w:val="es-CR"/>
        </w:rPr>
      </w:pPr>
      <w:r w:rsidRPr="00535501">
        <w:rPr>
          <w:sz w:val="24"/>
          <w:szCs w:val="24"/>
          <w:lang w:val="es-CR"/>
        </w:rPr>
        <w:t>Señora</w:t>
      </w:r>
    </w:p>
    <w:p w14:paraId="6E9DF2E7" w14:textId="77777777" w:rsidR="00535501" w:rsidRPr="00535501" w:rsidRDefault="00535501" w:rsidP="00535501">
      <w:pPr>
        <w:widowControl w:val="0"/>
        <w:jc w:val="both"/>
        <w:rPr>
          <w:sz w:val="24"/>
          <w:szCs w:val="24"/>
          <w:lang w:val="es-CR"/>
        </w:rPr>
      </w:pPr>
      <w:r w:rsidRPr="00535501">
        <w:rPr>
          <w:sz w:val="24"/>
          <w:szCs w:val="24"/>
          <w:lang w:val="es-CR"/>
        </w:rPr>
        <w:t>Hazel Valverde Richmond, superintendente</w:t>
      </w:r>
    </w:p>
    <w:p w14:paraId="3C7C8520" w14:textId="77777777" w:rsidR="00535501" w:rsidRPr="00535501" w:rsidRDefault="00535501" w:rsidP="00535501">
      <w:pPr>
        <w:widowControl w:val="0"/>
        <w:jc w:val="both"/>
        <w:rPr>
          <w:b/>
          <w:i/>
          <w:sz w:val="24"/>
          <w:szCs w:val="24"/>
          <w:lang w:val="es-CR"/>
        </w:rPr>
      </w:pPr>
      <w:r w:rsidRPr="00535501">
        <w:rPr>
          <w:b/>
          <w:i/>
          <w:sz w:val="24"/>
          <w:szCs w:val="24"/>
          <w:lang w:val="es-CR"/>
        </w:rPr>
        <w:t>Superintendencia General de Entidades Financieras</w:t>
      </w:r>
    </w:p>
    <w:p w14:paraId="100BE42F" w14:textId="77777777" w:rsidR="00535501" w:rsidRPr="00535501" w:rsidRDefault="00535501" w:rsidP="00535501">
      <w:pPr>
        <w:widowControl w:val="0"/>
        <w:jc w:val="both"/>
        <w:rPr>
          <w:b/>
          <w:i/>
          <w:sz w:val="24"/>
          <w:szCs w:val="24"/>
          <w:lang w:val="es-CR"/>
        </w:rPr>
      </w:pPr>
    </w:p>
    <w:p w14:paraId="333DA475" w14:textId="77777777" w:rsidR="00535501" w:rsidRPr="00535501" w:rsidRDefault="00535501" w:rsidP="00535501">
      <w:pPr>
        <w:widowControl w:val="0"/>
        <w:jc w:val="both"/>
        <w:rPr>
          <w:sz w:val="24"/>
          <w:szCs w:val="24"/>
          <w:lang w:val="es-CR"/>
        </w:rPr>
      </w:pPr>
      <w:r w:rsidRPr="00535501">
        <w:rPr>
          <w:sz w:val="24"/>
          <w:szCs w:val="24"/>
          <w:lang w:val="es-CR"/>
        </w:rPr>
        <w:t>Estimada señora:</w:t>
      </w:r>
    </w:p>
    <w:p w14:paraId="3F3E65B8" w14:textId="77777777" w:rsidR="004D3C25" w:rsidRPr="00AA1493" w:rsidRDefault="004D3C25" w:rsidP="000D33AC">
      <w:pPr>
        <w:widowControl w:val="0"/>
        <w:jc w:val="both"/>
        <w:rPr>
          <w:color w:val="000000" w:themeColor="text1"/>
          <w:sz w:val="24"/>
          <w:szCs w:val="24"/>
        </w:rPr>
      </w:pPr>
    </w:p>
    <w:p w14:paraId="46341609" w14:textId="4BA2C253" w:rsidR="000D33AC" w:rsidRPr="00AA1493" w:rsidRDefault="000D33AC" w:rsidP="000D33AC">
      <w:pPr>
        <w:widowControl w:val="0"/>
        <w:jc w:val="both"/>
        <w:rPr>
          <w:color w:val="000000" w:themeColor="text1"/>
          <w:sz w:val="24"/>
          <w:szCs w:val="24"/>
          <w:lang w:val="es-CR"/>
        </w:rPr>
      </w:pPr>
      <w:r w:rsidRPr="00AA1493">
        <w:rPr>
          <w:color w:val="000000" w:themeColor="text1"/>
          <w:sz w:val="24"/>
          <w:szCs w:val="24"/>
          <w:lang w:val="es-CR"/>
        </w:rPr>
        <w:t>El Consejo Nacional de Supervisión del Sistema Financiero, en</w:t>
      </w:r>
      <w:r w:rsidR="00D83864" w:rsidRPr="00AA1493">
        <w:rPr>
          <w:color w:val="000000" w:themeColor="text1"/>
          <w:sz w:val="24"/>
          <w:szCs w:val="24"/>
          <w:lang w:val="es-CR"/>
        </w:rPr>
        <w:t xml:space="preserve"> los</w:t>
      </w:r>
      <w:r w:rsidRPr="00AA1493">
        <w:rPr>
          <w:color w:val="000000" w:themeColor="text1"/>
          <w:sz w:val="24"/>
          <w:szCs w:val="24"/>
          <w:lang w:val="es-CR"/>
        </w:rPr>
        <w:t xml:space="preserve"> artículo</w:t>
      </w:r>
      <w:r w:rsidR="00D83864" w:rsidRPr="00AA1493">
        <w:rPr>
          <w:color w:val="000000" w:themeColor="text1"/>
          <w:sz w:val="24"/>
          <w:szCs w:val="24"/>
          <w:lang w:val="es-CR"/>
        </w:rPr>
        <w:t>s</w:t>
      </w:r>
      <w:r w:rsidRPr="00AA1493">
        <w:rPr>
          <w:color w:val="000000" w:themeColor="text1"/>
          <w:sz w:val="24"/>
          <w:szCs w:val="24"/>
          <w:lang w:val="es-CR"/>
        </w:rPr>
        <w:t xml:space="preserve"> </w:t>
      </w:r>
      <w:r w:rsidR="00F911D2">
        <w:rPr>
          <w:color w:val="000000" w:themeColor="text1"/>
          <w:sz w:val="24"/>
          <w:szCs w:val="24"/>
          <w:lang w:val="es-CR"/>
        </w:rPr>
        <w:t>6</w:t>
      </w:r>
      <w:r w:rsidR="00D83864" w:rsidRPr="00AA1493">
        <w:rPr>
          <w:color w:val="000000" w:themeColor="text1"/>
          <w:sz w:val="24"/>
          <w:szCs w:val="24"/>
          <w:lang w:val="es-CR"/>
        </w:rPr>
        <w:t xml:space="preserve"> y 4</w:t>
      </w:r>
      <w:r w:rsidRPr="00AA1493">
        <w:rPr>
          <w:color w:val="000000" w:themeColor="text1"/>
          <w:sz w:val="24"/>
          <w:szCs w:val="24"/>
          <w:lang w:val="es-CR"/>
        </w:rPr>
        <w:t xml:space="preserve"> de</w:t>
      </w:r>
      <w:r w:rsidR="00D83864" w:rsidRPr="00AA1493">
        <w:rPr>
          <w:color w:val="000000" w:themeColor="text1"/>
          <w:sz w:val="24"/>
          <w:szCs w:val="24"/>
          <w:lang w:val="es-CR"/>
        </w:rPr>
        <w:t xml:space="preserve"> </w:t>
      </w:r>
      <w:r w:rsidRPr="00AA1493">
        <w:rPr>
          <w:color w:val="000000" w:themeColor="text1"/>
          <w:sz w:val="24"/>
          <w:szCs w:val="24"/>
          <w:lang w:val="es-CR"/>
        </w:rPr>
        <w:t>l</w:t>
      </w:r>
      <w:r w:rsidR="00D83864" w:rsidRPr="00AA1493">
        <w:rPr>
          <w:color w:val="000000" w:themeColor="text1"/>
          <w:sz w:val="24"/>
          <w:szCs w:val="24"/>
          <w:lang w:val="es-CR"/>
        </w:rPr>
        <w:t>as</w:t>
      </w:r>
      <w:r w:rsidRPr="00AA1493">
        <w:rPr>
          <w:color w:val="000000" w:themeColor="text1"/>
          <w:sz w:val="24"/>
          <w:szCs w:val="24"/>
          <w:lang w:val="es-CR"/>
        </w:rPr>
        <w:t xml:space="preserve"> acta</w:t>
      </w:r>
      <w:r w:rsidR="00D83864" w:rsidRPr="00AA1493">
        <w:rPr>
          <w:color w:val="000000" w:themeColor="text1"/>
          <w:sz w:val="24"/>
          <w:szCs w:val="24"/>
          <w:lang w:val="es-CR"/>
        </w:rPr>
        <w:t>s</w:t>
      </w:r>
      <w:r w:rsidRPr="00AA1493">
        <w:rPr>
          <w:color w:val="000000" w:themeColor="text1"/>
          <w:sz w:val="24"/>
          <w:szCs w:val="24"/>
          <w:lang w:val="es-CR"/>
        </w:rPr>
        <w:t xml:space="preserve"> de la</w:t>
      </w:r>
      <w:r w:rsidR="00D83864" w:rsidRPr="00AA1493">
        <w:rPr>
          <w:color w:val="000000" w:themeColor="text1"/>
          <w:sz w:val="24"/>
          <w:szCs w:val="24"/>
          <w:lang w:val="es-CR"/>
        </w:rPr>
        <w:t>s</w:t>
      </w:r>
      <w:r w:rsidRPr="00AA1493">
        <w:rPr>
          <w:color w:val="000000" w:themeColor="text1"/>
          <w:sz w:val="24"/>
          <w:szCs w:val="24"/>
          <w:lang w:val="es-CR"/>
        </w:rPr>
        <w:t xml:space="preserve"> sesi</w:t>
      </w:r>
      <w:r w:rsidR="00D83864" w:rsidRPr="00AA1493">
        <w:rPr>
          <w:color w:val="000000" w:themeColor="text1"/>
          <w:sz w:val="24"/>
          <w:szCs w:val="24"/>
          <w:lang w:val="es-CR"/>
        </w:rPr>
        <w:t>ones</w:t>
      </w:r>
      <w:r w:rsidRPr="00AA1493">
        <w:rPr>
          <w:color w:val="000000" w:themeColor="text1"/>
          <w:sz w:val="24"/>
          <w:szCs w:val="24"/>
          <w:lang w:val="es-CR"/>
        </w:rPr>
        <w:t xml:space="preserve"> </w:t>
      </w:r>
      <w:r w:rsidR="00403F49" w:rsidRPr="00AA1493">
        <w:rPr>
          <w:color w:val="000000" w:themeColor="text1"/>
          <w:sz w:val="24"/>
          <w:szCs w:val="24"/>
          <w:lang w:val="es-CR"/>
        </w:rPr>
        <w:t>20</w:t>
      </w:r>
      <w:r w:rsidR="00236A97" w:rsidRPr="00AA1493">
        <w:rPr>
          <w:color w:val="000000" w:themeColor="text1"/>
          <w:sz w:val="24"/>
          <w:szCs w:val="24"/>
          <w:lang w:val="es-CR"/>
        </w:rPr>
        <w:t>60</w:t>
      </w:r>
      <w:r w:rsidRPr="00AA1493">
        <w:rPr>
          <w:color w:val="000000" w:themeColor="text1"/>
          <w:sz w:val="24"/>
          <w:szCs w:val="24"/>
          <w:lang w:val="es-CR"/>
        </w:rPr>
        <w:t>-202</w:t>
      </w:r>
      <w:r w:rsidR="008A7625" w:rsidRPr="00AA1493">
        <w:rPr>
          <w:color w:val="000000" w:themeColor="text1"/>
          <w:sz w:val="24"/>
          <w:szCs w:val="24"/>
          <w:lang w:val="es-CR"/>
        </w:rPr>
        <w:t>6</w:t>
      </w:r>
      <w:r w:rsidR="00D83864" w:rsidRPr="00AA1493">
        <w:rPr>
          <w:color w:val="000000" w:themeColor="text1"/>
          <w:sz w:val="24"/>
          <w:szCs w:val="24"/>
          <w:lang w:val="es-CR"/>
        </w:rPr>
        <w:t xml:space="preserve"> y 2061-2026</w:t>
      </w:r>
      <w:r w:rsidRPr="00AA1493">
        <w:rPr>
          <w:color w:val="000000" w:themeColor="text1"/>
          <w:sz w:val="24"/>
          <w:szCs w:val="24"/>
          <w:lang w:val="es-CR"/>
        </w:rPr>
        <w:t>, celebrada</w:t>
      </w:r>
      <w:r w:rsidR="00FE20EE" w:rsidRPr="00AA1493">
        <w:rPr>
          <w:color w:val="000000" w:themeColor="text1"/>
          <w:sz w:val="24"/>
          <w:szCs w:val="24"/>
          <w:lang w:val="es-CR"/>
        </w:rPr>
        <w:t>s</w:t>
      </w:r>
      <w:r w:rsidRPr="00AA1493">
        <w:rPr>
          <w:color w:val="000000" w:themeColor="text1"/>
          <w:sz w:val="24"/>
          <w:szCs w:val="24"/>
          <w:lang w:val="es-CR"/>
        </w:rPr>
        <w:t xml:space="preserve"> el </w:t>
      </w:r>
      <w:r w:rsidR="007E697B" w:rsidRPr="00AA1493">
        <w:rPr>
          <w:color w:val="000000" w:themeColor="text1"/>
          <w:sz w:val="24"/>
          <w:szCs w:val="24"/>
          <w:lang w:val="es-CR"/>
        </w:rPr>
        <w:t>26</w:t>
      </w:r>
      <w:r w:rsidRPr="00AA1493">
        <w:rPr>
          <w:color w:val="000000" w:themeColor="text1"/>
          <w:sz w:val="24"/>
          <w:szCs w:val="24"/>
          <w:lang w:val="es-CR"/>
        </w:rPr>
        <w:t xml:space="preserve"> de </w:t>
      </w:r>
      <w:r w:rsidR="007E697B" w:rsidRPr="00AA1493">
        <w:rPr>
          <w:color w:val="000000" w:themeColor="text1"/>
          <w:sz w:val="24"/>
          <w:szCs w:val="24"/>
          <w:lang w:val="es-CR"/>
        </w:rPr>
        <w:t>octubre</w:t>
      </w:r>
      <w:r w:rsidRPr="00AA1493">
        <w:rPr>
          <w:color w:val="000000" w:themeColor="text1"/>
          <w:sz w:val="24"/>
          <w:szCs w:val="24"/>
          <w:lang w:val="es-CR"/>
        </w:rPr>
        <w:t xml:space="preserve"> de 202</w:t>
      </w:r>
      <w:r w:rsidR="008A7625" w:rsidRPr="00AA1493">
        <w:rPr>
          <w:color w:val="000000" w:themeColor="text1"/>
          <w:sz w:val="24"/>
          <w:szCs w:val="24"/>
          <w:lang w:val="es-CR"/>
        </w:rPr>
        <w:t>6</w:t>
      </w:r>
      <w:r w:rsidRPr="00AA1493">
        <w:rPr>
          <w:color w:val="000000" w:themeColor="text1"/>
          <w:sz w:val="24"/>
          <w:szCs w:val="24"/>
          <w:lang w:val="es-CR"/>
        </w:rPr>
        <w:t>,</w:t>
      </w:r>
    </w:p>
    <w:p w14:paraId="2D9997B2" w14:textId="77777777" w:rsidR="000A2FDB" w:rsidRPr="00AA1493" w:rsidRDefault="000A2FDB" w:rsidP="000A2FDB">
      <w:pPr>
        <w:jc w:val="both"/>
        <w:rPr>
          <w:color w:val="000000" w:themeColor="text1"/>
          <w:sz w:val="24"/>
          <w:szCs w:val="24"/>
          <w:lang w:val="es-CR"/>
        </w:rPr>
      </w:pPr>
    </w:p>
    <w:p w14:paraId="1BFC164C" w14:textId="77777777" w:rsidR="004F3F7A" w:rsidRPr="00AA1493" w:rsidRDefault="004F3F7A" w:rsidP="004F3F7A">
      <w:pPr>
        <w:jc w:val="both"/>
        <w:rPr>
          <w:b/>
          <w:bCs/>
          <w:color w:val="000000" w:themeColor="text1"/>
          <w:sz w:val="24"/>
          <w:szCs w:val="24"/>
          <w:lang w:val="es-CR" w:eastAsia="es-CR"/>
        </w:rPr>
      </w:pPr>
      <w:r w:rsidRPr="00AA1493">
        <w:rPr>
          <w:b/>
          <w:bCs/>
          <w:color w:val="000000" w:themeColor="text1"/>
          <w:sz w:val="24"/>
          <w:szCs w:val="24"/>
          <w:lang w:val="es-CR" w:eastAsia="es-CR"/>
        </w:rPr>
        <w:t>dispuso por unanimidad y en firme:</w:t>
      </w:r>
    </w:p>
    <w:p w14:paraId="30F018D5" w14:textId="77777777" w:rsidR="004F3F7A" w:rsidRPr="00AA1493" w:rsidRDefault="004F3F7A" w:rsidP="004F3F7A">
      <w:pPr>
        <w:jc w:val="both"/>
        <w:rPr>
          <w:color w:val="000000" w:themeColor="text1"/>
          <w:lang w:val="es-CR"/>
        </w:rPr>
      </w:pPr>
    </w:p>
    <w:p w14:paraId="05F583B4" w14:textId="77777777" w:rsidR="004F3F7A" w:rsidRPr="00AA1493" w:rsidRDefault="004F3F7A" w:rsidP="004F3F7A">
      <w:pPr>
        <w:jc w:val="both"/>
        <w:rPr>
          <w:color w:val="000000" w:themeColor="text1"/>
          <w:sz w:val="24"/>
          <w:szCs w:val="24"/>
          <w:lang w:val="es-CR"/>
        </w:rPr>
      </w:pPr>
      <w:r w:rsidRPr="00AA1493">
        <w:rPr>
          <w:color w:val="000000" w:themeColor="text1"/>
          <w:sz w:val="24"/>
          <w:szCs w:val="24"/>
          <w:lang w:val="es-CR"/>
        </w:rPr>
        <w:t xml:space="preserve">remitir en consulta, en cumplimiento de lo establecido en el numeral 2), artículo 361, de la </w:t>
      </w:r>
      <w:r w:rsidRPr="00AA1493">
        <w:rPr>
          <w:i/>
          <w:iCs/>
          <w:color w:val="000000" w:themeColor="text1"/>
          <w:sz w:val="24"/>
          <w:szCs w:val="24"/>
          <w:lang w:val="es-CR"/>
        </w:rPr>
        <w:t>Ley General de la Administración Pública</w:t>
      </w:r>
      <w:r w:rsidRPr="00AA1493">
        <w:rPr>
          <w:color w:val="000000" w:themeColor="text1"/>
          <w:sz w:val="24"/>
          <w:szCs w:val="24"/>
          <w:lang w:val="es-CR"/>
        </w:rPr>
        <w:t>, Ley 6227, a las entidades supervisadas por las superintendencias dirigidas por el Conassif, la propuesta de modificación reglamentaria del Acuerdo Conassif 6-18 que se inserta de seguido, por un plazo de diez días hábiles, contado a partir del día hábil siguiente al recibo de la respectiva comunicación, a fin de que las entidades interesadas puedan adicionar sus comentarios y observaciones mediante el formulario disponible en el apartado “Formularios para remitir observaciones de normativa en consulta”, ubicado en la página oficial de la Superintendencia General de Entidades Financieras (Sugef).</w:t>
      </w:r>
    </w:p>
    <w:p w14:paraId="36CA43D4" w14:textId="77777777" w:rsidR="004F3F7A" w:rsidRPr="00AA1493" w:rsidRDefault="004F3F7A" w:rsidP="004F3F7A">
      <w:pPr>
        <w:jc w:val="both"/>
        <w:rPr>
          <w:color w:val="000000" w:themeColor="text1"/>
          <w:sz w:val="24"/>
          <w:szCs w:val="24"/>
          <w:lang w:val="es-CR"/>
        </w:rPr>
      </w:pPr>
    </w:p>
    <w:p w14:paraId="0898FD63" w14:textId="77777777" w:rsidR="004F3F7A" w:rsidRPr="00AA1493" w:rsidRDefault="004F3F7A" w:rsidP="004F3F7A">
      <w:pPr>
        <w:jc w:val="center"/>
        <w:rPr>
          <w:b/>
          <w:bCs/>
          <w:color w:val="000000" w:themeColor="text1"/>
          <w:sz w:val="22"/>
          <w:szCs w:val="22"/>
          <w:lang w:val="es-CR"/>
        </w:rPr>
      </w:pPr>
      <w:r w:rsidRPr="00AA1493">
        <w:rPr>
          <w:b/>
          <w:bCs/>
          <w:color w:val="000000" w:themeColor="text1"/>
          <w:sz w:val="22"/>
          <w:szCs w:val="22"/>
          <w:lang w:val="es-CR"/>
        </w:rPr>
        <w:t>“PROYECTO DE ACUERDO</w:t>
      </w:r>
    </w:p>
    <w:p w14:paraId="703D8731" w14:textId="77777777" w:rsidR="004F3F7A" w:rsidRPr="00040BBD" w:rsidRDefault="004F3F7A" w:rsidP="004F3F7A">
      <w:pPr>
        <w:jc w:val="center"/>
        <w:rPr>
          <w:bCs/>
          <w:color w:val="000000" w:themeColor="text1"/>
          <w:sz w:val="22"/>
          <w:szCs w:val="22"/>
          <w:lang w:val="es-CR"/>
        </w:rPr>
      </w:pPr>
    </w:p>
    <w:p w14:paraId="037866E7" w14:textId="77777777" w:rsidR="004F3F7A" w:rsidRPr="00AA1493" w:rsidRDefault="004F3F7A" w:rsidP="004F3F7A">
      <w:pPr>
        <w:jc w:val="center"/>
        <w:rPr>
          <w:b/>
          <w:bCs/>
          <w:color w:val="000000" w:themeColor="text1"/>
          <w:sz w:val="22"/>
          <w:szCs w:val="22"/>
          <w:lang w:val="es-CR"/>
        </w:rPr>
      </w:pPr>
      <w:r w:rsidRPr="00AA1493">
        <w:rPr>
          <w:b/>
          <w:bCs/>
          <w:color w:val="000000" w:themeColor="text1"/>
          <w:sz w:val="22"/>
          <w:szCs w:val="22"/>
          <w:lang w:val="es-CR"/>
        </w:rPr>
        <w:t xml:space="preserve">Modificaciones al </w:t>
      </w:r>
      <w:r w:rsidRPr="00AA1493">
        <w:rPr>
          <w:b/>
          <w:bCs/>
          <w:i/>
          <w:iCs/>
          <w:color w:val="000000" w:themeColor="text1"/>
          <w:sz w:val="22"/>
          <w:szCs w:val="22"/>
          <w:lang w:val="es-CR"/>
        </w:rPr>
        <w:t>Reglamento de Información Financiera</w:t>
      </w:r>
    </w:p>
    <w:p w14:paraId="3D106863" w14:textId="77777777" w:rsidR="004F3F7A" w:rsidRPr="00AA1493" w:rsidRDefault="004F3F7A" w:rsidP="004F3F7A">
      <w:pPr>
        <w:jc w:val="center"/>
        <w:rPr>
          <w:b/>
          <w:bCs/>
          <w:color w:val="000000" w:themeColor="text1"/>
          <w:sz w:val="22"/>
          <w:szCs w:val="22"/>
          <w:lang w:val="es-CR"/>
        </w:rPr>
      </w:pPr>
      <w:r w:rsidRPr="00AA1493">
        <w:rPr>
          <w:b/>
          <w:bCs/>
          <w:color w:val="000000" w:themeColor="text1"/>
          <w:sz w:val="22"/>
          <w:szCs w:val="22"/>
          <w:lang w:val="es-CR"/>
        </w:rPr>
        <w:t>Acuerdo Conassif 6-18</w:t>
      </w:r>
    </w:p>
    <w:p w14:paraId="398167D8" w14:textId="77777777" w:rsidR="004F3F7A" w:rsidRPr="00040BBD" w:rsidRDefault="004F3F7A" w:rsidP="004F3F7A">
      <w:pPr>
        <w:jc w:val="both"/>
        <w:rPr>
          <w:bCs/>
          <w:color w:val="000000" w:themeColor="text1"/>
          <w:sz w:val="22"/>
          <w:szCs w:val="22"/>
          <w:lang w:val="es-CR" w:eastAsia="es-CR"/>
        </w:rPr>
      </w:pPr>
    </w:p>
    <w:p w14:paraId="3479A70E" w14:textId="77777777" w:rsidR="004F3F7A" w:rsidRPr="00AA1493" w:rsidRDefault="004F3F7A" w:rsidP="004F3F7A">
      <w:pPr>
        <w:jc w:val="both"/>
        <w:rPr>
          <w:b/>
          <w:color w:val="000000" w:themeColor="text1"/>
          <w:sz w:val="22"/>
          <w:szCs w:val="22"/>
          <w:lang w:val="es-CR" w:eastAsia="es-CR"/>
        </w:rPr>
      </w:pPr>
      <w:r w:rsidRPr="00AA1493">
        <w:rPr>
          <w:b/>
          <w:bCs/>
          <w:color w:val="000000" w:themeColor="text1"/>
          <w:sz w:val="22"/>
          <w:szCs w:val="22"/>
          <w:lang w:val="es-CR"/>
        </w:rPr>
        <w:t>al considerar</w:t>
      </w:r>
      <w:r w:rsidRPr="00AA1493">
        <w:rPr>
          <w:b/>
          <w:color w:val="000000" w:themeColor="text1"/>
          <w:sz w:val="22"/>
          <w:szCs w:val="22"/>
          <w:lang w:val="es-CR" w:eastAsia="es-CR"/>
        </w:rPr>
        <w:t xml:space="preserve"> que:</w:t>
      </w:r>
    </w:p>
    <w:p w14:paraId="3A0A98E8" w14:textId="77777777" w:rsidR="004F3F7A" w:rsidRPr="00040BBD" w:rsidRDefault="004F3F7A" w:rsidP="004F3F7A">
      <w:pPr>
        <w:jc w:val="both"/>
        <w:rPr>
          <w:bCs/>
          <w:color w:val="000000" w:themeColor="text1"/>
          <w:sz w:val="22"/>
          <w:szCs w:val="22"/>
          <w:lang w:val="es-CR" w:eastAsia="es-CR"/>
        </w:rPr>
      </w:pPr>
    </w:p>
    <w:p w14:paraId="4398C76F"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t>1.</w:t>
      </w:r>
      <w:r w:rsidRPr="00AA1493">
        <w:rPr>
          <w:rFonts w:eastAsia="Calibri"/>
          <w:bCs/>
          <w:color w:val="000000" w:themeColor="text1"/>
          <w:sz w:val="22"/>
          <w:szCs w:val="22"/>
          <w:lang w:val="es-CR" w:eastAsia="es-CR"/>
        </w:rPr>
        <w:tab/>
      </w:r>
      <w:r w:rsidRPr="00AA1493">
        <w:rPr>
          <w:color w:val="000000" w:themeColor="text1"/>
          <w:sz w:val="22"/>
          <w:szCs w:val="22"/>
          <w:lang w:val="es-CR"/>
        </w:rPr>
        <w:t xml:space="preserve">El literal b) del artículo 171 de la </w:t>
      </w:r>
      <w:r w:rsidRPr="00AA1493">
        <w:rPr>
          <w:i/>
          <w:iCs/>
          <w:color w:val="000000" w:themeColor="text1"/>
          <w:sz w:val="22"/>
          <w:szCs w:val="22"/>
          <w:lang w:val="es-CR"/>
        </w:rPr>
        <w:t>Ley Reguladora del Mercado de Valores</w:t>
      </w:r>
      <w:r w:rsidRPr="00AA1493">
        <w:rPr>
          <w:color w:val="000000" w:themeColor="text1"/>
          <w:sz w:val="22"/>
          <w:szCs w:val="22"/>
          <w:lang w:val="es-CR"/>
        </w:rPr>
        <w:t xml:space="preserve">, Ley 7732, dispone que una de las funciones del Consejo Nacional de Supervisión del Sistema Financiero (Conassif) es aprobar las normas atinentes a la autorización, regulación, supervisión, fiscalización y vigilancia que, conforme a la Ley, deben ejecutar la Superintendencia General de Entidades Financieras (Sugef), la Superintendencia General de Valores (Sugeval) y la Superintendencia de Pensiones (Supen). Además, el artículo 28 de la </w:t>
      </w:r>
      <w:r w:rsidRPr="00AA1493">
        <w:rPr>
          <w:i/>
          <w:iCs/>
          <w:color w:val="000000" w:themeColor="text1"/>
          <w:sz w:val="22"/>
          <w:szCs w:val="22"/>
          <w:lang w:val="es-CR"/>
        </w:rPr>
        <w:t>Ley Reguladora del Mercado de Seguros</w:t>
      </w:r>
      <w:r w:rsidRPr="00AA1493">
        <w:rPr>
          <w:color w:val="000000" w:themeColor="text1"/>
          <w:sz w:val="22"/>
          <w:szCs w:val="22"/>
          <w:lang w:val="es-CR"/>
        </w:rPr>
        <w:t>, Ley 8653, dispone, en relación con la Superintendencia General de Seguros (Sugese), que “</w:t>
      </w:r>
      <w:r w:rsidRPr="00AA1493">
        <w:rPr>
          <w:i/>
          <w:iCs/>
          <w:color w:val="000000" w:themeColor="text1"/>
          <w:sz w:val="22"/>
          <w:szCs w:val="22"/>
          <w:lang w:val="es-CR"/>
        </w:rPr>
        <w:t>al superintendente y al intendente les serán aplicables las disposiciones establecidas, de manera genérica y de aplicación uniforme, para las demás superintendencias bajo la dirección del Consejo Nacional y sus respectivos superintendentes e intendentes”</w:t>
      </w:r>
      <w:r w:rsidRPr="00AA1493">
        <w:rPr>
          <w:color w:val="000000" w:themeColor="text1"/>
          <w:sz w:val="22"/>
          <w:szCs w:val="22"/>
          <w:lang w:val="es-CR"/>
        </w:rPr>
        <w:t>. En este sentido, el inciso ñ) del artículo 171 de la LRMV ordena al Conassif aprobar las normas contables que deben aplicar las entidades supervisadas en el registro de sus operaciones, indicando que, en caso de conflicto, estas normas prevalecerán sobre las emitidas por el Colegio de Contadores Públicos de Costa Rica.</w:t>
      </w:r>
    </w:p>
    <w:p w14:paraId="2D217BA5" w14:textId="77777777" w:rsidR="004F3F7A" w:rsidRPr="00AA1493" w:rsidRDefault="004F3F7A" w:rsidP="004F3F7A">
      <w:pPr>
        <w:ind w:left="360" w:hanging="360"/>
        <w:jc w:val="both"/>
        <w:rPr>
          <w:bCs/>
          <w:color w:val="000000" w:themeColor="text1"/>
          <w:sz w:val="22"/>
          <w:szCs w:val="22"/>
          <w:lang w:val="es-CR" w:eastAsia="es-CR"/>
        </w:rPr>
      </w:pPr>
      <w:r w:rsidRPr="00AA1493">
        <w:rPr>
          <w:rFonts w:eastAsia="Calibri"/>
          <w:bCs/>
          <w:color w:val="000000" w:themeColor="text1"/>
          <w:sz w:val="22"/>
          <w:szCs w:val="22"/>
          <w:lang w:val="es-CR" w:eastAsia="es-CR"/>
        </w:rPr>
        <w:lastRenderedPageBreak/>
        <w:t>2.</w:t>
      </w:r>
      <w:r w:rsidRPr="00AA1493">
        <w:rPr>
          <w:rFonts w:eastAsia="Calibri"/>
          <w:bCs/>
          <w:color w:val="000000" w:themeColor="text1"/>
          <w:sz w:val="22"/>
          <w:szCs w:val="22"/>
          <w:lang w:val="es-CR" w:eastAsia="es-CR"/>
        </w:rPr>
        <w:tab/>
      </w:r>
      <w:r w:rsidRPr="00AA1493">
        <w:rPr>
          <w:bCs/>
          <w:color w:val="000000" w:themeColor="text1"/>
          <w:sz w:val="22"/>
          <w:szCs w:val="22"/>
          <w:lang w:val="es-CR" w:eastAsia="es-CR"/>
        </w:rPr>
        <w:t xml:space="preserve">El Conassif, mediante artículos 6 y 5 de las actas de sus sesiones 1442-2018 y 1443-2018, ambas celebradas el 11 de setiembre de 2018, aprobó el </w:t>
      </w:r>
      <w:r w:rsidRPr="00AA1493">
        <w:rPr>
          <w:bCs/>
          <w:i/>
          <w:iCs/>
          <w:color w:val="000000" w:themeColor="text1"/>
          <w:sz w:val="22"/>
          <w:szCs w:val="22"/>
          <w:lang w:val="es-CR" w:eastAsia="es-CR"/>
        </w:rPr>
        <w:t>Reglamento de Información Financiera</w:t>
      </w:r>
      <w:r w:rsidRPr="00AA1493">
        <w:rPr>
          <w:bCs/>
          <w:color w:val="000000" w:themeColor="text1"/>
          <w:sz w:val="22"/>
          <w:szCs w:val="22"/>
          <w:lang w:val="es-CR" w:eastAsia="es-CR"/>
        </w:rPr>
        <w:t xml:space="preserve"> (RIF), Acuerdo Conassif 6-18, el cual tiene por objeto regular la aplicación de las </w:t>
      </w:r>
      <w:r w:rsidRPr="00AA1493">
        <w:rPr>
          <w:bCs/>
          <w:i/>
          <w:iCs/>
          <w:color w:val="000000" w:themeColor="text1"/>
          <w:sz w:val="22"/>
          <w:szCs w:val="22"/>
          <w:lang w:val="es-CR" w:eastAsia="es-CR"/>
        </w:rPr>
        <w:t>Normas Internacionales de Información Financiera</w:t>
      </w:r>
      <w:r w:rsidRPr="00AA1493">
        <w:rPr>
          <w:bCs/>
          <w:color w:val="000000" w:themeColor="text1"/>
          <w:sz w:val="22"/>
          <w:szCs w:val="22"/>
          <w:lang w:val="es-CR" w:eastAsia="es-CR"/>
        </w:rPr>
        <w:t xml:space="preserve"> (NIIF) y sus interpretaciones (SIC y CINIIF), emitidas por el Consejo de Normas Internacionales de Contabilidad (IASB), considerando tratamientos prudenciales o regulatorios contables, así como la definición de un tratamiento o metodología específica cuando las NIIF proponen dos o más alternativas de aplicación. Asimismo, tiene por objeto establecer el contenido, preparación, remisión, presentación y publicación de los estados financieros de las entidades individuales, grupos y conglomerados financieros supervisados por las cuatro superintendencias.</w:t>
      </w:r>
    </w:p>
    <w:p w14:paraId="78913A76" w14:textId="77777777" w:rsidR="004F3F7A" w:rsidRPr="00AA1493" w:rsidRDefault="004F3F7A" w:rsidP="004F3F7A">
      <w:pPr>
        <w:ind w:left="360" w:hanging="360"/>
        <w:jc w:val="both"/>
        <w:rPr>
          <w:rFonts w:eastAsia="Calibri"/>
          <w:bCs/>
          <w:color w:val="000000" w:themeColor="text1"/>
          <w:sz w:val="22"/>
          <w:szCs w:val="22"/>
          <w:lang w:val="es-CR" w:eastAsia="es-CR"/>
        </w:rPr>
      </w:pPr>
    </w:p>
    <w:p w14:paraId="767CB2AE" w14:textId="77777777" w:rsidR="004F3F7A" w:rsidRPr="00AA1493" w:rsidRDefault="004F3F7A" w:rsidP="004F3F7A">
      <w:pPr>
        <w:ind w:left="360" w:hanging="360"/>
        <w:jc w:val="both"/>
        <w:rPr>
          <w:bCs/>
          <w:color w:val="000000" w:themeColor="text1"/>
          <w:sz w:val="22"/>
          <w:szCs w:val="22"/>
          <w:lang w:val="es-CR" w:eastAsia="es-CR"/>
        </w:rPr>
      </w:pPr>
      <w:r w:rsidRPr="00AA1493">
        <w:rPr>
          <w:rFonts w:eastAsia="Calibri"/>
          <w:bCs/>
          <w:color w:val="000000" w:themeColor="text1"/>
          <w:sz w:val="22"/>
          <w:szCs w:val="22"/>
          <w:lang w:val="es-CR" w:eastAsia="es-CR"/>
        </w:rPr>
        <w:t>3.</w:t>
      </w:r>
      <w:r w:rsidRPr="00AA1493">
        <w:rPr>
          <w:rFonts w:eastAsia="Calibri"/>
          <w:bCs/>
          <w:color w:val="000000" w:themeColor="text1"/>
          <w:sz w:val="22"/>
          <w:szCs w:val="22"/>
          <w:lang w:val="es-CR" w:eastAsia="es-CR"/>
        </w:rPr>
        <w:tab/>
      </w:r>
      <w:r w:rsidRPr="00AA1493">
        <w:rPr>
          <w:color w:val="000000" w:themeColor="text1"/>
          <w:sz w:val="22"/>
          <w:szCs w:val="22"/>
          <w:lang w:val="es-CR" w:eastAsia="es-CR"/>
        </w:rPr>
        <w:t>Con el propósito de adoptar la NIIF 17 Contratos de Seguros en las entidades reguladas por la Sugese, el Conassif aprobó mediante el artículo 7 del acta de su sesión 1682-2021, celebrada el 23 de agosto del 2021, modificar los artículos 3, 9, 25 y 31 del RIF, cuyos cambios entrarán en vigor a partir del 1° de enero del 2028.</w:t>
      </w:r>
    </w:p>
    <w:p w14:paraId="28DFBA1E" w14:textId="77777777" w:rsidR="004F3F7A" w:rsidRPr="00AA1493" w:rsidRDefault="004F3F7A" w:rsidP="004F3F7A">
      <w:pPr>
        <w:ind w:left="360" w:hanging="360"/>
        <w:jc w:val="both"/>
        <w:rPr>
          <w:rFonts w:eastAsia="Calibri"/>
          <w:bCs/>
          <w:color w:val="000000" w:themeColor="text1"/>
          <w:sz w:val="22"/>
          <w:szCs w:val="22"/>
          <w:lang w:val="es-CR" w:eastAsia="es-CR"/>
        </w:rPr>
      </w:pPr>
    </w:p>
    <w:p w14:paraId="29F3E2F2" w14:textId="77777777" w:rsidR="004F3F7A" w:rsidRPr="00AA1493" w:rsidRDefault="004F3F7A" w:rsidP="004F3F7A">
      <w:pPr>
        <w:ind w:left="360" w:hanging="360"/>
        <w:jc w:val="both"/>
        <w:rPr>
          <w:color w:val="000000" w:themeColor="text1"/>
          <w:sz w:val="22"/>
          <w:szCs w:val="22"/>
          <w:lang w:val="es-CR" w:eastAsia="es-CR"/>
        </w:rPr>
      </w:pPr>
      <w:r w:rsidRPr="00AA1493">
        <w:rPr>
          <w:rFonts w:eastAsia="Calibri"/>
          <w:bCs/>
          <w:color w:val="000000" w:themeColor="text1"/>
          <w:sz w:val="22"/>
          <w:szCs w:val="22"/>
          <w:lang w:val="es-CR" w:eastAsia="es-CR"/>
        </w:rPr>
        <w:t>4.</w:t>
      </w:r>
      <w:r w:rsidRPr="00AA1493">
        <w:rPr>
          <w:rFonts w:eastAsia="Calibri"/>
          <w:bCs/>
          <w:color w:val="000000" w:themeColor="text1"/>
          <w:sz w:val="22"/>
          <w:szCs w:val="22"/>
          <w:lang w:val="es-CR" w:eastAsia="es-CR"/>
        </w:rPr>
        <w:tab/>
      </w:r>
      <w:r w:rsidRPr="00AA1493">
        <w:rPr>
          <w:color w:val="000000" w:themeColor="text1"/>
          <w:sz w:val="22"/>
          <w:szCs w:val="22"/>
          <w:lang w:val="es-CR" w:eastAsia="es-CR"/>
        </w:rPr>
        <w:t xml:space="preserve">En abril del 2024, el IASB emitió la NIIF 18 Presentación e Información a Revelar en los Estados Financieros, en sustitución de la NIC 1 Presentación de Estados Financieros. Esta NIIF 18, cuya entrada en vigor es el 1° de enero de 2027, establece los requerimientos para la presentación e información a revelar en los estados financieros con propósito general y asegurar que los estados financieros proporcionan información relevante que representa fielmente los activos, pasivos, patrimonio, ingresos y gastos de la entidad que informa, por consiguiente, se reestructura el formato del estado de resultados del período. </w:t>
      </w:r>
    </w:p>
    <w:p w14:paraId="0C5633C9" w14:textId="77777777" w:rsidR="004F3F7A" w:rsidRPr="00AA1493" w:rsidRDefault="004F3F7A" w:rsidP="004F3F7A">
      <w:pPr>
        <w:ind w:left="360" w:hanging="360"/>
        <w:jc w:val="both"/>
        <w:rPr>
          <w:color w:val="000000" w:themeColor="text1"/>
          <w:sz w:val="22"/>
          <w:szCs w:val="22"/>
          <w:lang w:val="es-CR" w:eastAsia="es-CR"/>
        </w:rPr>
      </w:pPr>
    </w:p>
    <w:p w14:paraId="620D5FA3" w14:textId="77777777" w:rsidR="004F3F7A" w:rsidRPr="00AA1493" w:rsidRDefault="004F3F7A" w:rsidP="004F3F7A">
      <w:pPr>
        <w:ind w:left="360"/>
        <w:jc w:val="both"/>
        <w:rPr>
          <w:rFonts w:eastAsia="Calibri"/>
          <w:color w:val="000000" w:themeColor="text1"/>
          <w:sz w:val="22"/>
          <w:szCs w:val="22"/>
          <w:lang w:val="es-CR" w:eastAsia="es-CR"/>
        </w:rPr>
      </w:pPr>
      <w:r w:rsidRPr="00AA1493">
        <w:rPr>
          <w:rFonts w:eastAsia="Calibri"/>
          <w:color w:val="000000" w:themeColor="text1"/>
          <w:sz w:val="22"/>
          <w:szCs w:val="22"/>
          <w:lang w:val="es-CR" w:eastAsia="es-CR"/>
        </w:rPr>
        <w:t>El RIF incluye, en el anexo 5, el formato de los estados financieros, el cual requiere ser actualizado para presentarlo de acuerdo con la NIIF 18.</w:t>
      </w:r>
    </w:p>
    <w:p w14:paraId="361AE434" w14:textId="77777777" w:rsidR="004F3F7A" w:rsidRPr="00AA1493" w:rsidRDefault="004F3F7A" w:rsidP="004F3F7A">
      <w:pPr>
        <w:ind w:left="360"/>
        <w:jc w:val="both"/>
        <w:rPr>
          <w:rFonts w:eastAsia="Calibri"/>
          <w:color w:val="000000" w:themeColor="text1"/>
          <w:sz w:val="22"/>
          <w:szCs w:val="22"/>
          <w:lang w:val="es-CR" w:eastAsia="es-CR"/>
        </w:rPr>
      </w:pPr>
    </w:p>
    <w:p w14:paraId="40B17FA0" w14:textId="77777777" w:rsidR="004F3F7A" w:rsidRPr="00AA1493" w:rsidRDefault="004F3F7A" w:rsidP="004F3F7A">
      <w:pPr>
        <w:ind w:left="360" w:hanging="360"/>
        <w:jc w:val="both"/>
        <w:rPr>
          <w:color w:val="000000" w:themeColor="text1"/>
          <w:sz w:val="22"/>
          <w:szCs w:val="22"/>
          <w:lang w:val="es-CR" w:eastAsia="es-CR"/>
        </w:rPr>
      </w:pPr>
      <w:r w:rsidRPr="00AA1493">
        <w:rPr>
          <w:rFonts w:eastAsia="Calibri"/>
          <w:bCs/>
          <w:color w:val="000000" w:themeColor="text1"/>
          <w:sz w:val="22"/>
          <w:szCs w:val="22"/>
          <w:lang w:val="es-CR" w:eastAsia="es-CR"/>
        </w:rPr>
        <w:t>5.</w:t>
      </w:r>
      <w:r w:rsidRPr="00AA1493">
        <w:rPr>
          <w:rFonts w:eastAsia="Calibri"/>
          <w:bCs/>
          <w:color w:val="000000" w:themeColor="text1"/>
          <w:sz w:val="22"/>
          <w:szCs w:val="22"/>
          <w:lang w:val="es-CR" w:eastAsia="es-CR"/>
        </w:rPr>
        <w:tab/>
      </w:r>
      <w:r w:rsidRPr="00AA1493">
        <w:rPr>
          <w:color w:val="000000" w:themeColor="text1"/>
          <w:sz w:val="22"/>
          <w:szCs w:val="22"/>
          <w:lang w:val="es-CR" w:eastAsia="es-CR"/>
        </w:rPr>
        <w:t xml:space="preserve">La Organización para la Cooperación y el Desarrollo Económicos (OCDE) señala en </w:t>
      </w:r>
      <w:r w:rsidRPr="00AA1493">
        <w:rPr>
          <w:bCs/>
          <w:color w:val="000000" w:themeColor="text1"/>
          <w:sz w:val="22"/>
          <w:szCs w:val="22"/>
          <w:lang w:val="es-CR" w:eastAsia="es-CR"/>
        </w:rPr>
        <w:t>los principios G20/OCDE</w:t>
      </w:r>
      <w:r w:rsidRPr="00AA1493">
        <w:rPr>
          <w:color w:val="000000" w:themeColor="text1"/>
          <w:sz w:val="22"/>
          <w:szCs w:val="22"/>
          <w:lang w:val="es-CR" w:eastAsia="es-CR"/>
        </w:rPr>
        <w:t xml:space="preserve"> que el marco de gobierno corporativo debe asegurar la revelación oportuna y precisa de toda la información material relativa a la empresa, incluidos su situación financiera, desempeño, sostenibilidad, estructura de propiedad y gobierno corporativo. Asimismo, la información debe ser elaborada y divulgada en apego a estándares internacionalmente reconocidos de contabilidad y revelación; </w:t>
      </w:r>
      <w:r w:rsidRPr="00AA1493">
        <w:rPr>
          <w:bCs/>
          <w:color w:val="000000" w:themeColor="text1"/>
          <w:sz w:val="22"/>
          <w:szCs w:val="22"/>
          <w:lang w:val="es-CR" w:eastAsia="es-CR"/>
        </w:rPr>
        <w:t xml:space="preserve">con el fin de promover la transparencia, confiabilidad y comparabilidad </w:t>
      </w:r>
      <w:r w:rsidRPr="00AA1493">
        <w:rPr>
          <w:color w:val="000000" w:themeColor="text1"/>
          <w:sz w:val="22"/>
          <w:szCs w:val="22"/>
          <w:lang w:val="es-CR" w:eastAsia="es-CR"/>
        </w:rPr>
        <w:t>de la información financiera y no financiera.</w:t>
      </w:r>
    </w:p>
    <w:p w14:paraId="7479E3B4" w14:textId="77777777" w:rsidR="004F3F7A" w:rsidRPr="00AA1493" w:rsidRDefault="004F3F7A" w:rsidP="004F3F7A">
      <w:pPr>
        <w:ind w:left="360" w:hanging="360"/>
        <w:jc w:val="both"/>
        <w:rPr>
          <w:color w:val="000000" w:themeColor="text1"/>
          <w:sz w:val="22"/>
          <w:szCs w:val="22"/>
          <w:lang w:val="es-CR" w:eastAsia="es-CR"/>
        </w:rPr>
      </w:pPr>
    </w:p>
    <w:p w14:paraId="032174A5" w14:textId="4195039D" w:rsidR="004F3F7A" w:rsidRPr="00AA1493" w:rsidRDefault="004F3F7A" w:rsidP="004F3F7A">
      <w:pPr>
        <w:ind w:left="360" w:hanging="360"/>
        <w:jc w:val="both"/>
        <w:rPr>
          <w:bCs/>
          <w:color w:val="000000" w:themeColor="text1"/>
          <w:sz w:val="22"/>
          <w:szCs w:val="22"/>
          <w:lang w:val="es-CR" w:eastAsia="es-CR"/>
        </w:rPr>
      </w:pPr>
      <w:r w:rsidRPr="00AA1493">
        <w:rPr>
          <w:rFonts w:eastAsia="Calibri"/>
          <w:bCs/>
          <w:color w:val="000000" w:themeColor="text1"/>
          <w:sz w:val="22"/>
          <w:szCs w:val="22"/>
          <w:lang w:val="es-CR" w:eastAsia="es-CR"/>
        </w:rPr>
        <w:t>6.</w:t>
      </w:r>
      <w:r w:rsidRPr="00AA1493">
        <w:rPr>
          <w:rFonts w:eastAsia="Calibri"/>
          <w:bCs/>
          <w:color w:val="000000" w:themeColor="text1"/>
          <w:sz w:val="22"/>
          <w:szCs w:val="22"/>
          <w:lang w:val="es-CR" w:eastAsia="es-CR"/>
        </w:rPr>
        <w:tab/>
      </w:r>
      <w:r w:rsidRPr="00AA1493">
        <w:rPr>
          <w:bCs/>
          <w:color w:val="000000" w:themeColor="text1"/>
          <w:sz w:val="22"/>
          <w:szCs w:val="22"/>
          <w:lang w:val="es-CR" w:eastAsia="es-CR"/>
        </w:rPr>
        <w:t>Mediante oficio del Conassif CNS-1899/07 CNS-1900/10 del 7 de noviembre de 2024, se envió a consulta externa la propuesta para la actualización de los catálogos de cuentas y los planes de cuentas incluidos en los anexos 1, 2, 3 y 4 del RIF, no obstante, concluido dicho proceso, se determinó que tales ajustes, por tratarse de elementos descriptivos y operativos, asociados a códigos numéricos y a los nombres y descripciones de las cuentas, no deberían estar a nivel de reglamento, y por consiguiente requerir la aprobación del Conassif para modificarlos, sino que deberían mantenerse en una normativa de menor jerarquía como lineamientos generales, que puedan ser emitidos y actualizados por los superintendentes dentro del marco normativo aplicable y garantizando la uniformidad, estandarización y oportunidad de la información financiera presentada por las entidades supervisadas. Esa misma consideración aplica para el anexo 5 que contiene el formato de los estados financieros.</w:t>
      </w:r>
    </w:p>
    <w:p w14:paraId="358481FC" w14:textId="1B0A9820" w:rsidR="00AA1493" w:rsidRPr="00AA1493" w:rsidRDefault="00AA1493">
      <w:pPr>
        <w:rPr>
          <w:color w:val="000000" w:themeColor="text1"/>
          <w:sz w:val="22"/>
          <w:szCs w:val="22"/>
          <w:lang w:val="es-CR" w:eastAsia="es-CR"/>
        </w:rPr>
      </w:pPr>
      <w:r w:rsidRPr="00AA1493">
        <w:rPr>
          <w:color w:val="000000" w:themeColor="text1"/>
          <w:sz w:val="22"/>
          <w:szCs w:val="22"/>
          <w:lang w:val="es-CR" w:eastAsia="es-CR"/>
        </w:rPr>
        <w:br w:type="page"/>
      </w:r>
    </w:p>
    <w:p w14:paraId="377B6230"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lastRenderedPageBreak/>
        <w:t>7.</w:t>
      </w:r>
      <w:r w:rsidRPr="00AA1493">
        <w:rPr>
          <w:rFonts w:eastAsia="Calibri"/>
          <w:bCs/>
          <w:color w:val="000000" w:themeColor="text1"/>
          <w:sz w:val="22"/>
          <w:szCs w:val="22"/>
          <w:lang w:val="es-CR" w:eastAsia="es-CR"/>
        </w:rPr>
        <w:tab/>
      </w:r>
      <w:r w:rsidRPr="00AA1493">
        <w:rPr>
          <w:color w:val="000000" w:themeColor="text1"/>
          <w:sz w:val="22"/>
          <w:szCs w:val="22"/>
          <w:lang w:val="es-CR"/>
        </w:rPr>
        <w:t xml:space="preserve">Conforme al artículo 119, párrafo cuarto, de la </w:t>
      </w:r>
      <w:hyperlink r:id="rId12" w:tgtFrame="_blank" w:history="1">
        <w:r w:rsidRPr="00AA1493">
          <w:rPr>
            <w:i/>
            <w:iCs/>
            <w:color w:val="000000" w:themeColor="text1"/>
            <w:sz w:val="22"/>
            <w:szCs w:val="22"/>
            <w:lang w:val="es-CR" w:eastAsia="es-CR"/>
          </w:rPr>
          <w:t>Ley Orgánica del Banco Central de Costa Rica</w:t>
        </w:r>
        <w:r w:rsidRPr="00AA1493">
          <w:rPr>
            <w:color w:val="000000" w:themeColor="text1"/>
            <w:sz w:val="22"/>
            <w:szCs w:val="22"/>
            <w:lang w:val="es-CR" w:eastAsia="es-CR"/>
          </w:rPr>
          <w:t>, Ley 7558</w:t>
        </w:r>
      </w:hyperlink>
      <w:r w:rsidRPr="00AA1493">
        <w:rPr>
          <w:color w:val="000000" w:themeColor="text1"/>
          <w:sz w:val="22"/>
          <w:szCs w:val="22"/>
          <w:lang w:val="es-CR"/>
        </w:rPr>
        <w:t xml:space="preserve">; el artículo 8, inciso j), de la </w:t>
      </w:r>
      <w:r w:rsidRPr="00AA1493">
        <w:rPr>
          <w:i/>
          <w:iCs/>
          <w:color w:val="000000" w:themeColor="text1"/>
          <w:sz w:val="22"/>
          <w:szCs w:val="22"/>
          <w:lang w:val="es-CR"/>
        </w:rPr>
        <w:t>Ley Reguladora del Mercado de Valores</w:t>
      </w:r>
      <w:r w:rsidRPr="00AA1493">
        <w:rPr>
          <w:color w:val="000000" w:themeColor="text1"/>
          <w:sz w:val="22"/>
          <w:szCs w:val="22"/>
          <w:lang w:val="es-CR"/>
        </w:rPr>
        <w:t xml:space="preserve">, Ley 7732; el artículo 29, inciso j), de la </w:t>
      </w:r>
      <w:r w:rsidRPr="00AA1493">
        <w:rPr>
          <w:i/>
          <w:color w:val="000000" w:themeColor="text1"/>
          <w:sz w:val="22"/>
          <w:szCs w:val="22"/>
          <w:lang w:val="es-CR"/>
        </w:rPr>
        <w:t>Ley Reguladora del Mercado de Seguros</w:t>
      </w:r>
      <w:r w:rsidRPr="00AA1493">
        <w:rPr>
          <w:color w:val="000000" w:themeColor="text1"/>
          <w:sz w:val="22"/>
          <w:szCs w:val="22"/>
          <w:lang w:val="es-CR"/>
        </w:rPr>
        <w:t xml:space="preserve">, Ley 8653; y el artículo 38, incisos f) y o), de la </w:t>
      </w:r>
      <w:r w:rsidRPr="00AA1493">
        <w:rPr>
          <w:i/>
          <w:color w:val="000000" w:themeColor="text1"/>
          <w:sz w:val="22"/>
          <w:szCs w:val="22"/>
          <w:lang w:val="es-CR"/>
        </w:rPr>
        <w:t>Ley de Protección al Trabajador</w:t>
      </w:r>
      <w:r w:rsidRPr="00AA1493">
        <w:rPr>
          <w:color w:val="000000" w:themeColor="text1"/>
          <w:sz w:val="22"/>
          <w:szCs w:val="22"/>
          <w:lang w:val="es-CR"/>
        </w:rPr>
        <w:t>, Ley 7983, las superintendencias del sistema financiero nacional son competentes para emitir lineamientos que complementen las normas regulatorias emanadas del Conassif. En ese sentido, pueden emitir acuerdos, resoluciones, circulares, disposiciones, directrices u otros instrumentos jurídicos para la aplicación de normativas emitidas por el Conassif.</w:t>
      </w:r>
    </w:p>
    <w:p w14:paraId="13729A6A" w14:textId="77777777" w:rsidR="004F3F7A" w:rsidRPr="00AA1493" w:rsidRDefault="004F3F7A" w:rsidP="004F3F7A">
      <w:pPr>
        <w:ind w:left="360" w:hanging="360"/>
        <w:jc w:val="both"/>
        <w:rPr>
          <w:color w:val="000000" w:themeColor="text1"/>
          <w:sz w:val="22"/>
          <w:szCs w:val="22"/>
          <w:lang w:val="es-CR" w:eastAsia="es-CR"/>
        </w:rPr>
      </w:pPr>
    </w:p>
    <w:p w14:paraId="2E9A9938"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t>8.</w:t>
      </w:r>
      <w:r w:rsidRPr="00AA1493">
        <w:rPr>
          <w:rFonts w:eastAsia="Calibri"/>
          <w:bCs/>
          <w:color w:val="000000" w:themeColor="text1"/>
          <w:sz w:val="22"/>
          <w:szCs w:val="22"/>
          <w:lang w:val="es-CR" w:eastAsia="es-CR"/>
        </w:rPr>
        <w:tab/>
      </w:r>
      <w:r w:rsidRPr="00AA1493">
        <w:rPr>
          <w:color w:val="000000" w:themeColor="text1"/>
          <w:sz w:val="22"/>
          <w:szCs w:val="22"/>
          <w:lang w:val="es-CR"/>
        </w:rPr>
        <w:t>Los lineamientos que emiten las superintendencias del sistema financiero nacional se refieren instrucciones operativas para la aplicación o ejecución eficiente y eficaz de la normativa emitida por el Conassif en sus respectivas áreas de competencia, en reconocimiento de las diversas formas en las que operan los distintos tipos y subtipos de sujetos supervisados. Dada la variedad del lenguaje utilizado por el legislador, pero del que se infiere claramente la intencionalidad ejecutiva de las normas, resulta oportuno y conveniente, para mayor claridad y seguridad jurídica del administrado y de las superintendencias, que el mismo reglamento indique expresamente que las superintendencias emitirán lineamientos generales de carácter técnico u operativo que consideren necesarios para la aplicación del RIF. El lenguaje unívoco de emisión de “lineamientos” permite que la propia Superintendencia utilice la forma jurídica más apropiada para su emisión, según la realidad del conjunto de administrados al que se dirige y en función de su tipo, tamaño, complejidad o perfil de riesgo, así como de las normas legales aplicables.</w:t>
      </w:r>
    </w:p>
    <w:p w14:paraId="7BF4C278" w14:textId="77777777" w:rsidR="004F3F7A" w:rsidRPr="00AA1493" w:rsidRDefault="004F3F7A" w:rsidP="004F3F7A">
      <w:pPr>
        <w:ind w:left="360" w:hanging="360"/>
        <w:jc w:val="both"/>
        <w:rPr>
          <w:color w:val="000000" w:themeColor="text1"/>
          <w:sz w:val="22"/>
          <w:szCs w:val="22"/>
          <w:lang w:val="es-CR" w:eastAsia="es-CR"/>
        </w:rPr>
      </w:pPr>
    </w:p>
    <w:p w14:paraId="77D58095"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t>9.</w:t>
      </w:r>
      <w:r w:rsidRPr="00AA1493">
        <w:rPr>
          <w:rFonts w:eastAsia="Calibri"/>
          <w:bCs/>
          <w:color w:val="000000" w:themeColor="text1"/>
          <w:sz w:val="22"/>
          <w:szCs w:val="22"/>
          <w:lang w:val="es-CR" w:eastAsia="es-CR"/>
        </w:rPr>
        <w:tab/>
      </w:r>
      <w:r w:rsidRPr="00AA1493">
        <w:rPr>
          <w:color w:val="000000" w:themeColor="text1"/>
          <w:sz w:val="22"/>
          <w:szCs w:val="22"/>
          <w:lang w:val="es-CR"/>
        </w:rPr>
        <w:t>Las NIIF están sujetas a procesos continuos de revisión, actualización y mejora por parte del IASB, lo que genera modificaciones a normas vigentes, nuevos requerimientos contables y de revelación o la emisión de nuevos estándares internacionales. En atención a esa dinámica, las actualizaciones de los planes y catálogos de cuentas, así como de los modelos de estados financieros, constituyen ajustes de naturaleza predominantemente técnico-contable que es conveniente que se gestionen mediante mecanismos oportunos, eficientes y coherentes con las necesidades de los sectores supervisados. En consecuencia, resulta útil que el RIF prevea un esquema que permita actualizar dichos instrumentos técnicos por medio de lineamientos generales, preservando la consistencia regulatoria, la calidad de la información financiera y la adecuada aplicación de las NIIF en el Sistema Financiero Nacional.</w:t>
      </w:r>
    </w:p>
    <w:p w14:paraId="54B2D23B" w14:textId="77777777" w:rsidR="004F3F7A" w:rsidRPr="00AA1493" w:rsidRDefault="004F3F7A" w:rsidP="004F3F7A">
      <w:pPr>
        <w:ind w:left="360" w:hanging="360"/>
        <w:jc w:val="both"/>
        <w:rPr>
          <w:color w:val="000000" w:themeColor="text1"/>
          <w:sz w:val="22"/>
          <w:szCs w:val="22"/>
          <w:lang w:val="es-CR" w:eastAsia="es-CR"/>
        </w:rPr>
      </w:pPr>
    </w:p>
    <w:p w14:paraId="6B38163F"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t>10.</w:t>
      </w:r>
      <w:r w:rsidRPr="00AA1493">
        <w:rPr>
          <w:rFonts w:eastAsia="Calibri"/>
          <w:bCs/>
          <w:color w:val="000000" w:themeColor="text1"/>
          <w:sz w:val="22"/>
          <w:szCs w:val="22"/>
          <w:lang w:val="es-CR" w:eastAsia="es-CR"/>
        </w:rPr>
        <w:tab/>
      </w:r>
      <w:r w:rsidRPr="00AA1493">
        <w:rPr>
          <w:color w:val="000000" w:themeColor="text1"/>
          <w:sz w:val="22"/>
          <w:szCs w:val="22"/>
          <w:lang w:val="es-CR"/>
        </w:rPr>
        <w:t>La implementación de la NIIF 17 representa un cambio estructural de alta complejidad para el sector asegurador, al introducir nuevos enfoques de medición de los contratos de seguros, requerimientos intensivos de información actuarial, mayores exigencias en la calidad y granularidad de los datos, así como transformaciones significativas en los sistemas, procesos y controles internos de las entidades; y que, si bien la NIIF 18 incorpora mejoras relevantes en la presentación y revelación de la información financiera, orientadas a fortalecer la comparabilidad, transparencia y utilidad de los estados financieros, su adopción simultánea con la NIIF 17 implicaría una sobrecarga operativa y técnica considerable, incrementando los riesgos de implementación, la probabilidad de errores materiales, inconsistencias en la información reportada y limitaciones en la capacidad de validación tanto por parte de las entidades como del supervisor.</w:t>
      </w:r>
    </w:p>
    <w:p w14:paraId="61BA4F8B" w14:textId="77777777" w:rsidR="004F3F7A" w:rsidRPr="00AA1493" w:rsidRDefault="004F3F7A" w:rsidP="004F3F7A">
      <w:pPr>
        <w:ind w:left="360" w:hanging="360"/>
        <w:jc w:val="both"/>
        <w:rPr>
          <w:color w:val="000000" w:themeColor="text1"/>
          <w:sz w:val="22"/>
          <w:szCs w:val="22"/>
          <w:lang w:val="es-CR" w:eastAsia="es-CR"/>
        </w:rPr>
      </w:pPr>
    </w:p>
    <w:p w14:paraId="438A6DA0" w14:textId="77777777" w:rsidR="004F3F7A" w:rsidRPr="00AA1493" w:rsidRDefault="004F3F7A" w:rsidP="004F3F7A">
      <w:pPr>
        <w:ind w:left="360"/>
        <w:jc w:val="both"/>
        <w:rPr>
          <w:color w:val="000000" w:themeColor="text1"/>
          <w:sz w:val="22"/>
          <w:szCs w:val="22"/>
          <w:lang w:val="es-CR"/>
        </w:rPr>
      </w:pPr>
      <w:r w:rsidRPr="00AA1493">
        <w:rPr>
          <w:color w:val="000000" w:themeColor="text1"/>
          <w:sz w:val="22"/>
          <w:szCs w:val="22"/>
          <w:lang w:val="es-CR"/>
        </w:rPr>
        <w:t xml:space="preserve">En virtud de lo anterior resulta técnica y prudencialmente conveniente establecer un enfoque de adopción escalonado, que permita a las entidades aseguradoras consolidar adecuadamente los nuevos modelos de medición, estabilizar sus procesos operativos y tecnológicos, fortalecer la gobernanza de datos y asegurar la calidad de la información financiera bajo NIIF 17, al tiempo que la superintendencia desarrolla y afina sus metodologías, herramientas y criterios de supervisión; de </w:t>
      </w:r>
      <w:r w:rsidRPr="00AA1493">
        <w:rPr>
          <w:color w:val="000000" w:themeColor="text1"/>
          <w:sz w:val="22"/>
          <w:szCs w:val="22"/>
          <w:lang w:val="es-CR"/>
        </w:rPr>
        <w:lastRenderedPageBreak/>
        <w:t>manera que la posterior incorporación de los requerimientos de la NIIF 18 se realice en un entorno más estable, con menores riesgos de implementación, mayor consistencia en la información financiera y mejores condiciones para cumplir los objetivos de transparencia, comparabilidad y disciplina de mercado.</w:t>
      </w:r>
    </w:p>
    <w:p w14:paraId="309C5CB5" w14:textId="77777777" w:rsidR="004F3F7A" w:rsidRPr="00AA1493" w:rsidRDefault="004F3F7A" w:rsidP="004F3F7A">
      <w:pPr>
        <w:ind w:left="360"/>
        <w:jc w:val="both"/>
        <w:rPr>
          <w:color w:val="000000" w:themeColor="text1"/>
          <w:sz w:val="22"/>
          <w:szCs w:val="22"/>
          <w:lang w:val="es-CR" w:eastAsia="es-CR"/>
        </w:rPr>
      </w:pPr>
    </w:p>
    <w:p w14:paraId="799D4D76" w14:textId="77777777" w:rsidR="004F3F7A" w:rsidRPr="00AA1493" w:rsidRDefault="004F3F7A" w:rsidP="004F3F7A">
      <w:pPr>
        <w:ind w:left="360" w:hanging="360"/>
        <w:jc w:val="both"/>
        <w:rPr>
          <w:color w:val="000000" w:themeColor="text1"/>
          <w:sz w:val="22"/>
          <w:szCs w:val="22"/>
          <w:lang w:val="es-CR"/>
        </w:rPr>
      </w:pPr>
      <w:r w:rsidRPr="00AA1493">
        <w:rPr>
          <w:rFonts w:eastAsia="Calibri"/>
          <w:bCs/>
          <w:color w:val="000000" w:themeColor="text1"/>
          <w:sz w:val="22"/>
          <w:szCs w:val="22"/>
          <w:lang w:val="es-CR" w:eastAsia="es-CR"/>
        </w:rPr>
        <w:t>11.</w:t>
      </w:r>
      <w:r w:rsidRPr="00AA1493">
        <w:rPr>
          <w:rFonts w:eastAsia="Calibri"/>
          <w:bCs/>
          <w:color w:val="000000" w:themeColor="text1"/>
          <w:sz w:val="22"/>
          <w:szCs w:val="22"/>
          <w:lang w:val="es-CR" w:eastAsia="es-CR"/>
        </w:rPr>
        <w:tab/>
      </w:r>
      <w:r w:rsidRPr="00AA1493">
        <w:rPr>
          <w:color w:val="000000" w:themeColor="text1"/>
          <w:sz w:val="22"/>
          <w:szCs w:val="22"/>
          <w:lang w:val="es-CR"/>
        </w:rPr>
        <w:t xml:space="preserve">La evaluación costo-beneficio de la regulación se realiza de conformidad con lo establecido en los artículos 1 y 12 de la </w:t>
      </w:r>
      <w:r w:rsidRPr="00AA1493">
        <w:rPr>
          <w:i/>
          <w:iCs/>
          <w:color w:val="000000" w:themeColor="text1"/>
          <w:sz w:val="22"/>
          <w:szCs w:val="22"/>
          <w:lang w:val="es-CR"/>
        </w:rPr>
        <w:t>Ley Protección al Ciudadano del Exceso de Requisitos y Trámites Administrativos</w:t>
      </w:r>
      <w:r w:rsidRPr="00AA1493">
        <w:rPr>
          <w:color w:val="000000" w:themeColor="text1"/>
          <w:sz w:val="22"/>
          <w:szCs w:val="22"/>
          <w:lang w:val="es-CR"/>
        </w:rPr>
        <w:t xml:space="preserve">, Ley 8220 y en los artículos 12, 12 bis, 13, 13 bis y 56 al 60 bis del </w:t>
      </w:r>
      <w:r w:rsidRPr="00AA1493">
        <w:rPr>
          <w:i/>
          <w:iCs/>
          <w:color w:val="000000" w:themeColor="text1"/>
          <w:sz w:val="22"/>
          <w:szCs w:val="22"/>
          <w:lang w:val="es-CR"/>
        </w:rPr>
        <w:t>Reglamento a la Ley de Protección al Ciudadano del Exceso de Requisitos y Trámites Administrativos</w:t>
      </w:r>
      <w:r w:rsidRPr="00AA1493">
        <w:rPr>
          <w:color w:val="000000" w:themeColor="text1"/>
          <w:sz w:val="22"/>
          <w:szCs w:val="22"/>
          <w:lang w:val="es-CR"/>
        </w:rPr>
        <w:t>, 37045-MP-MEIC. Dicha regulación indica que la Administración Pública debe realizar un análisis de impacto regulatorio mediante una evaluación costo-beneficio antes de emitir cualquier nueva regulación o reformar las existentes, cuando establezcan trámites, requisitos y procedimientos que deba cumplir el administrado ante la administración. De dicho análisis se determinó que las modificaciones regulatorias no establecen ni modifican trámites, requisitos o procedimientos que el administrado deba cumplir ante la Administración Central, por lo que el proyecto no requiere ser sometido a consulta ante el Ministerio de Economía, Industria y Comercio (MEIC).</w:t>
      </w:r>
    </w:p>
    <w:p w14:paraId="22B1B389" w14:textId="77777777" w:rsidR="004F3F7A" w:rsidRPr="00AA1493" w:rsidRDefault="004F3F7A" w:rsidP="00AA1493">
      <w:pPr>
        <w:rPr>
          <w:color w:val="000000" w:themeColor="text1"/>
          <w:sz w:val="22"/>
          <w:szCs w:val="22"/>
          <w:lang w:val="es-CR"/>
        </w:rPr>
      </w:pPr>
    </w:p>
    <w:p w14:paraId="1641586D"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dispuso:</w:t>
      </w:r>
    </w:p>
    <w:p w14:paraId="63EA1647" w14:textId="77777777" w:rsidR="004F3F7A" w:rsidRPr="00AA1493" w:rsidRDefault="004F3F7A" w:rsidP="004F3F7A">
      <w:pPr>
        <w:jc w:val="both"/>
        <w:rPr>
          <w:color w:val="000000" w:themeColor="text1"/>
          <w:sz w:val="22"/>
          <w:szCs w:val="22"/>
          <w:lang w:val="es-CR"/>
        </w:rPr>
      </w:pPr>
    </w:p>
    <w:p w14:paraId="266582FA" w14:textId="77777777" w:rsidR="004F3F7A" w:rsidRPr="00AA1493" w:rsidRDefault="004F3F7A" w:rsidP="004F3F7A">
      <w:pPr>
        <w:jc w:val="both"/>
        <w:rPr>
          <w:color w:val="000000" w:themeColor="text1"/>
          <w:sz w:val="22"/>
          <w:szCs w:val="22"/>
          <w:lang w:val="es-CR"/>
        </w:rPr>
      </w:pPr>
      <w:r w:rsidRPr="00AA1493">
        <w:rPr>
          <w:color w:val="000000" w:themeColor="text1"/>
          <w:sz w:val="22"/>
          <w:szCs w:val="22"/>
          <w:lang w:val="es-CR"/>
        </w:rPr>
        <w:t xml:space="preserve">aprobar las modificaciones del Acuerdo Conassif 6-18, </w:t>
      </w:r>
      <w:r w:rsidRPr="00AA1493">
        <w:rPr>
          <w:i/>
          <w:iCs/>
          <w:color w:val="000000" w:themeColor="text1"/>
          <w:sz w:val="22"/>
          <w:szCs w:val="22"/>
          <w:lang w:val="es-CR"/>
        </w:rPr>
        <w:t>Reglamento de Información Financiera</w:t>
      </w:r>
      <w:r w:rsidRPr="00AA1493">
        <w:rPr>
          <w:color w:val="000000" w:themeColor="text1"/>
          <w:sz w:val="22"/>
          <w:szCs w:val="22"/>
          <w:lang w:val="es-CR"/>
        </w:rPr>
        <w:t xml:space="preserve">, en los términos que se detallan a continuación: </w:t>
      </w:r>
    </w:p>
    <w:p w14:paraId="1F5E7ADA" w14:textId="3FAB83B9" w:rsidR="004F3F7A" w:rsidRPr="00AA1493" w:rsidRDefault="004F3F7A" w:rsidP="004F3F7A">
      <w:pPr>
        <w:tabs>
          <w:tab w:val="left" w:pos="747"/>
          <w:tab w:val="center" w:pos="4748"/>
        </w:tabs>
        <w:rPr>
          <w:color w:val="000000" w:themeColor="text1"/>
          <w:sz w:val="22"/>
          <w:szCs w:val="22"/>
          <w:lang w:val="es-CR"/>
        </w:rPr>
      </w:pPr>
    </w:p>
    <w:p w14:paraId="069BC25C" w14:textId="77777777" w:rsidR="004F3F7A" w:rsidRPr="00AA1493" w:rsidRDefault="004F3F7A" w:rsidP="004F3F7A">
      <w:pPr>
        <w:jc w:val="both"/>
        <w:rPr>
          <w:b/>
          <w:bCs/>
          <w:color w:val="000000" w:themeColor="text1"/>
          <w:sz w:val="22"/>
          <w:szCs w:val="22"/>
          <w:lang w:val="es-CR"/>
        </w:rPr>
      </w:pPr>
      <w:r w:rsidRPr="00AA1493">
        <w:rPr>
          <w:b/>
          <w:bCs/>
          <w:color w:val="000000" w:themeColor="text1"/>
          <w:sz w:val="22"/>
          <w:szCs w:val="22"/>
          <w:lang w:val="es-CR"/>
        </w:rPr>
        <w:t xml:space="preserve">I. Adicionar el artículo 3 bis, sobre la emisión de lineamientos generales relacionados con el </w:t>
      </w:r>
      <w:r w:rsidRPr="00AA1493">
        <w:rPr>
          <w:b/>
          <w:bCs/>
          <w:i/>
          <w:iCs/>
          <w:color w:val="000000" w:themeColor="text1"/>
          <w:sz w:val="22"/>
          <w:szCs w:val="22"/>
          <w:lang w:val="es-CR"/>
        </w:rPr>
        <w:t>Reglamento de Información Financiera</w:t>
      </w:r>
      <w:r w:rsidRPr="00AA1493">
        <w:rPr>
          <w:b/>
          <w:bCs/>
          <w:color w:val="000000" w:themeColor="text1"/>
          <w:sz w:val="22"/>
          <w:szCs w:val="22"/>
          <w:lang w:val="es-CR"/>
        </w:rPr>
        <w:t>, según se detalla a continuación:</w:t>
      </w:r>
    </w:p>
    <w:p w14:paraId="207BE9A3" w14:textId="77777777" w:rsidR="004F3F7A" w:rsidRPr="00AA1493" w:rsidRDefault="004F3F7A" w:rsidP="004F3F7A">
      <w:pPr>
        <w:jc w:val="both"/>
        <w:rPr>
          <w:color w:val="000000" w:themeColor="text1"/>
          <w:sz w:val="22"/>
          <w:szCs w:val="22"/>
          <w:lang w:val="es-CR"/>
        </w:rPr>
      </w:pPr>
    </w:p>
    <w:p w14:paraId="4CBEDE1E" w14:textId="77777777" w:rsidR="004F3F7A" w:rsidRPr="00AA1493" w:rsidRDefault="004F3F7A" w:rsidP="004F3F7A">
      <w:pPr>
        <w:rPr>
          <w:b/>
          <w:color w:val="000000" w:themeColor="text1"/>
          <w:sz w:val="22"/>
          <w:szCs w:val="22"/>
          <w:lang w:val="es-CR" w:eastAsia="es-CR"/>
        </w:rPr>
      </w:pPr>
      <w:r w:rsidRPr="00AA1493">
        <w:rPr>
          <w:b/>
          <w:color w:val="000000" w:themeColor="text1"/>
          <w:sz w:val="22"/>
          <w:szCs w:val="22"/>
          <w:lang w:val="es-CR" w:eastAsia="es-CR"/>
        </w:rPr>
        <w:t>Artículo 3 bis. Lineamientos generales.</w:t>
      </w:r>
    </w:p>
    <w:p w14:paraId="515BFED0" w14:textId="77777777" w:rsidR="004F3F7A" w:rsidRPr="00AA1493" w:rsidRDefault="004F3F7A" w:rsidP="004F3F7A">
      <w:pPr>
        <w:rPr>
          <w:bCs/>
          <w:color w:val="000000" w:themeColor="text1"/>
          <w:sz w:val="22"/>
          <w:szCs w:val="22"/>
          <w:lang w:val="es-CR" w:eastAsia="es-CR"/>
        </w:rPr>
      </w:pPr>
    </w:p>
    <w:p w14:paraId="514B4A34" w14:textId="77777777" w:rsidR="004F3F7A" w:rsidRPr="00AA1493" w:rsidRDefault="004F3F7A" w:rsidP="004F3F7A">
      <w:pPr>
        <w:jc w:val="both"/>
        <w:rPr>
          <w:bCs/>
          <w:color w:val="000000" w:themeColor="text1"/>
          <w:sz w:val="22"/>
          <w:szCs w:val="22"/>
          <w:lang w:val="es-CR" w:eastAsia="es-CR"/>
        </w:rPr>
      </w:pPr>
      <w:r w:rsidRPr="00AA1493">
        <w:rPr>
          <w:bCs/>
          <w:color w:val="000000" w:themeColor="text1"/>
          <w:sz w:val="22"/>
          <w:szCs w:val="22"/>
          <w:lang w:val="es-CR" w:eastAsia="es-CR"/>
        </w:rPr>
        <w:t>Las superintendencias emitirán lineamientos generales de carácter técnico u operativo que consideren necesarios para la aplicación de este reglamento.</w:t>
      </w:r>
    </w:p>
    <w:p w14:paraId="506A8229" w14:textId="77777777" w:rsidR="004F3F7A" w:rsidRPr="00AA1493" w:rsidRDefault="004F3F7A" w:rsidP="004F3F7A">
      <w:pPr>
        <w:jc w:val="both"/>
        <w:rPr>
          <w:bCs/>
          <w:color w:val="000000" w:themeColor="text1"/>
          <w:sz w:val="22"/>
          <w:szCs w:val="22"/>
          <w:lang w:val="es-CR" w:eastAsia="es-CR"/>
        </w:rPr>
      </w:pPr>
    </w:p>
    <w:p w14:paraId="21102D7F"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II. Modificar los artículos 16, 19, 25, 26, 29, 37, 39, 40 y 41; para que se lean de la siguiente forma:</w:t>
      </w:r>
    </w:p>
    <w:p w14:paraId="04AE295F" w14:textId="77777777" w:rsidR="004F3F7A" w:rsidRPr="00AA1493" w:rsidRDefault="004F3F7A" w:rsidP="004F3F7A">
      <w:pPr>
        <w:jc w:val="both"/>
        <w:rPr>
          <w:color w:val="000000" w:themeColor="text1"/>
          <w:sz w:val="22"/>
          <w:szCs w:val="22"/>
          <w:lang w:val="es-CR" w:eastAsia="es-CR"/>
        </w:rPr>
      </w:pPr>
    </w:p>
    <w:p w14:paraId="2875D8E3" w14:textId="77777777" w:rsidR="004F3F7A" w:rsidRPr="00AA1493" w:rsidRDefault="004F3F7A" w:rsidP="004F3F7A">
      <w:pPr>
        <w:jc w:val="both"/>
        <w:rPr>
          <w:b/>
          <w:bCs/>
          <w:color w:val="000000" w:themeColor="text1"/>
          <w:sz w:val="22"/>
          <w:szCs w:val="22"/>
          <w:lang w:val="es-CR"/>
        </w:rPr>
      </w:pPr>
      <w:r w:rsidRPr="00AA1493">
        <w:rPr>
          <w:b/>
          <w:bCs/>
          <w:color w:val="000000" w:themeColor="text1"/>
          <w:sz w:val="22"/>
          <w:szCs w:val="22"/>
          <w:lang w:val="es-CR"/>
        </w:rPr>
        <w:t>Artículo 16. NIIF 5. Activos no corrientes mantenidos para la venta y operaciones descontinuadas.</w:t>
      </w:r>
    </w:p>
    <w:p w14:paraId="4C0E38DB" w14:textId="77777777" w:rsidR="004F3F7A" w:rsidRPr="00AA1493" w:rsidRDefault="004F3F7A" w:rsidP="004F3F7A">
      <w:pPr>
        <w:jc w:val="both"/>
        <w:rPr>
          <w:color w:val="000000" w:themeColor="text1"/>
          <w:sz w:val="22"/>
          <w:szCs w:val="22"/>
          <w:lang w:val="es-CR" w:eastAsia="es-CR"/>
        </w:rPr>
      </w:pPr>
    </w:p>
    <w:p w14:paraId="58A812D5" w14:textId="77777777" w:rsidR="004F3F7A" w:rsidRPr="00AA1493" w:rsidRDefault="004F3F7A" w:rsidP="004F3F7A">
      <w:pPr>
        <w:jc w:val="both"/>
        <w:rPr>
          <w:rFonts w:eastAsia="Calibri"/>
          <w:color w:val="000000" w:themeColor="text1"/>
          <w:sz w:val="22"/>
          <w:szCs w:val="22"/>
          <w:lang w:val="es-CR" w:eastAsia="es-CR"/>
        </w:rPr>
      </w:pPr>
      <w:r w:rsidRPr="00AA1493">
        <w:rPr>
          <w:rFonts w:eastAsia="Calibri"/>
          <w:color w:val="000000" w:themeColor="text1"/>
          <w:sz w:val="22"/>
          <w:szCs w:val="22"/>
          <w:lang w:val="es-CR" w:eastAsia="es-CR"/>
        </w:rPr>
        <w:t xml:space="preserve">El registro inicial de los bienes y valores adquiridos en recuperación de créditos (cuenta 151) debe realizarse por el menor monto entre: </w:t>
      </w:r>
    </w:p>
    <w:p w14:paraId="42E75716" w14:textId="77777777" w:rsidR="004F3F7A" w:rsidRPr="00AA1493" w:rsidRDefault="004F3F7A" w:rsidP="004F3F7A">
      <w:pPr>
        <w:jc w:val="both"/>
        <w:rPr>
          <w:rFonts w:eastAsia="Calibri"/>
          <w:color w:val="000000" w:themeColor="text1"/>
          <w:sz w:val="22"/>
          <w:szCs w:val="22"/>
          <w:lang w:val="es-CR" w:eastAsia="es-CR"/>
        </w:rPr>
      </w:pPr>
    </w:p>
    <w:p w14:paraId="4004BB70" w14:textId="77777777" w:rsidR="004F3F7A" w:rsidRPr="00AA1493" w:rsidRDefault="004F3F7A" w:rsidP="004F3F7A">
      <w:pPr>
        <w:ind w:left="390" w:hanging="360"/>
        <w:jc w:val="both"/>
        <w:rPr>
          <w:color w:val="000000" w:themeColor="text1"/>
          <w:sz w:val="22"/>
          <w:szCs w:val="22"/>
          <w:lang w:val="es-CR" w:eastAsia="es-CR"/>
        </w:rPr>
      </w:pPr>
      <w:r w:rsidRPr="00AA1493">
        <w:rPr>
          <w:rFonts w:eastAsia="Calibri"/>
          <w:color w:val="000000" w:themeColor="text1"/>
          <w:sz w:val="22"/>
          <w:szCs w:val="22"/>
          <w:lang w:val="es-CR" w:eastAsia="es-CR"/>
        </w:rPr>
        <w:t>a)</w:t>
      </w:r>
      <w:r w:rsidRPr="00AA1493">
        <w:rPr>
          <w:rFonts w:eastAsia="Calibri"/>
          <w:color w:val="000000" w:themeColor="text1"/>
          <w:sz w:val="22"/>
          <w:szCs w:val="22"/>
          <w:lang w:val="es-CR" w:eastAsia="es-CR"/>
        </w:rPr>
        <w:tab/>
      </w:r>
      <w:r w:rsidRPr="00AA1493">
        <w:rPr>
          <w:color w:val="000000" w:themeColor="text1"/>
          <w:sz w:val="22"/>
          <w:szCs w:val="22"/>
          <w:lang w:val="es-CR" w:eastAsia="es-CR"/>
        </w:rPr>
        <w:t xml:space="preserve">El saldo del crédito más los productos por cobrar, las cuentas por cobrar asociadas al crédito, los seguros y los gastos de administración derivados del crédito, o  </w:t>
      </w:r>
    </w:p>
    <w:p w14:paraId="1097865E" w14:textId="77777777" w:rsidR="004F3F7A" w:rsidRPr="00AA1493" w:rsidRDefault="004F3F7A" w:rsidP="004F3F7A">
      <w:pPr>
        <w:ind w:left="390" w:hanging="360"/>
        <w:jc w:val="both"/>
        <w:rPr>
          <w:rFonts w:eastAsia="Calibri"/>
          <w:color w:val="000000" w:themeColor="text1"/>
          <w:sz w:val="22"/>
          <w:szCs w:val="22"/>
          <w:lang w:val="es-CR" w:eastAsia="es-CR"/>
        </w:rPr>
      </w:pPr>
    </w:p>
    <w:p w14:paraId="200A6CFD" w14:textId="77777777" w:rsidR="004F3F7A" w:rsidRPr="00AA1493" w:rsidRDefault="004F3F7A" w:rsidP="004F3F7A">
      <w:pPr>
        <w:ind w:left="390" w:hanging="360"/>
        <w:jc w:val="both"/>
        <w:rPr>
          <w:color w:val="000000" w:themeColor="text1"/>
          <w:sz w:val="22"/>
          <w:szCs w:val="22"/>
          <w:lang w:val="es-CR" w:eastAsia="es-CR"/>
        </w:rPr>
      </w:pPr>
      <w:r w:rsidRPr="00AA1493">
        <w:rPr>
          <w:rFonts w:eastAsia="Calibri"/>
          <w:color w:val="000000" w:themeColor="text1"/>
          <w:sz w:val="22"/>
          <w:szCs w:val="22"/>
          <w:lang w:val="es-CR" w:eastAsia="es-CR"/>
        </w:rPr>
        <w:t>b)</w:t>
      </w:r>
      <w:r w:rsidRPr="00AA1493">
        <w:rPr>
          <w:rFonts w:eastAsia="Calibri"/>
          <w:color w:val="000000" w:themeColor="text1"/>
          <w:sz w:val="22"/>
          <w:szCs w:val="22"/>
          <w:lang w:val="es-CR" w:eastAsia="es-CR"/>
        </w:rPr>
        <w:tab/>
      </w:r>
      <w:r w:rsidRPr="00AA1493">
        <w:rPr>
          <w:color w:val="000000" w:themeColor="text1"/>
          <w:sz w:val="22"/>
          <w:szCs w:val="22"/>
          <w:lang w:val="es-CR" w:eastAsia="es-CR"/>
        </w:rPr>
        <w:t>El monto de adjudicación o el monto del avalúo en caso de dación de pago.</w:t>
      </w:r>
    </w:p>
    <w:p w14:paraId="4B03D929" w14:textId="77777777" w:rsidR="004F3F7A" w:rsidRPr="00AA1493" w:rsidRDefault="004F3F7A" w:rsidP="004F3F7A">
      <w:pPr>
        <w:ind w:left="30"/>
        <w:jc w:val="both"/>
        <w:rPr>
          <w:rFonts w:eastAsia="Calibri"/>
          <w:color w:val="000000" w:themeColor="text1"/>
          <w:sz w:val="22"/>
          <w:szCs w:val="22"/>
          <w:lang w:val="es-CR" w:eastAsia="es-CR"/>
        </w:rPr>
      </w:pPr>
    </w:p>
    <w:p w14:paraId="6DAEDD06" w14:textId="77777777" w:rsidR="004F3F7A" w:rsidRPr="00AA1493" w:rsidRDefault="004F3F7A" w:rsidP="004F3F7A">
      <w:pPr>
        <w:ind w:left="30"/>
        <w:jc w:val="both"/>
        <w:rPr>
          <w:rFonts w:eastAsia="Calibri"/>
          <w:color w:val="000000" w:themeColor="text1"/>
          <w:sz w:val="22"/>
          <w:szCs w:val="22"/>
          <w:lang w:val="es-CR" w:eastAsia="es-CR"/>
        </w:rPr>
      </w:pPr>
      <w:r w:rsidRPr="00AA1493">
        <w:rPr>
          <w:rFonts w:eastAsia="Calibri"/>
          <w:color w:val="000000" w:themeColor="text1"/>
          <w:sz w:val="22"/>
          <w:szCs w:val="22"/>
          <w:lang w:val="es-CR" w:eastAsia="es-CR"/>
        </w:rPr>
        <w:t xml:space="preserve">Para los bienes adjudicados registrados en la cuenta 151 Bienes y valores adquiridos en recuperación de créditos, se debe aplicar lo dispuesto en la Ley 4631 </w:t>
      </w:r>
      <w:r w:rsidRPr="00AA1493">
        <w:rPr>
          <w:rFonts w:eastAsia="Calibri"/>
          <w:i/>
          <w:iCs/>
          <w:color w:val="000000" w:themeColor="text1"/>
          <w:sz w:val="22"/>
          <w:szCs w:val="22"/>
          <w:lang w:val="es-CR" w:eastAsia="es-CR"/>
        </w:rPr>
        <w:t xml:space="preserve">Destino Utilidades Obtengan Bancos por Bienes Adjudicados </w:t>
      </w:r>
      <w:r w:rsidRPr="00AA1493">
        <w:rPr>
          <w:rFonts w:eastAsia="Calibri"/>
          <w:color w:val="000000" w:themeColor="text1"/>
          <w:sz w:val="22"/>
          <w:szCs w:val="22"/>
          <w:lang w:val="es-CR" w:eastAsia="es-CR"/>
        </w:rPr>
        <w:t>en remate para las entidades supervisadas por la Superintendencia General de Entidades Financieras y la reglamentación emitida al efecto.</w:t>
      </w:r>
    </w:p>
    <w:p w14:paraId="686214EE" w14:textId="77777777" w:rsidR="004F3F7A" w:rsidRPr="00AA1493" w:rsidRDefault="004F3F7A" w:rsidP="004F3F7A">
      <w:pPr>
        <w:jc w:val="both"/>
        <w:rPr>
          <w:color w:val="000000" w:themeColor="text1"/>
          <w:sz w:val="22"/>
          <w:szCs w:val="22"/>
          <w:lang w:val="es-CR" w:eastAsia="es-CR"/>
        </w:rPr>
      </w:pPr>
    </w:p>
    <w:p w14:paraId="15C9E214"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En el caso de las entidades supervisadas por Sugef, debe darse de baja los siguientes activos:</w:t>
      </w:r>
    </w:p>
    <w:p w14:paraId="7CF2D727" w14:textId="77777777" w:rsidR="004F3F7A" w:rsidRPr="00AA1493" w:rsidRDefault="004F3F7A" w:rsidP="004F3F7A">
      <w:pPr>
        <w:ind w:left="360" w:hanging="360"/>
        <w:contextualSpacing/>
        <w:jc w:val="both"/>
        <w:rPr>
          <w:rFonts w:eastAsia="Calibri"/>
          <w:color w:val="000000" w:themeColor="text1"/>
          <w:sz w:val="22"/>
          <w:szCs w:val="22"/>
          <w:lang w:val="es-CR" w:eastAsia="es-CR"/>
        </w:rPr>
      </w:pPr>
    </w:p>
    <w:p w14:paraId="0B34F4B9" w14:textId="77777777" w:rsidR="004F3F7A" w:rsidRPr="00AA1493" w:rsidRDefault="004F3F7A" w:rsidP="004F3F7A">
      <w:pPr>
        <w:ind w:left="360" w:hanging="360"/>
        <w:contextualSpacing/>
        <w:jc w:val="both"/>
        <w:rPr>
          <w:color w:val="000000" w:themeColor="text1"/>
          <w:sz w:val="22"/>
          <w:szCs w:val="22"/>
          <w:lang w:val="es-CR" w:eastAsia="es-CR"/>
        </w:rPr>
      </w:pPr>
      <w:r w:rsidRPr="00AA1493">
        <w:rPr>
          <w:rFonts w:eastAsia="Calibri"/>
          <w:color w:val="000000" w:themeColor="text1"/>
          <w:sz w:val="22"/>
          <w:szCs w:val="22"/>
          <w:lang w:val="es-CR" w:eastAsia="es-CR"/>
        </w:rPr>
        <w:lastRenderedPageBreak/>
        <w:t>1.</w:t>
      </w:r>
      <w:r w:rsidRPr="00AA1493">
        <w:rPr>
          <w:rFonts w:eastAsia="Calibri"/>
          <w:color w:val="000000" w:themeColor="text1"/>
          <w:sz w:val="22"/>
          <w:szCs w:val="22"/>
          <w:lang w:val="es-CR" w:eastAsia="es-CR"/>
        </w:rPr>
        <w:tab/>
      </w:r>
      <w:r w:rsidRPr="00AA1493">
        <w:rPr>
          <w:color w:val="000000" w:themeColor="text1"/>
          <w:sz w:val="22"/>
          <w:szCs w:val="22"/>
          <w:lang w:val="es-CR" w:eastAsia="es-CR"/>
        </w:rPr>
        <w:t xml:space="preserve">Los bienes que la entidad se encuentra limitada de vender por disposiciones legales, </w:t>
      </w:r>
      <w:proofErr w:type="gramStart"/>
      <w:r w:rsidRPr="00AA1493">
        <w:rPr>
          <w:color w:val="000000" w:themeColor="text1"/>
          <w:sz w:val="22"/>
          <w:szCs w:val="22"/>
          <w:lang w:val="es-CR" w:eastAsia="es-CR"/>
        </w:rPr>
        <w:t>como</w:t>
      </w:r>
      <w:proofErr w:type="gramEnd"/>
      <w:r w:rsidRPr="00AA1493">
        <w:rPr>
          <w:color w:val="000000" w:themeColor="text1"/>
          <w:sz w:val="22"/>
          <w:szCs w:val="22"/>
          <w:lang w:val="es-CR" w:eastAsia="es-CR"/>
        </w:rPr>
        <w:t xml:space="preserve"> por ejemplo, los bienes de aptitud forestal los cuales por ley quedan incorporados al patrimonio forestal del Estado, excepto por lo dispuesto en la Ley 7575 </w:t>
      </w:r>
      <w:r w:rsidRPr="00AA1493">
        <w:rPr>
          <w:i/>
          <w:iCs/>
          <w:color w:val="000000" w:themeColor="text1"/>
          <w:sz w:val="22"/>
          <w:szCs w:val="22"/>
          <w:lang w:val="es-CR" w:eastAsia="es-CR"/>
        </w:rPr>
        <w:t>Ley Forestal</w:t>
      </w:r>
      <w:r w:rsidRPr="00AA1493">
        <w:rPr>
          <w:color w:val="000000" w:themeColor="text1"/>
          <w:sz w:val="22"/>
          <w:szCs w:val="22"/>
          <w:lang w:val="es-CR" w:eastAsia="es-CR"/>
        </w:rPr>
        <w:t>, cuando son declarados patrimonio natural del Estado en una fecha posterior a la autorización de una operación de crédito con entidades del Sistema Bancario Nacional.</w:t>
      </w:r>
    </w:p>
    <w:p w14:paraId="099D12EF" w14:textId="77777777" w:rsidR="004F3F7A" w:rsidRPr="00AA1493" w:rsidRDefault="004F3F7A" w:rsidP="00AA1493">
      <w:pPr>
        <w:jc w:val="both"/>
        <w:rPr>
          <w:rFonts w:eastAsia="Calibri"/>
          <w:color w:val="000000" w:themeColor="text1"/>
          <w:sz w:val="22"/>
          <w:szCs w:val="22"/>
          <w:lang w:val="es-CR" w:eastAsia="es-CR"/>
        </w:rPr>
      </w:pPr>
    </w:p>
    <w:p w14:paraId="69EC175D" w14:textId="77777777" w:rsidR="004F3F7A" w:rsidRPr="00AA1493" w:rsidRDefault="004F3F7A" w:rsidP="004F3F7A">
      <w:pPr>
        <w:ind w:left="360" w:hanging="360"/>
        <w:contextualSpacing/>
        <w:jc w:val="both"/>
        <w:rPr>
          <w:b/>
          <w:bCs/>
          <w:color w:val="000000" w:themeColor="text1"/>
          <w:sz w:val="22"/>
          <w:szCs w:val="22"/>
          <w:lang w:val="es-CR" w:eastAsia="es-CR"/>
        </w:rPr>
      </w:pPr>
      <w:r w:rsidRPr="00AA1493">
        <w:rPr>
          <w:color w:val="000000" w:themeColor="text1"/>
          <w:sz w:val="22"/>
          <w:szCs w:val="22"/>
          <w:lang w:val="es-CR" w:eastAsia="es-CR"/>
        </w:rPr>
        <w:t>2.</w:t>
      </w:r>
      <w:r w:rsidRPr="00AA1493">
        <w:rPr>
          <w:color w:val="000000" w:themeColor="text1"/>
          <w:sz w:val="22"/>
          <w:szCs w:val="22"/>
          <w:lang w:val="es-CR" w:eastAsia="es-CR"/>
        </w:rPr>
        <w:tab/>
        <w:t>Las acciones que le hayan sido adjudicadas en remate judicial o que reciba en dación de pago por operaciones de crédito, de conformidad con el artículo 72 de la Ley 1644 LOSBN. En este caso, debe darse de baja el valor en libros de las acciones en un plazo máximo de dos años, contado a partir de la fecha de adjudicación o de recibo del bien en dación de pago.</w:t>
      </w:r>
    </w:p>
    <w:p w14:paraId="21494200" w14:textId="77777777" w:rsidR="004F3F7A" w:rsidRPr="00AA1493" w:rsidRDefault="004F3F7A" w:rsidP="004F3F7A">
      <w:pPr>
        <w:jc w:val="both"/>
        <w:rPr>
          <w:color w:val="000000" w:themeColor="text1"/>
          <w:sz w:val="22"/>
          <w:szCs w:val="22"/>
          <w:lang w:val="es-CR" w:eastAsia="es-CR"/>
        </w:rPr>
      </w:pPr>
    </w:p>
    <w:p w14:paraId="1275AD1B"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En el caso de los bienes recibidos en recuperación de créditos, bienes producidos para la venta, inmuebles, mobiliario y equipo fuera de uso y otros activos no corrientes que no cumplen con los requisitos que dispone la NIIF 5 Activos no Corrientes Mantenidos para la Venta y Operaciones Discontinuadas, deberán reclasificarse contablemente a la cuenta 188 (cuenta 1.090.110 para Sugese) “Otros activos disponibles para la venta fuera del alcance de NIIF 5” y tratarse de la siguiente manera:</w:t>
      </w:r>
    </w:p>
    <w:p w14:paraId="477E93A3" w14:textId="77777777" w:rsidR="004F3F7A" w:rsidRPr="00AA1493" w:rsidRDefault="004F3F7A" w:rsidP="004F3F7A">
      <w:pPr>
        <w:jc w:val="both"/>
        <w:rPr>
          <w:color w:val="000000" w:themeColor="text1"/>
          <w:sz w:val="22"/>
          <w:szCs w:val="22"/>
          <w:lang w:val="es-CR" w:eastAsia="es-CR"/>
        </w:rPr>
      </w:pPr>
    </w:p>
    <w:p w14:paraId="5DF2C235" w14:textId="77777777" w:rsidR="004F3F7A" w:rsidRPr="00AA1493" w:rsidRDefault="004F3F7A" w:rsidP="004F3F7A">
      <w:pPr>
        <w:jc w:val="both"/>
        <w:rPr>
          <w:color w:val="000000" w:themeColor="text1"/>
          <w:sz w:val="22"/>
          <w:szCs w:val="22"/>
          <w:shd w:val="clear" w:color="auto" w:fill="EAEDF1"/>
          <w:lang w:val="es-CR" w:eastAsia="es-CR"/>
        </w:rPr>
      </w:pPr>
      <w:r w:rsidRPr="00AA1493">
        <w:rPr>
          <w:color w:val="000000" w:themeColor="text1"/>
          <w:sz w:val="22"/>
          <w:szCs w:val="22"/>
          <w:lang w:val="es-CR" w:eastAsia="es-CR"/>
        </w:rPr>
        <w:t>El registro inicial será de acuerdo con el valor en libros de la cuenta de origen del activo.</w:t>
      </w:r>
    </w:p>
    <w:p w14:paraId="45115DF8" w14:textId="77777777" w:rsidR="004F3F7A" w:rsidRPr="00AA1493" w:rsidRDefault="004F3F7A" w:rsidP="004F3F7A">
      <w:pPr>
        <w:jc w:val="both"/>
        <w:rPr>
          <w:color w:val="000000" w:themeColor="text1"/>
          <w:sz w:val="22"/>
          <w:szCs w:val="22"/>
          <w:lang w:val="es-CR" w:eastAsia="es-CR"/>
        </w:rPr>
      </w:pPr>
    </w:p>
    <w:p w14:paraId="464ED074" w14:textId="77777777" w:rsidR="004F3F7A" w:rsidRPr="00AA1493" w:rsidRDefault="004F3F7A" w:rsidP="004F3F7A">
      <w:pPr>
        <w:jc w:val="both"/>
        <w:rPr>
          <w:color w:val="000000" w:themeColor="text1"/>
          <w:sz w:val="22"/>
          <w:szCs w:val="22"/>
          <w:shd w:val="clear" w:color="auto" w:fill="EAEDF1"/>
          <w:lang w:val="es-CR" w:eastAsia="es-CR"/>
        </w:rPr>
      </w:pPr>
      <w:r w:rsidRPr="00AA1493">
        <w:rPr>
          <w:color w:val="000000" w:themeColor="text1"/>
          <w:sz w:val="22"/>
          <w:szCs w:val="22"/>
          <w:lang w:val="es-CR" w:eastAsia="es-CR"/>
        </w:rPr>
        <w:t>La entidad debe cumplir con los siguientes aspectos operativos mínimos en relación con esos activos:</w:t>
      </w:r>
    </w:p>
    <w:p w14:paraId="589FD86B" w14:textId="77777777" w:rsidR="004F3F7A" w:rsidRPr="00AA1493" w:rsidRDefault="004F3F7A" w:rsidP="004F3F7A">
      <w:pPr>
        <w:ind w:left="360" w:hanging="360"/>
        <w:jc w:val="both"/>
        <w:rPr>
          <w:color w:val="000000" w:themeColor="text1"/>
          <w:sz w:val="22"/>
          <w:szCs w:val="22"/>
          <w:lang w:val="es-CR" w:eastAsia="es-CR"/>
        </w:rPr>
      </w:pPr>
    </w:p>
    <w:p w14:paraId="073E5864" w14:textId="77777777" w:rsidR="004F3F7A" w:rsidRPr="00AA1493" w:rsidRDefault="004F3F7A" w:rsidP="004F3F7A">
      <w:pPr>
        <w:ind w:left="360" w:hanging="360"/>
        <w:jc w:val="both"/>
        <w:rPr>
          <w:color w:val="000000" w:themeColor="text1"/>
          <w:sz w:val="22"/>
          <w:szCs w:val="22"/>
          <w:shd w:val="clear" w:color="auto" w:fill="EAEDF1"/>
          <w:lang w:val="es-CR" w:eastAsia="es-CR"/>
        </w:rPr>
      </w:pPr>
      <w:r w:rsidRPr="00AA1493">
        <w:rPr>
          <w:color w:val="000000" w:themeColor="text1"/>
          <w:sz w:val="22"/>
          <w:szCs w:val="22"/>
          <w:lang w:val="es-CR" w:eastAsia="es-CR"/>
        </w:rPr>
        <w:t>a)</w:t>
      </w:r>
      <w:r w:rsidRPr="00AA1493">
        <w:rPr>
          <w:color w:val="000000" w:themeColor="text1"/>
          <w:sz w:val="22"/>
          <w:szCs w:val="22"/>
          <w:lang w:val="es-CR" w:eastAsia="es-CR"/>
        </w:rPr>
        <w:tab/>
        <w:t>Mantener un plan activo de gestión de venta.</w:t>
      </w:r>
    </w:p>
    <w:p w14:paraId="7DD1ADCB" w14:textId="77777777" w:rsidR="004F3F7A" w:rsidRPr="00AA1493" w:rsidRDefault="004F3F7A" w:rsidP="004F3F7A">
      <w:pPr>
        <w:ind w:left="360" w:hanging="360"/>
        <w:jc w:val="both"/>
        <w:rPr>
          <w:color w:val="000000" w:themeColor="text1"/>
          <w:sz w:val="22"/>
          <w:szCs w:val="22"/>
          <w:lang w:val="es-CR" w:eastAsia="es-CR"/>
        </w:rPr>
      </w:pPr>
    </w:p>
    <w:p w14:paraId="70055129" w14:textId="77777777" w:rsidR="004F3F7A" w:rsidRPr="00AA1493" w:rsidRDefault="004F3F7A" w:rsidP="004F3F7A">
      <w:pPr>
        <w:ind w:left="360" w:hanging="360"/>
        <w:jc w:val="both"/>
        <w:rPr>
          <w:color w:val="000000" w:themeColor="text1"/>
          <w:sz w:val="22"/>
          <w:szCs w:val="22"/>
          <w:shd w:val="clear" w:color="auto" w:fill="EAEDF1"/>
          <w:lang w:val="es-CR" w:eastAsia="es-CR"/>
        </w:rPr>
      </w:pPr>
      <w:r w:rsidRPr="00AA1493">
        <w:rPr>
          <w:color w:val="000000" w:themeColor="text1"/>
          <w:sz w:val="22"/>
          <w:szCs w:val="22"/>
          <w:lang w:val="es-CR" w:eastAsia="es-CR"/>
        </w:rPr>
        <w:t>b)</w:t>
      </w:r>
      <w:r w:rsidRPr="00AA1493">
        <w:rPr>
          <w:color w:val="000000" w:themeColor="text1"/>
          <w:sz w:val="22"/>
          <w:szCs w:val="22"/>
          <w:lang w:val="es-CR" w:eastAsia="es-CR"/>
        </w:rPr>
        <w:tab/>
        <w:t xml:space="preserve">Cuando corresponda, realizar la solicitud de prórroga a la Sugef, de conformidad con el artículo 72 de la </w:t>
      </w:r>
      <w:r w:rsidRPr="00AA1493">
        <w:rPr>
          <w:i/>
          <w:iCs/>
          <w:color w:val="000000" w:themeColor="text1"/>
          <w:sz w:val="22"/>
          <w:szCs w:val="22"/>
          <w:lang w:val="es-CR" w:eastAsia="es-CR"/>
        </w:rPr>
        <w:t>Ley Orgánica del Sistema Bancario Nacional</w:t>
      </w:r>
      <w:r w:rsidRPr="00AA1493">
        <w:rPr>
          <w:color w:val="000000" w:themeColor="text1"/>
          <w:sz w:val="22"/>
          <w:szCs w:val="22"/>
          <w:lang w:val="es-CR" w:eastAsia="es-CR"/>
        </w:rPr>
        <w:t>, Ley 1644.</w:t>
      </w:r>
    </w:p>
    <w:p w14:paraId="17077B06" w14:textId="77777777" w:rsidR="004F3F7A" w:rsidRPr="00AA1493" w:rsidRDefault="004F3F7A" w:rsidP="004F3F7A">
      <w:pPr>
        <w:ind w:left="360" w:hanging="360"/>
        <w:jc w:val="both"/>
        <w:rPr>
          <w:color w:val="000000" w:themeColor="text1"/>
          <w:sz w:val="22"/>
          <w:szCs w:val="22"/>
          <w:lang w:val="es-CR" w:eastAsia="es-CR"/>
        </w:rPr>
      </w:pPr>
    </w:p>
    <w:p w14:paraId="150742AA" w14:textId="77777777" w:rsidR="004F3F7A" w:rsidRPr="00AA1493" w:rsidRDefault="004F3F7A" w:rsidP="004F3F7A">
      <w:pPr>
        <w:ind w:left="360" w:hanging="360"/>
        <w:jc w:val="both"/>
        <w:rPr>
          <w:color w:val="000000" w:themeColor="text1"/>
          <w:sz w:val="22"/>
          <w:szCs w:val="22"/>
          <w:shd w:val="clear" w:color="auto" w:fill="EAEDF1"/>
          <w:lang w:val="es-CR" w:eastAsia="es-CR"/>
        </w:rPr>
      </w:pPr>
      <w:r w:rsidRPr="00AA1493">
        <w:rPr>
          <w:color w:val="000000" w:themeColor="text1"/>
          <w:sz w:val="22"/>
          <w:szCs w:val="22"/>
          <w:lang w:val="es-CR" w:eastAsia="es-CR"/>
        </w:rPr>
        <w:t>c)</w:t>
      </w:r>
      <w:r w:rsidRPr="00AA1493">
        <w:rPr>
          <w:color w:val="000000" w:themeColor="text1"/>
          <w:sz w:val="22"/>
          <w:szCs w:val="22"/>
          <w:lang w:val="es-CR" w:eastAsia="es-CR"/>
        </w:rPr>
        <w:tab/>
        <w:t>Determinar la existencia de indicios de deterioro del activo y cuando aplique, reconocer el correspondiente ajuste de deterioro, al menos trimestralmente, para las fechas de corte de los estados financieros trimestrales y anuales.</w:t>
      </w:r>
    </w:p>
    <w:p w14:paraId="5295310C" w14:textId="77777777" w:rsidR="004F3F7A" w:rsidRPr="00AA1493" w:rsidRDefault="004F3F7A" w:rsidP="004F3F7A">
      <w:pPr>
        <w:ind w:left="360" w:hanging="360"/>
        <w:jc w:val="both"/>
        <w:rPr>
          <w:color w:val="000000" w:themeColor="text1"/>
          <w:sz w:val="22"/>
          <w:szCs w:val="22"/>
          <w:lang w:val="es-CR" w:eastAsia="es-CR"/>
        </w:rPr>
      </w:pPr>
    </w:p>
    <w:p w14:paraId="40878987" w14:textId="77777777" w:rsidR="004F3F7A" w:rsidRPr="00AA1493" w:rsidRDefault="004F3F7A" w:rsidP="004F3F7A">
      <w:pPr>
        <w:ind w:left="360" w:hanging="360"/>
        <w:jc w:val="both"/>
        <w:rPr>
          <w:color w:val="000000" w:themeColor="text1"/>
          <w:sz w:val="22"/>
          <w:szCs w:val="22"/>
          <w:shd w:val="clear" w:color="auto" w:fill="EAEDF1"/>
          <w:lang w:val="es-CR" w:eastAsia="es-CR"/>
        </w:rPr>
      </w:pPr>
      <w:r w:rsidRPr="00AA1493">
        <w:rPr>
          <w:color w:val="000000" w:themeColor="text1"/>
          <w:sz w:val="22"/>
          <w:szCs w:val="22"/>
          <w:lang w:val="es-CR" w:eastAsia="es-CR"/>
        </w:rPr>
        <w:t>d)</w:t>
      </w:r>
      <w:r w:rsidRPr="00AA1493">
        <w:rPr>
          <w:color w:val="000000" w:themeColor="text1"/>
          <w:sz w:val="22"/>
          <w:szCs w:val="22"/>
          <w:lang w:val="es-CR" w:eastAsia="es-CR"/>
        </w:rPr>
        <w:tab/>
        <w:t>Mantener documentada la metodología para la determinación del importe recuperable estimado, según la naturaleza de los diferentes tipos de activos.</w:t>
      </w:r>
    </w:p>
    <w:p w14:paraId="2AB3D6A9" w14:textId="77777777" w:rsidR="004F3F7A" w:rsidRPr="00AA1493" w:rsidRDefault="004F3F7A" w:rsidP="004F3F7A">
      <w:pPr>
        <w:jc w:val="both"/>
        <w:rPr>
          <w:color w:val="000000" w:themeColor="text1"/>
          <w:sz w:val="22"/>
          <w:szCs w:val="22"/>
          <w:lang w:val="es-CR" w:eastAsia="es-CR"/>
        </w:rPr>
      </w:pPr>
    </w:p>
    <w:p w14:paraId="503EEA55" w14:textId="77777777" w:rsidR="004F3F7A" w:rsidRPr="00AA1493" w:rsidRDefault="004F3F7A" w:rsidP="004F3F7A">
      <w:pPr>
        <w:jc w:val="both"/>
        <w:rPr>
          <w:color w:val="000000" w:themeColor="text1"/>
          <w:sz w:val="22"/>
          <w:szCs w:val="22"/>
          <w:shd w:val="clear" w:color="auto" w:fill="EAEDF1"/>
          <w:lang w:val="es-CR" w:eastAsia="es-CR"/>
        </w:rPr>
      </w:pPr>
      <w:r w:rsidRPr="00AA1493">
        <w:rPr>
          <w:color w:val="000000" w:themeColor="text1"/>
          <w:sz w:val="22"/>
          <w:szCs w:val="22"/>
          <w:lang w:val="es-CR" w:eastAsia="es-CR"/>
        </w:rPr>
        <w:t>Cuando la entidad incumpla con cualquiera de los puntos indicados anteriormente, el importe recuperable del activo debe llevarse a cero.</w:t>
      </w:r>
    </w:p>
    <w:p w14:paraId="18B0B006" w14:textId="77777777" w:rsidR="004F3F7A" w:rsidRPr="00AA1493" w:rsidRDefault="004F3F7A" w:rsidP="004F3F7A">
      <w:pPr>
        <w:jc w:val="both"/>
        <w:rPr>
          <w:color w:val="000000" w:themeColor="text1"/>
          <w:sz w:val="22"/>
          <w:szCs w:val="22"/>
          <w:lang w:val="es-CR" w:eastAsia="es-CR"/>
        </w:rPr>
      </w:pPr>
    </w:p>
    <w:p w14:paraId="4D5D944B" w14:textId="77777777" w:rsidR="004F3F7A" w:rsidRPr="00AA1493" w:rsidRDefault="004F3F7A" w:rsidP="004F3F7A">
      <w:pPr>
        <w:jc w:val="both"/>
        <w:rPr>
          <w:color w:val="000000" w:themeColor="text1"/>
          <w:sz w:val="22"/>
          <w:szCs w:val="22"/>
          <w:shd w:val="clear" w:color="auto" w:fill="EAEDF1"/>
          <w:lang w:val="es-CR" w:eastAsia="es-CR"/>
        </w:rPr>
      </w:pPr>
      <w:r w:rsidRPr="00AA1493">
        <w:rPr>
          <w:color w:val="000000" w:themeColor="text1"/>
          <w:sz w:val="22"/>
          <w:szCs w:val="22"/>
          <w:lang w:val="es-CR" w:eastAsia="es-CR"/>
        </w:rPr>
        <w:t xml:space="preserve">Para los bienes adjudicados registrados por este concepto se debe aplicar lo dispuesto en la Ley 4631 </w:t>
      </w:r>
      <w:r w:rsidRPr="00AA1493">
        <w:rPr>
          <w:i/>
          <w:iCs/>
          <w:color w:val="000000" w:themeColor="text1"/>
          <w:sz w:val="22"/>
          <w:szCs w:val="22"/>
          <w:lang w:val="es-CR" w:eastAsia="es-CR"/>
        </w:rPr>
        <w:t>Destino Utilidades Obtengan Bancos por Bienes Adjudicados</w:t>
      </w:r>
      <w:r w:rsidRPr="00AA1493">
        <w:rPr>
          <w:color w:val="000000" w:themeColor="text1"/>
          <w:sz w:val="22"/>
          <w:szCs w:val="22"/>
          <w:lang w:val="es-CR" w:eastAsia="es-CR"/>
        </w:rPr>
        <w:t xml:space="preserve"> en remate para las entidades supervisadas por la Superintendencia General de Entidades Financieras y la reglamentación emitida al efecto.</w:t>
      </w:r>
    </w:p>
    <w:p w14:paraId="1A0EF157" w14:textId="77777777" w:rsidR="004F3F7A" w:rsidRPr="00AA1493" w:rsidRDefault="004F3F7A" w:rsidP="004F3F7A">
      <w:pPr>
        <w:jc w:val="both"/>
        <w:rPr>
          <w:color w:val="000000" w:themeColor="text1"/>
          <w:sz w:val="22"/>
          <w:szCs w:val="22"/>
          <w:lang w:val="es-CR" w:eastAsia="es-CR"/>
        </w:rPr>
      </w:pPr>
    </w:p>
    <w:p w14:paraId="4A4D6641"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1658A8AD" w14:textId="77777777" w:rsidR="004F3F7A" w:rsidRPr="00AA1493" w:rsidRDefault="004F3F7A" w:rsidP="004F3F7A">
      <w:pPr>
        <w:jc w:val="both"/>
        <w:rPr>
          <w:color w:val="000000" w:themeColor="text1"/>
          <w:sz w:val="22"/>
          <w:szCs w:val="22"/>
          <w:lang w:val="es-CR" w:eastAsia="es-CR"/>
        </w:rPr>
      </w:pPr>
    </w:p>
    <w:p w14:paraId="624BBF40"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Artículo 19. NIIF 9. Otras disposiciones prudenciales relacionadas con cartera de crédito y productos asociados.</w:t>
      </w:r>
    </w:p>
    <w:p w14:paraId="0EF4E241" w14:textId="77777777" w:rsidR="004F3F7A" w:rsidRPr="00AA1493" w:rsidRDefault="004F3F7A" w:rsidP="004F3F7A">
      <w:pPr>
        <w:jc w:val="both"/>
        <w:rPr>
          <w:color w:val="000000" w:themeColor="text1"/>
          <w:sz w:val="22"/>
          <w:szCs w:val="22"/>
          <w:lang w:val="es-CR" w:eastAsia="es-CR"/>
        </w:rPr>
      </w:pPr>
    </w:p>
    <w:p w14:paraId="63988F95" w14:textId="77777777" w:rsidR="004F3F7A" w:rsidRPr="00AA1493" w:rsidRDefault="004F3F7A" w:rsidP="004F3F7A">
      <w:pPr>
        <w:jc w:val="both"/>
        <w:rPr>
          <w:strike/>
          <w:color w:val="000000" w:themeColor="text1"/>
          <w:sz w:val="22"/>
          <w:szCs w:val="22"/>
          <w:lang w:val="es-CR" w:eastAsia="es-CR"/>
        </w:rPr>
      </w:pPr>
      <w:r w:rsidRPr="00AA1493">
        <w:rPr>
          <w:color w:val="000000" w:themeColor="text1"/>
          <w:sz w:val="22"/>
          <w:szCs w:val="22"/>
          <w:lang w:val="es-CR" w:eastAsia="es-CR"/>
        </w:rPr>
        <w:t>Las entidades reguladas deberán contar con políticas y procedimientos para determinar el momento de la suspensión del registro del devengo de las comisiones, intereses y otros productos asociados a operaciones de crédito.</w:t>
      </w:r>
    </w:p>
    <w:p w14:paraId="6EC93B44" w14:textId="77777777" w:rsidR="004F3F7A" w:rsidRPr="00AA1493" w:rsidRDefault="004F3F7A" w:rsidP="004F3F7A">
      <w:pPr>
        <w:jc w:val="both"/>
        <w:rPr>
          <w:color w:val="000000" w:themeColor="text1"/>
          <w:sz w:val="22"/>
          <w:szCs w:val="22"/>
          <w:lang w:val="es-CR" w:eastAsia="es-CR"/>
        </w:rPr>
      </w:pPr>
    </w:p>
    <w:p w14:paraId="38F38E5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lastRenderedPageBreak/>
        <w:t>Los intereses, comisiones y otros productos que se generen por la cartera de créditos se contabilizarán con base en el método del devengado, considerando el plazo de vigencia de los créditos. No obstante, en el caso de créditos vencidos, el método del devengado podrá aplicarse como máximo hasta ciento ochenta días de atraso, utilizando la tasa de interés corriente.</w:t>
      </w:r>
    </w:p>
    <w:p w14:paraId="72A9B74A" w14:textId="77777777" w:rsidR="004F3F7A" w:rsidRPr="00AA1493" w:rsidRDefault="004F3F7A" w:rsidP="004F3F7A">
      <w:pPr>
        <w:jc w:val="both"/>
        <w:rPr>
          <w:color w:val="000000" w:themeColor="text1"/>
          <w:sz w:val="22"/>
          <w:szCs w:val="22"/>
          <w:lang w:val="es-CR" w:eastAsia="es-CR"/>
        </w:rPr>
      </w:pPr>
    </w:p>
    <w:p w14:paraId="73E9777C"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Vencido ese plazo, si los intereses, comisiones u otros productos no han sido efectivamente cobrados, deberá suspenderse el devengo del ingreso financiero. Asimismo, los productos que se devenguen a partir de los ciento ochenta días de atraso deberán contabilizarse en la cuenta de orden definida en el plan de cuentas incluido en los lineamientos generales de este reglamento.</w:t>
      </w:r>
    </w:p>
    <w:p w14:paraId="5E99B593" w14:textId="77777777" w:rsidR="004F3F7A" w:rsidRPr="00AA1493" w:rsidRDefault="004F3F7A" w:rsidP="004F3F7A">
      <w:pPr>
        <w:jc w:val="both"/>
        <w:rPr>
          <w:color w:val="000000" w:themeColor="text1"/>
          <w:sz w:val="22"/>
          <w:szCs w:val="22"/>
          <w:lang w:val="es-CR" w:eastAsia="es-CR"/>
        </w:rPr>
      </w:pPr>
    </w:p>
    <w:p w14:paraId="49D7A709" w14:textId="77777777" w:rsidR="004F3F7A" w:rsidRPr="00AA1493" w:rsidRDefault="004F3F7A" w:rsidP="004F3F7A">
      <w:pPr>
        <w:jc w:val="both"/>
        <w:rPr>
          <w:b/>
          <w:bCs/>
          <w:i/>
          <w:iCs/>
          <w:color w:val="000000" w:themeColor="text1"/>
          <w:sz w:val="22"/>
          <w:szCs w:val="22"/>
          <w:lang w:val="es-CR" w:eastAsia="es-CR"/>
        </w:rPr>
      </w:pPr>
      <w:r w:rsidRPr="00AA1493">
        <w:rPr>
          <w:color w:val="000000" w:themeColor="text1"/>
          <w:sz w:val="22"/>
          <w:szCs w:val="22"/>
          <w:lang w:val="es-CR" w:eastAsia="es-CR"/>
        </w:rPr>
        <w:t>A los productos por cobrar registrados en esta cuenta durante el término citado de los 180 días, se les debe de asignar una estimación correlativa para incobrabilidad, de conformidad con lo establecido en la reglamentación asociada a la valuación de cartera de crédito.</w:t>
      </w:r>
    </w:p>
    <w:p w14:paraId="712FEDEA" w14:textId="77777777" w:rsidR="004F3F7A" w:rsidRPr="00AA1493" w:rsidRDefault="004F3F7A" w:rsidP="004F3F7A">
      <w:pPr>
        <w:jc w:val="both"/>
        <w:rPr>
          <w:color w:val="000000" w:themeColor="text1"/>
          <w:sz w:val="22"/>
          <w:szCs w:val="22"/>
          <w:lang w:val="es-CR" w:eastAsia="es-CR"/>
        </w:rPr>
      </w:pPr>
    </w:p>
    <w:p w14:paraId="56C72E8E"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3251E3DD" w14:textId="77777777" w:rsidR="004F3F7A" w:rsidRPr="00AA1493" w:rsidRDefault="004F3F7A" w:rsidP="004F3F7A">
      <w:pPr>
        <w:jc w:val="both"/>
        <w:rPr>
          <w:color w:val="000000" w:themeColor="text1"/>
          <w:sz w:val="22"/>
          <w:szCs w:val="22"/>
          <w:lang w:val="es-CR" w:eastAsia="es-CR"/>
        </w:rPr>
      </w:pPr>
    </w:p>
    <w:p w14:paraId="0A9F6CCE" w14:textId="77777777" w:rsidR="004F3F7A" w:rsidRPr="00AA1493" w:rsidRDefault="004F3F7A" w:rsidP="004F3F7A">
      <w:pPr>
        <w:jc w:val="both"/>
        <w:rPr>
          <w:color w:val="000000" w:themeColor="text1"/>
          <w:sz w:val="22"/>
          <w:szCs w:val="22"/>
          <w:lang w:val="es-CR" w:eastAsia="es-CR"/>
        </w:rPr>
      </w:pPr>
      <w:r w:rsidRPr="00AA1493">
        <w:rPr>
          <w:b/>
          <w:bCs/>
          <w:color w:val="000000" w:themeColor="text1"/>
          <w:sz w:val="22"/>
          <w:szCs w:val="22"/>
          <w:lang w:val="es-CR" w:eastAsia="es-CR"/>
        </w:rPr>
        <w:t>Artículo 25</w:t>
      </w:r>
      <w:r w:rsidRPr="00AA1493">
        <w:rPr>
          <w:color w:val="000000" w:themeColor="text1"/>
          <w:sz w:val="22"/>
          <w:szCs w:val="22"/>
          <w:lang w:val="es-CR" w:eastAsia="es-CR"/>
        </w:rPr>
        <w:t xml:space="preserve">. </w:t>
      </w:r>
      <w:r w:rsidRPr="00AA1493">
        <w:rPr>
          <w:b/>
          <w:bCs/>
          <w:color w:val="000000" w:themeColor="text1"/>
          <w:sz w:val="22"/>
          <w:szCs w:val="22"/>
          <w:lang w:val="es-CR" w:eastAsia="es-CR"/>
        </w:rPr>
        <w:t>Registro de operaciones por tipo de entidad.</w:t>
      </w:r>
      <w:r w:rsidRPr="00AA1493">
        <w:rPr>
          <w:color w:val="000000" w:themeColor="text1"/>
          <w:sz w:val="22"/>
          <w:szCs w:val="22"/>
          <w:lang w:val="es-CR" w:eastAsia="es-CR"/>
        </w:rPr>
        <w:t xml:space="preserve"> </w:t>
      </w:r>
    </w:p>
    <w:p w14:paraId="211DD44F" w14:textId="77777777" w:rsidR="004F3F7A" w:rsidRPr="00AA1493" w:rsidRDefault="004F3F7A" w:rsidP="004F3F7A">
      <w:pPr>
        <w:jc w:val="both"/>
        <w:rPr>
          <w:color w:val="000000" w:themeColor="text1"/>
          <w:sz w:val="22"/>
          <w:szCs w:val="22"/>
          <w:lang w:val="es-CR" w:eastAsia="es-CR"/>
        </w:rPr>
      </w:pPr>
    </w:p>
    <w:p w14:paraId="10669A64"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Para el registro de las operaciones, las entidades reguladas por Sugef, Sugeval y Supen, así como los grupos y conglomerados financieros, deben aplicar las disposiciones indicadas en el plan de cuentas homologado (anexo 1 de los lineamientos generales de este reglamento); mientras que las entidades reguladas por Sugef deben aplicar el plan de cuentas específico para ese sector, incluido en el anexo 2 de los lineamientos generales de este reglamento.</w:t>
      </w:r>
    </w:p>
    <w:p w14:paraId="4B3DB0F0" w14:textId="77777777" w:rsidR="004F3F7A" w:rsidRPr="00AA1493" w:rsidRDefault="004F3F7A" w:rsidP="004F3F7A">
      <w:pPr>
        <w:jc w:val="both"/>
        <w:rPr>
          <w:color w:val="000000" w:themeColor="text1"/>
          <w:sz w:val="22"/>
          <w:szCs w:val="22"/>
          <w:lang w:val="es-CR" w:eastAsia="es-CR"/>
        </w:rPr>
      </w:pPr>
    </w:p>
    <w:p w14:paraId="18B9D363"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Las entidades de seguros autorizadas bajo la modalidad de sucursal se exceptúan de la aplicación completa del plan de cuentas definido en el anexo 2 de los lineamientos generales de este reglamento, ya que para ellas regirá lo dispuesto por la jurisdicción de origen. Sin embargo, esas entidades deberán remitir la información específica que Sugese les requiera para la sucursal en Costa Rica ajustándose a lo indicado en los lineamientos generales de este reglamento, por medio de un sistema convertidor, desarrollado por las entidades y bajo su responsabilidad. El convertidor deberá ser presentado a conocimiento de la superintendencia, debidamente acompañado de un informe sobre su operativa, en el cual deberán exponerse explícitamente las diferencias relevantes en cuanto a prácticas contables entre la jurisdicción de origen y la costarricense. </w:t>
      </w:r>
    </w:p>
    <w:p w14:paraId="2BEF3B88" w14:textId="77777777" w:rsidR="004F3F7A" w:rsidRPr="00AA1493" w:rsidRDefault="004F3F7A" w:rsidP="004F3F7A">
      <w:pPr>
        <w:jc w:val="both"/>
        <w:rPr>
          <w:color w:val="000000" w:themeColor="text1"/>
          <w:sz w:val="22"/>
          <w:szCs w:val="22"/>
          <w:lang w:val="es-CR" w:eastAsia="es-CR"/>
        </w:rPr>
      </w:pPr>
    </w:p>
    <w:p w14:paraId="13CB9D96"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Los planes de cuentas incluidos en los lineamientos generales de este reglamento son aplicables a diversos tipos de entidades, en ese sentido se han previsto cuentas para el registro de sus operaciones, lo que no implica una autorización tácita para efectuar operaciones y servicios diferentes a lo que les dicte la ley u otras normas.</w:t>
      </w:r>
    </w:p>
    <w:p w14:paraId="05693A6B" w14:textId="77777777" w:rsidR="004F3F7A" w:rsidRPr="00AA1493" w:rsidRDefault="004F3F7A" w:rsidP="004F3F7A">
      <w:pPr>
        <w:jc w:val="both"/>
        <w:rPr>
          <w:color w:val="000000" w:themeColor="text1"/>
          <w:sz w:val="22"/>
          <w:szCs w:val="22"/>
          <w:lang w:val="es-CR" w:eastAsia="es-CR"/>
        </w:rPr>
      </w:pPr>
    </w:p>
    <w:p w14:paraId="30F2D3D1"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Con el propósito de facilitar la carga y control en el registro de las operaciones, cada superintendencia habilitará las cuentas, subcuentas y cuentas analíticas según su actividad. En caso de que una entidad supervisada requiera del uso de una cuenta, subcuenta o cuenta analítica, deberá tramitar la solicitud de forma justificada ante la superintendencia respectiva.</w:t>
      </w:r>
    </w:p>
    <w:p w14:paraId="6EB4D490" w14:textId="77777777" w:rsidR="004F3F7A" w:rsidRPr="00AA1493" w:rsidRDefault="004F3F7A" w:rsidP="004F3F7A">
      <w:pPr>
        <w:jc w:val="both"/>
        <w:rPr>
          <w:color w:val="000000" w:themeColor="text1"/>
          <w:sz w:val="22"/>
          <w:szCs w:val="22"/>
          <w:lang w:val="es-CR" w:eastAsia="es-CR"/>
        </w:rPr>
      </w:pPr>
    </w:p>
    <w:p w14:paraId="2A4B77C6" w14:textId="31E91524"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De acuerdo con la naturaleza de las actividades de cada supervisado, controladora o conglomerado, es responsabilidad de la alta gerencia contar con los registros auxiliares y controles necesarios para efectos tributarios, por lo que los planes de cuentas incluidos en los lineamientos generales de este reglamento no establecen detalles particulares sobre este tema.</w:t>
      </w:r>
    </w:p>
    <w:p w14:paraId="2C3EAA4B" w14:textId="77777777" w:rsidR="004F3F7A" w:rsidRPr="00AA1493" w:rsidRDefault="004F3F7A" w:rsidP="004F3F7A">
      <w:pPr>
        <w:autoSpaceDE w:val="0"/>
        <w:autoSpaceDN w:val="0"/>
        <w:adjustRightInd w:val="0"/>
        <w:ind w:left="461"/>
        <w:jc w:val="both"/>
        <w:rPr>
          <w:i/>
          <w:iCs/>
          <w:color w:val="000000" w:themeColor="text1"/>
          <w:sz w:val="22"/>
          <w:szCs w:val="22"/>
          <w:lang w:val="es-CR"/>
        </w:rPr>
      </w:pPr>
    </w:p>
    <w:p w14:paraId="7B17BE08" w14:textId="77777777" w:rsidR="004F3F7A" w:rsidRPr="00AA1493" w:rsidRDefault="004F3F7A" w:rsidP="004F3F7A">
      <w:pPr>
        <w:autoSpaceDE w:val="0"/>
        <w:autoSpaceDN w:val="0"/>
        <w:adjustRightInd w:val="0"/>
        <w:ind w:left="461"/>
        <w:jc w:val="both"/>
        <w:rPr>
          <w:b/>
          <w:bCs/>
          <w:i/>
          <w:iCs/>
          <w:color w:val="000000" w:themeColor="text1"/>
          <w:sz w:val="22"/>
          <w:szCs w:val="22"/>
          <w:lang w:val="es-CR"/>
        </w:rPr>
      </w:pPr>
      <w:r w:rsidRPr="00AA1493">
        <w:rPr>
          <w:i/>
          <w:iCs/>
          <w:color w:val="000000" w:themeColor="text1"/>
          <w:sz w:val="22"/>
          <w:szCs w:val="22"/>
          <w:lang w:val="es-CR"/>
        </w:rPr>
        <w:lastRenderedPageBreak/>
        <w:t xml:space="preserve">“[14c] [24c] Artículo 25. Registro de operaciones por tipo de entidad. </w:t>
      </w:r>
      <w:r w:rsidRPr="00AA1493">
        <w:rPr>
          <w:b/>
          <w:bCs/>
          <w:i/>
          <w:iCs/>
          <w:color w:val="000000" w:themeColor="text1"/>
          <w:sz w:val="22"/>
          <w:szCs w:val="22"/>
          <w:lang w:val="es-CR"/>
        </w:rPr>
        <w:t>[A partir del 1 de enero de 2028 el artículo 25 debe leerse de la siguiente manera:]</w:t>
      </w:r>
    </w:p>
    <w:p w14:paraId="58E24159" w14:textId="77777777" w:rsidR="004F3F7A" w:rsidRPr="00AA1493" w:rsidRDefault="004F3F7A" w:rsidP="004F3F7A">
      <w:pPr>
        <w:ind w:left="481"/>
        <w:jc w:val="both"/>
        <w:rPr>
          <w:i/>
          <w:iCs/>
          <w:color w:val="000000" w:themeColor="text1"/>
          <w:sz w:val="22"/>
          <w:szCs w:val="22"/>
          <w:lang w:val="es-CR" w:eastAsia="es-CR"/>
        </w:rPr>
      </w:pPr>
    </w:p>
    <w:p w14:paraId="7AF1EAB1" w14:textId="77777777" w:rsidR="004F3F7A" w:rsidRPr="00AA1493" w:rsidRDefault="004F3F7A" w:rsidP="004F3F7A">
      <w:pPr>
        <w:ind w:left="481"/>
        <w:jc w:val="both"/>
        <w:rPr>
          <w:i/>
          <w:iCs/>
          <w:color w:val="000000" w:themeColor="text1"/>
          <w:sz w:val="22"/>
          <w:szCs w:val="22"/>
          <w:lang w:val="es-CR" w:eastAsia="es-CR"/>
        </w:rPr>
      </w:pPr>
      <w:r w:rsidRPr="00AA1493">
        <w:rPr>
          <w:i/>
          <w:iCs/>
          <w:color w:val="000000" w:themeColor="text1"/>
          <w:sz w:val="22"/>
          <w:szCs w:val="22"/>
          <w:lang w:val="es-CR" w:eastAsia="es-CR"/>
        </w:rPr>
        <w:t>Para el registro de las operaciones, las entidades reguladas por Sugef, Sugef y Supen, así como los grupos y conglomerados financieros, deben aplicar las disposiciones indicadas en el plan de cuentas homologado (anexo 1 de los lineamientos generales de este reglamento); mientras que las entidades reguladas por Sugese, deben aplicar el plan de cuentas específico para ese sector, incluido en el anexo 2 de los lineamientos generales de este reglamento.</w:t>
      </w:r>
    </w:p>
    <w:p w14:paraId="2DC56FB4" w14:textId="77777777" w:rsidR="004F3F7A" w:rsidRPr="00AA1493" w:rsidRDefault="004F3F7A" w:rsidP="004F3F7A">
      <w:pPr>
        <w:ind w:left="461"/>
        <w:jc w:val="both"/>
        <w:rPr>
          <w:i/>
          <w:iCs/>
          <w:color w:val="000000" w:themeColor="text1"/>
          <w:sz w:val="22"/>
          <w:szCs w:val="22"/>
          <w:lang w:val="es-CR"/>
        </w:rPr>
      </w:pPr>
    </w:p>
    <w:p w14:paraId="0A5B1958" w14:textId="77777777" w:rsidR="004F3F7A" w:rsidRPr="00AA1493" w:rsidRDefault="004F3F7A" w:rsidP="004F3F7A">
      <w:pPr>
        <w:ind w:left="461"/>
        <w:jc w:val="both"/>
        <w:rPr>
          <w:i/>
          <w:iCs/>
          <w:color w:val="000000" w:themeColor="text1"/>
          <w:sz w:val="22"/>
          <w:szCs w:val="22"/>
          <w:lang w:val="es-CR"/>
        </w:rPr>
      </w:pPr>
      <w:r w:rsidRPr="00AA1493">
        <w:rPr>
          <w:i/>
          <w:iCs/>
          <w:color w:val="000000" w:themeColor="text1"/>
          <w:sz w:val="22"/>
          <w:szCs w:val="22"/>
          <w:lang w:val="es-CR"/>
        </w:rPr>
        <w:t>Las entidades de seguros autorizadas bajo la modalidad de sucursal podrán realizar el registro original de las transacciones de conformidad con lo dispuesto por la jurisdicción de origen. Sin embargo, estas entidades deberán remitir la información específica que Sugese les requiera para la sucursal en Costa Rica ajustándose a los anexos 2 y 4 de los lineamientos generales de este reglamento, por medio de un sistema convertidor, desarrollado por las entidades y bajo su responsabilidad. El convertidor deberá ser presentado a conocimiento de la superintendencia, debidamente acompañado de un informe sobre su operativa, en el cual deberán exponerse explícitamente las diferencias relevantes en cuanto a prácticas contables entre la jurisdicción de origen y la costarricense y deberá ajustarse tanto en forma como en fondo a lo establecido en este reglamento”.</w:t>
      </w:r>
    </w:p>
    <w:p w14:paraId="63E80D59" w14:textId="77777777" w:rsidR="004F3F7A" w:rsidRPr="00AA1493" w:rsidRDefault="004F3F7A" w:rsidP="004F3F7A">
      <w:pPr>
        <w:jc w:val="both"/>
        <w:rPr>
          <w:i/>
          <w:color w:val="000000" w:themeColor="text1"/>
          <w:sz w:val="22"/>
          <w:szCs w:val="22"/>
          <w:lang w:val="es-CR" w:eastAsia="es-CR"/>
        </w:rPr>
      </w:pPr>
      <w:r w:rsidRPr="00AA1493">
        <w:rPr>
          <w:i/>
          <w:color w:val="000000" w:themeColor="text1"/>
          <w:sz w:val="22"/>
          <w:szCs w:val="22"/>
          <w:lang w:val="es-CR"/>
        </w:rPr>
        <w:tab/>
      </w:r>
    </w:p>
    <w:p w14:paraId="4F2E2FE0" w14:textId="346072AE" w:rsidR="004F3F7A" w:rsidRDefault="004F3F7A" w:rsidP="00AA1493">
      <w:pPr>
        <w:ind w:left="426"/>
        <w:jc w:val="both"/>
        <w:rPr>
          <w:color w:val="000000" w:themeColor="text1"/>
          <w:sz w:val="22"/>
          <w:szCs w:val="22"/>
          <w:lang w:val="es-CR" w:eastAsia="es-CR"/>
        </w:rPr>
      </w:pPr>
      <w:r w:rsidRPr="00AA1493">
        <w:rPr>
          <w:color w:val="000000" w:themeColor="text1"/>
          <w:sz w:val="22"/>
          <w:szCs w:val="22"/>
          <w:lang w:val="es-CR" w:eastAsia="es-CR"/>
        </w:rPr>
        <w:t>Modificado por el Conassif en el artículo 7, del acta de la sesión 1682-2021, celebrada el 23 de agosto del 2021.</w:t>
      </w:r>
    </w:p>
    <w:p w14:paraId="1FEE4EC9" w14:textId="77777777" w:rsidR="00AA1493" w:rsidRPr="00AA1493" w:rsidRDefault="00AA1493" w:rsidP="00AA1493">
      <w:pPr>
        <w:ind w:left="426"/>
        <w:jc w:val="both"/>
        <w:rPr>
          <w:color w:val="000000" w:themeColor="text1"/>
          <w:sz w:val="22"/>
          <w:szCs w:val="22"/>
          <w:lang w:val="es-CR" w:eastAsia="es-CR"/>
        </w:rPr>
      </w:pPr>
    </w:p>
    <w:p w14:paraId="39EF8E66" w14:textId="77777777" w:rsidR="004F3F7A" w:rsidRPr="00AA1493" w:rsidRDefault="004F3F7A" w:rsidP="00AA1493">
      <w:pPr>
        <w:jc w:val="both"/>
        <w:rPr>
          <w:color w:val="000000" w:themeColor="text1"/>
          <w:sz w:val="22"/>
          <w:szCs w:val="22"/>
          <w:lang w:val="es-CR" w:eastAsia="es-CR"/>
        </w:rPr>
      </w:pPr>
      <w:r w:rsidRPr="00AA1493">
        <w:rPr>
          <w:b/>
          <w:bCs/>
          <w:color w:val="000000" w:themeColor="text1"/>
          <w:sz w:val="22"/>
          <w:szCs w:val="22"/>
          <w:lang w:val="es-CR" w:eastAsia="es-CR"/>
        </w:rPr>
        <w:t>Artículo 26. Estructura y codificación de los planes de cuentas.</w:t>
      </w:r>
    </w:p>
    <w:p w14:paraId="3636B9B8" w14:textId="77777777" w:rsidR="004F3F7A" w:rsidRPr="00AA1493" w:rsidRDefault="004F3F7A" w:rsidP="00AA1493">
      <w:pPr>
        <w:jc w:val="both"/>
        <w:rPr>
          <w:color w:val="000000" w:themeColor="text1"/>
          <w:sz w:val="22"/>
          <w:szCs w:val="22"/>
          <w:lang w:val="es-CR" w:eastAsia="es-CR"/>
        </w:rPr>
      </w:pPr>
    </w:p>
    <w:p w14:paraId="6C7F9970"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Los planes de cuentas definidos en los anexos 1 y 2 de los lineamientos generales de este reglamento estarán compuestos por un catálogo de cuentas, un manual de cuentas y cuando corresponda, guías de aplicación para el registro de operaciones específicas, de acuerdo con lo que seguidamente se presenta:</w:t>
      </w:r>
    </w:p>
    <w:p w14:paraId="762E5678" w14:textId="77777777" w:rsidR="004F3F7A" w:rsidRPr="00AF5E52" w:rsidRDefault="004F3F7A" w:rsidP="004F3F7A">
      <w:pPr>
        <w:jc w:val="both"/>
        <w:rPr>
          <w:color w:val="000000" w:themeColor="text1"/>
          <w:sz w:val="22"/>
          <w:szCs w:val="22"/>
          <w:lang w:val="es-CR" w:eastAsia="es-CR"/>
        </w:rPr>
      </w:pPr>
    </w:p>
    <w:p w14:paraId="6AB8324D" w14:textId="77777777" w:rsidR="004F3F7A" w:rsidRPr="00AA1493" w:rsidRDefault="004F3F7A" w:rsidP="004F3F7A">
      <w:pPr>
        <w:ind w:left="567" w:hanging="567"/>
        <w:jc w:val="both"/>
        <w:rPr>
          <w:b/>
          <w:color w:val="000000" w:themeColor="text1"/>
          <w:sz w:val="22"/>
          <w:szCs w:val="22"/>
          <w:lang w:val="es-CR" w:eastAsia="es-CR"/>
        </w:rPr>
      </w:pPr>
      <w:r w:rsidRPr="00AA1493">
        <w:rPr>
          <w:b/>
          <w:bCs/>
          <w:color w:val="000000" w:themeColor="text1"/>
          <w:sz w:val="22"/>
          <w:szCs w:val="22"/>
          <w:lang w:val="es-CR" w:eastAsia="es-CR"/>
        </w:rPr>
        <w:t>a.</w:t>
      </w:r>
      <w:r w:rsidRPr="00AA1493">
        <w:rPr>
          <w:b/>
          <w:bCs/>
          <w:color w:val="000000" w:themeColor="text1"/>
          <w:sz w:val="22"/>
          <w:szCs w:val="22"/>
          <w:lang w:val="es-CR" w:eastAsia="es-CR"/>
        </w:rPr>
        <w:tab/>
      </w:r>
      <w:r w:rsidRPr="00AA1493">
        <w:rPr>
          <w:i/>
          <w:iCs/>
          <w:color w:val="000000" w:themeColor="text1"/>
          <w:sz w:val="22"/>
          <w:szCs w:val="22"/>
          <w:lang w:val="es-CR" w:eastAsia="es-CR"/>
        </w:rPr>
        <w:t>Catálogos de cuentas</w:t>
      </w:r>
      <w:r w:rsidRPr="00AA1493">
        <w:rPr>
          <w:color w:val="000000" w:themeColor="text1"/>
          <w:sz w:val="22"/>
          <w:szCs w:val="22"/>
          <w:lang w:val="es-CR" w:eastAsia="es-CR"/>
        </w:rPr>
        <w:t xml:space="preserve">: Inventario de las clases, grupos, cuentas, subcuentas y cuentas analíticas previstas para el registro de las operaciones. Para las entidades reguladas por Sugef, Sugeval y Supen aplica el catálogo de cuentas homologado, </w:t>
      </w:r>
      <w:r w:rsidRPr="00AA1493">
        <w:rPr>
          <w:bCs/>
          <w:color w:val="000000" w:themeColor="text1"/>
          <w:sz w:val="22"/>
          <w:szCs w:val="22"/>
          <w:lang w:val="es-CR" w:eastAsia="es-CR"/>
        </w:rPr>
        <w:t>(anexo 3 de los lineamientos generales de este reglamento)</w:t>
      </w:r>
      <w:r w:rsidRPr="00AA1493">
        <w:rPr>
          <w:color w:val="000000" w:themeColor="text1"/>
          <w:sz w:val="22"/>
          <w:szCs w:val="22"/>
          <w:lang w:val="es-CR" w:eastAsia="es-CR"/>
        </w:rPr>
        <w:t xml:space="preserve">; mientras que para entidades supervisadas por Sugese aplica el catálogo de cuentas específico para este sector </w:t>
      </w:r>
      <w:r w:rsidRPr="00AA1493">
        <w:rPr>
          <w:bCs/>
          <w:color w:val="000000" w:themeColor="text1"/>
          <w:sz w:val="22"/>
          <w:szCs w:val="22"/>
          <w:lang w:val="es-CR" w:eastAsia="es-CR"/>
        </w:rPr>
        <w:t>(anexo 4 de los lineamientos generales de este reglamento</w:t>
      </w:r>
      <w:r w:rsidRPr="00AA1493">
        <w:rPr>
          <w:color w:val="000000" w:themeColor="text1"/>
          <w:sz w:val="22"/>
          <w:szCs w:val="22"/>
          <w:lang w:val="es-CR" w:eastAsia="es-CR"/>
        </w:rPr>
        <w:t>). Las controladoras de los grupos y conglomerados financieros deben utilizar todo el Plan de Cuentas en la consolidación de su información financiera.</w:t>
      </w:r>
    </w:p>
    <w:p w14:paraId="376EA5CA" w14:textId="77777777" w:rsidR="004F3F7A" w:rsidRPr="00AF5E52" w:rsidRDefault="004F3F7A" w:rsidP="004F3F7A">
      <w:pPr>
        <w:ind w:left="567" w:hanging="567"/>
        <w:jc w:val="both"/>
        <w:rPr>
          <w:color w:val="000000" w:themeColor="text1"/>
          <w:sz w:val="22"/>
          <w:szCs w:val="22"/>
          <w:lang w:val="es-CR" w:eastAsia="es-CR"/>
        </w:rPr>
      </w:pPr>
    </w:p>
    <w:p w14:paraId="2ADB0CDA" w14:textId="2E94A47B" w:rsidR="004F3F7A" w:rsidRPr="00AA1493" w:rsidRDefault="004F3F7A" w:rsidP="004F3F7A">
      <w:pPr>
        <w:ind w:left="567" w:hanging="567"/>
        <w:jc w:val="both"/>
        <w:rPr>
          <w:b/>
          <w:color w:val="000000" w:themeColor="text1"/>
          <w:sz w:val="22"/>
          <w:szCs w:val="22"/>
          <w:lang w:val="es-CR" w:eastAsia="es-CR"/>
        </w:rPr>
      </w:pPr>
      <w:r w:rsidRPr="00AA1493">
        <w:rPr>
          <w:b/>
          <w:bCs/>
          <w:color w:val="000000" w:themeColor="text1"/>
          <w:sz w:val="22"/>
          <w:szCs w:val="22"/>
          <w:lang w:val="es-CR" w:eastAsia="es-CR"/>
        </w:rPr>
        <w:t>b.</w:t>
      </w:r>
      <w:r w:rsidRPr="00AA1493">
        <w:rPr>
          <w:b/>
          <w:bCs/>
          <w:color w:val="000000" w:themeColor="text1"/>
          <w:sz w:val="22"/>
          <w:szCs w:val="22"/>
          <w:lang w:val="es-CR" w:eastAsia="es-CR"/>
        </w:rPr>
        <w:tab/>
      </w:r>
      <w:r w:rsidRPr="00AA1493">
        <w:rPr>
          <w:i/>
          <w:iCs/>
          <w:color w:val="000000" w:themeColor="text1"/>
          <w:sz w:val="22"/>
          <w:szCs w:val="22"/>
          <w:lang w:val="es-CR" w:eastAsia="es-CR"/>
        </w:rPr>
        <w:t>Manual de cuentas</w:t>
      </w:r>
      <w:r w:rsidRPr="00AA1493">
        <w:rPr>
          <w:color w:val="000000" w:themeColor="text1"/>
          <w:sz w:val="22"/>
          <w:szCs w:val="22"/>
          <w:lang w:val="es-CR" w:eastAsia="es-CR"/>
        </w:rPr>
        <w:t>: Define los conceptos de las cuentas indicadas en el catálogo.</w:t>
      </w:r>
    </w:p>
    <w:p w14:paraId="3088D233" w14:textId="77777777" w:rsidR="004F3F7A" w:rsidRPr="00AF5E52" w:rsidRDefault="004F3F7A" w:rsidP="004F3F7A">
      <w:pPr>
        <w:ind w:left="567" w:hanging="567"/>
        <w:jc w:val="both"/>
        <w:rPr>
          <w:color w:val="000000" w:themeColor="text1"/>
          <w:sz w:val="22"/>
          <w:szCs w:val="22"/>
          <w:lang w:val="es-CR" w:eastAsia="es-CR"/>
        </w:rPr>
      </w:pPr>
    </w:p>
    <w:p w14:paraId="0BF4C18D" w14:textId="77777777" w:rsidR="004F3F7A" w:rsidRPr="00AA1493" w:rsidRDefault="004F3F7A" w:rsidP="004F3F7A">
      <w:pPr>
        <w:ind w:left="567" w:hanging="567"/>
        <w:jc w:val="both"/>
        <w:rPr>
          <w:b/>
          <w:color w:val="000000" w:themeColor="text1"/>
          <w:sz w:val="22"/>
          <w:szCs w:val="22"/>
          <w:lang w:val="es-CR" w:eastAsia="es-CR"/>
        </w:rPr>
      </w:pPr>
      <w:r w:rsidRPr="00AA1493">
        <w:rPr>
          <w:b/>
          <w:bCs/>
          <w:color w:val="000000" w:themeColor="text1"/>
          <w:sz w:val="22"/>
          <w:szCs w:val="22"/>
          <w:lang w:val="es-CR" w:eastAsia="es-CR"/>
        </w:rPr>
        <w:t>c.</w:t>
      </w:r>
      <w:r w:rsidRPr="00AA1493">
        <w:rPr>
          <w:b/>
          <w:bCs/>
          <w:color w:val="000000" w:themeColor="text1"/>
          <w:sz w:val="22"/>
          <w:szCs w:val="22"/>
          <w:lang w:val="es-CR" w:eastAsia="es-CR"/>
        </w:rPr>
        <w:tab/>
      </w:r>
      <w:r w:rsidRPr="00AA1493">
        <w:rPr>
          <w:i/>
          <w:iCs/>
          <w:color w:val="000000" w:themeColor="text1"/>
          <w:sz w:val="22"/>
          <w:szCs w:val="22"/>
          <w:lang w:val="es-CR" w:eastAsia="es-CR"/>
        </w:rPr>
        <w:t>Guías de aplicación</w:t>
      </w:r>
      <w:r w:rsidRPr="00AA1493">
        <w:rPr>
          <w:color w:val="000000" w:themeColor="text1"/>
          <w:sz w:val="22"/>
          <w:szCs w:val="22"/>
          <w:lang w:val="es-CR" w:eastAsia="es-CR"/>
        </w:rPr>
        <w:t xml:space="preserve">: Ejemplos de operaciones contables o metodología de valoración de partidas contables que permite aclarar su registro, </w:t>
      </w:r>
      <w:r w:rsidRPr="00AA1493">
        <w:rPr>
          <w:bCs/>
          <w:color w:val="000000" w:themeColor="text1"/>
          <w:sz w:val="22"/>
          <w:szCs w:val="22"/>
          <w:lang w:val="es-CR" w:eastAsia="es-CR"/>
        </w:rPr>
        <w:t>valoración</w:t>
      </w:r>
      <w:r w:rsidRPr="00AA1493">
        <w:rPr>
          <w:color w:val="000000" w:themeColor="text1"/>
          <w:sz w:val="22"/>
          <w:szCs w:val="22"/>
          <w:lang w:val="es-CR" w:eastAsia="es-CR"/>
        </w:rPr>
        <w:t>, presentación o revelación.</w:t>
      </w:r>
    </w:p>
    <w:p w14:paraId="47B1FB97" w14:textId="77777777" w:rsidR="004F3F7A" w:rsidRPr="00AA1493" w:rsidRDefault="004F3F7A" w:rsidP="004F3F7A">
      <w:pPr>
        <w:jc w:val="both"/>
        <w:rPr>
          <w:color w:val="000000" w:themeColor="text1"/>
          <w:sz w:val="22"/>
          <w:szCs w:val="22"/>
          <w:lang w:val="es-CR" w:eastAsia="es-CR"/>
        </w:rPr>
      </w:pPr>
    </w:p>
    <w:p w14:paraId="120DA0A2"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Los superintendentes conjunta o separadamente pueden emitir las guías de </w:t>
      </w:r>
      <w:r w:rsidRPr="00AA1493">
        <w:rPr>
          <w:bCs/>
          <w:color w:val="000000" w:themeColor="text1"/>
          <w:sz w:val="22"/>
          <w:szCs w:val="22"/>
          <w:lang w:val="es-CR" w:eastAsia="es-CR"/>
        </w:rPr>
        <w:t xml:space="preserve">aplicación </w:t>
      </w:r>
      <w:r w:rsidRPr="00AA1493">
        <w:rPr>
          <w:color w:val="000000" w:themeColor="text1"/>
          <w:sz w:val="22"/>
          <w:szCs w:val="22"/>
          <w:lang w:val="es-CR" w:eastAsia="es-CR"/>
        </w:rPr>
        <w:t>que consideren necesarias</w:t>
      </w:r>
      <w:r w:rsidRPr="00AA1493">
        <w:rPr>
          <w:b/>
          <w:bCs/>
          <w:color w:val="000000" w:themeColor="text1"/>
          <w:sz w:val="22"/>
          <w:szCs w:val="22"/>
          <w:lang w:val="es-CR" w:eastAsia="es-CR"/>
        </w:rPr>
        <w:t xml:space="preserve"> </w:t>
      </w:r>
      <w:r w:rsidRPr="00AA1493">
        <w:rPr>
          <w:bCs/>
          <w:color w:val="000000" w:themeColor="text1"/>
          <w:sz w:val="22"/>
          <w:szCs w:val="22"/>
          <w:lang w:val="es-CR" w:eastAsia="es-CR"/>
        </w:rPr>
        <w:t>para ejemplificar la operación de algunas transacciones según</w:t>
      </w:r>
      <w:r w:rsidRPr="00AA1493">
        <w:rPr>
          <w:color w:val="000000" w:themeColor="text1"/>
          <w:sz w:val="22"/>
          <w:szCs w:val="22"/>
          <w:lang w:val="es-CR" w:eastAsia="es-CR"/>
        </w:rPr>
        <w:t xml:space="preserve"> el Plan de Cuentas por parte de las entidades reguladas.</w:t>
      </w:r>
    </w:p>
    <w:p w14:paraId="2FD812FC" w14:textId="77777777" w:rsidR="004F3F7A" w:rsidRPr="00AA1493" w:rsidRDefault="004F3F7A" w:rsidP="004F3F7A">
      <w:pPr>
        <w:jc w:val="both"/>
        <w:rPr>
          <w:color w:val="000000" w:themeColor="text1"/>
          <w:sz w:val="22"/>
          <w:szCs w:val="22"/>
          <w:lang w:val="es-CR" w:eastAsia="es-CR"/>
        </w:rPr>
      </w:pPr>
    </w:p>
    <w:p w14:paraId="0F5D26DD"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El catálogo está estructurado sobre la base de un sistema de codificación numérico de cuentas que contempla distintos niveles de agregación, tal como se explica de seguido:</w:t>
      </w:r>
    </w:p>
    <w:p w14:paraId="03A8B38C" w14:textId="77777777" w:rsidR="004F3F7A" w:rsidRPr="00AF5E52" w:rsidRDefault="004F3F7A" w:rsidP="004F3F7A">
      <w:pPr>
        <w:jc w:val="both"/>
        <w:rPr>
          <w:bCs/>
          <w:color w:val="000000" w:themeColor="text1"/>
          <w:sz w:val="22"/>
          <w:szCs w:val="22"/>
          <w:lang w:val="es-CR" w:eastAsia="es-CR"/>
        </w:rPr>
      </w:pPr>
    </w:p>
    <w:tbl>
      <w:tblPr>
        <w:tblW w:w="515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343"/>
      </w:tblGrid>
      <w:tr w:rsidR="004F3F7A" w:rsidRPr="00AA1493" w14:paraId="6D47271D" w14:textId="77777777" w:rsidTr="00854896">
        <w:trPr>
          <w:trHeight w:val="290"/>
        </w:trPr>
        <w:tc>
          <w:tcPr>
            <w:tcW w:w="5000" w:type="pct"/>
            <w:tcBorders>
              <w:top w:val="single" w:sz="4" w:space="0" w:color="auto"/>
              <w:left w:val="single" w:sz="4" w:space="0" w:color="auto"/>
              <w:bottom w:val="single" w:sz="4" w:space="0" w:color="auto"/>
              <w:right w:val="single" w:sz="4" w:space="0" w:color="auto"/>
            </w:tcBorders>
            <w:vAlign w:val="center"/>
          </w:tcPr>
          <w:p w14:paraId="79FCAB5E"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lastRenderedPageBreak/>
              <w:t>a.</w:t>
            </w:r>
            <w:r w:rsidRPr="00AA1493">
              <w:rPr>
                <w:b/>
                <w:bCs/>
                <w:color w:val="000000" w:themeColor="text1"/>
                <w:sz w:val="22"/>
                <w:szCs w:val="22"/>
                <w:lang w:val="es-CR" w:eastAsia="es-CR"/>
              </w:rPr>
              <w:tab/>
            </w:r>
            <w:r w:rsidRPr="00AA1493">
              <w:rPr>
                <w:b/>
                <w:bCs/>
                <w:i/>
                <w:iCs/>
                <w:color w:val="000000" w:themeColor="text1"/>
                <w:sz w:val="22"/>
                <w:szCs w:val="22"/>
                <w:lang w:val="es-CR" w:eastAsia="es-CR"/>
              </w:rPr>
              <w:t>Niveles de agregación</w:t>
            </w:r>
            <w:r w:rsidRPr="00AA1493">
              <w:rPr>
                <w:b/>
                <w:bCs/>
                <w:color w:val="000000" w:themeColor="text1"/>
                <w:sz w:val="22"/>
                <w:szCs w:val="22"/>
                <w:lang w:val="es-CR" w:eastAsia="es-CR"/>
              </w:rPr>
              <w:t xml:space="preserve">: </w:t>
            </w:r>
          </w:p>
        </w:tc>
      </w:tr>
      <w:tr w:rsidR="004F3F7A" w:rsidRPr="00AA1493" w14:paraId="1D3114FE" w14:textId="77777777" w:rsidTr="00854896">
        <w:trPr>
          <w:trHeight w:val="2631"/>
        </w:trPr>
        <w:tc>
          <w:tcPr>
            <w:tcW w:w="5000" w:type="pct"/>
            <w:tcBorders>
              <w:top w:val="single" w:sz="4" w:space="0" w:color="auto"/>
              <w:left w:val="single" w:sz="4" w:space="0" w:color="auto"/>
              <w:bottom w:val="single" w:sz="4" w:space="0" w:color="auto"/>
              <w:right w:val="single" w:sz="4" w:space="0" w:color="auto"/>
            </w:tcBorders>
            <w:vAlign w:val="center"/>
          </w:tcPr>
          <w:tbl>
            <w:tblPr>
              <w:tblStyle w:val="Tablaconcuadrcula"/>
              <w:tblW w:w="4722" w:type="pct"/>
              <w:jc w:val="center"/>
              <w:tblLayout w:type="fixed"/>
              <w:tblLook w:val="04A0" w:firstRow="1" w:lastRow="0" w:firstColumn="1" w:lastColumn="0" w:noHBand="0" w:noVBand="1"/>
            </w:tblPr>
            <w:tblGrid>
              <w:gridCol w:w="2556"/>
              <w:gridCol w:w="3343"/>
              <w:gridCol w:w="2783"/>
            </w:tblGrid>
            <w:tr w:rsidR="004F3F7A" w:rsidRPr="00AA1493" w14:paraId="4C60F528" w14:textId="77777777" w:rsidTr="004F3F7A">
              <w:trPr>
                <w:trHeight w:val="643"/>
                <w:jc w:val="center"/>
              </w:trPr>
              <w:tc>
                <w:tcPr>
                  <w:tcW w:w="1472" w:type="pct"/>
                  <w:tcBorders>
                    <w:top w:val="single" w:sz="4" w:space="0" w:color="auto"/>
                    <w:left w:val="single" w:sz="4" w:space="0" w:color="auto"/>
                    <w:bottom w:val="single" w:sz="4" w:space="0" w:color="auto"/>
                    <w:right w:val="single" w:sz="4" w:space="0" w:color="auto"/>
                  </w:tcBorders>
                  <w:shd w:val="clear" w:color="auto" w:fill="B4C6E7"/>
                  <w:vAlign w:val="center"/>
                </w:tcPr>
                <w:p w14:paraId="5DB46803" w14:textId="77777777" w:rsidR="004F3F7A" w:rsidRPr="00AA1493" w:rsidRDefault="004F3F7A" w:rsidP="004F3F7A">
                  <w:pPr>
                    <w:jc w:val="center"/>
                    <w:rPr>
                      <w:color w:val="000000" w:themeColor="text1"/>
                      <w:sz w:val="22"/>
                      <w:szCs w:val="22"/>
                      <w:lang w:val="es-CR"/>
                    </w:rPr>
                  </w:pPr>
                </w:p>
              </w:tc>
              <w:tc>
                <w:tcPr>
                  <w:tcW w:w="1925" w:type="pct"/>
                  <w:tcBorders>
                    <w:top w:val="single" w:sz="4" w:space="0" w:color="auto"/>
                    <w:left w:val="single" w:sz="4" w:space="0" w:color="auto"/>
                    <w:bottom w:val="single" w:sz="4" w:space="0" w:color="auto"/>
                    <w:right w:val="single" w:sz="4" w:space="0" w:color="auto"/>
                  </w:tcBorders>
                  <w:shd w:val="clear" w:color="auto" w:fill="B4C6E7"/>
                  <w:vAlign w:val="center"/>
                  <w:hideMark/>
                </w:tcPr>
                <w:p w14:paraId="6D072B41" w14:textId="77777777" w:rsidR="004F3F7A" w:rsidRPr="00AA1493" w:rsidRDefault="004F3F7A" w:rsidP="004F3F7A">
                  <w:pPr>
                    <w:jc w:val="center"/>
                    <w:rPr>
                      <w:color w:val="000000" w:themeColor="text1"/>
                      <w:sz w:val="22"/>
                      <w:szCs w:val="22"/>
                      <w:lang w:val="es-CR"/>
                    </w:rPr>
                  </w:pPr>
                  <w:r w:rsidRPr="00AA1493">
                    <w:rPr>
                      <w:b/>
                      <w:bCs/>
                      <w:color w:val="000000" w:themeColor="text1"/>
                      <w:sz w:val="22"/>
                      <w:szCs w:val="22"/>
                      <w:lang w:val="es-CR"/>
                    </w:rPr>
                    <w:t>Plan de Cuentas Homologado</w:t>
                  </w:r>
                </w:p>
              </w:tc>
              <w:tc>
                <w:tcPr>
                  <w:tcW w:w="1603" w:type="pct"/>
                  <w:tcBorders>
                    <w:top w:val="single" w:sz="4" w:space="0" w:color="auto"/>
                    <w:left w:val="single" w:sz="4" w:space="0" w:color="auto"/>
                    <w:bottom w:val="single" w:sz="4" w:space="0" w:color="auto"/>
                    <w:right w:val="single" w:sz="4" w:space="0" w:color="auto"/>
                  </w:tcBorders>
                  <w:shd w:val="clear" w:color="auto" w:fill="B4C6E7"/>
                  <w:vAlign w:val="center"/>
                  <w:hideMark/>
                </w:tcPr>
                <w:p w14:paraId="47135998" w14:textId="77777777" w:rsidR="004F3F7A" w:rsidRPr="00AA1493" w:rsidRDefault="004F3F7A" w:rsidP="004F3F7A">
                  <w:pPr>
                    <w:jc w:val="center"/>
                    <w:rPr>
                      <w:color w:val="000000" w:themeColor="text1"/>
                      <w:sz w:val="22"/>
                      <w:szCs w:val="22"/>
                      <w:lang w:val="es-CR"/>
                    </w:rPr>
                  </w:pPr>
                  <w:r w:rsidRPr="00AA1493">
                    <w:rPr>
                      <w:b/>
                      <w:bCs/>
                      <w:color w:val="000000" w:themeColor="text1"/>
                      <w:sz w:val="22"/>
                      <w:szCs w:val="22"/>
                      <w:lang w:val="es-CR"/>
                    </w:rPr>
                    <w:t>Plan de Cuentas de Seguros y Reaseguros</w:t>
                  </w:r>
                </w:p>
              </w:tc>
            </w:tr>
            <w:tr w:rsidR="004F3F7A" w:rsidRPr="00AA1493" w14:paraId="60532184" w14:textId="77777777" w:rsidTr="00854896">
              <w:trPr>
                <w:trHeight w:val="260"/>
                <w:jc w:val="center"/>
              </w:trPr>
              <w:tc>
                <w:tcPr>
                  <w:tcW w:w="1472" w:type="pct"/>
                  <w:tcBorders>
                    <w:top w:val="single" w:sz="4" w:space="0" w:color="auto"/>
                    <w:left w:val="single" w:sz="4" w:space="0" w:color="auto"/>
                    <w:bottom w:val="single" w:sz="4" w:space="0" w:color="auto"/>
                    <w:right w:val="single" w:sz="4" w:space="0" w:color="auto"/>
                  </w:tcBorders>
                </w:tcPr>
                <w:p w14:paraId="3EA9F0AC" w14:textId="77777777" w:rsidR="004F3F7A" w:rsidRPr="00AA1493" w:rsidRDefault="004F3F7A" w:rsidP="004F3F7A">
                  <w:pPr>
                    <w:jc w:val="center"/>
                    <w:rPr>
                      <w:color w:val="000000" w:themeColor="text1"/>
                      <w:sz w:val="22"/>
                      <w:szCs w:val="22"/>
                      <w:lang w:val="es-CR"/>
                    </w:rPr>
                  </w:pPr>
                </w:p>
              </w:tc>
              <w:tc>
                <w:tcPr>
                  <w:tcW w:w="1925" w:type="pct"/>
                  <w:tcBorders>
                    <w:top w:val="single" w:sz="4" w:space="0" w:color="auto"/>
                    <w:left w:val="single" w:sz="4" w:space="0" w:color="auto"/>
                    <w:bottom w:val="single" w:sz="4" w:space="0" w:color="auto"/>
                    <w:right w:val="single" w:sz="4" w:space="0" w:color="auto"/>
                  </w:tcBorders>
                  <w:hideMark/>
                </w:tcPr>
                <w:p w14:paraId="1882DAF7" w14:textId="77777777" w:rsidR="004F3F7A" w:rsidRPr="00AA1493" w:rsidRDefault="004F3F7A" w:rsidP="004F3F7A">
                  <w:pPr>
                    <w:rPr>
                      <w:color w:val="000000" w:themeColor="text1"/>
                      <w:sz w:val="22"/>
                      <w:szCs w:val="22"/>
                      <w:lang w:val="es-CR"/>
                    </w:rPr>
                  </w:pPr>
                  <w:r w:rsidRPr="00AA1493">
                    <w:rPr>
                      <w:color w:val="000000" w:themeColor="text1"/>
                      <w:sz w:val="22"/>
                      <w:szCs w:val="22"/>
                      <w:lang w:val="es-CR"/>
                    </w:rPr>
                    <w:t>Se identifica con:</w:t>
                  </w:r>
                </w:p>
              </w:tc>
              <w:tc>
                <w:tcPr>
                  <w:tcW w:w="1603" w:type="pct"/>
                  <w:tcBorders>
                    <w:top w:val="single" w:sz="4" w:space="0" w:color="auto"/>
                    <w:left w:val="single" w:sz="4" w:space="0" w:color="auto"/>
                    <w:bottom w:val="single" w:sz="4" w:space="0" w:color="auto"/>
                    <w:right w:val="single" w:sz="4" w:space="0" w:color="auto"/>
                  </w:tcBorders>
                  <w:hideMark/>
                </w:tcPr>
                <w:p w14:paraId="6F16FF75" w14:textId="77777777" w:rsidR="004F3F7A" w:rsidRPr="00AA1493" w:rsidRDefault="004F3F7A" w:rsidP="004F3F7A">
                  <w:pPr>
                    <w:rPr>
                      <w:color w:val="000000" w:themeColor="text1"/>
                      <w:sz w:val="22"/>
                      <w:szCs w:val="22"/>
                      <w:lang w:val="es-CR"/>
                    </w:rPr>
                  </w:pPr>
                  <w:r w:rsidRPr="00AA1493">
                    <w:rPr>
                      <w:color w:val="000000" w:themeColor="text1"/>
                      <w:sz w:val="22"/>
                      <w:szCs w:val="22"/>
                      <w:lang w:val="es-CR"/>
                    </w:rPr>
                    <w:t>Se identifica con:</w:t>
                  </w:r>
                </w:p>
              </w:tc>
            </w:tr>
            <w:tr w:rsidR="004F3F7A" w:rsidRPr="00AA1493" w14:paraId="01D0764F" w14:textId="77777777" w:rsidTr="00854896">
              <w:trPr>
                <w:trHeight w:val="264"/>
                <w:jc w:val="center"/>
              </w:trPr>
              <w:tc>
                <w:tcPr>
                  <w:tcW w:w="1472" w:type="pct"/>
                  <w:tcBorders>
                    <w:top w:val="single" w:sz="4" w:space="0" w:color="auto"/>
                    <w:left w:val="single" w:sz="4" w:space="0" w:color="auto"/>
                    <w:bottom w:val="single" w:sz="4" w:space="0" w:color="auto"/>
                    <w:right w:val="single" w:sz="4" w:space="0" w:color="auto"/>
                  </w:tcBorders>
                  <w:hideMark/>
                </w:tcPr>
                <w:p w14:paraId="7039A216"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Clase</w:t>
                  </w:r>
                </w:p>
              </w:tc>
              <w:tc>
                <w:tcPr>
                  <w:tcW w:w="1925" w:type="pct"/>
                  <w:tcBorders>
                    <w:top w:val="single" w:sz="4" w:space="0" w:color="auto"/>
                    <w:left w:val="single" w:sz="4" w:space="0" w:color="auto"/>
                    <w:bottom w:val="single" w:sz="4" w:space="0" w:color="auto"/>
                    <w:right w:val="single" w:sz="4" w:space="0" w:color="auto"/>
                  </w:tcBorders>
                  <w:hideMark/>
                </w:tcPr>
                <w:p w14:paraId="6E0C1DBA"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Primer dígito</w:t>
                  </w:r>
                </w:p>
              </w:tc>
              <w:tc>
                <w:tcPr>
                  <w:tcW w:w="1603" w:type="pct"/>
                  <w:tcBorders>
                    <w:top w:val="single" w:sz="4" w:space="0" w:color="auto"/>
                    <w:left w:val="single" w:sz="4" w:space="0" w:color="auto"/>
                    <w:bottom w:val="single" w:sz="4" w:space="0" w:color="auto"/>
                    <w:right w:val="single" w:sz="4" w:space="0" w:color="auto"/>
                  </w:tcBorders>
                  <w:hideMark/>
                </w:tcPr>
                <w:p w14:paraId="61DD4C99"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Primer dígito</w:t>
                  </w:r>
                </w:p>
              </w:tc>
            </w:tr>
            <w:tr w:rsidR="004F3F7A" w:rsidRPr="00AA1493" w14:paraId="40BC673B" w14:textId="77777777" w:rsidTr="00854896">
              <w:trPr>
                <w:trHeight w:val="254"/>
                <w:jc w:val="center"/>
              </w:trPr>
              <w:tc>
                <w:tcPr>
                  <w:tcW w:w="1472" w:type="pct"/>
                  <w:tcBorders>
                    <w:top w:val="single" w:sz="4" w:space="0" w:color="auto"/>
                    <w:left w:val="single" w:sz="4" w:space="0" w:color="auto"/>
                    <w:bottom w:val="single" w:sz="4" w:space="0" w:color="auto"/>
                    <w:right w:val="single" w:sz="4" w:space="0" w:color="auto"/>
                  </w:tcBorders>
                  <w:hideMark/>
                </w:tcPr>
                <w:p w14:paraId="35575751"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Grupo</w:t>
                  </w:r>
                </w:p>
              </w:tc>
              <w:tc>
                <w:tcPr>
                  <w:tcW w:w="1925" w:type="pct"/>
                  <w:tcBorders>
                    <w:top w:val="single" w:sz="4" w:space="0" w:color="auto"/>
                    <w:left w:val="single" w:sz="4" w:space="0" w:color="auto"/>
                    <w:bottom w:val="single" w:sz="4" w:space="0" w:color="auto"/>
                    <w:right w:val="single" w:sz="4" w:space="0" w:color="auto"/>
                  </w:tcBorders>
                  <w:hideMark/>
                </w:tcPr>
                <w:p w14:paraId="72BD951E"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Dos primeros dígitos</w:t>
                  </w:r>
                </w:p>
              </w:tc>
              <w:tc>
                <w:tcPr>
                  <w:tcW w:w="1603" w:type="pct"/>
                  <w:tcBorders>
                    <w:top w:val="single" w:sz="4" w:space="0" w:color="auto"/>
                    <w:left w:val="single" w:sz="4" w:space="0" w:color="auto"/>
                    <w:bottom w:val="single" w:sz="4" w:space="0" w:color="auto"/>
                    <w:right w:val="single" w:sz="4" w:space="0" w:color="auto"/>
                  </w:tcBorders>
                  <w:hideMark/>
                </w:tcPr>
                <w:p w14:paraId="6E0E96CF"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Cuatro primeros dígitos</w:t>
                  </w:r>
                </w:p>
              </w:tc>
            </w:tr>
            <w:tr w:rsidR="004F3F7A" w:rsidRPr="00AA1493" w14:paraId="628A0452" w14:textId="77777777" w:rsidTr="00854896">
              <w:trPr>
                <w:trHeight w:val="258"/>
                <w:jc w:val="center"/>
              </w:trPr>
              <w:tc>
                <w:tcPr>
                  <w:tcW w:w="1472" w:type="pct"/>
                  <w:tcBorders>
                    <w:top w:val="single" w:sz="4" w:space="0" w:color="auto"/>
                    <w:left w:val="single" w:sz="4" w:space="0" w:color="auto"/>
                    <w:bottom w:val="single" w:sz="4" w:space="0" w:color="auto"/>
                    <w:right w:val="single" w:sz="4" w:space="0" w:color="auto"/>
                  </w:tcBorders>
                  <w:hideMark/>
                </w:tcPr>
                <w:p w14:paraId="16D108CB"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Cuenta</w:t>
                  </w:r>
                </w:p>
              </w:tc>
              <w:tc>
                <w:tcPr>
                  <w:tcW w:w="1925" w:type="pct"/>
                  <w:tcBorders>
                    <w:top w:val="single" w:sz="4" w:space="0" w:color="auto"/>
                    <w:left w:val="single" w:sz="4" w:space="0" w:color="auto"/>
                    <w:bottom w:val="single" w:sz="4" w:space="0" w:color="auto"/>
                    <w:right w:val="single" w:sz="4" w:space="0" w:color="auto"/>
                  </w:tcBorders>
                  <w:hideMark/>
                </w:tcPr>
                <w:p w14:paraId="6C4B1CB9"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Tres primeros dígitos</w:t>
                  </w:r>
                </w:p>
              </w:tc>
              <w:tc>
                <w:tcPr>
                  <w:tcW w:w="1603" w:type="pct"/>
                  <w:tcBorders>
                    <w:top w:val="single" w:sz="4" w:space="0" w:color="auto"/>
                    <w:left w:val="single" w:sz="4" w:space="0" w:color="auto"/>
                    <w:bottom w:val="single" w:sz="4" w:space="0" w:color="auto"/>
                    <w:right w:val="single" w:sz="4" w:space="0" w:color="auto"/>
                  </w:tcBorders>
                  <w:hideMark/>
                </w:tcPr>
                <w:p w14:paraId="1899E244"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Siete primeros dígitos</w:t>
                  </w:r>
                </w:p>
              </w:tc>
            </w:tr>
            <w:tr w:rsidR="004F3F7A" w:rsidRPr="00AA1493" w14:paraId="648650A8" w14:textId="77777777" w:rsidTr="00854896">
              <w:trPr>
                <w:trHeight w:val="262"/>
                <w:jc w:val="center"/>
              </w:trPr>
              <w:tc>
                <w:tcPr>
                  <w:tcW w:w="1472" w:type="pct"/>
                  <w:tcBorders>
                    <w:top w:val="single" w:sz="4" w:space="0" w:color="auto"/>
                    <w:left w:val="single" w:sz="4" w:space="0" w:color="auto"/>
                    <w:bottom w:val="single" w:sz="4" w:space="0" w:color="auto"/>
                    <w:right w:val="single" w:sz="4" w:space="0" w:color="auto"/>
                  </w:tcBorders>
                  <w:hideMark/>
                </w:tcPr>
                <w:p w14:paraId="63D4B1C7"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Subcuenta</w:t>
                  </w:r>
                </w:p>
              </w:tc>
              <w:tc>
                <w:tcPr>
                  <w:tcW w:w="1925" w:type="pct"/>
                  <w:tcBorders>
                    <w:top w:val="single" w:sz="4" w:space="0" w:color="auto"/>
                    <w:left w:val="single" w:sz="4" w:space="0" w:color="auto"/>
                    <w:bottom w:val="single" w:sz="4" w:space="0" w:color="auto"/>
                    <w:right w:val="single" w:sz="4" w:space="0" w:color="auto"/>
                  </w:tcBorders>
                  <w:hideMark/>
                </w:tcPr>
                <w:p w14:paraId="71B50006"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Cinco primeros dígitos</w:t>
                  </w:r>
                </w:p>
              </w:tc>
              <w:tc>
                <w:tcPr>
                  <w:tcW w:w="1603" w:type="pct"/>
                  <w:tcBorders>
                    <w:top w:val="single" w:sz="4" w:space="0" w:color="auto"/>
                    <w:left w:val="single" w:sz="4" w:space="0" w:color="auto"/>
                    <w:bottom w:val="single" w:sz="4" w:space="0" w:color="auto"/>
                    <w:right w:val="single" w:sz="4" w:space="0" w:color="auto"/>
                  </w:tcBorders>
                  <w:hideMark/>
                </w:tcPr>
                <w:p w14:paraId="47CED320"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Diez primeros dígitos</w:t>
                  </w:r>
                </w:p>
              </w:tc>
            </w:tr>
            <w:tr w:rsidR="004F3F7A" w:rsidRPr="00AA1493" w14:paraId="204BB984" w14:textId="77777777" w:rsidTr="00854896">
              <w:trPr>
                <w:trHeight w:val="251"/>
                <w:jc w:val="center"/>
              </w:trPr>
              <w:tc>
                <w:tcPr>
                  <w:tcW w:w="1472" w:type="pct"/>
                  <w:tcBorders>
                    <w:top w:val="single" w:sz="4" w:space="0" w:color="auto"/>
                    <w:left w:val="single" w:sz="4" w:space="0" w:color="auto"/>
                    <w:bottom w:val="single" w:sz="4" w:space="0" w:color="auto"/>
                    <w:right w:val="single" w:sz="4" w:space="0" w:color="auto"/>
                  </w:tcBorders>
                  <w:hideMark/>
                </w:tcPr>
                <w:p w14:paraId="0FD13BAA"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Moneda</w:t>
                  </w:r>
                </w:p>
              </w:tc>
              <w:tc>
                <w:tcPr>
                  <w:tcW w:w="1925" w:type="pct"/>
                  <w:tcBorders>
                    <w:top w:val="single" w:sz="4" w:space="0" w:color="auto"/>
                    <w:left w:val="single" w:sz="4" w:space="0" w:color="auto"/>
                    <w:bottom w:val="single" w:sz="4" w:space="0" w:color="auto"/>
                    <w:right w:val="single" w:sz="4" w:space="0" w:color="auto"/>
                  </w:tcBorders>
                  <w:hideMark/>
                </w:tcPr>
                <w:p w14:paraId="68EA9B2F"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Sexto dígito</w:t>
                  </w:r>
                </w:p>
              </w:tc>
              <w:tc>
                <w:tcPr>
                  <w:tcW w:w="1603" w:type="pct"/>
                  <w:tcBorders>
                    <w:top w:val="single" w:sz="4" w:space="0" w:color="auto"/>
                    <w:left w:val="single" w:sz="4" w:space="0" w:color="auto"/>
                    <w:bottom w:val="single" w:sz="4" w:space="0" w:color="auto"/>
                    <w:right w:val="single" w:sz="4" w:space="0" w:color="auto"/>
                  </w:tcBorders>
                  <w:hideMark/>
                </w:tcPr>
                <w:p w14:paraId="0B503D48"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Onceavo dígito</w:t>
                  </w:r>
                </w:p>
              </w:tc>
            </w:tr>
            <w:tr w:rsidR="004F3F7A" w:rsidRPr="00AA1493" w14:paraId="49B687F1" w14:textId="77777777" w:rsidTr="00854896">
              <w:trPr>
                <w:trHeight w:val="256"/>
                <w:jc w:val="center"/>
              </w:trPr>
              <w:tc>
                <w:tcPr>
                  <w:tcW w:w="1472" w:type="pct"/>
                  <w:tcBorders>
                    <w:top w:val="single" w:sz="4" w:space="0" w:color="auto"/>
                    <w:left w:val="single" w:sz="4" w:space="0" w:color="auto"/>
                    <w:bottom w:val="single" w:sz="4" w:space="0" w:color="auto"/>
                    <w:right w:val="single" w:sz="4" w:space="0" w:color="auto"/>
                  </w:tcBorders>
                  <w:hideMark/>
                </w:tcPr>
                <w:p w14:paraId="1418C5F0" w14:textId="77777777" w:rsidR="004F3F7A" w:rsidRPr="00AA1493" w:rsidRDefault="004F3F7A" w:rsidP="004F3F7A">
                  <w:pPr>
                    <w:rPr>
                      <w:b/>
                      <w:color w:val="000000" w:themeColor="text1"/>
                      <w:sz w:val="22"/>
                      <w:szCs w:val="22"/>
                      <w:lang w:val="es-CR"/>
                    </w:rPr>
                  </w:pPr>
                  <w:r w:rsidRPr="00AA1493">
                    <w:rPr>
                      <w:b/>
                      <w:color w:val="000000" w:themeColor="text1"/>
                      <w:sz w:val="22"/>
                      <w:szCs w:val="22"/>
                      <w:lang w:val="es-CR"/>
                    </w:rPr>
                    <w:t>Cuenta Analítica</w:t>
                  </w:r>
                </w:p>
              </w:tc>
              <w:tc>
                <w:tcPr>
                  <w:tcW w:w="1925" w:type="pct"/>
                  <w:tcBorders>
                    <w:top w:val="single" w:sz="4" w:space="0" w:color="auto"/>
                    <w:left w:val="single" w:sz="4" w:space="0" w:color="auto"/>
                    <w:bottom w:val="single" w:sz="4" w:space="0" w:color="auto"/>
                    <w:right w:val="single" w:sz="4" w:space="0" w:color="auto"/>
                  </w:tcBorders>
                  <w:hideMark/>
                </w:tcPr>
                <w:p w14:paraId="156E3885" w14:textId="77777777" w:rsidR="004F3F7A" w:rsidRPr="00AA1493" w:rsidRDefault="004F3F7A" w:rsidP="004F3F7A">
                  <w:pPr>
                    <w:ind w:left="141" w:hanging="180"/>
                    <w:rPr>
                      <w:color w:val="000000" w:themeColor="text1"/>
                      <w:sz w:val="22"/>
                      <w:szCs w:val="22"/>
                      <w:lang w:val="es-CR"/>
                    </w:rPr>
                  </w:pPr>
                  <w:r w:rsidRPr="00AA1493">
                    <w:rPr>
                      <w:rFonts w:eastAsia="Calibri"/>
                      <w:color w:val="000000" w:themeColor="text1"/>
                      <w:sz w:val="22"/>
                      <w:szCs w:val="22"/>
                      <w:lang w:val="es-CR" w:eastAsia="en-US"/>
                    </w:rPr>
                    <w:t></w:t>
                  </w:r>
                  <w:r w:rsidRPr="00AA1493">
                    <w:rPr>
                      <w:color w:val="000000" w:themeColor="text1"/>
                      <w:sz w:val="22"/>
                      <w:szCs w:val="22"/>
                      <w:lang w:val="es-CR"/>
                    </w:rPr>
                    <w:t>Ocho primeros dígitos</w:t>
                  </w:r>
                </w:p>
              </w:tc>
              <w:tc>
                <w:tcPr>
                  <w:tcW w:w="1603" w:type="pct"/>
                  <w:tcBorders>
                    <w:top w:val="single" w:sz="4" w:space="0" w:color="auto"/>
                    <w:left w:val="single" w:sz="4" w:space="0" w:color="auto"/>
                    <w:bottom w:val="single" w:sz="4" w:space="0" w:color="auto"/>
                    <w:right w:val="single" w:sz="4" w:space="0" w:color="auto"/>
                  </w:tcBorders>
                  <w:hideMark/>
                </w:tcPr>
                <w:p w14:paraId="407AFFDD" w14:textId="77777777" w:rsidR="004F3F7A" w:rsidRPr="00AA1493" w:rsidRDefault="004F3F7A" w:rsidP="004F3F7A">
                  <w:pPr>
                    <w:ind w:left="236" w:hanging="236"/>
                    <w:rPr>
                      <w:color w:val="000000" w:themeColor="text1"/>
                      <w:sz w:val="22"/>
                      <w:szCs w:val="22"/>
                      <w:lang w:val="es-CR"/>
                    </w:rPr>
                  </w:pPr>
                  <w:r w:rsidRPr="00AA1493">
                    <w:rPr>
                      <w:rFonts w:eastAsia="Calibri"/>
                      <w:color w:val="000000" w:themeColor="text1"/>
                      <w:sz w:val="22"/>
                      <w:szCs w:val="22"/>
                      <w:lang w:val="es-CR" w:eastAsia="en-US"/>
                    </w:rPr>
                    <w:t></w:t>
                  </w:r>
                  <w:r w:rsidRPr="00AA1493">
                    <w:rPr>
                      <w:rFonts w:eastAsia="Calibri"/>
                      <w:color w:val="000000" w:themeColor="text1"/>
                      <w:sz w:val="22"/>
                      <w:szCs w:val="22"/>
                      <w:lang w:val="es-CR" w:eastAsia="en-US"/>
                    </w:rPr>
                    <w:tab/>
                  </w:r>
                  <w:r w:rsidRPr="00AA1493">
                    <w:rPr>
                      <w:color w:val="000000" w:themeColor="text1"/>
                      <w:sz w:val="22"/>
                      <w:szCs w:val="22"/>
                      <w:lang w:val="es-CR"/>
                    </w:rPr>
                    <w:t>Catorce primeros dígitos</w:t>
                  </w:r>
                </w:p>
              </w:tc>
            </w:tr>
          </w:tbl>
          <w:p w14:paraId="7A8A0D67" w14:textId="77777777" w:rsidR="004F3F7A" w:rsidRPr="00AA1493" w:rsidRDefault="004F3F7A" w:rsidP="004F3F7A">
            <w:pPr>
              <w:jc w:val="center"/>
              <w:rPr>
                <w:b/>
                <w:color w:val="000000" w:themeColor="text1"/>
                <w:sz w:val="22"/>
                <w:szCs w:val="22"/>
                <w:lang w:val="es-CR" w:eastAsia="es-CR"/>
              </w:rPr>
            </w:pPr>
          </w:p>
        </w:tc>
      </w:tr>
      <w:tr w:rsidR="004F3F7A" w:rsidRPr="00AA1493" w14:paraId="19FE553C" w14:textId="77777777" w:rsidTr="00854896">
        <w:trPr>
          <w:trHeight w:val="424"/>
        </w:trPr>
        <w:tc>
          <w:tcPr>
            <w:tcW w:w="5000" w:type="pct"/>
            <w:tcBorders>
              <w:top w:val="single" w:sz="4" w:space="0" w:color="auto"/>
              <w:left w:val="single" w:sz="4" w:space="0" w:color="auto"/>
              <w:bottom w:val="single" w:sz="4" w:space="0" w:color="auto"/>
              <w:right w:val="single" w:sz="4" w:space="0" w:color="auto"/>
            </w:tcBorders>
            <w:vAlign w:val="center"/>
          </w:tcPr>
          <w:p w14:paraId="7EFF0F63"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En el </w:t>
            </w:r>
            <w:r w:rsidRPr="00AA1493">
              <w:rPr>
                <w:bCs/>
                <w:color w:val="000000" w:themeColor="text1"/>
                <w:sz w:val="22"/>
                <w:szCs w:val="22"/>
                <w:lang w:val="es-CR" w:eastAsia="es-CR"/>
              </w:rPr>
              <w:t xml:space="preserve">Anexo 7 </w:t>
            </w:r>
            <w:r w:rsidRPr="00AA1493">
              <w:rPr>
                <w:bCs/>
                <w:color w:val="000000" w:themeColor="text1"/>
                <w:sz w:val="22"/>
                <w:szCs w:val="22"/>
                <w:u w:val="single"/>
                <w:lang w:val="es-CR" w:eastAsia="es-CR"/>
              </w:rPr>
              <w:t>de los lineamientos generales</w:t>
            </w:r>
            <w:r w:rsidRPr="00AA1493">
              <w:rPr>
                <w:bCs/>
                <w:color w:val="000000" w:themeColor="text1"/>
                <w:sz w:val="22"/>
                <w:szCs w:val="22"/>
                <w:lang w:val="es-CR" w:eastAsia="es-CR"/>
              </w:rPr>
              <w:t xml:space="preserve"> </w:t>
            </w:r>
            <w:r w:rsidRPr="00AA1493">
              <w:rPr>
                <w:color w:val="000000" w:themeColor="text1"/>
                <w:sz w:val="22"/>
                <w:szCs w:val="22"/>
                <w:lang w:val="es-CR" w:eastAsia="es-CR"/>
              </w:rPr>
              <w:t>de este Reglamento, se muestra un diagrama de la codificación del catálogo de cuentas.</w:t>
            </w:r>
          </w:p>
        </w:tc>
      </w:tr>
      <w:tr w:rsidR="004F3F7A" w:rsidRPr="00AA1493" w14:paraId="42DE5708" w14:textId="77777777" w:rsidTr="00854896">
        <w:trPr>
          <w:trHeight w:val="290"/>
        </w:trPr>
        <w:tc>
          <w:tcPr>
            <w:tcW w:w="5000" w:type="pct"/>
            <w:tcBorders>
              <w:top w:val="single" w:sz="4" w:space="0" w:color="auto"/>
              <w:left w:val="single" w:sz="4" w:space="0" w:color="auto"/>
              <w:bottom w:val="single" w:sz="4" w:space="0" w:color="auto"/>
              <w:right w:val="single" w:sz="4" w:space="0" w:color="auto"/>
            </w:tcBorders>
            <w:vAlign w:val="center"/>
          </w:tcPr>
          <w:p w14:paraId="4D189379" w14:textId="77777777" w:rsidR="004F3F7A" w:rsidRPr="00AA1493" w:rsidRDefault="004F3F7A" w:rsidP="004F3F7A">
            <w:pPr>
              <w:keepNext/>
              <w:jc w:val="both"/>
              <w:rPr>
                <w:b/>
                <w:color w:val="000000" w:themeColor="text1"/>
                <w:sz w:val="22"/>
                <w:szCs w:val="22"/>
                <w:lang w:val="es-CR" w:eastAsia="es-CR"/>
              </w:rPr>
            </w:pPr>
            <w:r w:rsidRPr="00AA1493">
              <w:rPr>
                <w:b/>
                <w:bCs/>
                <w:color w:val="000000" w:themeColor="text1"/>
                <w:sz w:val="22"/>
                <w:szCs w:val="22"/>
                <w:lang w:val="es-CR" w:eastAsia="es-CR"/>
              </w:rPr>
              <w:t>b.</w:t>
            </w:r>
            <w:r w:rsidRPr="00AA1493">
              <w:rPr>
                <w:b/>
                <w:bCs/>
                <w:color w:val="000000" w:themeColor="text1"/>
                <w:sz w:val="22"/>
                <w:szCs w:val="22"/>
                <w:lang w:val="es-CR" w:eastAsia="es-CR"/>
              </w:rPr>
              <w:tab/>
              <w:t>Clase de Cuentas:</w:t>
            </w:r>
          </w:p>
        </w:tc>
      </w:tr>
      <w:tr w:rsidR="004F3F7A" w:rsidRPr="00AA1493" w14:paraId="4CC69CA4" w14:textId="77777777" w:rsidTr="00854896">
        <w:trPr>
          <w:trHeight w:val="290"/>
        </w:trPr>
        <w:tc>
          <w:tcPr>
            <w:tcW w:w="5000" w:type="pct"/>
            <w:tcBorders>
              <w:top w:val="single" w:sz="4" w:space="0" w:color="auto"/>
              <w:left w:val="single" w:sz="4" w:space="0" w:color="auto"/>
              <w:bottom w:val="single" w:sz="4" w:space="0" w:color="auto"/>
              <w:right w:val="single" w:sz="4" w:space="0" w:color="auto"/>
            </w:tcBorders>
            <w:vAlign w:val="center"/>
          </w:tcPr>
          <w:tbl>
            <w:tblPr>
              <w:tblStyle w:val="Tablaconcuadrcula"/>
              <w:tblW w:w="5000" w:type="pct"/>
              <w:jc w:val="center"/>
              <w:tblLayout w:type="fixed"/>
              <w:tblLook w:val="04A0" w:firstRow="1" w:lastRow="0" w:firstColumn="1" w:lastColumn="0" w:noHBand="0" w:noVBand="1"/>
            </w:tblPr>
            <w:tblGrid>
              <w:gridCol w:w="3581"/>
              <w:gridCol w:w="2635"/>
              <w:gridCol w:w="2977"/>
            </w:tblGrid>
            <w:tr w:rsidR="004F3F7A" w:rsidRPr="00AA1493" w14:paraId="007EF651" w14:textId="77777777" w:rsidTr="004F3F7A">
              <w:trPr>
                <w:trHeight w:val="602"/>
                <w:jc w:val="center"/>
              </w:trPr>
              <w:tc>
                <w:tcPr>
                  <w:tcW w:w="1947" w:type="pct"/>
                  <w:shd w:val="clear" w:color="auto" w:fill="B4C6E7"/>
                  <w:vAlign w:val="center"/>
                </w:tcPr>
                <w:p w14:paraId="66BDB215" w14:textId="77777777" w:rsidR="004F3F7A" w:rsidRPr="00AA1493" w:rsidRDefault="004F3F7A" w:rsidP="004F3F7A">
                  <w:pPr>
                    <w:keepNext/>
                    <w:jc w:val="center"/>
                    <w:rPr>
                      <w:b/>
                      <w:bCs/>
                      <w:color w:val="000000" w:themeColor="text1"/>
                      <w:sz w:val="22"/>
                      <w:szCs w:val="22"/>
                      <w:lang w:val="es-CR"/>
                    </w:rPr>
                  </w:pPr>
                  <w:r w:rsidRPr="00AA1493">
                    <w:rPr>
                      <w:b/>
                      <w:bCs/>
                      <w:color w:val="000000" w:themeColor="text1"/>
                      <w:sz w:val="22"/>
                      <w:szCs w:val="22"/>
                      <w:lang w:val="es-CR"/>
                    </w:rPr>
                    <w:t>Cuentas</w:t>
                  </w:r>
                </w:p>
              </w:tc>
              <w:tc>
                <w:tcPr>
                  <w:tcW w:w="1433" w:type="pct"/>
                  <w:shd w:val="clear" w:color="auto" w:fill="B4C6E7"/>
                </w:tcPr>
                <w:p w14:paraId="1665CA37" w14:textId="77777777" w:rsidR="004F3F7A" w:rsidRPr="00AA1493" w:rsidRDefault="004F3F7A" w:rsidP="004F3F7A">
                  <w:pPr>
                    <w:jc w:val="center"/>
                    <w:rPr>
                      <w:b/>
                      <w:bCs/>
                      <w:color w:val="000000" w:themeColor="text1"/>
                      <w:sz w:val="22"/>
                      <w:szCs w:val="22"/>
                      <w:lang w:val="es-CR"/>
                    </w:rPr>
                  </w:pPr>
                  <w:r w:rsidRPr="00AA1493">
                    <w:rPr>
                      <w:b/>
                      <w:bCs/>
                      <w:color w:val="000000" w:themeColor="text1"/>
                      <w:sz w:val="22"/>
                      <w:szCs w:val="22"/>
                      <w:lang w:val="es-CR"/>
                    </w:rPr>
                    <w:t>Plan de Cuentas Homologado</w:t>
                  </w:r>
                </w:p>
              </w:tc>
              <w:tc>
                <w:tcPr>
                  <w:tcW w:w="1619" w:type="pct"/>
                  <w:shd w:val="clear" w:color="auto" w:fill="B4C6E7"/>
                </w:tcPr>
                <w:p w14:paraId="5A0B59C0" w14:textId="77777777" w:rsidR="004F3F7A" w:rsidRPr="00AA1493" w:rsidRDefault="004F3F7A" w:rsidP="004F3F7A">
                  <w:pPr>
                    <w:keepNext/>
                    <w:jc w:val="center"/>
                    <w:rPr>
                      <w:b/>
                      <w:bCs/>
                      <w:color w:val="000000" w:themeColor="text1"/>
                      <w:sz w:val="22"/>
                      <w:szCs w:val="22"/>
                      <w:lang w:val="es-CR"/>
                    </w:rPr>
                  </w:pPr>
                  <w:r w:rsidRPr="00AA1493">
                    <w:rPr>
                      <w:b/>
                      <w:bCs/>
                      <w:color w:val="000000" w:themeColor="text1"/>
                      <w:sz w:val="22"/>
                      <w:szCs w:val="22"/>
                      <w:lang w:val="es-CR"/>
                    </w:rPr>
                    <w:t>Plan de Cuentas de Seguros y Reaseguros</w:t>
                  </w:r>
                </w:p>
              </w:tc>
            </w:tr>
            <w:tr w:rsidR="004F3F7A" w:rsidRPr="00AA1493" w14:paraId="3CEF54A6" w14:textId="77777777" w:rsidTr="00854896">
              <w:trPr>
                <w:trHeight w:val="133"/>
                <w:jc w:val="center"/>
              </w:trPr>
              <w:tc>
                <w:tcPr>
                  <w:tcW w:w="1947" w:type="pct"/>
                  <w:vAlign w:val="center"/>
                </w:tcPr>
                <w:p w14:paraId="21BC338E"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Activo</w:t>
                  </w:r>
                </w:p>
              </w:tc>
              <w:tc>
                <w:tcPr>
                  <w:tcW w:w="1433" w:type="pct"/>
                  <w:vAlign w:val="center"/>
                </w:tcPr>
                <w:p w14:paraId="4C1295EB"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100</w:t>
                  </w:r>
                </w:p>
              </w:tc>
              <w:tc>
                <w:tcPr>
                  <w:tcW w:w="1619" w:type="pct"/>
                  <w:vAlign w:val="center"/>
                </w:tcPr>
                <w:p w14:paraId="000E3AB8"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1000</w:t>
                  </w:r>
                </w:p>
              </w:tc>
            </w:tr>
            <w:tr w:rsidR="004F3F7A" w:rsidRPr="00AA1493" w14:paraId="30CA76AA" w14:textId="77777777" w:rsidTr="00854896">
              <w:trPr>
                <w:trHeight w:val="126"/>
                <w:jc w:val="center"/>
              </w:trPr>
              <w:tc>
                <w:tcPr>
                  <w:tcW w:w="1947" w:type="pct"/>
                  <w:vAlign w:val="center"/>
                </w:tcPr>
                <w:p w14:paraId="448F39CD"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Pasivo</w:t>
                  </w:r>
                </w:p>
              </w:tc>
              <w:tc>
                <w:tcPr>
                  <w:tcW w:w="1433" w:type="pct"/>
                  <w:vAlign w:val="center"/>
                </w:tcPr>
                <w:p w14:paraId="45A93840"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200</w:t>
                  </w:r>
                </w:p>
              </w:tc>
              <w:tc>
                <w:tcPr>
                  <w:tcW w:w="1619" w:type="pct"/>
                  <w:vAlign w:val="center"/>
                </w:tcPr>
                <w:p w14:paraId="07DFD3BC"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2000</w:t>
                  </w:r>
                </w:p>
              </w:tc>
            </w:tr>
            <w:tr w:rsidR="004F3F7A" w:rsidRPr="00AA1493" w14:paraId="2C912017" w14:textId="77777777" w:rsidTr="00854896">
              <w:trPr>
                <w:trHeight w:val="254"/>
                <w:jc w:val="center"/>
              </w:trPr>
              <w:tc>
                <w:tcPr>
                  <w:tcW w:w="1947" w:type="pct"/>
                  <w:vAlign w:val="center"/>
                </w:tcPr>
                <w:p w14:paraId="62372768"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Patrimonio</w:t>
                  </w:r>
                </w:p>
              </w:tc>
              <w:tc>
                <w:tcPr>
                  <w:tcW w:w="1433" w:type="pct"/>
                  <w:vAlign w:val="center"/>
                </w:tcPr>
                <w:p w14:paraId="78EF9DD7"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300</w:t>
                  </w:r>
                </w:p>
              </w:tc>
              <w:tc>
                <w:tcPr>
                  <w:tcW w:w="1619" w:type="pct"/>
                  <w:vAlign w:val="center"/>
                </w:tcPr>
                <w:p w14:paraId="1B8731E0"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3000</w:t>
                  </w:r>
                </w:p>
              </w:tc>
            </w:tr>
            <w:tr w:rsidR="004F3F7A" w:rsidRPr="00AA1493" w14:paraId="64926FC8" w14:textId="77777777" w:rsidTr="00854896">
              <w:trPr>
                <w:trHeight w:val="133"/>
                <w:jc w:val="center"/>
              </w:trPr>
              <w:tc>
                <w:tcPr>
                  <w:tcW w:w="1947" w:type="pct"/>
                  <w:vAlign w:val="center"/>
                </w:tcPr>
                <w:p w14:paraId="5688D14B"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Gastos</w:t>
                  </w:r>
                </w:p>
              </w:tc>
              <w:tc>
                <w:tcPr>
                  <w:tcW w:w="1433" w:type="pct"/>
                  <w:vAlign w:val="center"/>
                </w:tcPr>
                <w:p w14:paraId="59D21A43"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400</w:t>
                  </w:r>
                </w:p>
              </w:tc>
              <w:tc>
                <w:tcPr>
                  <w:tcW w:w="1619" w:type="pct"/>
                  <w:vAlign w:val="center"/>
                </w:tcPr>
                <w:p w14:paraId="6C466B62"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4000</w:t>
                  </w:r>
                </w:p>
              </w:tc>
            </w:tr>
            <w:tr w:rsidR="004F3F7A" w:rsidRPr="00AA1493" w14:paraId="0F5FCC52" w14:textId="77777777" w:rsidTr="00854896">
              <w:trPr>
                <w:trHeight w:val="126"/>
                <w:jc w:val="center"/>
              </w:trPr>
              <w:tc>
                <w:tcPr>
                  <w:tcW w:w="1947" w:type="pct"/>
                  <w:vAlign w:val="center"/>
                </w:tcPr>
                <w:p w14:paraId="60D73C1F"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Ingresos</w:t>
                  </w:r>
                </w:p>
              </w:tc>
              <w:tc>
                <w:tcPr>
                  <w:tcW w:w="1433" w:type="pct"/>
                  <w:vAlign w:val="center"/>
                </w:tcPr>
                <w:p w14:paraId="3C2A63C1"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500</w:t>
                  </w:r>
                </w:p>
              </w:tc>
              <w:tc>
                <w:tcPr>
                  <w:tcW w:w="1619" w:type="pct"/>
                  <w:vAlign w:val="center"/>
                </w:tcPr>
                <w:p w14:paraId="4141AB92"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5000</w:t>
                  </w:r>
                </w:p>
              </w:tc>
            </w:tr>
            <w:tr w:rsidR="004F3F7A" w:rsidRPr="00AA1493" w14:paraId="5326709A" w14:textId="77777777" w:rsidTr="00854896">
              <w:trPr>
                <w:trHeight w:val="257"/>
                <w:jc w:val="center"/>
              </w:trPr>
              <w:tc>
                <w:tcPr>
                  <w:tcW w:w="1947" w:type="pct"/>
                  <w:vAlign w:val="center"/>
                </w:tcPr>
                <w:p w14:paraId="692E15D1"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Cuentas de orden para contingentes</w:t>
                  </w:r>
                </w:p>
              </w:tc>
              <w:tc>
                <w:tcPr>
                  <w:tcW w:w="1433" w:type="pct"/>
                  <w:vAlign w:val="center"/>
                </w:tcPr>
                <w:p w14:paraId="2807DD53"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600</w:t>
                  </w:r>
                </w:p>
              </w:tc>
              <w:tc>
                <w:tcPr>
                  <w:tcW w:w="1619" w:type="pct"/>
                  <w:vAlign w:val="center"/>
                </w:tcPr>
                <w:p w14:paraId="50C2904B"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6000</w:t>
                  </w:r>
                </w:p>
              </w:tc>
            </w:tr>
            <w:tr w:rsidR="004F3F7A" w:rsidRPr="00AA1493" w14:paraId="3DB32986" w14:textId="77777777" w:rsidTr="00854896">
              <w:trPr>
                <w:trHeight w:val="248"/>
                <w:jc w:val="center"/>
              </w:trPr>
              <w:tc>
                <w:tcPr>
                  <w:tcW w:w="1947" w:type="pct"/>
                  <w:vAlign w:val="center"/>
                </w:tcPr>
                <w:p w14:paraId="04BA983E"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Cuentas de orden para fideicomisos</w:t>
                  </w:r>
                </w:p>
              </w:tc>
              <w:tc>
                <w:tcPr>
                  <w:tcW w:w="1433" w:type="pct"/>
                  <w:vAlign w:val="center"/>
                </w:tcPr>
                <w:p w14:paraId="056F4344"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700</w:t>
                  </w:r>
                </w:p>
              </w:tc>
              <w:tc>
                <w:tcPr>
                  <w:tcW w:w="1619" w:type="pct"/>
                  <w:vAlign w:val="center"/>
                </w:tcPr>
                <w:p w14:paraId="187438C9"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7000</w:t>
                  </w:r>
                </w:p>
              </w:tc>
            </w:tr>
            <w:tr w:rsidR="004F3F7A" w:rsidRPr="00AA1493" w14:paraId="36E82996" w14:textId="77777777" w:rsidTr="00854896">
              <w:trPr>
                <w:trHeight w:val="269"/>
                <w:jc w:val="center"/>
              </w:trPr>
              <w:tc>
                <w:tcPr>
                  <w:tcW w:w="1947" w:type="pct"/>
                  <w:vAlign w:val="center"/>
                </w:tcPr>
                <w:p w14:paraId="1D4CBD7E" w14:textId="77777777" w:rsidR="004F3F7A" w:rsidRPr="00AA1493" w:rsidRDefault="004F3F7A" w:rsidP="004F3F7A">
                  <w:pPr>
                    <w:keepNext/>
                    <w:rPr>
                      <w:bCs/>
                      <w:color w:val="000000" w:themeColor="text1"/>
                      <w:sz w:val="22"/>
                      <w:szCs w:val="22"/>
                      <w:lang w:val="es-CR"/>
                    </w:rPr>
                  </w:pPr>
                  <w:r w:rsidRPr="00AA1493">
                    <w:rPr>
                      <w:bCs/>
                      <w:color w:val="000000" w:themeColor="text1"/>
                      <w:sz w:val="22"/>
                      <w:szCs w:val="22"/>
                      <w:lang w:val="es-CR"/>
                    </w:rPr>
                    <w:t>Otras cuentas de orden</w:t>
                  </w:r>
                </w:p>
              </w:tc>
              <w:tc>
                <w:tcPr>
                  <w:tcW w:w="1433" w:type="pct"/>
                  <w:vAlign w:val="center"/>
                </w:tcPr>
                <w:p w14:paraId="240E4D03" w14:textId="77777777" w:rsidR="004F3F7A" w:rsidRPr="00AA1493" w:rsidRDefault="004F3F7A" w:rsidP="004F3F7A">
                  <w:pPr>
                    <w:keepNext/>
                    <w:jc w:val="center"/>
                    <w:rPr>
                      <w:color w:val="000000" w:themeColor="text1"/>
                      <w:sz w:val="22"/>
                      <w:szCs w:val="22"/>
                      <w:lang w:val="es-CR"/>
                    </w:rPr>
                  </w:pPr>
                  <w:r w:rsidRPr="00AA1493">
                    <w:rPr>
                      <w:color w:val="000000" w:themeColor="text1"/>
                      <w:sz w:val="22"/>
                      <w:szCs w:val="22"/>
                      <w:lang w:val="es-CR"/>
                    </w:rPr>
                    <w:t>800</w:t>
                  </w:r>
                </w:p>
              </w:tc>
              <w:tc>
                <w:tcPr>
                  <w:tcW w:w="1619" w:type="pct"/>
                  <w:vAlign w:val="center"/>
                </w:tcPr>
                <w:p w14:paraId="53AD3572" w14:textId="77777777" w:rsidR="004F3F7A" w:rsidRPr="00AA1493" w:rsidRDefault="004F3F7A" w:rsidP="004F3F7A">
                  <w:pPr>
                    <w:keepNext/>
                    <w:jc w:val="center"/>
                    <w:rPr>
                      <w:bCs/>
                      <w:color w:val="000000" w:themeColor="text1"/>
                      <w:sz w:val="22"/>
                      <w:szCs w:val="22"/>
                      <w:lang w:val="es-CR"/>
                    </w:rPr>
                  </w:pPr>
                  <w:r w:rsidRPr="00AA1493">
                    <w:rPr>
                      <w:bCs/>
                      <w:color w:val="000000" w:themeColor="text1"/>
                      <w:sz w:val="22"/>
                      <w:szCs w:val="22"/>
                      <w:lang w:val="es-CR"/>
                    </w:rPr>
                    <w:t>8000</w:t>
                  </w:r>
                </w:p>
              </w:tc>
            </w:tr>
          </w:tbl>
          <w:p w14:paraId="03902ACD" w14:textId="77777777" w:rsidR="004F3F7A" w:rsidRPr="00AA1493" w:rsidRDefault="004F3F7A" w:rsidP="004F3F7A">
            <w:pPr>
              <w:jc w:val="center"/>
              <w:rPr>
                <w:b/>
                <w:color w:val="000000" w:themeColor="text1"/>
                <w:sz w:val="22"/>
                <w:szCs w:val="22"/>
                <w:lang w:val="es-CR" w:eastAsia="es-CR"/>
              </w:rPr>
            </w:pPr>
          </w:p>
        </w:tc>
      </w:tr>
      <w:tr w:rsidR="004F3F7A" w:rsidRPr="00AA1493" w14:paraId="43488097" w14:textId="77777777" w:rsidTr="00854896">
        <w:trPr>
          <w:trHeight w:val="290"/>
        </w:trPr>
        <w:tc>
          <w:tcPr>
            <w:tcW w:w="5000" w:type="pct"/>
            <w:tcBorders>
              <w:top w:val="single" w:sz="4" w:space="0" w:color="auto"/>
              <w:left w:val="single" w:sz="4" w:space="0" w:color="auto"/>
              <w:bottom w:val="single" w:sz="4" w:space="0" w:color="auto"/>
              <w:right w:val="single" w:sz="4" w:space="0" w:color="auto"/>
            </w:tcBorders>
            <w:vAlign w:val="center"/>
          </w:tcPr>
          <w:p w14:paraId="57611AA8" w14:textId="77777777" w:rsidR="004F3F7A" w:rsidRPr="00AA1493" w:rsidRDefault="004F3F7A" w:rsidP="004F3F7A">
            <w:pPr>
              <w:jc w:val="both"/>
              <w:rPr>
                <w:b/>
                <w:color w:val="000000" w:themeColor="text1"/>
                <w:sz w:val="22"/>
                <w:szCs w:val="22"/>
                <w:lang w:val="es-CR" w:eastAsia="es-CR"/>
              </w:rPr>
            </w:pPr>
            <w:r w:rsidRPr="00AA1493">
              <w:rPr>
                <w:b/>
                <w:bCs/>
                <w:color w:val="000000" w:themeColor="text1"/>
                <w:sz w:val="22"/>
                <w:szCs w:val="22"/>
                <w:lang w:val="es-CR" w:eastAsia="es-CR"/>
              </w:rPr>
              <w:t>c.</w:t>
            </w:r>
            <w:r w:rsidRPr="00AA1493">
              <w:rPr>
                <w:b/>
                <w:bCs/>
                <w:color w:val="000000" w:themeColor="text1"/>
                <w:sz w:val="22"/>
                <w:szCs w:val="22"/>
                <w:lang w:val="es-CR" w:eastAsia="es-CR"/>
              </w:rPr>
              <w:tab/>
            </w:r>
            <w:r w:rsidRPr="00AA1493">
              <w:rPr>
                <w:b/>
                <w:bCs/>
                <w:i/>
                <w:iCs/>
                <w:color w:val="000000" w:themeColor="text1"/>
                <w:sz w:val="22"/>
                <w:szCs w:val="22"/>
                <w:lang w:val="es-CR" w:eastAsia="es-CR"/>
              </w:rPr>
              <w:t>Moneda:</w:t>
            </w:r>
          </w:p>
        </w:tc>
      </w:tr>
      <w:tr w:rsidR="004F3F7A" w:rsidRPr="00AA1493" w14:paraId="15FD7BC8" w14:textId="77777777" w:rsidTr="00854896">
        <w:trPr>
          <w:trHeight w:val="290"/>
        </w:trPr>
        <w:tc>
          <w:tcPr>
            <w:tcW w:w="5000" w:type="pct"/>
            <w:tcBorders>
              <w:top w:val="single" w:sz="4" w:space="0" w:color="auto"/>
              <w:left w:val="single" w:sz="4" w:space="0" w:color="auto"/>
              <w:bottom w:val="single" w:sz="4" w:space="0" w:color="auto"/>
              <w:right w:val="single" w:sz="4" w:space="0" w:color="auto"/>
            </w:tcBorders>
            <w:vAlign w:val="center"/>
          </w:tcPr>
          <w:p w14:paraId="4F79E75D"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El sexto dígito (</w:t>
            </w:r>
            <w:r w:rsidRPr="00AA1493">
              <w:rPr>
                <w:bCs/>
                <w:color w:val="000000" w:themeColor="text1"/>
                <w:sz w:val="22"/>
                <w:szCs w:val="22"/>
                <w:lang w:val="es-CR" w:eastAsia="es-CR"/>
              </w:rPr>
              <w:t>M</w:t>
            </w:r>
            <w:r w:rsidRPr="00AA1493">
              <w:rPr>
                <w:color w:val="000000" w:themeColor="text1"/>
                <w:sz w:val="22"/>
                <w:szCs w:val="22"/>
                <w:lang w:val="es-CR" w:eastAsia="es-CR"/>
              </w:rPr>
              <w:t>) en el Plan de Cuentas Homologado o bien el onceavo dígito (M) en el Plan de Cuentas de Seguros o Reaseguros, distingue los saldos por tipo de moneda o unidad de cuenta en el caso de las Unidades de Desarrollo correspondientes a las operaciones de la entidad. Este dígito (</w:t>
            </w:r>
            <w:r w:rsidRPr="00AA1493">
              <w:rPr>
                <w:bCs/>
                <w:color w:val="000000" w:themeColor="text1"/>
                <w:sz w:val="22"/>
                <w:szCs w:val="22"/>
                <w:lang w:val="es-CR" w:eastAsia="es-CR"/>
              </w:rPr>
              <w:t>M</w:t>
            </w:r>
            <w:r w:rsidRPr="00AA1493">
              <w:rPr>
                <w:color w:val="000000" w:themeColor="text1"/>
                <w:sz w:val="22"/>
                <w:szCs w:val="22"/>
                <w:lang w:val="es-CR" w:eastAsia="es-CR"/>
              </w:rPr>
              <w:t>) puede asumir los siguientes valores:</w:t>
            </w:r>
          </w:p>
          <w:p w14:paraId="12ADB1B4" w14:textId="77777777" w:rsidR="004F3F7A" w:rsidRPr="00AA1493" w:rsidRDefault="004F3F7A" w:rsidP="004F3F7A">
            <w:pPr>
              <w:jc w:val="both"/>
              <w:rPr>
                <w:color w:val="000000" w:themeColor="text1"/>
                <w:sz w:val="22"/>
                <w:szCs w:val="22"/>
                <w:lang w:val="es-CR" w:eastAsia="es-CR"/>
              </w:rPr>
            </w:pPr>
          </w:p>
          <w:p w14:paraId="2C8714D8" w14:textId="77777777" w:rsidR="004F3F7A" w:rsidRPr="00AA1493" w:rsidRDefault="004F3F7A" w:rsidP="004F3F7A">
            <w:pPr>
              <w:ind w:left="1138"/>
              <w:jc w:val="both"/>
              <w:rPr>
                <w:b/>
                <w:bCs/>
                <w:color w:val="000000" w:themeColor="text1"/>
                <w:sz w:val="22"/>
                <w:szCs w:val="22"/>
                <w:lang w:val="es-CR" w:eastAsia="es-CR"/>
              </w:rPr>
            </w:pPr>
            <w:r w:rsidRPr="00AA1493">
              <w:rPr>
                <w:b/>
                <w:bCs/>
                <w:color w:val="000000" w:themeColor="text1"/>
                <w:sz w:val="22"/>
                <w:szCs w:val="22"/>
                <w:lang w:val="es-CR" w:eastAsia="es-CR"/>
              </w:rPr>
              <w:t>M: 1</w:t>
            </w:r>
            <w:r w:rsidRPr="00AA1493">
              <w:rPr>
                <w:color w:val="000000" w:themeColor="text1"/>
                <w:sz w:val="22"/>
                <w:szCs w:val="22"/>
                <w:lang w:val="es-CR" w:eastAsia="es-CR"/>
              </w:rPr>
              <w:t xml:space="preserve"> Se utiliza para las operaciones en colones costarricenses</w:t>
            </w:r>
          </w:p>
          <w:p w14:paraId="55375CC3" w14:textId="77777777" w:rsidR="004F3F7A" w:rsidRPr="00AA1493" w:rsidRDefault="004F3F7A" w:rsidP="004F3F7A">
            <w:pPr>
              <w:ind w:left="1138"/>
              <w:jc w:val="both"/>
              <w:rPr>
                <w:b/>
                <w:bCs/>
                <w:color w:val="000000" w:themeColor="text1"/>
                <w:sz w:val="22"/>
                <w:szCs w:val="22"/>
                <w:lang w:val="es-CR" w:eastAsia="es-CR"/>
              </w:rPr>
            </w:pPr>
            <w:r w:rsidRPr="00AA1493">
              <w:rPr>
                <w:b/>
                <w:bCs/>
                <w:color w:val="000000" w:themeColor="text1"/>
                <w:sz w:val="22"/>
                <w:szCs w:val="22"/>
                <w:lang w:val="es-CR" w:eastAsia="es-CR"/>
              </w:rPr>
              <w:t>M: 2</w:t>
            </w:r>
            <w:r w:rsidRPr="00AA1493">
              <w:rPr>
                <w:color w:val="000000" w:themeColor="text1"/>
                <w:sz w:val="22"/>
                <w:szCs w:val="22"/>
                <w:lang w:val="es-CR" w:eastAsia="es-CR"/>
              </w:rPr>
              <w:t xml:space="preserve"> Se utiliza para las operaciones en otras monedas extranjeras</w:t>
            </w:r>
          </w:p>
          <w:p w14:paraId="47EE8AD1" w14:textId="77777777" w:rsidR="004F3F7A" w:rsidRPr="00AA1493" w:rsidRDefault="004F3F7A" w:rsidP="004F3F7A">
            <w:pPr>
              <w:ind w:left="1134"/>
              <w:jc w:val="both"/>
              <w:rPr>
                <w:color w:val="000000" w:themeColor="text1"/>
                <w:sz w:val="22"/>
                <w:szCs w:val="22"/>
                <w:lang w:val="es-CR" w:eastAsia="es-CR"/>
              </w:rPr>
            </w:pPr>
            <w:r w:rsidRPr="00AA1493">
              <w:rPr>
                <w:b/>
                <w:bCs/>
                <w:color w:val="000000" w:themeColor="text1"/>
                <w:sz w:val="22"/>
                <w:szCs w:val="22"/>
                <w:lang w:val="es-CR" w:eastAsia="es-CR"/>
              </w:rPr>
              <w:t>M: 3</w:t>
            </w:r>
            <w:r w:rsidRPr="00AA1493">
              <w:rPr>
                <w:color w:val="000000" w:themeColor="text1"/>
                <w:sz w:val="22"/>
                <w:szCs w:val="22"/>
                <w:lang w:val="es-CR" w:eastAsia="es-CR"/>
              </w:rPr>
              <w:t xml:space="preserve"> Se utiliza para las operaciones en Unidades de Desarrollo (UD)</w:t>
            </w:r>
          </w:p>
          <w:p w14:paraId="255055EF" w14:textId="77777777" w:rsidR="004F3F7A" w:rsidRPr="00AA1493" w:rsidRDefault="004F3F7A" w:rsidP="004F3F7A">
            <w:pPr>
              <w:ind w:left="1134"/>
              <w:jc w:val="both"/>
              <w:rPr>
                <w:b/>
                <w:color w:val="000000" w:themeColor="text1"/>
                <w:sz w:val="22"/>
                <w:szCs w:val="22"/>
                <w:lang w:val="es-CR" w:eastAsia="es-CR"/>
              </w:rPr>
            </w:pPr>
          </w:p>
        </w:tc>
      </w:tr>
    </w:tbl>
    <w:p w14:paraId="65B9AA98" w14:textId="77777777" w:rsidR="0002062D" w:rsidRDefault="0002062D" w:rsidP="004F3F7A">
      <w:pPr>
        <w:jc w:val="both"/>
        <w:rPr>
          <w:color w:val="000000" w:themeColor="text1"/>
          <w:sz w:val="22"/>
          <w:szCs w:val="22"/>
          <w:lang w:val="es-CR" w:eastAsia="es-CR"/>
        </w:rPr>
      </w:pPr>
    </w:p>
    <w:p w14:paraId="7D8A0687" w14:textId="4085BD3D" w:rsidR="004F3F7A" w:rsidRPr="00AA1493" w:rsidRDefault="004F3F7A" w:rsidP="0002062D">
      <w:pPr>
        <w:ind w:left="-284"/>
        <w:jc w:val="both"/>
        <w:rPr>
          <w:b/>
          <w:color w:val="000000" w:themeColor="text1"/>
          <w:sz w:val="22"/>
          <w:szCs w:val="22"/>
          <w:lang w:val="es-CR" w:eastAsia="es-CR"/>
        </w:rPr>
      </w:pPr>
      <w:r w:rsidRPr="00AA1493">
        <w:rPr>
          <w:color w:val="000000" w:themeColor="text1"/>
          <w:sz w:val="22"/>
          <w:szCs w:val="22"/>
          <w:lang w:val="es-CR" w:eastAsia="es-CR"/>
        </w:rPr>
        <w:t>El registro original de toda transacción debe considerar al menos los seis primeros dígitos del manual. Por lo tanto, en los casos en que el dígito sexto no se encuentre indicado en el manual, se entiende que las correspondientes subcuentas presentan la distinción por moneda, según las indicaciones de este inciso.</w:t>
      </w:r>
    </w:p>
    <w:p w14:paraId="33295AEF" w14:textId="77777777" w:rsidR="004F3F7A" w:rsidRPr="00AA1493" w:rsidRDefault="004F3F7A" w:rsidP="0002062D">
      <w:pPr>
        <w:ind w:left="-284"/>
        <w:jc w:val="both"/>
        <w:rPr>
          <w:bCs/>
          <w:color w:val="000000" w:themeColor="text1"/>
          <w:sz w:val="22"/>
          <w:szCs w:val="22"/>
          <w:lang w:val="es-CR" w:eastAsia="es-CR"/>
        </w:rPr>
      </w:pPr>
    </w:p>
    <w:p w14:paraId="54926042" w14:textId="77777777" w:rsidR="004F3F7A" w:rsidRPr="00AA1493" w:rsidRDefault="004F3F7A" w:rsidP="0002062D">
      <w:pPr>
        <w:ind w:left="-284"/>
        <w:jc w:val="both"/>
        <w:rPr>
          <w:b/>
          <w:color w:val="000000" w:themeColor="text1"/>
          <w:sz w:val="22"/>
          <w:szCs w:val="22"/>
          <w:lang w:val="es-CR" w:eastAsia="es-CR"/>
        </w:rPr>
      </w:pPr>
      <w:r w:rsidRPr="00AA1493">
        <w:rPr>
          <w:bCs/>
          <w:color w:val="000000" w:themeColor="text1"/>
          <w:sz w:val="22"/>
          <w:szCs w:val="22"/>
          <w:lang w:val="es-CR" w:eastAsia="es-CR"/>
        </w:rPr>
        <w:t>Las entidades reguladas por Sugef, Sugeval y Supen pueden abrir subcuentas analíticas a partir del noveno dígito, siempre que su naturaleza sea consistente con el de la cuenta analítica.</w:t>
      </w:r>
    </w:p>
    <w:p w14:paraId="0E83B13A" w14:textId="77777777" w:rsidR="004F3F7A" w:rsidRPr="00AA1493" w:rsidRDefault="004F3F7A" w:rsidP="0002062D">
      <w:pPr>
        <w:ind w:left="-284"/>
        <w:jc w:val="both"/>
        <w:rPr>
          <w:color w:val="000000" w:themeColor="text1"/>
          <w:sz w:val="22"/>
          <w:szCs w:val="22"/>
          <w:lang w:val="es-CR" w:eastAsia="es-CR"/>
        </w:rPr>
      </w:pPr>
    </w:p>
    <w:p w14:paraId="6D32AB1A" w14:textId="77777777" w:rsidR="004F3F7A" w:rsidRDefault="004F3F7A" w:rsidP="0002062D">
      <w:pPr>
        <w:ind w:left="-284"/>
        <w:jc w:val="both"/>
        <w:rPr>
          <w:color w:val="000000" w:themeColor="text1"/>
          <w:sz w:val="22"/>
          <w:szCs w:val="22"/>
          <w:lang w:val="es-CR" w:eastAsia="es-CR"/>
        </w:rPr>
      </w:pPr>
      <w:r w:rsidRPr="00AA1493">
        <w:rPr>
          <w:color w:val="000000" w:themeColor="text1"/>
          <w:sz w:val="22"/>
          <w:szCs w:val="22"/>
          <w:lang w:val="es-CR" w:eastAsia="es-CR"/>
        </w:rPr>
        <w:t>En concordancia con la estructura de codificación señalada, la Sugese requerirá que la información contenida en el reporte de saldos contables sea hasta el nivel de cuenta analítica (dígito catorce).</w:t>
      </w:r>
    </w:p>
    <w:p w14:paraId="0C3F63A5" w14:textId="77777777" w:rsidR="00A16363" w:rsidRPr="00A16363" w:rsidRDefault="00A16363" w:rsidP="0002062D">
      <w:pPr>
        <w:ind w:left="-284"/>
        <w:jc w:val="both"/>
        <w:rPr>
          <w:bCs/>
          <w:color w:val="000000" w:themeColor="text1"/>
          <w:sz w:val="22"/>
          <w:szCs w:val="22"/>
          <w:lang w:val="es-CR" w:eastAsia="es-CR"/>
        </w:rPr>
      </w:pPr>
    </w:p>
    <w:p w14:paraId="4BDAE4A7" w14:textId="77777777" w:rsidR="004F3F7A" w:rsidRPr="00AA1493" w:rsidRDefault="004F3F7A" w:rsidP="0002062D">
      <w:pPr>
        <w:ind w:left="-284"/>
        <w:jc w:val="both"/>
        <w:rPr>
          <w:b/>
          <w:color w:val="000000" w:themeColor="text1"/>
          <w:sz w:val="22"/>
          <w:szCs w:val="22"/>
          <w:lang w:val="es-CR" w:eastAsia="es-CR"/>
        </w:rPr>
      </w:pPr>
      <w:r w:rsidRPr="00AA1493">
        <w:rPr>
          <w:color w:val="000000" w:themeColor="text1"/>
          <w:sz w:val="22"/>
          <w:szCs w:val="22"/>
          <w:lang w:val="es-CR" w:eastAsia="es-CR"/>
        </w:rPr>
        <w:t>Con posterioridad al dígito catorce, las entidades deberán abrir las subcuentas analíticas que les permitan identificar las operaciones de seguros según los gastos por destino, por ramo y línea de seguro”.</w:t>
      </w:r>
    </w:p>
    <w:p w14:paraId="2782BD33" w14:textId="77777777" w:rsidR="004F3F7A" w:rsidRPr="00AA1493" w:rsidRDefault="004F3F7A" w:rsidP="004F3F7A">
      <w:pPr>
        <w:jc w:val="both"/>
        <w:rPr>
          <w:b/>
          <w:bCs/>
          <w:color w:val="000000" w:themeColor="text1"/>
          <w:sz w:val="22"/>
          <w:szCs w:val="22"/>
          <w:lang w:val="es-CR" w:eastAsia="es-CR"/>
        </w:rPr>
      </w:pPr>
    </w:p>
    <w:p w14:paraId="5DA121E5"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099E3C44" w14:textId="77777777" w:rsidR="004F3F7A" w:rsidRPr="00AA1493" w:rsidRDefault="004F3F7A" w:rsidP="004F3F7A">
      <w:pPr>
        <w:rPr>
          <w:b/>
          <w:bCs/>
          <w:color w:val="000000" w:themeColor="text1"/>
          <w:sz w:val="22"/>
          <w:szCs w:val="22"/>
          <w:lang w:val="es-CR"/>
        </w:rPr>
      </w:pPr>
    </w:p>
    <w:p w14:paraId="167AA9AA" w14:textId="77777777" w:rsidR="004F3F7A" w:rsidRPr="00AA1493" w:rsidRDefault="004F3F7A" w:rsidP="004F3F7A">
      <w:pPr>
        <w:rPr>
          <w:b/>
          <w:bCs/>
          <w:color w:val="000000" w:themeColor="text1"/>
          <w:sz w:val="22"/>
          <w:szCs w:val="22"/>
          <w:lang w:val="es-CR" w:eastAsia="es-CR"/>
        </w:rPr>
      </w:pPr>
      <w:r w:rsidRPr="00AA1493">
        <w:rPr>
          <w:b/>
          <w:bCs/>
          <w:color w:val="000000" w:themeColor="text1"/>
          <w:sz w:val="22"/>
          <w:szCs w:val="22"/>
          <w:lang w:val="es-CR"/>
        </w:rPr>
        <w:t>Artículo 29. Información financiera.</w:t>
      </w:r>
    </w:p>
    <w:p w14:paraId="7ACB91A2" w14:textId="77777777" w:rsidR="004F3F7A" w:rsidRPr="00AA1493" w:rsidRDefault="004F3F7A" w:rsidP="004F3F7A">
      <w:pPr>
        <w:jc w:val="both"/>
        <w:rPr>
          <w:color w:val="000000" w:themeColor="text1"/>
          <w:sz w:val="22"/>
          <w:szCs w:val="22"/>
          <w:lang w:val="es-CR" w:eastAsia="es-CR"/>
        </w:rPr>
      </w:pPr>
    </w:p>
    <w:p w14:paraId="6E9EDA80"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La información financiera comprende un conjunto completo de estados financieros anuales, e intermedios, de acuerdo con los requerimientos emitidos por el Conassif y las NIIF. Además, incluye la información contable según los requerimientos de información que sobre el particular dicte el superintendente correspondiente.</w:t>
      </w:r>
    </w:p>
    <w:p w14:paraId="5F315B02" w14:textId="77777777" w:rsidR="004F3F7A" w:rsidRPr="00AA1493" w:rsidRDefault="004F3F7A" w:rsidP="004F3F7A">
      <w:pPr>
        <w:jc w:val="both"/>
        <w:rPr>
          <w:b/>
          <w:color w:val="000000" w:themeColor="text1"/>
          <w:sz w:val="22"/>
          <w:szCs w:val="22"/>
          <w:lang w:val="es-CR" w:eastAsia="es-CR"/>
        </w:rPr>
      </w:pPr>
    </w:p>
    <w:p w14:paraId="037D34F8"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Para la presentación de los estados financieros, las entidades supervisadas por la Sugef deben tomar como base los modelos de estados financieros definidos en el anexo 5 de los lineamientos generales, de este reglamento. Se podrán hacer adecuaciones a la información financiera con el propósito de que se ajuste a la naturaleza de sus actividades operativas, pero respetando lo establecido en las NIIF. Las entidades reguladas por las otras superintendencias deberán considerar los formatos específicos que cada superintendencia haya establecido.</w:t>
      </w:r>
    </w:p>
    <w:p w14:paraId="7565CE61" w14:textId="77777777" w:rsidR="004F3F7A" w:rsidRPr="00AA1493" w:rsidRDefault="004F3F7A" w:rsidP="004F3F7A">
      <w:pPr>
        <w:ind w:left="567" w:right="616"/>
        <w:jc w:val="both"/>
        <w:rPr>
          <w:b/>
          <w:bCs/>
          <w:i/>
          <w:iCs/>
          <w:color w:val="000000" w:themeColor="text1"/>
          <w:sz w:val="22"/>
          <w:szCs w:val="22"/>
          <w:lang w:val="es-CR" w:eastAsia="es-CR"/>
        </w:rPr>
      </w:pPr>
    </w:p>
    <w:p w14:paraId="5DAB5998" w14:textId="77777777" w:rsidR="004F3F7A" w:rsidRPr="00AA1493" w:rsidRDefault="004F3F7A" w:rsidP="004F3F7A">
      <w:pPr>
        <w:ind w:left="567" w:right="616"/>
        <w:jc w:val="both"/>
        <w:rPr>
          <w:b/>
          <w:bCs/>
          <w:i/>
          <w:iCs/>
          <w:color w:val="000000" w:themeColor="text1"/>
          <w:sz w:val="22"/>
          <w:szCs w:val="22"/>
          <w:lang w:val="es-CR" w:eastAsia="es-CR"/>
        </w:rPr>
      </w:pPr>
      <w:r w:rsidRPr="00AA1493">
        <w:rPr>
          <w:b/>
          <w:bCs/>
          <w:i/>
          <w:iCs/>
          <w:color w:val="000000" w:themeColor="text1"/>
          <w:sz w:val="22"/>
          <w:szCs w:val="22"/>
          <w:lang w:val="es-CR" w:eastAsia="es-CR"/>
        </w:rPr>
        <w:t>A partir del 1° de enero de 2027 el segundo párrafo del artículo 29 debe leerse de la siguiente manera:</w:t>
      </w:r>
    </w:p>
    <w:p w14:paraId="11990DE3" w14:textId="77777777" w:rsidR="004F3F7A" w:rsidRPr="00AA1493" w:rsidRDefault="004F3F7A" w:rsidP="004F3F7A">
      <w:pPr>
        <w:ind w:left="567" w:right="616"/>
        <w:jc w:val="both"/>
        <w:rPr>
          <w:i/>
          <w:iCs/>
          <w:color w:val="000000" w:themeColor="text1"/>
          <w:sz w:val="22"/>
          <w:szCs w:val="22"/>
          <w:lang w:val="es-CR" w:eastAsia="es-CR"/>
        </w:rPr>
      </w:pPr>
    </w:p>
    <w:p w14:paraId="37B685FF" w14:textId="77777777" w:rsidR="004F3F7A" w:rsidRPr="00AA1493" w:rsidRDefault="004F3F7A" w:rsidP="004F3F7A">
      <w:pPr>
        <w:ind w:left="567" w:right="616"/>
        <w:jc w:val="both"/>
        <w:rPr>
          <w:b/>
          <w:color w:val="000000" w:themeColor="text1"/>
          <w:sz w:val="22"/>
          <w:szCs w:val="22"/>
          <w:lang w:val="es-CR" w:eastAsia="es-CR"/>
        </w:rPr>
      </w:pPr>
      <w:r w:rsidRPr="00AA1493">
        <w:rPr>
          <w:i/>
          <w:iCs/>
          <w:color w:val="000000" w:themeColor="text1"/>
          <w:sz w:val="22"/>
          <w:szCs w:val="22"/>
          <w:lang w:val="es-CR" w:eastAsia="es-CR"/>
        </w:rPr>
        <w:t>“… Para la presentación de los estados financieros, las entidades supervisadas por la Sugef deben tomar como base los modelos de estados financieros definidos en los lineamientos generales, de este Reglamento. Para el caso del Estado de Flujos de Efectivo, la entidad debe presentar el formato bajo el modelo elegido de conformidad con NIIF. Se podrán hacer adecuaciones a la información financiera con el propósito de que se ajuste a la naturaleza de sus actividades operativas, pero respetando lo establecido en las NIIF. Las entidades reguladas por las otras superintendencias deberán considerar los formatos específicos que cada Superintendencia haya establecido…”.</w:t>
      </w:r>
    </w:p>
    <w:p w14:paraId="703F5AE1" w14:textId="77777777" w:rsidR="004F3F7A" w:rsidRPr="00AA1493" w:rsidRDefault="004F3F7A" w:rsidP="004F3F7A">
      <w:pPr>
        <w:jc w:val="both"/>
        <w:rPr>
          <w:color w:val="000000" w:themeColor="text1"/>
          <w:sz w:val="22"/>
          <w:szCs w:val="22"/>
          <w:lang w:val="es-CR" w:eastAsia="es-CR"/>
        </w:rPr>
      </w:pPr>
    </w:p>
    <w:p w14:paraId="498E625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Las notas a los estados financieros deben presentarse de conformidad con las revelaciones que disponen las NIIF, además deben suministrar descripciones narrativas y desagregaciones de partidas presentadas en los estados financieros, las políticas contables e información sobre partidas que no cumplen las condiciones para ser reconocidas en ellos. La información financiera debe incluir notas explicativas, adicionales, con el propósito de que los usuarios puedan interpretar adecuadamente la información financiera. </w:t>
      </w:r>
    </w:p>
    <w:p w14:paraId="7660C16E" w14:textId="77777777" w:rsidR="004F3F7A" w:rsidRPr="00AA1493" w:rsidRDefault="004F3F7A" w:rsidP="004F3F7A">
      <w:pPr>
        <w:jc w:val="both"/>
        <w:rPr>
          <w:color w:val="000000" w:themeColor="text1"/>
          <w:sz w:val="22"/>
          <w:szCs w:val="22"/>
          <w:lang w:val="es-CR" w:eastAsia="es-CR"/>
        </w:rPr>
      </w:pPr>
    </w:p>
    <w:p w14:paraId="78E9A0E1"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Cada superintendente puede solicitar que se incluya, en el conjunto completo de estados financieros, revelación adicional a las notas que requieren las NIIF.</w:t>
      </w:r>
    </w:p>
    <w:p w14:paraId="35CDC4C3" w14:textId="77777777" w:rsidR="004F3F7A" w:rsidRPr="00AA1493" w:rsidRDefault="004F3F7A" w:rsidP="004F3F7A">
      <w:pPr>
        <w:jc w:val="both"/>
        <w:rPr>
          <w:color w:val="000000" w:themeColor="text1"/>
          <w:sz w:val="22"/>
          <w:szCs w:val="22"/>
          <w:lang w:val="es-CR" w:eastAsia="es-CR"/>
        </w:rPr>
      </w:pPr>
    </w:p>
    <w:p w14:paraId="32022B68" w14:textId="77777777" w:rsidR="004F3F7A" w:rsidRPr="00AA1493" w:rsidRDefault="004F3F7A" w:rsidP="004F3F7A">
      <w:pPr>
        <w:jc w:val="both"/>
        <w:rPr>
          <w:bCs/>
          <w:color w:val="000000" w:themeColor="text1"/>
          <w:sz w:val="22"/>
          <w:szCs w:val="22"/>
          <w:lang w:val="es-CR" w:eastAsia="es-CR"/>
        </w:rPr>
      </w:pPr>
      <w:r w:rsidRPr="00AA1493">
        <w:rPr>
          <w:color w:val="000000" w:themeColor="text1"/>
          <w:sz w:val="22"/>
          <w:szCs w:val="22"/>
          <w:lang w:val="es-CR" w:eastAsia="es-CR"/>
        </w:rPr>
        <w:t>La información financiera utilizada en la consolidación contable deberá ajustarse al período intermedio y al ejercicio económico de la entidad controladora, el cual corresponde al año natural</w:t>
      </w:r>
      <w:r w:rsidRPr="00AA1493">
        <w:rPr>
          <w:b/>
          <w:bCs/>
          <w:color w:val="000000" w:themeColor="text1"/>
          <w:sz w:val="22"/>
          <w:szCs w:val="22"/>
          <w:lang w:val="es-CR" w:eastAsia="es-CR"/>
        </w:rPr>
        <w:t xml:space="preserve"> </w:t>
      </w:r>
      <w:r w:rsidRPr="00AA1493">
        <w:rPr>
          <w:bCs/>
          <w:color w:val="000000" w:themeColor="text1"/>
          <w:sz w:val="22"/>
          <w:szCs w:val="22"/>
          <w:lang w:val="es-CR" w:eastAsia="es-CR"/>
        </w:rPr>
        <w:t>excepto para los emisores no financieros que utilizarán su respectivo ejercicio económico</w:t>
      </w:r>
      <w:r w:rsidRPr="00AA1493">
        <w:rPr>
          <w:b/>
          <w:bCs/>
          <w:color w:val="000000" w:themeColor="text1"/>
          <w:sz w:val="22"/>
          <w:szCs w:val="22"/>
          <w:lang w:val="es-CR" w:eastAsia="es-CR"/>
        </w:rPr>
        <w:t>.</w:t>
      </w:r>
      <w:r w:rsidRPr="00AA1493">
        <w:rPr>
          <w:color w:val="000000" w:themeColor="text1"/>
          <w:sz w:val="22"/>
          <w:szCs w:val="22"/>
          <w:lang w:val="es-CR" w:eastAsia="es-CR"/>
        </w:rPr>
        <w:t xml:space="preserve"> La hoja de trabajo de consolidación es parte integrante de los estados financieros consolidados y deberá ser presentada </w:t>
      </w:r>
      <w:proofErr w:type="gramStart"/>
      <w:r w:rsidRPr="00AA1493">
        <w:rPr>
          <w:color w:val="000000" w:themeColor="text1"/>
          <w:sz w:val="22"/>
          <w:szCs w:val="22"/>
          <w:lang w:val="es-CR" w:eastAsia="es-CR"/>
        </w:rPr>
        <w:t>conjuntamente con</w:t>
      </w:r>
      <w:proofErr w:type="gramEnd"/>
      <w:r w:rsidRPr="00AA1493">
        <w:rPr>
          <w:color w:val="000000" w:themeColor="text1"/>
          <w:sz w:val="22"/>
          <w:szCs w:val="22"/>
          <w:lang w:val="es-CR" w:eastAsia="es-CR"/>
        </w:rPr>
        <w:t xml:space="preserve"> estos y con sus respectivos asientos de eliminación y la información complementaria adicional.</w:t>
      </w:r>
      <w:r w:rsidRPr="00AA1493">
        <w:rPr>
          <w:b/>
          <w:bCs/>
          <w:color w:val="000000" w:themeColor="text1"/>
          <w:sz w:val="22"/>
          <w:szCs w:val="22"/>
          <w:lang w:val="es-CR" w:eastAsia="es-CR"/>
        </w:rPr>
        <w:t xml:space="preserve"> </w:t>
      </w:r>
      <w:r w:rsidRPr="00AA1493">
        <w:rPr>
          <w:bCs/>
          <w:color w:val="000000" w:themeColor="text1"/>
          <w:sz w:val="22"/>
          <w:szCs w:val="22"/>
          <w:lang w:val="es-CR" w:eastAsia="es-CR"/>
        </w:rPr>
        <w:t>En el caso</w:t>
      </w:r>
      <w:r w:rsidRPr="00AA1493">
        <w:rPr>
          <w:color w:val="000000" w:themeColor="text1"/>
          <w:sz w:val="22"/>
          <w:szCs w:val="22"/>
          <w:lang w:val="es-CR" w:eastAsia="es-CR"/>
        </w:rPr>
        <w:t xml:space="preserve"> de los emisores de valores no sujetos a la fiscalización por parte de la </w:t>
      </w:r>
      <w:r w:rsidRPr="00AA1493">
        <w:rPr>
          <w:bCs/>
          <w:color w:val="000000" w:themeColor="text1"/>
          <w:sz w:val="22"/>
          <w:szCs w:val="22"/>
          <w:lang w:val="es-CR" w:eastAsia="es-CR"/>
        </w:rPr>
        <w:t>Sugef</w:t>
      </w:r>
      <w:r w:rsidRPr="00AA1493">
        <w:rPr>
          <w:color w:val="000000" w:themeColor="text1"/>
          <w:sz w:val="22"/>
          <w:szCs w:val="22"/>
          <w:lang w:val="es-CR" w:eastAsia="es-CR"/>
        </w:rPr>
        <w:t xml:space="preserve">, las hojas de trabajo de consolidación con sus respectivos asientos de eliminación y las comunicaciones del auditor externo </w:t>
      </w:r>
      <w:r w:rsidRPr="00AA1493">
        <w:rPr>
          <w:bCs/>
          <w:color w:val="000000" w:themeColor="text1"/>
          <w:sz w:val="22"/>
          <w:szCs w:val="22"/>
          <w:lang w:val="es-CR" w:eastAsia="es-CR"/>
        </w:rPr>
        <w:t>deberán estar a disposición de la Sugeval para efectos de supervisión, cuando esta lo solicite.</w:t>
      </w:r>
    </w:p>
    <w:p w14:paraId="184801F6" w14:textId="77777777" w:rsidR="004F3F7A" w:rsidRPr="00AA1493" w:rsidRDefault="004F3F7A" w:rsidP="004F3F7A">
      <w:pPr>
        <w:jc w:val="both"/>
        <w:rPr>
          <w:color w:val="000000" w:themeColor="text1"/>
          <w:sz w:val="22"/>
          <w:szCs w:val="22"/>
          <w:lang w:val="es-CR" w:eastAsia="es-CR"/>
        </w:rPr>
      </w:pPr>
    </w:p>
    <w:p w14:paraId="1D7FF14B"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lastRenderedPageBreak/>
        <w:t xml:space="preserve">Las controladoras de los grupos y conglomerados financieros aplicarán las disposiciones emitidas </w:t>
      </w:r>
      <w:r w:rsidRPr="00AA1493">
        <w:rPr>
          <w:bCs/>
          <w:color w:val="000000" w:themeColor="text1"/>
          <w:sz w:val="22"/>
          <w:szCs w:val="22"/>
          <w:lang w:val="es-CR" w:eastAsia="es-CR"/>
        </w:rPr>
        <w:t>en este reglamento</w:t>
      </w:r>
      <w:r w:rsidRPr="00AA1493">
        <w:rPr>
          <w:color w:val="000000" w:themeColor="text1"/>
          <w:sz w:val="22"/>
          <w:szCs w:val="22"/>
          <w:lang w:val="es-CR" w:eastAsia="es-CR"/>
        </w:rPr>
        <w:t xml:space="preserve"> para presentar las participaciones en otras empresas del grupo o conglomerado financiero. Lo anterior no exime a las entidades de la presentación de los estados financieros separados de cada una de las entidades que integran el grupo o conglomerado financiero; así como de las afiliadas no financieras que no forman parte del </w:t>
      </w:r>
      <w:r w:rsidRPr="00AA1493">
        <w:rPr>
          <w:bCs/>
          <w:color w:val="000000" w:themeColor="text1"/>
          <w:sz w:val="22"/>
          <w:szCs w:val="22"/>
          <w:lang w:val="es-CR" w:eastAsia="es-CR"/>
        </w:rPr>
        <w:t>g</w:t>
      </w:r>
      <w:r w:rsidRPr="00AA1493">
        <w:rPr>
          <w:color w:val="000000" w:themeColor="text1"/>
          <w:sz w:val="22"/>
          <w:szCs w:val="22"/>
          <w:lang w:val="es-CR" w:eastAsia="es-CR"/>
        </w:rPr>
        <w:t xml:space="preserve">rupo o </w:t>
      </w:r>
      <w:r w:rsidRPr="00AA1493">
        <w:rPr>
          <w:bCs/>
          <w:color w:val="000000" w:themeColor="text1"/>
          <w:sz w:val="22"/>
          <w:szCs w:val="22"/>
          <w:lang w:val="es-CR" w:eastAsia="es-CR"/>
        </w:rPr>
        <w:t>c</w:t>
      </w:r>
      <w:r w:rsidRPr="00AA1493">
        <w:rPr>
          <w:color w:val="000000" w:themeColor="text1"/>
          <w:sz w:val="22"/>
          <w:szCs w:val="22"/>
          <w:lang w:val="es-CR" w:eastAsia="es-CR"/>
        </w:rPr>
        <w:t xml:space="preserve">onglomerado </w:t>
      </w:r>
      <w:r w:rsidRPr="00AA1493">
        <w:rPr>
          <w:bCs/>
          <w:color w:val="000000" w:themeColor="text1"/>
          <w:sz w:val="22"/>
          <w:szCs w:val="22"/>
          <w:lang w:val="es-CR" w:eastAsia="es-CR"/>
        </w:rPr>
        <w:t>f</w:t>
      </w:r>
      <w:r w:rsidRPr="00AA1493">
        <w:rPr>
          <w:color w:val="000000" w:themeColor="text1"/>
          <w:sz w:val="22"/>
          <w:szCs w:val="22"/>
          <w:lang w:val="es-CR" w:eastAsia="es-CR"/>
        </w:rPr>
        <w:t>inanciero.</w:t>
      </w:r>
    </w:p>
    <w:p w14:paraId="50588331" w14:textId="77777777" w:rsidR="004F3F7A" w:rsidRPr="00AA1493" w:rsidRDefault="004F3F7A" w:rsidP="004F3F7A">
      <w:pPr>
        <w:jc w:val="both"/>
        <w:rPr>
          <w:color w:val="000000" w:themeColor="text1"/>
          <w:sz w:val="22"/>
          <w:szCs w:val="22"/>
          <w:lang w:val="es-CR" w:eastAsia="es-CR"/>
        </w:rPr>
      </w:pPr>
    </w:p>
    <w:p w14:paraId="6EADCA70"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En el caso de las entidades de seguros autorizadas bajo la modalidad de sucursal, supervisadas por Sugese, incluye además de la información requerida a la sucursal, la correspondiente a la entidad propietaria de la sucursal (operación total o consolidada).</w:t>
      </w:r>
    </w:p>
    <w:p w14:paraId="1C3C0A26" w14:textId="77777777" w:rsidR="004F3F7A" w:rsidRPr="00AA1493" w:rsidRDefault="004F3F7A" w:rsidP="004F3F7A">
      <w:pPr>
        <w:ind w:right="49"/>
        <w:jc w:val="both"/>
        <w:rPr>
          <w:bCs/>
          <w:color w:val="000000" w:themeColor="text1"/>
          <w:sz w:val="22"/>
          <w:szCs w:val="22"/>
          <w:lang w:val="es-CR" w:eastAsia="es-CR"/>
        </w:rPr>
      </w:pPr>
    </w:p>
    <w:p w14:paraId="465E172A" w14:textId="77777777" w:rsidR="004F3F7A" w:rsidRPr="00AA1493" w:rsidRDefault="004F3F7A" w:rsidP="004F3F7A">
      <w:pPr>
        <w:ind w:right="49"/>
        <w:jc w:val="both"/>
        <w:rPr>
          <w:b/>
          <w:color w:val="000000" w:themeColor="text1"/>
          <w:sz w:val="22"/>
          <w:szCs w:val="22"/>
          <w:lang w:val="es-CR" w:eastAsia="es-CR"/>
        </w:rPr>
      </w:pPr>
      <w:r w:rsidRPr="00AA1493">
        <w:rPr>
          <w:bCs/>
          <w:color w:val="000000" w:themeColor="text1"/>
          <w:sz w:val="22"/>
          <w:szCs w:val="22"/>
          <w:lang w:val="es-CR" w:eastAsia="es-CR"/>
        </w:rPr>
        <w:t>En el caso de empresas del grupo o conglomerado, las controladoras deberán presentar los estados financieros auditados de esas empresas en el mismo plazo de presentación de los estados financieros auditados de la controladora”.</w:t>
      </w:r>
    </w:p>
    <w:p w14:paraId="22AB8B6A" w14:textId="77777777" w:rsidR="004F3F7A" w:rsidRPr="00EA3AC8" w:rsidRDefault="004F3F7A" w:rsidP="004F3F7A">
      <w:pPr>
        <w:jc w:val="both"/>
        <w:rPr>
          <w:color w:val="000000" w:themeColor="text1"/>
          <w:sz w:val="22"/>
          <w:szCs w:val="22"/>
          <w:lang w:val="es-CR" w:eastAsia="es-CR"/>
        </w:rPr>
      </w:pPr>
    </w:p>
    <w:p w14:paraId="2A101D3A"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473E0AFE" w14:textId="77777777" w:rsidR="004F3F7A" w:rsidRPr="00EA3AC8" w:rsidRDefault="004F3F7A" w:rsidP="004F3F7A">
      <w:pPr>
        <w:rPr>
          <w:color w:val="000000" w:themeColor="text1"/>
          <w:sz w:val="22"/>
          <w:szCs w:val="22"/>
          <w:lang w:val="es-CR"/>
        </w:rPr>
      </w:pPr>
    </w:p>
    <w:p w14:paraId="323892B5" w14:textId="77777777" w:rsidR="004F3F7A" w:rsidRPr="00AA1493" w:rsidRDefault="004F3F7A" w:rsidP="004F3F7A">
      <w:pPr>
        <w:rPr>
          <w:b/>
          <w:color w:val="000000" w:themeColor="text1"/>
          <w:sz w:val="22"/>
          <w:szCs w:val="22"/>
          <w:lang w:val="es-CR" w:eastAsia="es-CR"/>
        </w:rPr>
      </w:pPr>
      <w:r w:rsidRPr="00AA1493">
        <w:rPr>
          <w:b/>
          <w:bCs/>
          <w:color w:val="000000" w:themeColor="text1"/>
          <w:sz w:val="22"/>
          <w:szCs w:val="22"/>
          <w:lang w:val="es-CR"/>
        </w:rPr>
        <w:t>Artículo 37. Plazos y disposiciones para la publicación de la información financiera.</w:t>
      </w:r>
    </w:p>
    <w:p w14:paraId="3F60FAD4" w14:textId="77777777" w:rsidR="004F3F7A" w:rsidRPr="00AA1493" w:rsidRDefault="004F3F7A" w:rsidP="004F3F7A">
      <w:pPr>
        <w:jc w:val="both"/>
        <w:rPr>
          <w:color w:val="000000" w:themeColor="text1"/>
          <w:sz w:val="22"/>
          <w:szCs w:val="22"/>
          <w:lang w:val="es-CR" w:eastAsia="es-CR"/>
        </w:rPr>
      </w:pPr>
    </w:p>
    <w:p w14:paraId="06835F07"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Las entidades deberán publicar la información financiera en su sitio Web oficial de acuerdo con lo siguiente:</w:t>
      </w:r>
    </w:p>
    <w:p w14:paraId="78E13202" w14:textId="77777777" w:rsidR="004F3F7A" w:rsidRPr="00EA3AC8" w:rsidRDefault="004F3F7A" w:rsidP="004F3F7A">
      <w:pPr>
        <w:jc w:val="both"/>
        <w:rPr>
          <w:bCs/>
          <w:color w:val="000000" w:themeColor="text1"/>
          <w:sz w:val="22"/>
          <w:szCs w:val="22"/>
          <w:lang w:val="es-CR" w:eastAsia="es-CR"/>
        </w:rPr>
      </w:pPr>
    </w:p>
    <w:tbl>
      <w:tblPr>
        <w:tblW w:w="5005" w:type="pct"/>
        <w:tblInd w:w="-5" w:type="dxa"/>
        <w:tblLayout w:type="fixed"/>
        <w:tblCellMar>
          <w:left w:w="70" w:type="dxa"/>
          <w:right w:w="70" w:type="dxa"/>
        </w:tblCellMar>
        <w:tblLook w:val="04A0" w:firstRow="1" w:lastRow="0" w:firstColumn="1" w:lastColumn="0" w:noHBand="0" w:noVBand="1"/>
      </w:tblPr>
      <w:tblGrid>
        <w:gridCol w:w="9081"/>
      </w:tblGrid>
      <w:tr w:rsidR="004F3F7A" w:rsidRPr="00AA1493" w14:paraId="3AB7E6AA" w14:textId="77777777" w:rsidTr="00854896">
        <w:trPr>
          <w:trHeight w:val="4556"/>
        </w:trPr>
        <w:tc>
          <w:tcPr>
            <w:tcW w:w="5000" w:type="pct"/>
            <w:vAlign w:val="center"/>
          </w:tcPr>
          <w:tbl>
            <w:tblPr>
              <w:tblW w:w="4930" w:type="pct"/>
              <w:tblInd w:w="66" w:type="dxa"/>
              <w:tblLayout w:type="fixed"/>
              <w:tblCellMar>
                <w:left w:w="70" w:type="dxa"/>
                <w:right w:w="70" w:type="dxa"/>
              </w:tblCellMar>
              <w:tblLook w:val="04A0" w:firstRow="1" w:lastRow="0" w:firstColumn="1" w:lastColumn="0" w:noHBand="0" w:noVBand="1"/>
            </w:tblPr>
            <w:tblGrid>
              <w:gridCol w:w="5169"/>
              <w:gridCol w:w="3637"/>
            </w:tblGrid>
            <w:tr w:rsidR="004F3F7A" w:rsidRPr="00AA1493" w14:paraId="3B66349E" w14:textId="77777777" w:rsidTr="004F3F7A">
              <w:trPr>
                <w:trHeight w:val="255"/>
              </w:trPr>
              <w:tc>
                <w:tcPr>
                  <w:tcW w:w="2935" w:type="pct"/>
                  <w:tcBorders>
                    <w:top w:val="single" w:sz="4" w:space="0" w:color="auto"/>
                    <w:left w:val="single" w:sz="4" w:space="0" w:color="auto"/>
                    <w:bottom w:val="single" w:sz="4" w:space="0" w:color="auto"/>
                    <w:right w:val="single" w:sz="4" w:space="0" w:color="auto"/>
                  </w:tcBorders>
                  <w:shd w:val="clear" w:color="auto" w:fill="B4C6E7"/>
                  <w:noWrap/>
                  <w:vAlign w:val="bottom"/>
                  <w:hideMark/>
                </w:tcPr>
                <w:p w14:paraId="724865D8" w14:textId="77777777" w:rsidR="004F3F7A" w:rsidRPr="00AA1493" w:rsidRDefault="004F3F7A" w:rsidP="004F3F7A">
                  <w:pPr>
                    <w:keepNext/>
                    <w:jc w:val="center"/>
                    <w:rPr>
                      <w:b/>
                      <w:bCs/>
                      <w:color w:val="000000" w:themeColor="text1"/>
                      <w:sz w:val="22"/>
                      <w:szCs w:val="22"/>
                      <w:lang w:val="es-CR" w:eastAsia="es-CR"/>
                    </w:rPr>
                  </w:pPr>
                  <w:r w:rsidRPr="00AA1493">
                    <w:rPr>
                      <w:b/>
                      <w:bCs/>
                      <w:color w:val="000000" w:themeColor="text1"/>
                      <w:sz w:val="22"/>
                      <w:szCs w:val="22"/>
                      <w:lang w:val="es-CR" w:eastAsia="es-CR"/>
                    </w:rPr>
                    <w:t>Descripción</w:t>
                  </w:r>
                </w:p>
              </w:tc>
              <w:tc>
                <w:tcPr>
                  <w:tcW w:w="2065" w:type="pct"/>
                  <w:tcBorders>
                    <w:top w:val="single" w:sz="4" w:space="0" w:color="auto"/>
                    <w:left w:val="nil"/>
                    <w:bottom w:val="single" w:sz="4" w:space="0" w:color="auto"/>
                    <w:right w:val="single" w:sz="4" w:space="0" w:color="auto"/>
                  </w:tcBorders>
                  <w:shd w:val="clear" w:color="auto" w:fill="B4C6E7"/>
                  <w:noWrap/>
                  <w:vAlign w:val="bottom"/>
                  <w:hideMark/>
                </w:tcPr>
                <w:p w14:paraId="5E77F7B1" w14:textId="77777777" w:rsidR="004F3F7A" w:rsidRPr="00AA1493" w:rsidRDefault="004F3F7A" w:rsidP="004F3F7A">
                  <w:pPr>
                    <w:keepNext/>
                    <w:jc w:val="center"/>
                    <w:rPr>
                      <w:b/>
                      <w:bCs/>
                      <w:color w:val="000000" w:themeColor="text1"/>
                      <w:sz w:val="22"/>
                      <w:szCs w:val="22"/>
                      <w:lang w:val="es-CR" w:eastAsia="es-CR"/>
                    </w:rPr>
                  </w:pPr>
                  <w:r w:rsidRPr="00AA1493">
                    <w:rPr>
                      <w:b/>
                      <w:bCs/>
                      <w:color w:val="000000" w:themeColor="text1"/>
                      <w:sz w:val="22"/>
                      <w:szCs w:val="22"/>
                      <w:lang w:val="es-CR" w:eastAsia="es-CR"/>
                    </w:rPr>
                    <w:t>Plazo</w:t>
                  </w:r>
                </w:p>
              </w:tc>
            </w:tr>
            <w:tr w:rsidR="004F3F7A" w:rsidRPr="00AA1493" w14:paraId="151A6187" w14:textId="77777777" w:rsidTr="00854896">
              <w:trPr>
                <w:trHeight w:val="2428"/>
              </w:trPr>
              <w:tc>
                <w:tcPr>
                  <w:tcW w:w="2935" w:type="pct"/>
                  <w:tcBorders>
                    <w:top w:val="nil"/>
                    <w:left w:val="single" w:sz="4" w:space="0" w:color="auto"/>
                    <w:bottom w:val="single" w:sz="4" w:space="0" w:color="auto"/>
                    <w:right w:val="single" w:sz="4" w:space="0" w:color="auto"/>
                  </w:tcBorders>
                  <w:hideMark/>
                </w:tcPr>
                <w:p w14:paraId="5AFD59C7"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Información Financiera de las entidades individuales y emisores no financieros que consolidan con empresas ubicadas en el territorio costarricense.</w:t>
                  </w:r>
                </w:p>
                <w:p w14:paraId="446A12F7" w14:textId="77777777" w:rsidR="004F3F7A" w:rsidRPr="00AA1493" w:rsidRDefault="004F3F7A" w:rsidP="004F3F7A">
                  <w:pPr>
                    <w:jc w:val="both"/>
                    <w:rPr>
                      <w:color w:val="000000" w:themeColor="text1"/>
                      <w:sz w:val="22"/>
                      <w:szCs w:val="22"/>
                      <w:lang w:val="es-CR" w:eastAsia="es-CR"/>
                    </w:rPr>
                  </w:pPr>
                </w:p>
                <w:p w14:paraId="3466683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Las entidades de seguros autorizadas bajo la modalidad de sucursal se exceptúan del cumplimiento del plazo mencionado anteriormente, para el caso de los estados financieros auditados completos de la entidad propietaria de la sucursal, su publicación será veinte días hábiles después de entregados al supervisor de la jurisdicción de origen. </w:t>
                  </w:r>
                </w:p>
              </w:tc>
              <w:tc>
                <w:tcPr>
                  <w:tcW w:w="2065" w:type="pct"/>
                  <w:tcBorders>
                    <w:top w:val="nil"/>
                    <w:left w:val="nil"/>
                    <w:bottom w:val="single" w:sz="4" w:space="0" w:color="auto"/>
                    <w:right w:val="single" w:sz="4" w:space="0" w:color="auto"/>
                  </w:tcBorders>
                  <w:hideMark/>
                </w:tcPr>
                <w:p w14:paraId="57B9FC8C"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Cuarenta y cinco días hábiles posteriores al último día del ejercicio económico anterior. </w:t>
                  </w:r>
                </w:p>
              </w:tc>
            </w:tr>
            <w:tr w:rsidR="004F3F7A" w:rsidRPr="00AA1493" w14:paraId="170D6954" w14:textId="77777777" w:rsidTr="00854896">
              <w:trPr>
                <w:trHeight w:val="619"/>
              </w:trPr>
              <w:tc>
                <w:tcPr>
                  <w:tcW w:w="2935" w:type="pct"/>
                  <w:tcBorders>
                    <w:top w:val="nil"/>
                    <w:left w:val="single" w:sz="4" w:space="0" w:color="auto"/>
                    <w:bottom w:val="single" w:sz="4" w:space="0" w:color="auto"/>
                    <w:right w:val="single" w:sz="4" w:space="0" w:color="auto"/>
                  </w:tcBorders>
                  <w:hideMark/>
                </w:tcPr>
                <w:p w14:paraId="301C2347"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Información Financiera consolidada del grupo y conglomerado financiero.</w:t>
                  </w:r>
                </w:p>
              </w:tc>
              <w:tc>
                <w:tcPr>
                  <w:tcW w:w="2065" w:type="pct"/>
                  <w:tcBorders>
                    <w:top w:val="nil"/>
                    <w:left w:val="nil"/>
                    <w:bottom w:val="single" w:sz="4" w:space="0" w:color="auto"/>
                    <w:right w:val="single" w:sz="4" w:space="0" w:color="auto"/>
                  </w:tcBorders>
                  <w:hideMark/>
                </w:tcPr>
                <w:p w14:paraId="42822D37"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Sesenta y cinco días hábiles posteriores al último día del ejercicio económico anterior. </w:t>
                  </w:r>
                </w:p>
              </w:tc>
            </w:tr>
            <w:tr w:rsidR="004F3F7A" w:rsidRPr="00AA1493" w14:paraId="54DB2B80" w14:textId="77777777" w:rsidTr="00854896">
              <w:trPr>
                <w:trHeight w:val="897"/>
              </w:trPr>
              <w:tc>
                <w:tcPr>
                  <w:tcW w:w="2935" w:type="pct"/>
                  <w:tcBorders>
                    <w:top w:val="nil"/>
                    <w:left w:val="single" w:sz="4" w:space="0" w:color="auto"/>
                    <w:bottom w:val="single" w:sz="4" w:space="0" w:color="auto"/>
                    <w:right w:val="single" w:sz="4" w:space="0" w:color="auto"/>
                  </w:tcBorders>
                  <w:hideMark/>
                </w:tcPr>
                <w:p w14:paraId="788E86E4"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Para los emisores de valores no financieros, que consoliden con empresas ubicadas fuera del territorio costarricense. </w:t>
                  </w:r>
                </w:p>
              </w:tc>
              <w:tc>
                <w:tcPr>
                  <w:tcW w:w="2065" w:type="pct"/>
                  <w:tcBorders>
                    <w:top w:val="nil"/>
                    <w:left w:val="nil"/>
                    <w:bottom w:val="single" w:sz="4" w:space="0" w:color="auto"/>
                    <w:right w:val="single" w:sz="4" w:space="0" w:color="auto"/>
                  </w:tcBorders>
                  <w:hideMark/>
                </w:tcPr>
                <w:p w14:paraId="0ED9CEB2"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Dentro de los cincuenta y cinco días hábiles posteriores al último día del ejercicio económico anterior. </w:t>
                  </w:r>
                </w:p>
              </w:tc>
            </w:tr>
          </w:tbl>
          <w:p w14:paraId="7720A71C" w14:textId="77777777" w:rsidR="004F3F7A" w:rsidRPr="00AA1493" w:rsidRDefault="004F3F7A" w:rsidP="004F3F7A">
            <w:pPr>
              <w:jc w:val="center"/>
              <w:rPr>
                <w:b/>
                <w:color w:val="000000" w:themeColor="text1"/>
                <w:sz w:val="22"/>
                <w:szCs w:val="22"/>
                <w:lang w:val="es-CR" w:eastAsia="es-CR"/>
              </w:rPr>
            </w:pPr>
          </w:p>
        </w:tc>
      </w:tr>
    </w:tbl>
    <w:p w14:paraId="3C18ED96" w14:textId="77777777" w:rsidR="004F3F7A" w:rsidRPr="00AA1493" w:rsidRDefault="004F3F7A" w:rsidP="004F3F7A">
      <w:pPr>
        <w:jc w:val="both"/>
        <w:rPr>
          <w:color w:val="000000" w:themeColor="text1"/>
          <w:sz w:val="22"/>
          <w:szCs w:val="22"/>
          <w:lang w:val="es-CR" w:eastAsia="es-CR"/>
        </w:rPr>
      </w:pPr>
    </w:p>
    <w:p w14:paraId="235F6790"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En forma general, para las entidades reguladas por Supen, el plazo de publicación de la información financiera se debe realizar de conformidad con el acuerdo que el superintendente emita para tal fin.</w:t>
      </w:r>
    </w:p>
    <w:p w14:paraId="1E14D183" w14:textId="77777777" w:rsidR="004F3F7A" w:rsidRPr="00AA1493" w:rsidRDefault="004F3F7A" w:rsidP="004F3F7A">
      <w:pPr>
        <w:jc w:val="both"/>
        <w:rPr>
          <w:color w:val="000000" w:themeColor="text1"/>
          <w:sz w:val="22"/>
          <w:szCs w:val="22"/>
          <w:lang w:val="es-CR" w:eastAsia="es-CR"/>
        </w:rPr>
      </w:pPr>
    </w:p>
    <w:p w14:paraId="1FB64C09" w14:textId="77777777" w:rsidR="004F3F7A" w:rsidRPr="00AA1493" w:rsidRDefault="004F3F7A" w:rsidP="004F3F7A">
      <w:pPr>
        <w:jc w:val="both"/>
        <w:rPr>
          <w:b/>
          <w:color w:val="000000" w:themeColor="text1"/>
          <w:sz w:val="22"/>
          <w:szCs w:val="22"/>
          <w:u w:val="single"/>
          <w:lang w:val="es-CR" w:eastAsia="es-CR"/>
        </w:rPr>
      </w:pPr>
      <w:r w:rsidRPr="00AA1493">
        <w:rPr>
          <w:color w:val="000000" w:themeColor="text1"/>
          <w:sz w:val="22"/>
          <w:szCs w:val="22"/>
          <w:lang w:val="es-CR" w:eastAsia="es-CR"/>
        </w:rPr>
        <w:t xml:space="preserve">Cuando se trate de un grupo o conglomerado financiero deberá publicar la información detallada en el anexo 6.A. de los lineamientos generales de este reglamento, que se encuentra publicado en la página </w:t>
      </w:r>
      <w:r w:rsidRPr="00AA1493">
        <w:rPr>
          <w:iCs/>
          <w:color w:val="000000" w:themeColor="text1"/>
          <w:sz w:val="22"/>
          <w:szCs w:val="22"/>
          <w:lang w:val="es-CR" w:eastAsia="es-CR"/>
        </w:rPr>
        <w:t xml:space="preserve">Web </w:t>
      </w:r>
      <w:r w:rsidRPr="00AA1493">
        <w:rPr>
          <w:color w:val="000000" w:themeColor="text1"/>
          <w:sz w:val="22"/>
          <w:szCs w:val="22"/>
          <w:lang w:val="es-CR" w:eastAsia="es-CR"/>
        </w:rPr>
        <w:t>de las superintendencias.</w:t>
      </w:r>
    </w:p>
    <w:p w14:paraId="2F8FA6A6" w14:textId="77777777" w:rsidR="004F3F7A" w:rsidRPr="00AA1493" w:rsidRDefault="004F3F7A" w:rsidP="004F3F7A">
      <w:pPr>
        <w:jc w:val="both"/>
        <w:rPr>
          <w:color w:val="000000" w:themeColor="text1"/>
          <w:sz w:val="22"/>
          <w:szCs w:val="22"/>
          <w:lang w:val="es-CR" w:eastAsia="es-CR"/>
        </w:rPr>
      </w:pPr>
    </w:p>
    <w:p w14:paraId="34F8FCAE"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Los archivos deben ser publicados en el sitio Web de la entidad, </w:t>
      </w:r>
      <w:r w:rsidRPr="00AA1493">
        <w:rPr>
          <w:bCs/>
          <w:color w:val="000000" w:themeColor="text1"/>
          <w:sz w:val="22"/>
          <w:szCs w:val="22"/>
          <w:lang w:val="es-CR" w:eastAsia="es-CR"/>
        </w:rPr>
        <w:t xml:space="preserve">y </w:t>
      </w:r>
      <w:r w:rsidRPr="00AA1493">
        <w:rPr>
          <w:color w:val="000000" w:themeColor="text1"/>
          <w:sz w:val="22"/>
          <w:szCs w:val="22"/>
          <w:lang w:val="es-CR" w:eastAsia="es-CR"/>
        </w:rPr>
        <w:t xml:space="preserve">ser accesibles a través de un vínculo directo desde su página principal; la publicación deberá tener un formato que no permita su alteración o </w:t>
      </w:r>
      <w:r w:rsidRPr="00AA1493">
        <w:rPr>
          <w:color w:val="000000" w:themeColor="text1"/>
          <w:sz w:val="22"/>
          <w:szCs w:val="22"/>
          <w:lang w:val="es-CR" w:eastAsia="es-CR"/>
        </w:rPr>
        <w:lastRenderedPageBreak/>
        <w:t>modificación. Además, el sitio Web y los archivos deben permitir su impresión y descarga hacia los dispositivos del interesado.</w:t>
      </w:r>
    </w:p>
    <w:p w14:paraId="4F0278E6" w14:textId="77777777" w:rsidR="004F3F7A" w:rsidRPr="00AA1493" w:rsidRDefault="004F3F7A" w:rsidP="004F3F7A">
      <w:pPr>
        <w:jc w:val="both"/>
        <w:rPr>
          <w:color w:val="000000" w:themeColor="text1"/>
          <w:sz w:val="22"/>
          <w:szCs w:val="22"/>
          <w:lang w:val="es-CR" w:eastAsia="es-CR"/>
        </w:rPr>
      </w:pPr>
    </w:p>
    <w:p w14:paraId="2CE4F9A8"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En el caso de entidades </w:t>
      </w:r>
      <w:r w:rsidRPr="00AA1493">
        <w:rPr>
          <w:bCs/>
          <w:color w:val="000000" w:themeColor="text1"/>
          <w:sz w:val="22"/>
          <w:szCs w:val="22"/>
          <w:lang w:val="es-CR" w:eastAsia="es-CR"/>
        </w:rPr>
        <w:t>de</w:t>
      </w:r>
      <w:r w:rsidRPr="00AA1493">
        <w:rPr>
          <w:color w:val="000000" w:themeColor="text1"/>
          <w:sz w:val="22"/>
          <w:szCs w:val="22"/>
          <w:lang w:val="es-CR" w:eastAsia="es-CR"/>
        </w:rPr>
        <w:t xml:space="preserve"> seguros autorizadas bajo la modalidad de sucursal, la publicación de la información financiera para la sucursal puede hacerse en un sitio Web particular de la sucursal o en el de la entidad propietaria.</w:t>
      </w:r>
    </w:p>
    <w:p w14:paraId="674A5D4C" w14:textId="77777777" w:rsidR="004F3F7A" w:rsidRPr="00AA1493" w:rsidRDefault="004F3F7A" w:rsidP="004F3F7A">
      <w:pPr>
        <w:jc w:val="both"/>
        <w:rPr>
          <w:color w:val="000000" w:themeColor="text1"/>
          <w:sz w:val="22"/>
          <w:szCs w:val="22"/>
          <w:lang w:val="es-CR" w:eastAsia="es-CR"/>
        </w:rPr>
      </w:pPr>
    </w:p>
    <w:p w14:paraId="2AEA2073"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En el caso de los emisores no financieros, se considerará como sitio Web oficial para publicación de la información financiera el </w:t>
      </w:r>
      <w:r w:rsidRPr="00AA1493">
        <w:rPr>
          <w:bCs/>
          <w:color w:val="000000" w:themeColor="text1"/>
          <w:sz w:val="22"/>
          <w:szCs w:val="22"/>
          <w:lang w:val="es-CR" w:eastAsia="es-CR"/>
        </w:rPr>
        <w:t>que</w:t>
      </w:r>
      <w:r w:rsidRPr="00AA1493">
        <w:rPr>
          <w:color w:val="000000" w:themeColor="text1"/>
          <w:sz w:val="22"/>
          <w:szCs w:val="22"/>
          <w:lang w:val="es-CR" w:eastAsia="es-CR"/>
        </w:rPr>
        <w:t xml:space="preserve"> se haya </w:t>
      </w:r>
      <w:r w:rsidRPr="00AA1493">
        <w:rPr>
          <w:bCs/>
          <w:color w:val="000000" w:themeColor="text1"/>
          <w:sz w:val="22"/>
          <w:szCs w:val="22"/>
          <w:lang w:val="es-CR" w:eastAsia="es-CR"/>
        </w:rPr>
        <w:t>indicado</w:t>
      </w:r>
      <w:r w:rsidRPr="00AA1493">
        <w:rPr>
          <w:color w:val="000000" w:themeColor="text1"/>
          <w:sz w:val="22"/>
          <w:szCs w:val="22"/>
          <w:lang w:val="es-CR" w:eastAsia="es-CR"/>
        </w:rPr>
        <w:t xml:space="preserve"> en su prospecto, y para el resto de las entidades será el que la entidad supervisada haya informado a la superintendencia respectiva.</w:t>
      </w:r>
    </w:p>
    <w:p w14:paraId="72EBAE92" w14:textId="77777777" w:rsidR="004F3F7A" w:rsidRPr="00AA1493" w:rsidRDefault="004F3F7A" w:rsidP="004F3F7A">
      <w:pPr>
        <w:jc w:val="both"/>
        <w:rPr>
          <w:color w:val="000000" w:themeColor="text1"/>
          <w:sz w:val="22"/>
          <w:szCs w:val="22"/>
          <w:lang w:val="es-CR" w:eastAsia="es-CR"/>
        </w:rPr>
      </w:pPr>
    </w:p>
    <w:p w14:paraId="56950C3A"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Para los Regímenes de Pensiones Complementarias Creados por Ley Especial o Convención Colectiva, los Regímenes Públicos Sustitutos del Régimen de Invalidez, Vejez y Muerte de la Caja Costarricense de Seguro Social y cualquier otro régimen de pensión especial, no será obligatorio que cuenten con sitio Web, por lo que podrán publicar la información financiera trimestral y la auditada en un medio de comunicación interno o en la página Web de la entidad en que se creó el Fondo.</w:t>
      </w:r>
    </w:p>
    <w:p w14:paraId="2F02EA35" w14:textId="77777777" w:rsidR="004F3F7A" w:rsidRPr="00AA1493" w:rsidRDefault="004F3F7A" w:rsidP="004F3F7A">
      <w:pPr>
        <w:jc w:val="both"/>
        <w:rPr>
          <w:color w:val="000000" w:themeColor="text1"/>
          <w:sz w:val="22"/>
          <w:szCs w:val="22"/>
          <w:lang w:val="es-CR" w:eastAsia="es-CR"/>
        </w:rPr>
      </w:pPr>
    </w:p>
    <w:p w14:paraId="1DDFC4A1"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En los Regímenes Colectivos supervisados por Supen los estados financieros auditados completos comprenden la opinión del auditor externo, el Estado de Activos Netos (en vez de estado de situación financiera) y el Estado de Cambios en los Activos Netos (en vez de estado de </w:t>
      </w:r>
      <w:r w:rsidRPr="00AA1493">
        <w:rPr>
          <w:bCs/>
          <w:color w:val="000000" w:themeColor="text1"/>
          <w:sz w:val="22"/>
          <w:szCs w:val="22"/>
          <w:lang w:val="es-CR" w:eastAsia="es-CR"/>
        </w:rPr>
        <w:t>resultados integral</w:t>
      </w:r>
      <w:r w:rsidRPr="00AA1493">
        <w:rPr>
          <w:color w:val="000000" w:themeColor="text1"/>
          <w:sz w:val="22"/>
          <w:szCs w:val="22"/>
          <w:lang w:val="es-CR" w:eastAsia="es-CR"/>
        </w:rPr>
        <w:t xml:space="preserve">), así como las políticas contables utilizadas y las notas establecidas en las </w:t>
      </w:r>
      <w:r w:rsidRPr="00AA1493">
        <w:rPr>
          <w:bCs/>
          <w:color w:val="000000" w:themeColor="text1"/>
          <w:sz w:val="22"/>
          <w:szCs w:val="22"/>
          <w:lang w:val="es-CR" w:eastAsia="es-CR"/>
        </w:rPr>
        <w:t>NIIF</w:t>
      </w:r>
      <w:r w:rsidRPr="00AA1493">
        <w:rPr>
          <w:color w:val="000000" w:themeColor="text1"/>
          <w:sz w:val="22"/>
          <w:szCs w:val="22"/>
          <w:lang w:val="es-CR" w:eastAsia="es-CR"/>
        </w:rPr>
        <w:t>.</w:t>
      </w:r>
    </w:p>
    <w:p w14:paraId="2C871202" w14:textId="77777777" w:rsidR="004F3F7A" w:rsidRPr="00AA1493" w:rsidRDefault="004F3F7A" w:rsidP="004F3F7A">
      <w:pPr>
        <w:jc w:val="both"/>
        <w:rPr>
          <w:color w:val="000000" w:themeColor="text1"/>
          <w:sz w:val="22"/>
          <w:szCs w:val="22"/>
          <w:lang w:val="es-CR" w:eastAsia="es-CR"/>
        </w:rPr>
      </w:pPr>
    </w:p>
    <w:p w14:paraId="54CA8F12"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La opinión que se emita para los estados financieros de la operadora de pensiones complementarias, la administradora de fondos de capitalización laboral de la sociedad administradora de fondos de inversión</w:t>
      </w:r>
      <w:r w:rsidRPr="00AA1493">
        <w:rPr>
          <w:bCs/>
          <w:color w:val="000000" w:themeColor="text1"/>
          <w:sz w:val="22"/>
          <w:szCs w:val="22"/>
          <w:lang w:val="es-CR" w:eastAsia="es-CR"/>
        </w:rPr>
        <w:t xml:space="preserve"> y de las sociedades </w:t>
      </w:r>
      <w:proofErr w:type="spellStart"/>
      <w:r w:rsidRPr="00AA1493">
        <w:rPr>
          <w:bCs/>
          <w:color w:val="000000" w:themeColor="text1"/>
          <w:sz w:val="22"/>
          <w:szCs w:val="22"/>
          <w:lang w:val="es-CR" w:eastAsia="es-CR"/>
        </w:rPr>
        <w:t>titularizadoras</w:t>
      </w:r>
      <w:proofErr w:type="spellEnd"/>
      <w:r w:rsidRPr="00AA1493">
        <w:rPr>
          <w:color w:val="000000" w:themeColor="text1"/>
          <w:sz w:val="22"/>
          <w:szCs w:val="22"/>
          <w:lang w:val="es-CR" w:eastAsia="es-CR"/>
        </w:rPr>
        <w:t xml:space="preserve">, deberá publicarse en forma separada e independiente de la opinión sobre los estados financieros de cada uno de los fondos </w:t>
      </w:r>
      <w:r w:rsidRPr="00AA1493">
        <w:rPr>
          <w:bCs/>
          <w:color w:val="000000" w:themeColor="text1"/>
          <w:sz w:val="22"/>
          <w:szCs w:val="22"/>
          <w:lang w:val="es-CR" w:eastAsia="es-CR"/>
        </w:rPr>
        <w:t>o universalidades</w:t>
      </w:r>
      <w:r w:rsidRPr="00AA1493">
        <w:rPr>
          <w:color w:val="000000" w:themeColor="text1"/>
          <w:sz w:val="22"/>
          <w:szCs w:val="22"/>
          <w:lang w:val="es-CR" w:eastAsia="es-CR"/>
        </w:rPr>
        <w:t xml:space="preserve"> administrados por dichas entidades.</w:t>
      </w:r>
    </w:p>
    <w:p w14:paraId="79DF9627" w14:textId="77777777" w:rsidR="004F3F7A" w:rsidRPr="00AA1493" w:rsidRDefault="004F3F7A" w:rsidP="004F3F7A">
      <w:pPr>
        <w:jc w:val="both"/>
        <w:rPr>
          <w:color w:val="000000" w:themeColor="text1"/>
          <w:sz w:val="22"/>
          <w:szCs w:val="22"/>
          <w:lang w:val="es-CR" w:eastAsia="es-CR"/>
        </w:rPr>
      </w:pPr>
    </w:p>
    <w:p w14:paraId="11905699"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La información financiera auditada de</w:t>
      </w:r>
      <w:r w:rsidRPr="00AA1493">
        <w:rPr>
          <w:b/>
          <w:bCs/>
          <w:color w:val="000000" w:themeColor="text1"/>
          <w:sz w:val="22"/>
          <w:szCs w:val="22"/>
          <w:lang w:val="es-CR" w:eastAsia="es-CR"/>
        </w:rPr>
        <w:t xml:space="preserve"> </w:t>
      </w:r>
      <w:r w:rsidRPr="00AA1493">
        <w:rPr>
          <w:bCs/>
          <w:color w:val="000000" w:themeColor="text1"/>
          <w:sz w:val="22"/>
          <w:szCs w:val="22"/>
          <w:lang w:val="es-CR" w:eastAsia="es-CR"/>
        </w:rPr>
        <w:t>al menos</w:t>
      </w:r>
      <w:r w:rsidRPr="00AA1493">
        <w:rPr>
          <w:color w:val="000000" w:themeColor="text1"/>
          <w:sz w:val="22"/>
          <w:szCs w:val="22"/>
          <w:lang w:val="es-CR" w:eastAsia="es-CR"/>
        </w:rPr>
        <w:t xml:space="preserve"> los últimos cinco años </w:t>
      </w:r>
      <w:r w:rsidRPr="00AA1493">
        <w:rPr>
          <w:bCs/>
          <w:color w:val="000000" w:themeColor="text1"/>
          <w:sz w:val="22"/>
          <w:szCs w:val="22"/>
          <w:lang w:val="es-CR" w:eastAsia="es-CR"/>
        </w:rPr>
        <w:t>y la información financiera intermedia de los últimos ocho cortes trimestrales comparativa</w:t>
      </w:r>
      <w:r w:rsidRPr="00AA1493">
        <w:rPr>
          <w:b/>
          <w:bCs/>
          <w:color w:val="000000" w:themeColor="text1"/>
          <w:sz w:val="22"/>
          <w:szCs w:val="22"/>
          <w:lang w:val="es-CR" w:eastAsia="es-CR"/>
        </w:rPr>
        <w:t xml:space="preserve"> </w:t>
      </w:r>
      <w:r w:rsidRPr="00AA1493">
        <w:rPr>
          <w:color w:val="000000" w:themeColor="text1"/>
          <w:sz w:val="22"/>
          <w:szCs w:val="22"/>
          <w:lang w:val="es-CR" w:eastAsia="es-CR"/>
        </w:rPr>
        <w:t xml:space="preserve">debe </w:t>
      </w:r>
      <w:r w:rsidRPr="00AA1493">
        <w:rPr>
          <w:bCs/>
          <w:color w:val="000000" w:themeColor="text1"/>
          <w:sz w:val="22"/>
          <w:szCs w:val="22"/>
          <w:lang w:val="es-CR" w:eastAsia="es-CR"/>
        </w:rPr>
        <w:t>mantenerse</w:t>
      </w:r>
      <w:r w:rsidRPr="00AA1493">
        <w:rPr>
          <w:color w:val="000000" w:themeColor="text1"/>
          <w:sz w:val="22"/>
          <w:szCs w:val="22"/>
          <w:lang w:val="es-CR" w:eastAsia="es-CR"/>
        </w:rPr>
        <w:t xml:space="preserve"> a disposición del público</w:t>
      </w:r>
      <w:r w:rsidRPr="00AA1493">
        <w:rPr>
          <w:b/>
          <w:bCs/>
          <w:color w:val="000000" w:themeColor="text1"/>
          <w:sz w:val="22"/>
          <w:szCs w:val="22"/>
          <w:lang w:val="es-CR" w:eastAsia="es-CR"/>
        </w:rPr>
        <w:t xml:space="preserve"> </w:t>
      </w:r>
      <w:r w:rsidRPr="00AA1493">
        <w:rPr>
          <w:color w:val="000000" w:themeColor="text1"/>
          <w:sz w:val="22"/>
          <w:szCs w:val="22"/>
          <w:lang w:val="es-CR" w:eastAsia="es-CR"/>
        </w:rPr>
        <w:t xml:space="preserve">en el sitio Web </w:t>
      </w:r>
      <w:r w:rsidRPr="00AA1493">
        <w:rPr>
          <w:bCs/>
          <w:color w:val="000000" w:themeColor="text1"/>
          <w:sz w:val="22"/>
          <w:szCs w:val="22"/>
          <w:lang w:val="es-CR" w:eastAsia="es-CR"/>
        </w:rPr>
        <w:t>de la entidad</w:t>
      </w:r>
      <w:r w:rsidRPr="00AA1493">
        <w:rPr>
          <w:color w:val="000000" w:themeColor="text1"/>
          <w:sz w:val="22"/>
          <w:szCs w:val="22"/>
          <w:lang w:val="es-CR" w:eastAsia="es-CR"/>
        </w:rPr>
        <w:t>.</w:t>
      </w:r>
    </w:p>
    <w:p w14:paraId="6956EBF1" w14:textId="77777777" w:rsidR="004F3F7A" w:rsidRPr="00AA1493" w:rsidRDefault="004F3F7A" w:rsidP="004F3F7A">
      <w:pPr>
        <w:jc w:val="both"/>
        <w:rPr>
          <w:color w:val="000000" w:themeColor="text1"/>
          <w:sz w:val="22"/>
          <w:szCs w:val="22"/>
          <w:lang w:val="es-CR" w:eastAsia="es-CR"/>
        </w:rPr>
      </w:pPr>
    </w:p>
    <w:p w14:paraId="46A67DE0"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En el caso de que una entidad supervisada por </w:t>
      </w:r>
      <w:r w:rsidRPr="00AA1493">
        <w:rPr>
          <w:bCs/>
          <w:color w:val="000000" w:themeColor="text1"/>
          <w:sz w:val="22"/>
          <w:szCs w:val="22"/>
          <w:lang w:val="es-CR" w:eastAsia="es-CR"/>
        </w:rPr>
        <w:t>alguna</w:t>
      </w:r>
      <w:r w:rsidRPr="00AA1493">
        <w:rPr>
          <w:color w:val="000000" w:themeColor="text1"/>
          <w:sz w:val="22"/>
          <w:szCs w:val="22"/>
          <w:lang w:val="es-CR" w:eastAsia="es-CR"/>
        </w:rPr>
        <w:t xml:space="preserve"> de las superintendencias no cuente con sitio Web, deberá publicar lo indicado en el anexo 6.B. de los lineamientos generales de este reglamento, en dos medios de circulación nacional escrita, en los mismos plazos establecidos para publicar la información en el sitio Web. Para el caso de estados financieros intermedios, deberá publicar lo dispuesto en el anexo 6.C de los lineamientos generales de este reglamento.</w:t>
      </w:r>
    </w:p>
    <w:p w14:paraId="7C37E7D8" w14:textId="77777777" w:rsidR="004F3F7A" w:rsidRPr="00AA1493" w:rsidRDefault="004F3F7A" w:rsidP="004F3F7A">
      <w:pPr>
        <w:jc w:val="both"/>
        <w:rPr>
          <w:color w:val="000000" w:themeColor="text1"/>
          <w:sz w:val="22"/>
          <w:szCs w:val="22"/>
          <w:lang w:val="es-CR" w:eastAsia="es-CR"/>
        </w:rPr>
      </w:pPr>
    </w:p>
    <w:p w14:paraId="07C631C6"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La publicación de los estados financieros </w:t>
      </w:r>
      <w:r w:rsidRPr="00AA1493">
        <w:rPr>
          <w:bCs/>
          <w:color w:val="000000" w:themeColor="text1"/>
          <w:sz w:val="22"/>
          <w:szCs w:val="22"/>
          <w:lang w:val="es-CR" w:eastAsia="es-CR"/>
        </w:rPr>
        <w:t>intermedios</w:t>
      </w:r>
      <w:r w:rsidRPr="00AA1493">
        <w:rPr>
          <w:color w:val="000000" w:themeColor="text1"/>
          <w:sz w:val="22"/>
          <w:szCs w:val="22"/>
          <w:lang w:val="es-CR" w:eastAsia="es-CR"/>
        </w:rPr>
        <w:t xml:space="preserve"> y la información financiera auditada debe corresponder exactamente a la misma información contenida en los estados financieros presentados a la Superintendencia respectiva, y cuando corresponda, se debe indicar que dicha información no es auditada.</w:t>
      </w:r>
    </w:p>
    <w:p w14:paraId="59702669" w14:textId="77777777" w:rsidR="004F3F7A" w:rsidRPr="00A22AD5" w:rsidRDefault="004F3F7A" w:rsidP="004F3F7A">
      <w:pPr>
        <w:jc w:val="both"/>
        <w:rPr>
          <w:color w:val="000000" w:themeColor="text1"/>
          <w:sz w:val="22"/>
          <w:szCs w:val="22"/>
          <w:lang w:val="es-CR" w:eastAsia="es-CR"/>
        </w:rPr>
      </w:pPr>
    </w:p>
    <w:p w14:paraId="3E7E6DCD"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13471B48" w14:textId="77777777" w:rsidR="004F3F7A" w:rsidRPr="00A22AD5" w:rsidRDefault="004F3F7A" w:rsidP="004F3F7A">
      <w:pPr>
        <w:rPr>
          <w:color w:val="000000" w:themeColor="text1"/>
          <w:sz w:val="22"/>
          <w:szCs w:val="22"/>
          <w:lang w:val="es-CR"/>
        </w:rPr>
      </w:pPr>
    </w:p>
    <w:p w14:paraId="29EE4969" w14:textId="77777777" w:rsidR="004F3F7A" w:rsidRPr="00AA1493" w:rsidRDefault="004F3F7A" w:rsidP="004F3F7A">
      <w:pPr>
        <w:rPr>
          <w:b/>
          <w:color w:val="000000" w:themeColor="text1"/>
          <w:sz w:val="22"/>
          <w:szCs w:val="22"/>
          <w:lang w:val="es-CR" w:eastAsia="es-CR"/>
        </w:rPr>
      </w:pPr>
      <w:r w:rsidRPr="00AA1493">
        <w:rPr>
          <w:b/>
          <w:bCs/>
          <w:color w:val="000000" w:themeColor="text1"/>
          <w:sz w:val="22"/>
          <w:szCs w:val="22"/>
          <w:lang w:val="es-CR"/>
        </w:rPr>
        <w:t>Artículo 39. Correcciones</w:t>
      </w:r>
      <w:r w:rsidRPr="00AA1493">
        <w:rPr>
          <w:color w:val="000000" w:themeColor="text1"/>
          <w:sz w:val="22"/>
          <w:szCs w:val="22"/>
          <w:lang w:val="es-CR"/>
        </w:rPr>
        <w:t>.</w:t>
      </w:r>
    </w:p>
    <w:p w14:paraId="35831A16" w14:textId="77777777" w:rsidR="004F3F7A" w:rsidRPr="00AA1493" w:rsidRDefault="004F3F7A" w:rsidP="004F3F7A">
      <w:pPr>
        <w:jc w:val="both"/>
        <w:rPr>
          <w:color w:val="000000" w:themeColor="text1"/>
          <w:sz w:val="22"/>
          <w:szCs w:val="22"/>
          <w:lang w:val="es-CR" w:eastAsia="es-CR"/>
        </w:rPr>
      </w:pPr>
    </w:p>
    <w:p w14:paraId="018C88C6"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Para el caso de las entidades supervisadas por la Sugef, cuando la información financiera recibida requiera correcciones, el superintendente comunicará a la entidad, la obligación de sustituir la </w:t>
      </w:r>
      <w:r w:rsidRPr="00AA1493">
        <w:rPr>
          <w:color w:val="000000" w:themeColor="text1"/>
          <w:sz w:val="22"/>
          <w:szCs w:val="22"/>
          <w:lang w:val="es-CR" w:eastAsia="es-CR"/>
        </w:rPr>
        <w:lastRenderedPageBreak/>
        <w:t>información financiera presentada y publicar dentro de cinco días hábiles posteriores a la fecha de presentación de la información corregida, por su cuenta y en dos medios de comunicación escrita de circulación nacional, un aviso al público en los términos dispuestos en el anexo 6.D. de los lineamientos generales de este reglamento.</w:t>
      </w:r>
    </w:p>
    <w:p w14:paraId="0767D20D" w14:textId="77777777" w:rsidR="004F3F7A" w:rsidRPr="00AA1493" w:rsidRDefault="004F3F7A" w:rsidP="004F3F7A">
      <w:pPr>
        <w:jc w:val="both"/>
        <w:rPr>
          <w:color w:val="000000" w:themeColor="text1"/>
          <w:sz w:val="22"/>
          <w:szCs w:val="22"/>
          <w:lang w:val="es-CR" w:eastAsia="es-CR"/>
        </w:rPr>
      </w:pPr>
    </w:p>
    <w:p w14:paraId="34F1E017"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Adicionalmente, en el caso de que las correcciones se refieran a información financiera auditada, el superintendente ordenará que se publique la información financiera corregida, separada o consolidada según corresponda, en los medios dispuestos en los artículos 35 y 36 de este reglamento.</w:t>
      </w:r>
    </w:p>
    <w:p w14:paraId="3E2EAD82" w14:textId="77777777" w:rsidR="004F3F7A" w:rsidRPr="00AA1493" w:rsidRDefault="004F3F7A" w:rsidP="004F3F7A">
      <w:pPr>
        <w:jc w:val="both"/>
        <w:rPr>
          <w:color w:val="000000" w:themeColor="text1"/>
          <w:sz w:val="22"/>
          <w:szCs w:val="22"/>
          <w:lang w:val="es-CR" w:eastAsia="es-CR"/>
        </w:rPr>
      </w:pPr>
    </w:p>
    <w:p w14:paraId="1FC31993"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En materia de correcciones de información periódica, para las entidades reguladas por la Sugeval, deben acatar lo dispuesto en el reglamento sobre el suministro de información periódica, hechos relevantes y otras obligaciones de información, y su acuerdo respectivo.</w:t>
      </w:r>
    </w:p>
    <w:p w14:paraId="1AB8E72F" w14:textId="77777777" w:rsidR="004F3F7A" w:rsidRPr="00AA1493" w:rsidRDefault="004F3F7A" w:rsidP="004F3F7A">
      <w:pPr>
        <w:jc w:val="both"/>
        <w:rPr>
          <w:color w:val="000000" w:themeColor="text1"/>
          <w:sz w:val="22"/>
          <w:szCs w:val="22"/>
          <w:lang w:val="es-CR" w:eastAsia="es-CR"/>
        </w:rPr>
      </w:pPr>
    </w:p>
    <w:p w14:paraId="4289B431"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En el caso de correcciones de información financiera remitida a otros órganos de supervisión, la comunicación de hechos relevantes y publicación en medios de comunicación escrita de circulación nacional y otros medios de divulgación, se regirá por lo que cada superintendencia haya normado al respecto”.</w:t>
      </w:r>
    </w:p>
    <w:p w14:paraId="37D28588" w14:textId="77777777" w:rsidR="004F3F7A" w:rsidRPr="0008543B" w:rsidRDefault="004F3F7A" w:rsidP="004F3F7A">
      <w:pPr>
        <w:jc w:val="both"/>
        <w:rPr>
          <w:color w:val="000000" w:themeColor="text1"/>
          <w:sz w:val="22"/>
          <w:szCs w:val="22"/>
          <w:lang w:val="es-CR"/>
        </w:rPr>
      </w:pPr>
    </w:p>
    <w:p w14:paraId="2259820F"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rPr>
        <w:t>Artículo 40. Sustituciones.</w:t>
      </w:r>
    </w:p>
    <w:p w14:paraId="5EDF3025" w14:textId="77777777" w:rsidR="004F3F7A" w:rsidRPr="00AA1493" w:rsidRDefault="004F3F7A" w:rsidP="004F3F7A">
      <w:pPr>
        <w:jc w:val="both"/>
        <w:rPr>
          <w:color w:val="000000" w:themeColor="text1"/>
          <w:sz w:val="22"/>
          <w:szCs w:val="22"/>
          <w:lang w:val="es-CR" w:eastAsia="es-CR"/>
        </w:rPr>
      </w:pPr>
    </w:p>
    <w:p w14:paraId="3346EC36"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Cuando una entidad supervisada por la Sugef sustituya la información financiera debe publicar dentro de los cinco días hábiles posteriores a la fecha de presentación, por su cuenta y en dos medios de comunicación escrita de circulación nacional, un aviso al público interesado en los términos dispuestos en el anexo 6.E. de los lineamientos generales de este reglamento.</w:t>
      </w:r>
    </w:p>
    <w:p w14:paraId="42E09541" w14:textId="77777777" w:rsidR="004F3F7A" w:rsidRPr="00AA1493" w:rsidRDefault="004F3F7A" w:rsidP="004F3F7A">
      <w:pPr>
        <w:jc w:val="both"/>
        <w:rPr>
          <w:color w:val="000000" w:themeColor="text1"/>
          <w:sz w:val="22"/>
          <w:szCs w:val="22"/>
          <w:lang w:val="es-CR" w:eastAsia="es-CR"/>
        </w:rPr>
      </w:pPr>
    </w:p>
    <w:p w14:paraId="3CCABCF3"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Esta situación constituirá un comunicado de interés y deberá ser publicado en conjunto con los estados financieros corregidos por la entidad supervisada en su sitio Web.</w:t>
      </w:r>
    </w:p>
    <w:p w14:paraId="48BF840D" w14:textId="77777777" w:rsidR="004F3F7A" w:rsidRPr="00AA1493" w:rsidRDefault="004F3F7A" w:rsidP="004F3F7A">
      <w:pPr>
        <w:jc w:val="both"/>
        <w:rPr>
          <w:color w:val="000000" w:themeColor="text1"/>
          <w:sz w:val="22"/>
          <w:szCs w:val="22"/>
          <w:lang w:val="es-CR" w:eastAsia="es-CR"/>
        </w:rPr>
      </w:pPr>
    </w:p>
    <w:p w14:paraId="7639D564"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En materia de sustituciones de información periódica, para las entidades reguladas por la Sugeval, deben acatar lo dispuesto en el reglamento sobre el suministro de información periódica hechos relevantes y otras obligaciones de información, y su acuerdo respectivo.</w:t>
      </w:r>
    </w:p>
    <w:p w14:paraId="23BC4209" w14:textId="77777777" w:rsidR="004F3F7A" w:rsidRPr="00AA1493" w:rsidRDefault="004F3F7A" w:rsidP="004F3F7A">
      <w:pPr>
        <w:jc w:val="both"/>
        <w:rPr>
          <w:color w:val="000000" w:themeColor="text1"/>
          <w:sz w:val="22"/>
          <w:szCs w:val="22"/>
          <w:lang w:val="es-CR" w:eastAsia="es-CR"/>
        </w:rPr>
      </w:pPr>
    </w:p>
    <w:p w14:paraId="083E0B8B"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En el caso de sustitución de información financiera remitida a otros órganos de supervisión, la comunicación de hechos relevantes y publicación en medios de comunicación escrita de circulación nacional y otros medios de divulgación, se regirá por lo que cada superintendencia haya normado al respecto”.</w:t>
      </w:r>
    </w:p>
    <w:p w14:paraId="4F4D96C8" w14:textId="77777777" w:rsidR="004F3F7A" w:rsidRPr="0008543B" w:rsidRDefault="004F3F7A" w:rsidP="004F3F7A">
      <w:pPr>
        <w:rPr>
          <w:color w:val="000000" w:themeColor="text1"/>
          <w:sz w:val="22"/>
          <w:szCs w:val="22"/>
          <w:lang w:val="es-CR"/>
        </w:rPr>
      </w:pPr>
    </w:p>
    <w:p w14:paraId="6E9E54D7" w14:textId="77777777" w:rsidR="004F3F7A" w:rsidRPr="00AA1493" w:rsidRDefault="004F3F7A" w:rsidP="004F3F7A">
      <w:pPr>
        <w:rPr>
          <w:b/>
          <w:color w:val="000000" w:themeColor="text1"/>
          <w:sz w:val="22"/>
          <w:szCs w:val="22"/>
          <w:lang w:val="es-CR" w:eastAsia="es-CR"/>
        </w:rPr>
      </w:pPr>
      <w:r w:rsidRPr="00AA1493">
        <w:rPr>
          <w:b/>
          <w:bCs/>
          <w:color w:val="000000" w:themeColor="text1"/>
          <w:sz w:val="22"/>
          <w:szCs w:val="22"/>
          <w:lang w:val="es-CR"/>
        </w:rPr>
        <w:t>Artículo 41. Sanciones.</w:t>
      </w:r>
    </w:p>
    <w:p w14:paraId="4B29A24F" w14:textId="77777777" w:rsidR="004F3F7A" w:rsidRPr="00AA1493" w:rsidRDefault="004F3F7A" w:rsidP="004F3F7A">
      <w:pPr>
        <w:jc w:val="both"/>
        <w:rPr>
          <w:color w:val="000000" w:themeColor="text1"/>
          <w:sz w:val="22"/>
          <w:szCs w:val="22"/>
          <w:lang w:val="es-CR" w:eastAsia="es-CR"/>
        </w:rPr>
      </w:pPr>
    </w:p>
    <w:p w14:paraId="17448140" w14:textId="77777777" w:rsidR="004F3F7A" w:rsidRPr="00AA1493" w:rsidRDefault="004F3F7A" w:rsidP="004F3F7A">
      <w:pPr>
        <w:jc w:val="both"/>
        <w:rPr>
          <w:b/>
          <w:color w:val="000000" w:themeColor="text1"/>
          <w:sz w:val="22"/>
          <w:szCs w:val="22"/>
          <w:lang w:val="es-CR" w:eastAsia="es-CR"/>
        </w:rPr>
      </w:pPr>
      <w:r w:rsidRPr="00AA1493">
        <w:rPr>
          <w:color w:val="000000" w:themeColor="text1"/>
          <w:sz w:val="22"/>
          <w:szCs w:val="22"/>
          <w:lang w:val="es-CR" w:eastAsia="es-CR"/>
        </w:rPr>
        <w:t xml:space="preserve">Las superintendencias, siguiendo el debido proceso, podrán sancionar a las entidades reguladas que incumplan lo establecido en este reglamento de conformidad con el régimen sancionatorio previsto en la </w:t>
      </w:r>
      <w:r w:rsidRPr="00AA1493">
        <w:rPr>
          <w:i/>
          <w:iCs/>
          <w:color w:val="000000" w:themeColor="text1"/>
          <w:sz w:val="22"/>
          <w:szCs w:val="22"/>
          <w:lang w:val="es-CR" w:eastAsia="es-CR"/>
        </w:rPr>
        <w:t>Ley Orgánica del Banco Central de Costa Rica</w:t>
      </w:r>
      <w:r w:rsidRPr="00AA1493">
        <w:rPr>
          <w:color w:val="000000" w:themeColor="text1"/>
          <w:sz w:val="22"/>
          <w:szCs w:val="22"/>
          <w:lang w:val="es-CR" w:eastAsia="es-CR"/>
        </w:rPr>
        <w:t xml:space="preserve">, Ley 7558, la </w:t>
      </w:r>
      <w:r w:rsidRPr="00AA1493">
        <w:rPr>
          <w:i/>
          <w:iCs/>
          <w:color w:val="000000" w:themeColor="text1"/>
          <w:sz w:val="22"/>
          <w:szCs w:val="22"/>
          <w:lang w:val="es-CR" w:eastAsia="es-CR"/>
        </w:rPr>
        <w:t>Ley Reguladora del Mercado de Valores</w:t>
      </w:r>
      <w:r w:rsidRPr="00AA1493">
        <w:rPr>
          <w:color w:val="000000" w:themeColor="text1"/>
          <w:sz w:val="22"/>
          <w:szCs w:val="22"/>
          <w:lang w:val="es-CR" w:eastAsia="es-CR"/>
        </w:rPr>
        <w:t xml:space="preserve">, Ley 7732, la </w:t>
      </w:r>
      <w:r w:rsidRPr="00AA1493">
        <w:rPr>
          <w:i/>
          <w:iCs/>
          <w:color w:val="000000" w:themeColor="text1"/>
          <w:sz w:val="22"/>
          <w:szCs w:val="22"/>
          <w:lang w:val="es-CR" w:eastAsia="es-CR"/>
        </w:rPr>
        <w:t>Ley Régimen Privado de Pensiones Complementarias</w:t>
      </w:r>
      <w:r w:rsidRPr="00AA1493">
        <w:rPr>
          <w:color w:val="000000" w:themeColor="text1"/>
          <w:sz w:val="22"/>
          <w:szCs w:val="22"/>
          <w:lang w:val="es-CR" w:eastAsia="es-CR"/>
        </w:rPr>
        <w:t xml:space="preserve">, Ley 7523, y la </w:t>
      </w:r>
      <w:r w:rsidRPr="00AA1493">
        <w:rPr>
          <w:i/>
          <w:iCs/>
          <w:color w:val="000000" w:themeColor="text1"/>
          <w:sz w:val="22"/>
          <w:szCs w:val="22"/>
          <w:lang w:val="es-CR" w:eastAsia="es-CR"/>
        </w:rPr>
        <w:t>Ley Reguladora del Mercado de Seguros</w:t>
      </w:r>
      <w:r w:rsidRPr="00AA1493">
        <w:rPr>
          <w:color w:val="000000" w:themeColor="text1"/>
          <w:sz w:val="22"/>
          <w:szCs w:val="22"/>
          <w:lang w:val="es-CR" w:eastAsia="es-CR"/>
        </w:rPr>
        <w:t>, Ley 8653, según corresponda.</w:t>
      </w:r>
    </w:p>
    <w:p w14:paraId="3A1F31D7" w14:textId="77777777" w:rsidR="004F3F7A" w:rsidRPr="00AA1493" w:rsidRDefault="004F3F7A" w:rsidP="004F3F7A">
      <w:pPr>
        <w:jc w:val="both"/>
        <w:rPr>
          <w:color w:val="000000" w:themeColor="text1"/>
          <w:sz w:val="22"/>
          <w:szCs w:val="22"/>
          <w:lang w:val="es-CR" w:eastAsia="es-CR"/>
        </w:rPr>
      </w:pPr>
    </w:p>
    <w:p w14:paraId="59C7EAC8"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Las sanciones que se impongan deben tratarse como hechos relevantes.</w:t>
      </w:r>
    </w:p>
    <w:p w14:paraId="6586E727" w14:textId="4B286AEA" w:rsidR="00D80830" w:rsidRDefault="00D80830">
      <w:pPr>
        <w:rPr>
          <w:color w:val="000000" w:themeColor="text1"/>
          <w:sz w:val="22"/>
          <w:szCs w:val="22"/>
          <w:lang w:val="es-CR" w:eastAsia="es-CR"/>
        </w:rPr>
      </w:pPr>
      <w:r>
        <w:rPr>
          <w:color w:val="000000" w:themeColor="text1"/>
          <w:sz w:val="22"/>
          <w:szCs w:val="22"/>
          <w:lang w:val="es-CR" w:eastAsia="es-CR"/>
        </w:rPr>
        <w:br w:type="page"/>
      </w:r>
    </w:p>
    <w:p w14:paraId="035E9D9C"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lastRenderedPageBreak/>
        <w:t xml:space="preserve">Los incumplimientos no autorizados, en la presentación de información financiera dentro de los plazos establecidos en este reglamento serán considerados como una negativa a proporcionar información a la Sugef o al público, en los términos establecidos en el artículo 155 inciso a) aparte </w:t>
      </w:r>
      <w:proofErr w:type="spellStart"/>
      <w:r w:rsidRPr="00AA1493">
        <w:rPr>
          <w:color w:val="000000" w:themeColor="text1"/>
          <w:sz w:val="22"/>
          <w:szCs w:val="22"/>
          <w:lang w:val="es-CR" w:eastAsia="es-CR"/>
        </w:rPr>
        <w:t>iii</w:t>
      </w:r>
      <w:proofErr w:type="spellEnd"/>
      <w:r w:rsidRPr="00AA1493">
        <w:rPr>
          <w:color w:val="000000" w:themeColor="text1"/>
          <w:sz w:val="22"/>
          <w:szCs w:val="22"/>
          <w:lang w:val="es-CR" w:eastAsia="es-CR"/>
        </w:rPr>
        <w:t xml:space="preserve">), de la </w:t>
      </w:r>
      <w:r w:rsidRPr="00AA1493">
        <w:rPr>
          <w:i/>
          <w:iCs/>
          <w:color w:val="000000" w:themeColor="text1"/>
          <w:sz w:val="22"/>
          <w:szCs w:val="22"/>
          <w:lang w:val="es-CR" w:eastAsia="es-CR"/>
        </w:rPr>
        <w:t>Ley Orgánica del Banco Central de Costa Rica</w:t>
      </w:r>
      <w:r w:rsidRPr="00AA1493">
        <w:rPr>
          <w:color w:val="000000" w:themeColor="text1"/>
          <w:sz w:val="22"/>
          <w:szCs w:val="22"/>
          <w:lang w:val="es-CR" w:eastAsia="es-CR"/>
        </w:rPr>
        <w:t>, Ley 7558.</w:t>
      </w:r>
    </w:p>
    <w:p w14:paraId="5FD1265D" w14:textId="77777777" w:rsidR="004F3F7A" w:rsidRPr="00AA1493" w:rsidRDefault="004F3F7A" w:rsidP="004F3F7A">
      <w:pPr>
        <w:jc w:val="both"/>
        <w:rPr>
          <w:color w:val="000000" w:themeColor="text1"/>
          <w:sz w:val="22"/>
          <w:szCs w:val="22"/>
          <w:lang w:val="es-CR" w:eastAsia="es-CR"/>
        </w:rPr>
      </w:pPr>
    </w:p>
    <w:p w14:paraId="75B99C91"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La entidad queda obligada a publicar dentro del plazo de cinco días hábiles posteriores a la fecha de la presentación de la información financiera, por su cuenta, en dos medios de comunicación escrita de circulación nacional, un aviso al público en el que se indique la información a que se refiere el anexo 6.F. de los lineamientos generales de este reglamento.</w:t>
      </w:r>
    </w:p>
    <w:p w14:paraId="6CB85E42" w14:textId="77777777" w:rsidR="004F3F7A" w:rsidRPr="0008543B" w:rsidRDefault="004F3F7A" w:rsidP="004F3F7A">
      <w:pPr>
        <w:jc w:val="both"/>
        <w:rPr>
          <w:color w:val="000000" w:themeColor="text1"/>
          <w:sz w:val="22"/>
          <w:szCs w:val="22"/>
          <w:lang w:val="es-CR" w:eastAsia="es-CR"/>
        </w:rPr>
      </w:pPr>
    </w:p>
    <w:p w14:paraId="78050648"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73CEDF2E" w14:textId="77777777" w:rsidR="004F3F7A" w:rsidRPr="0008543B" w:rsidRDefault="004F3F7A" w:rsidP="004F3F7A">
      <w:pPr>
        <w:jc w:val="both"/>
        <w:rPr>
          <w:color w:val="000000" w:themeColor="text1"/>
          <w:sz w:val="22"/>
          <w:szCs w:val="22"/>
          <w:lang w:val="es-CR" w:eastAsia="es-CR"/>
        </w:rPr>
      </w:pPr>
    </w:p>
    <w:p w14:paraId="6254DE9F" w14:textId="77777777" w:rsidR="004F3F7A" w:rsidRPr="00AA1493" w:rsidRDefault="004F3F7A" w:rsidP="004F3F7A">
      <w:pPr>
        <w:jc w:val="both"/>
        <w:rPr>
          <w:b/>
          <w:bCs/>
          <w:color w:val="000000" w:themeColor="text1"/>
          <w:sz w:val="22"/>
          <w:szCs w:val="22"/>
          <w:u w:val="single"/>
          <w:lang w:val="es-CR"/>
        </w:rPr>
      </w:pPr>
      <w:r w:rsidRPr="00AA1493">
        <w:rPr>
          <w:b/>
          <w:bCs/>
          <w:color w:val="000000" w:themeColor="text1"/>
          <w:sz w:val="22"/>
          <w:szCs w:val="22"/>
          <w:lang w:val="es-CR" w:eastAsia="es-CR"/>
        </w:rPr>
        <w:t>III. Adicionar los artículos 21 Bis, 21 Ter, 24 Bis, según se detalla a continuación:</w:t>
      </w:r>
    </w:p>
    <w:p w14:paraId="6CED5DCA" w14:textId="77777777" w:rsidR="004F3F7A" w:rsidRPr="0008543B" w:rsidRDefault="004F3F7A" w:rsidP="004F3F7A">
      <w:pPr>
        <w:jc w:val="both"/>
        <w:rPr>
          <w:color w:val="000000" w:themeColor="text1"/>
          <w:sz w:val="22"/>
          <w:szCs w:val="22"/>
          <w:lang w:val="es-CR"/>
        </w:rPr>
      </w:pPr>
    </w:p>
    <w:p w14:paraId="6933FB07"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rPr>
        <w:t>Artículo 21. Bis. Participación de Infocoop en utilidades de los bancos.</w:t>
      </w:r>
    </w:p>
    <w:p w14:paraId="0A322412" w14:textId="77777777" w:rsidR="004F3F7A" w:rsidRPr="00AA1493" w:rsidRDefault="004F3F7A" w:rsidP="004F3F7A">
      <w:pPr>
        <w:jc w:val="both"/>
        <w:rPr>
          <w:color w:val="000000" w:themeColor="text1"/>
          <w:sz w:val="22"/>
          <w:szCs w:val="22"/>
          <w:lang w:val="es-CR" w:eastAsia="es-CR"/>
        </w:rPr>
      </w:pPr>
    </w:p>
    <w:p w14:paraId="409E88ED"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 xml:space="preserve">De conformidad con lo dispuesto en el inciso b) del artículo 12 de la Ley 1664 </w:t>
      </w:r>
      <w:r w:rsidRPr="00AA1493">
        <w:rPr>
          <w:i/>
          <w:iCs/>
          <w:color w:val="000000" w:themeColor="text1"/>
          <w:sz w:val="22"/>
          <w:szCs w:val="22"/>
          <w:lang w:val="es-CR" w:eastAsia="es-CR"/>
        </w:rPr>
        <w:t>Ley Orgánica del Sistema Bancario Nacional</w:t>
      </w:r>
      <w:r w:rsidRPr="00AA1493">
        <w:rPr>
          <w:color w:val="000000" w:themeColor="text1"/>
          <w:sz w:val="22"/>
          <w:szCs w:val="22"/>
          <w:lang w:val="es-CR" w:eastAsia="es-CR"/>
        </w:rPr>
        <w:t>, existe una manifiesta</w:t>
      </w:r>
      <w:r w:rsidRPr="00AA1493">
        <w:rPr>
          <w:b/>
          <w:bCs/>
          <w:color w:val="000000" w:themeColor="text1"/>
          <w:sz w:val="22"/>
          <w:szCs w:val="22"/>
          <w:lang w:val="es-CR" w:eastAsia="es-CR"/>
        </w:rPr>
        <w:t xml:space="preserve"> </w:t>
      </w:r>
      <w:r w:rsidRPr="00AA1493">
        <w:rPr>
          <w:color w:val="000000" w:themeColor="text1"/>
          <w:sz w:val="22"/>
          <w:szCs w:val="22"/>
          <w:lang w:val="es-CR" w:eastAsia="es-CR"/>
        </w:rPr>
        <w:t>participación sobre las utilidades de los bancos comerciales del Estado dirigida al Instituto Nacional de Fomento Cooperativo (Infocoop). Dicho aporte debe calcularse tomando como base de cálculo las utilidades netas, una vez deducido el importe correspondiente al Impuesto sobre la Renta y al tributo parafiscal a favor de la Comisión Nacional de Préstamos para la Educación (</w:t>
      </w:r>
      <w:proofErr w:type="spellStart"/>
      <w:r w:rsidRPr="00AA1493">
        <w:rPr>
          <w:color w:val="000000" w:themeColor="text1"/>
          <w:sz w:val="22"/>
          <w:szCs w:val="22"/>
          <w:lang w:val="es-CR" w:eastAsia="es-CR"/>
        </w:rPr>
        <w:t>Conape</w:t>
      </w:r>
      <w:proofErr w:type="spellEnd"/>
      <w:r w:rsidRPr="00AA1493">
        <w:rPr>
          <w:color w:val="000000" w:themeColor="text1"/>
          <w:sz w:val="22"/>
          <w:szCs w:val="22"/>
          <w:lang w:val="es-CR" w:eastAsia="es-CR"/>
        </w:rPr>
        <w:t>).</w:t>
      </w:r>
    </w:p>
    <w:p w14:paraId="1CF7C364" w14:textId="77777777" w:rsidR="004F3F7A" w:rsidRPr="00AA1493" w:rsidRDefault="004F3F7A" w:rsidP="004F3F7A">
      <w:pPr>
        <w:jc w:val="both"/>
        <w:rPr>
          <w:color w:val="000000" w:themeColor="text1"/>
          <w:sz w:val="22"/>
          <w:szCs w:val="22"/>
          <w:lang w:val="es-CR" w:eastAsia="es-CR"/>
        </w:rPr>
      </w:pPr>
    </w:p>
    <w:p w14:paraId="680F9E41"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Por lo anterior, los Bancos Comerciales del Estado deben utilizar el siguiente procedimiento para calcular y aprovisionar mensualmente el tributo parafiscal a favor de Infocoop:</w:t>
      </w:r>
    </w:p>
    <w:p w14:paraId="3A371608" w14:textId="77777777" w:rsidR="004F3F7A" w:rsidRPr="0008543B" w:rsidRDefault="004F3F7A" w:rsidP="004F3F7A">
      <w:pPr>
        <w:jc w:val="both"/>
        <w:rPr>
          <w:color w:val="000000" w:themeColor="text1"/>
          <w:sz w:val="22"/>
          <w:szCs w:val="22"/>
          <w:lang w:val="es-CR" w:eastAsia="es-CR"/>
        </w:rPr>
      </w:pPr>
    </w:p>
    <w:p w14:paraId="6E54F264" w14:textId="77777777" w:rsidR="004F3F7A" w:rsidRPr="00AA1493" w:rsidRDefault="004F3F7A" w:rsidP="004F3F7A">
      <w:pPr>
        <w:ind w:left="306" w:hanging="306"/>
        <w:jc w:val="both"/>
        <w:rPr>
          <w:color w:val="000000" w:themeColor="text1"/>
          <w:sz w:val="22"/>
          <w:szCs w:val="22"/>
          <w:lang w:val="es-CR" w:eastAsia="es-CR"/>
        </w:rPr>
      </w:pPr>
      <w:r w:rsidRPr="00AA1493">
        <w:rPr>
          <w:bCs/>
          <w:color w:val="000000" w:themeColor="text1"/>
          <w:sz w:val="22"/>
          <w:szCs w:val="22"/>
          <w:lang w:val="es-CR" w:eastAsia="es-CR"/>
        </w:rPr>
        <w:t>●</w:t>
      </w:r>
      <w:r w:rsidRPr="00AA1493">
        <w:rPr>
          <w:bCs/>
          <w:color w:val="000000" w:themeColor="text1"/>
          <w:sz w:val="22"/>
          <w:szCs w:val="22"/>
          <w:lang w:val="es-CR" w:eastAsia="es-CR"/>
        </w:rPr>
        <w:tab/>
      </w:r>
      <w:r w:rsidRPr="00AA1493">
        <w:rPr>
          <w:color w:val="000000" w:themeColor="text1"/>
          <w:sz w:val="22"/>
          <w:szCs w:val="22"/>
          <w:lang w:val="es-CR" w:eastAsia="es-CR"/>
        </w:rPr>
        <w:t>Determinar el resultado que se obtiene de restar a las cuentas de “Ingresos” y “Gastos”, excepto la cuenta de “Impuestos y participaciones sobre la utilidad”.</w:t>
      </w:r>
    </w:p>
    <w:p w14:paraId="4BE3DD17" w14:textId="77777777" w:rsidR="004F3F7A" w:rsidRPr="0008543B" w:rsidRDefault="004F3F7A" w:rsidP="004F3F7A">
      <w:pPr>
        <w:ind w:left="306" w:hanging="306"/>
        <w:jc w:val="both"/>
        <w:rPr>
          <w:color w:val="000000" w:themeColor="text1"/>
          <w:sz w:val="22"/>
          <w:szCs w:val="22"/>
          <w:lang w:val="es-CR" w:eastAsia="es-CR"/>
        </w:rPr>
      </w:pPr>
    </w:p>
    <w:p w14:paraId="7FA59172" w14:textId="77777777" w:rsidR="004F3F7A" w:rsidRPr="00AA1493" w:rsidRDefault="004F3F7A" w:rsidP="004F3F7A">
      <w:pPr>
        <w:ind w:left="306" w:hanging="306"/>
        <w:jc w:val="both"/>
        <w:rPr>
          <w:color w:val="000000" w:themeColor="text1"/>
          <w:sz w:val="22"/>
          <w:szCs w:val="22"/>
          <w:lang w:val="es-CR" w:eastAsia="es-CR"/>
        </w:rPr>
      </w:pPr>
      <w:r w:rsidRPr="00AA1493">
        <w:rPr>
          <w:bCs/>
          <w:color w:val="000000" w:themeColor="text1"/>
          <w:sz w:val="22"/>
          <w:szCs w:val="22"/>
          <w:lang w:val="es-CR" w:eastAsia="es-CR"/>
        </w:rPr>
        <w:t>●</w:t>
      </w:r>
      <w:r w:rsidRPr="00AA1493">
        <w:rPr>
          <w:bCs/>
          <w:color w:val="000000" w:themeColor="text1"/>
          <w:sz w:val="22"/>
          <w:szCs w:val="22"/>
          <w:lang w:val="es-CR" w:eastAsia="es-CR"/>
        </w:rPr>
        <w:tab/>
      </w:r>
      <w:r w:rsidRPr="00AA1493">
        <w:rPr>
          <w:color w:val="000000" w:themeColor="text1"/>
          <w:sz w:val="22"/>
          <w:szCs w:val="22"/>
          <w:lang w:val="es-CR" w:eastAsia="es-CR"/>
        </w:rPr>
        <w:t xml:space="preserve">Del importe obtenido, deducir el monto del aporte a favor de </w:t>
      </w:r>
      <w:proofErr w:type="spellStart"/>
      <w:r w:rsidRPr="00AA1493">
        <w:rPr>
          <w:color w:val="000000" w:themeColor="text1"/>
          <w:sz w:val="22"/>
          <w:szCs w:val="22"/>
          <w:lang w:val="es-CR" w:eastAsia="es-CR"/>
        </w:rPr>
        <w:t>Conape</w:t>
      </w:r>
      <w:proofErr w:type="spellEnd"/>
      <w:r w:rsidRPr="00AA1493">
        <w:rPr>
          <w:color w:val="000000" w:themeColor="text1"/>
          <w:sz w:val="22"/>
          <w:szCs w:val="22"/>
          <w:lang w:val="es-CR" w:eastAsia="es-CR"/>
        </w:rPr>
        <w:t xml:space="preserve"> y el impuesto sobre la renta.</w:t>
      </w:r>
    </w:p>
    <w:p w14:paraId="0DC9B74E" w14:textId="77777777" w:rsidR="004F3F7A" w:rsidRPr="0008543B" w:rsidRDefault="004F3F7A" w:rsidP="004F3F7A">
      <w:pPr>
        <w:ind w:left="306" w:hanging="306"/>
        <w:jc w:val="both"/>
        <w:rPr>
          <w:color w:val="000000" w:themeColor="text1"/>
          <w:sz w:val="22"/>
          <w:szCs w:val="22"/>
          <w:lang w:val="es-CR" w:eastAsia="es-CR"/>
        </w:rPr>
      </w:pPr>
    </w:p>
    <w:p w14:paraId="0E89EC9A" w14:textId="77777777" w:rsidR="004F3F7A" w:rsidRPr="00AA1493" w:rsidRDefault="004F3F7A" w:rsidP="004F3F7A">
      <w:pPr>
        <w:ind w:left="306" w:hanging="306"/>
        <w:jc w:val="both"/>
        <w:rPr>
          <w:color w:val="000000" w:themeColor="text1"/>
          <w:sz w:val="22"/>
          <w:szCs w:val="22"/>
          <w:lang w:val="es-CR" w:eastAsia="es-CR"/>
        </w:rPr>
      </w:pPr>
      <w:r w:rsidRPr="00AA1493">
        <w:rPr>
          <w:bCs/>
          <w:color w:val="000000" w:themeColor="text1"/>
          <w:sz w:val="22"/>
          <w:szCs w:val="22"/>
          <w:lang w:val="es-CR" w:eastAsia="es-CR"/>
        </w:rPr>
        <w:t>●</w:t>
      </w:r>
      <w:r w:rsidRPr="00AA1493">
        <w:rPr>
          <w:bCs/>
          <w:color w:val="000000" w:themeColor="text1"/>
          <w:sz w:val="22"/>
          <w:szCs w:val="22"/>
          <w:lang w:val="es-CR" w:eastAsia="es-CR"/>
        </w:rPr>
        <w:tab/>
      </w:r>
      <w:r w:rsidRPr="00AA1493">
        <w:rPr>
          <w:color w:val="000000" w:themeColor="text1"/>
          <w:sz w:val="22"/>
          <w:szCs w:val="22"/>
          <w:lang w:val="es-CR" w:eastAsia="es-CR"/>
        </w:rPr>
        <w:t>Del remanente, determinar el aporte al Infocoop que debe registrarse.</w:t>
      </w:r>
    </w:p>
    <w:p w14:paraId="5C468B70" w14:textId="77777777" w:rsidR="004F3F7A" w:rsidRPr="0008543B" w:rsidRDefault="004F3F7A" w:rsidP="004F3F7A">
      <w:pPr>
        <w:ind w:left="306" w:hanging="306"/>
        <w:jc w:val="both"/>
        <w:rPr>
          <w:color w:val="000000" w:themeColor="text1"/>
          <w:sz w:val="22"/>
          <w:szCs w:val="22"/>
          <w:lang w:val="es-CR" w:eastAsia="es-CR"/>
        </w:rPr>
      </w:pPr>
    </w:p>
    <w:p w14:paraId="19602A12"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rPr>
        <w:t xml:space="preserve">Artículo 21. Ter. Otros aspectos-contingencias por saldos al descubierto en garantías del </w:t>
      </w:r>
      <w:proofErr w:type="spellStart"/>
      <w:r w:rsidRPr="00AA1493">
        <w:rPr>
          <w:b/>
          <w:bCs/>
          <w:color w:val="000000" w:themeColor="text1"/>
          <w:sz w:val="22"/>
          <w:szCs w:val="22"/>
          <w:lang w:val="es-CR"/>
        </w:rPr>
        <w:t>Banhvi</w:t>
      </w:r>
      <w:proofErr w:type="spellEnd"/>
      <w:r w:rsidRPr="00AA1493">
        <w:rPr>
          <w:b/>
          <w:bCs/>
          <w:color w:val="000000" w:themeColor="text1"/>
          <w:sz w:val="22"/>
          <w:szCs w:val="22"/>
          <w:lang w:val="es-CR"/>
        </w:rPr>
        <w:t xml:space="preserve"> sobre instrumentos financieros y sobre depósitos de ahorros.</w:t>
      </w:r>
    </w:p>
    <w:p w14:paraId="193ABAF9" w14:textId="77777777" w:rsidR="004F3F7A" w:rsidRPr="00AA1493" w:rsidRDefault="004F3F7A" w:rsidP="004F3F7A">
      <w:pPr>
        <w:jc w:val="both"/>
        <w:rPr>
          <w:color w:val="000000" w:themeColor="text1"/>
          <w:sz w:val="22"/>
          <w:szCs w:val="22"/>
          <w:lang w:val="es-CR" w:eastAsia="es-CR"/>
        </w:rPr>
      </w:pPr>
    </w:p>
    <w:p w14:paraId="7D23B267"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Para cubrir las contingencias por garantías recibidas del </w:t>
      </w:r>
      <w:proofErr w:type="spellStart"/>
      <w:r w:rsidRPr="00AA1493">
        <w:rPr>
          <w:color w:val="000000" w:themeColor="text1"/>
          <w:sz w:val="22"/>
          <w:szCs w:val="22"/>
          <w:lang w:val="es-CR" w:eastAsia="es-CR"/>
        </w:rPr>
        <w:t>Banhvi</w:t>
      </w:r>
      <w:proofErr w:type="spellEnd"/>
      <w:r w:rsidRPr="00AA1493">
        <w:rPr>
          <w:color w:val="000000" w:themeColor="text1"/>
          <w:sz w:val="22"/>
          <w:szCs w:val="22"/>
          <w:lang w:val="es-CR" w:eastAsia="es-CR"/>
        </w:rPr>
        <w:t xml:space="preserve">, sobre instrumentos financieros, sus intereses y otros gastos, emitidos por entidades autorizadas, así como la devolución de depósitos de ahorro, y sus intereses, se registrará la respectiva provisión cuando el liquidador o la junta liquidadora del proceso concursal </w:t>
      </w:r>
      <w:proofErr w:type="spellStart"/>
      <w:r w:rsidRPr="00AA1493">
        <w:rPr>
          <w:color w:val="000000" w:themeColor="text1"/>
          <w:sz w:val="22"/>
          <w:szCs w:val="22"/>
          <w:lang w:val="es-CR" w:eastAsia="es-CR"/>
        </w:rPr>
        <w:t>liquidatorio</w:t>
      </w:r>
      <w:proofErr w:type="spellEnd"/>
      <w:r w:rsidRPr="00AA1493">
        <w:rPr>
          <w:color w:val="000000" w:themeColor="text1"/>
          <w:sz w:val="22"/>
          <w:szCs w:val="22"/>
          <w:lang w:val="es-CR" w:eastAsia="es-CR"/>
        </w:rPr>
        <w:t xml:space="preserve"> de la entidad autorizada haya declarado saldos al descubierto, por medio de sus informes contables, por ser hasta en ese momento en que puede determinarse con certidumbre si el </w:t>
      </w:r>
      <w:proofErr w:type="spellStart"/>
      <w:r w:rsidRPr="00AA1493">
        <w:rPr>
          <w:color w:val="000000" w:themeColor="text1"/>
          <w:sz w:val="22"/>
          <w:szCs w:val="22"/>
          <w:lang w:val="es-CR" w:eastAsia="es-CR"/>
        </w:rPr>
        <w:t>Banhvi</w:t>
      </w:r>
      <w:proofErr w:type="spellEnd"/>
      <w:r w:rsidRPr="00AA1493">
        <w:rPr>
          <w:color w:val="000000" w:themeColor="text1"/>
          <w:sz w:val="22"/>
          <w:szCs w:val="22"/>
          <w:lang w:val="es-CR" w:eastAsia="es-CR"/>
        </w:rPr>
        <w:t xml:space="preserve"> tendrá que efectuar erogaciones por ese concepto. El registro de ese monto puede adelantarse con los informes de la Interventoría o de la Resolución, si al respecto son claros.</w:t>
      </w:r>
    </w:p>
    <w:p w14:paraId="5D80125A" w14:textId="77777777" w:rsidR="004F3F7A" w:rsidRPr="00AE7547" w:rsidRDefault="004F3F7A" w:rsidP="004F3F7A">
      <w:pPr>
        <w:jc w:val="both"/>
        <w:rPr>
          <w:color w:val="000000" w:themeColor="text1"/>
          <w:sz w:val="22"/>
          <w:szCs w:val="22"/>
          <w:lang w:val="es-CR" w:eastAsia="es-CR"/>
        </w:rPr>
      </w:pPr>
    </w:p>
    <w:p w14:paraId="154CE722" w14:textId="6BA0732A" w:rsidR="004F3F7A" w:rsidRPr="00AE7547"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Mientras la entidad esté intervenida o en proceso de resolución o de concurso </w:t>
      </w:r>
      <w:proofErr w:type="spellStart"/>
      <w:r w:rsidRPr="00AA1493">
        <w:rPr>
          <w:color w:val="000000" w:themeColor="text1"/>
          <w:sz w:val="22"/>
          <w:szCs w:val="22"/>
          <w:lang w:val="es-CR" w:eastAsia="es-CR"/>
        </w:rPr>
        <w:t>liquidatorio</w:t>
      </w:r>
      <w:proofErr w:type="spellEnd"/>
      <w:r w:rsidRPr="00AA1493">
        <w:rPr>
          <w:color w:val="000000" w:themeColor="text1"/>
          <w:sz w:val="22"/>
          <w:szCs w:val="22"/>
          <w:lang w:val="es-CR" w:eastAsia="es-CR"/>
        </w:rPr>
        <w:t>, sin que se hayan determinado los saldos al descubierto, lo que corresponde es el registro en la cuenta contingente correspondiente establecida en los lineamientos generales de este reglamento.</w:t>
      </w:r>
    </w:p>
    <w:p w14:paraId="424BAE10" w14:textId="77777777" w:rsidR="004F3F7A" w:rsidRPr="00AA1493" w:rsidRDefault="004F3F7A" w:rsidP="004F3F7A">
      <w:pPr>
        <w:jc w:val="both"/>
        <w:rPr>
          <w:color w:val="000000" w:themeColor="text1"/>
          <w:sz w:val="22"/>
          <w:szCs w:val="22"/>
          <w:lang w:val="es-CR" w:eastAsia="es-CR"/>
        </w:rPr>
      </w:pPr>
    </w:p>
    <w:p w14:paraId="6C6163D1" w14:textId="77777777" w:rsidR="004F3F7A" w:rsidRPr="00AE7547" w:rsidRDefault="004F3F7A" w:rsidP="004F3F7A">
      <w:pPr>
        <w:jc w:val="both"/>
        <w:rPr>
          <w:color w:val="000000" w:themeColor="text1"/>
          <w:sz w:val="22"/>
          <w:szCs w:val="22"/>
          <w:lang w:val="es-CR" w:eastAsia="es-CR"/>
        </w:rPr>
      </w:pPr>
      <w:r w:rsidRPr="00AA1493">
        <w:rPr>
          <w:color w:val="000000" w:themeColor="text1"/>
          <w:sz w:val="22"/>
          <w:szCs w:val="22"/>
          <w:lang w:val="es-CR" w:eastAsia="es-CR"/>
        </w:rPr>
        <w:lastRenderedPageBreak/>
        <w:t xml:space="preserve">Mientras no se instaure algún proceso de intervención, de resolución o concursal en alguna entidad autorizada, la garantía del </w:t>
      </w:r>
      <w:proofErr w:type="spellStart"/>
      <w:r w:rsidRPr="00AA1493">
        <w:rPr>
          <w:color w:val="000000" w:themeColor="text1"/>
          <w:sz w:val="22"/>
          <w:szCs w:val="22"/>
          <w:lang w:val="es-CR" w:eastAsia="es-CR"/>
        </w:rPr>
        <w:t>Banhvi</w:t>
      </w:r>
      <w:proofErr w:type="spellEnd"/>
      <w:r w:rsidRPr="00AA1493">
        <w:rPr>
          <w:color w:val="000000" w:themeColor="text1"/>
          <w:sz w:val="22"/>
          <w:szCs w:val="22"/>
          <w:lang w:val="es-CR" w:eastAsia="es-CR"/>
        </w:rPr>
        <w:t xml:space="preserve"> debe estar registrada en cuentas de orden establecidas en los lineamientos generales de este reglamento, para reflejar que no existe obligación real alguna.</w:t>
      </w:r>
    </w:p>
    <w:p w14:paraId="6F3F381E" w14:textId="77777777" w:rsidR="004F3F7A" w:rsidRPr="0008543B" w:rsidRDefault="004F3F7A" w:rsidP="004F3F7A">
      <w:pPr>
        <w:jc w:val="both"/>
        <w:rPr>
          <w:color w:val="000000" w:themeColor="text1"/>
          <w:sz w:val="22"/>
          <w:szCs w:val="22"/>
          <w:lang w:val="es-CR" w:eastAsia="es-CR"/>
        </w:rPr>
      </w:pPr>
    </w:p>
    <w:p w14:paraId="6758C604"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53B16FAD" w14:textId="77777777" w:rsidR="004F3F7A" w:rsidRPr="0008543B" w:rsidRDefault="004F3F7A" w:rsidP="004F3F7A">
      <w:pPr>
        <w:jc w:val="both"/>
        <w:rPr>
          <w:color w:val="000000" w:themeColor="text1"/>
          <w:sz w:val="22"/>
          <w:szCs w:val="22"/>
          <w:lang w:val="es-CR" w:eastAsia="es-CR"/>
        </w:rPr>
      </w:pPr>
    </w:p>
    <w:p w14:paraId="59163316" w14:textId="77777777" w:rsidR="004F3F7A" w:rsidRPr="00AA1493" w:rsidRDefault="004F3F7A" w:rsidP="004F3F7A">
      <w:pPr>
        <w:rPr>
          <w:color w:val="000000" w:themeColor="text1"/>
          <w:sz w:val="22"/>
          <w:szCs w:val="22"/>
          <w:lang w:val="es-CR" w:eastAsia="es-CR"/>
        </w:rPr>
      </w:pPr>
      <w:r w:rsidRPr="00AA1493">
        <w:rPr>
          <w:b/>
          <w:color w:val="000000" w:themeColor="text1"/>
          <w:sz w:val="22"/>
          <w:szCs w:val="22"/>
          <w:lang w:val="es-CR" w:eastAsia="es-CR"/>
        </w:rPr>
        <w:t>Artículo 24. Bis. Operaciones pendientes de imputación.</w:t>
      </w:r>
    </w:p>
    <w:p w14:paraId="43B2BAC5" w14:textId="77777777" w:rsidR="004F3F7A" w:rsidRPr="00AA1493" w:rsidRDefault="004F3F7A" w:rsidP="004F3F7A">
      <w:pPr>
        <w:jc w:val="both"/>
        <w:rPr>
          <w:color w:val="000000" w:themeColor="text1"/>
          <w:sz w:val="22"/>
          <w:szCs w:val="22"/>
          <w:lang w:val="es-CR" w:eastAsia="es-CR"/>
        </w:rPr>
      </w:pPr>
    </w:p>
    <w:p w14:paraId="3AB3E0F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Aquellas partidas que por razones de organización administrativa interna o por la naturaleza especial de la relación con terceros no puedan ser imputadas a las cuentas correspondientes, se contabilizan transitoriamente en las cuentas deudoras o acreedoras establecidas en el plan de cuentas contenido en los lineamientos generales de este reglamento. Esas partidas deben quedar regularizadas, mediante su imputación a las cuentas en que corresponde su registro definitivo, en un plazo no mayor a treinta días naturales, contados desde la fecha de origen de estas.</w:t>
      </w:r>
    </w:p>
    <w:p w14:paraId="21CB70C7" w14:textId="77777777" w:rsidR="004F3F7A" w:rsidRPr="00AA1493" w:rsidRDefault="004F3F7A" w:rsidP="004F3F7A">
      <w:pPr>
        <w:jc w:val="both"/>
        <w:rPr>
          <w:color w:val="000000" w:themeColor="text1"/>
          <w:sz w:val="22"/>
          <w:szCs w:val="22"/>
          <w:lang w:val="es-CR" w:eastAsia="es-CR"/>
        </w:rPr>
      </w:pPr>
    </w:p>
    <w:p w14:paraId="14B2497A" w14:textId="77777777" w:rsidR="004F3F7A" w:rsidRPr="00AA1493" w:rsidRDefault="004F3F7A" w:rsidP="004F3F7A">
      <w:pPr>
        <w:jc w:val="both"/>
        <w:rPr>
          <w:b/>
          <w:bCs/>
          <w:color w:val="000000" w:themeColor="text1"/>
          <w:sz w:val="22"/>
          <w:szCs w:val="22"/>
          <w:lang w:val="es-CR" w:eastAsia="es-CR"/>
        </w:rPr>
      </w:pPr>
      <w:r w:rsidRPr="00AA1493">
        <w:rPr>
          <w:color w:val="000000" w:themeColor="text1"/>
          <w:sz w:val="22"/>
          <w:szCs w:val="22"/>
          <w:lang w:val="es-CR" w:eastAsia="es-CR"/>
        </w:rPr>
        <w:t>Las entidades supervisadas deben establecer procedimientos adecuados para eliminar las partidas pendientes de imputación en los estados financieros.</w:t>
      </w:r>
    </w:p>
    <w:p w14:paraId="16B9963A" w14:textId="77777777" w:rsidR="004F3F7A" w:rsidRPr="0008543B" w:rsidRDefault="004F3F7A" w:rsidP="004F3F7A">
      <w:pPr>
        <w:jc w:val="both"/>
        <w:rPr>
          <w:color w:val="000000" w:themeColor="text1"/>
          <w:sz w:val="22"/>
          <w:szCs w:val="22"/>
          <w:lang w:val="es-CR" w:eastAsia="es-CR"/>
        </w:rPr>
      </w:pPr>
    </w:p>
    <w:p w14:paraId="68C4FECB"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w:t>
      </w:r>
    </w:p>
    <w:p w14:paraId="686F95C6" w14:textId="77777777" w:rsidR="004F3F7A" w:rsidRPr="0008543B" w:rsidRDefault="004F3F7A" w:rsidP="004F3F7A">
      <w:pPr>
        <w:jc w:val="both"/>
        <w:rPr>
          <w:i/>
          <w:color w:val="000000" w:themeColor="text1"/>
          <w:sz w:val="22"/>
          <w:szCs w:val="22"/>
          <w:lang w:val="es-CR" w:eastAsia="es-CR"/>
        </w:rPr>
      </w:pPr>
    </w:p>
    <w:p w14:paraId="1BD1B994" w14:textId="77777777" w:rsidR="004F3F7A" w:rsidRPr="00AA1493" w:rsidRDefault="004F3F7A" w:rsidP="004F3F7A">
      <w:pPr>
        <w:jc w:val="both"/>
        <w:rPr>
          <w:color w:val="000000" w:themeColor="text1"/>
          <w:sz w:val="22"/>
          <w:szCs w:val="22"/>
          <w:lang w:val="es-CR" w:eastAsia="es-CR"/>
        </w:rPr>
      </w:pPr>
      <w:r w:rsidRPr="00AA1493">
        <w:rPr>
          <w:b/>
          <w:bCs/>
          <w:color w:val="000000" w:themeColor="text1"/>
          <w:sz w:val="22"/>
          <w:szCs w:val="22"/>
          <w:lang w:val="es-CR" w:eastAsia="es-CR"/>
        </w:rPr>
        <w:t>IV. Adicionar la siguiente disposición final III, para que se lea de la siguiente manera:</w:t>
      </w:r>
    </w:p>
    <w:p w14:paraId="57C924C7" w14:textId="77777777" w:rsidR="004F3F7A" w:rsidRPr="0008543B" w:rsidRDefault="004F3F7A" w:rsidP="004F3F7A">
      <w:pPr>
        <w:rPr>
          <w:color w:val="000000" w:themeColor="text1"/>
          <w:sz w:val="22"/>
          <w:szCs w:val="22"/>
          <w:lang w:val="es-CR" w:eastAsia="es-CR"/>
        </w:rPr>
      </w:pPr>
    </w:p>
    <w:p w14:paraId="5A94C11B" w14:textId="77777777" w:rsidR="004F3F7A" w:rsidRPr="00AA1493" w:rsidRDefault="004F3F7A" w:rsidP="004F3F7A">
      <w:pPr>
        <w:jc w:val="both"/>
        <w:rPr>
          <w:color w:val="000000" w:themeColor="text1"/>
          <w:sz w:val="22"/>
          <w:szCs w:val="22"/>
          <w:lang w:val="es-CR" w:eastAsia="es-CR"/>
        </w:rPr>
      </w:pPr>
      <w:r w:rsidRPr="00AA1493">
        <w:rPr>
          <w:b/>
          <w:bCs/>
          <w:color w:val="000000" w:themeColor="text1"/>
          <w:sz w:val="22"/>
          <w:szCs w:val="22"/>
          <w:lang w:val="es-CR" w:eastAsia="es-CR"/>
        </w:rPr>
        <w:t xml:space="preserve">Disposición Final III-Referencia a anexos del </w:t>
      </w:r>
      <w:r w:rsidRPr="00AA1493">
        <w:rPr>
          <w:b/>
          <w:bCs/>
          <w:i/>
          <w:iCs/>
          <w:color w:val="000000" w:themeColor="text1"/>
          <w:sz w:val="22"/>
          <w:szCs w:val="22"/>
          <w:lang w:val="es-CR" w:eastAsia="es-CR"/>
        </w:rPr>
        <w:t>Reglamento de Información Financiera</w:t>
      </w:r>
      <w:r w:rsidRPr="00AA1493">
        <w:rPr>
          <w:b/>
          <w:bCs/>
          <w:color w:val="000000" w:themeColor="text1"/>
          <w:sz w:val="22"/>
          <w:szCs w:val="22"/>
          <w:lang w:val="es-CR" w:eastAsia="es-CR"/>
        </w:rPr>
        <w:t>.</w:t>
      </w:r>
    </w:p>
    <w:p w14:paraId="17C10858" w14:textId="77777777" w:rsidR="004F3F7A" w:rsidRPr="0008543B" w:rsidRDefault="004F3F7A" w:rsidP="004F3F7A">
      <w:pPr>
        <w:rPr>
          <w:color w:val="000000" w:themeColor="text1"/>
          <w:sz w:val="22"/>
          <w:szCs w:val="22"/>
          <w:lang w:val="es-CR" w:eastAsia="es-CR"/>
        </w:rPr>
      </w:pPr>
    </w:p>
    <w:p w14:paraId="6369E225"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En toda normativa aprobada por Conassif que haga referencia a los anexos del RIF, entiéndase que ellos se encuentran incorporados en los lineamientos generales de este reglamento emitidos por las superintendencias.</w:t>
      </w:r>
    </w:p>
    <w:p w14:paraId="70159EE6" w14:textId="77777777" w:rsidR="004F3F7A" w:rsidRPr="0008543B" w:rsidRDefault="004F3F7A" w:rsidP="004F3F7A">
      <w:pPr>
        <w:jc w:val="both"/>
        <w:rPr>
          <w:color w:val="000000" w:themeColor="text1"/>
          <w:sz w:val="22"/>
          <w:szCs w:val="22"/>
          <w:lang w:val="es-CR" w:eastAsia="es-CR"/>
        </w:rPr>
      </w:pPr>
    </w:p>
    <w:p w14:paraId="087DC842"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V. Adicionar la siguiente disposición final IV, para que se lea de la siguiente manera:</w:t>
      </w:r>
    </w:p>
    <w:p w14:paraId="5C783243" w14:textId="77777777" w:rsidR="004F3F7A" w:rsidRPr="0008543B" w:rsidRDefault="004F3F7A" w:rsidP="004F3F7A">
      <w:pPr>
        <w:jc w:val="both"/>
        <w:rPr>
          <w:color w:val="000000" w:themeColor="text1"/>
          <w:sz w:val="22"/>
          <w:szCs w:val="22"/>
          <w:lang w:val="es-CR" w:eastAsia="es-CR"/>
        </w:rPr>
      </w:pPr>
    </w:p>
    <w:p w14:paraId="0A2D2D94"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Disposición Final IV: Traslado de anexos a lineamientos generales de este reglamento:</w:t>
      </w:r>
    </w:p>
    <w:p w14:paraId="023A3633" w14:textId="77777777" w:rsidR="004F3F7A" w:rsidRPr="0008543B" w:rsidRDefault="004F3F7A" w:rsidP="004F3F7A">
      <w:pPr>
        <w:jc w:val="both"/>
        <w:rPr>
          <w:color w:val="000000" w:themeColor="text1"/>
          <w:sz w:val="22"/>
          <w:szCs w:val="22"/>
          <w:lang w:val="es-CR" w:eastAsia="es-CR"/>
        </w:rPr>
      </w:pPr>
    </w:p>
    <w:p w14:paraId="0E3DF52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 xml:space="preserve">Trasladar los anexos al </w:t>
      </w:r>
      <w:r w:rsidRPr="00AA1493">
        <w:rPr>
          <w:i/>
          <w:iCs/>
          <w:color w:val="000000" w:themeColor="text1"/>
          <w:sz w:val="22"/>
          <w:szCs w:val="22"/>
          <w:lang w:val="es-CR" w:eastAsia="es-CR"/>
        </w:rPr>
        <w:t>Reglamento de Información Financiera</w:t>
      </w:r>
      <w:r w:rsidRPr="00AA1493">
        <w:rPr>
          <w:color w:val="000000" w:themeColor="text1"/>
          <w:sz w:val="22"/>
          <w:szCs w:val="22"/>
          <w:lang w:val="es-CR" w:eastAsia="es-CR"/>
        </w:rPr>
        <w:t xml:space="preserve"> del Acuerdo Conassif 6-18, a lineamientos generales de los superintendentes.</w:t>
      </w:r>
    </w:p>
    <w:p w14:paraId="79F3B775" w14:textId="77777777" w:rsidR="004F3F7A" w:rsidRPr="0008543B" w:rsidRDefault="004F3F7A" w:rsidP="004F3F7A">
      <w:pPr>
        <w:jc w:val="both"/>
        <w:rPr>
          <w:color w:val="000000" w:themeColor="text1"/>
          <w:sz w:val="22"/>
          <w:szCs w:val="22"/>
          <w:lang w:val="es-CR" w:eastAsia="es-CR"/>
        </w:rPr>
      </w:pPr>
    </w:p>
    <w:p w14:paraId="15D1FADE"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VI. Adicionar la siguiente disposición final V, para que se lea de la siguiente manera:</w:t>
      </w:r>
    </w:p>
    <w:p w14:paraId="3391D7C3" w14:textId="77777777" w:rsidR="004F3F7A" w:rsidRPr="0008543B" w:rsidRDefault="004F3F7A" w:rsidP="004F3F7A">
      <w:pPr>
        <w:jc w:val="both"/>
        <w:rPr>
          <w:color w:val="000000" w:themeColor="text1"/>
          <w:sz w:val="22"/>
          <w:szCs w:val="22"/>
          <w:lang w:val="es-CR" w:eastAsia="es-CR"/>
        </w:rPr>
      </w:pPr>
    </w:p>
    <w:p w14:paraId="7D0F27C2" w14:textId="77777777" w:rsidR="004F3F7A" w:rsidRPr="00AA1493" w:rsidRDefault="004F3F7A" w:rsidP="004F3F7A">
      <w:pPr>
        <w:rPr>
          <w:b/>
          <w:bCs/>
          <w:color w:val="000000" w:themeColor="text1"/>
          <w:sz w:val="22"/>
          <w:szCs w:val="22"/>
          <w:lang w:val="es-CR" w:eastAsia="es-CR"/>
        </w:rPr>
      </w:pPr>
      <w:r w:rsidRPr="00AA1493">
        <w:rPr>
          <w:b/>
          <w:bCs/>
          <w:color w:val="000000" w:themeColor="text1"/>
          <w:sz w:val="22"/>
          <w:szCs w:val="22"/>
          <w:lang w:val="es-CR" w:eastAsia="es-CR"/>
        </w:rPr>
        <w:t>Disposición Final V-Entrada en vigor.</w:t>
      </w:r>
    </w:p>
    <w:p w14:paraId="49752819" w14:textId="77777777" w:rsidR="004F3F7A" w:rsidRPr="0008543B" w:rsidRDefault="004F3F7A" w:rsidP="004F3F7A">
      <w:pPr>
        <w:rPr>
          <w:color w:val="000000" w:themeColor="text1"/>
          <w:sz w:val="22"/>
          <w:szCs w:val="22"/>
          <w:lang w:val="es-CR" w:eastAsia="es-CR"/>
        </w:rPr>
      </w:pPr>
    </w:p>
    <w:p w14:paraId="2E903334"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Las modificaciones supra citadas al RIF rigen a partir del 1° de enero del 2027.</w:t>
      </w:r>
    </w:p>
    <w:p w14:paraId="6D092FD9" w14:textId="77777777" w:rsidR="004F3F7A" w:rsidRPr="0008543B" w:rsidRDefault="004F3F7A" w:rsidP="004F3F7A">
      <w:pPr>
        <w:jc w:val="both"/>
        <w:rPr>
          <w:color w:val="000000" w:themeColor="text1"/>
          <w:sz w:val="22"/>
          <w:szCs w:val="22"/>
          <w:lang w:val="es-CR" w:eastAsia="es-CR"/>
        </w:rPr>
      </w:pPr>
    </w:p>
    <w:p w14:paraId="147D8F7F" w14:textId="77777777" w:rsidR="004F3F7A" w:rsidRPr="00AA1493" w:rsidRDefault="004F3F7A" w:rsidP="004F3F7A">
      <w:pPr>
        <w:jc w:val="both"/>
        <w:rPr>
          <w:b/>
          <w:bCs/>
          <w:color w:val="000000" w:themeColor="text1"/>
          <w:sz w:val="22"/>
          <w:szCs w:val="22"/>
          <w:lang w:val="es-CR" w:eastAsia="es-CR"/>
        </w:rPr>
      </w:pPr>
      <w:r w:rsidRPr="00AA1493">
        <w:rPr>
          <w:b/>
          <w:bCs/>
          <w:color w:val="000000" w:themeColor="text1"/>
          <w:sz w:val="22"/>
          <w:szCs w:val="22"/>
          <w:lang w:val="es-CR" w:eastAsia="es-CR"/>
        </w:rPr>
        <w:t>VII. Adicionar el transitorio XXII para la adopción de la NIIF 18 por parte de las entidades aseguradoras supervisadas por Sugese, para que se lea de la siguiente manera:</w:t>
      </w:r>
    </w:p>
    <w:p w14:paraId="2FF6B1C3" w14:textId="77777777" w:rsidR="004F3F7A" w:rsidRPr="0008543B" w:rsidRDefault="004F3F7A" w:rsidP="004F3F7A">
      <w:pPr>
        <w:jc w:val="both"/>
        <w:rPr>
          <w:bCs/>
          <w:color w:val="000000" w:themeColor="text1"/>
          <w:sz w:val="22"/>
          <w:szCs w:val="22"/>
          <w:lang w:val="es-CR" w:eastAsia="es-CR"/>
        </w:rPr>
      </w:pPr>
    </w:p>
    <w:p w14:paraId="260E4947" w14:textId="77777777" w:rsidR="004F3F7A" w:rsidRPr="00AA1493" w:rsidRDefault="004F3F7A" w:rsidP="004F3F7A">
      <w:pPr>
        <w:rPr>
          <w:b/>
          <w:color w:val="000000" w:themeColor="text1"/>
          <w:sz w:val="22"/>
          <w:szCs w:val="22"/>
          <w:lang w:val="es-CR" w:eastAsia="es-CR"/>
        </w:rPr>
      </w:pPr>
      <w:r w:rsidRPr="00AA1493">
        <w:rPr>
          <w:b/>
          <w:color w:val="000000" w:themeColor="text1"/>
          <w:sz w:val="22"/>
          <w:szCs w:val="22"/>
          <w:lang w:val="es-CR" w:eastAsia="es-CR"/>
        </w:rPr>
        <w:t>Transitorio XXII.</w:t>
      </w:r>
    </w:p>
    <w:p w14:paraId="0D1DEE8E" w14:textId="77777777" w:rsidR="004F3F7A" w:rsidRPr="0008543B" w:rsidRDefault="004F3F7A" w:rsidP="004F3F7A">
      <w:pPr>
        <w:rPr>
          <w:bCs/>
          <w:color w:val="000000" w:themeColor="text1"/>
          <w:sz w:val="22"/>
          <w:szCs w:val="22"/>
          <w:lang w:val="es-CR" w:eastAsia="es-CR"/>
        </w:rPr>
      </w:pPr>
    </w:p>
    <w:p w14:paraId="5055752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En el caso de las entidades aseguradoras la adopción de la NIIF 18 aplicará a partir del 1° de enero de 2029.</w:t>
      </w:r>
    </w:p>
    <w:p w14:paraId="797D5D5E" w14:textId="77777777" w:rsidR="004F3F7A" w:rsidRPr="00AA1493" w:rsidRDefault="004F3F7A" w:rsidP="004F3F7A">
      <w:pPr>
        <w:jc w:val="both"/>
        <w:rPr>
          <w:color w:val="000000" w:themeColor="text1"/>
          <w:sz w:val="22"/>
          <w:szCs w:val="22"/>
          <w:lang w:val="es-CR" w:eastAsia="es-CR"/>
        </w:rPr>
      </w:pPr>
    </w:p>
    <w:p w14:paraId="5973E26C" w14:textId="1DF443CC"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lastRenderedPageBreak/>
        <w:t>Los intermediarios de seguros deberán aplicar la NIIF 18 conforme a la fecha establecida para el resto del sistema financiero, es decir, en los reportes financieros correspondientes a períodos que inicien a partir del 1° de enero de 2027.</w:t>
      </w:r>
    </w:p>
    <w:p w14:paraId="04EF3354" w14:textId="77777777" w:rsidR="001023B7" w:rsidRDefault="001023B7" w:rsidP="004F3F7A">
      <w:pPr>
        <w:jc w:val="both"/>
        <w:rPr>
          <w:color w:val="000000" w:themeColor="text1"/>
          <w:sz w:val="22"/>
          <w:szCs w:val="22"/>
          <w:lang w:val="es-CR" w:eastAsia="es-CR"/>
        </w:rPr>
      </w:pPr>
    </w:p>
    <w:p w14:paraId="2D21520E" w14:textId="629B8FF9"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Para los grupos financieros propietarios de una entidad aseguradora, estos deberán cumplir con lo definido por su supervisor principal para la presentación de los consolidados.</w:t>
      </w:r>
      <w:r w:rsidR="0008543B">
        <w:rPr>
          <w:color w:val="000000" w:themeColor="text1"/>
          <w:sz w:val="22"/>
          <w:szCs w:val="22"/>
          <w:lang w:val="es-CR" w:eastAsia="es-CR"/>
        </w:rPr>
        <w:t xml:space="preserve"> </w:t>
      </w:r>
      <w:r w:rsidRPr="00AA1493">
        <w:rPr>
          <w:color w:val="000000" w:themeColor="text1"/>
          <w:sz w:val="22"/>
          <w:szCs w:val="22"/>
          <w:lang w:val="es-CR" w:eastAsia="es-CR"/>
        </w:rPr>
        <w:t>Sin embargo, para el caso de los reportes individuales de la aseguradora, aplica lo dispuesto en el primer párrafo.</w:t>
      </w:r>
    </w:p>
    <w:p w14:paraId="7255C0AB" w14:textId="77777777" w:rsidR="004F3F7A" w:rsidRPr="00AA1493" w:rsidRDefault="004F3F7A" w:rsidP="004F3F7A">
      <w:pPr>
        <w:jc w:val="both"/>
        <w:rPr>
          <w:bCs/>
          <w:color w:val="000000" w:themeColor="text1"/>
          <w:sz w:val="22"/>
          <w:szCs w:val="22"/>
          <w:lang w:val="es-CR" w:eastAsia="es-CR"/>
        </w:rPr>
      </w:pPr>
    </w:p>
    <w:p w14:paraId="5ECD5B4D"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Cuando Sugese sea el supervisor principal del grupo financiero, la NIIF 18 deberá aplicarse a los estados financieros consolidados del grupo correspondientes a períodos que inicien a partir del 1º de enero de 2029. Esta misma fecha aplicará a los reportes financieros individuales de la entidad aseguradora. Para los reportes financieros individuales de las demás entidades que integren el grupo, aplicará la fecha que determine el supervisor respectivo.</w:t>
      </w:r>
    </w:p>
    <w:p w14:paraId="07348A7E" w14:textId="77777777" w:rsidR="004F3F7A" w:rsidRPr="00AA1493" w:rsidRDefault="004F3F7A" w:rsidP="004F3F7A">
      <w:pPr>
        <w:jc w:val="both"/>
        <w:rPr>
          <w:bCs/>
          <w:color w:val="000000" w:themeColor="text1"/>
          <w:sz w:val="22"/>
          <w:szCs w:val="22"/>
          <w:lang w:val="es-CR" w:eastAsia="es-CR"/>
        </w:rPr>
      </w:pPr>
    </w:p>
    <w:p w14:paraId="05B1BE5F" w14:textId="77777777"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Para efectos de la preparación de estados financieros consolidados, las entidades individuales que integren el grupo o conglomerado financiero deberán adecuar la presentación de su estado de resultados a la base contable aplicable a la entidad controladora, de manera que la información consolidada se presente bajo criterios homogéneos.</w:t>
      </w:r>
    </w:p>
    <w:p w14:paraId="0EE0F7A4" w14:textId="77777777" w:rsidR="004F3F7A" w:rsidRPr="00AA1493" w:rsidRDefault="004F3F7A" w:rsidP="004F3F7A">
      <w:pPr>
        <w:jc w:val="both"/>
        <w:rPr>
          <w:bCs/>
          <w:color w:val="000000" w:themeColor="text1"/>
          <w:sz w:val="22"/>
          <w:szCs w:val="22"/>
          <w:lang w:val="es-CR" w:eastAsia="es-CR"/>
        </w:rPr>
      </w:pPr>
    </w:p>
    <w:p w14:paraId="6788F9BC" w14:textId="77777777" w:rsidR="004F3F7A" w:rsidRPr="00AA1493" w:rsidRDefault="004F3F7A" w:rsidP="004F3F7A">
      <w:pPr>
        <w:jc w:val="both"/>
        <w:rPr>
          <w:b/>
          <w:color w:val="000000" w:themeColor="text1"/>
          <w:sz w:val="22"/>
          <w:szCs w:val="22"/>
          <w:lang w:val="es-CR" w:eastAsia="es-CR"/>
        </w:rPr>
      </w:pPr>
      <w:r w:rsidRPr="00AA1493">
        <w:rPr>
          <w:b/>
          <w:bCs/>
          <w:color w:val="000000" w:themeColor="text1"/>
          <w:sz w:val="22"/>
          <w:szCs w:val="22"/>
          <w:lang w:val="es-CR" w:eastAsia="es-CR"/>
        </w:rPr>
        <w:t>VIII. Adicionar el transitorio XXIII para mantener la vigencia de los anexos del RIF temporalmente mientras entran en vigor los lineamientos generales:</w:t>
      </w:r>
    </w:p>
    <w:p w14:paraId="0CE1931E" w14:textId="77777777" w:rsidR="004F3F7A" w:rsidRPr="00AA1493" w:rsidRDefault="004F3F7A" w:rsidP="004F3F7A">
      <w:pPr>
        <w:jc w:val="both"/>
        <w:rPr>
          <w:bCs/>
          <w:color w:val="000000" w:themeColor="text1"/>
          <w:sz w:val="22"/>
          <w:szCs w:val="22"/>
          <w:lang w:val="es-CR" w:eastAsia="es-CR"/>
        </w:rPr>
      </w:pPr>
    </w:p>
    <w:p w14:paraId="44D59601" w14:textId="68140F8D" w:rsidR="004F3F7A" w:rsidRPr="00AA1493" w:rsidRDefault="004F3F7A" w:rsidP="004F3F7A">
      <w:pPr>
        <w:jc w:val="both"/>
        <w:rPr>
          <w:b/>
          <w:bCs/>
          <w:color w:val="000000" w:themeColor="text1"/>
          <w:sz w:val="22"/>
          <w:szCs w:val="22"/>
          <w:lang w:val="es-CR" w:eastAsia="es-CR"/>
        </w:rPr>
      </w:pPr>
      <w:r w:rsidRPr="00AA1493">
        <w:rPr>
          <w:b/>
          <w:color w:val="000000" w:themeColor="text1"/>
          <w:sz w:val="22"/>
          <w:szCs w:val="22"/>
          <w:lang w:val="es-CR" w:eastAsia="es-CR"/>
        </w:rPr>
        <w:t>Transitorio XXIII.</w:t>
      </w:r>
    </w:p>
    <w:p w14:paraId="50E86F5E" w14:textId="77777777" w:rsidR="004F3F7A" w:rsidRPr="00AA1493" w:rsidRDefault="004F3F7A" w:rsidP="004F3F7A">
      <w:pPr>
        <w:jc w:val="both"/>
        <w:rPr>
          <w:color w:val="000000" w:themeColor="text1"/>
          <w:sz w:val="22"/>
          <w:szCs w:val="22"/>
          <w:lang w:val="es-CR" w:eastAsia="es-CR"/>
        </w:rPr>
      </w:pPr>
    </w:p>
    <w:p w14:paraId="00053C2C" w14:textId="64A58031" w:rsidR="004F3F7A" w:rsidRPr="00AA1493" w:rsidRDefault="004F3F7A" w:rsidP="004F3F7A">
      <w:pPr>
        <w:jc w:val="both"/>
        <w:rPr>
          <w:color w:val="000000" w:themeColor="text1"/>
          <w:sz w:val="22"/>
          <w:szCs w:val="22"/>
          <w:lang w:val="es-CR" w:eastAsia="es-CR"/>
        </w:rPr>
      </w:pPr>
      <w:r w:rsidRPr="00AA1493">
        <w:rPr>
          <w:color w:val="000000" w:themeColor="text1"/>
          <w:sz w:val="22"/>
          <w:szCs w:val="22"/>
          <w:lang w:val="es-CR" w:eastAsia="es-CR"/>
        </w:rPr>
        <w:t>Los anexos 1, 2, 3, 4, 5, 6 y 7 del RIF se mantendrán vigentes sin modificación alguna hasta la emisión de los lineamientos generales de este reglamento por parte de las superintendencias”.</w:t>
      </w:r>
    </w:p>
    <w:p w14:paraId="1C04FDA7" w14:textId="77777777" w:rsidR="00A632A5" w:rsidRPr="00AA1493" w:rsidRDefault="00A632A5" w:rsidP="003308B2">
      <w:pPr>
        <w:widowControl w:val="0"/>
        <w:jc w:val="both"/>
        <w:rPr>
          <w:color w:val="000000" w:themeColor="text1"/>
          <w:sz w:val="24"/>
          <w:szCs w:val="24"/>
          <w:lang w:val="es-CR"/>
        </w:rPr>
      </w:pPr>
    </w:p>
    <w:p w14:paraId="1E29C7B2" w14:textId="4C5E45B7" w:rsidR="00A36D16" w:rsidRPr="00AA1493" w:rsidRDefault="00A36D16" w:rsidP="003308B2">
      <w:pPr>
        <w:widowControl w:val="0"/>
        <w:jc w:val="both"/>
        <w:rPr>
          <w:color w:val="000000" w:themeColor="text1"/>
          <w:sz w:val="24"/>
          <w:szCs w:val="24"/>
        </w:rPr>
      </w:pPr>
      <w:r w:rsidRPr="00AA1493">
        <w:rPr>
          <w:color w:val="000000" w:themeColor="text1"/>
          <w:sz w:val="24"/>
          <w:szCs w:val="24"/>
        </w:rPr>
        <w:t>Atentamente,</w:t>
      </w:r>
    </w:p>
    <w:p w14:paraId="19102069" w14:textId="4FDB593D" w:rsidR="00377F7C" w:rsidRPr="00AA1493" w:rsidRDefault="00967C7B" w:rsidP="00C675C7">
      <w:pPr>
        <w:widowControl w:val="0"/>
        <w:jc w:val="both"/>
        <w:rPr>
          <w:color w:val="000000" w:themeColor="text1"/>
          <w:sz w:val="24"/>
          <w:szCs w:val="24"/>
        </w:rPr>
      </w:pPr>
      <w:r w:rsidRPr="00AA1493">
        <w:rPr>
          <w:noProof/>
          <w:color w:val="000000" w:themeColor="text1"/>
          <w:sz w:val="24"/>
          <w:szCs w:val="24"/>
        </w:rPr>
        <w:drawing>
          <wp:anchor distT="0" distB="0" distL="114300" distR="114300" simplePos="0" relativeHeight="251658240" behindDoc="1" locked="0" layoutInCell="1" allowOverlap="0" wp14:anchorId="444BC151" wp14:editId="3FE5839D">
            <wp:simplePos x="0" y="0"/>
            <wp:positionH relativeFrom="column">
              <wp:posOffset>5715</wp:posOffset>
            </wp:positionH>
            <wp:positionV relativeFrom="paragraph">
              <wp:posOffset>26670</wp:posOffset>
            </wp:positionV>
            <wp:extent cx="2078355" cy="36195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l="5118"/>
                    <a:stretch>
                      <a:fillRect/>
                    </a:stretch>
                  </pic:blipFill>
                  <pic:spPr bwMode="auto">
                    <a:xfrm>
                      <a:off x="0" y="0"/>
                      <a:ext cx="20783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1AE2C" w14:textId="1FD8810B" w:rsidR="009E3ED9" w:rsidRPr="00AA1493" w:rsidRDefault="009E3ED9" w:rsidP="00C675C7">
      <w:pPr>
        <w:widowControl w:val="0"/>
        <w:jc w:val="both"/>
        <w:rPr>
          <w:color w:val="000000" w:themeColor="text1"/>
          <w:sz w:val="24"/>
          <w:szCs w:val="24"/>
        </w:rPr>
      </w:pPr>
    </w:p>
    <w:p w14:paraId="2C5C601F" w14:textId="77777777" w:rsidR="00967C7B" w:rsidRPr="00AA1493" w:rsidRDefault="00967C7B" w:rsidP="00C675C7">
      <w:pPr>
        <w:widowControl w:val="0"/>
        <w:jc w:val="both"/>
        <w:rPr>
          <w:color w:val="000000" w:themeColor="text1"/>
          <w:sz w:val="24"/>
          <w:szCs w:val="24"/>
        </w:rPr>
      </w:pPr>
    </w:p>
    <w:p w14:paraId="5FD3E916" w14:textId="57928DF2" w:rsidR="00C675C7" w:rsidRPr="00AA1493" w:rsidRDefault="001D21E7" w:rsidP="00C675C7">
      <w:pPr>
        <w:widowControl w:val="0"/>
        <w:jc w:val="both"/>
        <w:rPr>
          <w:color w:val="000000" w:themeColor="text1"/>
          <w:sz w:val="24"/>
          <w:szCs w:val="24"/>
        </w:rPr>
      </w:pPr>
      <w:r w:rsidRPr="00AA1493">
        <w:rPr>
          <w:color w:val="000000" w:themeColor="text1"/>
          <w:sz w:val="24"/>
          <w:szCs w:val="24"/>
        </w:rPr>
        <w:t>Celia Alpízar Paniagua</w:t>
      </w:r>
    </w:p>
    <w:p w14:paraId="3FE91BA6" w14:textId="40D99399" w:rsidR="0083363C" w:rsidRPr="00AA1493" w:rsidRDefault="00C675C7" w:rsidP="00042B5B">
      <w:pPr>
        <w:widowControl w:val="0"/>
        <w:rPr>
          <w:color w:val="000000" w:themeColor="text1"/>
          <w:sz w:val="24"/>
          <w:szCs w:val="24"/>
        </w:rPr>
      </w:pPr>
      <w:r w:rsidRPr="00AA1493">
        <w:rPr>
          <w:b/>
          <w:i/>
          <w:color w:val="000000" w:themeColor="text1"/>
          <w:sz w:val="24"/>
          <w:szCs w:val="24"/>
        </w:rPr>
        <w:t>Secretari</w:t>
      </w:r>
      <w:r w:rsidR="00DB478B" w:rsidRPr="00AA1493">
        <w:rPr>
          <w:b/>
          <w:i/>
          <w:color w:val="000000" w:themeColor="text1"/>
          <w:sz w:val="24"/>
          <w:szCs w:val="24"/>
        </w:rPr>
        <w:t>a interina</w:t>
      </w:r>
      <w:r w:rsidR="004339AB" w:rsidRPr="00AA1493">
        <w:rPr>
          <w:b/>
          <w:i/>
          <w:color w:val="000000" w:themeColor="text1"/>
          <w:sz w:val="24"/>
          <w:szCs w:val="24"/>
        </w:rPr>
        <w:t xml:space="preserve"> </w:t>
      </w:r>
      <w:r w:rsidRPr="00AA1493">
        <w:rPr>
          <w:b/>
          <w:i/>
          <w:color w:val="000000" w:themeColor="text1"/>
          <w:sz w:val="24"/>
          <w:szCs w:val="24"/>
        </w:rPr>
        <w:t>del Consejo</w:t>
      </w:r>
    </w:p>
    <w:sectPr w:rsidR="0083363C" w:rsidRPr="00AA1493" w:rsidSect="001D0382">
      <w:headerReference w:type="even" r:id="rId14"/>
      <w:headerReference w:type="default" r:id="rId15"/>
      <w:footerReference w:type="even" r:id="rId16"/>
      <w:footerReference w:type="default" r:id="rId17"/>
      <w:headerReference w:type="first" r:id="rId18"/>
      <w:footerReference w:type="first" r:id="rId19"/>
      <w:pgSz w:w="12240" w:h="15840"/>
      <w:pgMar w:top="1812"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303F0" w14:textId="77777777" w:rsidR="007875DE" w:rsidRDefault="007875DE" w:rsidP="00290A93">
      <w:r>
        <w:separator/>
      </w:r>
    </w:p>
  </w:endnote>
  <w:endnote w:type="continuationSeparator" w:id="0">
    <w:p w14:paraId="5BBA93FF" w14:textId="77777777" w:rsidR="007875DE" w:rsidRDefault="007875DE" w:rsidP="00290A93">
      <w:r>
        <w:continuationSeparator/>
      </w:r>
    </w:p>
  </w:endnote>
  <w:endnote w:type="continuationNotice" w:id="1">
    <w:p w14:paraId="022753F6" w14:textId="77777777" w:rsidR="007875DE" w:rsidRDefault="00787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onet">
    <w:altName w:val="Arabic Typesetting"/>
    <w:charset w:val="00"/>
    <w:family w:val="script"/>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R-01T">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panose1 w:val="00000000000000000000"/>
    <w:charset w:val="FF"/>
    <w:family w:val="roman"/>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249E" w14:textId="77777777" w:rsidR="00D00861" w:rsidRDefault="00D008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049" w14:textId="05EB1B73" w:rsidR="001D0382" w:rsidRDefault="009040CE">
    <w:pPr>
      <w:pStyle w:val="Piedepgina"/>
      <w:jc w:val="right"/>
    </w:pPr>
    <w:r>
      <w:rPr>
        <w:noProof/>
      </w:rPr>
      <mc:AlternateContent>
        <mc:Choice Requires="wps">
          <w:drawing>
            <wp:anchor distT="0" distB="0" distL="114300" distR="114300" simplePos="0" relativeHeight="251658241" behindDoc="0" locked="0" layoutInCell="0" allowOverlap="1" wp14:anchorId="67F9DC61" wp14:editId="1A81F044">
              <wp:simplePos x="0" y="0"/>
              <wp:positionH relativeFrom="page">
                <wp:posOffset>0</wp:posOffset>
              </wp:positionH>
              <wp:positionV relativeFrom="page">
                <wp:posOffset>9594215</wp:posOffset>
              </wp:positionV>
              <wp:extent cx="7772400" cy="273685"/>
              <wp:effectExtent l="0" t="2540" r="0" b="0"/>
              <wp:wrapNone/>
              <wp:docPr id="1088453975"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DC61"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191D7D82"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D75" w14:textId="77777777" w:rsidR="003F16A6" w:rsidRDefault="003F16A6">
    <w:pPr>
      <w:pStyle w:val="Piedepgina"/>
      <w:jc w:val="center"/>
    </w:pPr>
    <w:r>
      <w:fldChar w:fldCharType="begin"/>
    </w:r>
    <w:r>
      <w:instrText>PAGE   \* MERGEFORMAT</w:instrText>
    </w:r>
    <w:r>
      <w:fldChar w:fldCharType="separate"/>
    </w:r>
    <w:r>
      <w:t>2</w:t>
    </w:r>
    <w:r>
      <w:fldChar w:fldCharType="end"/>
    </w:r>
  </w:p>
  <w:p w14:paraId="2AD685F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E07E1" w14:textId="77777777" w:rsidR="007875DE" w:rsidRDefault="007875DE" w:rsidP="00290A93">
      <w:r>
        <w:separator/>
      </w:r>
    </w:p>
  </w:footnote>
  <w:footnote w:type="continuationSeparator" w:id="0">
    <w:p w14:paraId="2C7A6561" w14:textId="77777777" w:rsidR="007875DE" w:rsidRDefault="007875DE" w:rsidP="00290A93">
      <w:r>
        <w:continuationSeparator/>
      </w:r>
    </w:p>
  </w:footnote>
  <w:footnote w:type="continuationNotice" w:id="1">
    <w:p w14:paraId="23460FA7" w14:textId="77777777" w:rsidR="007875DE" w:rsidRDefault="007875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D28A" w14:textId="77777777" w:rsidR="00D00861" w:rsidRDefault="00D008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DC35" w14:textId="4628F3A5" w:rsidR="00D33020" w:rsidRDefault="009040CE">
    <w:pPr>
      <w:pStyle w:val="Encabezado"/>
    </w:pPr>
    <w:r>
      <w:rPr>
        <w:noProof/>
      </w:rPr>
      <w:drawing>
        <wp:inline distT="0" distB="0" distL="0" distR="0" wp14:anchorId="534DBA88" wp14:editId="28F7D166">
          <wp:extent cx="1924050" cy="6915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83" w14:textId="4D195048" w:rsidR="001D683F" w:rsidRDefault="009040CE">
    <w:pPr>
      <w:pStyle w:val="Encabezado"/>
    </w:pPr>
    <w:r>
      <w:rPr>
        <w:noProof/>
      </w:rPr>
      <w:drawing>
        <wp:anchor distT="0" distB="0" distL="114300" distR="114300" simplePos="0" relativeHeight="251658240" behindDoc="0" locked="0" layoutInCell="1" allowOverlap="1" wp14:anchorId="7788616F" wp14:editId="1182418C">
          <wp:simplePos x="0" y="0"/>
          <wp:positionH relativeFrom="column">
            <wp:posOffset>-423545</wp:posOffset>
          </wp:positionH>
          <wp:positionV relativeFrom="paragraph">
            <wp:posOffset>-104775</wp:posOffset>
          </wp:positionV>
          <wp:extent cx="4750435" cy="51054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249"/>
    <w:multiLevelType w:val="hybridMultilevel"/>
    <w:tmpl w:val="9B96765C"/>
    <w:lvl w:ilvl="0" w:tplc="E06E96E6">
      <w:start w:val="1"/>
      <w:numFmt w:val="decimal"/>
      <w:lvlText w:val="%1."/>
      <w:lvlJc w:val="left"/>
      <w:pPr>
        <w:ind w:left="360" w:hanging="360"/>
      </w:pPr>
      <w:rPr>
        <w:lang w:val="es-ES"/>
      </w:rPr>
    </w:lvl>
    <w:lvl w:ilvl="1" w:tplc="AE52F18E">
      <w:start w:val="1"/>
      <w:numFmt w:val="lowerRoman"/>
      <w:lvlText w:val="%2."/>
      <w:lvlJc w:val="left"/>
      <w:pPr>
        <w:ind w:left="144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4282026C">
      <w:start w:val="1"/>
      <w:numFmt w:val="lowerLetter"/>
      <w:lvlText w:val="%3)"/>
      <w:lvlJc w:val="left"/>
      <w:pPr>
        <w:ind w:left="2360" w:hanging="380"/>
      </w:pPr>
      <w:rPr>
        <w:rFonts w:hint="default"/>
        <w:i w:val="0"/>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A9A6603"/>
    <w:multiLevelType w:val="hybridMultilevel"/>
    <w:tmpl w:val="83D0537C"/>
    <w:lvl w:ilvl="0" w:tplc="140A0019">
      <w:start w:val="1"/>
      <w:numFmt w:val="low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 w15:restartNumberingAfterBreak="0">
    <w:nsid w:val="0AF348E2"/>
    <w:multiLevelType w:val="hybridMultilevel"/>
    <w:tmpl w:val="819E17DC"/>
    <w:lvl w:ilvl="0" w:tplc="92FEADA4">
      <w:start w:val="1"/>
      <w:numFmt w:val="upperRoman"/>
      <w:lvlText w:val="%1."/>
      <w:lvlJc w:val="left"/>
      <w:pPr>
        <w:ind w:left="720" w:hanging="360"/>
      </w:pPr>
      <w:rPr>
        <w:rFonts w:ascii="Times New Roman" w:eastAsia="Times New Roman" w:hAnsi="Times New Roman" w:cs="Times New Roman"/>
        <w:b/>
        <w:bCs/>
        <w:i w:val="0"/>
        <w:iCs w:val="0"/>
        <w:strike w:val="0"/>
        <w:dstrike w:val="0"/>
        <w:color w:val="000000"/>
        <w:sz w:val="23"/>
        <w:szCs w:val="23"/>
        <w:u w:val="none" w:color="000000"/>
        <w:bdr w:val="none" w:sz="0" w:space="0" w:color="auto"/>
        <w:shd w:val="clear" w:color="auto" w:fill="auto"/>
        <w:vertAlign w:val="baseli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40956D7"/>
    <w:multiLevelType w:val="hybridMultilevel"/>
    <w:tmpl w:val="45DC66D6"/>
    <w:lvl w:ilvl="0" w:tplc="2DC2C11C">
      <w:start w:val="1"/>
      <w:numFmt w:val="lowerLetter"/>
      <w:lvlText w:val="%1)"/>
      <w:lvlJc w:val="left"/>
      <w:pPr>
        <w:ind w:left="1065" w:hanging="705"/>
      </w:pPr>
      <w:rPr>
        <w:rFonts w:ascii="Cambria" w:hAnsi="Cambria" w:cs="Times New Roman" w:hint="default"/>
        <w:sz w:val="24"/>
      </w:rPr>
    </w:lvl>
    <w:lvl w:ilvl="1" w:tplc="140A001B">
      <w:start w:val="1"/>
      <w:numFmt w:val="lowerRoman"/>
      <w:lvlText w:val="%2."/>
      <w:lvlJc w:val="righ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A056D48"/>
    <w:multiLevelType w:val="multilevel"/>
    <w:tmpl w:val="24ECCF9A"/>
    <w:lvl w:ilvl="0">
      <w:start w:val="1"/>
      <w:numFmt w:val="lowerLetter"/>
      <w:lvlText w:val="%1."/>
      <w:lvlJc w:val="left"/>
      <w:pPr>
        <w:tabs>
          <w:tab w:val="num" w:pos="1068"/>
        </w:tabs>
        <w:ind w:left="1068" w:hanging="360"/>
      </w:pPr>
    </w:lvl>
    <w:lvl w:ilvl="1">
      <w:start w:val="1"/>
      <w:numFmt w:val="lowerRoman"/>
      <w:lvlText w:val="%2."/>
      <w:lvlJc w:val="right"/>
      <w:pPr>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5" w15:restartNumberingAfterBreak="0">
    <w:nsid w:val="2197545C"/>
    <w:multiLevelType w:val="hybridMultilevel"/>
    <w:tmpl w:val="7D525A52"/>
    <w:lvl w:ilvl="0" w:tplc="45DA31E6">
      <w:start w:val="1"/>
      <w:numFmt w:val="lowerRoman"/>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9235E3"/>
    <w:multiLevelType w:val="hybridMultilevel"/>
    <w:tmpl w:val="1F0C85F4"/>
    <w:lvl w:ilvl="0" w:tplc="0D781B18">
      <w:start w:val="1"/>
      <w:numFmt w:val="upperLetter"/>
      <w:lvlText w:val="%1."/>
      <w:lvlJc w:val="left"/>
      <w:pPr>
        <w:ind w:left="1065" w:hanging="705"/>
      </w:pPr>
      <w:rPr>
        <w:rFonts w:hint="default"/>
      </w:rPr>
    </w:lvl>
    <w:lvl w:ilvl="1" w:tplc="0C0A001B">
      <w:start w:val="1"/>
      <w:numFmt w:val="lowerRoman"/>
      <w:lvlText w:val="%2."/>
      <w:lvlJc w:val="right"/>
      <w:pPr>
        <w:ind w:left="1440" w:hanging="360"/>
      </w:pPr>
    </w:lvl>
    <w:lvl w:ilvl="2" w:tplc="7B644D34">
      <w:start w:val="2"/>
      <w:numFmt w:val="bullet"/>
      <w:lvlText w:val="-"/>
      <w:lvlJc w:val="left"/>
      <w:pPr>
        <w:ind w:left="2340" w:hanging="360"/>
      </w:pPr>
      <w:rPr>
        <w:rFonts w:ascii="Courier New" w:eastAsia="Times New Roman" w:hAnsi="Courier New" w:cs="Courier New" w:hint="default"/>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BD7229E"/>
    <w:multiLevelType w:val="hybridMultilevel"/>
    <w:tmpl w:val="1F9ADD58"/>
    <w:lvl w:ilvl="0" w:tplc="99FE33A2">
      <w:start w:val="4"/>
      <w:numFmt w:val="lowerRoman"/>
      <w:lvlText w:val="%1."/>
      <w:lvlJc w:val="left"/>
      <w:pPr>
        <w:ind w:left="2700" w:hanging="720"/>
      </w:pPr>
      <w:rPr>
        <w:rFonts w:hint="default"/>
      </w:rPr>
    </w:lvl>
    <w:lvl w:ilvl="1" w:tplc="140A0019" w:tentative="1">
      <w:start w:val="1"/>
      <w:numFmt w:val="lowerLetter"/>
      <w:lvlText w:val="%2."/>
      <w:lvlJc w:val="left"/>
      <w:pPr>
        <w:ind w:left="3060" w:hanging="360"/>
      </w:pPr>
    </w:lvl>
    <w:lvl w:ilvl="2" w:tplc="140A001B" w:tentative="1">
      <w:start w:val="1"/>
      <w:numFmt w:val="lowerRoman"/>
      <w:lvlText w:val="%3."/>
      <w:lvlJc w:val="right"/>
      <w:pPr>
        <w:ind w:left="3780" w:hanging="180"/>
      </w:pPr>
    </w:lvl>
    <w:lvl w:ilvl="3" w:tplc="140A000F" w:tentative="1">
      <w:start w:val="1"/>
      <w:numFmt w:val="decimal"/>
      <w:lvlText w:val="%4."/>
      <w:lvlJc w:val="left"/>
      <w:pPr>
        <w:ind w:left="4500" w:hanging="360"/>
      </w:pPr>
    </w:lvl>
    <w:lvl w:ilvl="4" w:tplc="140A0019" w:tentative="1">
      <w:start w:val="1"/>
      <w:numFmt w:val="lowerLetter"/>
      <w:lvlText w:val="%5."/>
      <w:lvlJc w:val="left"/>
      <w:pPr>
        <w:ind w:left="5220" w:hanging="360"/>
      </w:pPr>
    </w:lvl>
    <w:lvl w:ilvl="5" w:tplc="140A001B" w:tentative="1">
      <w:start w:val="1"/>
      <w:numFmt w:val="lowerRoman"/>
      <w:lvlText w:val="%6."/>
      <w:lvlJc w:val="right"/>
      <w:pPr>
        <w:ind w:left="5940" w:hanging="180"/>
      </w:pPr>
    </w:lvl>
    <w:lvl w:ilvl="6" w:tplc="140A000F" w:tentative="1">
      <w:start w:val="1"/>
      <w:numFmt w:val="decimal"/>
      <w:lvlText w:val="%7."/>
      <w:lvlJc w:val="left"/>
      <w:pPr>
        <w:ind w:left="6660" w:hanging="360"/>
      </w:pPr>
    </w:lvl>
    <w:lvl w:ilvl="7" w:tplc="140A0019" w:tentative="1">
      <w:start w:val="1"/>
      <w:numFmt w:val="lowerLetter"/>
      <w:lvlText w:val="%8."/>
      <w:lvlJc w:val="left"/>
      <w:pPr>
        <w:ind w:left="7380" w:hanging="360"/>
      </w:pPr>
    </w:lvl>
    <w:lvl w:ilvl="8" w:tplc="140A001B" w:tentative="1">
      <w:start w:val="1"/>
      <w:numFmt w:val="lowerRoman"/>
      <w:lvlText w:val="%9."/>
      <w:lvlJc w:val="right"/>
      <w:pPr>
        <w:ind w:left="8100" w:hanging="180"/>
      </w:pPr>
    </w:lvl>
  </w:abstractNum>
  <w:abstractNum w:abstractNumId="8" w15:restartNumberingAfterBreak="0">
    <w:nsid w:val="339635B7"/>
    <w:multiLevelType w:val="hybridMultilevel"/>
    <w:tmpl w:val="F616461E"/>
    <w:lvl w:ilvl="0" w:tplc="43A6A35E">
      <w:start w:val="1"/>
      <w:numFmt w:val="lowerLetter"/>
      <w:lvlText w:val="%1."/>
      <w:lvlJc w:val="left"/>
      <w:pPr>
        <w:ind w:left="720"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A1E4AB2"/>
    <w:multiLevelType w:val="hybridMultilevel"/>
    <w:tmpl w:val="6E2036CA"/>
    <w:lvl w:ilvl="0" w:tplc="6BF61678">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DEB1222"/>
    <w:multiLevelType w:val="hybridMultilevel"/>
    <w:tmpl w:val="9552107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827422D"/>
    <w:multiLevelType w:val="hybridMultilevel"/>
    <w:tmpl w:val="3F96AE96"/>
    <w:lvl w:ilvl="0" w:tplc="5C00FAEC">
      <w:start w:val="1"/>
      <w:numFmt w:val="bullet"/>
      <w:lvlText w:val=""/>
      <w:lvlJc w:val="left"/>
      <w:pPr>
        <w:tabs>
          <w:tab w:val="num" w:pos="720"/>
        </w:tabs>
        <w:ind w:left="720" w:hanging="360"/>
      </w:pPr>
      <w:rPr>
        <w:rFonts w:ascii="Symbol" w:hAnsi="Symbol" w:hint="default"/>
        <w:sz w:val="28"/>
      </w:rPr>
    </w:lvl>
    <w:lvl w:ilvl="1" w:tplc="BE2E7EBC">
      <w:start w:val="1"/>
      <w:numFmt w:val="bullet"/>
      <w:lvlText w:val=""/>
      <w:lvlJc w:val="left"/>
      <w:pPr>
        <w:tabs>
          <w:tab w:val="num" w:pos="1440"/>
        </w:tabs>
        <w:ind w:left="1440" w:hanging="360"/>
      </w:pPr>
      <w:rPr>
        <w:rFonts w:ascii="Symbol" w:hAnsi="Symbol" w:hint="default"/>
      </w:rPr>
    </w:lvl>
    <w:lvl w:ilvl="2" w:tplc="7D6047D4">
      <w:start w:val="1"/>
      <w:numFmt w:val="bullet"/>
      <w:lvlText w:val=""/>
      <w:lvlJc w:val="left"/>
      <w:pPr>
        <w:tabs>
          <w:tab w:val="num" w:pos="2160"/>
        </w:tabs>
        <w:ind w:left="2160" w:hanging="360"/>
      </w:pPr>
      <w:rPr>
        <w:rFonts w:ascii="Symbol" w:hAnsi="Symbol" w:hint="default"/>
      </w:rPr>
    </w:lvl>
    <w:lvl w:ilvl="3" w:tplc="F73E9C2C">
      <w:start w:val="1"/>
      <w:numFmt w:val="bullet"/>
      <w:lvlText w:val=""/>
      <w:lvlJc w:val="left"/>
      <w:pPr>
        <w:tabs>
          <w:tab w:val="num" w:pos="2880"/>
        </w:tabs>
        <w:ind w:left="2880" w:hanging="360"/>
      </w:pPr>
      <w:rPr>
        <w:rFonts w:ascii="Symbol" w:hAnsi="Symbol" w:hint="default"/>
      </w:rPr>
    </w:lvl>
    <w:lvl w:ilvl="4" w:tplc="E4226F60">
      <w:start w:val="1"/>
      <w:numFmt w:val="bullet"/>
      <w:lvlText w:val=""/>
      <w:lvlJc w:val="left"/>
      <w:pPr>
        <w:tabs>
          <w:tab w:val="num" w:pos="3600"/>
        </w:tabs>
        <w:ind w:left="3600" w:hanging="360"/>
      </w:pPr>
      <w:rPr>
        <w:rFonts w:ascii="Symbol" w:hAnsi="Symbol" w:hint="default"/>
      </w:rPr>
    </w:lvl>
    <w:lvl w:ilvl="5" w:tplc="235E1D86">
      <w:start w:val="1"/>
      <w:numFmt w:val="bullet"/>
      <w:lvlText w:val=""/>
      <w:lvlJc w:val="left"/>
      <w:pPr>
        <w:tabs>
          <w:tab w:val="num" w:pos="4320"/>
        </w:tabs>
        <w:ind w:left="4320" w:hanging="360"/>
      </w:pPr>
      <w:rPr>
        <w:rFonts w:ascii="Symbol" w:hAnsi="Symbol" w:hint="default"/>
      </w:rPr>
    </w:lvl>
    <w:lvl w:ilvl="6" w:tplc="0AA243E8">
      <w:start w:val="1"/>
      <w:numFmt w:val="bullet"/>
      <w:lvlText w:val=""/>
      <w:lvlJc w:val="left"/>
      <w:pPr>
        <w:tabs>
          <w:tab w:val="num" w:pos="5040"/>
        </w:tabs>
        <w:ind w:left="5040" w:hanging="360"/>
      </w:pPr>
      <w:rPr>
        <w:rFonts w:ascii="Symbol" w:hAnsi="Symbol" w:hint="default"/>
      </w:rPr>
    </w:lvl>
    <w:lvl w:ilvl="7" w:tplc="69D0AB84">
      <w:start w:val="1"/>
      <w:numFmt w:val="bullet"/>
      <w:lvlText w:val=""/>
      <w:lvlJc w:val="left"/>
      <w:pPr>
        <w:tabs>
          <w:tab w:val="num" w:pos="5760"/>
        </w:tabs>
        <w:ind w:left="5760" w:hanging="360"/>
      </w:pPr>
      <w:rPr>
        <w:rFonts w:ascii="Symbol" w:hAnsi="Symbol" w:hint="default"/>
      </w:rPr>
    </w:lvl>
    <w:lvl w:ilvl="8" w:tplc="712AF410">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EAC6B53"/>
    <w:multiLevelType w:val="hybridMultilevel"/>
    <w:tmpl w:val="E1725FD6"/>
    <w:lvl w:ilvl="0" w:tplc="D172C2F0">
      <w:start w:val="1"/>
      <w:numFmt w:val="decimal"/>
      <w:lvlText w:val="%1."/>
      <w:lvlJc w:val="left"/>
      <w:pPr>
        <w:ind w:left="786" w:hanging="360"/>
      </w:pPr>
      <w:rPr>
        <w:rFonts w:ascii="Times New Roman" w:eastAsia="Times New Roman" w:hAnsi="Times New Roman" w:cs="Times New Roman" w:hint="default"/>
        <w:b/>
        <w:bCs/>
        <w:sz w:val="24"/>
        <w:szCs w:val="24"/>
      </w:rPr>
    </w:lvl>
    <w:lvl w:ilvl="1" w:tplc="28800420">
      <w:start w:val="1"/>
      <w:numFmt w:val="lowerLetter"/>
      <w:lvlText w:val="%2."/>
      <w:lvlJc w:val="left"/>
      <w:pPr>
        <w:ind w:left="1080" w:hanging="360"/>
      </w:pPr>
      <w:rPr>
        <w:b/>
        <w:bCs/>
      </w:rPr>
    </w:lvl>
    <w:lvl w:ilvl="2" w:tplc="140A001B">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52B53A37"/>
    <w:multiLevelType w:val="hybridMultilevel"/>
    <w:tmpl w:val="BA04CD0A"/>
    <w:lvl w:ilvl="0" w:tplc="4FFE30AC">
      <w:start w:val="1"/>
      <w:numFmt w:val="lowerRoman"/>
      <w:lvlText w:val="%1."/>
      <w:lvlJc w:val="left"/>
      <w:pPr>
        <w:ind w:left="2139" w:hanging="720"/>
      </w:pPr>
      <w:rPr>
        <w:rFonts w:hint="default"/>
      </w:rPr>
    </w:lvl>
    <w:lvl w:ilvl="1" w:tplc="140A0019" w:tentative="1">
      <w:start w:val="1"/>
      <w:numFmt w:val="lowerLetter"/>
      <w:lvlText w:val="%2."/>
      <w:lvlJc w:val="left"/>
      <w:pPr>
        <w:ind w:left="2499" w:hanging="360"/>
      </w:pPr>
    </w:lvl>
    <w:lvl w:ilvl="2" w:tplc="140A001B" w:tentative="1">
      <w:start w:val="1"/>
      <w:numFmt w:val="lowerRoman"/>
      <w:lvlText w:val="%3."/>
      <w:lvlJc w:val="right"/>
      <w:pPr>
        <w:ind w:left="3219" w:hanging="180"/>
      </w:pPr>
    </w:lvl>
    <w:lvl w:ilvl="3" w:tplc="140A000F" w:tentative="1">
      <w:start w:val="1"/>
      <w:numFmt w:val="decimal"/>
      <w:lvlText w:val="%4."/>
      <w:lvlJc w:val="left"/>
      <w:pPr>
        <w:ind w:left="3939" w:hanging="360"/>
      </w:pPr>
    </w:lvl>
    <w:lvl w:ilvl="4" w:tplc="140A0019" w:tentative="1">
      <w:start w:val="1"/>
      <w:numFmt w:val="lowerLetter"/>
      <w:lvlText w:val="%5."/>
      <w:lvlJc w:val="left"/>
      <w:pPr>
        <w:ind w:left="4659" w:hanging="360"/>
      </w:pPr>
    </w:lvl>
    <w:lvl w:ilvl="5" w:tplc="140A001B" w:tentative="1">
      <w:start w:val="1"/>
      <w:numFmt w:val="lowerRoman"/>
      <w:lvlText w:val="%6."/>
      <w:lvlJc w:val="right"/>
      <w:pPr>
        <w:ind w:left="5379" w:hanging="180"/>
      </w:pPr>
    </w:lvl>
    <w:lvl w:ilvl="6" w:tplc="140A000F" w:tentative="1">
      <w:start w:val="1"/>
      <w:numFmt w:val="decimal"/>
      <w:lvlText w:val="%7."/>
      <w:lvlJc w:val="left"/>
      <w:pPr>
        <w:ind w:left="6099" w:hanging="360"/>
      </w:pPr>
    </w:lvl>
    <w:lvl w:ilvl="7" w:tplc="140A0019" w:tentative="1">
      <w:start w:val="1"/>
      <w:numFmt w:val="lowerLetter"/>
      <w:lvlText w:val="%8."/>
      <w:lvlJc w:val="left"/>
      <w:pPr>
        <w:ind w:left="6819" w:hanging="360"/>
      </w:pPr>
    </w:lvl>
    <w:lvl w:ilvl="8" w:tplc="140A001B" w:tentative="1">
      <w:start w:val="1"/>
      <w:numFmt w:val="lowerRoman"/>
      <w:lvlText w:val="%9."/>
      <w:lvlJc w:val="right"/>
      <w:pPr>
        <w:ind w:left="7539" w:hanging="180"/>
      </w:pPr>
    </w:lvl>
  </w:abstractNum>
  <w:abstractNum w:abstractNumId="14" w15:restartNumberingAfterBreak="0">
    <w:nsid w:val="547E2829"/>
    <w:multiLevelType w:val="hybridMultilevel"/>
    <w:tmpl w:val="8DA0B8EC"/>
    <w:lvl w:ilvl="0" w:tplc="4BBA7776">
      <w:start w:val="1"/>
      <w:numFmt w:val="lowerLetter"/>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15" w15:restartNumberingAfterBreak="0">
    <w:nsid w:val="55A02CD2"/>
    <w:multiLevelType w:val="hybridMultilevel"/>
    <w:tmpl w:val="803E5050"/>
    <w:lvl w:ilvl="0" w:tplc="9FE22D7E">
      <w:start w:val="1"/>
      <w:numFmt w:val="upperLetter"/>
      <w:lvlText w:val="%1."/>
      <w:lvlJc w:val="left"/>
      <w:pPr>
        <w:ind w:left="360" w:hanging="360"/>
      </w:pPr>
      <w:rPr>
        <w:i w:val="0"/>
        <w:iCs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C254C4D"/>
    <w:multiLevelType w:val="hybridMultilevel"/>
    <w:tmpl w:val="C58C158E"/>
    <w:lvl w:ilvl="0" w:tplc="140A0015">
      <w:start w:val="1"/>
      <w:numFmt w:val="upp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8" w15:restartNumberingAfterBreak="0">
    <w:nsid w:val="64BF4925"/>
    <w:multiLevelType w:val="hybridMultilevel"/>
    <w:tmpl w:val="96BC1F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C6243C"/>
    <w:multiLevelType w:val="hybridMultilevel"/>
    <w:tmpl w:val="DDC0C034"/>
    <w:lvl w:ilvl="0" w:tplc="042AFDF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8DC1D25"/>
    <w:multiLevelType w:val="multilevel"/>
    <w:tmpl w:val="272E63D2"/>
    <w:lvl w:ilvl="0">
      <w:start w:val="1"/>
      <w:numFmt w:val="lowerLetter"/>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1" w15:restartNumberingAfterBreak="0">
    <w:nsid w:val="6A714D06"/>
    <w:multiLevelType w:val="hybridMultilevel"/>
    <w:tmpl w:val="ECF4F8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F5B3BCD"/>
    <w:multiLevelType w:val="hybridMultilevel"/>
    <w:tmpl w:val="FF3E7188"/>
    <w:lvl w:ilvl="0" w:tplc="45DA31E6">
      <w:start w:val="1"/>
      <w:numFmt w:val="lowerRoman"/>
      <w:lvlText w:val="%1)"/>
      <w:lvlJc w:val="left"/>
      <w:pPr>
        <w:ind w:left="786" w:hanging="360"/>
      </w:pPr>
      <w:rPr>
        <w:rFonts w:hint="default"/>
        <w:b/>
        <w:bCs/>
        <w:sz w:val="24"/>
        <w:szCs w:val="24"/>
      </w:rPr>
    </w:lvl>
    <w:lvl w:ilvl="1" w:tplc="FFFFFFFF">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12C0242"/>
    <w:multiLevelType w:val="hybridMultilevel"/>
    <w:tmpl w:val="1AF224A4"/>
    <w:lvl w:ilvl="0" w:tplc="A448EC4C">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527010"/>
    <w:multiLevelType w:val="hybridMultilevel"/>
    <w:tmpl w:val="242855F8"/>
    <w:lvl w:ilvl="0" w:tplc="A3D6DE56">
      <w:start w:val="1"/>
      <w:numFmt w:val="decimal"/>
      <w:lvlText w:val="%1."/>
      <w:lvlJc w:val="left"/>
      <w:pPr>
        <w:ind w:left="780" w:hanging="42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F7D87"/>
    <w:multiLevelType w:val="hybridMultilevel"/>
    <w:tmpl w:val="E992190C"/>
    <w:lvl w:ilvl="0" w:tplc="F91A1C46">
      <w:start w:val="1"/>
      <w:numFmt w:val="lowerLetter"/>
      <w:lvlText w:val="%1."/>
      <w:lvlJc w:val="left"/>
      <w:pPr>
        <w:ind w:left="927" w:hanging="360"/>
      </w:pPr>
    </w:lvl>
    <w:lvl w:ilvl="1" w:tplc="140A0019">
      <w:start w:val="1"/>
      <w:numFmt w:val="lowerLetter"/>
      <w:lvlText w:val="%2."/>
      <w:lvlJc w:val="left"/>
      <w:pPr>
        <w:ind w:left="1647" w:hanging="360"/>
      </w:pPr>
    </w:lvl>
    <w:lvl w:ilvl="2" w:tplc="140A001B">
      <w:start w:val="1"/>
      <w:numFmt w:val="lowerRoman"/>
      <w:lvlText w:val="%3."/>
      <w:lvlJc w:val="right"/>
      <w:pPr>
        <w:ind w:left="2367" w:hanging="180"/>
      </w:pPr>
    </w:lvl>
    <w:lvl w:ilvl="3" w:tplc="140A000F">
      <w:start w:val="1"/>
      <w:numFmt w:val="decimal"/>
      <w:lvlText w:val="%4."/>
      <w:lvlJc w:val="left"/>
      <w:pPr>
        <w:ind w:left="3087" w:hanging="360"/>
      </w:pPr>
    </w:lvl>
    <w:lvl w:ilvl="4" w:tplc="140A0019">
      <w:start w:val="1"/>
      <w:numFmt w:val="lowerLetter"/>
      <w:lvlText w:val="%5."/>
      <w:lvlJc w:val="left"/>
      <w:pPr>
        <w:ind w:left="3807" w:hanging="360"/>
      </w:pPr>
    </w:lvl>
    <w:lvl w:ilvl="5" w:tplc="140A001B">
      <w:start w:val="1"/>
      <w:numFmt w:val="lowerRoman"/>
      <w:lvlText w:val="%6."/>
      <w:lvlJc w:val="right"/>
      <w:pPr>
        <w:ind w:left="4527" w:hanging="180"/>
      </w:pPr>
    </w:lvl>
    <w:lvl w:ilvl="6" w:tplc="140A000F">
      <w:start w:val="1"/>
      <w:numFmt w:val="decimal"/>
      <w:lvlText w:val="%7."/>
      <w:lvlJc w:val="left"/>
      <w:pPr>
        <w:ind w:left="5247" w:hanging="360"/>
      </w:pPr>
    </w:lvl>
    <w:lvl w:ilvl="7" w:tplc="140A0019">
      <w:start w:val="1"/>
      <w:numFmt w:val="lowerLetter"/>
      <w:lvlText w:val="%8."/>
      <w:lvlJc w:val="left"/>
      <w:pPr>
        <w:ind w:left="5967" w:hanging="360"/>
      </w:pPr>
    </w:lvl>
    <w:lvl w:ilvl="8" w:tplc="140A001B">
      <w:start w:val="1"/>
      <w:numFmt w:val="lowerRoman"/>
      <w:lvlText w:val="%9."/>
      <w:lvlJc w:val="right"/>
      <w:pPr>
        <w:ind w:left="6687" w:hanging="180"/>
      </w:pPr>
    </w:lvl>
  </w:abstractNum>
  <w:abstractNum w:abstractNumId="26" w15:restartNumberingAfterBreak="0">
    <w:nsid w:val="7D0451EC"/>
    <w:multiLevelType w:val="hybridMultilevel"/>
    <w:tmpl w:val="162E5676"/>
    <w:lvl w:ilvl="0" w:tplc="140A0001">
      <w:start w:val="1"/>
      <w:numFmt w:val="bullet"/>
      <w:lvlText w:val=""/>
      <w:lvlJc w:val="left"/>
      <w:pPr>
        <w:ind w:left="1146" w:hanging="720"/>
      </w:pPr>
      <w:rPr>
        <w:rFonts w:ascii="Symbol" w:hAnsi="Symbol"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16cid:durableId="573048359">
    <w:abstractNumId w:val="16"/>
  </w:num>
  <w:num w:numId="2" w16cid:durableId="800803369">
    <w:abstractNumId w:val="18"/>
  </w:num>
  <w:num w:numId="3" w16cid:durableId="1320841751">
    <w:abstractNumId w:val="21"/>
  </w:num>
  <w:num w:numId="4" w16cid:durableId="931623838">
    <w:abstractNumId w:val="6"/>
  </w:num>
  <w:num w:numId="5" w16cid:durableId="884752878">
    <w:abstractNumId w:val="9"/>
  </w:num>
  <w:num w:numId="6" w16cid:durableId="2036997347">
    <w:abstractNumId w:val="19"/>
  </w:num>
  <w:num w:numId="7" w16cid:durableId="1474716697">
    <w:abstractNumId w:val="3"/>
  </w:num>
  <w:num w:numId="8" w16cid:durableId="1743067785">
    <w:abstractNumId w:val="13"/>
  </w:num>
  <w:num w:numId="9" w16cid:durableId="859316040">
    <w:abstractNumId w:val="26"/>
  </w:num>
  <w:num w:numId="10" w16cid:durableId="867835595">
    <w:abstractNumId w:val="24"/>
  </w:num>
  <w:num w:numId="11" w16cid:durableId="1617060738">
    <w:abstractNumId w:val="0"/>
  </w:num>
  <w:num w:numId="12" w16cid:durableId="1447582893">
    <w:abstractNumId w:val="8"/>
  </w:num>
  <w:num w:numId="13" w16cid:durableId="2138178814">
    <w:abstractNumId w:val="10"/>
  </w:num>
  <w:num w:numId="14" w16cid:durableId="5424439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4349167">
    <w:abstractNumId w:val="11"/>
  </w:num>
  <w:num w:numId="16" w16cid:durableId="114448682">
    <w:abstractNumId w:val="15"/>
  </w:num>
  <w:num w:numId="17" w16cid:durableId="850292578">
    <w:abstractNumId w:val="23"/>
  </w:num>
  <w:num w:numId="18" w16cid:durableId="1188300229">
    <w:abstractNumId w:val="20"/>
  </w:num>
  <w:num w:numId="19" w16cid:durableId="917666140">
    <w:abstractNumId w:val="4"/>
  </w:num>
  <w:num w:numId="20" w16cid:durableId="2059084625">
    <w:abstractNumId w:val="1"/>
  </w:num>
  <w:num w:numId="21" w16cid:durableId="1808012756">
    <w:abstractNumId w:val="12"/>
  </w:num>
  <w:num w:numId="22" w16cid:durableId="632177651">
    <w:abstractNumId w:val="17"/>
  </w:num>
  <w:num w:numId="23" w16cid:durableId="1638409639">
    <w:abstractNumId w:val="2"/>
  </w:num>
  <w:num w:numId="24" w16cid:durableId="519393956">
    <w:abstractNumId w:val="14"/>
  </w:num>
  <w:num w:numId="25" w16cid:durableId="450786610">
    <w:abstractNumId w:val="5"/>
  </w:num>
  <w:num w:numId="26" w16cid:durableId="1458601211">
    <w:abstractNumId w:val="22"/>
  </w:num>
  <w:num w:numId="27" w16cid:durableId="186405517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C1F"/>
    <w:rsid w:val="00002DD0"/>
    <w:rsid w:val="00003155"/>
    <w:rsid w:val="00003F70"/>
    <w:rsid w:val="00004CF9"/>
    <w:rsid w:val="0000585F"/>
    <w:rsid w:val="00007E89"/>
    <w:rsid w:val="00010980"/>
    <w:rsid w:val="00012E82"/>
    <w:rsid w:val="00014E33"/>
    <w:rsid w:val="00015534"/>
    <w:rsid w:val="00016278"/>
    <w:rsid w:val="00017364"/>
    <w:rsid w:val="0002062D"/>
    <w:rsid w:val="000219AD"/>
    <w:rsid w:val="00021C63"/>
    <w:rsid w:val="0002418E"/>
    <w:rsid w:val="0002439A"/>
    <w:rsid w:val="000246D3"/>
    <w:rsid w:val="00025CFD"/>
    <w:rsid w:val="0002759B"/>
    <w:rsid w:val="000308B7"/>
    <w:rsid w:val="000316EA"/>
    <w:rsid w:val="00033232"/>
    <w:rsid w:val="00033295"/>
    <w:rsid w:val="00034565"/>
    <w:rsid w:val="00035F3F"/>
    <w:rsid w:val="00036CC3"/>
    <w:rsid w:val="0003788B"/>
    <w:rsid w:val="000408C1"/>
    <w:rsid w:val="00040BBD"/>
    <w:rsid w:val="00040EA3"/>
    <w:rsid w:val="00042B5B"/>
    <w:rsid w:val="0004418E"/>
    <w:rsid w:val="00044B4C"/>
    <w:rsid w:val="000474DE"/>
    <w:rsid w:val="000474E7"/>
    <w:rsid w:val="0005129D"/>
    <w:rsid w:val="00051CAE"/>
    <w:rsid w:val="00055066"/>
    <w:rsid w:val="0005579D"/>
    <w:rsid w:val="0005722B"/>
    <w:rsid w:val="00057E08"/>
    <w:rsid w:val="00062B0D"/>
    <w:rsid w:val="000642A5"/>
    <w:rsid w:val="00065058"/>
    <w:rsid w:val="000660BD"/>
    <w:rsid w:val="00066413"/>
    <w:rsid w:val="00071CE5"/>
    <w:rsid w:val="00073BE3"/>
    <w:rsid w:val="000747C4"/>
    <w:rsid w:val="0007680D"/>
    <w:rsid w:val="000770A8"/>
    <w:rsid w:val="00084F79"/>
    <w:rsid w:val="0008543B"/>
    <w:rsid w:val="000855FA"/>
    <w:rsid w:val="00085D4E"/>
    <w:rsid w:val="00086130"/>
    <w:rsid w:val="00086DD5"/>
    <w:rsid w:val="000900A2"/>
    <w:rsid w:val="00091091"/>
    <w:rsid w:val="00091D6D"/>
    <w:rsid w:val="000936B0"/>
    <w:rsid w:val="00094091"/>
    <w:rsid w:val="00095B79"/>
    <w:rsid w:val="00097035"/>
    <w:rsid w:val="000A0034"/>
    <w:rsid w:val="000A1B48"/>
    <w:rsid w:val="000A1C6B"/>
    <w:rsid w:val="000A21B9"/>
    <w:rsid w:val="000A2FDB"/>
    <w:rsid w:val="000A63A7"/>
    <w:rsid w:val="000A6474"/>
    <w:rsid w:val="000A7215"/>
    <w:rsid w:val="000B03FB"/>
    <w:rsid w:val="000B0D8A"/>
    <w:rsid w:val="000B3D80"/>
    <w:rsid w:val="000B5E64"/>
    <w:rsid w:val="000B70FC"/>
    <w:rsid w:val="000C24EC"/>
    <w:rsid w:val="000C4712"/>
    <w:rsid w:val="000C4918"/>
    <w:rsid w:val="000C4C82"/>
    <w:rsid w:val="000C6280"/>
    <w:rsid w:val="000C6455"/>
    <w:rsid w:val="000C6754"/>
    <w:rsid w:val="000C782F"/>
    <w:rsid w:val="000C7AB3"/>
    <w:rsid w:val="000C7B97"/>
    <w:rsid w:val="000D127C"/>
    <w:rsid w:val="000D33AC"/>
    <w:rsid w:val="000D48AA"/>
    <w:rsid w:val="000D6775"/>
    <w:rsid w:val="000D6F45"/>
    <w:rsid w:val="000D7CDB"/>
    <w:rsid w:val="000E0D82"/>
    <w:rsid w:val="000E141A"/>
    <w:rsid w:val="000E14D3"/>
    <w:rsid w:val="000E18F8"/>
    <w:rsid w:val="000E1D0C"/>
    <w:rsid w:val="000E1D69"/>
    <w:rsid w:val="000E408E"/>
    <w:rsid w:val="000E40C9"/>
    <w:rsid w:val="000E68CE"/>
    <w:rsid w:val="000E70B5"/>
    <w:rsid w:val="000F21A4"/>
    <w:rsid w:val="000F3343"/>
    <w:rsid w:val="000F5013"/>
    <w:rsid w:val="000F6E44"/>
    <w:rsid w:val="000F78F6"/>
    <w:rsid w:val="0010096D"/>
    <w:rsid w:val="00101104"/>
    <w:rsid w:val="001023B7"/>
    <w:rsid w:val="0010361C"/>
    <w:rsid w:val="00104666"/>
    <w:rsid w:val="0010567E"/>
    <w:rsid w:val="001066FF"/>
    <w:rsid w:val="001070D6"/>
    <w:rsid w:val="00111724"/>
    <w:rsid w:val="001141CF"/>
    <w:rsid w:val="0011455E"/>
    <w:rsid w:val="0011588F"/>
    <w:rsid w:val="00115EB1"/>
    <w:rsid w:val="00117BB7"/>
    <w:rsid w:val="00120124"/>
    <w:rsid w:val="00122719"/>
    <w:rsid w:val="00122CCE"/>
    <w:rsid w:val="00123B6F"/>
    <w:rsid w:val="00126BB4"/>
    <w:rsid w:val="0013144C"/>
    <w:rsid w:val="00132A17"/>
    <w:rsid w:val="001354EF"/>
    <w:rsid w:val="00136319"/>
    <w:rsid w:val="00136386"/>
    <w:rsid w:val="001365A9"/>
    <w:rsid w:val="001369A7"/>
    <w:rsid w:val="00140937"/>
    <w:rsid w:val="00142B3C"/>
    <w:rsid w:val="00144485"/>
    <w:rsid w:val="00144DC8"/>
    <w:rsid w:val="0014532F"/>
    <w:rsid w:val="001464FA"/>
    <w:rsid w:val="00150BBF"/>
    <w:rsid w:val="00151C33"/>
    <w:rsid w:val="00151EF2"/>
    <w:rsid w:val="00151F6C"/>
    <w:rsid w:val="00152A20"/>
    <w:rsid w:val="001550C2"/>
    <w:rsid w:val="001554AB"/>
    <w:rsid w:val="00156FB0"/>
    <w:rsid w:val="00157A7A"/>
    <w:rsid w:val="00157FDD"/>
    <w:rsid w:val="00161363"/>
    <w:rsid w:val="001624D1"/>
    <w:rsid w:val="00162ECC"/>
    <w:rsid w:val="00165059"/>
    <w:rsid w:val="00166B18"/>
    <w:rsid w:val="001716EE"/>
    <w:rsid w:val="001728AD"/>
    <w:rsid w:val="001734F5"/>
    <w:rsid w:val="00174487"/>
    <w:rsid w:val="00174656"/>
    <w:rsid w:val="00181B1C"/>
    <w:rsid w:val="001826CC"/>
    <w:rsid w:val="001846F1"/>
    <w:rsid w:val="001859BC"/>
    <w:rsid w:val="00186DB2"/>
    <w:rsid w:val="00187074"/>
    <w:rsid w:val="00190A25"/>
    <w:rsid w:val="00190E23"/>
    <w:rsid w:val="00191692"/>
    <w:rsid w:val="00191C29"/>
    <w:rsid w:val="00192661"/>
    <w:rsid w:val="001930BD"/>
    <w:rsid w:val="001944C9"/>
    <w:rsid w:val="001951B5"/>
    <w:rsid w:val="001962DB"/>
    <w:rsid w:val="001963C5"/>
    <w:rsid w:val="00197E5D"/>
    <w:rsid w:val="001A1AE5"/>
    <w:rsid w:val="001A2930"/>
    <w:rsid w:val="001A298C"/>
    <w:rsid w:val="001A3312"/>
    <w:rsid w:val="001A3BC6"/>
    <w:rsid w:val="001A4A9B"/>
    <w:rsid w:val="001A570E"/>
    <w:rsid w:val="001A61E3"/>
    <w:rsid w:val="001A67E5"/>
    <w:rsid w:val="001A7088"/>
    <w:rsid w:val="001A77EB"/>
    <w:rsid w:val="001B0B6C"/>
    <w:rsid w:val="001B1501"/>
    <w:rsid w:val="001B2D2B"/>
    <w:rsid w:val="001B318F"/>
    <w:rsid w:val="001B48F5"/>
    <w:rsid w:val="001B49BB"/>
    <w:rsid w:val="001B6F0F"/>
    <w:rsid w:val="001C7EDE"/>
    <w:rsid w:val="001D0382"/>
    <w:rsid w:val="001D21E7"/>
    <w:rsid w:val="001D2F64"/>
    <w:rsid w:val="001D3296"/>
    <w:rsid w:val="001D440D"/>
    <w:rsid w:val="001D683F"/>
    <w:rsid w:val="001D71FC"/>
    <w:rsid w:val="001D7998"/>
    <w:rsid w:val="001E3BA6"/>
    <w:rsid w:val="001E4BAA"/>
    <w:rsid w:val="001E4FE7"/>
    <w:rsid w:val="001E5104"/>
    <w:rsid w:val="001E5817"/>
    <w:rsid w:val="001E5831"/>
    <w:rsid w:val="001E7A64"/>
    <w:rsid w:val="001F04C9"/>
    <w:rsid w:val="001F0B02"/>
    <w:rsid w:val="001F187F"/>
    <w:rsid w:val="001F1D92"/>
    <w:rsid w:val="001F3F5C"/>
    <w:rsid w:val="001F668A"/>
    <w:rsid w:val="001F7383"/>
    <w:rsid w:val="00201B60"/>
    <w:rsid w:val="00201E0C"/>
    <w:rsid w:val="002021D8"/>
    <w:rsid w:val="002030A3"/>
    <w:rsid w:val="002033D4"/>
    <w:rsid w:val="00206D06"/>
    <w:rsid w:val="00207B24"/>
    <w:rsid w:val="00213419"/>
    <w:rsid w:val="00215770"/>
    <w:rsid w:val="0021586C"/>
    <w:rsid w:val="00216AC6"/>
    <w:rsid w:val="00216FEA"/>
    <w:rsid w:val="00217C4D"/>
    <w:rsid w:val="002217F3"/>
    <w:rsid w:val="002226E1"/>
    <w:rsid w:val="0022389F"/>
    <w:rsid w:val="00224F93"/>
    <w:rsid w:val="002261E0"/>
    <w:rsid w:val="002323F4"/>
    <w:rsid w:val="002340E7"/>
    <w:rsid w:val="00234373"/>
    <w:rsid w:val="002344FE"/>
    <w:rsid w:val="00236A97"/>
    <w:rsid w:val="00236D4C"/>
    <w:rsid w:val="00240132"/>
    <w:rsid w:val="00240B66"/>
    <w:rsid w:val="00242C4B"/>
    <w:rsid w:val="00242D16"/>
    <w:rsid w:val="00245F3E"/>
    <w:rsid w:val="00246F32"/>
    <w:rsid w:val="00250072"/>
    <w:rsid w:val="00251960"/>
    <w:rsid w:val="002526DB"/>
    <w:rsid w:val="00252C38"/>
    <w:rsid w:val="002539D6"/>
    <w:rsid w:val="00260497"/>
    <w:rsid w:val="00262C58"/>
    <w:rsid w:val="002633E2"/>
    <w:rsid w:val="0026542C"/>
    <w:rsid w:val="002664B6"/>
    <w:rsid w:val="002675BC"/>
    <w:rsid w:val="0027219C"/>
    <w:rsid w:val="00273182"/>
    <w:rsid w:val="002746FA"/>
    <w:rsid w:val="0027618D"/>
    <w:rsid w:val="0027633C"/>
    <w:rsid w:val="00276D74"/>
    <w:rsid w:val="00280B4B"/>
    <w:rsid w:val="00281638"/>
    <w:rsid w:val="00282205"/>
    <w:rsid w:val="00282747"/>
    <w:rsid w:val="00282DB5"/>
    <w:rsid w:val="002834CA"/>
    <w:rsid w:val="00283E1E"/>
    <w:rsid w:val="002864DA"/>
    <w:rsid w:val="00290803"/>
    <w:rsid w:val="00290A93"/>
    <w:rsid w:val="00290DB2"/>
    <w:rsid w:val="00291E8B"/>
    <w:rsid w:val="00294C7E"/>
    <w:rsid w:val="00296C60"/>
    <w:rsid w:val="002971C2"/>
    <w:rsid w:val="002A097B"/>
    <w:rsid w:val="002A187C"/>
    <w:rsid w:val="002A237B"/>
    <w:rsid w:val="002A3605"/>
    <w:rsid w:val="002A470C"/>
    <w:rsid w:val="002A5131"/>
    <w:rsid w:val="002A5E69"/>
    <w:rsid w:val="002A6D44"/>
    <w:rsid w:val="002A7162"/>
    <w:rsid w:val="002A79FB"/>
    <w:rsid w:val="002B09DE"/>
    <w:rsid w:val="002B2043"/>
    <w:rsid w:val="002B24E5"/>
    <w:rsid w:val="002B2D06"/>
    <w:rsid w:val="002B379B"/>
    <w:rsid w:val="002B3DA2"/>
    <w:rsid w:val="002B43B7"/>
    <w:rsid w:val="002B52E4"/>
    <w:rsid w:val="002B5B3E"/>
    <w:rsid w:val="002B71B7"/>
    <w:rsid w:val="002C13C1"/>
    <w:rsid w:val="002C1ADE"/>
    <w:rsid w:val="002C25C0"/>
    <w:rsid w:val="002C2AAB"/>
    <w:rsid w:val="002C2F98"/>
    <w:rsid w:val="002C443C"/>
    <w:rsid w:val="002C6A51"/>
    <w:rsid w:val="002C6BD8"/>
    <w:rsid w:val="002C7FE6"/>
    <w:rsid w:val="002D09EA"/>
    <w:rsid w:val="002D103D"/>
    <w:rsid w:val="002D17C7"/>
    <w:rsid w:val="002D4181"/>
    <w:rsid w:val="002D55D1"/>
    <w:rsid w:val="002D7BF0"/>
    <w:rsid w:val="002E14FE"/>
    <w:rsid w:val="002E21B1"/>
    <w:rsid w:val="002E22DE"/>
    <w:rsid w:val="002E36D6"/>
    <w:rsid w:val="002E44B3"/>
    <w:rsid w:val="002E6635"/>
    <w:rsid w:val="002E7DD4"/>
    <w:rsid w:val="002F04F8"/>
    <w:rsid w:val="002F3573"/>
    <w:rsid w:val="002F4A53"/>
    <w:rsid w:val="002F4EA5"/>
    <w:rsid w:val="002F526C"/>
    <w:rsid w:val="002F671A"/>
    <w:rsid w:val="002F75F0"/>
    <w:rsid w:val="003005FA"/>
    <w:rsid w:val="00303DDF"/>
    <w:rsid w:val="00304223"/>
    <w:rsid w:val="00304CB8"/>
    <w:rsid w:val="00305B79"/>
    <w:rsid w:val="00305DEF"/>
    <w:rsid w:val="00306733"/>
    <w:rsid w:val="00307EAA"/>
    <w:rsid w:val="00314438"/>
    <w:rsid w:val="003174DB"/>
    <w:rsid w:val="00320053"/>
    <w:rsid w:val="003200D8"/>
    <w:rsid w:val="00322CE5"/>
    <w:rsid w:val="003253EA"/>
    <w:rsid w:val="00326670"/>
    <w:rsid w:val="00326F27"/>
    <w:rsid w:val="003308B2"/>
    <w:rsid w:val="0033213C"/>
    <w:rsid w:val="00334BEC"/>
    <w:rsid w:val="00336339"/>
    <w:rsid w:val="003418C1"/>
    <w:rsid w:val="00341955"/>
    <w:rsid w:val="00343457"/>
    <w:rsid w:val="00343D5D"/>
    <w:rsid w:val="003464C0"/>
    <w:rsid w:val="0034727B"/>
    <w:rsid w:val="00350CBC"/>
    <w:rsid w:val="00350DA3"/>
    <w:rsid w:val="00350DCE"/>
    <w:rsid w:val="003510A8"/>
    <w:rsid w:val="003528B2"/>
    <w:rsid w:val="00356221"/>
    <w:rsid w:val="003565AF"/>
    <w:rsid w:val="00360F26"/>
    <w:rsid w:val="00366355"/>
    <w:rsid w:val="0036689D"/>
    <w:rsid w:val="003673FA"/>
    <w:rsid w:val="003700BF"/>
    <w:rsid w:val="00370207"/>
    <w:rsid w:val="00370CDF"/>
    <w:rsid w:val="00371011"/>
    <w:rsid w:val="0037117E"/>
    <w:rsid w:val="00372010"/>
    <w:rsid w:val="0037257E"/>
    <w:rsid w:val="003737A5"/>
    <w:rsid w:val="0037420C"/>
    <w:rsid w:val="00377F7C"/>
    <w:rsid w:val="0038143A"/>
    <w:rsid w:val="00381A14"/>
    <w:rsid w:val="00381B2D"/>
    <w:rsid w:val="00383C0C"/>
    <w:rsid w:val="00384949"/>
    <w:rsid w:val="0038579F"/>
    <w:rsid w:val="003905C9"/>
    <w:rsid w:val="003946DA"/>
    <w:rsid w:val="00395227"/>
    <w:rsid w:val="00396033"/>
    <w:rsid w:val="003965E9"/>
    <w:rsid w:val="00396BC0"/>
    <w:rsid w:val="003A2A93"/>
    <w:rsid w:val="003A3C22"/>
    <w:rsid w:val="003A46CC"/>
    <w:rsid w:val="003A61C1"/>
    <w:rsid w:val="003A633E"/>
    <w:rsid w:val="003A6CBD"/>
    <w:rsid w:val="003B076C"/>
    <w:rsid w:val="003B0F7D"/>
    <w:rsid w:val="003B111E"/>
    <w:rsid w:val="003B3210"/>
    <w:rsid w:val="003B48F4"/>
    <w:rsid w:val="003B50B2"/>
    <w:rsid w:val="003B6CFC"/>
    <w:rsid w:val="003B6FB3"/>
    <w:rsid w:val="003B7B3C"/>
    <w:rsid w:val="003B7EF6"/>
    <w:rsid w:val="003C0269"/>
    <w:rsid w:val="003C039E"/>
    <w:rsid w:val="003C2994"/>
    <w:rsid w:val="003C36AB"/>
    <w:rsid w:val="003C3B7C"/>
    <w:rsid w:val="003C5D1E"/>
    <w:rsid w:val="003C6682"/>
    <w:rsid w:val="003C6EC5"/>
    <w:rsid w:val="003D2F9A"/>
    <w:rsid w:val="003D5938"/>
    <w:rsid w:val="003E0F58"/>
    <w:rsid w:val="003E2018"/>
    <w:rsid w:val="003E22F7"/>
    <w:rsid w:val="003E2303"/>
    <w:rsid w:val="003E24CE"/>
    <w:rsid w:val="003E507C"/>
    <w:rsid w:val="003E631E"/>
    <w:rsid w:val="003E7B93"/>
    <w:rsid w:val="003F141E"/>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0948"/>
    <w:rsid w:val="004017C0"/>
    <w:rsid w:val="00401FDC"/>
    <w:rsid w:val="00402BF7"/>
    <w:rsid w:val="00402E07"/>
    <w:rsid w:val="00402E79"/>
    <w:rsid w:val="00403F49"/>
    <w:rsid w:val="004066D4"/>
    <w:rsid w:val="0040776B"/>
    <w:rsid w:val="00407F46"/>
    <w:rsid w:val="0041199F"/>
    <w:rsid w:val="004123DD"/>
    <w:rsid w:val="00412C1E"/>
    <w:rsid w:val="0041325F"/>
    <w:rsid w:val="00413FF2"/>
    <w:rsid w:val="00414D18"/>
    <w:rsid w:val="004158B7"/>
    <w:rsid w:val="00416E63"/>
    <w:rsid w:val="004170AD"/>
    <w:rsid w:val="00417778"/>
    <w:rsid w:val="0042132B"/>
    <w:rsid w:val="00421582"/>
    <w:rsid w:val="00422AF9"/>
    <w:rsid w:val="00423E0B"/>
    <w:rsid w:val="00423E7D"/>
    <w:rsid w:val="0042682A"/>
    <w:rsid w:val="004279BF"/>
    <w:rsid w:val="004303A3"/>
    <w:rsid w:val="0043176A"/>
    <w:rsid w:val="00432186"/>
    <w:rsid w:val="004339AB"/>
    <w:rsid w:val="00433E4C"/>
    <w:rsid w:val="004355D1"/>
    <w:rsid w:val="004404BD"/>
    <w:rsid w:val="004405A9"/>
    <w:rsid w:val="004407B6"/>
    <w:rsid w:val="00440A9D"/>
    <w:rsid w:val="00442281"/>
    <w:rsid w:val="0044263C"/>
    <w:rsid w:val="00442F1C"/>
    <w:rsid w:val="00443124"/>
    <w:rsid w:val="004438EC"/>
    <w:rsid w:val="004462B3"/>
    <w:rsid w:val="00446437"/>
    <w:rsid w:val="00446F1E"/>
    <w:rsid w:val="004472F7"/>
    <w:rsid w:val="00447671"/>
    <w:rsid w:val="00447F2E"/>
    <w:rsid w:val="004506DA"/>
    <w:rsid w:val="0045175C"/>
    <w:rsid w:val="00451DCD"/>
    <w:rsid w:val="0045310A"/>
    <w:rsid w:val="00456E18"/>
    <w:rsid w:val="00456F35"/>
    <w:rsid w:val="00460192"/>
    <w:rsid w:val="004606A6"/>
    <w:rsid w:val="004611A7"/>
    <w:rsid w:val="004612F6"/>
    <w:rsid w:val="0046195A"/>
    <w:rsid w:val="0046245F"/>
    <w:rsid w:val="004631DC"/>
    <w:rsid w:val="00464824"/>
    <w:rsid w:val="004654DA"/>
    <w:rsid w:val="00471B41"/>
    <w:rsid w:val="00472A23"/>
    <w:rsid w:val="00473500"/>
    <w:rsid w:val="00476DB5"/>
    <w:rsid w:val="00480DC0"/>
    <w:rsid w:val="004823E4"/>
    <w:rsid w:val="00483D7F"/>
    <w:rsid w:val="0048424C"/>
    <w:rsid w:val="0048469A"/>
    <w:rsid w:val="004853AC"/>
    <w:rsid w:val="00485AF3"/>
    <w:rsid w:val="00485CC9"/>
    <w:rsid w:val="00486FE5"/>
    <w:rsid w:val="00491A33"/>
    <w:rsid w:val="00492A7A"/>
    <w:rsid w:val="00493823"/>
    <w:rsid w:val="00494E7B"/>
    <w:rsid w:val="004961C4"/>
    <w:rsid w:val="00497489"/>
    <w:rsid w:val="004974DC"/>
    <w:rsid w:val="004A0B67"/>
    <w:rsid w:val="004A156F"/>
    <w:rsid w:val="004A26B1"/>
    <w:rsid w:val="004A2C5F"/>
    <w:rsid w:val="004A3264"/>
    <w:rsid w:val="004A3558"/>
    <w:rsid w:val="004A44B6"/>
    <w:rsid w:val="004A486B"/>
    <w:rsid w:val="004A69F7"/>
    <w:rsid w:val="004A6C90"/>
    <w:rsid w:val="004A79D6"/>
    <w:rsid w:val="004B0CE3"/>
    <w:rsid w:val="004B1CCC"/>
    <w:rsid w:val="004B200F"/>
    <w:rsid w:val="004B205C"/>
    <w:rsid w:val="004B381A"/>
    <w:rsid w:val="004B408B"/>
    <w:rsid w:val="004B42DE"/>
    <w:rsid w:val="004B7770"/>
    <w:rsid w:val="004B7E43"/>
    <w:rsid w:val="004C03D8"/>
    <w:rsid w:val="004C082D"/>
    <w:rsid w:val="004C0BC0"/>
    <w:rsid w:val="004C1A01"/>
    <w:rsid w:val="004C2691"/>
    <w:rsid w:val="004C4D1D"/>
    <w:rsid w:val="004C53E9"/>
    <w:rsid w:val="004C5591"/>
    <w:rsid w:val="004C6C9E"/>
    <w:rsid w:val="004C775A"/>
    <w:rsid w:val="004D0AFD"/>
    <w:rsid w:val="004D0B3B"/>
    <w:rsid w:val="004D0CF0"/>
    <w:rsid w:val="004D11E0"/>
    <w:rsid w:val="004D1AAF"/>
    <w:rsid w:val="004D2627"/>
    <w:rsid w:val="004D27F0"/>
    <w:rsid w:val="004D3C25"/>
    <w:rsid w:val="004D3C68"/>
    <w:rsid w:val="004D6CBF"/>
    <w:rsid w:val="004D6D28"/>
    <w:rsid w:val="004D7C2C"/>
    <w:rsid w:val="004E04A7"/>
    <w:rsid w:val="004E1861"/>
    <w:rsid w:val="004E1936"/>
    <w:rsid w:val="004E1D50"/>
    <w:rsid w:val="004E292D"/>
    <w:rsid w:val="004E4308"/>
    <w:rsid w:val="004E4DA4"/>
    <w:rsid w:val="004E6390"/>
    <w:rsid w:val="004E674D"/>
    <w:rsid w:val="004E6F5B"/>
    <w:rsid w:val="004F0582"/>
    <w:rsid w:val="004F3F7A"/>
    <w:rsid w:val="004F3FFF"/>
    <w:rsid w:val="004F5D45"/>
    <w:rsid w:val="005004F5"/>
    <w:rsid w:val="005013C7"/>
    <w:rsid w:val="00501926"/>
    <w:rsid w:val="0050279B"/>
    <w:rsid w:val="00504AC1"/>
    <w:rsid w:val="005054B2"/>
    <w:rsid w:val="00505978"/>
    <w:rsid w:val="00506331"/>
    <w:rsid w:val="00506E1B"/>
    <w:rsid w:val="00507536"/>
    <w:rsid w:val="005105BF"/>
    <w:rsid w:val="005113B7"/>
    <w:rsid w:val="0051217F"/>
    <w:rsid w:val="005136A6"/>
    <w:rsid w:val="005139BD"/>
    <w:rsid w:val="00513A65"/>
    <w:rsid w:val="00514027"/>
    <w:rsid w:val="0051443F"/>
    <w:rsid w:val="00514D76"/>
    <w:rsid w:val="00517A97"/>
    <w:rsid w:val="0052186F"/>
    <w:rsid w:val="00521B15"/>
    <w:rsid w:val="005245E7"/>
    <w:rsid w:val="00525F51"/>
    <w:rsid w:val="00526CDD"/>
    <w:rsid w:val="0052738C"/>
    <w:rsid w:val="00527930"/>
    <w:rsid w:val="0053091D"/>
    <w:rsid w:val="005325E7"/>
    <w:rsid w:val="0053294F"/>
    <w:rsid w:val="00532E35"/>
    <w:rsid w:val="00533AA0"/>
    <w:rsid w:val="00535244"/>
    <w:rsid w:val="00535501"/>
    <w:rsid w:val="0053605A"/>
    <w:rsid w:val="0053647C"/>
    <w:rsid w:val="00536AC6"/>
    <w:rsid w:val="005377D5"/>
    <w:rsid w:val="005402B1"/>
    <w:rsid w:val="00540705"/>
    <w:rsid w:val="00542907"/>
    <w:rsid w:val="00545031"/>
    <w:rsid w:val="00545881"/>
    <w:rsid w:val="00546609"/>
    <w:rsid w:val="00551970"/>
    <w:rsid w:val="00552E9D"/>
    <w:rsid w:val="00560BB6"/>
    <w:rsid w:val="00562395"/>
    <w:rsid w:val="005625E1"/>
    <w:rsid w:val="00563618"/>
    <w:rsid w:val="005652C4"/>
    <w:rsid w:val="005661D3"/>
    <w:rsid w:val="00567260"/>
    <w:rsid w:val="00567913"/>
    <w:rsid w:val="005716AA"/>
    <w:rsid w:val="005747BB"/>
    <w:rsid w:val="00574BCB"/>
    <w:rsid w:val="005751DB"/>
    <w:rsid w:val="00575616"/>
    <w:rsid w:val="00576D07"/>
    <w:rsid w:val="00580927"/>
    <w:rsid w:val="00581440"/>
    <w:rsid w:val="0058156C"/>
    <w:rsid w:val="00583FDB"/>
    <w:rsid w:val="0058671F"/>
    <w:rsid w:val="00586A00"/>
    <w:rsid w:val="00587CCB"/>
    <w:rsid w:val="00590254"/>
    <w:rsid w:val="0059077D"/>
    <w:rsid w:val="00590BD9"/>
    <w:rsid w:val="00591740"/>
    <w:rsid w:val="00591A87"/>
    <w:rsid w:val="0059378E"/>
    <w:rsid w:val="0059427A"/>
    <w:rsid w:val="00596788"/>
    <w:rsid w:val="00596B87"/>
    <w:rsid w:val="005A21FC"/>
    <w:rsid w:val="005A3DD0"/>
    <w:rsid w:val="005A4344"/>
    <w:rsid w:val="005A64BF"/>
    <w:rsid w:val="005A6650"/>
    <w:rsid w:val="005A745B"/>
    <w:rsid w:val="005A7B1D"/>
    <w:rsid w:val="005A7DFA"/>
    <w:rsid w:val="005B0D56"/>
    <w:rsid w:val="005B2B70"/>
    <w:rsid w:val="005B5012"/>
    <w:rsid w:val="005B511B"/>
    <w:rsid w:val="005B51FD"/>
    <w:rsid w:val="005B64B8"/>
    <w:rsid w:val="005B6B76"/>
    <w:rsid w:val="005B7CEA"/>
    <w:rsid w:val="005C20AB"/>
    <w:rsid w:val="005C2CC3"/>
    <w:rsid w:val="005C33BD"/>
    <w:rsid w:val="005C38D1"/>
    <w:rsid w:val="005C4442"/>
    <w:rsid w:val="005C4B63"/>
    <w:rsid w:val="005C6504"/>
    <w:rsid w:val="005C6973"/>
    <w:rsid w:val="005C6EFF"/>
    <w:rsid w:val="005C7FE7"/>
    <w:rsid w:val="005D1F3F"/>
    <w:rsid w:val="005D204C"/>
    <w:rsid w:val="005D23C5"/>
    <w:rsid w:val="005D77F7"/>
    <w:rsid w:val="005E10A7"/>
    <w:rsid w:val="005E1F5C"/>
    <w:rsid w:val="005E28F8"/>
    <w:rsid w:val="005E3F0A"/>
    <w:rsid w:val="005E4DC0"/>
    <w:rsid w:val="005E51A2"/>
    <w:rsid w:val="005E53A6"/>
    <w:rsid w:val="005E6A94"/>
    <w:rsid w:val="005E6FD2"/>
    <w:rsid w:val="005E7AEB"/>
    <w:rsid w:val="005F06C2"/>
    <w:rsid w:val="005F0FBB"/>
    <w:rsid w:val="005F12E7"/>
    <w:rsid w:val="005F196B"/>
    <w:rsid w:val="005F28B4"/>
    <w:rsid w:val="005F363E"/>
    <w:rsid w:val="005F3AB8"/>
    <w:rsid w:val="005F4865"/>
    <w:rsid w:val="005F4879"/>
    <w:rsid w:val="005F5F5D"/>
    <w:rsid w:val="005F61B4"/>
    <w:rsid w:val="005F719F"/>
    <w:rsid w:val="00600C61"/>
    <w:rsid w:val="00604457"/>
    <w:rsid w:val="00604649"/>
    <w:rsid w:val="006053FE"/>
    <w:rsid w:val="00605D23"/>
    <w:rsid w:val="00606B98"/>
    <w:rsid w:val="00606EBA"/>
    <w:rsid w:val="00610C65"/>
    <w:rsid w:val="00610FF1"/>
    <w:rsid w:val="0061219A"/>
    <w:rsid w:val="00612380"/>
    <w:rsid w:val="00612BFC"/>
    <w:rsid w:val="006138B8"/>
    <w:rsid w:val="00613CEB"/>
    <w:rsid w:val="006145F4"/>
    <w:rsid w:val="00614B22"/>
    <w:rsid w:val="00614EE4"/>
    <w:rsid w:val="00615A77"/>
    <w:rsid w:val="00616715"/>
    <w:rsid w:val="0061783A"/>
    <w:rsid w:val="00617A4E"/>
    <w:rsid w:val="00617BC4"/>
    <w:rsid w:val="00617D51"/>
    <w:rsid w:val="006203F2"/>
    <w:rsid w:val="0062069D"/>
    <w:rsid w:val="00620F86"/>
    <w:rsid w:val="00621534"/>
    <w:rsid w:val="006229B9"/>
    <w:rsid w:val="00622E76"/>
    <w:rsid w:val="00622FA4"/>
    <w:rsid w:val="0062379A"/>
    <w:rsid w:val="006239DF"/>
    <w:rsid w:val="00624890"/>
    <w:rsid w:val="00624BD1"/>
    <w:rsid w:val="00624DAA"/>
    <w:rsid w:val="006266B8"/>
    <w:rsid w:val="006268F7"/>
    <w:rsid w:val="00627216"/>
    <w:rsid w:val="00631F18"/>
    <w:rsid w:val="006320E3"/>
    <w:rsid w:val="00632198"/>
    <w:rsid w:val="00635081"/>
    <w:rsid w:val="006367DF"/>
    <w:rsid w:val="00636C30"/>
    <w:rsid w:val="006379DD"/>
    <w:rsid w:val="00637A13"/>
    <w:rsid w:val="00637CBD"/>
    <w:rsid w:val="006415F7"/>
    <w:rsid w:val="006441BE"/>
    <w:rsid w:val="00644639"/>
    <w:rsid w:val="00644754"/>
    <w:rsid w:val="00645468"/>
    <w:rsid w:val="0064749E"/>
    <w:rsid w:val="0065185E"/>
    <w:rsid w:val="006518D5"/>
    <w:rsid w:val="006526EF"/>
    <w:rsid w:val="00653450"/>
    <w:rsid w:val="006543C8"/>
    <w:rsid w:val="006574C5"/>
    <w:rsid w:val="006578AB"/>
    <w:rsid w:val="00657B18"/>
    <w:rsid w:val="00660705"/>
    <w:rsid w:val="00661E60"/>
    <w:rsid w:val="00662C09"/>
    <w:rsid w:val="006636EB"/>
    <w:rsid w:val="00664C14"/>
    <w:rsid w:val="006651BE"/>
    <w:rsid w:val="006652DA"/>
    <w:rsid w:val="00672642"/>
    <w:rsid w:val="00673AE7"/>
    <w:rsid w:val="00676D48"/>
    <w:rsid w:val="00677BC2"/>
    <w:rsid w:val="00681422"/>
    <w:rsid w:val="00682944"/>
    <w:rsid w:val="006830DE"/>
    <w:rsid w:val="006834E6"/>
    <w:rsid w:val="006837A8"/>
    <w:rsid w:val="006850F3"/>
    <w:rsid w:val="00686AAE"/>
    <w:rsid w:val="006872EF"/>
    <w:rsid w:val="006876C8"/>
    <w:rsid w:val="006878A1"/>
    <w:rsid w:val="00687A7A"/>
    <w:rsid w:val="00690617"/>
    <w:rsid w:val="0069152C"/>
    <w:rsid w:val="00691AA0"/>
    <w:rsid w:val="00694571"/>
    <w:rsid w:val="00696418"/>
    <w:rsid w:val="006972F8"/>
    <w:rsid w:val="006A332D"/>
    <w:rsid w:val="006A38B1"/>
    <w:rsid w:val="006A3CC1"/>
    <w:rsid w:val="006A5D27"/>
    <w:rsid w:val="006A76B2"/>
    <w:rsid w:val="006B08AC"/>
    <w:rsid w:val="006B1083"/>
    <w:rsid w:val="006B193A"/>
    <w:rsid w:val="006B1C53"/>
    <w:rsid w:val="006B1C57"/>
    <w:rsid w:val="006B2F8F"/>
    <w:rsid w:val="006B3079"/>
    <w:rsid w:val="006B33D0"/>
    <w:rsid w:val="006B3B5A"/>
    <w:rsid w:val="006B4DBC"/>
    <w:rsid w:val="006B5BD5"/>
    <w:rsid w:val="006C06C7"/>
    <w:rsid w:val="006C1733"/>
    <w:rsid w:val="006C364A"/>
    <w:rsid w:val="006C3AF0"/>
    <w:rsid w:val="006C3F4C"/>
    <w:rsid w:val="006C5E0C"/>
    <w:rsid w:val="006C6C50"/>
    <w:rsid w:val="006C7C64"/>
    <w:rsid w:val="006D0E64"/>
    <w:rsid w:val="006D15D9"/>
    <w:rsid w:val="006D2528"/>
    <w:rsid w:val="006D43F1"/>
    <w:rsid w:val="006D508D"/>
    <w:rsid w:val="006D527A"/>
    <w:rsid w:val="006D5A6C"/>
    <w:rsid w:val="006D5B74"/>
    <w:rsid w:val="006D7B9F"/>
    <w:rsid w:val="006E0571"/>
    <w:rsid w:val="006E3FDC"/>
    <w:rsid w:val="006E466C"/>
    <w:rsid w:val="006E54B9"/>
    <w:rsid w:val="006E6A56"/>
    <w:rsid w:val="006E71A7"/>
    <w:rsid w:val="006E777E"/>
    <w:rsid w:val="006F0854"/>
    <w:rsid w:val="006F1A34"/>
    <w:rsid w:val="006F25BE"/>
    <w:rsid w:val="006F6116"/>
    <w:rsid w:val="0070000F"/>
    <w:rsid w:val="007030B4"/>
    <w:rsid w:val="007042A8"/>
    <w:rsid w:val="007047A6"/>
    <w:rsid w:val="0070654B"/>
    <w:rsid w:val="007069F9"/>
    <w:rsid w:val="00710127"/>
    <w:rsid w:val="0071214E"/>
    <w:rsid w:val="00715DE0"/>
    <w:rsid w:val="00720277"/>
    <w:rsid w:val="007215F4"/>
    <w:rsid w:val="0072251F"/>
    <w:rsid w:val="00722BF2"/>
    <w:rsid w:val="007232AF"/>
    <w:rsid w:val="007240DA"/>
    <w:rsid w:val="0072410E"/>
    <w:rsid w:val="007259E3"/>
    <w:rsid w:val="0072633E"/>
    <w:rsid w:val="007275E2"/>
    <w:rsid w:val="00727B1D"/>
    <w:rsid w:val="0073056B"/>
    <w:rsid w:val="007305FF"/>
    <w:rsid w:val="0073094E"/>
    <w:rsid w:val="00735EB7"/>
    <w:rsid w:val="007375AC"/>
    <w:rsid w:val="007377B4"/>
    <w:rsid w:val="00740560"/>
    <w:rsid w:val="007429AF"/>
    <w:rsid w:val="0074683D"/>
    <w:rsid w:val="00746F43"/>
    <w:rsid w:val="00750167"/>
    <w:rsid w:val="00751D2B"/>
    <w:rsid w:val="007528D4"/>
    <w:rsid w:val="00753345"/>
    <w:rsid w:val="00753ECA"/>
    <w:rsid w:val="00754253"/>
    <w:rsid w:val="007547B4"/>
    <w:rsid w:val="007555DF"/>
    <w:rsid w:val="00755868"/>
    <w:rsid w:val="0075753D"/>
    <w:rsid w:val="00760B94"/>
    <w:rsid w:val="007649B5"/>
    <w:rsid w:val="007649C7"/>
    <w:rsid w:val="00764FE7"/>
    <w:rsid w:val="007664C0"/>
    <w:rsid w:val="00770167"/>
    <w:rsid w:val="00772163"/>
    <w:rsid w:val="0077226C"/>
    <w:rsid w:val="00772BCA"/>
    <w:rsid w:val="00773551"/>
    <w:rsid w:val="0077602B"/>
    <w:rsid w:val="00776D00"/>
    <w:rsid w:val="00780489"/>
    <w:rsid w:val="0078084E"/>
    <w:rsid w:val="00781D06"/>
    <w:rsid w:val="00783B2C"/>
    <w:rsid w:val="00784044"/>
    <w:rsid w:val="00784620"/>
    <w:rsid w:val="00784E04"/>
    <w:rsid w:val="0078582A"/>
    <w:rsid w:val="00785D13"/>
    <w:rsid w:val="007875DE"/>
    <w:rsid w:val="00787E4D"/>
    <w:rsid w:val="00790696"/>
    <w:rsid w:val="00793CDF"/>
    <w:rsid w:val="00796CD4"/>
    <w:rsid w:val="00797B5B"/>
    <w:rsid w:val="00797B7A"/>
    <w:rsid w:val="007A0159"/>
    <w:rsid w:val="007A246B"/>
    <w:rsid w:val="007A2936"/>
    <w:rsid w:val="007A5AA5"/>
    <w:rsid w:val="007A5D9F"/>
    <w:rsid w:val="007A6005"/>
    <w:rsid w:val="007A6ADB"/>
    <w:rsid w:val="007A6E72"/>
    <w:rsid w:val="007A7E4D"/>
    <w:rsid w:val="007B056F"/>
    <w:rsid w:val="007B0B2B"/>
    <w:rsid w:val="007B17AD"/>
    <w:rsid w:val="007B1852"/>
    <w:rsid w:val="007B30FC"/>
    <w:rsid w:val="007B67CD"/>
    <w:rsid w:val="007B6A72"/>
    <w:rsid w:val="007C1CEE"/>
    <w:rsid w:val="007C204E"/>
    <w:rsid w:val="007C2548"/>
    <w:rsid w:val="007C30F2"/>
    <w:rsid w:val="007C3F60"/>
    <w:rsid w:val="007C5478"/>
    <w:rsid w:val="007C557F"/>
    <w:rsid w:val="007C55F8"/>
    <w:rsid w:val="007C619A"/>
    <w:rsid w:val="007D06FF"/>
    <w:rsid w:val="007D0C57"/>
    <w:rsid w:val="007D2ABE"/>
    <w:rsid w:val="007D3868"/>
    <w:rsid w:val="007D5A8D"/>
    <w:rsid w:val="007D6085"/>
    <w:rsid w:val="007E01BF"/>
    <w:rsid w:val="007E1820"/>
    <w:rsid w:val="007E1A9C"/>
    <w:rsid w:val="007E1BC4"/>
    <w:rsid w:val="007E2598"/>
    <w:rsid w:val="007E26BF"/>
    <w:rsid w:val="007E2F03"/>
    <w:rsid w:val="007E2FE0"/>
    <w:rsid w:val="007E3085"/>
    <w:rsid w:val="007E3ADA"/>
    <w:rsid w:val="007E584B"/>
    <w:rsid w:val="007E6625"/>
    <w:rsid w:val="007E697B"/>
    <w:rsid w:val="007E7E4D"/>
    <w:rsid w:val="007F09A0"/>
    <w:rsid w:val="007F0AED"/>
    <w:rsid w:val="007F1BC7"/>
    <w:rsid w:val="007F1CA1"/>
    <w:rsid w:val="007F2916"/>
    <w:rsid w:val="007F2C53"/>
    <w:rsid w:val="007F6930"/>
    <w:rsid w:val="007F7DAA"/>
    <w:rsid w:val="00800870"/>
    <w:rsid w:val="00800DAF"/>
    <w:rsid w:val="008018DE"/>
    <w:rsid w:val="00801B75"/>
    <w:rsid w:val="00802132"/>
    <w:rsid w:val="00803278"/>
    <w:rsid w:val="008033E3"/>
    <w:rsid w:val="008035EB"/>
    <w:rsid w:val="008045CF"/>
    <w:rsid w:val="00805639"/>
    <w:rsid w:val="00806C77"/>
    <w:rsid w:val="0080737A"/>
    <w:rsid w:val="008076CC"/>
    <w:rsid w:val="00807E44"/>
    <w:rsid w:val="008102F6"/>
    <w:rsid w:val="008125AD"/>
    <w:rsid w:val="0081325E"/>
    <w:rsid w:val="00813663"/>
    <w:rsid w:val="00813A0C"/>
    <w:rsid w:val="00816D1E"/>
    <w:rsid w:val="008179D1"/>
    <w:rsid w:val="008203B5"/>
    <w:rsid w:val="00820EB5"/>
    <w:rsid w:val="00821AC0"/>
    <w:rsid w:val="008238CC"/>
    <w:rsid w:val="008264F2"/>
    <w:rsid w:val="0082785F"/>
    <w:rsid w:val="008329D9"/>
    <w:rsid w:val="00833454"/>
    <w:rsid w:val="0083363C"/>
    <w:rsid w:val="008341B4"/>
    <w:rsid w:val="008348F2"/>
    <w:rsid w:val="00836C1D"/>
    <w:rsid w:val="00836D76"/>
    <w:rsid w:val="008371CE"/>
    <w:rsid w:val="00840D3F"/>
    <w:rsid w:val="00840F6D"/>
    <w:rsid w:val="00842037"/>
    <w:rsid w:val="0084212E"/>
    <w:rsid w:val="008423BB"/>
    <w:rsid w:val="008424E2"/>
    <w:rsid w:val="00842B4A"/>
    <w:rsid w:val="00842E15"/>
    <w:rsid w:val="00843E5E"/>
    <w:rsid w:val="008460F3"/>
    <w:rsid w:val="00846317"/>
    <w:rsid w:val="008478C4"/>
    <w:rsid w:val="00850D23"/>
    <w:rsid w:val="00851149"/>
    <w:rsid w:val="00851CA9"/>
    <w:rsid w:val="00852A23"/>
    <w:rsid w:val="00852AA5"/>
    <w:rsid w:val="00854AD4"/>
    <w:rsid w:val="008562C1"/>
    <w:rsid w:val="00856833"/>
    <w:rsid w:val="00856FDE"/>
    <w:rsid w:val="00857074"/>
    <w:rsid w:val="00857C7A"/>
    <w:rsid w:val="008608BA"/>
    <w:rsid w:val="00860C85"/>
    <w:rsid w:val="00861406"/>
    <w:rsid w:val="00861D8A"/>
    <w:rsid w:val="008638F2"/>
    <w:rsid w:val="008656B3"/>
    <w:rsid w:val="00865BFB"/>
    <w:rsid w:val="00867628"/>
    <w:rsid w:val="00867718"/>
    <w:rsid w:val="00871526"/>
    <w:rsid w:val="00872F3E"/>
    <w:rsid w:val="0087575F"/>
    <w:rsid w:val="00875E0F"/>
    <w:rsid w:val="00876D94"/>
    <w:rsid w:val="00876E9D"/>
    <w:rsid w:val="00881290"/>
    <w:rsid w:val="0088138A"/>
    <w:rsid w:val="00881B12"/>
    <w:rsid w:val="00882867"/>
    <w:rsid w:val="0088311A"/>
    <w:rsid w:val="00885022"/>
    <w:rsid w:val="00885C16"/>
    <w:rsid w:val="0088648F"/>
    <w:rsid w:val="00887B2C"/>
    <w:rsid w:val="008912DE"/>
    <w:rsid w:val="0089173E"/>
    <w:rsid w:val="0089274E"/>
    <w:rsid w:val="00892DCC"/>
    <w:rsid w:val="0089361A"/>
    <w:rsid w:val="00896529"/>
    <w:rsid w:val="00896A80"/>
    <w:rsid w:val="00896D20"/>
    <w:rsid w:val="00897470"/>
    <w:rsid w:val="008A0405"/>
    <w:rsid w:val="008A35C9"/>
    <w:rsid w:val="008A5524"/>
    <w:rsid w:val="008A7625"/>
    <w:rsid w:val="008A7737"/>
    <w:rsid w:val="008A7DF4"/>
    <w:rsid w:val="008B0BC2"/>
    <w:rsid w:val="008B1258"/>
    <w:rsid w:val="008B127D"/>
    <w:rsid w:val="008B4301"/>
    <w:rsid w:val="008B4668"/>
    <w:rsid w:val="008B48E3"/>
    <w:rsid w:val="008B4986"/>
    <w:rsid w:val="008B53C0"/>
    <w:rsid w:val="008B66E6"/>
    <w:rsid w:val="008C03F4"/>
    <w:rsid w:val="008C21FA"/>
    <w:rsid w:val="008C274C"/>
    <w:rsid w:val="008C2AC6"/>
    <w:rsid w:val="008C3996"/>
    <w:rsid w:val="008C6266"/>
    <w:rsid w:val="008C791E"/>
    <w:rsid w:val="008D02DF"/>
    <w:rsid w:val="008D0F33"/>
    <w:rsid w:val="008D2DD7"/>
    <w:rsid w:val="008D3E24"/>
    <w:rsid w:val="008D4679"/>
    <w:rsid w:val="008D49A9"/>
    <w:rsid w:val="008D73A8"/>
    <w:rsid w:val="008E09E3"/>
    <w:rsid w:val="008E1656"/>
    <w:rsid w:val="008E1F82"/>
    <w:rsid w:val="008E30D9"/>
    <w:rsid w:val="008E79EC"/>
    <w:rsid w:val="008F0075"/>
    <w:rsid w:val="008F0A70"/>
    <w:rsid w:val="008F1BDD"/>
    <w:rsid w:val="008F24AA"/>
    <w:rsid w:val="008F2B09"/>
    <w:rsid w:val="008F3793"/>
    <w:rsid w:val="008F3E87"/>
    <w:rsid w:val="008F4760"/>
    <w:rsid w:val="008F5445"/>
    <w:rsid w:val="008F57C8"/>
    <w:rsid w:val="008F63E3"/>
    <w:rsid w:val="008F6991"/>
    <w:rsid w:val="00901072"/>
    <w:rsid w:val="00902A35"/>
    <w:rsid w:val="00903BE1"/>
    <w:rsid w:val="009040CE"/>
    <w:rsid w:val="00904B4E"/>
    <w:rsid w:val="00906983"/>
    <w:rsid w:val="009106AF"/>
    <w:rsid w:val="00911016"/>
    <w:rsid w:val="009122AD"/>
    <w:rsid w:val="0091376A"/>
    <w:rsid w:val="0091411A"/>
    <w:rsid w:val="00916168"/>
    <w:rsid w:val="00920844"/>
    <w:rsid w:val="0092217E"/>
    <w:rsid w:val="009224CA"/>
    <w:rsid w:val="00923790"/>
    <w:rsid w:val="009240DE"/>
    <w:rsid w:val="00925BE9"/>
    <w:rsid w:val="00925C47"/>
    <w:rsid w:val="00927460"/>
    <w:rsid w:val="0093270D"/>
    <w:rsid w:val="00932734"/>
    <w:rsid w:val="00933B81"/>
    <w:rsid w:val="00933E03"/>
    <w:rsid w:val="00934D20"/>
    <w:rsid w:val="0093669A"/>
    <w:rsid w:val="00940A67"/>
    <w:rsid w:val="00940B38"/>
    <w:rsid w:val="00941577"/>
    <w:rsid w:val="00941D6C"/>
    <w:rsid w:val="00942A5D"/>
    <w:rsid w:val="0094458D"/>
    <w:rsid w:val="009457E8"/>
    <w:rsid w:val="00945AA4"/>
    <w:rsid w:val="00946586"/>
    <w:rsid w:val="009474FA"/>
    <w:rsid w:val="0095259E"/>
    <w:rsid w:val="00953A06"/>
    <w:rsid w:val="00954482"/>
    <w:rsid w:val="0095450A"/>
    <w:rsid w:val="00961547"/>
    <w:rsid w:val="009630D0"/>
    <w:rsid w:val="00963657"/>
    <w:rsid w:val="0096402C"/>
    <w:rsid w:val="009648B3"/>
    <w:rsid w:val="00965130"/>
    <w:rsid w:val="00966C4B"/>
    <w:rsid w:val="00967896"/>
    <w:rsid w:val="00967C7B"/>
    <w:rsid w:val="00972BE2"/>
    <w:rsid w:val="00974E40"/>
    <w:rsid w:val="0097535F"/>
    <w:rsid w:val="00980314"/>
    <w:rsid w:val="00980F0E"/>
    <w:rsid w:val="0098150F"/>
    <w:rsid w:val="009818EA"/>
    <w:rsid w:val="0098409C"/>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6BB"/>
    <w:rsid w:val="009A3C2B"/>
    <w:rsid w:val="009A516F"/>
    <w:rsid w:val="009A53F3"/>
    <w:rsid w:val="009A56C4"/>
    <w:rsid w:val="009B0677"/>
    <w:rsid w:val="009B0821"/>
    <w:rsid w:val="009B10B6"/>
    <w:rsid w:val="009B28D6"/>
    <w:rsid w:val="009B3C14"/>
    <w:rsid w:val="009B476C"/>
    <w:rsid w:val="009B78C1"/>
    <w:rsid w:val="009B7BA1"/>
    <w:rsid w:val="009B7BE9"/>
    <w:rsid w:val="009C0B8A"/>
    <w:rsid w:val="009C23DA"/>
    <w:rsid w:val="009C2A0F"/>
    <w:rsid w:val="009C4A13"/>
    <w:rsid w:val="009C6425"/>
    <w:rsid w:val="009C6FDE"/>
    <w:rsid w:val="009C7221"/>
    <w:rsid w:val="009D0A57"/>
    <w:rsid w:val="009D0C34"/>
    <w:rsid w:val="009D1998"/>
    <w:rsid w:val="009D1E29"/>
    <w:rsid w:val="009D3A34"/>
    <w:rsid w:val="009D4235"/>
    <w:rsid w:val="009D4BB5"/>
    <w:rsid w:val="009D5D1E"/>
    <w:rsid w:val="009D5F1F"/>
    <w:rsid w:val="009D68DD"/>
    <w:rsid w:val="009D7606"/>
    <w:rsid w:val="009E05EB"/>
    <w:rsid w:val="009E3ED9"/>
    <w:rsid w:val="009E78C7"/>
    <w:rsid w:val="009E7D88"/>
    <w:rsid w:val="009F10AF"/>
    <w:rsid w:val="009F436D"/>
    <w:rsid w:val="009F4F57"/>
    <w:rsid w:val="009F5B44"/>
    <w:rsid w:val="009F6D82"/>
    <w:rsid w:val="009F6E4E"/>
    <w:rsid w:val="009F7364"/>
    <w:rsid w:val="00A02756"/>
    <w:rsid w:val="00A04AE1"/>
    <w:rsid w:val="00A110D4"/>
    <w:rsid w:val="00A12A7F"/>
    <w:rsid w:val="00A16363"/>
    <w:rsid w:val="00A16878"/>
    <w:rsid w:val="00A16FD3"/>
    <w:rsid w:val="00A175DC"/>
    <w:rsid w:val="00A17B57"/>
    <w:rsid w:val="00A17E55"/>
    <w:rsid w:val="00A2047E"/>
    <w:rsid w:val="00A20BAE"/>
    <w:rsid w:val="00A21BB0"/>
    <w:rsid w:val="00A21D22"/>
    <w:rsid w:val="00A22AD5"/>
    <w:rsid w:val="00A22C1A"/>
    <w:rsid w:val="00A2676E"/>
    <w:rsid w:val="00A270C7"/>
    <w:rsid w:val="00A2794F"/>
    <w:rsid w:val="00A32D84"/>
    <w:rsid w:val="00A34274"/>
    <w:rsid w:val="00A35CF8"/>
    <w:rsid w:val="00A36D16"/>
    <w:rsid w:val="00A376E2"/>
    <w:rsid w:val="00A400C2"/>
    <w:rsid w:val="00A4184B"/>
    <w:rsid w:val="00A42771"/>
    <w:rsid w:val="00A43006"/>
    <w:rsid w:val="00A44C67"/>
    <w:rsid w:val="00A450AA"/>
    <w:rsid w:val="00A45740"/>
    <w:rsid w:val="00A466B6"/>
    <w:rsid w:val="00A47836"/>
    <w:rsid w:val="00A47CE2"/>
    <w:rsid w:val="00A505BA"/>
    <w:rsid w:val="00A52237"/>
    <w:rsid w:val="00A53087"/>
    <w:rsid w:val="00A54131"/>
    <w:rsid w:val="00A56F68"/>
    <w:rsid w:val="00A57FBE"/>
    <w:rsid w:val="00A57FEB"/>
    <w:rsid w:val="00A60008"/>
    <w:rsid w:val="00A60643"/>
    <w:rsid w:val="00A60BA2"/>
    <w:rsid w:val="00A60E04"/>
    <w:rsid w:val="00A60F09"/>
    <w:rsid w:val="00A632A5"/>
    <w:rsid w:val="00A633AB"/>
    <w:rsid w:val="00A63679"/>
    <w:rsid w:val="00A65063"/>
    <w:rsid w:val="00A66358"/>
    <w:rsid w:val="00A6661F"/>
    <w:rsid w:val="00A6668E"/>
    <w:rsid w:val="00A71594"/>
    <w:rsid w:val="00A71DA6"/>
    <w:rsid w:val="00A73781"/>
    <w:rsid w:val="00A7467E"/>
    <w:rsid w:val="00A75010"/>
    <w:rsid w:val="00A763ED"/>
    <w:rsid w:val="00A7693C"/>
    <w:rsid w:val="00A8070A"/>
    <w:rsid w:val="00A80898"/>
    <w:rsid w:val="00A81CC2"/>
    <w:rsid w:val="00A82047"/>
    <w:rsid w:val="00A828EA"/>
    <w:rsid w:val="00A82B85"/>
    <w:rsid w:val="00A845FD"/>
    <w:rsid w:val="00A8506A"/>
    <w:rsid w:val="00A86460"/>
    <w:rsid w:val="00A91907"/>
    <w:rsid w:val="00A9495A"/>
    <w:rsid w:val="00A94A10"/>
    <w:rsid w:val="00A955E1"/>
    <w:rsid w:val="00A973BF"/>
    <w:rsid w:val="00AA03D3"/>
    <w:rsid w:val="00AA1493"/>
    <w:rsid w:val="00AA1710"/>
    <w:rsid w:val="00AB0C5B"/>
    <w:rsid w:val="00AB11B2"/>
    <w:rsid w:val="00AB452E"/>
    <w:rsid w:val="00AB4DE8"/>
    <w:rsid w:val="00AB5C47"/>
    <w:rsid w:val="00AB5F06"/>
    <w:rsid w:val="00AB6B3D"/>
    <w:rsid w:val="00AC0D10"/>
    <w:rsid w:val="00AC0FC1"/>
    <w:rsid w:val="00AC17F3"/>
    <w:rsid w:val="00AC195B"/>
    <w:rsid w:val="00AC23D7"/>
    <w:rsid w:val="00AC438A"/>
    <w:rsid w:val="00AC62F8"/>
    <w:rsid w:val="00AC63E3"/>
    <w:rsid w:val="00AC7E0E"/>
    <w:rsid w:val="00AC7F4E"/>
    <w:rsid w:val="00AD329C"/>
    <w:rsid w:val="00AD4518"/>
    <w:rsid w:val="00AD5FA5"/>
    <w:rsid w:val="00AD5FAB"/>
    <w:rsid w:val="00AD7D64"/>
    <w:rsid w:val="00AE0283"/>
    <w:rsid w:val="00AE096A"/>
    <w:rsid w:val="00AE0C49"/>
    <w:rsid w:val="00AE32AC"/>
    <w:rsid w:val="00AE4283"/>
    <w:rsid w:val="00AE5FBA"/>
    <w:rsid w:val="00AE7547"/>
    <w:rsid w:val="00AE76BC"/>
    <w:rsid w:val="00AF138C"/>
    <w:rsid w:val="00AF1457"/>
    <w:rsid w:val="00AF23F3"/>
    <w:rsid w:val="00AF3722"/>
    <w:rsid w:val="00AF4D8E"/>
    <w:rsid w:val="00AF5E52"/>
    <w:rsid w:val="00B00059"/>
    <w:rsid w:val="00B01EA9"/>
    <w:rsid w:val="00B04587"/>
    <w:rsid w:val="00B06CAB"/>
    <w:rsid w:val="00B07563"/>
    <w:rsid w:val="00B1051A"/>
    <w:rsid w:val="00B130F8"/>
    <w:rsid w:val="00B13617"/>
    <w:rsid w:val="00B13CB1"/>
    <w:rsid w:val="00B14C8F"/>
    <w:rsid w:val="00B14FE4"/>
    <w:rsid w:val="00B16589"/>
    <w:rsid w:val="00B172D9"/>
    <w:rsid w:val="00B22CA6"/>
    <w:rsid w:val="00B22E7A"/>
    <w:rsid w:val="00B276E6"/>
    <w:rsid w:val="00B27837"/>
    <w:rsid w:val="00B27BB3"/>
    <w:rsid w:val="00B32AF1"/>
    <w:rsid w:val="00B32F0D"/>
    <w:rsid w:val="00B3387D"/>
    <w:rsid w:val="00B33FAF"/>
    <w:rsid w:val="00B3519D"/>
    <w:rsid w:val="00B3627B"/>
    <w:rsid w:val="00B364B4"/>
    <w:rsid w:val="00B36D8A"/>
    <w:rsid w:val="00B37085"/>
    <w:rsid w:val="00B409BD"/>
    <w:rsid w:val="00B4196C"/>
    <w:rsid w:val="00B443F4"/>
    <w:rsid w:val="00B44E32"/>
    <w:rsid w:val="00B45194"/>
    <w:rsid w:val="00B45F61"/>
    <w:rsid w:val="00B46AEF"/>
    <w:rsid w:val="00B46E9E"/>
    <w:rsid w:val="00B47D5E"/>
    <w:rsid w:val="00B47DD0"/>
    <w:rsid w:val="00B503C4"/>
    <w:rsid w:val="00B5090E"/>
    <w:rsid w:val="00B51B65"/>
    <w:rsid w:val="00B52091"/>
    <w:rsid w:val="00B53C1B"/>
    <w:rsid w:val="00B54D48"/>
    <w:rsid w:val="00B5736A"/>
    <w:rsid w:val="00B57686"/>
    <w:rsid w:val="00B57987"/>
    <w:rsid w:val="00B606BB"/>
    <w:rsid w:val="00B60FC5"/>
    <w:rsid w:val="00B63ABE"/>
    <w:rsid w:val="00B64142"/>
    <w:rsid w:val="00B65B20"/>
    <w:rsid w:val="00B702F0"/>
    <w:rsid w:val="00B71846"/>
    <w:rsid w:val="00B71ADF"/>
    <w:rsid w:val="00B72392"/>
    <w:rsid w:val="00B72703"/>
    <w:rsid w:val="00B72EF2"/>
    <w:rsid w:val="00B7407C"/>
    <w:rsid w:val="00B747BD"/>
    <w:rsid w:val="00B80266"/>
    <w:rsid w:val="00B80C7E"/>
    <w:rsid w:val="00B833FF"/>
    <w:rsid w:val="00B86082"/>
    <w:rsid w:val="00B8691A"/>
    <w:rsid w:val="00B90AC0"/>
    <w:rsid w:val="00B90DC9"/>
    <w:rsid w:val="00B92824"/>
    <w:rsid w:val="00B94937"/>
    <w:rsid w:val="00B960AB"/>
    <w:rsid w:val="00B96382"/>
    <w:rsid w:val="00B96A60"/>
    <w:rsid w:val="00B97D9C"/>
    <w:rsid w:val="00BA066E"/>
    <w:rsid w:val="00BA144C"/>
    <w:rsid w:val="00BA154D"/>
    <w:rsid w:val="00BA1715"/>
    <w:rsid w:val="00BA36EA"/>
    <w:rsid w:val="00BA39C1"/>
    <w:rsid w:val="00BA5856"/>
    <w:rsid w:val="00BA609E"/>
    <w:rsid w:val="00BA723E"/>
    <w:rsid w:val="00BA7DB9"/>
    <w:rsid w:val="00BB20A2"/>
    <w:rsid w:val="00BB30D4"/>
    <w:rsid w:val="00BB38AA"/>
    <w:rsid w:val="00BB3E2B"/>
    <w:rsid w:val="00BB679E"/>
    <w:rsid w:val="00BB7D18"/>
    <w:rsid w:val="00BB7D5B"/>
    <w:rsid w:val="00BC4536"/>
    <w:rsid w:val="00BC7D97"/>
    <w:rsid w:val="00BD2966"/>
    <w:rsid w:val="00BD2C53"/>
    <w:rsid w:val="00BD307A"/>
    <w:rsid w:val="00BD31B1"/>
    <w:rsid w:val="00BD54F1"/>
    <w:rsid w:val="00BD5D1C"/>
    <w:rsid w:val="00BD5D46"/>
    <w:rsid w:val="00BE284B"/>
    <w:rsid w:val="00BE2C1D"/>
    <w:rsid w:val="00BE2EAA"/>
    <w:rsid w:val="00BE648E"/>
    <w:rsid w:val="00BE7F59"/>
    <w:rsid w:val="00BF0814"/>
    <w:rsid w:val="00BF303D"/>
    <w:rsid w:val="00BF50F8"/>
    <w:rsid w:val="00BF56D4"/>
    <w:rsid w:val="00BF689D"/>
    <w:rsid w:val="00BF6FDA"/>
    <w:rsid w:val="00BF71F6"/>
    <w:rsid w:val="00C018BE"/>
    <w:rsid w:val="00C01D3F"/>
    <w:rsid w:val="00C0221B"/>
    <w:rsid w:val="00C0465A"/>
    <w:rsid w:val="00C12ED5"/>
    <w:rsid w:val="00C133ED"/>
    <w:rsid w:val="00C14544"/>
    <w:rsid w:val="00C15500"/>
    <w:rsid w:val="00C17AAE"/>
    <w:rsid w:val="00C20114"/>
    <w:rsid w:val="00C20DE9"/>
    <w:rsid w:val="00C21E64"/>
    <w:rsid w:val="00C220BE"/>
    <w:rsid w:val="00C2383B"/>
    <w:rsid w:val="00C2417E"/>
    <w:rsid w:val="00C24429"/>
    <w:rsid w:val="00C27B60"/>
    <w:rsid w:val="00C3006E"/>
    <w:rsid w:val="00C30AAA"/>
    <w:rsid w:val="00C32065"/>
    <w:rsid w:val="00C33D7E"/>
    <w:rsid w:val="00C35AAA"/>
    <w:rsid w:val="00C36049"/>
    <w:rsid w:val="00C37763"/>
    <w:rsid w:val="00C37CF2"/>
    <w:rsid w:val="00C37E20"/>
    <w:rsid w:val="00C42EA7"/>
    <w:rsid w:val="00C440D7"/>
    <w:rsid w:val="00C45337"/>
    <w:rsid w:val="00C46FB0"/>
    <w:rsid w:val="00C5092F"/>
    <w:rsid w:val="00C51B3B"/>
    <w:rsid w:val="00C51D96"/>
    <w:rsid w:val="00C520DE"/>
    <w:rsid w:val="00C5255A"/>
    <w:rsid w:val="00C52B96"/>
    <w:rsid w:val="00C5446D"/>
    <w:rsid w:val="00C55801"/>
    <w:rsid w:val="00C55B7D"/>
    <w:rsid w:val="00C55D38"/>
    <w:rsid w:val="00C56159"/>
    <w:rsid w:val="00C5798C"/>
    <w:rsid w:val="00C61A0E"/>
    <w:rsid w:val="00C61C85"/>
    <w:rsid w:val="00C62C0A"/>
    <w:rsid w:val="00C62CD6"/>
    <w:rsid w:val="00C63084"/>
    <w:rsid w:val="00C636D0"/>
    <w:rsid w:val="00C63B22"/>
    <w:rsid w:val="00C6629E"/>
    <w:rsid w:val="00C675C7"/>
    <w:rsid w:val="00C70743"/>
    <w:rsid w:val="00C7285D"/>
    <w:rsid w:val="00C76028"/>
    <w:rsid w:val="00C775CC"/>
    <w:rsid w:val="00C77BD1"/>
    <w:rsid w:val="00C815E7"/>
    <w:rsid w:val="00C822F7"/>
    <w:rsid w:val="00C82977"/>
    <w:rsid w:val="00C82CF2"/>
    <w:rsid w:val="00C8358D"/>
    <w:rsid w:val="00C84076"/>
    <w:rsid w:val="00C8470C"/>
    <w:rsid w:val="00C85B21"/>
    <w:rsid w:val="00C85F4D"/>
    <w:rsid w:val="00C873F9"/>
    <w:rsid w:val="00C90799"/>
    <w:rsid w:val="00C908AA"/>
    <w:rsid w:val="00C944C7"/>
    <w:rsid w:val="00C94EB0"/>
    <w:rsid w:val="00C97D98"/>
    <w:rsid w:val="00CA3723"/>
    <w:rsid w:val="00CA42DD"/>
    <w:rsid w:val="00CA5C3F"/>
    <w:rsid w:val="00CB07B4"/>
    <w:rsid w:val="00CB0EA1"/>
    <w:rsid w:val="00CB112F"/>
    <w:rsid w:val="00CB11E4"/>
    <w:rsid w:val="00CB15C4"/>
    <w:rsid w:val="00CB1D7C"/>
    <w:rsid w:val="00CB2ACA"/>
    <w:rsid w:val="00CB2BA8"/>
    <w:rsid w:val="00CB3930"/>
    <w:rsid w:val="00CB5B34"/>
    <w:rsid w:val="00CB6CCE"/>
    <w:rsid w:val="00CB6DF2"/>
    <w:rsid w:val="00CC0313"/>
    <w:rsid w:val="00CC0BF3"/>
    <w:rsid w:val="00CC13B1"/>
    <w:rsid w:val="00CC24B6"/>
    <w:rsid w:val="00CC2778"/>
    <w:rsid w:val="00CC4916"/>
    <w:rsid w:val="00CC7069"/>
    <w:rsid w:val="00CD089A"/>
    <w:rsid w:val="00CD135B"/>
    <w:rsid w:val="00CD1A1B"/>
    <w:rsid w:val="00CD3821"/>
    <w:rsid w:val="00CD3E1B"/>
    <w:rsid w:val="00CD62D8"/>
    <w:rsid w:val="00CD6D82"/>
    <w:rsid w:val="00CE0439"/>
    <w:rsid w:val="00CE428C"/>
    <w:rsid w:val="00CE4686"/>
    <w:rsid w:val="00CE46BE"/>
    <w:rsid w:val="00CE4F45"/>
    <w:rsid w:val="00CE5120"/>
    <w:rsid w:val="00CE55F0"/>
    <w:rsid w:val="00CE6354"/>
    <w:rsid w:val="00CE6DA9"/>
    <w:rsid w:val="00CE765B"/>
    <w:rsid w:val="00CE7D7C"/>
    <w:rsid w:val="00CE7EE0"/>
    <w:rsid w:val="00CF1240"/>
    <w:rsid w:val="00CF1735"/>
    <w:rsid w:val="00CF242E"/>
    <w:rsid w:val="00CF2616"/>
    <w:rsid w:val="00CF2F9E"/>
    <w:rsid w:val="00CF32B9"/>
    <w:rsid w:val="00CF33EC"/>
    <w:rsid w:val="00CF3418"/>
    <w:rsid w:val="00CF4CEB"/>
    <w:rsid w:val="00CF5F64"/>
    <w:rsid w:val="00D00043"/>
    <w:rsid w:val="00D001C3"/>
    <w:rsid w:val="00D00861"/>
    <w:rsid w:val="00D01137"/>
    <w:rsid w:val="00D01864"/>
    <w:rsid w:val="00D03907"/>
    <w:rsid w:val="00D04A84"/>
    <w:rsid w:val="00D05857"/>
    <w:rsid w:val="00D0589B"/>
    <w:rsid w:val="00D116A6"/>
    <w:rsid w:val="00D15246"/>
    <w:rsid w:val="00D1534C"/>
    <w:rsid w:val="00D15C57"/>
    <w:rsid w:val="00D16618"/>
    <w:rsid w:val="00D177D8"/>
    <w:rsid w:val="00D17977"/>
    <w:rsid w:val="00D1799E"/>
    <w:rsid w:val="00D201EA"/>
    <w:rsid w:val="00D20C6B"/>
    <w:rsid w:val="00D21B9B"/>
    <w:rsid w:val="00D23507"/>
    <w:rsid w:val="00D23863"/>
    <w:rsid w:val="00D23C39"/>
    <w:rsid w:val="00D23D14"/>
    <w:rsid w:val="00D2649E"/>
    <w:rsid w:val="00D317FD"/>
    <w:rsid w:val="00D32F24"/>
    <w:rsid w:val="00D33020"/>
    <w:rsid w:val="00D34AC4"/>
    <w:rsid w:val="00D34F74"/>
    <w:rsid w:val="00D36BA2"/>
    <w:rsid w:val="00D370A6"/>
    <w:rsid w:val="00D373E7"/>
    <w:rsid w:val="00D37F6E"/>
    <w:rsid w:val="00D402E3"/>
    <w:rsid w:val="00D43ACC"/>
    <w:rsid w:val="00D44006"/>
    <w:rsid w:val="00D4454D"/>
    <w:rsid w:val="00D452CA"/>
    <w:rsid w:val="00D461E2"/>
    <w:rsid w:val="00D47728"/>
    <w:rsid w:val="00D477D5"/>
    <w:rsid w:val="00D51DCB"/>
    <w:rsid w:val="00D51EC9"/>
    <w:rsid w:val="00D539D1"/>
    <w:rsid w:val="00D5610F"/>
    <w:rsid w:val="00D56D17"/>
    <w:rsid w:val="00D56F0B"/>
    <w:rsid w:val="00D6214D"/>
    <w:rsid w:val="00D6438A"/>
    <w:rsid w:val="00D65448"/>
    <w:rsid w:val="00D712ED"/>
    <w:rsid w:val="00D72E9E"/>
    <w:rsid w:val="00D734EC"/>
    <w:rsid w:val="00D74098"/>
    <w:rsid w:val="00D7495B"/>
    <w:rsid w:val="00D753D6"/>
    <w:rsid w:val="00D75AA4"/>
    <w:rsid w:val="00D775AF"/>
    <w:rsid w:val="00D77CF1"/>
    <w:rsid w:val="00D801EC"/>
    <w:rsid w:val="00D80830"/>
    <w:rsid w:val="00D810BB"/>
    <w:rsid w:val="00D826AE"/>
    <w:rsid w:val="00D82781"/>
    <w:rsid w:val="00D82BBF"/>
    <w:rsid w:val="00D83864"/>
    <w:rsid w:val="00D845CA"/>
    <w:rsid w:val="00D86E59"/>
    <w:rsid w:val="00D9179B"/>
    <w:rsid w:val="00D91DE9"/>
    <w:rsid w:val="00D925EE"/>
    <w:rsid w:val="00D94131"/>
    <w:rsid w:val="00D945FE"/>
    <w:rsid w:val="00D956E7"/>
    <w:rsid w:val="00D9753A"/>
    <w:rsid w:val="00D97DF9"/>
    <w:rsid w:val="00DA0FF1"/>
    <w:rsid w:val="00DA2EB1"/>
    <w:rsid w:val="00DA3322"/>
    <w:rsid w:val="00DA3B4D"/>
    <w:rsid w:val="00DA54DC"/>
    <w:rsid w:val="00DA70BC"/>
    <w:rsid w:val="00DB0657"/>
    <w:rsid w:val="00DB199F"/>
    <w:rsid w:val="00DB267F"/>
    <w:rsid w:val="00DB2E8D"/>
    <w:rsid w:val="00DB3A16"/>
    <w:rsid w:val="00DB478B"/>
    <w:rsid w:val="00DB7659"/>
    <w:rsid w:val="00DC061C"/>
    <w:rsid w:val="00DC3267"/>
    <w:rsid w:val="00DC3F58"/>
    <w:rsid w:val="00DC4D05"/>
    <w:rsid w:val="00DC4FB3"/>
    <w:rsid w:val="00DC54CD"/>
    <w:rsid w:val="00DC6253"/>
    <w:rsid w:val="00DC6C44"/>
    <w:rsid w:val="00DC6D11"/>
    <w:rsid w:val="00DC6D6D"/>
    <w:rsid w:val="00DC76D9"/>
    <w:rsid w:val="00DD0425"/>
    <w:rsid w:val="00DD079D"/>
    <w:rsid w:val="00DD190E"/>
    <w:rsid w:val="00DD1B18"/>
    <w:rsid w:val="00DD28D7"/>
    <w:rsid w:val="00DD2FD9"/>
    <w:rsid w:val="00DD3880"/>
    <w:rsid w:val="00DD4278"/>
    <w:rsid w:val="00DD473A"/>
    <w:rsid w:val="00DD4D2C"/>
    <w:rsid w:val="00DD4FE0"/>
    <w:rsid w:val="00DD7CE4"/>
    <w:rsid w:val="00DE185F"/>
    <w:rsid w:val="00DE2D85"/>
    <w:rsid w:val="00DE5631"/>
    <w:rsid w:val="00DE5DD9"/>
    <w:rsid w:val="00DE6207"/>
    <w:rsid w:val="00DE76D7"/>
    <w:rsid w:val="00DF01E5"/>
    <w:rsid w:val="00DF48D2"/>
    <w:rsid w:val="00DF593B"/>
    <w:rsid w:val="00DF5D1E"/>
    <w:rsid w:val="00DF60C4"/>
    <w:rsid w:val="00DF7ABB"/>
    <w:rsid w:val="00E01B80"/>
    <w:rsid w:val="00E02152"/>
    <w:rsid w:val="00E023AF"/>
    <w:rsid w:val="00E03CE7"/>
    <w:rsid w:val="00E04E82"/>
    <w:rsid w:val="00E052EB"/>
    <w:rsid w:val="00E05E0B"/>
    <w:rsid w:val="00E066C7"/>
    <w:rsid w:val="00E06C2A"/>
    <w:rsid w:val="00E106F6"/>
    <w:rsid w:val="00E11304"/>
    <w:rsid w:val="00E12B45"/>
    <w:rsid w:val="00E134E0"/>
    <w:rsid w:val="00E13751"/>
    <w:rsid w:val="00E1390F"/>
    <w:rsid w:val="00E13D9B"/>
    <w:rsid w:val="00E14E7B"/>
    <w:rsid w:val="00E17027"/>
    <w:rsid w:val="00E17655"/>
    <w:rsid w:val="00E176A1"/>
    <w:rsid w:val="00E24A40"/>
    <w:rsid w:val="00E25275"/>
    <w:rsid w:val="00E2581B"/>
    <w:rsid w:val="00E25978"/>
    <w:rsid w:val="00E26760"/>
    <w:rsid w:val="00E26A40"/>
    <w:rsid w:val="00E26EC0"/>
    <w:rsid w:val="00E27F57"/>
    <w:rsid w:val="00E33226"/>
    <w:rsid w:val="00E34B95"/>
    <w:rsid w:val="00E36A49"/>
    <w:rsid w:val="00E36C10"/>
    <w:rsid w:val="00E36DBC"/>
    <w:rsid w:val="00E41B64"/>
    <w:rsid w:val="00E421B7"/>
    <w:rsid w:val="00E440FC"/>
    <w:rsid w:val="00E449F1"/>
    <w:rsid w:val="00E45E6E"/>
    <w:rsid w:val="00E46E5C"/>
    <w:rsid w:val="00E47216"/>
    <w:rsid w:val="00E53AD6"/>
    <w:rsid w:val="00E54632"/>
    <w:rsid w:val="00E55A75"/>
    <w:rsid w:val="00E561E1"/>
    <w:rsid w:val="00E57ACB"/>
    <w:rsid w:val="00E60F09"/>
    <w:rsid w:val="00E61399"/>
    <w:rsid w:val="00E61E5B"/>
    <w:rsid w:val="00E63C6C"/>
    <w:rsid w:val="00E6486A"/>
    <w:rsid w:val="00E6762D"/>
    <w:rsid w:val="00E67699"/>
    <w:rsid w:val="00E704A2"/>
    <w:rsid w:val="00E72465"/>
    <w:rsid w:val="00E76ABF"/>
    <w:rsid w:val="00E77754"/>
    <w:rsid w:val="00E80EA2"/>
    <w:rsid w:val="00E84011"/>
    <w:rsid w:val="00E84C0F"/>
    <w:rsid w:val="00E86AC8"/>
    <w:rsid w:val="00E871DB"/>
    <w:rsid w:val="00E87BD8"/>
    <w:rsid w:val="00E91E23"/>
    <w:rsid w:val="00E9367D"/>
    <w:rsid w:val="00E93B5A"/>
    <w:rsid w:val="00E94E64"/>
    <w:rsid w:val="00E960C6"/>
    <w:rsid w:val="00E97AA6"/>
    <w:rsid w:val="00EA2724"/>
    <w:rsid w:val="00EA3AC8"/>
    <w:rsid w:val="00EA528C"/>
    <w:rsid w:val="00EA5B42"/>
    <w:rsid w:val="00EA6D6B"/>
    <w:rsid w:val="00EA7BDD"/>
    <w:rsid w:val="00EB0883"/>
    <w:rsid w:val="00EB1547"/>
    <w:rsid w:val="00EB24AD"/>
    <w:rsid w:val="00EB4636"/>
    <w:rsid w:val="00EB4821"/>
    <w:rsid w:val="00EB74FC"/>
    <w:rsid w:val="00EC004A"/>
    <w:rsid w:val="00EC092F"/>
    <w:rsid w:val="00EC0BF3"/>
    <w:rsid w:val="00EC2160"/>
    <w:rsid w:val="00EC432B"/>
    <w:rsid w:val="00EC4A2C"/>
    <w:rsid w:val="00EC5200"/>
    <w:rsid w:val="00EC524F"/>
    <w:rsid w:val="00EC63F1"/>
    <w:rsid w:val="00ED30B0"/>
    <w:rsid w:val="00ED37D9"/>
    <w:rsid w:val="00ED37DA"/>
    <w:rsid w:val="00ED6B9E"/>
    <w:rsid w:val="00ED6EF0"/>
    <w:rsid w:val="00ED7927"/>
    <w:rsid w:val="00EE008B"/>
    <w:rsid w:val="00EE00A8"/>
    <w:rsid w:val="00EE077D"/>
    <w:rsid w:val="00EE1061"/>
    <w:rsid w:val="00EE2240"/>
    <w:rsid w:val="00EE2F75"/>
    <w:rsid w:val="00EE4235"/>
    <w:rsid w:val="00EE66C6"/>
    <w:rsid w:val="00EF28A3"/>
    <w:rsid w:val="00EF5089"/>
    <w:rsid w:val="00F0151E"/>
    <w:rsid w:val="00F018A8"/>
    <w:rsid w:val="00F01AB8"/>
    <w:rsid w:val="00F03011"/>
    <w:rsid w:val="00F03FF8"/>
    <w:rsid w:val="00F04814"/>
    <w:rsid w:val="00F04866"/>
    <w:rsid w:val="00F06822"/>
    <w:rsid w:val="00F10FAF"/>
    <w:rsid w:val="00F14128"/>
    <w:rsid w:val="00F1421E"/>
    <w:rsid w:val="00F1557D"/>
    <w:rsid w:val="00F15A55"/>
    <w:rsid w:val="00F16C1A"/>
    <w:rsid w:val="00F204DD"/>
    <w:rsid w:val="00F22155"/>
    <w:rsid w:val="00F231B7"/>
    <w:rsid w:val="00F25853"/>
    <w:rsid w:val="00F2604D"/>
    <w:rsid w:val="00F3071E"/>
    <w:rsid w:val="00F31163"/>
    <w:rsid w:val="00F3165D"/>
    <w:rsid w:val="00F3209C"/>
    <w:rsid w:val="00F32595"/>
    <w:rsid w:val="00F32D08"/>
    <w:rsid w:val="00F33B70"/>
    <w:rsid w:val="00F34F61"/>
    <w:rsid w:val="00F35DCF"/>
    <w:rsid w:val="00F40A14"/>
    <w:rsid w:val="00F410D9"/>
    <w:rsid w:val="00F431F9"/>
    <w:rsid w:val="00F433B8"/>
    <w:rsid w:val="00F44704"/>
    <w:rsid w:val="00F449ED"/>
    <w:rsid w:val="00F456F4"/>
    <w:rsid w:val="00F46F83"/>
    <w:rsid w:val="00F47818"/>
    <w:rsid w:val="00F47BDC"/>
    <w:rsid w:val="00F50120"/>
    <w:rsid w:val="00F51644"/>
    <w:rsid w:val="00F523F6"/>
    <w:rsid w:val="00F53D07"/>
    <w:rsid w:val="00F53FB7"/>
    <w:rsid w:val="00F56B82"/>
    <w:rsid w:val="00F65513"/>
    <w:rsid w:val="00F67D94"/>
    <w:rsid w:val="00F67EA3"/>
    <w:rsid w:val="00F70E1A"/>
    <w:rsid w:val="00F729AB"/>
    <w:rsid w:val="00F737BF"/>
    <w:rsid w:val="00F737D5"/>
    <w:rsid w:val="00F74265"/>
    <w:rsid w:val="00F748A3"/>
    <w:rsid w:val="00F74901"/>
    <w:rsid w:val="00F75420"/>
    <w:rsid w:val="00F7576B"/>
    <w:rsid w:val="00F75C82"/>
    <w:rsid w:val="00F77E7F"/>
    <w:rsid w:val="00F80596"/>
    <w:rsid w:val="00F80D0F"/>
    <w:rsid w:val="00F80F97"/>
    <w:rsid w:val="00F82402"/>
    <w:rsid w:val="00F84CD2"/>
    <w:rsid w:val="00F86689"/>
    <w:rsid w:val="00F90857"/>
    <w:rsid w:val="00F911D2"/>
    <w:rsid w:val="00F91F5D"/>
    <w:rsid w:val="00F92AC0"/>
    <w:rsid w:val="00F92D3C"/>
    <w:rsid w:val="00F95068"/>
    <w:rsid w:val="00F956E7"/>
    <w:rsid w:val="00F95E20"/>
    <w:rsid w:val="00F96071"/>
    <w:rsid w:val="00F962D0"/>
    <w:rsid w:val="00FA022D"/>
    <w:rsid w:val="00FA3596"/>
    <w:rsid w:val="00FA3D52"/>
    <w:rsid w:val="00FA4182"/>
    <w:rsid w:val="00FA4595"/>
    <w:rsid w:val="00FA643A"/>
    <w:rsid w:val="00FC097B"/>
    <w:rsid w:val="00FC1C71"/>
    <w:rsid w:val="00FC2839"/>
    <w:rsid w:val="00FC2A33"/>
    <w:rsid w:val="00FC31E5"/>
    <w:rsid w:val="00FC3E96"/>
    <w:rsid w:val="00FC4F74"/>
    <w:rsid w:val="00FC5F6D"/>
    <w:rsid w:val="00FC6E30"/>
    <w:rsid w:val="00FC729B"/>
    <w:rsid w:val="00FD0AC8"/>
    <w:rsid w:val="00FD191D"/>
    <w:rsid w:val="00FD20B1"/>
    <w:rsid w:val="00FD2C56"/>
    <w:rsid w:val="00FD3B10"/>
    <w:rsid w:val="00FD684B"/>
    <w:rsid w:val="00FE041B"/>
    <w:rsid w:val="00FE0CFB"/>
    <w:rsid w:val="00FE1A2D"/>
    <w:rsid w:val="00FE1B8D"/>
    <w:rsid w:val="00FE1D69"/>
    <w:rsid w:val="00FE20EE"/>
    <w:rsid w:val="00FE2FE2"/>
    <w:rsid w:val="00FE3A30"/>
    <w:rsid w:val="00FE5633"/>
    <w:rsid w:val="00FE788D"/>
    <w:rsid w:val="00FF1068"/>
    <w:rsid w:val="00FF3824"/>
    <w:rsid w:val="00FF46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32E0"/>
  <w15:chartTrackingRefBased/>
  <w15:docId w15:val="{85A515B9-4741-4A7B-A469-56C46A7C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9"/>
    <w:qFormat/>
    <w:rsid w:val="004D0B3B"/>
    <w:pPr>
      <w:keepNext/>
      <w:jc w:val="both"/>
      <w:outlineLvl w:val="0"/>
    </w:pPr>
    <w:rPr>
      <w:sz w:val="24"/>
    </w:rPr>
  </w:style>
  <w:style w:type="paragraph" w:styleId="Ttulo2">
    <w:name w:val="heading 2"/>
    <w:aliases w:val="CAPÍTULO,Car10"/>
    <w:basedOn w:val="Normal"/>
    <w:next w:val="Normal"/>
    <w:link w:val="Ttulo2Car"/>
    <w:qFormat/>
    <w:rsid w:val="004D0B3B"/>
    <w:pPr>
      <w:keepNext/>
      <w:jc w:val="both"/>
      <w:outlineLvl w:val="1"/>
    </w:pPr>
    <w:rPr>
      <w:b/>
      <w:sz w:val="28"/>
    </w:rPr>
  </w:style>
  <w:style w:type="paragraph" w:styleId="Ttulo3">
    <w:name w:val="heading 3"/>
    <w:basedOn w:val="Normal"/>
    <w:next w:val="Normal"/>
    <w:link w:val="Ttulo3Car"/>
    <w:uiPriority w:val="99"/>
    <w:qFormat/>
    <w:rsid w:val="004D0B3B"/>
    <w:pPr>
      <w:keepNext/>
      <w:outlineLvl w:val="2"/>
    </w:pPr>
    <w:rPr>
      <w:b/>
      <w:bCs/>
      <w:sz w:val="24"/>
    </w:rPr>
  </w:style>
  <w:style w:type="paragraph" w:styleId="Ttulo4">
    <w:name w:val="heading 4"/>
    <w:basedOn w:val="Normal"/>
    <w:next w:val="Normal"/>
    <w:link w:val="Ttulo4Car"/>
    <w:uiPriority w:val="99"/>
    <w:qFormat/>
    <w:rsid w:val="004D0B3B"/>
    <w:pPr>
      <w:keepNext/>
      <w:jc w:val="center"/>
      <w:outlineLvl w:val="3"/>
    </w:pPr>
    <w:rPr>
      <w:rFonts w:ascii="Coronet" w:hAnsi="Coronet"/>
      <w:sz w:val="42"/>
      <w:lang w:val="es-CR"/>
    </w:rPr>
  </w:style>
  <w:style w:type="paragraph" w:styleId="Ttulo5">
    <w:name w:val="heading 5"/>
    <w:basedOn w:val="Normal"/>
    <w:next w:val="Normal"/>
    <w:link w:val="Ttulo5Car"/>
    <w:uiPriority w:val="99"/>
    <w:qFormat/>
    <w:rsid w:val="004D0B3B"/>
    <w:pPr>
      <w:keepNext/>
      <w:widowControl w:val="0"/>
      <w:ind w:firstLine="426"/>
      <w:jc w:val="both"/>
      <w:outlineLvl w:val="4"/>
    </w:pPr>
    <w:rPr>
      <w:b/>
      <w:bCs/>
      <w:i/>
      <w:iCs/>
      <w:lang w:val="es-CR"/>
    </w:rPr>
  </w:style>
  <w:style w:type="paragraph" w:styleId="Ttulo7">
    <w:name w:val="heading 7"/>
    <w:basedOn w:val="Normal"/>
    <w:next w:val="Normal"/>
    <w:link w:val="Ttulo7Car"/>
    <w:uiPriority w:val="99"/>
    <w:qFormat/>
    <w:rsid w:val="004D0B3B"/>
    <w:pPr>
      <w:keepNext/>
      <w:tabs>
        <w:tab w:val="num" w:pos="1296"/>
      </w:tabs>
      <w:ind w:left="1296" w:hanging="1296"/>
      <w:outlineLvl w:val="6"/>
    </w:pPr>
    <w:rPr>
      <w:sz w:val="28"/>
    </w:rPr>
  </w:style>
  <w:style w:type="paragraph" w:styleId="Ttulo8">
    <w:name w:val="heading 8"/>
    <w:basedOn w:val="Normal"/>
    <w:next w:val="Normal"/>
    <w:link w:val="Ttulo8Car"/>
    <w:uiPriority w:val="99"/>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uiPriority w:val="99"/>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link w:val="NormalWebCar"/>
    <w:unhideWhenUsed/>
    <w:rsid w:val="00AC438A"/>
    <w:pPr>
      <w:spacing w:before="100" w:beforeAutospacing="1" w:after="100" w:afterAutospacing="1"/>
    </w:pPr>
    <w:rPr>
      <w:rFonts w:ascii="Arial" w:hAnsi="Arial" w:cs="Arial"/>
      <w:sz w:val="18"/>
      <w:szCs w:val="18"/>
      <w:lang w:val="es-CR" w:eastAsia="es-CR"/>
    </w:rPr>
  </w:style>
  <w:style w:type="character" w:styleId="Fuerte">
    <w:name w:val="Strong"/>
    <w:uiPriority w:val="99"/>
    <w:qFormat/>
    <w:rsid w:val="00AC438A"/>
    <w:rPr>
      <w:b/>
      <w:bCs/>
    </w:rPr>
  </w:style>
  <w:style w:type="paragraph" w:styleId="Textodeglobo">
    <w:name w:val="Balloon Text"/>
    <w:basedOn w:val="Normal"/>
    <w:link w:val="TextodegloboCar"/>
    <w:uiPriority w:val="99"/>
    <w:semiHidden/>
    <w:unhideWhenUsed/>
    <w:rsid w:val="00BD5D1C"/>
    <w:rPr>
      <w:rFonts w:ascii="Tahoma" w:hAnsi="Tahoma" w:cs="Tahoma"/>
      <w:sz w:val="16"/>
      <w:szCs w:val="16"/>
    </w:rPr>
  </w:style>
  <w:style w:type="character" w:customStyle="1" w:styleId="TextodegloboCar">
    <w:name w:val="Texto de globo Car"/>
    <w:link w:val="Textodeglobo"/>
    <w:uiPriority w:val="99"/>
    <w:semiHidden/>
    <w:rsid w:val="00BD5D1C"/>
    <w:rPr>
      <w:rFonts w:ascii="Tahoma" w:eastAsia="Times New Roman" w:hAnsi="Tahoma" w:cs="Tahoma"/>
      <w:sz w:val="16"/>
      <w:szCs w:val="16"/>
      <w:lang w:val="es-ES" w:eastAsia="es-ES"/>
    </w:rPr>
  </w:style>
  <w:style w:type="character" w:styleId="Hipervnculo">
    <w:name w:val="Hyperlink"/>
    <w:qFormat/>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titulo 3"/>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99"/>
    <w:unhideWhenUsed/>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99"/>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iPriority w:val="99"/>
    <w:unhideWhenUsed/>
    <w:rsid w:val="001E4BAA"/>
    <w:pPr>
      <w:spacing w:after="120" w:line="480" w:lineRule="auto"/>
      <w:ind w:left="283"/>
    </w:pPr>
  </w:style>
  <w:style w:type="character" w:customStyle="1" w:styleId="Sangra2detindependienteCar">
    <w:name w:val="Sangría 2 de t. independiente Car"/>
    <w:link w:val="Sangra2detindependiente"/>
    <w:uiPriority w:val="99"/>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9"/>
    <w:rsid w:val="004D0B3B"/>
    <w:rPr>
      <w:rFonts w:ascii="Times New Roman" w:eastAsia="Times New Roman" w:hAnsi="Times New Roman"/>
      <w:sz w:val="24"/>
      <w:lang w:val="es-ES" w:eastAsia="es-ES"/>
    </w:rPr>
  </w:style>
  <w:style w:type="character" w:customStyle="1" w:styleId="Ttulo2Car">
    <w:name w:val="Título 2 Car"/>
    <w:aliases w:val="CAPÍTULO Car,Car10 Car"/>
    <w:link w:val="Ttulo2"/>
    <w:rsid w:val="004D0B3B"/>
    <w:rPr>
      <w:rFonts w:ascii="Times New Roman" w:eastAsia="Times New Roman" w:hAnsi="Times New Roman"/>
      <w:b/>
      <w:sz w:val="28"/>
      <w:lang w:val="es-ES" w:eastAsia="es-ES"/>
    </w:rPr>
  </w:style>
  <w:style w:type="character" w:customStyle="1" w:styleId="Ttulo3Car">
    <w:name w:val="Título 3 Car"/>
    <w:link w:val="Ttulo3"/>
    <w:uiPriority w:val="99"/>
    <w:rsid w:val="004D0B3B"/>
    <w:rPr>
      <w:rFonts w:ascii="Times New Roman" w:eastAsia="Times New Roman" w:hAnsi="Times New Roman"/>
      <w:b/>
      <w:bCs/>
      <w:sz w:val="24"/>
      <w:lang w:val="es-ES" w:eastAsia="es-ES"/>
    </w:rPr>
  </w:style>
  <w:style w:type="character" w:customStyle="1" w:styleId="Ttulo4Car">
    <w:name w:val="Título 4 Car"/>
    <w:link w:val="Ttulo4"/>
    <w:uiPriority w:val="99"/>
    <w:rsid w:val="004D0B3B"/>
    <w:rPr>
      <w:rFonts w:ascii="Coronet" w:eastAsia="Times New Roman" w:hAnsi="Coronet"/>
      <w:sz w:val="42"/>
      <w:lang w:eastAsia="es-ES"/>
    </w:rPr>
  </w:style>
  <w:style w:type="character" w:customStyle="1" w:styleId="Ttulo5Car">
    <w:name w:val="Título 5 Car"/>
    <w:link w:val="Ttulo5"/>
    <w:uiPriority w:val="9"/>
    <w:rsid w:val="004D0B3B"/>
    <w:rPr>
      <w:rFonts w:ascii="Times New Roman" w:eastAsia="Times New Roman" w:hAnsi="Times New Roman"/>
      <w:b/>
      <w:bCs/>
      <w:i/>
      <w:iCs/>
      <w:lang w:eastAsia="es-ES"/>
    </w:rPr>
  </w:style>
  <w:style w:type="character" w:customStyle="1" w:styleId="Ttulo7Car">
    <w:name w:val="Título 7 Car"/>
    <w:link w:val="Ttulo7"/>
    <w:uiPriority w:val="99"/>
    <w:rsid w:val="004D0B3B"/>
    <w:rPr>
      <w:rFonts w:ascii="Times New Roman" w:eastAsia="Times New Roman" w:hAnsi="Times New Roman"/>
      <w:sz w:val="28"/>
      <w:lang w:val="es-ES" w:eastAsia="es-ES"/>
    </w:rPr>
  </w:style>
  <w:style w:type="character" w:customStyle="1" w:styleId="Ttulo8Car">
    <w:name w:val="Título 8 Car"/>
    <w:link w:val="Ttulo8"/>
    <w:uiPriority w:val="99"/>
    <w:rsid w:val="004D0B3B"/>
    <w:rPr>
      <w:rFonts w:ascii="Arial" w:eastAsia="Times New Roman" w:hAnsi="Arial" w:cs="Arial"/>
      <w:b/>
      <w:bCs/>
      <w:color w:val="99CC00"/>
      <w:lang w:val="es-ES" w:eastAsia="es-ES"/>
    </w:rPr>
  </w:style>
  <w:style w:type="character" w:customStyle="1" w:styleId="Ttulo9Car">
    <w:name w:val="Título 9 Car"/>
    <w:link w:val="Ttulo9"/>
    <w:uiPriority w:val="9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rsid w:val="004D0B3B"/>
  </w:style>
  <w:style w:type="paragraph" w:styleId="Textoindependiente2">
    <w:name w:val="Body Text 2"/>
    <w:basedOn w:val="Normal"/>
    <w:link w:val="Textoindependiente2Car"/>
    <w:uiPriority w:val="99"/>
    <w:rsid w:val="004D0B3B"/>
    <w:pPr>
      <w:spacing w:after="120" w:line="480" w:lineRule="auto"/>
    </w:pPr>
  </w:style>
  <w:style w:type="character" w:customStyle="1" w:styleId="Textoindependiente2Car">
    <w:name w:val="Texto independiente 2 Car"/>
    <w:link w:val="Textoindependiente2"/>
    <w:uiPriority w:val="99"/>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semiHidden/>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fn Car,texto de nota al pie Car,Texto nota pie Car Car Car Car Car Car Car Car Car,Texto nota pie Car Car Car Car,Footnote Text Char Char Char Char Char Char Car,Texto nota pie Car Car Car Car Car Car,single space Car,ft Car"/>
    <w:link w:val="Textonotapie"/>
    <w:uiPriority w:val="99"/>
    <w:qFormat/>
    <w:rsid w:val="004D0B3B"/>
    <w:rPr>
      <w:lang w:eastAsia="es-ES"/>
    </w:rPr>
  </w:style>
  <w:style w:type="paragraph" w:styleId="Textonotapie">
    <w:name w:val="footnote text"/>
    <w:aliases w:val="Car1,fn,texto de nota al pie,Texto nota pie Car Car Car Car Car Car Car Car,Texto nota pie Car Car Car,Footnote Text Char Char Char Char Char Char,Texto nota pie Car Car Car Car Car,Texto nota pie Car Car,single space,footn,Char, Char,ft"/>
    <w:basedOn w:val="Normal"/>
    <w:link w:val="TextonotapieCar"/>
    <w:uiPriority w:val="99"/>
    <w:qFormat/>
    <w:rsid w:val="004D0B3B"/>
    <w:rPr>
      <w:rFonts w:ascii="Calibri" w:eastAsia="Calibri" w:hAnsi="Calibri"/>
      <w:lang w:val="es-CR"/>
    </w:rPr>
  </w:style>
  <w:style w:type="character" w:customStyle="1" w:styleId="TextonotapieCar1">
    <w:name w:val="Texto nota pie Car1"/>
    <w:rsid w:val="004D0B3B"/>
    <w:rPr>
      <w:rFonts w:ascii="Times New Roman" w:eastAsia="Times New Roman" w:hAnsi="Times New Roman"/>
      <w:lang w:val="es-ES" w:eastAsia="es-ES"/>
    </w:rPr>
  </w:style>
  <w:style w:type="character" w:styleId="Refdenotaalpie">
    <w:name w:val="footnote reference"/>
    <w:aliases w:val="FC,ftref,referencia nota al pie,Ref,de nota al pie,16 Point,Superscript 6 Point,BVI fnr,Footnote Reference Number,Footnote Reference_LVL6,Footnote Reference_LVL61,Footnote Reference_LVL62,Footnote Reference_LVL63,fr,Char Char1,titulo"/>
    <w:uiPriority w:val="99"/>
    <w:qFormat/>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99"/>
    <w:rsid w:val="004D0B3B"/>
    <w:pPr>
      <w:tabs>
        <w:tab w:val="right" w:leader="dot" w:pos="8820"/>
      </w:tabs>
    </w:pPr>
    <w:rPr>
      <w:lang w:eastAsia="en-US"/>
    </w:rPr>
  </w:style>
  <w:style w:type="paragraph" w:styleId="TDC2">
    <w:name w:val="toc 2"/>
    <w:basedOn w:val="Normal"/>
    <w:next w:val="Normal"/>
    <w:autoRedefine/>
    <w:uiPriority w:val="99"/>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99"/>
    <w:qFormat/>
    <w:rsid w:val="004D0B3B"/>
    <w:pPr>
      <w:jc w:val="center"/>
    </w:pPr>
    <w:rPr>
      <w:b/>
      <w:sz w:val="32"/>
      <w:lang w:val="es-ES_tradnl"/>
    </w:rPr>
  </w:style>
  <w:style w:type="character" w:customStyle="1" w:styleId="TtuloCar">
    <w:name w:val="Título Car"/>
    <w:link w:val="Ttulo"/>
    <w:uiPriority w:val="99"/>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 w:type="paragraph" w:customStyle="1" w:styleId="Texto">
    <w:name w:val="Texto"/>
    <w:basedOn w:val="Normal"/>
    <w:link w:val="TextoChar"/>
    <w:qFormat/>
    <w:rsid w:val="00727B1D"/>
    <w:pPr>
      <w:spacing w:before="120" w:after="120"/>
      <w:jc w:val="both"/>
    </w:pPr>
    <w:rPr>
      <w:rFonts w:ascii="Franklin Gothic Book" w:hAnsi="Franklin Gothic Book"/>
      <w:sz w:val="22"/>
      <w:szCs w:val="24"/>
      <w:lang w:val="es-CR" w:eastAsia="en-US"/>
    </w:rPr>
  </w:style>
  <w:style w:type="character" w:customStyle="1" w:styleId="TextoChar">
    <w:name w:val="Texto Char"/>
    <w:link w:val="Texto"/>
    <w:rsid w:val="00727B1D"/>
    <w:rPr>
      <w:rFonts w:ascii="Franklin Gothic Book" w:eastAsia="Times New Roman" w:hAnsi="Franklin Gothic Book"/>
      <w:sz w:val="22"/>
      <w:szCs w:val="24"/>
      <w:lang w:eastAsia="en-US"/>
    </w:rPr>
  </w:style>
  <w:style w:type="paragraph" w:customStyle="1" w:styleId="CC">
    <w:name w:val="CC"/>
    <w:basedOn w:val="Texto"/>
    <w:link w:val="CCChar"/>
    <w:qFormat/>
    <w:rsid w:val="00727B1D"/>
    <w:pPr>
      <w:spacing w:before="0" w:after="0"/>
    </w:pPr>
    <w:rPr>
      <w:sz w:val="18"/>
      <w:szCs w:val="18"/>
      <w:lang w:val="es-ES"/>
    </w:rPr>
  </w:style>
  <w:style w:type="character" w:customStyle="1" w:styleId="CCChar">
    <w:name w:val="CC Char"/>
    <w:basedOn w:val="TextoChar"/>
    <w:link w:val="CC"/>
    <w:rsid w:val="00727B1D"/>
    <w:rPr>
      <w:rFonts w:ascii="Franklin Gothic Book" w:eastAsia="Times New Roman" w:hAnsi="Franklin Gothic Book"/>
      <w:sz w:val="18"/>
      <w:szCs w:val="18"/>
      <w:lang w:val="es-ES" w:eastAsia="en-US"/>
    </w:rPr>
  </w:style>
  <w:style w:type="character" w:customStyle="1" w:styleId="NormalWebCar">
    <w:name w:val="Normal (Web) Car"/>
    <w:link w:val="NormalWeb"/>
    <w:uiPriority w:val="99"/>
    <w:rsid w:val="00722BF2"/>
    <w:rPr>
      <w:rFonts w:ascii="Arial" w:eastAsia="Times New Roman" w:hAnsi="Arial" w:cs="Arial"/>
      <w:sz w:val="18"/>
      <w:szCs w:val="18"/>
    </w:rPr>
  </w:style>
  <w:style w:type="paragraph" w:customStyle="1" w:styleId="Negrita">
    <w:name w:val="Negrita"/>
    <w:basedOn w:val="Texto"/>
    <w:link w:val="NegritaChar1"/>
    <w:qFormat/>
    <w:rsid w:val="00BB7D18"/>
    <w:rPr>
      <w:b/>
    </w:rPr>
  </w:style>
  <w:style w:type="character" w:customStyle="1" w:styleId="NegritaChar1">
    <w:name w:val="Negrita Char1"/>
    <w:link w:val="Negrita"/>
    <w:rsid w:val="00BB7D18"/>
    <w:rPr>
      <w:rFonts w:ascii="Franklin Gothic Book" w:eastAsia="Times New Roman" w:hAnsi="Franklin Gothic Book"/>
      <w:b/>
      <w:sz w:val="22"/>
      <w:szCs w:val="24"/>
      <w:lang w:eastAsia="en-US"/>
    </w:rPr>
  </w:style>
  <w:style w:type="table" w:customStyle="1" w:styleId="Tablaconcuadrcula6">
    <w:name w:val="Tabla con cuadrícula6"/>
    <w:basedOn w:val="Tablanormal"/>
    <w:next w:val="Tablaconcuadrcula"/>
    <w:uiPriority w:val="39"/>
    <w:rsid w:val="00BB7D1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1D21E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pgrweb.go.cr/scij/Busqueda/Normativa/Normas/nrm_texto_completo.aspx?param1=NRTC&amp;nValor1=1&amp;nValor2=4092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Instituci_x00f3_n xmlns="96c239bb-9668-4681-985a-a7d7030fe907">Conassif</Instituci_x00f3_n>
    <Sesi_x00f3_n xmlns="96c239bb-9668-4681-985a-a7d7030fe907">2060</Sesi_x00f3_n>
    <Estado xmlns="96c239bb-9668-4681-985a-a7d7030fe907">En proceso</Estado>
    <Mes xmlns="96c239bb-9668-4681-985a-a7d7030fe907">10-Octubre</Mes>
    <_x002d_ xmlns="96c239bb-9668-4681-985a-a7d7030fe907" xsi:nil="true"/>
    <A_x00f1_o xmlns="96c239bb-9668-4681-985a-a7d7030fe907">2026</A_x00f1_o>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omunicación Acuerdo Conassif" ma:contentTypeID="0x0101001999A01A5076EF418C32BE07C190743100CCCD100EF7A4A6499464CC7781BA65A8" ma:contentTypeVersion="27" ma:contentTypeDescription="Plantilla para comunicar los acuerdos tomados por la JD del Conassif" ma:contentTypeScope="" ma:versionID="e4607bcc17df0a6374ecb50f836689c9">
  <xsd:schema xmlns:xsd="http://www.w3.org/2001/XMLSchema" xmlns:xs="http://www.w3.org/2001/XMLSchema" xmlns:p="http://schemas.microsoft.com/office/2006/metadata/properties" xmlns:ns2="96c239bb-9668-4681-985a-a7d7030fe907" targetNamespace="http://schemas.microsoft.com/office/2006/metadata/properties" ma:root="true" ma:fieldsID="569f3c00d2dca0ba0cb6bf5ceeb29c92" ns2:_="">
    <xsd:import namespace="96c239bb-9668-4681-985a-a7d7030fe907"/>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2" nillable="true" ma:displayName="Año" ma:default="2026" ma:format="Dropdown" ma:indexed="true" ma:internalName="A_x00f1_o" ma:readOnly="false">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Estado" ma:index="3"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4"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5"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6" nillable="true" ma:displayName="Sesión" ma:indexed="true" ma:internalName="Sesi_x00f3_n" ma:readOnly="false">
      <xsd:simpleType>
        <xsd:restriction base="dms:Text">
          <xsd:maxLength value="255"/>
        </xsd:restriction>
      </xsd:simpleType>
    </xsd:element>
    <xsd:element name="_x002d_" ma:index="7" nillable="true" ma:displayName="-" ma:internalName="_x002d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B653C67-DA6E-4CC4-95D6-D54C83B2999A}">
  <ds:schemaRefs>
    <ds:schemaRef ds:uri="http://schemas.microsoft.com/sharepoint/v3/contenttype/forms"/>
  </ds:schemaRefs>
</ds:datastoreItem>
</file>

<file path=customXml/itemProps2.xml><?xml version="1.0" encoding="utf-8"?>
<ds:datastoreItem xmlns:ds="http://schemas.openxmlformats.org/officeDocument/2006/customXml" ds:itemID="{7B1B2BD6-A6AA-4B33-B51C-95B71938BCCC}">
  <ds:schemaRefs>
    <ds:schemaRef ds:uri="http://schemas.microsoft.com/office/2006/metadata/properties"/>
    <ds:schemaRef ds:uri="http://schemas.microsoft.com/office/infopath/2007/PartnerControls"/>
    <ds:schemaRef ds:uri="96c239bb-9668-4681-985a-a7d7030fe907"/>
  </ds:schemaRefs>
</ds:datastoreItem>
</file>

<file path=customXml/itemProps3.xml><?xml version="1.0" encoding="utf-8"?>
<ds:datastoreItem xmlns:ds="http://schemas.openxmlformats.org/officeDocument/2006/customXml" ds:itemID="{A6BAC7F6-8B99-4D55-8A41-F1B4D46DC8D6}">
  <ds:schemaRefs>
    <ds:schemaRef ds:uri="http://schemas.openxmlformats.org/officeDocument/2006/bibliography"/>
  </ds:schemaRefs>
</ds:datastoreItem>
</file>

<file path=customXml/itemProps4.xml><?xml version="1.0" encoding="utf-8"?>
<ds:datastoreItem xmlns:ds="http://schemas.openxmlformats.org/officeDocument/2006/customXml" ds:itemID="{B877FF48-AD97-42C6-B22C-75CE06BCE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95C1F6-2753-486F-9BEB-57E264C091F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6827</Words>
  <Characters>37553</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44292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hernandezsv@bccr.fi.cr</dc:creator>
  <cp:keywords/>
  <dc:description/>
  <cp:lastModifiedBy>RAMIREZ ARAYA ANA VIRGINIA</cp:lastModifiedBy>
  <cp:revision>4</cp:revision>
  <cp:lastPrinted>2025-09-03T23:51:00Z</cp:lastPrinted>
  <dcterms:created xsi:type="dcterms:W3CDTF">2026-10-29T21:15:00Z</dcterms:created>
  <dcterms:modified xsi:type="dcterms:W3CDTF">2026-10-29T22:29:00Z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0x0101001999A01A5076EF418C32BE07C190743100CCCD100EF7A4A6499464CC7781BA65A8</vt:lpwstr>
  </property>
</Properties>
</file>