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5DA3A" w14:textId="77777777" w:rsidR="00DA54DC" w:rsidRDefault="00DA54DC" w:rsidP="001F668A">
      <w:pPr>
        <w:widowControl w:val="0"/>
        <w:jc w:val="both"/>
        <w:rPr>
          <w:sz w:val="24"/>
          <w:szCs w:val="24"/>
          <w:highlight w:val="yellow"/>
          <w:lang w:val="es-CR"/>
        </w:rPr>
      </w:pPr>
    </w:p>
    <w:p w14:paraId="3737A8E6" w14:textId="77777777" w:rsidR="001F0B02" w:rsidRDefault="001F0B02" w:rsidP="001F668A">
      <w:pPr>
        <w:widowControl w:val="0"/>
        <w:jc w:val="both"/>
        <w:rPr>
          <w:sz w:val="24"/>
          <w:szCs w:val="24"/>
          <w:highlight w:val="yellow"/>
          <w:lang w:val="es-CR"/>
        </w:rPr>
      </w:pPr>
    </w:p>
    <w:p w14:paraId="21452ECC" w14:textId="586EDB76" w:rsidR="001F668A" w:rsidRPr="001F668A" w:rsidRDefault="0035034F" w:rsidP="001F668A">
      <w:pPr>
        <w:widowControl w:val="0"/>
        <w:jc w:val="both"/>
        <w:rPr>
          <w:sz w:val="24"/>
          <w:szCs w:val="24"/>
          <w:lang w:val="es-CR"/>
        </w:rPr>
      </w:pPr>
      <w:r>
        <w:rPr>
          <w:sz w:val="24"/>
          <w:szCs w:val="24"/>
          <w:lang w:val="es-CR"/>
        </w:rPr>
        <w:t>2</w:t>
      </w:r>
      <w:r w:rsidR="00D2651D">
        <w:rPr>
          <w:sz w:val="24"/>
          <w:szCs w:val="24"/>
          <w:lang w:val="es-CR"/>
        </w:rPr>
        <w:t>1</w:t>
      </w:r>
      <w:r>
        <w:rPr>
          <w:sz w:val="24"/>
          <w:szCs w:val="24"/>
          <w:lang w:val="es-CR"/>
        </w:rPr>
        <w:t xml:space="preserve"> </w:t>
      </w:r>
      <w:r w:rsidR="001F668A" w:rsidRPr="001F668A">
        <w:rPr>
          <w:sz w:val="24"/>
          <w:szCs w:val="24"/>
          <w:lang w:val="es-CR"/>
        </w:rPr>
        <w:t>de</w:t>
      </w:r>
      <w:r w:rsidR="006A38B1">
        <w:rPr>
          <w:sz w:val="24"/>
          <w:szCs w:val="24"/>
          <w:lang w:val="es-CR"/>
        </w:rPr>
        <w:t xml:space="preserve"> </w:t>
      </w:r>
      <w:r>
        <w:rPr>
          <w:sz w:val="24"/>
          <w:szCs w:val="24"/>
          <w:lang w:val="es-CR"/>
        </w:rPr>
        <w:t>octubre</w:t>
      </w:r>
      <w:r w:rsidR="001F668A" w:rsidRPr="001F668A">
        <w:rPr>
          <w:sz w:val="24"/>
          <w:szCs w:val="24"/>
          <w:lang w:val="es-CR"/>
        </w:rPr>
        <w:t xml:space="preserve"> de 202</w:t>
      </w:r>
      <w:r w:rsidR="008A7625">
        <w:rPr>
          <w:sz w:val="24"/>
          <w:szCs w:val="24"/>
          <w:lang w:val="es-CR"/>
        </w:rPr>
        <w:t>6</w:t>
      </w:r>
    </w:p>
    <w:p w14:paraId="7621150F" w14:textId="3445BA31" w:rsidR="001F668A" w:rsidRPr="001F668A" w:rsidRDefault="001F668A" w:rsidP="001F668A">
      <w:pPr>
        <w:widowControl w:val="0"/>
        <w:jc w:val="both"/>
        <w:rPr>
          <w:sz w:val="24"/>
          <w:szCs w:val="24"/>
          <w:lang w:val="es-CR"/>
        </w:rPr>
      </w:pPr>
      <w:r w:rsidRPr="001F668A">
        <w:rPr>
          <w:sz w:val="24"/>
          <w:szCs w:val="24"/>
          <w:lang w:val="es-CR"/>
        </w:rPr>
        <w:t>CNS-</w:t>
      </w:r>
      <w:r w:rsidR="00403F49">
        <w:rPr>
          <w:sz w:val="24"/>
          <w:szCs w:val="24"/>
          <w:lang w:val="es-CR"/>
        </w:rPr>
        <w:t>20</w:t>
      </w:r>
      <w:r w:rsidR="0035034F">
        <w:rPr>
          <w:sz w:val="24"/>
          <w:szCs w:val="24"/>
          <w:lang w:val="es-CR"/>
        </w:rPr>
        <w:t>57</w:t>
      </w:r>
      <w:r w:rsidR="00403F49">
        <w:rPr>
          <w:sz w:val="24"/>
          <w:szCs w:val="24"/>
          <w:lang w:val="es-CR"/>
        </w:rPr>
        <w:t>/0</w:t>
      </w:r>
      <w:r w:rsidR="000168A8">
        <w:rPr>
          <w:sz w:val="24"/>
          <w:szCs w:val="24"/>
          <w:lang w:val="es-CR"/>
        </w:rPr>
        <w:t>8</w:t>
      </w:r>
    </w:p>
    <w:p w14:paraId="1BFF55D6" w14:textId="77777777" w:rsidR="00414D18" w:rsidRDefault="00414D18" w:rsidP="009E3ED9">
      <w:pPr>
        <w:jc w:val="both"/>
        <w:rPr>
          <w:sz w:val="24"/>
          <w:szCs w:val="24"/>
          <w:lang w:val="es-CR"/>
        </w:rPr>
      </w:pPr>
    </w:p>
    <w:p w14:paraId="15EC3EB0" w14:textId="77777777" w:rsidR="00A2676E" w:rsidRDefault="00A2676E" w:rsidP="005F5F5D">
      <w:pPr>
        <w:widowControl w:val="0"/>
        <w:jc w:val="both"/>
        <w:rPr>
          <w:sz w:val="24"/>
          <w:szCs w:val="24"/>
          <w:lang w:val="es-CR"/>
        </w:rPr>
      </w:pPr>
    </w:p>
    <w:p w14:paraId="42F0C617" w14:textId="77777777" w:rsidR="00E37819" w:rsidRDefault="00E37819" w:rsidP="005F5F5D">
      <w:pPr>
        <w:widowControl w:val="0"/>
        <w:jc w:val="both"/>
        <w:rPr>
          <w:sz w:val="24"/>
          <w:szCs w:val="24"/>
          <w:lang w:val="es-CR"/>
        </w:rPr>
      </w:pPr>
    </w:p>
    <w:p w14:paraId="689529E9" w14:textId="77777777" w:rsidR="00E37819" w:rsidRDefault="00E37819" w:rsidP="005F5F5D">
      <w:pPr>
        <w:widowControl w:val="0"/>
        <w:jc w:val="both"/>
        <w:rPr>
          <w:sz w:val="24"/>
          <w:szCs w:val="24"/>
          <w:lang w:val="es-CR"/>
        </w:rPr>
      </w:pPr>
    </w:p>
    <w:p w14:paraId="1E95778F" w14:textId="77777777" w:rsidR="0023161A" w:rsidRPr="0023161A" w:rsidRDefault="0023161A" w:rsidP="0023161A">
      <w:pPr>
        <w:widowControl w:val="0"/>
        <w:jc w:val="both"/>
        <w:rPr>
          <w:sz w:val="24"/>
          <w:szCs w:val="24"/>
          <w:lang w:val="es-CR"/>
        </w:rPr>
      </w:pPr>
      <w:r w:rsidRPr="0023161A">
        <w:rPr>
          <w:sz w:val="24"/>
          <w:szCs w:val="24"/>
          <w:lang w:val="es-CR"/>
        </w:rPr>
        <w:t>Señora</w:t>
      </w:r>
    </w:p>
    <w:p w14:paraId="6718603F" w14:textId="77777777" w:rsidR="0023161A" w:rsidRPr="0023161A" w:rsidRDefault="0023161A" w:rsidP="0023161A">
      <w:pPr>
        <w:widowControl w:val="0"/>
        <w:jc w:val="both"/>
        <w:rPr>
          <w:sz w:val="24"/>
          <w:szCs w:val="24"/>
          <w:lang w:val="es-CR"/>
        </w:rPr>
      </w:pPr>
      <w:r w:rsidRPr="0023161A">
        <w:rPr>
          <w:sz w:val="24"/>
          <w:szCs w:val="24"/>
          <w:lang w:val="es-CR"/>
        </w:rPr>
        <w:t>Hazel Valverde Richmond, superintendente</w:t>
      </w:r>
    </w:p>
    <w:p w14:paraId="2D312CAD" w14:textId="77777777" w:rsidR="0023161A" w:rsidRPr="0023161A" w:rsidRDefault="0023161A" w:rsidP="0023161A">
      <w:pPr>
        <w:widowControl w:val="0"/>
        <w:jc w:val="both"/>
        <w:rPr>
          <w:b/>
          <w:i/>
          <w:sz w:val="24"/>
          <w:szCs w:val="24"/>
          <w:lang w:val="es-CR"/>
        </w:rPr>
      </w:pPr>
      <w:r w:rsidRPr="0023161A">
        <w:rPr>
          <w:b/>
          <w:i/>
          <w:sz w:val="24"/>
          <w:szCs w:val="24"/>
          <w:lang w:val="es-CR"/>
        </w:rPr>
        <w:t>Superintendencia General de Entidades Financieras</w:t>
      </w:r>
    </w:p>
    <w:p w14:paraId="528BAFE1" w14:textId="77777777" w:rsidR="0023161A" w:rsidRDefault="0023161A" w:rsidP="0023161A">
      <w:pPr>
        <w:widowControl w:val="0"/>
        <w:jc w:val="both"/>
        <w:rPr>
          <w:b/>
          <w:i/>
          <w:sz w:val="24"/>
          <w:szCs w:val="24"/>
          <w:lang w:val="es-CR"/>
        </w:rPr>
      </w:pPr>
    </w:p>
    <w:p w14:paraId="142C9BF1" w14:textId="77777777" w:rsidR="0023161A" w:rsidRPr="0023161A" w:rsidRDefault="0023161A" w:rsidP="0023161A">
      <w:pPr>
        <w:widowControl w:val="0"/>
        <w:jc w:val="both"/>
        <w:rPr>
          <w:b/>
          <w:i/>
          <w:sz w:val="24"/>
          <w:szCs w:val="24"/>
          <w:lang w:val="es-CR"/>
        </w:rPr>
      </w:pPr>
    </w:p>
    <w:p w14:paraId="53E72C12" w14:textId="77777777" w:rsidR="0023161A" w:rsidRPr="0023161A" w:rsidRDefault="0023161A" w:rsidP="0023161A">
      <w:pPr>
        <w:widowControl w:val="0"/>
        <w:jc w:val="both"/>
        <w:rPr>
          <w:sz w:val="24"/>
          <w:szCs w:val="24"/>
          <w:lang w:val="es-CR"/>
        </w:rPr>
      </w:pPr>
      <w:r w:rsidRPr="0023161A">
        <w:rPr>
          <w:sz w:val="24"/>
          <w:szCs w:val="24"/>
          <w:lang w:val="es-CR"/>
        </w:rPr>
        <w:t>Estimada señora:</w:t>
      </w:r>
    </w:p>
    <w:p w14:paraId="3F3E65B8" w14:textId="77777777" w:rsidR="004D3C25" w:rsidRDefault="004D3C25" w:rsidP="000D33AC">
      <w:pPr>
        <w:widowControl w:val="0"/>
        <w:jc w:val="both"/>
        <w:rPr>
          <w:sz w:val="24"/>
          <w:szCs w:val="24"/>
        </w:rPr>
      </w:pPr>
    </w:p>
    <w:p w14:paraId="46341609" w14:textId="3A2BAF43" w:rsidR="000D33AC" w:rsidRPr="005330F7" w:rsidRDefault="000D33AC" w:rsidP="000D33AC">
      <w:pPr>
        <w:widowControl w:val="0"/>
        <w:jc w:val="both"/>
        <w:rPr>
          <w:sz w:val="24"/>
          <w:szCs w:val="24"/>
          <w:lang w:val="es-CR"/>
        </w:rPr>
      </w:pPr>
      <w:r w:rsidRPr="005330F7">
        <w:rPr>
          <w:sz w:val="24"/>
          <w:szCs w:val="24"/>
          <w:lang w:val="es-CR"/>
        </w:rPr>
        <w:t xml:space="preserve">El Consejo Nacional de Supervisión del Sistema Financiero, en el artículo </w:t>
      </w:r>
      <w:r w:rsidR="000168A8">
        <w:rPr>
          <w:sz w:val="24"/>
          <w:szCs w:val="24"/>
          <w:lang w:val="es-CR"/>
        </w:rPr>
        <w:t>8</w:t>
      </w:r>
      <w:r w:rsidRPr="005330F7">
        <w:rPr>
          <w:sz w:val="24"/>
          <w:szCs w:val="24"/>
          <w:lang w:val="es-CR"/>
        </w:rPr>
        <w:t xml:space="preserve"> del acta de la sesión </w:t>
      </w:r>
      <w:r w:rsidR="00403F49">
        <w:rPr>
          <w:sz w:val="24"/>
          <w:szCs w:val="24"/>
          <w:lang w:val="es-CR"/>
        </w:rPr>
        <w:t>20</w:t>
      </w:r>
      <w:r w:rsidR="0035034F">
        <w:rPr>
          <w:sz w:val="24"/>
          <w:szCs w:val="24"/>
          <w:lang w:val="es-CR"/>
        </w:rPr>
        <w:t>57</w:t>
      </w:r>
      <w:r w:rsidRPr="005330F7">
        <w:rPr>
          <w:sz w:val="24"/>
          <w:szCs w:val="24"/>
          <w:lang w:val="es-CR"/>
        </w:rPr>
        <w:t>-202</w:t>
      </w:r>
      <w:r w:rsidR="008A7625">
        <w:rPr>
          <w:sz w:val="24"/>
          <w:szCs w:val="24"/>
          <w:lang w:val="es-CR"/>
        </w:rPr>
        <w:t>6</w:t>
      </w:r>
      <w:r w:rsidRPr="005330F7">
        <w:rPr>
          <w:sz w:val="24"/>
          <w:szCs w:val="24"/>
          <w:lang w:val="es-CR"/>
        </w:rPr>
        <w:t xml:space="preserve">, celebrada el </w:t>
      </w:r>
      <w:r w:rsidR="00937704">
        <w:rPr>
          <w:sz w:val="24"/>
          <w:szCs w:val="24"/>
          <w:lang w:val="es-CR"/>
        </w:rPr>
        <w:t>19</w:t>
      </w:r>
      <w:r w:rsidRPr="005330F7">
        <w:rPr>
          <w:sz w:val="24"/>
          <w:szCs w:val="24"/>
          <w:lang w:val="es-CR"/>
        </w:rPr>
        <w:t xml:space="preserve"> de </w:t>
      </w:r>
      <w:r w:rsidR="00937704">
        <w:rPr>
          <w:sz w:val="24"/>
          <w:szCs w:val="24"/>
          <w:lang w:val="es-CR"/>
        </w:rPr>
        <w:t>octubre</w:t>
      </w:r>
      <w:r w:rsidRPr="005330F7">
        <w:rPr>
          <w:sz w:val="24"/>
          <w:szCs w:val="24"/>
          <w:lang w:val="es-CR"/>
        </w:rPr>
        <w:t xml:space="preserve"> de 202</w:t>
      </w:r>
      <w:r w:rsidR="008A7625">
        <w:rPr>
          <w:sz w:val="24"/>
          <w:szCs w:val="24"/>
          <w:lang w:val="es-CR"/>
        </w:rPr>
        <w:t>6</w:t>
      </w:r>
      <w:r w:rsidRPr="005330F7">
        <w:rPr>
          <w:sz w:val="24"/>
          <w:szCs w:val="24"/>
          <w:lang w:val="es-CR"/>
        </w:rPr>
        <w:t>,</w:t>
      </w:r>
    </w:p>
    <w:p w14:paraId="2D9997B2" w14:textId="77777777" w:rsidR="000A2FDB" w:rsidRPr="00842B4A" w:rsidRDefault="000A2FDB" w:rsidP="000A2FDB">
      <w:pPr>
        <w:jc w:val="both"/>
        <w:rPr>
          <w:sz w:val="24"/>
          <w:szCs w:val="24"/>
          <w:lang w:val="es-CR"/>
        </w:rPr>
      </w:pPr>
    </w:p>
    <w:p w14:paraId="5FD71150" w14:textId="77777777" w:rsidR="008B5F96" w:rsidRPr="008B5F96" w:rsidRDefault="008B5F96" w:rsidP="008B5F96">
      <w:pPr>
        <w:spacing w:after="240"/>
        <w:jc w:val="both"/>
        <w:rPr>
          <w:b/>
          <w:bCs/>
          <w:sz w:val="24"/>
          <w:szCs w:val="24"/>
          <w:lang w:val="es-CR"/>
        </w:rPr>
      </w:pPr>
      <w:r w:rsidRPr="008B5F96">
        <w:rPr>
          <w:b/>
          <w:bCs/>
          <w:sz w:val="24"/>
          <w:szCs w:val="24"/>
          <w:lang w:val="es-CR"/>
        </w:rPr>
        <w:t>al considerar que:</w:t>
      </w:r>
    </w:p>
    <w:p w14:paraId="58C0034D" w14:textId="77777777" w:rsidR="008B5F96" w:rsidRPr="008B5F96" w:rsidRDefault="008B5F96" w:rsidP="008B5F96">
      <w:pPr>
        <w:tabs>
          <w:tab w:val="left" w:pos="426"/>
        </w:tabs>
        <w:ind w:left="426" w:hanging="426"/>
        <w:jc w:val="both"/>
        <w:rPr>
          <w:sz w:val="24"/>
          <w:szCs w:val="24"/>
          <w:lang w:val="es-CR"/>
        </w:rPr>
      </w:pPr>
      <w:r w:rsidRPr="008B5F96">
        <w:rPr>
          <w:sz w:val="24"/>
          <w:szCs w:val="24"/>
          <w:lang w:val="es-CR"/>
        </w:rPr>
        <w:t>I)</w:t>
      </w:r>
      <w:r w:rsidRPr="008B5F96">
        <w:rPr>
          <w:sz w:val="24"/>
          <w:szCs w:val="24"/>
          <w:lang w:val="es-CR"/>
        </w:rPr>
        <w:tab/>
        <w:t xml:space="preserve">El numeral 2) del artículo 361 de la </w:t>
      </w:r>
      <w:r w:rsidRPr="008B5F96">
        <w:rPr>
          <w:i/>
          <w:iCs/>
          <w:sz w:val="24"/>
          <w:szCs w:val="24"/>
          <w:lang w:val="es-CR"/>
        </w:rPr>
        <w:t>Ley General de la Administración Pública</w:t>
      </w:r>
      <w:r w:rsidRPr="008B5F96">
        <w:rPr>
          <w:sz w:val="24"/>
          <w:szCs w:val="24"/>
          <w:lang w:val="es-CR"/>
        </w:rPr>
        <w:t>, Ley 6227, establece que se concederá a las entidades representativas de intereses de carácter general o corporativo afectadas por una disposición nueva, la oportunidad de exponer su parecer.</w:t>
      </w:r>
    </w:p>
    <w:p w14:paraId="594B87A0" w14:textId="77777777" w:rsidR="008B5F96" w:rsidRPr="008B5F96" w:rsidRDefault="008B5F96" w:rsidP="008B5F96">
      <w:pPr>
        <w:tabs>
          <w:tab w:val="left" w:pos="426"/>
        </w:tabs>
        <w:ind w:left="1080"/>
        <w:contextualSpacing/>
        <w:jc w:val="both"/>
        <w:rPr>
          <w:sz w:val="24"/>
          <w:szCs w:val="24"/>
          <w:lang w:val="es-CR"/>
        </w:rPr>
      </w:pPr>
    </w:p>
    <w:p w14:paraId="419ED91F" w14:textId="77777777" w:rsidR="008B5F96" w:rsidRPr="008B5F96" w:rsidRDefault="008B5F96" w:rsidP="008B5F96">
      <w:pPr>
        <w:tabs>
          <w:tab w:val="left" w:pos="426"/>
        </w:tabs>
        <w:ind w:left="426" w:hanging="426"/>
        <w:jc w:val="both"/>
        <w:rPr>
          <w:sz w:val="24"/>
          <w:szCs w:val="24"/>
          <w:lang w:val="es-CR"/>
        </w:rPr>
      </w:pPr>
      <w:r w:rsidRPr="008B5F96">
        <w:rPr>
          <w:sz w:val="24"/>
          <w:szCs w:val="24"/>
          <w:lang w:val="es-CR"/>
        </w:rPr>
        <w:t>II)</w:t>
      </w:r>
      <w:r w:rsidRPr="008B5F96">
        <w:rPr>
          <w:sz w:val="24"/>
          <w:szCs w:val="24"/>
          <w:lang w:val="es-CR"/>
        </w:rPr>
        <w:tab/>
        <w:t xml:space="preserve">Se elaboró el </w:t>
      </w:r>
      <w:r w:rsidRPr="008B5F96">
        <w:rPr>
          <w:i/>
          <w:iCs/>
          <w:sz w:val="24"/>
          <w:szCs w:val="24"/>
          <w:lang w:val="es-CR"/>
        </w:rPr>
        <w:t>Reglamento sobre Cálculo de Estimaciones Crediticias</w:t>
      </w:r>
      <w:r w:rsidRPr="008B5F96">
        <w:rPr>
          <w:sz w:val="24"/>
          <w:szCs w:val="24"/>
          <w:lang w:val="es-CR"/>
        </w:rPr>
        <w:t>, Acuerdo Sugef 1-26, con el objeto de establecer la metodología para cuantificar el riesgo de crédito de las operaciones crediticias y de los deudores, según corresponda, y constituir las estimaciones correspondientes, con el fin de salvaguardar la estabilidad y la solvencia de las entidades supervisadas por la Superintendencia General de Entidades Financieras (Sugef).</w:t>
      </w:r>
    </w:p>
    <w:p w14:paraId="3A02B456" w14:textId="77777777" w:rsidR="008B5F96" w:rsidRPr="008B5F96" w:rsidRDefault="008B5F96" w:rsidP="008B5F96">
      <w:pPr>
        <w:tabs>
          <w:tab w:val="left" w:pos="426"/>
        </w:tabs>
        <w:jc w:val="both"/>
        <w:rPr>
          <w:sz w:val="24"/>
          <w:szCs w:val="24"/>
          <w:lang w:val="es-CR"/>
        </w:rPr>
      </w:pPr>
    </w:p>
    <w:p w14:paraId="14CD1E9D" w14:textId="77777777" w:rsidR="008B5F96" w:rsidRPr="008B5F96" w:rsidRDefault="008B5F96" w:rsidP="008B5F96">
      <w:pPr>
        <w:jc w:val="both"/>
        <w:rPr>
          <w:b/>
          <w:bCs/>
          <w:sz w:val="24"/>
          <w:szCs w:val="24"/>
          <w:lang w:val="es-CR"/>
        </w:rPr>
      </w:pPr>
      <w:r w:rsidRPr="008B5F96">
        <w:rPr>
          <w:b/>
          <w:bCs/>
          <w:sz w:val="24"/>
          <w:szCs w:val="24"/>
          <w:lang w:val="es-CR"/>
        </w:rPr>
        <w:t>dispuso por mayoría y en firme:</w:t>
      </w:r>
    </w:p>
    <w:p w14:paraId="1C1C1892" w14:textId="77777777" w:rsidR="008B5F96" w:rsidRPr="008B5F96" w:rsidRDefault="008B5F96" w:rsidP="008B5F96">
      <w:pPr>
        <w:jc w:val="both"/>
        <w:rPr>
          <w:sz w:val="24"/>
          <w:szCs w:val="24"/>
          <w:lang w:val="es-CR"/>
        </w:rPr>
      </w:pPr>
    </w:p>
    <w:p w14:paraId="7CE760F8" w14:textId="77777777" w:rsidR="008B5F96" w:rsidRPr="008B5F96" w:rsidRDefault="008B5F96" w:rsidP="008B5F96">
      <w:pPr>
        <w:jc w:val="both"/>
        <w:rPr>
          <w:sz w:val="24"/>
          <w:szCs w:val="24"/>
          <w:lang w:val="es-CR"/>
        </w:rPr>
      </w:pPr>
      <w:r w:rsidRPr="008B5F96">
        <w:rPr>
          <w:sz w:val="24"/>
          <w:szCs w:val="24"/>
          <w:lang w:val="es-CR"/>
        </w:rPr>
        <w:t xml:space="preserve">remitir en consulta, en cumplimiento de lo establecido en el numeral 2), artículo 361, de la </w:t>
      </w:r>
      <w:r w:rsidRPr="008B5F96">
        <w:rPr>
          <w:i/>
          <w:iCs/>
          <w:sz w:val="24"/>
          <w:szCs w:val="24"/>
          <w:lang w:val="es-CR"/>
        </w:rPr>
        <w:t>Ley General de la Administración Pública</w:t>
      </w:r>
      <w:r w:rsidRPr="008B5F96">
        <w:rPr>
          <w:sz w:val="24"/>
          <w:szCs w:val="24"/>
          <w:lang w:val="es-CR"/>
        </w:rPr>
        <w:t xml:space="preserve">, Ley 6227, a las entidades supervisadas por la Superintendencia General de Entidades Financieras (Sugef) y al Ministerio de Hacienda, la propuesta de emisión del </w:t>
      </w:r>
      <w:r w:rsidRPr="008B5F96">
        <w:rPr>
          <w:i/>
          <w:iCs/>
          <w:sz w:val="24"/>
          <w:szCs w:val="24"/>
          <w:lang w:val="es-CR"/>
        </w:rPr>
        <w:t>Reglamento sobre Cálculo de Estimaciones Crediticias</w:t>
      </w:r>
      <w:r w:rsidRPr="008B5F96">
        <w:rPr>
          <w:sz w:val="24"/>
          <w:szCs w:val="24"/>
          <w:lang w:val="es-CR"/>
        </w:rPr>
        <w:t>, Acuerdo Sugef 1-26, de conformidad con el texto que se incluye a continuación y en el entendido de que, en un plazo máximo de diez (10) días hábiles, contado a partir del día hábil siguiente del recibo de la respectiva comunicación, deberán adicionar sus comentarios y observaciones en el formulario que está disponible en el apartado “Formularios para remitir observaciones de normativa en consulta”, ubicado en la página oficial de la Sugef.</w:t>
      </w:r>
    </w:p>
    <w:p w14:paraId="39ACE6FC" w14:textId="77777777" w:rsidR="00E37819" w:rsidRDefault="00E37819">
      <w:pPr>
        <w:rPr>
          <w:b/>
          <w:bCs/>
          <w:sz w:val="24"/>
          <w:szCs w:val="24"/>
          <w:lang w:val="es-CR"/>
        </w:rPr>
      </w:pPr>
      <w:r>
        <w:rPr>
          <w:b/>
          <w:bCs/>
          <w:sz w:val="24"/>
          <w:szCs w:val="24"/>
          <w:lang w:val="es-CR"/>
        </w:rPr>
        <w:br w:type="page"/>
      </w:r>
    </w:p>
    <w:p w14:paraId="6E8000BD" w14:textId="3F1592C8" w:rsidR="008B5F96" w:rsidRPr="00E37819" w:rsidRDefault="008B5F96" w:rsidP="008B5F96">
      <w:pPr>
        <w:spacing w:after="240"/>
        <w:jc w:val="center"/>
        <w:rPr>
          <w:b/>
          <w:bCs/>
          <w:sz w:val="22"/>
          <w:szCs w:val="22"/>
          <w:lang w:val="es-CR"/>
        </w:rPr>
      </w:pPr>
      <w:r w:rsidRPr="00E37819">
        <w:rPr>
          <w:b/>
          <w:bCs/>
          <w:sz w:val="22"/>
          <w:szCs w:val="22"/>
          <w:lang w:val="es-CR"/>
        </w:rPr>
        <w:lastRenderedPageBreak/>
        <w:t>“PROYECTO DE ACUERDO Sugef 1-26</w:t>
      </w:r>
    </w:p>
    <w:p w14:paraId="3FA94168" w14:textId="77777777" w:rsidR="008B5F96" w:rsidRPr="008B5F96" w:rsidRDefault="008B5F96" w:rsidP="008B5F96">
      <w:pPr>
        <w:spacing w:after="240"/>
        <w:jc w:val="center"/>
        <w:rPr>
          <w:b/>
          <w:sz w:val="22"/>
          <w:szCs w:val="22"/>
          <w:lang w:val="es-CR"/>
        </w:rPr>
      </w:pPr>
      <w:r w:rsidRPr="008B5F96">
        <w:rPr>
          <w:b/>
          <w:sz w:val="22"/>
          <w:szCs w:val="22"/>
          <w:lang w:val="es-ES_tradnl"/>
        </w:rPr>
        <w:t>REGLAMENTO SOBRE CÁLCULO DE ESTIMACIONES CREDITICIAS</w:t>
      </w:r>
    </w:p>
    <w:p w14:paraId="5B3EF83D" w14:textId="77777777" w:rsidR="008B5F96" w:rsidRPr="008B5F96" w:rsidRDefault="008B5F96" w:rsidP="008B5F96">
      <w:pPr>
        <w:jc w:val="both"/>
        <w:rPr>
          <w:sz w:val="22"/>
          <w:szCs w:val="22"/>
          <w:lang w:val="es-CR"/>
        </w:rPr>
      </w:pPr>
    </w:p>
    <w:p w14:paraId="19C6249D" w14:textId="77777777" w:rsidR="008B5F96" w:rsidRPr="008B5F96" w:rsidRDefault="008B5F96" w:rsidP="008B5F96">
      <w:pPr>
        <w:jc w:val="both"/>
        <w:rPr>
          <w:sz w:val="22"/>
          <w:szCs w:val="22"/>
          <w:lang w:val="es-CR"/>
        </w:rPr>
      </w:pPr>
      <w:r w:rsidRPr="008B5F96">
        <w:rPr>
          <w:sz w:val="22"/>
          <w:szCs w:val="22"/>
          <w:lang w:val="es-CR"/>
        </w:rPr>
        <w:t>El Consejo Nacional de Supervisión del Sistema Financiero,</w:t>
      </w:r>
    </w:p>
    <w:p w14:paraId="61775674" w14:textId="77777777" w:rsidR="008B5F96" w:rsidRPr="008B5F96" w:rsidRDefault="008B5F96" w:rsidP="008B5F96">
      <w:pPr>
        <w:jc w:val="both"/>
        <w:rPr>
          <w:sz w:val="22"/>
          <w:szCs w:val="22"/>
          <w:lang w:val="es-CR"/>
        </w:rPr>
      </w:pPr>
    </w:p>
    <w:p w14:paraId="3A3C7B8E" w14:textId="77777777" w:rsidR="008B5F96" w:rsidRPr="008B5F96" w:rsidRDefault="008B5F96" w:rsidP="008B5F96">
      <w:pPr>
        <w:jc w:val="both"/>
        <w:rPr>
          <w:b/>
          <w:bCs/>
          <w:sz w:val="24"/>
          <w:szCs w:val="24"/>
          <w:lang w:val="es-CR"/>
        </w:rPr>
      </w:pPr>
      <w:r w:rsidRPr="008B5F96">
        <w:rPr>
          <w:b/>
          <w:bCs/>
          <w:sz w:val="24"/>
          <w:szCs w:val="24"/>
          <w:lang w:val="es-CR"/>
        </w:rPr>
        <w:t>al considerar que:</w:t>
      </w:r>
    </w:p>
    <w:p w14:paraId="3D5CC124" w14:textId="77777777" w:rsidR="008B5F96" w:rsidRPr="008B5F96" w:rsidRDefault="008B5F96" w:rsidP="008B5F96">
      <w:pPr>
        <w:jc w:val="both"/>
        <w:rPr>
          <w:sz w:val="22"/>
          <w:szCs w:val="22"/>
          <w:lang w:val="es-CR"/>
        </w:rPr>
      </w:pPr>
    </w:p>
    <w:p w14:paraId="2A6A51A7" w14:textId="77777777" w:rsidR="008B5F96" w:rsidRPr="008B5F96" w:rsidRDefault="008B5F96" w:rsidP="008B5F96">
      <w:pPr>
        <w:jc w:val="both"/>
        <w:rPr>
          <w:b/>
          <w:bCs/>
          <w:sz w:val="22"/>
          <w:szCs w:val="22"/>
          <w:lang w:val="es-CR"/>
        </w:rPr>
      </w:pPr>
      <w:r w:rsidRPr="008B5F96">
        <w:rPr>
          <w:b/>
          <w:bCs/>
          <w:sz w:val="22"/>
          <w:szCs w:val="22"/>
          <w:lang w:val="es-CR"/>
        </w:rPr>
        <w:t>Consideraciones de orden legal y reglamentario</w:t>
      </w:r>
    </w:p>
    <w:p w14:paraId="4BCB49C3" w14:textId="77777777" w:rsidR="008B5F96" w:rsidRPr="008B5F96" w:rsidRDefault="008B5F96" w:rsidP="008B5F96">
      <w:pPr>
        <w:jc w:val="both"/>
        <w:rPr>
          <w:sz w:val="22"/>
          <w:szCs w:val="22"/>
          <w:lang w:val="es-CR"/>
        </w:rPr>
      </w:pPr>
    </w:p>
    <w:p w14:paraId="50D98C5D"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1)</w:t>
      </w:r>
      <w:r w:rsidRPr="008B5F96">
        <w:rPr>
          <w:sz w:val="22"/>
          <w:szCs w:val="22"/>
          <w:lang w:val="es-CR"/>
        </w:rPr>
        <w:tab/>
        <w:t xml:space="preserve">El literal b) del artículo 171 de la </w:t>
      </w:r>
      <w:r w:rsidRPr="008B5F96">
        <w:rPr>
          <w:i/>
          <w:iCs/>
          <w:sz w:val="22"/>
          <w:szCs w:val="22"/>
          <w:lang w:val="es-CR"/>
        </w:rPr>
        <w:t>Ley Reguladora del Mercado de Valores</w:t>
      </w:r>
      <w:r w:rsidRPr="008B5F96">
        <w:rPr>
          <w:sz w:val="22"/>
          <w:szCs w:val="22"/>
          <w:lang w:val="es-CR"/>
        </w:rPr>
        <w:t>, Ley 7732, dispone, como una de las funciones del Consejo Nacional de Supervisión del Sistema Financiero (Conassif), aprobar las normas atinentes a la autorización, regulación, supervisión, fiscalización y vigilancia que, conforme a la Ley, debe ejecutar la Superintendencia General de Entidades Financieras (Sugef).</w:t>
      </w:r>
    </w:p>
    <w:p w14:paraId="44EAB369" w14:textId="77777777" w:rsidR="008B5F96" w:rsidRPr="008B5F96" w:rsidRDefault="008B5F96" w:rsidP="008B5F96">
      <w:pPr>
        <w:tabs>
          <w:tab w:val="left" w:pos="37"/>
          <w:tab w:val="left" w:pos="462"/>
        </w:tabs>
        <w:ind w:left="757"/>
        <w:contextualSpacing/>
        <w:jc w:val="both"/>
        <w:rPr>
          <w:sz w:val="22"/>
          <w:szCs w:val="22"/>
          <w:lang w:val="es-CR"/>
        </w:rPr>
      </w:pPr>
    </w:p>
    <w:p w14:paraId="7AF1A4FF"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2)</w:t>
      </w:r>
      <w:r w:rsidRPr="008B5F96">
        <w:rPr>
          <w:sz w:val="22"/>
          <w:szCs w:val="22"/>
          <w:lang w:val="es-CR"/>
        </w:rPr>
        <w:tab/>
        <w:t xml:space="preserve">El literal c) del artículo 131 de la </w:t>
      </w:r>
      <w:r w:rsidRPr="008B5F96">
        <w:rPr>
          <w:i/>
          <w:iCs/>
          <w:sz w:val="22"/>
          <w:szCs w:val="22"/>
          <w:lang w:val="es-CR"/>
        </w:rPr>
        <w:t>Ley Orgánica del Banco Central de Costa Rica</w:t>
      </w:r>
      <w:r w:rsidRPr="008B5F96">
        <w:rPr>
          <w:sz w:val="22"/>
          <w:szCs w:val="22"/>
          <w:lang w:val="es-CR"/>
        </w:rPr>
        <w:t>, Ley 7558, establece como parte de las funciones del superintendente general de entidades financieras, proponer al Conassif para su aprobación, las normas que estime necesarias para el desarrollo de las labores de supervisión y fiscalización.</w:t>
      </w:r>
    </w:p>
    <w:p w14:paraId="2353D362" w14:textId="77777777" w:rsidR="008B5F96" w:rsidRPr="008B5F96" w:rsidRDefault="008B5F96" w:rsidP="008B5F96">
      <w:pPr>
        <w:ind w:left="720"/>
        <w:contextualSpacing/>
        <w:rPr>
          <w:sz w:val="22"/>
          <w:szCs w:val="22"/>
          <w:lang w:val="es-CR"/>
        </w:rPr>
      </w:pPr>
    </w:p>
    <w:p w14:paraId="61E11D1B"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3)</w:t>
      </w:r>
      <w:r w:rsidRPr="008B5F96">
        <w:rPr>
          <w:sz w:val="22"/>
          <w:szCs w:val="22"/>
          <w:lang w:val="es-CR"/>
        </w:rPr>
        <w:tab/>
        <w:t xml:space="preserve">Mediante artículos 8 y 9, de las actas de las sesiones 1699-2021 y 1700-2021, celebradas el 11 y 15 de noviembre de 2021, respectivamente, el Conassif aprobó el </w:t>
      </w:r>
      <w:r w:rsidRPr="008B5F96">
        <w:rPr>
          <w:i/>
          <w:iCs/>
          <w:sz w:val="22"/>
          <w:szCs w:val="22"/>
          <w:lang w:val="es-CR"/>
        </w:rPr>
        <w:t>Reglamento sobre cálculo de estimaciones crediticias</w:t>
      </w:r>
      <w:r w:rsidRPr="008B5F96">
        <w:rPr>
          <w:sz w:val="22"/>
          <w:szCs w:val="22"/>
          <w:lang w:val="es-CR"/>
        </w:rPr>
        <w:t>, Acuerdo Conassif 14-21, mediante el cual se estableció la metodología para cuantificar el riesgo de crédito de las operaciones crediticias o de los deudores, y constituir las estimaciones correspondientes con el fin de salvaguardar la estabilidad y solvencia de las entidades supervisadas, así como de los grupos y conglomerados financieros.</w:t>
      </w:r>
    </w:p>
    <w:p w14:paraId="14269217" w14:textId="77777777" w:rsidR="008B5F96" w:rsidRPr="008B5F96" w:rsidRDefault="008B5F96" w:rsidP="008B5F96">
      <w:pPr>
        <w:ind w:left="720"/>
        <w:contextualSpacing/>
        <w:rPr>
          <w:sz w:val="22"/>
          <w:szCs w:val="22"/>
          <w:lang w:val="es-CR"/>
        </w:rPr>
      </w:pPr>
    </w:p>
    <w:p w14:paraId="26BF4ACF"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4)</w:t>
      </w:r>
      <w:r w:rsidRPr="008B5F96">
        <w:rPr>
          <w:sz w:val="22"/>
          <w:szCs w:val="22"/>
          <w:lang w:val="es-CR"/>
        </w:rPr>
        <w:tab/>
        <w:t xml:space="preserve">Las entidades supervisadas por la Sugef están sujetas a lo dispuesto en el </w:t>
      </w:r>
      <w:r w:rsidRPr="008B5F96">
        <w:rPr>
          <w:i/>
          <w:iCs/>
          <w:sz w:val="22"/>
          <w:szCs w:val="22"/>
          <w:lang w:val="es-CR"/>
        </w:rPr>
        <w:t>Reglamento sobre Cálculo de Estimaciones Crediticias</w:t>
      </w:r>
      <w:r w:rsidRPr="008B5F96">
        <w:rPr>
          <w:sz w:val="22"/>
          <w:szCs w:val="22"/>
          <w:lang w:val="es-CR"/>
        </w:rPr>
        <w:t>, establecido en el Acuerdo Conassif 14-21; sin embargo, resulta necesario establecer una normativa exclusiva para los intermediarios financieros incluidos en el ámbito de supervisión de la Sugef, debido a las características particulares de su actividad crediticia, la disponibilidad de información que permite la aplicación de metodologías prudenciales más especializadas y la conveniencia de incorporar enfoques prospectivos y parámetros calibrados que reflejen con mayor precisión el riesgo crediticio. Este marco normativo independiente tiene como propósito asegurar coherencia técnica y alineación con estándares internacionales, particularmente los emitidos por el Comité de Supervisión Bancaria de Basilea (CSBB) en materia de la valoración del riesgo crediticio. La vigencia de este nuevo reglamento y su sustitución se consignarán en las disposiciones finales.</w:t>
      </w:r>
    </w:p>
    <w:p w14:paraId="13A5A17F" w14:textId="77777777" w:rsidR="008B5F96" w:rsidRPr="008B5F96" w:rsidRDefault="008B5F96" w:rsidP="008B5F96">
      <w:pPr>
        <w:ind w:left="720"/>
        <w:contextualSpacing/>
        <w:rPr>
          <w:sz w:val="22"/>
          <w:szCs w:val="22"/>
          <w:lang w:val="es-CR"/>
        </w:rPr>
      </w:pPr>
    </w:p>
    <w:p w14:paraId="543144C0"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5)</w:t>
      </w:r>
      <w:r w:rsidRPr="008B5F96">
        <w:rPr>
          <w:sz w:val="22"/>
          <w:szCs w:val="22"/>
          <w:lang w:val="es-CR"/>
        </w:rPr>
        <w:tab/>
        <w:t xml:space="preserve">De conformidad con los artículos 6 y 5 de las actas de las sesiones 1442-2018 y 1443-2018, ambas celebradas el 11 de setiembre de 2018, el Conassif aprobó el </w:t>
      </w:r>
      <w:r w:rsidRPr="008B5F96">
        <w:rPr>
          <w:i/>
          <w:iCs/>
          <w:sz w:val="22"/>
          <w:szCs w:val="22"/>
          <w:lang w:val="es-CR"/>
        </w:rPr>
        <w:t>Reglamento de Información Financiera</w:t>
      </w:r>
      <w:r w:rsidRPr="008B5F96">
        <w:rPr>
          <w:sz w:val="22"/>
          <w:szCs w:val="22"/>
          <w:lang w:val="es-CR"/>
        </w:rPr>
        <w:t xml:space="preserve">, Acuerdo 6-18, (en adelante RIF), vigente a partir del 1 de enero de 2020, y publicado en el Alcance 188 al diario oficial La Gaceta 196 del 24 de octubre del 2018. El RIF es un Reglamento con alcance a todas las entidades supervisadas por las cuatro superintendencias financieras del país. Con la aprobación del RIF se actualizó la base contable regulatoria con el propósito de avanzar hacia la adopción en el sistema financiero nacional (SFN) de las Normas Internacionales de Información Financiera (NIIF) con sus textos más recientes, emitidos por la Junta de Normas Internacionales de Contabilidad (IASB por sus siglas en inglés), lo anterior para </w:t>
      </w:r>
      <w:r w:rsidRPr="008B5F96">
        <w:rPr>
          <w:sz w:val="22"/>
          <w:szCs w:val="22"/>
          <w:lang w:val="es-CR"/>
        </w:rPr>
        <w:lastRenderedPageBreak/>
        <w:t>favorecer la comparabilidad y la lectura de la información financiera tanto de usuarios nacionales como extranjeros. Asimismo, mediante Transitorio III del RIF, se dispuso que para la aplicación de la Norma Internacional de Información Financiera 9 Instrumentos Financieros (NIIF-9), específicamente, para la medición de las pérdidas crediticias esperadas (PCE) se continuará con la regulación prudencial emitida por el Conassif para la cartera de créditos y créditos contingentes concedidos, hasta que ello se modifique.</w:t>
      </w:r>
    </w:p>
    <w:p w14:paraId="01275BC3" w14:textId="77777777" w:rsidR="008B5F96" w:rsidRPr="008B5F96" w:rsidRDefault="008B5F96" w:rsidP="008B5F96">
      <w:pPr>
        <w:tabs>
          <w:tab w:val="left" w:pos="37"/>
          <w:tab w:val="left" w:pos="462"/>
        </w:tabs>
        <w:ind w:left="360"/>
        <w:contextualSpacing/>
        <w:jc w:val="both"/>
        <w:rPr>
          <w:sz w:val="22"/>
          <w:szCs w:val="22"/>
          <w:lang w:val="es-CR"/>
        </w:rPr>
      </w:pPr>
    </w:p>
    <w:p w14:paraId="5DF7EB6E"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6)</w:t>
      </w:r>
      <w:r w:rsidRPr="008B5F96">
        <w:rPr>
          <w:sz w:val="22"/>
          <w:szCs w:val="22"/>
          <w:lang w:val="es-CR"/>
        </w:rPr>
        <w:tab/>
        <w:t>En materia de revelación de información financiera, con la entrada en vigor del RIF quedó adoptada la NIIF-7 Instrumentos Financieros: Información a revelar. Este estándar establece que las entidades deben revelar en sus estados financieros, información que permita a los usuarios evaluar: (a) la relevancia de los instrumentos financieros en la situación financiera y en el rendimiento de la entidad; y (b) la naturaleza y alcance de los riesgos procedentes de los instrumentos financieros a los que la entidad se haya expuesto durante el periodo y lo esté al final del periodo sobre el que se informa, así como la forma de gestionar dichos riesgos. Los principios de revelación contenidos en esta NIIF complementan a los de reconocimiento, medición y presentación de los activos y pasivos financieros establecidos en la Norma Internacional de Contabilidad 32 Instrumentos Financieros: Presentación (NIC 32) y la NIIF-9.</w:t>
      </w:r>
    </w:p>
    <w:p w14:paraId="0B0FBF85" w14:textId="77777777" w:rsidR="008B5F96" w:rsidRPr="008B5F96" w:rsidRDefault="008B5F96" w:rsidP="008B5F96">
      <w:pPr>
        <w:ind w:left="720"/>
        <w:contextualSpacing/>
        <w:rPr>
          <w:sz w:val="22"/>
          <w:szCs w:val="22"/>
          <w:lang w:val="es-CR"/>
        </w:rPr>
      </w:pPr>
    </w:p>
    <w:p w14:paraId="7633071D"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7)</w:t>
      </w:r>
      <w:r w:rsidRPr="008B5F96">
        <w:rPr>
          <w:sz w:val="22"/>
          <w:szCs w:val="22"/>
          <w:lang w:val="es-CR"/>
        </w:rPr>
        <w:tab/>
        <w:t xml:space="preserve">Mediante el artículo 12, del acta de la sesión 1251-2016, celebrada el 10 de mayo del 2016, el Conassif aprobó el </w:t>
      </w:r>
      <w:r w:rsidRPr="008B5F96">
        <w:rPr>
          <w:i/>
          <w:iCs/>
          <w:sz w:val="22"/>
          <w:szCs w:val="22"/>
          <w:lang w:val="es-CR"/>
        </w:rPr>
        <w:t>Reglamento sobre gestión y evaluación del riesgo de crédito para el Sistema de Banca para el Desarrollo</w:t>
      </w:r>
      <w:r w:rsidRPr="008B5F96">
        <w:rPr>
          <w:sz w:val="22"/>
          <w:szCs w:val="22"/>
          <w:lang w:val="es-CR"/>
        </w:rPr>
        <w:t xml:space="preserve">, Acuerdo Sugef 15-16. Este reglamento es de aplicación exclusiva a las operaciones de crédito avaladas o financiadas con recursos del Sistema de Banca de Desarrollo (SBD) y sigue parámetros y alcances específicos definidos en la </w:t>
      </w:r>
      <w:r w:rsidRPr="008B5F96">
        <w:rPr>
          <w:i/>
          <w:iCs/>
          <w:sz w:val="22"/>
          <w:szCs w:val="22"/>
          <w:lang w:val="es-CR"/>
        </w:rPr>
        <w:t>Ley del Sistema de Banca para el Desarrollo</w:t>
      </w:r>
      <w:r w:rsidRPr="008B5F96">
        <w:rPr>
          <w:sz w:val="22"/>
          <w:szCs w:val="22"/>
          <w:lang w:val="es-CR"/>
        </w:rPr>
        <w:t>, Ley 8634 del 23 de abril de 2008 y Ley 9274 del 12 de noviembre del 2014. El Acuerdo Sugef 15-16 no se modifica como parte de la reforma reglamentaria que se propone.</w:t>
      </w:r>
    </w:p>
    <w:p w14:paraId="1EA4CD69" w14:textId="77777777" w:rsidR="008B5F96" w:rsidRPr="008B5F96" w:rsidRDefault="008B5F96" w:rsidP="008B5F96">
      <w:pPr>
        <w:ind w:left="720"/>
        <w:contextualSpacing/>
        <w:rPr>
          <w:sz w:val="22"/>
          <w:szCs w:val="22"/>
          <w:lang w:val="es-CR"/>
        </w:rPr>
      </w:pPr>
    </w:p>
    <w:p w14:paraId="336901F2"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8)</w:t>
      </w:r>
      <w:r w:rsidRPr="008B5F96">
        <w:rPr>
          <w:sz w:val="22"/>
          <w:szCs w:val="22"/>
          <w:lang w:val="es-CR"/>
        </w:rPr>
        <w:tab/>
        <w:t xml:space="preserve">Mediante artículo 6 del acta de la sesión 1258-2016, celebrada el 7 de junio del 2016, el Conassif aprobó el </w:t>
      </w:r>
      <w:r w:rsidRPr="008B5F96">
        <w:rPr>
          <w:i/>
          <w:iCs/>
          <w:sz w:val="22"/>
          <w:szCs w:val="22"/>
          <w:lang w:val="es-CR"/>
        </w:rPr>
        <w:t>Reglamento para la determinación y el registro de estimaciones contracíclicas</w:t>
      </w:r>
      <w:r w:rsidRPr="008B5F96">
        <w:rPr>
          <w:sz w:val="22"/>
          <w:szCs w:val="22"/>
          <w:lang w:val="es-CR"/>
        </w:rPr>
        <w:t>, Acuerdo Sugef 19-16. Las estimaciones contracíclicas se consideran genéricas, es decir, no están relacionadas a un riesgo específico, sino que se asocian a riesgos que aún no se han manifestado. En este sentido, son de carácter prudencial y no corresponden a un ajuste al valor de un activo financiero por riesgos crediticios manifiestos o esperados. El estándar NIIF no admite que estas estimaciones sean tratadas como gasto, y consecuentemente este tratamiento es una brecha con dicho estándar.</w:t>
      </w:r>
    </w:p>
    <w:p w14:paraId="5E7C81B8" w14:textId="77777777" w:rsidR="008B5F96" w:rsidRPr="008B5F96" w:rsidRDefault="008B5F96" w:rsidP="008B5F96">
      <w:pPr>
        <w:ind w:left="720"/>
        <w:contextualSpacing/>
        <w:rPr>
          <w:sz w:val="22"/>
          <w:szCs w:val="22"/>
          <w:lang w:val="es-CR"/>
        </w:rPr>
      </w:pPr>
    </w:p>
    <w:p w14:paraId="698963C1"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9)</w:t>
      </w:r>
      <w:r w:rsidRPr="008B5F96">
        <w:rPr>
          <w:sz w:val="22"/>
          <w:szCs w:val="22"/>
          <w:lang w:val="es-CR"/>
        </w:rPr>
        <w:tab/>
        <w:t>Se considera necesario contar con herramientas prudenciales contracíclicas, que contribuyan a preservar la estabilidad y el adecuado funcionamiento del sistema financiero nacional en períodos de contracción económica. De previo a plantear el cambio hacia requerimientos contracíclicos basados en capital y no en estimaciones, resulta necesario contar con un período de observación de la nueva dinámica de estimaciones calculadas a partir de esta propuesta. Además, frente a la coyuntura actual, prudencialmente conviene preservar los resguardos constituidos mediante estimaciones contracíclicas, y aplicarlos conforme las reglas de acumulación y desacumulación establecidas en la regulación. Por esta razón, el Acuerdo Sugef 19-16 no se modifica con la reforma reglamentaria que se propone.</w:t>
      </w:r>
    </w:p>
    <w:p w14:paraId="56C4E33D" w14:textId="77777777" w:rsidR="008B5F96" w:rsidRPr="008B5F96" w:rsidRDefault="008B5F96" w:rsidP="008B5F96">
      <w:pPr>
        <w:ind w:left="720"/>
        <w:contextualSpacing/>
        <w:rPr>
          <w:sz w:val="22"/>
          <w:szCs w:val="22"/>
          <w:lang w:val="es-CR"/>
        </w:rPr>
      </w:pPr>
    </w:p>
    <w:p w14:paraId="5A4E8C3A"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10)</w:t>
      </w:r>
      <w:r w:rsidRPr="008B5F96">
        <w:rPr>
          <w:sz w:val="22"/>
          <w:szCs w:val="22"/>
          <w:lang w:val="es-CR"/>
        </w:rPr>
        <w:tab/>
        <w:t xml:space="preserve">La presente regulación hace uso intensivo de la información crediticia que la Sugef mantiene en virtud del ejercicio de sus labores de supervisión preventiva. Dicha información incluye, entre otros aspectos, el estado del deudor en la atención de sus obligaciones en el Centro de Información Crediticia (CIC), cuyos alcances se encuentran regulados mediante artículo 133 de la Ley 7558, así </w:t>
      </w:r>
      <w:r w:rsidRPr="008B5F96">
        <w:rPr>
          <w:sz w:val="22"/>
          <w:szCs w:val="22"/>
          <w:lang w:val="es-CR"/>
        </w:rPr>
        <w:lastRenderedPageBreak/>
        <w:t>como una amplia diversidad de información relacionada con las características de los deudores, las operaciones, sus garantías y en general, sobre el historial de las carteras crediticias.</w:t>
      </w:r>
    </w:p>
    <w:p w14:paraId="12666A95" w14:textId="77777777" w:rsidR="008B5F96" w:rsidRPr="008B5F96" w:rsidRDefault="008B5F96" w:rsidP="008B5F96">
      <w:pPr>
        <w:ind w:left="720"/>
        <w:contextualSpacing/>
        <w:rPr>
          <w:sz w:val="22"/>
          <w:szCs w:val="22"/>
          <w:lang w:val="es-CR"/>
        </w:rPr>
      </w:pPr>
    </w:p>
    <w:p w14:paraId="7E13A3FA" w14:textId="77777777" w:rsidR="008B5F96" w:rsidRPr="008B5F96" w:rsidRDefault="008B5F96" w:rsidP="008B5F96">
      <w:pPr>
        <w:jc w:val="both"/>
        <w:rPr>
          <w:b/>
          <w:bCs/>
          <w:sz w:val="22"/>
          <w:szCs w:val="22"/>
          <w:lang w:val="es-CR"/>
        </w:rPr>
      </w:pPr>
      <w:r w:rsidRPr="008B5F96">
        <w:rPr>
          <w:b/>
          <w:bCs/>
          <w:sz w:val="22"/>
          <w:szCs w:val="22"/>
          <w:lang w:val="es-CR"/>
        </w:rPr>
        <w:t>Consideraciones técnicas sobre el marco de regulación</w:t>
      </w:r>
    </w:p>
    <w:p w14:paraId="5286A375" w14:textId="77777777" w:rsidR="008B5F96" w:rsidRPr="008B5F96" w:rsidRDefault="008B5F96" w:rsidP="008B5F96">
      <w:pPr>
        <w:jc w:val="both"/>
        <w:rPr>
          <w:sz w:val="22"/>
          <w:szCs w:val="22"/>
          <w:lang w:val="es-CR"/>
        </w:rPr>
      </w:pPr>
    </w:p>
    <w:p w14:paraId="1239A03D"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11)</w:t>
      </w:r>
      <w:r w:rsidRPr="008B5F96">
        <w:rPr>
          <w:sz w:val="22"/>
          <w:szCs w:val="22"/>
          <w:lang w:val="es-CR"/>
        </w:rPr>
        <w:tab/>
        <w:t>La metodología para la determinación de las estimaciones por riesgo de crédito, establecida en el Acuerdo Conassif 14-21 vigente, requiere ajustes para adecuarse a enfoques actualizados de medición de estimaciones crediticias, principalmente recogidos en estándares prudenciales emitidos por el CSBB. Estas mejoras tienen como objetivo, por una parte, reforzar la responsabilidad de las entidades en la adecuada evaluación de sus riesgos crediticios y, en consecuencia, en la constitución de las estimaciones y capital que fortalezcan su situación económica-financiera. Con ese propósito, en esta propuesta se promueve la adopción de enfoques prospectivos y sostenibles adaptados a la naturaleza del negocio crediticio para la evaluación y cálculo de las pérdidas esperadas. Por otra parte, se busca que el modelo estándar, establecido en la regulación, sea más sensible al riesgo y esté mejor calibrado con parámetros prudenciales relevantes. En el tiempo, se espera que ambos esfuerzos converjan en modelos más robustos.</w:t>
      </w:r>
    </w:p>
    <w:p w14:paraId="47C50ABE" w14:textId="77777777" w:rsidR="008B5F96" w:rsidRPr="008B5F96" w:rsidRDefault="008B5F96" w:rsidP="008B5F96">
      <w:pPr>
        <w:tabs>
          <w:tab w:val="left" w:pos="37"/>
          <w:tab w:val="left" w:pos="462"/>
        </w:tabs>
        <w:jc w:val="both"/>
        <w:rPr>
          <w:sz w:val="22"/>
          <w:szCs w:val="22"/>
          <w:lang w:val="es-CR"/>
        </w:rPr>
      </w:pPr>
    </w:p>
    <w:p w14:paraId="6D39F8E8"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12)</w:t>
      </w:r>
      <w:r w:rsidRPr="008B5F96">
        <w:rPr>
          <w:sz w:val="22"/>
          <w:szCs w:val="22"/>
          <w:lang w:val="es-CR"/>
        </w:rPr>
        <w:tab/>
        <w:t xml:space="preserve">Desde el 2004, dentro de los enfoques de cálculo de capital por riesgo de crédito bajo metodologías internas, el CSBB incluyó explícitamente el uso de los tres componentes básicos para el cálculo de las pérdidas esperadas: i) la probabilidad de incumplimiento (PD por las siglas en inglés de </w:t>
      </w:r>
      <w:r w:rsidRPr="008B5F96">
        <w:rPr>
          <w:i/>
          <w:iCs/>
          <w:sz w:val="22"/>
          <w:szCs w:val="22"/>
          <w:lang w:val="es-CR"/>
        </w:rPr>
        <w:t>Probability of Default</w:t>
      </w:r>
      <w:r w:rsidRPr="008B5F96">
        <w:rPr>
          <w:sz w:val="22"/>
          <w:szCs w:val="22"/>
          <w:lang w:val="es-CR"/>
        </w:rPr>
        <w:t xml:space="preserve">), ii) la pérdida en caso de incumplimiento (LGD por las siglas en inglés de Loss Given Default), y iii) la exposición en caso de incumplimiento (EAD por las siglas en inglés de </w:t>
      </w:r>
      <w:r w:rsidRPr="008B5F96">
        <w:rPr>
          <w:i/>
          <w:iCs/>
          <w:sz w:val="22"/>
          <w:szCs w:val="22"/>
          <w:lang w:val="es-CR"/>
        </w:rPr>
        <w:t>Exposure at Default</w:t>
      </w:r>
      <w:r w:rsidRPr="008B5F96">
        <w:rPr>
          <w:sz w:val="22"/>
          <w:szCs w:val="22"/>
          <w:lang w:val="es-CR"/>
        </w:rPr>
        <w:t>). La pérdida crediticia esperada (PCE) se define generalmente como el producto de esos tres componentes (PCE = PD x LGD x EAD).</w:t>
      </w:r>
    </w:p>
    <w:p w14:paraId="640ECCF9" w14:textId="77777777" w:rsidR="008B5F96" w:rsidRPr="008B5F96" w:rsidRDefault="008B5F96" w:rsidP="008B5F96">
      <w:pPr>
        <w:ind w:left="720"/>
        <w:contextualSpacing/>
        <w:rPr>
          <w:sz w:val="22"/>
          <w:szCs w:val="22"/>
          <w:lang w:val="es-CR"/>
        </w:rPr>
      </w:pPr>
    </w:p>
    <w:p w14:paraId="26DA4D7E" w14:textId="77777777" w:rsidR="008B5F96" w:rsidRPr="008B5F96" w:rsidRDefault="008B5F96" w:rsidP="008B5F96">
      <w:pPr>
        <w:tabs>
          <w:tab w:val="left" w:pos="37"/>
          <w:tab w:val="left" w:pos="462"/>
        </w:tabs>
        <w:ind w:left="360" w:hanging="360"/>
        <w:jc w:val="both"/>
        <w:rPr>
          <w:sz w:val="22"/>
          <w:szCs w:val="22"/>
          <w:lang w:val="es-CR"/>
        </w:rPr>
      </w:pPr>
      <w:r w:rsidRPr="008B5F96">
        <w:rPr>
          <w:sz w:val="22"/>
          <w:szCs w:val="22"/>
          <w:lang w:val="es-CR"/>
        </w:rPr>
        <w:t>13)</w:t>
      </w:r>
      <w:r w:rsidRPr="008B5F96">
        <w:rPr>
          <w:sz w:val="22"/>
          <w:szCs w:val="22"/>
          <w:lang w:val="es-CR"/>
        </w:rPr>
        <w:tab/>
        <w:t>En julio de 2014 el IASB emitió la NIIF-9 con vigencia efectiva a partir de enero de 2018, mediante la cual introdujo el enfoque de PCE para el reconocimiento del deterioro de los instrumentos financieros. Con esta modificación, la práctica contable se acercó a la prudencial, emitida por el CSBB, que ya desde hace varios años había incorporado en su instrumental el concepto de pérdida esperada, calculada a partir de la estimación de probabilidades de incumplimiento y otras métricas.</w:t>
      </w:r>
    </w:p>
    <w:p w14:paraId="1FDB96DE" w14:textId="77777777" w:rsidR="008B5F96" w:rsidRPr="008B5F96" w:rsidRDefault="008B5F96" w:rsidP="008B5F96">
      <w:pPr>
        <w:tabs>
          <w:tab w:val="left" w:pos="37"/>
          <w:tab w:val="left" w:pos="462"/>
        </w:tabs>
        <w:jc w:val="both"/>
        <w:rPr>
          <w:sz w:val="22"/>
          <w:szCs w:val="22"/>
          <w:lang w:val="es-CR"/>
        </w:rPr>
      </w:pPr>
    </w:p>
    <w:p w14:paraId="4637900D"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14)</w:t>
      </w:r>
      <w:r w:rsidRPr="008B5F96">
        <w:rPr>
          <w:sz w:val="22"/>
          <w:szCs w:val="22"/>
          <w:lang w:val="es-CR"/>
        </w:rPr>
        <w:tab/>
        <w:t>Si bien existen discrepancias metodológicas en el cálculo de PCE según el CSBB y NIIF-9, mediante el documento ‘Orientaciones sobre riesgo de crédito y contabilidad de pérdidas crediticias esperadas’ emitido por el CSBB en 2015 se establecieron orientaciones para la contabilidad de PCE que no contravienen las NIIF; en el documento se reconoce que los entes supervisados pueden tener modelos para el cálculo de pérdidas esperadas por riesgo de crédito y pérdidas no esperadas con fines de capital regulador, dichos modelos pueden utilizarse como punto de partida para estimar las PCE con fines contables, aunque pueden no ser utilizables directamente para calcular las PCE debido a diferencias entre los objetivos y los datos utilizados para cada uno de estos fines.</w:t>
      </w:r>
    </w:p>
    <w:p w14:paraId="5C9E0E8C" w14:textId="77777777" w:rsidR="008B5F96" w:rsidRPr="008B5F96" w:rsidRDefault="008B5F96" w:rsidP="008B5F96">
      <w:pPr>
        <w:ind w:left="720"/>
        <w:contextualSpacing/>
        <w:rPr>
          <w:sz w:val="22"/>
          <w:szCs w:val="22"/>
          <w:lang w:val="es-CR"/>
        </w:rPr>
      </w:pPr>
    </w:p>
    <w:p w14:paraId="36A10A2B"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15)</w:t>
      </w:r>
      <w:r w:rsidRPr="008B5F96">
        <w:rPr>
          <w:sz w:val="22"/>
          <w:szCs w:val="22"/>
          <w:lang w:val="es-CR"/>
        </w:rPr>
        <w:tab/>
        <w:t xml:space="preserve">NIIF-9 hace referencia al uso de probabilidades de incumplimiento para el cálculo de PCE, calculadas tanto para un período de 12 meses como por el período de vida de un crédito (LTPD por las siglas en inglés de </w:t>
      </w:r>
      <w:r w:rsidRPr="008B5F96">
        <w:rPr>
          <w:i/>
          <w:iCs/>
          <w:sz w:val="22"/>
          <w:szCs w:val="22"/>
          <w:lang w:val="es-CR"/>
        </w:rPr>
        <w:t>Lifetime Probability of Default</w:t>
      </w:r>
      <w:r w:rsidRPr="008B5F96">
        <w:rPr>
          <w:sz w:val="22"/>
          <w:szCs w:val="22"/>
          <w:lang w:val="es-CR"/>
        </w:rPr>
        <w:t>). En el primer caso, se aplica para el cálculo de PCE en la Etapa 1 y el segundo caso, se aplica en las Etapas 2 y 3. La NIIF-9 no describe cómo se debe llevar a cabo el cálculo de esta probabilidad. El Comité de Basilea únicamente aplica en sus mediciones probabilidades de incumplimiento para 12 meses.</w:t>
      </w:r>
    </w:p>
    <w:p w14:paraId="5B0FF062" w14:textId="70922008" w:rsidR="00DF377D" w:rsidRDefault="00DF377D">
      <w:pPr>
        <w:rPr>
          <w:sz w:val="22"/>
          <w:szCs w:val="22"/>
          <w:lang w:val="es-CR"/>
        </w:rPr>
      </w:pPr>
      <w:r>
        <w:rPr>
          <w:sz w:val="22"/>
          <w:szCs w:val="22"/>
          <w:lang w:val="es-CR"/>
        </w:rPr>
        <w:br w:type="page"/>
      </w:r>
    </w:p>
    <w:p w14:paraId="30E3D1FC" w14:textId="77777777" w:rsidR="008B5F96" w:rsidRPr="008B5F96" w:rsidRDefault="008B5F96" w:rsidP="008B5F96">
      <w:pPr>
        <w:ind w:left="720"/>
        <w:contextualSpacing/>
        <w:rPr>
          <w:sz w:val="22"/>
          <w:szCs w:val="22"/>
          <w:lang w:val="es-CR"/>
        </w:rPr>
      </w:pPr>
    </w:p>
    <w:p w14:paraId="0D85B480"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16)</w:t>
      </w:r>
      <w:r w:rsidRPr="008B5F96">
        <w:rPr>
          <w:sz w:val="22"/>
          <w:szCs w:val="22"/>
          <w:lang w:val="es-CR"/>
        </w:rPr>
        <w:tab/>
        <w:t>La Organización para la Cooperación y el Desarrollo Económicos (OCDE), indica que la transparencia garantiza la revelación oportuna y precisa de todas las cuestiones materiales relativas a la sociedad, incluidos la situación financiera, los resultados, la titularidad y el gobierno de la empresa. Además, la OCDE detalla que la información deberá ser elaborada y divulgada con arreglo a normas de alta calidad en materia de contabilidad y revelación de información financiera y no financiera; en ese sentido, es importante indicar que uno de los puntos que el IASB busca desarrollar, promover y proveer, dentro del conjunto único de normas de información financiera para la preparación de los estados financieros, es la transparencia.</w:t>
      </w:r>
    </w:p>
    <w:p w14:paraId="5D6A3E42" w14:textId="77777777" w:rsidR="008B5F96" w:rsidRPr="008B5F96" w:rsidRDefault="008B5F96" w:rsidP="008B5F96">
      <w:pPr>
        <w:ind w:left="720"/>
        <w:contextualSpacing/>
        <w:rPr>
          <w:sz w:val="22"/>
          <w:szCs w:val="22"/>
          <w:lang w:val="es-CR"/>
        </w:rPr>
      </w:pPr>
    </w:p>
    <w:p w14:paraId="4FE346D0"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17)</w:t>
      </w:r>
      <w:r w:rsidRPr="008B5F96">
        <w:rPr>
          <w:sz w:val="22"/>
          <w:szCs w:val="22"/>
          <w:lang w:val="es-CR"/>
        </w:rPr>
        <w:tab/>
        <w:t>La presente propuesta conserva, en concordancia con el Acuerdo Conassif 14-21, los aspectos orientados a una medición prudencial del riesgo crediticio, tales como:</w:t>
      </w:r>
    </w:p>
    <w:p w14:paraId="5D20756C" w14:textId="77777777" w:rsidR="008B5F96" w:rsidRPr="008B5F96" w:rsidRDefault="008B5F96" w:rsidP="008B5F96">
      <w:pPr>
        <w:tabs>
          <w:tab w:val="left" w:pos="37"/>
        </w:tabs>
        <w:ind w:left="360"/>
        <w:contextualSpacing/>
        <w:jc w:val="both"/>
        <w:rPr>
          <w:sz w:val="22"/>
          <w:szCs w:val="22"/>
          <w:lang w:val="es-CR"/>
        </w:rPr>
      </w:pPr>
    </w:p>
    <w:p w14:paraId="4145A499" w14:textId="77777777" w:rsidR="008B5F96" w:rsidRPr="008B5F96" w:rsidRDefault="008B5F96" w:rsidP="008B5F96">
      <w:pPr>
        <w:spacing w:after="240"/>
        <w:ind w:left="709" w:hanging="283"/>
        <w:jc w:val="both"/>
        <w:rPr>
          <w:sz w:val="22"/>
          <w:szCs w:val="22"/>
          <w:lang w:val="es-CR"/>
        </w:rPr>
      </w:pPr>
      <w:r w:rsidRPr="008B5F96">
        <w:rPr>
          <w:sz w:val="22"/>
          <w:szCs w:val="22"/>
          <w:lang w:val="es-CR"/>
        </w:rPr>
        <w:t>a)</w:t>
      </w:r>
      <w:r w:rsidRPr="008B5F96">
        <w:rPr>
          <w:sz w:val="22"/>
          <w:szCs w:val="22"/>
          <w:lang w:val="es-CR"/>
        </w:rPr>
        <w:tab/>
        <w:t>La existencia de diferentes líneas de negocio crediticio, de manera que la medición de las estimaciones crediticias sea sensible al riesgo de cada línea relevante.</w:t>
      </w:r>
    </w:p>
    <w:p w14:paraId="27C85ECB" w14:textId="77777777" w:rsidR="008B5F96" w:rsidRPr="008B5F96" w:rsidRDefault="008B5F96" w:rsidP="008B5F96">
      <w:pPr>
        <w:spacing w:after="240"/>
        <w:ind w:left="709" w:hanging="283"/>
        <w:jc w:val="both"/>
        <w:rPr>
          <w:sz w:val="22"/>
          <w:szCs w:val="22"/>
          <w:lang w:val="es-CR"/>
        </w:rPr>
      </w:pPr>
      <w:r w:rsidRPr="008B5F96">
        <w:rPr>
          <w:sz w:val="22"/>
          <w:szCs w:val="22"/>
          <w:lang w:val="es-CR"/>
        </w:rPr>
        <w:t>b)</w:t>
      </w:r>
      <w:r w:rsidRPr="008B5F96">
        <w:rPr>
          <w:sz w:val="22"/>
          <w:szCs w:val="22"/>
          <w:lang w:val="es-CR"/>
        </w:rPr>
        <w:tab/>
        <w:t>La segmentación de acuerdo con la tipología del crédito que permita distinguir entre un enfoque por operación, para carteras al detalle que puedan tratarse como grupos homogéneos de riesgo, y un enfoque por deudor, para carteras empresariales y corporativas. Las tasas de incumplimiento calibradas, independientemente del tipo de segmento, se calcularon por operación.</w:t>
      </w:r>
    </w:p>
    <w:p w14:paraId="4CE96A16" w14:textId="77777777" w:rsidR="008B5F96" w:rsidRPr="008B5F96" w:rsidRDefault="008B5F96" w:rsidP="008B5F96">
      <w:pPr>
        <w:spacing w:after="240"/>
        <w:ind w:left="709" w:hanging="283"/>
        <w:jc w:val="both"/>
        <w:rPr>
          <w:sz w:val="22"/>
          <w:szCs w:val="22"/>
          <w:lang w:val="es-CR"/>
        </w:rPr>
      </w:pPr>
      <w:r w:rsidRPr="008B5F96">
        <w:rPr>
          <w:sz w:val="22"/>
          <w:szCs w:val="22"/>
          <w:lang w:val="es-CR"/>
        </w:rPr>
        <w:t>c)</w:t>
      </w:r>
      <w:r w:rsidRPr="008B5F96">
        <w:rPr>
          <w:sz w:val="22"/>
          <w:szCs w:val="22"/>
          <w:lang w:val="es-CR"/>
        </w:rPr>
        <w:tab/>
        <w:t>El cálculo de estimaciones para cada línea relevante utilizando elementos prospectivos consistentes con enfoques de pérdidas crediticias esperadas. Estos enfoques identifican tres componentes esenciales de las pérdidas crediticias:</w:t>
      </w:r>
    </w:p>
    <w:p w14:paraId="3197ADC0" w14:textId="77777777" w:rsidR="008B5F96" w:rsidRPr="008B5F96" w:rsidRDefault="008B5F96" w:rsidP="008B5F96">
      <w:pPr>
        <w:tabs>
          <w:tab w:val="left" w:pos="1134"/>
        </w:tabs>
        <w:ind w:left="708"/>
        <w:jc w:val="both"/>
        <w:rPr>
          <w:sz w:val="22"/>
          <w:szCs w:val="22"/>
          <w:lang w:val="es-CR"/>
        </w:rPr>
      </w:pPr>
      <w:r w:rsidRPr="008B5F96">
        <w:rPr>
          <w:sz w:val="22"/>
          <w:szCs w:val="22"/>
          <w:lang w:val="es-CR"/>
        </w:rPr>
        <w:t>i)</w:t>
      </w:r>
      <w:r w:rsidRPr="008B5F96">
        <w:rPr>
          <w:sz w:val="22"/>
          <w:szCs w:val="22"/>
          <w:lang w:val="es-CR"/>
        </w:rPr>
        <w:tab/>
        <w:t>la probabilidad de incumplimiento,</w:t>
      </w:r>
    </w:p>
    <w:p w14:paraId="22F17DD6" w14:textId="77777777" w:rsidR="008B5F96" w:rsidRPr="008B5F96" w:rsidRDefault="008B5F96" w:rsidP="008B5F96">
      <w:pPr>
        <w:tabs>
          <w:tab w:val="left" w:pos="1134"/>
        </w:tabs>
        <w:ind w:left="708"/>
        <w:jc w:val="both"/>
        <w:rPr>
          <w:sz w:val="22"/>
          <w:szCs w:val="22"/>
          <w:lang w:val="es-CR"/>
        </w:rPr>
      </w:pPr>
    </w:p>
    <w:p w14:paraId="2575417A" w14:textId="77777777" w:rsidR="008B5F96" w:rsidRPr="008B5F96" w:rsidRDefault="008B5F96" w:rsidP="008B5F96">
      <w:pPr>
        <w:tabs>
          <w:tab w:val="left" w:pos="1134"/>
        </w:tabs>
        <w:ind w:left="708"/>
        <w:jc w:val="both"/>
        <w:rPr>
          <w:sz w:val="22"/>
          <w:szCs w:val="22"/>
          <w:lang w:val="es-CR"/>
        </w:rPr>
      </w:pPr>
      <w:r w:rsidRPr="008B5F96">
        <w:rPr>
          <w:sz w:val="22"/>
          <w:szCs w:val="22"/>
          <w:lang w:val="es-CR"/>
        </w:rPr>
        <w:t>ii)</w:t>
      </w:r>
      <w:r w:rsidRPr="008B5F96">
        <w:rPr>
          <w:sz w:val="22"/>
          <w:szCs w:val="22"/>
          <w:lang w:val="es-CR"/>
        </w:rPr>
        <w:tab/>
        <w:t>la severidad de pérdida en caso de incumplimiento, y</w:t>
      </w:r>
    </w:p>
    <w:p w14:paraId="1E5DAAC8" w14:textId="77777777" w:rsidR="008B5F96" w:rsidRPr="008B5F96" w:rsidRDefault="008B5F96" w:rsidP="008B5F96">
      <w:pPr>
        <w:tabs>
          <w:tab w:val="left" w:pos="1134"/>
        </w:tabs>
        <w:ind w:left="708"/>
        <w:jc w:val="both"/>
        <w:rPr>
          <w:sz w:val="22"/>
          <w:szCs w:val="22"/>
          <w:lang w:val="es-CR"/>
        </w:rPr>
      </w:pPr>
    </w:p>
    <w:p w14:paraId="0A6D7CBF" w14:textId="77777777" w:rsidR="008B5F96" w:rsidRPr="008B5F96" w:rsidRDefault="008B5F96" w:rsidP="008B5F96">
      <w:pPr>
        <w:tabs>
          <w:tab w:val="left" w:pos="1134"/>
        </w:tabs>
        <w:ind w:left="708"/>
        <w:jc w:val="both"/>
        <w:rPr>
          <w:sz w:val="22"/>
          <w:szCs w:val="22"/>
          <w:lang w:val="es-CR"/>
        </w:rPr>
      </w:pPr>
      <w:r w:rsidRPr="008B5F96">
        <w:rPr>
          <w:sz w:val="22"/>
          <w:szCs w:val="22"/>
          <w:lang w:val="es-CR"/>
        </w:rPr>
        <w:t>iii)</w:t>
      </w:r>
      <w:r w:rsidRPr="008B5F96">
        <w:rPr>
          <w:sz w:val="22"/>
          <w:szCs w:val="22"/>
          <w:lang w:val="es-CR"/>
        </w:rPr>
        <w:tab/>
        <w:t>la exposición en caso de incumplimiento.</w:t>
      </w:r>
    </w:p>
    <w:p w14:paraId="255766CF" w14:textId="77777777" w:rsidR="008B5F96" w:rsidRPr="008B5F96" w:rsidRDefault="008B5F96" w:rsidP="008B5F96">
      <w:pPr>
        <w:tabs>
          <w:tab w:val="left" w:pos="1134"/>
        </w:tabs>
        <w:ind w:left="708"/>
        <w:jc w:val="both"/>
        <w:rPr>
          <w:sz w:val="22"/>
          <w:szCs w:val="22"/>
          <w:lang w:val="es-CR"/>
        </w:rPr>
      </w:pPr>
    </w:p>
    <w:p w14:paraId="250FC840" w14:textId="77777777" w:rsidR="008B5F96" w:rsidRPr="008B5F96" w:rsidRDefault="008B5F96" w:rsidP="008B5F96">
      <w:pPr>
        <w:ind w:left="708"/>
        <w:jc w:val="both"/>
        <w:rPr>
          <w:sz w:val="22"/>
          <w:szCs w:val="22"/>
          <w:lang w:val="es-CR"/>
        </w:rPr>
      </w:pPr>
      <w:r w:rsidRPr="008B5F96">
        <w:rPr>
          <w:sz w:val="22"/>
          <w:szCs w:val="22"/>
          <w:lang w:val="es-CR"/>
        </w:rPr>
        <w:t>Este reglamento mantiene el modelo estándar establecido en el Acuerdo Conassif 14-21, desarrollado por la Sugef. Dicho modelo incorpora varios de los conceptos señalados en los puntos anteriores, no obstante, el modelo estándar no corresponde a un modelo NIIF-9 en su totalidad, ya que contempla aspectos prudenciales y, en particular, no incorpora un enfoque prospectivo, pues estima tasas de incumplimiento a partir de información histórica, y no probabilidades de incumplimiento. Esto implica que corresponde a la Sugef el diseño del modelo y la actualización de los parámetros del modelo estándar que las entidades utilizan para calcular las estimaciones crediticias regulatorias. Sin embargo, el reglamento admite que las entidades desarrollen y utilicen modelos internos NIIF-9 para los segmentos regulatorios, los cuales podrán utilizarse en el cálculo interno de sus estimaciones crediticias. En estos casos, el uso de modelos internos sí puede incorporar elementos prospectivos propios de la metodología NIIF-9.</w:t>
      </w:r>
    </w:p>
    <w:p w14:paraId="698209CD" w14:textId="77777777" w:rsidR="008B5F96" w:rsidRPr="008B5F96" w:rsidRDefault="008B5F96" w:rsidP="008B5F96">
      <w:pPr>
        <w:ind w:left="708"/>
        <w:jc w:val="both"/>
        <w:rPr>
          <w:sz w:val="22"/>
          <w:szCs w:val="22"/>
          <w:lang w:val="es-CR"/>
        </w:rPr>
      </w:pPr>
    </w:p>
    <w:p w14:paraId="3CBEF369" w14:textId="2EFB8CC9" w:rsidR="008B5F96" w:rsidRPr="008B5F96" w:rsidRDefault="008B5F96" w:rsidP="008B5F96">
      <w:pPr>
        <w:spacing w:after="240"/>
        <w:ind w:left="709" w:hanging="283"/>
        <w:jc w:val="both"/>
        <w:rPr>
          <w:sz w:val="22"/>
          <w:szCs w:val="22"/>
          <w:lang w:val="es-CR"/>
        </w:rPr>
      </w:pPr>
      <w:r w:rsidRPr="008B5F96">
        <w:rPr>
          <w:sz w:val="22"/>
          <w:szCs w:val="22"/>
          <w:lang w:val="es-CR"/>
        </w:rPr>
        <w:t>d)</w:t>
      </w:r>
      <w:r w:rsidRPr="008B5F96">
        <w:rPr>
          <w:sz w:val="22"/>
          <w:szCs w:val="22"/>
          <w:lang w:val="es-CR"/>
        </w:rPr>
        <w:tab/>
        <w:t>Mantiene el enfoque prudencial en la medición del riesgo crediticio, aplicando criterios de severidad de pérdida en caso de incumplimiento (uno menos el porcentaje estimado de recuperación), y asegurando que las garantías admisibles respondan a criterios de efectividad comprobada tanto en escenarios normales como escenarios de estrés.</w:t>
      </w:r>
    </w:p>
    <w:p w14:paraId="048CD93E" w14:textId="77777777" w:rsidR="008B5F96" w:rsidRPr="008B5F96" w:rsidRDefault="008B5F96" w:rsidP="008B5F96">
      <w:pPr>
        <w:spacing w:after="240"/>
        <w:ind w:left="709" w:hanging="283"/>
        <w:jc w:val="both"/>
        <w:rPr>
          <w:sz w:val="22"/>
          <w:szCs w:val="22"/>
          <w:lang w:val="es-CR"/>
        </w:rPr>
      </w:pPr>
      <w:r w:rsidRPr="008B5F96">
        <w:rPr>
          <w:sz w:val="22"/>
          <w:szCs w:val="22"/>
          <w:lang w:val="es-CR"/>
        </w:rPr>
        <w:lastRenderedPageBreak/>
        <w:t>e)</w:t>
      </w:r>
      <w:r w:rsidRPr="008B5F96">
        <w:rPr>
          <w:sz w:val="22"/>
          <w:szCs w:val="22"/>
          <w:lang w:val="es-CR"/>
        </w:rPr>
        <w:tab/>
        <w:t>Adicionalmente, el presente reglamento establece un modelo estándar para el cálculo de las estimaciones crediticias, el cual se fundamenta en principios prudenciales consistentes con los estándares internacionales emitidos por el Comité de Supervisión Bancaria de Basilea y con las mejores prácticas a nivel regional. Conforme a lo anterior, la mitigación del riesgo crediticio únicamente aplica respecto de la parte de la exposición efectivamente cubierta por garantías reconocidas como mitigadores en este Reglamento.</w:t>
      </w:r>
    </w:p>
    <w:p w14:paraId="2A76C7B0" w14:textId="77777777" w:rsidR="008B5F96" w:rsidRPr="008B5F96" w:rsidRDefault="008B5F96" w:rsidP="008B5F96">
      <w:pPr>
        <w:spacing w:after="240"/>
        <w:ind w:left="709" w:hanging="283"/>
        <w:jc w:val="both"/>
        <w:rPr>
          <w:sz w:val="22"/>
          <w:szCs w:val="22"/>
          <w:lang w:val="es-CR"/>
        </w:rPr>
      </w:pPr>
      <w:r w:rsidRPr="008B5F96">
        <w:rPr>
          <w:sz w:val="22"/>
          <w:szCs w:val="22"/>
          <w:lang w:val="es-CR"/>
        </w:rPr>
        <w:t>f)</w:t>
      </w:r>
      <w:r w:rsidRPr="008B5F96">
        <w:rPr>
          <w:sz w:val="22"/>
          <w:szCs w:val="22"/>
          <w:lang w:val="es-CR"/>
        </w:rPr>
        <w:tab/>
        <w:t>En línea con el Acuerdo Conassif 14-21, se mantiene la segmentación de la cartera crediticia en varias categorías de riesgo que se asocian, de manera conceptual, con las tres etapas identificadas por NIIF-9. Las entidades supervisadas que cuenten con modelos internos no objetados por Sugef, podrán calcular las correspondientes probabilidades de incumplimiento para 12 meses y para la vida del crédito, según lo dispuesto en la NIIF-9. Estas tres etapas se definen en la regulación de la siguiente manera:</w:t>
      </w:r>
    </w:p>
    <w:p w14:paraId="29D76C34" w14:textId="77777777" w:rsidR="008B5F96" w:rsidRPr="008B5F96" w:rsidRDefault="008B5F96" w:rsidP="008B5F96">
      <w:pPr>
        <w:ind w:left="1429" w:hanging="360"/>
        <w:jc w:val="both"/>
        <w:rPr>
          <w:sz w:val="22"/>
          <w:szCs w:val="22"/>
          <w:lang w:val="es-CR"/>
        </w:rPr>
      </w:pPr>
      <w:r w:rsidRPr="008B5F96">
        <w:rPr>
          <w:sz w:val="22"/>
          <w:szCs w:val="22"/>
          <w:lang w:val="es-CR"/>
        </w:rPr>
        <w:t>i)</w:t>
      </w:r>
      <w:r w:rsidRPr="008B5F96">
        <w:rPr>
          <w:sz w:val="22"/>
          <w:szCs w:val="22"/>
          <w:lang w:val="es-CR"/>
        </w:rPr>
        <w:tab/>
      </w:r>
      <w:r w:rsidRPr="008B5F96">
        <w:rPr>
          <w:b/>
          <w:bCs/>
          <w:sz w:val="22"/>
          <w:szCs w:val="22"/>
          <w:lang w:val="es-CR"/>
        </w:rPr>
        <w:t>Etapa 1: Operaciones en Riesgo Normal.</w:t>
      </w:r>
      <w:r w:rsidRPr="008B5F96">
        <w:rPr>
          <w:sz w:val="22"/>
          <w:szCs w:val="22"/>
          <w:lang w:val="es-CR"/>
        </w:rPr>
        <w:t xml:space="preserve"> Se incluyen las operaciones sin evidencia de incremento significativo de riesgo de crédito desde su reconocimiento inicial.</w:t>
      </w:r>
    </w:p>
    <w:p w14:paraId="485EC262" w14:textId="77777777" w:rsidR="008B5F96" w:rsidRPr="008B5F96" w:rsidRDefault="008B5F96" w:rsidP="008B5F96">
      <w:pPr>
        <w:ind w:left="720"/>
        <w:contextualSpacing/>
        <w:rPr>
          <w:sz w:val="22"/>
          <w:szCs w:val="22"/>
          <w:lang w:val="es-CR"/>
        </w:rPr>
      </w:pPr>
    </w:p>
    <w:p w14:paraId="76540BFB" w14:textId="77777777" w:rsidR="008B5F96" w:rsidRPr="008B5F96" w:rsidRDefault="008B5F96" w:rsidP="008B5F96">
      <w:pPr>
        <w:ind w:left="1429" w:hanging="360"/>
        <w:jc w:val="both"/>
        <w:rPr>
          <w:sz w:val="22"/>
          <w:szCs w:val="22"/>
          <w:lang w:val="es-CR"/>
        </w:rPr>
      </w:pPr>
      <w:r w:rsidRPr="008B5F96">
        <w:rPr>
          <w:sz w:val="22"/>
          <w:szCs w:val="22"/>
          <w:lang w:val="es-CR"/>
        </w:rPr>
        <w:t>ii)</w:t>
      </w:r>
      <w:r w:rsidRPr="008B5F96">
        <w:rPr>
          <w:sz w:val="22"/>
          <w:szCs w:val="22"/>
          <w:lang w:val="es-CR"/>
        </w:rPr>
        <w:tab/>
      </w:r>
      <w:r w:rsidRPr="008B5F96">
        <w:rPr>
          <w:b/>
          <w:bCs/>
          <w:sz w:val="22"/>
          <w:szCs w:val="22"/>
          <w:lang w:val="es-CR"/>
        </w:rPr>
        <w:t>Etapa 2: Operaciones en Vigilancia Especial.</w:t>
      </w:r>
      <w:r w:rsidRPr="008B5F96">
        <w:rPr>
          <w:sz w:val="22"/>
          <w:szCs w:val="22"/>
          <w:lang w:val="es-CR"/>
        </w:rPr>
        <w:t xml:space="preserve"> Se incluyen las operaciones que presentan un incremento significativo del riesgo de crédito respecto a la valoración de riesgo realizada en el reconocimiento inicial de la operación, sin llegar a ser operaciones dudosas o fallidas. Para evaluar si existe un incremento significativo de riesgo de crédito la entidad utilizará indicadores cualitativos y cuantitativos (variación relativa de la probabilidad de incumplimiento respecto de la estimada en el momento que se originó la operación). Asimismo, se aplicarán los criterios automáticos que definen un deudor con operación especial. En este caso la clasificación a la Etapa 2 se realizará por el importe total del crédito.</w:t>
      </w:r>
    </w:p>
    <w:p w14:paraId="115C88FC" w14:textId="77777777" w:rsidR="008B5F96" w:rsidRPr="008B5F96" w:rsidRDefault="008B5F96" w:rsidP="008B5F96">
      <w:pPr>
        <w:ind w:left="720"/>
        <w:contextualSpacing/>
        <w:rPr>
          <w:sz w:val="22"/>
          <w:szCs w:val="22"/>
          <w:lang w:val="es-CR"/>
        </w:rPr>
      </w:pPr>
    </w:p>
    <w:p w14:paraId="25FFD522" w14:textId="77777777" w:rsidR="008B5F96" w:rsidRPr="008B5F96" w:rsidRDefault="008B5F96" w:rsidP="008B5F96">
      <w:pPr>
        <w:ind w:left="1429" w:hanging="360"/>
        <w:jc w:val="both"/>
        <w:rPr>
          <w:sz w:val="22"/>
          <w:szCs w:val="22"/>
          <w:lang w:val="es-CR"/>
        </w:rPr>
      </w:pPr>
      <w:r w:rsidRPr="008B5F96">
        <w:rPr>
          <w:sz w:val="22"/>
          <w:szCs w:val="22"/>
          <w:lang w:val="es-CR"/>
        </w:rPr>
        <w:t>iii)</w:t>
      </w:r>
      <w:r w:rsidRPr="008B5F96">
        <w:rPr>
          <w:sz w:val="22"/>
          <w:szCs w:val="22"/>
          <w:lang w:val="es-CR"/>
        </w:rPr>
        <w:tab/>
      </w:r>
      <w:r w:rsidRPr="008B5F96">
        <w:rPr>
          <w:b/>
          <w:bCs/>
          <w:sz w:val="22"/>
          <w:szCs w:val="22"/>
          <w:lang w:val="es-CR"/>
        </w:rPr>
        <w:t>Etapa 3: Operaciones de Dudosa Recuperación.</w:t>
      </w:r>
      <w:r w:rsidRPr="008B5F96">
        <w:rPr>
          <w:sz w:val="22"/>
          <w:szCs w:val="22"/>
          <w:lang w:val="es-CR"/>
        </w:rPr>
        <w:t xml:space="preserve"> Se incluyen las operaciones que presentan evidencia objetiva de deterioro, lo cual ocurre cuando se ha presentado un evento de incumplimiento o se considera que existe una alta probabilidad de que este se presente.</w:t>
      </w:r>
    </w:p>
    <w:p w14:paraId="62A04BEC" w14:textId="77777777" w:rsidR="008B5F96" w:rsidRPr="008B5F96" w:rsidRDefault="008B5F96" w:rsidP="008B5F96">
      <w:pPr>
        <w:ind w:left="1429"/>
        <w:contextualSpacing/>
        <w:jc w:val="both"/>
        <w:rPr>
          <w:sz w:val="22"/>
          <w:szCs w:val="22"/>
          <w:lang w:val="es-CR"/>
        </w:rPr>
      </w:pPr>
    </w:p>
    <w:p w14:paraId="3A8D7D05"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18)</w:t>
      </w:r>
      <w:r w:rsidRPr="008B5F96">
        <w:rPr>
          <w:sz w:val="22"/>
          <w:szCs w:val="22"/>
          <w:lang w:val="es-CR"/>
        </w:rPr>
        <w:tab/>
        <w:t>Asimismo, la regulación propuesta incorpora mejoras sustantivas que fortalecen la precisión y sensibilidad al riesgo, entre ellas:</w:t>
      </w:r>
    </w:p>
    <w:p w14:paraId="6101EBF3" w14:textId="77777777" w:rsidR="008B5F96" w:rsidRPr="008B5F96" w:rsidRDefault="008B5F96" w:rsidP="008B5F96">
      <w:pPr>
        <w:jc w:val="both"/>
        <w:rPr>
          <w:sz w:val="22"/>
          <w:szCs w:val="22"/>
          <w:lang w:val="es-CR"/>
        </w:rPr>
      </w:pPr>
    </w:p>
    <w:p w14:paraId="21C5BFE4" w14:textId="77777777" w:rsidR="008B5F96" w:rsidRPr="008B5F96" w:rsidRDefault="008B5F96" w:rsidP="008B5F96">
      <w:pPr>
        <w:ind w:left="720" w:hanging="360"/>
        <w:jc w:val="both"/>
        <w:rPr>
          <w:sz w:val="22"/>
          <w:szCs w:val="22"/>
          <w:lang w:val="es-CR"/>
        </w:rPr>
      </w:pPr>
      <w:r w:rsidRPr="008B5F96">
        <w:rPr>
          <w:sz w:val="22"/>
          <w:szCs w:val="22"/>
          <w:lang w:val="es-CR"/>
        </w:rPr>
        <w:t>a)</w:t>
      </w:r>
      <w:r w:rsidRPr="008B5F96">
        <w:rPr>
          <w:sz w:val="22"/>
          <w:szCs w:val="22"/>
          <w:lang w:val="es-CR"/>
        </w:rPr>
        <w:tab/>
        <w:t>El cálculo del monto de las estimaciones se realizará de manera que refleje con mayor precisión las características propias de cada línea de negocio crediticio, así como las particularidades de la entidad y del sector al que pertenece.</w:t>
      </w:r>
    </w:p>
    <w:p w14:paraId="3A5F55E9" w14:textId="77777777" w:rsidR="008B5F96" w:rsidRPr="008B5F96" w:rsidRDefault="008B5F96" w:rsidP="008B5F96">
      <w:pPr>
        <w:ind w:left="720"/>
        <w:contextualSpacing/>
        <w:jc w:val="both"/>
        <w:rPr>
          <w:sz w:val="22"/>
          <w:szCs w:val="22"/>
          <w:lang w:val="es-CR"/>
        </w:rPr>
      </w:pPr>
    </w:p>
    <w:p w14:paraId="766F9B71" w14:textId="77777777" w:rsidR="008B5F96" w:rsidRPr="008B5F96" w:rsidRDefault="008B5F96" w:rsidP="008B5F96">
      <w:pPr>
        <w:ind w:left="720" w:hanging="360"/>
        <w:jc w:val="both"/>
        <w:rPr>
          <w:sz w:val="22"/>
          <w:szCs w:val="22"/>
          <w:lang w:val="es-CR"/>
        </w:rPr>
      </w:pPr>
      <w:r w:rsidRPr="008B5F96">
        <w:rPr>
          <w:sz w:val="22"/>
          <w:szCs w:val="22"/>
          <w:lang w:val="es-CR"/>
        </w:rPr>
        <w:t>b)</w:t>
      </w:r>
      <w:r w:rsidRPr="008B5F96">
        <w:rPr>
          <w:sz w:val="22"/>
          <w:szCs w:val="22"/>
          <w:lang w:val="es-CR"/>
        </w:rPr>
        <w:tab/>
        <w:t>Se modifica la definición de ‘deudor con operación especial’ y, adicionalmente, se incorpora la definición de ‘operación especial’, con el fin de precisar los criterios aplicables a ese tipo de operaciones y garantizar una clasificación consistente con sus riesgos.</w:t>
      </w:r>
    </w:p>
    <w:p w14:paraId="32AB290D" w14:textId="77777777" w:rsidR="008B5F96" w:rsidRPr="008B5F96" w:rsidRDefault="008B5F96" w:rsidP="008B5F96">
      <w:pPr>
        <w:ind w:left="720"/>
        <w:contextualSpacing/>
        <w:rPr>
          <w:sz w:val="22"/>
          <w:szCs w:val="22"/>
          <w:lang w:val="es-CR"/>
        </w:rPr>
      </w:pPr>
    </w:p>
    <w:p w14:paraId="6B5299E2" w14:textId="77777777" w:rsidR="008B5F96" w:rsidRPr="008B5F96" w:rsidRDefault="008B5F96" w:rsidP="008B5F96">
      <w:pPr>
        <w:ind w:left="720" w:hanging="360"/>
        <w:jc w:val="both"/>
        <w:rPr>
          <w:sz w:val="22"/>
          <w:szCs w:val="22"/>
          <w:lang w:val="es-CR"/>
        </w:rPr>
      </w:pPr>
      <w:r w:rsidRPr="008B5F96">
        <w:rPr>
          <w:sz w:val="22"/>
          <w:szCs w:val="22"/>
          <w:lang w:val="es-CR"/>
        </w:rPr>
        <w:t>c)</w:t>
      </w:r>
      <w:r w:rsidRPr="008B5F96">
        <w:rPr>
          <w:sz w:val="22"/>
          <w:szCs w:val="22"/>
          <w:lang w:val="es-CR"/>
        </w:rPr>
        <w:tab/>
        <w:t>Se ajustan los rangos de morosidad definidos para las categorías de riesgo, con el propósito de lograr una clasificación más precisa y alineada con las condiciones actuales del mercado.</w:t>
      </w:r>
    </w:p>
    <w:p w14:paraId="5AE65BDA" w14:textId="77777777" w:rsidR="008B5F96" w:rsidRPr="008B5F96" w:rsidRDefault="008B5F96" w:rsidP="008B5F96">
      <w:pPr>
        <w:ind w:left="720"/>
        <w:contextualSpacing/>
        <w:rPr>
          <w:sz w:val="22"/>
          <w:szCs w:val="22"/>
          <w:lang w:val="es-CR"/>
        </w:rPr>
      </w:pPr>
    </w:p>
    <w:p w14:paraId="525E91A3" w14:textId="77777777" w:rsidR="008B5F96" w:rsidRPr="008B5F96" w:rsidRDefault="008B5F96" w:rsidP="008B5F96">
      <w:pPr>
        <w:ind w:left="720" w:hanging="360"/>
        <w:jc w:val="both"/>
        <w:rPr>
          <w:sz w:val="22"/>
          <w:szCs w:val="22"/>
          <w:lang w:val="es-CR"/>
        </w:rPr>
      </w:pPr>
      <w:r w:rsidRPr="008B5F96">
        <w:rPr>
          <w:sz w:val="22"/>
          <w:szCs w:val="22"/>
          <w:lang w:val="es-CR"/>
        </w:rPr>
        <w:t>d)</w:t>
      </w:r>
      <w:r w:rsidRPr="008B5F96">
        <w:rPr>
          <w:sz w:val="22"/>
          <w:szCs w:val="22"/>
          <w:lang w:val="es-CR"/>
        </w:rPr>
        <w:tab/>
        <w:t>Se asignan perfiles de riesgo específicos por línea de negocio crediticio (riesgo bajo, medio bajo, medio alto y alto), manteniendo la estructura de segmentación vigente.</w:t>
      </w:r>
    </w:p>
    <w:p w14:paraId="1105F315" w14:textId="77777777" w:rsidR="008B5F96" w:rsidRPr="008B5F96" w:rsidRDefault="008B5F96" w:rsidP="008B5F96">
      <w:pPr>
        <w:ind w:left="720"/>
        <w:contextualSpacing/>
        <w:rPr>
          <w:sz w:val="22"/>
          <w:szCs w:val="22"/>
          <w:lang w:val="es-CR"/>
        </w:rPr>
      </w:pPr>
    </w:p>
    <w:p w14:paraId="2C4B3071" w14:textId="77777777" w:rsidR="008B5F96" w:rsidRPr="008B5F96" w:rsidRDefault="008B5F96" w:rsidP="008B5F96">
      <w:pPr>
        <w:ind w:left="720" w:hanging="360"/>
        <w:jc w:val="both"/>
        <w:rPr>
          <w:sz w:val="22"/>
          <w:szCs w:val="22"/>
          <w:lang w:val="es-CR"/>
        </w:rPr>
      </w:pPr>
      <w:r w:rsidRPr="008B5F96">
        <w:rPr>
          <w:sz w:val="22"/>
          <w:szCs w:val="22"/>
          <w:lang w:val="es-CR"/>
        </w:rPr>
        <w:lastRenderedPageBreak/>
        <w:t>e)</w:t>
      </w:r>
      <w:r w:rsidRPr="008B5F96">
        <w:rPr>
          <w:sz w:val="22"/>
          <w:szCs w:val="22"/>
          <w:lang w:val="es-CR"/>
        </w:rPr>
        <w:tab/>
        <w:t>Se depura la lista de garantías utilizadas para la mitigación del riesgo, para enfocar el modelo en aquellas que representen una reducción real y efectiva de la exposición.</w:t>
      </w:r>
    </w:p>
    <w:p w14:paraId="5B8E2149" w14:textId="77777777" w:rsidR="008B5F96" w:rsidRPr="008B5F96" w:rsidRDefault="008B5F96" w:rsidP="008B5F96">
      <w:pPr>
        <w:ind w:left="720"/>
        <w:contextualSpacing/>
        <w:rPr>
          <w:sz w:val="22"/>
          <w:szCs w:val="22"/>
          <w:lang w:val="es-CR"/>
        </w:rPr>
      </w:pPr>
    </w:p>
    <w:p w14:paraId="769FDD3C" w14:textId="77777777" w:rsidR="008B5F96" w:rsidRPr="008B5F96" w:rsidRDefault="008B5F96" w:rsidP="008B5F96">
      <w:pPr>
        <w:ind w:left="720" w:hanging="360"/>
        <w:jc w:val="both"/>
        <w:rPr>
          <w:sz w:val="22"/>
          <w:szCs w:val="22"/>
          <w:lang w:val="es-CR"/>
        </w:rPr>
      </w:pPr>
      <w:r w:rsidRPr="008B5F96">
        <w:rPr>
          <w:sz w:val="22"/>
          <w:szCs w:val="22"/>
          <w:lang w:val="es-CR"/>
        </w:rPr>
        <w:t>f)</w:t>
      </w:r>
      <w:r w:rsidRPr="008B5F96">
        <w:rPr>
          <w:sz w:val="22"/>
          <w:szCs w:val="22"/>
          <w:lang w:val="es-CR"/>
        </w:rPr>
        <w:tab/>
        <w:t>Se introducen ajustes en la metodología para determinar el monto mitigador de las garantías, simplificando las fórmulas aplicables y depurando los factores de ajuste, con el fin de reflejar de manera más precisa el valor económico real del colateral y su capacidad efectiva de mitigación del riesgo crediticio.</w:t>
      </w:r>
    </w:p>
    <w:p w14:paraId="6DF74054" w14:textId="77777777" w:rsidR="008B5F96" w:rsidRPr="008B5F96" w:rsidRDefault="008B5F96" w:rsidP="008B5F96">
      <w:pPr>
        <w:ind w:left="720"/>
        <w:contextualSpacing/>
        <w:rPr>
          <w:sz w:val="22"/>
          <w:szCs w:val="22"/>
          <w:lang w:val="es-CR"/>
        </w:rPr>
      </w:pPr>
    </w:p>
    <w:p w14:paraId="416BC855" w14:textId="77777777" w:rsidR="008B5F96" w:rsidRPr="008B5F96" w:rsidRDefault="008B5F96" w:rsidP="008B5F96">
      <w:pPr>
        <w:ind w:left="720" w:hanging="360"/>
        <w:jc w:val="both"/>
        <w:rPr>
          <w:sz w:val="22"/>
          <w:szCs w:val="22"/>
          <w:lang w:val="es-CR"/>
        </w:rPr>
      </w:pPr>
      <w:r w:rsidRPr="008B5F96">
        <w:rPr>
          <w:sz w:val="22"/>
          <w:szCs w:val="22"/>
          <w:lang w:val="es-CR"/>
        </w:rPr>
        <w:t>g)</w:t>
      </w:r>
      <w:r w:rsidRPr="008B5F96">
        <w:rPr>
          <w:sz w:val="22"/>
          <w:szCs w:val="22"/>
          <w:lang w:val="es-CR"/>
        </w:rPr>
        <w:tab/>
        <w:t>Se actualiza el tratamiento de los avales y garantías otorgadas por terceros, estableciendo reglas específicas para su reconocimiento y cálculo bajo el enfoque de sustitución, con el objetivo de fortalecer la certeza jurídica y la efectividad del mitigador.</w:t>
      </w:r>
    </w:p>
    <w:p w14:paraId="5EF13B6B" w14:textId="77777777" w:rsidR="008B5F96" w:rsidRPr="008B5F96" w:rsidRDefault="008B5F96" w:rsidP="008B5F96">
      <w:pPr>
        <w:ind w:left="720"/>
        <w:contextualSpacing/>
        <w:rPr>
          <w:sz w:val="22"/>
          <w:szCs w:val="22"/>
          <w:lang w:val="es-CR"/>
        </w:rPr>
      </w:pPr>
    </w:p>
    <w:p w14:paraId="67817034" w14:textId="77777777" w:rsidR="008B5F96" w:rsidRPr="008B5F96" w:rsidRDefault="008B5F96" w:rsidP="008B5F96">
      <w:pPr>
        <w:spacing w:line="278" w:lineRule="auto"/>
        <w:rPr>
          <w:b/>
          <w:bCs/>
          <w:sz w:val="22"/>
          <w:szCs w:val="22"/>
          <w:lang w:val="es-CR"/>
        </w:rPr>
      </w:pPr>
      <w:r w:rsidRPr="008B5F96">
        <w:rPr>
          <w:b/>
          <w:bCs/>
          <w:sz w:val="22"/>
          <w:szCs w:val="22"/>
          <w:lang w:val="es-CR"/>
        </w:rPr>
        <w:t>Consideraciones específicas</w:t>
      </w:r>
    </w:p>
    <w:p w14:paraId="6BBA7027" w14:textId="77777777" w:rsidR="008B5F96" w:rsidRPr="008B5F96" w:rsidRDefault="008B5F96" w:rsidP="008B5F96">
      <w:pPr>
        <w:jc w:val="both"/>
        <w:rPr>
          <w:b/>
          <w:bCs/>
          <w:sz w:val="22"/>
          <w:szCs w:val="22"/>
          <w:lang w:val="es-CR"/>
        </w:rPr>
      </w:pPr>
    </w:p>
    <w:p w14:paraId="6A6D6C45" w14:textId="77777777" w:rsidR="008B5F96" w:rsidRPr="008B5F96" w:rsidRDefault="008B5F96" w:rsidP="008B5F96">
      <w:pPr>
        <w:jc w:val="both"/>
        <w:rPr>
          <w:b/>
          <w:bCs/>
          <w:sz w:val="22"/>
          <w:szCs w:val="22"/>
          <w:lang w:val="es-CR"/>
        </w:rPr>
      </w:pPr>
      <w:r w:rsidRPr="008B5F96">
        <w:rPr>
          <w:b/>
          <w:bCs/>
          <w:sz w:val="22"/>
          <w:szCs w:val="22"/>
          <w:lang w:val="es-CR"/>
        </w:rPr>
        <w:t>Codeudor en el análisis de capacidad de pago y en el cálculo de estimaciones crediticias</w:t>
      </w:r>
    </w:p>
    <w:p w14:paraId="02DF86AF" w14:textId="77777777" w:rsidR="008B5F96" w:rsidRPr="008B5F96" w:rsidRDefault="008B5F96" w:rsidP="008B5F96">
      <w:pPr>
        <w:jc w:val="both"/>
        <w:rPr>
          <w:b/>
          <w:bCs/>
          <w:sz w:val="22"/>
          <w:szCs w:val="22"/>
          <w:lang w:val="es-CR"/>
        </w:rPr>
      </w:pPr>
    </w:p>
    <w:p w14:paraId="543EA577"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19)</w:t>
      </w:r>
      <w:r w:rsidRPr="008B5F96">
        <w:rPr>
          <w:sz w:val="22"/>
          <w:szCs w:val="22"/>
          <w:lang w:val="es-CR"/>
        </w:rPr>
        <w:tab/>
        <w:t>Corresponde a cada entidad supervisada definir, en sus políticas de crédito, el rol que asigna a los codeudores al momento de otorgar una operación crediticia, independientemente de que el deudor sea una persona física o jurídica, de acuerdo con las características y condiciones de la operación y con los criterios establecidos por la entidad para el otorgamiento del crédito.</w:t>
      </w:r>
    </w:p>
    <w:p w14:paraId="025EA16D" w14:textId="77777777" w:rsidR="008B5F96" w:rsidRPr="008B5F96" w:rsidRDefault="008B5F96" w:rsidP="008B5F96">
      <w:pPr>
        <w:tabs>
          <w:tab w:val="left" w:pos="37"/>
        </w:tabs>
        <w:ind w:left="360"/>
        <w:contextualSpacing/>
        <w:jc w:val="both"/>
        <w:rPr>
          <w:sz w:val="22"/>
          <w:szCs w:val="22"/>
          <w:lang w:val="es-CR"/>
        </w:rPr>
      </w:pPr>
    </w:p>
    <w:p w14:paraId="036378E4"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20)</w:t>
      </w:r>
      <w:r w:rsidRPr="008B5F96">
        <w:rPr>
          <w:sz w:val="22"/>
          <w:szCs w:val="22"/>
          <w:lang w:val="es-CR"/>
        </w:rPr>
        <w:tab/>
        <w:t>La presente regulación permite que el análisis de la capacidad de pago se realice de forma conjunta para el deudor y el codeudor, con el propósito de valorar la capacidad para atender las obligaciones financieras en las condiciones pactadas.</w:t>
      </w:r>
    </w:p>
    <w:p w14:paraId="1A216F57" w14:textId="77777777" w:rsidR="008B5F96" w:rsidRPr="008B5F96" w:rsidRDefault="008B5F96" w:rsidP="008B5F96">
      <w:pPr>
        <w:ind w:left="720"/>
        <w:contextualSpacing/>
        <w:rPr>
          <w:sz w:val="22"/>
          <w:szCs w:val="22"/>
          <w:lang w:val="es-CR"/>
        </w:rPr>
      </w:pPr>
    </w:p>
    <w:p w14:paraId="0FB92308"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21)</w:t>
      </w:r>
      <w:r w:rsidRPr="008B5F96">
        <w:rPr>
          <w:sz w:val="22"/>
          <w:szCs w:val="22"/>
          <w:lang w:val="es-CR"/>
        </w:rPr>
        <w:tab/>
        <w:t>La realización conjunta del análisis de la capacidad de pago no implica que el codeudor sea considerado para la constitución de estimaciones crediticias, dado que, para efectos de la calificación de riesgo y del cálculo de dichas estimaciones, debe utilizarse el nivel de comportamiento de pago histórico asignado al deudor por el Centro de Información Crediticia de la Superintendencia General de Entidades Financieras.</w:t>
      </w:r>
    </w:p>
    <w:p w14:paraId="4C81AA9B" w14:textId="77777777" w:rsidR="008B5F96" w:rsidRPr="008B5F96" w:rsidRDefault="008B5F96" w:rsidP="008B5F96">
      <w:pPr>
        <w:ind w:left="720"/>
        <w:contextualSpacing/>
        <w:rPr>
          <w:sz w:val="22"/>
          <w:szCs w:val="22"/>
          <w:lang w:val="es-CR"/>
        </w:rPr>
      </w:pPr>
    </w:p>
    <w:p w14:paraId="257AE373" w14:textId="77777777" w:rsidR="008B5F96" w:rsidRPr="008B5F96" w:rsidRDefault="008B5F96" w:rsidP="008B5F96">
      <w:pPr>
        <w:jc w:val="both"/>
        <w:rPr>
          <w:b/>
          <w:bCs/>
          <w:sz w:val="22"/>
          <w:szCs w:val="22"/>
          <w:lang w:val="es-CR"/>
        </w:rPr>
      </w:pPr>
      <w:r w:rsidRPr="008B5F96">
        <w:rPr>
          <w:b/>
          <w:bCs/>
          <w:sz w:val="22"/>
          <w:szCs w:val="22"/>
          <w:lang w:val="es-CR"/>
        </w:rPr>
        <w:t>Operación especial y deudor con operación especial</w:t>
      </w:r>
    </w:p>
    <w:p w14:paraId="76747A8E" w14:textId="77777777" w:rsidR="008B5F96" w:rsidRPr="008B5F96" w:rsidRDefault="008B5F96" w:rsidP="008B5F96">
      <w:pPr>
        <w:jc w:val="both"/>
        <w:rPr>
          <w:sz w:val="22"/>
          <w:szCs w:val="22"/>
          <w:lang w:val="es-CR"/>
        </w:rPr>
      </w:pPr>
    </w:p>
    <w:p w14:paraId="6D8E9A3C"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22)</w:t>
      </w:r>
      <w:r w:rsidRPr="008B5F96">
        <w:rPr>
          <w:sz w:val="22"/>
          <w:szCs w:val="22"/>
          <w:lang w:val="es-CR"/>
        </w:rPr>
        <w:tab/>
        <w:t>Se incorpora el concepto de ‘operación especial’ y se mantiene el de ‘deudor con operación especial’, con el fin de procurar un tratamiento prudencial adecuado para operaciones cuyas condiciones de pago han sido modificadas o cuentan con condiciones de pago especiales como prórroga, readecuación o refinanciamiento. La propuesta dispone que el impacto de estas operaciones debe analizarse a nivel de deudor, en línea con un enfoque integral de riesgo de crédito.</w:t>
      </w:r>
    </w:p>
    <w:p w14:paraId="12BFEB5B" w14:textId="77777777" w:rsidR="008B5F96" w:rsidRPr="008B5F96" w:rsidRDefault="008B5F96" w:rsidP="008B5F96">
      <w:pPr>
        <w:tabs>
          <w:tab w:val="left" w:pos="37"/>
        </w:tabs>
        <w:jc w:val="both"/>
        <w:rPr>
          <w:sz w:val="22"/>
          <w:szCs w:val="22"/>
          <w:lang w:val="es-CR"/>
        </w:rPr>
      </w:pPr>
    </w:p>
    <w:p w14:paraId="67B4C9C3" w14:textId="77777777" w:rsidR="008B5F96" w:rsidRPr="008B5F96" w:rsidRDefault="008B5F96" w:rsidP="008B5F96">
      <w:pPr>
        <w:tabs>
          <w:tab w:val="left" w:pos="37"/>
        </w:tabs>
        <w:ind w:left="360"/>
        <w:jc w:val="both"/>
        <w:rPr>
          <w:sz w:val="22"/>
          <w:szCs w:val="22"/>
          <w:lang w:val="es-CR"/>
        </w:rPr>
      </w:pPr>
      <w:r w:rsidRPr="008B5F96">
        <w:rPr>
          <w:sz w:val="22"/>
          <w:szCs w:val="22"/>
          <w:lang w:val="es-CR"/>
        </w:rPr>
        <w:t xml:space="preserve">Asimismo, se establece que la calificación asignada a estos deudores deberá mantenerse por un período prudencial antes de autorizar mejoras, con el propósito de observar su comportamiento de pago bajo las nuevas condiciones pactadas. Esta calificación deberá conservarse mientras el deudor mantenga al menos una operación con condiciones especiales. </w:t>
      </w:r>
    </w:p>
    <w:p w14:paraId="1DAD3787" w14:textId="77777777" w:rsidR="008B5F96" w:rsidRPr="008B5F96" w:rsidRDefault="008B5F96" w:rsidP="008B5F96">
      <w:pPr>
        <w:tabs>
          <w:tab w:val="left" w:pos="37"/>
        </w:tabs>
        <w:ind w:left="360"/>
        <w:jc w:val="both"/>
        <w:rPr>
          <w:sz w:val="22"/>
          <w:szCs w:val="22"/>
          <w:lang w:val="es-CR"/>
        </w:rPr>
      </w:pPr>
    </w:p>
    <w:p w14:paraId="1937E8EC" w14:textId="77777777" w:rsidR="008B5F96" w:rsidRPr="008B5F96" w:rsidRDefault="008B5F96" w:rsidP="008B5F96">
      <w:pPr>
        <w:jc w:val="both"/>
        <w:rPr>
          <w:b/>
          <w:bCs/>
          <w:sz w:val="22"/>
          <w:szCs w:val="22"/>
          <w:lang w:val="es-CR"/>
        </w:rPr>
      </w:pPr>
      <w:r w:rsidRPr="008B5F96">
        <w:rPr>
          <w:b/>
          <w:bCs/>
          <w:sz w:val="22"/>
          <w:szCs w:val="22"/>
          <w:lang w:val="es-CR"/>
        </w:rPr>
        <w:t>Uso del modelo estándar para el cálculo de estimaciones crediticias</w:t>
      </w:r>
    </w:p>
    <w:p w14:paraId="10EF6607" w14:textId="77777777" w:rsidR="008B5F96" w:rsidRPr="008B5F96" w:rsidRDefault="008B5F96" w:rsidP="008B5F96">
      <w:pPr>
        <w:jc w:val="both"/>
        <w:rPr>
          <w:sz w:val="22"/>
          <w:szCs w:val="22"/>
          <w:lang w:val="es-CR"/>
        </w:rPr>
      </w:pPr>
    </w:p>
    <w:p w14:paraId="4B29C82D" w14:textId="77777777" w:rsidR="008B5F96" w:rsidRPr="008B5F96" w:rsidRDefault="008B5F96" w:rsidP="008B5F96">
      <w:pPr>
        <w:tabs>
          <w:tab w:val="left" w:pos="37"/>
        </w:tabs>
        <w:ind w:left="360" w:hanging="360"/>
        <w:jc w:val="both"/>
        <w:rPr>
          <w:bCs/>
          <w:sz w:val="22"/>
          <w:szCs w:val="22"/>
          <w:lang w:val="es-CR"/>
        </w:rPr>
      </w:pPr>
      <w:r w:rsidRPr="008B5F96">
        <w:rPr>
          <w:bCs/>
          <w:sz w:val="22"/>
          <w:szCs w:val="22"/>
          <w:lang w:val="es-CR"/>
        </w:rPr>
        <w:t>23)</w:t>
      </w:r>
      <w:r w:rsidRPr="008B5F96">
        <w:rPr>
          <w:bCs/>
          <w:sz w:val="22"/>
          <w:szCs w:val="22"/>
          <w:lang w:val="es-CR"/>
        </w:rPr>
        <w:tab/>
        <w:t xml:space="preserve">En atención a la necesidad de asegurar la constitución de las estimaciones requeridas para prever los riesgos de pérdidas y promover la estabilidad y solvencia de las entidades supervisadas, de conformidad con las potestades establecidas en el artículo 131, incisos m) y q), de la </w:t>
      </w:r>
      <w:r w:rsidRPr="008B5F96">
        <w:rPr>
          <w:bCs/>
          <w:i/>
          <w:iCs/>
          <w:sz w:val="22"/>
          <w:szCs w:val="22"/>
          <w:lang w:val="es-CR"/>
        </w:rPr>
        <w:t xml:space="preserve">Ley Orgánica </w:t>
      </w:r>
      <w:r w:rsidRPr="008B5F96">
        <w:rPr>
          <w:bCs/>
          <w:i/>
          <w:iCs/>
          <w:sz w:val="22"/>
          <w:szCs w:val="22"/>
          <w:lang w:val="es-CR"/>
        </w:rPr>
        <w:lastRenderedPageBreak/>
        <w:t>del Banco Central de Costa Rica</w:t>
      </w:r>
      <w:r w:rsidRPr="008B5F96">
        <w:rPr>
          <w:bCs/>
          <w:sz w:val="22"/>
          <w:szCs w:val="22"/>
          <w:lang w:val="es-CR"/>
        </w:rPr>
        <w:t>, Ley 7558, resulta necesario condicionar la distribución de utilidades, excedentes u otros beneficios patrimoniales al cumplimiento previo del porcentaje mínimo del requerimiento incremental exigible para cada año, conforme al Transitorio III del presente Reglamento o en el caso que la entidad no cuente con utilidades retenidas o excedentes acumulados suficientes para constituir la reserva patrimonial establecida en el artículo 35. Tratamiento contable de las estimaciones cuando se utilicen modelos internos.</w:t>
      </w:r>
    </w:p>
    <w:p w14:paraId="1CF13194" w14:textId="77777777" w:rsidR="008B5F96" w:rsidRPr="008B5F96" w:rsidRDefault="008B5F96" w:rsidP="008B5F96">
      <w:pPr>
        <w:tabs>
          <w:tab w:val="left" w:pos="37"/>
        </w:tabs>
        <w:ind w:left="360"/>
        <w:contextualSpacing/>
        <w:jc w:val="both"/>
        <w:rPr>
          <w:sz w:val="22"/>
          <w:szCs w:val="22"/>
          <w:lang w:val="es-CR"/>
        </w:rPr>
      </w:pPr>
    </w:p>
    <w:p w14:paraId="6C07BC53"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24)</w:t>
      </w:r>
      <w:r w:rsidRPr="008B5F96">
        <w:rPr>
          <w:sz w:val="22"/>
          <w:szCs w:val="22"/>
          <w:lang w:val="es-CR"/>
        </w:rPr>
        <w:tab/>
        <w:t>El monto de estimaciones que se calcula con el modelo estándar constituye el nivel mínimo prudencial de cobertura por riesgo de crédito para las entidades que utilizan únicamente el modelo estándar. En el caso de las entidades que cuenten con resolución de no objeción para el uso de modelos internos, el nivel mínimo prudencial se determinará conforme al régimen previsto en este reglamento, que exige, como mínimo, la suma de las estimaciones por las pérdidas crediticias esperadas establecidas bajo el modelo interno y las reservas patrimoniales prudenciales que sean necesarias para alcanzar el monto de estimaciones calculado mediante el modelo estándar. Si la entidad no tiene suficientes utilidades retenidas o excedentes acumulados, o reservas similares para cubrir ese requerimiento; no podrá distribuir utilidades o excedentes hasta que pueda crear las reservas requeridas.</w:t>
      </w:r>
    </w:p>
    <w:p w14:paraId="7FD0B9E1" w14:textId="77777777" w:rsidR="008B5F96" w:rsidRPr="008B5F96" w:rsidRDefault="008B5F96" w:rsidP="008B5F96">
      <w:pPr>
        <w:tabs>
          <w:tab w:val="left" w:pos="37"/>
        </w:tabs>
        <w:jc w:val="both"/>
        <w:rPr>
          <w:sz w:val="22"/>
          <w:szCs w:val="22"/>
          <w:lang w:val="es-CR"/>
        </w:rPr>
      </w:pPr>
    </w:p>
    <w:p w14:paraId="0577E527" w14:textId="77777777" w:rsidR="008B5F96" w:rsidRPr="008B5F96" w:rsidRDefault="008B5F96" w:rsidP="008B5F96">
      <w:pPr>
        <w:jc w:val="both"/>
        <w:rPr>
          <w:b/>
          <w:bCs/>
          <w:sz w:val="22"/>
          <w:szCs w:val="22"/>
          <w:lang w:val="es-CR"/>
        </w:rPr>
      </w:pPr>
      <w:r w:rsidRPr="008B5F96">
        <w:rPr>
          <w:b/>
          <w:bCs/>
          <w:sz w:val="22"/>
          <w:szCs w:val="22"/>
          <w:lang w:val="es-CR"/>
        </w:rPr>
        <w:t>Uso de modelos internos para el cálculo de estimaciones crediticias</w:t>
      </w:r>
    </w:p>
    <w:p w14:paraId="639EB8BF" w14:textId="77777777" w:rsidR="008B5F96" w:rsidRPr="001C0CDC" w:rsidRDefault="008B5F96" w:rsidP="008B5F96">
      <w:pPr>
        <w:jc w:val="both"/>
        <w:rPr>
          <w:sz w:val="22"/>
          <w:szCs w:val="22"/>
          <w:lang w:val="es-CR"/>
        </w:rPr>
      </w:pPr>
    </w:p>
    <w:p w14:paraId="5B225E56"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25)</w:t>
      </w:r>
      <w:r w:rsidRPr="008B5F96">
        <w:rPr>
          <w:sz w:val="22"/>
          <w:szCs w:val="22"/>
          <w:lang w:val="es-CR"/>
        </w:rPr>
        <w:tab/>
        <w:t>El presente reglamento actualiza el modelo estándar para la constitución de estimaciones específicas por riesgo de crédito, alineándolo con el enfoque de pérdida crediticia esperada contemplado en la NIIF-9, mediante el uso de parámetros como la probabilidad de incumplimiento (PD), la pérdida dado el incumplimiento (LGD) y la exposición en caso de incumplimiento (EAD), segmento, categoría y perfil de riesgo. Adicionalmente, se faculta a las entidades supervisadas para constituir reservas patrimoniales prudenciales adicionales, debidamente individualizadas, cuando decidan mantener niveles de cobertura superiores al mínimo regulatorio, asegurando que dichas reservas se registren en el patrimonio y no formen parte de la estimación de pérdidas crediticias esperadas reconocida en los estados financieros bajo el marco NIIF, con el fin de preservar la solvencia, reforzar el enfoque prudencial y garantizar la transparencia del tratamiento contable. Lo anterior, bajo el entendido que la entidad posea utilidades acumuladas o excedentes retenidos suficientes para constituir esas reservas, o reservas similares con las cuales cubrirlas.</w:t>
      </w:r>
    </w:p>
    <w:p w14:paraId="5089F91C" w14:textId="77777777" w:rsidR="008B5F96" w:rsidRPr="008B5F96" w:rsidRDefault="008B5F96" w:rsidP="008B5F96">
      <w:pPr>
        <w:tabs>
          <w:tab w:val="left" w:pos="37"/>
        </w:tabs>
        <w:jc w:val="both"/>
        <w:rPr>
          <w:sz w:val="22"/>
          <w:szCs w:val="22"/>
          <w:lang w:val="es-CR"/>
        </w:rPr>
      </w:pPr>
    </w:p>
    <w:p w14:paraId="58268847"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26)</w:t>
      </w:r>
      <w:r w:rsidRPr="008B5F96">
        <w:rPr>
          <w:sz w:val="22"/>
          <w:szCs w:val="22"/>
          <w:lang w:val="es-CR"/>
        </w:rPr>
        <w:tab/>
        <w:t>El reglamento establece un régimen específico para las entidades que opten por utilizar modelos internos basados en pérdida esperada, sujeto a un proceso de no objeción por parte de la superintendencia, que comprende: (i) un período de prueba en el que los modelos internos se aplican y monitorean en paralelo con el modelo estándar; y (ii) la posibilidad, una vez obtenida la no objeción, de utilizar dichos modelos internos como base para el registro contable de las pérdidas crediticias esperadas, con la obligatoriedad de constituir reservas patrimoniales prudenciales adicionales cuando las estimaciones regulatorias calculadas mediante el modelo estándar superen las pérdidas crediticias esperadas determinadas bajo el marco contable NIIF.</w:t>
      </w:r>
    </w:p>
    <w:p w14:paraId="5946F537" w14:textId="77777777" w:rsidR="008B5F96" w:rsidRPr="008B5F96" w:rsidRDefault="008B5F96" w:rsidP="008B5F96">
      <w:pPr>
        <w:ind w:left="720"/>
        <w:contextualSpacing/>
        <w:rPr>
          <w:sz w:val="22"/>
          <w:szCs w:val="22"/>
          <w:lang w:val="es-CR"/>
        </w:rPr>
      </w:pPr>
    </w:p>
    <w:p w14:paraId="123A2EA0"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27)</w:t>
      </w:r>
      <w:r w:rsidRPr="008B5F96">
        <w:rPr>
          <w:sz w:val="22"/>
          <w:szCs w:val="22"/>
          <w:lang w:val="es-CR"/>
        </w:rPr>
        <w:tab/>
        <w:t>Los requisitos para la aplicación de modelos internos se definirán mediante lineamientos técnicos de este reglamento que orienten su implementación de forma clara y uniforme. Dichos lineamientos servirán como referencia para garantizar consistencia entre participantes y áreas involucradas. Asimismo, se ajustan y actualizan los requisitos vigentes, integrando todos los criterios técnicos en un único instrumento operativo que simplifique su consulta y facilite su aplicación práctica. De esta manera, se busca contar con un marco técnico coherente, accesible y unificado, que contribuya a la eficiencia y transparencia en la gestión de modelos internos.</w:t>
      </w:r>
    </w:p>
    <w:p w14:paraId="027D71F2" w14:textId="77777777" w:rsidR="008B5F96" w:rsidRPr="008B5F96" w:rsidRDefault="008B5F96" w:rsidP="008B5F96">
      <w:pPr>
        <w:jc w:val="both"/>
        <w:rPr>
          <w:b/>
          <w:bCs/>
          <w:sz w:val="22"/>
          <w:szCs w:val="22"/>
          <w:lang w:val="es-CR"/>
        </w:rPr>
      </w:pPr>
      <w:r w:rsidRPr="008B5F96">
        <w:rPr>
          <w:b/>
          <w:bCs/>
          <w:sz w:val="22"/>
          <w:szCs w:val="22"/>
          <w:lang w:val="es-CR"/>
        </w:rPr>
        <w:lastRenderedPageBreak/>
        <w:t>Garantías</w:t>
      </w:r>
    </w:p>
    <w:p w14:paraId="2188F2B5" w14:textId="77777777" w:rsidR="008B5F96" w:rsidRPr="008B5F96" w:rsidRDefault="008B5F96" w:rsidP="008B5F96">
      <w:pPr>
        <w:jc w:val="both"/>
        <w:rPr>
          <w:sz w:val="22"/>
          <w:szCs w:val="22"/>
          <w:lang w:val="es-CR"/>
        </w:rPr>
      </w:pPr>
    </w:p>
    <w:p w14:paraId="1DD3E087"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28)</w:t>
      </w:r>
      <w:r w:rsidRPr="008B5F96">
        <w:rPr>
          <w:sz w:val="22"/>
          <w:szCs w:val="22"/>
          <w:lang w:val="es-CR"/>
        </w:rPr>
        <w:tab/>
        <w:t>Asimismo, se considera razonable la aceptación de garantías como mitigadores de riesgo aún en las categorías de mayor riesgo, pero ponderando su valor a menos de un cien por ciento. La experiencia con la aplicación del Acuerdo Conassif 14-21 relativo a las garantías, y la efectividad de estas para mitigar el riesgo de crédito, sugiere que es conveniente reducir el número de garantías que pueden utilizarse como mitigadores para el cálculo de estimaciones, con el fin de reconocer únicamente aquellas que representen una reducción real y efectiva de la exposición al riesgo de crédito.</w:t>
      </w:r>
    </w:p>
    <w:p w14:paraId="64594C32" w14:textId="77777777" w:rsidR="008B5F96" w:rsidRPr="001C0CDC" w:rsidRDefault="008B5F96" w:rsidP="008B5F96">
      <w:pPr>
        <w:jc w:val="both"/>
        <w:rPr>
          <w:sz w:val="22"/>
          <w:szCs w:val="22"/>
          <w:u w:val="single"/>
          <w:lang w:val="es-CR"/>
        </w:rPr>
      </w:pPr>
    </w:p>
    <w:p w14:paraId="50CCF9FF" w14:textId="77777777" w:rsidR="008B5F96" w:rsidRPr="008B5F96" w:rsidRDefault="008B5F96" w:rsidP="008B5F96">
      <w:pPr>
        <w:jc w:val="both"/>
        <w:rPr>
          <w:b/>
          <w:bCs/>
          <w:sz w:val="22"/>
          <w:szCs w:val="22"/>
          <w:lang w:val="es-CR"/>
        </w:rPr>
      </w:pPr>
      <w:r w:rsidRPr="008B5F96">
        <w:rPr>
          <w:b/>
          <w:bCs/>
          <w:sz w:val="22"/>
          <w:szCs w:val="22"/>
          <w:lang w:val="es-CR"/>
        </w:rPr>
        <w:t>Categorías de riesgo</w:t>
      </w:r>
    </w:p>
    <w:p w14:paraId="629F91B0" w14:textId="77777777" w:rsidR="008B5F96" w:rsidRPr="008B5F96" w:rsidRDefault="008B5F96" w:rsidP="008B5F96">
      <w:pPr>
        <w:tabs>
          <w:tab w:val="left" w:pos="37"/>
        </w:tabs>
        <w:ind w:left="360"/>
        <w:contextualSpacing/>
        <w:jc w:val="both"/>
        <w:rPr>
          <w:sz w:val="22"/>
          <w:szCs w:val="22"/>
          <w:lang w:val="es-CR"/>
        </w:rPr>
      </w:pPr>
    </w:p>
    <w:p w14:paraId="1EA4F5EA"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29)</w:t>
      </w:r>
      <w:r w:rsidRPr="008B5F96">
        <w:rPr>
          <w:sz w:val="22"/>
          <w:szCs w:val="22"/>
          <w:lang w:val="es-CR"/>
        </w:rPr>
        <w:tab/>
        <w:t>Se mantienen las ocho categorías de riesgo que se alinean con las tres etapas de NIIF-9. Las dos primeras categorías corresponden a la Etapa 1 ‘Operaciones en riesgo normal’, la tercera y cuarta categoría a la Etapa 2 ‘Operaciones en vigilancia especial’ y las cuatro últimas categorías corresponden a la Etapa 3 ‘Operaciones en dudosa recuperación’ de NIIF-9.</w:t>
      </w:r>
    </w:p>
    <w:p w14:paraId="397AD7D7" w14:textId="77777777" w:rsidR="008B5F96" w:rsidRPr="008B5F96" w:rsidRDefault="008B5F96" w:rsidP="008B5F96">
      <w:pPr>
        <w:tabs>
          <w:tab w:val="left" w:pos="37"/>
        </w:tabs>
        <w:ind w:left="360"/>
        <w:contextualSpacing/>
        <w:jc w:val="both"/>
        <w:rPr>
          <w:sz w:val="22"/>
          <w:szCs w:val="22"/>
          <w:lang w:val="es-CR"/>
        </w:rPr>
      </w:pPr>
    </w:p>
    <w:p w14:paraId="38B73809" w14:textId="77777777" w:rsidR="008B5F96" w:rsidRPr="008B5F96" w:rsidRDefault="008B5F96" w:rsidP="008B5F96">
      <w:pPr>
        <w:jc w:val="both"/>
        <w:rPr>
          <w:b/>
          <w:bCs/>
          <w:sz w:val="22"/>
          <w:szCs w:val="22"/>
          <w:lang w:val="es-CR"/>
        </w:rPr>
      </w:pPr>
      <w:r w:rsidRPr="008B5F96">
        <w:rPr>
          <w:b/>
          <w:bCs/>
          <w:sz w:val="22"/>
          <w:szCs w:val="22"/>
          <w:lang w:val="es-CR"/>
        </w:rPr>
        <w:t>Perfiles de riesgo</w:t>
      </w:r>
    </w:p>
    <w:p w14:paraId="67ED7E72" w14:textId="77777777" w:rsidR="008B5F96" w:rsidRPr="008B5F96" w:rsidRDefault="008B5F96" w:rsidP="008B5F96">
      <w:pPr>
        <w:jc w:val="both"/>
        <w:rPr>
          <w:b/>
          <w:bCs/>
          <w:sz w:val="22"/>
          <w:szCs w:val="22"/>
          <w:lang w:val="es-CR"/>
        </w:rPr>
      </w:pPr>
    </w:p>
    <w:p w14:paraId="1D18B8B4" w14:textId="6588CDD0" w:rsidR="008B5F96" w:rsidRPr="008B5F96" w:rsidRDefault="008B5F96" w:rsidP="008B5F96">
      <w:pPr>
        <w:tabs>
          <w:tab w:val="left" w:pos="37"/>
        </w:tabs>
        <w:ind w:left="360" w:hanging="360"/>
        <w:jc w:val="both"/>
        <w:rPr>
          <w:sz w:val="22"/>
          <w:szCs w:val="22"/>
          <w:lang w:val="es-CR"/>
        </w:rPr>
      </w:pPr>
      <w:r w:rsidRPr="008B5F96">
        <w:rPr>
          <w:sz w:val="22"/>
          <w:szCs w:val="22"/>
          <w:lang w:val="es-CR"/>
        </w:rPr>
        <w:t>30)</w:t>
      </w:r>
      <w:r w:rsidRPr="008B5F96">
        <w:rPr>
          <w:sz w:val="22"/>
          <w:szCs w:val="22"/>
          <w:lang w:val="es-CR"/>
        </w:rPr>
        <w:tab/>
        <w:t>Se definieron cuatro perfiles de riesgo —bajo, medio-bajo, medio-alto y alto— para analizar el comportamiento del riesgo y facilitar su gestión. Estos perfiles se aplican a cada segmento regulatorio y a las ocho categorías de riesgo del modelo.</w:t>
      </w:r>
    </w:p>
    <w:p w14:paraId="58728A56" w14:textId="77777777" w:rsidR="008B5F96" w:rsidRPr="008B5F96" w:rsidRDefault="008B5F96" w:rsidP="008B5F96">
      <w:pPr>
        <w:tabs>
          <w:tab w:val="left" w:pos="37"/>
        </w:tabs>
        <w:ind w:left="360"/>
        <w:contextualSpacing/>
        <w:jc w:val="both"/>
        <w:rPr>
          <w:sz w:val="22"/>
          <w:szCs w:val="22"/>
          <w:lang w:val="es-CR"/>
        </w:rPr>
      </w:pPr>
    </w:p>
    <w:p w14:paraId="3D31E0E1" w14:textId="77777777" w:rsidR="008B5F96" w:rsidRPr="008B5F96" w:rsidRDefault="008B5F96" w:rsidP="008B5F96">
      <w:pPr>
        <w:ind w:left="360"/>
        <w:jc w:val="both"/>
        <w:rPr>
          <w:sz w:val="22"/>
          <w:szCs w:val="22"/>
          <w:lang w:val="es-CR"/>
        </w:rPr>
      </w:pPr>
      <w:r w:rsidRPr="008B5F96">
        <w:rPr>
          <w:sz w:val="22"/>
          <w:szCs w:val="22"/>
          <w:lang w:val="es-CR"/>
        </w:rPr>
        <w:t>La construcción de estos perfiles se basó en información histórica de incumplimientos, es decir, en datos que reflejan el comportamiento observado de las operaciones de crédito. A partir de esta información, se identificaron patrones comunes que permitieran diferenciar los distintos niveles de riesgo de manera objetiva y coherente.</w:t>
      </w:r>
    </w:p>
    <w:p w14:paraId="3D8CF733" w14:textId="77777777" w:rsidR="008B5F96" w:rsidRPr="008B5F96" w:rsidRDefault="008B5F96" w:rsidP="008B5F96">
      <w:pPr>
        <w:ind w:left="360"/>
        <w:jc w:val="both"/>
        <w:rPr>
          <w:sz w:val="22"/>
          <w:szCs w:val="22"/>
          <w:lang w:val="es-CR"/>
        </w:rPr>
      </w:pPr>
    </w:p>
    <w:p w14:paraId="63F422BC" w14:textId="77777777" w:rsidR="008B5F96" w:rsidRPr="008B5F96" w:rsidRDefault="008B5F96" w:rsidP="008B5F96">
      <w:pPr>
        <w:ind w:left="360"/>
        <w:jc w:val="both"/>
        <w:rPr>
          <w:sz w:val="22"/>
          <w:szCs w:val="22"/>
          <w:lang w:val="es-CR"/>
        </w:rPr>
      </w:pPr>
      <w:r w:rsidRPr="008B5F96">
        <w:rPr>
          <w:sz w:val="22"/>
          <w:szCs w:val="22"/>
          <w:lang w:val="es-CR"/>
        </w:rPr>
        <w:t xml:space="preserve">Para lograrlo, se utilizó la técnica de </w:t>
      </w:r>
      <w:r w:rsidRPr="008B5F96">
        <w:rPr>
          <w:i/>
          <w:iCs/>
          <w:sz w:val="22"/>
          <w:szCs w:val="22"/>
          <w:lang w:val="es-CR"/>
        </w:rPr>
        <w:t>clustering</w:t>
      </w:r>
      <w:r w:rsidRPr="008B5F96">
        <w:rPr>
          <w:sz w:val="22"/>
          <w:szCs w:val="22"/>
          <w:lang w:val="es-CR"/>
        </w:rPr>
        <w:t xml:space="preserve">, un método estadístico que agrupa elementos similares entre sí, en función del valor de una o más variables numéricas. En otras palabras, el </w:t>
      </w:r>
      <w:r w:rsidRPr="008B5F96">
        <w:rPr>
          <w:i/>
          <w:iCs/>
          <w:sz w:val="22"/>
          <w:szCs w:val="22"/>
          <w:lang w:val="es-CR"/>
        </w:rPr>
        <w:t>clustering</w:t>
      </w:r>
      <w:r w:rsidRPr="008B5F96">
        <w:rPr>
          <w:sz w:val="22"/>
          <w:szCs w:val="22"/>
          <w:lang w:val="es-CR"/>
        </w:rPr>
        <w:t xml:space="preserve"> permite crear grupos (o clúster) dentro de los cuales, los elementos se parecen mucho entre sí, pero difieren de los que pertenecen a otros grupos.</w:t>
      </w:r>
    </w:p>
    <w:p w14:paraId="27E583E1" w14:textId="77777777" w:rsidR="008B5F96" w:rsidRPr="008B5F96" w:rsidRDefault="008B5F96" w:rsidP="008B5F96">
      <w:pPr>
        <w:ind w:left="360"/>
        <w:jc w:val="both"/>
        <w:rPr>
          <w:sz w:val="22"/>
          <w:szCs w:val="22"/>
          <w:lang w:val="es-CR"/>
        </w:rPr>
      </w:pPr>
    </w:p>
    <w:p w14:paraId="2B0112B3" w14:textId="77777777" w:rsidR="008B5F96" w:rsidRPr="008B5F96" w:rsidRDefault="008B5F96" w:rsidP="008B5F96">
      <w:pPr>
        <w:ind w:left="360"/>
        <w:jc w:val="both"/>
        <w:rPr>
          <w:sz w:val="22"/>
          <w:szCs w:val="22"/>
          <w:lang w:val="es-CR"/>
        </w:rPr>
      </w:pPr>
      <w:r w:rsidRPr="008B5F96">
        <w:rPr>
          <w:sz w:val="22"/>
          <w:szCs w:val="22"/>
          <w:lang w:val="es-CR"/>
        </w:rPr>
        <w:t>Una vez formados los grupos, se calculó el valor promedio de cada uno, que representa el comportamiento típico de los elementos que lo componen.</w:t>
      </w:r>
    </w:p>
    <w:p w14:paraId="63372D33" w14:textId="77777777" w:rsidR="008B5F96" w:rsidRPr="008B5F96" w:rsidRDefault="008B5F96" w:rsidP="008B5F96">
      <w:pPr>
        <w:ind w:left="360"/>
        <w:jc w:val="both"/>
        <w:rPr>
          <w:sz w:val="22"/>
          <w:szCs w:val="22"/>
          <w:lang w:val="es-CR"/>
        </w:rPr>
      </w:pPr>
    </w:p>
    <w:p w14:paraId="56CDE501" w14:textId="77777777" w:rsidR="008B5F96" w:rsidRPr="008B5F96" w:rsidRDefault="008B5F96" w:rsidP="008B5F96">
      <w:pPr>
        <w:ind w:left="360"/>
        <w:jc w:val="both"/>
        <w:rPr>
          <w:sz w:val="22"/>
          <w:szCs w:val="22"/>
          <w:lang w:val="es-CR"/>
        </w:rPr>
      </w:pPr>
      <w:r w:rsidRPr="008B5F96">
        <w:rPr>
          <w:sz w:val="22"/>
          <w:szCs w:val="22"/>
          <w:lang w:val="es-CR"/>
        </w:rPr>
        <w:t>Luego, estos valores se ajustaron para mantener la consistencia entre los diferentes segmentos y categorías, asegurando que los resultados fueran comparables y coherentes dentro del conjunto general del modelo.</w:t>
      </w:r>
    </w:p>
    <w:p w14:paraId="33D72B49" w14:textId="77777777" w:rsidR="008B5F96" w:rsidRPr="008B5F96" w:rsidRDefault="008B5F96" w:rsidP="008B5F96">
      <w:pPr>
        <w:ind w:left="360"/>
        <w:jc w:val="both"/>
        <w:rPr>
          <w:sz w:val="22"/>
          <w:szCs w:val="22"/>
          <w:lang w:val="es-CR"/>
        </w:rPr>
      </w:pPr>
    </w:p>
    <w:p w14:paraId="60A453C7" w14:textId="77777777" w:rsidR="008B5F96" w:rsidRPr="008B5F96" w:rsidRDefault="008B5F96" w:rsidP="008B5F96">
      <w:pPr>
        <w:ind w:left="360"/>
        <w:jc w:val="both"/>
        <w:rPr>
          <w:sz w:val="22"/>
          <w:szCs w:val="22"/>
          <w:lang w:val="es-CR"/>
        </w:rPr>
      </w:pPr>
      <w:r w:rsidRPr="008B5F96">
        <w:rPr>
          <w:sz w:val="22"/>
          <w:szCs w:val="22"/>
          <w:lang w:val="es-CR"/>
        </w:rPr>
        <w:t>Finalmente, los valores ajustados obtenidos se asignaron a cada combinación específica de segmento, categoría y perfil de riesgo, lo que permitió contar con una estructura homogénea, clara y basada en evidencia para evaluar el riesgo de manera más precisa.</w:t>
      </w:r>
    </w:p>
    <w:p w14:paraId="1B2EE558" w14:textId="77777777" w:rsidR="008B5F96" w:rsidRPr="008B5F96" w:rsidRDefault="008B5F96" w:rsidP="008B5F96">
      <w:pPr>
        <w:ind w:left="360"/>
        <w:jc w:val="both"/>
        <w:rPr>
          <w:sz w:val="22"/>
          <w:szCs w:val="22"/>
          <w:lang w:val="es-CR"/>
        </w:rPr>
      </w:pPr>
    </w:p>
    <w:p w14:paraId="71211198" w14:textId="77777777" w:rsidR="008B5F96" w:rsidRPr="008B5F96" w:rsidRDefault="008B5F96" w:rsidP="008B5F96">
      <w:pPr>
        <w:jc w:val="both"/>
        <w:rPr>
          <w:b/>
          <w:bCs/>
          <w:sz w:val="22"/>
          <w:szCs w:val="22"/>
          <w:lang w:val="es-CR"/>
        </w:rPr>
      </w:pPr>
      <w:r w:rsidRPr="008B5F96">
        <w:rPr>
          <w:b/>
          <w:bCs/>
          <w:sz w:val="22"/>
          <w:szCs w:val="22"/>
          <w:lang w:val="es-CR"/>
        </w:rPr>
        <w:t>Modelo estándar y uso opcional de modelos internos basados en pérdida esperada</w:t>
      </w:r>
    </w:p>
    <w:p w14:paraId="1CACF001" w14:textId="77777777" w:rsidR="008B5F96" w:rsidRPr="008B5F96" w:rsidRDefault="008B5F96" w:rsidP="008B5F96">
      <w:pPr>
        <w:jc w:val="both"/>
        <w:rPr>
          <w:b/>
          <w:bCs/>
          <w:sz w:val="22"/>
          <w:szCs w:val="22"/>
          <w:lang w:val="es-CR"/>
        </w:rPr>
      </w:pPr>
    </w:p>
    <w:p w14:paraId="31800C8A"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31)</w:t>
      </w:r>
      <w:r w:rsidRPr="008B5F96">
        <w:rPr>
          <w:sz w:val="22"/>
          <w:szCs w:val="22"/>
          <w:lang w:val="es-CR"/>
        </w:rPr>
        <w:tab/>
        <w:t xml:space="preserve">La adopción del enfoque de pérdida crediticia esperada de NIIF-9 en el marco regulatorio costarricense requiere un esquema que combine: (i) un modelo estándar común y de aplicación general para todas las entidades supervisadas por la Sugef, y (ii) la posibilidad de que, de manera estrictamente opcional y sujeta a condiciones de idoneidad y supervisión reforzada, algunas </w:t>
      </w:r>
      <w:r w:rsidRPr="008B5F96">
        <w:rPr>
          <w:sz w:val="22"/>
          <w:szCs w:val="22"/>
          <w:lang w:val="es-CR"/>
        </w:rPr>
        <w:lastRenderedPageBreak/>
        <w:t>entidades utilicen modelos internos basados en modelos avanzados de riesgo de crédito. Para estos efectos, el presente reglamento establece un marco compuesto por los siguientes elementos:</w:t>
      </w:r>
    </w:p>
    <w:p w14:paraId="186DCA20" w14:textId="77777777" w:rsidR="008B5F96" w:rsidRPr="008B5F96" w:rsidRDefault="008B5F96" w:rsidP="008B5F96">
      <w:pPr>
        <w:tabs>
          <w:tab w:val="left" w:pos="37"/>
        </w:tabs>
        <w:ind w:left="360"/>
        <w:contextualSpacing/>
        <w:jc w:val="both"/>
        <w:rPr>
          <w:sz w:val="22"/>
          <w:szCs w:val="22"/>
          <w:lang w:val="es-CR"/>
        </w:rPr>
      </w:pPr>
    </w:p>
    <w:p w14:paraId="46EFE5BF" w14:textId="77777777" w:rsidR="008B5F96" w:rsidRPr="008B5F96" w:rsidRDefault="008B5F96" w:rsidP="008B5F96">
      <w:pPr>
        <w:ind w:left="720" w:hanging="360"/>
        <w:jc w:val="both"/>
        <w:rPr>
          <w:sz w:val="22"/>
          <w:szCs w:val="22"/>
          <w:lang w:val="es-CR"/>
        </w:rPr>
      </w:pPr>
      <w:r w:rsidRPr="008B5F96">
        <w:rPr>
          <w:sz w:val="22"/>
          <w:szCs w:val="22"/>
          <w:lang w:val="es-CR"/>
        </w:rPr>
        <w:t>a)</w:t>
      </w:r>
      <w:r w:rsidRPr="008B5F96">
        <w:rPr>
          <w:sz w:val="22"/>
          <w:szCs w:val="22"/>
          <w:lang w:val="es-CR"/>
        </w:rPr>
        <w:tab/>
        <w:t>Modelo estándar de aplicación general: constituye el régimen base y permanente para la determinación de las estimaciones mínimas específicas por riesgo de crédito, alineado con el enfoque de pérdida esperada de NIIF-9 y basado en parámetros regulatorios de probabilidad de incumplimiento (PD), pérdida dado el incumplimiento (LGD) y exposición en caso de incumplimiento (EAD), por segmento y categoría de riesgo. Este modelo estándar se aplica a todas las entidades y contempla, además, la posibilidad de que, con fundamento técnico suficiente, se constituyan reservas patrimoniales prudenciales adicionales debidamente individualizadas, cuando la entidad decida mantener niveles de cobertura superiores al mínimo regulatorio, sin que dichas reservas modifiquen el reconocimiento contable de las pérdidas crediticias esperadas en los estados financieros preparados bajo el marco NIIF.</w:t>
      </w:r>
    </w:p>
    <w:p w14:paraId="7C4DAC18" w14:textId="77777777" w:rsidR="008B5F96" w:rsidRPr="008B5F96" w:rsidRDefault="008B5F96" w:rsidP="008B5F96">
      <w:pPr>
        <w:ind w:left="720"/>
        <w:contextualSpacing/>
        <w:jc w:val="both"/>
        <w:rPr>
          <w:sz w:val="22"/>
          <w:szCs w:val="22"/>
          <w:lang w:val="es-CR"/>
        </w:rPr>
      </w:pPr>
    </w:p>
    <w:p w14:paraId="4AD02182" w14:textId="77777777" w:rsidR="008B5F96" w:rsidRPr="008B5F96" w:rsidRDefault="008B5F96" w:rsidP="008B5F96">
      <w:pPr>
        <w:ind w:left="720" w:hanging="360"/>
        <w:jc w:val="both"/>
        <w:rPr>
          <w:sz w:val="22"/>
          <w:szCs w:val="22"/>
          <w:lang w:val="es-CR"/>
        </w:rPr>
      </w:pPr>
      <w:r w:rsidRPr="008B5F96">
        <w:rPr>
          <w:sz w:val="22"/>
          <w:szCs w:val="22"/>
          <w:lang w:val="es-CR"/>
        </w:rPr>
        <w:t>b)</w:t>
      </w:r>
      <w:r w:rsidRPr="008B5F96">
        <w:rPr>
          <w:sz w:val="22"/>
          <w:szCs w:val="22"/>
          <w:lang w:val="es-CR"/>
        </w:rPr>
        <w:tab/>
        <w:t>Modelos internos en período de prueba (uso opcional): para aquellas entidades que así lo decidan y cumplan las condiciones de idoneidad definidas por la superintendencia, el reglamento habilita el desarrollo y aplicación de modelos internos basados en pérdida esperada (PD, LGD y EAD por segmento), los cuales se utilizan en paralelo con el modelo estándar durante un período de prueba de hasta veinticuatro (24) meses, contado a partir de la comunicación formal de intención (T0). Durante este período, las entidades deben calcular y reportar simultáneamente los resultados del modelo estándar y del modelo interno, someter estas últimas a evaluaciones de un experto independiente y cumplir con los lineamientos de criterios para la no objeción, sin sustituir en esta etapa al modelo estándar como base para el registro contable de las pérdidas crediticias esperadas.</w:t>
      </w:r>
    </w:p>
    <w:p w14:paraId="2DA25DC1" w14:textId="77777777" w:rsidR="008B5F96" w:rsidRPr="008B5F96" w:rsidRDefault="008B5F96" w:rsidP="008B5F96">
      <w:pPr>
        <w:ind w:left="720"/>
        <w:contextualSpacing/>
        <w:rPr>
          <w:sz w:val="22"/>
          <w:szCs w:val="22"/>
          <w:lang w:val="es-CR"/>
        </w:rPr>
      </w:pPr>
    </w:p>
    <w:p w14:paraId="48F393AC" w14:textId="77777777" w:rsidR="008B5F96" w:rsidRPr="008B5F96" w:rsidRDefault="008B5F96" w:rsidP="008B5F96">
      <w:pPr>
        <w:ind w:left="720" w:hanging="360"/>
        <w:jc w:val="both"/>
        <w:rPr>
          <w:sz w:val="22"/>
          <w:szCs w:val="22"/>
          <w:lang w:val="es-CR"/>
        </w:rPr>
      </w:pPr>
      <w:r w:rsidRPr="008B5F96">
        <w:rPr>
          <w:sz w:val="22"/>
          <w:szCs w:val="22"/>
          <w:lang w:val="es-CR"/>
        </w:rPr>
        <w:t>c)</w:t>
      </w:r>
      <w:r w:rsidRPr="008B5F96">
        <w:rPr>
          <w:sz w:val="22"/>
          <w:szCs w:val="22"/>
          <w:lang w:val="es-CR"/>
        </w:rPr>
        <w:tab/>
        <w:t>Uso de modelos internos con no objeción (uso opcional): una vez concluido satisfactoriamente el período de prueba y verificado el cumplimiento de los lineamientos de criterios para la no objeción, la superintendencia podrá emitir una resolución de no objeción al uso de modelos internos, permitiendo que la entidad que optó por este esquema utilice los resultados de dichos modelos como base para el registro contable de las pérdidas crediticias esperadas, sin perjuicio de que el modelo estándar continúe calculándose y reportándose como referencia supervisora y métrica de comparación. En estos casos, cuando las estimaciones mínimas regulatorias resulten superiores a las pérdidas crediticias esperadas determinadas conforme a modelos internos y al marco NIIF, la diferencia deberá reconocerse como una reserva patrimonial prudencial adicional, debidamente individualizada, de conformidad con las disposiciones de este reglamento, preservando el enfoque prudencial, la transparencia contable y la alineación con la NIIF-9.</w:t>
      </w:r>
    </w:p>
    <w:p w14:paraId="4375102A" w14:textId="77777777" w:rsidR="008B5F96" w:rsidRPr="008B5F96" w:rsidRDefault="008B5F96" w:rsidP="008B5F96">
      <w:pPr>
        <w:ind w:left="720"/>
        <w:contextualSpacing/>
        <w:rPr>
          <w:sz w:val="22"/>
          <w:szCs w:val="22"/>
          <w:lang w:val="es-CR"/>
        </w:rPr>
      </w:pPr>
    </w:p>
    <w:p w14:paraId="7CF9FD8F" w14:textId="77777777" w:rsidR="008B5F96" w:rsidRPr="008B5F96" w:rsidRDefault="008B5F96" w:rsidP="008B5F96">
      <w:pPr>
        <w:jc w:val="both"/>
        <w:rPr>
          <w:b/>
          <w:bCs/>
          <w:sz w:val="22"/>
          <w:szCs w:val="22"/>
          <w:lang w:val="es-CR"/>
        </w:rPr>
      </w:pPr>
      <w:r w:rsidRPr="008B5F96">
        <w:rPr>
          <w:b/>
          <w:bCs/>
          <w:sz w:val="22"/>
          <w:szCs w:val="22"/>
          <w:lang w:val="es-CR"/>
        </w:rPr>
        <w:t>Consideración sobre la emisión de Lineamientos Generales para la aplicación del Reglamento</w:t>
      </w:r>
    </w:p>
    <w:p w14:paraId="1D816324" w14:textId="77777777" w:rsidR="008B5F96" w:rsidRPr="008B5F96" w:rsidRDefault="008B5F96" w:rsidP="008B5F96">
      <w:pPr>
        <w:jc w:val="both"/>
        <w:rPr>
          <w:b/>
          <w:bCs/>
          <w:sz w:val="22"/>
          <w:szCs w:val="22"/>
          <w:lang w:val="es-CR"/>
        </w:rPr>
      </w:pPr>
    </w:p>
    <w:p w14:paraId="07C5303A"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32)</w:t>
      </w:r>
      <w:r w:rsidRPr="008B5F96">
        <w:rPr>
          <w:sz w:val="22"/>
          <w:szCs w:val="22"/>
          <w:lang w:val="es-CR"/>
        </w:rPr>
        <w:tab/>
        <w:t>Para la implementación del presente Reglamento, la Superintendencia General de Entidades Financieras emitirá los Lineamientos Generales correspondientes, mediante acuerdo del Superintendente General de Entidades Financieras.</w:t>
      </w:r>
    </w:p>
    <w:p w14:paraId="32D7D3DF" w14:textId="77777777" w:rsidR="008B5F96" w:rsidRPr="008B5F96" w:rsidRDefault="008B5F96" w:rsidP="008B5F96">
      <w:pPr>
        <w:tabs>
          <w:tab w:val="left" w:pos="37"/>
        </w:tabs>
        <w:ind w:left="360"/>
        <w:contextualSpacing/>
        <w:jc w:val="both"/>
        <w:rPr>
          <w:sz w:val="22"/>
          <w:szCs w:val="22"/>
          <w:lang w:val="es-CR"/>
        </w:rPr>
      </w:pPr>
    </w:p>
    <w:p w14:paraId="1CE7F1B3" w14:textId="77777777" w:rsidR="008B5F96" w:rsidRPr="008B5F96" w:rsidRDefault="008B5F96" w:rsidP="008B5F96">
      <w:pPr>
        <w:tabs>
          <w:tab w:val="left" w:pos="37"/>
        </w:tabs>
        <w:ind w:left="360"/>
        <w:contextualSpacing/>
        <w:jc w:val="both"/>
        <w:rPr>
          <w:sz w:val="22"/>
          <w:szCs w:val="22"/>
          <w:lang w:val="es-CR"/>
        </w:rPr>
      </w:pPr>
      <w:r w:rsidRPr="008B5F96">
        <w:rPr>
          <w:sz w:val="22"/>
          <w:szCs w:val="22"/>
          <w:lang w:val="es-CR"/>
        </w:rPr>
        <w:t>Estos lineamientos tendrán como finalidad precisar los requerimientos operativos, técnicos y tecnológicos necesarios para la aplicación del Reglamento, sin modificar, ampliar o restringir el contenido normativo aprobado por el Conassif.</w:t>
      </w:r>
    </w:p>
    <w:p w14:paraId="093011C9" w14:textId="77777777" w:rsidR="008B5F96" w:rsidRDefault="008B5F96" w:rsidP="008B5F96">
      <w:pPr>
        <w:tabs>
          <w:tab w:val="left" w:pos="37"/>
        </w:tabs>
        <w:ind w:left="360"/>
        <w:contextualSpacing/>
        <w:jc w:val="both"/>
        <w:rPr>
          <w:sz w:val="22"/>
          <w:szCs w:val="22"/>
          <w:lang w:val="es-CR"/>
        </w:rPr>
      </w:pPr>
    </w:p>
    <w:p w14:paraId="31E415B0" w14:textId="77777777" w:rsidR="00426487" w:rsidRPr="008B5F96" w:rsidRDefault="00426487" w:rsidP="008B5F96">
      <w:pPr>
        <w:tabs>
          <w:tab w:val="left" w:pos="37"/>
        </w:tabs>
        <w:ind w:left="360"/>
        <w:contextualSpacing/>
        <w:jc w:val="both"/>
        <w:rPr>
          <w:sz w:val="22"/>
          <w:szCs w:val="22"/>
          <w:lang w:val="es-CR"/>
        </w:rPr>
      </w:pPr>
    </w:p>
    <w:p w14:paraId="1426F083" w14:textId="77777777" w:rsidR="008B5F96" w:rsidRPr="008B5F96" w:rsidRDefault="008B5F96" w:rsidP="008B5F96">
      <w:pPr>
        <w:jc w:val="both"/>
        <w:rPr>
          <w:b/>
          <w:bCs/>
          <w:sz w:val="22"/>
          <w:szCs w:val="22"/>
          <w:lang w:val="es-CR"/>
        </w:rPr>
      </w:pPr>
      <w:r w:rsidRPr="008B5F96">
        <w:rPr>
          <w:b/>
          <w:bCs/>
          <w:sz w:val="22"/>
          <w:szCs w:val="22"/>
          <w:lang w:val="es-CR"/>
        </w:rPr>
        <w:lastRenderedPageBreak/>
        <w:t>Considerando sobre el tratamiento tributario de estimaciones, reservas y provisiones</w:t>
      </w:r>
    </w:p>
    <w:p w14:paraId="34E596AD" w14:textId="77777777" w:rsidR="008B5F96" w:rsidRPr="008B5F96" w:rsidRDefault="008B5F96" w:rsidP="008B5F96">
      <w:pPr>
        <w:jc w:val="both"/>
        <w:rPr>
          <w:b/>
          <w:bCs/>
          <w:sz w:val="22"/>
          <w:szCs w:val="22"/>
          <w:lang w:val="es-CR"/>
        </w:rPr>
      </w:pPr>
    </w:p>
    <w:p w14:paraId="66D23074"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33)</w:t>
      </w:r>
      <w:r w:rsidRPr="008B5F96">
        <w:rPr>
          <w:sz w:val="22"/>
          <w:szCs w:val="22"/>
          <w:lang w:val="es-CR"/>
        </w:rPr>
        <w:tab/>
        <w:t xml:space="preserve">La </w:t>
      </w:r>
      <w:r w:rsidRPr="008B5F96">
        <w:rPr>
          <w:i/>
          <w:iCs/>
          <w:sz w:val="22"/>
          <w:szCs w:val="22"/>
          <w:lang w:val="es-CR"/>
        </w:rPr>
        <w:t>Ley de fortalecimiento de las finanzas públicas</w:t>
      </w:r>
      <w:r w:rsidRPr="008B5F96">
        <w:rPr>
          <w:sz w:val="22"/>
          <w:szCs w:val="22"/>
          <w:lang w:val="es-CR"/>
        </w:rPr>
        <w:t xml:space="preserve">, Ley 9635, publicada en el Alcance 202 al diario oficial La Gaceta 225 del 4 de diciembre de 2018, adicionó el literal v) al artículo 8, Gastos deducibles, de la </w:t>
      </w:r>
      <w:r w:rsidRPr="008B5F96">
        <w:rPr>
          <w:i/>
          <w:iCs/>
          <w:sz w:val="22"/>
          <w:szCs w:val="22"/>
          <w:lang w:val="es-CR"/>
        </w:rPr>
        <w:t>Ley del Impuesto sobre la Renta</w:t>
      </w:r>
      <w:r w:rsidRPr="008B5F96">
        <w:rPr>
          <w:sz w:val="22"/>
          <w:szCs w:val="22"/>
          <w:lang w:val="es-CR"/>
        </w:rPr>
        <w:t>, Ley 7092, de 21 de abril de 1988. Según éste: ‘v) Tratándose de entidades financieras supervisadas por las superintendencias adscritas al Consejo Nacional de Supervisión del Sistema Financiero (Conassif), las sumas para constituir estimaciones, reservas o provisiones autorizadas por los órganos de supervisión o que deban mantener, obligatoriamente, dichas entidades en cumplimiento de las disposiciones emitidas y de conformidad con los límites técnicos establecidos, en ambos casos, por los órganos de supervisión. Dichas reservas serán debidamente individualizadas en los libros y los balances de las entidades. Las superintendencias y el Conassif deberán consultar con el Ministerio de Hacienda la regulación que se emita que tenga incidencia tributaria’.</w:t>
      </w:r>
    </w:p>
    <w:p w14:paraId="2899C887" w14:textId="77777777" w:rsidR="008B5F96" w:rsidRPr="008B5F96" w:rsidRDefault="008B5F96" w:rsidP="008B5F96">
      <w:pPr>
        <w:tabs>
          <w:tab w:val="left" w:pos="37"/>
        </w:tabs>
        <w:ind w:left="360"/>
        <w:contextualSpacing/>
        <w:jc w:val="both"/>
        <w:rPr>
          <w:sz w:val="22"/>
          <w:szCs w:val="22"/>
          <w:lang w:val="es-CR"/>
        </w:rPr>
      </w:pPr>
    </w:p>
    <w:p w14:paraId="2EAEBC95" w14:textId="77777777" w:rsidR="008B5F96" w:rsidRPr="008B5F96" w:rsidRDefault="008B5F96" w:rsidP="008B5F96">
      <w:pPr>
        <w:jc w:val="both"/>
        <w:rPr>
          <w:b/>
          <w:bCs/>
          <w:sz w:val="22"/>
          <w:szCs w:val="22"/>
          <w:lang w:val="es-CR"/>
        </w:rPr>
      </w:pPr>
      <w:r w:rsidRPr="008B5F96">
        <w:rPr>
          <w:b/>
          <w:bCs/>
          <w:sz w:val="22"/>
          <w:szCs w:val="22"/>
          <w:lang w:val="es-CR"/>
        </w:rPr>
        <w:t>Consideración sobre la consulta externa</w:t>
      </w:r>
    </w:p>
    <w:p w14:paraId="00857C4B" w14:textId="77777777" w:rsidR="008B5F96" w:rsidRPr="008B5F96" w:rsidRDefault="008B5F96" w:rsidP="008B5F96">
      <w:pPr>
        <w:jc w:val="both"/>
        <w:rPr>
          <w:b/>
          <w:bCs/>
          <w:sz w:val="22"/>
          <w:szCs w:val="22"/>
          <w:lang w:val="es-CR"/>
        </w:rPr>
      </w:pPr>
    </w:p>
    <w:p w14:paraId="1BFE0CC2"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34)</w:t>
      </w:r>
      <w:r w:rsidRPr="008B5F96">
        <w:rPr>
          <w:sz w:val="22"/>
          <w:szCs w:val="22"/>
          <w:lang w:val="es-CR"/>
        </w:rPr>
        <w:tab/>
        <w:t xml:space="preserve">El Consejo Nacional de Supervisión del Sistema Financiero, mediante el artículo 10 del acta de la sesión 2023-2026, celebrada el 25 de mayo de 2026, remitió en consulta externa la propuesta de emisión del </w:t>
      </w:r>
      <w:r w:rsidRPr="008B5F96">
        <w:rPr>
          <w:i/>
          <w:iCs/>
          <w:sz w:val="22"/>
          <w:szCs w:val="22"/>
          <w:lang w:val="es-CR"/>
        </w:rPr>
        <w:t>Reglamento sobre Cálculo de Estimaciones Crediticias</w:t>
      </w:r>
      <w:r w:rsidRPr="008B5F96">
        <w:rPr>
          <w:sz w:val="22"/>
          <w:szCs w:val="22"/>
          <w:lang w:val="es-CR"/>
        </w:rPr>
        <w:t xml:space="preserve">, Acuerdo Sugef 1-26, de conformidad con lo dispuesto en el numeral 2 del artículo 361 de la </w:t>
      </w:r>
      <w:r w:rsidRPr="008B5F96">
        <w:rPr>
          <w:i/>
          <w:iCs/>
          <w:sz w:val="22"/>
          <w:szCs w:val="22"/>
          <w:lang w:val="es-CR"/>
        </w:rPr>
        <w:t>Ley General de la Administración Pública</w:t>
      </w:r>
      <w:r w:rsidRPr="008B5F96">
        <w:rPr>
          <w:sz w:val="22"/>
          <w:szCs w:val="22"/>
          <w:lang w:val="es-CR"/>
        </w:rPr>
        <w:t>, Ley 6227. Como resultado de esta consulta se recibieron comentarios y observaciones que, una vez valorados, fueron considerados en lo pertinente en la propuesta reglamentaria.</w:t>
      </w:r>
    </w:p>
    <w:p w14:paraId="7C3C3B33" w14:textId="77777777" w:rsidR="008B5F96" w:rsidRPr="008B5F96" w:rsidRDefault="008B5F96" w:rsidP="008B5F96">
      <w:pPr>
        <w:tabs>
          <w:tab w:val="left" w:pos="37"/>
        </w:tabs>
        <w:ind w:left="360" w:hanging="360"/>
        <w:jc w:val="both"/>
        <w:rPr>
          <w:sz w:val="22"/>
          <w:szCs w:val="22"/>
          <w:lang w:val="es-CR"/>
        </w:rPr>
      </w:pPr>
    </w:p>
    <w:p w14:paraId="2DB81F3C"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35)</w:t>
      </w:r>
      <w:r w:rsidRPr="008B5F96">
        <w:rPr>
          <w:sz w:val="22"/>
          <w:szCs w:val="22"/>
          <w:lang w:val="es-CR"/>
        </w:rPr>
        <w:tab/>
        <w:t xml:space="preserve">El Consejo Nacional de Supervisión del Sistema Financiero, mediante el artículo 4 del acta de la sesión 2030-2026, celebrada el 22 de junio de 2026, dispuso ampliar en diez días hábiles el plazo otorgado para la recepción de comentarios y observaciones respecto de la propuesta de emisión del </w:t>
      </w:r>
      <w:r w:rsidRPr="008B5F96">
        <w:rPr>
          <w:i/>
          <w:iCs/>
          <w:sz w:val="22"/>
          <w:szCs w:val="22"/>
          <w:lang w:val="es-CR"/>
        </w:rPr>
        <w:t>Reglamento sobre Cálculo de Estimaciones Crediticias</w:t>
      </w:r>
      <w:r w:rsidRPr="008B5F96">
        <w:rPr>
          <w:sz w:val="22"/>
          <w:szCs w:val="22"/>
          <w:lang w:val="es-CR"/>
        </w:rPr>
        <w:t>, Acuerdo Sugef 1-26.</w:t>
      </w:r>
    </w:p>
    <w:p w14:paraId="0B92FADF" w14:textId="77777777" w:rsidR="008B5F96" w:rsidRPr="008B5F96" w:rsidRDefault="008B5F96" w:rsidP="008B5F96">
      <w:pPr>
        <w:tabs>
          <w:tab w:val="left" w:pos="37"/>
        </w:tabs>
        <w:ind w:left="360"/>
        <w:contextualSpacing/>
        <w:jc w:val="both"/>
        <w:rPr>
          <w:sz w:val="22"/>
          <w:szCs w:val="22"/>
          <w:lang w:val="es-CR"/>
        </w:rPr>
      </w:pPr>
    </w:p>
    <w:p w14:paraId="20AEE7B9" w14:textId="77777777" w:rsidR="008B5F96" w:rsidRPr="008B5F96" w:rsidRDefault="008B5F96" w:rsidP="008B5F96">
      <w:pPr>
        <w:jc w:val="both"/>
        <w:rPr>
          <w:b/>
          <w:bCs/>
          <w:sz w:val="22"/>
          <w:szCs w:val="22"/>
          <w:lang w:val="es-CR"/>
        </w:rPr>
      </w:pPr>
      <w:r w:rsidRPr="008B5F96">
        <w:rPr>
          <w:b/>
          <w:bCs/>
          <w:sz w:val="22"/>
          <w:szCs w:val="22"/>
          <w:lang w:val="es-CR"/>
        </w:rPr>
        <w:t>Consideraciones sobre la Evaluación Costo Beneficio</w:t>
      </w:r>
    </w:p>
    <w:p w14:paraId="70FC6C36" w14:textId="77777777" w:rsidR="008B5F96" w:rsidRPr="008B5F96" w:rsidRDefault="008B5F96" w:rsidP="008B5F96">
      <w:pPr>
        <w:jc w:val="both"/>
        <w:rPr>
          <w:b/>
          <w:bCs/>
          <w:sz w:val="22"/>
          <w:szCs w:val="22"/>
          <w:lang w:val="es-CR"/>
        </w:rPr>
      </w:pPr>
    </w:p>
    <w:p w14:paraId="1ED042D0" w14:textId="77777777" w:rsidR="008B5F96" w:rsidRPr="008B5F96" w:rsidRDefault="008B5F96" w:rsidP="008B5F96">
      <w:pPr>
        <w:tabs>
          <w:tab w:val="left" w:pos="37"/>
        </w:tabs>
        <w:ind w:left="360" w:hanging="360"/>
        <w:jc w:val="both"/>
        <w:rPr>
          <w:sz w:val="22"/>
          <w:szCs w:val="22"/>
          <w:lang w:val="es-CR"/>
        </w:rPr>
      </w:pPr>
      <w:r w:rsidRPr="008B5F96">
        <w:rPr>
          <w:sz w:val="22"/>
          <w:szCs w:val="22"/>
          <w:lang w:val="es-CR"/>
        </w:rPr>
        <w:t>36)</w:t>
      </w:r>
      <w:r w:rsidRPr="008B5F96">
        <w:rPr>
          <w:sz w:val="22"/>
          <w:szCs w:val="22"/>
          <w:lang w:val="es-CR"/>
        </w:rPr>
        <w:tab/>
        <w:t xml:space="preserve">La evaluación costo-beneficio de la regulación se realiza de conformidad con lo establecido en los artículos 1 y 12 de la </w:t>
      </w:r>
      <w:r w:rsidRPr="008B5F96">
        <w:rPr>
          <w:i/>
          <w:iCs/>
          <w:sz w:val="22"/>
          <w:szCs w:val="22"/>
          <w:lang w:val="es-CR"/>
        </w:rPr>
        <w:t>Ley de protección al ciudadano del exceso de requisitos y trámites administrativos</w:t>
      </w:r>
      <w:r w:rsidRPr="008B5F96">
        <w:rPr>
          <w:sz w:val="22"/>
          <w:szCs w:val="22"/>
          <w:lang w:val="es-CR"/>
        </w:rPr>
        <w:t xml:space="preserve">, Ley 8220 y en los artículos 12, 12bis, 13, 13 bis y 56 al 60bis del </w:t>
      </w:r>
      <w:r w:rsidRPr="008B5F96">
        <w:rPr>
          <w:i/>
          <w:iCs/>
          <w:sz w:val="22"/>
          <w:szCs w:val="22"/>
          <w:lang w:val="es-CR"/>
        </w:rPr>
        <w:t>Reglamento a la Ley de Protección al Ciudadano del Exceso de Requisitos y Trámites Administrativos</w:t>
      </w:r>
      <w:r w:rsidRPr="008B5F96">
        <w:rPr>
          <w:sz w:val="22"/>
          <w:szCs w:val="22"/>
          <w:lang w:val="es-CR"/>
        </w:rPr>
        <w:t>, 37045-MP-MEIC. Dicha regulación indica que la Administración Pública debe realizar un análisis de impacto regulatorio mediante una evaluación costo-beneficio antes de emitir cualquier nueva regulación o reformar las existentes, cuando establezcan trámites, requisitos y procedimientos que deba cumplir el administrado ante la Administración. De dicho análisis se determinó que la regulación no establece ni modifica trámites, requisitos o procedimientos que el administrado deba cumplir ante la Administración Central, por lo que no se realiza este control previo.</w:t>
      </w:r>
    </w:p>
    <w:p w14:paraId="369FEE52" w14:textId="77777777" w:rsidR="008B5F96" w:rsidRPr="008B5F96" w:rsidRDefault="008B5F96" w:rsidP="008B5F96">
      <w:pPr>
        <w:jc w:val="both"/>
        <w:rPr>
          <w:sz w:val="22"/>
          <w:szCs w:val="22"/>
          <w:lang w:val="es-CR"/>
        </w:rPr>
      </w:pPr>
    </w:p>
    <w:p w14:paraId="30868194" w14:textId="77777777" w:rsidR="008B5F96" w:rsidRPr="008B5F96" w:rsidRDefault="008B5F96" w:rsidP="008B5F96">
      <w:pPr>
        <w:jc w:val="both"/>
        <w:rPr>
          <w:b/>
          <w:bCs/>
          <w:sz w:val="24"/>
          <w:szCs w:val="24"/>
          <w:lang w:val="es-CR"/>
        </w:rPr>
      </w:pPr>
      <w:r w:rsidRPr="008B5F96">
        <w:rPr>
          <w:b/>
          <w:bCs/>
          <w:sz w:val="24"/>
          <w:szCs w:val="24"/>
          <w:lang w:val="es-CR"/>
        </w:rPr>
        <w:t>dispuso:</w:t>
      </w:r>
    </w:p>
    <w:p w14:paraId="3325D0AD" w14:textId="77777777" w:rsidR="008B5F96" w:rsidRPr="008B5F96" w:rsidRDefault="008B5F96" w:rsidP="008B5F96">
      <w:pPr>
        <w:jc w:val="both"/>
        <w:rPr>
          <w:sz w:val="22"/>
          <w:szCs w:val="22"/>
          <w:lang w:val="es-CR"/>
        </w:rPr>
      </w:pPr>
    </w:p>
    <w:p w14:paraId="4CC34261" w14:textId="77777777" w:rsidR="008B5F96" w:rsidRPr="008B5F96" w:rsidRDefault="008B5F96" w:rsidP="008B5F96">
      <w:pPr>
        <w:jc w:val="both"/>
        <w:rPr>
          <w:sz w:val="22"/>
          <w:szCs w:val="22"/>
          <w:lang w:val="es-CR"/>
        </w:rPr>
      </w:pPr>
      <w:r w:rsidRPr="008B5F96">
        <w:rPr>
          <w:sz w:val="22"/>
          <w:szCs w:val="22"/>
          <w:lang w:val="es-CR"/>
        </w:rPr>
        <w:t xml:space="preserve">aprobar el </w:t>
      </w:r>
      <w:r w:rsidRPr="008B5F96">
        <w:rPr>
          <w:i/>
          <w:iCs/>
          <w:sz w:val="22"/>
          <w:szCs w:val="22"/>
          <w:lang w:val="es-CR"/>
        </w:rPr>
        <w:t>Reglamento sobre Cálculo de Estimaciones Crediticias</w:t>
      </w:r>
      <w:r w:rsidRPr="008B5F96">
        <w:rPr>
          <w:sz w:val="22"/>
          <w:szCs w:val="22"/>
          <w:lang w:val="es-CR"/>
        </w:rPr>
        <w:t>, Acuerdo Sugef 1-26, de acuerdo con el texto que se transcribe a continuación:</w:t>
      </w:r>
    </w:p>
    <w:p w14:paraId="32F974B1" w14:textId="3E0450BF" w:rsidR="00426487" w:rsidRDefault="00426487">
      <w:pPr>
        <w:rPr>
          <w:sz w:val="22"/>
          <w:szCs w:val="22"/>
          <w:lang w:val="es-CR"/>
        </w:rPr>
      </w:pPr>
      <w:r>
        <w:rPr>
          <w:sz w:val="22"/>
          <w:szCs w:val="22"/>
          <w:lang w:val="es-CR"/>
        </w:rPr>
        <w:br w:type="page"/>
      </w:r>
    </w:p>
    <w:p w14:paraId="469A749F" w14:textId="77777777" w:rsidR="008B5F96" w:rsidRPr="008B5F96" w:rsidRDefault="008B5F96" w:rsidP="008B5F96">
      <w:pPr>
        <w:jc w:val="both"/>
        <w:rPr>
          <w:sz w:val="22"/>
          <w:szCs w:val="22"/>
          <w:lang w:val="es-CR"/>
        </w:rPr>
      </w:pPr>
    </w:p>
    <w:p w14:paraId="26FE863D" w14:textId="77777777" w:rsidR="008B5F96" w:rsidRPr="008B5F96" w:rsidRDefault="008B5F96" w:rsidP="008B5F96">
      <w:pPr>
        <w:jc w:val="center"/>
        <w:rPr>
          <w:b/>
          <w:bCs/>
          <w:sz w:val="22"/>
          <w:szCs w:val="22"/>
          <w:lang w:val="es-CR"/>
        </w:rPr>
      </w:pPr>
      <w:r w:rsidRPr="008B5F96">
        <w:rPr>
          <w:b/>
          <w:bCs/>
          <w:sz w:val="22"/>
          <w:szCs w:val="22"/>
          <w:lang w:val="es-CR"/>
        </w:rPr>
        <w:t>REGLAMENTO SOBRE CÁLCULO DE ESTIMACIONES CREDITICIAS</w:t>
      </w:r>
    </w:p>
    <w:p w14:paraId="0D70A722" w14:textId="77777777" w:rsidR="008B5F96" w:rsidRPr="008B5F96" w:rsidRDefault="008B5F96" w:rsidP="008B5F96">
      <w:pPr>
        <w:jc w:val="center"/>
        <w:rPr>
          <w:b/>
          <w:bCs/>
          <w:sz w:val="22"/>
          <w:szCs w:val="22"/>
          <w:lang w:val="es-CR"/>
        </w:rPr>
      </w:pPr>
    </w:p>
    <w:p w14:paraId="35C87614" w14:textId="77777777" w:rsidR="008B5F96" w:rsidRPr="008B5F96" w:rsidRDefault="008B5F96" w:rsidP="008B5F96">
      <w:pPr>
        <w:jc w:val="center"/>
        <w:rPr>
          <w:b/>
          <w:bCs/>
          <w:sz w:val="22"/>
          <w:szCs w:val="22"/>
          <w:lang w:val="es-CR"/>
        </w:rPr>
      </w:pPr>
      <w:r w:rsidRPr="008B5F96">
        <w:rPr>
          <w:b/>
          <w:bCs/>
          <w:sz w:val="22"/>
          <w:szCs w:val="22"/>
          <w:lang w:val="es-CR"/>
        </w:rPr>
        <w:t>TÍTULO I</w:t>
      </w:r>
    </w:p>
    <w:p w14:paraId="6666B5FB" w14:textId="77777777" w:rsidR="008B5F96" w:rsidRPr="008B5F96" w:rsidRDefault="008B5F96" w:rsidP="008B5F96">
      <w:pPr>
        <w:jc w:val="center"/>
        <w:rPr>
          <w:b/>
          <w:bCs/>
          <w:sz w:val="22"/>
          <w:szCs w:val="22"/>
          <w:lang w:val="es-CR"/>
        </w:rPr>
      </w:pPr>
    </w:p>
    <w:p w14:paraId="0D603A6C" w14:textId="77777777" w:rsidR="008B5F96" w:rsidRPr="008B5F96" w:rsidRDefault="008B5F96" w:rsidP="008B5F96">
      <w:pPr>
        <w:jc w:val="center"/>
        <w:rPr>
          <w:b/>
          <w:bCs/>
          <w:sz w:val="22"/>
          <w:szCs w:val="22"/>
          <w:lang w:val="es-CR"/>
        </w:rPr>
      </w:pPr>
      <w:r w:rsidRPr="008B5F96">
        <w:rPr>
          <w:b/>
          <w:bCs/>
          <w:sz w:val="22"/>
          <w:szCs w:val="22"/>
          <w:lang w:val="es-CR"/>
        </w:rPr>
        <w:t>DISPOSICIONES GENERALES</w:t>
      </w:r>
    </w:p>
    <w:p w14:paraId="3FAE0BB7" w14:textId="77777777" w:rsidR="008B5F96" w:rsidRPr="008B5F96" w:rsidRDefault="008B5F96" w:rsidP="008B5F96">
      <w:pPr>
        <w:jc w:val="center"/>
        <w:rPr>
          <w:b/>
          <w:bCs/>
          <w:sz w:val="22"/>
          <w:szCs w:val="22"/>
          <w:lang w:val="es-CR"/>
        </w:rPr>
      </w:pPr>
    </w:p>
    <w:p w14:paraId="13043417" w14:textId="77777777" w:rsidR="008B5F96" w:rsidRPr="008B5F96" w:rsidRDefault="008B5F96" w:rsidP="008B5F96">
      <w:pPr>
        <w:jc w:val="center"/>
        <w:rPr>
          <w:b/>
          <w:bCs/>
          <w:sz w:val="22"/>
          <w:szCs w:val="22"/>
          <w:lang w:val="es-CR"/>
        </w:rPr>
      </w:pPr>
      <w:r w:rsidRPr="008B5F96">
        <w:rPr>
          <w:b/>
          <w:bCs/>
          <w:sz w:val="22"/>
          <w:szCs w:val="22"/>
          <w:lang w:val="es-CR"/>
        </w:rPr>
        <w:t>CAPÍTULO ÚNICO</w:t>
      </w:r>
    </w:p>
    <w:p w14:paraId="234F0A35" w14:textId="77777777" w:rsidR="008B5F96" w:rsidRPr="008B5F96" w:rsidRDefault="008B5F96" w:rsidP="008B5F96">
      <w:pPr>
        <w:jc w:val="center"/>
        <w:rPr>
          <w:b/>
          <w:bCs/>
          <w:sz w:val="22"/>
          <w:szCs w:val="22"/>
          <w:lang w:val="es-CR"/>
        </w:rPr>
      </w:pPr>
    </w:p>
    <w:p w14:paraId="2A476168" w14:textId="77777777" w:rsidR="008B5F96" w:rsidRPr="008B5F96" w:rsidRDefault="008B5F96" w:rsidP="008B5F96">
      <w:pPr>
        <w:jc w:val="center"/>
        <w:rPr>
          <w:b/>
          <w:bCs/>
          <w:sz w:val="22"/>
          <w:szCs w:val="22"/>
          <w:lang w:val="es-CR"/>
        </w:rPr>
      </w:pPr>
      <w:r w:rsidRPr="008B5F96">
        <w:rPr>
          <w:b/>
          <w:bCs/>
          <w:sz w:val="22"/>
          <w:szCs w:val="22"/>
          <w:lang w:val="es-CR"/>
        </w:rPr>
        <w:t>ÁMBITO DE APLICACIÓN Y DEFINICIONES</w:t>
      </w:r>
    </w:p>
    <w:p w14:paraId="0F709792" w14:textId="77777777" w:rsidR="008B5F96" w:rsidRPr="008B5F96" w:rsidRDefault="008B5F96" w:rsidP="008B5F96">
      <w:pPr>
        <w:jc w:val="center"/>
        <w:rPr>
          <w:b/>
          <w:bCs/>
          <w:sz w:val="22"/>
          <w:szCs w:val="22"/>
          <w:lang w:val="es-CR"/>
        </w:rPr>
      </w:pPr>
    </w:p>
    <w:p w14:paraId="6D7365C6" w14:textId="77777777" w:rsidR="008B5F96" w:rsidRPr="008B5F96" w:rsidRDefault="008B5F96" w:rsidP="008B5F96">
      <w:pPr>
        <w:jc w:val="both"/>
        <w:rPr>
          <w:b/>
          <w:bCs/>
          <w:sz w:val="22"/>
          <w:szCs w:val="22"/>
          <w:lang w:val="es-CR"/>
        </w:rPr>
      </w:pPr>
      <w:r w:rsidRPr="008B5F96">
        <w:rPr>
          <w:b/>
          <w:bCs/>
          <w:sz w:val="22"/>
          <w:szCs w:val="22"/>
          <w:lang w:val="es-CR"/>
        </w:rPr>
        <w:t>Artículo 1. Objeto</w:t>
      </w:r>
    </w:p>
    <w:p w14:paraId="7F143D6F" w14:textId="77777777" w:rsidR="008B5F96" w:rsidRPr="008B5F96" w:rsidRDefault="008B5F96" w:rsidP="008B5F96">
      <w:pPr>
        <w:jc w:val="both"/>
        <w:rPr>
          <w:b/>
          <w:bCs/>
          <w:sz w:val="22"/>
          <w:szCs w:val="22"/>
          <w:lang w:val="es-CR"/>
        </w:rPr>
      </w:pPr>
    </w:p>
    <w:p w14:paraId="4685C9BA" w14:textId="77777777" w:rsidR="008B5F96" w:rsidRPr="008B5F96" w:rsidRDefault="008B5F96" w:rsidP="008B5F96">
      <w:pPr>
        <w:jc w:val="both"/>
        <w:rPr>
          <w:sz w:val="22"/>
          <w:szCs w:val="22"/>
          <w:lang w:val="es-CR"/>
        </w:rPr>
      </w:pPr>
      <w:r w:rsidRPr="008B5F96">
        <w:rPr>
          <w:sz w:val="22"/>
          <w:szCs w:val="22"/>
          <w:lang w:val="es-CR"/>
        </w:rPr>
        <w:t>Este Reglamento tiene por objeto establecer la metodología para la identificación, medición y cuantificación del riesgo de crédito de las operaciones crediticias y de los deudores, así como para la constitución, registro y ajuste de las estimaciones correspondientes, con el fin de salvaguardar la estabilidad y solvencia de las entidades supervisadas.</w:t>
      </w:r>
    </w:p>
    <w:p w14:paraId="1598CEE5" w14:textId="77777777" w:rsidR="008B5F96" w:rsidRPr="008B5F96" w:rsidRDefault="008B5F96" w:rsidP="008B5F96">
      <w:pPr>
        <w:jc w:val="both"/>
        <w:rPr>
          <w:sz w:val="22"/>
          <w:szCs w:val="22"/>
          <w:lang w:val="es-CR"/>
        </w:rPr>
      </w:pPr>
    </w:p>
    <w:p w14:paraId="2245F75E" w14:textId="77777777" w:rsidR="008B5F96" w:rsidRPr="008B5F96" w:rsidRDefault="008B5F96" w:rsidP="008B5F96">
      <w:pPr>
        <w:jc w:val="both"/>
        <w:rPr>
          <w:b/>
          <w:bCs/>
          <w:sz w:val="22"/>
          <w:szCs w:val="22"/>
          <w:lang w:val="es-CR"/>
        </w:rPr>
      </w:pPr>
      <w:r w:rsidRPr="008B5F96">
        <w:rPr>
          <w:b/>
          <w:bCs/>
          <w:sz w:val="22"/>
          <w:szCs w:val="22"/>
          <w:lang w:val="es-CR"/>
        </w:rPr>
        <w:t>Artículo 2. Alcance</w:t>
      </w:r>
    </w:p>
    <w:p w14:paraId="712F9242" w14:textId="77777777" w:rsidR="008B5F96" w:rsidRPr="008B5F96" w:rsidRDefault="008B5F96" w:rsidP="008B5F96">
      <w:pPr>
        <w:jc w:val="both"/>
        <w:rPr>
          <w:b/>
          <w:bCs/>
          <w:sz w:val="22"/>
          <w:szCs w:val="22"/>
          <w:lang w:val="es-CR"/>
        </w:rPr>
      </w:pPr>
    </w:p>
    <w:p w14:paraId="490AE842" w14:textId="77777777" w:rsidR="008B5F96" w:rsidRPr="008B5F96" w:rsidRDefault="008B5F96" w:rsidP="008B5F96">
      <w:pPr>
        <w:jc w:val="both"/>
        <w:rPr>
          <w:sz w:val="22"/>
          <w:szCs w:val="22"/>
          <w:lang w:val="es-CR"/>
        </w:rPr>
      </w:pPr>
      <w:r w:rsidRPr="008B5F96">
        <w:rPr>
          <w:sz w:val="22"/>
          <w:szCs w:val="22"/>
          <w:lang w:val="es-CR"/>
        </w:rPr>
        <w:t>Las disposiciones establecidas en este Reglamento son de aplicación exclusiva a las entidades supervisadas por la Superintendencia General de Entidades Financieras (Sugef).</w:t>
      </w:r>
    </w:p>
    <w:p w14:paraId="427D169A" w14:textId="77777777" w:rsidR="008B5F96" w:rsidRPr="008B5F96" w:rsidRDefault="008B5F96" w:rsidP="008B5F96">
      <w:pPr>
        <w:jc w:val="both"/>
        <w:rPr>
          <w:sz w:val="22"/>
          <w:szCs w:val="22"/>
          <w:lang w:val="es-CR"/>
        </w:rPr>
      </w:pPr>
    </w:p>
    <w:p w14:paraId="53D8D7A1" w14:textId="77777777" w:rsidR="008B5F96" w:rsidRPr="008B5F96" w:rsidRDefault="008B5F96" w:rsidP="008B5F96">
      <w:pPr>
        <w:jc w:val="both"/>
        <w:rPr>
          <w:sz w:val="22"/>
          <w:szCs w:val="22"/>
          <w:lang w:val="es-CR"/>
        </w:rPr>
      </w:pPr>
      <w:r w:rsidRPr="008B5F96">
        <w:rPr>
          <w:sz w:val="22"/>
          <w:szCs w:val="22"/>
          <w:lang w:val="es-CR"/>
        </w:rPr>
        <w:t>Se exceptúan de la aplicación de este Reglamento, las operaciones de crédito realizadas por las entidades supervisadas por Sugef, mediante operaciones diferidas de liquidez, en moneda nacional y extranjera y bajo la modalidad no garantizada, cuando la contraparte directa sea el Banco Central de Costa Rica.</w:t>
      </w:r>
    </w:p>
    <w:p w14:paraId="40D5127B" w14:textId="77777777" w:rsidR="008B5F96" w:rsidRPr="008B5F96" w:rsidRDefault="008B5F96" w:rsidP="008B5F96">
      <w:pPr>
        <w:jc w:val="both"/>
        <w:rPr>
          <w:sz w:val="22"/>
          <w:szCs w:val="22"/>
          <w:lang w:val="es-CR"/>
        </w:rPr>
      </w:pPr>
    </w:p>
    <w:p w14:paraId="4932CE1A" w14:textId="77777777" w:rsidR="008B5F96" w:rsidRPr="008B5F96" w:rsidRDefault="008B5F96" w:rsidP="008B5F96">
      <w:pPr>
        <w:jc w:val="both"/>
        <w:rPr>
          <w:b/>
          <w:bCs/>
          <w:sz w:val="22"/>
          <w:szCs w:val="22"/>
          <w:lang w:val="es-CR"/>
        </w:rPr>
      </w:pPr>
      <w:r w:rsidRPr="008B5F96">
        <w:rPr>
          <w:b/>
          <w:bCs/>
          <w:sz w:val="22"/>
          <w:szCs w:val="22"/>
          <w:lang w:val="es-CR"/>
        </w:rPr>
        <w:t>Artículo 3. Definiciones</w:t>
      </w:r>
    </w:p>
    <w:p w14:paraId="3D1997FB" w14:textId="77777777" w:rsidR="008B5F96" w:rsidRPr="008B5F96" w:rsidRDefault="008B5F96" w:rsidP="008B5F96">
      <w:pPr>
        <w:jc w:val="both"/>
        <w:rPr>
          <w:b/>
          <w:bCs/>
          <w:sz w:val="22"/>
          <w:szCs w:val="22"/>
          <w:lang w:val="es-CR"/>
        </w:rPr>
      </w:pPr>
    </w:p>
    <w:p w14:paraId="19E85E8A" w14:textId="77777777" w:rsidR="008B5F96" w:rsidRPr="008B5F96" w:rsidRDefault="008B5F96" w:rsidP="008B5F96">
      <w:pPr>
        <w:jc w:val="both"/>
        <w:rPr>
          <w:sz w:val="22"/>
          <w:szCs w:val="22"/>
          <w:lang w:val="es-CR"/>
        </w:rPr>
      </w:pPr>
      <w:r w:rsidRPr="008B5F96">
        <w:rPr>
          <w:sz w:val="22"/>
          <w:szCs w:val="22"/>
          <w:lang w:val="es-CR"/>
        </w:rPr>
        <w:t>Para los propósitos de este Reglamento se tendrán por aplicables las definiciones establecidas en el marco de regulación vigente, en adición a las siguientes:</w:t>
      </w:r>
    </w:p>
    <w:p w14:paraId="027F8C42" w14:textId="77777777" w:rsidR="008B5F96" w:rsidRPr="008B5F96" w:rsidRDefault="008B5F96" w:rsidP="008B5F96">
      <w:pPr>
        <w:jc w:val="both"/>
        <w:rPr>
          <w:sz w:val="22"/>
          <w:szCs w:val="22"/>
          <w:lang w:val="es-CR"/>
        </w:rPr>
      </w:pPr>
    </w:p>
    <w:p w14:paraId="72347553" w14:textId="77777777" w:rsidR="008B5F96" w:rsidRPr="008B5F96" w:rsidRDefault="008B5F96" w:rsidP="008B5F96">
      <w:pPr>
        <w:ind w:left="720" w:hanging="360"/>
        <w:jc w:val="both"/>
        <w:rPr>
          <w:sz w:val="22"/>
          <w:szCs w:val="22"/>
          <w:lang w:val="es-CR"/>
        </w:rPr>
      </w:pPr>
      <w:r w:rsidRPr="008B5F96">
        <w:rPr>
          <w:sz w:val="22"/>
          <w:szCs w:val="22"/>
          <w:lang w:val="es-CR"/>
        </w:rPr>
        <w:t>a)</w:t>
      </w:r>
      <w:r w:rsidRPr="008B5F96">
        <w:rPr>
          <w:sz w:val="22"/>
          <w:szCs w:val="22"/>
          <w:lang w:val="es-CR"/>
        </w:rPr>
        <w:tab/>
      </w:r>
      <w:r w:rsidRPr="008B5F96">
        <w:rPr>
          <w:b/>
          <w:bCs/>
          <w:sz w:val="22"/>
          <w:szCs w:val="22"/>
          <w:lang w:val="es-CR"/>
        </w:rPr>
        <w:t>Capacidad de pago:</w:t>
      </w:r>
      <w:r w:rsidRPr="008B5F96">
        <w:rPr>
          <w:sz w:val="22"/>
          <w:szCs w:val="22"/>
          <w:lang w:val="es-CR"/>
        </w:rPr>
        <w:t xml:space="preserve"> Situación financiera y capacidad del deudor para generar flujos de efectivo en el giro normal de su negocio o a partir de la remuneración de su trabajo y del rendimiento de su capital, que le permitan atender sus obligaciones financieras en las condiciones pactadas.</w:t>
      </w:r>
    </w:p>
    <w:p w14:paraId="6185D794" w14:textId="77777777" w:rsidR="008B5F96" w:rsidRPr="008B5F96" w:rsidRDefault="008B5F96" w:rsidP="008B5F96">
      <w:pPr>
        <w:jc w:val="both"/>
        <w:rPr>
          <w:sz w:val="22"/>
          <w:szCs w:val="22"/>
          <w:lang w:val="es-CR"/>
        </w:rPr>
      </w:pPr>
    </w:p>
    <w:p w14:paraId="66AC4538" w14:textId="77777777" w:rsidR="008B5F96" w:rsidRPr="008B5F96" w:rsidRDefault="008B5F96" w:rsidP="008B5F96">
      <w:pPr>
        <w:ind w:left="720" w:hanging="360"/>
        <w:jc w:val="both"/>
        <w:rPr>
          <w:sz w:val="22"/>
          <w:szCs w:val="22"/>
          <w:lang w:val="es-CR"/>
        </w:rPr>
      </w:pPr>
      <w:r w:rsidRPr="008B5F96">
        <w:rPr>
          <w:sz w:val="22"/>
          <w:szCs w:val="22"/>
          <w:lang w:val="es-CR"/>
        </w:rPr>
        <w:t>b)</w:t>
      </w:r>
      <w:r w:rsidRPr="008B5F96">
        <w:rPr>
          <w:sz w:val="22"/>
          <w:szCs w:val="22"/>
          <w:lang w:val="es-CR"/>
        </w:rPr>
        <w:tab/>
      </w:r>
      <w:r w:rsidRPr="008B5F96">
        <w:rPr>
          <w:b/>
          <w:bCs/>
          <w:sz w:val="22"/>
          <w:szCs w:val="22"/>
          <w:lang w:val="es-CR"/>
        </w:rPr>
        <w:t>Comportamiento de pago histórico:</w:t>
      </w:r>
      <w:r w:rsidRPr="008B5F96">
        <w:rPr>
          <w:sz w:val="22"/>
          <w:szCs w:val="22"/>
          <w:lang w:val="es-CR"/>
        </w:rPr>
        <w:t xml:space="preserve"> Antecedentes crediticios del deudor en la atención de sus obligaciones financieras durante los últimos cuatro años, independientemente de si estas se encuentran vigentes o extintas a la fecha de corte.</w:t>
      </w:r>
    </w:p>
    <w:p w14:paraId="79E86A3B" w14:textId="77777777" w:rsidR="008B5F96" w:rsidRPr="008B5F96" w:rsidRDefault="008B5F96" w:rsidP="008B5F96">
      <w:pPr>
        <w:ind w:left="720"/>
        <w:contextualSpacing/>
        <w:rPr>
          <w:sz w:val="22"/>
          <w:szCs w:val="22"/>
          <w:lang w:val="es-CR"/>
        </w:rPr>
      </w:pPr>
    </w:p>
    <w:p w14:paraId="6440410F" w14:textId="77777777" w:rsidR="008B5F96" w:rsidRPr="008B5F96" w:rsidRDefault="008B5F96" w:rsidP="008B5F96">
      <w:pPr>
        <w:ind w:left="720" w:hanging="360"/>
        <w:jc w:val="both"/>
        <w:rPr>
          <w:sz w:val="22"/>
          <w:szCs w:val="22"/>
          <w:lang w:val="es-CR"/>
        </w:rPr>
      </w:pPr>
      <w:r w:rsidRPr="008B5F96">
        <w:rPr>
          <w:sz w:val="22"/>
          <w:szCs w:val="22"/>
          <w:lang w:val="es-CR"/>
        </w:rPr>
        <w:t>c)</w:t>
      </w:r>
      <w:r w:rsidRPr="008B5F96">
        <w:rPr>
          <w:sz w:val="22"/>
          <w:szCs w:val="22"/>
          <w:lang w:val="es-CR"/>
        </w:rPr>
        <w:tab/>
      </w:r>
      <w:r w:rsidRPr="008B5F96">
        <w:rPr>
          <w:b/>
          <w:bCs/>
          <w:sz w:val="22"/>
          <w:szCs w:val="22"/>
          <w:lang w:val="es-CR"/>
        </w:rPr>
        <w:t>Crédito revolutivo:</w:t>
      </w:r>
      <w:r w:rsidRPr="008B5F96">
        <w:rPr>
          <w:sz w:val="22"/>
          <w:szCs w:val="22"/>
          <w:lang w:val="es-CR"/>
        </w:rPr>
        <w:t xml:space="preserve"> Operación crediticia que faculta al deudor el uso de fondos hasta un límite preautorizado, en la cual cada pago habilita nuevamente la disponibilidad de fondos dentro de límite pactado, tales como líneas de crédito, tarjetas de crédito, sobregiros, y otras operaciones crediticias de naturaleza similar.</w:t>
      </w:r>
    </w:p>
    <w:p w14:paraId="100CBE62" w14:textId="77777777" w:rsidR="008B5F96" w:rsidRPr="008B5F96" w:rsidRDefault="008B5F96" w:rsidP="008B5F96">
      <w:pPr>
        <w:ind w:left="720"/>
        <w:contextualSpacing/>
        <w:rPr>
          <w:sz w:val="22"/>
          <w:szCs w:val="22"/>
          <w:lang w:val="es-CR"/>
        </w:rPr>
      </w:pPr>
    </w:p>
    <w:p w14:paraId="53F07896" w14:textId="77777777" w:rsidR="008B5F96" w:rsidRPr="008B5F96" w:rsidRDefault="008B5F96" w:rsidP="008B5F96">
      <w:pPr>
        <w:ind w:left="720" w:hanging="360"/>
        <w:jc w:val="both"/>
        <w:rPr>
          <w:sz w:val="22"/>
          <w:szCs w:val="22"/>
          <w:lang w:val="es-CR"/>
        </w:rPr>
      </w:pPr>
      <w:r w:rsidRPr="008B5F96">
        <w:rPr>
          <w:sz w:val="22"/>
          <w:szCs w:val="22"/>
          <w:lang w:val="es-CR"/>
        </w:rPr>
        <w:t>d)</w:t>
      </w:r>
      <w:r w:rsidRPr="008B5F96">
        <w:rPr>
          <w:sz w:val="22"/>
          <w:szCs w:val="22"/>
          <w:lang w:val="es-CR"/>
        </w:rPr>
        <w:tab/>
      </w:r>
      <w:r w:rsidRPr="008B5F96">
        <w:rPr>
          <w:b/>
          <w:bCs/>
          <w:sz w:val="22"/>
          <w:szCs w:val="22"/>
          <w:lang w:val="es-CR"/>
        </w:rPr>
        <w:t>Deudor:</w:t>
      </w:r>
      <w:r w:rsidRPr="008B5F96">
        <w:rPr>
          <w:sz w:val="22"/>
          <w:szCs w:val="22"/>
          <w:lang w:val="es-CR"/>
        </w:rPr>
        <w:t xml:space="preserve"> Persona que recibe fondos o facilidades crediticias de la entidad en forma directa. Adicionalmente, se considerará como tal, al descontatario en caso de un contrato de descuento, el cedente en una cesión con recurso, al obligado a pagar un documento en una cesión sin recurso, y a la persona a la que la entidad concede un aval o garantía.</w:t>
      </w:r>
    </w:p>
    <w:p w14:paraId="4B4EFB2B" w14:textId="77777777" w:rsidR="008B5F96" w:rsidRPr="008B5F96" w:rsidRDefault="008B5F96" w:rsidP="008B5F96">
      <w:pPr>
        <w:ind w:left="720"/>
        <w:contextualSpacing/>
        <w:rPr>
          <w:sz w:val="22"/>
          <w:szCs w:val="22"/>
          <w:lang w:val="es-CR"/>
        </w:rPr>
      </w:pPr>
    </w:p>
    <w:p w14:paraId="300670F2" w14:textId="77777777" w:rsidR="008B5F96" w:rsidRPr="008B5F96" w:rsidRDefault="008B5F96" w:rsidP="008B5F96">
      <w:pPr>
        <w:ind w:left="720" w:hanging="360"/>
        <w:jc w:val="both"/>
        <w:rPr>
          <w:sz w:val="22"/>
          <w:szCs w:val="22"/>
          <w:lang w:val="es-CR"/>
        </w:rPr>
      </w:pPr>
      <w:r w:rsidRPr="008B5F96">
        <w:rPr>
          <w:sz w:val="22"/>
          <w:szCs w:val="22"/>
          <w:lang w:val="es-CR"/>
        </w:rPr>
        <w:t>e)</w:t>
      </w:r>
      <w:r w:rsidRPr="008B5F96">
        <w:rPr>
          <w:sz w:val="22"/>
          <w:szCs w:val="22"/>
          <w:lang w:val="es-CR"/>
        </w:rPr>
        <w:tab/>
      </w:r>
      <w:r w:rsidRPr="008B5F96">
        <w:rPr>
          <w:b/>
          <w:bCs/>
          <w:sz w:val="22"/>
          <w:szCs w:val="22"/>
          <w:lang w:val="es-CR"/>
        </w:rPr>
        <w:t>Deudor con operación especial:</w:t>
      </w:r>
      <w:r w:rsidRPr="008B5F96">
        <w:rPr>
          <w:sz w:val="22"/>
          <w:szCs w:val="22"/>
          <w:lang w:val="es-CR"/>
        </w:rPr>
        <w:t xml:space="preserve"> Deudor que tiene al menos una operación clasificada como especial, lo cual provoca que todas sus demás operaciones crediticias que mantenga en esa entidad se califiquen como especiales.</w:t>
      </w:r>
    </w:p>
    <w:p w14:paraId="0227C2F8" w14:textId="77777777" w:rsidR="008B5F96" w:rsidRPr="008B5F96" w:rsidRDefault="008B5F96" w:rsidP="008B5F96">
      <w:pPr>
        <w:ind w:left="720"/>
        <w:contextualSpacing/>
        <w:rPr>
          <w:sz w:val="22"/>
          <w:szCs w:val="22"/>
          <w:lang w:val="es-CR"/>
        </w:rPr>
      </w:pPr>
    </w:p>
    <w:p w14:paraId="4A6F4968" w14:textId="77777777" w:rsidR="008B5F96" w:rsidRPr="008B5F96" w:rsidRDefault="008B5F96" w:rsidP="008B5F96">
      <w:pPr>
        <w:ind w:left="720" w:hanging="360"/>
        <w:jc w:val="both"/>
        <w:rPr>
          <w:sz w:val="22"/>
          <w:szCs w:val="22"/>
          <w:lang w:val="es-CR"/>
        </w:rPr>
      </w:pPr>
      <w:r w:rsidRPr="008B5F96">
        <w:rPr>
          <w:sz w:val="22"/>
          <w:szCs w:val="22"/>
          <w:lang w:val="es-CR"/>
        </w:rPr>
        <w:t>f)</w:t>
      </w:r>
      <w:r w:rsidRPr="008B5F96">
        <w:rPr>
          <w:sz w:val="22"/>
          <w:szCs w:val="22"/>
          <w:lang w:val="es-CR"/>
        </w:rPr>
        <w:tab/>
      </w:r>
      <w:r w:rsidRPr="008B5F96">
        <w:rPr>
          <w:b/>
          <w:bCs/>
          <w:sz w:val="22"/>
          <w:szCs w:val="22"/>
          <w:lang w:val="es-CR"/>
        </w:rPr>
        <w:t>Exposición:</w:t>
      </w:r>
      <w:r w:rsidRPr="008B5F96">
        <w:rPr>
          <w:sz w:val="22"/>
          <w:szCs w:val="22"/>
          <w:lang w:val="es-CR"/>
        </w:rPr>
        <w:t xml:space="preserve"> Corresponde al monto expuesto al riesgo, equivalente al saldo total adeudado de la operación crediticia.</w:t>
      </w:r>
    </w:p>
    <w:p w14:paraId="2A600628" w14:textId="77777777" w:rsidR="008B5F96" w:rsidRPr="008B5F96" w:rsidRDefault="008B5F96" w:rsidP="008B5F96">
      <w:pPr>
        <w:ind w:left="720"/>
        <w:contextualSpacing/>
        <w:rPr>
          <w:sz w:val="22"/>
          <w:szCs w:val="22"/>
          <w:lang w:val="es-CR"/>
        </w:rPr>
      </w:pPr>
    </w:p>
    <w:p w14:paraId="40D9022D" w14:textId="77777777" w:rsidR="008B5F96" w:rsidRPr="008B5F96" w:rsidRDefault="008B5F96" w:rsidP="008B5F96">
      <w:pPr>
        <w:ind w:left="720" w:hanging="360"/>
        <w:jc w:val="both"/>
        <w:rPr>
          <w:sz w:val="22"/>
          <w:szCs w:val="22"/>
          <w:lang w:val="es-CR"/>
        </w:rPr>
      </w:pPr>
      <w:r w:rsidRPr="008B5F96">
        <w:rPr>
          <w:sz w:val="22"/>
          <w:szCs w:val="22"/>
          <w:lang w:val="es-CR"/>
        </w:rPr>
        <w:t>g)</w:t>
      </w:r>
      <w:r w:rsidRPr="008B5F96">
        <w:rPr>
          <w:sz w:val="22"/>
          <w:szCs w:val="22"/>
          <w:lang w:val="es-CR"/>
        </w:rPr>
        <w:tab/>
      </w:r>
      <w:r w:rsidRPr="008B5F96">
        <w:rPr>
          <w:b/>
          <w:bCs/>
          <w:sz w:val="22"/>
          <w:szCs w:val="22"/>
          <w:lang w:val="es-CR"/>
        </w:rPr>
        <w:t xml:space="preserve">Exposición en caso de incumplimiento (EAD por sus siglas en inglés: </w:t>
      </w:r>
      <w:r w:rsidRPr="008B5F96">
        <w:rPr>
          <w:b/>
          <w:bCs/>
          <w:i/>
          <w:iCs/>
          <w:sz w:val="22"/>
          <w:szCs w:val="22"/>
          <w:lang w:val="es-CR"/>
        </w:rPr>
        <w:t>Exposure at Default</w:t>
      </w:r>
      <w:r w:rsidRPr="008B5F96">
        <w:rPr>
          <w:b/>
          <w:bCs/>
          <w:sz w:val="22"/>
          <w:szCs w:val="22"/>
          <w:lang w:val="es-CR"/>
        </w:rPr>
        <w:t>):</w:t>
      </w:r>
      <w:r w:rsidRPr="008B5F96">
        <w:rPr>
          <w:sz w:val="22"/>
          <w:szCs w:val="22"/>
          <w:lang w:val="es-CR"/>
        </w:rPr>
        <w:t xml:space="preserve"> Corresponde al monto expuesto al riesgo en el momento del incumplimiento.</w:t>
      </w:r>
    </w:p>
    <w:p w14:paraId="6035436D" w14:textId="77777777" w:rsidR="008B5F96" w:rsidRPr="008B5F96" w:rsidRDefault="008B5F96" w:rsidP="008B5F96">
      <w:pPr>
        <w:ind w:left="720"/>
        <w:contextualSpacing/>
        <w:rPr>
          <w:sz w:val="22"/>
          <w:szCs w:val="22"/>
          <w:lang w:val="es-CR"/>
        </w:rPr>
      </w:pPr>
    </w:p>
    <w:p w14:paraId="76688695" w14:textId="77777777" w:rsidR="008B5F96" w:rsidRPr="008B5F96" w:rsidRDefault="008B5F96" w:rsidP="008B5F96">
      <w:pPr>
        <w:ind w:left="720" w:hanging="360"/>
        <w:jc w:val="both"/>
        <w:rPr>
          <w:sz w:val="22"/>
          <w:szCs w:val="22"/>
          <w:lang w:val="es-CR"/>
        </w:rPr>
      </w:pPr>
      <w:r w:rsidRPr="008B5F96">
        <w:rPr>
          <w:sz w:val="22"/>
          <w:szCs w:val="22"/>
          <w:lang w:val="es-CR"/>
        </w:rPr>
        <w:t>h)</w:t>
      </w:r>
      <w:r w:rsidRPr="008B5F96">
        <w:rPr>
          <w:sz w:val="22"/>
          <w:szCs w:val="22"/>
          <w:lang w:val="es-CR"/>
        </w:rPr>
        <w:tab/>
      </w:r>
      <w:r w:rsidRPr="008B5F96">
        <w:rPr>
          <w:b/>
          <w:bCs/>
          <w:sz w:val="22"/>
          <w:szCs w:val="22"/>
          <w:lang w:val="es-CR"/>
        </w:rPr>
        <w:t>Morosidad:</w:t>
      </w:r>
      <w:r w:rsidRPr="008B5F96">
        <w:rPr>
          <w:sz w:val="22"/>
          <w:szCs w:val="22"/>
          <w:lang w:val="es-CR"/>
        </w:rPr>
        <w:t xml:space="preserve"> El mayor número de días de atraso en el pago de principal, intereses, otros productos y cuentas por cobrar asociados a la operación crediticia, contados a partir del primer día de atraso, que presenta el deudor en la atención de sus operaciones crediticias en la entidad a una fecha determinada según las condiciones contractuales de pago.</w:t>
      </w:r>
    </w:p>
    <w:p w14:paraId="2300081A" w14:textId="77777777" w:rsidR="008B5F96" w:rsidRPr="008B5F96" w:rsidRDefault="008B5F96" w:rsidP="008B5F96">
      <w:pPr>
        <w:ind w:left="720"/>
        <w:contextualSpacing/>
        <w:rPr>
          <w:sz w:val="22"/>
          <w:szCs w:val="22"/>
          <w:lang w:val="es-CR"/>
        </w:rPr>
      </w:pPr>
    </w:p>
    <w:p w14:paraId="53439E98" w14:textId="77777777" w:rsidR="008B5F96" w:rsidRPr="008B5F96" w:rsidRDefault="008B5F96" w:rsidP="008B5F96">
      <w:pPr>
        <w:ind w:left="720" w:hanging="360"/>
        <w:jc w:val="both"/>
        <w:rPr>
          <w:sz w:val="22"/>
          <w:szCs w:val="22"/>
          <w:lang w:val="es-CR"/>
        </w:rPr>
      </w:pPr>
      <w:r w:rsidRPr="008B5F96">
        <w:rPr>
          <w:sz w:val="22"/>
          <w:szCs w:val="22"/>
          <w:lang w:val="es-CR"/>
        </w:rPr>
        <w:t>i)</w:t>
      </w:r>
      <w:r w:rsidRPr="008B5F96">
        <w:rPr>
          <w:sz w:val="22"/>
          <w:szCs w:val="22"/>
          <w:lang w:val="es-CR"/>
        </w:rPr>
        <w:tab/>
      </w:r>
      <w:r w:rsidRPr="008B5F96">
        <w:rPr>
          <w:b/>
          <w:bCs/>
          <w:sz w:val="22"/>
          <w:szCs w:val="22"/>
          <w:lang w:val="es-CR"/>
        </w:rPr>
        <w:t xml:space="preserve">Operación </w:t>
      </w:r>
      <w:r w:rsidRPr="008B5F96">
        <w:rPr>
          <w:b/>
          <w:bCs/>
          <w:i/>
          <w:iCs/>
          <w:sz w:val="22"/>
          <w:szCs w:val="22"/>
          <w:lang w:val="es-CR"/>
        </w:rPr>
        <w:t>back to back</w:t>
      </w:r>
      <w:r w:rsidRPr="008B5F96">
        <w:rPr>
          <w:b/>
          <w:bCs/>
          <w:sz w:val="22"/>
          <w:szCs w:val="22"/>
          <w:lang w:val="es-CR"/>
        </w:rPr>
        <w:t>:</w:t>
      </w:r>
      <w:r w:rsidRPr="008B5F96">
        <w:rPr>
          <w:sz w:val="22"/>
          <w:szCs w:val="22"/>
          <w:lang w:val="es-CR"/>
        </w:rPr>
        <w:t xml:space="preserve"> Operación crediticia cuyo saldo total adeudado se encuentra totalmente cubierto mediante un contrato entre la entidad acreedora y el deudor, en el que ambos acuerdan expresamente, que en caso de incumplimiento de las condiciones pactadas, la entidad acreedora, de manera incondicional, inmediata e irrevocable, realizará la compensación del saldo total adeudado de la operación crediticia contra las sumas de dinero en efectivo que le han sido entregadas, o contra instrumentos de deuda emitidos por ella misma, que se encuentran en su poder y traspasados a favor de la entidad al amparo de dicho contrato, produciéndose con tal compensación la extinción de las deudas compensadas y liberándose tanto al deudor como a la entidad de cualquier obligación producto de dicha operación.</w:t>
      </w:r>
    </w:p>
    <w:p w14:paraId="6427FC31" w14:textId="77777777" w:rsidR="008B5F96" w:rsidRPr="008B5F96" w:rsidRDefault="008B5F96" w:rsidP="008B5F96">
      <w:pPr>
        <w:ind w:left="720"/>
        <w:contextualSpacing/>
        <w:rPr>
          <w:sz w:val="22"/>
          <w:szCs w:val="22"/>
          <w:lang w:val="es-CR"/>
        </w:rPr>
      </w:pPr>
    </w:p>
    <w:p w14:paraId="6D02CEDF" w14:textId="77777777" w:rsidR="008B5F96" w:rsidRPr="008B5F96" w:rsidRDefault="008B5F96" w:rsidP="008B5F96">
      <w:pPr>
        <w:ind w:left="720" w:hanging="360"/>
        <w:jc w:val="both"/>
        <w:rPr>
          <w:sz w:val="22"/>
          <w:szCs w:val="22"/>
          <w:lang w:val="es-CR"/>
        </w:rPr>
      </w:pPr>
      <w:r w:rsidRPr="008B5F96">
        <w:rPr>
          <w:sz w:val="22"/>
          <w:szCs w:val="22"/>
          <w:lang w:val="es-CR"/>
        </w:rPr>
        <w:t>j)</w:t>
      </w:r>
      <w:r w:rsidRPr="008B5F96">
        <w:rPr>
          <w:sz w:val="22"/>
          <w:szCs w:val="22"/>
          <w:lang w:val="es-CR"/>
        </w:rPr>
        <w:tab/>
      </w:r>
      <w:r w:rsidRPr="008B5F96">
        <w:rPr>
          <w:b/>
          <w:bCs/>
          <w:sz w:val="22"/>
          <w:szCs w:val="22"/>
          <w:lang w:val="es-CR"/>
        </w:rPr>
        <w:t>Operación especial:</w:t>
      </w:r>
      <w:r w:rsidRPr="008B5F96">
        <w:rPr>
          <w:sz w:val="22"/>
          <w:szCs w:val="22"/>
          <w:lang w:val="es-CR"/>
        </w:rPr>
        <w:t xml:space="preserve"> Operación que ha sido refinanciada, readecuada o prorrogada (incluye cualquier combinación de estas modalidades), en al menos dos ocasiones durante los últimos 24 meses. Asimismo, también será considerada operación especial aquella que, por efecto de contagio, deba clasificarse bajo esta condición aun cuando no presente necesariamente dichas circunstancias.</w:t>
      </w:r>
    </w:p>
    <w:p w14:paraId="1FC73082" w14:textId="77777777" w:rsidR="008B5F96" w:rsidRPr="008B5F96" w:rsidRDefault="008B5F96" w:rsidP="008B5F96">
      <w:pPr>
        <w:ind w:left="720"/>
        <w:contextualSpacing/>
        <w:rPr>
          <w:sz w:val="22"/>
          <w:szCs w:val="22"/>
          <w:lang w:val="es-CR"/>
        </w:rPr>
      </w:pPr>
    </w:p>
    <w:p w14:paraId="379CA97E" w14:textId="77777777" w:rsidR="008B5F96" w:rsidRPr="008B5F96" w:rsidRDefault="008B5F96" w:rsidP="008B5F96">
      <w:pPr>
        <w:ind w:left="720"/>
        <w:contextualSpacing/>
        <w:jc w:val="both"/>
        <w:rPr>
          <w:sz w:val="22"/>
          <w:szCs w:val="22"/>
          <w:lang w:val="es-CR"/>
        </w:rPr>
      </w:pPr>
      <w:r w:rsidRPr="008B5F96">
        <w:rPr>
          <w:sz w:val="22"/>
          <w:szCs w:val="22"/>
          <w:lang w:val="es-CR"/>
        </w:rPr>
        <w:t>Cuando una operación nueva ha sido originada producto de otra(s) operación(es) previamente existente(s), la nueva operación incluirá las modificaciones previas de la(s) operación(es) que está(n) siendo liquidada(s), ya sea de manera total o parcial. En los casos de liquidación parcial, tanto la nueva operación como la operación anterior deberán ser reportadas como operaciones modificadas.</w:t>
      </w:r>
    </w:p>
    <w:p w14:paraId="101F1E71" w14:textId="77777777" w:rsidR="008B5F96" w:rsidRPr="008B5F96" w:rsidRDefault="008B5F96" w:rsidP="008B5F96">
      <w:pPr>
        <w:ind w:left="720"/>
        <w:contextualSpacing/>
        <w:jc w:val="both"/>
        <w:rPr>
          <w:sz w:val="22"/>
          <w:szCs w:val="22"/>
          <w:lang w:val="es-CR"/>
        </w:rPr>
      </w:pPr>
    </w:p>
    <w:p w14:paraId="14DF9C76" w14:textId="77777777" w:rsidR="008B5F96" w:rsidRPr="008B5F96" w:rsidRDefault="008B5F96" w:rsidP="008B5F96">
      <w:pPr>
        <w:ind w:left="720"/>
        <w:contextualSpacing/>
        <w:jc w:val="both"/>
        <w:rPr>
          <w:sz w:val="22"/>
          <w:szCs w:val="22"/>
          <w:lang w:val="es-CR"/>
        </w:rPr>
      </w:pPr>
      <w:r w:rsidRPr="008B5F96">
        <w:rPr>
          <w:sz w:val="22"/>
          <w:szCs w:val="22"/>
          <w:lang w:val="es-CR"/>
        </w:rPr>
        <w:t>Cuando la Sugef, en sus labores de supervisión, determine la existencia de una operación especial, comunicará a la entidad las operaciones que deban clasificarse como operaciones especiales y las razones por las cuales ha considerado necesario efectuar dicha reclasificación.</w:t>
      </w:r>
    </w:p>
    <w:p w14:paraId="61821250" w14:textId="77777777" w:rsidR="008B5F96" w:rsidRPr="008B5F96" w:rsidRDefault="008B5F96" w:rsidP="008B5F96">
      <w:pPr>
        <w:ind w:left="720"/>
        <w:contextualSpacing/>
        <w:jc w:val="both"/>
        <w:rPr>
          <w:sz w:val="22"/>
          <w:szCs w:val="22"/>
          <w:lang w:val="es-CR"/>
        </w:rPr>
      </w:pPr>
    </w:p>
    <w:p w14:paraId="560570C9" w14:textId="77777777" w:rsidR="008B5F96" w:rsidRPr="008B5F96" w:rsidRDefault="008B5F96" w:rsidP="008B5F96">
      <w:pPr>
        <w:ind w:left="720" w:hanging="360"/>
        <w:jc w:val="both"/>
        <w:rPr>
          <w:sz w:val="22"/>
          <w:szCs w:val="22"/>
          <w:lang w:val="es-CR"/>
        </w:rPr>
      </w:pPr>
      <w:r w:rsidRPr="008B5F96">
        <w:rPr>
          <w:sz w:val="22"/>
          <w:szCs w:val="22"/>
          <w:lang w:val="es-CR"/>
        </w:rPr>
        <w:t>k)</w:t>
      </w:r>
      <w:r w:rsidRPr="008B5F96">
        <w:rPr>
          <w:sz w:val="22"/>
          <w:szCs w:val="22"/>
          <w:lang w:val="es-CR"/>
        </w:rPr>
        <w:tab/>
      </w:r>
      <w:r w:rsidRPr="008B5F96">
        <w:rPr>
          <w:b/>
          <w:bCs/>
          <w:sz w:val="22"/>
          <w:szCs w:val="22"/>
          <w:lang w:val="es-CR"/>
        </w:rPr>
        <w:t>Operación prorrogada:</w:t>
      </w:r>
      <w:r w:rsidRPr="008B5F96">
        <w:rPr>
          <w:sz w:val="22"/>
          <w:szCs w:val="22"/>
          <w:lang w:val="es-CR"/>
        </w:rPr>
        <w:t xml:space="preserve"> Operación crediticia en la que por lo menos un pago total o parcial de principal o intereses ha sido postergado a una fecha futura en relación con las condiciones contractuales vigentes.</w:t>
      </w:r>
    </w:p>
    <w:p w14:paraId="29C4B42D" w14:textId="77777777" w:rsidR="008B5F96" w:rsidRPr="008B5F96" w:rsidRDefault="008B5F96" w:rsidP="008B5F96">
      <w:pPr>
        <w:ind w:left="720"/>
        <w:contextualSpacing/>
        <w:jc w:val="both"/>
        <w:rPr>
          <w:sz w:val="22"/>
          <w:szCs w:val="22"/>
          <w:lang w:val="es-CR"/>
        </w:rPr>
      </w:pPr>
    </w:p>
    <w:p w14:paraId="7A40DE10" w14:textId="77777777" w:rsidR="008B5F96" w:rsidRPr="008B5F96" w:rsidRDefault="008B5F96" w:rsidP="008B5F96">
      <w:pPr>
        <w:ind w:left="720" w:hanging="360"/>
        <w:jc w:val="both"/>
        <w:rPr>
          <w:sz w:val="22"/>
          <w:szCs w:val="22"/>
          <w:lang w:val="es-CR"/>
        </w:rPr>
      </w:pPr>
      <w:r w:rsidRPr="008B5F96">
        <w:rPr>
          <w:sz w:val="22"/>
          <w:szCs w:val="22"/>
          <w:lang w:val="es-CR"/>
        </w:rPr>
        <w:t>l)</w:t>
      </w:r>
      <w:r w:rsidRPr="008B5F96">
        <w:rPr>
          <w:sz w:val="22"/>
          <w:szCs w:val="22"/>
          <w:lang w:val="es-CR"/>
        </w:rPr>
        <w:tab/>
      </w:r>
      <w:r w:rsidRPr="008B5F96">
        <w:rPr>
          <w:b/>
          <w:bCs/>
          <w:sz w:val="22"/>
          <w:szCs w:val="22"/>
          <w:lang w:val="es-CR"/>
        </w:rPr>
        <w:t>Operación readecuada:</w:t>
      </w:r>
      <w:r w:rsidRPr="008B5F96">
        <w:rPr>
          <w:sz w:val="22"/>
          <w:szCs w:val="22"/>
          <w:lang w:val="es-CR"/>
        </w:rPr>
        <w:t xml:space="preserve"> Operación crediticia en la que se modifica por lo menos una de las condiciones de pago contractuales vigentes con excepción de la prórroga definida en el literal k) y de modificaciones en el plazo del crédito o en el monto de la cuota, derivada de prepagos.</w:t>
      </w:r>
    </w:p>
    <w:p w14:paraId="3A47B684" w14:textId="77777777" w:rsidR="008B5F96" w:rsidRPr="008B5F96" w:rsidRDefault="008B5F96" w:rsidP="008B5F96">
      <w:pPr>
        <w:ind w:left="720" w:hanging="360"/>
        <w:jc w:val="both"/>
        <w:rPr>
          <w:sz w:val="22"/>
          <w:szCs w:val="22"/>
          <w:lang w:val="es-CR"/>
        </w:rPr>
      </w:pPr>
      <w:r w:rsidRPr="008B5F96">
        <w:rPr>
          <w:sz w:val="22"/>
          <w:szCs w:val="22"/>
          <w:lang w:val="es-CR"/>
        </w:rPr>
        <w:lastRenderedPageBreak/>
        <w:t>m)</w:t>
      </w:r>
      <w:r w:rsidRPr="008B5F96">
        <w:rPr>
          <w:sz w:val="22"/>
          <w:szCs w:val="22"/>
          <w:lang w:val="es-CR"/>
        </w:rPr>
        <w:tab/>
      </w:r>
      <w:r w:rsidRPr="008B5F96">
        <w:rPr>
          <w:b/>
          <w:bCs/>
          <w:sz w:val="22"/>
          <w:szCs w:val="22"/>
          <w:lang w:val="es-CR"/>
        </w:rPr>
        <w:t>Operación refinanciada:</w:t>
      </w:r>
      <w:r w:rsidRPr="008B5F96">
        <w:rPr>
          <w:sz w:val="22"/>
          <w:szCs w:val="22"/>
          <w:lang w:val="es-CR"/>
        </w:rPr>
        <w:t xml:space="preserve"> Operación crediticia mediante la cual se cancela total o parcialmente o se pone al día, una o varias operaciones preexistentes del mismo deudor mediante la constitución de una nueva operación crediticia. En caso de la cancelación total de una operación crediticia, la nueva operación crediticia se considerará como refinanciada. En el caso de una cancelación parcial, tanto la operación crediticia nueva como la ya existente serán consideradas como operaciones refinanciadas.</w:t>
      </w:r>
    </w:p>
    <w:p w14:paraId="6C31B706" w14:textId="77777777" w:rsidR="008B5F96" w:rsidRPr="008B5F96" w:rsidRDefault="008B5F96" w:rsidP="008B5F96">
      <w:pPr>
        <w:ind w:left="720"/>
        <w:contextualSpacing/>
        <w:rPr>
          <w:sz w:val="22"/>
          <w:szCs w:val="22"/>
          <w:lang w:val="es-CR"/>
        </w:rPr>
      </w:pPr>
    </w:p>
    <w:p w14:paraId="4A474F8C" w14:textId="77777777" w:rsidR="008B5F96" w:rsidRPr="008B5F96" w:rsidRDefault="008B5F96" w:rsidP="008B5F96">
      <w:pPr>
        <w:ind w:left="720" w:hanging="360"/>
        <w:jc w:val="both"/>
        <w:rPr>
          <w:sz w:val="22"/>
          <w:szCs w:val="22"/>
          <w:lang w:val="es-CR"/>
        </w:rPr>
      </w:pPr>
      <w:r w:rsidRPr="008B5F96">
        <w:rPr>
          <w:sz w:val="22"/>
          <w:szCs w:val="22"/>
          <w:lang w:val="es-CR"/>
        </w:rPr>
        <w:t>n)</w:t>
      </w:r>
      <w:r w:rsidRPr="008B5F96">
        <w:rPr>
          <w:sz w:val="22"/>
          <w:szCs w:val="22"/>
          <w:lang w:val="es-CR"/>
        </w:rPr>
        <w:tab/>
      </w:r>
      <w:r w:rsidRPr="008B5F96">
        <w:rPr>
          <w:b/>
          <w:bCs/>
          <w:sz w:val="22"/>
          <w:szCs w:val="22"/>
          <w:lang w:val="es-CR"/>
        </w:rPr>
        <w:t>Pérdida dado incumplimiento (LGD por sus siglas en inglés: Loss Given Default):</w:t>
      </w:r>
      <w:r w:rsidRPr="008B5F96">
        <w:rPr>
          <w:sz w:val="22"/>
          <w:szCs w:val="22"/>
          <w:lang w:val="es-CR"/>
        </w:rPr>
        <w:t xml:space="preserve"> Porcentaje de la exposición que se pierde en caso de incumplimiento.</w:t>
      </w:r>
    </w:p>
    <w:p w14:paraId="2CC39D21" w14:textId="77777777" w:rsidR="008B5F96" w:rsidRPr="008B5F96" w:rsidRDefault="008B5F96" w:rsidP="008B5F96">
      <w:pPr>
        <w:ind w:left="720"/>
        <w:contextualSpacing/>
        <w:rPr>
          <w:sz w:val="22"/>
          <w:szCs w:val="22"/>
          <w:lang w:val="es-CR"/>
        </w:rPr>
      </w:pPr>
    </w:p>
    <w:p w14:paraId="676FCAB6" w14:textId="77777777" w:rsidR="008B5F96" w:rsidRPr="008B5F96" w:rsidRDefault="008B5F96" w:rsidP="008B5F96">
      <w:pPr>
        <w:ind w:left="720" w:hanging="360"/>
        <w:jc w:val="both"/>
        <w:rPr>
          <w:sz w:val="22"/>
          <w:szCs w:val="22"/>
          <w:lang w:val="es-CR"/>
        </w:rPr>
      </w:pPr>
      <w:r w:rsidRPr="008B5F96">
        <w:rPr>
          <w:sz w:val="22"/>
          <w:szCs w:val="22"/>
          <w:lang w:val="es-CR"/>
        </w:rPr>
        <w:t>o)</w:t>
      </w:r>
      <w:r w:rsidRPr="008B5F96">
        <w:rPr>
          <w:sz w:val="22"/>
          <w:szCs w:val="22"/>
          <w:lang w:val="es-CR"/>
        </w:rPr>
        <w:tab/>
      </w:r>
      <w:r w:rsidRPr="008B5F96">
        <w:rPr>
          <w:b/>
          <w:bCs/>
          <w:sz w:val="22"/>
          <w:szCs w:val="22"/>
          <w:lang w:val="es-CR"/>
        </w:rPr>
        <w:t>Pérdida dado incumplimiento mínimo combinado:</w:t>
      </w:r>
      <w:r w:rsidRPr="008B5F96">
        <w:rPr>
          <w:sz w:val="22"/>
          <w:szCs w:val="22"/>
          <w:lang w:val="es-CR"/>
        </w:rPr>
        <w:t xml:space="preserve"> Parámetro que establece el piso mínimo de la pérdida dado incumplimiento cuando una exposición cuente con más de un tipo de mitigador. Se determina como el promedio ponderado de los pisos mínimos de LGD definidos para cada tipo de mitigador reconocido, utilizando como ponderadores la participación relativa de cada mitigador dentro del total de mitigadores aplicables a la exposición.</w:t>
      </w:r>
    </w:p>
    <w:p w14:paraId="46C08C25" w14:textId="77777777" w:rsidR="008B5F96" w:rsidRPr="008B5F96" w:rsidRDefault="008B5F96" w:rsidP="008B5F96">
      <w:pPr>
        <w:ind w:left="720"/>
        <w:contextualSpacing/>
        <w:rPr>
          <w:sz w:val="22"/>
          <w:szCs w:val="22"/>
          <w:lang w:val="es-CR"/>
        </w:rPr>
      </w:pPr>
    </w:p>
    <w:p w14:paraId="63CD5416" w14:textId="77777777" w:rsidR="008B5F96" w:rsidRPr="008B5F96" w:rsidRDefault="008B5F96" w:rsidP="008B5F96">
      <w:pPr>
        <w:ind w:left="720" w:hanging="360"/>
        <w:jc w:val="both"/>
        <w:rPr>
          <w:sz w:val="22"/>
          <w:szCs w:val="22"/>
          <w:lang w:val="es-CR"/>
        </w:rPr>
      </w:pPr>
      <w:r w:rsidRPr="008B5F96">
        <w:rPr>
          <w:sz w:val="22"/>
          <w:szCs w:val="22"/>
          <w:lang w:val="es-CR"/>
        </w:rPr>
        <w:t>p)</w:t>
      </w:r>
      <w:r w:rsidRPr="008B5F96">
        <w:rPr>
          <w:sz w:val="22"/>
          <w:szCs w:val="22"/>
          <w:lang w:val="es-CR"/>
        </w:rPr>
        <w:tab/>
      </w:r>
      <w:r w:rsidRPr="008B5F96">
        <w:rPr>
          <w:b/>
          <w:bCs/>
          <w:sz w:val="22"/>
          <w:szCs w:val="22"/>
          <w:lang w:val="es-CR"/>
        </w:rPr>
        <w:t xml:space="preserve">Probabilidad de incumplimiento (PD por sus siglas en inglés: </w:t>
      </w:r>
      <w:r w:rsidRPr="008B5F96">
        <w:rPr>
          <w:b/>
          <w:bCs/>
          <w:i/>
          <w:iCs/>
          <w:sz w:val="22"/>
          <w:szCs w:val="22"/>
          <w:lang w:val="es-CR"/>
        </w:rPr>
        <w:t>Probability of Default</w:t>
      </w:r>
      <w:r w:rsidRPr="008B5F96">
        <w:rPr>
          <w:b/>
          <w:bCs/>
          <w:sz w:val="22"/>
          <w:szCs w:val="22"/>
          <w:lang w:val="es-CR"/>
        </w:rPr>
        <w:t>):</w:t>
      </w:r>
      <w:r w:rsidRPr="008B5F96">
        <w:rPr>
          <w:sz w:val="22"/>
          <w:szCs w:val="22"/>
          <w:lang w:val="es-CR"/>
        </w:rPr>
        <w:t xml:space="preserve"> Es una métrica prospectiva sobre la tasa de incumplimiento esperada para un horizonte de 12 meses, asociada a cada segmento crediticio y la categoría de riesgo, considerando para su pronóstico posibles escenarios.</w:t>
      </w:r>
    </w:p>
    <w:p w14:paraId="571FB85E" w14:textId="77777777" w:rsidR="008B5F96" w:rsidRPr="008B5F96" w:rsidRDefault="008B5F96" w:rsidP="008B5F96">
      <w:pPr>
        <w:ind w:left="720"/>
        <w:contextualSpacing/>
        <w:rPr>
          <w:sz w:val="22"/>
          <w:szCs w:val="22"/>
          <w:lang w:val="es-CR"/>
        </w:rPr>
      </w:pPr>
    </w:p>
    <w:p w14:paraId="76F0C8F5" w14:textId="77777777" w:rsidR="008B5F96" w:rsidRPr="008B5F96" w:rsidRDefault="008B5F96" w:rsidP="008B5F96">
      <w:pPr>
        <w:ind w:left="720" w:hanging="360"/>
        <w:jc w:val="both"/>
        <w:rPr>
          <w:sz w:val="22"/>
          <w:szCs w:val="22"/>
          <w:lang w:val="es-CR"/>
        </w:rPr>
      </w:pPr>
      <w:r w:rsidRPr="008B5F96">
        <w:rPr>
          <w:sz w:val="22"/>
          <w:szCs w:val="22"/>
          <w:lang w:val="es-CR"/>
        </w:rPr>
        <w:t>q)</w:t>
      </w:r>
      <w:r w:rsidRPr="008B5F96">
        <w:rPr>
          <w:sz w:val="22"/>
          <w:szCs w:val="22"/>
          <w:lang w:val="es-CR"/>
        </w:rPr>
        <w:tab/>
      </w:r>
      <w:r w:rsidRPr="008B5F96">
        <w:rPr>
          <w:b/>
          <w:bCs/>
          <w:sz w:val="22"/>
          <w:szCs w:val="22"/>
          <w:lang w:val="es-CR"/>
        </w:rPr>
        <w:t xml:space="preserve">Probabilidad de incumplimiento por la vida remanente de la operación (LTPD por sus siglas en inglés: </w:t>
      </w:r>
      <w:r w:rsidRPr="008B5F96">
        <w:rPr>
          <w:b/>
          <w:bCs/>
          <w:i/>
          <w:iCs/>
          <w:sz w:val="22"/>
          <w:szCs w:val="22"/>
          <w:lang w:val="es-CR"/>
        </w:rPr>
        <w:t>Lifetime Probability of Default</w:t>
      </w:r>
      <w:r w:rsidRPr="008B5F96">
        <w:rPr>
          <w:b/>
          <w:bCs/>
          <w:sz w:val="22"/>
          <w:szCs w:val="22"/>
          <w:lang w:val="es-CR"/>
        </w:rPr>
        <w:t>):</w:t>
      </w:r>
      <w:r w:rsidRPr="008B5F96">
        <w:rPr>
          <w:sz w:val="22"/>
          <w:szCs w:val="22"/>
          <w:lang w:val="es-CR"/>
        </w:rPr>
        <w:t xml:space="preserve"> Es una métrica prospectiva sobre la tasa de incumplimiento esperada para el plazo remanente de la operación, asociada a cada segmento crediticio, considerando para su pronóstico posibles escenarios.</w:t>
      </w:r>
    </w:p>
    <w:p w14:paraId="0E5A64E7" w14:textId="77777777" w:rsidR="008B5F96" w:rsidRPr="008B5F96" w:rsidRDefault="008B5F96" w:rsidP="008B5F96">
      <w:pPr>
        <w:ind w:left="720"/>
        <w:contextualSpacing/>
        <w:rPr>
          <w:sz w:val="22"/>
          <w:szCs w:val="22"/>
          <w:lang w:val="es-CR"/>
        </w:rPr>
      </w:pPr>
    </w:p>
    <w:p w14:paraId="3CDDBC2C" w14:textId="77777777" w:rsidR="008B5F96" w:rsidRPr="008B5F96" w:rsidRDefault="008B5F96" w:rsidP="008B5F96">
      <w:pPr>
        <w:ind w:left="720" w:hanging="360"/>
        <w:jc w:val="both"/>
        <w:rPr>
          <w:sz w:val="22"/>
          <w:szCs w:val="22"/>
          <w:lang w:val="es-CR"/>
        </w:rPr>
      </w:pPr>
      <w:r w:rsidRPr="008B5F96">
        <w:rPr>
          <w:sz w:val="22"/>
          <w:szCs w:val="22"/>
          <w:lang w:val="es-CR"/>
        </w:rPr>
        <w:t>r)</w:t>
      </w:r>
      <w:r w:rsidRPr="008B5F96">
        <w:rPr>
          <w:sz w:val="22"/>
          <w:szCs w:val="22"/>
          <w:lang w:val="es-CR"/>
        </w:rPr>
        <w:tab/>
      </w:r>
      <w:r w:rsidRPr="008B5F96">
        <w:rPr>
          <w:b/>
          <w:bCs/>
          <w:sz w:val="22"/>
          <w:szCs w:val="22"/>
          <w:lang w:val="es-CR"/>
        </w:rPr>
        <w:t>Saldo total adeudado:</w:t>
      </w:r>
      <w:r w:rsidRPr="008B5F96">
        <w:rPr>
          <w:sz w:val="22"/>
          <w:szCs w:val="22"/>
          <w:lang w:val="es-CR"/>
        </w:rPr>
        <w:t xml:space="preserve"> Suma de saldo de principal directo y contingente, intereses, otros productos y cuentas por cobrar asociados a una operación crediticia.</w:t>
      </w:r>
    </w:p>
    <w:p w14:paraId="2188BE0D" w14:textId="77777777" w:rsidR="008B5F96" w:rsidRPr="008B5F96" w:rsidRDefault="008B5F96" w:rsidP="008B5F96">
      <w:pPr>
        <w:ind w:left="720"/>
        <w:contextualSpacing/>
        <w:rPr>
          <w:sz w:val="22"/>
          <w:szCs w:val="22"/>
          <w:lang w:val="es-CR"/>
        </w:rPr>
      </w:pPr>
    </w:p>
    <w:p w14:paraId="15EFB8F0" w14:textId="77777777" w:rsidR="008B5F96" w:rsidRPr="008B5F96" w:rsidRDefault="008B5F96" w:rsidP="008B5F96">
      <w:pPr>
        <w:ind w:left="720" w:hanging="360"/>
        <w:jc w:val="both"/>
        <w:rPr>
          <w:sz w:val="22"/>
          <w:szCs w:val="22"/>
          <w:lang w:val="es-CR"/>
        </w:rPr>
      </w:pPr>
      <w:r w:rsidRPr="008B5F96">
        <w:rPr>
          <w:sz w:val="22"/>
          <w:szCs w:val="22"/>
          <w:lang w:val="es-CR"/>
        </w:rPr>
        <w:t>s)</w:t>
      </w:r>
      <w:r w:rsidRPr="008B5F96">
        <w:rPr>
          <w:sz w:val="22"/>
          <w:szCs w:val="22"/>
          <w:lang w:val="es-CR"/>
        </w:rPr>
        <w:tab/>
      </w:r>
      <w:r w:rsidRPr="008B5F96">
        <w:rPr>
          <w:b/>
          <w:bCs/>
          <w:sz w:val="22"/>
          <w:szCs w:val="22"/>
          <w:lang w:val="es-CR"/>
        </w:rPr>
        <w:t>Tasa de incumplimiento (TI):</w:t>
      </w:r>
      <w:r w:rsidRPr="008B5F96">
        <w:rPr>
          <w:sz w:val="22"/>
          <w:szCs w:val="22"/>
          <w:lang w:val="es-CR"/>
        </w:rPr>
        <w:t xml:space="preserve"> Número de operaciones de crédito en incumplimiento dividido entre el total de operaciones de crédito, en un horizonte temporal determinado.</w:t>
      </w:r>
    </w:p>
    <w:p w14:paraId="28969C37" w14:textId="77777777" w:rsidR="008B5F96" w:rsidRPr="008B5F96" w:rsidRDefault="008B5F96" w:rsidP="008B5F96">
      <w:pPr>
        <w:ind w:left="720"/>
        <w:contextualSpacing/>
        <w:rPr>
          <w:sz w:val="22"/>
          <w:szCs w:val="22"/>
          <w:lang w:val="es-CR"/>
        </w:rPr>
      </w:pPr>
    </w:p>
    <w:p w14:paraId="34F3B955" w14:textId="77777777" w:rsidR="008B5F96" w:rsidRPr="008B5F96" w:rsidRDefault="008B5F96" w:rsidP="008B5F96">
      <w:pPr>
        <w:ind w:left="720" w:hanging="360"/>
        <w:jc w:val="both"/>
        <w:rPr>
          <w:sz w:val="22"/>
          <w:szCs w:val="22"/>
          <w:lang w:val="es-CR"/>
        </w:rPr>
      </w:pPr>
      <w:r w:rsidRPr="008B5F96">
        <w:rPr>
          <w:sz w:val="22"/>
          <w:szCs w:val="22"/>
          <w:lang w:val="es-CR"/>
        </w:rPr>
        <w:t>t)</w:t>
      </w:r>
      <w:r w:rsidRPr="008B5F96">
        <w:rPr>
          <w:sz w:val="22"/>
          <w:szCs w:val="22"/>
          <w:lang w:val="es-CR"/>
        </w:rPr>
        <w:tab/>
      </w:r>
      <w:r w:rsidRPr="008B5F96">
        <w:rPr>
          <w:b/>
          <w:bCs/>
          <w:sz w:val="22"/>
          <w:szCs w:val="22"/>
          <w:lang w:val="es-CR"/>
        </w:rPr>
        <w:t>Valor ajustado de la garantía:</w:t>
      </w:r>
      <w:r w:rsidRPr="008B5F96">
        <w:rPr>
          <w:sz w:val="22"/>
          <w:szCs w:val="22"/>
          <w:lang w:val="es-CR"/>
        </w:rPr>
        <w:t xml:space="preserve"> Es el resultado de multiplicar el último valor de tasación de la garantía, por el factor de descuento y por el porcentaje de recuperación aplicable.</w:t>
      </w:r>
    </w:p>
    <w:p w14:paraId="0519B312" w14:textId="77777777" w:rsidR="008B5F96" w:rsidRPr="008B5F96" w:rsidRDefault="008B5F96" w:rsidP="008B5F96">
      <w:pPr>
        <w:ind w:left="720"/>
        <w:contextualSpacing/>
        <w:rPr>
          <w:sz w:val="22"/>
          <w:szCs w:val="22"/>
          <w:lang w:val="es-CR"/>
        </w:rPr>
      </w:pPr>
    </w:p>
    <w:p w14:paraId="45F76E10" w14:textId="77777777" w:rsidR="008B5F96" w:rsidRPr="008B5F96" w:rsidRDefault="008B5F96" w:rsidP="008B5F96">
      <w:pPr>
        <w:ind w:left="720"/>
        <w:contextualSpacing/>
        <w:jc w:val="both"/>
        <w:rPr>
          <w:sz w:val="22"/>
          <w:szCs w:val="22"/>
          <w:lang w:val="es-CR"/>
        </w:rPr>
      </w:pPr>
    </w:p>
    <w:p w14:paraId="40464251" w14:textId="77777777" w:rsidR="008B5F96" w:rsidRPr="008B5F96" w:rsidRDefault="008B5F96" w:rsidP="008B5F96">
      <w:pPr>
        <w:jc w:val="both"/>
        <w:rPr>
          <w:b/>
          <w:bCs/>
          <w:sz w:val="22"/>
          <w:szCs w:val="22"/>
          <w:lang w:val="es-CR"/>
        </w:rPr>
      </w:pPr>
      <w:r w:rsidRPr="008B5F96">
        <w:rPr>
          <w:b/>
          <w:bCs/>
          <w:sz w:val="22"/>
          <w:szCs w:val="22"/>
          <w:lang w:val="es-CR"/>
        </w:rPr>
        <w:t>Artículo 4. Lineamientos Generales</w:t>
      </w:r>
    </w:p>
    <w:p w14:paraId="626AE37B" w14:textId="77777777" w:rsidR="008B5F96" w:rsidRPr="008B5F96" w:rsidRDefault="008B5F96" w:rsidP="008B5F96">
      <w:pPr>
        <w:jc w:val="both"/>
        <w:rPr>
          <w:b/>
          <w:bCs/>
          <w:sz w:val="22"/>
          <w:szCs w:val="22"/>
          <w:lang w:val="es-CR"/>
        </w:rPr>
      </w:pPr>
    </w:p>
    <w:p w14:paraId="39A5DF85" w14:textId="77777777" w:rsidR="008B5F96" w:rsidRPr="008B5F96" w:rsidRDefault="008B5F96" w:rsidP="008B5F96">
      <w:pPr>
        <w:jc w:val="both"/>
        <w:rPr>
          <w:sz w:val="22"/>
          <w:szCs w:val="22"/>
          <w:lang w:val="es-CR"/>
        </w:rPr>
      </w:pPr>
      <w:r w:rsidRPr="008B5F96">
        <w:rPr>
          <w:sz w:val="22"/>
          <w:szCs w:val="22"/>
          <w:lang w:val="es-CR"/>
        </w:rPr>
        <w:t>Mediante resolución y de conformidad con lo dispuesto en este Reglamento, el Superintendente General de Entidades Financieras podrá emitir los lineamientos generales necesarios para su aplicación. Los lineamientos generales tendrán carácter técnico-operativo y se limitarán a precisar aspectos instrumentales, operativos y de reporte necesarios para la ejecución del presente Reglamento.</w:t>
      </w:r>
    </w:p>
    <w:p w14:paraId="2B7CB222" w14:textId="77777777" w:rsidR="008B5F96" w:rsidRPr="008B5F96" w:rsidRDefault="008B5F96" w:rsidP="008B5F96">
      <w:pPr>
        <w:jc w:val="both"/>
        <w:rPr>
          <w:sz w:val="22"/>
          <w:szCs w:val="22"/>
          <w:lang w:val="es-CR"/>
        </w:rPr>
      </w:pPr>
    </w:p>
    <w:p w14:paraId="69CA7A65" w14:textId="77777777" w:rsidR="008B5F96" w:rsidRPr="008B5F96" w:rsidRDefault="008B5F96" w:rsidP="008B5F96">
      <w:pPr>
        <w:jc w:val="both"/>
        <w:rPr>
          <w:sz w:val="22"/>
          <w:szCs w:val="22"/>
          <w:lang w:val="es-CR"/>
        </w:rPr>
      </w:pPr>
      <w:r w:rsidRPr="008B5F96">
        <w:rPr>
          <w:sz w:val="22"/>
          <w:szCs w:val="22"/>
          <w:lang w:val="es-CR"/>
        </w:rPr>
        <w:t>Estos lineamientos generales podrán ser modificados por el Superintendente cuando lo considere conveniente.</w:t>
      </w:r>
    </w:p>
    <w:p w14:paraId="17C66FCD" w14:textId="3A3B11F9" w:rsidR="00426487" w:rsidRDefault="00426487">
      <w:pPr>
        <w:rPr>
          <w:sz w:val="22"/>
          <w:szCs w:val="22"/>
          <w:lang w:val="es-CR"/>
        </w:rPr>
      </w:pPr>
      <w:r>
        <w:rPr>
          <w:sz w:val="22"/>
          <w:szCs w:val="22"/>
          <w:lang w:val="es-CR"/>
        </w:rPr>
        <w:br w:type="page"/>
      </w:r>
    </w:p>
    <w:p w14:paraId="32BBCFA9" w14:textId="77777777" w:rsidR="008B5F96" w:rsidRPr="008B5F96" w:rsidRDefault="008B5F96" w:rsidP="008B5F96">
      <w:pPr>
        <w:jc w:val="center"/>
        <w:rPr>
          <w:b/>
          <w:bCs/>
          <w:sz w:val="22"/>
          <w:szCs w:val="22"/>
          <w:lang w:val="es-CR"/>
        </w:rPr>
      </w:pPr>
      <w:r w:rsidRPr="008B5F96">
        <w:rPr>
          <w:b/>
          <w:bCs/>
          <w:sz w:val="22"/>
          <w:szCs w:val="22"/>
          <w:lang w:val="es-CR"/>
        </w:rPr>
        <w:lastRenderedPageBreak/>
        <w:t>TÍTULO II</w:t>
      </w:r>
    </w:p>
    <w:p w14:paraId="6A1A451B" w14:textId="77777777" w:rsidR="008B5F96" w:rsidRPr="008B5F96" w:rsidRDefault="008B5F96" w:rsidP="008B5F96">
      <w:pPr>
        <w:jc w:val="center"/>
        <w:rPr>
          <w:b/>
          <w:bCs/>
          <w:sz w:val="22"/>
          <w:szCs w:val="22"/>
          <w:lang w:val="es-CR"/>
        </w:rPr>
      </w:pPr>
    </w:p>
    <w:p w14:paraId="0CDA1E4A" w14:textId="77777777" w:rsidR="008B5F96" w:rsidRPr="008B5F96" w:rsidRDefault="008B5F96" w:rsidP="008B5F96">
      <w:pPr>
        <w:jc w:val="center"/>
        <w:rPr>
          <w:b/>
          <w:bCs/>
          <w:sz w:val="22"/>
          <w:szCs w:val="22"/>
          <w:lang w:val="es-CR"/>
        </w:rPr>
      </w:pPr>
      <w:r w:rsidRPr="008B5F96">
        <w:rPr>
          <w:b/>
          <w:bCs/>
          <w:sz w:val="22"/>
          <w:szCs w:val="22"/>
          <w:lang w:val="es-CR"/>
        </w:rPr>
        <w:t>MODELO ESTÁNDAR</w:t>
      </w:r>
    </w:p>
    <w:p w14:paraId="26C8AB91" w14:textId="77777777" w:rsidR="008B5F96" w:rsidRPr="008B5F96" w:rsidRDefault="008B5F96" w:rsidP="008B5F96">
      <w:pPr>
        <w:jc w:val="center"/>
        <w:rPr>
          <w:b/>
          <w:bCs/>
          <w:sz w:val="22"/>
          <w:szCs w:val="22"/>
          <w:lang w:val="es-CR"/>
        </w:rPr>
      </w:pPr>
    </w:p>
    <w:p w14:paraId="7B6A935E" w14:textId="77777777" w:rsidR="008B5F96" w:rsidRPr="008B5F96" w:rsidRDefault="008B5F96" w:rsidP="008B5F96">
      <w:pPr>
        <w:jc w:val="center"/>
        <w:rPr>
          <w:b/>
          <w:bCs/>
          <w:sz w:val="22"/>
          <w:szCs w:val="22"/>
          <w:lang w:val="es-CR"/>
        </w:rPr>
      </w:pPr>
      <w:r w:rsidRPr="008B5F96">
        <w:rPr>
          <w:b/>
          <w:bCs/>
          <w:sz w:val="22"/>
          <w:szCs w:val="22"/>
          <w:lang w:val="es-CR"/>
        </w:rPr>
        <w:t>CAPÍTULO I</w:t>
      </w:r>
    </w:p>
    <w:p w14:paraId="42A4781B" w14:textId="77777777" w:rsidR="008B5F96" w:rsidRPr="008B5F96" w:rsidRDefault="008B5F96" w:rsidP="008B5F96">
      <w:pPr>
        <w:jc w:val="center"/>
        <w:rPr>
          <w:b/>
          <w:bCs/>
          <w:sz w:val="22"/>
          <w:szCs w:val="22"/>
          <w:lang w:val="es-CR"/>
        </w:rPr>
      </w:pPr>
    </w:p>
    <w:p w14:paraId="3AA0807F" w14:textId="77777777" w:rsidR="008B5F96" w:rsidRPr="008B5F96" w:rsidRDefault="008B5F96" w:rsidP="008B5F96">
      <w:pPr>
        <w:jc w:val="center"/>
        <w:rPr>
          <w:b/>
          <w:bCs/>
          <w:sz w:val="22"/>
          <w:szCs w:val="22"/>
          <w:lang w:val="es-CR"/>
        </w:rPr>
      </w:pPr>
      <w:r w:rsidRPr="008B5F96">
        <w:rPr>
          <w:b/>
          <w:bCs/>
          <w:sz w:val="22"/>
          <w:szCs w:val="22"/>
          <w:lang w:val="es-CR"/>
        </w:rPr>
        <w:t>SEGMENTACIÓN</w:t>
      </w:r>
    </w:p>
    <w:p w14:paraId="3A6E5610" w14:textId="77777777" w:rsidR="008B5F96" w:rsidRPr="008B5F96" w:rsidRDefault="008B5F96" w:rsidP="008B5F96">
      <w:pPr>
        <w:jc w:val="center"/>
        <w:rPr>
          <w:b/>
          <w:bCs/>
          <w:sz w:val="22"/>
          <w:szCs w:val="22"/>
          <w:lang w:val="es-CR"/>
        </w:rPr>
      </w:pPr>
    </w:p>
    <w:p w14:paraId="35E87A0E" w14:textId="77777777" w:rsidR="008B5F96" w:rsidRPr="008B5F96" w:rsidRDefault="008B5F96" w:rsidP="008B5F96">
      <w:pPr>
        <w:jc w:val="both"/>
        <w:rPr>
          <w:b/>
          <w:bCs/>
          <w:sz w:val="22"/>
          <w:szCs w:val="22"/>
          <w:lang w:val="es-CR"/>
        </w:rPr>
      </w:pPr>
      <w:r w:rsidRPr="008B5F96">
        <w:rPr>
          <w:b/>
          <w:bCs/>
          <w:sz w:val="22"/>
          <w:szCs w:val="22"/>
          <w:lang w:val="es-CR"/>
        </w:rPr>
        <w:t>Artículo 5. Segmentación de la cartera de créditos</w:t>
      </w:r>
    </w:p>
    <w:p w14:paraId="329F478C" w14:textId="77777777" w:rsidR="008B5F96" w:rsidRPr="008B5F96" w:rsidRDefault="008B5F96" w:rsidP="008B5F96">
      <w:pPr>
        <w:jc w:val="both"/>
        <w:rPr>
          <w:b/>
          <w:bCs/>
          <w:sz w:val="22"/>
          <w:szCs w:val="22"/>
          <w:lang w:val="es-CR"/>
        </w:rPr>
      </w:pPr>
    </w:p>
    <w:p w14:paraId="2388A53F" w14:textId="77777777" w:rsidR="008B5F96" w:rsidRPr="008B5F96" w:rsidRDefault="008B5F96" w:rsidP="008B5F96">
      <w:pPr>
        <w:jc w:val="both"/>
        <w:rPr>
          <w:sz w:val="22"/>
          <w:szCs w:val="22"/>
          <w:lang w:val="es-CR"/>
        </w:rPr>
      </w:pPr>
      <w:r w:rsidRPr="008B5F96">
        <w:rPr>
          <w:sz w:val="22"/>
          <w:szCs w:val="22"/>
          <w:lang w:val="es-CR"/>
        </w:rPr>
        <w:t>La cartera de crédito debe clasificarse en los siguientes segmentos:</w:t>
      </w:r>
    </w:p>
    <w:p w14:paraId="4C381E21" w14:textId="77777777" w:rsidR="008B5F96" w:rsidRPr="008B5F96" w:rsidRDefault="008B5F96" w:rsidP="008B5F96">
      <w:pPr>
        <w:jc w:val="both"/>
        <w:rPr>
          <w:sz w:val="22"/>
          <w:szCs w:val="22"/>
          <w:lang w:val="es-CR"/>
        </w:rPr>
      </w:pPr>
    </w:p>
    <w:p w14:paraId="1FE8B354"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Créditos revolutivos de consumo a personas físicas.</w:t>
      </w:r>
    </w:p>
    <w:p w14:paraId="3D34611A" w14:textId="77777777" w:rsidR="008B5F96" w:rsidRPr="008B5F96" w:rsidRDefault="008B5F96" w:rsidP="008B5F96">
      <w:pPr>
        <w:ind w:left="360"/>
        <w:contextualSpacing/>
        <w:jc w:val="both"/>
        <w:rPr>
          <w:sz w:val="22"/>
          <w:szCs w:val="22"/>
          <w:lang w:val="es-CR"/>
        </w:rPr>
      </w:pPr>
    </w:p>
    <w:p w14:paraId="1D7DF625"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Créditos para vehículos:  Créditos otorgados a personas físicas o jurídicas, cuyo destino exclusivo sea la adquisición del vehículo para uso personal por parte de una persona física.</w:t>
      </w:r>
    </w:p>
    <w:p w14:paraId="045898CD" w14:textId="77777777" w:rsidR="008B5F96" w:rsidRPr="008B5F96" w:rsidRDefault="008B5F96" w:rsidP="008B5F96">
      <w:pPr>
        <w:ind w:left="720"/>
        <w:contextualSpacing/>
        <w:rPr>
          <w:sz w:val="22"/>
          <w:szCs w:val="22"/>
          <w:lang w:val="es-CR"/>
        </w:rPr>
      </w:pPr>
    </w:p>
    <w:p w14:paraId="55EA9C28"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Créditos de consumo regular: Créditos de consumo a personas físicas con características diferentes a las definidas en los literales anteriores.</w:t>
      </w:r>
    </w:p>
    <w:p w14:paraId="24758067" w14:textId="77777777" w:rsidR="008B5F96" w:rsidRPr="008B5F96" w:rsidRDefault="008B5F96" w:rsidP="008B5F96">
      <w:pPr>
        <w:ind w:left="720"/>
        <w:contextualSpacing/>
        <w:rPr>
          <w:sz w:val="22"/>
          <w:szCs w:val="22"/>
          <w:lang w:val="es-CR"/>
        </w:rPr>
      </w:pPr>
    </w:p>
    <w:p w14:paraId="4ACBA90A" w14:textId="77777777" w:rsidR="008B5F96" w:rsidRPr="008B5F96" w:rsidRDefault="008B5F96" w:rsidP="008B5F96">
      <w:pPr>
        <w:ind w:left="360" w:hanging="360"/>
        <w:jc w:val="both"/>
        <w:rPr>
          <w:sz w:val="22"/>
          <w:szCs w:val="22"/>
          <w:lang w:val="es-CR"/>
        </w:rPr>
      </w:pPr>
      <w:r w:rsidRPr="008B5F96">
        <w:rPr>
          <w:sz w:val="22"/>
          <w:szCs w:val="22"/>
          <w:lang w:val="es-CR"/>
        </w:rPr>
        <w:t>d)</w:t>
      </w:r>
      <w:r w:rsidRPr="008B5F96">
        <w:rPr>
          <w:sz w:val="22"/>
          <w:szCs w:val="22"/>
          <w:lang w:val="es-CR"/>
        </w:rPr>
        <w:tab/>
        <w:t>Créditos para vivienda a personas físicas y personas jurídicas.</w:t>
      </w:r>
    </w:p>
    <w:p w14:paraId="0220B243" w14:textId="77777777" w:rsidR="008B5F96" w:rsidRPr="008B5F96" w:rsidRDefault="008B5F96" w:rsidP="008B5F96">
      <w:pPr>
        <w:ind w:left="720"/>
        <w:contextualSpacing/>
        <w:rPr>
          <w:sz w:val="22"/>
          <w:szCs w:val="22"/>
          <w:lang w:val="es-CR"/>
        </w:rPr>
      </w:pPr>
    </w:p>
    <w:p w14:paraId="3B636EB6" w14:textId="77777777" w:rsidR="008B5F96" w:rsidRPr="008B5F96" w:rsidRDefault="008B5F96" w:rsidP="008B5F96">
      <w:pPr>
        <w:ind w:left="360" w:hanging="360"/>
        <w:jc w:val="both"/>
        <w:rPr>
          <w:sz w:val="22"/>
          <w:szCs w:val="22"/>
          <w:lang w:val="es-CR"/>
        </w:rPr>
      </w:pPr>
      <w:r w:rsidRPr="008B5F96">
        <w:rPr>
          <w:sz w:val="22"/>
          <w:szCs w:val="22"/>
          <w:lang w:val="es-CR"/>
        </w:rPr>
        <w:t>e)</w:t>
      </w:r>
      <w:r w:rsidRPr="008B5F96">
        <w:rPr>
          <w:sz w:val="22"/>
          <w:szCs w:val="22"/>
          <w:lang w:val="es-CR"/>
        </w:rPr>
        <w:tab/>
        <w:t>Empresarial: Créditos cuyo destino sea micro y pequeña empresa, mediana empresa, gran empresa (conocidos como corporativos) y Gobierno Central, de acuerdo con la siguiente clasificación:</w:t>
      </w:r>
    </w:p>
    <w:p w14:paraId="709B02B3" w14:textId="77777777" w:rsidR="008B5F96" w:rsidRPr="008B5F96" w:rsidRDefault="008B5F96" w:rsidP="008B5F96">
      <w:pPr>
        <w:ind w:left="720"/>
        <w:contextualSpacing/>
        <w:rPr>
          <w:sz w:val="22"/>
          <w:szCs w:val="22"/>
          <w:lang w:val="es-CR"/>
        </w:rPr>
      </w:pPr>
    </w:p>
    <w:p w14:paraId="05C381EB" w14:textId="77777777" w:rsidR="008B5F96" w:rsidRPr="008B5F96" w:rsidRDefault="008B5F96" w:rsidP="008B5F96">
      <w:pPr>
        <w:ind w:left="851" w:hanging="425"/>
        <w:jc w:val="both"/>
        <w:rPr>
          <w:sz w:val="22"/>
          <w:szCs w:val="22"/>
          <w:lang w:val="es-CR"/>
        </w:rPr>
      </w:pPr>
      <w:r w:rsidRPr="008B5F96">
        <w:rPr>
          <w:sz w:val="22"/>
          <w:szCs w:val="22"/>
          <w:lang w:val="es-CR"/>
        </w:rPr>
        <w:t>1)</w:t>
      </w:r>
      <w:r w:rsidRPr="008B5F96">
        <w:rPr>
          <w:sz w:val="22"/>
          <w:szCs w:val="22"/>
          <w:lang w:val="es-CR"/>
        </w:rPr>
        <w:tab/>
        <w:t>Empresarial 1: Personas jurídicas y físicas cuyo saldo total adeudado, excluyendo los créditos para vivienda a que se refiere el literal d) anterior, en la entidad financiera durante los últimos 12 meses haya superado los 1.000 millones de colones en al menos una ocasión. Asimismo, se clasifican en este segmento los siguientes:</w:t>
      </w:r>
    </w:p>
    <w:p w14:paraId="385BD5A2" w14:textId="77777777" w:rsidR="008B5F96" w:rsidRPr="008B5F96" w:rsidRDefault="008B5F96" w:rsidP="008B5F96">
      <w:pPr>
        <w:ind w:left="851"/>
        <w:contextualSpacing/>
        <w:jc w:val="both"/>
        <w:rPr>
          <w:sz w:val="22"/>
          <w:szCs w:val="22"/>
          <w:lang w:val="es-CR"/>
        </w:rPr>
      </w:pPr>
    </w:p>
    <w:p w14:paraId="361F89B5" w14:textId="77777777" w:rsidR="008B5F96" w:rsidRPr="008B5F96" w:rsidRDefault="008B5F96" w:rsidP="008B5F96">
      <w:pPr>
        <w:ind w:left="1211" w:hanging="360"/>
        <w:jc w:val="both"/>
        <w:rPr>
          <w:sz w:val="22"/>
          <w:szCs w:val="22"/>
          <w:lang w:val="es-CR"/>
        </w:rPr>
      </w:pPr>
      <w:r w:rsidRPr="008B5F96">
        <w:rPr>
          <w:sz w:val="22"/>
          <w:szCs w:val="22"/>
          <w:lang w:val="es-CR"/>
        </w:rPr>
        <w:t>i)</w:t>
      </w:r>
      <w:r w:rsidRPr="008B5F96">
        <w:rPr>
          <w:sz w:val="22"/>
          <w:szCs w:val="22"/>
          <w:lang w:val="es-CR"/>
        </w:rPr>
        <w:tab/>
        <w:t>Persona jurídica que pertenece a un grupo de interés económico reportado por la entidad a la Sugef.</w:t>
      </w:r>
    </w:p>
    <w:p w14:paraId="72F2C722" w14:textId="77777777" w:rsidR="008B5F96" w:rsidRPr="008B5F96" w:rsidRDefault="008B5F96" w:rsidP="008B5F96">
      <w:pPr>
        <w:ind w:left="1211"/>
        <w:contextualSpacing/>
        <w:jc w:val="both"/>
        <w:rPr>
          <w:sz w:val="22"/>
          <w:szCs w:val="22"/>
          <w:lang w:val="es-CR"/>
        </w:rPr>
      </w:pPr>
    </w:p>
    <w:p w14:paraId="66CE5025" w14:textId="77777777" w:rsidR="008B5F96" w:rsidRPr="008B5F96" w:rsidRDefault="008B5F96" w:rsidP="008B5F96">
      <w:pPr>
        <w:ind w:left="1211" w:hanging="360"/>
        <w:jc w:val="both"/>
        <w:rPr>
          <w:sz w:val="22"/>
          <w:szCs w:val="22"/>
          <w:lang w:val="es-CR"/>
        </w:rPr>
      </w:pPr>
      <w:r w:rsidRPr="008B5F96">
        <w:rPr>
          <w:sz w:val="22"/>
          <w:szCs w:val="22"/>
          <w:lang w:val="es-CR"/>
        </w:rPr>
        <w:t>ii)</w:t>
      </w:r>
      <w:r w:rsidRPr="008B5F96">
        <w:rPr>
          <w:sz w:val="22"/>
          <w:szCs w:val="22"/>
          <w:lang w:val="es-CR"/>
        </w:rPr>
        <w:tab/>
        <w:t>Entes y órganos que conforman las instituciones del Sector Público, según la “Clasificación Institucional del Sector Público” publicada por el Ministerio de Hacienda.</w:t>
      </w:r>
    </w:p>
    <w:p w14:paraId="13E591C2" w14:textId="77777777" w:rsidR="008B5F96" w:rsidRPr="008B5F96" w:rsidRDefault="008B5F96" w:rsidP="008B5F96">
      <w:pPr>
        <w:ind w:left="720"/>
        <w:contextualSpacing/>
        <w:rPr>
          <w:sz w:val="22"/>
          <w:szCs w:val="22"/>
          <w:lang w:val="es-CR"/>
        </w:rPr>
      </w:pPr>
    </w:p>
    <w:p w14:paraId="69156BAF" w14:textId="77777777" w:rsidR="008B5F96" w:rsidRPr="008B5F96" w:rsidRDefault="008B5F96" w:rsidP="008B5F96">
      <w:pPr>
        <w:ind w:left="1211" w:hanging="360"/>
        <w:jc w:val="both"/>
        <w:rPr>
          <w:sz w:val="22"/>
          <w:szCs w:val="22"/>
          <w:lang w:val="es-CR"/>
        </w:rPr>
      </w:pPr>
      <w:r w:rsidRPr="008B5F96">
        <w:rPr>
          <w:sz w:val="22"/>
          <w:szCs w:val="22"/>
          <w:lang w:val="es-CR"/>
        </w:rPr>
        <w:t>iii)</w:t>
      </w:r>
      <w:r w:rsidRPr="008B5F96">
        <w:rPr>
          <w:sz w:val="22"/>
          <w:szCs w:val="22"/>
          <w:lang w:val="es-CR"/>
        </w:rPr>
        <w:tab/>
        <w:t xml:space="preserve">Entidad supervisada por la Sugef o por alguna Superintendencia adscrita al Consejo Nacional de Supervisión del Sistema Financiero. </w:t>
      </w:r>
    </w:p>
    <w:p w14:paraId="75D0F8DB" w14:textId="77777777" w:rsidR="008B5F96" w:rsidRPr="008B5F96" w:rsidRDefault="008B5F96" w:rsidP="008B5F96">
      <w:pPr>
        <w:ind w:left="720"/>
        <w:contextualSpacing/>
        <w:rPr>
          <w:sz w:val="22"/>
          <w:szCs w:val="22"/>
          <w:lang w:val="es-CR"/>
        </w:rPr>
      </w:pPr>
    </w:p>
    <w:p w14:paraId="6CE7D30E" w14:textId="77777777" w:rsidR="008B5F96" w:rsidRPr="008B5F96" w:rsidRDefault="008B5F96" w:rsidP="008B5F96">
      <w:pPr>
        <w:ind w:left="1211"/>
        <w:contextualSpacing/>
        <w:jc w:val="both"/>
        <w:rPr>
          <w:sz w:val="22"/>
          <w:szCs w:val="22"/>
          <w:lang w:val="es-CR"/>
        </w:rPr>
      </w:pPr>
    </w:p>
    <w:p w14:paraId="1498B6B3" w14:textId="77777777" w:rsidR="008B5F96" w:rsidRPr="008B5F96" w:rsidRDefault="008B5F96" w:rsidP="008B5F96">
      <w:pPr>
        <w:ind w:left="851" w:hanging="425"/>
        <w:jc w:val="both"/>
        <w:rPr>
          <w:sz w:val="22"/>
          <w:szCs w:val="22"/>
          <w:lang w:val="es-CR"/>
        </w:rPr>
      </w:pPr>
      <w:r w:rsidRPr="008B5F96">
        <w:rPr>
          <w:sz w:val="22"/>
          <w:szCs w:val="22"/>
          <w:lang w:val="es-CR"/>
        </w:rPr>
        <w:t>2)</w:t>
      </w:r>
      <w:r w:rsidRPr="008B5F96">
        <w:rPr>
          <w:sz w:val="22"/>
          <w:szCs w:val="22"/>
          <w:lang w:val="es-CR"/>
        </w:rPr>
        <w:tab/>
        <w:t>Empresarial 2: Personas jurídicas y físicas no clasificadas en el segmento Empresarial 1 y cuyo saldo total adeudado, excluyendo los créditos para vivienda a que se refiere el literal d) de este artículo, en la entidad financiera durante los últimos 12 meses haya superado los 500 millones de colones por lo menos en una oportunidad.</w:t>
      </w:r>
    </w:p>
    <w:p w14:paraId="41A5B92F" w14:textId="77777777" w:rsidR="008B5F96" w:rsidRPr="008B5F96" w:rsidRDefault="008B5F96" w:rsidP="008B5F96">
      <w:pPr>
        <w:ind w:left="851"/>
        <w:contextualSpacing/>
        <w:jc w:val="both"/>
        <w:rPr>
          <w:sz w:val="22"/>
          <w:szCs w:val="22"/>
          <w:lang w:val="es-CR"/>
        </w:rPr>
      </w:pPr>
    </w:p>
    <w:p w14:paraId="0DBE16D8" w14:textId="77777777" w:rsidR="008B5F96" w:rsidRPr="008B5F96" w:rsidRDefault="008B5F96" w:rsidP="008B5F96">
      <w:pPr>
        <w:ind w:left="851" w:hanging="425"/>
        <w:jc w:val="both"/>
        <w:rPr>
          <w:sz w:val="22"/>
          <w:szCs w:val="22"/>
          <w:lang w:val="es-CR"/>
        </w:rPr>
      </w:pPr>
      <w:r w:rsidRPr="008B5F96">
        <w:rPr>
          <w:sz w:val="22"/>
          <w:szCs w:val="22"/>
          <w:lang w:val="es-CR"/>
        </w:rPr>
        <w:t>3)</w:t>
      </w:r>
      <w:r w:rsidRPr="008B5F96">
        <w:rPr>
          <w:sz w:val="22"/>
          <w:szCs w:val="22"/>
          <w:lang w:val="es-CR"/>
        </w:rPr>
        <w:tab/>
        <w:t>Empresarial 3: Personas jurídicas y físicas no clasificadas en alguno de los segmentos anteriores. También, se clasifican en este segmento los créditos revolutivos de consumo a personas jurídicas.</w:t>
      </w:r>
    </w:p>
    <w:p w14:paraId="507F1CFB" w14:textId="77777777" w:rsidR="008B5F96" w:rsidRPr="008B5F96" w:rsidRDefault="008B5F96" w:rsidP="008B5F96">
      <w:pPr>
        <w:ind w:left="720"/>
        <w:contextualSpacing/>
        <w:rPr>
          <w:sz w:val="22"/>
          <w:szCs w:val="22"/>
          <w:lang w:val="es-CR"/>
        </w:rPr>
      </w:pPr>
    </w:p>
    <w:p w14:paraId="6BC7B4DB" w14:textId="77777777" w:rsidR="008B5F96" w:rsidRPr="008B5F96" w:rsidRDefault="008B5F96" w:rsidP="008B5F96">
      <w:pPr>
        <w:jc w:val="both"/>
        <w:rPr>
          <w:sz w:val="22"/>
          <w:szCs w:val="22"/>
          <w:lang w:val="es-CR"/>
        </w:rPr>
      </w:pPr>
      <w:r w:rsidRPr="008B5F96">
        <w:rPr>
          <w:sz w:val="22"/>
          <w:szCs w:val="22"/>
          <w:lang w:val="es-CR"/>
        </w:rPr>
        <w:lastRenderedPageBreak/>
        <w:t>Una vez que el deudor sea clasificado en los segmentos Empresarial 1 o Empresarial 2, todas sus operaciones se clasificarán en el segmento empresarial que corresponda (Empresarial 1 o Empresarial 2), incluidas las operaciones de vivienda y aquellas que previamente se hubiesen clasificado en otros segmentos.</w:t>
      </w:r>
    </w:p>
    <w:p w14:paraId="67721E9B" w14:textId="77777777" w:rsidR="008B5F96" w:rsidRPr="008B5F96" w:rsidRDefault="008B5F96" w:rsidP="008B5F96">
      <w:pPr>
        <w:jc w:val="both"/>
        <w:rPr>
          <w:sz w:val="22"/>
          <w:szCs w:val="22"/>
          <w:lang w:val="es-CR"/>
        </w:rPr>
      </w:pPr>
    </w:p>
    <w:p w14:paraId="200D13A0" w14:textId="77777777" w:rsidR="008B5F96" w:rsidRPr="008B5F96" w:rsidRDefault="008B5F96" w:rsidP="008B5F96">
      <w:pPr>
        <w:jc w:val="both"/>
        <w:rPr>
          <w:sz w:val="22"/>
          <w:szCs w:val="22"/>
          <w:lang w:val="es-CR"/>
        </w:rPr>
      </w:pPr>
      <w:r w:rsidRPr="008B5F96">
        <w:rPr>
          <w:sz w:val="22"/>
          <w:szCs w:val="22"/>
          <w:lang w:val="es-CR"/>
        </w:rPr>
        <w:t>En el caso de los segmentos Empresarial 1 y Empresarial 2, el saldo total adeudado a que se refieren los numerales 1) y 2) se determinará excluyendo los créditos para vivienda indicados en el literal d) de este artículo.</w:t>
      </w:r>
    </w:p>
    <w:p w14:paraId="6A91A588" w14:textId="77777777" w:rsidR="008B5F96" w:rsidRPr="008B5F96" w:rsidRDefault="008B5F96" w:rsidP="008B5F96">
      <w:pPr>
        <w:jc w:val="both"/>
        <w:rPr>
          <w:sz w:val="22"/>
          <w:szCs w:val="22"/>
          <w:lang w:val="es-CR"/>
        </w:rPr>
      </w:pPr>
    </w:p>
    <w:p w14:paraId="70885348" w14:textId="77777777" w:rsidR="008B5F96" w:rsidRPr="008B5F96" w:rsidRDefault="008B5F96" w:rsidP="008B5F96">
      <w:pPr>
        <w:jc w:val="center"/>
        <w:rPr>
          <w:b/>
          <w:bCs/>
          <w:sz w:val="22"/>
          <w:szCs w:val="22"/>
          <w:lang w:val="es-CR"/>
        </w:rPr>
      </w:pPr>
      <w:r w:rsidRPr="008B5F96">
        <w:rPr>
          <w:b/>
          <w:bCs/>
          <w:sz w:val="22"/>
          <w:szCs w:val="22"/>
          <w:lang w:val="es-CR"/>
        </w:rPr>
        <w:t>CAPÍTULO II</w:t>
      </w:r>
    </w:p>
    <w:p w14:paraId="38EFDB2E" w14:textId="77777777" w:rsidR="008B5F96" w:rsidRPr="008B5F96" w:rsidRDefault="008B5F96" w:rsidP="008B5F96">
      <w:pPr>
        <w:jc w:val="center"/>
        <w:rPr>
          <w:b/>
          <w:bCs/>
          <w:sz w:val="22"/>
          <w:szCs w:val="22"/>
          <w:lang w:val="es-CR"/>
        </w:rPr>
      </w:pPr>
    </w:p>
    <w:p w14:paraId="64B84E72" w14:textId="77777777" w:rsidR="008B5F96" w:rsidRPr="008B5F96" w:rsidRDefault="008B5F96" w:rsidP="008B5F96">
      <w:pPr>
        <w:jc w:val="center"/>
        <w:rPr>
          <w:b/>
          <w:bCs/>
          <w:sz w:val="22"/>
          <w:szCs w:val="22"/>
          <w:lang w:val="es-CR"/>
        </w:rPr>
      </w:pPr>
      <w:r w:rsidRPr="008B5F96">
        <w:rPr>
          <w:b/>
          <w:bCs/>
          <w:sz w:val="22"/>
          <w:szCs w:val="22"/>
          <w:lang w:val="es-CR"/>
        </w:rPr>
        <w:t>CATEGORÍAS DE CALIFICACIÓN</w:t>
      </w:r>
    </w:p>
    <w:p w14:paraId="0DA66A59" w14:textId="77777777" w:rsidR="008B5F96" w:rsidRPr="008B5F96" w:rsidRDefault="008B5F96" w:rsidP="008B5F96">
      <w:pPr>
        <w:jc w:val="center"/>
        <w:rPr>
          <w:b/>
          <w:bCs/>
          <w:sz w:val="22"/>
          <w:szCs w:val="22"/>
          <w:lang w:val="es-CR"/>
        </w:rPr>
      </w:pPr>
    </w:p>
    <w:p w14:paraId="444A8045" w14:textId="77777777" w:rsidR="008B5F96" w:rsidRPr="008B5F96" w:rsidRDefault="008B5F96" w:rsidP="008B5F96">
      <w:pPr>
        <w:jc w:val="both"/>
        <w:rPr>
          <w:b/>
          <w:bCs/>
          <w:sz w:val="22"/>
          <w:szCs w:val="22"/>
          <w:lang w:val="es-CR"/>
        </w:rPr>
      </w:pPr>
      <w:r w:rsidRPr="008B5F96">
        <w:rPr>
          <w:b/>
          <w:bCs/>
          <w:sz w:val="22"/>
          <w:szCs w:val="22"/>
          <w:lang w:val="es-CR"/>
        </w:rPr>
        <w:t>Artículo 6. Categorías de riesgo</w:t>
      </w:r>
    </w:p>
    <w:p w14:paraId="7927A9C9" w14:textId="77777777" w:rsidR="008B5F96" w:rsidRPr="008B5F96" w:rsidRDefault="008B5F96" w:rsidP="008B5F96">
      <w:pPr>
        <w:jc w:val="both"/>
        <w:rPr>
          <w:b/>
          <w:bCs/>
          <w:sz w:val="22"/>
          <w:szCs w:val="22"/>
          <w:lang w:val="es-CR"/>
        </w:rPr>
      </w:pPr>
    </w:p>
    <w:p w14:paraId="01A9723E" w14:textId="77777777" w:rsidR="008B5F96" w:rsidRPr="008B5F96" w:rsidRDefault="008B5F96" w:rsidP="008B5F96">
      <w:pPr>
        <w:jc w:val="both"/>
        <w:rPr>
          <w:sz w:val="22"/>
          <w:szCs w:val="22"/>
          <w:lang w:val="es-CR"/>
        </w:rPr>
      </w:pPr>
      <w:r w:rsidRPr="008B5F96">
        <w:rPr>
          <w:sz w:val="22"/>
          <w:szCs w:val="22"/>
          <w:lang w:val="es-CR"/>
        </w:rPr>
        <w:t>La entidad debe calificar en categorías de riesgo, las operaciones crediticias o los deudores, según corresponda, de acuerdo con su clasificación en alguno de los segmentos definidos en el artículo 5 de este Reglamento, de conformidad con los siguientes enfoques:</w:t>
      </w:r>
    </w:p>
    <w:p w14:paraId="5C906F7E" w14:textId="77777777" w:rsidR="008B5F96" w:rsidRPr="008B5F96" w:rsidRDefault="008B5F96" w:rsidP="008B5F96">
      <w:pPr>
        <w:jc w:val="both"/>
        <w:rPr>
          <w:sz w:val="22"/>
          <w:szCs w:val="22"/>
          <w:lang w:val="es-CR"/>
        </w:rPr>
      </w:pPr>
    </w:p>
    <w:p w14:paraId="2C120CBE"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Deberá aplicarse un enfoque de calificación por operación crediticia, en el caso de los segmentos indicados en los literales del a) al d), y en el numeral 3 del literal e) del artículo 5 de este Reglamento.</w:t>
      </w:r>
    </w:p>
    <w:p w14:paraId="4B7F9D67" w14:textId="77777777" w:rsidR="008B5F96" w:rsidRPr="008B5F96" w:rsidRDefault="008B5F96" w:rsidP="008B5F96">
      <w:pPr>
        <w:ind w:left="360"/>
        <w:contextualSpacing/>
        <w:jc w:val="both"/>
        <w:rPr>
          <w:sz w:val="22"/>
          <w:szCs w:val="22"/>
          <w:lang w:val="es-CR"/>
        </w:rPr>
      </w:pPr>
    </w:p>
    <w:p w14:paraId="79C66416"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Deberá aplicarse un enfoque de calificación por deudor, en el caso de los numerales 1 y 2 del literal e) artículo 5 de este Reglamento.</w:t>
      </w:r>
    </w:p>
    <w:p w14:paraId="4AFAA0DE" w14:textId="77777777" w:rsidR="008B5F96" w:rsidRPr="008B5F96" w:rsidRDefault="008B5F96" w:rsidP="008B5F96">
      <w:pPr>
        <w:jc w:val="both"/>
        <w:rPr>
          <w:sz w:val="22"/>
          <w:szCs w:val="22"/>
          <w:lang w:val="es-CR"/>
        </w:rPr>
      </w:pPr>
    </w:p>
    <w:p w14:paraId="0BFA4EAD" w14:textId="77777777" w:rsidR="008B5F96" w:rsidRPr="008B5F96" w:rsidRDefault="008B5F96" w:rsidP="008B5F96">
      <w:pPr>
        <w:jc w:val="both"/>
        <w:rPr>
          <w:sz w:val="22"/>
          <w:szCs w:val="22"/>
          <w:lang w:val="es-CR"/>
        </w:rPr>
      </w:pPr>
      <w:r w:rsidRPr="008B5F96">
        <w:rPr>
          <w:sz w:val="22"/>
          <w:szCs w:val="22"/>
          <w:lang w:val="es-CR"/>
        </w:rPr>
        <w:t>Para los efectos de esta calificación bajo el modelo estándar, se establecen ocho categorías de riesgo, las cuales se identifican con 1, 2, 3, 4, 5, 6, 7 y 8 correspondiendo la categoría de riesgo 1 a la de menor riesgo de crédito y la categoría 8 a la de mayor riesgo de crédito.</w:t>
      </w:r>
    </w:p>
    <w:p w14:paraId="1CA8F726" w14:textId="77777777" w:rsidR="008B5F96" w:rsidRPr="008B5F96" w:rsidRDefault="008B5F96" w:rsidP="008B5F96">
      <w:pPr>
        <w:jc w:val="both"/>
        <w:rPr>
          <w:b/>
          <w:bCs/>
          <w:sz w:val="22"/>
          <w:szCs w:val="22"/>
          <w:lang w:val="es-CR"/>
        </w:rPr>
      </w:pPr>
    </w:p>
    <w:p w14:paraId="191E3E68" w14:textId="77777777" w:rsidR="008B5F96" w:rsidRPr="008B5F96" w:rsidRDefault="008B5F96" w:rsidP="008B5F96">
      <w:pPr>
        <w:jc w:val="both"/>
        <w:rPr>
          <w:b/>
          <w:bCs/>
          <w:sz w:val="22"/>
          <w:szCs w:val="22"/>
          <w:lang w:val="es-CR"/>
        </w:rPr>
      </w:pPr>
      <w:r w:rsidRPr="008B5F96">
        <w:rPr>
          <w:b/>
          <w:bCs/>
          <w:sz w:val="22"/>
          <w:szCs w:val="22"/>
          <w:lang w:val="es-CR"/>
        </w:rPr>
        <w:t>Artículo 7. Análisis de la capacidad de pago</w:t>
      </w:r>
    </w:p>
    <w:p w14:paraId="384CC7D7" w14:textId="77777777" w:rsidR="008B5F96" w:rsidRPr="008B5F96" w:rsidRDefault="008B5F96" w:rsidP="008B5F96">
      <w:pPr>
        <w:jc w:val="both"/>
        <w:rPr>
          <w:b/>
          <w:bCs/>
          <w:sz w:val="22"/>
          <w:szCs w:val="22"/>
          <w:lang w:val="es-CR"/>
        </w:rPr>
      </w:pPr>
    </w:p>
    <w:p w14:paraId="749B5573" w14:textId="77777777" w:rsidR="008B5F96" w:rsidRPr="008B5F96" w:rsidRDefault="008B5F96" w:rsidP="008B5F96">
      <w:pPr>
        <w:jc w:val="both"/>
        <w:rPr>
          <w:sz w:val="22"/>
          <w:szCs w:val="22"/>
          <w:lang w:val="es-CR"/>
        </w:rPr>
      </w:pPr>
      <w:r w:rsidRPr="008B5F96">
        <w:rPr>
          <w:sz w:val="22"/>
          <w:szCs w:val="22"/>
          <w:lang w:val="es-CR"/>
        </w:rPr>
        <w:t>La entidad debe calificar la capacidad de pago de los deudores clasificados en el segmento Empresarial 1 o en el segmento Empresarial 2, tanto en la etapa de otorgamiento del crédito como en las etapas de seguimiento y control, con base en las metodologías aprobadas por el Órgano de Dirección. Estas metodologías deben ser consistentes con sus políticas crediticias y congruentes con el tipo de deudor de que se trate, las líneas de negocio y los productos crediticios. Las metodologías deberán considerar, al menos, los siguientes aspectos:</w:t>
      </w:r>
    </w:p>
    <w:p w14:paraId="062A0E86" w14:textId="77777777" w:rsidR="008B5F96" w:rsidRPr="008B5F96" w:rsidRDefault="008B5F96" w:rsidP="008B5F96">
      <w:pPr>
        <w:jc w:val="both"/>
        <w:rPr>
          <w:sz w:val="22"/>
          <w:szCs w:val="22"/>
          <w:lang w:val="es-CR"/>
        </w:rPr>
      </w:pPr>
    </w:p>
    <w:p w14:paraId="167BD3F8"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Situación financiera, ingreso neto y flujos de efectivo esperados: Análisis de la fortaleza financiera del deudor y de la estabilidad y continuidad de sus fuentes principales de ingresos. La efectividad del análisis depende de la calidad y oportunidad de la información utilizada.</w:t>
      </w:r>
    </w:p>
    <w:p w14:paraId="277F87CB" w14:textId="77777777" w:rsidR="008B5F96" w:rsidRPr="008B5F96" w:rsidRDefault="008B5F96" w:rsidP="008B5F96">
      <w:pPr>
        <w:ind w:left="360"/>
        <w:contextualSpacing/>
        <w:jc w:val="both"/>
        <w:rPr>
          <w:sz w:val="22"/>
          <w:szCs w:val="22"/>
          <w:lang w:val="es-CR"/>
        </w:rPr>
      </w:pPr>
    </w:p>
    <w:p w14:paraId="62894126"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Antecedentes del deudor y del negocio: Análisis de la experiencia en el giro del negocio y la calidad de la administración.</w:t>
      </w:r>
    </w:p>
    <w:p w14:paraId="469536CE" w14:textId="77777777" w:rsidR="008B5F96" w:rsidRPr="008B5F96" w:rsidRDefault="008B5F96" w:rsidP="008B5F96">
      <w:pPr>
        <w:ind w:left="720"/>
        <w:contextualSpacing/>
        <w:rPr>
          <w:sz w:val="22"/>
          <w:szCs w:val="22"/>
          <w:lang w:val="es-CR"/>
        </w:rPr>
      </w:pPr>
    </w:p>
    <w:p w14:paraId="65645B2B"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Situación del entorno sectorial: Análisis de las principales variables del sector que afectan la capacidad de pago del deudor.</w:t>
      </w:r>
    </w:p>
    <w:p w14:paraId="560A74C2" w14:textId="77777777" w:rsidR="008B5F96" w:rsidRPr="008B5F96" w:rsidRDefault="008B5F96" w:rsidP="008B5F96">
      <w:pPr>
        <w:ind w:left="720"/>
        <w:contextualSpacing/>
        <w:rPr>
          <w:sz w:val="22"/>
          <w:szCs w:val="22"/>
          <w:lang w:val="es-CR"/>
        </w:rPr>
      </w:pPr>
    </w:p>
    <w:p w14:paraId="6A2E2525" w14:textId="77777777" w:rsidR="008B5F96" w:rsidRPr="008B5F96" w:rsidRDefault="008B5F96" w:rsidP="008B5F96">
      <w:pPr>
        <w:ind w:left="360" w:hanging="360"/>
        <w:jc w:val="both"/>
        <w:rPr>
          <w:sz w:val="22"/>
          <w:szCs w:val="22"/>
          <w:lang w:val="es-CR"/>
        </w:rPr>
      </w:pPr>
      <w:r w:rsidRPr="008B5F96">
        <w:rPr>
          <w:sz w:val="22"/>
          <w:szCs w:val="22"/>
          <w:lang w:val="es-CR"/>
        </w:rPr>
        <w:lastRenderedPageBreak/>
        <w:t>d)</w:t>
      </w:r>
      <w:r w:rsidRPr="008B5F96">
        <w:rPr>
          <w:sz w:val="22"/>
          <w:szCs w:val="22"/>
          <w:lang w:val="es-CR"/>
        </w:rPr>
        <w:tab/>
        <w:t>Vulnerabilidad ante cambios en la tasa de interés y el tipo de cambio: Análisis, bajo escenarios de estrés, de la capacidad del deudor para enfrentar cambios en la tasa de interés y el tipo de cambio.</w:t>
      </w:r>
    </w:p>
    <w:p w14:paraId="0753E126" w14:textId="77777777" w:rsidR="008B5F96" w:rsidRPr="008B5F96" w:rsidRDefault="008B5F96" w:rsidP="008B5F96">
      <w:pPr>
        <w:ind w:left="720"/>
        <w:contextualSpacing/>
        <w:rPr>
          <w:sz w:val="22"/>
          <w:szCs w:val="22"/>
          <w:lang w:val="es-CR"/>
        </w:rPr>
      </w:pPr>
    </w:p>
    <w:p w14:paraId="37F12714" w14:textId="77777777" w:rsidR="008B5F96" w:rsidRPr="008B5F96" w:rsidRDefault="008B5F96" w:rsidP="008B5F96">
      <w:pPr>
        <w:ind w:left="360" w:hanging="360"/>
        <w:jc w:val="both"/>
        <w:rPr>
          <w:sz w:val="22"/>
          <w:szCs w:val="22"/>
          <w:lang w:val="es-CR"/>
        </w:rPr>
      </w:pPr>
      <w:r w:rsidRPr="008B5F96">
        <w:rPr>
          <w:sz w:val="22"/>
          <w:szCs w:val="22"/>
          <w:lang w:val="es-CR"/>
        </w:rPr>
        <w:t>e)</w:t>
      </w:r>
      <w:r w:rsidRPr="008B5F96">
        <w:rPr>
          <w:sz w:val="22"/>
          <w:szCs w:val="22"/>
          <w:lang w:val="es-CR"/>
        </w:rPr>
        <w:tab/>
        <w:t>Otros factores: Análisis de otros factores que pueden incidir sobre la capacidad de pago del deudor. Los aspectos que pueden evaluarse son, entre otros, los ambientales, tecnológicos, patentes y permisos de explotación, representación de productos o casas extranjeras, relación con clientes y proveedores significativos, contratos de venta, riesgos legales y riesgo país (cuando corresponda).</w:t>
      </w:r>
    </w:p>
    <w:p w14:paraId="3974ED8D" w14:textId="77777777" w:rsidR="008B5F96" w:rsidRPr="008B5F96" w:rsidRDefault="008B5F96" w:rsidP="008B5F96">
      <w:pPr>
        <w:jc w:val="both"/>
        <w:rPr>
          <w:sz w:val="22"/>
          <w:szCs w:val="22"/>
          <w:lang w:val="es-CR"/>
        </w:rPr>
      </w:pPr>
    </w:p>
    <w:p w14:paraId="55CA1868" w14:textId="77777777" w:rsidR="008B5F96" w:rsidRPr="008B5F96" w:rsidRDefault="008B5F96" w:rsidP="008B5F96">
      <w:pPr>
        <w:jc w:val="both"/>
        <w:rPr>
          <w:sz w:val="22"/>
          <w:szCs w:val="22"/>
          <w:lang w:val="es-CR"/>
        </w:rPr>
      </w:pPr>
      <w:r w:rsidRPr="008B5F96">
        <w:rPr>
          <w:sz w:val="22"/>
          <w:szCs w:val="22"/>
          <w:lang w:val="es-CR"/>
        </w:rPr>
        <w:t>En el caso de las operaciones clasificadas en los segmentos indicados en los literales del a) al d), y el numeral 3 del literal e) del artículo 5 de este Reglamento, la entidad deberá llevar a cabo el análisis de la capacidad de pago del deudor en la etapa de otorgamiento y durante la vida del crédito de manera proporcional a la naturaleza, monto y perfil de riesgo de la operación y del segmento de que se trate. Las metodologías que aplique la entidad para la calificación de la capacidad de pago del deudor pueden apoyarse en análisis estadísticos a partir de portafolios crediticios, determinados por la propia entidad financiera con base en características comunes entre los deudores que sean de utilidad para establecer esquemas de calificación de capacidad de pago. La calificación de la capacidad de pago del deudor debe establecerse bajo escenarios de estrés, conforme a la naturaleza y materialidad de la cartera y con base en las metodologías aprobadas por el Órgano de Dirección.</w:t>
      </w:r>
    </w:p>
    <w:p w14:paraId="451733FC" w14:textId="77777777" w:rsidR="008B5F96" w:rsidRPr="008B5F96" w:rsidRDefault="008B5F96" w:rsidP="008B5F96">
      <w:pPr>
        <w:jc w:val="both"/>
        <w:rPr>
          <w:sz w:val="22"/>
          <w:szCs w:val="22"/>
          <w:lang w:val="es-CR"/>
        </w:rPr>
      </w:pPr>
    </w:p>
    <w:p w14:paraId="26321B19" w14:textId="77777777" w:rsidR="008B5F96" w:rsidRPr="008B5F96" w:rsidRDefault="008B5F96" w:rsidP="008B5F96">
      <w:pPr>
        <w:jc w:val="both"/>
        <w:rPr>
          <w:sz w:val="22"/>
          <w:szCs w:val="22"/>
          <w:lang w:val="es-CR"/>
        </w:rPr>
      </w:pPr>
      <w:r w:rsidRPr="008B5F96">
        <w:rPr>
          <w:sz w:val="22"/>
          <w:szCs w:val="22"/>
          <w:lang w:val="es-CR"/>
        </w:rPr>
        <w:t>Cuando el deudor cuente con una calificación de riesgo emitida por una agencia calificadora, esta debe considerarse como un elemento adicional en la evaluación de la capacidad de pago del deudor. Para el uso de las calificaciones rige lo dispuesto en el artículo 13 de este Reglamento.</w:t>
      </w:r>
    </w:p>
    <w:p w14:paraId="6B464BAC" w14:textId="77777777" w:rsidR="008B5F96" w:rsidRPr="008B5F96" w:rsidRDefault="008B5F96" w:rsidP="008B5F96">
      <w:pPr>
        <w:jc w:val="both"/>
        <w:rPr>
          <w:sz w:val="22"/>
          <w:szCs w:val="22"/>
          <w:lang w:val="es-CR"/>
        </w:rPr>
      </w:pPr>
    </w:p>
    <w:p w14:paraId="02D1EB2B" w14:textId="77777777" w:rsidR="008B5F96" w:rsidRPr="008B5F96" w:rsidRDefault="008B5F96" w:rsidP="008B5F96">
      <w:pPr>
        <w:jc w:val="both"/>
        <w:rPr>
          <w:b/>
          <w:bCs/>
          <w:sz w:val="22"/>
          <w:szCs w:val="22"/>
          <w:lang w:val="es-CR"/>
        </w:rPr>
      </w:pPr>
      <w:r w:rsidRPr="008B5F96">
        <w:rPr>
          <w:b/>
          <w:bCs/>
          <w:sz w:val="22"/>
          <w:szCs w:val="22"/>
          <w:lang w:val="es-CR"/>
        </w:rPr>
        <w:t>Artículo 8. Clasificación de la capacidad de pago</w:t>
      </w:r>
    </w:p>
    <w:p w14:paraId="4A377077" w14:textId="77777777" w:rsidR="008B5F96" w:rsidRPr="008B5F96" w:rsidRDefault="008B5F96" w:rsidP="008B5F96">
      <w:pPr>
        <w:jc w:val="both"/>
        <w:rPr>
          <w:b/>
          <w:bCs/>
          <w:sz w:val="22"/>
          <w:szCs w:val="22"/>
          <w:lang w:val="es-CR"/>
        </w:rPr>
      </w:pPr>
    </w:p>
    <w:p w14:paraId="4BE266A4" w14:textId="77777777" w:rsidR="008B5F96" w:rsidRPr="008B5F96" w:rsidRDefault="008B5F96" w:rsidP="008B5F96">
      <w:pPr>
        <w:jc w:val="both"/>
        <w:rPr>
          <w:sz w:val="22"/>
          <w:szCs w:val="22"/>
          <w:lang w:val="es-CR"/>
        </w:rPr>
      </w:pPr>
      <w:r w:rsidRPr="008B5F96">
        <w:rPr>
          <w:sz w:val="22"/>
          <w:szCs w:val="22"/>
          <w:lang w:val="es-CR"/>
        </w:rPr>
        <w:t>La entidad debe clasificar la capacidad de pago de los deudores en los segmentos Empresarial 1 y Empresarial 2 en los siguientes niveles:</w:t>
      </w:r>
    </w:p>
    <w:p w14:paraId="47887127" w14:textId="77777777" w:rsidR="008B5F96" w:rsidRPr="008B5F96" w:rsidRDefault="008B5F96" w:rsidP="008B5F96">
      <w:pPr>
        <w:jc w:val="both"/>
        <w:rPr>
          <w:sz w:val="22"/>
          <w:szCs w:val="22"/>
          <w:lang w:val="es-CR"/>
        </w:rPr>
      </w:pPr>
    </w:p>
    <w:p w14:paraId="5869BB42"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Nivel 1: El deudor tiene capacidad de pago suficiente para atender sus obligaciones en las condiciones pactadas,</w:t>
      </w:r>
    </w:p>
    <w:p w14:paraId="6B41C7DD" w14:textId="77777777" w:rsidR="008B5F96" w:rsidRPr="008B5F96" w:rsidRDefault="008B5F96" w:rsidP="008B5F96">
      <w:pPr>
        <w:ind w:left="360"/>
        <w:contextualSpacing/>
        <w:jc w:val="both"/>
        <w:rPr>
          <w:sz w:val="22"/>
          <w:szCs w:val="22"/>
          <w:lang w:val="es-CR"/>
        </w:rPr>
      </w:pPr>
    </w:p>
    <w:p w14:paraId="559D50E9"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Nivel 2: El deudor presenta debilidades leves en la capacidad de pago que podrían afectar su capacidad de atender sus obligaciones en las condiciones pactadas,</w:t>
      </w:r>
    </w:p>
    <w:p w14:paraId="0F35DC94" w14:textId="77777777" w:rsidR="008B5F96" w:rsidRPr="008B5F96" w:rsidRDefault="008B5F96" w:rsidP="008B5F96">
      <w:pPr>
        <w:ind w:left="720"/>
        <w:contextualSpacing/>
        <w:rPr>
          <w:sz w:val="22"/>
          <w:szCs w:val="22"/>
          <w:lang w:val="es-CR"/>
        </w:rPr>
      </w:pPr>
    </w:p>
    <w:p w14:paraId="205BDCC1"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Nivel 3: El deudor presenta debilidades graves en la capacidad de pago que afectan su capacidad de atender sus obligaciones en las condiciones pactadas, y</w:t>
      </w:r>
    </w:p>
    <w:p w14:paraId="7F309A6C" w14:textId="77777777" w:rsidR="008B5F96" w:rsidRPr="008B5F96" w:rsidRDefault="008B5F96" w:rsidP="008B5F96">
      <w:pPr>
        <w:ind w:left="720"/>
        <w:contextualSpacing/>
        <w:rPr>
          <w:sz w:val="22"/>
          <w:szCs w:val="22"/>
          <w:lang w:val="es-CR"/>
        </w:rPr>
      </w:pPr>
    </w:p>
    <w:p w14:paraId="06A117ED" w14:textId="77777777" w:rsidR="008B5F96" w:rsidRPr="008B5F96" w:rsidRDefault="008B5F96" w:rsidP="008B5F96">
      <w:pPr>
        <w:ind w:left="360" w:hanging="360"/>
        <w:jc w:val="both"/>
        <w:rPr>
          <w:sz w:val="22"/>
          <w:szCs w:val="22"/>
          <w:lang w:val="es-CR"/>
        </w:rPr>
      </w:pPr>
      <w:r w:rsidRPr="008B5F96">
        <w:rPr>
          <w:sz w:val="22"/>
          <w:szCs w:val="22"/>
          <w:lang w:val="es-CR"/>
        </w:rPr>
        <w:t>d)</w:t>
      </w:r>
      <w:r w:rsidRPr="008B5F96">
        <w:rPr>
          <w:sz w:val="22"/>
          <w:szCs w:val="22"/>
          <w:lang w:val="es-CR"/>
        </w:rPr>
        <w:tab/>
        <w:t>Nivel 4: El deudor no cuenta con capacidad de pago para atender sus obligaciones en las condiciones pactadas.</w:t>
      </w:r>
    </w:p>
    <w:p w14:paraId="6D1F87C8" w14:textId="77777777" w:rsidR="008B5F96" w:rsidRPr="008B5F96" w:rsidRDefault="008B5F96" w:rsidP="008B5F96">
      <w:pPr>
        <w:jc w:val="both"/>
        <w:rPr>
          <w:sz w:val="22"/>
          <w:szCs w:val="22"/>
          <w:lang w:val="es-CR"/>
        </w:rPr>
      </w:pPr>
    </w:p>
    <w:p w14:paraId="6DA8F5B2" w14:textId="77777777" w:rsidR="008B5F96" w:rsidRPr="008B5F96" w:rsidRDefault="008B5F96" w:rsidP="008B5F96">
      <w:pPr>
        <w:jc w:val="both"/>
        <w:rPr>
          <w:sz w:val="22"/>
          <w:szCs w:val="22"/>
          <w:lang w:val="es-CR"/>
        </w:rPr>
      </w:pPr>
      <w:r w:rsidRPr="008B5F96">
        <w:rPr>
          <w:sz w:val="22"/>
          <w:szCs w:val="22"/>
          <w:lang w:val="es-CR"/>
        </w:rPr>
        <w:t>En los lineamientos generales de este Reglamento se definirán los aspectos mínimos que debe considerar la entidad en sus evaluaciones de la capacidad de pago de estos deudores.</w:t>
      </w:r>
    </w:p>
    <w:p w14:paraId="05E69931" w14:textId="77777777" w:rsidR="008B5F96" w:rsidRPr="008B5F96" w:rsidRDefault="008B5F96" w:rsidP="008B5F96">
      <w:pPr>
        <w:jc w:val="both"/>
        <w:rPr>
          <w:sz w:val="22"/>
          <w:szCs w:val="22"/>
          <w:lang w:val="es-CR"/>
        </w:rPr>
      </w:pPr>
    </w:p>
    <w:p w14:paraId="7A8F9316" w14:textId="77777777" w:rsidR="008B5F96" w:rsidRPr="008B5F96" w:rsidRDefault="008B5F96" w:rsidP="008B5F96">
      <w:pPr>
        <w:jc w:val="both"/>
        <w:rPr>
          <w:b/>
          <w:bCs/>
          <w:sz w:val="22"/>
          <w:szCs w:val="22"/>
          <w:lang w:val="es-CR"/>
        </w:rPr>
      </w:pPr>
      <w:r w:rsidRPr="008B5F96">
        <w:rPr>
          <w:b/>
          <w:bCs/>
          <w:sz w:val="22"/>
          <w:szCs w:val="22"/>
          <w:lang w:val="es-CR"/>
        </w:rPr>
        <w:t>Artículo 9. Análisis del comportamiento de pago histórico</w:t>
      </w:r>
    </w:p>
    <w:p w14:paraId="710AAC39" w14:textId="77777777" w:rsidR="008B5F96" w:rsidRPr="00426487" w:rsidRDefault="008B5F96" w:rsidP="008B5F96">
      <w:pPr>
        <w:jc w:val="both"/>
        <w:rPr>
          <w:sz w:val="22"/>
          <w:szCs w:val="22"/>
          <w:lang w:val="es-CR"/>
        </w:rPr>
      </w:pPr>
    </w:p>
    <w:p w14:paraId="417E0303" w14:textId="196DC0C8" w:rsidR="008B5F96" w:rsidRPr="008B5F96" w:rsidRDefault="008B5F96" w:rsidP="008B5F96">
      <w:pPr>
        <w:jc w:val="both"/>
        <w:rPr>
          <w:sz w:val="22"/>
          <w:szCs w:val="22"/>
          <w:lang w:val="es-CR"/>
        </w:rPr>
      </w:pPr>
      <w:r w:rsidRPr="008B5F96">
        <w:rPr>
          <w:sz w:val="22"/>
          <w:szCs w:val="22"/>
          <w:lang w:val="es-CR"/>
        </w:rPr>
        <w:t>Las entidades supervisadas por la Sugef deben evaluar el comportamiento de pago histórico del deudor con base en el nivel de comportamiento de pago histórico asignado al deudor por el Centro de Información Crediticia (CIC) de la Sugef.</w:t>
      </w:r>
    </w:p>
    <w:p w14:paraId="1A46711E" w14:textId="77777777" w:rsidR="008B5F96" w:rsidRPr="008B5F96" w:rsidRDefault="008B5F96" w:rsidP="008B5F96">
      <w:pPr>
        <w:jc w:val="both"/>
        <w:rPr>
          <w:sz w:val="22"/>
          <w:szCs w:val="22"/>
          <w:lang w:val="es-CR"/>
        </w:rPr>
      </w:pPr>
    </w:p>
    <w:p w14:paraId="1B6E5C60" w14:textId="77777777" w:rsidR="008B5F96" w:rsidRPr="008B5F96" w:rsidRDefault="008B5F96" w:rsidP="008B5F96">
      <w:pPr>
        <w:jc w:val="both"/>
        <w:rPr>
          <w:b/>
          <w:bCs/>
          <w:sz w:val="22"/>
          <w:szCs w:val="22"/>
          <w:lang w:val="es-CR"/>
        </w:rPr>
      </w:pPr>
      <w:r w:rsidRPr="008B5F96">
        <w:rPr>
          <w:b/>
          <w:bCs/>
          <w:sz w:val="22"/>
          <w:szCs w:val="22"/>
          <w:lang w:val="es-CR"/>
        </w:rPr>
        <w:lastRenderedPageBreak/>
        <w:t>Artículo 10. Clasificación del comportamiento de pago histórico</w:t>
      </w:r>
    </w:p>
    <w:p w14:paraId="73DA857F" w14:textId="77777777" w:rsidR="008B5F96" w:rsidRPr="00426487" w:rsidRDefault="008B5F96" w:rsidP="008B5F96">
      <w:pPr>
        <w:jc w:val="both"/>
        <w:rPr>
          <w:sz w:val="22"/>
          <w:szCs w:val="22"/>
          <w:lang w:val="es-CR"/>
        </w:rPr>
      </w:pPr>
    </w:p>
    <w:p w14:paraId="214042F0" w14:textId="77777777" w:rsidR="008B5F96" w:rsidRPr="008B5F96" w:rsidRDefault="008B5F96" w:rsidP="008B5F96">
      <w:pPr>
        <w:jc w:val="both"/>
        <w:rPr>
          <w:sz w:val="22"/>
          <w:szCs w:val="22"/>
          <w:lang w:val="es-CR"/>
        </w:rPr>
      </w:pPr>
      <w:r w:rsidRPr="008B5F96">
        <w:rPr>
          <w:sz w:val="22"/>
          <w:szCs w:val="22"/>
          <w:lang w:val="es-CR"/>
        </w:rPr>
        <w:t>La entidad debe clasificar el comportamiento de pago histórico según los siguientes niveles:</w:t>
      </w:r>
    </w:p>
    <w:p w14:paraId="3954B6F2" w14:textId="77777777" w:rsidR="008B5F96" w:rsidRPr="008B5F96" w:rsidRDefault="008B5F96" w:rsidP="008B5F96">
      <w:pPr>
        <w:jc w:val="both"/>
        <w:rPr>
          <w:sz w:val="22"/>
          <w:szCs w:val="22"/>
          <w:lang w:val="es-CR"/>
        </w:rPr>
      </w:pPr>
    </w:p>
    <w:p w14:paraId="01FB3FE1"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Nivel 1: el comportamiento de pago histórico es bueno,</w:t>
      </w:r>
    </w:p>
    <w:p w14:paraId="1ECE45AD" w14:textId="77777777" w:rsidR="008B5F96" w:rsidRPr="008B5F96" w:rsidRDefault="008B5F96" w:rsidP="008B5F96">
      <w:pPr>
        <w:ind w:left="360"/>
        <w:contextualSpacing/>
        <w:jc w:val="both"/>
        <w:rPr>
          <w:sz w:val="22"/>
          <w:szCs w:val="22"/>
          <w:lang w:val="es-CR"/>
        </w:rPr>
      </w:pPr>
    </w:p>
    <w:p w14:paraId="6A53B465"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Nivel 2: el comportamiento de pago histórico es aceptable, y</w:t>
      </w:r>
    </w:p>
    <w:p w14:paraId="283C8087" w14:textId="77777777" w:rsidR="008B5F96" w:rsidRPr="008B5F96" w:rsidRDefault="008B5F96" w:rsidP="008B5F96">
      <w:pPr>
        <w:ind w:left="720"/>
        <w:contextualSpacing/>
        <w:rPr>
          <w:sz w:val="22"/>
          <w:szCs w:val="22"/>
          <w:lang w:val="es-CR"/>
        </w:rPr>
      </w:pPr>
    </w:p>
    <w:p w14:paraId="341B7BDB"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Nivel 3: el comportamiento de pago histórico es deficiente.</w:t>
      </w:r>
    </w:p>
    <w:p w14:paraId="1D6B5EF8" w14:textId="77777777" w:rsidR="008B5F96" w:rsidRPr="008B5F96" w:rsidRDefault="008B5F96" w:rsidP="008B5F96">
      <w:pPr>
        <w:jc w:val="both"/>
        <w:rPr>
          <w:sz w:val="22"/>
          <w:szCs w:val="22"/>
          <w:lang w:val="es-CR"/>
        </w:rPr>
      </w:pPr>
    </w:p>
    <w:p w14:paraId="3B2724D7" w14:textId="77777777" w:rsidR="008B5F96" w:rsidRPr="008B5F96" w:rsidRDefault="008B5F96" w:rsidP="008B5F96">
      <w:pPr>
        <w:jc w:val="both"/>
        <w:rPr>
          <w:sz w:val="22"/>
          <w:szCs w:val="22"/>
          <w:lang w:val="es-CR"/>
        </w:rPr>
      </w:pPr>
      <w:r w:rsidRPr="008B5F96">
        <w:rPr>
          <w:sz w:val="22"/>
          <w:szCs w:val="22"/>
          <w:lang w:val="es-CR"/>
        </w:rPr>
        <w:t>En ningún caso el nivel que la entidad asigne a un deudor puede ser un nivel de riesgo menor al nivel de comportamiento de pago histórico asignado a ese deudor por el CIC de la Sugef.</w:t>
      </w:r>
    </w:p>
    <w:p w14:paraId="67BD104A" w14:textId="77777777" w:rsidR="008B5F96" w:rsidRPr="008B5F96" w:rsidRDefault="008B5F96" w:rsidP="008B5F96">
      <w:pPr>
        <w:jc w:val="both"/>
        <w:rPr>
          <w:sz w:val="22"/>
          <w:szCs w:val="22"/>
          <w:lang w:val="es-CR"/>
        </w:rPr>
      </w:pPr>
    </w:p>
    <w:p w14:paraId="5B26CBF6" w14:textId="77777777" w:rsidR="008B5F96" w:rsidRPr="008B5F96" w:rsidRDefault="008B5F96" w:rsidP="008B5F96">
      <w:pPr>
        <w:jc w:val="both"/>
        <w:rPr>
          <w:sz w:val="22"/>
          <w:szCs w:val="22"/>
          <w:lang w:val="es-CR"/>
        </w:rPr>
      </w:pPr>
      <w:r w:rsidRPr="008B5F96">
        <w:rPr>
          <w:sz w:val="22"/>
          <w:szCs w:val="22"/>
          <w:lang w:val="es-CR"/>
        </w:rPr>
        <w:t>Los lineamientos generales a este Reglamento detallarán la metodología para calcular el nivel de comportamiento de pago histórico de los deudores utilizada por el CIC de la Sugef.</w:t>
      </w:r>
    </w:p>
    <w:p w14:paraId="7A6B777A" w14:textId="77777777" w:rsidR="008B5F96" w:rsidRPr="008B5F96" w:rsidRDefault="008B5F96" w:rsidP="008B5F96">
      <w:pPr>
        <w:jc w:val="both"/>
        <w:rPr>
          <w:sz w:val="22"/>
          <w:szCs w:val="22"/>
          <w:lang w:val="es-CR"/>
        </w:rPr>
      </w:pPr>
    </w:p>
    <w:p w14:paraId="07D37EBB" w14:textId="77777777" w:rsidR="008B5F96" w:rsidRPr="008B5F96" w:rsidRDefault="008B5F96" w:rsidP="008B5F96">
      <w:pPr>
        <w:jc w:val="both"/>
        <w:rPr>
          <w:b/>
          <w:bCs/>
          <w:sz w:val="22"/>
          <w:szCs w:val="22"/>
          <w:lang w:val="es-CR"/>
        </w:rPr>
      </w:pPr>
      <w:r w:rsidRPr="008B5F96">
        <w:rPr>
          <w:b/>
          <w:bCs/>
          <w:sz w:val="22"/>
          <w:szCs w:val="22"/>
          <w:lang w:val="es-CR"/>
        </w:rPr>
        <w:t>Artículo 11. Calificación de riesgo</w:t>
      </w:r>
    </w:p>
    <w:p w14:paraId="57B185B4" w14:textId="77777777" w:rsidR="008B5F96" w:rsidRPr="008B5F96" w:rsidRDefault="008B5F96" w:rsidP="008B5F96">
      <w:pPr>
        <w:jc w:val="both"/>
        <w:rPr>
          <w:sz w:val="22"/>
          <w:szCs w:val="22"/>
          <w:lang w:val="es-CR"/>
        </w:rPr>
      </w:pPr>
    </w:p>
    <w:p w14:paraId="506325F4" w14:textId="77777777" w:rsidR="008B5F96" w:rsidRPr="008B5F96" w:rsidRDefault="008B5F96" w:rsidP="008B5F96">
      <w:pPr>
        <w:jc w:val="both"/>
        <w:rPr>
          <w:sz w:val="22"/>
          <w:szCs w:val="22"/>
          <w:lang w:val="es-CR"/>
        </w:rPr>
      </w:pPr>
      <w:r w:rsidRPr="008B5F96">
        <w:rPr>
          <w:sz w:val="22"/>
          <w:szCs w:val="22"/>
          <w:lang w:val="es-CR"/>
        </w:rPr>
        <w:t>La entidad debe calificar los créditos clasificados en los segmentos indicados en los literales del a) al d), y el numeral 3 del literal e) del artículo 5 de este Reglamento de acuerdo con los parámetros de: morosidad de la operación, determinada al cierre del mes en curso y el nivel de comportamiento de pago histórico del deudor; para estos segmentos, la calificación se realizará conforme al siguiente cuadro:</w:t>
      </w:r>
    </w:p>
    <w:p w14:paraId="06B3DA22" w14:textId="77777777" w:rsidR="008B5F96" w:rsidRPr="008B5F96" w:rsidRDefault="008B5F96" w:rsidP="008B5F96">
      <w:pPr>
        <w:jc w:val="both"/>
        <w:rPr>
          <w:sz w:val="22"/>
          <w:szCs w:val="22"/>
          <w:lang w:val="es-CR"/>
        </w:rPr>
      </w:pPr>
    </w:p>
    <w:p w14:paraId="3CC411AF" w14:textId="77777777" w:rsidR="008B5F96" w:rsidRPr="008B5F96" w:rsidRDefault="008B5F96" w:rsidP="008B5F96">
      <w:pPr>
        <w:jc w:val="center"/>
        <w:rPr>
          <w:b/>
          <w:bCs/>
          <w:sz w:val="22"/>
          <w:szCs w:val="22"/>
          <w:lang w:val="es-CR"/>
        </w:rPr>
      </w:pPr>
      <w:r w:rsidRPr="008B5F96">
        <w:rPr>
          <w:b/>
          <w:bCs/>
          <w:sz w:val="22"/>
          <w:szCs w:val="22"/>
          <w:lang w:val="es-CR"/>
        </w:rPr>
        <w:t>Segmentos:</w:t>
      </w:r>
    </w:p>
    <w:p w14:paraId="48E73D6A" w14:textId="77777777" w:rsidR="008B5F96" w:rsidRPr="008B5F96" w:rsidRDefault="008B5F96" w:rsidP="008B5F96">
      <w:pPr>
        <w:jc w:val="center"/>
        <w:rPr>
          <w:b/>
          <w:bCs/>
          <w:sz w:val="22"/>
          <w:szCs w:val="22"/>
          <w:lang w:val="es-CR"/>
        </w:rPr>
      </w:pPr>
      <w:r w:rsidRPr="008B5F96">
        <w:rPr>
          <w:b/>
          <w:bCs/>
          <w:sz w:val="22"/>
          <w:szCs w:val="22"/>
          <w:lang w:val="es-CR"/>
        </w:rPr>
        <w:t>Créditos revolutivos de consumo, créditos para vehículos, créditos de consumo regular,</w:t>
      </w:r>
    </w:p>
    <w:p w14:paraId="6A2BF95A" w14:textId="77777777" w:rsidR="008B5F96" w:rsidRPr="008B5F96" w:rsidRDefault="008B5F96" w:rsidP="008B5F96">
      <w:pPr>
        <w:jc w:val="center"/>
        <w:rPr>
          <w:b/>
          <w:bCs/>
          <w:sz w:val="22"/>
          <w:szCs w:val="22"/>
          <w:lang w:val="es-CR"/>
        </w:rPr>
      </w:pPr>
      <w:r w:rsidRPr="008B5F96">
        <w:rPr>
          <w:b/>
          <w:bCs/>
          <w:sz w:val="22"/>
          <w:szCs w:val="22"/>
          <w:lang w:val="es-CR"/>
        </w:rPr>
        <w:t xml:space="preserve"> créditos para vivienda y segmento Empresarial 3</w:t>
      </w:r>
    </w:p>
    <w:p w14:paraId="3409D67A" w14:textId="77777777" w:rsidR="008B5F96" w:rsidRPr="008B5F96" w:rsidRDefault="008B5F96" w:rsidP="008B5F96">
      <w:pPr>
        <w:jc w:val="center"/>
        <w:rPr>
          <w:b/>
          <w:bCs/>
          <w:sz w:val="22"/>
          <w:szCs w:val="22"/>
          <w:lang w:val="es-CR"/>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84"/>
        <w:gridCol w:w="1696"/>
        <w:gridCol w:w="3146"/>
        <w:gridCol w:w="2291"/>
      </w:tblGrid>
      <w:tr w:rsidR="008B5F96" w:rsidRPr="008B5F96" w14:paraId="149C9112" w14:textId="77777777" w:rsidTr="008B5F96">
        <w:trPr>
          <w:trHeight w:val="365"/>
          <w:jc w:val="center"/>
        </w:trPr>
        <w:tc>
          <w:tcPr>
            <w:tcW w:w="988" w:type="dxa"/>
            <w:shd w:val="clear" w:color="auto" w:fill="657C9C"/>
            <w:vAlign w:val="center"/>
          </w:tcPr>
          <w:p w14:paraId="7875C58F"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ETAPAS</w:t>
            </w:r>
          </w:p>
        </w:tc>
        <w:tc>
          <w:tcPr>
            <w:tcW w:w="1315" w:type="dxa"/>
            <w:shd w:val="clear" w:color="auto" w:fill="657C9C"/>
            <w:vAlign w:val="center"/>
            <w:hideMark/>
          </w:tcPr>
          <w:p w14:paraId="5928E47A"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CATEGORÍAS</w:t>
            </w:r>
          </w:p>
        </w:tc>
        <w:tc>
          <w:tcPr>
            <w:tcW w:w="3381" w:type="dxa"/>
            <w:shd w:val="clear" w:color="auto" w:fill="657C9C"/>
            <w:vAlign w:val="center"/>
            <w:hideMark/>
          </w:tcPr>
          <w:p w14:paraId="10D1FAF5"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CANTIDAD DE DÍAS DE MOROSIDAD EN LA OPERACIÓN</w:t>
            </w:r>
          </w:p>
        </w:tc>
        <w:tc>
          <w:tcPr>
            <w:tcW w:w="2533" w:type="dxa"/>
            <w:shd w:val="clear" w:color="auto" w:fill="657C9C"/>
            <w:vAlign w:val="center"/>
            <w:hideMark/>
          </w:tcPr>
          <w:p w14:paraId="62954C4A"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CPH</w:t>
            </w:r>
          </w:p>
        </w:tc>
      </w:tr>
      <w:tr w:rsidR="008B5F96" w:rsidRPr="008B5F96" w14:paraId="6F8B40EC" w14:textId="77777777" w:rsidTr="00FB5A1A">
        <w:trPr>
          <w:trHeight w:val="204"/>
          <w:jc w:val="center"/>
        </w:trPr>
        <w:tc>
          <w:tcPr>
            <w:tcW w:w="988" w:type="dxa"/>
            <w:vMerge w:val="restart"/>
            <w:vAlign w:val="center"/>
          </w:tcPr>
          <w:p w14:paraId="55761F61" w14:textId="77777777" w:rsidR="008B5F96" w:rsidRPr="008B5F96" w:rsidRDefault="008B5F96" w:rsidP="008B5F96">
            <w:pPr>
              <w:jc w:val="both"/>
              <w:rPr>
                <w:sz w:val="22"/>
                <w:szCs w:val="22"/>
                <w:lang w:val="es-CR"/>
              </w:rPr>
            </w:pPr>
            <w:r w:rsidRPr="008B5F96">
              <w:rPr>
                <w:sz w:val="22"/>
                <w:szCs w:val="22"/>
                <w:lang w:val="es-CR"/>
              </w:rPr>
              <w:t>Etapa 1</w:t>
            </w:r>
          </w:p>
        </w:tc>
        <w:tc>
          <w:tcPr>
            <w:tcW w:w="1315" w:type="dxa"/>
            <w:vAlign w:val="center"/>
            <w:hideMark/>
          </w:tcPr>
          <w:p w14:paraId="2F9E9CCA" w14:textId="77777777" w:rsidR="008B5F96" w:rsidRPr="008B5F96" w:rsidRDefault="008B5F96" w:rsidP="008B5F96">
            <w:pPr>
              <w:jc w:val="center"/>
              <w:rPr>
                <w:sz w:val="22"/>
                <w:szCs w:val="22"/>
                <w:lang w:val="es-CR"/>
              </w:rPr>
            </w:pPr>
            <w:r w:rsidRPr="008B5F96">
              <w:rPr>
                <w:sz w:val="22"/>
                <w:szCs w:val="22"/>
                <w:lang w:val="es-CR"/>
              </w:rPr>
              <w:t>1</w:t>
            </w:r>
          </w:p>
        </w:tc>
        <w:tc>
          <w:tcPr>
            <w:tcW w:w="3381" w:type="dxa"/>
            <w:vAlign w:val="center"/>
            <w:hideMark/>
          </w:tcPr>
          <w:p w14:paraId="72F1AEF9" w14:textId="77777777" w:rsidR="008B5F96" w:rsidRPr="008B5F96" w:rsidRDefault="008B5F96" w:rsidP="008B5F96">
            <w:pPr>
              <w:jc w:val="both"/>
              <w:rPr>
                <w:sz w:val="22"/>
                <w:szCs w:val="22"/>
                <w:lang w:val="es-CR"/>
              </w:rPr>
            </w:pPr>
            <w:r w:rsidRPr="008B5F96">
              <w:rPr>
                <w:sz w:val="22"/>
                <w:szCs w:val="22"/>
                <w:lang w:val="es-CR"/>
              </w:rPr>
              <w:t>Al día o hasta 5 días de morosidad.</w:t>
            </w:r>
          </w:p>
        </w:tc>
        <w:tc>
          <w:tcPr>
            <w:tcW w:w="2533" w:type="dxa"/>
            <w:vAlign w:val="center"/>
            <w:hideMark/>
          </w:tcPr>
          <w:p w14:paraId="3CD26C23" w14:textId="77777777" w:rsidR="008B5F96" w:rsidRPr="008B5F96" w:rsidRDefault="008B5F96" w:rsidP="008B5F96">
            <w:pPr>
              <w:jc w:val="both"/>
              <w:rPr>
                <w:sz w:val="22"/>
                <w:szCs w:val="22"/>
                <w:lang w:val="es-CR"/>
              </w:rPr>
            </w:pPr>
            <w:r w:rsidRPr="008B5F96">
              <w:rPr>
                <w:sz w:val="22"/>
                <w:szCs w:val="22"/>
                <w:lang w:val="es-CR"/>
              </w:rPr>
              <w:t>Nivel 1</w:t>
            </w:r>
          </w:p>
        </w:tc>
      </w:tr>
      <w:tr w:rsidR="008B5F96" w:rsidRPr="008B5F96" w14:paraId="614D0AFA" w14:textId="77777777" w:rsidTr="00FB5A1A">
        <w:trPr>
          <w:trHeight w:val="207"/>
          <w:jc w:val="center"/>
        </w:trPr>
        <w:tc>
          <w:tcPr>
            <w:tcW w:w="988" w:type="dxa"/>
            <w:vMerge/>
          </w:tcPr>
          <w:p w14:paraId="4C467F24" w14:textId="77777777" w:rsidR="008B5F96" w:rsidRPr="008B5F96" w:rsidRDefault="008B5F96" w:rsidP="008B5F96">
            <w:pPr>
              <w:jc w:val="both"/>
              <w:rPr>
                <w:sz w:val="22"/>
                <w:szCs w:val="22"/>
                <w:lang w:val="es-CR"/>
              </w:rPr>
            </w:pPr>
          </w:p>
        </w:tc>
        <w:tc>
          <w:tcPr>
            <w:tcW w:w="1315" w:type="dxa"/>
            <w:vAlign w:val="center"/>
            <w:hideMark/>
          </w:tcPr>
          <w:p w14:paraId="47886703" w14:textId="77777777" w:rsidR="008B5F96" w:rsidRPr="008B5F96" w:rsidRDefault="008B5F96" w:rsidP="008B5F96">
            <w:pPr>
              <w:jc w:val="center"/>
              <w:rPr>
                <w:sz w:val="22"/>
                <w:szCs w:val="22"/>
                <w:lang w:val="es-CR"/>
              </w:rPr>
            </w:pPr>
            <w:r w:rsidRPr="008B5F96">
              <w:rPr>
                <w:sz w:val="22"/>
                <w:szCs w:val="22"/>
                <w:lang w:val="es-CR"/>
              </w:rPr>
              <w:t>2</w:t>
            </w:r>
          </w:p>
        </w:tc>
        <w:tc>
          <w:tcPr>
            <w:tcW w:w="3381" w:type="dxa"/>
            <w:vAlign w:val="center"/>
            <w:hideMark/>
          </w:tcPr>
          <w:p w14:paraId="56E4BD3F" w14:textId="77777777" w:rsidR="008B5F96" w:rsidRPr="008B5F96" w:rsidRDefault="008B5F96" w:rsidP="008B5F96">
            <w:pPr>
              <w:jc w:val="both"/>
              <w:rPr>
                <w:sz w:val="22"/>
                <w:szCs w:val="22"/>
                <w:lang w:val="es-CR"/>
              </w:rPr>
            </w:pPr>
            <w:r w:rsidRPr="008B5F96">
              <w:rPr>
                <w:sz w:val="22"/>
                <w:szCs w:val="22"/>
                <w:lang w:val="es-CR"/>
              </w:rPr>
              <w:t>Hasta 30 días.</w:t>
            </w:r>
          </w:p>
        </w:tc>
        <w:tc>
          <w:tcPr>
            <w:tcW w:w="2533" w:type="dxa"/>
            <w:vAlign w:val="center"/>
            <w:hideMark/>
          </w:tcPr>
          <w:p w14:paraId="203D0DF4" w14:textId="77777777" w:rsidR="008B5F96" w:rsidRPr="008B5F96" w:rsidRDefault="008B5F96" w:rsidP="008B5F96">
            <w:pPr>
              <w:jc w:val="both"/>
              <w:rPr>
                <w:sz w:val="22"/>
                <w:szCs w:val="22"/>
                <w:lang w:val="es-CR"/>
              </w:rPr>
            </w:pPr>
            <w:r w:rsidRPr="008B5F96">
              <w:rPr>
                <w:sz w:val="22"/>
                <w:szCs w:val="22"/>
                <w:lang w:val="es-CR"/>
              </w:rPr>
              <w:t xml:space="preserve">Nivel 1 o Nivel 2 </w:t>
            </w:r>
          </w:p>
        </w:tc>
      </w:tr>
      <w:tr w:rsidR="008B5F96" w:rsidRPr="008B5F96" w14:paraId="75CEAB77" w14:textId="77777777" w:rsidTr="00FB5A1A">
        <w:trPr>
          <w:trHeight w:val="249"/>
          <w:jc w:val="center"/>
        </w:trPr>
        <w:tc>
          <w:tcPr>
            <w:tcW w:w="988" w:type="dxa"/>
            <w:vMerge w:val="restart"/>
            <w:vAlign w:val="center"/>
          </w:tcPr>
          <w:p w14:paraId="63AB01A5" w14:textId="77777777" w:rsidR="008B5F96" w:rsidRPr="008B5F96" w:rsidRDefault="008B5F96" w:rsidP="008B5F96">
            <w:pPr>
              <w:jc w:val="both"/>
              <w:rPr>
                <w:sz w:val="22"/>
                <w:szCs w:val="22"/>
                <w:lang w:val="es-CR"/>
              </w:rPr>
            </w:pPr>
            <w:r w:rsidRPr="008B5F96">
              <w:rPr>
                <w:sz w:val="22"/>
                <w:szCs w:val="22"/>
                <w:lang w:val="es-CR"/>
              </w:rPr>
              <w:t>Etapa 2</w:t>
            </w:r>
          </w:p>
        </w:tc>
        <w:tc>
          <w:tcPr>
            <w:tcW w:w="1315" w:type="dxa"/>
            <w:vAlign w:val="center"/>
          </w:tcPr>
          <w:p w14:paraId="326AF534" w14:textId="77777777" w:rsidR="008B5F96" w:rsidRPr="008B5F96" w:rsidRDefault="008B5F96" w:rsidP="008B5F96">
            <w:pPr>
              <w:jc w:val="center"/>
              <w:rPr>
                <w:sz w:val="22"/>
                <w:szCs w:val="22"/>
                <w:lang w:val="es-CR"/>
              </w:rPr>
            </w:pPr>
            <w:r w:rsidRPr="008B5F96">
              <w:rPr>
                <w:sz w:val="22"/>
                <w:szCs w:val="22"/>
                <w:lang w:val="es-CR"/>
              </w:rPr>
              <w:t>3</w:t>
            </w:r>
          </w:p>
        </w:tc>
        <w:tc>
          <w:tcPr>
            <w:tcW w:w="3381" w:type="dxa"/>
            <w:vAlign w:val="center"/>
          </w:tcPr>
          <w:p w14:paraId="4C4D92B3" w14:textId="77777777" w:rsidR="008B5F96" w:rsidRPr="008B5F96" w:rsidRDefault="008B5F96" w:rsidP="008B5F96">
            <w:pPr>
              <w:jc w:val="both"/>
              <w:rPr>
                <w:sz w:val="22"/>
                <w:szCs w:val="22"/>
                <w:lang w:val="es-CR"/>
              </w:rPr>
            </w:pPr>
            <w:r w:rsidRPr="008B5F96">
              <w:rPr>
                <w:sz w:val="22"/>
                <w:szCs w:val="22"/>
                <w:lang w:val="es-CR"/>
              </w:rPr>
              <w:t>Hasta 60 días.</w:t>
            </w:r>
          </w:p>
        </w:tc>
        <w:tc>
          <w:tcPr>
            <w:tcW w:w="2533" w:type="dxa"/>
            <w:vAlign w:val="center"/>
          </w:tcPr>
          <w:p w14:paraId="5701A974" w14:textId="77777777" w:rsidR="008B5F96" w:rsidRPr="008B5F96" w:rsidRDefault="008B5F96" w:rsidP="008B5F96">
            <w:pPr>
              <w:jc w:val="both"/>
              <w:rPr>
                <w:sz w:val="22"/>
                <w:szCs w:val="22"/>
                <w:lang w:val="es-CR"/>
              </w:rPr>
            </w:pPr>
            <w:r w:rsidRPr="008B5F96">
              <w:rPr>
                <w:sz w:val="22"/>
                <w:szCs w:val="22"/>
                <w:lang w:val="es-CR"/>
              </w:rPr>
              <w:t>Nivel 1 o Nivel 2</w:t>
            </w:r>
          </w:p>
        </w:tc>
      </w:tr>
      <w:tr w:rsidR="008B5F96" w:rsidRPr="008B5F96" w14:paraId="6FFE88AE" w14:textId="77777777" w:rsidTr="00FB5A1A">
        <w:trPr>
          <w:trHeight w:val="213"/>
          <w:jc w:val="center"/>
        </w:trPr>
        <w:tc>
          <w:tcPr>
            <w:tcW w:w="988" w:type="dxa"/>
            <w:vMerge/>
          </w:tcPr>
          <w:p w14:paraId="1494FCC1" w14:textId="77777777" w:rsidR="008B5F96" w:rsidRPr="008B5F96" w:rsidRDefault="008B5F96" w:rsidP="008B5F96">
            <w:pPr>
              <w:jc w:val="both"/>
              <w:rPr>
                <w:sz w:val="22"/>
                <w:szCs w:val="22"/>
                <w:lang w:val="es-CR"/>
              </w:rPr>
            </w:pPr>
          </w:p>
        </w:tc>
        <w:tc>
          <w:tcPr>
            <w:tcW w:w="1315" w:type="dxa"/>
            <w:vAlign w:val="center"/>
            <w:hideMark/>
          </w:tcPr>
          <w:p w14:paraId="32B129CB" w14:textId="77777777" w:rsidR="008B5F96" w:rsidRPr="008B5F96" w:rsidRDefault="008B5F96" w:rsidP="008B5F96">
            <w:pPr>
              <w:jc w:val="center"/>
              <w:rPr>
                <w:sz w:val="22"/>
                <w:szCs w:val="22"/>
                <w:lang w:val="es-CR"/>
              </w:rPr>
            </w:pPr>
            <w:r w:rsidRPr="008B5F96">
              <w:rPr>
                <w:sz w:val="22"/>
                <w:szCs w:val="22"/>
                <w:lang w:val="es-CR"/>
              </w:rPr>
              <w:t>4</w:t>
            </w:r>
          </w:p>
        </w:tc>
        <w:tc>
          <w:tcPr>
            <w:tcW w:w="3381" w:type="dxa"/>
            <w:vAlign w:val="center"/>
            <w:hideMark/>
          </w:tcPr>
          <w:p w14:paraId="519D14A1" w14:textId="77777777" w:rsidR="008B5F96" w:rsidRPr="008B5F96" w:rsidRDefault="008B5F96" w:rsidP="008B5F96">
            <w:pPr>
              <w:jc w:val="both"/>
              <w:rPr>
                <w:sz w:val="22"/>
                <w:szCs w:val="22"/>
                <w:lang w:val="es-CR"/>
              </w:rPr>
            </w:pPr>
            <w:r w:rsidRPr="008B5F96">
              <w:rPr>
                <w:sz w:val="22"/>
                <w:szCs w:val="22"/>
                <w:lang w:val="es-CR"/>
              </w:rPr>
              <w:t>Hasta 90 días.</w:t>
            </w:r>
          </w:p>
        </w:tc>
        <w:tc>
          <w:tcPr>
            <w:tcW w:w="2533" w:type="dxa"/>
            <w:vAlign w:val="center"/>
            <w:hideMark/>
          </w:tcPr>
          <w:p w14:paraId="122D540F" w14:textId="77777777" w:rsidR="008B5F96" w:rsidRPr="008B5F96" w:rsidRDefault="008B5F96" w:rsidP="008B5F96">
            <w:pPr>
              <w:jc w:val="both"/>
              <w:rPr>
                <w:sz w:val="22"/>
                <w:szCs w:val="22"/>
                <w:lang w:val="es-CR"/>
              </w:rPr>
            </w:pPr>
            <w:r w:rsidRPr="008B5F96">
              <w:rPr>
                <w:sz w:val="22"/>
                <w:szCs w:val="22"/>
                <w:lang w:val="es-CR"/>
              </w:rPr>
              <w:t>Nivel 1 o Nivel 2 o Nivel 3</w:t>
            </w:r>
          </w:p>
        </w:tc>
      </w:tr>
      <w:tr w:rsidR="008B5F96" w:rsidRPr="008B5F96" w14:paraId="77545B71" w14:textId="77777777" w:rsidTr="00FB5A1A">
        <w:trPr>
          <w:trHeight w:val="218"/>
          <w:jc w:val="center"/>
        </w:trPr>
        <w:tc>
          <w:tcPr>
            <w:tcW w:w="988" w:type="dxa"/>
            <w:vMerge w:val="restart"/>
            <w:vAlign w:val="center"/>
          </w:tcPr>
          <w:p w14:paraId="12CE751F" w14:textId="77777777" w:rsidR="008B5F96" w:rsidRPr="008B5F96" w:rsidRDefault="008B5F96" w:rsidP="008B5F96">
            <w:pPr>
              <w:jc w:val="both"/>
              <w:rPr>
                <w:sz w:val="22"/>
                <w:szCs w:val="22"/>
                <w:lang w:val="es-CR"/>
              </w:rPr>
            </w:pPr>
            <w:r w:rsidRPr="008B5F96">
              <w:rPr>
                <w:sz w:val="22"/>
                <w:szCs w:val="22"/>
                <w:lang w:val="es-CR"/>
              </w:rPr>
              <w:t>Etapa 3</w:t>
            </w:r>
          </w:p>
        </w:tc>
        <w:tc>
          <w:tcPr>
            <w:tcW w:w="1315" w:type="dxa"/>
            <w:vAlign w:val="center"/>
            <w:hideMark/>
          </w:tcPr>
          <w:p w14:paraId="156FEE1F" w14:textId="77777777" w:rsidR="008B5F96" w:rsidRPr="008B5F96" w:rsidRDefault="008B5F96" w:rsidP="008B5F96">
            <w:pPr>
              <w:jc w:val="center"/>
              <w:rPr>
                <w:sz w:val="22"/>
                <w:szCs w:val="22"/>
                <w:lang w:val="es-CR"/>
              </w:rPr>
            </w:pPr>
            <w:r w:rsidRPr="008B5F96">
              <w:rPr>
                <w:sz w:val="22"/>
                <w:szCs w:val="22"/>
                <w:lang w:val="es-CR"/>
              </w:rPr>
              <w:t>5</w:t>
            </w:r>
          </w:p>
        </w:tc>
        <w:tc>
          <w:tcPr>
            <w:tcW w:w="3381" w:type="dxa"/>
            <w:vAlign w:val="center"/>
            <w:hideMark/>
          </w:tcPr>
          <w:p w14:paraId="020ED629" w14:textId="77777777" w:rsidR="008B5F96" w:rsidRPr="008B5F96" w:rsidRDefault="008B5F96" w:rsidP="008B5F96">
            <w:pPr>
              <w:jc w:val="both"/>
              <w:rPr>
                <w:sz w:val="22"/>
                <w:szCs w:val="22"/>
                <w:lang w:val="es-CR"/>
              </w:rPr>
            </w:pPr>
            <w:r w:rsidRPr="008B5F96">
              <w:rPr>
                <w:sz w:val="22"/>
                <w:szCs w:val="22"/>
                <w:lang w:val="es-CR"/>
              </w:rPr>
              <w:t xml:space="preserve">Hasta 120 días. </w:t>
            </w:r>
          </w:p>
        </w:tc>
        <w:tc>
          <w:tcPr>
            <w:tcW w:w="2533" w:type="dxa"/>
            <w:vAlign w:val="center"/>
            <w:hideMark/>
          </w:tcPr>
          <w:p w14:paraId="0E3A8D88" w14:textId="77777777" w:rsidR="008B5F96" w:rsidRPr="008B5F96" w:rsidRDefault="008B5F96" w:rsidP="008B5F96">
            <w:pPr>
              <w:jc w:val="both"/>
              <w:rPr>
                <w:sz w:val="22"/>
                <w:szCs w:val="22"/>
                <w:lang w:val="es-CR"/>
              </w:rPr>
            </w:pPr>
            <w:r w:rsidRPr="008B5F96">
              <w:rPr>
                <w:sz w:val="22"/>
                <w:szCs w:val="22"/>
                <w:lang w:val="es-CR"/>
              </w:rPr>
              <w:t>Nivel 1 o Nivel 2 o Nivel 3</w:t>
            </w:r>
          </w:p>
        </w:tc>
      </w:tr>
      <w:tr w:rsidR="008B5F96" w:rsidRPr="008B5F96" w14:paraId="2944A5E0" w14:textId="77777777" w:rsidTr="00FB5A1A">
        <w:trPr>
          <w:trHeight w:val="221"/>
          <w:jc w:val="center"/>
        </w:trPr>
        <w:tc>
          <w:tcPr>
            <w:tcW w:w="988" w:type="dxa"/>
            <w:vMerge/>
          </w:tcPr>
          <w:p w14:paraId="7A45085D" w14:textId="77777777" w:rsidR="008B5F96" w:rsidRPr="008B5F96" w:rsidRDefault="008B5F96" w:rsidP="008B5F96">
            <w:pPr>
              <w:jc w:val="both"/>
              <w:rPr>
                <w:sz w:val="22"/>
                <w:szCs w:val="22"/>
                <w:lang w:val="es-CR"/>
              </w:rPr>
            </w:pPr>
          </w:p>
        </w:tc>
        <w:tc>
          <w:tcPr>
            <w:tcW w:w="1315" w:type="dxa"/>
            <w:vAlign w:val="center"/>
          </w:tcPr>
          <w:p w14:paraId="455EE3FA" w14:textId="77777777" w:rsidR="008B5F96" w:rsidRPr="008B5F96" w:rsidRDefault="008B5F96" w:rsidP="008B5F96">
            <w:pPr>
              <w:jc w:val="center"/>
              <w:rPr>
                <w:sz w:val="22"/>
                <w:szCs w:val="22"/>
                <w:lang w:val="es-CR"/>
              </w:rPr>
            </w:pPr>
            <w:r w:rsidRPr="008B5F96">
              <w:rPr>
                <w:sz w:val="22"/>
                <w:szCs w:val="22"/>
                <w:lang w:val="es-CR"/>
              </w:rPr>
              <w:t>6</w:t>
            </w:r>
          </w:p>
        </w:tc>
        <w:tc>
          <w:tcPr>
            <w:tcW w:w="3381" w:type="dxa"/>
            <w:vAlign w:val="center"/>
          </w:tcPr>
          <w:p w14:paraId="645CC1F7" w14:textId="77777777" w:rsidR="008B5F96" w:rsidRPr="008B5F96" w:rsidRDefault="008B5F96" w:rsidP="008B5F96">
            <w:pPr>
              <w:jc w:val="both"/>
              <w:rPr>
                <w:sz w:val="22"/>
                <w:szCs w:val="22"/>
                <w:lang w:val="es-CR"/>
              </w:rPr>
            </w:pPr>
            <w:r w:rsidRPr="008B5F96">
              <w:rPr>
                <w:sz w:val="22"/>
                <w:szCs w:val="22"/>
                <w:lang w:val="es-CR"/>
              </w:rPr>
              <w:t>Hasta 150 días.</w:t>
            </w:r>
          </w:p>
        </w:tc>
        <w:tc>
          <w:tcPr>
            <w:tcW w:w="2533" w:type="dxa"/>
            <w:vAlign w:val="center"/>
          </w:tcPr>
          <w:p w14:paraId="5589F9E5" w14:textId="77777777" w:rsidR="008B5F96" w:rsidRPr="008B5F96" w:rsidRDefault="008B5F96" w:rsidP="008B5F96">
            <w:pPr>
              <w:jc w:val="both"/>
              <w:rPr>
                <w:sz w:val="22"/>
                <w:szCs w:val="22"/>
                <w:lang w:val="es-CR"/>
              </w:rPr>
            </w:pPr>
            <w:r w:rsidRPr="008B5F96">
              <w:rPr>
                <w:sz w:val="22"/>
                <w:szCs w:val="22"/>
                <w:lang w:val="es-CR"/>
              </w:rPr>
              <w:t>Nivel 1 o Nivel 2 o Nivel 3</w:t>
            </w:r>
          </w:p>
        </w:tc>
      </w:tr>
      <w:tr w:rsidR="008B5F96" w:rsidRPr="008B5F96" w14:paraId="54025F1D" w14:textId="77777777" w:rsidTr="00FB5A1A">
        <w:trPr>
          <w:trHeight w:val="225"/>
          <w:jc w:val="center"/>
        </w:trPr>
        <w:tc>
          <w:tcPr>
            <w:tcW w:w="988" w:type="dxa"/>
            <w:vMerge/>
          </w:tcPr>
          <w:p w14:paraId="499C5A7E" w14:textId="77777777" w:rsidR="008B5F96" w:rsidRPr="008B5F96" w:rsidRDefault="008B5F96" w:rsidP="008B5F96">
            <w:pPr>
              <w:jc w:val="both"/>
              <w:rPr>
                <w:sz w:val="22"/>
                <w:szCs w:val="22"/>
                <w:lang w:val="es-CR"/>
              </w:rPr>
            </w:pPr>
          </w:p>
        </w:tc>
        <w:tc>
          <w:tcPr>
            <w:tcW w:w="1315" w:type="dxa"/>
            <w:vAlign w:val="center"/>
          </w:tcPr>
          <w:p w14:paraId="0E485EA1" w14:textId="77777777" w:rsidR="008B5F96" w:rsidRPr="008B5F96" w:rsidRDefault="008B5F96" w:rsidP="008B5F96">
            <w:pPr>
              <w:jc w:val="center"/>
              <w:rPr>
                <w:sz w:val="22"/>
                <w:szCs w:val="22"/>
                <w:lang w:val="es-CR"/>
              </w:rPr>
            </w:pPr>
            <w:r w:rsidRPr="008B5F96">
              <w:rPr>
                <w:sz w:val="22"/>
                <w:szCs w:val="22"/>
                <w:lang w:val="es-CR"/>
              </w:rPr>
              <w:t>7</w:t>
            </w:r>
          </w:p>
        </w:tc>
        <w:tc>
          <w:tcPr>
            <w:tcW w:w="3381" w:type="dxa"/>
            <w:vAlign w:val="center"/>
          </w:tcPr>
          <w:p w14:paraId="09630B93" w14:textId="77777777" w:rsidR="008B5F96" w:rsidRPr="008B5F96" w:rsidRDefault="008B5F96" w:rsidP="008B5F96">
            <w:pPr>
              <w:jc w:val="both"/>
              <w:rPr>
                <w:sz w:val="22"/>
                <w:szCs w:val="22"/>
                <w:lang w:val="es-CR"/>
              </w:rPr>
            </w:pPr>
            <w:r w:rsidRPr="008B5F96">
              <w:rPr>
                <w:sz w:val="22"/>
                <w:szCs w:val="22"/>
                <w:lang w:val="es-CR"/>
              </w:rPr>
              <w:t>Hasta 180 días.</w:t>
            </w:r>
          </w:p>
        </w:tc>
        <w:tc>
          <w:tcPr>
            <w:tcW w:w="2533" w:type="dxa"/>
            <w:vAlign w:val="center"/>
          </w:tcPr>
          <w:p w14:paraId="37BFCC03" w14:textId="77777777" w:rsidR="008B5F96" w:rsidRPr="008B5F96" w:rsidRDefault="008B5F96" w:rsidP="008B5F96">
            <w:pPr>
              <w:jc w:val="both"/>
              <w:rPr>
                <w:sz w:val="22"/>
                <w:szCs w:val="22"/>
                <w:lang w:val="es-CR"/>
              </w:rPr>
            </w:pPr>
            <w:r w:rsidRPr="008B5F96">
              <w:rPr>
                <w:sz w:val="22"/>
                <w:szCs w:val="22"/>
                <w:lang w:val="es-CR"/>
              </w:rPr>
              <w:t>Nivel 1 o Nivel 2 o Nivel 3</w:t>
            </w:r>
          </w:p>
        </w:tc>
      </w:tr>
      <w:tr w:rsidR="008B5F96" w:rsidRPr="008B5F96" w14:paraId="78A27860" w14:textId="77777777" w:rsidTr="00FB5A1A">
        <w:trPr>
          <w:trHeight w:val="116"/>
          <w:jc w:val="center"/>
        </w:trPr>
        <w:tc>
          <w:tcPr>
            <w:tcW w:w="988" w:type="dxa"/>
            <w:vMerge/>
          </w:tcPr>
          <w:p w14:paraId="7A07B512" w14:textId="77777777" w:rsidR="008B5F96" w:rsidRPr="008B5F96" w:rsidRDefault="008B5F96" w:rsidP="008B5F96">
            <w:pPr>
              <w:jc w:val="both"/>
              <w:rPr>
                <w:sz w:val="22"/>
                <w:szCs w:val="22"/>
                <w:lang w:val="es-CR"/>
              </w:rPr>
            </w:pPr>
          </w:p>
        </w:tc>
        <w:tc>
          <w:tcPr>
            <w:tcW w:w="1315" w:type="dxa"/>
            <w:vAlign w:val="center"/>
            <w:hideMark/>
          </w:tcPr>
          <w:p w14:paraId="14BA7611" w14:textId="77777777" w:rsidR="008B5F96" w:rsidRPr="008B5F96" w:rsidRDefault="008B5F96" w:rsidP="008B5F96">
            <w:pPr>
              <w:jc w:val="center"/>
              <w:rPr>
                <w:sz w:val="22"/>
                <w:szCs w:val="22"/>
                <w:lang w:val="es-CR"/>
              </w:rPr>
            </w:pPr>
            <w:r w:rsidRPr="008B5F96">
              <w:rPr>
                <w:sz w:val="22"/>
                <w:szCs w:val="22"/>
                <w:lang w:val="es-CR"/>
              </w:rPr>
              <w:t>8</w:t>
            </w:r>
          </w:p>
        </w:tc>
        <w:tc>
          <w:tcPr>
            <w:tcW w:w="3381" w:type="dxa"/>
            <w:vAlign w:val="center"/>
            <w:hideMark/>
          </w:tcPr>
          <w:p w14:paraId="50502DD6" w14:textId="77777777" w:rsidR="008B5F96" w:rsidRPr="008B5F96" w:rsidRDefault="008B5F96" w:rsidP="008B5F96">
            <w:pPr>
              <w:jc w:val="both"/>
              <w:rPr>
                <w:sz w:val="22"/>
                <w:szCs w:val="22"/>
                <w:lang w:val="es-CR"/>
              </w:rPr>
            </w:pPr>
            <w:r w:rsidRPr="008B5F96">
              <w:rPr>
                <w:sz w:val="22"/>
                <w:szCs w:val="22"/>
                <w:lang w:val="es-CR"/>
              </w:rPr>
              <w:t xml:space="preserve">De 181 días en adelante. </w:t>
            </w:r>
          </w:p>
        </w:tc>
        <w:tc>
          <w:tcPr>
            <w:tcW w:w="2533" w:type="dxa"/>
            <w:vAlign w:val="center"/>
          </w:tcPr>
          <w:p w14:paraId="2EFB4568" w14:textId="77777777" w:rsidR="008B5F96" w:rsidRPr="008B5F96" w:rsidRDefault="008B5F96" w:rsidP="008B5F96">
            <w:pPr>
              <w:jc w:val="both"/>
              <w:rPr>
                <w:sz w:val="22"/>
                <w:szCs w:val="22"/>
                <w:lang w:val="es-CR"/>
              </w:rPr>
            </w:pPr>
            <w:r w:rsidRPr="008B5F96">
              <w:rPr>
                <w:sz w:val="22"/>
                <w:szCs w:val="22"/>
                <w:lang w:val="es-CR"/>
              </w:rPr>
              <w:t>Nivel 1 o Nivel 2 o Nivel 3</w:t>
            </w:r>
          </w:p>
        </w:tc>
      </w:tr>
    </w:tbl>
    <w:p w14:paraId="35C06CBE" w14:textId="77777777" w:rsidR="008B5F96" w:rsidRPr="008B5F96" w:rsidRDefault="008B5F96" w:rsidP="008B5F96">
      <w:pPr>
        <w:jc w:val="both"/>
        <w:rPr>
          <w:sz w:val="22"/>
          <w:szCs w:val="22"/>
          <w:lang w:val="es-CR"/>
        </w:rPr>
      </w:pPr>
    </w:p>
    <w:p w14:paraId="32188067" w14:textId="77777777" w:rsidR="008B5F96" w:rsidRPr="008B5F96" w:rsidRDefault="008B5F96" w:rsidP="008B5F96">
      <w:pPr>
        <w:jc w:val="both"/>
        <w:rPr>
          <w:sz w:val="22"/>
          <w:szCs w:val="22"/>
          <w:lang w:val="es-CR"/>
        </w:rPr>
      </w:pPr>
      <w:r w:rsidRPr="008B5F96">
        <w:rPr>
          <w:sz w:val="22"/>
          <w:szCs w:val="22"/>
          <w:lang w:val="es-CR"/>
        </w:rPr>
        <w:t xml:space="preserve">En el caso de los deudores clasificados en los segmentos indicados en los numerales 1 y 2 del literal e) del artículo 5 de este Reglamento, la entidad debe calificar los deudores de acuerdo con los siguientes parámetros: morosidad máxima del deudor en la entidad al cierre del mes en curso, del nivel de </w:t>
      </w:r>
      <w:r w:rsidRPr="008B5F96">
        <w:rPr>
          <w:sz w:val="22"/>
          <w:szCs w:val="22"/>
          <w:lang w:val="es-CR"/>
        </w:rPr>
        <w:lastRenderedPageBreak/>
        <w:t>comportamiento de pago histórico del deudor y del nivel de capacidad de pago del deudor; para estos segmentos, la calificación se realizará conforme al siguiente cuadro:</w:t>
      </w:r>
    </w:p>
    <w:p w14:paraId="7102BEEA" w14:textId="77777777" w:rsidR="008B5F96" w:rsidRPr="008B5F96" w:rsidRDefault="008B5F96" w:rsidP="008B5F96">
      <w:pPr>
        <w:jc w:val="both"/>
        <w:rPr>
          <w:sz w:val="22"/>
          <w:szCs w:val="22"/>
          <w:lang w:val="es-CR"/>
        </w:rPr>
      </w:pPr>
    </w:p>
    <w:p w14:paraId="11630C80" w14:textId="77777777" w:rsidR="008B5F96" w:rsidRPr="008B5F96" w:rsidRDefault="008B5F96" w:rsidP="008B5F96">
      <w:pPr>
        <w:jc w:val="center"/>
        <w:rPr>
          <w:b/>
          <w:bCs/>
          <w:sz w:val="22"/>
          <w:szCs w:val="22"/>
          <w:lang w:val="es-CR"/>
        </w:rPr>
      </w:pPr>
      <w:r w:rsidRPr="008B5F96">
        <w:rPr>
          <w:b/>
          <w:bCs/>
          <w:sz w:val="22"/>
          <w:szCs w:val="22"/>
          <w:lang w:val="es-CR"/>
        </w:rPr>
        <w:t>Segmentos:</w:t>
      </w:r>
    </w:p>
    <w:p w14:paraId="1FE336C9" w14:textId="77777777" w:rsidR="008B5F96" w:rsidRPr="008B5F96" w:rsidRDefault="008B5F96" w:rsidP="008B5F96">
      <w:pPr>
        <w:jc w:val="center"/>
        <w:rPr>
          <w:b/>
          <w:bCs/>
          <w:sz w:val="22"/>
          <w:szCs w:val="22"/>
          <w:lang w:val="es-CR"/>
        </w:rPr>
      </w:pPr>
      <w:r w:rsidRPr="008B5F96">
        <w:rPr>
          <w:b/>
          <w:bCs/>
          <w:sz w:val="22"/>
          <w:szCs w:val="22"/>
          <w:lang w:val="es-CR"/>
        </w:rPr>
        <w:t>Empresarial 1 y Empresarial 2</w:t>
      </w:r>
    </w:p>
    <w:p w14:paraId="6AB97DE8" w14:textId="77777777" w:rsidR="008B5F96" w:rsidRPr="008B5F96" w:rsidRDefault="008B5F96" w:rsidP="008B5F96">
      <w:pPr>
        <w:jc w:val="center"/>
        <w:rPr>
          <w:b/>
          <w:bCs/>
          <w:sz w:val="22"/>
          <w:szCs w:val="22"/>
          <w:lang w:val="es-CR"/>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06"/>
        <w:gridCol w:w="1674"/>
        <w:gridCol w:w="2667"/>
        <w:gridCol w:w="1952"/>
        <w:gridCol w:w="1915"/>
      </w:tblGrid>
      <w:tr w:rsidR="008B5F96" w:rsidRPr="00426487" w14:paraId="6753820F" w14:textId="77777777" w:rsidTr="00426487">
        <w:trPr>
          <w:trHeight w:val="365"/>
          <w:jc w:val="center"/>
        </w:trPr>
        <w:tc>
          <w:tcPr>
            <w:tcW w:w="728" w:type="dxa"/>
            <w:shd w:val="clear" w:color="auto" w:fill="657C9C"/>
            <w:vAlign w:val="center"/>
          </w:tcPr>
          <w:p w14:paraId="692012A8" w14:textId="77777777" w:rsidR="008B5F96" w:rsidRPr="00426487" w:rsidRDefault="008B5F96" w:rsidP="008B5F96">
            <w:pPr>
              <w:jc w:val="center"/>
              <w:rPr>
                <w:b/>
                <w:bCs/>
                <w:color w:val="FFFFFF"/>
                <w:lang w:val="es-CR"/>
              </w:rPr>
            </w:pPr>
            <w:r w:rsidRPr="00426487">
              <w:rPr>
                <w:b/>
                <w:bCs/>
                <w:color w:val="FFFFFF"/>
                <w:lang w:val="es-CR"/>
              </w:rPr>
              <w:t>ETAPAS</w:t>
            </w:r>
          </w:p>
        </w:tc>
        <w:tc>
          <w:tcPr>
            <w:tcW w:w="1684" w:type="dxa"/>
            <w:shd w:val="clear" w:color="auto" w:fill="657C9C"/>
            <w:vAlign w:val="center"/>
            <w:hideMark/>
          </w:tcPr>
          <w:p w14:paraId="0E78AE05" w14:textId="77777777" w:rsidR="008B5F96" w:rsidRPr="00426487" w:rsidRDefault="008B5F96" w:rsidP="008B5F96">
            <w:pPr>
              <w:jc w:val="center"/>
              <w:rPr>
                <w:b/>
                <w:bCs/>
                <w:color w:val="FFFFFF"/>
                <w:lang w:val="es-CR"/>
              </w:rPr>
            </w:pPr>
            <w:r w:rsidRPr="00426487">
              <w:rPr>
                <w:b/>
                <w:bCs/>
                <w:color w:val="FFFFFF"/>
                <w:lang w:val="es-CR"/>
              </w:rPr>
              <w:t>CATEGORÍAS</w:t>
            </w:r>
          </w:p>
        </w:tc>
        <w:tc>
          <w:tcPr>
            <w:tcW w:w="2774" w:type="dxa"/>
            <w:shd w:val="clear" w:color="auto" w:fill="657C9C"/>
            <w:vAlign w:val="center"/>
            <w:hideMark/>
          </w:tcPr>
          <w:p w14:paraId="46B8BA60" w14:textId="77777777" w:rsidR="008B5F96" w:rsidRPr="00426487" w:rsidRDefault="008B5F96" w:rsidP="008B5F96">
            <w:pPr>
              <w:jc w:val="center"/>
              <w:rPr>
                <w:b/>
                <w:bCs/>
                <w:color w:val="FFFFFF"/>
                <w:lang w:val="es-CR"/>
              </w:rPr>
            </w:pPr>
            <w:r w:rsidRPr="00426487">
              <w:rPr>
                <w:b/>
                <w:bCs/>
                <w:color w:val="FFFFFF"/>
                <w:lang w:val="es-CR"/>
              </w:rPr>
              <w:t>CANTIDAD DE DÍAS DE MOROSIDAD EN LA OPERACIÓN</w:t>
            </w:r>
          </w:p>
        </w:tc>
        <w:tc>
          <w:tcPr>
            <w:tcW w:w="2069" w:type="dxa"/>
            <w:shd w:val="clear" w:color="auto" w:fill="657C9C"/>
            <w:vAlign w:val="center"/>
            <w:hideMark/>
          </w:tcPr>
          <w:p w14:paraId="37D2D66F" w14:textId="77777777" w:rsidR="008B5F96" w:rsidRPr="00426487" w:rsidRDefault="008B5F96" w:rsidP="008B5F96">
            <w:pPr>
              <w:jc w:val="center"/>
              <w:rPr>
                <w:b/>
                <w:bCs/>
                <w:color w:val="FFFFFF"/>
                <w:lang w:val="es-CR"/>
              </w:rPr>
            </w:pPr>
            <w:r w:rsidRPr="00426487">
              <w:rPr>
                <w:b/>
                <w:bCs/>
                <w:color w:val="FFFFFF"/>
                <w:lang w:val="es-CR"/>
              </w:rPr>
              <w:t>CPH</w:t>
            </w:r>
          </w:p>
        </w:tc>
        <w:tc>
          <w:tcPr>
            <w:tcW w:w="1959" w:type="dxa"/>
            <w:shd w:val="clear" w:color="auto" w:fill="657C9C"/>
          </w:tcPr>
          <w:p w14:paraId="2E7926D5" w14:textId="77777777" w:rsidR="008B5F96" w:rsidRPr="00426487" w:rsidRDefault="008B5F96" w:rsidP="008B5F96">
            <w:pPr>
              <w:jc w:val="center"/>
              <w:rPr>
                <w:b/>
                <w:bCs/>
                <w:color w:val="FFFFFF"/>
                <w:lang w:val="es-CR"/>
              </w:rPr>
            </w:pPr>
          </w:p>
          <w:p w14:paraId="78D3904B" w14:textId="77777777" w:rsidR="008B5F96" w:rsidRPr="00426487" w:rsidRDefault="008B5F96" w:rsidP="008B5F96">
            <w:pPr>
              <w:jc w:val="center"/>
              <w:rPr>
                <w:b/>
                <w:bCs/>
                <w:color w:val="FFFFFF"/>
                <w:lang w:val="es-CR"/>
              </w:rPr>
            </w:pPr>
            <w:r w:rsidRPr="00426487">
              <w:rPr>
                <w:b/>
                <w:bCs/>
                <w:color w:val="FFFFFF"/>
                <w:lang w:val="es-CR"/>
              </w:rPr>
              <w:t>CAPACIDAD DE PAGO</w:t>
            </w:r>
          </w:p>
        </w:tc>
      </w:tr>
      <w:tr w:rsidR="008B5F96" w:rsidRPr="00426487" w14:paraId="6902DDCB" w14:textId="77777777" w:rsidTr="00426487">
        <w:trPr>
          <w:trHeight w:val="204"/>
          <w:jc w:val="center"/>
        </w:trPr>
        <w:tc>
          <w:tcPr>
            <w:tcW w:w="728" w:type="dxa"/>
            <w:vMerge w:val="restart"/>
            <w:vAlign w:val="center"/>
          </w:tcPr>
          <w:p w14:paraId="09B15A2F" w14:textId="77777777" w:rsidR="008B5F96" w:rsidRPr="00426487" w:rsidRDefault="008B5F96" w:rsidP="008B5F96">
            <w:pPr>
              <w:jc w:val="both"/>
              <w:rPr>
                <w:lang w:val="es-CR"/>
              </w:rPr>
            </w:pPr>
            <w:r w:rsidRPr="00426487">
              <w:rPr>
                <w:lang w:val="es-CR"/>
              </w:rPr>
              <w:t>Etapa 1</w:t>
            </w:r>
          </w:p>
        </w:tc>
        <w:tc>
          <w:tcPr>
            <w:tcW w:w="1684" w:type="dxa"/>
            <w:vAlign w:val="center"/>
            <w:hideMark/>
          </w:tcPr>
          <w:p w14:paraId="73DD83A7" w14:textId="77777777" w:rsidR="008B5F96" w:rsidRPr="00426487" w:rsidRDefault="008B5F96" w:rsidP="008B5F96">
            <w:pPr>
              <w:jc w:val="center"/>
              <w:rPr>
                <w:lang w:val="es-CR"/>
              </w:rPr>
            </w:pPr>
            <w:r w:rsidRPr="00426487">
              <w:rPr>
                <w:lang w:val="es-CR"/>
              </w:rPr>
              <w:t>1</w:t>
            </w:r>
          </w:p>
        </w:tc>
        <w:tc>
          <w:tcPr>
            <w:tcW w:w="2774" w:type="dxa"/>
            <w:vAlign w:val="center"/>
            <w:hideMark/>
          </w:tcPr>
          <w:p w14:paraId="1410A1EB" w14:textId="77777777" w:rsidR="008B5F96" w:rsidRPr="00426487" w:rsidRDefault="008B5F96" w:rsidP="008B5F96">
            <w:pPr>
              <w:jc w:val="both"/>
              <w:rPr>
                <w:lang w:val="es-CR"/>
              </w:rPr>
            </w:pPr>
            <w:r w:rsidRPr="00426487">
              <w:rPr>
                <w:lang w:val="es-CR"/>
              </w:rPr>
              <w:t>Al día o hasta 5 días de morosidad.</w:t>
            </w:r>
          </w:p>
        </w:tc>
        <w:tc>
          <w:tcPr>
            <w:tcW w:w="2069" w:type="dxa"/>
            <w:vAlign w:val="center"/>
            <w:hideMark/>
          </w:tcPr>
          <w:p w14:paraId="5D207EC6" w14:textId="77777777" w:rsidR="008B5F96" w:rsidRPr="00426487" w:rsidRDefault="008B5F96" w:rsidP="008B5F96">
            <w:pPr>
              <w:jc w:val="both"/>
              <w:rPr>
                <w:lang w:val="es-CR"/>
              </w:rPr>
            </w:pPr>
            <w:r w:rsidRPr="00426487">
              <w:rPr>
                <w:lang w:val="es-CR"/>
              </w:rPr>
              <w:t>Nivel 1</w:t>
            </w:r>
          </w:p>
        </w:tc>
        <w:tc>
          <w:tcPr>
            <w:tcW w:w="1959" w:type="dxa"/>
          </w:tcPr>
          <w:p w14:paraId="42AC59EE" w14:textId="77777777" w:rsidR="008B5F96" w:rsidRPr="00426487" w:rsidRDefault="008B5F96" w:rsidP="008B5F96">
            <w:pPr>
              <w:jc w:val="both"/>
              <w:rPr>
                <w:lang w:val="es-CR"/>
              </w:rPr>
            </w:pPr>
            <w:r w:rsidRPr="00426487">
              <w:rPr>
                <w:lang w:val="es-CR"/>
              </w:rPr>
              <w:t>Nivel 1</w:t>
            </w:r>
          </w:p>
        </w:tc>
      </w:tr>
      <w:tr w:rsidR="008B5F96" w:rsidRPr="00426487" w14:paraId="5786DA08" w14:textId="77777777" w:rsidTr="00426487">
        <w:trPr>
          <w:trHeight w:val="207"/>
          <w:jc w:val="center"/>
        </w:trPr>
        <w:tc>
          <w:tcPr>
            <w:tcW w:w="728" w:type="dxa"/>
            <w:vMerge/>
          </w:tcPr>
          <w:p w14:paraId="2E03A8E3" w14:textId="77777777" w:rsidR="008B5F96" w:rsidRPr="00426487" w:rsidRDefault="008B5F96" w:rsidP="008B5F96">
            <w:pPr>
              <w:jc w:val="both"/>
              <w:rPr>
                <w:lang w:val="es-CR"/>
              </w:rPr>
            </w:pPr>
          </w:p>
        </w:tc>
        <w:tc>
          <w:tcPr>
            <w:tcW w:w="1684" w:type="dxa"/>
            <w:vAlign w:val="center"/>
            <w:hideMark/>
          </w:tcPr>
          <w:p w14:paraId="5D72D4C5" w14:textId="77777777" w:rsidR="008B5F96" w:rsidRPr="00426487" w:rsidRDefault="008B5F96" w:rsidP="008B5F96">
            <w:pPr>
              <w:jc w:val="center"/>
              <w:rPr>
                <w:lang w:val="es-CR"/>
              </w:rPr>
            </w:pPr>
            <w:r w:rsidRPr="00426487">
              <w:rPr>
                <w:lang w:val="es-CR"/>
              </w:rPr>
              <w:t>2</w:t>
            </w:r>
          </w:p>
        </w:tc>
        <w:tc>
          <w:tcPr>
            <w:tcW w:w="2774" w:type="dxa"/>
            <w:vAlign w:val="center"/>
            <w:hideMark/>
          </w:tcPr>
          <w:p w14:paraId="19596E46" w14:textId="77777777" w:rsidR="008B5F96" w:rsidRPr="00426487" w:rsidRDefault="008B5F96" w:rsidP="008B5F96">
            <w:pPr>
              <w:jc w:val="both"/>
              <w:rPr>
                <w:lang w:val="es-CR"/>
              </w:rPr>
            </w:pPr>
            <w:r w:rsidRPr="00426487">
              <w:rPr>
                <w:lang w:val="es-CR"/>
              </w:rPr>
              <w:t>Hasta 30 días.</w:t>
            </w:r>
          </w:p>
        </w:tc>
        <w:tc>
          <w:tcPr>
            <w:tcW w:w="2069" w:type="dxa"/>
            <w:vAlign w:val="center"/>
            <w:hideMark/>
          </w:tcPr>
          <w:p w14:paraId="16E82BB4" w14:textId="77777777" w:rsidR="008B5F96" w:rsidRPr="00426487" w:rsidRDefault="008B5F96" w:rsidP="008B5F96">
            <w:pPr>
              <w:jc w:val="both"/>
              <w:rPr>
                <w:lang w:val="es-CR"/>
              </w:rPr>
            </w:pPr>
            <w:r w:rsidRPr="00426487">
              <w:rPr>
                <w:lang w:val="es-CR"/>
              </w:rPr>
              <w:t xml:space="preserve">Nivel 1 o Nivel 2 </w:t>
            </w:r>
          </w:p>
        </w:tc>
        <w:tc>
          <w:tcPr>
            <w:tcW w:w="1959" w:type="dxa"/>
          </w:tcPr>
          <w:p w14:paraId="63E15BAD" w14:textId="77777777" w:rsidR="008B5F96" w:rsidRPr="00426487" w:rsidRDefault="008B5F96" w:rsidP="008B5F96">
            <w:pPr>
              <w:jc w:val="both"/>
              <w:rPr>
                <w:lang w:val="es-CR"/>
              </w:rPr>
            </w:pPr>
            <w:r w:rsidRPr="00426487">
              <w:rPr>
                <w:lang w:val="es-CR"/>
              </w:rPr>
              <w:t>Nivel 1 o Nivel 2</w:t>
            </w:r>
          </w:p>
        </w:tc>
      </w:tr>
      <w:tr w:rsidR="008B5F96" w:rsidRPr="00426487" w14:paraId="5E53407D" w14:textId="77777777" w:rsidTr="00426487">
        <w:trPr>
          <w:trHeight w:val="249"/>
          <w:jc w:val="center"/>
        </w:trPr>
        <w:tc>
          <w:tcPr>
            <w:tcW w:w="728" w:type="dxa"/>
            <w:vMerge w:val="restart"/>
            <w:vAlign w:val="center"/>
          </w:tcPr>
          <w:p w14:paraId="6B674B1B" w14:textId="77777777" w:rsidR="008B5F96" w:rsidRPr="00426487" w:rsidRDefault="008B5F96" w:rsidP="008B5F96">
            <w:pPr>
              <w:jc w:val="both"/>
              <w:rPr>
                <w:lang w:val="es-CR"/>
              </w:rPr>
            </w:pPr>
            <w:r w:rsidRPr="00426487">
              <w:rPr>
                <w:lang w:val="es-CR"/>
              </w:rPr>
              <w:t>Etapa 2</w:t>
            </w:r>
          </w:p>
        </w:tc>
        <w:tc>
          <w:tcPr>
            <w:tcW w:w="1684" w:type="dxa"/>
            <w:vAlign w:val="center"/>
          </w:tcPr>
          <w:p w14:paraId="74B941B8" w14:textId="77777777" w:rsidR="008B5F96" w:rsidRPr="00426487" w:rsidRDefault="008B5F96" w:rsidP="008B5F96">
            <w:pPr>
              <w:jc w:val="center"/>
              <w:rPr>
                <w:lang w:val="es-CR"/>
              </w:rPr>
            </w:pPr>
            <w:r w:rsidRPr="00426487">
              <w:rPr>
                <w:lang w:val="es-CR"/>
              </w:rPr>
              <w:t>3</w:t>
            </w:r>
          </w:p>
        </w:tc>
        <w:tc>
          <w:tcPr>
            <w:tcW w:w="2774" w:type="dxa"/>
            <w:vAlign w:val="center"/>
          </w:tcPr>
          <w:p w14:paraId="021B13E1" w14:textId="77777777" w:rsidR="008B5F96" w:rsidRPr="00426487" w:rsidRDefault="008B5F96" w:rsidP="008B5F96">
            <w:pPr>
              <w:jc w:val="both"/>
              <w:rPr>
                <w:lang w:val="es-CR"/>
              </w:rPr>
            </w:pPr>
            <w:r w:rsidRPr="00426487">
              <w:rPr>
                <w:lang w:val="es-CR"/>
              </w:rPr>
              <w:t>Hasta 60 días.</w:t>
            </w:r>
          </w:p>
        </w:tc>
        <w:tc>
          <w:tcPr>
            <w:tcW w:w="2069" w:type="dxa"/>
            <w:vAlign w:val="center"/>
          </w:tcPr>
          <w:p w14:paraId="63D63EBB" w14:textId="77777777" w:rsidR="008B5F96" w:rsidRPr="00426487" w:rsidRDefault="008B5F96" w:rsidP="008B5F96">
            <w:pPr>
              <w:jc w:val="both"/>
              <w:rPr>
                <w:lang w:val="es-CR"/>
              </w:rPr>
            </w:pPr>
            <w:r w:rsidRPr="00426487">
              <w:rPr>
                <w:lang w:val="es-CR"/>
              </w:rPr>
              <w:t>Nivel 1 o Nivel 2</w:t>
            </w:r>
          </w:p>
        </w:tc>
        <w:tc>
          <w:tcPr>
            <w:tcW w:w="1959" w:type="dxa"/>
          </w:tcPr>
          <w:p w14:paraId="2D317B48" w14:textId="77777777" w:rsidR="008B5F96" w:rsidRPr="00426487" w:rsidRDefault="008B5F96" w:rsidP="008B5F96">
            <w:pPr>
              <w:jc w:val="both"/>
              <w:rPr>
                <w:lang w:val="es-CR"/>
              </w:rPr>
            </w:pPr>
            <w:r w:rsidRPr="00426487">
              <w:rPr>
                <w:lang w:val="es-CR"/>
              </w:rPr>
              <w:t>Nivel 1 o Nivel 2</w:t>
            </w:r>
          </w:p>
        </w:tc>
      </w:tr>
      <w:tr w:rsidR="008B5F96" w:rsidRPr="00426487" w14:paraId="152436C3" w14:textId="77777777" w:rsidTr="00426487">
        <w:trPr>
          <w:trHeight w:val="213"/>
          <w:jc w:val="center"/>
        </w:trPr>
        <w:tc>
          <w:tcPr>
            <w:tcW w:w="728" w:type="dxa"/>
            <w:vMerge/>
          </w:tcPr>
          <w:p w14:paraId="3ADDD241" w14:textId="77777777" w:rsidR="008B5F96" w:rsidRPr="00426487" w:rsidRDefault="008B5F96" w:rsidP="008B5F96">
            <w:pPr>
              <w:jc w:val="both"/>
              <w:rPr>
                <w:lang w:val="es-CR"/>
              </w:rPr>
            </w:pPr>
          </w:p>
        </w:tc>
        <w:tc>
          <w:tcPr>
            <w:tcW w:w="1684" w:type="dxa"/>
            <w:vAlign w:val="center"/>
            <w:hideMark/>
          </w:tcPr>
          <w:p w14:paraId="6AD7CF18" w14:textId="77777777" w:rsidR="008B5F96" w:rsidRPr="00426487" w:rsidRDefault="008B5F96" w:rsidP="008B5F96">
            <w:pPr>
              <w:jc w:val="center"/>
              <w:rPr>
                <w:lang w:val="es-CR"/>
              </w:rPr>
            </w:pPr>
            <w:r w:rsidRPr="00426487">
              <w:rPr>
                <w:lang w:val="es-CR"/>
              </w:rPr>
              <w:t>4</w:t>
            </w:r>
          </w:p>
        </w:tc>
        <w:tc>
          <w:tcPr>
            <w:tcW w:w="2774" w:type="dxa"/>
            <w:vAlign w:val="center"/>
            <w:hideMark/>
          </w:tcPr>
          <w:p w14:paraId="7430B07F" w14:textId="77777777" w:rsidR="008B5F96" w:rsidRPr="00426487" w:rsidRDefault="008B5F96" w:rsidP="008B5F96">
            <w:pPr>
              <w:jc w:val="both"/>
              <w:rPr>
                <w:lang w:val="es-CR"/>
              </w:rPr>
            </w:pPr>
            <w:r w:rsidRPr="00426487">
              <w:rPr>
                <w:lang w:val="es-CR"/>
              </w:rPr>
              <w:t>Hasta 90 días.</w:t>
            </w:r>
          </w:p>
        </w:tc>
        <w:tc>
          <w:tcPr>
            <w:tcW w:w="2069" w:type="dxa"/>
            <w:vAlign w:val="center"/>
            <w:hideMark/>
          </w:tcPr>
          <w:p w14:paraId="0AEFDDD1" w14:textId="77777777" w:rsidR="008B5F96" w:rsidRPr="00426487" w:rsidRDefault="008B5F96" w:rsidP="008B5F96">
            <w:pPr>
              <w:jc w:val="both"/>
              <w:rPr>
                <w:lang w:val="es-CR"/>
              </w:rPr>
            </w:pPr>
            <w:r w:rsidRPr="00426487">
              <w:rPr>
                <w:lang w:val="es-CR"/>
              </w:rPr>
              <w:t>Nivel 1 o Nivel 2 o Nivel 3</w:t>
            </w:r>
          </w:p>
        </w:tc>
        <w:tc>
          <w:tcPr>
            <w:tcW w:w="1959" w:type="dxa"/>
          </w:tcPr>
          <w:p w14:paraId="2F1D6123" w14:textId="77777777" w:rsidR="008B5F96" w:rsidRPr="00426487" w:rsidRDefault="008B5F96" w:rsidP="008B5F96">
            <w:pPr>
              <w:jc w:val="both"/>
              <w:rPr>
                <w:lang w:val="es-CR"/>
              </w:rPr>
            </w:pPr>
            <w:r w:rsidRPr="00426487">
              <w:rPr>
                <w:lang w:val="es-CR"/>
              </w:rPr>
              <w:t>Nivel 1 o Nivel 2 o Nivel 3</w:t>
            </w:r>
          </w:p>
        </w:tc>
      </w:tr>
      <w:tr w:rsidR="008B5F96" w:rsidRPr="00426487" w14:paraId="42585AA2" w14:textId="77777777" w:rsidTr="00426487">
        <w:trPr>
          <w:trHeight w:val="218"/>
          <w:jc w:val="center"/>
        </w:trPr>
        <w:tc>
          <w:tcPr>
            <w:tcW w:w="728" w:type="dxa"/>
            <w:vMerge w:val="restart"/>
            <w:vAlign w:val="center"/>
          </w:tcPr>
          <w:p w14:paraId="29558F6A" w14:textId="77777777" w:rsidR="008B5F96" w:rsidRPr="00426487" w:rsidRDefault="008B5F96" w:rsidP="008B5F96">
            <w:pPr>
              <w:jc w:val="both"/>
              <w:rPr>
                <w:lang w:val="es-CR"/>
              </w:rPr>
            </w:pPr>
            <w:r w:rsidRPr="00426487">
              <w:rPr>
                <w:lang w:val="es-CR"/>
              </w:rPr>
              <w:t>Etapa 3</w:t>
            </w:r>
          </w:p>
        </w:tc>
        <w:tc>
          <w:tcPr>
            <w:tcW w:w="1684" w:type="dxa"/>
            <w:vAlign w:val="center"/>
            <w:hideMark/>
          </w:tcPr>
          <w:p w14:paraId="526B8E4D" w14:textId="77777777" w:rsidR="008B5F96" w:rsidRPr="00426487" w:rsidRDefault="008B5F96" w:rsidP="008B5F96">
            <w:pPr>
              <w:jc w:val="center"/>
              <w:rPr>
                <w:lang w:val="es-CR"/>
              </w:rPr>
            </w:pPr>
            <w:r w:rsidRPr="00426487">
              <w:rPr>
                <w:lang w:val="es-CR"/>
              </w:rPr>
              <w:t>5</w:t>
            </w:r>
          </w:p>
        </w:tc>
        <w:tc>
          <w:tcPr>
            <w:tcW w:w="2774" w:type="dxa"/>
            <w:vAlign w:val="center"/>
            <w:hideMark/>
          </w:tcPr>
          <w:p w14:paraId="033F140A" w14:textId="77777777" w:rsidR="008B5F96" w:rsidRPr="00426487" w:rsidRDefault="008B5F96" w:rsidP="008B5F96">
            <w:pPr>
              <w:jc w:val="both"/>
              <w:rPr>
                <w:lang w:val="es-CR"/>
              </w:rPr>
            </w:pPr>
            <w:r w:rsidRPr="00426487">
              <w:rPr>
                <w:lang w:val="es-CR"/>
              </w:rPr>
              <w:t xml:space="preserve">Hasta 120 días. </w:t>
            </w:r>
          </w:p>
        </w:tc>
        <w:tc>
          <w:tcPr>
            <w:tcW w:w="2069" w:type="dxa"/>
            <w:vAlign w:val="center"/>
            <w:hideMark/>
          </w:tcPr>
          <w:p w14:paraId="25F084F9" w14:textId="77777777" w:rsidR="008B5F96" w:rsidRPr="00426487" w:rsidRDefault="008B5F96" w:rsidP="008B5F96">
            <w:pPr>
              <w:jc w:val="both"/>
              <w:rPr>
                <w:lang w:val="es-CR"/>
              </w:rPr>
            </w:pPr>
            <w:r w:rsidRPr="00426487">
              <w:rPr>
                <w:lang w:val="es-CR"/>
              </w:rPr>
              <w:t>Nivel 1 o Nivel 2 o Nivel 3</w:t>
            </w:r>
          </w:p>
        </w:tc>
        <w:tc>
          <w:tcPr>
            <w:tcW w:w="1959" w:type="dxa"/>
          </w:tcPr>
          <w:p w14:paraId="172A06EC" w14:textId="77777777" w:rsidR="008B5F96" w:rsidRPr="00426487" w:rsidRDefault="008B5F96" w:rsidP="008B5F96">
            <w:pPr>
              <w:jc w:val="both"/>
              <w:rPr>
                <w:lang w:val="es-CR"/>
              </w:rPr>
            </w:pPr>
            <w:r w:rsidRPr="00426487">
              <w:rPr>
                <w:lang w:val="es-CR"/>
              </w:rPr>
              <w:t>Nivel 1 o Nivel 2 o Nivel 3 o Nivel 4</w:t>
            </w:r>
          </w:p>
        </w:tc>
      </w:tr>
      <w:tr w:rsidR="008B5F96" w:rsidRPr="00426487" w14:paraId="0D1580B5" w14:textId="77777777" w:rsidTr="00426487">
        <w:trPr>
          <w:trHeight w:val="221"/>
          <w:jc w:val="center"/>
        </w:trPr>
        <w:tc>
          <w:tcPr>
            <w:tcW w:w="728" w:type="dxa"/>
            <w:vMerge/>
          </w:tcPr>
          <w:p w14:paraId="5299DCF4" w14:textId="77777777" w:rsidR="008B5F96" w:rsidRPr="00426487" w:rsidRDefault="008B5F96" w:rsidP="008B5F96">
            <w:pPr>
              <w:jc w:val="both"/>
              <w:rPr>
                <w:lang w:val="es-CR"/>
              </w:rPr>
            </w:pPr>
          </w:p>
        </w:tc>
        <w:tc>
          <w:tcPr>
            <w:tcW w:w="1684" w:type="dxa"/>
            <w:vAlign w:val="center"/>
          </w:tcPr>
          <w:p w14:paraId="73BE7041" w14:textId="77777777" w:rsidR="008B5F96" w:rsidRPr="00426487" w:rsidRDefault="008B5F96" w:rsidP="008B5F96">
            <w:pPr>
              <w:jc w:val="center"/>
              <w:rPr>
                <w:lang w:val="es-CR"/>
              </w:rPr>
            </w:pPr>
            <w:r w:rsidRPr="00426487">
              <w:rPr>
                <w:lang w:val="es-CR"/>
              </w:rPr>
              <w:t>6</w:t>
            </w:r>
          </w:p>
        </w:tc>
        <w:tc>
          <w:tcPr>
            <w:tcW w:w="2774" w:type="dxa"/>
            <w:vAlign w:val="center"/>
          </w:tcPr>
          <w:p w14:paraId="6BE551DD" w14:textId="77777777" w:rsidR="008B5F96" w:rsidRPr="00426487" w:rsidRDefault="008B5F96" w:rsidP="008B5F96">
            <w:pPr>
              <w:jc w:val="both"/>
              <w:rPr>
                <w:lang w:val="es-CR"/>
              </w:rPr>
            </w:pPr>
            <w:r w:rsidRPr="00426487">
              <w:rPr>
                <w:lang w:val="es-CR"/>
              </w:rPr>
              <w:t>Hasta 150 días.</w:t>
            </w:r>
          </w:p>
        </w:tc>
        <w:tc>
          <w:tcPr>
            <w:tcW w:w="2069" w:type="dxa"/>
            <w:vAlign w:val="center"/>
          </w:tcPr>
          <w:p w14:paraId="57828CFC" w14:textId="77777777" w:rsidR="008B5F96" w:rsidRPr="00426487" w:rsidRDefault="008B5F96" w:rsidP="008B5F96">
            <w:pPr>
              <w:jc w:val="both"/>
              <w:rPr>
                <w:lang w:val="es-CR"/>
              </w:rPr>
            </w:pPr>
            <w:r w:rsidRPr="00426487">
              <w:rPr>
                <w:lang w:val="es-CR"/>
              </w:rPr>
              <w:t>Nivel 1 o Nivel 2 o Nivel 3</w:t>
            </w:r>
          </w:p>
        </w:tc>
        <w:tc>
          <w:tcPr>
            <w:tcW w:w="1959" w:type="dxa"/>
          </w:tcPr>
          <w:p w14:paraId="46678992" w14:textId="77777777" w:rsidR="008B5F96" w:rsidRPr="00426487" w:rsidRDefault="008B5F96" w:rsidP="008B5F96">
            <w:pPr>
              <w:jc w:val="both"/>
              <w:rPr>
                <w:lang w:val="es-CR"/>
              </w:rPr>
            </w:pPr>
            <w:r w:rsidRPr="00426487">
              <w:rPr>
                <w:lang w:val="es-CR"/>
              </w:rPr>
              <w:t>Nivel 1 o Nivel 2 o Nivel 3 o Nivel 4</w:t>
            </w:r>
          </w:p>
        </w:tc>
      </w:tr>
      <w:tr w:rsidR="008B5F96" w:rsidRPr="00426487" w14:paraId="70A256A8" w14:textId="77777777" w:rsidTr="00426487">
        <w:trPr>
          <w:trHeight w:val="225"/>
          <w:jc w:val="center"/>
        </w:trPr>
        <w:tc>
          <w:tcPr>
            <w:tcW w:w="728" w:type="dxa"/>
            <w:vMerge/>
          </w:tcPr>
          <w:p w14:paraId="0CF74AFE" w14:textId="77777777" w:rsidR="008B5F96" w:rsidRPr="00426487" w:rsidRDefault="008B5F96" w:rsidP="008B5F96">
            <w:pPr>
              <w:jc w:val="both"/>
              <w:rPr>
                <w:lang w:val="es-CR"/>
              </w:rPr>
            </w:pPr>
          </w:p>
        </w:tc>
        <w:tc>
          <w:tcPr>
            <w:tcW w:w="1684" w:type="dxa"/>
            <w:vAlign w:val="center"/>
          </w:tcPr>
          <w:p w14:paraId="06049E56" w14:textId="77777777" w:rsidR="008B5F96" w:rsidRPr="00426487" w:rsidRDefault="008B5F96" w:rsidP="008B5F96">
            <w:pPr>
              <w:jc w:val="center"/>
              <w:rPr>
                <w:lang w:val="es-CR"/>
              </w:rPr>
            </w:pPr>
            <w:r w:rsidRPr="00426487">
              <w:rPr>
                <w:lang w:val="es-CR"/>
              </w:rPr>
              <w:t>7</w:t>
            </w:r>
          </w:p>
        </w:tc>
        <w:tc>
          <w:tcPr>
            <w:tcW w:w="2774" w:type="dxa"/>
            <w:vAlign w:val="center"/>
          </w:tcPr>
          <w:p w14:paraId="7A3AF539" w14:textId="77777777" w:rsidR="008B5F96" w:rsidRPr="00426487" w:rsidRDefault="008B5F96" w:rsidP="008B5F96">
            <w:pPr>
              <w:jc w:val="both"/>
              <w:rPr>
                <w:lang w:val="es-CR"/>
              </w:rPr>
            </w:pPr>
            <w:r w:rsidRPr="00426487">
              <w:rPr>
                <w:lang w:val="es-CR"/>
              </w:rPr>
              <w:t>Hasta 180 días.</w:t>
            </w:r>
          </w:p>
        </w:tc>
        <w:tc>
          <w:tcPr>
            <w:tcW w:w="2069" w:type="dxa"/>
            <w:vAlign w:val="center"/>
          </w:tcPr>
          <w:p w14:paraId="42DE7D73" w14:textId="77777777" w:rsidR="008B5F96" w:rsidRPr="00426487" w:rsidRDefault="008B5F96" w:rsidP="008B5F96">
            <w:pPr>
              <w:jc w:val="both"/>
              <w:rPr>
                <w:lang w:val="es-CR"/>
              </w:rPr>
            </w:pPr>
            <w:r w:rsidRPr="00426487">
              <w:rPr>
                <w:lang w:val="es-CR"/>
              </w:rPr>
              <w:t>Nivel 1 o Nivel 2 o Nivel 3</w:t>
            </w:r>
          </w:p>
        </w:tc>
        <w:tc>
          <w:tcPr>
            <w:tcW w:w="1959" w:type="dxa"/>
          </w:tcPr>
          <w:p w14:paraId="6C7F746C" w14:textId="77777777" w:rsidR="008B5F96" w:rsidRPr="00426487" w:rsidRDefault="008B5F96" w:rsidP="008B5F96">
            <w:pPr>
              <w:jc w:val="both"/>
              <w:rPr>
                <w:lang w:val="es-CR"/>
              </w:rPr>
            </w:pPr>
            <w:r w:rsidRPr="00426487">
              <w:rPr>
                <w:lang w:val="es-CR"/>
              </w:rPr>
              <w:t>Nivel 1 o Nivel 2 o Nivel 3 o Nivel 4</w:t>
            </w:r>
          </w:p>
        </w:tc>
      </w:tr>
      <w:tr w:rsidR="008B5F96" w:rsidRPr="00426487" w14:paraId="6C91D201" w14:textId="77777777" w:rsidTr="00426487">
        <w:trPr>
          <w:trHeight w:val="116"/>
          <w:jc w:val="center"/>
        </w:trPr>
        <w:tc>
          <w:tcPr>
            <w:tcW w:w="728" w:type="dxa"/>
            <w:vMerge/>
          </w:tcPr>
          <w:p w14:paraId="1EE35BF3" w14:textId="77777777" w:rsidR="008B5F96" w:rsidRPr="00426487" w:rsidRDefault="008B5F96" w:rsidP="008B5F96">
            <w:pPr>
              <w:jc w:val="both"/>
              <w:rPr>
                <w:lang w:val="es-CR"/>
              </w:rPr>
            </w:pPr>
          </w:p>
        </w:tc>
        <w:tc>
          <w:tcPr>
            <w:tcW w:w="1684" w:type="dxa"/>
            <w:vAlign w:val="center"/>
            <w:hideMark/>
          </w:tcPr>
          <w:p w14:paraId="134B48EE" w14:textId="77777777" w:rsidR="008B5F96" w:rsidRPr="00426487" w:rsidRDefault="008B5F96" w:rsidP="008B5F96">
            <w:pPr>
              <w:jc w:val="center"/>
              <w:rPr>
                <w:lang w:val="es-CR"/>
              </w:rPr>
            </w:pPr>
            <w:r w:rsidRPr="00426487">
              <w:rPr>
                <w:lang w:val="es-CR"/>
              </w:rPr>
              <w:t>8</w:t>
            </w:r>
          </w:p>
        </w:tc>
        <w:tc>
          <w:tcPr>
            <w:tcW w:w="2774" w:type="dxa"/>
            <w:vAlign w:val="center"/>
            <w:hideMark/>
          </w:tcPr>
          <w:p w14:paraId="4A398929" w14:textId="77777777" w:rsidR="008B5F96" w:rsidRPr="00426487" w:rsidRDefault="008B5F96" w:rsidP="008B5F96">
            <w:pPr>
              <w:jc w:val="both"/>
              <w:rPr>
                <w:lang w:val="es-CR"/>
              </w:rPr>
            </w:pPr>
            <w:r w:rsidRPr="00426487">
              <w:rPr>
                <w:lang w:val="es-CR"/>
              </w:rPr>
              <w:t xml:space="preserve">De 181 días en adelante. </w:t>
            </w:r>
          </w:p>
        </w:tc>
        <w:tc>
          <w:tcPr>
            <w:tcW w:w="2069" w:type="dxa"/>
            <w:vAlign w:val="center"/>
          </w:tcPr>
          <w:p w14:paraId="1C4FB44D" w14:textId="77777777" w:rsidR="008B5F96" w:rsidRPr="00426487" w:rsidRDefault="008B5F96" w:rsidP="008B5F96">
            <w:pPr>
              <w:jc w:val="both"/>
              <w:rPr>
                <w:lang w:val="es-CR"/>
              </w:rPr>
            </w:pPr>
            <w:r w:rsidRPr="00426487">
              <w:rPr>
                <w:lang w:val="es-CR"/>
              </w:rPr>
              <w:t>Nivel 1 o Nivel 2 o Nivel 3</w:t>
            </w:r>
          </w:p>
        </w:tc>
        <w:tc>
          <w:tcPr>
            <w:tcW w:w="1959" w:type="dxa"/>
          </w:tcPr>
          <w:p w14:paraId="38C4AF9C" w14:textId="77777777" w:rsidR="008B5F96" w:rsidRPr="00426487" w:rsidRDefault="008B5F96" w:rsidP="008B5F96">
            <w:pPr>
              <w:jc w:val="both"/>
              <w:rPr>
                <w:lang w:val="es-CR"/>
              </w:rPr>
            </w:pPr>
            <w:r w:rsidRPr="00426487">
              <w:rPr>
                <w:lang w:val="es-CR"/>
              </w:rPr>
              <w:t>Nivel 1 o Nivel 2 o Nivel 3 o Nivel 4</w:t>
            </w:r>
          </w:p>
        </w:tc>
      </w:tr>
    </w:tbl>
    <w:p w14:paraId="31326481" w14:textId="77777777" w:rsidR="008B5F96" w:rsidRPr="008B5F96" w:rsidRDefault="008B5F96" w:rsidP="008B5F96">
      <w:pPr>
        <w:jc w:val="both"/>
        <w:rPr>
          <w:sz w:val="22"/>
          <w:szCs w:val="22"/>
          <w:lang w:val="es-CR"/>
        </w:rPr>
      </w:pPr>
    </w:p>
    <w:p w14:paraId="75467151" w14:textId="77777777" w:rsidR="008B5F96" w:rsidRPr="008B5F96" w:rsidRDefault="008B5F96" w:rsidP="008B5F96">
      <w:pPr>
        <w:jc w:val="both"/>
        <w:rPr>
          <w:sz w:val="22"/>
          <w:szCs w:val="22"/>
          <w:lang w:val="es-CR"/>
        </w:rPr>
      </w:pPr>
      <w:r w:rsidRPr="008B5F96">
        <w:rPr>
          <w:sz w:val="22"/>
          <w:szCs w:val="22"/>
          <w:lang w:val="es-CR"/>
        </w:rPr>
        <w:t>Las ocho categorías de riesgo señaladas en los cuadros anteriores se asocian, de manera conceptual, con las tres etapas de clasificación establecidas en la NIIF-9. Esta asociación permite una alineación técnica entre la evaluación interna del deterioro crediticio y el modelo de pérdida esperada definido por la normativa contable internacional.</w:t>
      </w:r>
    </w:p>
    <w:p w14:paraId="2A762311" w14:textId="77777777" w:rsidR="008B5F96" w:rsidRPr="008B5F96" w:rsidRDefault="008B5F96" w:rsidP="008B5F96">
      <w:pPr>
        <w:jc w:val="both"/>
        <w:rPr>
          <w:sz w:val="22"/>
          <w:szCs w:val="22"/>
          <w:lang w:val="es-CR"/>
        </w:rPr>
      </w:pPr>
    </w:p>
    <w:p w14:paraId="112C19B9" w14:textId="77777777" w:rsidR="008B5F96" w:rsidRPr="008B5F96" w:rsidRDefault="008B5F96" w:rsidP="008B5F96">
      <w:pPr>
        <w:jc w:val="both"/>
        <w:rPr>
          <w:sz w:val="22"/>
          <w:szCs w:val="22"/>
          <w:lang w:val="es-CR"/>
        </w:rPr>
      </w:pPr>
      <w:r w:rsidRPr="008B5F96">
        <w:rPr>
          <w:sz w:val="22"/>
          <w:szCs w:val="22"/>
          <w:lang w:val="es-CR"/>
        </w:rPr>
        <w:t>Las etapas referenciadas son las siguientes:</w:t>
      </w:r>
    </w:p>
    <w:p w14:paraId="63E379D0" w14:textId="77777777" w:rsidR="008B5F96" w:rsidRPr="008B5F96" w:rsidRDefault="008B5F96" w:rsidP="008B5F96">
      <w:pPr>
        <w:jc w:val="both"/>
        <w:rPr>
          <w:sz w:val="22"/>
          <w:szCs w:val="22"/>
          <w:lang w:val="es-CR"/>
        </w:rPr>
      </w:pPr>
    </w:p>
    <w:p w14:paraId="28C515D4"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Etapa 1: Operaciones en riesgo normal, en esta fase no existe evidencia de incremento significativo de riesgo desde el reconocimiento inicial de la operación. Incluye la categoría 1 y la categoría 2.</w:t>
      </w:r>
    </w:p>
    <w:p w14:paraId="2BE323C2" w14:textId="77777777" w:rsidR="008B5F96" w:rsidRPr="008B5F96" w:rsidRDefault="008B5F96" w:rsidP="008B5F96">
      <w:pPr>
        <w:ind w:left="360"/>
        <w:contextualSpacing/>
        <w:jc w:val="both"/>
        <w:rPr>
          <w:sz w:val="22"/>
          <w:szCs w:val="22"/>
          <w:lang w:val="es-CR"/>
        </w:rPr>
      </w:pPr>
    </w:p>
    <w:p w14:paraId="43DF96BA"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Etapa 2: Operaciones en vigilancia especial, se observa incremento significativo de riesgo de crédito desde el reconocimiento inicial de la operación. Incluye las categorías 3 y 4.</w:t>
      </w:r>
    </w:p>
    <w:p w14:paraId="73A641D2" w14:textId="77777777" w:rsidR="008B5F96" w:rsidRPr="008B5F96" w:rsidRDefault="008B5F96" w:rsidP="008B5F96">
      <w:pPr>
        <w:ind w:left="720"/>
        <w:contextualSpacing/>
        <w:rPr>
          <w:sz w:val="22"/>
          <w:szCs w:val="22"/>
          <w:lang w:val="es-CR"/>
        </w:rPr>
      </w:pPr>
    </w:p>
    <w:p w14:paraId="4C3816D7"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Etapa 3: Operaciones de dudosa recuperación. En esta etapa se clasifican las operaciones de crédito que presentan evidencia de deterioro, como operaciones morosas o para las que existe una alta probabilidad de incumplimiento de pago. Incluye las categorías 5, 6, 7 y 8.</w:t>
      </w:r>
    </w:p>
    <w:p w14:paraId="1ED11232" w14:textId="77777777" w:rsidR="008B5F96" w:rsidRPr="008B5F96" w:rsidRDefault="008B5F96" w:rsidP="008B5F96">
      <w:pPr>
        <w:jc w:val="both"/>
        <w:rPr>
          <w:sz w:val="22"/>
          <w:szCs w:val="22"/>
          <w:lang w:val="es-CR"/>
        </w:rPr>
      </w:pPr>
    </w:p>
    <w:p w14:paraId="55B3C4B5" w14:textId="77777777" w:rsidR="008B5F96" w:rsidRPr="008B5F96" w:rsidRDefault="008B5F96" w:rsidP="008B5F96">
      <w:pPr>
        <w:jc w:val="both"/>
        <w:rPr>
          <w:sz w:val="22"/>
          <w:szCs w:val="22"/>
          <w:lang w:val="es-CR"/>
        </w:rPr>
      </w:pPr>
      <w:r w:rsidRPr="008B5F96">
        <w:rPr>
          <w:sz w:val="22"/>
          <w:szCs w:val="22"/>
          <w:lang w:val="es-CR"/>
        </w:rPr>
        <w:t>Cuando una entidad no mantenga una autorización vigente por parte del deudor para que se consulte su información crediticia en el CIC de la Sugef, deberá calificar, al deudor o sus operaciones, en la categoría de riesgo 4, u otra de mayor riesgo cuando corresponda según los criterios de calificación establecidos en este Reglamento.</w:t>
      </w:r>
    </w:p>
    <w:p w14:paraId="6C8E2499" w14:textId="77777777" w:rsidR="008B5F96" w:rsidRPr="008B5F96" w:rsidRDefault="008B5F96" w:rsidP="008B5F96">
      <w:pPr>
        <w:jc w:val="both"/>
        <w:rPr>
          <w:sz w:val="22"/>
          <w:szCs w:val="22"/>
          <w:lang w:val="es-CR"/>
        </w:rPr>
      </w:pPr>
    </w:p>
    <w:p w14:paraId="241F0169" w14:textId="77777777" w:rsidR="008B5F96" w:rsidRPr="008B5F96" w:rsidRDefault="008B5F96" w:rsidP="008B5F96">
      <w:pPr>
        <w:jc w:val="both"/>
        <w:rPr>
          <w:b/>
          <w:bCs/>
          <w:sz w:val="22"/>
          <w:szCs w:val="22"/>
          <w:lang w:val="es-CR"/>
        </w:rPr>
      </w:pPr>
      <w:r w:rsidRPr="008B5F96">
        <w:rPr>
          <w:b/>
          <w:bCs/>
          <w:sz w:val="22"/>
          <w:szCs w:val="22"/>
          <w:lang w:val="es-CR"/>
        </w:rPr>
        <w:t xml:space="preserve">Artículo 12. Calificación directa en categoría de riesgo 8 </w:t>
      </w:r>
    </w:p>
    <w:p w14:paraId="5485EE7D" w14:textId="77777777" w:rsidR="008B5F96" w:rsidRPr="008B5F96" w:rsidRDefault="008B5F96" w:rsidP="008B5F96">
      <w:pPr>
        <w:jc w:val="both"/>
        <w:rPr>
          <w:sz w:val="22"/>
          <w:szCs w:val="22"/>
          <w:lang w:val="es-CR"/>
        </w:rPr>
      </w:pPr>
    </w:p>
    <w:p w14:paraId="311B06FB" w14:textId="77777777" w:rsidR="008B5F96" w:rsidRPr="008B5F96" w:rsidRDefault="008B5F96" w:rsidP="008B5F96">
      <w:pPr>
        <w:jc w:val="both"/>
        <w:rPr>
          <w:sz w:val="22"/>
          <w:szCs w:val="22"/>
          <w:lang w:val="es-CR"/>
        </w:rPr>
      </w:pPr>
      <w:r w:rsidRPr="008B5F96">
        <w:rPr>
          <w:sz w:val="22"/>
          <w:szCs w:val="22"/>
          <w:lang w:val="es-CR"/>
        </w:rPr>
        <w:t>La entidad debe calificar en la categoría de riesgo 8 las siguientes operaciones:</w:t>
      </w:r>
    </w:p>
    <w:p w14:paraId="74E78F4A" w14:textId="77777777" w:rsidR="008B5F96" w:rsidRPr="008B5F96" w:rsidRDefault="008B5F96" w:rsidP="008B5F96">
      <w:pPr>
        <w:jc w:val="both"/>
        <w:rPr>
          <w:sz w:val="22"/>
          <w:szCs w:val="22"/>
          <w:lang w:val="es-CR"/>
        </w:rPr>
      </w:pPr>
    </w:p>
    <w:p w14:paraId="72710E5A" w14:textId="77777777" w:rsidR="008B5F96" w:rsidRPr="008B5F96" w:rsidRDefault="008B5F96" w:rsidP="008B5F96">
      <w:pPr>
        <w:ind w:left="360" w:hanging="360"/>
        <w:jc w:val="both"/>
        <w:rPr>
          <w:sz w:val="22"/>
          <w:szCs w:val="22"/>
          <w:lang w:val="es-CR"/>
        </w:rPr>
      </w:pPr>
      <w:r w:rsidRPr="008B5F96">
        <w:rPr>
          <w:sz w:val="22"/>
          <w:szCs w:val="22"/>
          <w:lang w:val="es-CR"/>
        </w:rPr>
        <w:lastRenderedPageBreak/>
        <w:t>a)</w:t>
      </w:r>
      <w:r w:rsidRPr="008B5F96">
        <w:rPr>
          <w:sz w:val="22"/>
          <w:szCs w:val="22"/>
          <w:lang w:val="es-CR"/>
        </w:rPr>
        <w:tab/>
        <w:t>Las operaciones con saldos respecto de las cuales se haya exigido, judicialmente, su reembolso mediante la ejecución de la garantía, aun cuando se mantengan garantizados, así como las operaciones sobre las que el deudor haya promovido un litigio y de cuya resolución dependa su cobro efectivo.</w:t>
      </w:r>
    </w:p>
    <w:p w14:paraId="7640984A" w14:textId="77777777" w:rsidR="008B5F96" w:rsidRPr="008B5F96" w:rsidRDefault="008B5F96" w:rsidP="008B5F96">
      <w:pPr>
        <w:ind w:left="360" w:hanging="360"/>
        <w:jc w:val="both"/>
        <w:rPr>
          <w:sz w:val="22"/>
          <w:szCs w:val="22"/>
          <w:lang w:val="es-CR"/>
        </w:rPr>
      </w:pPr>
    </w:p>
    <w:p w14:paraId="271F49FE"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Las operaciones en las que se haya iniciado el proceso de ejecución de la garantía real, incluyendo las operaciones de arrendamiento financiero en las que la entidad haya decidido rescindir el contrato para recuperar la posesión del bien.</w:t>
      </w:r>
    </w:p>
    <w:p w14:paraId="76665988" w14:textId="77777777" w:rsidR="008B5F96" w:rsidRPr="008B5F96" w:rsidRDefault="008B5F96" w:rsidP="008B5F96">
      <w:pPr>
        <w:ind w:left="360"/>
        <w:contextualSpacing/>
        <w:jc w:val="both"/>
        <w:rPr>
          <w:sz w:val="22"/>
          <w:szCs w:val="22"/>
          <w:lang w:val="es-CR"/>
        </w:rPr>
      </w:pPr>
    </w:p>
    <w:p w14:paraId="4F85A274"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Las operaciones cuyos titulares hayan sido declarados en concurso o respecto de los cuales conste que se vaya a declarar en concurso.</w:t>
      </w:r>
    </w:p>
    <w:p w14:paraId="54B61348" w14:textId="77777777" w:rsidR="008B5F96" w:rsidRPr="008B5F96" w:rsidRDefault="008B5F96" w:rsidP="008B5F96">
      <w:pPr>
        <w:ind w:left="720"/>
        <w:contextualSpacing/>
        <w:rPr>
          <w:sz w:val="22"/>
          <w:szCs w:val="22"/>
          <w:lang w:val="es-CR"/>
        </w:rPr>
      </w:pPr>
    </w:p>
    <w:p w14:paraId="680E9482" w14:textId="77777777" w:rsidR="008B5F96" w:rsidRPr="008B5F96" w:rsidRDefault="008B5F96" w:rsidP="008B5F96">
      <w:pPr>
        <w:ind w:left="360" w:hanging="360"/>
        <w:jc w:val="both"/>
        <w:rPr>
          <w:sz w:val="22"/>
          <w:szCs w:val="22"/>
          <w:lang w:val="es-CR"/>
        </w:rPr>
      </w:pPr>
      <w:r w:rsidRPr="008B5F96">
        <w:rPr>
          <w:sz w:val="22"/>
          <w:szCs w:val="22"/>
          <w:lang w:val="es-CR"/>
        </w:rPr>
        <w:t>d)</w:t>
      </w:r>
      <w:r w:rsidRPr="008B5F96">
        <w:rPr>
          <w:sz w:val="22"/>
          <w:szCs w:val="22"/>
          <w:lang w:val="es-CR"/>
        </w:rPr>
        <w:tab/>
        <w:t>Las operaciones respaldadas con garantías concedidas por garantes o avalistas declarados en concurso, o respecto de los cuales conste que se vaya a declarar en concurso o que sufran un deterioro notorio e irrecuperable de su solvencia, aun cuando el beneficiario del aval no haya reclamado su pago. Lo anterior siempre y cuando el deudor presente problemas en su capacidad de pago que le impidan cancelar el crédito conforme al respectivo contrato.</w:t>
      </w:r>
    </w:p>
    <w:p w14:paraId="126439E3" w14:textId="77777777" w:rsidR="008B5F96" w:rsidRPr="008B5F96" w:rsidRDefault="008B5F96" w:rsidP="008B5F96">
      <w:pPr>
        <w:ind w:left="720"/>
        <w:contextualSpacing/>
        <w:rPr>
          <w:sz w:val="22"/>
          <w:szCs w:val="22"/>
          <w:lang w:val="es-CR"/>
        </w:rPr>
      </w:pPr>
    </w:p>
    <w:p w14:paraId="2A0D7A34" w14:textId="77777777" w:rsidR="008B5F96" w:rsidRPr="008B5F96" w:rsidRDefault="008B5F96" w:rsidP="008B5F96">
      <w:pPr>
        <w:ind w:left="360" w:hanging="360"/>
        <w:jc w:val="both"/>
        <w:rPr>
          <w:sz w:val="22"/>
          <w:szCs w:val="22"/>
          <w:lang w:val="es-CR"/>
        </w:rPr>
      </w:pPr>
      <w:r w:rsidRPr="008B5F96">
        <w:rPr>
          <w:sz w:val="22"/>
          <w:szCs w:val="22"/>
          <w:lang w:val="es-CR"/>
        </w:rPr>
        <w:t>e)</w:t>
      </w:r>
      <w:r w:rsidRPr="008B5F96">
        <w:rPr>
          <w:sz w:val="22"/>
          <w:szCs w:val="22"/>
          <w:lang w:val="es-CR"/>
        </w:rPr>
        <w:tab/>
        <w:t>Los deudores cuyo expediente de crédito no sea entregado en el plazo establecido y según lo requerido, se recalificarán en la categoría de riesgo 8, conforme a lo dispuesto en el artículo 36 de este Reglamento.</w:t>
      </w:r>
    </w:p>
    <w:p w14:paraId="6215F455" w14:textId="77777777" w:rsidR="008B5F96" w:rsidRPr="008B5F96" w:rsidRDefault="008B5F96" w:rsidP="008B5F96">
      <w:pPr>
        <w:ind w:left="720"/>
        <w:contextualSpacing/>
        <w:rPr>
          <w:sz w:val="22"/>
          <w:szCs w:val="22"/>
          <w:lang w:val="es-CR"/>
        </w:rPr>
      </w:pPr>
    </w:p>
    <w:p w14:paraId="7F4B39BE" w14:textId="77777777" w:rsidR="008B5F96" w:rsidRPr="008B5F96" w:rsidRDefault="008B5F96" w:rsidP="008B5F96">
      <w:pPr>
        <w:jc w:val="both"/>
        <w:rPr>
          <w:sz w:val="22"/>
          <w:szCs w:val="22"/>
          <w:lang w:val="es-CR"/>
        </w:rPr>
      </w:pPr>
      <w:r w:rsidRPr="008B5F96">
        <w:rPr>
          <w:sz w:val="22"/>
          <w:szCs w:val="22"/>
          <w:lang w:val="es-CR"/>
        </w:rPr>
        <w:t>Las operaciones a que hace referencia este artículo se consideran en incumplimiento para el cómputo de estimaciones previstas en este Reglamento.</w:t>
      </w:r>
    </w:p>
    <w:p w14:paraId="03F31833" w14:textId="77777777" w:rsidR="008B5F96" w:rsidRPr="008B5F96" w:rsidRDefault="008B5F96" w:rsidP="008B5F96">
      <w:pPr>
        <w:jc w:val="both"/>
        <w:rPr>
          <w:sz w:val="22"/>
          <w:szCs w:val="22"/>
          <w:lang w:val="es-CR"/>
        </w:rPr>
      </w:pPr>
    </w:p>
    <w:p w14:paraId="1FF41ED7" w14:textId="77777777" w:rsidR="008B5F96" w:rsidRPr="008B5F96" w:rsidRDefault="008B5F96" w:rsidP="008B5F96">
      <w:pPr>
        <w:jc w:val="both"/>
        <w:rPr>
          <w:b/>
          <w:bCs/>
          <w:sz w:val="22"/>
          <w:szCs w:val="22"/>
          <w:lang w:val="es-CR"/>
        </w:rPr>
      </w:pPr>
      <w:r w:rsidRPr="008B5F96">
        <w:rPr>
          <w:b/>
          <w:bCs/>
          <w:sz w:val="22"/>
          <w:szCs w:val="22"/>
          <w:lang w:val="es-CR"/>
        </w:rPr>
        <w:t>Artículo 13. Uso de calificaciones</w:t>
      </w:r>
    </w:p>
    <w:p w14:paraId="734FEE6D" w14:textId="77777777" w:rsidR="008B5F96" w:rsidRPr="008B5F96" w:rsidRDefault="008B5F96" w:rsidP="008B5F96">
      <w:pPr>
        <w:jc w:val="both"/>
        <w:rPr>
          <w:b/>
          <w:bCs/>
          <w:sz w:val="22"/>
          <w:szCs w:val="22"/>
          <w:lang w:val="es-CR"/>
        </w:rPr>
      </w:pPr>
    </w:p>
    <w:p w14:paraId="5C7AC102" w14:textId="77777777" w:rsidR="008B5F96" w:rsidRPr="008B5F96" w:rsidRDefault="008B5F96" w:rsidP="008B5F96">
      <w:pPr>
        <w:jc w:val="both"/>
        <w:rPr>
          <w:sz w:val="22"/>
          <w:szCs w:val="22"/>
          <w:lang w:val="es-CR"/>
        </w:rPr>
      </w:pPr>
      <w:r w:rsidRPr="008B5F96">
        <w:rPr>
          <w:sz w:val="22"/>
          <w:szCs w:val="22"/>
          <w:lang w:val="es-CR"/>
        </w:rPr>
        <w:t>Para efectos de este Reglamento, se aceptan las calificaciones públicas de riesgo emitidas bajo criterios internacionales por las agencias calificadoras Standard &amp; Poor’s, Moody's y Fitch (ver anexo 2), así como las calificaciones otorgadas por las agencias calificadoras costarricenses autorizadas por la Sugeval, siempre que se encuentren dentro de su periodo de vigencia. En el caso de los títulos valores emitidos por el Banco Central de Costa Rica se debe utilizar la calificación soberana de Costa Rica por tipo de moneda. Las calificaciones emitidas por las agencias calificadoras autorizadas por la Sugeval deben ser homologadas con las calificaciones de las agencias internacionales, conforme a la metodología que se define en los lineamientos generales.</w:t>
      </w:r>
    </w:p>
    <w:p w14:paraId="6C4B5BD7" w14:textId="77777777" w:rsidR="008B5F96" w:rsidRPr="008B5F96" w:rsidRDefault="008B5F96" w:rsidP="008B5F96">
      <w:pPr>
        <w:jc w:val="both"/>
        <w:rPr>
          <w:sz w:val="22"/>
          <w:szCs w:val="22"/>
          <w:lang w:val="es-CR"/>
        </w:rPr>
      </w:pPr>
    </w:p>
    <w:p w14:paraId="220F3973" w14:textId="64AA845A" w:rsidR="008B5F96" w:rsidRPr="008B5F96" w:rsidRDefault="008B5F96" w:rsidP="008B5F96">
      <w:pPr>
        <w:jc w:val="both"/>
        <w:rPr>
          <w:sz w:val="22"/>
          <w:szCs w:val="22"/>
          <w:lang w:val="es-CR"/>
        </w:rPr>
      </w:pPr>
      <w:r w:rsidRPr="008B5F96">
        <w:rPr>
          <w:sz w:val="22"/>
          <w:szCs w:val="22"/>
          <w:lang w:val="es-CR"/>
        </w:rPr>
        <w:t>Debe utilizarse la calificación de largo plazo para todas las operaciones crediticias. Cuando el garante solo cuente con una calificación de corto plazo, ésta solo puede utilizarse para las operaciones crediticias cuya fecha de vencimiento esté dentro del plazo que abarca la calificación de corto plazo. Cuando existan dos calificaciones de dos agencias calificadoras respecto de un mismo emisor, se aplicará la de mayor riesgo. Cuando existan más de dos calificaciones de diferentes agencias calificadoras de un mismo emisor, se considerará la segunda de mayor riesgo. En caso de que la emisión tenga una calificación de riesgo propia, debe usarse esta calificación y no la del emisor.</w:t>
      </w:r>
    </w:p>
    <w:p w14:paraId="698D16DE" w14:textId="7CA46787" w:rsidR="009058A1" w:rsidRDefault="009058A1">
      <w:pPr>
        <w:rPr>
          <w:sz w:val="22"/>
          <w:szCs w:val="22"/>
          <w:lang w:val="es-CR"/>
        </w:rPr>
      </w:pPr>
      <w:r>
        <w:rPr>
          <w:sz w:val="22"/>
          <w:szCs w:val="22"/>
          <w:lang w:val="es-CR"/>
        </w:rPr>
        <w:br w:type="page"/>
      </w:r>
    </w:p>
    <w:p w14:paraId="4A24A964" w14:textId="77777777" w:rsidR="008B5F96" w:rsidRPr="008B5F96" w:rsidRDefault="008B5F96" w:rsidP="008B5F96">
      <w:pPr>
        <w:jc w:val="both"/>
        <w:rPr>
          <w:sz w:val="22"/>
          <w:szCs w:val="22"/>
          <w:lang w:val="es-CR"/>
        </w:rPr>
      </w:pPr>
    </w:p>
    <w:p w14:paraId="64B33669" w14:textId="77777777" w:rsidR="008B5F96" w:rsidRPr="008B5F96" w:rsidRDefault="008B5F96" w:rsidP="008B5F96">
      <w:pPr>
        <w:jc w:val="center"/>
        <w:rPr>
          <w:b/>
          <w:bCs/>
          <w:sz w:val="22"/>
          <w:szCs w:val="22"/>
          <w:lang w:val="es-CR"/>
        </w:rPr>
      </w:pPr>
      <w:r w:rsidRPr="008B5F96">
        <w:rPr>
          <w:b/>
          <w:bCs/>
          <w:sz w:val="22"/>
          <w:szCs w:val="22"/>
          <w:lang w:val="es-CR"/>
        </w:rPr>
        <w:t>CAPÍTULO III</w:t>
      </w:r>
    </w:p>
    <w:p w14:paraId="4A3B4C56" w14:textId="77777777" w:rsidR="008B5F96" w:rsidRPr="008B5F96" w:rsidRDefault="008B5F96" w:rsidP="008B5F96">
      <w:pPr>
        <w:jc w:val="center"/>
        <w:rPr>
          <w:b/>
          <w:bCs/>
          <w:sz w:val="22"/>
          <w:szCs w:val="22"/>
          <w:lang w:val="es-CR"/>
        </w:rPr>
      </w:pPr>
    </w:p>
    <w:p w14:paraId="5FEC5230" w14:textId="77777777" w:rsidR="008B5F96" w:rsidRPr="008B5F96" w:rsidRDefault="008B5F96" w:rsidP="008B5F96">
      <w:pPr>
        <w:jc w:val="center"/>
        <w:rPr>
          <w:b/>
          <w:bCs/>
          <w:sz w:val="22"/>
          <w:szCs w:val="22"/>
          <w:lang w:val="es-CR"/>
        </w:rPr>
      </w:pPr>
      <w:r w:rsidRPr="008B5F96">
        <w:rPr>
          <w:b/>
          <w:bCs/>
          <w:sz w:val="22"/>
          <w:szCs w:val="22"/>
          <w:lang w:val="es-CR"/>
        </w:rPr>
        <w:t>ESTIMACIONES</w:t>
      </w:r>
    </w:p>
    <w:p w14:paraId="0819D834" w14:textId="77777777" w:rsidR="008B5F96" w:rsidRPr="008B5F96" w:rsidRDefault="008B5F96" w:rsidP="008B5F96">
      <w:pPr>
        <w:jc w:val="center"/>
        <w:rPr>
          <w:b/>
          <w:bCs/>
          <w:sz w:val="22"/>
          <w:szCs w:val="22"/>
          <w:lang w:val="es-CR"/>
        </w:rPr>
      </w:pPr>
    </w:p>
    <w:p w14:paraId="6287F16B" w14:textId="77777777" w:rsidR="008B5F96" w:rsidRPr="008B5F96" w:rsidRDefault="008B5F96" w:rsidP="008B5F96">
      <w:pPr>
        <w:jc w:val="center"/>
        <w:rPr>
          <w:b/>
          <w:bCs/>
          <w:sz w:val="22"/>
          <w:szCs w:val="22"/>
          <w:lang w:val="es-CR"/>
        </w:rPr>
      </w:pPr>
      <w:r w:rsidRPr="008B5F96">
        <w:rPr>
          <w:b/>
          <w:bCs/>
          <w:sz w:val="22"/>
          <w:szCs w:val="22"/>
          <w:lang w:val="es-CR"/>
        </w:rPr>
        <w:t>SECCIÓN I</w:t>
      </w:r>
    </w:p>
    <w:p w14:paraId="14458E5C" w14:textId="77777777" w:rsidR="008B5F96" w:rsidRPr="008B5F96" w:rsidRDefault="008B5F96" w:rsidP="008B5F96">
      <w:pPr>
        <w:jc w:val="center"/>
        <w:rPr>
          <w:b/>
          <w:bCs/>
          <w:sz w:val="22"/>
          <w:szCs w:val="22"/>
          <w:lang w:val="es-CR"/>
        </w:rPr>
      </w:pPr>
    </w:p>
    <w:p w14:paraId="4B7315E5" w14:textId="77777777" w:rsidR="008B5F96" w:rsidRPr="008B5F96" w:rsidRDefault="008B5F96" w:rsidP="008B5F96">
      <w:pPr>
        <w:jc w:val="center"/>
        <w:rPr>
          <w:b/>
          <w:bCs/>
          <w:sz w:val="22"/>
          <w:szCs w:val="22"/>
          <w:lang w:val="es-CR"/>
        </w:rPr>
      </w:pPr>
      <w:r w:rsidRPr="008B5F96">
        <w:rPr>
          <w:b/>
          <w:bCs/>
          <w:sz w:val="22"/>
          <w:szCs w:val="22"/>
          <w:lang w:val="es-CR"/>
        </w:rPr>
        <w:t>ESTIMACIONES</w:t>
      </w:r>
    </w:p>
    <w:p w14:paraId="191BCE0E" w14:textId="77777777" w:rsidR="008B5F96" w:rsidRPr="008B5F96" w:rsidRDefault="008B5F96" w:rsidP="008B5F96">
      <w:pPr>
        <w:jc w:val="center"/>
        <w:rPr>
          <w:b/>
          <w:bCs/>
          <w:sz w:val="22"/>
          <w:szCs w:val="22"/>
          <w:lang w:val="es-CR"/>
        </w:rPr>
      </w:pPr>
    </w:p>
    <w:p w14:paraId="5ABCBD16" w14:textId="77777777" w:rsidR="008B5F96" w:rsidRPr="008B5F96" w:rsidRDefault="008B5F96" w:rsidP="008B5F96">
      <w:pPr>
        <w:jc w:val="both"/>
        <w:rPr>
          <w:b/>
          <w:bCs/>
          <w:sz w:val="22"/>
          <w:szCs w:val="22"/>
          <w:lang w:val="es-CR"/>
        </w:rPr>
      </w:pPr>
      <w:r w:rsidRPr="008B5F96">
        <w:rPr>
          <w:b/>
          <w:bCs/>
          <w:sz w:val="22"/>
          <w:szCs w:val="22"/>
          <w:lang w:val="es-CR"/>
        </w:rPr>
        <w:t>Artículo 14. Tasa de Incumplimiento</w:t>
      </w:r>
    </w:p>
    <w:p w14:paraId="15AED235" w14:textId="77777777" w:rsidR="008B5F96" w:rsidRPr="008B5F96" w:rsidRDefault="008B5F96" w:rsidP="008B5F96">
      <w:pPr>
        <w:jc w:val="both"/>
        <w:rPr>
          <w:sz w:val="22"/>
          <w:szCs w:val="22"/>
          <w:lang w:val="es-CR"/>
        </w:rPr>
      </w:pPr>
    </w:p>
    <w:p w14:paraId="6EC2ED3B" w14:textId="77777777" w:rsidR="008B5F96" w:rsidRPr="008B5F96" w:rsidRDefault="008B5F96" w:rsidP="008B5F96">
      <w:pPr>
        <w:jc w:val="both"/>
        <w:rPr>
          <w:sz w:val="22"/>
          <w:szCs w:val="22"/>
          <w:lang w:val="es-CR"/>
        </w:rPr>
      </w:pPr>
      <w:r w:rsidRPr="008B5F96">
        <w:rPr>
          <w:sz w:val="22"/>
          <w:szCs w:val="22"/>
          <w:lang w:val="es-CR"/>
        </w:rPr>
        <w:t>La entidad debe calcular el monto de la estimación específica de cada operación crediticia, multiplicando la exposición en caso de incumplimiento regulatoria (EAD</w:t>
      </w:r>
      <w:r w:rsidRPr="008B5F96">
        <w:rPr>
          <w:sz w:val="22"/>
          <w:szCs w:val="22"/>
          <w:vertAlign w:val="subscript"/>
          <w:lang w:val="es-CR"/>
        </w:rPr>
        <w:t>R</w:t>
      </w:r>
      <w:r w:rsidRPr="008B5F96">
        <w:rPr>
          <w:sz w:val="22"/>
          <w:szCs w:val="22"/>
          <w:lang w:val="es-CR"/>
        </w:rPr>
        <w:t>) calculada según el artículo 16 de este Reglamento, por la pérdida en caso de incumplimiento regulatoria (LGD</w:t>
      </w:r>
      <w:r w:rsidRPr="008B5F96">
        <w:rPr>
          <w:sz w:val="22"/>
          <w:szCs w:val="22"/>
          <w:vertAlign w:val="subscript"/>
          <w:lang w:val="es-CR"/>
        </w:rPr>
        <w:t>R</w:t>
      </w:r>
      <w:r w:rsidRPr="008B5F96">
        <w:rPr>
          <w:sz w:val="22"/>
          <w:szCs w:val="22"/>
          <w:lang w:val="es-CR"/>
        </w:rPr>
        <w:t>) calculada según el artículo 21 de este Reglamento y por la tasa de incumplimiento regulatoria (TI).</w:t>
      </w:r>
    </w:p>
    <w:p w14:paraId="4713D031" w14:textId="77777777" w:rsidR="008B5F96" w:rsidRPr="008B5F96" w:rsidRDefault="008B5F96" w:rsidP="008B5F96">
      <w:pPr>
        <w:jc w:val="both"/>
        <w:rPr>
          <w:sz w:val="22"/>
          <w:szCs w:val="22"/>
          <w:lang w:val="es-CR"/>
        </w:rPr>
      </w:pPr>
    </w:p>
    <w:p w14:paraId="5E26C708" w14:textId="77777777" w:rsidR="008B5F96" w:rsidRPr="008B5F96" w:rsidRDefault="008B5F96" w:rsidP="008B5F96">
      <w:pPr>
        <w:jc w:val="both"/>
        <w:rPr>
          <w:sz w:val="22"/>
          <w:szCs w:val="22"/>
          <w:lang w:val="es-CR"/>
        </w:rPr>
      </w:pPr>
      <w:r w:rsidRPr="008B5F96">
        <w:rPr>
          <w:sz w:val="22"/>
          <w:szCs w:val="22"/>
          <w:lang w:val="es-CR"/>
        </w:rPr>
        <w:t>La TI regulatoria será determinada por la Superintendencia conforme a lo establecido en el artículo 15 de este Reglamento, y dichas TI serán suministradas por la Superintendencia a través de los lineamientos generales.</w:t>
      </w:r>
    </w:p>
    <w:p w14:paraId="10AE78F1" w14:textId="77777777" w:rsidR="008B5F96" w:rsidRPr="008B5F96" w:rsidRDefault="008B5F96" w:rsidP="008B5F96">
      <w:pPr>
        <w:jc w:val="both"/>
        <w:rPr>
          <w:sz w:val="22"/>
          <w:szCs w:val="22"/>
          <w:lang w:val="es-CR"/>
        </w:rPr>
      </w:pPr>
    </w:p>
    <w:p w14:paraId="106272C5" w14:textId="77777777" w:rsidR="008B5F96" w:rsidRPr="008B5F96" w:rsidRDefault="008B5F96" w:rsidP="008B5F96">
      <w:pPr>
        <w:jc w:val="both"/>
        <w:rPr>
          <w:sz w:val="22"/>
          <w:szCs w:val="22"/>
          <w:lang w:val="es-CR"/>
        </w:rPr>
      </w:pPr>
      <w:r w:rsidRPr="008B5F96">
        <w:rPr>
          <w:sz w:val="22"/>
          <w:szCs w:val="22"/>
          <w:lang w:val="es-CR"/>
        </w:rPr>
        <w:t>En el caso de créditos garantizados mediante avales, se aplica el tratamiento dispuesto en el artículo 22 de este Reglamento.</w:t>
      </w:r>
    </w:p>
    <w:p w14:paraId="2BD9B267" w14:textId="77777777" w:rsidR="008B5F96" w:rsidRPr="008B5F96" w:rsidRDefault="008B5F96" w:rsidP="008B5F96">
      <w:pPr>
        <w:jc w:val="both"/>
        <w:rPr>
          <w:sz w:val="22"/>
          <w:szCs w:val="22"/>
          <w:lang w:val="es-CR"/>
        </w:rPr>
      </w:pPr>
    </w:p>
    <w:p w14:paraId="599DF428" w14:textId="77777777" w:rsidR="008B5F96" w:rsidRPr="008B5F96" w:rsidRDefault="008B5F96" w:rsidP="008B5F96">
      <w:pPr>
        <w:jc w:val="both"/>
        <w:rPr>
          <w:sz w:val="22"/>
          <w:szCs w:val="22"/>
          <w:lang w:val="es-CR"/>
        </w:rPr>
      </w:pPr>
      <w:r w:rsidRPr="008B5F96">
        <w:rPr>
          <w:sz w:val="22"/>
          <w:szCs w:val="22"/>
          <w:lang w:val="es-CR"/>
        </w:rPr>
        <w:t>La Superintendencia, mediante resolución razonada, podrá variar las tasas de incumplimiento con la periodicidad que considere prudencialmente conveniente. Dichos cambios serán informados a las entidades mediante los lineamientos generales, y entrarán en vigor de acuerdo con la gradualidad que establezca la Superintendencia.</w:t>
      </w:r>
    </w:p>
    <w:p w14:paraId="1BAC7B19" w14:textId="77777777" w:rsidR="008B5F96" w:rsidRPr="008B5F96" w:rsidRDefault="008B5F96" w:rsidP="008B5F96">
      <w:pPr>
        <w:jc w:val="both"/>
        <w:rPr>
          <w:sz w:val="22"/>
          <w:szCs w:val="22"/>
          <w:lang w:val="es-CR"/>
        </w:rPr>
      </w:pPr>
    </w:p>
    <w:p w14:paraId="42FB3C62" w14:textId="77777777" w:rsidR="008B5F96" w:rsidRPr="008B5F96" w:rsidRDefault="008B5F96" w:rsidP="008B5F96">
      <w:pPr>
        <w:jc w:val="both"/>
        <w:rPr>
          <w:b/>
          <w:bCs/>
          <w:sz w:val="22"/>
          <w:szCs w:val="22"/>
          <w:lang w:val="es-CR"/>
        </w:rPr>
      </w:pPr>
      <w:r w:rsidRPr="008B5F96">
        <w:rPr>
          <w:b/>
          <w:bCs/>
          <w:sz w:val="22"/>
          <w:szCs w:val="22"/>
          <w:lang w:val="es-CR"/>
        </w:rPr>
        <w:t xml:space="preserve">Artículo 15. Perfiles de riesgo específicos por tipo de segmento </w:t>
      </w:r>
    </w:p>
    <w:p w14:paraId="3B484E53" w14:textId="77777777" w:rsidR="008B5F96" w:rsidRPr="008B5F96" w:rsidRDefault="008B5F96" w:rsidP="008B5F96">
      <w:pPr>
        <w:jc w:val="both"/>
        <w:rPr>
          <w:sz w:val="22"/>
          <w:szCs w:val="22"/>
          <w:lang w:val="es-CR"/>
        </w:rPr>
      </w:pPr>
    </w:p>
    <w:p w14:paraId="5FF18E02" w14:textId="77777777" w:rsidR="008B5F96" w:rsidRPr="008B5F96" w:rsidRDefault="008B5F96" w:rsidP="008B5F96">
      <w:pPr>
        <w:jc w:val="both"/>
        <w:rPr>
          <w:sz w:val="22"/>
          <w:szCs w:val="22"/>
          <w:lang w:val="es-CR"/>
        </w:rPr>
      </w:pPr>
      <w:r w:rsidRPr="008B5F96">
        <w:rPr>
          <w:sz w:val="22"/>
          <w:szCs w:val="22"/>
          <w:lang w:val="es-CR"/>
        </w:rPr>
        <w:t>Para efectos de la aplicación de la TI, se establece la asignación de perfiles de riesgo específicos por tipo de segmento, con el objetivo de mejorar la precisión en el cálculo de las estimaciones crediticias.</w:t>
      </w:r>
    </w:p>
    <w:p w14:paraId="50E1C3FC" w14:textId="77777777" w:rsidR="008B5F96" w:rsidRPr="008B5F96" w:rsidRDefault="008B5F96" w:rsidP="008B5F96">
      <w:pPr>
        <w:jc w:val="both"/>
        <w:rPr>
          <w:sz w:val="22"/>
          <w:szCs w:val="22"/>
          <w:lang w:val="es-CR"/>
        </w:rPr>
      </w:pPr>
    </w:p>
    <w:p w14:paraId="00286B8C" w14:textId="77777777" w:rsidR="008B5F96" w:rsidRPr="008B5F96" w:rsidRDefault="008B5F96" w:rsidP="008B5F96">
      <w:pPr>
        <w:jc w:val="both"/>
        <w:rPr>
          <w:sz w:val="22"/>
          <w:szCs w:val="22"/>
          <w:lang w:val="es-CR"/>
        </w:rPr>
      </w:pPr>
      <w:r w:rsidRPr="008B5F96">
        <w:rPr>
          <w:sz w:val="22"/>
          <w:szCs w:val="22"/>
          <w:lang w:val="es-CR"/>
        </w:rPr>
        <w:t>Los perfiles de riesgo se clasifican en las siguientes categorías: riesgo bajo, riesgo medio bajo, riesgo medio alto y riesgo alto. Estos perfiles serán comunicados a cada entidad mediante resolución emitida por la Superintendencia.</w:t>
      </w:r>
    </w:p>
    <w:p w14:paraId="29B29AE6" w14:textId="77777777" w:rsidR="008B5F96" w:rsidRPr="008B5F96" w:rsidRDefault="008B5F96" w:rsidP="008B5F96">
      <w:pPr>
        <w:jc w:val="both"/>
        <w:rPr>
          <w:sz w:val="22"/>
          <w:szCs w:val="22"/>
          <w:lang w:val="es-CR"/>
        </w:rPr>
      </w:pPr>
    </w:p>
    <w:p w14:paraId="43ED3682" w14:textId="77777777" w:rsidR="008B5F96" w:rsidRPr="008B5F96" w:rsidRDefault="008B5F96" w:rsidP="008B5F96">
      <w:pPr>
        <w:jc w:val="both"/>
        <w:rPr>
          <w:sz w:val="22"/>
          <w:szCs w:val="22"/>
          <w:lang w:val="es-CR"/>
        </w:rPr>
      </w:pPr>
      <w:r w:rsidRPr="008B5F96">
        <w:rPr>
          <w:sz w:val="22"/>
          <w:szCs w:val="22"/>
          <w:lang w:val="es-CR"/>
        </w:rPr>
        <w:t>La asignación de estos perfiles se realizará por segmento y por categoría de riesgo, manteniendo la segmentación vigente establecida en el artículo 5 de este Reglamento.</w:t>
      </w:r>
    </w:p>
    <w:p w14:paraId="0213CA27" w14:textId="77777777" w:rsidR="008B5F96" w:rsidRPr="008B5F96" w:rsidRDefault="008B5F96" w:rsidP="008B5F96">
      <w:pPr>
        <w:jc w:val="both"/>
        <w:rPr>
          <w:sz w:val="22"/>
          <w:szCs w:val="22"/>
          <w:lang w:val="es-CR"/>
        </w:rPr>
      </w:pPr>
    </w:p>
    <w:p w14:paraId="4C3EFCC7" w14:textId="77777777" w:rsidR="008B5F96" w:rsidRPr="008B5F96" w:rsidRDefault="008B5F96" w:rsidP="008B5F96">
      <w:pPr>
        <w:jc w:val="center"/>
        <w:rPr>
          <w:b/>
          <w:bCs/>
          <w:sz w:val="22"/>
          <w:szCs w:val="22"/>
          <w:lang w:val="es-CR"/>
        </w:rPr>
      </w:pPr>
      <w:r w:rsidRPr="008B5F96">
        <w:rPr>
          <w:b/>
          <w:bCs/>
          <w:sz w:val="22"/>
          <w:szCs w:val="22"/>
          <w:lang w:val="es-CR"/>
        </w:rPr>
        <w:t>SECCIÓN II</w:t>
      </w:r>
    </w:p>
    <w:p w14:paraId="27744A7E" w14:textId="77777777" w:rsidR="008B5F96" w:rsidRPr="008B5F96" w:rsidRDefault="008B5F96" w:rsidP="008B5F96">
      <w:pPr>
        <w:jc w:val="center"/>
        <w:rPr>
          <w:b/>
          <w:bCs/>
          <w:sz w:val="22"/>
          <w:szCs w:val="22"/>
          <w:lang w:val="es-CR"/>
        </w:rPr>
      </w:pPr>
    </w:p>
    <w:p w14:paraId="335A9958" w14:textId="77777777" w:rsidR="008B5F96" w:rsidRPr="008B5F96" w:rsidRDefault="008B5F96" w:rsidP="008B5F96">
      <w:pPr>
        <w:jc w:val="center"/>
        <w:rPr>
          <w:b/>
          <w:bCs/>
          <w:sz w:val="22"/>
          <w:szCs w:val="22"/>
          <w:lang w:val="es-CR"/>
        </w:rPr>
      </w:pPr>
      <w:r w:rsidRPr="008B5F96">
        <w:rPr>
          <w:b/>
          <w:bCs/>
          <w:sz w:val="22"/>
          <w:szCs w:val="22"/>
          <w:lang w:val="es-CR"/>
        </w:rPr>
        <w:t>EXPOSICIÓN EN CASO DE INCUMPLIMIENTO</w:t>
      </w:r>
    </w:p>
    <w:p w14:paraId="35B98914" w14:textId="77777777" w:rsidR="008B5F96" w:rsidRPr="008B5F96" w:rsidRDefault="008B5F96" w:rsidP="008B5F96">
      <w:pPr>
        <w:jc w:val="center"/>
        <w:rPr>
          <w:b/>
          <w:bCs/>
          <w:sz w:val="22"/>
          <w:szCs w:val="22"/>
          <w:lang w:val="es-CR"/>
        </w:rPr>
      </w:pPr>
    </w:p>
    <w:p w14:paraId="29CCA261" w14:textId="77777777" w:rsidR="008B5F96" w:rsidRPr="008B5F96" w:rsidRDefault="008B5F96" w:rsidP="008B5F96">
      <w:pPr>
        <w:jc w:val="both"/>
        <w:rPr>
          <w:b/>
          <w:bCs/>
          <w:sz w:val="22"/>
          <w:szCs w:val="22"/>
          <w:lang w:val="es-CR"/>
        </w:rPr>
      </w:pPr>
      <w:r w:rsidRPr="008B5F96">
        <w:rPr>
          <w:b/>
          <w:bCs/>
          <w:sz w:val="22"/>
          <w:szCs w:val="22"/>
          <w:lang w:val="es-CR"/>
        </w:rPr>
        <w:t>Artículo 16. Exposición en caso de incumplimiento</w:t>
      </w:r>
    </w:p>
    <w:p w14:paraId="2A7E1C1C" w14:textId="77777777" w:rsidR="008B5F96" w:rsidRPr="008B5F96" w:rsidRDefault="008B5F96" w:rsidP="008B5F96">
      <w:pPr>
        <w:jc w:val="both"/>
        <w:rPr>
          <w:b/>
          <w:bCs/>
          <w:sz w:val="22"/>
          <w:szCs w:val="22"/>
          <w:lang w:val="es-CR"/>
        </w:rPr>
      </w:pPr>
    </w:p>
    <w:p w14:paraId="430932D7" w14:textId="77777777" w:rsidR="008B5F96" w:rsidRPr="008B5F96" w:rsidRDefault="008B5F96" w:rsidP="008B5F96">
      <w:pPr>
        <w:jc w:val="both"/>
        <w:rPr>
          <w:sz w:val="22"/>
          <w:szCs w:val="22"/>
          <w:lang w:val="es-CR"/>
        </w:rPr>
      </w:pPr>
      <w:r w:rsidRPr="008B5F96">
        <w:rPr>
          <w:sz w:val="22"/>
          <w:szCs w:val="22"/>
          <w:lang w:val="es-CR"/>
        </w:rPr>
        <w:t>La exposición en caso de incumplimiento regulatoria (EAD</w:t>
      </w:r>
      <w:r w:rsidRPr="008B5F96">
        <w:rPr>
          <w:sz w:val="22"/>
          <w:szCs w:val="22"/>
          <w:vertAlign w:val="subscript"/>
          <w:lang w:val="es-CR"/>
        </w:rPr>
        <w:t>R</w:t>
      </w:r>
      <w:r w:rsidRPr="008B5F96">
        <w:rPr>
          <w:sz w:val="22"/>
          <w:szCs w:val="22"/>
          <w:lang w:val="es-CR"/>
        </w:rPr>
        <w:t>) para créditos directos será igual al saldo total adeudado de la operación, el cual consiste en la suma de saldo de principal directo, intereses, otros productos y cuentas por cobrar asociados a una operación crediticia directa.</w:t>
      </w:r>
    </w:p>
    <w:p w14:paraId="52F045AF" w14:textId="77777777" w:rsidR="008B5F96" w:rsidRPr="008B5F96" w:rsidRDefault="008B5F96" w:rsidP="008B5F96">
      <w:pPr>
        <w:jc w:val="both"/>
        <w:rPr>
          <w:sz w:val="22"/>
          <w:szCs w:val="22"/>
          <w:lang w:val="es-CR"/>
        </w:rPr>
      </w:pPr>
    </w:p>
    <w:p w14:paraId="66AE33C6" w14:textId="77777777" w:rsidR="008B5F96" w:rsidRPr="008B5F96" w:rsidRDefault="008B5F96" w:rsidP="008B5F96">
      <w:pPr>
        <w:jc w:val="both"/>
        <w:rPr>
          <w:sz w:val="22"/>
          <w:szCs w:val="22"/>
          <w:lang w:val="es-CR"/>
        </w:rPr>
      </w:pPr>
      <w:r w:rsidRPr="008B5F96">
        <w:rPr>
          <w:sz w:val="22"/>
          <w:szCs w:val="22"/>
          <w:lang w:val="es-CR"/>
        </w:rPr>
        <w:t>La EAD</w:t>
      </w:r>
      <w:r w:rsidRPr="008B5F96">
        <w:rPr>
          <w:sz w:val="22"/>
          <w:szCs w:val="22"/>
          <w:vertAlign w:val="subscript"/>
          <w:lang w:val="es-CR"/>
        </w:rPr>
        <w:t>R</w:t>
      </w:r>
      <w:r w:rsidRPr="008B5F96">
        <w:rPr>
          <w:sz w:val="22"/>
          <w:szCs w:val="22"/>
          <w:lang w:val="es-CR"/>
        </w:rPr>
        <w:t xml:space="preserve"> para créditos contingentes será igual al resultado de multiplicar el saldo de principal contingente por el factor de equivalencia de crédito, y sumar los otros productos y cuentas por cobrar asociados a la operación crediticia contingente.</w:t>
      </w:r>
    </w:p>
    <w:p w14:paraId="44050DAB" w14:textId="77777777" w:rsidR="008B5F96" w:rsidRPr="008B5F96" w:rsidRDefault="008B5F96" w:rsidP="008B5F96">
      <w:pPr>
        <w:jc w:val="both"/>
        <w:rPr>
          <w:sz w:val="22"/>
          <w:szCs w:val="22"/>
          <w:lang w:val="es-CR"/>
        </w:rPr>
      </w:pPr>
    </w:p>
    <w:p w14:paraId="10EA31B1" w14:textId="77777777" w:rsidR="008B5F96" w:rsidRPr="008B5F96" w:rsidRDefault="008B5F96" w:rsidP="008B5F96">
      <w:pPr>
        <w:jc w:val="both"/>
        <w:rPr>
          <w:b/>
          <w:bCs/>
          <w:sz w:val="22"/>
          <w:szCs w:val="22"/>
          <w:lang w:val="es-CR"/>
        </w:rPr>
      </w:pPr>
      <w:r w:rsidRPr="008B5F96">
        <w:rPr>
          <w:b/>
          <w:bCs/>
          <w:sz w:val="22"/>
          <w:szCs w:val="22"/>
          <w:lang w:val="es-CR"/>
        </w:rPr>
        <w:t>Artículo 17. Equivalente de crédito</w:t>
      </w:r>
    </w:p>
    <w:p w14:paraId="0380FB3E" w14:textId="77777777" w:rsidR="008B5F96" w:rsidRPr="008B5F96" w:rsidRDefault="008B5F96" w:rsidP="008B5F96">
      <w:pPr>
        <w:jc w:val="both"/>
        <w:rPr>
          <w:sz w:val="22"/>
          <w:szCs w:val="22"/>
          <w:lang w:val="es-CR"/>
        </w:rPr>
      </w:pPr>
    </w:p>
    <w:p w14:paraId="063325E3" w14:textId="77777777" w:rsidR="008B5F96" w:rsidRPr="008B5F96" w:rsidRDefault="008B5F96" w:rsidP="008B5F96">
      <w:pPr>
        <w:jc w:val="both"/>
        <w:rPr>
          <w:sz w:val="22"/>
          <w:szCs w:val="22"/>
          <w:lang w:val="es-CR"/>
        </w:rPr>
      </w:pPr>
      <w:r w:rsidRPr="008B5F96">
        <w:rPr>
          <w:sz w:val="22"/>
          <w:szCs w:val="22"/>
          <w:lang w:val="es-CR"/>
        </w:rPr>
        <w:t>Las siguientes operaciones crediticias contingentes deben convertirse en equivalente de crédito según el riesgo crediticio que representan. El equivalente de crédito se obtiene mediante la multiplicación del saldo de principal contingente por el factor de equivalencia de crédito de acuerdo con lo siguiente:</w:t>
      </w:r>
    </w:p>
    <w:p w14:paraId="734116F4" w14:textId="77777777" w:rsidR="008B5F96" w:rsidRPr="008B5F96" w:rsidRDefault="008B5F96" w:rsidP="008B5F96">
      <w:pPr>
        <w:jc w:val="both"/>
        <w:rPr>
          <w:sz w:val="22"/>
          <w:szCs w:val="22"/>
          <w:lang w:val="es-CR"/>
        </w:rPr>
      </w:pPr>
    </w:p>
    <w:p w14:paraId="231A9643"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Garantías de participación y cartas de crédito de exportación sin depósito previo: 0,05;</w:t>
      </w:r>
    </w:p>
    <w:p w14:paraId="4E03597D" w14:textId="77777777" w:rsidR="008B5F96" w:rsidRPr="008B5F96" w:rsidRDefault="008B5F96" w:rsidP="008B5F96">
      <w:pPr>
        <w:ind w:left="360"/>
        <w:contextualSpacing/>
        <w:jc w:val="both"/>
        <w:rPr>
          <w:sz w:val="22"/>
          <w:szCs w:val="22"/>
          <w:lang w:val="es-CR"/>
        </w:rPr>
      </w:pPr>
    </w:p>
    <w:p w14:paraId="718CDF62"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Las demás garantías y avales sin depósito previo: 0,25;</w:t>
      </w:r>
    </w:p>
    <w:p w14:paraId="44629DAD" w14:textId="77777777" w:rsidR="008B5F96" w:rsidRPr="008B5F96" w:rsidRDefault="008B5F96" w:rsidP="008B5F96">
      <w:pPr>
        <w:ind w:left="720"/>
        <w:contextualSpacing/>
        <w:rPr>
          <w:sz w:val="22"/>
          <w:szCs w:val="22"/>
          <w:lang w:val="es-CR"/>
        </w:rPr>
      </w:pPr>
    </w:p>
    <w:p w14:paraId="1647BF0E"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Líneas de crédito para tarjetas de crédito: 0,10;</w:t>
      </w:r>
    </w:p>
    <w:p w14:paraId="59794152" w14:textId="77777777" w:rsidR="008B5F96" w:rsidRPr="008B5F96" w:rsidRDefault="008B5F96" w:rsidP="008B5F96">
      <w:pPr>
        <w:ind w:left="720"/>
        <w:contextualSpacing/>
        <w:rPr>
          <w:sz w:val="22"/>
          <w:szCs w:val="22"/>
          <w:lang w:val="es-CR"/>
        </w:rPr>
      </w:pPr>
    </w:p>
    <w:p w14:paraId="1BCBBA56" w14:textId="77777777" w:rsidR="008B5F96" w:rsidRPr="008B5F96" w:rsidRDefault="008B5F96" w:rsidP="008B5F96">
      <w:pPr>
        <w:ind w:left="360" w:hanging="360"/>
        <w:jc w:val="both"/>
        <w:rPr>
          <w:sz w:val="22"/>
          <w:szCs w:val="22"/>
          <w:lang w:val="es-CR"/>
        </w:rPr>
      </w:pPr>
      <w:r w:rsidRPr="008B5F96">
        <w:rPr>
          <w:sz w:val="22"/>
          <w:szCs w:val="22"/>
          <w:lang w:val="es-CR"/>
        </w:rPr>
        <w:t>d)</w:t>
      </w:r>
      <w:r w:rsidRPr="008B5F96">
        <w:rPr>
          <w:sz w:val="22"/>
          <w:szCs w:val="22"/>
          <w:lang w:val="es-CR"/>
        </w:rPr>
        <w:tab/>
        <w:t>Otras líneas de crédito de utilización automática: 0,50.</w:t>
      </w:r>
    </w:p>
    <w:p w14:paraId="71B83D05" w14:textId="77777777" w:rsidR="008B5F96" w:rsidRPr="008B5F96" w:rsidRDefault="008B5F96" w:rsidP="008B5F96">
      <w:pPr>
        <w:jc w:val="both"/>
        <w:rPr>
          <w:sz w:val="22"/>
          <w:szCs w:val="22"/>
          <w:lang w:val="es-CR"/>
        </w:rPr>
      </w:pPr>
    </w:p>
    <w:p w14:paraId="4409E978" w14:textId="77777777" w:rsidR="008B5F96" w:rsidRPr="008B5F96" w:rsidRDefault="008B5F96" w:rsidP="008B5F96">
      <w:pPr>
        <w:jc w:val="both"/>
        <w:rPr>
          <w:sz w:val="22"/>
          <w:szCs w:val="22"/>
          <w:lang w:val="es-CR"/>
        </w:rPr>
      </w:pPr>
      <w:r w:rsidRPr="008B5F96">
        <w:rPr>
          <w:sz w:val="22"/>
          <w:szCs w:val="22"/>
          <w:lang w:val="es-CR"/>
        </w:rPr>
        <w:t>La parte del saldo de principal contingente cubierto con depósito previo tendrá un factor de equivalencia de 0,00.</w:t>
      </w:r>
    </w:p>
    <w:p w14:paraId="4B4E75C9" w14:textId="77777777" w:rsidR="008B5F96" w:rsidRPr="008B5F96" w:rsidRDefault="008B5F96" w:rsidP="008B5F96">
      <w:pPr>
        <w:jc w:val="both"/>
        <w:rPr>
          <w:sz w:val="22"/>
          <w:szCs w:val="22"/>
          <w:lang w:val="es-CR"/>
        </w:rPr>
      </w:pPr>
    </w:p>
    <w:p w14:paraId="1C098E04" w14:textId="77777777" w:rsidR="008B5F96" w:rsidRPr="008B5F96" w:rsidRDefault="008B5F96" w:rsidP="008B5F96">
      <w:pPr>
        <w:jc w:val="both"/>
        <w:rPr>
          <w:sz w:val="22"/>
          <w:szCs w:val="22"/>
          <w:lang w:val="es-CR"/>
        </w:rPr>
      </w:pPr>
      <w:r w:rsidRPr="008B5F96">
        <w:rPr>
          <w:sz w:val="22"/>
          <w:szCs w:val="22"/>
          <w:lang w:val="es-CR"/>
        </w:rPr>
        <w:t>Las restantes operaciones crediticias contingentes sujetas a estimación por riesgo de crédito tendrán un factor de equivalencia de 1,00.</w:t>
      </w:r>
    </w:p>
    <w:p w14:paraId="3599FBCE" w14:textId="77777777" w:rsidR="008B5F96" w:rsidRPr="008B5F96" w:rsidRDefault="008B5F96" w:rsidP="008B5F96">
      <w:pPr>
        <w:jc w:val="both"/>
        <w:rPr>
          <w:sz w:val="22"/>
          <w:szCs w:val="22"/>
          <w:lang w:val="es-CR"/>
        </w:rPr>
      </w:pPr>
    </w:p>
    <w:p w14:paraId="6F5DEB32" w14:textId="77777777" w:rsidR="008B5F96" w:rsidRPr="008B5F96" w:rsidRDefault="008B5F96" w:rsidP="008B5F96">
      <w:pPr>
        <w:jc w:val="both"/>
        <w:rPr>
          <w:sz w:val="22"/>
          <w:szCs w:val="22"/>
          <w:lang w:val="es-CR"/>
        </w:rPr>
      </w:pPr>
      <w:r w:rsidRPr="008B5F96">
        <w:rPr>
          <w:sz w:val="22"/>
          <w:szCs w:val="22"/>
          <w:lang w:val="es-CR"/>
        </w:rPr>
        <w:t>Mediante el anexo 1 de este Reglamento se detallan las referencias contables de las operaciones crediticias contingentes, sujetas a estimación por riesgo de crédito.</w:t>
      </w:r>
    </w:p>
    <w:p w14:paraId="0114C372" w14:textId="77777777" w:rsidR="008B5F96" w:rsidRPr="008B5F96" w:rsidRDefault="008B5F96" w:rsidP="008B5F96">
      <w:pPr>
        <w:jc w:val="both"/>
        <w:rPr>
          <w:sz w:val="22"/>
          <w:szCs w:val="22"/>
          <w:lang w:val="es-CR"/>
        </w:rPr>
      </w:pPr>
    </w:p>
    <w:p w14:paraId="149A9DA5" w14:textId="77777777" w:rsidR="008B5F96" w:rsidRPr="008B5F96" w:rsidRDefault="008B5F96" w:rsidP="008B5F96">
      <w:pPr>
        <w:jc w:val="center"/>
        <w:rPr>
          <w:b/>
          <w:bCs/>
          <w:sz w:val="22"/>
          <w:szCs w:val="22"/>
          <w:lang w:val="es-CR"/>
        </w:rPr>
      </w:pPr>
      <w:r w:rsidRPr="008B5F96">
        <w:rPr>
          <w:b/>
          <w:bCs/>
          <w:sz w:val="22"/>
          <w:szCs w:val="22"/>
          <w:lang w:val="es-CR"/>
        </w:rPr>
        <w:t>SECCIÓN III</w:t>
      </w:r>
    </w:p>
    <w:p w14:paraId="0A9E8362" w14:textId="77777777" w:rsidR="008B5F96" w:rsidRPr="008B5F96" w:rsidRDefault="008B5F96" w:rsidP="008B5F96">
      <w:pPr>
        <w:jc w:val="center"/>
        <w:rPr>
          <w:b/>
          <w:bCs/>
          <w:sz w:val="22"/>
          <w:szCs w:val="22"/>
          <w:lang w:val="es-CR"/>
        </w:rPr>
      </w:pPr>
    </w:p>
    <w:p w14:paraId="7E230DAB" w14:textId="77777777" w:rsidR="008B5F96" w:rsidRPr="008B5F96" w:rsidRDefault="008B5F96" w:rsidP="008B5F96">
      <w:pPr>
        <w:jc w:val="center"/>
        <w:rPr>
          <w:b/>
          <w:bCs/>
          <w:sz w:val="22"/>
          <w:szCs w:val="22"/>
          <w:lang w:val="es-CR"/>
        </w:rPr>
      </w:pPr>
      <w:r w:rsidRPr="008B5F96">
        <w:rPr>
          <w:b/>
          <w:bCs/>
          <w:sz w:val="22"/>
          <w:szCs w:val="22"/>
          <w:lang w:val="es-CR"/>
        </w:rPr>
        <w:t>PÉRDIDA EN CASO DE INCUMPLIMIENTO</w:t>
      </w:r>
    </w:p>
    <w:p w14:paraId="21D0511F" w14:textId="77777777" w:rsidR="008B5F96" w:rsidRPr="008B5F96" w:rsidRDefault="008B5F96" w:rsidP="008B5F96">
      <w:pPr>
        <w:jc w:val="center"/>
        <w:rPr>
          <w:b/>
          <w:bCs/>
          <w:sz w:val="22"/>
          <w:szCs w:val="22"/>
          <w:lang w:val="es-CR"/>
        </w:rPr>
      </w:pPr>
    </w:p>
    <w:p w14:paraId="4FC4D506" w14:textId="77777777" w:rsidR="008B5F96" w:rsidRPr="008B5F96" w:rsidRDefault="008B5F96" w:rsidP="008B5F96">
      <w:pPr>
        <w:jc w:val="both"/>
        <w:rPr>
          <w:b/>
          <w:bCs/>
          <w:sz w:val="22"/>
          <w:szCs w:val="22"/>
          <w:lang w:val="es-CR"/>
        </w:rPr>
      </w:pPr>
      <w:r w:rsidRPr="008B5F96">
        <w:rPr>
          <w:b/>
          <w:bCs/>
          <w:sz w:val="22"/>
          <w:szCs w:val="22"/>
          <w:lang w:val="es-CR"/>
        </w:rPr>
        <w:t>Artículo 18. Garantías</w:t>
      </w:r>
    </w:p>
    <w:p w14:paraId="4D2D1AF3" w14:textId="77777777" w:rsidR="008B5F96" w:rsidRPr="008B5F96" w:rsidRDefault="008B5F96" w:rsidP="008B5F96">
      <w:pPr>
        <w:jc w:val="both"/>
        <w:rPr>
          <w:sz w:val="22"/>
          <w:szCs w:val="22"/>
          <w:lang w:val="es-CR"/>
        </w:rPr>
      </w:pPr>
    </w:p>
    <w:p w14:paraId="566FB8F6" w14:textId="77777777" w:rsidR="008B5F96" w:rsidRPr="008B5F96" w:rsidRDefault="008B5F96" w:rsidP="008B5F96">
      <w:pPr>
        <w:jc w:val="both"/>
        <w:rPr>
          <w:sz w:val="22"/>
          <w:szCs w:val="22"/>
          <w:lang w:val="es-CR"/>
        </w:rPr>
      </w:pPr>
      <w:r w:rsidRPr="008B5F96">
        <w:rPr>
          <w:sz w:val="22"/>
          <w:szCs w:val="22"/>
          <w:lang w:val="es-CR"/>
        </w:rPr>
        <w:t>Las garantías que deben considerarse para el cálculo de las estimaciones son los siguientes:</w:t>
      </w:r>
    </w:p>
    <w:p w14:paraId="1717A9A9" w14:textId="77777777" w:rsidR="008B5F96" w:rsidRPr="008B5F96" w:rsidRDefault="008B5F96" w:rsidP="008B5F96">
      <w:pPr>
        <w:jc w:val="both"/>
        <w:rPr>
          <w:sz w:val="22"/>
          <w:szCs w:val="22"/>
          <w:lang w:val="es-CR"/>
        </w:rPr>
      </w:pPr>
    </w:p>
    <w:p w14:paraId="01D46847" w14:textId="77777777" w:rsidR="008B5F96" w:rsidRPr="008B5F96" w:rsidRDefault="008B5F96" w:rsidP="008B5F96">
      <w:pPr>
        <w:ind w:left="360" w:hanging="360"/>
        <w:jc w:val="both"/>
        <w:rPr>
          <w:b/>
          <w:bCs/>
          <w:sz w:val="22"/>
          <w:szCs w:val="22"/>
          <w:lang w:val="es-CR"/>
        </w:rPr>
      </w:pPr>
      <w:r w:rsidRPr="008B5F96">
        <w:rPr>
          <w:b/>
          <w:bCs/>
          <w:sz w:val="22"/>
          <w:szCs w:val="22"/>
          <w:lang w:val="es-CR"/>
        </w:rPr>
        <w:t>a)</w:t>
      </w:r>
      <w:r w:rsidRPr="008B5F96">
        <w:rPr>
          <w:b/>
          <w:bCs/>
          <w:sz w:val="22"/>
          <w:szCs w:val="22"/>
          <w:lang w:val="es-CR"/>
        </w:rPr>
        <w:tab/>
        <w:t>Hipotecas sobre terrenos y/o edificaciones en primer grado y segundo grado con la misma entidad financiera.</w:t>
      </w:r>
    </w:p>
    <w:p w14:paraId="4CB121E4" w14:textId="77777777" w:rsidR="008B5F96" w:rsidRPr="008B5F96" w:rsidRDefault="008B5F96" w:rsidP="008B5F96">
      <w:pPr>
        <w:ind w:left="360"/>
        <w:contextualSpacing/>
        <w:jc w:val="both"/>
        <w:rPr>
          <w:b/>
          <w:bCs/>
          <w:sz w:val="22"/>
          <w:szCs w:val="22"/>
          <w:lang w:val="es-CR"/>
        </w:rPr>
      </w:pPr>
    </w:p>
    <w:p w14:paraId="426E0737" w14:textId="77777777" w:rsidR="008B5F96" w:rsidRPr="008B5F96" w:rsidRDefault="008B5F96" w:rsidP="008B5F96">
      <w:pPr>
        <w:ind w:left="360" w:hanging="360"/>
        <w:jc w:val="both"/>
        <w:rPr>
          <w:b/>
          <w:bCs/>
          <w:sz w:val="22"/>
          <w:szCs w:val="22"/>
          <w:lang w:val="es-CR"/>
        </w:rPr>
      </w:pPr>
      <w:r w:rsidRPr="008B5F96">
        <w:rPr>
          <w:b/>
          <w:bCs/>
          <w:sz w:val="22"/>
          <w:szCs w:val="22"/>
          <w:lang w:val="es-CR"/>
        </w:rPr>
        <w:t>b)</w:t>
      </w:r>
      <w:r w:rsidRPr="008B5F96">
        <w:rPr>
          <w:b/>
          <w:bCs/>
          <w:sz w:val="22"/>
          <w:szCs w:val="22"/>
          <w:lang w:val="es-CR"/>
        </w:rPr>
        <w:tab/>
        <w:t>Cédula hipotecaria constituida sobre bienes inmuebles en primer grado y segundo grado con la misma entidad financiera.</w:t>
      </w:r>
    </w:p>
    <w:p w14:paraId="12179C3B" w14:textId="77777777" w:rsidR="008B5F96" w:rsidRPr="008B5F96" w:rsidRDefault="008B5F96" w:rsidP="008B5F96">
      <w:pPr>
        <w:ind w:left="720"/>
        <w:contextualSpacing/>
        <w:rPr>
          <w:sz w:val="22"/>
          <w:szCs w:val="22"/>
          <w:lang w:val="es-CR"/>
        </w:rPr>
      </w:pPr>
    </w:p>
    <w:p w14:paraId="2ED12F58" w14:textId="77777777" w:rsidR="008B5F96" w:rsidRPr="008B5F96" w:rsidRDefault="008B5F96" w:rsidP="008B5F96">
      <w:pPr>
        <w:ind w:left="360" w:hanging="360"/>
        <w:jc w:val="both"/>
        <w:rPr>
          <w:b/>
          <w:bCs/>
          <w:sz w:val="22"/>
          <w:szCs w:val="22"/>
          <w:lang w:val="es-CR"/>
        </w:rPr>
      </w:pPr>
      <w:r w:rsidRPr="008B5F96">
        <w:rPr>
          <w:b/>
          <w:bCs/>
          <w:sz w:val="22"/>
          <w:szCs w:val="22"/>
          <w:lang w:val="es-CR"/>
        </w:rPr>
        <w:t>c)</w:t>
      </w:r>
      <w:r w:rsidRPr="008B5F96">
        <w:rPr>
          <w:b/>
          <w:bCs/>
          <w:sz w:val="22"/>
          <w:szCs w:val="22"/>
          <w:lang w:val="es-CR"/>
        </w:rPr>
        <w:tab/>
        <w:t>Operación crediticia otorgada por una entidad supervisada por Sugef.</w:t>
      </w:r>
      <w:r w:rsidRPr="008B5F96">
        <w:rPr>
          <w:sz w:val="22"/>
          <w:szCs w:val="22"/>
          <w:lang w:val="es-CR"/>
        </w:rPr>
        <w:t xml:space="preserve"> El monto mitigador aplicable será equivalente al noventa por ciento (90%) del saldo de principal neto de la estimación registrado en la entidad cedente, con corte al mes anterior.</w:t>
      </w:r>
    </w:p>
    <w:p w14:paraId="2A120761" w14:textId="77777777" w:rsidR="008B5F96" w:rsidRPr="008B5F96" w:rsidRDefault="008B5F96" w:rsidP="008B5F96">
      <w:pPr>
        <w:ind w:left="720"/>
        <w:contextualSpacing/>
        <w:rPr>
          <w:sz w:val="22"/>
          <w:szCs w:val="22"/>
          <w:lang w:val="es-CR"/>
        </w:rPr>
      </w:pPr>
    </w:p>
    <w:p w14:paraId="10B1E7DD" w14:textId="77777777" w:rsidR="008B5F96" w:rsidRPr="008B5F96" w:rsidRDefault="008B5F96" w:rsidP="008B5F96">
      <w:pPr>
        <w:ind w:left="360"/>
        <w:jc w:val="both"/>
        <w:rPr>
          <w:sz w:val="22"/>
          <w:szCs w:val="22"/>
          <w:lang w:val="es-CR"/>
        </w:rPr>
      </w:pPr>
      <w:r w:rsidRPr="008B5F96">
        <w:rPr>
          <w:sz w:val="22"/>
          <w:szCs w:val="22"/>
          <w:lang w:val="es-CR"/>
        </w:rPr>
        <w:t xml:space="preserve">Se considerará admisible como mitigador la operación crediticia otorgada por una entidad supervisada, siempre que se cumplan las siguientes condiciones: i) La operación esté vigente y debidamente documentada mediante contrato formal de cesión en garantía; ii) La estimación </w:t>
      </w:r>
      <w:r w:rsidRPr="008B5F96">
        <w:rPr>
          <w:sz w:val="22"/>
          <w:szCs w:val="22"/>
          <w:lang w:val="es-CR"/>
        </w:rPr>
        <w:lastRenderedPageBreak/>
        <w:t xml:space="preserve">registrada en la entidad cedente corresponda a una operación directa calificada en categoría de riesgo 1 </w:t>
      </w:r>
      <w:r w:rsidRPr="008B5F96">
        <w:rPr>
          <w:i/>
          <w:iCs/>
          <w:sz w:val="22"/>
          <w:szCs w:val="22"/>
          <w:lang w:val="es-CR"/>
        </w:rPr>
        <w:t>o</w:t>
      </w:r>
      <w:r w:rsidRPr="008B5F96">
        <w:rPr>
          <w:sz w:val="22"/>
          <w:szCs w:val="22"/>
          <w:lang w:val="es-CR"/>
        </w:rPr>
        <w:t xml:space="preserve"> 2, según el enfoque de calificación que aplique (por deudor u operación), conforme al presente Reglamento; iii) La garantía de la operación cedida debe estar debidamente inscrita en el Registro Público, cuando corresponda; iv) Las garantías que respaldan la operación cedida permanecerán reconocidas como mitigadores de riesgo en la entidad cedente, salvo que exista el traspaso efectivo de dichas garantías a favor de la entidad receptora y se cumplan las condiciones establecidas en este Reglamento. En ningún caso una misma garantía podrá ser reconocida simultáneamente como mitigador por ambas entidades; y v) Contablemente, las garantías deben permanecer registradas en el código contable dispuesto para tales fines.</w:t>
      </w:r>
    </w:p>
    <w:p w14:paraId="1418B1AD" w14:textId="77777777" w:rsidR="008B5F96" w:rsidRPr="008B5F96" w:rsidRDefault="008B5F96" w:rsidP="008B5F96">
      <w:pPr>
        <w:ind w:left="360"/>
        <w:jc w:val="both"/>
        <w:rPr>
          <w:sz w:val="22"/>
          <w:szCs w:val="22"/>
          <w:lang w:val="es-CR"/>
        </w:rPr>
      </w:pPr>
    </w:p>
    <w:p w14:paraId="1264E9A8" w14:textId="77777777" w:rsidR="008B5F96" w:rsidRPr="008B5F96" w:rsidRDefault="008B5F96" w:rsidP="008B5F96">
      <w:pPr>
        <w:ind w:left="360" w:hanging="360"/>
        <w:jc w:val="both"/>
        <w:rPr>
          <w:b/>
          <w:bCs/>
          <w:sz w:val="22"/>
          <w:szCs w:val="22"/>
          <w:lang w:val="es-CR"/>
        </w:rPr>
      </w:pPr>
      <w:r w:rsidRPr="008B5F96">
        <w:rPr>
          <w:b/>
          <w:bCs/>
          <w:sz w:val="22"/>
          <w:szCs w:val="22"/>
          <w:lang w:val="es-CR"/>
        </w:rPr>
        <w:t>d)</w:t>
      </w:r>
      <w:r w:rsidRPr="008B5F96">
        <w:rPr>
          <w:b/>
          <w:bCs/>
          <w:sz w:val="22"/>
          <w:szCs w:val="22"/>
          <w:lang w:val="es-CR"/>
        </w:rPr>
        <w:tab/>
        <w:t xml:space="preserve">Depósitos o instrumentos financieros que respaldan operaciones </w:t>
      </w:r>
      <w:r w:rsidRPr="008B5F96">
        <w:rPr>
          <w:b/>
          <w:bCs/>
          <w:i/>
          <w:iCs/>
          <w:sz w:val="22"/>
          <w:szCs w:val="22"/>
          <w:lang w:val="es-CR"/>
        </w:rPr>
        <w:t>back to back</w:t>
      </w:r>
      <w:r w:rsidRPr="008B5F96">
        <w:rPr>
          <w:b/>
          <w:bCs/>
          <w:sz w:val="22"/>
          <w:szCs w:val="22"/>
          <w:lang w:val="es-CR"/>
        </w:rPr>
        <w:t>.</w:t>
      </w:r>
    </w:p>
    <w:p w14:paraId="44648129" w14:textId="77777777" w:rsidR="008B5F96" w:rsidRPr="008B5F96" w:rsidRDefault="008B5F96" w:rsidP="008B5F96">
      <w:pPr>
        <w:ind w:left="360"/>
        <w:contextualSpacing/>
        <w:jc w:val="both"/>
        <w:rPr>
          <w:b/>
          <w:bCs/>
          <w:sz w:val="22"/>
          <w:szCs w:val="22"/>
          <w:lang w:val="es-CR"/>
        </w:rPr>
      </w:pPr>
    </w:p>
    <w:p w14:paraId="5EBBE566" w14:textId="77777777" w:rsidR="008B5F96" w:rsidRPr="008B5F96" w:rsidRDefault="008B5F96" w:rsidP="008B5F96">
      <w:pPr>
        <w:ind w:left="360" w:hanging="360"/>
        <w:jc w:val="both"/>
        <w:rPr>
          <w:b/>
          <w:bCs/>
          <w:sz w:val="22"/>
          <w:szCs w:val="22"/>
          <w:lang w:val="es-CR"/>
        </w:rPr>
      </w:pPr>
      <w:r w:rsidRPr="008B5F96">
        <w:rPr>
          <w:b/>
          <w:bCs/>
          <w:sz w:val="22"/>
          <w:szCs w:val="22"/>
          <w:lang w:val="es-CR"/>
        </w:rPr>
        <w:t>e)</w:t>
      </w:r>
      <w:r w:rsidRPr="008B5F96">
        <w:rPr>
          <w:b/>
          <w:bCs/>
          <w:sz w:val="22"/>
          <w:szCs w:val="22"/>
          <w:lang w:val="es-CR"/>
        </w:rPr>
        <w:tab/>
        <w:t>Instrumento de deuda debidamente inscrito en una bolsa de valores autorizada o emitido por el Banco Central de Costa Rica o el Gobierno de Costa Rica.</w:t>
      </w:r>
    </w:p>
    <w:p w14:paraId="695C5C49" w14:textId="77777777" w:rsidR="008B5F96" w:rsidRPr="008B5F96" w:rsidRDefault="008B5F96" w:rsidP="008B5F96">
      <w:pPr>
        <w:ind w:left="720"/>
        <w:contextualSpacing/>
        <w:rPr>
          <w:sz w:val="22"/>
          <w:szCs w:val="22"/>
          <w:lang w:val="es-CR"/>
        </w:rPr>
      </w:pPr>
    </w:p>
    <w:p w14:paraId="174D3B62" w14:textId="77777777" w:rsidR="008B5F96" w:rsidRPr="008B5F96" w:rsidRDefault="008B5F96" w:rsidP="008B5F96">
      <w:pPr>
        <w:ind w:left="360" w:hanging="360"/>
        <w:jc w:val="both"/>
        <w:rPr>
          <w:b/>
          <w:bCs/>
          <w:sz w:val="22"/>
          <w:szCs w:val="22"/>
          <w:lang w:val="es-CR"/>
        </w:rPr>
      </w:pPr>
      <w:r w:rsidRPr="008B5F96">
        <w:rPr>
          <w:b/>
          <w:bCs/>
          <w:sz w:val="22"/>
          <w:szCs w:val="22"/>
          <w:lang w:val="es-CR"/>
        </w:rPr>
        <w:t>f)</w:t>
      </w:r>
      <w:r w:rsidRPr="008B5F96">
        <w:rPr>
          <w:b/>
          <w:bCs/>
          <w:sz w:val="22"/>
          <w:szCs w:val="22"/>
          <w:lang w:val="es-CR"/>
        </w:rPr>
        <w:tab/>
        <w:t>Instrumento de deuda emitido por una entidad supervisada por la Sugef sin calificación pública otorgada por una agencia calificadora.</w:t>
      </w:r>
    </w:p>
    <w:p w14:paraId="08EBD06F" w14:textId="77777777" w:rsidR="008B5F96" w:rsidRPr="008B5F96" w:rsidRDefault="008B5F96" w:rsidP="008B5F96">
      <w:pPr>
        <w:ind w:left="360" w:hanging="360"/>
        <w:jc w:val="both"/>
        <w:rPr>
          <w:b/>
          <w:bCs/>
          <w:sz w:val="22"/>
          <w:szCs w:val="22"/>
          <w:lang w:val="es-CR"/>
        </w:rPr>
      </w:pPr>
    </w:p>
    <w:p w14:paraId="59A7DDC8" w14:textId="77777777" w:rsidR="008B5F96" w:rsidRPr="008B5F96" w:rsidRDefault="008B5F96" w:rsidP="008B5F96">
      <w:pPr>
        <w:ind w:left="360" w:hanging="360"/>
        <w:jc w:val="both"/>
        <w:rPr>
          <w:sz w:val="22"/>
          <w:szCs w:val="22"/>
          <w:lang w:val="es-CR"/>
        </w:rPr>
      </w:pPr>
      <w:r w:rsidRPr="008B5F96">
        <w:rPr>
          <w:b/>
          <w:bCs/>
          <w:sz w:val="22"/>
          <w:szCs w:val="22"/>
          <w:lang w:val="es-CR"/>
        </w:rPr>
        <w:t>g)</w:t>
      </w:r>
      <w:r w:rsidRPr="008B5F96">
        <w:rPr>
          <w:b/>
          <w:bCs/>
          <w:sz w:val="22"/>
          <w:szCs w:val="22"/>
          <w:lang w:val="es-CR"/>
        </w:rPr>
        <w:tab/>
        <w:t>Participación en un fondo de inversión abierto debidamente inscrito en la plaza correspondiente.</w:t>
      </w:r>
      <w:r w:rsidRPr="008B5F96">
        <w:rPr>
          <w:sz w:val="22"/>
          <w:szCs w:val="22"/>
          <w:lang w:val="es-CR"/>
        </w:rPr>
        <w:t xml:space="preserve"> Los fondos de inversión abiertos deben estar inscritos, contar con grado de inversión y no integrar el grupo o conglomerado financiero del deudor.</w:t>
      </w:r>
    </w:p>
    <w:p w14:paraId="17F428FC" w14:textId="77777777" w:rsidR="008B5F96" w:rsidRPr="008B5F96" w:rsidRDefault="008B5F96" w:rsidP="008B5F96">
      <w:pPr>
        <w:ind w:left="360"/>
        <w:contextualSpacing/>
        <w:jc w:val="both"/>
        <w:rPr>
          <w:sz w:val="22"/>
          <w:szCs w:val="22"/>
          <w:lang w:val="es-CR"/>
        </w:rPr>
      </w:pPr>
    </w:p>
    <w:p w14:paraId="0CD51189" w14:textId="77777777" w:rsidR="008B5F96" w:rsidRPr="008B5F96" w:rsidRDefault="008B5F96" w:rsidP="008B5F96">
      <w:pPr>
        <w:ind w:left="360" w:hanging="360"/>
        <w:jc w:val="both"/>
        <w:rPr>
          <w:sz w:val="22"/>
          <w:szCs w:val="22"/>
          <w:lang w:val="es-CR"/>
        </w:rPr>
      </w:pPr>
      <w:r w:rsidRPr="008B5F96">
        <w:rPr>
          <w:b/>
          <w:bCs/>
          <w:sz w:val="22"/>
          <w:szCs w:val="22"/>
          <w:lang w:val="es-CR"/>
        </w:rPr>
        <w:t>h)</w:t>
      </w:r>
      <w:r w:rsidRPr="008B5F96">
        <w:rPr>
          <w:b/>
          <w:bCs/>
          <w:sz w:val="22"/>
          <w:szCs w:val="22"/>
          <w:lang w:val="es-CR"/>
        </w:rPr>
        <w:tab/>
        <w:t>Participación en un fondo de inversión cerrado debidamente inscrito en una bolsa de valores autorizada.</w:t>
      </w:r>
      <w:r w:rsidRPr="008B5F96">
        <w:rPr>
          <w:sz w:val="22"/>
          <w:szCs w:val="22"/>
          <w:lang w:val="es-CR"/>
        </w:rPr>
        <w:t xml:space="preserve"> Los fondos de inversión cerrados deben estar inscritos, contar con grado de inversión y no integrar el grupo o conglomerado financiero del deudor.</w:t>
      </w:r>
    </w:p>
    <w:p w14:paraId="650E5AE8" w14:textId="77777777" w:rsidR="008B5F96" w:rsidRPr="008B5F96" w:rsidRDefault="008B5F96" w:rsidP="008B5F96">
      <w:pPr>
        <w:ind w:left="720"/>
        <w:contextualSpacing/>
        <w:rPr>
          <w:b/>
          <w:bCs/>
          <w:sz w:val="22"/>
          <w:szCs w:val="22"/>
          <w:lang w:val="es-CR"/>
        </w:rPr>
      </w:pPr>
    </w:p>
    <w:p w14:paraId="72C26193" w14:textId="77777777" w:rsidR="008B5F96" w:rsidRPr="008B5F96" w:rsidRDefault="008B5F96" w:rsidP="008B5F96">
      <w:pPr>
        <w:ind w:left="360" w:hanging="360"/>
        <w:jc w:val="both"/>
        <w:rPr>
          <w:sz w:val="22"/>
          <w:szCs w:val="22"/>
          <w:lang w:val="es-CR"/>
        </w:rPr>
      </w:pPr>
      <w:r w:rsidRPr="008B5F96">
        <w:rPr>
          <w:b/>
          <w:bCs/>
          <w:sz w:val="22"/>
          <w:szCs w:val="22"/>
          <w:lang w:val="es-CR"/>
        </w:rPr>
        <w:t>i)</w:t>
      </w:r>
      <w:r w:rsidRPr="008B5F96">
        <w:rPr>
          <w:b/>
          <w:bCs/>
          <w:sz w:val="22"/>
          <w:szCs w:val="22"/>
          <w:lang w:val="es-CR"/>
        </w:rPr>
        <w:tab/>
        <w:t xml:space="preserve">Cartas de crédito </w:t>
      </w:r>
      <w:r w:rsidRPr="008B5F96">
        <w:rPr>
          <w:b/>
          <w:bCs/>
          <w:i/>
          <w:iCs/>
          <w:sz w:val="22"/>
          <w:szCs w:val="22"/>
          <w:lang w:val="es-CR"/>
        </w:rPr>
        <w:t>stand-by</w:t>
      </w:r>
      <w:r w:rsidRPr="008B5F96">
        <w:rPr>
          <w:b/>
          <w:bCs/>
          <w:sz w:val="22"/>
          <w:szCs w:val="22"/>
          <w:lang w:val="es-CR"/>
        </w:rPr>
        <w:t xml:space="preserve"> emitidas por un intermediario financiero</w:t>
      </w:r>
      <w:r w:rsidRPr="008B5F96">
        <w:rPr>
          <w:sz w:val="22"/>
          <w:szCs w:val="22"/>
          <w:lang w:val="es-CR"/>
        </w:rPr>
        <w:t>. Se considerará admisible como garantía siempre que se cumplan las siguientes condiciones:</w:t>
      </w:r>
    </w:p>
    <w:p w14:paraId="262648CD" w14:textId="77777777" w:rsidR="008B5F96" w:rsidRPr="008B5F96" w:rsidRDefault="008B5F96" w:rsidP="008B5F96">
      <w:pPr>
        <w:ind w:left="720"/>
        <w:contextualSpacing/>
        <w:rPr>
          <w:sz w:val="22"/>
          <w:szCs w:val="22"/>
          <w:lang w:val="es-CR"/>
        </w:rPr>
      </w:pPr>
    </w:p>
    <w:p w14:paraId="25C3B8D1" w14:textId="77777777" w:rsidR="008B5F96" w:rsidRPr="008B5F96" w:rsidRDefault="008B5F96" w:rsidP="008B5F96">
      <w:pPr>
        <w:ind w:left="720" w:hanging="360"/>
        <w:jc w:val="both"/>
        <w:rPr>
          <w:sz w:val="22"/>
          <w:szCs w:val="22"/>
          <w:lang w:val="es-CR"/>
        </w:rPr>
      </w:pPr>
      <w:r w:rsidRPr="008B5F96">
        <w:rPr>
          <w:sz w:val="22"/>
          <w:szCs w:val="22"/>
          <w:lang w:val="es-CR"/>
        </w:rPr>
        <w:t>i)</w:t>
      </w:r>
      <w:r w:rsidRPr="008B5F96">
        <w:rPr>
          <w:sz w:val="22"/>
          <w:szCs w:val="22"/>
          <w:lang w:val="es-CR"/>
        </w:rPr>
        <w:tab/>
        <w:t>Sea irrevocable, incondicional y de pago inmediato.</w:t>
      </w:r>
    </w:p>
    <w:p w14:paraId="6095E352" w14:textId="77777777" w:rsidR="008B5F96" w:rsidRPr="008B5F96" w:rsidRDefault="008B5F96" w:rsidP="008B5F96">
      <w:pPr>
        <w:ind w:left="720"/>
        <w:contextualSpacing/>
        <w:jc w:val="both"/>
        <w:rPr>
          <w:sz w:val="22"/>
          <w:szCs w:val="22"/>
          <w:lang w:val="es-CR"/>
        </w:rPr>
      </w:pPr>
    </w:p>
    <w:p w14:paraId="713E9FDF" w14:textId="77777777" w:rsidR="008B5F96" w:rsidRPr="008B5F96" w:rsidRDefault="008B5F96" w:rsidP="008B5F96">
      <w:pPr>
        <w:ind w:left="720" w:hanging="360"/>
        <w:jc w:val="both"/>
        <w:rPr>
          <w:sz w:val="22"/>
          <w:szCs w:val="22"/>
          <w:lang w:val="es-CR"/>
        </w:rPr>
      </w:pPr>
      <w:r w:rsidRPr="008B5F96">
        <w:rPr>
          <w:sz w:val="22"/>
          <w:szCs w:val="22"/>
          <w:lang w:val="es-CR"/>
        </w:rPr>
        <w:t>ii)</w:t>
      </w:r>
      <w:r w:rsidRPr="008B5F96">
        <w:rPr>
          <w:sz w:val="22"/>
          <w:szCs w:val="22"/>
          <w:lang w:val="es-CR"/>
        </w:rPr>
        <w:tab/>
        <w:t>No haya sido emitida por una entidad integrante del grupo vinculado a la entidad que concede el crédito.</w:t>
      </w:r>
    </w:p>
    <w:p w14:paraId="0A881B1C" w14:textId="77777777" w:rsidR="008B5F96" w:rsidRPr="008B5F96" w:rsidRDefault="008B5F96" w:rsidP="008B5F96">
      <w:pPr>
        <w:jc w:val="both"/>
        <w:rPr>
          <w:sz w:val="22"/>
          <w:szCs w:val="22"/>
          <w:lang w:val="es-CR"/>
        </w:rPr>
      </w:pPr>
    </w:p>
    <w:p w14:paraId="2284C6A2" w14:textId="77777777" w:rsidR="008B5F96" w:rsidRPr="008B5F96" w:rsidRDefault="008B5F96" w:rsidP="008B5F96">
      <w:pPr>
        <w:ind w:left="360"/>
        <w:jc w:val="both"/>
        <w:rPr>
          <w:sz w:val="22"/>
          <w:szCs w:val="22"/>
          <w:lang w:val="es-CR"/>
        </w:rPr>
      </w:pPr>
      <w:r w:rsidRPr="008B5F96">
        <w:rPr>
          <w:sz w:val="22"/>
          <w:szCs w:val="22"/>
          <w:lang w:val="es-CR"/>
        </w:rPr>
        <w:t xml:space="preserve">El monto mitigador aplicable será: Para efectos de este inciso, las calificaciones de referencia del anexo 2 serán las de largo plazo. Se utilizará la calificación de largo plazo del emisor; cuando el emisor esté domiciliado en Costa Rica, se utilizará su calificación de riesgo en escala nacional emitida por agencias internacionales, si esta existiere, y se homologará a las categorías del anexo 2. De no existir escala nacional para Costa Rica por parte de la agencia internacional, se utilizará la calificación en escala internacional (global) y se homologará a las categorías del anexo 2. </w:t>
      </w:r>
    </w:p>
    <w:p w14:paraId="5AC4F6F0" w14:textId="77777777" w:rsidR="008B5F96" w:rsidRPr="008B5F96" w:rsidRDefault="008B5F96" w:rsidP="008B5F96">
      <w:pPr>
        <w:ind w:left="360"/>
        <w:jc w:val="both"/>
        <w:rPr>
          <w:sz w:val="22"/>
          <w:szCs w:val="22"/>
          <w:lang w:val="es-CR"/>
        </w:rPr>
      </w:pPr>
    </w:p>
    <w:p w14:paraId="514236F8" w14:textId="77777777" w:rsidR="008B5F96" w:rsidRPr="008B5F96" w:rsidRDefault="008B5F96" w:rsidP="008B5F96">
      <w:pPr>
        <w:ind w:left="360"/>
        <w:jc w:val="both"/>
        <w:rPr>
          <w:sz w:val="22"/>
          <w:szCs w:val="22"/>
          <w:lang w:val="es-CR"/>
        </w:rPr>
      </w:pPr>
      <w:r w:rsidRPr="008B5F96">
        <w:rPr>
          <w:sz w:val="22"/>
          <w:szCs w:val="22"/>
          <w:lang w:val="es-CR"/>
        </w:rPr>
        <w:t xml:space="preserve">En ausencia de calificación u homologación aplicable, la carta de crédito </w:t>
      </w:r>
      <w:r w:rsidRPr="008B5F96">
        <w:rPr>
          <w:i/>
          <w:iCs/>
          <w:sz w:val="22"/>
          <w:szCs w:val="22"/>
          <w:lang w:val="es-CR"/>
        </w:rPr>
        <w:t>stand-by</w:t>
      </w:r>
      <w:r w:rsidRPr="008B5F96">
        <w:rPr>
          <w:sz w:val="22"/>
          <w:szCs w:val="22"/>
          <w:lang w:val="es-CR"/>
        </w:rPr>
        <w:t xml:space="preserve"> no será admisible como garantía mitigadora bajo este inciso (porcentaje mitigador 0%), debiendo tratarse la exposición como no cubierta. </w:t>
      </w:r>
    </w:p>
    <w:p w14:paraId="7443A381" w14:textId="77777777" w:rsidR="008B5F96" w:rsidRPr="008B5F96" w:rsidRDefault="008B5F96" w:rsidP="008B5F96">
      <w:pPr>
        <w:jc w:val="both"/>
        <w:rPr>
          <w:sz w:val="22"/>
          <w:szCs w:val="22"/>
          <w:lang w:val="es-CR"/>
        </w:rPr>
      </w:pPr>
    </w:p>
    <w:p w14:paraId="61E47CC7" w14:textId="77777777" w:rsidR="008B5F96" w:rsidRPr="008B5F96" w:rsidRDefault="008B5F96" w:rsidP="008B5F96">
      <w:pPr>
        <w:ind w:left="720" w:hanging="360"/>
        <w:jc w:val="both"/>
        <w:rPr>
          <w:sz w:val="22"/>
          <w:szCs w:val="22"/>
          <w:lang w:val="es-CR"/>
        </w:rPr>
      </w:pPr>
      <w:r w:rsidRPr="008B5F96">
        <w:rPr>
          <w:b/>
          <w:bCs/>
          <w:sz w:val="22"/>
          <w:szCs w:val="22"/>
          <w:lang w:val="es-CR"/>
        </w:rPr>
        <w:t>1.</w:t>
      </w:r>
      <w:r w:rsidRPr="008B5F96">
        <w:rPr>
          <w:b/>
          <w:bCs/>
          <w:sz w:val="22"/>
          <w:szCs w:val="22"/>
          <w:lang w:val="es-CR"/>
        </w:rPr>
        <w:tab/>
      </w:r>
      <w:r w:rsidRPr="008B5F96">
        <w:rPr>
          <w:sz w:val="22"/>
          <w:szCs w:val="22"/>
          <w:lang w:val="es-CR"/>
        </w:rPr>
        <w:t>Noventa por ciento (90%) del valor facial del documento, cuando la entidad esté calificada en categoría de riesgo 1, 2 o 3, conforme a la homologación de la calificación internacional (ver anexo 2).</w:t>
      </w:r>
    </w:p>
    <w:p w14:paraId="1593D44F" w14:textId="77777777" w:rsidR="008B5F96" w:rsidRPr="008B5F96" w:rsidRDefault="008B5F96" w:rsidP="008B5F96">
      <w:pPr>
        <w:ind w:left="720"/>
        <w:contextualSpacing/>
        <w:jc w:val="both"/>
        <w:rPr>
          <w:sz w:val="22"/>
          <w:szCs w:val="22"/>
          <w:lang w:val="es-CR"/>
        </w:rPr>
      </w:pPr>
    </w:p>
    <w:p w14:paraId="63449165" w14:textId="77777777" w:rsidR="008B5F96" w:rsidRPr="008B5F96" w:rsidRDefault="008B5F96" w:rsidP="008B5F96">
      <w:pPr>
        <w:ind w:left="720" w:hanging="360"/>
        <w:jc w:val="both"/>
        <w:rPr>
          <w:sz w:val="22"/>
          <w:szCs w:val="22"/>
          <w:lang w:val="es-CR"/>
        </w:rPr>
      </w:pPr>
      <w:r w:rsidRPr="008B5F96">
        <w:rPr>
          <w:b/>
          <w:bCs/>
          <w:sz w:val="22"/>
          <w:szCs w:val="22"/>
          <w:lang w:val="es-CR"/>
        </w:rPr>
        <w:lastRenderedPageBreak/>
        <w:t>2.</w:t>
      </w:r>
      <w:r w:rsidRPr="008B5F96">
        <w:rPr>
          <w:b/>
          <w:bCs/>
          <w:sz w:val="22"/>
          <w:szCs w:val="22"/>
          <w:lang w:val="es-CR"/>
        </w:rPr>
        <w:tab/>
      </w:r>
      <w:r w:rsidRPr="008B5F96">
        <w:rPr>
          <w:sz w:val="22"/>
          <w:szCs w:val="22"/>
          <w:lang w:val="es-CR"/>
        </w:rPr>
        <w:t xml:space="preserve">Ochenta por ciento (80%) del valor facial del documento, cuando la entidad esté calificada en categoría de riesgo 4 conforme a la homologación de la calificación internacional (ver anexo 2). </w:t>
      </w:r>
    </w:p>
    <w:p w14:paraId="588AC075" w14:textId="77777777" w:rsidR="008B5F96" w:rsidRPr="008B5F96" w:rsidRDefault="008B5F96" w:rsidP="008B5F96">
      <w:pPr>
        <w:jc w:val="both"/>
        <w:rPr>
          <w:sz w:val="22"/>
          <w:szCs w:val="22"/>
          <w:lang w:val="es-CR"/>
        </w:rPr>
      </w:pPr>
    </w:p>
    <w:p w14:paraId="5E063081" w14:textId="77777777" w:rsidR="008B5F96" w:rsidRPr="008B5F96" w:rsidRDefault="008B5F96" w:rsidP="008B5F96">
      <w:pPr>
        <w:ind w:left="360" w:hanging="360"/>
        <w:jc w:val="both"/>
        <w:rPr>
          <w:sz w:val="22"/>
          <w:szCs w:val="22"/>
          <w:lang w:val="es-CR"/>
        </w:rPr>
      </w:pPr>
      <w:r w:rsidRPr="008B5F96">
        <w:rPr>
          <w:b/>
          <w:bCs/>
          <w:sz w:val="22"/>
          <w:szCs w:val="22"/>
          <w:lang w:val="es-CR"/>
        </w:rPr>
        <w:t>j)</w:t>
      </w:r>
      <w:r w:rsidRPr="008B5F96">
        <w:rPr>
          <w:b/>
          <w:bCs/>
          <w:sz w:val="22"/>
          <w:szCs w:val="22"/>
          <w:lang w:val="es-CR"/>
        </w:rPr>
        <w:tab/>
        <w:t>Avales otorgados por el Fondo de Avales y Garantías del Fondo Nacional para el Desarrollo (FONADE) y por el Fondo de Garantías del Fondo especial para el desarrollo de las micros, pequeñas y medianas empresas (FODEMIPYME).</w:t>
      </w:r>
      <w:r w:rsidRPr="008B5F96">
        <w:rPr>
          <w:sz w:val="22"/>
          <w:szCs w:val="22"/>
          <w:lang w:val="es-CR"/>
        </w:rPr>
        <w:t xml:space="preserve"> La aceptación de estos avales y garantías como mitigadores de riesgo de crédito está sujeto al cumplimiento de cada una de las condiciones establecidas en el Reglamento sobre gestión y evaluación del Riesgo de Crédito para el Sistema de Banca para el Desarrollo, Acuerdo Sugef 15-16.</w:t>
      </w:r>
    </w:p>
    <w:p w14:paraId="2E7FA333" w14:textId="77777777" w:rsidR="008B5F96" w:rsidRPr="008B5F96" w:rsidRDefault="008B5F96" w:rsidP="008B5F96">
      <w:pPr>
        <w:jc w:val="both"/>
        <w:rPr>
          <w:sz w:val="22"/>
          <w:szCs w:val="22"/>
          <w:lang w:val="es-CR"/>
        </w:rPr>
      </w:pPr>
    </w:p>
    <w:p w14:paraId="71A4A94D" w14:textId="77777777" w:rsidR="008B5F96" w:rsidRPr="008B5F96" w:rsidRDefault="008B5F96" w:rsidP="008B5F96">
      <w:pPr>
        <w:ind w:left="360" w:hanging="360"/>
        <w:jc w:val="both"/>
        <w:rPr>
          <w:sz w:val="22"/>
          <w:szCs w:val="22"/>
          <w:lang w:val="es-CR"/>
        </w:rPr>
      </w:pPr>
      <w:r w:rsidRPr="008B5F96">
        <w:rPr>
          <w:b/>
          <w:bCs/>
          <w:sz w:val="22"/>
          <w:szCs w:val="22"/>
          <w:lang w:val="es-CR"/>
        </w:rPr>
        <w:t>k)</w:t>
      </w:r>
      <w:r w:rsidRPr="008B5F96">
        <w:rPr>
          <w:b/>
          <w:bCs/>
          <w:sz w:val="22"/>
          <w:szCs w:val="22"/>
          <w:lang w:val="es-CR"/>
        </w:rPr>
        <w:tab/>
        <w:t>Fideicomiso de garantía.</w:t>
      </w:r>
      <w:r w:rsidRPr="008B5F96">
        <w:rPr>
          <w:sz w:val="22"/>
          <w:szCs w:val="22"/>
          <w:lang w:val="es-CR"/>
        </w:rPr>
        <w:t xml:space="preserve"> El fideicomiso de garantía podrá ser reconocido como mitigador del riesgo de crédito únicamente cuando el patrimonio fideicometido esté integrado por bienes inmuebles o títulos valores aceptados como mitigadores, y siempre que cumpla con las siguientes condiciones: </w:t>
      </w:r>
    </w:p>
    <w:p w14:paraId="54FFDDA4" w14:textId="77777777" w:rsidR="008B5F96" w:rsidRPr="008B5F96" w:rsidRDefault="008B5F96" w:rsidP="008B5F96">
      <w:pPr>
        <w:ind w:left="720"/>
        <w:contextualSpacing/>
        <w:rPr>
          <w:sz w:val="22"/>
          <w:szCs w:val="22"/>
          <w:lang w:val="es-CR"/>
        </w:rPr>
      </w:pPr>
    </w:p>
    <w:p w14:paraId="76E6C15B" w14:textId="19FFA240" w:rsidR="008B5F96" w:rsidRPr="008B5F96" w:rsidRDefault="008B5F96" w:rsidP="008B5F96">
      <w:pPr>
        <w:ind w:left="720" w:hanging="360"/>
        <w:jc w:val="both"/>
        <w:rPr>
          <w:sz w:val="22"/>
          <w:szCs w:val="22"/>
          <w:lang w:val="es-CR"/>
        </w:rPr>
      </w:pPr>
      <w:r w:rsidRPr="008B5F96">
        <w:rPr>
          <w:sz w:val="22"/>
          <w:szCs w:val="22"/>
          <w:lang w:val="es-CR"/>
        </w:rPr>
        <w:t>i)</w:t>
      </w:r>
      <w:r w:rsidRPr="008B5F96">
        <w:rPr>
          <w:sz w:val="22"/>
          <w:szCs w:val="22"/>
          <w:lang w:val="es-CR"/>
        </w:rPr>
        <w:tab/>
        <w:t>El fideicomiso se encuentre constituido conforme a las disposiciones establecidas en el Capítulo XII del Código de Comercio. Tanto el contrato de fideicomiso principal como sus adendas identifiquen de manera clara y precisa el crédito o créditos garantizados, así como el procedimiento de venta o remate de los bienes fideicometidos.</w:t>
      </w:r>
    </w:p>
    <w:p w14:paraId="0D94A5AA" w14:textId="77777777" w:rsidR="008B5F96" w:rsidRPr="008B5F96" w:rsidRDefault="008B5F96" w:rsidP="008B5F96">
      <w:pPr>
        <w:jc w:val="both"/>
        <w:rPr>
          <w:sz w:val="22"/>
          <w:szCs w:val="22"/>
          <w:lang w:val="es-CR"/>
        </w:rPr>
      </w:pPr>
    </w:p>
    <w:p w14:paraId="1AA429ED" w14:textId="77777777" w:rsidR="008B5F96" w:rsidRPr="008B5F96" w:rsidRDefault="008B5F96" w:rsidP="008B5F96">
      <w:pPr>
        <w:ind w:left="720" w:hanging="360"/>
        <w:jc w:val="both"/>
        <w:rPr>
          <w:sz w:val="22"/>
          <w:szCs w:val="22"/>
          <w:lang w:val="es-CR"/>
        </w:rPr>
      </w:pPr>
      <w:r w:rsidRPr="008B5F96">
        <w:rPr>
          <w:sz w:val="22"/>
          <w:szCs w:val="22"/>
          <w:lang w:val="es-CR"/>
        </w:rPr>
        <w:t>ii)</w:t>
      </w:r>
      <w:r w:rsidRPr="008B5F96">
        <w:rPr>
          <w:sz w:val="22"/>
          <w:szCs w:val="22"/>
          <w:lang w:val="es-CR"/>
        </w:rPr>
        <w:tab/>
        <w:t>El bien inmueble fideicometido se encuentre debidamente traspasado en propiedad fiduciaria e inscrito a favor del fiduciario en el Registro Nacional, y libre de gravámenes y anotaciones de mayor prelación, preservando el privilegio de persecución y preferencia sobre los bienes inmuebles fideicometidos en favor de los créditos garantizados.</w:t>
      </w:r>
    </w:p>
    <w:p w14:paraId="26E9214C" w14:textId="77777777" w:rsidR="008B5F96" w:rsidRPr="008B5F96" w:rsidRDefault="008B5F96" w:rsidP="008B5F96">
      <w:pPr>
        <w:ind w:left="720"/>
        <w:contextualSpacing/>
        <w:rPr>
          <w:sz w:val="22"/>
          <w:szCs w:val="22"/>
          <w:lang w:val="es-CR"/>
        </w:rPr>
      </w:pPr>
    </w:p>
    <w:p w14:paraId="58AF1CED" w14:textId="77777777" w:rsidR="008B5F96" w:rsidRPr="008B5F96" w:rsidRDefault="008B5F96" w:rsidP="008B5F96">
      <w:pPr>
        <w:ind w:left="720" w:hanging="360"/>
        <w:jc w:val="both"/>
        <w:rPr>
          <w:sz w:val="22"/>
          <w:szCs w:val="22"/>
          <w:lang w:val="es-CR"/>
        </w:rPr>
      </w:pPr>
      <w:r w:rsidRPr="008B5F96">
        <w:rPr>
          <w:sz w:val="22"/>
          <w:szCs w:val="22"/>
          <w:lang w:val="es-CR"/>
        </w:rPr>
        <w:t>iii)</w:t>
      </w:r>
      <w:r w:rsidRPr="008B5F96">
        <w:rPr>
          <w:sz w:val="22"/>
          <w:szCs w:val="22"/>
          <w:lang w:val="es-CR"/>
        </w:rPr>
        <w:tab/>
        <w:t>El fideicomiso sea irrevocable mientras subsista la obligación crediticia garantizada.</w:t>
      </w:r>
    </w:p>
    <w:p w14:paraId="50F59267" w14:textId="77777777" w:rsidR="008B5F96" w:rsidRPr="008B5F96" w:rsidRDefault="008B5F96" w:rsidP="008B5F96">
      <w:pPr>
        <w:ind w:left="720"/>
        <w:contextualSpacing/>
        <w:rPr>
          <w:sz w:val="22"/>
          <w:szCs w:val="22"/>
          <w:lang w:val="es-CR"/>
        </w:rPr>
      </w:pPr>
    </w:p>
    <w:p w14:paraId="77FE5F3E" w14:textId="77777777" w:rsidR="008B5F96" w:rsidRPr="008B5F96" w:rsidRDefault="008B5F96" w:rsidP="008B5F96">
      <w:pPr>
        <w:ind w:left="720" w:hanging="360"/>
        <w:jc w:val="both"/>
        <w:rPr>
          <w:sz w:val="22"/>
          <w:szCs w:val="22"/>
          <w:lang w:val="es-CR"/>
        </w:rPr>
      </w:pPr>
      <w:r w:rsidRPr="008B5F96">
        <w:rPr>
          <w:sz w:val="22"/>
          <w:szCs w:val="22"/>
          <w:lang w:val="es-CR"/>
        </w:rPr>
        <w:t>iv)</w:t>
      </w:r>
      <w:r w:rsidRPr="008B5F96">
        <w:rPr>
          <w:sz w:val="22"/>
          <w:szCs w:val="22"/>
          <w:lang w:val="es-CR"/>
        </w:rPr>
        <w:tab/>
        <w:t>Se indique de manera clara el monto por el cual responde dentro del fideicomiso el bien o bienes inmuebles fideicometidos.</w:t>
      </w:r>
    </w:p>
    <w:p w14:paraId="7498C7F4" w14:textId="77777777" w:rsidR="008B5F96" w:rsidRPr="008B5F96" w:rsidRDefault="008B5F96" w:rsidP="008B5F96">
      <w:pPr>
        <w:ind w:left="720"/>
        <w:contextualSpacing/>
        <w:rPr>
          <w:sz w:val="22"/>
          <w:szCs w:val="22"/>
          <w:lang w:val="es-CR"/>
        </w:rPr>
      </w:pPr>
    </w:p>
    <w:p w14:paraId="243BD45A" w14:textId="77777777" w:rsidR="008B5F96" w:rsidRPr="008B5F96" w:rsidRDefault="008B5F96" w:rsidP="008B5F96">
      <w:pPr>
        <w:ind w:left="720" w:hanging="360"/>
        <w:jc w:val="both"/>
        <w:rPr>
          <w:sz w:val="22"/>
          <w:szCs w:val="22"/>
          <w:lang w:val="es-CR"/>
        </w:rPr>
      </w:pPr>
      <w:r w:rsidRPr="008B5F96">
        <w:rPr>
          <w:sz w:val="22"/>
          <w:szCs w:val="22"/>
          <w:lang w:val="es-CR"/>
        </w:rPr>
        <w:t>v)</w:t>
      </w:r>
      <w:r w:rsidRPr="008B5F96">
        <w:rPr>
          <w:sz w:val="22"/>
          <w:szCs w:val="22"/>
          <w:lang w:val="es-CR"/>
        </w:rPr>
        <w:tab/>
        <w:t>Los títulos valores aceptados como mitigadores deben ser transferidos al patrimonio fideicometido, de conformidad con la ley de circulación aplicable.</w:t>
      </w:r>
    </w:p>
    <w:p w14:paraId="264E4C26" w14:textId="77777777" w:rsidR="008B5F96" w:rsidRPr="008B5F96" w:rsidRDefault="008B5F96" w:rsidP="008B5F96">
      <w:pPr>
        <w:ind w:left="720"/>
        <w:contextualSpacing/>
        <w:rPr>
          <w:sz w:val="22"/>
          <w:szCs w:val="22"/>
          <w:lang w:val="es-CR"/>
        </w:rPr>
      </w:pPr>
    </w:p>
    <w:p w14:paraId="24CC2446" w14:textId="77777777" w:rsidR="008B5F96" w:rsidRPr="008B5F96" w:rsidRDefault="008B5F96" w:rsidP="008B5F96">
      <w:pPr>
        <w:ind w:left="720" w:hanging="360"/>
        <w:jc w:val="both"/>
        <w:rPr>
          <w:sz w:val="22"/>
          <w:szCs w:val="22"/>
          <w:lang w:val="es-CR"/>
        </w:rPr>
      </w:pPr>
      <w:r w:rsidRPr="008B5F96">
        <w:rPr>
          <w:sz w:val="22"/>
          <w:szCs w:val="22"/>
          <w:lang w:val="es-CR"/>
        </w:rPr>
        <w:t>vi)</w:t>
      </w:r>
      <w:r w:rsidRPr="008B5F96">
        <w:rPr>
          <w:sz w:val="22"/>
          <w:szCs w:val="22"/>
          <w:lang w:val="es-CR"/>
        </w:rPr>
        <w:tab/>
        <w:t>Los bienes susceptibles de aseguramiento que formen parte del patrimonio fideicometido deben contar con las pólizas vigentes transferidas a favor del fideicomiso.</w:t>
      </w:r>
    </w:p>
    <w:p w14:paraId="46985C6F" w14:textId="77777777" w:rsidR="008B5F96" w:rsidRPr="008B5F96" w:rsidRDefault="008B5F96" w:rsidP="008B5F96">
      <w:pPr>
        <w:ind w:left="720"/>
        <w:contextualSpacing/>
        <w:rPr>
          <w:sz w:val="22"/>
          <w:szCs w:val="22"/>
          <w:lang w:val="es-CR"/>
        </w:rPr>
      </w:pPr>
    </w:p>
    <w:p w14:paraId="5E1EE158" w14:textId="77777777" w:rsidR="008B5F96" w:rsidRPr="008B5F96" w:rsidRDefault="008B5F96" w:rsidP="008B5F96">
      <w:pPr>
        <w:ind w:left="720" w:hanging="360"/>
        <w:jc w:val="both"/>
        <w:rPr>
          <w:sz w:val="22"/>
          <w:szCs w:val="22"/>
          <w:lang w:val="es-CR"/>
        </w:rPr>
      </w:pPr>
      <w:r w:rsidRPr="008B5F96">
        <w:rPr>
          <w:sz w:val="22"/>
          <w:szCs w:val="22"/>
          <w:lang w:val="es-CR"/>
        </w:rPr>
        <w:t>vii)</w:t>
      </w:r>
      <w:r w:rsidRPr="008B5F96">
        <w:rPr>
          <w:sz w:val="22"/>
          <w:szCs w:val="22"/>
          <w:lang w:val="es-CR"/>
        </w:rPr>
        <w:tab/>
        <w:t>Los bienes inmuebles fideicometidos deben ser valuados por un profesional independiente, debidamente acreditado por el colegio profesional correspondiente. El monto mitigador de estos bienes se determinará conforme a la metodología prevista para los colaterales reales en el artículo 20 de este Reglamento. Los títulos valores se valuarán a valor de mercado con una frecuencia mensual y su monto mitigador se determinará conforme a la metodología y los porcentajes de ajuste aplicables a los colaterales financieros establecidos en el artículo 20 de este Reglamento.</w:t>
      </w:r>
    </w:p>
    <w:p w14:paraId="61B7D0B2" w14:textId="77777777" w:rsidR="008B5F96" w:rsidRPr="008B5F96" w:rsidRDefault="008B5F96" w:rsidP="008B5F96">
      <w:pPr>
        <w:ind w:left="720"/>
        <w:contextualSpacing/>
        <w:rPr>
          <w:sz w:val="22"/>
          <w:szCs w:val="22"/>
          <w:lang w:val="es-CR"/>
        </w:rPr>
      </w:pPr>
    </w:p>
    <w:p w14:paraId="63CE33CC" w14:textId="77777777" w:rsidR="008B5F96" w:rsidRPr="008B5F96" w:rsidRDefault="008B5F96" w:rsidP="008B5F96">
      <w:pPr>
        <w:ind w:left="360"/>
        <w:jc w:val="both"/>
        <w:rPr>
          <w:sz w:val="22"/>
          <w:szCs w:val="22"/>
          <w:lang w:val="es-CR"/>
        </w:rPr>
      </w:pPr>
      <w:r w:rsidRPr="008B5F96">
        <w:rPr>
          <w:sz w:val="22"/>
          <w:szCs w:val="22"/>
          <w:lang w:val="es-CR"/>
        </w:rPr>
        <w:t>El fideicomiso de garantía deberá cumplir, además, las condiciones para aplicar la mitigación de garantías establecidas en el artículo 19 de este Reglamento.</w:t>
      </w:r>
    </w:p>
    <w:p w14:paraId="78A611F7" w14:textId="77777777" w:rsidR="008B5F96" w:rsidRPr="008B5F96" w:rsidRDefault="008B5F96" w:rsidP="008B5F96">
      <w:pPr>
        <w:jc w:val="both"/>
        <w:rPr>
          <w:sz w:val="22"/>
          <w:szCs w:val="22"/>
          <w:lang w:val="es-CR"/>
        </w:rPr>
      </w:pPr>
    </w:p>
    <w:p w14:paraId="160C3069" w14:textId="77777777" w:rsidR="008B5F96" w:rsidRPr="008B5F96" w:rsidRDefault="008B5F96" w:rsidP="008B5F96">
      <w:pPr>
        <w:ind w:left="360"/>
        <w:jc w:val="both"/>
        <w:rPr>
          <w:sz w:val="22"/>
          <w:szCs w:val="22"/>
          <w:lang w:val="es-CR"/>
        </w:rPr>
      </w:pPr>
      <w:r w:rsidRPr="008B5F96">
        <w:rPr>
          <w:sz w:val="22"/>
          <w:szCs w:val="22"/>
          <w:lang w:val="es-CR"/>
        </w:rPr>
        <w:t xml:space="preserve">El fideicomiso de garantía deberá ser reportado como mitigador por la entidad financiera que ostenta la condición de acreedor de la facilidad crediticia garantizada en el fideicomiso. Cuando existan </w:t>
      </w:r>
      <w:r w:rsidRPr="008B5F96">
        <w:rPr>
          <w:sz w:val="22"/>
          <w:szCs w:val="22"/>
          <w:lang w:val="es-CR"/>
        </w:rPr>
        <w:lastRenderedPageBreak/>
        <w:t>varios fideicomisarios acreedores, estos deberán estar debidamente identificados en el contrato de fideicomiso y sus adendas, y deberá establecerse expresamente la participación que corresponde a cada uno, sin que una misma participación pueda ser reconocida simultáneamente como mitigador por más de una entidad financiera.</w:t>
      </w:r>
    </w:p>
    <w:p w14:paraId="6CA9F366" w14:textId="77777777" w:rsidR="008B5F96" w:rsidRPr="008B5F96" w:rsidRDefault="008B5F96" w:rsidP="008B5F96">
      <w:pPr>
        <w:ind w:left="360"/>
        <w:jc w:val="both"/>
        <w:rPr>
          <w:sz w:val="22"/>
          <w:szCs w:val="22"/>
          <w:lang w:val="es-CR"/>
        </w:rPr>
      </w:pPr>
    </w:p>
    <w:p w14:paraId="4EEB864A" w14:textId="77777777" w:rsidR="008B5F96" w:rsidRPr="008B5F96" w:rsidRDefault="008B5F96" w:rsidP="008B5F96">
      <w:pPr>
        <w:ind w:left="360"/>
        <w:jc w:val="both"/>
        <w:rPr>
          <w:sz w:val="22"/>
          <w:szCs w:val="22"/>
          <w:lang w:val="es-CR"/>
        </w:rPr>
      </w:pPr>
      <w:r w:rsidRPr="008B5F96">
        <w:rPr>
          <w:sz w:val="22"/>
          <w:szCs w:val="22"/>
          <w:lang w:val="es-CR"/>
        </w:rPr>
        <w:t>La entidad financiera es responsable de comprobar y documentar el cumplimiento de cada uno de los requisitos anteriores antes de utilizar al fideicomiso como mitigador.</w:t>
      </w:r>
    </w:p>
    <w:p w14:paraId="3C8BB700" w14:textId="77777777" w:rsidR="008B5F96" w:rsidRPr="008B5F96" w:rsidRDefault="008B5F96" w:rsidP="008B5F96">
      <w:pPr>
        <w:jc w:val="both"/>
        <w:rPr>
          <w:sz w:val="22"/>
          <w:szCs w:val="22"/>
          <w:lang w:val="es-CR"/>
        </w:rPr>
      </w:pPr>
    </w:p>
    <w:p w14:paraId="56F846FA" w14:textId="77777777" w:rsidR="008B5F96" w:rsidRPr="008B5F96" w:rsidRDefault="008B5F96" w:rsidP="008B5F96">
      <w:pPr>
        <w:jc w:val="both"/>
        <w:rPr>
          <w:sz w:val="22"/>
          <w:szCs w:val="22"/>
          <w:lang w:val="es-CR"/>
        </w:rPr>
      </w:pPr>
      <w:r w:rsidRPr="008B5F96">
        <w:rPr>
          <w:sz w:val="22"/>
          <w:szCs w:val="22"/>
          <w:lang w:val="es-CR"/>
        </w:rPr>
        <w:t>La garantía que respalda más de una operación crediticia debe considerarse según el porcentaje de responsabilidad establecido en el contrato de crédito para el cálculo del valor ajustado de la garantía correspondiente a cada operación crediticia.</w:t>
      </w:r>
    </w:p>
    <w:p w14:paraId="0DC7C5B5" w14:textId="77777777" w:rsidR="008B5F96" w:rsidRPr="008B5F96" w:rsidRDefault="008B5F96" w:rsidP="008B5F96">
      <w:pPr>
        <w:jc w:val="both"/>
        <w:rPr>
          <w:sz w:val="22"/>
          <w:szCs w:val="22"/>
          <w:lang w:val="es-CR"/>
        </w:rPr>
      </w:pPr>
    </w:p>
    <w:p w14:paraId="43F85EE9" w14:textId="77777777" w:rsidR="008B5F96" w:rsidRPr="008B5F96" w:rsidRDefault="008B5F96" w:rsidP="008B5F96">
      <w:pPr>
        <w:jc w:val="both"/>
        <w:rPr>
          <w:sz w:val="22"/>
          <w:szCs w:val="22"/>
          <w:lang w:val="es-CR"/>
        </w:rPr>
      </w:pPr>
      <w:r w:rsidRPr="008B5F96">
        <w:rPr>
          <w:sz w:val="22"/>
          <w:szCs w:val="22"/>
          <w:lang w:val="es-CR"/>
        </w:rPr>
        <w:t>En el caso de no estar establecido el porcentaje de responsabilidad, la cobertura de la garantía se calcula en forma proporcional a los saldos totales adeudados de las operaciones crediticias garantizadas. Para los efectos de este cálculo, el saldo total adeudado de las operaciones contingentes debe multiplicarse por el respectivo factor de equivalencia de crédito.</w:t>
      </w:r>
    </w:p>
    <w:p w14:paraId="2A5DE64A" w14:textId="77777777" w:rsidR="008B5F96" w:rsidRPr="008B5F96" w:rsidRDefault="008B5F96" w:rsidP="008B5F96">
      <w:pPr>
        <w:jc w:val="both"/>
        <w:rPr>
          <w:sz w:val="22"/>
          <w:szCs w:val="22"/>
          <w:lang w:val="es-CR"/>
        </w:rPr>
      </w:pPr>
    </w:p>
    <w:p w14:paraId="6F586FF5" w14:textId="77777777" w:rsidR="008B5F96" w:rsidRPr="008B5F96" w:rsidRDefault="008B5F96" w:rsidP="008B5F96">
      <w:pPr>
        <w:jc w:val="both"/>
        <w:rPr>
          <w:b/>
          <w:bCs/>
          <w:sz w:val="22"/>
          <w:szCs w:val="22"/>
          <w:lang w:val="es-CR"/>
        </w:rPr>
      </w:pPr>
      <w:r w:rsidRPr="008B5F96">
        <w:rPr>
          <w:b/>
          <w:bCs/>
          <w:sz w:val="22"/>
          <w:szCs w:val="22"/>
          <w:lang w:val="es-CR"/>
        </w:rPr>
        <w:t>Artículo 19. Condiciones para aplicar la mitigación de garantías</w:t>
      </w:r>
    </w:p>
    <w:p w14:paraId="2ECC0A5C" w14:textId="77777777" w:rsidR="008B5F96" w:rsidRPr="008B5F96" w:rsidRDefault="008B5F96" w:rsidP="008B5F96">
      <w:pPr>
        <w:jc w:val="both"/>
        <w:rPr>
          <w:b/>
          <w:bCs/>
          <w:sz w:val="22"/>
          <w:szCs w:val="22"/>
          <w:lang w:val="es-CR"/>
        </w:rPr>
      </w:pPr>
    </w:p>
    <w:p w14:paraId="64B624BD" w14:textId="77777777" w:rsidR="008B5F96" w:rsidRPr="008B5F96" w:rsidRDefault="008B5F96" w:rsidP="008B5F96">
      <w:pPr>
        <w:jc w:val="both"/>
        <w:rPr>
          <w:sz w:val="22"/>
          <w:szCs w:val="22"/>
          <w:lang w:val="es-CR"/>
        </w:rPr>
      </w:pPr>
      <w:r w:rsidRPr="008B5F96">
        <w:rPr>
          <w:sz w:val="22"/>
          <w:szCs w:val="22"/>
          <w:lang w:val="es-CR"/>
        </w:rPr>
        <w:t>La aplicación del efecto mitigador de las garantías en el cálculo de las estimaciones crediticias queda condicionada al cumplimiento de cada uno de los siguientes aspectos, los cuales se consideran como requisitos mínimos para brindar certeza jurídica sobre la cobrabilidad de las garantías:</w:t>
      </w:r>
    </w:p>
    <w:p w14:paraId="3AAC6524" w14:textId="77777777" w:rsidR="008B5F96" w:rsidRPr="008B5F96" w:rsidRDefault="008B5F96" w:rsidP="008B5F96">
      <w:pPr>
        <w:jc w:val="both"/>
        <w:rPr>
          <w:sz w:val="22"/>
          <w:szCs w:val="22"/>
          <w:lang w:val="es-CR"/>
        </w:rPr>
      </w:pPr>
    </w:p>
    <w:p w14:paraId="02B0E0F0"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Que en los casos en que los bienes requieran inscripción en un Registro Nacional, la garantía esté debidamente inscrita;</w:t>
      </w:r>
    </w:p>
    <w:p w14:paraId="56B1F5E8" w14:textId="77777777" w:rsidR="008B5F96" w:rsidRPr="008B5F96" w:rsidRDefault="008B5F96" w:rsidP="008B5F96">
      <w:pPr>
        <w:ind w:left="360"/>
        <w:contextualSpacing/>
        <w:jc w:val="both"/>
        <w:rPr>
          <w:sz w:val="22"/>
          <w:szCs w:val="22"/>
          <w:lang w:val="es-CR"/>
        </w:rPr>
      </w:pPr>
    </w:p>
    <w:p w14:paraId="0433B142"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Que el mecanismo jurídico de entrega, transferencia, apropiación, adjudicación y liquidación del activo en garantía corresponda a su naturaleza;</w:t>
      </w:r>
    </w:p>
    <w:p w14:paraId="4E23F1A4" w14:textId="77777777" w:rsidR="008B5F96" w:rsidRPr="008B5F96" w:rsidRDefault="008B5F96" w:rsidP="008B5F96">
      <w:pPr>
        <w:jc w:val="both"/>
        <w:rPr>
          <w:sz w:val="22"/>
          <w:szCs w:val="22"/>
          <w:lang w:val="es-CR"/>
        </w:rPr>
      </w:pPr>
    </w:p>
    <w:p w14:paraId="53F9F10D"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Que la garantía sea exigible legalmente de manera incondicional ante un evento de incumplimiento de las obligaciones crediticias.</w:t>
      </w:r>
    </w:p>
    <w:p w14:paraId="36A15CB6" w14:textId="77777777" w:rsidR="008B5F96" w:rsidRPr="008B5F96" w:rsidRDefault="008B5F96" w:rsidP="008B5F96">
      <w:pPr>
        <w:ind w:left="720"/>
        <w:contextualSpacing/>
        <w:rPr>
          <w:sz w:val="22"/>
          <w:szCs w:val="22"/>
          <w:lang w:val="es-CR"/>
        </w:rPr>
      </w:pPr>
    </w:p>
    <w:p w14:paraId="676E758D" w14:textId="77777777" w:rsidR="008B5F96" w:rsidRPr="008B5F96" w:rsidRDefault="008B5F96" w:rsidP="008B5F96">
      <w:pPr>
        <w:jc w:val="both"/>
        <w:rPr>
          <w:sz w:val="22"/>
          <w:szCs w:val="22"/>
          <w:lang w:val="es-CR"/>
        </w:rPr>
      </w:pPr>
      <w:r w:rsidRPr="008B5F96">
        <w:rPr>
          <w:sz w:val="22"/>
          <w:szCs w:val="22"/>
          <w:lang w:val="es-CR"/>
        </w:rPr>
        <w:t>Es responsabilidad de la entidad financiera, comprobar el cumplimiento de cada uno de los aspectos anteriores antes de aplicar el efecto de mitigación de las garantías.</w:t>
      </w:r>
    </w:p>
    <w:p w14:paraId="13A08E59" w14:textId="77777777" w:rsidR="008B5F96" w:rsidRPr="008B5F96" w:rsidRDefault="008B5F96" w:rsidP="008B5F96">
      <w:pPr>
        <w:jc w:val="both"/>
        <w:rPr>
          <w:b/>
          <w:bCs/>
          <w:sz w:val="22"/>
          <w:szCs w:val="22"/>
          <w:lang w:val="es-CR"/>
        </w:rPr>
      </w:pPr>
    </w:p>
    <w:p w14:paraId="1181A3EF" w14:textId="77777777" w:rsidR="008B5F96" w:rsidRPr="008B5F96" w:rsidRDefault="008B5F96" w:rsidP="008B5F96">
      <w:pPr>
        <w:jc w:val="both"/>
        <w:rPr>
          <w:b/>
          <w:bCs/>
          <w:sz w:val="22"/>
          <w:szCs w:val="22"/>
          <w:lang w:val="es-CR"/>
        </w:rPr>
      </w:pPr>
      <w:r w:rsidRPr="008B5F96">
        <w:rPr>
          <w:b/>
          <w:bCs/>
          <w:sz w:val="22"/>
          <w:szCs w:val="22"/>
          <w:lang w:val="es-CR"/>
        </w:rPr>
        <w:t>Artículo 20. Monto mitigador de la garantía</w:t>
      </w:r>
    </w:p>
    <w:p w14:paraId="357AB2C2" w14:textId="77777777" w:rsidR="008B5F96" w:rsidRPr="008B5F96" w:rsidRDefault="008B5F96" w:rsidP="008B5F96">
      <w:pPr>
        <w:jc w:val="both"/>
        <w:rPr>
          <w:b/>
          <w:bCs/>
          <w:sz w:val="22"/>
          <w:szCs w:val="22"/>
          <w:lang w:val="es-CR"/>
        </w:rPr>
      </w:pPr>
    </w:p>
    <w:p w14:paraId="3F289963" w14:textId="77777777" w:rsidR="008B5F96" w:rsidRPr="008B5F96" w:rsidRDefault="008B5F96" w:rsidP="008B5F96">
      <w:pPr>
        <w:jc w:val="both"/>
        <w:rPr>
          <w:sz w:val="22"/>
          <w:szCs w:val="22"/>
          <w:lang w:val="es-CR"/>
        </w:rPr>
      </w:pPr>
      <w:r w:rsidRPr="008B5F96">
        <w:rPr>
          <w:sz w:val="22"/>
          <w:szCs w:val="22"/>
          <w:lang w:val="es-CR"/>
        </w:rPr>
        <w:t>El monto mitigador de las garantías se determinará según la siguiente metodología:</w:t>
      </w:r>
    </w:p>
    <w:p w14:paraId="13914DCC" w14:textId="77777777" w:rsidR="008B5F96" w:rsidRPr="008B5F96" w:rsidRDefault="008B5F96" w:rsidP="008B5F96">
      <w:pPr>
        <w:jc w:val="both"/>
        <w:rPr>
          <w:sz w:val="22"/>
          <w:szCs w:val="22"/>
          <w:lang w:val="es-CR"/>
        </w:rPr>
      </w:pPr>
    </w:p>
    <w:p w14:paraId="486254FD"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En el caso de colaterales reales, tales como bienes inmuebles, el valor ajustado de la garantía debe calcularse utilizando la siguiente fórmula:</w:t>
      </w:r>
    </w:p>
    <w:p w14:paraId="7F634B7E" w14:textId="77777777" w:rsidR="008B5F96" w:rsidRPr="008B5F96" w:rsidRDefault="008B5F96" w:rsidP="008B5F96">
      <w:pPr>
        <w:ind w:left="360"/>
        <w:contextualSpacing/>
        <w:jc w:val="both"/>
        <w:rPr>
          <w:b/>
          <w:bCs/>
          <w:sz w:val="22"/>
          <w:szCs w:val="22"/>
          <w:lang w:val="es-CR"/>
        </w:rPr>
      </w:pPr>
    </w:p>
    <w:p w14:paraId="1F541BF5" w14:textId="77777777" w:rsidR="008B5F96" w:rsidRPr="008B5F96" w:rsidRDefault="008B5F96" w:rsidP="008B5F96">
      <w:pPr>
        <w:ind w:left="426"/>
        <w:jc w:val="both"/>
        <w:rPr>
          <w:sz w:val="22"/>
          <w:szCs w:val="22"/>
          <w:lang w:val="es-CR"/>
        </w:rPr>
      </w:pPr>
      <w:r w:rsidRPr="008B5F96">
        <w:rPr>
          <w:b/>
          <w:bCs/>
          <w:sz w:val="22"/>
          <w:szCs w:val="22"/>
          <w:lang w:val="es-CR"/>
        </w:rPr>
        <w:t>Monto mitigador de garantías= Valor inicial x (1 – Factor x Ln(tiempo)) x Porcentaje de recuperación.</w:t>
      </w:r>
    </w:p>
    <w:p w14:paraId="78C15127" w14:textId="77777777" w:rsidR="008B5F96" w:rsidRPr="008B5F96" w:rsidRDefault="008B5F96" w:rsidP="008B5F96">
      <w:pPr>
        <w:jc w:val="both"/>
        <w:rPr>
          <w:sz w:val="22"/>
          <w:szCs w:val="22"/>
          <w:lang w:val="es-CR"/>
        </w:rPr>
      </w:pPr>
    </w:p>
    <w:p w14:paraId="2B534C7D" w14:textId="77777777" w:rsidR="008B5F96" w:rsidRPr="008B5F96" w:rsidRDefault="008B5F96" w:rsidP="008B5F96">
      <w:pPr>
        <w:ind w:left="426"/>
        <w:jc w:val="both"/>
        <w:rPr>
          <w:b/>
          <w:bCs/>
          <w:sz w:val="22"/>
          <w:szCs w:val="22"/>
          <w:lang w:val="es-CR"/>
        </w:rPr>
      </w:pPr>
      <w:r w:rsidRPr="008B5F96">
        <w:rPr>
          <w:b/>
          <w:bCs/>
          <w:sz w:val="22"/>
          <w:szCs w:val="22"/>
          <w:lang w:val="es-CR"/>
        </w:rPr>
        <w:t>Donde:</w:t>
      </w:r>
    </w:p>
    <w:p w14:paraId="35AA330C" w14:textId="77777777" w:rsidR="008B5F96" w:rsidRPr="008B5F96" w:rsidRDefault="008B5F96" w:rsidP="008B5F96">
      <w:pPr>
        <w:jc w:val="both"/>
        <w:rPr>
          <w:b/>
          <w:bCs/>
          <w:sz w:val="22"/>
          <w:szCs w:val="22"/>
          <w:lang w:val="es-CR"/>
        </w:rPr>
      </w:pPr>
    </w:p>
    <w:p w14:paraId="5D7532D1" w14:textId="77777777" w:rsidR="008B5F96" w:rsidRPr="008B5F96" w:rsidRDefault="008B5F96" w:rsidP="008B5F96">
      <w:pPr>
        <w:tabs>
          <w:tab w:val="left" w:pos="3119"/>
          <w:tab w:val="left" w:pos="3261"/>
          <w:tab w:val="left" w:pos="3402"/>
        </w:tabs>
        <w:ind w:left="426"/>
        <w:jc w:val="both"/>
        <w:rPr>
          <w:sz w:val="22"/>
          <w:szCs w:val="22"/>
          <w:lang w:val="es-CR"/>
        </w:rPr>
      </w:pPr>
      <w:r w:rsidRPr="008B5F96">
        <w:rPr>
          <w:b/>
          <w:bCs/>
          <w:sz w:val="22"/>
          <w:szCs w:val="22"/>
          <w:lang w:val="es-CR"/>
        </w:rPr>
        <w:t>Valor inicial:</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El último valor de tasación o valorización del colateral.</w:t>
      </w:r>
    </w:p>
    <w:p w14:paraId="742B657F" w14:textId="77777777" w:rsidR="008B5F96" w:rsidRPr="008B5F96" w:rsidRDefault="008B5F96" w:rsidP="008B5F96">
      <w:pPr>
        <w:jc w:val="both"/>
        <w:rPr>
          <w:sz w:val="22"/>
          <w:szCs w:val="22"/>
          <w:lang w:val="es-CR"/>
        </w:rPr>
      </w:pPr>
    </w:p>
    <w:p w14:paraId="3FE1B6B8" w14:textId="77777777" w:rsidR="008B5F96" w:rsidRPr="008B5F96" w:rsidRDefault="008B5F96" w:rsidP="008B5F96">
      <w:pPr>
        <w:ind w:left="3536" w:hanging="3110"/>
        <w:jc w:val="both"/>
        <w:rPr>
          <w:sz w:val="22"/>
          <w:szCs w:val="22"/>
          <w:lang w:val="es-CR"/>
        </w:rPr>
      </w:pPr>
      <w:r w:rsidRPr="008B5F96">
        <w:rPr>
          <w:b/>
          <w:bCs/>
          <w:sz w:val="22"/>
          <w:szCs w:val="22"/>
          <w:lang w:val="es-CR"/>
        </w:rPr>
        <w:lastRenderedPageBreak/>
        <w:t>Factor:</w:t>
      </w:r>
      <w:r w:rsidRPr="008B5F96">
        <w:rPr>
          <w:sz w:val="22"/>
          <w:szCs w:val="22"/>
          <w:lang w:val="es-CR"/>
        </w:rPr>
        <w:t xml:space="preserve"> </w:t>
      </w:r>
      <w:r w:rsidRPr="008B5F96">
        <w:rPr>
          <w:sz w:val="22"/>
          <w:szCs w:val="22"/>
          <w:lang w:val="es-CR"/>
        </w:rPr>
        <w:tab/>
      </w:r>
      <w:r w:rsidRPr="008B5F96">
        <w:rPr>
          <w:sz w:val="22"/>
          <w:szCs w:val="22"/>
          <w:lang w:val="es-CR"/>
        </w:rPr>
        <w:tab/>
        <w:t>El factor de descuento que modifica el valor del colateral por los años transcurridos desde la última valorización o tasación.</w:t>
      </w:r>
    </w:p>
    <w:p w14:paraId="512B74CE" w14:textId="77777777" w:rsidR="008B5F96" w:rsidRPr="008B5F96" w:rsidRDefault="008B5F96" w:rsidP="008B5F96">
      <w:pPr>
        <w:jc w:val="both"/>
        <w:rPr>
          <w:sz w:val="22"/>
          <w:szCs w:val="22"/>
          <w:lang w:val="es-CR"/>
        </w:rPr>
      </w:pPr>
    </w:p>
    <w:p w14:paraId="0B2CD303" w14:textId="77777777" w:rsidR="008B5F96" w:rsidRPr="008B5F96" w:rsidRDefault="008B5F96" w:rsidP="008B5F96">
      <w:pPr>
        <w:ind w:left="426"/>
        <w:jc w:val="both"/>
        <w:rPr>
          <w:sz w:val="22"/>
          <w:szCs w:val="22"/>
          <w:lang w:val="es-CR"/>
        </w:rPr>
      </w:pPr>
      <w:r w:rsidRPr="008B5F96">
        <w:rPr>
          <w:b/>
          <w:bCs/>
          <w:sz w:val="22"/>
          <w:szCs w:val="22"/>
          <w:lang w:val="es-CR"/>
        </w:rPr>
        <w:t>Ln:</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Logaritmo natural.</w:t>
      </w:r>
    </w:p>
    <w:p w14:paraId="51A7DB34" w14:textId="77777777" w:rsidR="008B5F96" w:rsidRPr="008B5F96" w:rsidRDefault="008B5F96" w:rsidP="008B5F96">
      <w:pPr>
        <w:jc w:val="both"/>
        <w:rPr>
          <w:sz w:val="22"/>
          <w:szCs w:val="22"/>
          <w:lang w:val="es-CR"/>
        </w:rPr>
      </w:pPr>
    </w:p>
    <w:p w14:paraId="2F912DD0" w14:textId="77777777" w:rsidR="008B5F96" w:rsidRPr="008B5F96" w:rsidRDefault="008B5F96" w:rsidP="008B5F96">
      <w:pPr>
        <w:ind w:left="3536" w:hanging="3110"/>
        <w:jc w:val="both"/>
        <w:rPr>
          <w:sz w:val="22"/>
          <w:szCs w:val="22"/>
          <w:lang w:val="es-CR"/>
        </w:rPr>
      </w:pPr>
      <w:r w:rsidRPr="008B5F96">
        <w:rPr>
          <w:b/>
          <w:bCs/>
          <w:sz w:val="22"/>
          <w:szCs w:val="22"/>
          <w:lang w:val="es-CR"/>
        </w:rPr>
        <w:t>Tiempo:</w:t>
      </w:r>
      <w:r w:rsidRPr="008B5F96">
        <w:rPr>
          <w:sz w:val="22"/>
          <w:szCs w:val="22"/>
          <w:lang w:val="es-CR"/>
        </w:rPr>
        <w:t xml:space="preserve"> </w:t>
      </w:r>
      <w:r w:rsidRPr="008B5F96">
        <w:rPr>
          <w:sz w:val="22"/>
          <w:szCs w:val="22"/>
          <w:lang w:val="es-CR"/>
        </w:rPr>
        <w:tab/>
      </w:r>
      <w:r w:rsidRPr="008B5F96">
        <w:rPr>
          <w:sz w:val="22"/>
          <w:szCs w:val="22"/>
          <w:lang w:val="es-CR"/>
        </w:rPr>
        <w:tab/>
        <w:t>Tiempo medido en años, entre la fecha de la última valorización o tasación disponible, y la fecha de corte del cálculo de las estimaciones crediticias. Para los casos en que el resultado sea menor a un año, el valor mínimo a incluir en la fórmula es 1.</w:t>
      </w:r>
    </w:p>
    <w:p w14:paraId="6F9748D2" w14:textId="77777777" w:rsidR="008B5F96" w:rsidRPr="008B5F96" w:rsidRDefault="008B5F96" w:rsidP="008B5F96">
      <w:pPr>
        <w:jc w:val="both"/>
        <w:rPr>
          <w:sz w:val="22"/>
          <w:szCs w:val="22"/>
          <w:lang w:val="es-CR"/>
        </w:rPr>
      </w:pPr>
    </w:p>
    <w:p w14:paraId="19D18C57" w14:textId="77777777" w:rsidR="008B5F96" w:rsidRPr="008B5F96" w:rsidRDefault="008B5F96" w:rsidP="008B5F96">
      <w:pPr>
        <w:ind w:left="426"/>
        <w:jc w:val="both"/>
        <w:rPr>
          <w:sz w:val="22"/>
          <w:szCs w:val="22"/>
          <w:lang w:val="es-CR"/>
        </w:rPr>
      </w:pPr>
      <w:r w:rsidRPr="008B5F96">
        <w:rPr>
          <w:b/>
          <w:bCs/>
          <w:sz w:val="22"/>
          <w:szCs w:val="22"/>
          <w:lang w:val="es-CR"/>
        </w:rPr>
        <w:t>Porcentaje de recuperación:</w:t>
      </w:r>
      <w:r w:rsidRPr="008B5F96">
        <w:rPr>
          <w:sz w:val="22"/>
          <w:szCs w:val="22"/>
          <w:lang w:val="es-CR"/>
        </w:rPr>
        <w:t xml:space="preserve"> </w:t>
      </w:r>
      <w:r w:rsidRPr="008B5F96">
        <w:rPr>
          <w:sz w:val="22"/>
          <w:szCs w:val="22"/>
          <w:lang w:val="es-CR"/>
        </w:rPr>
        <w:tab/>
        <w:t>Porcentaje respecto del último valor de tasación consignado.</w:t>
      </w:r>
    </w:p>
    <w:p w14:paraId="17019663" w14:textId="77777777" w:rsidR="008B5F96" w:rsidRPr="008B5F96" w:rsidRDefault="008B5F96" w:rsidP="008B5F96">
      <w:pPr>
        <w:jc w:val="both"/>
        <w:rPr>
          <w:sz w:val="22"/>
          <w:szCs w:val="22"/>
          <w:lang w:val="es-CR"/>
        </w:rPr>
      </w:pPr>
    </w:p>
    <w:p w14:paraId="32F310F5" w14:textId="77777777" w:rsidR="008B5F96" w:rsidRPr="008B5F96" w:rsidRDefault="008B5F96" w:rsidP="008B5F96">
      <w:pPr>
        <w:ind w:left="426"/>
        <w:jc w:val="both"/>
        <w:rPr>
          <w:sz w:val="22"/>
          <w:szCs w:val="22"/>
          <w:lang w:val="es-CR"/>
        </w:rPr>
      </w:pPr>
      <w:r w:rsidRPr="008B5F96">
        <w:rPr>
          <w:sz w:val="22"/>
          <w:szCs w:val="22"/>
          <w:lang w:val="es-CR"/>
        </w:rPr>
        <w:t>En la fórmula previa se debe utilizar el porcentaje de recuperación y factor de descuento según tipo de colateral, de acuerdo con el siguiente cuadro:</w:t>
      </w:r>
    </w:p>
    <w:p w14:paraId="31DE5B4D" w14:textId="77777777" w:rsidR="008B5F96" w:rsidRPr="008B5F96" w:rsidRDefault="008B5F96" w:rsidP="008B5F96">
      <w:pPr>
        <w:jc w:val="both"/>
        <w:rPr>
          <w:sz w:val="22"/>
          <w:szCs w:val="22"/>
          <w:lang w:val="es-CR"/>
        </w:rPr>
      </w:pPr>
    </w:p>
    <w:p w14:paraId="3A6159B6" w14:textId="77777777" w:rsidR="008B5F96" w:rsidRPr="008B5F96" w:rsidRDefault="008B5F96" w:rsidP="008B5F96">
      <w:pPr>
        <w:jc w:val="both"/>
        <w:rPr>
          <w:sz w:val="22"/>
          <w:szCs w:val="22"/>
          <w:lang w:val="es-CR"/>
        </w:rPr>
      </w:pPr>
    </w:p>
    <w:tbl>
      <w:tblPr>
        <w:tblW w:w="8789" w:type="dxa"/>
        <w:jc w:val="center"/>
        <w:tblCellMar>
          <w:left w:w="10" w:type="dxa"/>
          <w:right w:w="10" w:type="dxa"/>
        </w:tblCellMar>
        <w:tblLook w:val="0000" w:firstRow="0" w:lastRow="0" w:firstColumn="0" w:lastColumn="0" w:noHBand="0" w:noVBand="0"/>
      </w:tblPr>
      <w:tblGrid>
        <w:gridCol w:w="3041"/>
        <w:gridCol w:w="1779"/>
        <w:gridCol w:w="3969"/>
      </w:tblGrid>
      <w:tr w:rsidR="008B5F96" w:rsidRPr="00B55FC4" w14:paraId="149AE5E6" w14:textId="77777777" w:rsidTr="00B55FC4">
        <w:trPr>
          <w:trHeight w:val="572"/>
          <w:jc w:val="center"/>
        </w:trPr>
        <w:tc>
          <w:tcPr>
            <w:tcW w:w="3041" w:type="dxa"/>
            <w:tcBorders>
              <w:top w:val="single" w:sz="0" w:space="0" w:color="836967"/>
              <w:left w:val="single" w:sz="0" w:space="0" w:color="836967"/>
              <w:bottom w:val="single" w:sz="0" w:space="0" w:color="836967"/>
              <w:right w:val="single" w:sz="0" w:space="0" w:color="836967"/>
            </w:tcBorders>
            <w:shd w:val="clear" w:color="auto" w:fill="657C9C"/>
            <w:tcMar>
              <w:left w:w="30" w:type="dxa"/>
              <w:right w:w="30" w:type="dxa"/>
            </w:tcMar>
            <w:vAlign w:val="center"/>
          </w:tcPr>
          <w:p w14:paraId="43BB728F" w14:textId="77777777" w:rsidR="008B5F96" w:rsidRPr="00B55FC4" w:rsidRDefault="008B5F96" w:rsidP="008B5F96">
            <w:pPr>
              <w:jc w:val="center"/>
              <w:rPr>
                <w:b/>
                <w:bCs/>
                <w:color w:val="FFFFFF"/>
                <w:lang w:val="es-CR"/>
              </w:rPr>
            </w:pPr>
            <w:r w:rsidRPr="00B55FC4">
              <w:rPr>
                <w:b/>
                <w:bCs/>
                <w:color w:val="FFFFFF"/>
                <w:lang w:val="es-CR"/>
              </w:rPr>
              <w:t>TIPO DE COLATERAL</w:t>
            </w:r>
          </w:p>
        </w:tc>
        <w:tc>
          <w:tcPr>
            <w:tcW w:w="1779" w:type="dxa"/>
            <w:tcBorders>
              <w:top w:val="single" w:sz="0" w:space="0" w:color="836967"/>
              <w:left w:val="single" w:sz="0" w:space="0" w:color="836967"/>
              <w:bottom w:val="single" w:sz="0" w:space="0" w:color="836967"/>
              <w:right w:val="single" w:sz="0" w:space="0" w:color="836967"/>
            </w:tcBorders>
            <w:shd w:val="clear" w:color="auto" w:fill="657C9C"/>
            <w:tcMar>
              <w:left w:w="30" w:type="dxa"/>
              <w:right w:w="30" w:type="dxa"/>
            </w:tcMar>
            <w:vAlign w:val="center"/>
          </w:tcPr>
          <w:p w14:paraId="0926B0D1" w14:textId="77777777" w:rsidR="008B5F96" w:rsidRPr="00B55FC4" w:rsidRDefault="008B5F96" w:rsidP="008B5F96">
            <w:pPr>
              <w:jc w:val="center"/>
              <w:rPr>
                <w:b/>
                <w:bCs/>
                <w:color w:val="FFFFFF"/>
                <w:lang w:val="es-CR"/>
              </w:rPr>
            </w:pPr>
            <w:r w:rsidRPr="00B55FC4">
              <w:rPr>
                <w:b/>
                <w:bCs/>
                <w:color w:val="FFFFFF"/>
                <w:lang w:val="es-CR"/>
              </w:rPr>
              <w:t>PORCENTAJE DE RECUPERACIÓN</w:t>
            </w:r>
          </w:p>
        </w:tc>
        <w:tc>
          <w:tcPr>
            <w:tcW w:w="3969" w:type="dxa"/>
            <w:tcBorders>
              <w:top w:val="single" w:sz="0" w:space="0" w:color="836967"/>
              <w:left w:val="single" w:sz="0" w:space="0" w:color="836967"/>
              <w:bottom w:val="single" w:sz="0" w:space="0" w:color="836967"/>
              <w:right w:val="single" w:sz="0" w:space="0" w:color="836967"/>
            </w:tcBorders>
            <w:shd w:val="clear" w:color="auto" w:fill="657C9C"/>
            <w:tcMar>
              <w:left w:w="30" w:type="dxa"/>
              <w:right w:w="30" w:type="dxa"/>
            </w:tcMar>
            <w:vAlign w:val="center"/>
          </w:tcPr>
          <w:p w14:paraId="2C5A05BD" w14:textId="77777777" w:rsidR="008B5F96" w:rsidRPr="00B55FC4" w:rsidRDefault="008B5F96" w:rsidP="008B5F96">
            <w:pPr>
              <w:jc w:val="center"/>
              <w:rPr>
                <w:b/>
                <w:bCs/>
                <w:color w:val="FFFFFF"/>
                <w:lang w:val="es-CR"/>
              </w:rPr>
            </w:pPr>
            <w:r w:rsidRPr="00B55FC4">
              <w:rPr>
                <w:b/>
                <w:bCs/>
                <w:color w:val="FFFFFF"/>
                <w:lang w:val="es-CR"/>
              </w:rPr>
              <w:t>FACTOR DE DESCUENTO POR TIEMPO DESDE LA ÚLTIMA VALORIZACIÓN</w:t>
            </w:r>
          </w:p>
        </w:tc>
      </w:tr>
      <w:tr w:rsidR="008B5F96" w:rsidRPr="00B55FC4" w14:paraId="16F2C2F8" w14:textId="77777777" w:rsidTr="00B55FC4">
        <w:trPr>
          <w:jc w:val="center"/>
        </w:trPr>
        <w:tc>
          <w:tcPr>
            <w:tcW w:w="3041" w:type="dxa"/>
            <w:tcBorders>
              <w:top w:val="single" w:sz="0" w:space="0" w:color="836967"/>
              <w:left w:val="single" w:sz="0" w:space="0" w:color="836967"/>
              <w:bottom w:val="single" w:sz="0" w:space="0" w:color="836967"/>
              <w:right w:val="single" w:sz="0" w:space="0" w:color="836967"/>
            </w:tcBorders>
            <w:tcMar>
              <w:left w:w="30" w:type="dxa"/>
              <w:right w:w="30" w:type="dxa"/>
            </w:tcMar>
          </w:tcPr>
          <w:p w14:paraId="157271EA" w14:textId="77777777" w:rsidR="008B5F96" w:rsidRPr="00B55FC4" w:rsidRDefault="008B5F96" w:rsidP="008B5F96">
            <w:pPr>
              <w:jc w:val="center"/>
              <w:rPr>
                <w:lang w:val="es-CR"/>
              </w:rPr>
            </w:pPr>
            <w:r w:rsidRPr="00B55FC4">
              <w:rPr>
                <w:lang w:val="es-CR"/>
              </w:rPr>
              <w:t>Inmuebles (Terreno y edificaciones)</w:t>
            </w:r>
          </w:p>
        </w:tc>
        <w:tc>
          <w:tcPr>
            <w:tcW w:w="1779" w:type="dxa"/>
            <w:tcBorders>
              <w:top w:val="single" w:sz="0" w:space="0" w:color="836967"/>
              <w:left w:val="single" w:sz="0" w:space="0" w:color="836967"/>
              <w:bottom w:val="single" w:sz="0" w:space="0" w:color="836967"/>
              <w:right w:val="single" w:sz="0" w:space="0" w:color="836967"/>
            </w:tcBorders>
            <w:tcMar>
              <w:left w:w="30" w:type="dxa"/>
              <w:right w:w="30" w:type="dxa"/>
            </w:tcMar>
          </w:tcPr>
          <w:p w14:paraId="6288CAD0" w14:textId="77777777" w:rsidR="008B5F96" w:rsidRPr="00B55FC4" w:rsidRDefault="008B5F96" w:rsidP="008B5F96">
            <w:pPr>
              <w:jc w:val="center"/>
              <w:rPr>
                <w:lang w:val="es-CR"/>
              </w:rPr>
            </w:pPr>
            <w:r w:rsidRPr="00B55FC4">
              <w:rPr>
                <w:lang w:val="es-CR"/>
              </w:rPr>
              <w:t>70%</w:t>
            </w:r>
          </w:p>
        </w:tc>
        <w:tc>
          <w:tcPr>
            <w:tcW w:w="3969" w:type="dxa"/>
            <w:tcBorders>
              <w:top w:val="single" w:sz="0" w:space="0" w:color="836967"/>
              <w:left w:val="single" w:sz="0" w:space="0" w:color="836967"/>
              <w:bottom w:val="single" w:sz="0" w:space="0" w:color="836967"/>
              <w:right w:val="single" w:sz="0" w:space="0" w:color="836967"/>
            </w:tcBorders>
            <w:tcMar>
              <w:left w:w="30" w:type="dxa"/>
              <w:right w:w="30" w:type="dxa"/>
            </w:tcMar>
          </w:tcPr>
          <w:p w14:paraId="34D97F3B" w14:textId="77777777" w:rsidR="008B5F96" w:rsidRPr="00B55FC4" w:rsidRDefault="008B5F96" w:rsidP="008B5F96">
            <w:pPr>
              <w:jc w:val="center"/>
              <w:rPr>
                <w:lang w:val="es-CR"/>
              </w:rPr>
            </w:pPr>
            <w:r w:rsidRPr="00B55FC4">
              <w:rPr>
                <w:lang w:val="es-CR"/>
              </w:rPr>
              <w:t>0,15</w:t>
            </w:r>
          </w:p>
        </w:tc>
      </w:tr>
    </w:tbl>
    <w:p w14:paraId="5DE55917" w14:textId="77777777" w:rsidR="008B5F96" w:rsidRPr="008B5F96" w:rsidRDefault="008B5F96" w:rsidP="008B5F96">
      <w:pPr>
        <w:jc w:val="both"/>
        <w:rPr>
          <w:sz w:val="22"/>
          <w:szCs w:val="22"/>
          <w:lang w:val="es-CR"/>
        </w:rPr>
      </w:pPr>
    </w:p>
    <w:p w14:paraId="4297B247"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En el caso de colaterales financieros el monto mitigador de la garantía debe calcularse utilizando la siguiente fórmula:</w:t>
      </w:r>
    </w:p>
    <w:p w14:paraId="509F2F59" w14:textId="77777777" w:rsidR="008B5F96" w:rsidRPr="008B5F96" w:rsidRDefault="008B5F96" w:rsidP="008B5F96">
      <w:pPr>
        <w:ind w:left="360"/>
        <w:contextualSpacing/>
        <w:jc w:val="both"/>
        <w:rPr>
          <w:sz w:val="22"/>
          <w:szCs w:val="22"/>
          <w:lang w:val="es-CR"/>
        </w:rPr>
      </w:pPr>
    </w:p>
    <w:p w14:paraId="05E85635" w14:textId="77777777" w:rsidR="008B5F96" w:rsidRPr="008B5F96" w:rsidRDefault="008B5F96" w:rsidP="008B5F96">
      <w:pPr>
        <w:ind w:left="360"/>
        <w:jc w:val="both"/>
        <w:rPr>
          <w:b/>
          <w:bCs/>
          <w:sz w:val="22"/>
          <w:szCs w:val="22"/>
          <w:lang w:val="es-CR"/>
        </w:rPr>
      </w:pPr>
      <w:r w:rsidRPr="008B5F96">
        <w:rPr>
          <w:b/>
          <w:bCs/>
          <w:sz w:val="22"/>
          <w:szCs w:val="22"/>
          <w:lang w:val="es-CR"/>
        </w:rPr>
        <w:t>Monto mitigador de la garantía= Valor inicial x (1 – R</w:t>
      </w:r>
      <w:r w:rsidRPr="008B5F96">
        <w:rPr>
          <w:b/>
          <w:bCs/>
          <w:sz w:val="22"/>
          <w:szCs w:val="22"/>
          <w:vertAlign w:val="subscript"/>
          <w:lang w:val="es-CR"/>
        </w:rPr>
        <w:t>C</w:t>
      </w:r>
      <w:r w:rsidRPr="008B5F96">
        <w:rPr>
          <w:b/>
          <w:bCs/>
          <w:sz w:val="22"/>
          <w:szCs w:val="22"/>
          <w:lang w:val="es-CR"/>
        </w:rPr>
        <w:t>)</w:t>
      </w:r>
    </w:p>
    <w:p w14:paraId="3D3FDFCF" w14:textId="77777777" w:rsidR="008B5F96" w:rsidRPr="008B5F96" w:rsidRDefault="008B5F96" w:rsidP="008B5F96">
      <w:pPr>
        <w:ind w:firstLine="360"/>
        <w:jc w:val="both"/>
        <w:rPr>
          <w:b/>
          <w:bCs/>
          <w:sz w:val="22"/>
          <w:szCs w:val="22"/>
          <w:lang w:val="es-CR"/>
        </w:rPr>
      </w:pPr>
    </w:p>
    <w:p w14:paraId="5679D6A6" w14:textId="77777777" w:rsidR="008B5F96" w:rsidRPr="008B5F96" w:rsidRDefault="008B5F96" w:rsidP="008B5F96">
      <w:pPr>
        <w:ind w:firstLine="360"/>
        <w:jc w:val="both"/>
        <w:rPr>
          <w:b/>
          <w:bCs/>
          <w:sz w:val="22"/>
          <w:szCs w:val="22"/>
          <w:lang w:val="es-CR"/>
        </w:rPr>
      </w:pPr>
      <w:r w:rsidRPr="008B5F96">
        <w:rPr>
          <w:b/>
          <w:bCs/>
          <w:sz w:val="22"/>
          <w:szCs w:val="22"/>
          <w:lang w:val="es-CR"/>
        </w:rPr>
        <w:t>Donde:</w:t>
      </w:r>
    </w:p>
    <w:p w14:paraId="1B2C7EF7" w14:textId="77777777" w:rsidR="008B5F96" w:rsidRPr="008B5F96" w:rsidRDefault="008B5F96" w:rsidP="008B5F96">
      <w:pPr>
        <w:tabs>
          <w:tab w:val="left" w:pos="2835"/>
        </w:tabs>
        <w:jc w:val="both"/>
        <w:rPr>
          <w:b/>
          <w:bCs/>
          <w:sz w:val="22"/>
          <w:szCs w:val="22"/>
          <w:lang w:val="es-CR"/>
        </w:rPr>
      </w:pPr>
    </w:p>
    <w:p w14:paraId="150F8959" w14:textId="77777777" w:rsidR="008B5F96" w:rsidRPr="008B5F96" w:rsidRDefault="008B5F96" w:rsidP="008B5F96">
      <w:pPr>
        <w:tabs>
          <w:tab w:val="left" w:pos="426"/>
          <w:tab w:val="left" w:pos="567"/>
          <w:tab w:val="left" w:pos="3544"/>
        </w:tabs>
        <w:ind w:left="3544" w:hanging="3686"/>
        <w:jc w:val="both"/>
        <w:rPr>
          <w:sz w:val="22"/>
          <w:szCs w:val="22"/>
          <w:lang w:val="es-CR"/>
        </w:rPr>
      </w:pPr>
      <w:r w:rsidRPr="008B5F96">
        <w:rPr>
          <w:b/>
          <w:bCs/>
          <w:sz w:val="22"/>
          <w:szCs w:val="22"/>
          <w:lang w:val="es-CR"/>
        </w:rPr>
        <w:t xml:space="preserve">          Valor inicial:</w:t>
      </w:r>
      <w:r w:rsidRPr="008B5F96">
        <w:rPr>
          <w:sz w:val="22"/>
          <w:szCs w:val="22"/>
          <w:lang w:val="es-CR"/>
        </w:rPr>
        <w:tab/>
        <w:t>Es el último valor de mercado del instrumento financiero o el valor nominal en el caso de otros derechos de cobro.</w:t>
      </w:r>
    </w:p>
    <w:p w14:paraId="1014D6FA" w14:textId="77777777" w:rsidR="008B5F96" w:rsidRPr="008B5F96" w:rsidRDefault="008B5F96" w:rsidP="008B5F96">
      <w:pPr>
        <w:tabs>
          <w:tab w:val="left" w:pos="2694"/>
        </w:tabs>
        <w:ind w:left="2835" w:hanging="2835"/>
        <w:jc w:val="both"/>
        <w:rPr>
          <w:sz w:val="22"/>
          <w:szCs w:val="22"/>
          <w:lang w:val="es-CR"/>
        </w:rPr>
      </w:pPr>
    </w:p>
    <w:p w14:paraId="0A87FEC7" w14:textId="77777777" w:rsidR="008B5F96" w:rsidRPr="008B5F96" w:rsidRDefault="008B5F96" w:rsidP="008B5F96">
      <w:pPr>
        <w:ind w:left="284" w:firstLine="142"/>
        <w:jc w:val="both"/>
        <w:rPr>
          <w:sz w:val="22"/>
          <w:szCs w:val="22"/>
          <w:lang w:val="es-CR"/>
        </w:rPr>
      </w:pPr>
      <w:r w:rsidRPr="008B5F96">
        <w:rPr>
          <w:b/>
          <w:bCs/>
          <w:sz w:val="22"/>
          <w:szCs w:val="22"/>
          <w:lang w:val="es-CR"/>
        </w:rPr>
        <w:t>R</w:t>
      </w:r>
      <w:r w:rsidRPr="008B5F96">
        <w:rPr>
          <w:b/>
          <w:bCs/>
          <w:sz w:val="22"/>
          <w:szCs w:val="22"/>
          <w:vertAlign w:val="subscript"/>
          <w:lang w:val="es-CR"/>
        </w:rPr>
        <w:t>C</w:t>
      </w:r>
      <w:r w:rsidRPr="008B5F96">
        <w:rPr>
          <w:b/>
          <w:bCs/>
          <w:sz w:val="22"/>
          <w:szCs w:val="22"/>
          <w:lang w:val="es-CR"/>
        </w:rPr>
        <w:t>:</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Porcentaje de ajuste respecto del valor inicial del colateral.</w:t>
      </w:r>
    </w:p>
    <w:p w14:paraId="1E45D67C" w14:textId="77777777" w:rsidR="008B5F96" w:rsidRPr="008B5F96" w:rsidRDefault="008B5F96" w:rsidP="008B5F96">
      <w:pPr>
        <w:jc w:val="both"/>
        <w:rPr>
          <w:sz w:val="22"/>
          <w:szCs w:val="22"/>
          <w:lang w:val="es-CR"/>
        </w:rPr>
      </w:pPr>
    </w:p>
    <w:p w14:paraId="784223BE" w14:textId="77777777" w:rsidR="008B5F96" w:rsidRPr="008B5F96" w:rsidRDefault="008B5F96" w:rsidP="008B5F96">
      <w:pPr>
        <w:ind w:left="426"/>
        <w:jc w:val="both"/>
        <w:rPr>
          <w:sz w:val="22"/>
          <w:szCs w:val="22"/>
          <w:lang w:val="es-CR"/>
        </w:rPr>
      </w:pPr>
      <w:r w:rsidRPr="008B5F96">
        <w:rPr>
          <w:sz w:val="22"/>
          <w:szCs w:val="22"/>
          <w:lang w:val="es-CR"/>
        </w:rPr>
        <w:t>En la fórmula previa se debe de utilizar el RC según tipo de colateral, de acuerdo con el siguiente cuadro:</w:t>
      </w:r>
    </w:p>
    <w:p w14:paraId="1C6221EB" w14:textId="77777777" w:rsidR="008B5F96" w:rsidRPr="008B5F96" w:rsidRDefault="008B5F96" w:rsidP="008B5F96">
      <w:pPr>
        <w:jc w:val="both"/>
        <w:rPr>
          <w:sz w:val="22"/>
          <w:szCs w:val="22"/>
          <w:lang w:val="es-CR"/>
        </w:rPr>
      </w:pPr>
    </w:p>
    <w:tbl>
      <w:tblPr>
        <w:tblpPr w:leftFromText="141" w:rightFromText="141" w:vertAnchor="text" w:horzAnchor="margin" w:tblpXSpec="center" w:tblpY="10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114"/>
        <w:gridCol w:w="850"/>
        <w:gridCol w:w="1276"/>
        <w:gridCol w:w="1276"/>
        <w:gridCol w:w="1276"/>
        <w:gridCol w:w="1559"/>
      </w:tblGrid>
      <w:tr w:rsidR="008B5F96" w:rsidRPr="003B4286" w14:paraId="161D765D" w14:textId="77777777" w:rsidTr="003B4286">
        <w:trPr>
          <w:trHeight w:val="516"/>
        </w:trPr>
        <w:tc>
          <w:tcPr>
            <w:tcW w:w="3114" w:type="dxa"/>
            <w:shd w:val="clear" w:color="auto" w:fill="657C9C"/>
            <w:vAlign w:val="center"/>
            <w:hideMark/>
          </w:tcPr>
          <w:p w14:paraId="7BBBEB71" w14:textId="77777777" w:rsidR="008B5F96" w:rsidRPr="003B4286" w:rsidRDefault="008B5F96" w:rsidP="008B5F96">
            <w:pPr>
              <w:jc w:val="center"/>
              <w:rPr>
                <w:b/>
                <w:bCs/>
                <w:color w:val="FFFFFF"/>
                <w:lang w:val="es-CR"/>
              </w:rPr>
            </w:pPr>
            <w:r w:rsidRPr="003B4286">
              <w:rPr>
                <w:b/>
                <w:bCs/>
                <w:color w:val="FFFFFF"/>
                <w:lang w:val="es-CR"/>
              </w:rPr>
              <w:t>COLATERAL FINANCIERO</w:t>
            </w:r>
          </w:p>
        </w:tc>
        <w:tc>
          <w:tcPr>
            <w:tcW w:w="850" w:type="dxa"/>
            <w:shd w:val="clear" w:color="auto" w:fill="657C9C"/>
            <w:vAlign w:val="center"/>
            <w:hideMark/>
          </w:tcPr>
          <w:p w14:paraId="73443B4B" w14:textId="77777777" w:rsidR="008B5F96" w:rsidRPr="003B4286" w:rsidRDefault="008B5F96" w:rsidP="008B5F96">
            <w:pPr>
              <w:jc w:val="center"/>
              <w:rPr>
                <w:b/>
                <w:bCs/>
                <w:color w:val="FFFFFF"/>
                <w:lang w:val="es-CR"/>
              </w:rPr>
            </w:pPr>
            <w:r w:rsidRPr="003B4286">
              <w:rPr>
                <w:b/>
                <w:bCs/>
                <w:color w:val="FFFFFF"/>
                <w:lang w:val="es-CR"/>
              </w:rPr>
              <w:t>FACTOR ÚNICO</w:t>
            </w:r>
          </w:p>
        </w:tc>
        <w:tc>
          <w:tcPr>
            <w:tcW w:w="1276" w:type="dxa"/>
            <w:shd w:val="clear" w:color="auto" w:fill="657C9C"/>
            <w:vAlign w:val="center"/>
            <w:hideMark/>
          </w:tcPr>
          <w:p w14:paraId="1BA3A628" w14:textId="77777777" w:rsidR="008B5F96" w:rsidRPr="003B4286" w:rsidRDefault="008B5F96" w:rsidP="008B5F96">
            <w:pPr>
              <w:jc w:val="center"/>
              <w:rPr>
                <w:b/>
                <w:bCs/>
                <w:color w:val="FFFFFF"/>
                <w:lang w:val="es-CR"/>
              </w:rPr>
            </w:pPr>
            <w:r w:rsidRPr="003B4286">
              <w:rPr>
                <w:b/>
                <w:bCs/>
                <w:color w:val="FFFFFF"/>
                <w:lang w:val="es-CR"/>
              </w:rPr>
              <w:t>CATEGORÍA 3 O MEJOR</w:t>
            </w:r>
          </w:p>
          <w:p w14:paraId="702A1463" w14:textId="77777777" w:rsidR="008B5F96" w:rsidRPr="003B4286" w:rsidRDefault="008B5F96" w:rsidP="008B5F96">
            <w:pPr>
              <w:jc w:val="center"/>
              <w:rPr>
                <w:b/>
                <w:bCs/>
                <w:color w:val="FFFFFF"/>
                <w:lang w:val="es-CR"/>
              </w:rPr>
            </w:pPr>
            <w:r w:rsidRPr="003B4286">
              <w:rPr>
                <w:b/>
                <w:bCs/>
                <w:color w:val="FFFFFF"/>
                <w:lang w:val="es-CR"/>
              </w:rPr>
              <w:t>(AAA A BBB-)</w:t>
            </w:r>
          </w:p>
        </w:tc>
        <w:tc>
          <w:tcPr>
            <w:tcW w:w="1276" w:type="dxa"/>
            <w:shd w:val="clear" w:color="auto" w:fill="657C9C"/>
            <w:vAlign w:val="center"/>
            <w:hideMark/>
          </w:tcPr>
          <w:p w14:paraId="195CFB39" w14:textId="77777777" w:rsidR="008B5F96" w:rsidRPr="003B4286" w:rsidRDefault="008B5F96" w:rsidP="008B5F96">
            <w:pPr>
              <w:jc w:val="center"/>
              <w:rPr>
                <w:b/>
                <w:bCs/>
                <w:color w:val="FFFFFF"/>
                <w:lang w:val="es-CR"/>
              </w:rPr>
            </w:pPr>
            <w:r w:rsidRPr="003B4286">
              <w:rPr>
                <w:b/>
                <w:bCs/>
                <w:color w:val="FFFFFF"/>
                <w:lang w:val="es-CR"/>
              </w:rPr>
              <w:t>CATEGORÍA 4</w:t>
            </w:r>
          </w:p>
          <w:p w14:paraId="1F1E8ADB" w14:textId="77777777" w:rsidR="008B5F96" w:rsidRPr="003B4286" w:rsidRDefault="008B5F96" w:rsidP="008B5F96">
            <w:pPr>
              <w:jc w:val="center"/>
              <w:rPr>
                <w:b/>
                <w:bCs/>
                <w:color w:val="FFFFFF"/>
                <w:lang w:val="es-CR"/>
              </w:rPr>
            </w:pPr>
            <w:r w:rsidRPr="003B4286">
              <w:rPr>
                <w:b/>
                <w:bCs/>
                <w:color w:val="FFFFFF"/>
                <w:lang w:val="es-CR"/>
              </w:rPr>
              <w:t>(BB+ A BB-)</w:t>
            </w:r>
          </w:p>
        </w:tc>
        <w:tc>
          <w:tcPr>
            <w:tcW w:w="1276" w:type="dxa"/>
            <w:shd w:val="clear" w:color="auto" w:fill="657C9C"/>
            <w:vAlign w:val="center"/>
            <w:hideMark/>
          </w:tcPr>
          <w:p w14:paraId="71C1C288" w14:textId="77777777" w:rsidR="008B5F96" w:rsidRPr="003B4286" w:rsidRDefault="008B5F96" w:rsidP="008B5F96">
            <w:pPr>
              <w:jc w:val="center"/>
              <w:rPr>
                <w:b/>
                <w:bCs/>
                <w:color w:val="FFFFFF"/>
                <w:lang w:val="es-CR"/>
              </w:rPr>
            </w:pPr>
            <w:r w:rsidRPr="003B4286">
              <w:rPr>
                <w:b/>
                <w:bCs/>
                <w:color w:val="FFFFFF"/>
                <w:lang w:val="es-CR"/>
              </w:rPr>
              <w:t>CATEGORÍA 5</w:t>
            </w:r>
          </w:p>
          <w:p w14:paraId="3150C67B" w14:textId="77777777" w:rsidR="008B5F96" w:rsidRPr="003B4286" w:rsidRDefault="008B5F96" w:rsidP="008B5F96">
            <w:pPr>
              <w:jc w:val="center"/>
              <w:rPr>
                <w:b/>
                <w:bCs/>
                <w:color w:val="FFFFFF"/>
                <w:lang w:val="es-CR"/>
              </w:rPr>
            </w:pPr>
            <w:r w:rsidRPr="003B4286">
              <w:rPr>
                <w:b/>
                <w:bCs/>
                <w:color w:val="FFFFFF"/>
                <w:lang w:val="es-CR"/>
              </w:rPr>
              <w:t>(B+ A B-)</w:t>
            </w:r>
          </w:p>
        </w:tc>
        <w:tc>
          <w:tcPr>
            <w:tcW w:w="1559" w:type="dxa"/>
            <w:shd w:val="clear" w:color="auto" w:fill="657C9C"/>
            <w:vAlign w:val="center"/>
            <w:hideMark/>
          </w:tcPr>
          <w:p w14:paraId="02DB25E5" w14:textId="77777777" w:rsidR="008B5F96" w:rsidRPr="003B4286" w:rsidRDefault="008B5F96" w:rsidP="008B5F96">
            <w:pPr>
              <w:jc w:val="center"/>
              <w:rPr>
                <w:b/>
                <w:bCs/>
                <w:color w:val="FFFFFF"/>
                <w:lang w:val="es-CR"/>
              </w:rPr>
            </w:pPr>
            <w:r w:rsidRPr="003B4286">
              <w:rPr>
                <w:b/>
                <w:bCs/>
                <w:color w:val="FFFFFF"/>
                <w:lang w:val="es-CR"/>
              </w:rPr>
              <w:t>CATEGORÍA 6</w:t>
            </w:r>
          </w:p>
          <w:p w14:paraId="2C496110" w14:textId="77777777" w:rsidR="008B5F96" w:rsidRPr="003B4286" w:rsidRDefault="008B5F96" w:rsidP="008B5F96">
            <w:pPr>
              <w:jc w:val="center"/>
              <w:rPr>
                <w:b/>
                <w:bCs/>
                <w:color w:val="FFFFFF"/>
                <w:lang w:val="es-CR"/>
              </w:rPr>
            </w:pPr>
            <w:r w:rsidRPr="003B4286">
              <w:rPr>
                <w:b/>
                <w:bCs/>
                <w:color w:val="FFFFFF"/>
                <w:lang w:val="es-CR"/>
              </w:rPr>
              <w:t>(CCC O PEOR)</w:t>
            </w:r>
          </w:p>
        </w:tc>
      </w:tr>
      <w:tr w:rsidR="008B5F96" w:rsidRPr="003B4286" w14:paraId="3F05501C" w14:textId="77777777" w:rsidTr="003B4286">
        <w:trPr>
          <w:trHeight w:val="179"/>
        </w:trPr>
        <w:tc>
          <w:tcPr>
            <w:tcW w:w="3114" w:type="dxa"/>
            <w:hideMark/>
          </w:tcPr>
          <w:p w14:paraId="03528636" w14:textId="77777777" w:rsidR="008B5F96" w:rsidRPr="003B4286" w:rsidRDefault="008B5F96" w:rsidP="008B5F96">
            <w:pPr>
              <w:jc w:val="both"/>
              <w:rPr>
                <w:lang w:val="es-CR"/>
              </w:rPr>
            </w:pPr>
            <w:r w:rsidRPr="003B4286">
              <w:rPr>
                <w:lang w:val="es-CR"/>
              </w:rPr>
              <w:t xml:space="preserve">Efectivo. </w:t>
            </w:r>
          </w:p>
          <w:p w14:paraId="0FF3707B" w14:textId="77777777" w:rsidR="008B5F96" w:rsidRPr="003B4286" w:rsidRDefault="008B5F96" w:rsidP="008B5F96">
            <w:pPr>
              <w:jc w:val="both"/>
              <w:rPr>
                <w:lang w:val="es-CR"/>
              </w:rPr>
            </w:pPr>
            <w:r w:rsidRPr="003B4286">
              <w:rPr>
                <w:lang w:val="es-CR"/>
              </w:rPr>
              <w:t>Depósito en la misma entidad.</w:t>
            </w:r>
          </w:p>
        </w:tc>
        <w:tc>
          <w:tcPr>
            <w:tcW w:w="850" w:type="dxa"/>
            <w:vAlign w:val="center"/>
            <w:hideMark/>
          </w:tcPr>
          <w:p w14:paraId="092ECE45" w14:textId="77777777" w:rsidR="008B5F96" w:rsidRPr="003B4286" w:rsidRDefault="008B5F96" w:rsidP="008B5F96">
            <w:pPr>
              <w:jc w:val="center"/>
              <w:rPr>
                <w:lang w:val="es-CR"/>
              </w:rPr>
            </w:pPr>
            <w:r w:rsidRPr="003B4286">
              <w:rPr>
                <w:lang w:val="es-CR"/>
              </w:rPr>
              <w:t>0%</w:t>
            </w:r>
          </w:p>
        </w:tc>
        <w:tc>
          <w:tcPr>
            <w:tcW w:w="1276" w:type="dxa"/>
            <w:vAlign w:val="center"/>
            <w:hideMark/>
          </w:tcPr>
          <w:p w14:paraId="63ABDE4B" w14:textId="77777777" w:rsidR="008B5F96" w:rsidRPr="003B4286" w:rsidRDefault="008B5F96" w:rsidP="008B5F96">
            <w:pPr>
              <w:jc w:val="center"/>
              <w:rPr>
                <w:lang w:val="es-CR"/>
              </w:rPr>
            </w:pPr>
            <w:r w:rsidRPr="003B4286">
              <w:rPr>
                <w:lang w:val="es-CR"/>
              </w:rPr>
              <w:t>-</w:t>
            </w:r>
          </w:p>
        </w:tc>
        <w:tc>
          <w:tcPr>
            <w:tcW w:w="1276" w:type="dxa"/>
            <w:vAlign w:val="center"/>
            <w:hideMark/>
          </w:tcPr>
          <w:p w14:paraId="537BCA0C" w14:textId="77777777" w:rsidR="008B5F96" w:rsidRPr="003B4286" w:rsidRDefault="008B5F96" w:rsidP="008B5F96">
            <w:pPr>
              <w:jc w:val="center"/>
              <w:rPr>
                <w:lang w:val="es-CR"/>
              </w:rPr>
            </w:pPr>
            <w:r w:rsidRPr="003B4286">
              <w:rPr>
                <w:lang w:val="es-CR"/>
              </w:rPr>
              <w:t>-</w:t>
            </w:r>
          </w:p>
        </w:tc>
        <w:tc>
          <w:tcPr>
            <w:tcW w:w="1276" w:type="dxa"/>
            <w:vAlign w:val="center"/>
            <w:hideMark/>
          </w:tcPr>
          <w:p w14:paraId="4F03104A" w14:textId="77777777" w:rsidR="008B5F96" w:rsidRPr="003B4286" w:rsidRDefault="008B5F96" w:rsidP="008B5F96">
            <w:pPr>
              <w:jc w:val="center"/>
              <w:rPr>
                <w:lang w:val="es-CR"/>
              </w:rPr>
            </w:pPr>
            <w:r w:rsidRPr="003B4286">
              <w:rPr>
                <w:lang w:val="es-CR"/>
              </w:rPr>
              <w:t>-</w:t>
            </w:r>
          </w:p>
        </w:tc>
        <w:tc>
          <w:tcPr>
            <w:tcW w:w="1559" w:type="dxa"/>
            <w:vAlign w:val="center"/>
            <w:hideMark/>
          </w:tcPr>
          <w:p w14:paraId="4394D03B" w14:textId="77777777" w:rsidR="008B5F96" w:rsidRPr="003B4286" w:rsidRDefault="008B5F96" w:rsidP="008B5F96">
            <w:pPr>
              <w:jc w:val="center"/>
              <w:rPr>
                <w:lang w:val="es-CR"/>
              </w:rPr>
            </w:pPr>
            <w:r w:rsidRPr="003B4286">
              <w:rPr>
                <w:lang w:val="es-CR"/>
              </w:rPr>
              <w:t>-</w:t>
            </w:r>
          </w:p>
        </w:tc>
      </w:tr>
      <w:tr w:rsidR="008B5F96" w:rsidRPr="003B4286" w14:paraId="0BA2E0ED" w14:textId="77777777" w:rsidTr="003B4286">
        <w:trPr>
          <w:trHeight w:val="313"/>
        </w:trPr>
        <w:tc>
          <w:tcPr>
            <w:tcW w:w="3114" w:type="dxa"/>
            <w:vAlign w:val="center"/>
            <w:hideMark/>
          </w:tcPr>
          <w:p w14:paraId="49DF127F" w14:textId="77777777" w:rsidR="008B5F96" w:rsidRPr="003B4286" w:rsidRDefault="008B5F96" w:rsidP="008B5F96">
            <w:pPr>
              <w:jc w:val="both"/>
              <w:rPr>
                <w:lang w:val="es-CR"/>
              </w:rPr>
            </w:pPr>
            <w:r w:rsidRPr="003B4286">
              <w:rPr>
                <w:lang w:val="es-CR"/>
              </w:rPr>
              <w:t>Instrumento de deuda. (Inscrito)</w:t>
            </w:r>
          </w:p>
        </w:tc>
        <w:tc>
          <w:tcPr>
            <w:tcW w:w="850" w:type="dxa"/>
            <w:vAlign w:val="center"/>
            <w:hideMark/>
          </w:tcPr>
          <w:p w14:paraId="0DD56131" w14:textId="77777777" w:rsidR="008B5F96" w:rsidRPr="003B4286" w:rsidRDefault="008B5F96" w:rsidP="008B5F96">
            <w:pPr>
              <w:jc w:val="center"/>
              <w:rPr>
                <w:lang w:val="es-CR"/>
              </w:rPr>
            </w:pPr>
            <w:r w:rsidRPr="003B4286">
              <w:rPr>
                <w:lang w:val="es-CR"/>
              </w:rPr>
              <w:t>-</w:t>
            </w:r>
          </w:p>
        </w:tc>
        <w:tc>
          <w:tcPr>
            <w:tcW w:w="1276" w:type="dxa"/>
            <w:vAlign w:val="center"/>
            <w:hideMark/>
          </w:tcPr>
          <w:p w14:paraId="4DFE3A1D" w14:textId="77777777" w:rsidR="008B5F96" w:rsidRPr="003B4286" w:rsidRDefault="008B5F96" w:rsidP="008B5F96">
            <w:pPr>
              <w:jc w:val="center"/>
              <w:rPr>
                <w:lang w:val="es-CR"/>
              </w:rPr>
            </w:pPr>
            <w:r w:rsidRPr="003B4286">
              <w:rPr>
                <w:lang w:val="es-CR"/>
              </w:rPr>
              <w:t>15%</w:t>
            </w:r>
          </w:p>
        </w:tc>
        <w:tc>
          <w:tcPr>
            <w:tcW w:w="1276" w:type="dxa"/>
            <w:vAlign w:val="center"/>
            <w:hideMark/>
          </w:tcPr>
          <w:p w14:paraId="2D0855E9" w14:textId="77777777" w:rsidR="008B5F96" w:rsidRPr="003B4286" w:rsidRDefault="008B5F96" w:rsidP="008B5F96">
            <w:pPr>
              <w:jc w:val="center"/>
              <w:rPr>
                <w:lang w:val="es-CR"/>
              </w:rPr>
            </w:pPr>
            <w:r w:rsidRPr="003B4286">
              <w:rPr>
                <w:lang w:val="es-CR"/>
              </w:rPr>
              <w:t>20%</w:t>
            </w:r>
          </w:p>
        </w:tc>
        <w:tc>
          <w:tcPr>
            <w:tcW w:w="1276" w:type="dxa"/>
            <w:vAlign w:val="center"/>
            <w:hideMark/>
          </w:tcPr>
          <w:p w14:paraId="33D48A49" w14:textId="77777777" w:rsidR="008B5F96" w:rsidRPr="003B4286" w:rsidRDefault="008B5F96" w:rsidP="008B5F96">
            <w:pPr>
              <w:jc w:val="center"/>
              <w:rPr>
                <w:lang w:val="es-CR"/>
              </w:rPr>
            </w:pPr>
            <w:r w:rsidRPr="003B4286">
              <w:rPr>
                <w:lang w:val="es-CR"/>
              </w:rPr>
              <w:t>25%</w:t>
            </w:r>
          </w:p>
        </w:tc>
        <w:tc>
          <w:tcPr>
            <w:tcW w:w="1559" w:type="dxa"/>
            <w:vAlign w:val="center"/>
            <w:hideMark/>
          </w:tcPr>
          <w:p w14:paraId="7BC9E6A9" w14:textId="77777777" w:rsidR="008B5F96" w:rsidRPr="003B4286" w:rsidRDefault="008B5F96" w:rsidP="008B5F96">
            <w:pPr>
              <w:jc w:val="center"/>
              <w:rPr>
                <w:lang w:val="es-CR"/>
              </w:rPr>
            </w:pPr>
            <w:r w:rsidRPr="003B4286">
              <w:rPr>
                <w:lang w:val="es-CR"/>
              </w:rPr>
              <w:t>100%</w:t>
            </w:r>
          </w:p>
        </w:tc>
      </w:tr>
      <w:tr w:rsidR="008B5F96" w:rsidRPr="003B4286" w14:paraId="268B8049" w14:textId="77777777" w:rsidTr="003B4286">
        <w:trPr>
          <w:trHeight w:val="262"/>
        </w:trPr>
        <w:tc>
          <w:tcPr>
            <w:tcW w:w="3114" w:type="dxa"/>
            <w:hideMark/>
          </w:tcPr>
          <w:p w14:paraId="029B9D92" w14:textId="77777777" w:rsidR="008B5F96" w:rsidRPr="003B4286" w:rsidRDefault="008B5F96" w:rsidP="008B5F96">
            <w:pPr>
              <w:jc w:val="both"/>
              <w:rPr>
                <w:lang w:val="es-CR"/>
              </w:rPr>
            </w:pPr>
            <w:r w:rsidRPr="003B4286">
              <w:rPr>
                <w:lang w:val="es-CR"/>
              </w:rPr>
              <w:t>Instrumento de deuda (GOCR, BCCR)</w:t>
            </w:r>
          </w:p>
        </w:tc>
        <w:tc>
          <w:tcPr>
            <w:tcW w:w="850" w:type="dxa"/>
            <w:vAlign w:val="center"/>
            <w:hideMark/>
          </w:tcPr>
          <w:p w14:paraId="26F8A9BB" w14:textId="77777777" w:rsidR="008B5F96" w:rsidRPr="003B4286" w:rsidRDefault="008B5F96" w:rsidP="008B5F96">
            <w:pPr>
              <w:jc w:val="center"/>
              <w:rPr>
                <w:lang w:val="es-CR"/>
              </w:rPr>
            </w:pPr>
            <w:r w:rsidRPr="003B4286">
              <w:rPr>
                <w:lang w:val="es-CR"/>
              </w:rPr>
              <w:t>-</w:t>
            </w:r>
          </w:p>
        </w:tc>
        <w:tc>
          <w:tcPr>
            <w:tcW w:w="1276" w:type="dxa"/>
            <w:vAlign w:val="center"/>
            <w:hideMark/>
          </w:tcPr>
          <w:p w14:paraId="2C942D8C" w14:textId="77777777" w:rsidR="008B5F96" w:rsidRPr="003B4286" w:rsidRDefault="008B5F96" w:rsidP="008B5F96">
            <w:pPr>
              <w:jc w:val="center"/>
              <w:rPr>
                <w:lang w:val="es-CR"/>
              </w:rPr>
            </w:pPr>
            <w:r w:rsidRPr="003B4286">
              <w:rPr>
                <w:lang w:val="es-CR"/>
              </w:rPr>
              <w:t>15%</w:t>
            </w:r>
          </w:p>
        </w:tc>
        <w:tc>
          <w:tcPr>
            <w:tcW w:w="1276" w:type="dxa"/>
            <w:vAlign w:val="center"/>
            <w:hideMark/>
          </w:tcPr>
          <w:p w14:paraId="4BA430B2" w14:textId="77777777" w:rsidR="008B5F96" w:rsidRPr="003B4286" w:rsidRDefault="008B5F96" w:rsidP="008B5F96">
            <w:pPr>
              <w:jc w:val="center"/>
              <w:rPr>
                <w:lang w:val="es-CR"/>
              </w:rPr>
            </w:pPr>
            <w:r w:rsidRPr="003B4286">
              <w:rPr>
                <w:lang w:val="es-CR"/>
              </w:rPr>
              <w:t>20%</w:t>
            </w:r>
          </w:p>
        </w:tc>
        <w:tc>
          <w:tcPr>
            <w:tcW w:w="1276" w:type="dxa"/>
            <w:vAlign w:val="center"/>
            <w:hideMark/>
          </w:tcPr>
          <w:p w14:paraId="74ECF886" w14:textId="77777777" w:rsidR="008B5F96" w:rsidRPr="003B4286" w:rsidRDefault="008B5F96" w:rsidP="008B5F96">
            <w:pPr>
              <w:jc w:val="center"/>
              <w:rPr>
                <w:lang w:val="es-CR"/>
              </w:rPr>
            </w:pPr>
            <w:r w:rsidRPr="003B4286">
              <w:rPr>
                <w:lang w:val="es-CR"/>
              </w:rPr>
              <w:t>25%</w:t>
            </w:r>
          </w:p>
        </w:tc>
        <w:tc>
          <w:tcPr>
            <w:tcW w:w="1559" w:type="dxa"/>
            <w:vAlign w:val="center"/>
            <w:hideMark/>
          </w:tcPr>
          <w:p w14:paraId="4207210B" w14:textId="77777777" w:rsidR="008B5F96" w:rsidRPr="003B4286" w:rsidRDefault="008B5F96" w:rsidP="008B5F96">
            <w:pPr>
              <w:jc w:val="center"/>
              <w:rPr>
                <w:lang w:val="es-CR"/>
              </w:rPr>
            </w:pPr>
            <w:r w:rsidRPr="003B4286">
              <w:rPr>
                <w:lang w:val="es-CR"/>
              </w:rPr>
              <w:t>100%</w:t>
            </w:r>
          </w:p>
        </w:tc>
      </w:tr>
      <w:tr w:rsidR="008B5F96" w:rsidRPr="003B4286" w14:paraId="3CB8876C" w14:textId="77777777" w:rsidTr="003B4286">
        <w:trPr>
          <w:trHeight w:val="726"/>
        </w:trPr>
        <w:tc>
          <w:tcPr>
            <w:tcW w:w="3114" w:type="dxa"/>
            <w:hideMark/>
          </w:tcPr>
          <w:p w14:paraId="50C52977" w14:textId="77777777" w:rsidR="008B5F96" w:rsidRPr="003B4286" w:rsidRDefault="008B5F96" w:rsidP="008B5F96">
            <w:pPr>
              <w:jc w:val="both"/>
              <w:rPr>
                <w:lang w:val="es-CR"/>
              </w:rPr>
            </w:pPr>
            <w:r w:rsidRPr="003B4286">
              <w:rPr>
                <w:lang w:val="es-CR"/>
              </w:rPr>
              <w:t xml:space="preserve">Instrumento de deuda. (Entidad supervisada por la Sugef sin </w:t>
            </w:r>
            <w:r w:rsidRPr="003B4286">
              <w:rPr>
                <w:lang w:val="es-CR"/>
              </w:rPr>
              <w:lastRenderedPageBreak/>
              <w:t>calificación pública otorgada por una agencia calificadora)</w:t>
            </w:r>
          </w:p>
        </w:tc>
        <w:tc>
          <w:tcPr>
            <w:tcW w:w="850" w:type="dxa"/>
            <w:vAlign w:val="center"/>
            <w:hideMark/>
          </w:tcPr>
          <w:p w14:paraId="36D495DE" w14:textId="77777777" w:rsidR="008B5F96" w:rsidRPr="003B4286" w:rsidRDefault="008B5F96" w:rsidP="008B5F96">
            <w:pPr>
              <w:jc w:val="center"/>
              <w:rPr>
                <w:lang w:val="es-CR"/>
              </w:rPr>
            </w:pPr>
            <w:r w:rsidRPr="003B4286">
              <w:rPr>
                <w:lang w:val="es-CR"/>
              </w:rPr>
              <w:lastRenderedPageBreak/>
              <w:t>30%</w:t>
            </w:r>
          </w:p>
        </w:tc>
        <w:tc>
          <w:tcPr>
            <w:tcW w:w="1276" w:type="dxa"/>
            <w:vAlign w:val="center"/>
            <w:hideMark/>
          </w:tcPr>
          <w:p w14:paraId="1486451C" w14:textId="77777777" w:rsidR="008B5F96" w:rsidRPr="003B4286" w:rsidRDefault="008B5F96" w:rsidP="008B5F96">
            <w:pPr>
              <w:jc w:val="center"/>
              <w:rPr>
                <w:lang w:val="es-CR"/>
              </w:rPr>
            </w:pPr>
            <w:r w:rsidRPr="003B4286">
              <w:rPr>
                <w:lang w:val="es-CR"/>
              </w:rPr>
              <w:t>-</w:t>
            </w:r>
          </w:p>
        </w:tc>
        <w:tc>
          <w:tcPr>
            <w:tcW w:w="1276" w:type="dxa"/>
            <w:vAlign w:val="center"/>
            <w:hideMark/>
          </w:tcPr>
          <w:p w14:paraId="7E160661" w14:textId="77777777" w:rsidR="008B5F96" w:rsidRPr="003B4286" w:rsidRDefault="008B5F96" w:rsidP="008B5F96">
            <w:pPr>
              <w:jc w:val="center"/>
              <w:rPr>
                <w:lang w:val="es-CR"/>
              </w:rPr>
            </w:pPr>
            <w:r w:rsidRPr="003B4286">
              <w:rPr>
                <w:lang w:val="es-CR"/>
              </w:rPr>
              <w:t>-</w:t>
            </w:r>
          </w:p>
        </w:tc>
        <w:tc>
          <w:tcPr>
            <w:tcW w:w="1276" w:type="dxa"/>
            <w:vAlign w:val="center"/>
            <w:hideMark/>
          </w:tcPr>
          <w:p w14:paraId="2DFFB4D2" w14:textId="77777777" w:rsidR="008B5F96" w:rsidRPr="003B4286" w:rsidRDefault="008B5F96" w:rsidP="008B5F96">
            <w:pPr>
              <w:jc w:val="center"/>
              <w:rPr>
                <w:lang w:val="es-CR"/>
              </w:rPr>
            </w:pPr>
            <w:r w:rsidRPr="003B4286">
              <w:rPr>
                <w:lang w:val="es-CR"/>
              </w:rPr>
              <w:t>-</w:t>
            </w:r>
          </w:p>
        </w:tc>
        <w:tc>
          <w:tcPr>
            <w:tcW w:w="1559" w:type="dxa"/>
            <w:vAlign w:val="center"/>
            <w:hideMark/>
          </w:tcPr>
          <w:p w14:paraId="45C8A040" w14:textId="77777777" w:rsidR="008B5F96" w:rsidRPr="003B4286" w:rsidRDefault="008B5F96" w:rsidP="008B5F96">
            <w:pPr>
              <w:jc w:val="center"/>
              <w:rPr>
                <w:lang w:val="es-CR"/>
              </w:rPr>
            </w:pPr>
            <w:r w:rsidRPr="003B4286">
              <w:rPr>
                <w:lang w:val="es-CR"/>
              </w:rPr>
              <w:t>-</w:t>
            </w:r>
          </w:p>
        </w:tc>
      </w:tr>
      <w:tr w:rsidR="008B5F96" w:rsidRPr="003B4286" w14:paraId="3176EA16" w14:textId="77777777" w:rsidTr="003B4286">
        <w:trPr>
          <w:trHeight w:val="516"/>
        </w:trPr>
        <w:tc>
          <w:tcPr>
            <w:tcW w:w="3114" w:type="dxa"/>
          </w:tcPr>
          <w:p w14:paraId="0E3021B7" w14:textId="77777777" w:rsidR="008B5F96" w:rsidRPr="003B4286" w:rsidRDefault="008B5F96" w:rsidP="008B5F96">
            <w:pPr>
              <w:jc w:val="both"/>
              <w:rPr>
                <w:lang w:val="es-CR"/>
              </w:rPr>
            </w:pPr>
            <w:r w:rsidRPr="003B4286">
              <w:rPr>
                <w:lang w:val="es-CR"/>
              </w:rPr>
              <w:t xml:space="preserve">Instrumentos de deuda diferentes a los anteriores que no cuente con calificación de riesgo de agencias calificadoras. </w:t>
            </w:r>
          </w:p>
        </w:tc>
        <w:tc>
          <w:tcPr>
            <w:tcW w:w="850" w:type="dxa"/>
            <w:vAlign w:val="center"/>
          </w:tcPr>
          <w:p w14:paraId="678A1709" w14:textId="77777777" w:rsidR="008B5F96" w:rsidRPr="003B4286" w:rsidRDefault="008B5F96" w:rsidP="008B5F96">
            <w:pPr>
              <w:jc w:val="center"/>
              <w:rPr>
                <w:lang w:val="es-CR"/>
              </w:rPr>
            </w:pPr>
            <w:r w:rsidRPr="003B4286">
              <w:rPr>
                <w:lang w:val="es-CR"/>
              </w:rPr>
              <w:t>40%</w:t>
            </w:r>
          </w:p>
        </w:tc>
        <w:tc>
          <w:tcPr>
            <w:tcW w:w="1276" w:type="dxa"/>
            <w:vAlign w:val="center"/>
          </w:tcPr>
          <w:p w14:paraId="37A29EE5" w14:textId="77777777" w:rsidR="008B5F96" w:rsidRPr="003B4286" w:rsidRDefault="008B5F96" w:rsidP="008B5F96">
            <w:pPr>
              <w:jc w:val="center"/>
              <w:rPr>
                <w:lang w:val="es-CR"/>
              </w:rPr>
            </w:pPr>
          </w:p>
        </w:tc>
        <w:tc>
          <w:tcPr>
            <w:tcW w:w="1276" w:type="dxa"/>
            <w:vAlign w:val="center"/>
          </w:tcPr>
          <w:p w14:paraId="74B67CDF" w14:textId="77777777" w:rsidR="008B5F96" w:rsidRPr="003B4286" w:rsidRDefault="008B5F96" w:rsidP="008B5F96">
            <w:pPr>
              <w:jc w:val="center"/>
              <w:rPr>
                <w:lang w:val="es-CR"/>
              </w:rPr>
            </w:pPr>
          </w:p>
        </w:tc>
        <w:tc>
          <w:tcPr>
            <w:tcW w:w="1276" w:type="dxa"/>
            <w:vAlign w:val="center"/>
          </w:tcPr>
          <w:p w14:paraId="17E1745F" w14:textId="77777777" w:rsidR="008B5F96" w:rsidRPr="003B4286" w:rsidRDefault="008B5F96" w:rsidP="008B5F96">
            <w:pPr>
              <w:jc w:val="center"/>
              <w:rPr>
                <w:lang w:val="es-CR"/>
              </w:rPr>
            </w:pPr>
          </w:p>
        </w:tc>
        <w:tc>
          <w:tcPr>
            <w:tcW w:w="1559" w:type="dxa"/>
            <w:vAlign w:val="center"/>
          </w:tcPr>
          <w:p w14:paraId="3F3A0FA4" w14:textId="77777777" w:rsidR="008B5F96" w:rsidRPr="003B4286" w:rsidRDefault="008B5F96" w:rsidP="008B5F96">
            <w:pPr>
              <w:jc w:val="center"/>
              <w:rPr>
                <w:lang w:val="es-CR"/>
              </w:rPr>
            </w:pPr>
          </w:p>
        </w:tc>
      </w:tr>
      <w:tr w:rsidR="008B5F96" w:rsidRPr="003B4286" w14:paraId="435A9E22" w14:textId="77777777" w:rsidTr="003B4286">
        <w:trPr>
          <w:trHeight w:val="516"/>
        </w:trPr>
        <w:tc>
          <w:tcPr>
            <w:tcW w:w="3114" w:type="dxa"/>
            <w:hideMark/>
          </w:tcPr>
          <w:p w14:paraId="39FF09DC" w14:textId="77777777" w:rsidR="008B5F96" w:rsidRPr="003B4286" w:rsidRDefault="008B5F96" w:rsidP="008B5F96">
            <w:pPr>
              <w:jc w:val="both"/>
              <w:rPr>
                <w:lang w:val="es-CR"/>
              </w:rPr>
            </w:pPr>
            <w:r w:rsidRPr="003B4286">
              <w:rPr>
                <w:lang w:val="es-CR"/>
              </w:rPr>
              <w:t>Participación en un fondo de inversión abierto debidamente inscrito en la plaza correspondiente.</w:t>
            </w:r>
          </w:p>
        </w:tc>
        <w:tc>
          <w:tcPr>
            <w:tcW w:w="850" w:type="dxa"/>
            <w:vAlign w:val="center"/>
            <w:hideMark/>
          </w:tcPr>
          <w:p w14:paraId="082A1BC9" w14:textId="77777777" w:rsidR="008B5F96" w:rsidRPr="003B4286" w:rsidRDefault="008B5F96" w:rsidP="008B5F96">
            <w:pPr>
              <w:jc w:val="center"/>
              <w:rPr>
                <w:lang w:val="es-CR"/>
              </w:rPr>
            </w:pPr>
            <w:r w:rsidRPr="003B4286">
              <w:rPr>
                <w:lang w:val="es-CR"/>
              </w:rPr>
              <w:t>-</w:t>
            </w:r>
          </w:p>
        </w:tc>
        <w:tc>
          <w:tcPr>
            <w:tcW w:w="1276" w:type="dxa"/>
            <w:vAlign w:val="center"/>
            <w:hideMark/>
          </w:tcPr>
          <w:p w14:paraId="52789FD9" w14:textId="77777777" w:rsidR="008B5F96" w:rsidRPr="003B4286" w:rsidRDefault="008B5F96" w:rsidP="008B5F96">
            <w:pPr>
              <w:jc w:val="center"/>
              <w:rPr>
                <w:lang w:val="es-CR"/>
              </w:rPr>
            </w:pPr>
            <w:r w:rsidRPr="003B4286">
              <w:rPr>
                <w:lang w:val="es-CR"/>
              </w:rPr>
              <w:t>30%</w:t>
            </w:r>
          </w:p>
        </w:tc>
        <w:tc>
          <w:tcPr>
            <w:tcW w:w="1276" w:type="dxa"/>
            <w:vAlign w:val="center"/>
            <w:hideMark/>
          </w:tcPr>
          <w:p w14:paraId="789919A7" w14:textId="77777777" w:rsidR="008B5F96" w:rsidRPr="003B4286" w:rsidRDefault="008B5F96" w:rsidP="008B5F96">
            <w:pPr>
              <w:jc w:val="center"/>
              <w:rPr>
                <w:lang w:val="es-CR"/>
              </w:rPr>
            </w:pPr>
            <w:r w:rsidRPr="003B4286">
              <w:rPr>
                <w:lang w:val="es-CR"/>
              </w:rPr>
              <w:t>40%</w:t>
            </w:r>
          </w:p>
        </w:tc>
        <w:tc>
          <w:tcPr>
            <w:tcW w:w="1276" w:type="dxa"/>
            <w:vAlign w:val="center"/>
            <w:hideMark/>
          </w:tcPr>
          <w:p w14:paraId="247A02FF" w14:textId="77777777" w:rsidR="008B5F96" w:rsidRPr="003B4286" w:rsidRDefault="008B5F96" w:rsidP="008B5F96">
            <w:pPr>
              <w:jc w:val="center"/>
              <w:rPr>
                <w:lang w:val="es-CR"/>
              </w:rPr>
            </w:pPr>
            <w:r w:rsidRPr="003B4286">
              <w:rPr>
                <w:lang w:val="es-CR"/>
              </w:rPr>
              <w:t>50%</w:t>
            </w:r>
          </w:p>
        </w:tc>
        <w:tc>
          <w:tcPr>
            <w:tcW w:w="1559" w:type="dxa"/>
            <w:vAlign w:val="center"/>
            <w:hideMark/>
          </w:tcPr>
          <w:p w14:paraId="77D1B6B1" w14:textId="77777777" w:rsidR="008B5F96" w:rsidRPr="003B4286" w:rsidRDefault="008B5F96" w:rsidP="008B5F96">
            <w:pPr>
              <w:jc w:val="center"/>
              <w:rPr>
                <w:lang w:val="es-CR"/>
              </w:rPr>
            </w:pPr>
            <w:r w:rsidRPr="003B4286">
              <w:rPr>
                <w:lang w:val="es-CR"/>
              </w:rPr>
              <w:t>100%</w:t>
            </w:r>
          </w:p>
        </w:tc>
      </w:tr>
      <w:tr w:rsidR="008B5F96" w:rsidRPr="003B4286" w14:paraId="4C9890D5" w14:textId="77777777" w:rsidTr="003B4286">
        <w:trPr>
          <w:trHeight w:val="516"/>
        </w:trPr>
        <w:tc>
          <w:tcPr>
            <w:tcW w:w="3114" w:type="dxa"/>
            <w:hideMark/>
          </w:tcPr>
          <w:p w14:paraId="067165AE" w14:textId="77777777" w:rsidR="008B5F96" w:rsidRPr="003B4286" w:rsidRDefault="008B5F96" w:rsidP="008B5F96">
            <w:pPr>
              <w:jc w:val="both"/>
              <w:rPr>
                <w:lang w:val="es-CR"/>
              </w:rPr>
            </w:pPr>
            <w:r w:rsidRPr="003B4286">
              <w:rPr>
                <w:lang w:val="es-CR"/>
              </w:rPr>
              <w:t>Participación en un fondo de inversión cerrado debidamente inscrito en una bolsa de valores autorizada.</w:t>
            </w:r>
          </w:p>
        </w:tc>
        <w:tc>
          <w:tcPr>
            <w:tcW w:w="850" w:type="dxa"/>
            <w:vAlign w:val="center"/>
            <w:hideMark/>
          </w:tcPr>
          <w:p w14:paraId="47568A32" w14:textId="77777777" w:rsidR="008B5F96" w:rsidRPr="003B4286" w:rsidRDefault="008B5F96" w:rsidP="008B5F96">
            <w:pPr>
              <w:jc w:val="center"/>
              <w:rPr>
                <w:lang w:val="es-CR"/>
              </w:rPr>
            </w:pPr>
            <w:r w:rsidRPr="003B4286">
              <w:rPr>
                <w:lang w:val="es-CR"/>
              </w:rPr>
              <w:t>-</w:t>
            </w:r>
          </w:p>
        </w:tc>
        <w:tc>
          <w:tcPr>
            <w:tcW w:w="1276" w:type="dxa"/>
            <w:vAlign w:val="center"/>
            <w:hideMark/>
          </w:tcPr>
          <w:p w14:paraId="5E006CAA" w14:textId="77777777" w:rsidR="008B5F96" w:rsidRPr="003B4286" w:rsidRDefault="008B5F96" w:rsidP="008B5F96">
            <w:pPr>
              <w:jc w:val="center"/>
              <w:rPr>
                <w:lang w:val="es-CR"/>
              </w:rPr>
            </w:pPr>
            <w:r w:rsidRPr="003B4286">
              <w:rPr>
                <w:lang w:val="es-CR"/>
              </w:rPr>
              <w:t>30%</w:t>
            </w:r>
          </w:p>
        </w:tc>
        <w:tc>
          <w:tcPr>
            <w:tcW w:w="1276" w:type="dxa"/>
            <w:vAlign w:val="center"/>
            <w:hideMark/>
          </w:tcPr>
          <w:p w14:paraId="5155A10E" w14:textId="77777777" w:rsidR="008B5F96" w:rsidRPr="003B4286" w:rsidRDefault="008B5F96" w:rsidP="008B5F96">
            <w:pPr>
              <w:jc w:val="center"/>
              <w:rPr>
                <w:lang w:val="es-CR"/>
              </w:rPr>
            </w:pPr>
            <w:r w:rsidRPr="003B4286">
              <w:rPr>
                <w:lang w:val="es-CR"/>
              </w:rPr>
              <w:t>40%</w:t>
            </w:r>
          </w:p>
        </w:tc>
        <w:tc>
          <w:tcPr>
            <w:tcW w:w="1276" w:type="dxa"/>
            <w:vAlign w:val="center"/>
            <w:hideMark/>
          </w:tcPr>
          <w:p w14:paraId="5D10741F" w14:textId="77777777" w:rsidR="008B5F96" w:rsidRPr="003B4286" w:rsidRDefault="008B5F96" w:rsidP="008B5F96">
            <w:pPr>
              <w:jc w:val="center"/>
              <w:rPr>
                <w:lang w:val="es-CR"/>
              </w:rPr>
            </w:pPr>
            <w:r w:rsidRPr="003B4286">
              <w:rPr>
                <w:lang w:val="es-CR"/>
              </w:rPr>
              <w:t>50%</w:t>
            </w:r>
          </w:p>
        </w:tc>
        <w:tc>
          <w:tcPr>
            <w:tcW w:w="1559" w:type="dxa"/>
            <w:vAlign w:val="center"/>
            <w:hideMark/>
          </w:tcPr>
          <w:p w14:paraId="5B43A187" w14:textId="77777777" w:rsidR="008B5F96" w:rsidRPr="003B4286" w:rsidRDefault="008B5F96" w:rsidP="008B5F96">
            <w:pPr>
              <w:jc w:val="center"/>
              <w:rPr>
                <w:lang w:val="es-CR"/>
              </w:rPr>
            </w:pPr>
            <w:r w:rsidRPr="003B4286">
              <w:rPr>
                <w:lang w:val="es-CR"/>
              </w:rPr>
              <w:t>100%</w:t>
            </w:r>
          </w:p>
        </w:tc>
      </w:tr>
    </w:tbl>
    <w:p w14:paraId="13F91E96" w14:textId="77777777" w:rsidR="008B5F96" w:rsidRPr="008B5F96" w:rsidRDefault="008B5F96" w:rsidP="008B5F96">
      <w:pPr>
        <w:jc w:val="both"/>
        <w:rPr>
          <w:sz w:val="22"/>
          <w:szCs w:val="22"/>
          <w:lang w:val="es-CR"/>
        </w:rPr>
      </w:pPr>
    </w:p>
    <w:p w14:paraId="571726D9" w14:textId="77777777" w:rsidR="008B5F96" w:rsidRPr="008B5F96" w:rsidRDefault="008B5F96" w:rsidP="008B5F96">
      <w:pPr>
        <w:jc w:val="both"/>
        <w:rPr>
          <w:b/>
          <w:bCs/>
          <w:sz w:val="22"/>
          <w:szCs w:val="22"/>
          <w:lang w:val="es-CR"/>
        </w:rPr>
      </w:pPr>
      <w:r w:rsidRPr="008B5F96">
        <w:rPr>
          <w:b/>
          <w:bCs/>
          <w:sz w:val="22"/>
          <w:szCs w:val="22"/>
          <w:lang w:val="es-CR"/>
        </w:rPr>
        <w:t>Valor exigible:</w:t>
      </w:r>
    </w:p>
    <w:p w14:paraId="2E3A422D" w14:textId="77777777" w:rsidR="008B5F96" w:rsidRPr="008B5F96" w:rsidRDefault="008B5F96" w:rsidP="008B5F96">
      <w:pPr>
        <w:jc w:val="both"/>
        <w:rPr>
          <w:b/>
          <w:bCs/>
          <w:sz w:val="22"/>
          <w:szCs w:val="22"/>
          <w:lang w:val="es-CR"/>
        </w:rPr>
      </w:pPr>
    </w:p>
    <w:p w14:paraId="0C098F0B" w14:textId="77777777" w:rsidR="008B5F96" w:rsidRPr="008B5F96" w:rsidRDefault="008B5F96" w:rsidP="008B5F96">
      <w:pPr>
        <w:jc w:val="both"/>
        <w:rPr>
          <w:sz w:val="22"/>
          <w:szCs w:val="22"/>
          <w:lang w:val="es-CR"/>
        </w:rPr>
      </w:pPr>
      <w:r w:rsidRPr="008B5F96">
        <w:rPr>
          <w:sz w:val="22"/>
          <w:szCs w:val="22"/>
          <w:lang w:val="es-CR"/>
        </w:rPr>
        <w:t>En todos los casos, el monto mitigador de la garantía será igual al menor entre:</w:t>
      </w:r>
    </w:p>
    <w:p w14:paraId="65C1528A" w14:textId="77777777" w:rsidR="008B5F96" w:rsidRPr="008B5F96" w:rsidRDefault="008B5F96" w:rsidP="008B5F96">
      <w:pPr>
        <w:jc w:val="both"/>
        <w:rPr>
          <w:sz w:val="22"/>
          <w:szCs w:val="22"/>
          <w:lang w:val="es-CR"/>
        </w:rPr>
      </w:pPr>
    </w:p>
    <w:p w14:paraId="44886527"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El valor resultante de aplicar las fórmulas establecidas en el presente artículo, y</w:t>
      </w:r>
    </w:p>
    <w:p w14:paraId="3F9D6E06" w14:textId="77777777" w:rsidR="008B5F96" w:rsidRPr="008B5F96" w:rsidRDefault="008B5F96" w:rsidP="008B5F96">
      <w:pPr>
        <w:ind w:left="360"/>
        <w:contextualSpacing/>
        <w:jc w:val="both"/>
        <w:rPr>
          <w:sz w:val="22"/>
          <w:szCs w:val="22"/>
          <w:lang w:val="es-CR"/>
        </w:rPr>
      </w:pPr>
    </w:p>
    <w:p w14:paraId="1592A264"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El valor nominal garantizado de los documentos legales establecidos durante el proceso de otorgamiento del crédito.</w:t>
      </w:r>
    </w:p>
    <w:p w14:paraId="356C915F" w14:textId="77777777" w:rsidR="008B5F96" w:rsidRPr="008B5F96" w:rsidRDefault="008B5F96" w:rsidP="008B5F96">
      <w:pPr>
        <w:jc w:val="both"/>
        <w:rPr>
          <w:sz w:val="22"/>
          <w:szCs w:val="22"/>
          <w:lang w:val="es-CR"/>
        </w:rPr>
      </w:pPr>
    </w:p>
    <w:p w14:paraId="2111C873" w14:textId="77777777" w:rsidR="008B5F96" w:rsidRPr="008B5F96" w:rsidRDefault="008B5F96" w:rsidP="008B5F96">
      <w:pPr>
        <w:jc w:val="both"/>
        <w:rPr>
          <w:sz w:val="22"/>
          <w:szCs w:val="22"/>
          <w:lang w:val="es-CR"/>
        </w:rPr>
      </w:pPr>
      <w:r w:rsidRPr="008B5F96">
        <w:rPr>
          <w:sz w:val="22"/>
          <w:szCs w:val="22"/>
          <w:lang w:val="es-CR"/>
        </w:rPr>
        <w:t>Este valor tiene como finalidad asegurar que el efecto mitigador de la garantía refleje tanto la exigibilidad jurídica como la realidad económica del colateral, en concordancia con lo dispuesto en el artículo 19 sobre la certeza jurídica de la garantía.</w:t>
      </w:r>
    </w:p>
    <w:p w14:paraId="42439C93" w14:textId="77777777" w:rsidR="008B5F96" w:rsidRPr="008B5F96" w:rsidRDefault="008B5F96" w:rsidP="008B5F96">
      <w:pPr>
        <w:jc w:val="both"/>
        <w:rPr>
          <w:sz w:val="22"/>
          <w:szCs w:val="22"/>
          <w:lang w:val="es-CR"/>
        </w:rPr>
      </w:pPr>
    </w:p>
    <w:p w14:paraId="36DA811B" w14:textId="77777777" w:rsidR="008B5F96" w:rsidRPr="008B5F96" w:rsidRDefault="008B5F96" w:rsidP="008B5F96">
      <w:pPr>
        <w:jc w:val="both"/>
        <w:rPr>
          <w:b/>
          <w:bCs/>
          <w:sz w:val="22"/>
          <w:szCs w:val="22"/>
          <w:lang w:val="es-CR"/>
        </w:rPr>
      </w:pPr>
      <w:r w:rsidRPr="008B5F96">
        <w:rPr>
          <w:b/>
          <w:bCs/>
          <w:sz w:val="22"/>
          <w:szCs w:val="22"/>
          <w:lang w:val="es-CR"/>
        </w:rPr>
        <w:t>Artículo 21. LGD regulatoria para el cálculo de estimaciones</w:t>
      </w:r>
    </w:p>
    <w:p w14:paraId="7797AA25" w14:textId="77777777" w:rsidR="008B5F96" w:rsidRPr="008B5F96" w:rsidRDefault="008B5F96" w:rsidP="008B5F96">
      <w:pPr>
        <w:jc w:val="both"/>
        <w:rPr>
          <w:b/>
          <w:bCs/>
          <w:sz w:val="22"/>
          <w:szCs w:val="22"/>
          <w:lang w:val="es-CR"/>
        </w:rPr>
      </w:pPr>
    </w:p>
    <w:p w14:paraId="10673645" w14:textId="77777777" w:rsidR="008B5F96" w:rsidRPr="008B5F96" w:rsidRDefault="008B5F96" w:rsidP="008B5F96">
      <w:pPr>
        <w:jc w:val="both"/>
        <w:rPr>
          <w:sz w:val="22"/>
          <w:szCs w:val="22"/>
          <w:lang w:val="es-CR"/>
        </w:rPr>
      </w:pPr>
      <w:r w:rsidRPr="008B5F96">
        <w:rPr>
          <w:sz w:val="22"/>
          <w:szCs w:val="22"/>
          <w:lang w:val="es-CR"/>
        </w:rPr>
        <w:t>La pérdida en caso de incumplimiento a ser utilizada en el cálculo de las estimaciones específicas se determinará según la siguiente metodología:</w:t>
      </w:r>
    </w:p>
    <w:p w14:paraId="6299AD09" w14:textId="77777777" w:rsidR="008B5F96" w:rsidRPr="008B5F96" w:rsidRDefault="008B5F96" w:rsidP="008B5F96">
      <w:pPr>
        <w:jc w:val="both"/>
        <w:rPr>
          <w:sz w:val="22"/>
          <w:szCs w:val="22"/>
          <w:lang w:val="es-CR"/>
        </w:rPr>
      </w:pPr>
    </w:p>
    <w:p w14:paraId="3C902669"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En el caso de colaterales reales, tales como bienes inmuebles, la LGD regulatoria se calcula utilizando la siguiente fórmula:</w:t>
      </w:r>
    </w:p>
    <w:p w14:paraId="011E5274" w14:textId="77777777" w:rsidR="008B5F96" w:rsidRPr="008B5F96" w:rsidRDefault="008B5F96" w:rsidP="008B5F96">
      <w:pPr>
        <w:ind w:left="360"/>
        <w:contextualSpacing/>
        <w:jc w:val="both"/>
        <w:rPr>
          <w:sz w:val="22"/>
          <w:szCs w:val="22"/>
          <w:lang w:val="es-CR"/>
        </w:rPr>
      </w:pPr>
    </w:p>
    <w:p w14:paraId="034DEA7C" w14:textId="77777777" w:rsidR="008B5F96" w:rsidRPr="008B5F96" w:rsidRDefault="008B5F96" w:rsidP="008B5F96">
      <w:pPr>
        <w:ind w:firstLine="426"/>
        <w:jc w:val="both"/>
        <w:rPr>
          <w:b/>
          <w:bCs/>
          <w:sz w:val="22"/>
          <w:szCs w:val="22"/>
          <w:lang w:val="es-CR"/>
        </w:rPr>
      </w:pPr>
      <w:r w:rsidRPr="008B5F96">
        <w:rPr>
          <w:b/>
          <w:bCs/>
          <w:sz w:val="22"/>
          <w:szCs w:val="22"/>
          <w:lang w:val="es-CR"/>
        </w:rPr>
        <w:t>LGD promedio = max {(EAD</w:t>
      </w:r>
      <w:r w:rsidRPr="008B5F96">
        <w:rPr>
          <w:b/>
          <w:bCs/>
          <w:sz w:val="22"/>
          <w:szCs w:val="22"/>
          <w:vertAlign w:val="subscript"/>
          <w:lang w:val="es-CR"/>
        </w:rPr>
        <w:t>R</w:t>
      </w:r>
      <w:r w:rsidRPr="008B5F96">
        <w:rPr>
          <w:b/>
          <w:bCs/>
          <w:sz w:val="22"/>
          <w:szCs w:val="22"/>
          <w:lang w:val="es-CR"/>
        </w:rPr>
        <w:t xml:space="preserve"> – Monto mitigador garantías) / EAD</w:t>
      </w:r>
      <w:r w:rsidRPr="008B5F96">
        <w:rPr>
          <w:b/>
          <w:bCs/>
          <w:sz w:val="22"/>
          <w:szCs w:val="22"/>
          <w:vertAlign w:val="subscript"/>
          <w:lang w:val="es-CR"/>
        </w:rPr>
        <w:t>R</w:t>
      </w:r>
      <w:r w:rsidRPr="008B5F96">
        <w:rPr>
          <w:b/>
          <w:bCs/>
          <w:sz w:val="22"/>
          <w:szCs w:val="22"/>
          <w:lang w:val="es-CR"/>
        </w:rPr>
        <w:t>, 0}</w:t>
      </w:r>
    </w:p>
    <w:p w14:paraId="5F294F51" w14:textId="77777777" w:rsidR="008B5F96" w:rsidRPr="008B5F96" w:rsidRDefault="008B5F96" w:rsidP="008B5F96">
      <w:pPr>
        <w:ind w:firstLine="426"/>
        <w:jc w:val="both"/>
        <w:rPr>
          <w:b/>
          <w:bCs/>
          <w:sz w:val="22"/>
          <w:szCs w:val="22"/>
          <w:lang w:val="es-CR"/>
        </w:rPr>
      </w:pPr>
    </w:p>
    <w:p w14:paraId="4ED4CB93" w14:textId="77777777" w:rsidR="008B5F96" w:rsidRPr="008B5F96" w:rsidRDefault="008B5F96" w:rsidP="008B5F96">
      <w:pPr>
        <w:ind w:firstLine="426"/>
        <w:jc w:val="both"/>
        <w:rPr>
          <w:b/>
          <w:bCs/>
          <w:sz w:val="22"/>
          <w:szCs w:val="22"/>
          <w:lang w:val="es-CR"/>
        </w:rPr>
      </w:pPr>
      <w:r w:rsidRPr="008B5F96">
        <w:rPr>
          <w:b/>
          <w:bCs/>
          <w:sz w:val="22"/>
          <w:szCs w:val="22"/>
          <w:lang w:val="es-CR"/>
        </w:rPr>
        <w:t>LGD</w:t>
      </w:r>
      <w:r w:rsidRPr="008B5F96">
        <w:rPr>
          <w:b/>
          <w:bCs/>
          <w:sz w:val="22"/>
          <w:szCs w:val="22"/>
          <w:vertAlign w:val="subscript"/>
          <w:lang w:val="es-CR"/>
        </w:rPr>
        <w:t>R</w:t>
      </w:r>
      <w:r w:rsidRPr="008B5F96">
        <w:rPr>
          <w:b/>
          <w:bCs/>
          <w:sz w:val="22"/>
          <w:szCs w:val="22"/>
          <w:lang w:val="es-CR"/>
        </w:rPr>
        <w:t xml:space="preserve"> = LGD min + (1 – LGD min) x LGD promedio</w:t>
      </w:r>
    </w:p>
    <w:p w14:paraId="54929C45" w14:textId="77777777" w:rsidR="008B5F96" w:rsidRPr="008B5F96" w:rsidRDefault="008B5F96" w:rsidP="008B5F96">
      <w:pPr>
        <w:ind w:firstLine="426"/>
        <w:jc w:val="both"/>
        <w:rPr>
          <w:b/>
          <w:bCs/>
          <w:sz w:val="22"/>
          <w:szCs w:val="22"/>
          <w:lang w:val="es-CR"/>
        </w:rPr>
      </w:pPr>
    </w:p>
    <w:p w14:paraId="1781E30D" w14:textId="77777777" w:rsidR="008B5F96" w:rsidRPr="008B5F96" w:rsidRDefault="008B5F96" w:rsidP="008B5F96">
      <w:pPr>
        <w:ind w:firstLine="426"/>
        <w:jc w:val="both"/>
        <w:rPr>
          <w:b/>
          <w:bCs/>
          <w:sz w:val="22"/>
          <w:szCs w:val="22"/>
          <w:lang w:val="es-CR"/>
        </w:rPr>
      </w:pPr>
      <w:r w:rsidRPr="008B5F96">
        <w:rPr>
          <w:b/>
          <w:bCs/>
          <w:sz w:val="22"/>
          <w:szCs w:val="22"/>
          <w:lang w:val="es-CR"/>
        </w:rPr>
        <w:t>Donde:</w:t>
      </w:r>
    </w:p>
    <w:p w14:paraId="6CF03759" w14:textId="77777777" w:rsidR="008B5F96" w:rsidRPr="008B5F96" w:rsidRDefault="008B5F96" w:rsidP="008B5F96">
      <w:pPr>
        <w:ind w:firstLine="426"/>
        <w:jc w:val="both"/>
        <w:rPr>
          <w:b/>
          <w:bCs/>
          <w:sz w:val="22"/>
          <w:szCs w:val="22"/>
          <w:lang w:val="es-CR"/>
        </w:rPr>
      </w:pPr>
    </w:p>
    <w:p w14:paraId="56883210" w14:textId="77777777" w:rsidR="008B5F96" w:rsidRPr="008B5F96" w:rsidRDefault="008B5F96" w:rsidP="008B5F96">
      <w:pPr>
        <w:tabs>
          <w:tab w:val="left" w:pos="3544"/>
          <w:tab w:val="left" w:pos="3686"/>
        </w:tabs>
        <w:ind w:firstLine="426"/>
        <w:jc w:val="both"/>
        <w:rPr>
          <w:sz w:val="22"/>
          <w:szCs w:val="22"/>
          <w:lang w:val="es-CR"/>
        </w:rPr>
      </w:pPr>
      <w:r w:rsidRPr="008B5F96">
        <w:rPr>
          <w:b/>
          <w:bCs/>
          <w:sz w:val="22"/>
          <w:szCs w:val="22"/>
          <w:lang w:val="es-CR"/>
        </w:rPr>
        <w:t>LGD min:</w:t>
      </w:r>
      <w:r w:rsidRPr="008B5F96">
        <w:rPr>
          <w:sz w:val="22"/>
          <w:szCs w:val="22"/>
          <w:lang w:val="es-CR"/>
        </w:rPr>
        <w:t xml:space="preserve"> </w:t>
      </w:r>
      <w:r w:rsidRPr="008B5F96">
        <w:rPr>
          <w:sz w:val="22"/>
          <w:szCs w:val="22"/>
          <w:lang w:val="es-CR"/>
        </w:rPr>
        <w:tab/>
        <w:t>Valor mínimo de LGD de 10%.</w:t>
      </w:r>
    </w:p>
    <w:p w14:paraId="41F57CD5" w14:textId="77777777" w:rsidR="008B5F96" w:rsidRPr="008B5F96" w:rsidRDefault="008B5F96" w:rsidP="008B5F96">
      <w:pPr>
        <w:ind w:firstLine="426"/>
        <w:jc w:val="both"/>
        <w:rPr>
          <w:sz w:val="22"/>
          <w:szCs w:val="22"/>
          <w:lang w:val="es-CR"/>
        </w:rPr>
      </w:pPr>
    </w:p>
    <w:p w14:paraId="01C2DC3D" w14:textId="77777777" w:rsidR="008B5F96" w:rsidRPr="008B5F96" w:rsidRDefault="008B5F96" w:rsidP="008B5F96">
      <w:pPr>
        <w:tabs>
          <w:tab w:val="left" w:pos="3544"/>
        </w:tabs>
        <w:ind w:firstLine="426"/>
        <w:jc w:val="both"/>
        <w:rPr>
          <w:sz w:val="22"/>
          <w:szCs w:val="22"/>
          <w:lang w:val="es-CR"/>
        </w:rPr>
      </w:pPr>
      <w:r w:rsidRPr="008B5F96">
        <w:rPr>
          <w:b/>
          <w:bCs/>
          <w:sz w:val="22"/>
          <w:szCs w:val="22"/>
          <w:lang w:val="es-CR"/>
        </w:rPr>
        <w:t>LGD promedio:</w:t>
      </w:r>
      <w:r w:rsidRPr="008B5F96">
        <w:rPr>
          <w:sz w:val="22"/>
          <w:szCs w:val="22"/>
          <w:lang w:val="es-CR"/>
        </w:rPr>
        <w:t xml:space="preserve"> </w:t>
      </w:r>
      <w:r w:rsidRPr="008B5F96">
        <w:rPr>
          <w:sz w:val="22"/>
          <w:szCs w:val="22"/>
          <w:lang w:val="es-CR"/>
        </w:rPr>
        <w:tab/>
        <w:t>Porcentaje de la EAD que se pierde luego del incumplimiento.</w:t>
      </w:r>
    </w:p>
    <w:p w14:paraId="2B87B002" w14:textId="77777777" w:rsidR="008B5F96" w:rsidRPr="008B5F96" w:rsidRDefault="008B5F96" w:rsidP="008B5F96">
      <w:pPr>
        <w:ind w:firstLine="426"/>
        <w:jc w:val="both"/>
        <w:rPr>
          <w:sz w:val="22"/>
          <w:szCs w:val="22"/>
          <w:lang w:val="es-CR"/>
        </w:rPr>
      </w:pPr>
    </w:p>
    <w:p w14:paraId="0F77F7C7" w14:textId="77777777" w:rsidR="008B5F96" w:rsidRPr="008B5F96" w:rsidRDefault="008B5F96" w:rsidP="008B5F96">
      <w:pPr>
        <w:ind w:left="3536" w:hanging="3110"/>
        <w:jc w:val="both"/>
        <w:rPr>
          <w:sz w:val="22"/>
          <w:szCs w:val="22"/>
          <w:lang w:val="es-CR"/>
        </w:rPr>
      </w:pPr>
      <w:r w:rsidRPr="008B5F96">
        <w:rPr>
          <w:b/>
          <w:bCs/>
          <w:sz w:val="22"/>
          <w:szCs w:val="22"/>
          <w:lang w:val="es-CR"/>
        </w:rPr>
        <w:t>LGD regulatoria (LGD</w:t>
      </w:r>
      <w:r w:rsidRPr="008B5F96">
        <w:rPr>
          <w:b/>
          <w:bCs/>
          <w:sz w:val="22"/>
          <w:szCs w:val="22"/>
          <w:vertAlign w:val="subscript"/>
          <w:lang w:val="es-CR"/>
        </w:rPr>
        <w:t>R</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t>Pérdida en caso de incumplimiento a ser utilizada en el cálculo de las estimaciones específicas.</w:t>
      </w:r>
    </w:p>
    <w:p w14:paraId="08693682" w14:textId="77777777" w:rsidR="008B5F96" w:rsidRPr="008B5F96" w:rsidRDefault="008B5F96" w:rsidP="008B5F96">
      <w:pPr>
        <w:ind w:firstLine="426"/>
        <w:jc w:val="both"/>
        <w:rPr>
          <w:sz w:val="22"/>
          <w:szCs w:val="22"/>
          <w:lang w:val="es-CR"/>
        </w:rPr>
      </w:pPr>
    </w:p>
    <w:p w14:paraId="475CC8F5" w14:textId="77777777" w:rsidR="008B5F96" w:rsidRPr="008B5F96" w:rsidRDefault="008B5F96" w:rsidP="008B5F96">
      <w:pPr>
        <w:ind w:firstLine="426"/>
        <w:jc w:val="both"/>
        <w:rPr>
          <w:sz w:val="22"/>
          <w:szCs w:val="22"/>
          <w:lang w:val="es-CR"/>
        </w:rPr>
      </w:pPr>
      <w:r w:rsidRPr="008B5F96">
        <w:rPr>
          <w:b/>
          <w:bCs/>
          <w:sz w:val="22"/>
          <w:szCs w:val="22"/>
          <w:lang w:val="es-CR"/>
        </w:rPr>
        <w:t>EAD</w:t>
      </w:r>
      <w:r w:rsidRPr="008B5F96">
        <w:rPr>
          <w:b/>
          <w:bCs/>
          <w:sz w:val="22"/>
          <w:szCs w:val="22"/>
          <w:vertAlign w:val="subscript"/>
          <w:lang w:val="es-CR"/>
        </w:rPr>
        <w:t>R</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Exposición en caso de incumplimiento, regulatoria.</w:t>
      </w:r>
    </w:p>
    <w:p w14:paraId="4D962D87" w14:textId="77777777" w:rsidR="008B5F96" w:rsidRPr="008B5F96" w:rsidRDefault="008B5F96" w:rsidP="008B5F96">
      <w:pPr>
        <w:jc w:val="both"/>
        <w:rPr>
          <w:sz w:val="22"/>
          <w:szCs w:val="22"/>
          <w:lang w:val="es-CR"/>
        </w:rPr>
      </w:pPr>
    </w:p>
    <w:p w14:paraId="155D7BAC"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En el caso de colaterales financieros y otros derechos de cobro, la LGD regulatoria se calcula utilizando la siguiente fórmula:</w:t>
      </w:r>
    </w:p>
    <w:p w14:paraId="3E5E30FA" w14:textId="77777777" w:rsidR="008B5F96" w:rsidRPr="008B5F96" w:rsidRDefault="008B5F96" w:rsidP="008B5F96">
      <w:pPr>
        <w:ind w:left="360"/>
        <w:contextualSpacing/>
        <w:jc w:val="both"/>
        <w:rPr>
          <w:sz w:val="22"/>
          <w:szCs w:val="22"/>
          <w:lang w:val="es-CR"/>
        </w:rPr>
      </w:pPr>
    </w:p>
    <w:p w14:paraId="3E89C934" w14:textId="77777777" w:rsidR="008B5F96" w:rsidRPr="008B5F96" w:rsidRDefault="008B5F96" w:rsidP="008B5F96">
      <w:pPr>
        <w:ind w:left="426"/>
        <w:jc w:val="both"/>
        <w:rPr>
          <w:b/>
          <w:bCs/>
          <w:sz w:val="22"/>
          <w:szCs w:val="22"/>
          <w:lang w:val="es-CR"/>
        </w:rPr>
      </w:pPr>
      <w:r w:rsidRPr="008B5F96">
        <w:rPr>
          <w:b/>
          <w:bCs/>
          <w:sz w:val="22"/>
          <w:szCs w:val="22"/>
          <w:lang w:val="es-CR"/>
        </w:rPr>
        <w:t>LGD promedio = max {(EADR – Monto mitigador garantías) / EADR, 0}</w:t>
      </w:r>
    </w:p>
    <w:p w14:paraId="46F89653" w14:textId="77777777" w:rsidR="008B5F96" w:rsidRPr="008B5F96" w:rsidRDefault="008B5F96" w:rsidP="008B5F96">
      <w:pPr>
        <w:ind w:left="426"/>
        <w:jc w:val="both"/>
        <w:rPr>
          <w:b/>
          <w:bCs/>
          <w:sz w:val="22"/>
          <w:szCs w:val="22"/>
          <w:lang w:val="es-CR"/>
        </w:rPr>
      </w:pPr>
    </w:p>
    <w:p w14:paraId="49ABBE1A" w14:textId="77777777" w:rsidR="008B5F96" w:rsidRPr="008B5F96" w:rsidRDefault="008B5F96" w:rsidP="008B5F96">
      <w:pPr>
        <w:ind w:left="426"/>
        <w:jc w:val="both"/>
        <w:rPr>
          <w:b/>
          <w:bCs/>
          <w:sz w:val="22"/>
          <w:szCs w:val="22"/>
          <w:lang w:val="es-CR"/>
        </w:rPr>
      </w:pPr>
      <w:r w:rsidRPr="008B5F96">
        <w:rPr>
          <w:b/>
          <w:bCs/>
          <w:sz w:val="22"/>
          <w:szCs w:val="22"/>
          <w:lang w:val="es-CR"/>
        </w:rPr>
        <w:t>LGDR = LGD min + (1 – LGD min) x LGD promedio</w:t>
      </w:r>
    </w:p>
    <w:p w14:paraId="5CA8BE04" w14:textId="77777777" w:rsidR="008B5F96" w:rsidRPr="008B5F96" w:rsidRDefault="008B5F96" w:rsidP="008B5F96">
      <w:pPr>
        <w:ind w:left="426"/>
        <w:jc w:val="both"/>
        <w:rPr>
          <w:b/>
          <w:bCs/>
          <w:sz w:val="22"/>
          <w:szCs w:val="22"/>
          <w:lang w:val="es-CR"/>
        </w:rPr>
      </w:pPr>
    </w:p>
    <w:p w14:paraId="508E7FBC" w14:textId="77777777" w:rsidR="008B5F96" w:rsidRPr="008B5F96" w:rsidRDefault="008B5F96" w:rsidP="008B5F96">
      <w:pPr>
        <w:ind w:left="426"/>
        <w:jc w:val="both"/>
        <w:rPr>
          <w:b/>
          <w:bCs/>
          <w:sz w:val="22"/>
          <w:szCs w:val="22"/>
          <w:lang w:val="es-CR"/>
        </w:rPr>
      </w:pPr>
      <w:r w:rsidRPr="008B5F96">
        <w:rPr>
          <w:b/>
          <w:bCs/>
          <w:sz w:val="22"/>
          <w:szCs w:val="22"/>
          <w:lang w:val="es-CR"/>
        </w:rPr>
        <w:t>Donde:</w:t>
      </w:r>
    </w:p>
    <w:p w14:paraId="05C738CD" w14:textId="77777777" w:rsidR="008B5F96" w:rsidRPr="008B5F96" w:rsidRDefault="008B5F96" w:rsidP="008B5F96">
      <w:pPr>
        <w:ind w:left="426"/>
        <w:jc w:val="both"/>
        <w:rPr>
          <w:b/>
          <w:bCs/>
          <w:sz w:val="22"/>
          <w:szCs w:val="22"/>
          <w:lang w:val="es-CR"/>
        </w:rPr>
      </w:pPr>
    </w:p>
    <w:p w14:paraId="46DABA5C" w14:textId="77777777" w:rsidR="008B5F96" w:rsidRPr="008B5F96" w:rsidRDefault="008B5F96" w:rsidP="008B5F96">
      <w:pPr>
        <w:ind w:left="426"/>
        <w:jc w:val="both"/>
        <w:rPr>
          <w:sz w:val="22"/>
          <w:szCs w:val="22"/>
          <w:lang w:val="es-CR"/>
        </w:rPr>
      </w:pPr>
      <w:r w:rsidRPr="008B5F96">
        <w:rPr>
          <w:b/>
          <w:bCs/>
          <w:sz w:val="22"/>
          <w:szCs w:val="22"/>
          <w:lang w:val="es-CR"/>
        </w:rPr>
        <w:t>LGD min:</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Valor mínimo de LGD de 5%.</w:t>
      </w:r>
    </w:p>
    <w:p w14:paraId="502C2381" w14:textId="77777777" w:rsidR="008B5F96" w:rsidRPr="008B5F96" w:rsidRDefault="008B5F96" w:rsidP="008B5F96">
      <w:pPr>
        <w:ind w:left="426"/>
        <w:jc w:val="both"/>
        <w:rPr>
          <w:sz w:val="22"/>
          <w:szCs w:val="22"/>
          <w:lang w:val="es-CR"/>
        </w:rPr>
      </w:pPr>
    </w:p>
    <w:p w14:paraId="485ADBA9" w14:textId="77777777" w:rsidR="008B5F96" w:rsidRPr="008B5F96" w:rsidRDefault="008B5F96" w:rsidP="008B5F96">
      <w:pPr>
        <w:ind w:left="426"/>
        <w:jc w:val="both"/>
        <w:rPr>
          <w:sz w:val="22"/>
          <w:szCs w:val="22"/>
          <w:lang w:val="es-CR"/>
        </w:rPr>
      </w:pPr>
      <w:r w:rsidRPr="008B5F96">
        <w:rPr>
          <w:b/>
          <w:bCs/>
          <w:sz w:val="22"/>
          <w:szCs w:val="22"/>
          <w:lang w:val="es-CR"/>
        </w:rPr>
        <w:t>LGD promedio:</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t>Porcentaje de la EAD que se pierde luego del incumplimiento.</w:t>
      </w:r>
    </w:p>
    <w:p w14:paraId="60A9CD64" w14:textId="77777777" w:rsidR="008B5F96" w:rsidRPr="008B5F96" w:rsidRDefault="008B5F96" w:rsidP="008B5F96">
      <w:pPr>
        <w:ind w:left="426"/>
        <w:jc w:val="both"/>
        <w:rPr>
          <w:sz w:val="22"/>
          <w:szCs w:val="22"/>
          <w:lang w:val="es-CR"/>
        </w:rPr>
      </w:pPr>
    </w:p>
    <w:p w14:paraId="6D395DDA" w14:textId="77777777" w:rsidR="008B5F96" w:rsidRPr="008B5F96" w:rsidRDefault="008B5F96" w:rsidP="008B5F96">
      <w:pPr>
        <w:ind w:left="3536" w:hanging="3110"/>
        <w:jc w:val="both"/>
        <w:rPr>
          <w:sz w:val="22"/>
          <w:szCs w:val="22"/>
          <w:lang w:val="es-CR"/>
        </w:rPr>
      </w:pPr>
      <w:r w:rsidRPr="008B5F96">
        <w:rPr>
          <w:b/>
          <w:bCs/>
          <w:sz w:val="22"/>
          <w:szCs w:val="22"/>
          <w:lang w:val="es-CR"/>
        </w:rPr>
        <w:t>LGD regulatoria (LGD</w:t>
      </w:r>
      <w:r w:rsidRPr="008B5F96">
        <w:rPr>
          <w:b/>
          <w:bCs/>
          <w:sz w:val="22"/>
          <w:szCs w:val="22"/>
          <w:vertAlign w:val="subscript"/>
          <w:lang w:val="es-CR"/>
        </w:rPr>
        <w:t>R</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t>Pérdida en caso de incumplimiento a ser utilizada en el cálculo de las estimaciones específicas.</w:t>
      </w:r>
    </w:p>
    <w:p w14:paraId="4CD25CF2" w14:textId="77777777" w:rsidR="008B5F96" w:rsidRPr="008B5F96" w:rsidRDefault="008B5F96" w:rsidP="008B5F96">
      <w:pPr>
        <w:ind w:left="426" w:hanging="2830"/>
        <w:jc w:val="both"/>
        <w:rPr>
          <w:sz w:val="22"/>
          <w:szCs w:val="22"/>
          <w:lang w:val="es-CR"/>
        </w:rPr>
      </w:pPr>
    </w:p>
    <w:p w14:paraId="3D44875B" w14:textId="77777777" w:rsidR="008B5F96" w:rsidRPr="008B5F96" w:rsidRDefault="008B5F96" w:rsidP="008B5F96">
      <w:pPr>
        <w:ind w:left="426"/>
        <w:jc w:val="both"/>
        <w:rPr>
          <w:sz w:val="22"/>
          <w:szCs w:val="22"/>
          <w:lang w:val="es-CR"/>
        </w:rPr>
      </w:pPr>
      <w:r w:rsidRPr="008B5F96">
        <w:rPr>
          <w:b/>
          <w:bCs/>
          <w:sz w:val="22"/>
          <w:szCs w:val="22"/>
          <w:lang w:val="es-CR"/>
        </w:rPr>
        <w:t>EAD</w:t>
      </w:r>
      <w:r w:rsidRPr="008B5F96">
        <w:rPr>
          <w:b/>
          <w:bCs/>
          <w:sz w:val="22"/>
          <w:szCs w:val="22"/>
          <w:vertAlign w:val="subscript"/>
          <w:lang w:val="es-CR"/>
        </w:rPr>
        <w:t>R</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Exposición en caso de incumplimiento, regulatoria.</w:t>
      </w:r>
    </w:p>
    <w:p w14:paraId="090986ED" w14:textId="77777777" w:rsidR="008B5F96" w:rsidRPr="008B5F96" w:rsidRDefault="008B5F96" w:rsidP="008B5F96">
      <w:pPr>
        <w:ind w:left="426"/>
        <w:jc w:val="both"/>
        <w:rPr>
          <w:sz w:val="22"/>
          <w:szCs w:val="22"/>
          <w:lang w:val="es-CR"/>
        </w:rPr>
      </w:pPr>
    </w:p>
    <w:p w14:paraId="4D89F5E8" w14:textId="77777777" w:rsidR="008B5F96" w:rsidRPr="008B5F96" w:rsidRDefault="008B5F96" w:rsidP="008B5F96">
      <w:pPr>
        <w:ind w:left="426"/>
        <w:jc w:val="both"/>
        <w:rPr>
          <w:sz w:val="22"/>
          <w:szCs w:val="22"/>
          <w:lang w:val="es-CR"/>
        </w:rPr>
      </w:pPr>
      <w:r w:rsidRPr="008B5F96">
        <w:rPr>
          <w:sz w:val="22"/>
          <w:szCs w:val="22"/>
          <w:lang w:val="es-CR"/>
        </w:rPr>
        <w:t>El monto mitigador de garantías corresponde al calculado según el artículo 20 de este Reglamento y se determinará sobre el valor exigible de la garantía, entendido como el menor entre el valor obtenido con las fórmulas aplicables y el valor nominal garantizado en los documentos legales establecidos durante el proceso de otorgamiento del crédito.</w:t>
      </w:r>
    </w:p>
    <w:p w14:paraId="40ABADE2" w14:textId="77777777" w:rsidR="008B5F96" w:rsidRPr="008B5F96" w:rsidRDefault="008B5F96" w:rsidP="008B5F96">
      <w:pPr>
        <w:jc w:val="both"/>
        <w:rPr>
          <w:sz w:val="22"/>
          <w:szCs w:val="22"/>
          <w:lang w:val="es-CR"/>
        </w:rPr>
      </w:pPr>
    </w:p>
    <w:p w14:paraId="153A8076"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En el caso de exposiciones respaldadas por más de un tipo de mitigador, la LGD regulatoria se calculará utilizando la siguiente formula:</w:t>
      </w:r>
    </w:p>
    <w:p w14:paraId="005EDBAE" w14:textId="77777777" w:rsidR="008B5F96" w:rsidRPr="008B5F96" w:rsidRDefault="008B5F96" w:rsidP="008B5F96">
      <w:pPr>
        <w:ind w:left="360"/>
        <w:contextualSpacing/>
        <w:jc w:val="both"/>
        <w:rPr>
          <w:sz w:val="22"/>
          <w:szCs w:val="22"/>
          <w:lang w:val="es-CR"/>
        </w:rPr>
      </w:pPr>
    </w:p>
    <w:p w14:paraId="521E4726" w14:textId="77777777" w:rsidR="008B5F96" w:rsidRPr="008B5F96" w:rsidRDefault="008B5F96" w:rsidP="008B5F96">
      <w:pPr>
        <w:ind w:left="360"/>
        <w:jc w:val="both"/>
        <w:rPr>
          <w:sz w:val="22"/>
          <w:szCs w:val="22"/>
          <w:lang w:val="es-CR"/>
        </w:rPr>
      </w:pPr>
      <w:r w:rsidRPr="008B5F96">
        <w:rPr>
          <w:sz w:val="22"/>
          <w:szCs w:val="22"/>
          <w:lang w:val="es-CR"/>
        </w:rPr>
        <w:t>Cuando la operación crediticia esté respaldada por más de un tipo de colateral, la pérdida dado incumplimiento mínimo combinado (LGD mínimo combinado) se determinará conforme a lo establecido en el artículo 3, literal o). Esto se implementa mediante una distribución proporcional del monto mitigador que representa cada garantía del monto mitigador total. Para ello, se calculará el peso relativo de cada garantía sobre el total, aplicando el LGD mínimo correspondiente a su naturaleza, según lo establecido en este artículo.</w:t>
      </w:r>
    </w:p>
    <w:p w14:paraId="6E9C6BB3" w14:textId="77777777" w:rsidR="008B5F96" w:rsidRPr="008B5F96" w:rsidRDefault="008B5F96" w:rsidP="008B5F96">
      <w:pPr>
        <w:ind w:left="360"/>
        <w:jc w:val="both"/>
        <w:rPr>
          <w:sz w:val="22"/>
          <w:szCs w:val="22"/>
          <w:lang w:val="es-CR"/>
        </w:rPr>
      </w:pPr>
    </w:p>
    <w:p w14:paraId="01DC93AA" w14:textId="77777777" w:rsidR="008B5F96" w:rsidRPr="008B5F96" w:rsidRDefault="008B5F96" w:rsidP="008B5F96">
      <w:pPr>
        <w:ind w:left="360"/>
        <w:jc w:val="both"/>
        <w:rPr>
          <w:sz w:val="22"/>
          <w:szCs w:val="22"/>
          <w:lang w:val="es-CR"/>
        </w:rPr>
      </w:pPr>
      <w:r w:rsidRPr="008B5F96">
        <w:rPr>
          <w:b/>
          <w:bCs/>
          <w:sz w:val="22"/>
          <w:szCs w:val="22"/>
          <w:lang w:val="es-CR"/>
        </w:rPr>
        <w:t xml:space="preserve">LGD mínimo, combinado = </w:t>
      </w:r>
      <m:oMath>
        <m:nary>
          <m:naryPr>
            <m:chr m:val="∑"/>
            <m:limLoc m:val="subSup"/>
            <m:grow m:val="1"/>
            <m:ctrlPr>
              <w:rPr>
                <w:rFonts w:ascii="Cambria Math" w:hAnsi="Cambria Math"/>
                <w:b/>
                <w:bCs/>
                <w:sz w:val="22"/>
                <w:szCs w:val="22"/>
                <w:lang w:val="es-CR"/>
              </w:rPr>
            </m:ctrlPr>
          </m:naryPr>
          <m:sub>
            <m:r>
              <m:rPr>
                <m:sty m:val="bi"/>
              </m:rPr>
              <w:rPr>
                <w:rFonts w:ascii="Cambria Math" w:hAnsi="Cambria Math"/>
                <w:sz w:val="22"/>
                <w:szCs w:val="22"/>
                <w:lang w:val="es-CR"/>
              </w:rPr>
              <m:t>i</m:t>
            </m:r>
            <m:r>
              <m:rPr>
                <m:sty m:val="b"/>
              </m:rPr>
              <w:rPr>
                <w:rFonts w:ascii="Cambria Math" w:hAnsi="Cambria Math"/>
                <w:sz w:val="22"/>
                <w:szCs w:val="22"/>
                <w:lang w:val="es-CR"/>
              </w:rPr>
              <m:t>=</m:t>
            </m:r>
          </m:sub>
          <m:sup>
            <m:r>
              <m:rPr>
                <m:sty m:val="bi"/>
              </m:rPr>
              <w:rPr>
                <w:rFonts w:ascii="Cambria Math" w:hAnsi="Cambria Math"/>
                <w:sz w:val="22"/>
                <w:szCs w:val="22"/>
                <w:lang w:val="es-CR"/>
              </w:rPr>
              <m:t>n</m:t>
            </m:r>
          </m:sup>
          <m:e>
            <m:sSub>
              <m:sSubPr>
                <m:ctrlPr>
                  <w:rPr>
                    <w:rFonts w:ascii="Cambria Math" w:hAnsi="Cambria Math"/>
                    <w:b/>
                    <w:bCs/>
                    <w:sz w:val="22"/>
                    <w:szCs w:val="22"/>
                    <w:lang w:val="es-CR"/>
                  </w:rPr>
                </m:ctrlPr>
              </m:sSubPr>
              <m:e>
                <m:r>
                  <m:rPr>
                    <m:sty m:val="bi"/>
                  </m:rPr>
                  <w:rPr>
                    <w:rFonts w:ascii="Cambria Math" w:hAnsi="Cambria Math"/>
                    <w:sz w:val="22"/>
                    <w:szCs w:val="22"/>
                    <w:lang w:val="es-CR"/>
                  </w:rPr>
                  <m:t>w</m:t>
                </m:r>
              </m:e>
              <m:sub>
                <m:r>
                  <m:rPr>
                    <m:sty m:val="bi"/>
                  </m:rPr>
                  <w:rPr>
                    <w:rFonts w:ascii="Cambria Math" w:hAnsi="Cambria Math"/>
                    <w:sz w:val="22"/>
                    <w:szCs w:val="22"/>
                    <w:lang w:val="es-CR"/>
                  </w:rPr>
                  <m:t>i</m:t>
                </m:r>
              </m:sub>
            </m:sSub>
          </m:e>
        </m:nary>
        <m:r>
          <m:rPr>
            <m:sty m:val="b"/>
          </m:rPr>
          <w:rPr>
            <w:rFonts w:ascii="Cambria Math" w:hAnsi="Cambria Math"/>
            <w:sz w:val="22"/>
            <w:szCs w:val="22"/>
            <w:lang w:val="es-CR"/>
          </w:rPr>
          <m:t>⋅</m:t>
        </m:r>
        <m:r>
          <m:rPr>
            <m:sty m:val="bi"/>
          </m:rPr>
          <w:rPr>
            <w:rFonts w:ascii="Cambria Math" w:hAnsi="Cambria Math"/>
            <w:sz w:val="22"/>
            <w:szCs w:val="22"/>
            <w:lang w:val="es-CR"/>
          </w:rPr>
          <m:t>LGDmi</m:t>
        </m:r>
        <m:sSub>
          <m:sSubPr>
            <m:ctrlPr>
              <w:rPr>
                <w:rFonts w:ascii="Cambria Math" w:hAnsi="Cambria Math"/>
                <w:b/>
                <w:bCs/>
                <w:sz w:val="22"/>
                <w:szCs w:val="22"/>
                <w:lang w:val="es-CR"/>
              </w:rPr>
            </m:ctrlPr>
          </m:sSubPr>
          <m:e>
            <m:r>
              <m:rPr>
                <m:sty m:val="bi"/>
              </m:rPr>
              <w:rPr>
                <w:rFonts w:ascii="Cambria Math" w:hAnsi="Cambria Math"/>
                <w:sz w:val="22"/>
                <w:szCs w:val="22"/>
                <w:lang w:val="es-CR"/>
              </w:rPr>
              <m:t>n</m:t>
            </m:r>
          </m:e>
          <m:sub>
            <m:r>
              <m:rPr>
                <m:sty m:val="bi"/>
              </m:rPr>
              <w:rPr>
                <w:rFonts w:ascii="Cambria Math" w:hAnsi="Cambria Math"/>
                <w:sz w:val="22"/>
                <w:szCs w:val="22"/>
                <w:lang w:val="es-CR"/>
              </w:rPr>
              <m:t>i</m:t>
            </m:r>
          </m:sub>
        </m:sSub>
      </m:oMath>
    </w:p>
    <w:p w14:paraId="061987F3" w14:textId="77777777" w:rsidR="008B5F96" w:rsidRPr="008B5F96" w:rsidRDefault="008B5F96" w:rsidP="008B5F96">
      <w:pPr>
        <w:ind w:left="426"/>
        <w:jc w:val="both"/>
        <w:rPr>
          <w:sz w:val="22"/>
          <w:szCs w:val="22"/>
          <w:lang w:val="es-CR"/>
        </w:rPr>
      </w:pPr>
      <w:r w:rsidRPr="008B5F96">
        <w:rPr>
          <w:b/>
          <w:bCs/>
          <w:sz w:val="22"/>
          <w:szCs w:val="22"/>
          <w:lang w:val="es-CR"/>
        </w:rPr>
        <w:t>Wi =</w:t>
      </w:r>
      <w:r w:rsidRPr="008B5F96">
        <w:rPr>
          <w:sz w:val="22"/>
          <w:szCs w:val="22"/>
          <w:lang w:val="es-CR"/>
        </w:rPr>
        <w:t xml:space="preserve"> Monto mitigador i/ Monto mitigador total</w:t>
      </w:r>
    </w:p>
    <w:p w14:paraId="1C8128AF" w14:textId="77777777" w:rsidR="008B5F96" w:rsidRPr="008B5F96" w:rsidRDefault="008B5F96" w:rsidP="008B5F96">
      <w:pPr>
        <w:ind w:left="426"/>
        <w:jc w:val="both"/>
        <w:rPr>
          <w:sz w:val="22"/>
          <w:szCs w:val="22"/>
          <w:lang w:val="es-CR"/>
        </w:rPr>
      </w:pPr>
    </w:p>
    <w:p w14:paraId="22027CE9" w14:textId="77777777" w:rsidR="008B5F96" w:rsidRPr="008B5F96" w:rsidRDefault="008B5F96" w:rsidP="008B5F96">
      <w:pPr>
        <w:ind w:left="426"/>
        <w:jc w:val="both"/>
        <w:rPr>
          <w:b/>
          <w:bCs/>
          <w:sz w:val="22"/>
          <w:szCs w:val="22"/>
          <w:lang w:val="es-CR"/>
        </w:rPr>
      </w:pPr>
      <w:r w:rsidRPr="008B5F96">
        <w:rPr>
          <w:b/>
          <w:bCs/>
          <w:sz w:val="22"/>
          <w:szCs w:val="22"/>
          <w:lang w:val="es-CR"/>
        </w:rPr>
        <w:t>LGD</w:t>
      </w:r>
      <w:r w:rsidRPr="008B5F96">
        <w:rPr>
          <w:b/>
          <w:bCs/>
          <w:sz w:val="22"/>
          <w:szCs w:val="22"/>
          <w:vertAlign w:val="subscript"/>
          <w:lang w:val="es-CR"/>
        </w:rPr>
        <w:t>R</w:t>
      </w:r>
      <w:r w:rsidRPr="008B5F96">
        <w:rPr>
          <w:b/>
          <w:bCs/>
          <w:sz w:val="22"/>
          <w:szCs w:val="22"/>
          <w:lang w:val="es-CR"/>
        </w:rPr>
        <w:t xml:space="preserve"> = LGDmin,comb + (1 – LGDmin,comb) × LGD promedio</w:t>
      </w:r>
    </w:p>
    <w:p w14:paraId="547EBBD7" w14:textId="77777777" w:rsidR="008B5F96" w:rsidRPr="008B5F96" w:rsidRDefault="008B5F96" w:rsidP="008B5F96">
      <w:pPr>
        <w:ind w:left="426"/>
        <w:jc w:val="both"/>
        <w:rPr>
          <w:sz w:val="22"/>
          <w:szCs w:val="22"/>
          <w:lang w:val="es-CR"/>
        </w:rPr>
      </w:pPr>
    </w:p>
    <w:p w14:paraId="1CF90A5A" w14:textId="77777777" w:rsidR="008B5F96" w:rsidRPr="008B5F96" w:rsidRDefault="008B5F96" w:rsidP="008B5F96">
      <w:pPr>
        <w:ind w:left="426"/>
        <w:jc w:val="both"/>
        <w:rPr>
          <w:b/>
          <w:bCs/>
          <w:sz w:val="22"/>
          <w:szCs w:val="22"/>
          <w:lang w:val="es-CR"/>
        </w:rPr>
      </w:pPr>
      <w:r w:rsidRPr="008B5F96">
        <w:rPr>
          <w:b/>
          <w:bCs/>
          <w:sz w:val="22"/>
          <w:szCs w:val="22"/>
          <w:lang w:val="es-CR"/>
        </w:rPr>
        <w:t>Donde:</w:t>
      </w:r>
    </w:p>
    <w:p w14:paraId="190ED565" w14:textId="77777777" w:rsidR="008B5F96" w:rsidRPr="008B5F96" w:rsidRDefault="008B5F96" w:rsidP="008B5F96">
      <w:pPr>
        <w:ind w:left="426"/>
        <w:jc w:val="both"/>
        <w:rPr>
          <w:b/>
          <w:bCs/>
          <w:sz w:val="22"/>
          <w:szCs w:val="22"/>
          <w:lang w:val="es-CR"/>
        </w:rPr>
      </w:pPr>
    </w:p>
    <w:p w14:paraId="691D4E18" w14:textId="77777777" w:rsidR="008B5F96" w:rsidRPr="008B5F96" w:rsidRDefault="008B5F96" w:rsidP="008B5F96">
      <w:pPr>
        <w:tabs>
          <w:tab w:val="left" w:pos="3544"/>
        </w:tabs>
        <w:ind w:left="426"/>
        <w:jc w:val="both"/>
        <w:rPr>
          <w:sz w:val="22"/>
          <w:szCs w:val="22"/>
          <w:lang w:val="es-CR"/>
        </w:rPr>
      </w:pPr>
      <w:r w:rsidRPr="008B5F96">
        <w:rPr>
          <w:b/>
          <w:bCs/>
          <w:sz w:val="22"/>
          <w:szCs w:val="22"/>
          <w:lang w:val="es-CR"/>
        </w:rPr>
        <w:t>Wi:</w:t>
      </w:r>
      <w:r w:rsidRPr="008B5F96">
        <w:rPr>
          <w:sz w:val="22"/>
          <w:szCs w:val="22"/>
          <w:lang w:val="es-CR"/>
        </w:rPr>
        <w:t xml:space="preserve"> </w:t>
      </w:r>
      <w:r w:rsidRPr="008B5F96">
        <w:rPr>
          <w:sz w:val="22"/>
          <w:szCs w:val="22"/>
          <w:lang w:val="es-CR"/>
        </w:rPr>
        <w:tab/>
        <w:t xml:space="preserve">Peso relativo del monto mitigador de la garantía. </w:t>
      </w:r>
    </w:p>
    <w:p w14:paraId="2449D6B9" w14:textId="77777777" w:rsidR="008B5F96" w:rsidRPr="008B5F96" w:rsidRDefault="008B5F96" w:rsidP="008B5F96">
      <w:pPr>
        <w:ind w:left="426"/>
        <w:jc w:val="both"/>
        <w:rPr>
          <w:sz w:val="22"/>
          <w:szCs w:val="22"/>
          <w:lang w:val="es-CR"/>
        </w:rPr>
      </w:pPr>
    </w:p>
    <w:p w14:paraId="3FBF2F2E" w14:textId="77777777" w:rsidR="008B5F96" w:rsidRPr="008B5F96" w:rsidRDefault="008B5F96" w:rsidP="008B5F96">
      <w:pPr>
        <w:ind w:left="3536" w:hanging="3110"/>
        <w:jc w:val="both"/>
        <w:rPr>
          <w:sz w:val="22"/>
          <w:szCs w:val="22"/>
          <w:lang w:val="es-CR"/>
        </w:rPr>
      </w:pPr>
      <w:r w:rsidRPr="008B5F96">
        <w:rPr>
          <w:b/>
          <w:bCs/>
          <w:sz w:val="22"/>
          <w:szCs w:val="22"/>
          <w:lang w:val="es-CR"/>
        </w:rPr>
        <w:t>LGD min:</w:t>
      </w:r>
      <w:r w:rsidRPr="008B5F96">
        <w:rPr>
          <w:sz w:val="22"/>
          <w:szCs w:val="22"/>
          <w:lang w:val="es-CR"/>
        </w:rPr>
        <w:t xml:space="preserve"> </w:t>
      </w:r>
      <w:r w:rsidRPr="008B5F96">
        <w:rPr>
          <w:sz w:val="22"/>
          <w:szCs w:val="22"/>
          <w:lang w:val="es-CR"/>
        </w:rPr>
        <w:tab/>
      </w:r>
      <w:r w:rsidRPr="008B5F96">
        <w:rPr>
          <w:sz w:val="22"/>
          <w:szCs w:val="22"/>
          <w:lang w:val="es-CR"/>
        </w:rPr>
        <w:tab/>
        <w:t>Valor mínimo de la pérdida dado incumplimiento aplicable según la naturaleza del mitigador.</w:t>
      </w:r>
    </w:p>
    <w:p w14:paraId="2481C57D" w14:textId="77777777" w:rsidR="008B5F96" w:rsidRPr="008B5F96" w:rsidRDefault="008B5F96" w:rsidP="008B5F96">
      <w:pPr>
        <w:ind w:left="426"/>
        <w:jc w:val="both"/>
        <w:rPr>
          <w:sz w:val="22"/>
          <w:szCs w:val="22"/>
          <w:lang w:val="es-CR"/>
        </w:rPr>
      </w:pPr>
    </w:p>
    <w:p w14:paraId="218214B8" w14:textId="77777777" w:rsidR="008B5F96" w:rsidRPr="008B5F96" w:rsidRDefault="008B5F96" w:rsidP="008B5F96">
      <w:pPr>
        <w:ind w:left="426"/>
        <w:jc w:val="both"/>
        <w:rPr>
          <w:sz w:val="22"/>
          <w:szCs w:val="22"/>
          <w:lang w:val="es-CR"/>
        </w:rPr>
      </w:pPr>
      <w:r w:rsidRPr="008B5F96">
        <w:rPr>
          <w:b/>
          <w:bCs/>
          <w:sz w:val="22"/>
          <w:szCs w:val="22"/>
          <w:lang w:val="es-CR"/>
        </w:rPr>
        <w:t>Mit</w:t>
      </w:r>
      <w:r w:rsidRPr="008B5F96">
        <w:rPr>
          <w:b/>
          <w:bCs/>
          <w:sz w:val="22"/>
          <w:szCs w:val="22"/>
          <w:vertAlign w:val="subscript"/>
          <w:lang w:val="es-CR"/>
        </w:rPr>
        <w:t xml:space="preserve"> i</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Monto mitigador de la garantía i.</w:t>
      </w:r>
    </w:p>
    <w:p w14:paraId="16619530" w14:textId="77777777" w:rsidR="008B5F96" w:rsidRPr="008B5F96" w:rsidRDefault="008B5F96" w:rsidP="008B5F96">
      <w:pPr>
        <w:ind w:left="426"/>
        <w:jc w:val="both"/>
        <w:rPr>
          <w:sz w:val="22"/>
          <w:szCs w:val="22"/>
          <w:lang w:val="es-CR"/>
        </w:rPr>
      </w:pPr>
    </w:p>
    <w:p w14:paraId="38A50AB6" w14:textId="77777777" w:rsidR="008B5F96" w:rsidRPr="008B5F96" w:rsidRDefault="008B5F96" w:rsidP="008B5F96">
      <w:pPr>
        <w:ind w:left="426"/>
        <w:jc w:val="both"/>
        <w:rPr>
          <w:sz w:val="22"/>
          <w:szCs w:val="22"/>
          <w:lang w:val="es-CR"/>
        </w:rPr>
      </w:pPr>
      <w:r w:rsidRPr="008B5F96">
        <w:rPr>
          <w:b/>
          <w:bCs/>
          <w:sz w:val="22"/>
          <w:szCs w:val="22"/>
          <w:lang w:val="es-CR"/>
        </w:rPr>
        <w:t xml:space="preserve">Mit </w:t>
      </w:r>
      <w:r w:rsidRPr="008B5F96">
        <w:rPr>
          <w:b/>
          <w:bCs/>
          <w:sz w:val="22"/>
          <w:szCs w:val="22"/>
          <w:vertAlign w:val="subscript"/>
          <w:lang w:val="es-CR"/>
        </w:rPr>
        <w:t>total</w:t>
      </w:r>
      <w:r w:rsidRPr="008B5F96">
        <w:rPr>
          <w:b/>
          <w:bCs/>
          <w:sz w:val="22"/>
          <w:szCs w:val="22"/>
          <w:lang w:val="es-CR"/>
        </w:rPr>
        <w:t xml:space="preserve">: </w:t>
      </w:r>
      <w:r w:rsidRPr="008B5F96">
        <w:rPr>
          <w:b/>
          <w:bCs/>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Monto mitigador total.</w:t>
      </w:r>
    </w:p>
    <w:p w14:paraId="2E98AB67" w14:textId="77777777" w:rsidR="008B5F96" w:rsidRPr="008B5F96" w:rsidRDefault="008B5F96" w:rsidP="008B5F96">
      <w:pPr>
        <w:ind w:left="426"/>
        <w:jc w:val="both"/>
        <w:rPr>
          <w:sz w:val="22"/>
          <w:szCs w:val="22"/>
          <w:lang w:val="es-CR"/>
        </w:rPr>
      </w:pPr>
    </w:p>
    <w:p w14:paraId="31F46C9B" w14:textId="77777777" w:rsidR="008B5F96" w:rsidRPr="008B5F96" w:rsidRDefault="008B5F96" w:rsidP="008B5F96">
      <w:pPr>
        <w:tabs>
          <w:tab w:val="left" w:pos="3544"/>
        </w:tabs>
        <w:ind w:left="426"/>
        <w:jc w:val="both"/>
        <w:rPr>
          <w:sz w:val="22"/>
          <w:szCs w:val="22"/>
          <w:lang w:val="es-CR"/>
        </w:rPr>
      </w:pPr>
    </w:p>
    <w:p w14:paraId="08F73627" w14:textId="77777777" w:rsidR="008B5F96" w:rsidRPr="008B5F96" w:rsidRDefault="008B5F96" w:rsidP="008B5F96">
      <w:pPr>
        <w:jc w:val="both"/>
        <w:rPr>
          <w:b/>
          <w:bCs/>
          <w:sz w:val="22"/>
          <w:szCs w:val="22"/>
          <w:lang w:val="es-CR"/>
        </w:rPr>
      </w:pPr>
      <w:r w:rsidRPr="008B5F96">
        <w:rPr>
          <w:b/>
          <w:bCs/>
          <w:sz w:val="22"/>
          <w:szCs w:val="22"/>
          <w:lang w:val="es-CR"/>
        </w:rPr>
        <w:t>Artículo 22. Tratamiento para avales</w:t>
      </w:r>
    </w:p>
    <w:p w14:paraId="0EE5205B" w14:textId="77777777" w:rsidR="008B5F96" w:rsidRPr="008B5F96" w:rsidRDefault="008B5F96" w:rsidP="008B5F96">
      <w:pPr>
        <w:tabs>
          <w:tab w:val="left" w:pos="3544"/>
        </w:tabs>
        <w:jc w:val="both"/>
        <w:rPr>
          <w:b/>
          <w:bCs/>
          <w:sz w:val="22"/>
          <w:szCs w:val="22"/>
          <w:lang w:val="es-CR"/>
        </w:rPr>
      </w:pPr>
    </w:p>
    <w:p w14:paraId="071700A7" w14:textId="77777777" w:rsidR="008B5F96" w:rsidRPr="008B5F96" w:rsidRDefault="008B5F96" w:rsidP="008B5F96">
      <w:pPr>
        <w:jc w:val="both"/>
        <w:rPr>
          <w:sz w:val="22"/>
          <w:szCs w:val="22"/>
          <w:lang w:val="es-CR"/>
        </w:rPr>
      </w:pPr>
      <w:r w:rsidRPr="008B5F96">
        <w:rPr>
          <w:sz w:val="22"/>
          <w:szCs w:val="22"/>
          <w:lang w:val="es-CR"/>
        </w:rPr>
        <w:t>El efecto mitigador de los avales se aplica según el enfoque de sustitución, donde la exposición en caso de incumplimiento se separa en dos partes. La parte de la exposición cubierta por el aval será tratada según el riesgo de crédito del avalista o proveedor de protección crediticia, y la parte descubierta de la exposición será tratada según el riesgo de la operación o del deudor.</w:t>
      </w:r>
    </w:p>
    <w:p w14:paraId="1880C5FC" w14:textId="77777777" w:rsidR="008B5F96" w:rsidRPr="008B5F96" w:rsidRDefault="008B5F96" w:rsidP="008B5F96">
      <w:pPr>
        <w:jc w:val="both"/>
        <w:rPr>
          <w:sz w:val="22"/>
          <w:szCs w:val="22"/>
          <w:lang w:val="es-CR"/>
        </w:rPr>
      </w:pPr>
    </w:p>
    <w:p w14:paraId="1F381AAF"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En el caso de avales otorgados por el Fondo de Avales y Garantías del Fonade y Fodemipyme, se aplica la siguiente fórmula:</w:t>
      </w:r>
    </w:p>
    <w:p w14:paraId="46645FA6" w14:textId="77777777" w:rsidR="008B5F96" w:rsidRPr="008B5F96" w:rsidRDefault="008B5F96" w:rsidP="008B5F96">
      <w:pPr>
        <w:jc w:val="both"/>
        <w:rPr>
          <w:sz w:val="22"/>
          <w:szCs w:val="22"/>
          <w:lang w:val="es-CR"/>
        </w:rPr>
      </w:pPr>
    </w:p>
    <w:p w14:paraId="13B6465D" w14:textId="77777777" w:rsidR="008B5F96" w:rsidRPr="008B5F96" w:rsidRDefault="008B5F96" w:rsidP="008B5F96">
      <w:pPr>
        <w:ind w:left="426"/>
        <w:jc w:val="both"/>
        <w:rPr>
          <w:sz w:val="22"/>
          <w:szCs w:val="22"/>
          <w:lang w:val="es-CR"/>
        </w:rPr>
      </w:pPr>
      <w:r w:rsidRPr="008B5F96">
        <w:rPr>
          <w:b/>
          <w:bCs/>
          <w:sz w:val="22"/>
          <w:szCs w:val="22"/>
          <w:lang w:val="es-CR"/>
        </w:rPr>
        <w:t>EC_EAD</w:t>
      </w:r>
      <w:r w:rsidRPr="008B5F96">
        <w:rPr>
          <w:b/>
          <w:bCs/>
          <w:sz w:val="22"/>
          <w:szCs w:val="22"/>
          <w:vertAlign w:val="subscript"/>
          <w:lang w:val="es-CR"/>
        </w:rPr>
        <w:t>A</w:t>
      </w:r>
      <w:r w:rsidRPr="008B5F96">
        <w:rPr>
          <w:b/>
          <w:bCs/>
          <w:sz w:val="22"/>
          <w:szCs w:val="22"/>
          <w:lang w:val="es-CR"/>
        </w:rPr>
        <w:t xml:space="preserve"> = TI x </w:t>
      </w:r>
      <w:r w:rsidRPr="008B5F96">
        <w:rPr>
          <w:b/>
          <w:bCs/>
          <w:sz w:val="22"/>
          <w:szCs w:val="22"/>
          <w:lang w:val="es-CR"/>
        </w:rPr>
        <w:sym w:font="Symbol" w:char="F05B"/>
      </w:r>
      <w:r w:rsidRPr="008B5F96">
        <w:rPr>
          <w:b/>
          <w:bCs/>
          <w:sz w:val="22"/>
          <w:szCs w:val="22"/>
          <w:lang w:val="es-CR"/>
        </w:rPr>
        <w:t>EAD</w:t>
      </w:r>
      <w:r w:rsidRPr="008B5F96">
        <w:rPr>
          <w:b/>
          <w:bCs/>
          <w:sz w:val="22"/>
          <w:szCs w:val="22"/>
          <w:vertAlign w:val="subscript"/>
          <w:lang w:val="es-CR"/>
        </w:rPr>
        <w:t>R</w:t>
      </w:r>
      <w:r w:rsidRPr="008B5F96">
        <w:rPr>
          <w:b/>
          <w:bCs/>
          <w:sz w:val="22"/>
          <w:szCs w:val="22"/>
          <w:lang w:val="es-CR"/>
        </w:rPr>
        <w:t xml:space="preserve"> – M x min {EAD</w:t>
      </w:r>
      <w:r w:rsidRPr="008B5F96">
        <w:rPr>
          <w:b/>
          <w:bCs/>
          <w:sz w:val="22"/>
          <w:szCs w:val="22"/>
          <w:vertAlign w:val="subscript"/>
          <w:lang w:val="es-CR"/>
        </w:rPr>
        <w:t>R</w:t>
      </w:r>
      <w:r w:rsidRPr="008B5F96">
        <w:rPr>
          <w:b/>
          <w:bCs/>
          <w:sz w:val="22"/>
          <w:szCs w:val="22"/>
          <w:lang w:val="es-CR"/>
        </w:rPr>
        <w:t>, Monto Avalado}</w:t>
      </w:r>
      <w:r w:rsidRPr="008B5F96">
        <w:rPr>
          <w:b/>
          <w:bCs/>
          <w:sz w:val="22"/>
          <w:szCs w:val="22"/>
          <w:lang w:val="es-CR"/>
        </w:rPr>
        <w:sym w:font="Symbol" w:char="F05D"/>
      </w:r>
      <w:r w:rsidRPr="008B5F96">
        <w:rPr>
          <w:b/>
          <w:bCs/>
          <w:sz w:val="22"/>
          <w:szCs w:val="22"/>
          <w:lang w:val="es-CR"/>
        </w:rPr>
        <w:t xml:space="preserve">+ α x </w:t>
      </w:r>
      <w:r w:rsidRPr="008B5F96">
        <w:rPr>
          <w:b/>
          <w:bCs/>
          <w:sz w:val="22"/>
          <w:szCs w:val="22"/>
          <w:lang w:val="es-CR"/>
        </w:rPr>
        <w:sym w:font="Symbol" w:char="F05B"/>
      </w:r>
      <w:r w:rsidRPr="008B5F96">
        <w:rPr>
          <w:b/>
          <w:bCs/>
          <w:sz w:val="22"/>
          <w:szCs w:val="22"/>
          <w:lang w:val="es-CR"/>
        </w:rPr>
        <w:t>M x min {EAD</w:t>
      </w:r>
      <w:r w:rsidRPr="008B5F96">
        <w:rPr>
          <w:b/>
          <w:bCs/>
          <w:sz w:val="22"/>
          <w:szCs w:val="22"/>
          <w:vertAlign w:val="subscript"/>
          <w:lang w:val="es-CR"/>
        </w:rPr>
        <w:t>R</w:t>
      </w:r>
      <w:r w:rsidRPr="008B5F96">
        <w:rPr>
          <w:b/>
          <w:bCs/>
          <w:sz w:val="22"/>
          <w:szCs w:val="22"/>
          <w:lang w:val="es-CR"/>
        </w:rPr>
        <w:t>, Monto Avalado}</w:t>
      </w:r>
      <w:r w:rsidRPr="008B5F96">
        <w:rPr>
          <w:b/>
          <w:bCs/>
          <w:sz w:val="22"/>
          <w:szCs w:val="22"/>
          <w:lang w:val="es-CR"/>
        </w:rPr>
        <w:sym w:font="Symbol" w:char="F05D"/>
      </w:r>
    </w:p>
    <w:p w14:paraId="52B61635" w14:textId="77777777" w:rsidR="008B5F96" w:rsidRPr="008B5F96" w:rsidRDefault="008B5F96" w:rsidP="008B5F96">
      <w:pPr>
        <w:ind w:left="426"/>
        <w:jc w:val="both"/>
        <w:rPr>
          <w:b/>
          <w:bCs/>
          <w:sz w:val="22"/>
          <w:szCs w:val="22"/>
          <w:lang w:val="es-CR"/>
        </w:rPr>
      </w:pPr>
    </w:p>
    <w:p w14:paraId="2E7EC07A" w14:textId="77777777" w:rsidR="008B5F96" w:rsidRPr="008B5F96" w:rsidRDefault="008B5F96" w:rsidP="008B5F96">
      <w:pPr>
        <w:ind w:left="426"/>
        <w:jc w:val="both"/>
        <w:rPr>
          <w:b/>
          <w:bCs/>
          <w:sz w:val="22"/>
          <w:szCs w:val="22"/>
          <w:lang w:val="es-CR"/>
        </w:rPr>
      </w:pPr>
      <w:r w:rsidRPr="008B5F96">
        <w:rPr>
          <w:b/>
          <w:bCs/>
          <w:sz w:val="22"/>
          <w:szCs w:val="22"/>
          <w:lang w:val="es-CR"/>
        </w:rPr>
        <w:t>Donde:</w:t>
      </w:r>
    </w:p>
    <w:p w14:paraId="4FAADE43" w14:textId="77777777" w:rsidR="008B5F96" w:rsidRPr="008B5F96" w:rsidRDefault="008B5F96" w:rsidP="008B5F96">
      <w:pPr>
        <w:ind w:left="426"/>
        <w:jc w:val="both"/>
        <w:rPr>
          <w:sz w:val="22"/>
          <w:szCs w:val="22"/>
          <w:lang w:val="es-CR"/>
        </w:rPr>
      </w:pPr>
    </w:p>
    <w:p w14:paraId="691D974A" w14:textId="77777777" w:rsidR="008B5F96" w:rsidRPr="008B5F96" w:rsidRDefault="008B5F96" w:rsidP="008B5F96">
      <w:pPr>
        <w:ind w:left="3536" w:hanging="3110"/>
        <w:jc w:val="both"/>
        <w:rPr>
          <w:sz w:val="22"/>
          <w:szCs w:val="22"/>
          <w:lang w:val="es-CR"/>
        </w:rPr>
      </w:pPr>
      <w:r w:rsidRPr="008B5F96">
        <w:rPr>
          <w:b/>
          <w:bCs/>
          <w:sz w:val="22"/>
          <w:szCs w:val="22"/>
          <w:lang w:val="es-CR"/>
        </w:rPr>
        <w:t>EC_EAD</w:t>
      </w:r>
      <w:r w:rsidRPr="008B5F96">
        <w:rPr>
          <w:b/>
          <w:bCs/>
          <w:sz w:val="22"/>
          <w:szCs w:val="22"/>
          <w:vertAlign w:val="subscript"/>
          <w:lang w:val="es-CR"/>
        </w:rPr>
        <w:t>A</w:t>
      </w:r>
      <w:r w:rsidRPr="008B5F96">
        <w:rPr>
          <w:b/>
          <w:bCs/>
          <w:sz w:val="22"/>
          <w:szCs w:val="22"/>
          <w:lang w:val="es-CR"/>
        </w:rPr>
        <w:t>:</w:t>
      </w:r>
      <w:r w:rsidRPr="008B5F96">
        <w:rPr>
          <w:sz w:val="22"/>
          <w:szCs w:val="22"/>
          <w:lang w:val="es-CR"/>
        </w:rPr>
        <w:t xml:space="preserve"> </w:t>
      </w:r>
      <w:r w:rsidRPr="008B5F96">
        <w:rPr>
          <w:sz w:val="22"/>
          <w:szCs w:val="22"/>
          <w:lang w:val="es-CR"/>
        </w:rPr>
        <w:tab/>
      </w:r>
      <w:r w:rsidRPr="008B5F96">
        <w:rPr>
          <w:sz w:val="22"/>
          <w:szCs w:val="22"/>
          <w:lang w:val="es-CR"/>
        </w:rPr>
        <w:tab/>
        <w:t>Estimación crediticia para la exposición en caso de incumplimiento considerando avales, segmentada en la parte descubierta y la parte cubierta.</w:t>
      </w:r>
    </w:p>
    <w:p w14:paraId="2F41E1C1" w14:textId="77777777" w:rsidR="008B5F96" w:rsidRPr="008B5F96" w:rsidRDefault="008B5F96" w:rsidP="008B5F96">
      <w:pPr>
        <w:ind w:left="3536" w:hanging="3110"/>
        <w:jc w:val="both"/>
        <w:rPr>
          <w:sz w:val="22"/>
          <w:szCs w:val="22"/>
          <w:lang w:val="es-CR"/>
        </w:rPr>
      </w:pPr>
    </w:p>
    <w:p w14:paraId="0D7E63DC" w14:textId="77777777" w:rsidR="008B5F96" w:rsidRPr="008B5F96" w:rsidRDefault="008B5F96" w:rsidP="008B5F96">
      <w:pPr>
        <w:ind w:left="426"/>
        <w:jc w:val="both"/>
        <w:rPr>
          <w:sz w:val="22"/>
          <w:szCs w:val="22"/>
          <w:lang w:val="es-CR"/>
        </w:rPr>
      </w:pPr>
      <w:r w:rsidRPr="008B5F96">
        <w:rPr>
          <w:b/>
          <w:bCs/>
          <w:sz w:val="22"/>
          <w:szCs w:val="22"/>
          <w:lang w:val="es-CR"/>
        </w:rPr>
        <w:t>EAD</w:t>
      </w:r>
      <w:r w:rsidRPr="008B5F96">
        <w:rPr>
          <w:b/>
          <w:bCs/>
          <w:sz w:val="22"/>
          <w:szCs w:val="22"/>
          <w:vertAlign w:val="subscript"/>
          <w:lang w:val="es-CR"/>
        </w:rPr>
        <w:t>R</w:t>
      </w:r>
      <w:r w:rsidRPr="008B5F96">
        <w:rPr>
          <w:b/>
          <w:bCs/>
          <w:sz w:val="22"/>
          <w:szCs w:val="22"/>
          <w:lang w:val="es-CR"/>
        </w:rPr>
        <w:t>:</w:t>
      </w:r>
      <w:r w:rsidRPr="008B5F96">
        <w:rPr>
          <w:b/>
          <w:bCs/>
          <w:sz w:val="22"/>
          <w:szCs w:val="22"/>
          <w:lang w:val="es-CR"/>
        </w:rPr>
        <w:tab/>
      </w:r>
      <w:r w:rsidRPr="008B5F96">
        <w:rPr>
          <w:b/>
          <w:bCs/>
          <w:sz w:val="22"/>
          <w:szCs w:val="22"/>
          <w:lang w:val="es-CR"/>
        </w:rPr>
        <w:tab/>
      </w:r>
      <w:r w:rsidRPr="008B5F96">
        <w:rPr>
          <w:b/>
          <w:bCs/>
          <w:sz w:val="22"/>
          <w:szCs w:val="22"/>
          <w:lang w:val="es-CR"/>
        </w:rPr>
        <w:tab/>
      </w:r>
      <w:r w:rsidRPr="008B5F96">
        <w:rPr>
          <w:b/>
          <w:bCs/>
          <w:sz w:val="22"/>
          <w:szCs w:val="22"/>
          <w:lang w:val="es-CR"/>
        </w:rPr>
        <w:tab/>
      </w:r>
      <w:r w:rsidRPr="008B5F96">
        <w:rPr>
          <w:sz w:val="22"/>
          <w:szCs w:val="22"/>
          <w:lang w:val="es-CR"/>
        </w:rPr>
        <w:t>Exposición en caso de incumplimiento, regulatoria.</w:t>
      </w:r>
    </w:p>
    <w:p w14:paraId="44C9B1FC" w14:textId="77777777" w:rsidR="008B5F96" w:rsidRPr="008B5F96" w:rsidRDefault="008B5F96" w:rsidP="008B5F96">
      <w:pPr>
        <w:ind w:left="426"/>
        <w:jc w:val="both"/>
        <w:rPr>
          <w:sz w:val="22"/>
          <w:szCs w:val="22"/>
          <w:lang w:val="es-CR"/>
        </w:rPr>
      </w:pPr>
    </w:p>
    <w:p w14:paraId="08BDD9D5" w14:textId="77777777" w:rsidR="008B5F96" w:rsidRPr="008B5F96" w:rsidRDefault="008B5F96" w:rsidP="008B5F96">
      <w:pPr>
        <w:ind w:left="3536" w:hanging="3110"/>
        <w:jc w:val="both"/>
        <w:rPr>
          <w:sz w:val="22"/>
          <w:szCs w:val="22"/>
          <w:lang w:val="es-CR"/>
        </w:rPr>
      </w:pPr>
      <w:r w:rsidRPr="008B5F96">
        <w:rPr>
          <w:b/>
          <w:bCs/>
          <w:sz w:val="22"/>
          <w:szCs w:val="22"/>
          <w:lang w:val="es-CR"/>
        </w:rPr>
        <w:t>M:</w:t>
      </w:r>
      <w:r w:rsidRPr="008B5F96">
        <w:rPr>
          <w:sz w:val="22"/>
          <w:szCs w:val="22"/>
          <w:lang w:val="es-CR"/>
        </w:rPr>
        <w:t xml:space="preserve"> </w:t>
      </w:r>
      <w:r w:rsidRPr="008B5F96">
        <w:rPr>
          <w:sz w:val="22"/>
          <w:szCs w:val="22"/>
          <w:lang w:val="es-CR"/>
        </w:rPr>
        <w:tab/>
      </w:r>
      <w:r w:rsidRPr="008B5F96">
        <w:rPr>
          <w:sz w:val="22"/>
          <w:szCs w:val="22"/>
          <w:lang w:val="es-CR"/>
        </w:rPr>
        <w:tab/>
        <w:t>Porcentaje de mitigación que corresponda al porcentaje de cobertura de cada fondo, según se indica a continuación:</w:t>
      </w:r>
    </w:p>
    <w:p w14:paraId="765A6637" w14:textId="77777777" w:rsidR="008B5F96" w:rsidRPr="008B5F96" w:rsidRDefault="008B5F96" w:rsidP="008B5F96">
      <w:pPr>
        <w:ind w:left="3536" w:hanging="3110"/>
        <w:jc w:val="both"/>
        <w:rPr>
          <w:sz w:val="22"/>
          <w:szCs w:val="22"/>
          <w:lang w:val="es-CR"/>
        </w:rPr>
      </w:pPr>
    </w:p>
    <w:p w14:paraId="051041C6" w14:textId="77777777" w:rsidR="008B5F96" w:rsidRPr="008B5F96" w:rsidRDefault="008B5F96" w:rsidP="008B5F96">
      <w:pPr>
        <w:ind w:left="720" w:hanging="360"/>
        <w:jc w:val="both"/>
        <w:rPr>
          <w:sz w:val="22"/>
          <w:szCs w:val="22"/>
          <w:lang w:val="es-CR"/>
        </w:rPr>
      </w:pPr>
      <w:r w:rsidRPr="008B5F96">
        <w:rPr>
          <w:sz w:val="22"/>
          <w:szCs w:val="22"/>
          <w:lang w:val="es-CR"/>
        </w:rPr>
        <w:t>1)</w:t>
      </w:r>
      <w:r w:rsidRPr="008B5F96">
        <w:rPr>
          <w:sz w:val="22"/>
          <w:szCs w:val="22"/>
          <w:lang w:val="es-CR"/>
        </w:rPr>
        <w:tab/>
        <w:t>Cuando el porcentaje de cobertura es mayor o igual a 100%, se debe utilizar como máximo un porcentaje de mitigación del 100%.</w:t>
      </w:r>
    </w:p>
    <w:p w14:paraId="5BB7EAB9" w14:textId="77777777" w:rsidR="008B5F96" w:rsidRPr="008B5F96" w:rsidRDefault="008B5F96" w:rsidP="008B5F96">
      <w:pPr>
        <w:ind w:left="720"/>
        <w:contextualSpacing/>
        <w:jc w:val="both"/>
        <w:rPr>
          <w:sz w:val="22"/>
          <w:szCs w:val="22"/>
          <w:lang w:val="es-CR"/>
        </w:rPr>
      </w:pPr>
    </w:p>
    <w:p w14:paraId="39B491FA" w14:textId="77777777" w:rsidR="008B5F96" w:rsidRPr="008B5F96" w:rsidRDefault="008B5F96" w:rsidP="008B5F96">
      <w:pPr>
        <w:ind w:left="720" w:hanging="360"/>
        <w:jc w:val="both"/>
        <w:rPr>
          <w:sz w:val="22"/>
          <w:szCs w:val="22"/>
          <w:lang w:val="es-CR"/>
        </w:rPr>
      </w:pPr>
      <w:r w:rsidRPr="008B5F96">
        <w:rPr>
          <w:sz w:val="22"/>
          <w:szCs w:val="22"/>
          <w:lang w:val="es-CR"/>
        </w:rPr>
        <w:t>2)</w:t>
      </w:r>
      <w:r w:rsidRPr="008B5F96">
        <w:rPr>
          <w:sz w:val="22"/>
          <w:szCs w:val="22"/>
          <w:lang w:val="es-CR"/>
        </w:rPr>
        <w:tab/>
        <w:t>Cuando el porcentaje de cobertura es menor a 100%, se utilizará como porcentaje de mitigación el porcentaje de cobertura.</w:t>
      </w:r>
    </w:p>
    <w:p w14:paraId="5F50E455" w14:textId="77777777" w:rsidR="008B5F96" w:rsidRPr="008B5F96" w:rsidRDefault="008B5F96" w:rsidP="008B5F96">
      <w:pPr>
        <w:ind w:left="720"/>
        <w:contextualSpacing/>
        <w:rPr>
          <w:sz w:val="22"/>
          <w:szCs w:val="22"/>
          <w:lang w:val="es-CR"/>
        </w:rPr>
      </w:pPr>
    </w:p>
    <w:p w14:paraId="3D5479C7" w14:textId="77777777" w:rsidR="008B5F96" w:rsidRPr="008B5F96" w:rsidRDefault="008B5F96" w:rsidP="008B5F96">
      <w:pPr>
        <w:ind w:left="360"/>
        <w:jc w:val="both"/>
        <w:rPr>
          <w:sz w:val="22"/>
          <w:szCs w:val="22"/>
          <w:lang w:val="es-CR"/>
        </w:rPr>
      </w:pPr>
      <w:r w:rsidRPr="008B5F96">
        <w:rPr>
          <w:sz w:val="22"/>
          <w:szCs w:val="22"/>
          <w:lang w:val="es-CR"/>
        </w:rPr>
        <w:t>El porcentaje de cobertura se obtiene de dividir el efectivo más el valor de las inversiones que respaldan los avales emitidos, entre el monto nominal total de avales emitidos.</w:t>
      </w:r>
    </w:p>
    <w:p w14:paraId="6CD0AC85" w14:textId="77777777" w:rsidR="008B5F96" w:rsidRPr="008B5F96" w:rsidRDefault="008B5F96" w:rsidP="008B5F96">
      <w:pPr>
        <w:ind w:left="360"/>
        <w:jc w:val="both"/>
        <w:rPr>
          <w:sz w:val="22"/>
          <w:szCs w:val="22"/>
          <w:lang w:val="es-CR"/>
        </w:rPr>
      </w:pPr>
    </w:p>
    <w:p w14:paraId="1C77535E" w14:textId="77777777" w:rsidR="008B5F96" w:rsidRPr="008B5F96" w:rsidRDefault="008B5F96" w:rsidP="008B5F96">
      <w:pPr>
        <w:ind w:left="360"/>
        <w:jc w:val="both"/>
        <w:rPr>
          <w:sz w:val="22"/>
          <w:szCs w:val="22"/>
          <w:lang w:val="es-CR"/>
        </w:rPr>
      </w:pPr>
      <w:r w:rsidRPr="008B5F96">
        <w:rPr>
          <w:b/>
          <w:bCs/>
          <w:sz w:val="22"/>
          <w:szCs w:val="22"/>
          <w:lang w:val="es-CR"/>
        </w:rPr>
        <w:t>TI:</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Tasa de incumplimiento del deudor u operación.</w:t>
      </w:r>
    </w:p>
    <w:p w14:paraId="28C60A1A" w14:textId="77777777" w:rsidR="008B5F96" w:rsidRPr="008B5F96" w:rsidRDefault="008B5F96" w:rsidP="008B5F96">
      <w:pPr>
        <w:ind w:left="360"/>
        <w:jc w:val="both"/>
        <w:rPr>
          <w:sz w:val="22"/>
          <w:szCs w:val="22"/>
          <w:lang w:val="es-CR"/>
        </w:rPr>
      </w:pPr>
    </w:p>
    <w:p w14:paraId="507E4FD3" w14:textId="77777777" w:rsidR="008B5F96" w:rsidRPr="008B5F96" w:rsidRDefault="008B5F96" w:rsidP="008B5F96">
      <w:pPr>
        <w:tabs>
          <w:tab w:val="left" w:pos="3544"/>
        </w:tabs>
        <w:ind w:left="3540" w:hanging="3180"/>
        <w:jc w:val="both"/>
        <w:rPr>
          <w:sz w:val="22"/>
          <w:szCs w:val="22"/>
          <w:lang w:val="es-CR"/>
        </w:rPr>
      </w:pPr>
      <w:r w:rsidRPr="008B5F96">
        <w:rPr>
          <w:b/>
          <w:bCs/>
          <w:sz w:val="22"/>
          <w:szCs w:val="22"/>
          <w:lang w:val="es-CR"/>
        </w:rPr>
        <w:t>α:</w:t>
      </w:r>
      <w:r w:rsidRPr="008B5F96">
        <w:rPr>
          <w:sz w:val="22"/>
          <w:szCs w:val="22"/>
          <w:lang w:val="es-CR"/>
        </w:rPr>
        <w:tab/>
      </w:r>
      <w:r w:rsidRPr="008B5F96">
        <w:rPr>
          <w:sz w:val="22"/>
          <w:szCs w:val="22"/>
          <w:lang w:val="es-CR"/>
        </w:rPr>
        <w:tab/>
        <w:t>Porcentaje de estimación mínimo establecido en Acuerdo Sugef 15-16.</w:t>
      </w:r>
    </w:p>
    <w:p w14:paraId="18C93D54"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En el caso de carta de crédito Stand-By emitida por entidad financiera, se aplica la siguiente fórmula:</w:t>
      </w:r>
    </w:p>
    <w:p w14:paraId="7B4273AA" w14:textId="77777777" w:rsidR="008B5F96" w:rsidRPr="008B5F96" w:rsidRDefault="008B5F96" w:rsidP="008B5F96">
      <w:pPr>
        <w:jc w:val="both"/>
        <w:rPr>
          <w:sz w:val="22"/>
          <w:szCs w:val="22"/>
          <w:lang w:val="es-CR"/>
        </w:rPr>
      </w:pPr>
    </w:p>
    <w:p w14:paraId="3F5C2AC8" w14:textId="77777777" w:rsidR="008B5F96" w:rsidRPr="008B5F96" w:rsidRDefault="008B5F96" w:rsidP="008B5F96">
      <w:pPr>
        <w:ind w:left="360"/>
        <w:jc w:val="both"/>
        <w:rPr>
          <w:sz w:val="22"/>
          <w:szCs w:val="22"/>
          <w:lang w:val="es-CR"/>
        </w:rPr>
      </w:pPr>
      <w:r w:rsidRPr="008B5F96">
        <w:rPr>
          <w:b/>
          <w:bCs/>
          <w:sz w:val="22"/>
          <w:szCs w:val="22"/>
          <w:lang w:val="es-CR"/>
        </w:rPr>
        <w:t>EC_EAD</w:t>
      </w:r>
      <w:r w:rsidRPr="008B5F96">
        <w:rPr>
          <w:b/>
          <w:bCs/>
          <w:sz w:val="22"/>
          <w:szCs w:val="22"/>
          <w:vertAlign w:val="subscript"/>
          <w:lang w:val="es-CR"/>
        </w:rPr>
        <w:t>STBY</w:t>
      </w:r>
      <w:r w:rsidRPr="008B5F96">
        <w:rPr>
          <w:b/>
          <w:bCs/>
          <w:sz w:val="22"/>
          <w:szCs w:val="22"/>
          <w:lang w:val="es-CR"/>
        </w:rPr>
        <w:t>=TI x [ EAD</w:t>
      </w:r>
      <w:r w:rsidRPr="008B5F96">
        <w:rPr>
          <w:b/>
          <w:bCs/>
          <w:sz w:val="22"/>
          <w:szCs w:val="22"/>
          <w:vertAlign w:val="subscript"/>
          <w:lang w:val="es-CR"/>
        </w:rPr>
        <w:t>R</w:t>
      </w:r>
      <w:r w:rsidRPr="008B5F96">
        <w:rPr>
          <w:b/>
          <w:bCs/>
          <w:sz w:val="22"/>
          <w:szCs w:val="22"/>
          <w:lang w:val="es-CR"/>
        </w:rPr>
        <w:t xml:space="preserve"> - 90% x min</w:t>
      </w:r>
      <w:r w:rsidRPr="008B5F96">
        <w:rPr>
          <w:b/>
          <w:bCs/>
          <w:sz w:val="22"/>
          <w:szCs w:val="22"/>
          <w:lang w:val="es-CR"/>
        </w:rPr>
        <w:sym w:font="Symbol" w:char="F07B"/>
      </w:r>
      <w:r w:rsidRPr="008B5F96">
        <w:rPr>
          <w:b/>
          <w:bCs/>
          <w:sz w:val="22"/>
          <w:szCs w:val="22"/>
          <w:lang w:val="es-CR"/>
        </w:rPr>
        <w:t xml:space="preserve"> EAD</w:t>
      </w:r>
      <w:r w:rsidRPr="008B5F96">
        <w:rPr>
          <w:b/>
          <w:bCs/>
          <w:sz w:val="22"/>
          <w:szCs w:val="22"/>
          <w:vertAlign w:val="subscript"/>
          <w:lang w:val="es-CR"/>
        </w:rPr>
        <w:t>R</w:t>
      </w:r>
      <w:r w:rsidRPr="008B5F96">
        <w:rPr>
          <w:b/>
          <w:bCs/>
          <w:sz w:val="22"/>
          <w:szCs w:val="22"/>
          <w:lang w:val="es-CR"/>
        </w:rPr>
        <w:t xml:space="preserve"> , Monto Avalado</w:t>
      </w:r>
      <w:r w:rsidRPr="008B5F96">
        <w:rPr>
          <w:b/>
          <w:bCs/>
          <w:sz w:val="22"/>
          <w:szCs w:val="22"/>
          <w:lang w:val="es-CR"/>
        </w:rPr>
        <w:sym w:font="Symbol" w:char="F07D"/>
      </w:r>
      <w:r w:rsidRPr="008B5F96">
        <w:rPr>
          <w:b/>
          <w:bCs/>
          <w:sz w:val="22"/>
          <w:szCs w:val="22"/>
          <w:lang w:val="es-CR"/>
        </w:rPr>
        <w:t xml:space="preserve">] + γ x [ 90% x min </w:t>
      </w:r>
      <w:r w:rsidRPr="008B5F96">
        <w:rPr>
          <w:b/>
          <w:bCs/>
          <w:sz w:val="22"/>
          <w:szCs w:val="22"/>
          <w:lang w:val="es-CR"/>
        </w:rPr>
        <w:sym w:font="Symbol" w:char="F07B"/>
      </w:r>
      <w:r w:rsidRPr="008B5F96">
        <w:rPr>
          <w:b/>
          <w:bCs/>
          <w:sz w:val="22"/>
          <w:szCs w:val="22"/>
          <w:lang w:val="es-CR"/>
        </w:rPr>
        <w:t xml:space="preserve"> EAD</w:t>
      </w:r>
      <w:r w:rsidRPr="008B5F96">
        <w:rPr>
          <w:b/>
          <w:bCs/>
          <w:sz w:val="22"/>
          <w:szCs w:val="22"/>
          <w:vertAlign w:val="subscript"/>
          <w:lang w:val="es-CR"/>
        </w:rPr>
        <w:t>R</w:t>
      </w:r>
      <w:r w:rsidRPr="008B5F96">
        <w:rPr>
          <w:b/>
          <w:bCs/>
          <w:sz w:val="22"/>
          <w:szCs w:val="22"/>
          <w:lang w:val="es-CR"/>
        </w:rPr>
        <w:t xml:space="preserve"> , Monto Avalado</w:t>
      </w:r>
      <w:r w:rsidRPr="008B5F96">
        <w:rPr>
          <w:b/>
          <w:bCs/>
          <w:sz w:val="22"/>
          <w:szCs w:val="22"/>
          <w:lang w:val="es-CR"/>
        </w:rPr>
        <w:sym w:font="Symbol" w:char="F07D"/>
      </w:r>
      <w:r w:rsidRPr="008B5F96">
        <w:rPr>
          <w:b/>
          <w:bCs/>
          <w:sz w:val="22"/>
          <w:szCs w:val="22"/>
          <w:lang w:val="es-CR"/>
        </w:rPr>
        <w:t>]</w:t>
      </w:r>
    </w:p>
    <w:p w14:paraId="4DE21565" w14:textId="77777777" w:rsidR="008B5F96" w:rsidRPr="008B5F96" w:rsidRDefault="008B5F96" w:rsidP="008B5F96">
      <w:pPr>
        <w:jc w:val="both"/>
        <w:rPr>
          <w:sz w:val="22"/>
          <w:szCs w:val="22"/>
          <w:lang w:val="es-CR"/>
        </w:rPr>
      </w:pPr>
    </w:p>
    <w:p w14:paraId="755B9C41" w14:textId="77777777" w:rsidR="008B5F96" w:rsidRPr="008B5F96" w:rsidRDefault="008B5F96" w:rsidP="008B5F96">
      <w:pPr>
        <w:ind w:left="426"/>
        <w:jc w:val="both"/>
        <w:rPr>
          <w:b/>
          <w:bCs/>
          <w:sz w:val="22"/>
          <w:szCs w:val="22"/>
          <w:lang w:val="es-CR"/>
        </w:rPr>
      </w:pPr>
      <w:r w:rsidRPr="008B5F96">
        <w:rPr>
          <w:b/>
          <w:bCs/>
          <w:sz w:val="22"/>
          <w:szCs w:val="22"/>
          <w:lang w:val="es-CR"/>
        </w:rPr>
        <w:t>Donde:</w:t>
      </w:r>
    </w:p>
    <w:p w14:paraId="56865E47" w14:textId="77777777" w:rsidR="008B5F96" w:rsidRPr="008B5F96" w:rsidRDefault="008B5F96" w:rsidP="008B5F96">
      <w:pPr>
        <w:ind w:left="426"/>
        <w:jc w:val="both"/>
        <w:rPr>
          <w:b/>
          <w:bCs/>
          <w:sz w:val="22"/>
          <w:szCs w:val="22"/>
          <w:lang w:val="es-CR"/>
        </w:rPr>
      </w:pPr>
    </w:p>
    <w:p w14:paraId="7BDB9C96" w14:textId="77777777" w:rsidR="008B5F96" w:rsidRPr="008B5F96" w:rsidRDefault="008B5F96" w:rsidP="008B5F96">
      <w:pPr>
        <w:ind w:left="3536" w:hanging="3110"/>
        <w:jc w:val="both"/>
        <w:rPr>
          <w:sz w:val="22"/>
          <w:szCs w:val="22"/>
          <w:lang w:val="es-CR"/>
        </w:rPr>
      </w:pPr>
      <w:r w:rsidRPr="008B5F96">
        <w:rPr>
          <w:b/>
          <w:bCs/>
          <w:sz w:val="22"/>
          <w:szCs w:val="22"/>
          <w:lang w:val="es-CR"/>
        </w:rPr>
        <w:t>EC_EAD</w:t>
      </w:r>
      <w:r w:rsidRPr="008B5F96">
        <w:rPr>
          <w:b/>
          <w:bCs/>
          <w:sz w:val="22"/>
          <w:szCs w:val="22"/>
          <w:vertAlign w:val="subscript"/>
          <w:lang w:val="es-CR"/>
        </w:rPr>
        <w:t>STBY</w:t>
      </w:r>
      <w:r w:rsidRPr="008B5F96">
        <w:rPr>
          <w:b/>
          <w:bCs/>
          <w:sz w:val="22"/>
          <w:szCs w:val="22"/>
          <w:lang w:val="es-CR"/>
        </w:rPr>
        <w:t>:</w:t>
      </w:r>
      <w:r w:rsidRPr="008B5F96">
        <w:rPr>
          <w:b/>
          <w:bCs/>
          <w:sz w:val="22"/>
          <w:szCs w:val="22"/>
          <w:lang w:val="es-CR"/>
        </w:rPr>
        <w:tab/>
      </w:r>
      <w:r w:rsidRPr="008B5F96">
        <w:rPr>
          <w:b/>
          <w:bCs/>
          <w:sz w:val="22"/>
          <w:szCs w:val="22"/>
          <w:lang w:val="es-CR"/>
        </w:rPr>
        <w:tab/>
      </w:r>
      <w:r w:rsidRPr="008B5F96">
        <w:rPr>
          <w:sz w:val="22"/>
          <w:szCs w:val="22"/>
          <w:lang w:val="es-CR"/>
        </w:rPr>
        <w:t>Estimación crediticia para la exposición en caso de incumplimiento considerando cartas de crédito Stand-by, segmentada en la parte descubierta y la parte cubierta.</w:t>
      </w:r>
    </w:p>
    <w:p w14:paraId="33131BAE" w14:textId="77777777" w:rsidR="008B5F96" w:rsidRPr="008B5F96" w:rsidRDefault="008B5F96" w:rsidP="008B5F96">
      <w:pPr>
        <w:ind w:left="426"/>
        <w:jc w:val="both"/>
        <w:rPr>
          <w:sz w:val="22"/>
          <w:szCs w:val="22"/>
          <w:lang w:val="es-CR"/>
        </w:rPr>
      </w:pPr>
    </w:p>
    <w:p w14:paraId="7F19BF58" w14:textId="77777777" w:rsidR="008B5F96" w:rsidRPr="008B5F96" w:rsidRDefault="008B5F96" w:rsidP="008B5F96">
      <w:pPr>
        <w:ind w:left="426"/>
        <w:jc w:val="both"/>
        <w:rPr>
          <w:sz w:val="22"/>
          <w:szCs w:val="22"/>
          <w:lang w:val="es-CR"/>
        </w:rPr>
      </w:pPr>
      <w:r w:rsidRPr="008B5F96">
        <w:rPr>
          <w:b/>
          <w:bCs/>
          <w:sz w:val="22"/>
          <w:szCs w:val="22"/>
          <w:lang w:val="es-CR"/>
        </w:rPr>
        <w:t>EAD</w:t>
      </w:r>
      <w:r w:rsidRPr="008B5F96">
        <w:rPr>
          <w:b/>
          <w:bCs/>
          <w:sz w:val="22"/>
          <w:szCs w:val="22"/>
          <w:vertAlign w:val="subscript"/>
          <w:lang w:val="es-CR"/>
        </w:rPr>
        <w:t>R</w:t>
      </w:r>
      <w:r w:rsidRPr="008B5F96">
        <w:rPr>
          <w:b/>
          <w:bCs/>
          <w:sz w:val="22"/>
          <w:szCs w:val="22"/>
          <w:lang w:val="es-CR"/>
        </w:rPr>
        <w:t>:</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Exposición en caso de incumplimiento, regulatoria.</w:t>
      </w:r>
    </w:p>
    <w:p w14:paraId="19CE8AB5" w14:textId="77777777" w:rsidR="008B5F96" w:rsidRPr="008B5F96" w:rsidRDefault="008B5F96" w:rsidP="008B5F96">
      <w:pPr>
        <w:ind w:left="426"/>
        <w:jc w:val="both"/>
        <w:rPr>
          <w:sz w:val="22"/>
          <w:szCs w:val="22"/>
          <w:lang w:val="es-CR"/>
        </w:rPr>
      </w:pPr>
    </w:p>
    <w:p w14:paraId="23ABFF6C" w14:textId="77777777" w:rsidR="008B5F96" w:rsidRPr="008B5F96" w:rsidRDefault="008B5F96" w:rsidP="008B5F96">
      <w:pPr>
        <w:ind w:left="426"/>
        <w:jc w:val="both"/>
        <w:rPr>
          <w:sz w:val="22"/>
          <w:szCs w:val="22"/>
          <w:lang w:val="es-CR"/>
        </w:rPr>
      </w:pPr>
      <w:r w:rsidRPr="008B5F96">
        <w:rPr>
          <w:b/>
          <w:bCs/>
          <w:sz w:val="22"/>
          <w:szCs w:val="22"/>
          <w:lang w:val="es-CR"/>
        </w:rPr>
        <w:t>TI:</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Tasa de incumplimiento del deudor u operación.</w:t>
      </w:r>
    </w:p>
    <w:p w14:paraId="18729885" w14:textId="77777777" w:rsidR="008B5F96" w:rsidRPr="008B5F96" w:rsidRDefault="008B5F96" w:rsidP="008B5F96">
      <w:pPr>
        <w:ind w:left="426"/>
        <w:jc w:val="both"/>
        <w:rPr>
          <w:sz w:val="22"/>
          <w:szCs w:val="22"/>
          <w:lang w:val="es-CR"/>
        </w:rPr>
      </w:pPr>
    </w:p>
    <w:p w14:paraId="7F51E853" w14:textId="77777777" w:rsidR="008B5F96" w:rsidRPr="008B5F96" w:rsidRDefault="008B5F96" w:rsidP="008B5F96">
      <w:pPr>
        <w:ind w:left="426"/>
        <w:jc w:val="both"/>
        <w:rPr>
          <w:sz w:val="22"/>
          <w:szCs w:val="22"/>
          <w:lang w:val="es-CR"/>
        </w:rPr>
      </w:pPr>
      <w:r w:rsidRPr="008B5F96">
        <w:rPr>
          <w:b/>
          <w:bCs/>
          <w:sz w:val="22"/>
          <w:szCs w:val="22"/>
          <w:lang w:val="es-CR"/>
        </w:rPr>
        <w:t>γ:</w:t>
      </w:r>
      <w:r w:rsidRPr="008B5F96">
        <w:rPr>
          <w:sz w:val="22"/>
          <w:szCs w:val="22"/>
          <w:lang w:val="es-CR"/>
        </w:rPr>
        <w:t xml:space="preserve"> </w:t>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r>
      <w:r w:rsidRPr="008B5F96">
        <w:rPr>
          <w:sz w:val="22"/>
          <w:szCs w:val="22"/>
          <w:lang w:val="es-CR"/>
        </w:rPr>
        <w:tab/>
        <w:t>Corresponde al porcentaje indicado en las siguientes tablas.</w:t>
      </w:r>
    </w:p>
    <w:p w14:paraId="41B4AB0D" w14:textId="77777777" w:rsidR="008B5F96" w:rsidRPr="008B5F96" w:rsidRDefault="008B5F96" w:rsidP="008B5F96">
      <w:pPr>
        <w:ind w:left="426"/>
        <w:jc w:val="both"/>
        <w:rPr>
          <w:sz w:val="22"/>
          <w:szCs w:val="22"/>
          <w:lang w:val="es-CR"/>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967"/>
        <w:gridCol w:w="1281"/>
        <w:gridCol w:w="1134"/>
        <w:gridCol w:w="992"/>
        <w:gridCol w:w="2552"/>
      </w:tblGrid>
      <w:tr w:rsidR="008B5F96" w:rsidRPr="00323F18" w14:paraId="4BF6DB09" w14:textId="77777777" w:rsidTr="008B5F96">
        <w:trPr>
          <w:trHeight w:val="212"/>
          <w:jc w:val="center"/>
        </w:trPr>
        <w:tc>
          <w:tcPr>
            <w:tcW w:w="2967" w:type="dxa"/>
            <w:tcBorders>
              <w:top w:val="single" w:sz="4" w:space="0" w:color="auto"/>
              <w:left w:val="single" w:sz="4" w:space="0" w:color="auto"/>
              <w:bottom w:val="single" w:sz="4" w:space="0" w:color="auto"/>
              <w:right w:val="single" w:sz="4" w:space="0" w:color="auto"/>
            </w:tcBorders>
            <w:shd w:val="clear" w:color="auto" w:fill="657C9C"/>
            <w:tcMar>
              <w:top w:w="72" w:type="dxa"/>
              <w:left w:w="144" w:type="dxa"/>
              <w:bottom w:w="72" w:type="dxa"/>
              <w:right w:w="144" w:type="dxa"/>
            </w:tcMar>
            <w:vAlign w:val="center"/>
            <w:hideMark/>
          </w:tcPr>
          <w:p w14:paraId="4B12DBE7" w14:textId="77777777" w:rsidR="008B5F96" w:rsidRPr="00323F18" w:rsidRDefault="008B5F96" w:rsidP="008B5F96">
            <w:pPr>
              <w:jc w:val="center"/>
              <w:rPr>
                <w:color w:val="FFFFFF"/>
                <w:lang w:val="es-CR"/>
              </w:rPr>
            </w:pPr>
            <w:r w:rsidRPr="00323F18">
              <w:rPr>
                <w:b/>
                <w:bCs/>
                <w:color w:val="FFFFFF"/>
                <w:lang w:val="es-CR"/>
              </w:rPr>
              <w:t>INSTRUMENTO MITIGADOR</w:t>
            </w:r>
          </w:p>
        </w:tc>
        <w:tc>
          <w:tcPr>
            <w:tcW w:w="5959" w:type="dxa"/>
            <w:gridSpan w:val="4"/>
            <w:tcBorders>
              <w:top w:val="single" w:sz="4" w:space="0" w:color="auto"/>
              <w:left w:val="single" w:sz="4" w:space="0" w:color="auto"/>
              <w:bottom w:val="single" w:sz="4" w:space="0" w:color="auto"/>
              <w:right w:val="single" w:sz="4" w:space="0" w:color="auto"/>
            </w:tcBorders>
            <w:shd w:val="clear" w:color="auto" w:fill="657C9C"/>
            <w:tcMar>
              <w:top w:w="72" w:type="dxa"/>
              <w:left w:w="144" w:type="dxa"/>
              <w:bottom w:w="72" w:type="dxa"/>
              <w:right w:w="144" w:type="dxa"/>
            </w:tcMar>
            <w:vAlign w:val="center"/>
            <w:hideMark/>
          </w:tcPr>
          <w:p w14:paraId="2D8B0004" w14:textId="77777777" w:rsidR="008B5F96" w:rsidRPr="00323F18" w:rsidRDefault="008B5F96" w:rsidP="008B5F96">
            <w:pPr>
              <w:jc w:val="center"/>
              <w:rPr>
                <w:b/>
                <w:bCs/>
                <w:color w:val="FFFFFF"/>
                <w:lang w:val="es-CR"/>
              </w:rPr>
            </w:pPr>
            <w:r w:rsidRPr="00323F18">
              <w:rPr>
                <w:b/>
                <w:bCs/>
                <w:color w:val="FFFFFF"/>
                <w:lang w:val="es-CR"/>
              </w:rPr>
              <w:t xml:space="preserve">CARTA DE CRÉDITO </w:t>
            </w:r>
            <w:r w:rsidRPr="00323F18">
              <w:rPr>
                <w:b/>
                <w:bCs/>
                <w:i/>
                <w:iCs/>
                <w:color w:val="FFFFFF"/>
                <w:lang w:val="es-CR"/>
              </w:rPr>
              <w:t xml:space="preserve">STAND-BY </w:t>
            </w:r>
            <w:r w:rsidRPr="00323F18">
              <w:rPr>
                <w:b/>
                <w:bCs/>
                <w:color w:val="FFFFFF"/>
                <w:lang w:val="es-CR"/>
              </w:rPr>
              <w:t>EMITIDA POR</w:t>
            </w:r>
          </w:p>
          <w:p w14:paraId="488C5DCA" w14:textId="77777777" w:rsidR="008B5F96" w:rsidRPr="00323F18" w:rsidRDefault="008B5F96" w:rsidP="008B5F96">
            <w:pPr>
              <w:jc w:val="center"/>
              <w:rPr>
                <w:color w:val="FFFFFF"/>
                <w:lang w:val="es-CR"/>
              </w:rPr>
            </w:pPr>
            <w:r w:rsidRPr="00323F18">
              <w:rPr>
                <w:b/>
                <w:bCs/>
                <w:color w:val="FFFFFF"/>
                <w:lang w:val="es-CR"/>
              </w:rPr>
              <w:t>ENTIDAD FINANCIERA INTERNACIONAL</w:t>
            </w:r>
          </w:p>
        </w:tc>
      </w:tr>
      <w:tr w:rsidR="008B5F96" w:rsidRPr="00323F18" w14:paraId="26F6EAA1" w14:textId="77777777" w:rsidTr="00FB5A1A">
        <w:trPr>
          <w:trHeight w:val="464"/>
          <w:jc w:val="center"/>
        </w:trPr>
        <w:tc>
          <w:tcPr>
            <w:tcW w:w="29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83DBB24" w14:textId="77777777" w:rsidR="008B5F96" w:rsidRPr="00323F18" w:rsidRDefault="008B5F96" w:rsidP="008B5F96">
            <w:pPr>
              <w:jc w:val="both"/>
              <w:rPr>
                <w:lang w:val="es-CR"/>
              </w:rPr>
            </w:pPr>
            <w:r w:rsidRPr="00323F18">
              <w:rPr>
                <w:lang w:val="es-CR"/>
              </w:rPr>
              <w:t>Calificación emitida por agencia calificadora internacional</w:t>
            </w:r>
          </w:p>
        </w:tc>
        <w:tc>
          <w:tcPr>
            <w:tcW w:w="1281"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34129DF" w14:textId="77777777" w:rsidR="008B5F96" w:rsidRPr="00323F18" w:rsidRDefault="008B5F96" w:rsidP="008B5F96">
            <w:pPr>
              <w:rPr>
                <w:lang w:val="es-CR"/>
              </w:rPr>
            </w:pPr>
            <w:r w:rsidRPr="00323F18">
              <w:rPr>
                <w:lang w:val="en-US"/>
              </w:rPr>
              <w:t>AAA a BBB-</w:t>
            </w:r>
          </w:p>
        </w:tc>
        <w:tc>
          <w:tcPr>
            <w:tcW w:w="113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5F02908" w14:textId="77777777" w:rsidR="008B5F96" w:rsidRPr="00323F18" w:rsidRDefault="008B5F96" w:rsidP="008B5F96">
            <w:pPr>
              <w:rPr>
                <w:lang w:val="es-CR"/>
              </w:rPr>
            </w:pPr>
            <w:r w:rsidRPr="00323F18">
              <w:rPr>
                <w:lang w:val="en-US"/>
              </w:rPr>
              <w:t>BB+ a BB-</w:t>
            </w:r>
          </w:p>
        </w:tc>
        <w:tc>
          <w:tcPr>
            <w:tcW w:w="992"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962C34A" w14:textId="77777777" w:rsidR="008B5F96" w:rsidRPr="00323F18" w:rsidRDefault="008B5F96" w:rsidP="008B5F96">
            <w:pPr>
              <w:rPr>
                <w:lang w:val="es-CR"/>
              </w:rPr>
            </w:pPr>
            <w:r w:rsidRPr="00323F18">
              <w:rPr>
                <w:lang w:val="en-US"/>
              </w:rPr>
              <w:t>B+ a B-</w:t>
            </w:r>
          </w:p>
        </w:tc>
        <w:tc>
          <w:tcPr>
            <w:tcW w:w="2552"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CEACE3E" w14:textId="77777777" w:rsidR="008B5F96" w:rsidRPr="00323F18" w:rsidRDefault="008B5F96" w:rsidP="008B5F96">
            <w:pPr>
              <w:rPr>
                <w:lang w:val="es-CR"/>
              </w:rPr>
            </w:pPr>
            <w:r w:rsidRPr="00323F18">
              <w:rPr>
                <w:lang w:val="es-CR"/>
              </w:rPr>
              <w:t>CCC o peor, o no calificado</w:t>
            </w:r>
          </w:p>
        </w:tc>
      </w:tr>
      <w:tr w:rsidR="008B5F96" w:rsidRPr="00323F18" w14:paraId="39353EAC" w14:textId="77777777" w:rsidTr="00FB5A1A">
        <w:trPr>
          <w:trHeight w:val="280"/>
          <w:jc w:val="center"/>
        </w:trPr>
        <w:tc>
          <w:tcPr>
            <w:tcW w:w="29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993EE9D" w14:textId="77777777" w:rsidR="008B5F96" w:rsidRPr="00323F18" w:rsidRDefault="008B5F96" w:rsidP="008B5F96">
            <w:pPr>
              <w:rPr>
                <w:lang w:val="es-CR"/>
              </w:rPr>
            </w:pPr>
            <w:r w:rsidRPr="00323F18">
              <w:rPr>
                <w:lang w:val="es-CR"/>
              </w:rPr>
              <w:t xml:space="preserve">Factor </w:t>
            </w:r>
            <w:r w:rsidRPr="00323F18">
              <w:rPr>
                <w:b/>
                <w:bCs/>
                <w:i/>
                <w:iCs/>
                <w:lang w:val="es-CR"/>
              </w:rPr>
              <w:t>γ</w:t>
            </w:r>
          </w:p>
        </w:tc>
        <w:tc>
          <w:tcPr>
            <w:tcW w:w="1281"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B35EBDA" w14:textId="77777777" w:rsidR="008B5F96" w:rsidRPr="00323F18" w:rsidRDefault="008B5F96" w:rsidP="008B5F96">
            <w:pPr>
              <w:jc w:val="center"/>
              <w:rPr>
                <w:lang w:val="es-CR"/>
              </w:rPr>
            </w:pPr>
            <w:r w:rsidRPr="00323F18">
              <w:rPr>
                <w:lang w:val="en-US"/>
              </w:rPr>
              <w:t>0,5%</w:t>
            </w:r>
          </w:p>
        </w:tc>
        <w:tc>
          <w:tcPr>
            <w:tcW w:w="113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A5FCD7" w14:textId="77777777" w:rsidR="008B5F96" w:rsidRPr="00323F18" w:rsidRDefault="008B5F96" w:rsidP="008B5F96">
            <w:pPr>
              <w:jc w:val="center"/>
              <w:rPr>
                <w:lang w:val="es-CR"/>
              </w:rPr>
            </w:pPr>
            <w:r w:rsidRPr="00323F18">
              <w:rPr>
                <w:lang w:val="en-US"/>
              </w:rPr>
              <w:t>5%</w:t>
            </w:r>
          </w:p>
        </w:tc>
        <w:tc>
          <w:tcPr>
            <w:tcW w:w="992"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E1744A" w14:textId="77777777" w:rsidR="008B5F96" w:rsidRPr="00323F18" w:rsidRDefault="008B5F96" w:rsidP="008B5F96">
            <w:pPr>
              <w:jc w:val="center"/>
              <w:rPr>
                <w:lang w:val="es-CR"/>
              </w:rPr>
            </w:pPr>
            <w:r w:rsidRPr="00323F18">
              <w:rPr>
                <w:lang w:val="en-US"/>
              </w:rPr>
              <w:t>10%</w:t>
            </w:r>
          </w:p>
        </w:tc>
        <w:tc>
          <w:tcPr>
            <w:tcW w:w="2552"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436E67E" w14:textId="77777777" w:rsidR="008B5F96" w:rsidRPr="00323F18" w:rsidRDefault="008B5F96" w:rsidP="008B5F96">
            <w:pPr>
              <w:jc w:val="center"/>
              <w:rPr>
                <w:lang w:val="es-CR"/>
              </w:rPr>
            </w:pPr>
            <w:r w:rsidRPr="00323F18">
              <w:rPr>
                <w:lang w:val="en-US"/>
              </w:rPr>
              <w:t>100%</w:t>
            </w:r>
          </w:p>
        </w:tc>
      </w:tr>
      <w:tr w:rsidR="008B5F96" w:rsidRPr="00323F18" w14:paraId="37D8BF00" w14:textId="77777777" w:rsidTr="008B5F96">
        <w:trPr>
          <w:trHeight w:val="280"/>
          <w:jc w:val="center"/>
        </w:trPr>
        <w:tc>
          <w:tcPr>
            <w:tcW w:w="2967" w:type="dxa"/>
            <w:tcBorders>
              <w:top w:val="single" w:sz="4" w:space="0" w:color="auto"/>
              <w:left w:val="single" w:sz="4" w:space="0" w:color="auto"/>
              <w:bottom w:val="single" w:sz="4" w:space="0" w:color="auto"/>
              <w:right w:val="single" w:sz="4" w:space="0" w:color="auto"/>
            </w:tcBorders>
            <w:shd w:val="clear" w:color="auto" w:fill="657C9C"/>
            <w:tcMar>
              <w:top w:w="72" w:type="dxa"/>
              <w:left w:w="144" w:type="dxa"/>
              <w:bottom w:w="72" w:type="dxa"/>
              <w:right w:w="144" w:type="dxa"/>
            </w:tcMar>
            <w:vAlign w:val="center"/>
          </w:tcPr>
          <w:p w14:paraId="4AB23097" w14:textId="77777777" w:rsidR="008B5F96" w:rsidRPr="00323F18" w:rsidRDefault="008B5F96" w:rsidP="008B5F96">
            <w:pPr>
              <w:jc w:val="center"/>
              <w:rPr>
                <w:b/>
                <w:bCs/>
                <w:color w:val="FFFFFF"/>
                <w:lang w:val="es-CR"/>
              </w:rPr>
            </w:pPr>
            <w:r w:rsidRPr="00323F18">
              <w:rPr>
                <w:b/>
                <w:bCs/>
                <w:color w:val="FFFFFF"/>
                <w:lang w:val="es-CR"/>
              </w:rPr>
              <w:t>INSTRUMENTO MITIGADOR</w:t>
            </w:r>
          </w:p>
        </w:tc>
        <w:tc>
          <w:tcPr>
            <w:tcW w:w="5959" w:type="dxa"/>
            <w:gridSpan w:val="4"/>
            <w:tcBorders>
              <w:top w:val="single" w:sz="4" w:space="0" w:color="auto"/>
              <w:left w:val="single" w:sz="4" w:space="0" w:color="auto"/>
              <w:bottom w:val="single" w:sz="4" w:space="0" w:color="auto"/>
              <w:right w:val="single" w:sz="4" w:space="0" w:color="auto"/>
            </w:tcBorders>
            <w:shd w:val="clear" w:color="auto" w:fill="657C9C"/>
            <w:tcMar>
              <w:top w:w="72" w:type="dxa"/>
              <w:left w:w="144" w:type="dxa"/>
              <w:bottom w:w="72" w:type="dxa"/>
              <w:right w:w="144" w:type="dxa"/>
            </w:tcMar>
            <w:vAlign w:val="center"/>
          </w:tcPr>
          <w:p w14:paraId="30FEDE1C" w14:textId="77777777" w:rsidR="008B5F96" w:rsidRPr="00323F18" w:rsidRDefault="008B5F96" w:rsidP="008B5F96">
            <w:pPr>
              <w:jc w:val="center"/>
              <w:rPr>
                <w:b/>
                <w:bCs/>
                <w:color w:val="FFFFFF"/>
                <w:lang w:val="es-CR"/>
              </w:rPr>
            </w:pPr>
            <w:r w:rsidRPr="00323F18">
              <w:rPr>
                <w:b/>
                <w:bCs/>
                <w:color w:val="FFFFFF"/>
                <w:lang w:val="es-CR"/>
              </w:rPr>
              <w:t xml:space="preserve">CARTA DE CRÉDITO </w:t>
            </w:r>
            <w:r w:rsidRPr="00323F18">
              <w:rPr>
                <w:b/>
                <w:bCs/>
                <w:i/>
                <w:iCs/>
                <w:color w:val="FFFFFF"/>
                <w:lang w:val="es-CR"/>
              </w:rPr>
              <w:t>STAND-BY</w:t>
            </w:r>
            <w:r w:rsidRPr="00323F18">
              <w:rPr>
                <w:b/>
                <w:bCs/>
                <w:color w:val="FFFFFF"/>
                <w:lang w:val="es-CR"/>
              </w:rPr>
              <w:t xml:space="preserve"> EMITIDA POR</w:t>
            </w:r>
          </w:p>
          <w:p w14:paraId="3C9B9610" w14:textId="77777777" w:rsidR="008B5F96" w:rsidRPr="00323F18" w:rsidRDefault="008B5F96" w:rsidP="008B5F96">
            <w:pPr>
              <w:jc w:val="center"/>
              <w:rPr>
                <w:b/>
                <w:bCs/>
                <w:color w:val="FFFFFF"/>
                <w:lang w:val="es-CR"/>
              </w:rPr>
            </w:pPr>
            <w:r w:rsidRPr="00323F18">
              <w:rPr>
                <w:b/>
                <w:bCs/>
                <w:color w:val="FFFFFF"/>
                <w:lang w:val="es-CR"/>
              </w:rPr>
              <w:t>ENTIDAD FINANCIERA SUPERVISADA POR SUGEF</w:t>
            </w:r>
          </w:p>
        </w:tc>
      </w:tr>
      <w:tr w:rsidR="008B5F96" w:rsidRPr="00323F18" w14:paraId="7D4DC055" w14:textId="77777777" w:rsidTr="008B5F96">
        <w:trPr>
          <w:trHeight w:val="280"/>
          <w:jc w:val="center"/>
        </w:trPr>
        <w:tc>
          <w:tcPr>
            <w:tcW w:w="296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11243F04" w14:textId="77777777" w:rsidR="008B5F96" w:rsidRPr="00323F18" w:rsidRDefault="008B5F96" w:rsidP="008B5F96">
            <w:pPr>
              <w:rPr>
                <w:lang w:val="es-CR"/>
              </w:rPr>
            </w:pPr>
            <w:r w:rsidRPr="00323F18">
              <w:rPr>
                <w:lang w:val="es-CR"/>
              </w:rPr>
              <w:t>Calificación emitida por agencia calificadora internacional</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36923207" w14:textId="77777777" w:rsidR="008B5F96" w:rsidRPr="00323F18" w:rsidRDefault="008B5F96" w:rsidP="008B5F96">
            <w:pPr>
              <w:rPr>
                <w:lang w:val="es-CR"/>
              </w:rPr>
            </w:pPr>
            <w:r w:rsidRPr="00323F18">
              <w:rPr>
                <w:lang w:val="en-US"/>
              </w:rPr>
              <w:t>AAA a BBB-</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21960B84" w14:textId="77777777" w:rsidR="008B5F96" w:rsidRPr="00323F18" w:rsidRDefault="008B5F96" w:rsidP="008B5F96">
            <w:pPr>
              <w:rPr>
                <w:lang w:val="es-CR"/>
              </w:rPr>
            </w:pPr>
            <w:r w:rsidRPr="00323F18">
              <w:rPr>
                <w:lang w:val="en-US"/>
              </w:rPr>
              <w:t>BB+ a BB-</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144479AF" w14:textId="77777777" w:rsidR="008B5F96" w:rsidRPr="00323F18" w:rsidRDefault="008B5F96" w:rsidP="008B5F96">
            <w:pPr>
              <w:rPr>
                <w:lang w:val="es-CR"/>
              </w:rPr>
            </w:pPr>
            <w:r w:rsidRPr="00323F18">
              <w:rPr>
                <w:lang w:val="en-US"/>
              </w:rPr>
              <w:t>B+ a B-</w:t>
            </w:r>
          </w:p>
        </w:tc>
        <w:tc>
          <w:tcPr>
            <w:tcW w:w="2552"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21FCE0EE" w14:textId="77777777" w:rsidR="008B5F96" w:rsidRPr="00323F18" w:rsidRDefault="008B5F96" w:rsidP="008B5F96">
            <w:pPr>
              <w:rPr>
                <w:lang w:val="es-CR"/>
              </w:rPr>
            </w:pPr>
            <w:r w:rsidRPr="00323F18">
              <w:rPr>
                <w:lang w:val="es-CR"/>
              </w:rPr>
              <w:t>CCC o peor, o no calificado</w:t>
            </w:r>
          </w:p>
        </w:tc>
      </w:tr>
      <w:tr w:rsidR="008B5F96" w:rsidRPr="00323F18" w14:paraId="7047485C" w14:textId="77777777" w:rsidTr="008B5F96">
        <w:trPr>
          <w:trHeight w:val="280"/>
          <w:jc w:val="center"/>
        </w:trPr>
        <w:tc>
          <w:tcPr>
            <w:tcW w:w="296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2AD86DB9" w14:textId="77777777" w:rsidR="008B5F96" w:rsidRPr="00323F18" w:rsidRDefault="008B5F96" w:rsidP="008B5F96">
            <w:pPr>
              <w:rPr>
                <w:lang w:val="es-CR"/>
              </w:rPr>
            </w:pPr>
            <w:r w:rsidRPr="00323F18">
              <w:rPr>
                <w:lang w:val="es-CR"/>
              </w:rPr>
              <w:t xml:space="preserve">Factor </w:t>
            </w:r>
            <w:r w:rsidRPr="00323F18">
              <w:rPr>
                <w:b/>
                <w:bCs/>
                <w:i/>
                <w:iCs/>
                <w:lang w:val="es-CR"/>
              </w:rPr>
              <w:t>γ</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4BF61AF6" w14:textId="77777777" w:rsidR="008B5F96" w:rsidRPr="00323F18" w:rsidRDefault="008B5F96" w:rsidP="008B5F96">
            <w:pPr>
              <w:jc w:val="center"/>
              <w:rPr>
                <w:lang w:val="es-CR"/>
              </w:rPr>
            </w:pPr>
            <w:r w:rsidRPr="00323F18">
              <w:rPr>
                <w:lang w:val="es-C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3B753785" w14:textId="77777777" w:rsidR="008B5F96" w:rsidRPr="00323F18" w:rsidRDefault="008B5F96" w:rsidP="008B5F96">
            <w:pPr>
              <w:jc w:val="center"/>
              <w:rPr>
                <w:lang w:val="es-CR"/>
              </w:rPr>
            </w:pPr>
            <w:r w:rsidRPr="00323F18">
              <w:rPr>
                <w:lang w:val="es-CR"/>
              </w:rPr>
              <w:t>7,5%</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1ADFAF3A" w14:textId="77777777" w:rsidR="008B5F96" w:rsidRPr="00323F18" w:rsidRDefault="008B5F96" w:rsidP="008B5F96">
            <w:pPr>
              <w:jc w:val="center"/>
              <w:rPr>
                <w:lang w:val="es-CR"/>
              </w:rPr>
            </w:pPr>
            <w:r w:rsidRPr="00323F18">
              <w:rPr>
                <w:lang w:val="es-CR"/>
              </w:rPr>
              <w:t>15%</w:t>
            </w:r>
          </w:p>
        </w:tc>
        <w:tc>
          <w:tcPr>
            <w:tcW w:w="2552"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tcPr>
          <w:p w14:paraId="1252099B" w14:textId="77777777" w:rsidR="008B5F96" w:rsidRPr="00323F18" w:rsidRDefault="008B5F96" w:rsidP="008B5F96">
            <w:pPr>
              <w:jc w:val="center"/>
              <w:rPr>
                <w:lang w:val="es-CR"/>
              </w:rPr>
            </w:pPr>
            <w:r w:rsidRPr="00323F18">
              <w:rPr>
                <w:lang w:val="es-CR"/>
              </w:rPr>
              <w:t>100%</w:t>
            </w:r>
          </w:p>
        </w:tc>
      </w:tr>
    </w:tbl>
    <w:p w14:paraId="24C93BBE" w14:textId="77777777" w:rsidR="008B5F96" w:rsidRPr="008B5F96" w:rsidRDefault="008B5F96" w:rsidP="008B5F96">
      <w:pPr>
        <w:jc w:val="center"/>
        <w:rPr>
          <w:b/>
          <w:bCs/>
          <w:sz w:val="22"/>
          <w:szCs w:val="22"/>
          <w:lang w:val="es-CR"/>
        </w:rPr>
      </w:pPr>
    </w:p>
    <w:p w14:paraId="5705A1CB" w14:textId="77777777" w:rsidR="008B5F96" w:rsidRPr="008B5F96" w:rsidRDefault="008B5F96" w:rsidP="008B5F96">
      <w:pPr>
        <w:jc w:val="center"/>
        <w:rPr>
          <w:b/>
          <w:bCs/>
          <w:sz w:val="22"/>
          <w:szCs w:val="22"/>
          <w:lang w:val="es-CR"/>
        </w:rPr>
      </w:pPr>
      <w:r w:rsidRPr="008B5F96">
        <w:rPr>
          <w:b/>
          <w:bCs/>
          <w:sz w:val="22"/>
          <w:szCs w:val="22"/>
          <w:lang w:val="es-CR"/>
        </w:rPr>
        <w:t>SECCIÓN IV</w:t>
      </w:r>
    </w:p>
    <w:p w14:paraId="0E1CC450" w14:textId="77777777" w:rsidR="008B5F96" w:rsidRPr="008B5F96" w:rsidRDefault="008B5F96" w:rsidP="008B5F96">
      <w:pPr>
        <w:jc w:val="center"/>
        <w:rPr>
          <w:b/>
          <w:bCs/>
          <w:sz w:val="22"/>
          <w:szCs w:val="22"/>
          <w:lang w:val="es-CR"/>
        </w:rPr>
      </w:pPr>
    </w:p>
    <w:p w14:paraId="00A3E332" w14:textId="77777777" w:rsidR="008B5F96" w:rsidRPr="008B5F96" w:rsidRDefault="008B5F96" w:rsidP="008B5F96">
      <w:pPr>
        <w:jc w:val="center"/>
        <w:rPr>
          <w:b/>
          <w:bCs/>
          <w:sz w:val="22"/>
          <w:szCs w:val="22"/>
          <w:lang w:val="es-CR"/>
        </w:rPr>
      </w:pPr>
      <w:r w:rsidRPr="008B5F96">
        <w:rPr>
          <w:b/>
          <w:bCs/>
          <w:sz w:val="22"/>
          <w:szCs w:val="22"/>
          <w:lang w:val="es-CR"/>
        </w:rPr>
        <w:t>TRATAMIENTO CONTABLE DE LAS ESTIMACIONES</w:t>
      </w:r>
    </w:p>
    <w:p w14:paraId="2A4F9622" w14:textId="77777777" w:rsidR="008B5F96" w:rsidRPr="008B5F96" w:rsidRDefault="008B5F96" w:rsidP="008B5F96">
      <w:pPr>
        <w:jc w:val="center"/>
        <w:rPr>
          <w:b/>
          <w:bCs/>
          <w:sz w:val="22"/>
          <w:szCs w:val="22"/>
          <w:lang w:val="es-CR"/>
        </w:rPr>
      </w:pPr>
    </w:p>
    <w:p w14:paraId="4A3F6D32" w14:textId="77777777" w:rsidR="008B5F96" w:rsidRPr="008B5F96" w:rsidRDefault="008B5F96" w:rsidP="008B5F96">
      <w:pPr>
        <w:jc w:val="both"/>
        <w:rPr>
          <w:b/>
          <w:bCs/>
          <w:sz w:val="22"/>
          <w:szCs w:val="22"/>
          <w:lang w:val="es-CR"/>
        </w:rPr>
      </w:pPr>
      <w:r w:rsidRPr="008B5F96">
        <w:rPr>
          <w:b/>
          <w:bCs/>
          <w:sz w:val="22"/>
          <w:szCs w:val="22"/>
          <w:lang w:val="es-CR"/>
        </w:rPr>
        <w:t>Artículo 23. Tratamiento contable de las estimaciones por riesgo de crédito bajo el modelo estándar</w:t>
      </w:r>
    </w:p>
    <w:p w14:paraId="7E4CEA25" w14:textId="77777777" w:rsidR="008B5F96" w:rsidRPr="008B5F96" w:rsidRDefault="008B5F96" w:rsidP="008B5F96">
      <w:pPr>
        <w:jc w:val="both"/>
        <w:rPr>
          <w:b/>
          <w:bCs/>
          <w:sz w:val="22"/>
          <w:szCs w:val="22"/>
          <w:lang w:val="es-CR"/>
        </w:rPr>
      </w:pPr>
    </w:p>
    <w:p w14:paraId="67BF80D4" w14:textId="77777777" w:rsidR="008B5F96" w:rsidRPr="008B5F96" w:rsidRDefault="008B5F96" w:rsidP="008B5F96">
      <w:pPr>
        <w:jc w:val="both"/>
        <w:rPr>
          <w:sz w:val="22"/>
          <w:szCs w:val="22"/>
          <w:lang w:val="es-CR"/>
        </w:rPr>
      </w:pPr>
      <w:r w:rsidRPr="008B5F96">
        <w:rPr>
          <w:sz w:val="22"/>
          <w:szCs w:val="22"/>
          <w:lang w:val="es-CR"/>
        </w:rPr>
        <w:t>Las entidades que utilicen el modelo estándar deben mantener registrado contablemente, con contrapartida en la cuenta de resultados y en forma individualizada en sus libros, al cierre de cada mes, como mínimo, el monto de la estimación a la que hace referencia el artículo 14 de este Reglamento.</w:t>
      </w:r>
    </w:p>
    <w:p w14:paraId="38BE3ABB" w14:textId="77777777" w:rsidR="008B5F96" w:rsidRPr="008B5F96" w:rsidRDefault="008B5F96" w:rsidP="008B5F96">
      <w:pPr>
        <w:jc w:val="both"/>
        <w:rPr>
          <w:sz w:val="22"/>
          <w:szCs w:val="22"/>
          <w:lang w:val="es-CR"/>
        </w:rPr>
      </w:pPr>
    </w:p>
    <w:p w14:paraId="74DFD91E" w14:textId="77777777" w:rsidR="008B5F96" w:rsidRPr="008B5F96" w:rsidRDefault="008B5F96" w:rsidP="008B5F96">
      <w:pPr>
        <w:jc w:val="both"/>
        <w:rPr>
          <w:sz w:val="22"/>
          <w:szCs w:val="22"/>
          <w:lang w:val="es-CR"/>
        </w:rPr>
      </w:pPr>
      <w:r w:rsidRPr="008B5F96">
        <w:rPr>
          <w:sz w:val="22"/>
          <w:szCs w:val="22"/>
          <w:lang w:val="es-CR"/>
        </w:rPr>
        <w:t xml:space="preserve">El monto determinado conforme al modelo estándar constituirá el mínimo regulatorio a registrar para la estimación de pérdidas crediticias esperadas a efectos de los estados financieros preparados bajo el marco NIIF, por lo que deberá registrarse íntegramente con contrapartida en la cuenta de resultados al cierre de cada mes. </w:t>
      </w:r>
    </w:p>
    <w:p w14:paraId="4A995526" w14:textId="77777777" w:rsidR="008B5F96" w:rsidRPr="008B5F96" w:rsidRDefault="008B5F96" w:rsidP="008B5F96">
      <w:pPr>
        <w:jc w:val="both"/>
        <w:rPr>
          <w:sz w:val="22"/>
          <w:szCs w:val="22"/>
          <w:lang w:val="es-CR"/>
        </w:rPr>
      </w:pPr>
    </w:p>
    <w:p w14:paraId="77647961" w14:textId="77777777" w:rsidR="008B5F96" w:rsidRPr="008B5F96" w:rsidRDefault="008B5F96" w:rsidP="008B5F96">
      <w:pPr>
        <w:jc w:val="both"/>
        <w:rPr>
          <w:sz w:val="22"/>
          <w:szCs w:val="22"/>
          <w:lang w:val="es-CR"/>
        </w:rPr>
      </w:pPr>
      <w:r w:rsidRPr="008B5F96">
        <w:rPr>
          <w:sz w:val="22"/>
          <w:szCs w:val="22"/>
          <w:lang w:val="es-CR"/>
        </w:rPr>
        <w:t>Adicionalmente, las entidades que utilicen el modelo estándar podrán constituir, con base en fundamentación técnica adecuada, reservas patrimoniales de carácter prudencial por hasta un diez por ciento (10%) del monto de dicha estimación mínima. La constitución, mantenimiento y eventual reversión de esta reserva requerirá una política aprobada por el Órgano de Dirección, con sustentación técnica y criterios de uso y/o reversión, documentados. Estas reservas prudenciales adicionales deberán determinarse e individualizarse por operación crediticia y contabilizarse en la subcuenta 34402M00 – Reservas para cartera de crédito y no formarán parte de la estimación de pérdidas crediticias esperadas reconocida en los estados</w:t>
      </w:r>
      <w:r w:rsidRPr="008B5F96">
        <w:rPr>
          <w:sz w:val="22"/>
          <w:szCs w:val="22"/>
          <w:u w:val="single"/>
          <w:lang w:val="es-CR"/>
        </w:rPr>
        <w:t xml:space="preserve"> </w:t>
      </w:r>
      <w:r w:rsidRPr="008B5F96">
        <w:rPr>
          <w:sz w:val="22"/>
          <w:szCs w:val="22"/>
          <w:lang w:val="es-CR"/>
        </w:rPr>
        <w:t>financieros bajo el marco NIIF, con el fin de garantizar coherencia técnica y transparencia en su aplicación.</w:t>
      </w:r>
    </w:p>
    <w:p w14:paraId="649171A0" w14:textId="77777777" w:rsidR="008B5F96" w:rsidRPr="008B5F96" w:rsidRDefault="008B5F96" w:rsidP="008B5F96">
      <w:pPr>
        <w:jc w:val="both"/>
        <w:rPr>
          <w:sz w:val="22"/>
          <w:szCs w:val="22"/>
          <w:lang w:val="es-CR"/>
        </w:rPr>
      </w:pPr>
    </w:p>
    <w:p w14:paraId="3AC0FCD7" w14:textId="77777777" w:rsidR="008B5F96" w:rsidRPr="008B5F96" w:rsidRDefault="008B5F96" w:rsidP="008B5F96">
      <w:pPr>
        <w:jc w:val="both"/>
        <w:rPr>
          <w:sz w:val="22"/>
          <w:szCs w:val="22"/>
          <w:lang w:val="es-CR"/>
        </w:rPr>
      </w:pPr>
      <w:r w:rsidRPr="008B5F96">
        <w:rPr>
          <w:sz w:val="22"/>
          <w:szCs w:val="22"/>
          <w:lang w:val="es-CR"/>
        </w:rPr>
        <w:lastRenderedPageBreak/>
        <w:t>La constitución de esta reserva prudencial se llevará a cabo debitando la subcuenta 35101M01-Utilidades de ejercicios anteriores y acreditando la subcuenta 34402M00-Reservas para cartera de crédito.</w:t>
      </w:r>
    </w:p>
    <w:p w14:paraId="18B0854C" w14:textId="77777777" w:rsidR="008B5F96" w:rsidRPr="008B5F96" w:rsidRDefault="008B5F96" w:rsidP="008B5F96">
      <w:pPr>
        <w:jc w:val="both"/>
        <w:rPr>
          <w:sz w:val="22"/>
          <w:szCs w:val="22"/>
          <w:lang w:val="es-CR"/>
        </w:rPr>
      </w:pPr>
    </w:p>
    <w:p w14:paraId="46F66922" w14:textId="77777777" w:rsidR="008B5F96" w:rsidRPr="008B5F96" w:rsidRDefault="008B5F96" w:rsidP="008B5F96">
      <w:pPr>
        <w:jc w:val="both"/>
        <w:rPr>
          <w:sz w:val="22"/>
          <w:szCs w:val="22"/>
          <w:lang w:val="es-CR"/>
        </w:rPr>
      </w:pPr>
      <w:r w:rsidRPr="008B5F96">
        <w:rPr>
          <w:sz w:val="22"/>
          <w:szCs w:val="22"/>
          <w:lang w:val="es-CR"/>
        </w:rPr>
        <w:t>Se debe considerar que la cuenta de utilidades retenidas debe tener un saldo suficiente para transferirse a la reserva, de lo contrario no será posible reconocer la reserva.</w:t>
      </w:r>
    </w:p>
    <w:p w14:paraId="762C23DA" w14:textId="77777777" w:rsidR="008B5F96" w:rsidRPr="008B5F96" w:rsidRDefault="008B5F96" w:rsidP="008B5F96">
      <w:pPr>
        <w:jc w:val="both"/>
        <w:rPr>
          <w:sz w:val="22"/>
          <w:szCs w:val="22"/>
          <w:lang w:val="es-CR"/>
        </w:rPr>
      </w:pPr>
    </w:p>
    <w:p w14:paraId="16684E9F" w14:textId="77777777" w:rsidR="008B5F96" w:rsidRPr="008B5F96" w:rsidRDefault="008B5F96" w:rsidP="008B5F96">
      <w:pPr>
        <w:jc w:val="both"/>
        <w:rPr>
          <w:sz w:val="22"/>
          <w:szCs w:val="22"/>
          <w:lang w:val="es-CR"/>
        </w:rPr>
      </w:pPr>
      <w:r w:rsidRPr="008B5F96">
        <w:rPr>
          <w:sz w:val="22"/>
          <w:szCs w:val="22"/>
          <w:lang w:val="es-CR"/>
        </w:rPr>
        <w:t xml:space="preserve">Cuando la entidad haya incurrido en pérdidas por deterioro de cartera de crédito superiores a las estimaciones constituidas bajo el modelo estándar las cuales hayan sido reconocidas en los resultados del período, podrá aplicar dichos montos contra la reserva patrimonial previamente establecida, tal como lo establece el Reglamento de Información Financiera, Acuerdo </w:t>
      </w:r>
      <w:r w:rsidRPr="008B5F96">
        <w:rPr>
          <w:sz w:val="24"/>
          <w:szCs w:val="24"/>
          <w:lang w:val="es-CR"/>
        </w:rPr>
        <w:t>Conassif</w:t>
      </w:r>
      <w:r w:rsidRPr="008B5F96">
        <w:rPr>
          <w:sz w:val="22"/>
          <w:szCs w:val="22"/>
          <w:lang w:val="es-CR"/>
        </w:rPr>
        <w:t xml:space="preserve"> 6-18, que consiste en debitar la reserva patrimonial por el monto de dichas pérdidas y acreditar la cuenta de utilidades retenidas.</w:t>
      </w:r>
    </w:p>
    <w:p w14:paraId="3A9CD6F2" w14:textId="77777777" w:rsidR="008B5F96" w:rsidRPr="008B5F96" w:rsidRDefault="008B5F96" w:rsidP="008B5F96">
      <w:pPr>
        <w:jc w:val="both"/>
        <w:rPr>
          <w:sz w:val="22"/>
          <w:szCs w:val="22"/>
          <w:lang w:val="es-CR"/>
        </w:rPr>
      </w:pPr>
    </w:p>
    <w:p w14:paraId="3CBC8BF4" w14:textId="77777777" w:rsidR="008B5F96" w:rsidRPr="008B5F96" w:rsidRDefault="008B5F96" w:rsidP="008B5F96">
      <w:pPr>
        <w:jc w:val="center"/>
        <w:rPr>
          <w:b/>
          <w:bCs/>
          <w:sz w:val="22"/>
          <w:szCs w:val="22"/>
          <w:lang w:val="es-CR"/>
        </w:rPr>
      </w:pPr>
      <w:r w:rsidRPr="008B5F96">
        <w:rPr>
          <w:b/>
          <w:bCs/>
          <w:sz w:val="22"/>
          <w:szCs w:val="22"/>
          <w:lang w:val="es-CR"/>
        </w:rPr>
        <w:t>SECCIÓN V</w:t>
      </w:r>
    </w:p>
    <w:p w14:paraId="2851E4C3" w14:textId="77777777" w:rsidR="008B5F96" w:rsidRPr="008B5F96" w:rsidRDefault="008B5F96" w:rsidP="008B5F96">
      <w:pPr>
        <w:jc w:val="center"/>
        <w:rPr>
          <w:b/>
          <w:bCs/>
          <w:sz w:val="22"/>
          <w:szCs w:val="22"/>
          <w:lang w:val="es-CR"/>
        </w:rPr>
      </w:pPr>
    </w:p>
    <w:p w14:paraId="68C1CD80" w14:textId="77777777" w:rsidR="008B5F96" w:rsidRPr="008B5F96" w:rsidRDefault="008B5F96" w:rsidP="008B5F96">
      <w:pPr>
        <w:jc w:val="center"/>
        <w:rPr>
          <w:b/>
          <w:bCs/>
          <w:sz w:val="22"/>
          <w:szCs w:val="22"/>
          <w:lang w:val="es-CR"/>
        </w:rPr>
      </w:pPr>
      <w:r w:rsidRPr="008B5F96">
        <w:rPr>
          <w:b/>
          <w:bCs/>
          <w:sz w:val="22"/>
          <w:szCs w:val="22"/>
          <w:lang w:val="es-CR"/>
        </w:rPr>
        <w:t>DEUDORES CON OPERACIÓN ESPECIAL</w:t>
      </w:r>
    </w:p>
    <w:p w14:paraId="6DF59E55" w14:textId="77777777" w:rsidR="008B5F96" w:rsidRPr="008B5F96" w:rsidRDefault="008B5F96" w:rsidP="008B5F96">
      <w:pPr>
        <w:jc w:val="center"/>
        <w:rPr>
          <w:b/>
          <w:bCs/>
          <w:sz w:val="22"/>
          <w:szCs w:val="22"/>
          <w:lang w:val="es-CR"/>
        </w:rPr>
      </w:pPr>
    </w:p>
    <w:p w14:paraId="02C8263B" w14:textId="77777777" w:rsidR="008B5F96" w:rsidRPr="008B5F96" w:rsidRDefault="008B5F96" w:rsidP="008B5F96">
      <w:pPr>
        <w:jc w:val="both"/>
        <w:rPr>
          <w:b/>
          <w:bCs/>
          <w:sz w:val="22"/>
          <w:szCs w:val="22"/>
          <w:lang w:val="es-CR"/>
        </w:rPr>
      </w:pPr>
      <w:r w:rsidRPr="008B5F96">
        <w:rPr>
          <w:b/>
          <w:bCs/>
          <w:sz w:val="22"/>
          <w:szCs w:val="22"/>
          <w:lang w:val="es-CR"/>
        </w:rPr>
        <w:t>Artículo 24. Reclasificación por operaciones especiales</w:t>
      </w:r>
    </w:p>
    <w:p w14:paraId="536F68F1" w14:textId="77777777" w:rsidR="008B5F96" w:rsidRPr="00D75655" w:rsidRDefault="008B5F96" w:rsidP="008B5F96">
      <w:pPr>
        <w:jc w:val="both"/>
        <w:rPr>
          <w:sz w:val="22"/>
          <w:szCs w:val="22"/>
          <w:lang w:val="es-CR"/>
        </w:rPr>
      </w:pPr>
    </w:p>
    <w:p w14:paraId="7419D8A4" w14:textId="77777777" w:rsidR="008B5F96" w:rsidRPr="008B5F96" w:rsidRDefault="008B5F96" w:rsidP="008B5F96">
      <w:pPr>
        <w:jc w:val="both"/>
        <w:rPr>
          <w:sz w:val="22"/>
          <w:szCs w:val="22"/>
          <w:lang w:val="es-CR"/>
        </w:rPr>
      </w:pPr>
      <w:r w:rsidRPr="008B5F96">
        <w:rPr>
          <w:sz w:val="22"/>
          <w:szCs w:val="22"/>
          <w:lang w:val="es-CR"/>
        </w:rPr>
        <w:t>La entidad deberá reclasificar las operaciones crediticias de un deudor con operación especial de acuerdo con los siguientes criterios:</w:t>
      </w:r>
    </w:p>
    <w:p w14:paraId="1E98FC6C" w14:textId="77777777" w:rsidR="008B5F96" w:rsidRPr="008B5F96" w:rsidRDefault="008B5F96" w:rsidP="008B5F96">
      <w:pPr>
        <w:jc w:val="both"/>
        <w:rPr>
          <w:sz w:val="22"/>
          <w:szCs w:val="22"/>
          <w:lang w:val="es-CR"/>
        </w:rPr>
      </w:pPr>
    </w:p>
    <w:p w14:paraId="6E1883FD"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A una categoría de riesgo 4, 5 o 6: cuando el número de modificaciones que dio origen a la operación especial sea igual a dos en los últimos 24 meses.</w:t>
      </w:r>
    </w:p>
    <w:p w14:paraId="3D8C6910" w14:textId="77777777" w:rsidR="008B5F96" w:rsidRPr="008B5F96" w:rsidRDefault="008B5F96" w:rsidP="008B5F96">
      <w:pPr>
        <w:ind w:left="360"/>
        <w:contextualSpacing/>
        <w:jc w:val="both"/>
        <w:rPr>
          <w:sz w:val="22"/>
          <w:szCs w:val="22"/>
          <w:lang w:val="es-CR"/>
        </w:rPr>
      </w:pPr>
    </w:p>
    <w:p w14:paraId="4EA750DF"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A una categoría de riesgo 7 u 8:  cuando el número de modificaciones que dio origen a la operación especial sea mayor o igual a 3 en los últimos 24 meses.</w:t>
      </w:r>
    </w:p>
    <w:p w14:paraId="03D64E7C" w14:textId="77777777" w:rsidR="008B5F96" w:rsidRPr="008B5F96" w:rsidRDefault="008B5F96" w:rsidP="008B5F96">
      <w:pPr>
        <w:jc w:val="both"/>
        <w:rPr>
          <w:sz w:val="22"/>
          <w:szCs w:val="22"/>
          <w:lang w:val="es-CR"/>
        </w:rPr>
      </w:pPr>
    </w:p>
    <w:p w14:paraId="4F8DABDC" w14:textId="77777777" w:rsidR="008B5F96" w:rsidRPr="008B5F96" w:rsidRDefault="008B5F96" w:rsidP="008B5F96">
      <w:pPr>
        <w:jc w:val="both"/>
        <w:rPr>
          <w:sz w:val="22"/>
          <w:szCs w:val="22"/>
          <w:lang w:val="es-CR"/>
        </w:rPr>
      </w:pPr>
      <w:r w:rsidRPr="008B5F96">
        <w:rPr>
          <w:sz w:val="22"/>
          <w:szCs w:val="22"/>
          <w:lang w:val="es-CR"/>
        </w:rPr>
        <w:t>Para efectos de la reclasificación, la categoría de riesgo aplicable a todas las demás operaciones del deudor al cual se le recalificó una operación como especial, será la de mayor riesgo que resulte de la verificación de los respectivos criterios de calificación establecidos en este Reglamento.</w:t>
      </w:r>
    </w:p>
    <w:p w14:paraId="0906F556" w14:textId="77777777" w:rsidR="008B5F96" w:rsidRPr="008B5F96" w:rsidRDefault="008B5F96" w:rsidP="008B5F96">
      <w:pPr>
        <w:jc w:val="both"/>
        <w:rPr>
          <w:sz w:val="22"/>
          <w:szCs w:val="22"/>
          <w:lang w:val="es-CR"/>
        </w:rPr>
      </w:pPr>
    </w:p>
    <w:p w14:paraId="6AFE929F" w14:textId="77777777" w:rsidR="008B5F96" w:rsidRPr="008B5F96" w:rsidRDefault="008B5F96" w:rsidP="008B5F96">
      <w:pPr>
        <w:jc w:val="both"/>
        <w:rPr>
          <w:sz w:val="22"/>
          <w:szCs w:val="22"/>
          <w:lang w:val="es-CR"/>
        </w:rPr>
      </w:pPr>
      <w:r w:rsidRPr="008B5F96">
        <w:rPr>
          <w:sz w:val="22"/>
          <w:szCs w:val="22"/>
          <w:lang w:val="es-CR"/>
        </w:rPr>
        <w:t xml:space="preserve">La categoría asignada no podrá mejorarse hasta que se verifiquen las condiciones establecidas en el artículo 25 de este Reglamento. </w:t>
      </w:r>
    </w:p>
    <w:p w14:paraId="434BC84F" w14:textId="77777777" w:rsidR="008B5F96" w:rsidRPr="008B5F96" w:rsidRDefault="008B5F96" w:rsidP="008B5F96">
      <w:pPr>
        <w:jc w:val="both"/>
        <w:rPr>
          <w:sz w:val="22"/>
          <w:szCs w:val="22"/>
          <w:lang w:val="es-CR"/>
        </w:rPr>
      </w:pPr>
    </w:p>
    <w:p w14:paraId="4D5063ED" w14:textId="77777777" w:rsidR="008B5F96" w:rsidRPr="008B5F96" w:rsidRDefault="008B5F96" w:rsidP="008B5F96">
      <w:pPr>
        <w:jc w:val="both"/>
        <w:rPr>
          <w:b/>
          <w:bCs/>
          <w:sz w:val="22"/>
          <w:szCs w:val="22"/>
          <w:lang w:val="es-CR"/>
        </w:rPr>
      </w:pPr>
      <w:r w:rsidRPr="008B5F96">
        <w:rPr>
          <w:b/>
          <w:bCs/>
          <w:sz w:val="22"/>
          <w:szCs w:val="22"/>
          <w:lang w:val="es-CR"/>
        </w:rPr>
        <w:t>Artículo 25. Criterios para la reclasificación de operaciones especiales</w:t>
      </w:r>
    </w:p>
    <w:p w14:paraId="20166426" w14:textId="77777777" w:rsidR="008B5F96" w:rsidRPr="008B5F96" w:rsidRDefault="008B5F96" w:rsidP="008B5F96">
      <w:pPr>
        <w:jc w:val="both"/>
        <w:rPr>
          <w:b/>
          <w:bCs/>
          <w:sz w:val="22"/>
          <w:szCs w:val="22"/>
          <w:lang w:val="es-CR"/>
        </w:rPr>
      </w:pPr>
    </w:p>
    <w:p w14:paraId="160CD29C" w14:textId="77777777" w:rsidR="008B5F96" w:rsidRPr="008B5F96" w:rsidRDefault="008B5F96" w:rsidP="008B5F96">
      <w:pPr>
        <w:jc w:val="both"/>
        <w:rPr>
          <w:sz w:val="22"/>
          <w:szCs w:val="22"/>
          <w:lang w:val="es-CR"/>
        </w:rPr>
      </w:pPr>
      <w:r w:rsidRPr="008B5F96">
        <w:rPr>
          <w:sz w:val="22"/>
          <w:szCs w:val="22"/>
          <w:lang w:val="es-CR"/>
        </w:rPr>
        <w:t>Un deudor cuyas operaciones hayan sido calificadas como especiales podrá ser reclasificado en una categoría de menor riesgo siempre que se cumplan simultáneamente las siguientes condiciones:</w:t>
      </w:r>
    </w:p>
    <w:p w14:paraId="04F8651F" w14:textId="77777777" w:rsidR="008B5F96" w:rsidRPr="008B5F96" w:rsidRDefault="008B5F96" w:rsidP="008B5F96">
      <w:pPr>
        <w:jc w:val="both"/>
        <w:rPr>
          <w:sz w:val="22"/>
          <w:szCs w:val="22"/>
          <w:lang w:val="es-CR"/>
        </w:rPr>
      </w:pPr>
    </w:p>
    <w:p w14:paraId="484BFD73"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Cuando la entidad verifique que el deudor con operación especial cumple con los criterios de clasificación correspondientes a la categoría de menor riesgo a la que se pretende reclasificar, de acuerdo con lo establecido en este Reglamento.</w:t>
      </w:r>
    </w:p>
    <w:p w14:paraId="2646FE8B" w14:textId="77777777" w:rsidR="008B5F96" w:rsidRPr="008B5F96" w:rsidRDefault="008B5F96" w:rsidP="008B5F96">
      <w:pPr>
        <w:ind w:left="360"/>
        <w:contextualSpacing/>
        <w:jc w:val="both"/>
        <w:rPr>
          <w:sz w:val="22"/>
          <w:szCs w:val="22"/>
          <w:lang w:val="es-CR"/>
        </w:rPr>
      </w:pPr>
    </w:p>
    <w:p w14:paraId="0C9FE534"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 xml:space="preserve">Que el deudor haya cumplido con el pago íntegro, en la fecha correspondiente, de acuerdo con las condiciones pactadas, de al menos seis cuotas consecutivas del cronograma de pagos de la operación especial. Para el cumplimiento de esta condición, las cuotas deberán incluir amortización de principal; por tanto, no se computarán las cuotas correspondientes a períodos de gracia que contemplen únicamente el pago de intereses. </w:t>
      </w:r>
    </w:p>
    <w:p w14:paraId="4D69547C" w14:textId="77777777" w:rsidR="008B5F96" w:rsidRPr="008B5F96" w:rsidRDefault="008B5F96" w:rsidP="008B5F96">
      <w:pPr>
        <w:ind w:left="360"/>
        <w:contextualSpacing/>
        <w:jc w:val="both"/>
        <w:rPr>
          <w:sz w:val="22"/>
          <w:szCs w:val="22"/>
          <w:lang w:val="es-CR"/>
        </w:rPr>
      </w:pPr>
      <w:r w:rsidRPr="008B5F96">
        <w:rPr>
          <w:sz w:val="22"/>
          <w:szCs w:val="22"/>
          <w:lang w:val="es-CR"/>
        </w:rPr>
        <w:lastRenderedPageBreak/>
        <w:t>Los pagos anticipados no se considerarán válidos para el cumplimiento de esta condición, ya que no reflejan en sí mismos un comportamiento de pago sostenido en el tiempo, esto sin perjuicio de que se apliquen a la amortización de la operación de crédito.</w:t>
      </w:r>
    </w:p>
    <w:p w14:paraId="5CDAE865" w14:textId="77777777" w:rsidR="008B5F96" w:rsidRPr="008B5F96" w:rsidRDefault="008B5F96" w:rsidP="008B5F96">
      <w:pPr>
        <w:jc w:val="both"/>
        <w:rPr>
          <w:sz w:val="22"/>
          <w:szCs w:val="22"/>
          <w:lang w:val="es-CR"/>
        </w:rPr>
      </w:pPr>
    </w:p>
    <w:p w14:paraId="3AE9EF69" w14:textId="77777777" w:rsidR="008B5F96" w:rsidRPr="008B5F96" w:rsidRDefault="008B5F96" w:rsidP="008B5F96">
      <w:pPr>
        <w:jc w:val="center"/>
        <w:rPr>
          <w:b/>
          <w:bCs/>
          <w:sz w:val="22"/>
          <w:szCs w:val="22"/>
          <w:lang w:val="es-CR"/>
        </w:rPr>
      </w:pPr>
      <w:r w:rsidRPr="008B5F96">
        <w:rPr>
          <w:b/>
          <w:bCs/>
          <w:sz w:val="22"/>
          <w:szCs w:val="22"/>
          <w:lang w:val="es-CR"/>
        </w:rPr>
        <w:t>SECCIÓN VI</w:t>
      </w:r>
    </w:p>
    <w:p w14:paraId="3B9275A6" w14:textId="77777777" w:rsidR="008B5F96" w:rsidRPr="00D75655" w:rsidRDefault="008B5F96" w:rsidP="008B5F96">
      <w:pPr>
        <w:jc w:val="center"/>
        <w:rPr>
          <w:sz w:val="22"/>
          <w:szCs w:val="22"/>
          <w:lang w:val="es-CR"/>
        </w:rPr>
      </w:pPr>
    </w:p>
    <w:p w14:paraId="7CB8275C" w14:textId="77777777" w:rsidR="008B5F96" w:rsidRPr="008B5F96" w:rsidRDefault="008B5F96" w:rsidP="008B5F96">
      <w:pPr>
        <w:jc w:val="center"/>
        <w:rPr>
          <w:b/>
          <w:bCs/>
          <w:sz w:val="22"/>
          <w:szCs w:val="22"/>
          <w:lang w:val="es-CR"/>
        </w:rPr>
      </w:pPr>
      <w:r w:rsidRPr="008B5F96">
        <w:rPr>
          <w:b/>
          <w:bCs/>
          <w:sz w:val="22"/>
          <w:szCs w:val="22"/>
          <w:lang w:val="es-CR"/>
        </w:rPr>
        <w:t>LIQUIDACIÓN DE OPERACIONES DE CRÉDITO</w:t>
      </w:r>
    </w:p>
    <w:p w14:paraId="3FCAEE41" w14:textId="77777777" w:rsidR="008B5F96" w:rsidRPr="00D75655" w:rsidRDefault="008B5F96" w:rsidP="008B5F96">
      <w:pPr>
        <w:jc w:val="center"/>
        <w:rPr>
          <w:sz w:val="22"/>
          <w:szCs w:val="22"/>
          <w:lang w:val="es-CR"/>
        </w:rPr>
      </w:pPr>
    </w:p>
    <w:p w14:paraId="67231AF0" w14:textId="77777777" w:rsidR="008B5F96" w:rsidRPr="008B5F96" w:rsidRDefault="008B5F96" w:rsidP="008B5F96">
      <w:pPr>
        <w:jc w:val="both"/>
        <w:rPr>
          <w:b/>
          <w:bCs/>
          <w:sz w:val="22"/>
          <w:szCs w:val="22"/>
          <w:lang w:val="es-CR"/>
        </w:rPr>
      </w:pPr>
      <w:r w:rsidRPr="008B5F96">
        <w:rPr>
          <w:b/>
          <w:bCs/>
          <w:sz w:val="22"/>
          <w:szCs w:val="22"/>
          <w:lang w:val="es-CR"/>
        </w:rPr>
        <w:t>Artículo 26. Liquidación de operaciones de crédito contra la estimación</w:t>
      </w:r>
    </w:p>
    <w:p w14:paraId="48CD5589" w14:textId="77777777" w:rsidR="008B5F96" w:rsidRPr="008B5F96" w:rsidRDefault="008B5F96" w:rsidP="008B5F96">
      <w:pPr>
        <w:jc w:val="both"/>
        <w:rPr>
          <w:b/>
          <w:bCs/>
          <w:sz w:val="22"/>
          <w:szCs w:val="22"/>
          <w:lang w:val="es-CR"/>
        </w:rPr>
      </w:pPr>
    </w:p>
    <w:p w14:paraId="08573546" w14:textId="77777777" w:rsidR="008B5F96" w:rsidRPr="008B5F96" w:rsidRDefault="008B5F96" w:rsidP="008B5F96">
      <w:pPr>
        <w:jc w:val="both"/>
        <w:rPr>
          <w:sz w:val="22"/>
          <w:szCs w:val="22"/>
          <w:lang w:val="es-CR"/>
        </w:rPr>
      </w:pPr>
      <w:r w:rsidRPr="008B5F96">
        <w:rPr>
          <w:sz w:val="22"/>
          <w:szCs w:val="22"/>
          <w:lang w:val="es-CR"/>
        </w:rPr>
        <w:t>La entidad debe contar con políticas y procedimientos, aprobados por su Órgano de Dirección, para los casos en que se requiera liquidar operaciones de crédito contra la estimación individual correspondiente.</w:t>
      </w:r>
    </w:p>
    <w:p w14:paraId="14A3835E" w14:textId="77777777" w:rsidR="008B5F96" w:rsidRPr="008B5F96" w:rsidRDefault="008B5F96" w:rsidP="008B5F96">
      <w:pPr>
        <w:jc w:val="both"/>
        <w:rPr>
          <w:sz w:val="22"/>
          <w:szCs w:val="22"/>
          <w:lang w:val="es-CR"/>
        </w:rPr>
      </w:pPr>
    </w:p>
    <w:p w14:paraId="5FF364D2" w14:textId="77777777" w:rsidR="008B5F96" w:rsidRPr="008B5F96" w:rsidRDefault="008B5F96" w:rsidP="008B5F96">
      <w:pPr>
        <w:jc w:val="both"/>
        <w:rPr>
          <w:sz w:val="22"/>
          <w:szCs w:val="22"/>
          <w:lang w:val="es-CR"/>
        </w:rPr>
      </w:pPr>
      <w:r w:rsidRPr="008B5F96">
        <w:rPr>
          <w:sz w:val="22"/>
          <w:szCs w:val="22"/>
          <w:lang w:val="es-CR"/>
        </w:rPr>
        <w:t>Dichas políticas y procedimientos deben contemplar los casos en que las operaciones de crédito deban ser liquidadas por considerarse incobrables, ya sea porque se hayan agotado razonablemente las gestiones administrativas o judiciales de cobro, porque se haya determinado la imposibilidad práctica de su recuperación; o porque el saldo total adeudado se encuentre estimado en un cien por ciento (100%). La liquidación contable no implicará, en ningún caso, la posterior reincorporación del activo al balance, salvo por orden expresa de autoridad judicial competente.</w:t>
      </w:r>
    </w:p>
    <w:p w14:paraId="176FA48F" w14:textId="77777777" w:rsidR="008B5F96" w:rsidRPr="008B5F96" w:rsidRDefault="008B5F96" w:rsidP="008B5F96">
      <w:pPr>
        <w:jc w:val="both"/>
        <w:rPr>
          <w:sz w:val="22"/>
          <w:szCs w:val="22"/>
          <w:lang w:val="es-CR"/>
        </w:rPr>
      </w:pPr>
    </w:p>
    <w:p w14:paraId="3108B461" w14:textId="77777777" w:rsidR="008B5F96" w:rsidRPr="008B5F96" w:rsidRDefault="008B5F96" w:rsidP="008B5F96">
      <w:pPr>
        <w:jc w:val="both"/>
        <w:rPr>
          <w:sz w:val="22"/>
          <w:szCs w:val="22"/>
          <w:lang w:val="es-CR"/>
        </w:rPr>
      </w:pPr>
      <w:r w:rsidRPr="008B5F96">
        <w:rPr>
          <w:sz w:val="22"/>
          <w:szCs w:val="22"/>
          <w:lang w:val="es-CR"/>
        </w:rPr>
        <w:t>La liquidación de una operación de crédito contra la estimación es un movimiento contable que consiste en la eliminación del activo con cargo a su respectiva estimación contable, y su consecuente traslado a una cuenta de orden.</w:t>
      </w:r>
    </w:p>
    <w:p w14:paraId="35FCAA15" w14:textId="77777777" w:rsidR="008B5F96" w:rsidRPr="008B5F96" w:rsidRDefault="008B5F96" w:rsidP="008B5F96">
      <w:pPr>
        <w:jc w:val="both"/>
        <w:rPr>
          <w:sz w:val="22"/>
          <w:szCs w:val="22"/>
          <w:lang w:val="es-CR"/>
        </w:rPr>
      </w:pPr>
    </w:p>
    <w:p w14:paraId="3915ADFD" w14:textId="77777777" w:rsidR="008B5F96" w:rsidRPr="008B5F96" w:rsidRDefault="008B5F96" w:rsidP="008B5F96">
      <w:pPr>
        <w:jc w:val="both"/>
        <w:rPr>
          <w:sz w:val="22"/>
          <w:szCs w:val="22"/>
          <w:lang w:val="es-CR"/>
        </w:rPr>
      </w:pPr>
      <w:r w:rsidRPr="008B5F96">
        <w:rPr>
          <w:sz w:val="22"/>
          <w:szCs w:val="22"/>
          <w:lang w:val="es-CR"/>
        </w:rPr>
        <w:t>Dicha liquidación de ninguna manera extingue el derecho de la entidad acreedora de continuar con el cobro de las sumas adeudadas, ni tampoco releva al responsable del crédito del cumplimiento de su obligación.</w:t>
      </w:r>
    </w:p>
    <w:p w14:paraId="0FC08BE5" w14:textId="77777777" w:rsidR="008B5F96" w:rsidRPr="008B5F96" w:rsidRDefault="008B5F96" w:rsidP="008B5F96">
      <w:pPr>
        <w:jc w:val="both"/>
        <w:rPr>
          <w:sz w:val="22"/>
          <w:szCs w:val="22"/>
          <w:lang w:val="es-CR"/>
        </w:rPr>
      </w:pPr>
    </w:p>
    <w:p w14:paraId="68C38085" w14:textId="77777777" w:rsidR="008B5F96" w:rsidRPr="008B5F96" w:rsidRDefault="008B5F96" w:rsidP="008B5F96">
      <w:pPr>
        <w:jc w:val="both"/>
        <w:rPr>
          <w:sz w:val="22"/>
          <w:szCs w:val="22"/>
          <w:lang w:val="es-CR"/>
        </w:rPr>
      </w:pPr>
      <w:r w:rsidRPr="008B5F96">
        <w:rPr>
          <w:sz w:val="22"/>
          <w:szCs w:val="22"/>
          <w:lang w:val="es-CR"/>
        </w:rPr>
        <w:t xml:space="preserve">Para la liquidación de las operaciones crediticias contra su respectiva estimación, la entidad deberá ajustarse a las disposiciones establecidas en el Acuerdo </w:t>
      </w:r>
      <w:r w:rsidRPr="008B5F96">
        <w:rPr>
          <w:sz w:val="24"/>
          <w:szCs w:val="24"/>
          <w:lang w:val="es-CR"/>
        </w:rPr>
        <w:t>Conassif</w:t>
      </w:r>
      <w:r w:rsidRPr="008B5F96">
        <w:rPr>
          <w:sz w:val="22"/>
          <w:szCs w:val="22"/>
          <w:lang w:val="es-CR"/>
        </w:rPr>
        <w:t xml:space="preserve"> 6-18 y sus anexos. Asimismo, deberá documentar en el expediente de crédito de la operación las gestiones y valoraciones efectuadas para sustentar la liquidación.</w:t>
      </w:r>
    </w:p>
    <w:p w14:paraId="2F264E3A" w14:textId="77777777" w:rsidR="008B5F96" w:rsidRPr="008B5F96" w:rsidRDefault="008B5F96" w:rsidP="008B5F96">
      <w:pPr>
        <w:jc w:val="both"/>
        <w:rPr>
          <w:sz w:val="22"/>
          <w:szCs w:val="22"/>
          <w:lang w:val="es-CR"/>
        </w:rPr>
      </w:pPr>
    </w:p>
    <w:p w14:paraId="6B93CDBA" w14:textId="77777777" w:rsidR="008B5F96" w:rsidRPr="008B5F96" w:rsidRDefault="008B5F96" w:rsidP="008B5F96">
      <w:pPr>
        <w:jc w:val="both"/>
        <w:rPr>
          <w:sz w:val="22"/>
          <w:szCs w:val="22"/>
          <w:lang w:val="es-CR"/>
        </w:rPr>
      </w:pPr>
      <w:r w:rsidRPr="008B5F96">
        <w:rPr>
          <w:sz w:val="22"/>
          <w:szCs w:val="22"/>
          <w:lang w:val="es-CR"/>
        </w:rPr>
        <w:t>La entidad deberá informar a la Sugef el detalle de operaciones crediticias e instrumentos financieros liquidados en cada mes, así como el monto total de cuentas y productos por cobrar liquidados en ese periodo. El Superintendente General de Entidades Financieras establecerá la información, la periodicidad y los medios físicos o electrónicos que estime pertinentes, mediante los cuales las entidades supervisadas deberán informar sobre la liquidación de operaciones crediticias, instrumentos financieros y cuentas y productos por cobrar.</w:t>
      </w:r>
    </w:p>
    <w:p w14:paraId="20483D6D" w14:textId="77777777" w:rsidR="008B5F96" w:rsidRPr="008B5F96" w:rsidRDefault="008B5F96" w:rsidP="008B5F96">
      <w:pPr>
        <w:jc w:val="both"/>
        <w:rPr>
          <w:sz w:val="22"/>
          <w:szCs w:val="22"/>
          <w:lang w:val="es-CR"/>
        </w:rPr>
      </w:pPr>
    </w:p>
    <w:p w14:paraId="0E6944F5" w14:textId="77777777" w:rsidR="008B5F96" w:rsidRPr="008B5F96" w:rsidRDefault="008B5F96" w:rsidP="008B5F96">
      <w:pPr>
        <w:jc w:val="center"/>
        <w:rPr>
          <w:b/>
          <w:bCs/>
          <w:sz w:val="22"/>
          <w:szCs w:val="22"/>
          <w:lang w:val="es-CR"/>
        </w:rPr>
      </w:pPr>
      <w:r w:rsidRPr="008B5F96">
        <w:rPr>
          <w:b/>
          <w:bCs/>
          <w:sz w:val="22"/>
          <w:szCs w:val="22"/>
          <w:lang w:val="es-CR"/>
        </w:rPr>
        <w:t>MODELOS INTERNOS</w:t>
      </w:r>
    </w:p>
    <w:p w14:paraId="778733FB" w14:textId="77777777" w:rsidR="008B5F96" w:rsidRPr="008B5F96" w:rsidRDefault="008B5F96" w:rsidP="008B5F96">
      <w:pPr>
        <w:jc w:val="center"/>
        <w:rPr>
          <w:b/>
          <w:bCs/>
          <w:sz w:val="22"/>
          <w:szCs w:val="22"/>
          <w:lang w:val="es-CR"/>
        </w:rPr>
      </w:pPr>
    </w:p>
    <w:p w14:paraId="18E2213E" w14:textId="77777777" w:rsidR="008B5F96" w:rsidRPr="008B5F96" w:rsidRDefault="008B5F96" w:rsidP="008B5F96">
      <w:pPr>
        <w:jc w:val="center"/>
        <w:rPr>
          <w:b/>
          <w:bCs/>
          <w:sz w:val="22"/>
          <w:szCs w:val="22"/>
          <w:lang w:val="es-CR"/>
        </w:rPr>
      </w:pPr>
      <w:r w:rsidRPr="008B5F96">
        <w:rPr>
          <w:b/>
          <w:bCs/>
          <w:sz w:val="22"/>
          <w:szCs w:val="22"/>
          <w:lang w:val="es-CR"/>
        </w:rPr>
        <w:t>CAPÍTULO I</w:t>
      </w:r>
    </w:p>
    <w:p w14:paraId="36220125" w14:textId="77777777" w:rsidR="008B5F96" w:rsidRPr="008B5F96" w:rsidRDefault="008B5F96" w:rsidP="008B5F96">
      <w:pPr>
        <w:jc w:val="center"/>
        <w:rPr>
          <w:b/>
          <w:bCs/>
          <w:sz w:val="22"/>
          <w:szCs w:val="22"/>
          <w:lang w:val="es-CR"/>
        </w:rPr>
      </w:pPr>
    </w:p>
    <w:p w14:paraId="5192B611" w14:textId="77777777" w:rsidR="008B5F96" w:rsidRPr="008B5F96" w:rsidRDefault="008B5F96" w:rsidP="008B5F96">
      <w:pPr>
        <w:jc w:val="center"/>
        <w:rPr>
          <w:b/>
          <w:bCs/>
          <w:sz w:val="22"/>
          <w:szCs w:val="22"/>
          <w:lang w:val="es-CR"/>
        </w:rPr>
      </w:pPr>
      <w:r w:rsidRPr="008B5F96">
        <w:rPr>
          <w:b/>
          <w:bCs/>
          <w:sz w:val="22"/>
          <w:szCs w:val="22"/>
          <w:lang w:val="es-CR"/>
        </w:rPr>
        <w:t>DISPOSICIONES GENERALES Y REQUISITOS PARA EL USO DE MODELOS INTERNOS</w:t>
      </w:r>
    </w:p>
    <w:p w14:paraId="045F8AEA" w14:textId="77777777" w:rsidR="008B5F96" w:rsidRPr="008B5F96" w:rsidRDefault="008B5F96" w:rsidP="008B5F96">
      <w:pPr>
        <w:jc w:val="center"/>
        <w:rPr>
          <w:b/>
          <w:bCs/>
          <w:sz w:val="22"/>
          <w:szCs w:val="22"/>
          <w:lang w:val="es-CR"/>
        </w:rPr>
      </w:pPr>
    </w:p>
    <w:p w14:paraId="6060D33A" w14:textId="327423CC" w:rsidR="008B5F96" w:rsidRPr="008B5F96" w:rsidRDefault="008B5F96" w:rsidP="008B5F96">
      <w:pPr>
        <w:jc w:val="both"/>
        <w:rPr>
          <w:b/>
          <w:bCs/>
          <w:sz w:val="22"/>
          <w:szCs w:val="22"/>
          <w:lang w:val="es-CR"/>
        </w:rPr>
      </w:pPr>
      <w:r w:rsidRPr="008B5F96">
        <w:rPr>
          <w:b/>
          <w:bCs/>
          <w:sz w:val="22"/>
          <w:szCs w:val="22"/>
          <w:lang w:val="es-CR"/>
        </w:rPr>
        <w:t>Artículo 27. Disposiciones generales para el uso de modelos internos</w:t>
      </w:r>
    </w:p>
    <w:p w14:paraId="7D9435F4" w14:textId="77777777" w:rsidR="008B5F96" w:rsidRPr="008B5F96" w:rsidRDefault="008B5F96" w:rsidP="008B5F96">
      <w:pPr>
        <w:jc w:val="both"/>
        <w:rPr>
          <w:b/>
          <w:bCs/>
          <w:sz w:val="22"/>
          <w:szCs w:val="22"/>
          <w:lang w:val="es-CR"/>
        </w:rPr>
      </w:pPr>
    </w:p>
    <w:p w14:paraId="39E6C255" w14:textId="77777777" w:rsidR="008B5F96" w:rsidRPr="008B5F96" w:rsidRDefault="008B5F96" w:rsidP="008B5F96">
      <w:pPr>
        <w:jc w:val="both"/>
        <w:rPr>
          <w:sz w:val="22"/>
          <w:szCs w:val="22"/>
          <w:lang w:val="es-CR"/>
        </w:rPr>
      </w:pPr>
      <w:r w:rsidRPr="008B5F96">
        <w:rPr>
          <w:sz w:val="22"/>
          <w:szCs w:val="22"/>
          <w:lang w:val="es-CR"/>
        </w:rPr>
        <w:lastRenderedPageBreak/>
        <w:t>Las entidades podrán optar por constituir las estimaciones específicas por riesgo de crédito a que se refiere el artículo 14 de este Reglamento utilizando modelos internos, una vez que cuenten con la no objeción por parte de la Superintendencia.</w:t>
      </w:r>
    </w:p>
    <w:p w14:paraId="64BA17E9" w14:textId="77777777" w:rsidR="008B5F96" w:rsidRPr="008B5F96" w:rsidRDefault="008B5F96" w:rsidP="008B5F96">
      <w:pPr>
        <w:jc w:val="both"/>
        <w:rPr>
          <w:sz w:val="22"/>
          <w:szCs w:val="22"/>
          <w:lang w:val="es-CR"/>
        </w:rPr>
      </w:pPr>
    </w:p>
    <w:p w14:paraId="52342819" w14:textId="77777777" w:rsidR="008B5F96" w:rsidRPr="008B5F96" w:rsidRDefault="008B5F96" w:rsidP="008B5F96">
      <w:pPr>
        <w:jc w:val="both"/>
        <w:rPr>
          <w:sz w:val="22"/>
          <w:szCs w:val="22"/>
          <w:lang w:val="es-CR"/>
        </w:rPr>
      </w:pPr>
      <w:r w:rsidRPr="008B5F96">
        <w:rPr>
          <w:sz w:val="22"/>
          <w:szCs w:val="22"/>
          <w:lang w:val="es-CR"/>
        </w:rPr>
        <w:t>Los modelos internos deben estar basados en el concepto de pérdida esperada, por lo que deben tener modelos específicos para la medición de las probabilidades de incumplimiento (PD), las pérdidas dado el incumplimiento (LGD) y las exposiciones al incumplimiento (EAD), esto para cada uno de los segmentos identificados en el artículo 5 de este Reglamento.</w:t>
      </w:r>
    </w:p>
    <w:p w14:paraId="35F33AD9" w14:textId="77777777" w:rsidR="008B5F96" w:rsidRPr="008B5F96" w:rsidRDefault="008B5F96" w:rsidP="008B5F96">
      <w:pPr>
        <w:jc w:val="both"/>
        <w:rPr>
          <w:sz w:val="22"/>
          <w:szCs w:val="22"/>
          <w:lang w:val="es-CR"/>
        </w:rPr>
      </w:pPr>
    </w:p>
    <w:p w14:paraId="4F2562A9" w14:textId="77777777" w:rsidR="008B5F96" w:rsidRPr="008B5F96" w:rsidRDefault="008B5F96" w:rsidP="008B5F96">
      <w:pPr>
        <w:jc w:val="both"/>
        <w:rPr>
          <w:sz w:val="22"/>
          <w:szCs w:val="22"/>
          <w:lang w:val="es-CR"/>
        </w:rPr>
      </w:pPr>
      <w:r w:rsidRPr="008B5F96">
        <w:rPr>
          <w:sz w:val="22"/>
          <w:szCs w:val="22"/>
          <w:lang w:val="es-CR"/>
        </w:rPr>
        <w:t>Adicionalmente, al tratarse de mediciones prospectivas, también se deben tener modelos internos para la proyección de variables macroeconómicas que se deben incorporar plenamente en la determinación de la pérdida esperada.</w:t>
      </w:r>
    </w:p>
    <w:p w14:paraId="6846C057" w14:textId="77777777" w:rsidR="008B5F96" w:rsidRPr="008B5F96" w:rsidRDefault="008B5F96" w:rsidP="008B5F96">
      <w:pPr>
        <w:jc w:val="both"/>
        <w:rPr>
          <w:sz w:val="22"/>
          <w:szCs w:val="22"/>
          <w:lang w:val="es-CR"/>
        </w:rPr>
      </w:pPr>
    </w:p>
    <w:p w14:paraId="7D4DA65D" w14:textId="77777777" w:rsidR="008B5F96" w:rsidRPr="008B5F96" w:rsidRDefault="008B5F96" w:rsidP="008B5F96">
      <w:pPr>
        <w:jc w:val="both"/>
        <w:rPr>
          <w:sz w:val="22"/>
          <w:szCs w:val="22"/>
          <w:lang w:val="es-CR"/>
        </w:rPr>
      </w:pPr>
      <w:r w:rsidRPr="008B5F96">
        <w:rPr>
          <w:sz w:val="22"/>
          <w:szCs w:val="22"/>
          <w:lang w:val="es-CR"/>
        </w:rPr>
        <w:t>Para efectos de la determinación de la estimación, no se permite que una misma exposición o segmento de cartera sea valorado parcialmente con el modelo estándar y parcialmente con modelos internos. En caso de que la entidad opte por implementar modelos internos, deberá aplicarlos de manera integral en todos los segmentos en los que tenga exposición, sin perjuicio de la obligación de continuar calculando el modelo estándar para fines de comparación y control prudencial, conforme a lo dispuesto en este Reglamento.</w:t>
      </w:r>
    </w:p>
    <w:p w14:paraId="26F4390B" w14:textId="77777777" w:rsidR="008B5F96" w:rsidRPr="008B5F96" w:rsidRDefault="008B5F96" w:rsidP="008B5F96">
      <w:pPr>
        <w:jc w:val="both"/>
        <w:rPr>
          <w:sz w:val="22"/>
          <w:szCs w:val="22"/>
          <w:lang w:val="es-CR"/>
        </w:rPr>
      </w:pPr>
    </w:p>
    <w:p w14:paraId="023D2D32" w14:textId="77777777" w:rsidR="008B5F96" w:rsidRPr="008B5F96" w:rsidRDefault="008B5F96" w:rsidP="008B5F96">
      <w:pPr>
        <w:jc w:val="both"/>
        <w:rPr>
          <w:sz w:val="22"/>
          <w:szCs w:val="22"/>
          <w:lang w:val="es-CR"/>
        </w:rPr>
      </w:pPr>
      <w:r w:rsidRPr="008B5F96">
        <w:rPr>
          <w:sz w:val="22"/>
          <w:szCs w:val="22"/>
          <w:lang w:val="es-CR"/>
        </w:rPr>
        <w:t>Una vez emitido el criterio de no objeción sobre el modelo interno, la entidad deberá garantizar el cumplimiento continuo de lo dispuesto en los lineamientos generales de este Reglamento sobre criterios para mantener su uso.</w:t>
      </w:r>
    </w:p>
    <w:p w14:paraId="7FFB949A" w14:textId="77777777" w:rsidR="008B5F96" w:rsidRPr="008B5F96" w:rsidRDefault="008B5F96" w:rsidP="008B5F96">
      <w:pPr>
        <w:jc w:val="both"/>
        <w:rPr>
          <w:sz w:val="22"/>
          <w:szCs w:val="22"/>
          <w:lang w:val="es-CR"/>
        </w:rPr>
      </w:pPr>
    </w:p>
    <w:p w14:paraId="7180D60D" w14:textId="77777777" w:rsidR="008B5F96" w:rsidRPr="008B5F96" w:rsidRDefault="008B5F96" w:rsidP="008B5F96">
      <w:pPr>
        <w:jc w:val="both"/>
        <w:rPr>
          <w:b/>
          <w:bCs/>
          <w:sz w:val="22"/>
          <w:szCs w:val="22"/>
          <w:lang w:val="es-CR"/>
        </w:rPr>
      </w:pPr>
      <w:r w:rsidRPr="008B5F96">
        <w:rPr>
          <w:b/>
          <w:bCs/>
          <w:sz w:val="22"/>
          <w:szCs w:val="22"/>
          <w:lang w:val="es-CR"/>
        </w:rPr>
        <w:t>Artículo 28. Requisitos de idoneidad para las entidades que optan por el uso de modelos internos</w:t>
      </w:r>
    </w:p>
    <w:p w14:paraId="76A09619" w14:textId="77777777" w:rsidR="008B5F96" w:rsidRPr="00D75655" w:rsidRDefault="008B5F96" w:rsidP="008B5F96">
      <w:pPr>
        <w:jc w:val="both"/>
        <w:rPr>
          <w:sz w:val="22"/>
          <w:szCs w:val="22"/>
          <w:lang w:val="es-CR"/>
        </w:rPr>
      </w:pPr>
    </w:p>
    <w:p w14:paraId="09AB3426" w14:textId="77777777" w:rsidR="008B5F96" w:rsidRPr="008B5F96" w:rsidRDefault="008B5F96" w:rsidP="008B5F96">
      <w:pPr>
        <w:jc w:val="both"/>
        <w:rPr>
          <w:sz w:val="22"/>
          <w:szCs w:val="22"/>
          <w:lang w:val="es-CR"/>
        </w:rPr>
      </w:pPr>
      <w:r w:rsidRPr="008B5F96">
        <w:rPr>
          <w:sz w:val="22"/>
          <w:szCs w:val="22"/>
          <w:lang w:val="es-CR"/>
        </w:rPr>
        <w:t>Al momento de presentar por primera vez la solicitud de no objeción para el uso de modelos internos, así como al finalizar el período de prueba de dichos modelos, la entidad deberá encontrarse calificada en condición de “Normalidad”, conforme a lo dispuesto en el Reglamento para calificar a las entidades supervisadas, Acuerdo Sugef 24-22.</w:t>
      </w:r>
    </w:p>
    <w:p w14:paraId="07FC3B0C" w14:textId="77777777" w:rsidR="008B5F96" w:rsidRPr="008B5F96" w:rsidRDefault="008B5F96" w:rsidP="008B5F96">
      <w:pPr>
        <w:jc w:val="both"/>
        <w:rPr>
          <w:sz w:val="22"/>
          <w:szCs w:val="22"/>
          <w:lang w:val="es-CR"/>
        </w:rPr>
      </w:pPr>
    </w:p>
    <w:p w14:paraId="7271F966" w14:textId="77777777" w:rsidR="008B5F96" w:rsidRPr="008B5F96" w:rsidRDefault="008B5F96" w:rsidP="008B5F96">
      <w:pPr>
        <w:jc w:val="both"/>
        <w:rPr>
          <w:sz w:val="22"/>
          <w:szCs w:val="22"/>
          <w:lang w:val="es-CR"/>
        </w:rPr>
      </w:pPr>
      <w:r w:rsidRPr="008B5F96">
        <w:rPr>
          <w:sz w:val="22"/>
          <w:szCs w:val="22"/>
          <w:lang w:val="es-CR"/>
        </w:rPr>
        <w:t>De forma simultánea, la entidad deberá contar con una calificación de nivel 2, como mínimo, en los rubros de Calidad de Gobierno Corporativo y Gestión de Riesgos, según lo establecido en el citado Reglamento.</w:t>
      </w:r>
    </w:p>
    <w:p w14:paraId="1979A72F" w14:textId="77777777" w:rsidR="008B5F96" w:rsidRPr="008B5F96" w:rsidRDefault="008B5F96" w:rsidP="008B5F96">
      <w:pPr>
        <w:jc w:val="both"/>
        <w:rPr>
          <w:sz w:val="22"/>
          <w:szCs w:val="22"/>
          <w:lang w:val="es-CR"/>
        </w:rPr>
      </w:pPr>
    </w:p>
    <w:p w14:paraId="6B0F638E" w14:textId="77777777" w:rsidR="008B5F96" w:rsidRPr="008B5F96" w:rsidRDefault="008B5F96" w:rsidP="008B5F96">
      <w:pPr>
        <w:jc w:val="both"/>
        <w:rPr>
          <w:sz w:val="22"/>
          <w:szCs w:val="22"/>
          <w:lang w:val="es-CR"/>
        </w:rPr>
      </w:pPr>
      <w:r w:rsidRPr="008B5F96">
        <w:rPr>
          <w:sz w:val="22"/>
          <w:szCs w:val="22"/>
          <w:lang w:val="es-CR"/>
        </w:rPr>
        <w:t>Si, con posterioridad al otorgamiento de la no objeción por parte de la Sugef para el uso de modelos internos, la entidad enfrenta cambios en estas condiciones, no se inhabilitará la utilización de dichos modelos, siempre y cuando la entidad cumpla estrictamente con todos los requerimientos establecidos en los lineamientos generales de este Reglamento para mantener el uso de los modelos.</w:t>
      </w:r>
    </w:p>
    <w:p w14:paraId="486B223E" w14:textId="77777777" w:rsidR="008B5F96" w:rsidRPr="008B5F96" w:rsidRDefault="008B5F96" w:rsidP="008B5F96">
      <w:pPr>
        <w:jc w:val="both"/>
        <w:rPr>
          <w:sz w:val="22"/>
          <w:szCs w:val="22"/>
          <w:lang w:val="es-CR"/>
        </w:rPr>
      </w:pPr>
    </w:p>
    <w:p w14:paraId="510D6E7A" w14:textId="5FB805CC" w:rsidR="008B5F96" w:rsidRPr="008B5F96" w:rsidRDefault="008B5F96" w:rsidP="008B5F96">
      <w:pPr>
        <w:jc w:val="both"/>
        <w:rPr>
          <w:b/>
          <w:bCs/>
          <w:sz w:val="22"/>
          <w:szCs w:val="22"/>
          <w:lang w:val="es-CR"/>
        </w:rPr>
      </w:pPr>
      <w:r w:rsidRPr="008B5F96">
        <w:rPr>
          <w:b/>
          <w:bCs/>
          <w:sz w:val="22"/>
          <w:szCs w:val="22"/>
          <w:lang w:val="es-CR"/>
        </w:rPr>
        <w:t>Artículo 29. Proceso para la solicitud de no objeción al uso de modelos internos</w:t>
      </w:r>
    </w:p>
    <w:p w14:paraId="0B5422E1" w14:textId="77777777" w:rsidR="008B5F96" w:rsidRPr="00D75655" w:rsidRDefault="008B5F96" w:rsidP="008B5F96">
      <w:pPr>
        <w:jc w:val="both"/>
        <w:rPr>
          <w:sz w:val="22"/>
          <w:szCs w:val="22"/>
          <w:lang w:val="es-CR"/>
        </w:rPr>
      </w:pPr>
    </w:p>
    <w:p w14:paraId="35CABC13" w14:textId="77777777" w:rsidR="008B5F96" w:rsidRPr="008B5F96" w:rsidRDefault="008B5F96" w:rsidP="008B5F96">
      <w:pPr>
        <w:jc w:val="both"/>
        <w:rPr>
          <w:sz w:val="22"/>
          <w:szCs w:val="22"/>
          <w:lang w:val="es-CR"/>
        </w:rPr>
      </w:pPr>
      <w:r w:rsidRPr="008B5F96">
        <w:rPr>
          <w:sz w:val="22"/>
          <w:szCs w:val="22"/>
          <w:lang w:val="es-CR"/>
        </w:rPr>
        <w:t>La entidad que desee iniciar el trámite de no objeción para el uso de modelos internos deberá manifestar formalmente su intención mediante un oficio dirigido a la Superintendencia. La fecha de recepción de esa solicitud será considerada como T</w:t>
      </w:r>
      <w:r w:rsidRPr="008B5F96">
        <w:rPr>
          <w:sz w:val="22"/>
          <w:szCs w:val="22"/>
          <w:vertAlign w:val="subscript"/>
          <w:lang w:val="es-CR"/>
        </w:rPr>
        <w:t>0</w:t>
      </w:r>
      <w:r w:rsidRPr="008B5F96">
        <w:rPr>
          <w:sz w:val="22"/>
          <w:szCs w:val="22"/>
          <w:lang w:val="es-CR"/>
        </w:rPr>
        <w:t>. En T</w:t>
      </w:r>
      <w:r w:rsidRPr="008B5F96">
        <w:rPr>
          <w:sz w:val="22"/>
          <w:szCs w:val="22"/>
          <w:vertAlign w:val="subscript"/>
          <w:lang w:val="es-CR"/>
        </w:rPr>
        <w:t>0</w:t>
      </w:r>
      <w:r w:rsidRPr="008B5F96">
        <w:rPr>
          <w:sz w:val="22"/>
          <w:szCs w:val="22"/>
          <w:lang w:val="es-CR"/>
        </w:rPr>
        <w:t>, la entidad no debe presentar documentación ni evidencias.</w:t>
      </w:r>
    </w:p>
    <w:p w14:paraId="3D9DF06E" w14:textId="77777777" w:rsidR="008B5F96" w:rsidRPr="008B5F96" w:rsidRDefault="008B5F96" w:rsidP="008B5F96">
      <w:pPr>
        <w:jc w:val="both"/>
        <w:rPr>
          <w:sz w:val="22"/>
          <w:szCs w:val="22"/>
          <w:lang w:val="es-CR"/>
        </w:rPr>
      </w:pPr>
    </w:p>
    <w:p w14:paraId="6F1D8965" w14:textId="2C8E073A" w:rsidR="008B5F96" w:rsidRPr="008B5F96" w:rsidRDefault="008B5F96" w:rsidP="008B5F96">
      <w:pPr>
        <w:jc w:val="both"/>
        <w:rPr>
          <w:sz w:val="22"/>
          <w:szCs w:val="22"/>
          <w:lang w:val="es-CR"/>
        </w:rPr>
      </w:pPr>
      <w:r w:rsidRPr="008B5F96">
        <w:rPr>
          <w:sz w:val="22"/>
          <w:szCs w:val="22"/>
          <w:lang w:val="es-CR"/>
        </w:rPr>
        <w:t>A partir de T</w:t>
      </w:r>
      <w:r w:rsidRPr="008B5F96">
        <w:rPr>
          <w:sz w:val="22"/>
          <w:szCs w:val="22"/>
          <w:vertAlign w:val="subscript"/>
          <w:lang w:val="es-CR"/>
        </w:rPr>
        <w:t>0</w:t>
      </w:r>
      <w:r w:rsidRPr="008B5F96">
        <w:rPr>
          <w:sz w:val="22"/>
          <w:szCs w:val="22"/>
          <w:lang w:val="es-CR"/>
        </w:rPr>
        <w:t>, inicia el período de 24 meses durante el cual la entidad deberá monitorear el buen desempeño del modelo y asegurar su consistencia en la determinación de las pérdidas esperadas.</w:t>
      </w:r>
    </w:p>
    <w:p w14:paraId="5B2CD4EF" w14:textId="77777777" w:rsidR="008B5F96" w:rsidRPr="008B5F96" w:rsidRDefault="008B5F96" w:rsidP="008B5F96">
      <w:pPr>
        <w:jc w:val="both"/>
        <w:rPr>
          <w:sz w:val="22"/>
          <w:szCs w:val="22"/>
          <w:lang w:val="es-CR"/>
        </w:rPr>
      </w:pPr>
    </w:p>
    <w:p w14:paraId="61F1CEBB" w14:textId="31C3591F" w:rsidR="008B5F96" w:rsidRPr="008B5F96" w:rsidRDefault="008B5F96" w:rsidP="008B5F96">
      <w:pPr>
        <w:jc w:val="both"/>
        <w:rPr>
          <w:sz w:val="22"/>
          <w:szCs w:val="22"/>
          <w:lang w:val="es-CR"/>
        </w:rPr>
      </w:pPr>
      <w:r w:rsidRPr="008B5F96">
        <w:rPr>
          <w:sz w:val="22"/>
          <w:szCs w:val="22"/>
          <w:lang w:val="es-CR"/>
        </w:rPr>
        <w:lastRenderedPageBreak/>
        <w:t>Al finalizar dicho período, la entidad deberá remitir a la Superintendencia toda la documentación requerida para la no objeción al uso de los modelos internos, incluyendo las evaluaciones realizadas a lo largo de los 24 meses.</w:t>
      </w:r>
    </w:p>
    <w:p w14:paraId="1494CA15" w14:textId="77777777" w:rsidR="008B5F96" w:rsidRPr="008B5F96" w:rsidRDefault="008B5F96" w:rsidP="008B5F96">
      <w:pPr>
        <w:jc w:val="both"/>
        <w:rPr>
          <w:sz w:val="22"/>
          <w:szCs w:val="22"/>
          <w:lang w:val="es-CR"/>
        </w:rPr>
      </w:pPr>
    </w:p>
    <w:p w14:paraId="2B193B8E" w14:textId="77777777" w:rsidR="008B5F96" w:rsidRPr="008B5F96" w:rsidRDefault="008B5F96" w:rsidP="008B5F96">
      <w:pPr>
        <w:jc w:val="both"/>
        <w:rPr>
          <w:sz w:val="22"/>
          <w:szCs w:val="22"/>
          <w:lang w:val="es-CR"/>
        </w:rPr>
      </w:pPr>
      <w:r w:rsidRPr="008B5F96">
        <w:rPr>
          <w:sz w:val="22"/>
          <w:szCs w:val="22"/>
          <w:lang w:val="es-CR"/>
        </w:rPr>
        <w:t>Estos documentos deberán contener información actualizada al corte de T</w:t>
      </w:r>
      <w:r w:rsidRPr="008B5F96">
        <w:rPr>
          <w:sz w:val="22"/>
          <w:szCs w:val="22"/>
          <w:vertAlign w:val="subscript"/>
          <w:lang w:val="es-CR"/>
        </w:rPr>
        <w:t>24</w:t>
      </w:r>
      <w:r w:rsidRPr="008B5F96">
        <w:rPr>
          <w:sz w:val="22"/>
          <w:szCs w:val="22"/>
          <w:lang w:val="es-CR"/>
        </w:rPr>
        <w:t>. T</w:t>
      </w:r>
      <w:r w:rsidRPr="008B5F96">
        <w:rPr>
          <w:sz w:val="22"/>
          <w:szCs w:val="22"/>
          <w:vertAlign w:val="subscript"/>
          <w:lang w:val="es-CR"/>
        </w:rPr>
        <w:t xml:space="preserve">24 </w:t>
      </w:r>
      <w:r w:rsidRPr="008B5F96">
        <w:rPr>
          <w:sz w:val="22"/>
          <w:szCs w:val="22"/>
          <w:lang w:val="es-CR"/>
        </w:rPr>
        <w:t>marcará el inicio del plazo que tiene la Superintendencia para comunicar la decisión correspondiente, conforme a lo establecido en el artículo 30 de este Reglamento.</w:t>
      </w:r>
    </w:p>
    <w:p w14:paraId="020E8BB5" w14:textId="77777777" w:rsidR="008B5F96" w:rsidRPr="008B5F96" w:rsidRDefault="008B5F96" w:rsidP="008B5F96">
      <w:pPr>
        <w:jc w:val="both"/>
        <w:rPr>
          <w:sz w:val="22"/>
          <w:szCs w:val="22"/>
          <w:lang w:val="es-CR"/>
        </w:rPr>
      </w:pPr>
    </w:p>
    <w:p w14:paraId="03125F6C" w14:textId="77777777" w:rsidR="008B5F96" w:rsidRPr="008B5F96" w:rsidRDefault="008B5F96" w:rsidP="008B5F96">
      <w:pPr>
        <w:jc w:val="both"/>
        <w:rPr>
          <w:b/>
          <w:bCs/>
          <w:sz w:val="22"/>
          <w:szCs w:val="22"/>
          <w:lang w:val="es-CR"/>
        </w:rPr>
      </w:pPr>
      <w:r w:rsidRPr="008B5F96">
        <w:rPr>
          <w:b/>
          <w:bCs/>
          <w:sz w:val="22"/>
          <w:szCs w:val="22"/>
          <w:lang w:val="es-CR"/>
        </w:rPr>
        <w:t>Artículo 30. Resolución sobre uso de modelos internos</w:t>
      </w:r>
    </w:p>
    <w:p w14:paraId="72E35C58" w14:textId="77777777" w:rsidR="008B5F96" w:rsidRPr="00F572BA" w:rsidRDefault="008B5F96" w:rsidP="008B5F96">
      <w:pPr>
        <w:jc w:val="both"/>
        <w:rPr>
          <w:sz w:val="22"/>
          <w:szCs w:val="22"/>
          <w:lang w:val="es-CR"/>
        </w:rPr>
      </w:pPr>
    </w:p>
    <w:p w14:paraId="175A8FF5" w14:textId="77777777" w:rsidR="008B5F96" w:rsidRPr="008B5F96" w:rsidRDefault="008B5F96" w:rsidP="008B5F96">
      <w:pPr>
        <w:jc w:val="both"/>
        <w:rPr>
          <w:sz w:val="22"/>
          <w:szCs w:val="22"/>
          <w:lang w:val="es-CR"/>
        </w:rPr>
      </w:pPr>
      <w:r w:rsidRPr="008B5F96">
        <w:rPr>
          <w:sz w:val="22"/>
          <w:szCs w:val="22"/>
          <w:lang w:val="es-CR"/>
        </w:rPr>
        <w:t>Una vez recibida por la Superintendencia la solicitud de la entidad para admitir el uso de modelos internos (T</w:t>
      </w:r>
      <w:r w:rsidRPr="008B5F96">
        <w:rPr>
          <w:sz w:val="22"/>
          <w:szCs w:val="22"/>
          <w:vertAlign w:val="subscript"/>
          <w:lang w:val="es-CR"/>
        </w:rPr>
        <w:t>0</w:t>
      </w:r>
      <w:r w:rsidRPr="008B5F96">
        <w:rPr>
          <w:sz w:val="22"/>
          <w:szCs w:val="22"/>
          <w:lang w:val="es-CR"/>
        </w:rPr>
        <w:t>), y valorada a satisfacción de la Superintendencia, los criterios establecidos en los lineamientos generales de este Reglamento para la no objeción por primera vez (T</w:t>
      </w:r>
      <w:r w:rsidRPr="008B5F96">
        <w:rPr>
          <w:sz w:val="22"/>
          <w:szCs w:val="22"/>
          <w:vertAlign w:val="subscript"/>
          <w:lang w:val="es-CR"/>
        </w:rPr>
        <w:t>24</w:t>
      </w:r>
      <w:r w:rsidRPr="008B5F96">
        <w:rPr>
          <w:sz w:val="22"/>
          <w:szCs w:val="22"/>
          <w:lang w:val="es-CR"/>
        </w:rPr>
        <w:t>), la Superintendencia deberá, en un plazo no mayor a 90 días hábiles, a partir de la fecha de entrega de la documentación completa por parte de la entidad financiera, emitir alguna de las siguientes resoluciones:</w:t>
      </w:r>
    </w:p>
    <w:p w14:paraId="08515CE2" w14:textId="77777777" w:rsidR="008B5F96" w:rsidRPr="008B5F96" w:rsidRDefault="008B5F96" w:rsidP="008B5F96">
      <w:pPr>
        <w:jc w:val="both"/>
        <w:rPr>
          <w:sz w:val="22"/>
          <w:szCs w:val="22"/>
          <w:lang w:val="es-CR"/>
        </w:rPr>
      </w:pPr>
    </w:p>
    <w:p w14:paraId="34650A64"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r>
      <w:r w:rsidRPr="008B5F96">
        <w:rPr>
          <w:b/>
          <w:bCs/>
          <w:sz w:val="22"/>
          <w:szCs w:val="22"/>
          <w:lang w:val="es-CR"/>
        </w:rPr>
        <w:t>Resolución de no objeción,</w:t>
      </w:r>
      <w:r w:rsidRPr="008B5F96">
        <w:rPr>
          <w:sz w:val="22"/>
          <w:szCs w:val="22"/>
          <w:lang w:val="es-CR"/>
        </w:rPr>
        <w:t xml:space="preserve"> en este caso, la entidad podrá registrar, con contrapartida en la cuenta de resultados, al cierre de cada mes, el monto de estimaciones calculado mediante el modelo interno.</w:t>
      </w:r>
    </w:p>
    <w:p w14:paraId="234C7253" w14:textId="77777777" w:rsidR="008B5F96" w:rsidRPr="008B5F96" w:rsidRDefault="008B5F96" w:rsidP="008B5F96">
      <w:pPr>
        <w:ind w:left="360"/>
        <w:contextualSpacing/>
        <w:jc w:val="both"/>
        <w:rPr>
          <w:sz w:val="22"/>
          <w:szCs w:val="22"/>
          <w:lang w:val="es-CR"/>
        </w:rPr>
      </w:pPr>
    </w:p>
    <w:p w14:paraId="46CAA561" w14:textId="77777777" w:rsidR="008B5F96" w:rsidRPr="008B5F96" w:rsidRDefault="008B5F96" w:rsidP="008B5F96">
      <w:pPr>
        <w:ind w:left="360"/>
        <w:jc w:val="both"/>
        <w:rPr>
          <w:sz w:val="22"/>
          <w:szCs w:val="22"/>
          <w:lang w:val="es-CR"/>
        </w:rPr>
      </w:pPr>
      <w:r w:rsidRPr="008B5F96">
        <w:rPr>
          <w:sz w:val="22"/>
          <w:szCs w:val="22"/>
          <w:lang w:val="es-CR"/>
        </w:rPr>
        <w:t>A partir de la fecha de inicio de la aplicación de dicho modelo, la entidad deberá informar mensualmente a la Superintendencia, por los mecanismos que esta defina, el monto de estimaciones calculado utilizando el modelo interno y el monto de estimaciones resultante de aplicar el modelo estándar.</w:t>
      </w:r>
    </w:p>
    <w:p w14:paraId="67376229" w14:textId="77777777" w:rsidR="008B5F96" w:rsidRPr="008B5F96" w:rsidRDefault="008B5F96" w:rsidP="008B5F96">
      <w:pPr>
        <w:ind w:left="360"/>
        <w:jc w:val="both"/>
        <w:rPr>
          <w:sz w:val="22"/>
          <w:szCs w:val="22"/>
          <w:lang w:val="es-CR"/>
        </w:rPr>
      </w:pPr>
    </w:p>
    <w:p w14:paraId="52BDBCA0" w14:textId="77777777" w:rsidR="008B5F96" w:rsidRPr="008B5F96" w:rsidRDefault="008B5F96" w:rsidP="008B5F96">
      <w:pPr>
        <w:ind w:left="360"/>
        <w:jc w:val="both"/>
        <w:rPr>
          <w:sz w:val="22"/>
          <w:szCs w:val="22"/>
          <w:lang w:val="es-CR"/>
        </w:rPr>
      </w:pPr>
      <w:r w:rsidRPr="008B5F96">
        <w:rPr>
          <w:sz w:val="22"/>
          <w:szCs w:val="22"/>
          <w:lang w:val="es-CR"/>
        </w:rPr>
        <w:t>Asimismo, la entidad deberá continuar reportando a la Superintendencia la información crediticia requerida mediante el SICVECA, en los plazos y formatos definidos por dicha autoridad. Una vez emitida la resolución de no objeción y conforme a la normativa contable aplicable, la entidad deberá reversar el saldo de la subcuenta 34402M00 – Reservas para cartera de crédito, de la misma manera como fue creada, es decir contra utilidades retenidas o excedentes acumulados.</w:t>
      </w:r>
    </w:p>
    <w:p w14:paraId="53FA1805" w14:textId="77777777" w:rsidR="008B5F96" w:rsidRPr="008B5F96" w:rsidRDefault="008B5F96" w:rsidP="008B5F96">
      <w:pPr>
        <w:ind w:left="360"/>
        <w:jc w:val="both"/>
        <w:rPr>
          <w:sz w:val="22"/>
          <w:szCs w:val="22"/>
          <w:lang w:val="es-CR"/>
        </w:rPr>
      </w:pPr>
    </w:p>
    <w:p w14:paraId="3C78661D" w14:textId="77777777" w:rsidR="008B5F96" w:rsidRPr="008B5F96" w:rsidRDefault="008B5F96" w:rsidP="008B5F96">
      <w:pPr>
        <w:ind w:left="360"/>
        <w:jc w:val="both"/>
        <w:rPr>
          <w:sz w:val="22"/>
          <w:szCs w:val="22"/>
          <w:lang w:val="es-CR"/>
        </w:rPr>
      </w:pPr>
      <w:r w:rsidRPr="008B5F96">
        <w:rPr>
          <w:sz w:val="22"/>
          <w:szCs w:val="22"/>
          <w:lang w:val="es-CR"/>
        </w:rPr>
        <w:t>El tratamiento contable de las estimaciones cuando se utilicen modelos internos se regirá por lo dispuesto en el artículo 35 de este Reglamento.</w:t>
      </w:r>
    </w:p>
    <w:p w14:paraId="71F22865" w14:textId="77777777" w:rsidR="008B5F96" w:rsidRPr="008B5F96" w:rsidRDefault="008B5F96" w:rsidP="008B5F96">
      <w:pPr>
        <w:ind w:left="360"/>
        <w:jc w:val="both"/>
        <w:rPr>
          <w:sz w:val="22"/>
          <w:szCs w:val="22"/>
          <w:lang w:val="es-CR"/>
        </w:rPr>
      </w:pPr>
    </w:p>
    <w:p w14:paraId="72049DEE"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r>
      <w:r w:rsidRPr="008B5F96">
        <w:rPr>
          <w:b/>
          <w:bCs/>
          <w:sz w:val="22"/>
          <w:szCs w:val="22"/>
          <w:lang w:val="es-CR"/>
        </w:rPr>
        <w:t>Resolución de objeción</w:t>
      </w:r>
      <w:r w:rsidRPr="008B5F96">
        <w:rPr>
          <w:sz w:val="22"/>
          <w:szCs w:val="22"/>
          <w:lang w:val="es-CR"/>
        </w:rPr>
        <w:t>, en cuyo caso, la entidad podrá solventar las debilidades indicadas por la Superintendencia, en el plazo que defina e informe a la Sugef la propia entidad y presentar nuevamente a la Superintendencia la solicitud de no objeción para el uso de modelos internos (T</w:t>
      </w:r>
      <w:r w:rsidRPr="008B5F96">
        <w:rPr>
          <w:sz w:val="22"/>
          <w:szCs w:val="22"/>
          <w:vertAlign w:val="subscript"/>
          <w:lang w:val="es-CR"/>
        </w:rPr>
        <w:t>0</w:t>
      </w:r>
      <w:r w:rsidRPr="008B5F96">
        <w:rPr>
          <w:sz w:val="22"/>
          <w:szCs w:val="22"/>
          <w:lang w:val="es-CR"/>
        </w:rPr>
        <w:t>). Una vez que la entidad ha corregido las debilidades señaladas, deberá transcurrir un período de prueba del modelo interno corregido de veinticuatro (24) meses.</w:t>
      </w:r>
    </w:p>
    <w:p w14:paraId="362B9B63" w14:textId="77777777" w:rsidR="008B5F96" w:rsidRPr="008B5F96" w:rsidRDefault="008B5F96" w:rsidP="008B5F96">
      <w:pPr>
        <w:ind w:left="360"/>
        <w:contextualSpacing/>
        <w:jc w:val="both"/>
        <w:rPr>
          <w:sz w:val="22"/>
          <w:szCs w:val="22"/>
          <w:lang w:val="es-CR"/>
        </w:rPr>
      </w:pPr>
    </w:p>
    <w:p w14:paraId="41F4FC68" w14:textId="77777777" w:rsidR="008B5F96" w:rsidRPr="008B5F96" w:rsidRDefault="008B5F96" w:rsidP="008B5F96">
      <w:pPr>
        <w:ind w:left="360"/>
        <w:jc w:val="both"/>
        <w:rPr>
          <w:sz w:val="22"/>
          <w:szCs w:val="22"/>
          <w:lang w:val="es-CR"/>
        </w:rPr>
      </w:pPr>
      <w:r w:rsidRPr="008B5F96">
        <w:rPr>
          <w:sz w:val="22"/>
          <w:szCs w:val="22"/>
          <w:lang w:val="es-CR"/>
        </w:rPr>
        <w:t>Al término de dicho plazo, la entidad deberá cumplir nuevamente con todos los requisitos establecidos en los lineamientos generales de este Reglamento para la no objeción por primera vez, a fin de que la Superintendencia emita un nuevo criterio en el plazo indicado al inicio de este artículo.</w:t>
      </w:r>
    </w:p>
    <w:p w14:paraId="6E83FAA5" w14:textId="77777777" w:rsidR="008B5F96" w:rsidRPr="008B5F96" w:rsidRDefault="008B5F96" w:rsidP="008B5F96">
      <w:pPr>
        <w:ind w:left="360"/>
        <w:jc w:val="both"/>
        <w:rPr>
          <w:sz w:val="22"/>
          <w:szCs w:val="22"/>
          <w:lang w:val="es-CR"/>
        </w:rPr>
      </w:pPr>
      <w:r w:rsidRPr="008B5F96">
        <w:rPr>
          <w:sz w:val="22"/>
          <w:szCs w:val="22"/>
          <w:lang w:val="es-CR"/>
        </w:rPr>
        <w:t>Durante este proceso, la entidad deberá continuar aplicando el modelo estándar hasta que obtenga la resolución de no objeción sobre el uso del modelo interno.</w:t>
      </w:r>
    </w:p>
    <w:p w14:paraId="5833761D" w14:textId="078E7673" w:rsidR="00F572BA" w:rsidRDefault="00F572BA">
      <w:pPr>
        <w:rPr>
          <w:sz w:val="22"/>
          <w:szCs w:val="22"/>
          <w:lang w:val="es-CR"/>
        </w:rPr>
      </w:pPr>
      <w:r>
        <w:rPr>
          <w:sz w:val="22"/>
          <w:szCs w:val="22"/>
          <w:lang w:val="es-CR"/>
        </w:rPr>
        <w:br w:type="page"/>
      </w:r>
    </w:p>
    <w:p w14:paraId="49471F36" w14:textId="77777777" w:rsidR="008B5F96" w:rsidRPr="008B5F96" w:rsidRDefault="008B5F96" w:rsidP="008B5F96">
      <w:pPr>
        <w:jc w:val="both"/>
        <w:rPr>
          <w:b/>
          <w:bCs/>
          <w:sz w:val="22"/>
          <w:szCs w:val="22"/>
          <w:lang w:val="es-CR"/>
        </w:rPr>
      </w:pPr>
      <w:r w:rsidRPr="008B5F96">
        <w:rPr>
          <w:b/>
          <w:bCs/>
          <w:sz w:val="22"/>
          <w:szCs w:val="22"/>
          <w:lang w:val="es-CR"/>
        </w:rPr>
        <w:lastRenderedPageBreak/>
        <w:t>Artículo 31. Evaluación del modelo por parte de un experto independiente</w:t>
      </w:r>
    </w:p>
    <w:p w14:paraId="48852AF1" w14:textId="77777777" w:rsidR="008B5F96" w:rsidRPr="00F572BA" w:rsidRDefault="008B5F96" w:rsidP="008B5F96">
      <w:pPr>
        <w:jc w:val="both"/>
        <w:rPr>
          <w:sz w:val="22"/>
          <w:szCs w:val="22"/>
          <w:lang w:val="es-CR"/>
        </w:rPr>
      </w:pPr>
    </w:p>
    <w:p w14:paraId="37CD2E9A" w14:textId="77777777" w:rsidR="008B5F96" w:rsidRPr="008B5F96" w:rsidRDefault="008B5F96" w:rsidP="008B5F96">
      <w:pPr>
        <w:jc w:val="both"/>
        <w:rPr>
          <w:sz w:val="22"/>
          <w:szCs w:val="22"/>
          <w:lang w:val="es-CR"/>
        </w:rPr>
      </w:pPr>
      <w:r w:rsidRPr="008B5F96">
        <w:rPr>
          <w:sz w:val="22"/>
          <w:szCs w:val="22"/>
          <w:lang w:val="es-CR"/>
        </w:rPr>
        <w:t>Para efectos de la no objeción al uso del modelo interno, este deberá ser evaluado por un experto independiente, cuya idoneidad deberá ser verificada por la entidad conforme a los criterios de elegibilidad que defina la Superintendencia en los lineamientos de este Reglamento para la idoneidad del experto independiente.</w:t>
      </w:r>
    </w:p>
    <w:p w14:paraId="5581959F" w14:textId="77777777" w:rsidR="008B5F96" w:rsidRPr="008B5F96" w:rsidRDefault="008B5F96" w:rsidP="008B5F96">
      <w:pPr>
        <w:jc w:val="both"/>
        <w:rPr>
          <w:sz w:val="22"/>
          <w:szCs w:val="22"/>
          <w:lang w:val="es-CR"/>
        </w:rPr>
      </w:pPr>
    </w:p>
    <w:p w14:paraId="6755E022" w14:textId="77777777" w:rsidR="008B5F96" w:rsidRPr="008B5F96" w:rsidRDefault="008B5F96" w:rsidP="008B5F96">
      <w:pPr>
        <w:jc w:val="both"/>
        <w:rPr>
          <w:sz w:val="22"/>
          <w:szCs w:val="22"/>
          <w:lang w:val="es-CR"/>
        </w:rPr>
      </w:pPr>
      <w:r w:rsidRPr="008B5F96">
        <w:rPr>
          <w:sz w:val="22"/>
          <w:szCs w:val="22"/>
          <w:lang w:val="es-CR"/>
        </w:rPr>
        <w:t>El alcance de la revisión del experto independiente deberá cubrir en su totalidad los requisitos establecidos en el lineamiento “Criterios para la no objeción por primera vez al uso de modelos internos”. El experto independiente deberá rendir un informe detallado, en el que se aborden de manera completa cada uno de los aspectos revisados.</w:t>
      </w:r>
    </w:p>
    <w:p w14:paraId="64845D5A" w14:textId="77777777" w:rsidR="008B5F96" w:rsidRPr="008B5F96" w:rsidRDefault="008B5F96" w:rsidP="008B5F96">
      <w:pPr>
        <w:jc w:val="both"/>
        <w:rPr>
          <w:sz w:val="22"/>
          <w:szCs w:val="22"/>
          <w:lang w:val="es-CR"/>
        </w:rPr>
      </w:pPr>
    </w:p>
    <w:p w14:paraId="44FE4034" w14:textId="77777777" w:rsidR="008B5F96" w:rsidRPr="008B5F96" w:rsidRDefault="008B5F96" w:rsidP="008B5F96">
      <w:pPr>
        <w:jc w:val="both"/>
        <w:rPr>
          <w:sz w:val="22"/>
          <w:szCs w:val="22"/>
          <w:lang w:val="es-CR"/>
        </w:rPr>
      </w:pPr>
      <w:r w:rsidRPr="008B5F96">
        <w:rPr>
          <w:sz w:val="22"/>
          <w:szCs w:val="22"/>
          <w:lang w:val="es-CR"/>
        </w:rPr>
        <w:t>La falta de revisión de alguno de los rubros indicados en dicho lineamiento por parte del experto independiente constituirá motivo suficiente para que la Superintendencia emita una resolución de objeción.</w:t>
      </w:r>
    </w:p>
    <w:p w14:paraId="68F1E40E" w14:textId="77777777" w:rsidR="008B5F96" w:rsidRPr="008B5F96" w:rsidRDefault="008B5F96" w:rsidP="008B5F96">
      <w:pPr>
        <w:jc w:val="both"/>
        <w:rPr>
          <w:sz w:val="22"/>
          <w:szCs w:val="22"/>
          <w:lang w:val="es-CR"/>
        </w:rPr>
      </w:pPr>
    </w:p>
    <w:p w14:paraId="22C6CCC5" w14:textId="77777777" w:rsidR="008B5F96" w:rsidRPr="008B5F96" w:rsidRDefault="008B5F96" w:rsidP="008B5F96">
      <w:pPr>
        <w:jc w:val="both"/>
        <w:rPr>
          <w:sz w:val="22"/>
          <w:szCs w:val="22"/>
          <w:lang w:val="es-CR"/>
        </w:rPr>
      </w:pPr>
      <w:r w:rsidRPr="008B5F96">
        <w:rPr>
          <w:sz w:val="22"/>
          <w:szCs w:val="22"/>
          <w:lang w:val="es-CR"/>
        </w:rPr>
        <w:t>Asimismo, para que la entidad pueda mantener el uso de los modelos internos con posterioridad a la no objeción, el experto independiente deberá remitir a la Superintendencia un informe cada dos años, cuyo alcance deberá cubrir las disposiciones establecidas en el lineamiento de “Criterios para mantener la no objeción al uso de modelos internos”.</w:t>
      </w:r>
    </w:p>
    <w:p w14:paraId="3FAA79AF" w14:textId="77777777" w:rsidR="008B5F96" w:rsidRPr="008B5F96" w:rsidRDefault="008B5F96" w:rsidP="008B5F96">
      <w:pPr>
        <w:jc w:val="both"/>
        <w:rPr>
          <w:sz w:val="22"/>
          <w:szCs w:val="22"/>
          <w:lang w:val="es-CR"/>
        </w:rPr>
      </w:pPr>
    </w:p>
    <w:p w14:paraId="0A0AF96E" w14:textId="77777777" w:rsidR="008B5F96" w:rsidRPr="008B5F96" w:rsidRDefault="008B5F96" w:rsidP="008B5F96">
      <w:pPr>
        <w:jc w:val="both"/>
        <w:rPr>
          <w:sz w:val="22"/>
          <w:szCs w:val="22"/>
          <w:lang w:val="es-CR"/>
        </w:rPr>
      </w:pPr>
      <w:r w:rsidRPr="008B5F96">
        <w:rPr>
          <w:sz w:val="22"/>
          <w:szCs w:val="22"/>
          <w:lang w:val="es-CR"/>
        </w:rPr>
        <w:t>La profundidad del trabajo a realizar por parte del experto independiente no deberá limitarse solamente a la verificación del cumplimiento de los aspectos evaluados. Por el contrario, se debe realizar una inspección técnica exhaustiva, que incluya revisiones de campo y la ejecución de pruebas específicas, tanto a nivel de calidad de datos como del cumplimiento de supuestos estadísticos que garanticen la correcta calibración de los modelos.</w:t>
      </w:r>
    </w:p>
    <w:p w14:paraId="620FB60B" w14:textId="77777777" w:rsidR="008B5F96" w:rsidRPr="008B5F96" w:rsidRDefault="008B5F96" w:rsidP="008B5F96">
      <w:pPr>
        <w:jc w:val="both"/>
        <w:rPr>
          <w:sz w:val="22"/>
          <w:szCs w:val="22"/>
          <w:lang w:val="es-CR"/>
        </w:rPr>
      </w:pPr>
    </w:p>
    <w:p w14:paraId="0FC7AFF9" w14:textId="77777777" w:rsidR="008B5F96" w:rsidRPr="008B5F96" w:rsidRDefault="008B5F96" w:rsidP="008B5F96">
      <w:pPr>
        <w:jc w:val="both"/>
        <w:rPr>
          <w:sz w:val="22"/>
          <w:szCs w:val="22"/>
          <w:lang w:val="es-CR"/>
        </w:rPr>
      </w:pPr>
      <w:r w:rsidRPr="008B5F96">
        <w:rPr>
          <w:sz w:val="22"/>
          <w:szCs w:val="22"/>
          <w:lang w:val="es-CR"/>
        </w:rPr>
        <w:t>Asimismo, el informe que brinde el experto independiente deberá incluir una evaluación del entorno tecnológico, detallando la arquitectura tecnológica, los sistemas fuente (otorgamiento, gestión, seguimiento, entre otros), los procesos destinados a la extracción de la información requerida desde dichos sistemas y los controles asociados.</w:t>
      </w:r>
    </w:p>
    <w:p w14:paraId="7AB68D1D" w14:textId="77777777" w:rsidR="008B5F96" w:rsidRPr="008B5F96" w:rsidRDefault="008B5F96" w:rsidP="008B5F96">
      <w:pPr>
        <w:jc w:val="both"/>
        <w:rPr>
          <w:sz w:val="22"/>
          <w:szCs w:val="22"/>
          <w:lang w:val="es-CR"/>
        </w:rPr>
      </w:pPr>
    </w:p>
    <w:p w14:paraId="55E851EC" w14:textId="77777777" w:rsidR="008B5F96" w:rsidRPr="008B5F96" w:rsidRDefault="008B5F96" w:rsidP="008B5F96">
      <w:pPr>
        <w:jc w:val="center"/>
        <w:rPr>
          <w:b/>
          <w:bCs/>
          <w:sz w:val="22"/>
          <w:szCs w:val="22"/>
          <w:lang w:val="es-CR"/>
        </w:rPr>
      </w:pPr>
      <w:r w:rsidRPr="008B5F96">
        <w:rPr>
          <w:b/>
          <w:bCs/>
          <w:sz w:val="22"/>
          <w:szCs w:val="22"/>
          <w:lang w:val="es-CR"/>
        </w:rPr>
        <w:t>CAPÍTULO II</w:t>
      </w:r>
    </w:p>
    <w:p w14:paraId="4C9BBB93" w14:textId="77777777" w:rsidR="008B5F96" w:rsidRPr="008B5F96" w:rsidRDefault="008B5F96" w:rsidP="008B5F96">
      <w:pPr>
        <w:jc w:val="center"/>
        <w:rPr>
          <w:b/>
          <w:bCs/>
          <w:sz w:val="22"/>
          <w:szCs w:val="22"/>
          <w:lang w:val="es-CR"/>
        </w:rPr>
      </w:pPr>
    </w:p>
    <w:p w14:paraId="0D77E560" w14:textId="77777777" w:rsidR="008B5F96" w:rsidRPr="008B5F96" w:rsidRDefault="008B5F96" w:rsidP="008B5F96">
      <w:pPr>
        <w:jc w:val="center"/>
        <w:rPr>
          <w:b/>
          <w:bCs/>
          <w:sz w:val="22"/>
          <w:szCs w:val="22"/>
          <w:lang w:val="es-CR"/>
        </w:rPr>
      </w:pPr>
      <w:r w:rsidRPr="008B5F96">
        <w:rPr>
          <w:b/>
          <w:bCs/>
          <w:sz w:val="22"/>
          <w:szCs w:val="22"/>
          <w:lang w:val="es-CR"/>
        </w:rPr>
        <w:t>SEGUIMIENTO, AJUSTES Y OBJECION POSTERIOR DE MODELOS INTERNOS</w:t>
      </w:r>
    </w:p>
    <w:p w14:paraId="4BA747BA" w14:textId="77777777" w:rsidR="008B5F96" w:rsidRPr="00F572BA" w:rsidRDefault="008B5F96" w:rsidP="008B5F96">
      <w:pPr>
        <w:jc w:val="both"/>
        <w:rPr>
          <w:sz w:val="22"/>
          <w:szCs w:val="22"/>
          <w:lang w:val="es-CR"/>
        </w:rPr>
      </w:pPr>
    </w:p>
    <w:p w14:paraId="6B7778B8" w14:textId="77777777" w:rsidR="008B5F96" w:rsidRPr="008B5F96" w:rsidRDefault="008B5F96" w:rsidP="008B5F96">
      <w:pPr>
        <w:jc w:val="both"/>
        <w:rPr>
          <w:b/>
          <w:bCs/>
          <w:sz w:val="22"/>
          <w:szCs w:val="22"/>
          <w:lang w:val="es-CR"/>
        </w:rPr>
      </w:pPr>
      <w:r w:rsidRPr="008B5F96">
        <w:rPr>
          <w:b/>
          <w:bCs/>
          <w:sz w:val="22"/>
          <w:szCs w:val="22"/>
          <w:lang w:val="es-CR"/>
        </w:rPr>
        <w:t xml:space="preserve">Artículo 32. Desajustes en modelos internos </w:t>
      </w:r>
    </w:p>
    <w:p w14:paraId="615F15FD" w14:textId="77777777" w:rsidR="008B5F96" w:rsidRPr="00F572BA" w:rsidRDefault="008B5F96" w:rsidP="008B5F96">
      <w:pPr>
        <w:jc w:val="both"/>
        <w:rPr>
          <w:sz w:val="22"/>
          <w:szCs w:val="22"/>
          <w:lang w:val="es-CR"/>
        </w:rPr>
      </w:pPr>
    </w:p>
    <w:p w14:paraId="17DB8186" w14:textId="77777777" w:rsidR="008B5F96" w:rsidRPr="008B5F96" w:rsidRDefault="008B5F96" w:rsidP="008B5F96">
      <w:pPr>
        <w:jc w:val="both"/>
        <w:rPr>
          <w:sz w:val="22"/>
          <w:szCs w:val="22"/>
          <w:lang w:val="es-CR"/>
        </w:rPr>
      </w:pPr>
      <w:r w:rsidRPr="008B5F96">
        <w:rPr>
          <w:sz w:val="22"/>
          <w:szCs w:val="22"/>
          <w:lang w:val="es-CR"/>
        </w:rPr>
        <w:t>Las entidades financieras deben cumplir en todo momento con lo establecido en el lineamiento de “Criterios para mantener la no objeción al uso de modelos internos” de este Reglamento, a partir del momento en que reciban la resolución de no objeción para la utilización de estas en la constitución de estimaciones.</w:t>
      </w:r>
    </w:p>
    <w:p w14:paraId="5B04B9C2" w14:textId="77777777" w:rsidR="008B5F96" w:rsidRPr="008B5F96" w:rsidRDefault="008B5F96" w:rsidP="008B5F96">
      <w:pPr>
        <w:jc w:val="both"/>
        <w:rPr>
          <w:sz w:val="22"/>
          <w:szCs w:val="22"/>
          <w:lang w:val="es-CR"/>
        </w:rPr>
      </w:pPr>
    </w:p>
    <w:p w14:paraId="5F573DA3" w14:textId="77777777" w:rsidR="008B5F96" w:rsidRPr="008B5F96" w:rsidRDefault="008B5F96" w:rsidP="008B5F96">
      <w:pPr>
        <w:jc w:val="both"/>
        <w:rPr>
          <w:sz w:val="22"/>
          <w:szCs w:val="22"/>
          <w:lang w:val="es-CR"/>
        </w:rPr>
      </w:pPr>
      <w:r w:rsidRPr="008B5F96">
        <w:rPr>
          <w:sz w:val="22"/>
          <w:szCs w:val="22"/>
          <w:lang w:val="es-CR"/>
        </w:rPr>
        <w:t>Cuando la Superintendencia determine la existencia de desajustes o desviaciones de carácter menor respecto de los requisitos establecidos en el lineamiento de criterios para mantener el uso de dichos modelos internos de este Reglamento, comunicará a la entidad financiera las debilidades detectadas y le otorgará un plazo máximo de tres meses, contado a partir de la notificación, para proceder con su corrección y evidenciar su subsanación.</w:t>
      </w:r>
    </w:p>
    <w:p w14:paraId="30E48137" w14:textId="77777777" w:rsidR="008B5F96" w:rsidRPr="008B5F96" w:rsidRDefault="008B5F96" w:rsidP="008B5F96">
      <w:pPr>
        <w:jc w:val="both"/>
        <w:rPr>
          <w:sz w:val="22"/>
          <w:szCs w:val="22"/>
          <w:lang w:val="es-CR"/>
        </w:rPr>
      </w:pPr>
    </w:p>
    <w:p w14:paraId="493DDD24" w14:textId="77777777" w:rsidR="008B5F96" w:rsidRPr="008B5F96" w:rsidRDefault="008B5F96" w:rsidP="008B5F96">
      <w:pPr>
        <w:jc w:val="both"/>
        <w:rPr>
          <w:sz w:val="22"/>
          <w:szCs w:val="22"/>
          <w:lang w:val="es-CR"/>
        </w:rPr>
      </w:pPr>
      <w:r w:rsidRPr="008B5F96">
        <w:rPr>
          <w:sz w:val="22"/>
          <w:szCs w:val="22"/>
          <w:lang w:val="es-CR"/>
        </w:rPr>
        <w:lastRenderedPageBreak/>
        <w:t>Durante el plazo otorgado para la subsanación, la entidad podrá continuar utilizando modelos internos, sin perjuicio de las medidas prudenciales adicionales que la Superintendencia pueda disponer.</w:t>
      </w:r>
    </w:p>
    <w:p w14:paraId="655996D3" w14:textId="77777777" w:rsidR="008B5F96" w:rsidRPr="008B5F96" w:rsidRDefault="008B5F96" w:rsidP="008B5F96">
      <w:pPr>
        <w:jc w:val="both"/>
        <w:rPr>
          <w:sz w:val="22"/>
          <w:szCs w:val="22"/>
          <w:lang w:val="es-CR"/>
        </w:rPr>
      </w:pPr>
    </w:p>
    <w:p w14:paraId="38FC1A4F" w14:textId="77777777" w:rsidR="008B5F96" w:rsidRPr="008B5F96" w:rsidRDefault="008B5F96" w:rsidP="008B5F96">
      <w:pPr>
        <w:jc w:val="both"/>
        <w:rPr>
          <w:sz w:val="22"/>
          <w:szCs w:val="22"/>
          <w:lang w:val="es-CR"/>
        </w:rPr>
      </w:pPr>
      <w:r w:rsidRPr="008B5F96">
        <w:rPr>
          <w:sz w:val="22"/>
          <w:szCs w:val="22"/>
          <w:lang w:val="es-CR"/>
        </w:rPr>
        <w:t>Vencido dicho plazo, si la entidad no hubiese corregido de forma satisfactoria los desajustes señalados, la Superintendencia emitirá una resolución de objeción a su uso y aplicará lo establecido en el artículo 33 de este Reglamento.</w:t>
      </w:r>
    </w:p>
    <w:p w14:paraId="3A8A13A1" w14:textId="77777777" w:rsidR="008B5F96" w:rsidRPr="008B5F96" w:rsidRDefault="008B5F96" w:rsidP="008B5F96">
      <w:pPr>
        <w:jc w:val="both"/>
        <w:rPr>
          <w:sz w:val="22"/>
          <w:szCs w:val="22"/>
          <w:lang w:val="es-CR"/>
        </w:rPr>
      </w:pPr>
    </w:p>
    <w:p w14:paraId="5E1FD38A" w14:textId="77777777" w:rsidR="008B5F96" w:rsidRPr="008B5F96" w:rsidRDefault="008B5F96" w:rsidP="008B5F96">
      <w:pPr>
        <w:jc w:val="both"/>
        <w:rPr>
          <w:b/>
          <w:bCs/>
          <w:sz w:val="22"/>
          <w:szCs w:val="22"/>
          <w:lang w:val="es-CR"/>
        </w:rPr>
      </w:pPr>
      <w:r w:rsidRPr="008B5F96">
        <w:rPr>
          <w:b/>
          <w:bCs/>
          <w:sz w:val="22"/>
          <w:szCs w:val="22"/>
          <w:lang w:val="es-CR"/>
        </w:rPr>
        <w:t>Artículo 33. Objeción posterior para el uso de modelos internos</w:t>
      </w:r>
    </w:p>
    <w:p w14:paraId="06033CFD" w14:textId="77777777" w:rsidR="008B5F96" w:rsidRPr="00F572BA" w:rsidRDefault="008B5F96" w:rsidP="008B5F96">
      <w:pPr>
        <w:jc w:val="both"/>
        <w:rPr>
          <w:sz w:val="22"/>
          <w:szCs w:val="22"/>
          <w:lang w:val="es-CR"/>
        </w:rPr>
      </w:pPr>
    </w:p>
    <w:p w14:paraId="45475FF2" w14:textId="77777777" w:rsidR="008B5F96" w:rsidRPr="008B5F96" w:rsidRDefault="008B5F96" w:rsidP="008B5F96">
      <w:pPr>
        <w:jc w:val="both"/>
        <w:rPr>
          <w:sz w:val="22"/>
          <w:szCs w:val="22"/>
          <w:lang w:val="es-CR"/>
        </w:rPr>
      </w:pPr>
      <w:r w:rsidRPr="008B5F96">
        <w:rPr>
          <w:sz w:val="22"/>
          <w:szCs w:val="22"/>
          <w:lang w:val="es-CR"/>
        </w:rPr>
        <w:t>En caso de que la Superintendencia determine el incumplimiento de cualquiera de los requisitos establecidos en el lineamiento “Criterios para mantener la no objeción al uso de modelos internos”, comunicará a la entidad financiera las causales detectadas y emitirá una resolución de objeción a su uso, cuando considere que dichos hallazgos comprometen la confiabilidad de los resultados.</w:t>
      </w:r>
    </w:p>
    <w:p w14:paraId="5E389CEE" w14:textId="77777777" w:rsidR="008B5F96" w:rsidRPr="008B5F96" w:rsidRDefault="008B5F96" w:rsidP="008B5F96">
      <w:pPr>
        <w:jc w:val="both"/>
        <w:rPr>
          <w:sz w:val="22"/>
          <w:szCs w:val="22"/>
          <w:lang w:val="es-CR"/>
        </w:rPr>
      </w:pPr>
    </w:p>
    <w:p w14:paraId="3CE94462" w14:textId="77777777" w:rsidR="008B5F96" w:rsidRPr="008B5F96" w:rsidRDefault="008B5F96" w:rsidP="008B5F96">
      <w:pPr>
        <w:jc w:val="both"/>
        <w:rPr>
          <w:sz w:val="22"/>
          <w:szCs w:val="22"/>
          <w:lang w:val="es-CR"/>
        </w:rPr>
      </w:pPr>
      <w:r w:rsidRPr="008B5F96">
        <w:rPr>
          <w:sz w:val="22"/>
          <w:szCs w:val="22"/>
          <w:lang w:val="es-CR"/>
        </w:rPr>
        <w:t>Se procederá de igual forma cuando los resultados de las evaluaciones realizadas por el órgano de control interno, el experto independiente o la Superintendencia indiquen que se ha comprometido la confiabilidad del modelo interno y la suficiencia de los niveles de las estimaciones crediticias.</w:t>
      </w:r>
    </w:p>
    <w:p w14:paraId="5BF128FC" w14:textId="77777777" w:rsidR="008B5F96" w:rsidRPr="008B5F96" w:rsidRDefault="008B5F96" w:rsidP="008B5F96">
      <w:pPr>
        <w:jc w:val="both"/>
        <w:rPr>
          <w:sz w:val="22"/>
          <w:szCs w:val="22"/>
          <w:lang w:val="es-CR"/>
        </w:rPr>
      </w:pPr>
    </w:p>
    <w:p w14:paraId="4DBE2D07" w14:textId="77777777" w:rsidR="008B5F96" w:rsidRPr="008B5F96" w:rsidRDefault="008B5F96" w:rsidP="008B5F96">
      <w:pPr>
        <w:jc w:val="both"/>
        <w:rPr>
          <w:sz w:val="22"/>
          <w:szCs w:val="22"/>
          <w:lang w:val="es-CR"/>
        </w:rPr>
      </w:pPr>
      <w:r w:rsidRPr="008B5F96">
        <w:rPr>
          <w:sz w:val="22"/>
          <w:szCs w:val="22"/>
          <w:lang w:val="es-CR"/>
        </w:rPr>
        <w:t>Asimismo, cuando las evaluaciones realizadas por órganos internos o externos resulten insatisfactorias para la Superintendencia, ya sea porque no cubren apropiadamente el alcance definido en las disposiciones establecidas en el lineamiento “Criterios para mantener la no objeción al uso de modelos internos” o porque carecen del rigor técnico requerido, la Superintendencia procederá a emitir una resolución de objeción a su uso.</w:t>
      </w:r>
    </w:p>
    <w:p w14:paraId="13D24B73" w14:textId="77777777" w:rsidR="008B5F96" w:rsidRPr="008B5F96" w:rsidRDefault="008B5F96" w:rsidP="008B5F96">
      <w:pPr>
        <w:jc w:val="both"/>
        <w:rPr>
          <w:sz w:val="22"/>
          <w:szCs w:val="22"/>
          <w:lang w:val="es-CR"/>
        </w:rPr>
      </w:pPr>
    </w:p>
    <w:p w14:paraId="05A52F75" w14:textId="77777777" w:rsidR="008B5F96" w:rsidRPr="008B5F96" w:rsidRDefault="008B5F96" w:rsidP="008B5F96">
      <w:pPr>
        <w:jc w:val="both"/>
        <w:rPr>
          <w:sz w:val="22"/>
          <w:szCs w:val="22"/>
          <w:lang w:val="es-CR"/>
        </w:rPr>
      </w:pPr>
      <w:r w:rsidRPr="008B5F96">
        <w:rPr>
          <w:sz w:val="22"/>
          <w:szCs w:val="22"/>
          <w:lang w:val="es-CR"/>
        </w:rPr>
        <w:t>Es responsabilidad de la entidad garantizar que los informes contemplen todos los aspectos indicados en el lineamiento y cumplan con el nivel técnico exigido.</w:t>
      </w:r>
    </w:p>
    <w:p w14:paraId="2D1A4338" w14:textId="77777777" w:rsidR="008B5F96" w:rsidRPr="008B5F96" w:rsidRDefault="008B5F96" w:rsidP="008B5F96">
      <w:pPr>
        <w:jc w:val="both"/>
        <w:rPr>
          <w:sz w:val="22"/>
          <w:szCs w:val="22"/>
          <w:lang w:val="es-CR"/>
        </w:rPr>
      </w:pPr>
    </w:p>
    <w:p w14:paraId="63917928" w14:textId="77777777" w:rsidR="008B5F96" w:rsidRPr="008B5F96" w:rsidRDefault="008B5F96" w:rsidP="008B5F96">
      <w:pPr>
        <w:jc w:val="both"/>
        <w:rPr>
          <w:sz w:val="22"/>
          <w:szCs w:val="22"/>
          <w:lang w:val="es-CR"/>
        </w:rPr>
      </w:pPr>
      <w:r w:rsidRPr="008B5F96">
        <w:rPr>
          <w:sz w:val="22"/>
          <w:szCs w:val="22"/>
          <w:lang w:val="es-CR"/>
        </w:rPr>
        <w:t>A partir de la fecha de entrada en vigor de la resolución de objeción, la entidad deberá dejar de utilizar modelos internos para la constitución de las estimaciones específicas por riesgo de crédito y aplicar el modelo estándar establecido en este Reglamento, en los términos y plazos que se indiquen en la propia resolución que emita la Sugef.</w:t>
      </w:r>
    </w:p>
    <w:p w14:paraId="5EE1EE1D" w14:textId="77777777" w:rsidR="008B5F96" w:rsidRPr="008B5F96" w:rsidRDefault="008B5F96" w:rsidP="008B5F96">
      <w:pPr>
        <w:jc w:val="both"/>
        <w:rPr>
          <w:sz w:val="22"/>
          <w:szCs w:val="22"/>
          <w:lang w:val="es-CR"/>
        </w:rPr>
      </w:pPr>
    </w:p>
    <w:p w14:paraId="1C78AEAC" w14:textId="77777777" w:rsidR="008B5F96" w:rsidRPr="008B5F96" w:rsidRDefault="008B5F96" w:rsidP="008B5F96">
      <w:pPr>
        <w:jc w:val="both"/>
        <w:rPr>
          <w:sz w:val="22"/>
          <w:szCs w:val="22"/>
          <w:lang w:val="es-CR"/>
        </w:rPr>
      </w:pPr>
      <w:r w:rsidRPr="008B5F96">
        <w:rPr>
          <w:sz w:val="22"/>
          <w:szCs w:val="22"/>
          <w:lang w:val="es-CR"/>
        </w:rPr>
        <w:t>La entidad podrá solventar los hallazgos detectados por las distintas instancias y presentar nuevamente a la Superintendencia la solicitud de no objeción para el uso de modelos internos (T</w:t>
      </w:r>
      <w:r w:rsidRPr="008B5F96">
        <w:rPr>
          <w:sz w:val="22"/>
          <w:szCs w:val="22"/>
          <w:vertAlign w:val="subscript"/>
          <w:lang w:val="es-CR"/>
        </w:rPr>
        <w:t>0</w:t>
      </w:r>
      <w:r w:rsidRPr="008B5F96">
        <w:rPr>
          <w:sz w:val="22"/>
          <w:szCs w:val="22"/>
          <w:lang w:val="es-CR"/>
        </w:rPr>
        <w:t>), en el plazo que defina la propia entidad e informe a la Sugef. Una vez corregidas las causales señaladas, deberá transcurrir un período de veinticuatro (24) meses de prueba del modelo interno corregido.</w:t>
      </w:r>
    </w:p>
    <w:p w14:paraId="5CD1B1AF" w14:textId="77777777" w:rsidR="008B5F96" w:rsidRPr="008B5F96" w:rsidRDefault="008B5F96" w:rsidP="008B5F96">
      <w:pPr>
        <w:jc w:val="both"/>
        <w:rPr>
          <w:sz w:val="22"/>
          <w:szCs w:val="22"/>
          <w:lang w:val="es-CR"/>
        </w:rPr>
      </w:pPr>
    </w:p>
    <w:p w14:paraId="739A5F10" w14:textId="77777777" w:rsidR="008B5F96" w:rsidRPr="008B5F96" w:rsidRDefault="008B5F96" w:rsidP="008B5F96">
      <w:pPr>
        <w:jc w:val="both"/>
        <w:rPr>
          <w:sz w:val="22"/>
          <w:szCs w:val="22"/>
          <w:lang w:val="es-CR"/>
        </w:rPr>
      </w:pPr>
      <w:r w:rsidRPr="008B5F96">
        <w:rPr>
          <w:sz w:val="22"/>
          <w:szCs w:val="22"/>
          <w:lang w:val="es-CR"/>
        </w:rPr>
        <w:t>La nueva solicitud deberá seguir el proceso completo establecido para la primera presentación ante la Superintendencia y cumplir con todos los aspectos definidos en el lineamiento “Criterios para la no objeción por primera vez al uso de modelos internos”.</w:t>
      </w:r>
    </w:p>
    <w:p w14:paraId="043DD683" w14:textId="77777777" w:rsidR="008B5F96" w:rsidRPr="008B5F96" w:rsidRDefault="008B5F96" w:rsidP="008B5F96">
      <w:pPr>
        <w:jc w:val="both"/>
        <w:rPr>
          <w:sz w:val="22"/>
          <w:szCs w:val="22"/>
          <w:lang w:val="es-CR"/>
        </w:rPr>
      </w:pPr>
    </w:p>
    <w:p w14:paraId="535B1011" w14:textId="77777777" w:rsidR="008B5F96" w:rsidRPr="008B5F96" w:rsidRDefault="008B5F96" w:rsidP="008B5F96">
      <w:pPr>
        <w:jc w:val="both"/>
        <w:rPr>
          <w:sz w:val="22"/>
          <w:szCs w:val="22"/>
          <w:lang w:val="es-CR"/>
        </w:rPr>
      </w:pPr>
      <w:r w:rsidRPr="008B5F96">
        <w:rPr>
          <w:sz w:val="22"/>
          <w:szCs w:val="22"/>
          <w:lang w:val="es-CR"/>
        </w:rPr>
        <w:t>Durante este período y hasta que la entidad obtenga la resolución de no objeción para el uso de modelos internos, deberá continuar aplicando el modelo estándar.</w:t>
      </w:r>
    </w:p>
    <w:p w14:paraId="67844A05" w14:textId="77777777" w:rsidR="008B5F96" w:rsidRPr="008B5F96" w:rsidRDefault="008B5F96" w:rsidP="008B5F96">
      <w:pPr>
        <w:jc w:val="both"/>
        <w:rPr>
          <w:sz w:val="22"/>
          <w:szCs w:val="22"/>
          <w:lang w:val="es-CR"/>
        </w:rPr>
      </w:pPr>
    </w:p>
    <w:p w14:paraId="59188698" w14:textId="77777777" w:rsidR="008B5F96" w:rsidRPr="008B5F96" w:rsidRDefault="008B5F96" w:rsidP="008B5F96">
      <w:pPr>
        <w:jc w:val="both"/>
        <w:rPr>
          <w:b/>
          <w:bCs/>
          <w:sz w:val="22"/>
          <w:szCs w:val="22"/>
          <w:lang w:val="es-CR"/>
        </w:rPr>
      </w:pPr>
      <w:r w:rsidRPr="008B5F96">
        <w:rPr>
          <w:b/>
          <w:bCs/>
          <w:sz w:val="22"/>
          <w:szCs w:val="22"/>
          <w:lang w:val="es-CR"/>
        </w:rPr>
        <w:t>Artículo 34. Tercerización de modelos internos</w:t>
      </w:r>
    </w:p>
    <w:p w14:paraId="1CF05AD3" w14:textId="77777777" w:rsidR="008B5F96" w:rsidRPr="00F572BA" w:rsidRDefault="008B5F96" w:rsidP="008B5F96">
      <w:pPr>
        <w:jc w:val="both"/>
        <w:rPr>
          <w:sz w:val="22"/>
          <w:szCs w:val="22"/>
          <w:lang w:val="es-CR"/>
        </w:rPr>
      </w:pPr>
    </w:p>
    <w:p w14:paraId="4BD90FD1" w14:textId="77777777" w:rsidR="008B5F96" w:rsidRPr="008B5F96" w:rsidRDefault="008B5F96" w:rsidP="008B5F96">
      <w:pPr>
        <w:jc w:val="both"/>
        <w:rPr>
          <w:sz w:val="22"/>
          <w:szCs w:val="22"/>
          <w:lang w:val="es-CR"/>
        </w:rPr>
      </w:pPr>
      <w:r w:rsidRPr="008B5F96">
        <w:rPr>
          <w:sz w:val="22"/>
          <w:szCs w:val="22"/>
          <w:lang w:val="es-CR"/>
        </w:rPr>
        <w:t xml:space="preserve">La entidad financiera que utilice o dependa de proveedores externos para el desarrollo, mantenimiento y validación de modelos internos, deberá garantizar que la Sugef tenga acceso completo y oportuno a la información detallada de dichos procesos, cuando esta lo requiera. Los contratos de tercerización </w:t>
      </w:r>
      <w:r w:rsidRPr="008B5F96">
        <w:rPr>
          <w:sz w:val="22"/>
          <w:szCs w:val="22"/>
          <w:lang w:val="es-CR"/>
        </w:rPr>
        <w:lastRenderedPageBreak/>
        <w:t>deberán prever derechos de acceso, información y auditoría para la entidad y la Sugef, incluyendo, cuando resulte necesario para efectos de supervisión, auditoría o continuidad operativa, el acceso al código fuente, sus repositorios y la documentación técnica asociada.</w:t>
      </w:r>
    </w:p>
    <w:p w14:paraId="6140A37C" w14:textId="77777777" w:rsidR="008B5F96" w:rsidRPr="008B5F96" w:rsidRDefault="008B5F96" w:rsidP="008B5F96">
      <w:pPr>
        <w:jc w:val="both"/>
        <w:rPr>
          <w:sz w:val="22"/>
          <w:szCs w:val="22"/>
          <w:lang w:val="es-CR"/>
        </w:rPr>
      </w:pPr>
    </w:p>
    <w:p w14:paraId="07CCAEBB" w14:textId="77777777" w:rsidR="008B5F96" w:rsidRPr="008B5F96" w:rsidRDefault="008B5F96" w:rsidP="008B5F96">
      <w:pPr>
        <w:jc w:val="both"/>
        <w:rPr>
          <w:sz w:val="22"/>
          <w:szCs w:val="22"/>
          <w:lang w:val="es-CR"/>
        </w:rPr>
      </w:pPr>
      <w:r w:rsidRPr="008B5F96">
        <w:rPr>
          <w:sz w:val="22"/>
          <w:szCs w:val="22"/>
          <w:lang w:val="es-CR"/>
        </w:rPr>
        <w:t>El uso de proveedores externos no exime a la entidad de las responsabilidades establecidas en el presente Reglamento ni de la obligación de contar con capacidades internas suficientes para comprender, gestionar y controlar los modelos internos utilizados. Asimismo, la entidad deberá contar con un plan de continuidad y contingencia específico para los modelos tercerizados, que incluya medidas de continuidad operativa y recuperación, pruebas periódicas, y una estrategia de salida/transferencia que asegure la continuidad del servicio ante fallas del proveedor o la terminación del contrato.</w:t>
      </w:r>
    </w:p>
    <w:p w14:paraId="5257F7E0" w14:textId="77777777" w:rsidR="008B5F96" w:rsidRPr="008B5F96" w:rsidRDefault="008B5F96" w:rsidP="008B5F96">
      <w:pPr>
        <w:jc w:val="both"/>
        <w:rPr>
          <w:sz w:val="22"/>
          <w:szCs w:val="22"/>
          <w:lang w:val="es-CR"/>
        </w:rPr>
      </w:pPr>
    </w:p>
    <w:p w14:paraId="13CD3235" w14:textId="77777777" w:rsidR="008B5F96" w:rsidRPr="008B5F96" w:rsidRDefault="008B5F96" w:rsidP="008B5F96">
      <w:pPr>
        <w:jc w:val="both"/>
        <w:rPr>
          <w:sz w:val="22"/>
          <w:szCs w:val="22"/>
          <w:lang w:val="es-CR"/>
        </w:rPr>
      </w:pPr>
      <w:r w:rsidRPr="008B5F96">
        <w:rPr>
          <w:sz w:val="22"/>
          <w:szCs w:val="22"/>
          <w:lang w:val="es-CR"/>
        </w:rPr>
        <w:t>El Órgano de Dirección deberá aprobar, mediante acuerdo, las definiciones de ámbito, perímetro y funciones, tanto de los prestadores de servicios como de la propia entidad, asegurando la transferencia de conocimiento necesaria para una comprensión completa de la estructura y funcionamiento de todos los aspectos técnicos derivados de las prestaciones de servicios de los proveedores externos.</w:t>
      </w:r>
    </w:p>
    <w:p w14:paraId="420BC8F6" w14:textId="77777777" w:rsidR="008B5F96" w:rsidRPr="008B5F96" w:rsidRDefault="008B5F96" w:rsidP="008B5F96">
      <w:pPr>
        <w:jc w:val="both"/>
        <w:rPr>
          <w:sz w:val="22"/>
          <w:szCs w:val="22"/>
          <w:lang w:val="es-CR"/>
        </w:rPr>
      </w:pPr>
    </w:p>
    <w:p w14:paraId="59295790" w14:textId="77777777" w:rsidR="008B5F96" w:rsidRPr="008B5F96" w:rsidRDefault="008B5F96" w:rsidP="008B5F96">
      <w:pPr>
        <w:jc w:val="both"/>
        <w:rPr>
          <w:sz w:val="22"/>
          <w:szCs w:val="22"/>
          <w:lang w:val="es-CR"/>
        </w:rPr>
      </w:pPr>
      <w:r w:rsidRPr="008B5F96">
        <w:rPr>
          <w:sz w:val="22"/>
          <w:szCs w:val="22"/>
          <w:lang w:val="es-CR"/>
        </w:rPr>
        <w:t>En ningún caso podrá tercerizarse la responsabilidad sobre la aprobación, el gobierno, la supervisión y la auditoría interna de los modelos.</w:t>
      </w:r>
    </w:p>
    <w:p w14:paraId="2211131E" w14:textId="77777777" w:rsidR="008B5F96" w:rsidRPr="008B5F96" w:rsidRDefault="008B5F96" w:rsidP="008B5F96">
      <w:pPr>
        <w:jc w:val="both"/>
        <w:rPr>
          <w:sz w:val="22"/>
          <w:szCs w:val="22"/>
          <w:lang w:val="es-CR"/>
        </w:rPr>
      </w:pPr>
    </w:p>
    <w:p w14:paraId="0AA48AF5" w14:textId="77777777" w:rsidR="008B5F96" w:rsidRPr="008B5F96" w:rsidRDefault="008B5F96" w:rsidP="008B5F96">
      <w:pPr>
        <w:jc w:val="center"/>
        <w:rPr>
          <w:b/>
          <w:bCs/>
          <w:sz w:val="22"/>
          <w:szCs w:val="22"/>
          <w:lang w:val="es-CR"/>
        </w:rPr>
      </w:pPr>
      <w:r w:rsidRPr="008B5F96">
        <w:rPr>
          <w:b/>
          <w:bCs/>
          <w:sz w:val="22"/>
          <w:szCs w:val="22"/>
          <w:lang w:val="es-CR"/>
        </w:rPr>
        <w:t>CAPÍTULO III</w:t>
      </w:r>
    </w:p>
    <w:p w14:paraId="65738C54" w14:textId="77777777" w:rsidR="008B5F96" w:rsidRPr="008B5F96" w:rsidRDefault="008B5F96" w:rsidP="008B5F96">
      <w:pPr>
        <w:jc w:val="center"/>
        <w:rPr>
          <w:b/>
          <w:bCs/>
          <w:sz w:val="22"/>
          <w:szCs w:val="22"/>
          <w:lang w:val="es-CR"/>
        </w:rPr>
      </w:pPr>
    </w:p>
    <w:p w14:paraId="1CDB5C9E" w14:textId="77777777" w:rsidR="008B5F96" w:rsidRPr="008B5F96" w:rsidRDefault="008B5F96" w:rsidP="008B5F96">
      <w:pPr>
        <w:jc w:val="center"/>
        <w:rPr>
          <w:b/>
          <w:bCs/>
          <w:sz w:val="22"/>
          <w:szCs w:val="22"/>
          <w:lang w:val="es-CR"/>
        </w:rPr>
      </w:pPr>
      <w:r w:rsidRPr="008B5F96">
        <w:rPr>
          <w:b/>
          <w:bCs/>
          <w:sz w:val="22"/>
          <w:szCs w:val="22"/>
          <w:lang w:val="es-CR"/>
        </w:rPr>
        <w:t>TRATAMIENTO CONTABLE DE LAS ESTIMACIONES CON MODELOS INTERNOS</w:t>
      </w:r>
    </w:p>
    <w:p w14:paraId="267CD4AB" w14:textId="77777777" w:rsidR="008B5F96" w:rsidRPr="008B5F96" w:rsidRDefault="008B5F96" w:rsidP="008B5F96">
      <w:pPr>
        <w:jc w:val="center"/>
        <w:rPr>
          <w:b/>
          <w:bCs/>
          <w:sz w:val="22"/>
          <w:szCs w:val="22"/>
          <w:lang w:val="es-CR"/>
        </w:rPr>
      </w:pPr>
    </w:p>
    <w:p w14:paraId="1DF77199" w14:textId="77777777" w:rsidR="008B5F96" w:rsidRPr="008B5F96" w:rsidRDefault="008B5F96" w:rsidP="008B5F96">
      <w:pPr>
        <w:jc w:val="both"/>
        <w:rPr>
          <w:b/>
          <w:bCs/>
          <w:sz w:val="22"/>
          <w:szCs w:val="22"/>
          <w:lang w:val="es-CR"/>
        </w:rPr>
      </w:pPr>
      <w:r w:rsidRPr="008B5F96">
        <w:rPr>
          <w:b/>
          <w:bCs/>
          <w:sz w:val="22"/>
          <w:szCs w:val="22"/>
          <w:lang w:val="es-CR"/>
        </w:rPr>
        <w:t>Artículo 35. Tratamiento contable de las estimaciones cuando se utilicen modelos internos</w:t>
      </w:r>
    </w:p>
    <w:p w14:paraId="38CDCD61" w14:textId="77777777" w:rsidR="008B5F96" w:rsidRPr="008B5F96" w:rsidRDefault="008B5F96" w:rsidP="008B5F96">
      <w:pPr>
        <w:jc w:val="both"/>
        <w:rPr>
          <w:b/>
          <w:bCs/>
          <w:sz w:val="22"/>
          <w:szCs w:val="22"/>
          <w:lang w:val="es-CR"/>
        </w:rPr>
      </w:pPr>
    </w:p>
    <w:p w14:paraId="4A4CD110" w14:textId="77777777" w:rsidR="008B5F96" w:rsidRPr="008B5F96" w:rsidRDefault="008B5F96" w:rsidP="008B5F96">
      <w:pPr>
        <w:jc w:val="both"/>
        <w:rPr>
          <w:sz w:val="22"/>
          <w:szCs w:val="22"/>
          <w:lang w:val="es-CR"/>
        </w:rPr>
      </w:pPr>
      <w:r w:rsidRPr="008B5F96">
        <w:rPr>
          <w:sz w:val="22"/>
          <w:szCs w:val="22"/>
          <w:lang w:val="es-CR"/>
        </w:rPr>
        <w:t>Las disposiciones de este artículo serán aplicables a las entidades que cuenten con resolución de no objeción vigente para el uso de modelos internos, de conformidad con lo establecido en este Reglamento.</w:t>
      </w:r>
    </w:p>
    <w:p w14:paraId="7FFD2FF2" w14:textId="77777777" w:rsidR="008B5F96" w:rsidRPr="008B5F96" w:rsidRDefault="008B5F96" w:rsidP="008B5F96">
      <w:pPr>
        <w:jc w:val="both"/>
        <w:rPr>
          <w:sz w:val="22"/>
          <w:szCs w:val="22"/>
          <w:lang w:val="es-CR"/>
        </w:rPr>
      </w:pPr>
    </w:p>
    <w:p w14:paraId="2F254EA7" w14:textId="77777777" w:rsidR="008B5F96" w:rsidRPr="008B5F96" w:rsidRDefault="008B5F96" w:rsidP="008B5F96">
      <w:pPr>
        <w:jc w:val="both"/>
        <w:rPr>
          <w:sz w:val="22"/>
          <w:szCs w:val="22"/>
          <w:lang w:val="es-CR"/>
        </w:rPr>
      </w:pPr>
      <w:r w:rsidRPr="008B5F96">
        <w:rPr>
          <w:sz w:val="22"/>
          <w:szCs w:val="22"/>
          <w:lang w:val="es-CR"/>
        </w:rPr>
        <w:t>En el caso de entidades que cuenten con la no objeción de la Superintendencia para el uso de modelos internos, el monto de la estimación de pérdidas crediticias esperadas a registrar con contrapartida en la cuenta de resultados será el determinado conforme a dicho modelo interno.</w:t>
      </w:r>
    </w:p>
    <w:p w14:paraId="45471A55" w14:textId="77777777" w:rsidR="008B5F96" w:rsidRPr="008B5F96" w:rsidRDefault="008B5F96" w:rsidP="008B5F96">
      <w:pPr>
        <w:jc w:val="both"/>
        <w:rPr>
          <w:sz w:val="22"/>
          <w:szCs w:val="22"/>
          <w:lang w:val="es-CR"/>
        </w:rPr>
      </w:pPr>
    </w:p>
    <w:p w14:paraId="53CA1B86" w14:textId="77777777" w:rsidR="008B5F96" w:rsidRPr="008B5F96" w:rsidRDefault="008B5F96" w:rsidP="008B5F96">
      <w:pPr>
        <w:jc w:val="both"/>
        <w:rPr>
          <w:sz w:val="22"/>
          <w:szCs w:val="22"/>
          <w:lang w:val="es-CR"/>
        </w:rPr>
      </w:pPr>
      <w:r w:rsidRPr="008B5F96">
        <w:rPr>
          <w:sz w:val="22"/>
          <w:szCs w:val="22"/>
          <w:lang w:val="es-CR"/>
        </w:rPr>
        <w:t>A partir de la fecha de inicio de aplicación del modelo interno, la entidad deberá calcular mensualmente el monto de las estimaciones por riesgo de crédito utilizando, de forma paralela:</w:t>
      </w:r>
    </w:p>
    <w:p w14:paraId="0B8ECC0F" w14:textId="77777777" w:rsidR="008B5F96" w:rsidRPr="008B5F96" w:rsidRDefault="008B5F96" w:rsidP="008B5F96">
      <w:pPr>
        <w:jc w:val="both"/>
        <w:rPr>
          <w:sz w:val="22"/>
          <w:szCs w:val="22"/>
          <w:lang w:val="es-CR"/>
        </w:rPr>
      </w:pPr>
    </w:p>
    <w:p w14:paraId="00370FE7"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El modelo estándar definido en el Título II de este Reglamento, y</w:t>
      </w:r>
    </w:p>
    <w:p w14:paraId="5B69CA16" w14:textId="77777777" w:rsidR="008B5F96" w:rsidRPr="008B5F96" w:rsidRDefault="008B5F96" w:rsidP="008B5F96">
      <w:pPr>
        <w:ind w:left="360"/>
        <w:contextualSpacing/>
        <w:jc w:val="both"/>
        <w:rPr>
          <w:sz w:val="22"/>
          <w:szCs w:val="22"/>
          <w:lang w:val="es-CR"/>
        </w:rPr>
      </w:pPr>
    </w:p>
    <w:p w14:paraId="047A9E8A"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El modelo interno no objetado por la Superintendencia definida en el Título III de este Reglamento.</w:t>
      </w:r>
    </w:p>
    <w:p w14:paraId="6F20CF40" w14:textId="77777777" w:rsidR="008B5F96" w:rsidRPr="008B5F96" w:rsidRDefault="008B5F96" w:rsidP="008B5F96">
      <w:pPr>
        <w:jc w:val="both"/>
        <w:rPr>
          <w:sz w:val="22"/>
          <w:szCs w:val="22"/>
          <w:lang w:val="es-CR"/>
        </w:rPr>
      </w:pPr>
    </w:p>
    <w:p w14:paraId="58BBB027" w14:textId="77777777" w:rsidR="008B5F96" w:rsidRPr="008B5F96" w:rsidRDefault="008B5F96" w:rsidP="008B5F96">
      <w:pPr>
        <w:jc w:val="both"/>
        <w:rPr>
          <w:sz w:val="22"/>
          <w:szCs w:val="22"/>
          <w:lang w:val="es-CR"/>
        </w:rPr>
      </w:pPr>
      <w:r w:rsidRPr="008B5F96">
        <w:rPr>
          <w:sz w:val="22"/>
          <w:szCs w:val="22"/>
          <w:lang w:val="es-CR"/>
        </w:rPr>
        <w:t>Para los estados financieros preparados conforme el marco NIIF, el importe de pérdidas crediticias esperadas a reconocer con contrapartida en la cuenta de resultados será el determinado conforme al modelo interno no objetado.</w:t>
      </w:r>
    </w:p>
    <w:p w14:paraId="3361A335" w14:textId="77777777" w:rsidR="008B5F96" w:rsidRPr="008B5F96" w:rsidRDefault="008B5F96" w:rsidP="008B5F96">
      <w:pPr>
        <w:jc w:val="both"/>
        <w:rPr>
          <w:sz w:val="22"/>
          <w:szCs w:val="22"/>
          <w:lang w:val="es-CR"/>
        </w:rPr>
      </w:pPr>
    </w:p>
    <w:p w14:paraId="43BEF654" w14:textId="77777777" w:rsidR="008B5F96" w:rsidRPr="008B5F96" w:rsidRDefault="008B5F96" w:rsidP="008B5F96">
      <w:pPr>
        <w:jc w:val="both"/>
        <w:rPr>
          <w:sz w:val="22"/>
          <w:szCs w:val="22"/>
          <w:lang w:val="es-CR"/>
        </w:rPr>
      </w:pPr>
      <w:r w:rsidRPr="008B5F96">
        <w:rPr>
          <w:sz w:val="22"/>
          <w:szCs w:val="22"/>
          <w:lang w:val="es-CR"/>
        </w:rPr>
        <w:t>Para efectos prudenciales, el nivel mínimo de cobertura por riesgo de crédito exigido por este Reglamento será, como mínimo, equivalente al mayor entre el monto de las estimaciones calculado utilizando el modelo estándar, y el monto de las estimaciones calculado utilizando el modelo interno no objetado.</w:t>
      </w:r>
    </w:p>
    <w:p w14:paraId="0FFCD8B3" w14:textId="77777777" w:rsidR="008B5F96" w:rsidRPr="008B5F96" w:rsidRDefault="008B5F96" w:rsidP="008B5F96">
      <w:pPr>
        <w:jc w:val="both"/>
        <w:rPr>
          <w:sz w:val="22"/>
          <w:szCs w:val="22"/>
          <w:lang w:val="es-CR"/>
        </w:rPr>
      </w:pPr>
    </w:p>
    <w:p w14:paraId="7211F8E1" w14:textId="77777777" w:rsidR="008B5F96" w:rsidRPr="008B5F96" w:rsidRDefault="008B5F96" w:rsidP="008B5F96">
      <w:pPr>
        <w:jc w:val="both"/>
        <w:rPr>
          <w:sz w:val="22"/>
          <w:szCs w:val="22"/>
          <w:lang w:val="es-CR"/>
        </w:rPr>
      </w:pPr>
      <w:r w:rsidRPr="008B5F96">
        <w:rPr>
          <w:sz w:val="22"/>
          <w:szCs w:val="22"/>
          <w:lang w:val="es-CR"/>
        </w:rPr>
        <w:lastRenderedPageBreak/>
        <w:t>Cuando el monto total de las estimaciones calculado utilizando el modelo estándar sea superior al monto total de las estimaciones calculado utilizando el modelo interno no objetado, la diferencia deberá registrarse mensualmente como una reserva patrimonial de carácter prudencial en la subcuenta 34402M00 – Reservas para cartera de crédito.</w:t>
      </w:r>
    </w:p>
    <w:p w14:paraId="3685D63C" w14:textId="77777777" w:rsidR="008B5F96" w:rsidRPr="008B5F96" w:rsidRDefault="008B5F96" w:rsidP="008B5F96">
      <w:pPr>
        <w:jc w:val="both"/>
        <w:rPr>
          <w:sz w:val="22"/>
          <w:szCs w:val="22"/>
          <w:lang w:val="es-CR"/>
        </w:rPr>
      </w:pPr>
    </w:p>
    <w:p w14:paraId="4778976F" w14:textId="77777777" w:rsidR="008B5F96" w:rsidRPr="008B5F96" w:rsidRDefault="008B5F96" w:rsidP="008B5F96">
      <w:pPr>
        <w:jc w:val="both"/>
        <w:rPr>
          <w:sz w:val="22"/>
          <w:szCs w:val="22"/>
          <w:lang w:val="es-CR"/>
        </w:rPr>
      </w:pPr>
      <w:r w:rsidRPr="008B5F96">
        <w:rPr>
          <w:sz w:val="22"/>
          <w:szCs w:val="22"/>
          <w:lang w:val="es-CR"/>
        </w:rPr>
        <w:t>La constitución de esta reserva prudencial se llevará a cabo debitando la subcuenta 35101M01-Utilidades de ejercicios anteriores y acreditando la subcuenta 34402M00-Reservas para cartera de crédito.  La reserva deberá ajustarse mensualmente al monto requerido, cuando el monto de las estimaciones calculado utilizando el modelo estándar sea superior al monto de las estimaciones calculado utilizando el modelo interno no objetado. Cuando la diferencia entre ambos modelos disminuya, el exceso de reserva se revertirá debitando la subcuenta 34402M00 – Reservas para cartera de crédito y acreditando la subcuenta 35101M01 – Utilidades de ejercicios anteriores</w:t>
      </w:r>
      <w:r w:rsidRPr="008B5F96">
        <w:rPr>
          <w:color w:val="657C9C"/>
          <w:sz w:val="22"/>
          <w:szCs w:val="22"/>
          <w:lang w:val="es-CR"/>
        </w:rPr>
        <w:t xml:space="preserve">. </w:t>
      </w:r>
      <w:r w:rsidRPr="008B5F96">
        <w:rPr>
          <w:sz w:val="22"/>
          <w:szCs w:val="22"/>
          <w:lang w:val="es-CR"/>
        </w:rPr>
        <w:t>De esta manera, esta reserva prudencial no formará parte de la pérdida crediticia esperada reconocida en los estados financieros preparados conforme al marco NIIF.</w:t>
      </w:r>
    </w:p>
    <w:p w14:paraId="78565CC8" w14:textId="77777777" w:rsidR="008B5F96" w:rsidRPr="008B5F96" w:rsidRDefault="008B5F96" w:rsidP="008B5F96">
      <w:pPr>
        <w:jc w:val="both"/>
        <w:rPr>
          <w:sz w:val="22"/>
          <w:szCs w:val="22"/>
          <w:lang w:val="es-CR"/>
        </w:rPr>
      </w:pPr>
    </w:p>
    <w:p w14:paraId="24324E3B" w14:textId="77777777" w:rsidR="008B5F96" w:rsidRPr="008B5F96" w:rsidRDefault="008B5F96" w:rsidP="008B5F96">
      <w:pPr>
        <w:jc w:val="both"/>
        <w:rPr>
          <w:sz w:val="22"/>
          <w:szCs w:val="22"/>
          <w:lang w:val="es-CR"/>
        </w:rPr>
      </w:pPr>
      <w:r w:rsidRPr="008B5F96">
        <w:rPr>
          <w:sz w:val="22"/>
          <w:szCs w:val="22"/>
          <w:lang w:val="es-CR"/>
        </w:rPr>
        <w:t>Se debe considerar que la cuenta de utilidades retenidas debe tener un saldo suficiente para transferirse a la reserva, de lo contrario no será posible reconocer la reserva.</w:t>
      </w:r>
    </w:p>
    <w:p w14:paraId="38F004BA" w14:textId="77777777" w:rsidR="008B5F96" w:rsidRPr="008B5F96" w:rsidRDefault="008B5F96" w:rsidP="008B5F96">
      <w:pPr>
        <w:jc w:val="both"/>
        <w:rPr>
          <w:sz w:val="22"/>
          <w:szCs w:val="22"/>
          <w:lang w:val="es-CR"/>
        </w:rPr>
      </w:pPr>
    </w:p>
    <w:p w14:paraId="6AF21E7F" w14:textId="77777777" w:rsidR="008B5F96" w:rsidRPr="008B5F96" w:rsidRDefault="008B5F96" w:rsidP="008B5F96">
      <w:pPr>
        <w:jc w:val="both"/>
        <w:rPr>
          <w:color w:val="657C9C"/>
          <w:sz w:val="22"/>
          <w:szCs w:val="22"/>
          <w:u w:val="single"/>
          <w:lang w:val="es-CR"/>
        </w:rPr>
      </w:pPr>
      <w:r w:rsidRPr="008B5F96">
        <w:rPr>
          <w:sz w:val="22"/>
          <w:szCs w:val="22"/>
          <w:lang w:val="es-CR"/>
        </w:rPr>
        <w:t>La entidad que no cuente con utilidades o excedentes de ejercicios anteriores suficientes para cubrir el monto de la reserva patrimonial requerida, en el caso de que el monto de estimaciones crediticias bajo el modelo estándar sea mayor al monto de estimaciones crediticias bajo el modelo interno, no podrá distribuir utilidades, excedentes ni otros beneficios patrimoniales de ningún tipo a sus socios, accionistas o asociados, en tanto no haya alcanzado el 100% de la reserva patrimonial requerida.</w:t>
      </w:r>
    </w:p>
    <w:p w14:paraId="6588E08D" w14:textId="77777777" w:rsidR="008B5F96" w:rsidRPr="008B5F96" w:rsidRDefault="008B5F96" w:rsidP="008B5F96">
      <w:pPr>
        <w:jc w:val="both"/>
        <w:rPr>
          <w:sz w:val="22"/>
          <w:szCs w:val="22"/>
          <w:lang w:val="es-CR"/>
        </w:rPr>
      </w:pPr>
    </w:p>
    <w:p w14:paraId="4F1B6926" w14:textId="77777777" w:rsidR="008B5F96" w:rsidRPr="008B5F96" w:rsidRDefault="008B5F96" w:rsidP="008B5F96">
      <w:pPr>
        <w:jc w:val="both"/>
        <w:rPr>
          <w:sz w:val="22"/>
          <w:szCs w:val="22"/>
          <w:lang w:val="es-CR"/>
        </w:rPr>
      </w:pPr>
      <w:r w:rsidRPr="008B5F96">
        <w:rPr>
          <w:sz w:val="22"/>
          <w:szCs w:val="22"/>
          <w:lang w:val="es-CR"/>
        </w:rPr>
        <w:t>Cuando la entidad haya incurrido en pérdidas por deterioro de cartera de crédito superiores a las constituidas bajo el modelo interno, las cuales hayan sido reconocidas en los resultados del período, podrá aplicar dichos montos contra la reserva patrimonial previamente establecida, tal como lo establece el Acuerdo CONASSIF 6-18, que consiste en debitar la reserva patrimonial por el monto de dichas pérdidas y acreditar la cuenta de utilidades retenidas.</w:t>
      </w:r>
    </w:p>
    <w:p w14:paraId="699DAE2B" w14:textId="77777777" w:rsidR="008B5F96" w:rsidRPr="008B5F96" w:rsidRDefault="008B5F96" w:rsidP="008B5F96">
      <w:pPr>
        <w:jc w:val="both"/>
        <w:rPr>
          <w:sz w:val="22"/>
          <w:szCs w:val="22"/>
          <w:lang w:val="es-CR"/>
        </w:rPr>
      </w:pPr>
    </w:p>
    <w:p w14:paraId="612F9FE1" w14:textId="77777777" w:rsidR="008B5F96" w:rsidRPr="008B5F96" w:rsidRDefault="008B5F96" w:rsidP="008B5F96">
      <w:pPr>
        <w:jc w:val="both"/>
        <w:rPr>
          <w:sz w:val="22"/>
          <w:szCs w:val="22"/>
          <w:lang w:val="es-CR"/>
        </w:rPr>
      </w:pPr>
      <w:r w:rsidRPr="008B5F96">
        <w:rPr>
          <w:sz w:val="22"/>
          <w:szCs w:val="22"/>
          <w:lang w:val="es-CR"/>
        </w:rPr>
        <w:t>Cuando el monto de las estimaciones calculado utilizando el modelo interno sea igual o superior al monto de las estimaciones calculado utilizando el modelo estándar, no será exigible una reserva patrimonial prudencial adicional, sin perjuicio de la facultad de la entidad para constituir reservas adicionales de naturaleza prudencial, en los términos previstos en este Reglamento.</w:t>
      </w:r>
    </w:p>
    <w:p w14:paraId="7B156908" w14:textId="77777777" w:rsidR="008B5F96" w:rsidRPr="008B5F96" w:rsidRDefault="008B5F96" w:rsidP="008B5F96">
      <w:pPr>
        <w:jc w:val="both"/>
        <w:rPr>
          <w:sz w:val="22"/>
          <w:szCs w:val="22"/>
          <w:lang w:val="es-CR"/>
        </w:rPr>
      </w:pPr>
    </w:p>
    <w:p w14:paraId="7F6B4021" w14:textId="77777777" w:rsidR="008B5F96" w:rsidRPr="008B5F96" w:rsidRDefault="008B5F96" w:rsidP="008B5F96">
      <w:pPr>
        <w:jc w:val="both"/>
        <w:rPr>
          <w:sz w:val="22"/>
          <w:szCs w:val="22"/>
          <w:lang w:val="es-CR"/>
        </w:rPr>
      </w:pPr>
      <w:r w:rsidRPr="008B5F96">
        <w:rPr>
          <w:sz w:val="22"/>
          <w:szCs w:val="22"/>
          <w:lang w:val="es-CR"/>
        </w:rPr>
        <w:t xml:space="preserve">En caso de que, con posterioridad, la Superintendencia emita una resolución de objeción al uso de modelos internos, la entidad deberá ajustarse a lo dispuesto en los artículos 30 y 33 de este Reglamento y a las instrucciones específicas que la Superintendencia emita al respecto, conforme a las circunstancias que tenga la entidad. </w:t>
      </w:r>
    </w:p>
    <w:p w14:paraId="120BE9CB" w14:textId="77777777" w:rsidR="008B5F96" w:rsidRPr="008B5F96" w:rsidRDefault="008B5F96" w:rsidP="008B5F96">
      <w:pPr>
        <w:jc w:val="both"/>
        <w:rPr>
          <w:sz w:val="22"/>
          <w:szCs w:val="22"/>
          <w:lang w:val="es-CR"/>
        </w:rPr>
      </w:pPr>
    </w:p>
    <w:p w14:paraId="6E14DD05" w14:textId="77777777" w:rsidR="008B5F96" w:rsidRPr="008B5F96" w:rsidRDefault="008B5F96" w:rsidP="008B5F96">
      <w:pPr>
        <w:jc w:val="center"/>
        <w:rPr>
          <w:b/>
          <w:bCs/>
          <w:sz w:val="22"/>
          <w:szCs w:val="22"/>
          <w:lang w:val="es-CR"/>
        </w:rPr>
      </w:pPr>
      <w:r w:rsidRPr="008B5F96">
        <w:rPr>
          <w:b/>
          <w:bCs/>
          <w:sz w:val="22"/>
          <w:szCs w:val="22"/>
          <w:lang w:val="es-CR"/>
        </w:rPr>
        <w:t>TÍTULO IV</w:t>
      </w:r>
    </w:p>
    <w:p w14:paraId="31700593" w14:textId="77777777" w:rsidR="008B5F96" w:rsidRPr="008B5F96" w:rsidRDefault="008B5F96" w:rsidP="008B5F96">
      <w:pPr>
        <w:jc w:val="center"/>
        <w:rPr>
          <w:b/>
          <w:bCs/>
          <w:sz w:val="22"/>
          <w:szCs w:val="22"/>
          <w:lang w:val="es-CR"/>
        </w:rPr>
      </w:pPr>
    </w:p>
    <w:p w14:paraId="31929C83" w14:textId="77777777" w:rsidR="008B5F96" w:rsidRPr="008B5F96" w:rsidRDefault="008B5F96" w:rsidP="008B5F96">
      <w:pPr>
        <w:jc w:val="center"/>
        <w:rPr>
          <w:b/>
          <w:bCs/>
          <w:sz w:val="22"/>
          <w:szCs w:val="22"/>
          <w:lang w:val="es-CR"/>
        </w:rPr>
      </w:pPr>
      <w:r w:rsidRPr="008B5F96">
        <w:rPr>
          <w:b/>
          <w:bCs/>
          <w:sz w:val="22"/>
          <w:szCs w:val="22"/>
          <w:lang w:val="es-CR"/>
        </w:rPr>
        <w:t>DISPOSICIONES FINALES</w:t>
      </w:r>
    </w:p>
    <w:p w14:paraId="608B2BB3" w14:textId="77777777" w:rsidR="008B5F96" w:rsidRPr="008B5F96" w:rsidRDefault="008B5F96" w:rsidP="008B5F96">
      <w:pPr>
        <w:jc w:val="center"/>
        <w:rPr>
          <w:b/>
          <w:bCs/>
          <w:sz w:val="22"/>
          <w:szCs w:val="22"/>
          <w:lang w:val="es-CR"/>
        </w:rPr>
      </w:pPr>
    </w:p>
    <w:p w14:paraId="56185143" w14:textId="77777777" w:rsidR="008B5F96" w:rsidRPr="008B5F96" w:rsidRDefault="008B5F96" w:rsidP="008B5F96">
      <w:pPr>
        <w:jc w:val="center"/>
        <w:rPr>
          <w:b/>
          <w:bCs/>
          <w:sz w:val="22"/>
          <w:szCs w:val="22"/>
          <w:lang w:val="es-CR"/>
        </w:rPr>
      </w:pPr>
      <w:r w:rsidRPr="008B5F96">
        <w:rPr>
          <w:b/>
          <w:bCs/>
          <w:sz w:val="22"/>
          <w:szCs w:val="22"/>
          <w:lang w:val="es-CR"/>
        </w:rPr>
        <w:t>CAPÍTULO I</w:t>
      </w:r>
    </w:p>
    <w:p w14:paraId="7DF24C01" w14:textId="77777777" w:rsidR="008B5F96" w:rsidRPr="008B5F96" w:rsidRDefault="008B5F96" w:rsidP="008B5F96">
      <w:pPr>
        <w:jc w:val="center"/>
        <w:rPr>
          <w:b/>
          <w:bCs/>
          <w:sz w:val="22"/>
          <w:szCs w:val="22"/>
          <w:lang w:val="es-CR"/>
        </w:rPr>
      </w:pPr>
    </w:p>
    <w:p w14:paraId="535ACC4E" w14:textId="77777777" w:rsidR="008B5F96" w:rsidRPr="008B5F96" w:rsidRDefault="008B5F96" w:rsidP="008B5F96">
      <w:pPr>
        <w:jc w:val="center"/>
        <w:rPr>
          <w:b/>
          <w:bCs/>
          <w:sz w:val="22"/>
          <w:szCs w:val="22"/>
          <w:lang w:val="es-CR"/>
        </w:rPr>
      </w:pPr>
      <w:r w:rsidRPr="008B5F96">
        <w:rPr>
          <w:b/>
          <w:bCs/>
          <w:sz w:val="22"/>
          <w:szCs w:val="22"/>
          <w:lang w:val="es-CR"/>
        </w:rPr>
        <w:t>DISPOSICIONES FINALES</w:t>
      </w:r>
    </w:p>
    <w:p w14:paraId="5D5CB59C" w14:textId="77777777" w:rsidR="008B5F96" w:rsidRPr="008B5F96" w:rsidRDefault="008B5F96" w:rsidP="008B5F96">
      <w:pPr>
        <w:jc w:val="center"/>
        <w:rPr>
          <w:b/>
          <w:bCs/>
          <w:sz w:val="22"/>
          <w:szCs w:val="22"/>
          <w:lang w:val="es-CR"/>
        </w:rPr>
      </w:pPr>
    </w:p>
    <w:p w14:paraId="305E42BA" w14:textId="77777777" w:rsidR="000B27C9" w:rsidRDefault="000B27C9" w:rsidP="008B5F96">
      <w:pPr>
        <w:jc w:val="both"/>
        <w:rPr>
          <w:b/>
          <w:bCs/>
          <w:sz w:val="22"/>
          <w:szCs w:val="22"/>
          <w:lang w:val="es-CR"/>
        </w:rPr>
      </w:pPr>
    </w:p>
    <w:p w14:paraId="48B00361" w14:textId="2100A247" w:rsidR="008B5F96" w:rsidRPr="008B5F96" w:rsidRDefault="008B5F96" w:rsidP="008B5F96">
      <w:pPr>
        <w:jc w:val="both"/>
        <w:rPr>
          <w:b/>
          <w:bCs/>
          <w:sz w:val="22"/>
          <w:szCs w:val="22"/>
          <w:lang w:val="es-CR"/>
        </w:rPr>
      </w:pPr>
      <w:r w:rsidRPr="008B5F96">
        <w:rPr>
          <w:b/>
          <w:bCs/>
          <w:sz w:val="22"/>
          <w:szCs w:val="22"/>
          <w:lang w:val="es-CR"/>
        </w:rPr>
        <w:lastRenderedPageBreak/>
        <w:t>Artículo 36. Información de la Sugef</w:t>
      </w:r>
    </w:p>
    <w:p w14:paraId="237E74AF" w14:textId="77777777" w:rsidR="008B5F96" w:rsidRPr="008B5F96" w:rsidRDefault="008B5F96" w:rsidP="008B5F96">
      <w:pPr>
        <w:jc w:val="both"/>
        <w:rPr>
          <w:b/>
          <w:bCs/>
          <w:sz w:val="22"/>
          <w:szCs w:val="22"/>
          <w:lang w:val="es-CR"/>
        </w:rPr>
      </w:pPr>
    </w:p>
    <w:p w14:paraId="454F2C40" w14:textId="77777777" w:rsidR="008B5F96" w:rsidRPr="008B5F96" w:rsidRDefault="008B5F96" w:rsidP="008B5F96">
      <w:pPr>
        <w:jc w:val="both"/>
        <w:rPr>
          <w:sz w:val="22"/>
          <w:szCs w:val="22"/>
          <w:lang w:val="es-CR"/>
        </w:rPr>
      </w:pPr>
      <w:r w:rsidRPr="008B5F96">
        <w:rPr>
          <w:sz w:val="22"/>
          <w:szCs w:val="22"/>
          <w:lang w:val="es-CR"/>
        </w:rPr>
        <w:t>La información sobre los deudores que la Sugef envía o pone a disposición de las entidades, no implica, bajo ninguna circunstancia, calificación alguna sobre la solvencia y liquidez del deudor, por lo que la Sugef no asume ninguna responsabilidad por operaciones crediticias otorgadas por las entidades con base en esta información.</w:t>
      </w:r>
    </w:p>
    <w:p w14:paraId="09616274" w14:textId="77777777" w:rsidR="008B5F96" w:rsidRPr="008B5F96" w:rsidRDefault="008B5F96" w:rsidP="008B5F96">
      <w:pPr>
        <w:jc w:val="both"/>
        <w:rPr>
          <w:sz w:val="22"/>
          <w:szCs w:val="22"/>
          <w:lang w:val="es-CR"/>
        </w:rPr>
      </w:pPr>
      <w:r w:rsidRPr="008B5F96">
        <w:rPr>
          <w:sz w:val="22"/>
          <w:szCs w:val="22"/>
          <w:lang w:val="es-CR"/>
        </w:rPr>
        <w:t>La Superintendencia, en ejercicio de sus competencias realizará supervisiones de cartera crediticia de las entidades, cuando lo considere conveniente, a efectos de verificar el cumplimiento de lo dispuesto en el presente Reglamento.</w:t>
      </w:r>
    </w:p>
    <w:p w14:paraId="780AAF63" w14:textId="77777777" w:rsidR="008B5F96" w:rsidRPr="008B5F96" w:rsidRDefault="008B5F96" w:rsidP="008B5F96">
      <w:pPr>
        <w:jc w:val="both"/>
        <w:rPr>
          <w:sz w:val="22"/>
          <w:szCs w:val="22"/>
          <w:lang w:val="es-CR"/>
        </w:rPr>
      </w:pPr>
    </w:p>
    <w:p w14:paraId="4CF77275" w14:textId="77777777" w:rsidR="008B5F96" w:rsidRPr="008B5F96" w:rsidRDefault="008B5F96" w:rsidP="008B5F96">
      <w:pPr>
        <w:jc w:val="both"/>
        <w:rPr>
          <w:sz w:val="22"/>
          <w:szCs w:val="22"/>
          <w:lang w:val="es-CR"/>
        </w:rPr>
      </w:pPr>
      <w:r w:rsidRPr="008B5F96">
        <w:rPr>
          <w:sz w:val="22"/>
          <w:szCs w:val="22"/>
          <w:lang w:val="es-CR"/>
        </w:rPr>
        <w:t>La supervisión se notificará a la entidad por escrito, por parte del Gerente de Supervisión, con al menos cinco días hábiles de anticipación, indicando, como mínimo, el alcance de la revisión, la cartera objeto de análisis y la lista inicial de deudores cuyos expedientes de crédito deberán estar disponibles. Asimismo, se hace constar que el alcance podrá incluir revisiones aplicadas a la información remitida vía XML, cuyas conclusiones, al igual que las de la revisión de expedientes, podrán derivar en la reclasificación de deudores conforme a este Reglamento.</w:t>
      </w:r>
    </w:p>
    <w:p w14:paraId="4BEED855" w14:textId="77777777" w:rsidR="008B5F96" w:rsidRPr="008B5F96" w:rsidRDefault="008B5F96" w:rsidP="008B5F96">
      <w:pPr>
        <w:jc w:val="both"/>
        <w:rPr>
          <w:sz w:val="22"/>
          <w:szCs w:val="22"/>
          <w:lang w:val="es-CR"/>
        </w:rPr>
      </w:pPr>
    </w:p>
    <w:p w14:paraId="24EE08F3" w14:textId="77777777" w:rsidR="008B5F96" w:rsidRPr="008B5F96" w:rsidRDefault="008B5F96" w:rsidP="008B5F96">
      <w:pPr>
        <w:jc w:val="both"/>
        <w:rPr>
          <w:sz w:val="22"/>
          <w:szCs w:val="22"/>
          <w:lang w:val="es-CR"/>
        </w:rPr>
      </w:pPr>
      <w:r w:rsidRPr="008B5F96">
        <w:rPr>
          <w:sz w:val="22"/>
          <w:szCs w:val="22"/>
          <w:lang w:val="es-CR"/>
        </w:rPr>
        <w:t>En la fecha de inicio de la supervisión, la entidad deberá:</w:t>
      </w:r>
    </w:p>
    <w:p w14:paraId="5ADA2479" w14:textId="77777777" w:rsidR="008B5F96" w:rsidRPr="008B5F96" w:rsidRDefault="008B5F96" w:rsidP="008B5F96">
      <w:pPr>
        <w:jc w:val="both"/>
        <w:rPr>
          <w:sz w:val="22"/>
          <w:szCs w:val="22"/>
          <w:lang w:val="es-CR"/>
        </w:rPr>
      </w:pPr>
    </w:p>
    <w:p w14:paraId="7DB619C2" w14:textId="77777777" w:rsidR="008B5F96" w:rsidRPr="008B5F96" w:rsidRDefault="008B5F96" w:rsidP="008B5F96">
      <w:pPr>
        <w:ind w:left="360" w:hanging="360"/>
        <w:jc w:val="both"/>
        <w:rPr>
          <w:sz w:val="22"/>
          <w:szCs w:val="22"/>
          <w:lang w:val="es-CR"/>
        </w:rPr>
      </w:pPr>
      <w:r w:rsidRPr="008B5F96">
        <w:rPr>
          <w:sz w:val="22"/>
          <w:szCs w:val="22"/>
          <w:lang w:val="es-CR"/>
        </w:rPr>
        <w:t>a)</w:t>
      </w:r>
      <w:r w:rsidRPr="008B5F96">
        <w:rPr>
          <w:sz w:val="22"/>
          <w:szCs w:val="22"/>
          <w:lang w:val="es-CR"/>
        </w:rPr>
        <w:tab/>
        <w:t>Tener a disposición del equipo de supervisión los expedientes de crédito de la lista inicial de deudores comunicada por la Superintendencia.</w:t>
      </w:r>
    </w:p>
    <w:p w14:paraId="4E072595" w14:textId="77777777" w:rsidR="008B5F96" w:rsidRPr="008B5F96" w:rsidRDefault="008B5F96" w:rsidP="008B5F96">
      <w:pPr>
        <w:ind w:left="360"/>
        <w:contextualSpacing/>
        <w:jc w:val="both"/>
        <w:rPr>
          <w:sz w:val="22"/>
          <w:szCs w:val="22"/>
          <w:lang w:val="es-CR"/>
        </w:rPr>
      </w:pPr>
    </w:p>
    <w:p w14:paraId="03399395" w14:textId="77777777" w:rsidR="008B5F96" w:rsidRPr="008B5F96" w:rsidRDefault="008B5F96" w:rsidP="008B5F96">
      <w:pPr>
        <w:ind w:left="360" w:hanging="360"/>
        <w:jc w:val="both"/>
        <w:rPr>
          <w:sz w:val="22"/>
          <w:szCs w:val="22"/>
          <w:lang w:val="es-CR"/>
        </w:rPr>
      </w:pPr>
      <w:r w:rsidRPr="008B5F96">
        <w:rPr>
          <w:sz w:val="22"/>
          <w:szCs w:val="22"/>
          <w:lang w:val="es-CR"/>
        </w:rPr>
        <w:t>b)</w:t>
      </w:r>
      <w:r w:rsidRPr="008B5F96">
        <w:rPr>
          <w:sz w:val="22"/>
          <w:szCs w:val="22"/>
          <w:lang w:val="es-CR"/>
        </w:rPr>
        <w:tab/>
        <w:t>Mantener disponible la documentación que describa el modelo utilizado para la constitución de las estimaciones.</w:t>
      </w:r>
    </w:p>
    <w:p w14:paraId="52DF756C" w14:textId="77777777" w:rsidR="008B5F96" w:rsidRPr="008B5F96" w:rsidRDefault="008B5F96" w:rsidP="008B5F96">
      <w:pPr>
        <w:ind w:left="720"/>
        <w:contextualSpacing/>
        <w:rPr>
          <w:sz w:val="22"/>
          <w:szCs w:val="22"/>
          <w:lang w:val="es-CR"/>
        </w:rPr>
      </w:pPr>
    </w:p>
    <w:p w14:paraId="61A89636" w14:textId="77777777" w:rsidR="008B5F96" w:rsidRPr="008B5F96" w:rsidRDefault="008B5F96" w:rsidP="008B5F96">
      <w:pPr>
        <w:ind w:left="360" w:hanging="360"/>
        <w:jc w:val="both"/>
        <w:rPr>
          <w:sz w:val="22"/>
          <w:szCs w:val="22"/>
          <w:lang w:val="es-CR"/>
        </w:rPr>
      </w:pPr>
      <w:r w:rsidRPr="008B5F96">
        <w:rPr>
          <w:sz w:val="22"/>
          <w:szCs w:val="22"/>
          <w:lang w:val="es-CR"/>
        </w:rPr>
        <w:t>c)</w:t>
      </w:r>
      <w:r w:rsidRPr="008B5F96">
        <w:rPr>
          <w:sz w:val="22"/>
          <w:szCs w:val="22"/>
          <w:lang w:val="es-CR"/>
        </w:rPr>
        <w:tab/>
        <w:t>Designar y comunicar a la Superintendencia la persona responsable de atender los requerimientos de información del equipo de supervisión.</w:t>
      </w:r>
    </w:p>
    <w:p w14:paraId="1B978EA1" w14:textId="77777777" w:rsidR="008B5F96" w:rsidRPr="008B5F96" w:rsidRDefault="008B5F96" w:rsidP="008B5F96">
      <w:pPr>
        <w:jc w:val="both"/>
        <w:rPr>
          <w:sz w:val="22"/>
          <w:szCs w:val="22"/>
          <w:lang w:val="es-CR"/>
        </w:rPr>
      </w:pPr>
    </w:p>
    <w:p w14:paraId="20477761" w14:textId="77777777" w:rsidR="008B5F96" w:rsidRPr="008B5F96" w:rsidRDefault="008B5F96" w:rsidP="008B5F96">
      <w:pPr>
        <w:jc w:val="both"/>
        <w:rPr>
          <w:sz w:val="22"/>
          <w:szCs w:val="22"/>
          <w:lang w:val="es-CR"/>
        </w:rPr>
      </w:pPr>
      <w:r w:rsidRPr="008B5F96">
        <w:rPr>
          <w:sz w:val="22"/>
          <w:szCs w:val="22"/>
          <w:lang w:val="es-CR"/>
        </w:rPr>
        <w:t>El coordinador del equipo de supervisión puede requerir por escrito los expedientes de crédito de otros deudores no incluidos en la lista inicial en cualquier momento durante la supervisión, para cuya entrega la entidad dispone como máximo de tres días hábiles.</w:t>
      </w:r>
    </w:p>
    <w:p w14:paraId="70BB8340" w14:textId="77777777" w:rsidR="008B5F96" w:rsidRPr="008B5F96" w:rsidRDefault="008B5F96" w:rsidP="008B5F96">
      <w:pPr>
        <w:jc w:val="both"/>
        <w:rPr>
          <w:sz w:val="22"/>
          <w:szCs w:val="22"/>
          <w:lang w:val="es-CR"/>
        </w:rPr>
      </w:pPr>
    </w:p>
    <w:p w14:paraId="64A7253C" w14:textId="77777777" w:rsidR="008B5F96" w:rsidRPr="008B5F96" w:rsidRDefault="008B5F96" w:rsidP="008B5F96">
      <w:pPr>
        <w:jc w:val="both"/>
        <w:rPr>
          <w:sz w:val="22"/>
          <w:szCs w:val="22"/>
          <w:lang w:val="es-CR"/>
        </w:rPr>
      </w:pPr>
      <w:r w:rsidRPr="008B5F96">
        <w:rPr>
          <w:sz w:val="22"/>
          <w:szCs w:val="22"/>
          <w:lang w:val="es-CR"/>
        </w:rPr>
        <w:t>El coordinador del equipo de supervisión podrá requerir por escrito que la entidad complete o aclare información relacionada con los expedientes analizados. La entidad dispondrá de un plazo máximo de dos días hábiles, contados a partir de la notificación del requerimiento, para completar la información solicitada y adicionar la que estime pertinente.</w:t>
      </w:r>
    </w:p>
    <w:p w14:paraId="7B4C59B7" w14:textId="77777777" w:rsidR="008B5F96" w:rsidRPr="008B5F96" w:rsidRDefault="008B5F96" w:rsidP="008B5F96">
      <w:pPr>
        <w:jc w:val="both"/>
        <w:rPr>
          <w:sz w:val="22"/>
          <w:szCs w:val="22"/>
          <w:lang w:val="es-CR"/>
        </w:rPr>
      </w:pPr>
    </w:p>
    <w:p w14:paraId="3B1AC967" w14:textId="77777777" w:rsidR="008B5F96" w:rsidRPr="008B5F96" w:rsidRDefault="008B5F96" w:rsidP="008B5F96">
      <w:pPr>
        <w:jc w:val="both"/>
        <w:rPr>
          <w:sz w:val="22"/>
          <w:szCs w:val="22"/>
          <w:lang w:val="es-CR"/>
        </w:rPr>
      </w:pPr>
      <w:r w:rsidRPr="008B5F96">
        <w:rPr>
          <w:sz w:val="22"/>
          <w:szCs w:val="22"/>
          <w:lang w:val="es-CR"/>
        </w:rPr>
        <w:t>La información adicionada al expediente de crédito una vez transcurrido en el plazo precitado no se considera para la calificación del deudor, el análisis de las garantías y el cálculo de las estimaciones correspondientes.</w:t>
      </w:r>
    </w:p>
    <w:p w14:paraId="0DAD3B14" w14:textId="77777777" w:rsidR="008B5F96" w:rsidRPr="008B5F96" w:rsidRDefault="008B5F96" w:rsidP="008B5F96">
      <w:pPr>
        <w:jc w:val="both"/>
        <w:rPr>
          <w:sz w:val="22"/>
          <w:szCs w:val="22"/>
          <w:lang w:val="es-CR"/>
        </w:rPr>
      </w:pPr>
    </w:p>
    <w:p w14:paraId="49C02CC1" w14:textId="77777777" w:rsidR="008B5F96" w:rsidRPr="000B27C9" w:rsidRDefault="008B5F96" w:rsidP="008B5F96">
      <w:pPr>
        <w:jc w:val="both"/>
        <w:rPr>
          <w:sz w:val="22"/>
          <w:szCs w:val="22"/>
          <w:u w:val="single"/>
          <w:lang w:val="es-CR"/>
        </w:rPr>
      </w:pPr>
      <w:r w:rsidRPr="008B5F96">
        <w:rPr>
          <w:sz w:val="22"/>
          <w:szCs w:val="22"/>
          <w:lang w:val="es-CR"/>
        </w:rPr>
        <w:t>Los deudores cuyo expediente de crédito no sea entregado en el plazo establecido y según lo requerido, se recalificarán en la categoría de riesgo 8. Una vez entregado el expediente en las condiciones requeridas, la Superintendencia valorará la información aportada y determinará la categoría de riesgo aplicable al deudor, de conformidad con los parámetros establecidos en este Reglamento</w:t>
      </w:r>
      <w:r w:rsidRPr="000B27C9">
        <w:rPr>
          <w:sz w:val="22"/>
          <w:szCs w:val="22"/>
          <w:lang w:val="es-CR"/>
        </w:rPr>
        <w:t>.</w:t>
      </w:r>
    </w:p>
    <w:p w14:paraId="6C81D4AF" w14:textId="77777777" w:rsidR="008B5F96" w:rsidRPr="008B5F96" w:rsidRDefault="008B5F96" w:rsidP="008B5F96">
      <w:pPr>
        <w:jc w:val="both"/>
        <w:rPr>
          <w:sz w:val="22"/>
          <w:szCs w:val="22"/>
          <w:lang w:val="es-CR"/>
        </w:rPr>
      </w:pPr>
    </w:p>
    <w:p w14:paraId="4BC91EFB" w14:textId="77777777" w:rsidR="008B5F96" w:rsidRPr="008B5F96" w:rsidRDefault="008B5F96" w:rsidP="008B5F96">
      <w:pPr>
        <w:jc w:val="both"/>
        <w:rPr>
          <w:sz w:val="22"/>
          <w:szCs w:val="22"/>
          <w:lang w:val="es-CR"/>
        </w:rPr>
      </w:pPr>
      <w:r w:rsidRPr="008B5F96">
        <w:rPr>
          <w:sz w:val="22"/>
          <w:szCs w:val="22"/>
          <w:lang w:val="es-CR"/>
        </w:rPr>
        <w:t xml:space="preserve">La Superintendencia debe comunicar a la entidad el informe final de la supervisión de la cartera crediticia, a más tardar, 30 días hábiles después de la reunión de salida. Este plazo puede ser prorrogado </w:t>
      </w:r>
      <w:r w:rsidRPr="008B5F96">
        <w:rPr>
          <w:sz w:val="22"/>
          <w:szCs w:val="22"/>
          <w:lang w:val="es-CR"/>
        </w:rPr>
        <w:lastRenderedPageBreak/>
        <w:t>excepcionalmente por 10 días hábiles adicionales en casos calificados. La Superintendencia debe comunicar los motivos de la prórroga a la entidad previamente al vencimiento del plazo.</w:t>
      </w:r>
    </w:p>
    <w:p w14:paraId="7DB6621D" w14:textId="77777777" w:rsidR="008B5F96" w:rsidRPr="008B5F96" w:rsidRDefault="008B5F96" w:rsidP="008B5F96">
      <w:pPr>
        <w:jc w:val="both"/>
        <w:rPr>
          <w:sz w:val="22"/>
          <w:szCs w:val="22"/>
          <w:lang w:val="es-CR"/>
        </w:rPr>
      </w:pPr>
    </w:p>
    <w:p w14:paraId="58DEF80E" w14:textId="77777777" w:rsidR="008B5F96" w:rsidRPr="008B5F96" w:rsidRDefault="008B5F96" w:rsidP="008B5F96">
      <w:pPr>
        <w:jc w:val="both"/>
        <w:rPr>
          <w:sz w:val="22"/>
          <w:szCs w:val="22"/>
          <w:lang w:val="es-CR"/>
        </w:rPr>
      </w:pPr>
      <w:r w:rsidRPr="008B5F96">
        <w:rPr>
          <w:sz w:val="22"/>
          <w:szCs w:val="22"/>
          <w:lang w:val="es-CR"/>
        </w:rPr>
        <w:t>El informe final debe indicar los motivos por los cuales la Superintendencia determina que deben ajustarse las categorías de riesgo a los deudores, el valor de las garantías y el cálculo de las estimaciones. El Superintendente puede delegar en el correspondiente Gerente de Supervisión la comunicación oficial del informe final.</w:t>
      </w:r>
    </w:p>
    <w:p w14:paraId="7CDF254C" w14:textId="77777777" w:rsidR="008B5F96" w:rsidRPr="008B5F96" w:rsidRDefault="008B5F96" w:rsidP="008B5F96">
      <w:pPr>
        <w:jc w:val="both"/>
        <w:rPr>
          <w:sz w:val="22"/>
          <w:szCs w:val="22"/>
          <w:lang w:val="es-CR"/>
        </w:rPr>
      </w:pPr>
    </w:p>
    <w:p w14:paraId="17A6CA40" w14:textId="77777777" w:rsidR="008B5F96" w:rsidRPr="008B5F96" w:rsidRDefault="008B5F96" w:rsidP="008B5F96">
      <w:pPr>
        <w:jc w:val="both"/>
        <w:rPr>
          <w:b/>
          <w:bCs/>
          <w:sz w:val="22"/>
          <w:szCs w:val="22"/>
          <w:lang w:val="es-CR"/>
        </w:rPr>
      </w:pPr>
      <w:r w:rsidRPr="008B5F96">
        <w:rPr>
          <w:b/>
          <w:bCs/>
          <w:sz w:val="22"/>
          <w:szCs w:val="22"/>
          <w:lang w:val="es-CR"/>
        </w:rPr>
        <w:t>Artículo 37. Sanciones</w:t>
      </w:r>
    </w:p>
    <w:p w14:paraId="74A9B39E" w14:textId="77777777" w:rsidR="008B5F96" w:rsidRPr="000B27C9" w:rsidRDefault="008B5F96" w:rsidP="008B5F96">
      <w:pPr>
        <w:jc w:val="both"/>
        <w:rPr>
          <w:sz w:val="22"/>
          <w:szCs w:val="22"/>
          <w:lang w:val="es-CR"/>
        </w:rPr>
      </w:pPr>
    </w:p>
    <w:p w14:paraId="2D5CA158" w14:textId="77777777" w:rsidR="008B5F96" w:rsidRPr="008B5F96" w:rsidRDefault="008B5F96" w:rsidP="008B5F96">
      <w:pPr>
        <w:jc w:val="both"/>
        <w:rPr>
          <w:sz w:val="22"/>
          <w:szCs w:val="22"/>
          <w:lang w:val="es-CR"/>
        </w:rPr>
      </w:pPr>
      <w:r w:rsidRPr="008B5F96">
        <w:rPr>
          <w:sz w:val="22"/>
          <w:szCs w:val="22"/>
          <w:lang w:val="es-CR"/>
        </w:rPr>
        <w:t>El impedimento u obstaculización de inspección o supervisión de sus operaciones, la alteración de registros contables, el envío o presentación de información falsa o incompleta son sancionados de conformidad con lo dispuesto en el artículo 155 de la Ley Orgánica del Banco Central de Costa Rica, Ley 7558.</w:t>
      </w:r>
    </w:p>
    <w:p w14:paraId="55A68B01" w14:textId="77777777" w:rsidR="008B5F96" w:rsidRPr="008B5F96" w:rsidRDefault="008B5F96" w:rsidP="008B5F96">
      <w:pPr>
        <w:jc w:val="both"/>
        <w:rPr>
          <w:sz w:val="22"/>
          <w:szCs w:val="22"/>
          <w:lang w:val="es-CR"/>
        </w:rPr>
      </w:pPr>
    </w:p>
    <w:p w14:paraId="712F7DA0" w14:textId="77777777" w:rsidR="008B5F96" w:rsidRPr="008B5F96" w:rsidRDefault="008B5F96" w:rsidP="008B5F96">
      <w:pPr>
        <w:jc w:val="both"/>
        <w:rPr>
          <w:b/>
          <w:bCs/>
          <w:sz w:val="22"/>
          <w:szCs w:val="22"/>
          <w:lang w:val="es-CR"/>
        </w:rPr>
      </w:pPr>
      <w:r w:rsidRPr="008B5F96">
        <w:rPr>
          <w:b/>
          <w:bCs/>
          <w:sz w:val="22"/>
          <w:szCs w:val="22"/>
          <w:lang w:val="es-CR"/>
        </w:rPr>
        <w:t>Artículo 38. Incumplimiento en el envío de información</w:t>
      </w:r>
    </w:p>
    <w:p w14:paraId="45F36247" w14:textId="77777777" w:rsidR="008B5F96" w:rsidRPr="000B27C9" w:rsidRDefault="008B5F96" w:rsidP="008B5F96">
      <w:pPr>
        <w:jc w:val="both"/>
        <w:rPr>
          <w:sz w:val="22"/>
          <w:szCs w:val="22"/>
          <w:lang w:val="es-CR"/>
        </w:rPr>
      </w:pPr>
    </w:p>
    <w:p w14:paraId="250E2113" w14:textId="77777777" w:rsidR="008B5F96" w:rsidRPr="008B5F96" w:rsidRDefault="008B5F96" w:rsidP="008B5F96">
      <w:pPr>
        <w:jc w:val="both"/>
        <w:rPr>
          <w:sz w:val="22"/>
          <w:szCs w:val="22"/>
          <w:lang w:val="es-CR"/>
        </w:rPr>
      </w:pPr>
      <w:r w:rsidRPr="008B5F96">
        <w:rPr>
          <w:sz w:val="22"/>
          <w:szCs w:val="22"/>
          <w:lang w:val="es-CR"/>
        </w:rPr>
        <w:t>Para las entidades financieras sujetas a este Reglamento que en un determinado periodo no remitan la totalidad de los XML de las clases de datos Garantías y Operaciones Crediticias de SICVECA o que remitan la información fuera del plazo de entrega predefinido, por razones no atribuibles a fallas en los equipos informáticos de la Superintendencia, deben calcular el monto de la estimación por deterioro e incobrabilidad de la cartera de crédito y la estimación por incobrabilidad de créditos contingentes de la siguiente manera:</w:t>
      </w:r>
    </w:p>
    <w:p w14:paraId="2A17A33B" w14:textId="77777777" w:rsidR="008B5F96" w:rsidRPr="008B5F96" w:rsidRDefault="008B5F96" w:rsidP="008B5F96">
      <w:pPr>
        <w:jc w:val="both"/>
        <w:rPr>
          <w:sz w:val="22"/>
          <w:szCs w:val="22"/>
          <w:lang w:val="es-CR"/>
        </w:rPr>
      </w:pPr>
    </w:p>
    <w:p w14:paraId="67DDD34A" w14:textId="77777777" w:rsidR="008B5F96" w:rsidRPr="008B5F96" w:rsidRDefault="008B5F96" w:rsidP="008B5F96">
      <w:pPr>
        <w:ind w:left="360" w:hanging="360"/>
        <w:jc w:val="both"/>
        <w:rPr>
          <w:sz w:val="22"/>
          <w:szCs w:val="22"/>
          <w:lang w:val="es-CR"/>
        </w:rPr>
      </w:pPr>
      <w:r w:rsidRPr="008B5F96">
        <w:rPr>
          <w:b/>
          <w:bCs/>
          <w:sz w:val="22"/>
          <w:szCs w:val="22"/>
          <w:lang w:val="es-CR"/>
        </w:rPr>
        <w:t>a)</w:t>
      </w:r>
      <w:r w:rsidRPr="008B5F96">
        <w:rPr>
          <w:b/>
          <w:bCs/>
          <w:sz w:val="22"/>
          <w:szCs w:val="22"/>
          <w:lang w:val="es-CR"/>
        </w:rPr>
        <w:tab/>
      </w:r>
      <w:r w:rsidRPr="008B5F96">
        <w:rPr>
          <w:sz w:val="22"/>
          <w:szCs w:val="22"/>
          <w:lang w:val="es-CR"/>
        </w:rPr>
        <w:t>Determinar para el último mes de envío completo de la información, el porcentaje que representa el monto de la estimación mínima respecto de la cartera de crédito sujeta a estimación de ese mismo mes.</w:t>
      </w:r>
    </w:p>
    <w:p w14:paraId="43FFBB50" w14:textId="77777777" w:rsidR="008B5F96" w:rsidRPr="008B5F96" w:rsidRDefault="008B5F96" w:rsidP="008B5F96">
      <w:pPr>
        <w:ind w:left="360"/>
        <w:contextualSpacing/>
        <w:jc w:val="both"/>
        <w:rPr>
          <w:sz w:val="22"/>
          <w:szCs w:val="22"/>
          <w:lang w:val="es-CR"/>
        </w:rPr>
      </w:pPr>
    </w:p>
    <w:p w14:paraId="44C1C873" w14:textId="77777777" w:rsidR="008B5F96" w:rsidRPr="008B5F96" w:rsidRDefault="008B5F96" w:rsidP="008B5F96">
      <w:pPr>
        <w:ind w:left="360" w:hanging="360"/>
        <w:jc w:val="both"/>
        <w:rPr>
          <w:sz w:val="22"/>
          <w:szCs w:val="22"/>
          <w:lang w:val="es-CR"/>
        </w:rPr>
      </w:pPr>
      <w:r w:rsidRPr="008B5F96">
        <w:rPr>
          <w:b/>
          <w:bCs/>
          <w:sz w:val="22"/>
          <w:szCs w:val="22"/>
          <w:lang w:val="es-CR"/>
        </w:rPr>
        <w:t>b)</w:t>
      </w:r>
      <w:r w:rsidRPr="008B5F96">
        <w:rPr>
          <w:b/>
          <w:bCs/>
          <w:sz w:val="22"/>
          <w:szCs w:val="22"/>
          <w:lang w:val="es-CR"/>
        </w:rPr>
        <w:tab/>
      </w:r>
      <w:r w:rsidRPr="008B5F96">
        <w:rPr>
          <w:sz w:val="22"/>
          <w:szCs w:val="22"/>
          <w:lang w:val="es-CR"/>
        </w:rPr>
        <w:t>El monto de las estimaciones a registrar contablemente debe ser igual o mayor al monto que resulta de multiplicar: el porcentaje determinado en el punto a) anterior por el saldo en el mes de no envío de información de las cuentas indicadas en el anexo 1 “Operaciones crediticias sujetas a estimación”, aplicándose el equivalente de crédito que corresponda a las cuentas contingentes, más la cuenta 148.03. A este saldo resultante de esta multiplicación se suma el monto que resulte de multiplicar el saldo de la cartera correspondiente a la categoría de riesgo 1 del último mes de envío completo de la información por un 0,25% y por cada mes consecutivo de no envío de información debe adicionarse un 0,25% acumulativo mensualmente. En el momento en que la entidad cumple con el envío exitoso de la totalidad de los XML de las clases de datos Garantías y Operaciones Crediticias de SICVECA, se deja de aplicar la acumulación del 0,25% mensual. En el siguiente mes, cuando se cumpla con lo indicado en el numeral d) de este artículo, la entidad puede reversar el monto de las estimaciones adicionales originadas en la aplicación de este artículo, y que excedan el monto de la estimación mínima en ese momento. En caso de un nuevo incumplimiento, inicia nuevamente con el 0,25% mensual acumulativo.</w:t>
      </w:r>
    </w:p>
    <w:p w14:paraId="5933BC31" w14:textId="77777777" w:rsidR="008B5F96" w:rsidRPr="008B5F96" w:rsidRDefault="008B5F96" w:rsidP="008B5F96">
      <w:pPr>
        <w:ind w:left="360"/>
        <w:contextualSpacing/>
        <w:jc w:val="both"/>
        <w:rPr>
          <w:sz w:val="22"/>
          <w:szCs w:val="22"/>
          <w:lang w:val="es-CR"/>
        </w:rPr>
      </w:pPr>
    </w:p>
    <w:p w14:paraId="30C78A87" w14:textId="77777777" w:rsidR="008B5F96" w:rsidRPr="008B5F96" w:rsidRDefault="008B5F96" w:rsidP="008B5F96">
      <w:pPr>
        <w:ind w:left="360" w:hanging="360"/>
        <w:jc w:val="both"/>
        <w:rPr>
          <w:sz w:val="22"/>
          <w:szCs w:val="22"/>
          <w:lang w:val="es-CR"/>
        </w:rPr>
      </w:pPr>
      <w:r w:rsidRPr="008B5F96">
        <w:rPr>
          <w:b/>
          <w:bCs/>
          <w:sz w:val="22"/>
          <w:szCs w:val="22"/>
          <w:lang w:val="es-CR"/>
        </w:rPr>
        <w:t>c)</w:t>
      </w:r>
      <w:r w:rsidRPr="008B5F96">
        <w:rPr>
          <w:b/>
          <w:bCs/>
          <w:sz w:val="22"/>
          <w:szCs w:val="22"/>
          <w:lang w:val="es-CR"/>
        </w:rPr>
        <w:tab/>
      </w:r>
      <w:r w:rsidRPr="008B5F96">
        <w:rPr>
          <w:sz w:val="22"/>
          <w:szCs w:val="22"/>
          <w:lang w:val="es-CR"/>
        </w:rPr>
        <w:t xml:space="preserve">El Manual de Información del Sistema Financiero establece que la entidad debe remitir la información financiero contable en el plazo de cinco días hábiles contados a partir del último día de cada mes. La entidad debe prever si contará oportunamente con la totalidad de los XML de las clases de datos Garantías y Operaciones Crediticias de SICVECA, que le permita cumplir con la fecha límite de envío. En el caso de que la entidad prevea algún incumplimiento en la remisión de dicha </w:t>
      </w:r>
      <w:r w:rsidRPr="008B5F96">
        <w:rPr>
          <w:sz w:val="22"/>
          <w:szCs w:val="22"/>
          <w:lang w:val="es-CR"/>
        </w:rPr>
        <w:lastRenderedPageBreak/>
        <w:t>información, debe registrar las estimaciones que corresponda según los numerales a) y b) anteriores, y remitir la información financiero contable en el plazo establecido.</w:t>
      </w:r>
    </w:p>
    <w:p w14:paraId="721A3801" w14:textId="77777777" w:rsidR="008B5F96" w:rsidRPr="008B5F96" w:rsidRDefault="008B5F96" w:rsidP="008B5F96">
      <w:pPr>
        <w:ind w:left="720"/>
        <w:contextualSpacing/>
        <w:rPr>
          <w:sz w:val="22"/>
          <w:szCs w:val="22"/>
          <w:lang w:val="es-CR"/>
        </w:rPr>
      </w:pPr>
    </w:p>
    <w:p w14:paraId="72E36BD5" w14:textId="77777777" w:rsidR="008B5F96" w:rsidRPr="008B5F96" w:rsidRDefault="008B5F96" w:rsidP="008B5F96">
      <w:pPr>
        <w:ind w:left="360" w:hanging="360"/>
        <w:jc w:val="both"/>
        <w:rPr>
          <w:sz w:val="22"/>
          <w:szCs w:val="22"/>
          <w:lang w:val="es-CR"/>
        </w:rPr>
      </w:pPr>
      <w:r w:rsidRPr="008B5F96">
        <w:rPr>
          <w:b/>
          <w:bCs/>
          <w:sz w:val="22"/>
          <w:szCs w:val="22"/>
          <w:lang w:val="es-CR"/>
        </w:rPr>
        <w:t>d)</w:t>
      </w:r>
      <w:r w:rsidRPr="008B5F96">
        <w:rPr>
          <w:b/>
          <w:bCs/>
          <w:sz w:val="22"/>
          <w:szCs w:val="22"/>
          <w:lang w:val="es-CR"/>
        </w:rPr>
        <w:tab/>
      </w:r>
      <w:r w:rsidRPr="008B5F96">
        <w:rPr>
          <w:sz w:val="22"/>
          <w:szCs w:val="22"/>
          <w:lang w:val="es-CR"/>
        </w:rPr>
        <w:t>En el siguiente mes, la entidad puede reversar el monto de las estimaciones originadas en la aplicación de este artículo siempre que cumpla con el envío en el mes en curso de la totalidad de los XML de las clases de datos Garantías y Operaciones Crediticias de SICVECA correspondiente del mes de no envío de la información y siempre que la entidad no prevea algún incumplimiento en el envío de dicha información para el mes en curso.</w:t>
      </w:r>
    </w:p>
    <w:p w14:paraId="19ACB2C2" w14:textId="77777777" w:rsidR="008B5F96" w:rsidRPr="008B5F96" w:rsidRDefault="008B5F96" w:rsidP="008B5F96">
      <w:pPr>
        <w:jc w:val="both"/>
        <w:rPr>
          <w:sz w:val="22"/>
          <w:szCs w:val="22"/>
          <w:lang w:val="es-CR"/>
        </w:rPr>
      </w:pPr>
    </w:p>
    <w:p w14:paraId="11527101" w14:textId="77777777" w:rsidR="008B5F96" w:rsidRPr="008B5F96" w:rsidRDefault="008B5F96" w:rsidP="008B5F96">
      <w:pPr>
        <w:jc w:val="both"/>
        <w:rPr>
          <w:sz w:val="22"/>
          <w:szCs w:val="22"/>
          <w:lang w:val="es-CR"/>
        </w:rPr>
      </w:pPr>
      <w:r w:rsidRPr="008B5F96">
        <w:rPr>
          <w:sz w:val="22"/>
          <w:szCs w:val="22"/>
          <w:lang w:val="es-CR"/>
        </w:rPr>
        <w:t>En caso de fallas técnicas atribuibles a la Superintendencia, esta debe comunicar los medios a través de los cuales se debe remitir la información.</w:t>
      </w:r>
    </w:p>
    <w:p w14:paraId="22C5F381" w14:textId="77777777" w:rsidR="008B5F96" w:rsidRPr="008B5F96" w:rsidRDefault="008B5F96" w:rsidP="008B5F96">
      <w:pPr>
        <w:jc w:val="both"/>
        <w:rPr>
          <w:sz w:val="22"/>
          <w:szCs w:val="22"/>
          <w:lang w:val="es-CR"/>
        </w:rPr>
      </w:pPr>
      <w:r w:rsidRPr="008B5F96">
        <w:rPr>
          <w:sz w:val="22"/>
          <w:szCs w:val="22"/>
          <w:lang w:val="es-CR"/>
        </w:rPr>
        <w:t>La acumulación del 0,25% mensual no se aplicará cuando la entidad demuestre que el incumplimiento obedeció a fuerza mayor debidamente acreditada y haya informado oportunamente a la Superintendencia, sin perjuicio del registro de la estimación que corresponda conforme a los numerales a) y b) de este artículo.</w:t>
      </w:r>
    </w:p>
    <w:p w14:paraId="1F1B61EC" w14:textId="77777777" w:rsidR="008B5F96" w:rsidRPr="008B5F96" w:rsidRDefault="008B5F96" w:rsidP="008B5F96">
      <w:pPr>
        <w:ind w:left="360"/>
        <w:jc w:val="both"/>
        <w:rPr>
          <w:sz w:val="22"/>
          <w:szCs w:val="22"/>
          <w:lang w:val="es-CR"/>
        </w:rPr>
      </w:pPr>
    </w:p>
    <w:p w14:paraId="78886E34" w14:textId="77777777" w:rsidR="008B5F96" w:rsidRPr="008B5F96" w:rsidRDefault="008B5F96" w:rsidP="008B5F96">
      <w:pPr>
        <w:jc w:val="both"/>
        <w:rPr>
          <w:b/>
          <w:bCs/>
          <w:sz w:val="22"/>
          <w:szCs w:val="22"/>
          <w:lang w:val="es-CR"/>
        </w:rPr>
      </w:pPr>
      <w:r w:rsidRPr="008B5F96">
        <w:rPr>
          <w:b/>
          <w:bCs/>
          <w:sz w:val="22"/>
          <w:szCs w:val="22"/>
          <w:lang w:val="es-CR"/>
        </w:rPr>
        <w:t>Artículo 39. Envío de Información</w:t>
      </w:r>
    </w:p>
    <w:p w14:paraId="24F8A812" w14:textId="77777777" w:rsidR="008B5F96" w:rsidRPr="000B27C9" w:rsidRDefault="008B5F96" w:rsidP="008B5F96">
      <w:pPr>
        <w:jc w:val="both"/>
        <w:rPr>
          <w:sz w:val="22"/>
          <w:szCs w:val="22"/>
          <w:lang w:val="es-CR"/>
        </w:rPr>
      </w:pPr>
    </w:p>
    <w:p w14:paraId="725472A8" w14:textId="77777777" w:rsidR="008B5F96" w:rsidRPr="008B5F96" w:rsidRDefault="008B5F96" w:rsidP="008B5F96">
      <w:pPr>
        <w:jc w:val="both"/>
        <w:rPr>
          <w:sz w:val="22"/>
          <w:szCs w:val="22"/>
          <w:lang w:val="es-CR"/>
        </w:rPr>
      </w:pPr>
      <w:r w:rsidRPr="008B5F96">
        <w:rPr>
          <w:sz w:val="22"/>
          <w:szCs w:val="22"/>
          <w:lang w:val="es-CR"/>
        </w:rPr>
        <w:t>La información de los XML de las clases de datos Garantías y Operaciones Crediticias de SICVECA deben ser remitidos conforme a los contenidos, formatos, medios y plazos establecidos por la Sugef en el Manual de Información del Sistema Financiero (SICVECA).</w:t>
      </w:r>
    </w:p>
    <w:p w14:paraId="2CBF991C" w14:textId="77777777" w:rsidR="008B5F96" w:rsidRPr="008B5F96" w:rsidRDefault="008B5F96" w:rsidP="008B5F96">
      <w:pPr>
        <w:jc w:val="both"/>
        <w:rPr>
          <w:sz w:val="22"/>
          <w:szCs w:val="22"/>
          <w:lang w:val="es-CR"/>
        </w:rPr>
      </w:pPr>
    </w:p>
    <w:p w14:paraId="4D61873C" w14:textId="77777777" w:rsidR="008B5F96" w:rsidRPr="008B5F96" w:rsidRDefault="008B5F96" w:rsidP="008B5F96">
      <w:pPr>
        <w:jc w:val="both"/>
        <w:rPr>
          <w:b/>
          <w:bCs/>
          <w:sz w:val="22"/>
          <w:szCs w:val="22"/>
          <w:lang w:val="es-CR"/>
        </w:rPr>
      </w:pPr>
      <w:r w:rsidRPr="008B5F96">
        <w:rPr>
          <w:b/>
          <w:bCs/>
          <w:sz w:val="22"/>
          <w:szCs w:val="22"/>
          <w:lang w:val="es-CR"/>
        </w:rPr>
        <w:t>Disposición final</w:t>
      </w:r>
    </w:p>
    <w:p w14:paraId="318DEE40" w14:textId="77777777" w:rsidR="008B5F96" w:rsidRPr="008B5F96" w:rsidRDefault="008B5F96" w:rsidP="008B5F96">
      <w:pPr>
        <w:jc w:val="both"/>
        <w:rPr>
          <w:sz w:val="22"/>
          <w:szCs w:val="22"/>
          <w:lang w:val="es-CR"/>
        </w:rPr>
      </w:pPr>
    </w:p>
    <w:p w14:paraId="2CF9E4D8" w14:textId="77777777" w:rsidR="008B5F96" w:rsidRPr="008B5F96" w:rsidRDefault="008B5F96" w:rsidP="008B5F96">
      <w:pPr>
        <w:jc w:val="both"/>
        <w:rPr>
          <w:sz w:val="22"/>
          <w:szCs w:val="22"/>
          <w:lang w:val="es-CR"/>
        </w:rPr>
      </w:pPr>
      <w:r w:rsidRPr="008B5F96">
        <w:rPr>
          <w:sz w:val="22"/>
          <w:szCs w:val="22"/>
          <w:lang w:val="es-CR"/>
        </w:rPr>
        <w:t>La presente normativa entrará en vigor el 1.º de enero de 2028 y será aplicable únicamente a las entidades supervisadas por la Sugef.  Hasta dicha fecha, continuará vigente y aplicable para estas entidades el Acuerdo CONASSIF 14</w:t>
      </w:r>
      <w:r w:rsidRPr="008B5F96">
        <w:rPr>
          <w:sz w:val="22"/>
          <w:szCs w:val="22"/>
          <w:lang w:val="es-CR"/>
        </w:rPr>
        <w:noBreakHyphen/>
        <w:t>21.  A partir de la entrada en vigor del Acuerdo Sugef 1-26, a las entidades supervisadas por la Sugef no les será aplicable el Acuerdo CONASSIF 14</w:t>
      </w:r>
      <w:r w:rsidRPr="008B5F96">
        <w:rPr>
          <w:sz w:val="22"/>
          <w:szCs w:val="22"/>
          <w:lang w:val="es-CR"/>
        </w:rPr>
        <w:noBreakHyphen/>
        <w:t>21.</w:t>
      </w:r>
    </w:p>
    <w:p w14:paraId="1C9C50F8" w14:textId="77777777" w:rsidR="008B5F96" w:rsidRPr="008B5F96" w:rsidRDefault="008B5F96" w:rsidP="008B5F96">
      <w:pPr>
        <w:jc w:val="both"/>
        <w:rPr>
          <w:sz w:val="22"/>
          <w:szCs w:val="22"/>
          <w:lang w:val="es-CR"/>
        </w:rPr>
      </w:pPr>
    </w:p>
    <w:p w14:paraId="33DAFC68" w14:textId="77777777" w:rsidR="008B5F96" w:rsidRPr="008B5F96" w:rsidRDefault="008B5F96" w:rsidP="008B5F96">
      <w:pPr>
        <w:jc w:val="center"/>
        <w:rPr>
          <w:b/>
          <w:bCs/>
          <w:sz w:val="22"/>
          <w:szCs w:val="22"/>
          <w:lang w:val="es-CR"/>
        </w:rPr>
      </w:pPr>
      <w:r w:rsidRPr="008B5F96">
        <w:rPr>
          <w:b/>
          <w:bCs/>
          <w:sz w:val="22"/>
          <w:szCs w:val="22"/>
          <w:lang w:val="es-CR"/>
        </w:rPr>
        <w:t>DISPOSICIONES TRANSITORIAS</w:t>
      </w:r>
    </w:p>
    <w:p w14:paraId="7311F21A" w14:textId="77777777" w:rsidR="008B5F96" w:rsidRPr="008B5F96" w:rsidRDefault="008B5F96" w:rsidP="008B5F96">
      <w:pPr>
        <w:jc w:val="center"/>
        <w:rPr>
          <w:b/>
          <w:bCs/>
          <w:sz w:val="22"/>
          <w:szCs w:val="22"/>
          <w:lang w:val="es-CR"/>
        </w:rPr>
      </w:pPr>
    </w:p>
    <w:p w14:paraId="1281C4DC" w14:textId="77777777" w:rsidR="008B5F96" w:rsidRPr="008B5F96" w:rsidRDefault="008B5F96" w:rsidP="008B5F96">
      <w:pPr>
        <w:jc w:val="both"/>
        <w:rPr>
          <w:b/>
          <w:bCs/>
          <w:sz w:val="22"/>
          <w:szCs w:val="22"/>
          <w:lang w:val="es-CR"/>
        </w:rPr>
      </w:pPr>
      <w:r w:rsidRPr="008B5F96">
        <w:rPr>
          <w:b/>
          <w:bCs/>
          <w:sz w:val="22"/>
          <w:szCs w:val="22"/>
          <w:lang w:val="es-CR"/>
        </w:rPr>
        <w:t>Transitorio I</w:t>
      </w:r>
    </w:p>
    <w:p w14:paraId="1769F7AD" w14:textId="77777777" w:rsidR="008B5F96" w:rsidRPr="000B27C9" w:rsidRDefault="008B5F96" w:rsidP="008B5F96">
      <w:pPr>
        <w:jc w:val="both"/>
        <w:rPr>
          <w:sz w:val="22"/>
          <w:szCs w:val="22"/>
          <w:lang w:val="es-CR"/>
        </w:rPr>
      </w:pPr>
    </w:p>
    <w:p w14:paraId="574F73D3" w14:textId="77777777" w:rsidR="008B5F96" w:rsidRPr="008B5F96" w:rsidRDefault="008B5F96" w:rsidP="008B5F96">
      <w:pPr>
        <w:jc w:val="both"/>
        <w:rPr>
          <w:sz w:val="22"/>
          <w:szCs w:val="22"/>
          <w:lang w:val="es-CR"/>
        </w:rPr>
      </w:pPr>
      <w:r w:rsidRPr="008B5F96">
        <w:rPr>
          <w:sz w:val="22"/>
          <w:szCs w:val="22"/>
          <w:lang w:val="es-CR"/>
        </w:rPr>
        <w:t>Para efectos de lo dispuesto en el literal c) del artículo 17. Equivalente de crédito, de este Reglamento, se aplicará la siguiente gradualidad:</w:t>
      </w:r>
    </w:p>
    <w:p w14:paraId="1E1B4689" w14:textId="77777777" w:rsidR="008B5F96" w:rsidRPr="008B5F96" w:rsidRDefault="008B5F96" w:rsidP="008B5F96">
      <w:pPr>
        <w:jc w:val="both"/>
        <w:rPr>
          <w:sz w:val="22"/>
          <w:szCs w:val="22"/>
          <w:lang w:val="es-C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2"/>
        <w:gridCol w:w="1567"/>
      </w:tblGrid>
      <w:tr w:rsidR="008B5F96" w:rsidRPr="008B5F96" w14:paraId="292F5C1F" w14:textId="77777777" w:rsidTr="008B5F96">
        <w:trPr>
          <w:trHeight w:val="249"/>
          <w:jc w:val="center"/>
        </w:trPr>
        <w:tc>
          <w:tcPr>
            <w:tcW w:w="1972" w:type="dxa"/>
            <w:shd w:val="clear" w:color="auto" w:fill="657C9C"/>
          </w:tcPr>
          <w:p w14:paraId="176DCA4B"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AÑO</w:t>
            </w:r>
          </w:p>
        </w:tc>
        <w:tc>
          <w:tcPr>
            <w:tcW w:w="1567" w:type="dxa"/>
            <w:shd w:val="clear" w:color="auto" w:fill="657C9C"/>
          </w:tcPr>
          <w:p w14:paraId="69F64E86" w14:textId="77777777" w:rsidR="008B5F96" w:rsidRPr="008B5F96" w:rsidRDefault="008B5F96" w:rsidP="008B5F96">
            <w:pPr>
              <w:jc w:val="center"/>
              <w:rPr>
                <w:b/>
                <w:bCs/>
                <w:color w:val="FFFFFF"/>
                <w:sz w:val="22"/>
                <w:szCs w:val="22"/>
                <w:lang w:val="es-CR"/>
              </w:rPr>
            </w:pPr>
            <w:r w:rsidRPr="008B5F96">
              <w:rPr>
                <w:b/>
                <w:bCs/>
                <w:color w:val="FFFFFF"/>
                <w:sz w:val="22"/>
                <w:szCs w:val="22"/>
                <w:lang w:val="es-CR"/>
              </w:rPr>
              <w:t>PORCENTAJE</w:t>
            </w:r>
          </w:p>
        </w:tc>
      </w:tr>
      <w:tr w:rsidR="008B5F96" w:rsidRPr="008B5F96" w14:paraId="56272A11" w14:textId="77777777" w:rsidTr="00FB5A1A">
        <w:trPr>
          <w:trHeight w:val="249"/>
          <w:jc w:val="center"/>
        </w:trPr>
        <w:tc>
          <w:tcPr>
            <w:tcW w:w="1972" w:type="dxa"/>
          </w:tcPr>
          <w:p w14:paraId="18EDEB41" w14:textId="77777777" w:rsidR="008B5F96" w:rsidRPr="008B5F96" w:rsidRDefault="008B5F96" w:rsidP="008B5F96">
            <w:pPr>
              <w:jc w:val="both"/>
              <w:rPr>
                <w:sz w:val="22"/>
                <w:szCs w:val="22"/>
                <w:lang w:val="es-CR"/>
              </w:rPr>
            </w:pPr>
            <w:r w:rsidRPr="008B5F96">
              <w:rPr>
                <w:sz w:val="22"/>
                <w:szCs w:val="22"/>
                <w:lang w:val="es-CR"/>
              </w:rPr>
              <w:t>1 de enero de 2028</w:t>
            </w:r>
          </w:p>
        </w:tc>
        <w:tc>
          <w:tcPr>
            <w:tcW w:w="1567" w:type="dxa"/>
          </w:tcPr>
          <w:p w14:paraId="7A66D5DB" w14:textId="77777777" w:rsidR="008B5F96" w:rsidRPr="008B5F96" w:rsidRDefault="008B5F96" w:rsidP="008B5F96">
            <w:pPr>
              <w:jc w:val="center"/>
              <w:rPr>
                <w:sz w:val="22"/>
                <w:szCs w:val="22"/>
                <w:lang w:val="es-CR"/>
              </w:rPr>
            </w:pPr>
            <w:r w:rsidRPr="008B5F96">
              <w:rPr>
                <w:sz w:val="22"/>
                <w:szCs w:val="22"/>
                <w:lang w:val="es-CR"/>
              </w:rPr>
              <w:t>10.0%</w:t>
            </w:r>
          </w:p>
        </w:tc>
      </w:tr>
    </w:tbl>
    <w:p w14:paraId="3785C397" w14:textId="77777777" w:rsidR="008B5F96" w:rsidRPr="008B5F96" w:rsidRDefault="008B5F96" w:rsidP="008B5F96">
      <w:pPr>
        <w:jc w:val="both"/>
        <w:rPr>
          <w:sz w:val="22"/>
          <w:szCs w:val="22"/>
          <w:lang w:val="es-CR"/>
        </w:rPr>
      </w:pPr>
    </w:p>
    <w:p w14:paraId="0F04A3C8" w14:textId="77777777" w:rsidR="008B5F96" w:rsidRPr="008B5F96" w:rsidRDefault="008B5F96" w:rsidP="008B5F96">
      <w:pPr>
        <w:jc w:val="both"/>
        <w:rPr>
          <w:b/>
          <w:bCs/>
          <w:sz w:val="22"/>
          <w:szCs w:val="22"/>
          <w:lang w:val="es-CR"/>
        </w:rPr>
      </w:pPr>
      <w:r w:rsidRPr="008B5F96">
        <w:rPr>
          <w:b/>
          <w:bCs/>
          <w:sz w:val="22"/>
          <w:szCs w:val="22"/>
          <w:lang w:val="es-CR"/>
        </w:rPr>
        <w:t>Transitorio II</w:t>
      </w:r>
    </w:p>
    <w:p w14:paraId="400BEE4C" w14:textId="77777777" w:rsidR="008B5F96" w:rsidRPr="000B27C9" w:rsidRDefault="008B5F96" w:rsidP="008B5F96">
      <w:pPr>
        <w:jc w:val="both"/>
        <w:rPr>
          <w:sz w:val="22"/>
          <w:szCs w:val="22"/>
          <w:lang w:val="es-CR"/>
        </w:rPr>
      </w:pPr>
    </w:p>
    <w:p w14:paraId="24C1ADC1" w14:textId="77777777" w:rsidR="008B5F96" w:rsidRPr="008B5F96" w:rsidRDefault="008B5F96" w:rsidP="008B5F96">
      <w:pPr>
        <w:jc w:val="both"/>
        <w:rPr>
          <w:sz w:val="22"/>
          <w:szCs w:val="22"/>
          <w:lang w:val="es-CR"/>
        </w:rPr>
      </w:pPr>
      <w:r w:rsidRPr="008B5F96">
        <w:rPr>
          <w:sz w:val="22"/>
          <w:szCs w:val="22"/>
          <w:lang w:val="es-CR"/>
        </w:rPr>
        <w:t xml:space="preserve">Los procesos de supervisión iniciados en aplicación del </w:t>
      </w:r>
      <w:r w:rsidRPr="008B5F96">
        <w:rPr>
          <w:i/>
          <w:iCs/>
          <w:sz w:val="22"/>
          <w:szCs w:val="22"/>
          <w:lang w:val="es-CR"/>
        </w:rPr>
        <w:t>Reglamento para la Calificación de Deudores</w:t>
      </w:r>
      <w:r w:rsidRPr="008B5F96">
        <w:rPr>
          <w:sz w:val="22"/>
          <w:szCs w:val="22"/>
          <w:lang w:val="es-CR"/>
        </w:rPr>
        <w:t xml:space="preserve">, Acuerdo Sugef 1-05, </w:t>
      </w:r>
      <w:r w:rsidRPr="008B5F96">
        <w:rPr>
          <w:i/>
          <w:iCs/>
          <w:sz w:val="22"/>
          <w:szCs w:val="22"/>
          <w:lang w:val="es-CR"/>
        </w:rPr>
        <w:t>Reglamento sobre Cálculo de Estimaciones Crediticias</w:t>
      </w:r>
      <w:r w:rsidRPr="008B5F96">
        <w:rPr>
          <w:sz w:val="22"/>
          <w:szCs w:val="22"/>
          <w:lang w:val="es-CR"/>
        </w:rPr>
        <w:t xml:space="preserve">, Acuerdo </w:t>
      </w:r>
      <w:r w:rsidRPr="008B5F96">
        <w:rPr>
          <w:sz w:val="24"/>
          <w:szCs w:val="24"/>
          <w:lang w:val="es-CR"/>
        </w:rPr>
        <w:t>Conassif</w:t>
      </w:r>
      <w:r w:rsidRPr="008B5F96">
        <w:rPr>
          <w:sz w:val="22"/>
          <w:szCs w:val="22"/>
          <w:lang w:val="es-CR"/>
        </w:rPr>
        <w:t xml:space="preserve"> 14-21, que se mantengan pendientes de resolución a la fecha de entrada en vigor del presente Reglamento, continuarán hasta que sean resueltos.</w:t>
      </w:r>
    </w:p>
    <w:p w14:paraId="35339E47" w14:textId="77777777" w:rsidR="008B5F96" w:rsidRPr="008B5F96" w:rsidRDefault="008B5F96" w:rsidP="008B5F96">
      <w:pPr>
        <w:jc w:val="both"/>
        <w:rPr>
          <w:sz w:val="22"/>
          <w:szCs w:val="22"/>
          <w:lang w:val="es-CR"/>
        </w:rPr>
      </w:pPr>
    </w:p>
    <w:p w14:paraId="5DBE01A4" w14:textId="77777777" w:rsidR="000B27C9" w:rsidRDefault="000B27C9">
      <w:pPr>
        <w:rPr>
          <w:b/>
          <w:bCs/>
          <w:sz w:val="22"/>
          <w:szCs w:val="22"/>
          <w:lang w:val="es-CR"/>
        </w:rPr>
      </w:pPr>
      <w:r>
        <w:rPr>
          <w:b/>
          <w:bCs/>
          <w:sz w:val="22"/>
          <w:szCs w:val="22"/>
          <w:lang w:val="es-CR"/>
        </w:rPr>
        <w:br w:type="page"/>
      </w:r>
    </w:p>
    <w:p w14:paraId="3348C570" w14:textId="4B217623" w:rsidR="008B5F96" w:rsidRPr="008B5F96" w:rsidRDefault="008B5F96" w:rsidP="008B5F96">
      <w:pPr>
        <w:jc w:val="both"/>
        <w:rPr>
          <w:b/>
          <w:bCs/>
          <w:sz w:val="22"/>
          <w:szCs w:val="22"/>
          <w:lang w:val="es-CR"/>
        </w:rPr>
      </w:pPr>
      <w:r w:rsidRPr="008B5F96">
        <w:rPr>
          <w:b/>
          <w:bCs/>
          <w:sz w:val="22"/>
          <w:szCs w:val="22"/>
          <w:lang w:val="es-CR"/>
        </w:rPr>
        <w:lastRenderedPageBreak/>
        <w:t>Transitorio III</w:t>
      </w:r>
    </w:p>
    <w:p w14:paraId="09CB248B" w14:textId="77777777" w:rsidR="008B5F96" w:rsidRPr="000B27C9" w:rsidRDefault="008B5F96" w:rsidP="008B5F96">
      <w:pPr>
        <w:jc w:val="both"/>
        <w:rPr>
          <w:sz w:val="22"/>
          <w:szCs w:val="22"/>
          <w:lang w:val="es-CR"/>
        </w:rPr>
      </w:pPr>
    </w:p>
    <w:p w14:paraId="5145AD94" w14:textId="77777777" w:rsidR="008B5F96" w:rsidRPr="008B5F96" w:rsidRDefault="008B5F96" w:rsidP="008B5F96">
      <w:pPr>
        <w:jc w:val="both"/>
        <w:rPr>
          <w:sz w:val="22"/>
          <w:szCs w:val="22"/>
          <w:lang w:val="es-CR"/>
        </w:rPr>
      </w:pPr>
      <w:r w:rsidRPr="008B5F96">
        <w:rPr>
          <w:sz w:val="22"/>
          <w:szCs w:val="22"/>
          <w:lang w:val="es-CR"/>
        </w:rPr>
        <w:t xml:space="preserve">Se establece un periodo máximo de cuatro años para la implementación gradual de las reformas al modelo estándar, con el objetivo de alcanzar el 100% de las estimaciones mínimas requeridas según el perfil de riesgo asignado. </w:t>
      </w:r>
    </w:p>
    <w:p w14:paraId="7920F2BC" w14:textId="77777777" w:rsidR="008B5F96" w:rsidRPr="008B5F96" w:rsidRDefault="008B5F96" w:rsidP="008B5F96">
      <w:pPr>
        <w:jc w:val="both"/>
        <w:rPr>
          <w:sz w:val="22"/>
          <w:szCs w:val="22"/>
          <w:lang w:val="es-CR"/>
        </w:rPr>
      </w:pPr>
    </w:p>
    <w:p w14:paraId="000D0CB0" w14:textId="77777777" w:rsidR="008B5F96" w:rsidRPr="008B5F96" w:rsidRDefault="008B5F96" w:rsidP="008B5F96">
      <w:pPr>
        <w:jc w:val="both"/>
        <w:rPr>
          <w:sz w:val="22"/>
          <w:szCs w:val="22"/>
          <w:lang w:val="es-CR"/>
        </w:rPr>
      </w:pPr>
      <w:r w:rsidRPr="008B5F96">
        <w:rPr>
          <w:sz w:val="22"/>
          <w:szCs w:val="22"/>
          <w:lang w:val="es-CR"/>
        </w:rPr>
        <w:t>El ajuste en el requerimiento de estimaciones crediticias a la fecha de entrada en vigor de este Reglamento deberá ser cubierto de manera gradual conforme al siguiente esquema mínimo:</w:t>
      </w:r>
    </w:p>
    <w:p w14:paraId="0FAC6F1E" w14:textId="77777777" w:rsidR="008B5F96" w:rsidRPr="008B5F96" w:rsidRDefault="008B5F96" w:rsidP="008B5F96">
      <w:pPr>
        <w:jc w:val="both"/>
        <w:rPr>
          <w:sz w:val="22"/>
          <w:szCs w:val="22"/>
          <w:lang w:val="es-CR"/>
        </w:rPr>
      </w:pPr>
    </w:p>
    <w:tbl>
      <w:tblPr>
        <w:tblStyle w:val="Tablaconcuadrcula"/>
        <w:tblW w:w="0" w:type="auto"/>
        <w:jc w:val="center"/>
        <w:tblLook w:val="04A0" w:firstRow="1" w:lastRow="0" w:firstColumn="1" w:lastColumn="0" w:noHBand="0" w:noVBand="1"/>
      </w:tblPr>
      <w:tblGrid>
        <w:gridCol w:w="5098"/>
        <w:gridCol w:w="1996"/>
      </w:tblGrid>
      <w:tr w:rsidR="008B5F96" w:rsidRPr="008B5F96" w14:paraId="1CCED846" w14:textId="77777777" w:rsidTr="008B5F96">
        <w:trPr>
          <w:jc w:val="center"/>
        </w:trPr>
        <w:tc>
          <w:tcPr>
            <w:tcW w:w="5098" w:type="dxa"/>
            <w:shd w:val="clear" w:color="auto" w:fill="657C9C"/>
          </w:tcPr>
          <w:p w14:paraId="652F87B2" w14:textId="77777777" w:rsidR="008B5F96" w:rsidRPr="008B5F96" w:rsidRDefault="008B5F96" w:rsidP="008B5F96">
            <w:pPr>
              <w:jc w:val="center"/>
              <w:rPr>
                <w:rFonts w:eastAsia="Yu Gothic Light"/>
                <w:b/>
                <w:bCs/>
                <w:color w:val="FFFFFF"/>
                <w:lang w:val="es-CR"/>
              </w:rPr>
            </w:pPr>
            <w:r w:rsidRPr="008B5F96">
              <w:rPr>
                <w:rFonts w:eastAsia="Yu Gothic Light"/>
                <w:b/>
                <w:bCs/>
                <w:color w:val="FFFFFF"/>
                <w:lang w:val="es-CR"/>
              </w:rPr>
              <w:t>REQUERIMIENTO DE AJUSTE</w:t>
            </w:r>
            <w:r w:rsidRPr="008B5F96">
              <w:rPr>
                <w:rFonts w:eastAsia="Yu Gothic Light"/>
                <w:b/>
                <w:bCs/>
                <w:color w:val="FFFFFF"/>
                <w:u w:val="single"/>
                <w:vertAlign w:val="superscript"/>
                <w:lang w:val="es-CR"/>
              </w:rPr>
              <w:footnoteReference w:id="2"/>
            </w:r>
          </w:p>
        </w:tc>
        <w:tc>
          <w:tcPr>
            <w:tcW w:w="1996" w:type="dxa"/>
            <w:shd w:val="clear" w:color="auto" w:fill="657C9C"/>
          </w:tcPr>
          <w:p w14:paraId="6B75AF31" w14:textId="77777777" w:rsidR="008B5F96" w:rsidRPr="008B5F96" w:rsidRDefault="008B5F96" w:rsidP="008B5F96">
            <w:pPr>
              <w:jc w:val="center"/>
              <w:rPr>
                <w:rFonts w:eastAsia="Yu Gothic Light"/>
                <w:b/>
                <w:bCs/>
                <w:color w:val="FFFFFF"/>
                <w:lang w:val="es-CR"/>
              </w:rPr>
            </w:pPr>
            <w:r w:rsidRPr="008B5F96">
              <w:rPr>
                <w:rFonts w:eastAsia="Yu Gothic Light"/>
                <w:b/>
                <w:bCs/>
                <w:color w:val="FFFFFF"/>
                <w:lang w:val="es-CR"/>
              </w:rPr>
              <w:t>PLAZO</w:t>
            </w:r>
          </w:p>
        </w:tc>
      </w:tr>
      <w:tr w:rsidR="008B5F96" w:rsidRPr="008B5F96" w14:paraId="0163B1D3" w14:textId="77777777" w:rsidTr="00FB5A1A">
        <w:trPr>
          <w:jc w:val="center"/>
        </w:trPr>
        <w:tc>
          <w:tcPr>
            <w:tcW w:w="5098" w:type="dxa"/>
          </w:tcPr>
          <w:p w14:paraId="464BB771" w14:textId="77777777" w:rsidR="008B5F96" w:rsidRPr="008B5F96" w:rsidRDefault="008B5F96" w:rsidP="008B5F96">
            <w:pPr>
              <w:spacing w:line="278" w:lineRule="auto"/>
              <w:jc w:val="both"/>
              <w:rPr>
                <w:lang w:val="es-CR"/>
              </w:rPr>
            </w:pPr>
            <w:r w:rsidRPr="008B5F96">
              <w:rPr>
                <w:rFonts w:eastAsia="Yu Gothic Light"/>
                <w:lang w:val="es-CR"/>
              </w:rPr>
              <w:t>Al menos un 25% del requerimiento de ajuste.</w:t>
            </w:r>
          </w:p>
        </w:tc>
        <w:tc>
          <w:tcPr>
            <w:tcW w:w="1996" w:type="dxa"/>
          </w:tcPr>
          <w:p w14:paraId="61C944DD" w14:textId="77777777" w:rsidR="008B5F96" w:rsidRPr="008B5F96" w:rsidRDefault="008B5F96" w:rsidP="008B5F96">
            <w:pPr>
              <w:spacing w:line="278" w:lineRule="auto"/>
              <w:rPr>
                <w:rFonts w:eastAsia="Yu Gothic Light"/>
                <w:lang w:val="es-CR"/>
              </w:rPr>
            </w:pPr>
            <w:r w:rsidRPr="008B5F96">
              <w:rPr>
                <w:rFonts w:eastAsia="Yu Gothic Light"/>
                <w:lang w:val="es-CR"/>
              </w:rPr>
              <w:t>Durante el 2028</w:t>
            </w:r>
          </w:p>
        </w:tc>
      </w:tr>
      <w:tr w:rsidR="008B5F96" w:rsidRPr="008B5F96" w14:paraId="14A0731A" w14:textId="77777777" w:rsidTr="00FB5A1A">
        <w:trPr>
          <w:jc w:val="center"/>
        </w:trPr>
        <w:tc>
          <w:tcPr>
            <w:tcW w:w="5098" w:type="dxa"/>
          </w:tcPr>
          <w:p w14:paraId="68A98F77" w14:textId="77777777" w:rsidR="008B5F96" w:rsidRPr="008B5F96" w:rsidRDefault="008B5F96" w:rsidP="008B5F96">
            <w:pPr>
              <w:spacing w:line="278" w:lineRule="auto"/>
              <w:jc w:val="both"/>
              <w:rPr>
                <w:lang w:val="es-CR"/>
              </w:rPr>
            </w:pPr>
            <w:r w:rsidRPr="008B5F96">
              <w:rPr>
                <w:rFonts w:eastAsia="Yu Gothic Light"/>
                <w:lang w:val="es-CR"/>
              </w:rPr>
              <w:t>Al menos un 50% acumulado.</w:t>
            </w:r>
          </w:p>
        </w:tc>
        <w:tc>
          <w:tcPr>
            <w:tcW w:w="1996" w:type="dxa"/>
          </w:tcPr>
          <w:p w14:paraId="4BF1C1B1" w14:textId="77777777" w:rsidR="008B5F96" w:rsidRPr="008B5F96" w:rsidRDefault="008B5F96" w:rsidP="008B5F96">
            <w:pPr>
              <w:spacing w:line="278" w:lineRule="auto"/>
              <w:rPr>
                <w:rFonts w:eastAsia="Yu Gothic Light"/>
                <w:lang w:val="es-CR"/>
              </w:rPr>
            </w:pPr>
            <w:r w:rsidRPr="008B5F96">
              <w:rPr>
                <w:rFonts w:eastAsia="Yu Gothic Light"/>
                <w:lang w:val="es-CR"/>
              </w:rPr>
              <w:t>Durante el 2029</w:t>
            </w:r>
          </w:p>
        </w:tc>
      </w:tr>
      <w:tr w:rsidR="008B5F96" w:rsidRPr="008B5F96" w14:paraId="39CDD222" w14:textId="77777777" w:rsidTr="00FB5A1A">
        <w:trPr>
          <w:jc w:val="center"/>
        </w:trPr>
        <w:tc>
          <w:tcPr>
            <w:tcW w:w="5098" w:type="dxa"/>
          </w:tcPr>
          <w:p w14:paraId="6A6C7114" w14:textId="77777777" w:rsidR="008B5F96" w:rsidRPr="008B5F96" w:rsidRDefault="008B5F96" w:rsidP="008B5F96">
            <w:pPr>
              <w:spacing w:line="278" w:lineRule="auto"/>
              <w:jc w:val="both"/>
              <w:rPr>
                <w:lang w:val="es-CR"/>
              </w:rPr>
            </w:pPr>
            <w:r w:rsidRPr="008B5F96">
              <w:rPr>
                <w:rFonts w:eastAsia="Yu Gothic Light"/>
                <w:lang w:val="es-CR"/>
              </w:rPr>
              <w:t>Al menos un 75% acumulado.</w:t>
            </w:r>
          </w:p>
        </w:tc>
        <w:tc>
          <w:tcPr>
            <w:tcW w:w="1996" w:type="dxa"/>
          </w:tcPr>
          <w:p w14:paraId="5D3AF4CA" w14:textId="77777777" w:rsidR="008B5F96" w:rsidRPr="008B5F96" w:rsidRDefault="008B5F96" w:rsidP="008B5F96">
            <w:pPr>
              <w:spacing w:line="278" w:lineRule="auto"/>
              <w:rPr>
                <w:rFonts w:eastAsia="Yu Gothic Light"/>
                <w:lang w:val="es-CR"/>
              </w:rPr>
            </w:pPr>
            <w:r w:rsidRPr="008B5F96">
              <w:rPr>
                <w:rFonts w:eastAsia="Yu Gothic Light"/>
                <w:lang w:val="es-CR"/>
              </w:rPr>
              <w:t>Durante el 2030</w:t>
            </w:r>
          </w:p>
        </w:tc>
      </w:tr>
      <w:tr w:rsidR="008B5F96" w:rsidRPr="008B5F96" w14:paraId="5C03EC10" w14:textId="77777777" w:rsidTr="00FB5A1A">
        <w:trPr>
          <w:jc w:val="center"/>
        </w:trPr>
        <w:tc>
          <w:tcPr>
            <w:tcW w:w="5098" w:type="dxa"/>
          </w:tcPr>
          <w:p w14:paraId="280339A5" w14:textId="77777777" w:rsidR="008B5F96" w:rsidRPr="008B5F96" w:rsidRDefault="008B5F96" w:rsidP="008B5F96">
            <w:pPr>
              <w:spacing w:line="278" w:lineRule="auto"/>
              <w:jc w:val="both"/>
              <w:rPr>
                <w:rFonts w:eastAsia="Yu Gothic Light"/>
                <w:lang w:val="es-CR"/>
              </w:rPr>
            </w:pPr>
            <w:r w:rsidRPr="008B5F96">
              <w:rPr>
                <w:rFonts w:eastAsia="Yu Gothic Light"/>
                <w:lang w:val="es-CR"/>
              </w:rPr>
              <w:t>El 100% del requerimiento de ajuste.</w:t>
            </w:r>
          </w:p>
        </w:tc>
        <w:tc>
          <w:tcPr>
            <w:tcW w:w="1996" w:type="dxa"/>
          </w:tcPr>
          <w:p w14:paraId="1EC739DF" w14:textId="77777777" w:rsidR="008B5F96" w:rsidRPr="008B5F96" w:rsidRDefault="008B5F96" w:rsidP="008B5F96">
            <w:pPr>
              <w:spacing w:line="278" w:lineRule="auto"/>
              <w:rPr>
                <w:rFonts w:eastAsia="Yu Gothic Light"/>
                <w:lang w:val="es-CR"/>
              </w:rPr>
            </w:pPr>
            <w:r w:rsidRPr="008B5F96">
              <w:rPr>
                <w:rFonts w:eastAsia="Yu Gothic Light"/>
                <w:lang w:val="es-CR"/>
              </w:rPr>
              <w:t>Durante el 2031</w:t>
            </w:r>
          </w:p>
        </w:tc>
      </w:tr>
    </w:tbl>
    <w:p w14:paraId="1D8409AA" w14:textId="77777777" w:rsidR="008B5F96" w:rsidRPr="008B5F96" w:rsidRDefault="008B5F96" w:rsidP="008B5F96">
      <w:pPr>
        <w:jc w:val="both"/>
        <w:rPr>
          <w:sz w:val="22"/>
          <w:szCs w:val="22"/>
          <w:lang w:val="es-CR"/>
        </w:rPr>
      </w:pPr>
    </w:p>
    <w:p w14:paraId="6D738F27" w14:textId="77777777" w:rsidR="008B5F96" w:rsidRPr="008B5F96" w:rsidRDefault="008B5F96" w:rsidP="008B5F96">
      <w:pPr>
        <w:jc w:val="both"/>
        <w:rPr>
          <w:sz w:val="22"/>
          <w:szCs w:val="22"/>
          <w:lang w:val="es-CR"/>
        </w:rPr>
      </w:pPr>
      <w:r w:rsidRPr="008B5F96">
        <w:rPr>
          <w:sz w:val="22"/>
          <w:szCs w:val="22"/>
          <w:lang w:val="es-CR"/>
        </w:rPr>
        <w:t xml:space="preserve">Para la cartera existente al 31 de diciembre de 2027, el requerimiento de ajuste corresponderá a la diferencia incremental entre el monto de estimaciones determinado conforme al presente Reglamento y el monto requerido conforme al Acuerdo </w:t>
      </w:r>
      <w:r w:rsidRPr="008B5F96">
        <w:rPr>
          <w:sz w:val="24"/>
          <w:szCs w:val="24"/>
          <w:lang w:val="es-CR"/>
        </w:rPr>
        <w:t>Conassif</w:t>
      </w:r>
      <w:r w:rsidRPr="008B5F96">
        <w:rPr>
          <w:sz w:val="22"/>
          <w:szCs w:val="22"/>
          <w:lang w:val="es-CR"/>
        </w:rPr>
        <w:t xml:space="preserve"> 14-21. Las operaciones otorgadas a partir del 1.º de enero de 2028 no estarán comprendidas en el esquema de gradualidad establecido en este transitorio y deberán constituir el 100 % de las estimaciones crediticias requeridas conforme al presente Reglamento</w:t>
      </w:r>
    </w:p>
    <w:p w14:paraId="0547C78E" w14:textId="77777777" w:rsidR="008B5F96" w:rsidRPr="008B5F96" w:rsidRDefault="008B5F96" w:rsidP="008B5F96">
      <w:pPr>
        <w:jc w:val="both"/>
        <w:rPr>
          <w:sz w:val="22"/>
          <w:szCs w:val="22"/>
          <w:lang w:val="es-CR"/>
        </w:rPr>
      </w:pPr>
    </w:p>
    <w:p w14:paraId="2DBF33C8" w14:textId="77777777" w:rsidR="008B5F96" w:rsidRPr="008B5F96" w:rsidRDefault="008B5F96" w:rsidP="008B5F96">
      <w:pPr>
        <w:jc w:val="both"/>
        <w:rPr>
          <w:sz w:val="22"/>
          <w:szCs w:val="22"/>
          <w:lang w:val="es-CR"/>
        </w:rPr>
      </w:pPr>
      <w:r w:rsidRPr="008B5F96">
        <w:rPr>
          <w:sz w:val="22"/>
          <w:szCs w:val="22"/>
          <w:lang w:val="es-CR"/>
        </w:rPr>
        <w:t xml:space="preserve">Para determinar el requerimiento de ajuste, la entidad deberá reportar, con corte al 31 de diciembre de 2027, el monto total de las estimaciones crediticias requeridas conforme al Acuerdo </w:t>
      </w:r>
      <w:r w:rsidRPr="008B5F96">
        <w:rPr>
          <w:sz w:val="24"/>
          <w:szCs w:val="24"/>
          <w:lang w:val="es-CR"/>
        </w:rPr>
        <w:t>Conassif</w:t>
      </w:r>
      <w:r w:rsidRPr="008B5F96">
        <w:rPr>
          <w:sz w:val="22"/>
          <w:szCs w:val="22"/>
          <w:lang w:val="es-CR"/>
        </w:rPr>
        <w:t xml:space="preserve"> 14-21. Asimismo, con corte al 31 de enero de 2028, deberá calcular y reportar el monto total de las estimaciones crediticias requeridas conforme al presente Reglamento. La diferencia incremental entre ambos montos constituirá el requerimiento de ajuste sujeto al esquema de gradualidad establecido en este transitorio.</w:t>
      </w:r>
    </w:p>
    <w:p w14:paraId="1B32450B" w14:textId="77777777" w:rsidR="008B5F96" w:rsidRPr="008B5F96" w:rsidRDefault="008B5F96" w:rsidP="008B5F96">
      <w:pPr>
        <w:jc w:val="both"/>
        <w:rPr>
          <w:sz w:val="22"/>
          <w:szCs w:val="22"/>
          <w:lang w:val="es-CR"/>
        </w:rPr>
      </w:pPr>
    </w:p>
    <w:p w14:paraId="728F721D" w14:textId="77777777" w:rsidR="008B5F96" w:rsidRPr="008B5F96" w:rsidRDefault="008B5F96" w:rsidP="008B5F96">
      <w:pPr>
        <w:jc w:val="both"/>
        <w:rPr>
          <w:sz w:val="22"/>
          <w:szCs w:val="22"/>
          <w:lang w:val="es-CR"/>
        </w:rPr>
      </w:pPr>
      <w:r w:rsidRPr="008B5F96">
        <w:rPr>
          <w:sz w:val="22"/>
          <w:szCs w:val="22"/>
          <w:lang w:val="es-CR"/>
        </w:rPr>
        <w:t>El monto total de la estimación crediticia requerida conforme al presente Reglamento, sin aplicar el esquema de gradualidad establecido en este transitorio, deberá reportarse para cada operación en el XML Crediticio. En el XML Contable deberá reportarse el saldo de las estimaciones crediticias registradas contablemente a la fecha de corte. El cumplimiento del porcentaje mínimo acumulado del requerimiento incremental establecido en el cuadro anterior será exigible al cierre de cada periodo anual.</w:t>
      </w:r>
    </w:p>
    <w:p w14:paraId="0419A871" w14:textId="77777777" w:rsidR="008B5F96" w:rsidRPr="008B5F96" w:rsidRDefault="008B5F96" w:rsidP="008B5F96">
      <w:pPr>
        <w:jc w:val="both"/>
        <w:rPr>
          <w:sz w:val="22"/>
          <w:szCs w:val="22"/>
          <w:lang w:val="es-CR"/>
        </w:rPr>
      </w:pPr>
    </w:p>
    <w:p w14:paraId="675FABB9" w14:textId="77777777" w:rsidR="008B5F96" w:rsidRPr="008B5F96" w:rsidRDefault="008B5F96" w:rsidP="008B5F96">
      <w:pPr>
        <w:jc w:val="both"/>
        <w:rPr>
          <w:sz w:val="22"/>
          <w:szCs w:val="22"/>
          <w:lang w:val="es-CR"/>
        </w:rPr>
      </w:pPr>
      <w:r w:rsidRPr="008B5F96">
        <w:rPr>
          <w:sz w:val="22"/>
          <w:szCs w:val="22"/>
          <w:lang w:val="es-CR"/>
        </w:rPr>
        <w:t>La Superintendencia General de Entidades Financieras comunicará las disposiciones operativas necesarias para la captura y remisión de la información requerida en los párrafos anteriores.</w:t>
      </w:r>
    </w:p>
    <w:p w14:paraId="5C4BCCA5" w14:textId="77777777" w:rsidR="008B5F96" w:rsidRPr="008B5F96" w:rsidRDefault="008B5F96" w:rsidP="008B5F96">
      <w:pPr>
        <w:jc w:val="both"/>
        <w:rPr>
          <w:sz w:val="22"/>
          <w:szCs w:val="22"/>
          <w:lang w:val="es-CR"/>
        </w:rPr>
      </w:pPr>
    </w:p>
    <w:p w14:paraId="62F6BA1E" w14:textId="77777777" w:rsidR="008B5F96" w:rsidRPr="008B5F96" w:rsidRDefault="008B5F96" w:rsidP="008B5F96">
      <w:pPr>
        <w:jc w:val="both"/>
        <w:rPr>
          <w:sz w:val="22"/>
          <w:szCs w:val="22"/>
          <w:lang w:val="es-CR"/>
        </w:rPr>
      </w:pPr>
      <w:r w:rsidRPr="008B5F96">
        <w:rPr>
          <w:sz w:val="22"/>
          <w:szCs w:val="22"/>
          <w:lang w:val="es-CR"/>
        </w:rPr>
        <w:t>Las entidades podrán cumplir con el 100% en cualquier momento dentro de este periodo, incluso desde el primer año.</w:t>
      </w:r>
    </w:p>
    <w:p w14:paraId="2E4F0B7C" w14:textId="77777777" w:rsidR="008B5F96" w:rsidRPr="008B5F96" w:rsidRDefault="008B5F96" w:rsidP="008B5F96">
      <w:pPr>
        <w:jc w:val="both"/>
        <w:rPr>
          <w:sz w:val="22"/>
          <w:szCs w:val="22"/>
          <w:lang w:val="es-CR"/>
        </w:rPr>
      </w:pPr>
    </w:p>
    <w:p w14:paraId="29784DD1" w14:textId="77777777" w:rsidR="008B5F96" w:rsidRPr="008B5F96" w:rsidRDefault="008B5F96" w:rsidP="008B5F96">
      <w:pPr>
        <w:jc w:val="both"/>
        <w:rPr>
          <w:sz w:val="22"/>
          <w:szCs w:val="22"/>
          <w:lang w:val="es-CR"/>
        </w:rPr>
      </w:pPr>
      <w:r w:rsidRPr="008B5F96">
        <w:rPr>
          <w:sz w:val="22"/>
          <w:szCs w:val="22"/>
          <w:lang w:val="es-CR"/>
        </w:rPr>
        <w:t>La entidad que, al cierre del periodo anual correspondiente, no alcance el porcentaje mínimo acumulado del requerimiento incremental establecido en el cuadro anterior no podrá distribuir utilidades, excedentes ni otros beneficios patrimoniales de ningún tipo a sus socios, accionistas o asociados, mientras se mantenga dicho incumplimiento</w:t>
      </w:r>
    </w:p>
    <w:p w14:paraId="074E267E" w14:textId="77777777" w:rsidR="008B5F96" w:rsidRPr="008B5F96" w:rsidRDefault="008B5F96" w:rsidP="008B5F96">
      <w:pPr>
        <w:jc w:val="both"/>
        <w:rPr>
          <w:sz w:val="22"/>
          <w:szCs w:val="22"/>
          <w:lang w:val="es-CR"/>
        </w:rPr>
      </w:pPr>
    </w:p>
    <w:p w14:paraId="5C2761E6" w14:textId="77777777" w:rsidR="008B5F96" w:rsidRPr="008B5F96" w:rsidRDefault="008B5F96" w:rsidP="008B5F96">
      <w:pPr>
        <w:jc w:val="both"/>
        <w:rPr>
          <w:sz w:val="22"/>
          <w:szCs w:val="22"/>
          <w:lang w:val="es-CR"/>
        </w:rPr>
      </w:pPr>
      <w:r w:rsidRPr="008B5F96">
        <w:rPr>
          <w:sz w:val="22"/>
          <w:szCs w:val="22"/>
          <w:lang w:val="es-CR"/>
        </w:rPr>
        <w:lastRenderedPageBreak/>
        <w:t>Durante el periodo de gradualidad, no se efectuarán cambios en la clasificación de perfiles de riesgo específicos por segmento ni en las tasas de incumplimiento utilizadas para determinar el requerimiento incremental, cuando corresponda, con el fin de brindar estabilidad y previsibilidad a las entidades reguladas durante el proceso de adaptación.</w:t>
      </w:r>
    </w:p>
    <w:p w14:paraId="6DE3A23F" w14:textId="77777777" w:rsidR="008B5F96" w:rsidRPr="008B5F96" w:rsidRDefault="008B5F96" w:rsidP="008B5F96">
      <w:pPr>
        <w:jc w:val="both"/>
        <w:rPr>
          <w:sz w:val="22"/>
          <w:szCs w:val="22"/>
          <w:lang w:val="es-CR"/>
        </w:rPr>
      </w:pPr>
    </w:p>
    <w:p w14:paraId="50D44817" w14:textId="77777777" w:rsidR="008B5F96" w:rsidRPr="008B5F96" w:rsidRDefault="008B5F96" w:rsidP="008B5F96">
      <w:pPr>
        <w:jc w:val="both"/>
        <w:rPr>
          <w:b/>
          <w:bCs/>
          <w:sz w:val="22"/>
          <w:szCs w:val="22"/>
          <w:lang w:val="es-CR"/>
        </w:rPr>
      </w:pPr>
      <w:r w:rsidRPr="008B5F96">
        <w:rPr>
          <w:b/>
          <w:bCs/>
          <w:sz w:val="22"/>
          <w:szCs w:val="22"/>
          <w:lang w:val="es-CR"/>
        </w:rPr>
        <w:t>Transitorio IV</w:t>
      </w:r>
    </w:p>
    <w:p w14:paraId="7ADE8846" w14:textId="77777777" w:rsidR="008B5F96" w:rsidRPr="000B27C9" w:rsidRDefault="008B5F96" w:rsidP="008B5F96">
      <w:pPr>
        <w:jc w:val="both"/>
        <w:rPr>
          <w:sz w:val="22"/>
          <w:szCs w:val="22"/>
          <w:lang w:val="es-CR"/>
        </w:rPr>
      </w:pPr>
    </w:p>
    <w:p w14:paraId="461ED12D" w14:textId="77777777" w:rsidR="008B5F96" w:rsidRPr="008B5F96" w:rsidRDefault="008B5F96" w:rsidP="008B5F96">
      <w:pPr>
        <w:jc w:val="both"/>
        <w:rPr>
          <w:sz w:val="22"/>
          <w:szCs w:val="22"/>
          <w:lang w:val="es-CR"/>
        </w:rPr>
      </w:pPr>
      <w:r w:rsidRPr="008B5F96">
        <w:rPr>
          <w:sz w:val="22"/>
          <w:szCs w:val="22"/>
          <w:lang w:val="es-CR"/>
        </w:rPr>
        <w:t>Una vez transcurrido el periodo de transición establecido en el Transitorio III de este Reglamento, en caso de que la Superintendencia determine un aumento en el perfil de riesgo asignado a alguno de los segmentos de una entidad, la entidad podrá solicitar a la Superintendencia la aplicación de una transitoriedad. El plazo de dicha transitoriedad quedará a discreción de la Superintendencia, considerando criterios prudenciales y la situación particular de la entidad.</w:t>
      </w:r>
    </w:p>
    <w:p w14:paraId="274B8CFB" w14:textId="77777777" w:rsidR="008B5F96" w:rsidRPr="008B5F96" w:rsidRDefault="008B5F96" w:rsidP="008B5F96">
      <w:pPr>
        <w:jc w:val="both"/>
        <w:rPr>
          <w:sz w:val="22"/>
          <w:szCs w:val="22"/>
          <w:lang w:val="es-CR"/>
        </w:rPr>
      </w:pPr>
    </w:p>
    <w:p w14:paraId="186C46AA" w14:textId="77777777" w:rsidR="008B5F96" w:rsidRPr="008B5F96" w:rsidRDefault="008B5F96" w:rsidP="008B5F96">
      <w:pPr>
        <w:jc w:val="both"/>
        <w:rPr>
          <w:sz w:val="22"/>
          <w:szCs w:val="22"/>
          <w:lang w:val="es-CR"/>
        </w:rPr>
      </w:pPr>
      <w:r w:rsidRPr="008B5F96">
        <w:rPr>
          <w:sz w:val="22"/>
          <w:szCs w:val="22"/>
          <w:lang w:val="es-CR"/>
        </w:rPr>
        <w:t>La transitoriedad que se otorgue podrá abarcar tanto el ritmo de convergencia hacia el nuevo nivel de estimaciones mínimas requerido por el modelo estándar como, en su caso, el reconocimiento gradual de las reservas patrimoniales prudenciales adicionales necesarias para acompañar dicho incremento en el perfil de riesgo asignado.</w:t>
      </w:r>
    </w:p>
    <w:p w14:paraId="0CDF9432" w14:textId="77777777" w:rsidR="008B5F96" w:rsidRPr="008B5F96" w:rsidRDefault="008B5F96" w:rsidP="008B5F96">
      <w:pPr>
        <w:jc w:val="both"/>
        <w:rPr>
          <w:sz w:val="22"/>
          <w:szCs w:val="22"/>
          <w:lang w:val="es-CR"/>
        </w:rPr>
      </w:pPr>
    </w:p>
    <w:p w14:paraId="7844EA9F" w14:textId="77777777" w:rsidR="008B5F96" w:rsidRPr="008B5F96" w:rsidRDefault="008B5F96" w:rsidP="008B5F96">
      <w:pPr>
        <w:jc w:val="both"/>
        <w:rPr>
          <w:b/>
          <w:bCs/>
          <w:sz w:val="22"/>
          <w:szCs w:val="22"/>
          <w:lang w:val="es-CR"/>
        </w:rPr>
      </w:pPr>
      <w:r w:rsidRPr="008B5F96">
        <w:rPr>
          <w:b/>
          <w:bCs/>
          <w:sz w:val="22"/>
          <w:szCs w:val="22"/>
          <w:lang w:val="es-CR"/>
        </w:rPr>
        <w:t>Transitorio V</w:t>
      </w:r>
    </w:p>
    <w:p w14:paraId="06E9D944" w14:textId="77777777" w:rsidR="008B5F96" w:rsidRPr="000B27C9" w:rsidRDefault="008B5F96" w:rsidP="008B5F96">
      <w:pPr>
        <w:jc w:val="both"/>
        <w:rPr>
          <w:sz w:val="22"/>
          <w:szCs w:val="22"/>
          <w:lang w:val="es-CR"/>
        </w:rPr>
      </w:pPr>
    </w:p>
    <w:p w14:paraId="5440B0C9" w14:textId="77777777" w:rsidR="008B5F96" w:rsidRPr="008B5F96" w:rsidRDefault="008B5F96" w:rsidP="008B5F96">
      <w:pPr>
        <w:jc w:val="both"/>
        <w:rPr>
          <w:sz w:val="22"/>
          <w:szCs w:val="22"/>
          <w:lang w:val="es-CR"/>
        </w:rPr>
      </w:pPr>
      <w:r w:rsidRPr="008B5F96">
        <w:rPr>
          <w:sz w:val="22"/>
          <w:szCs w:val="22"/>
          <w:lang w:val="es-CR"/>
        </w:rPr>
        <w:t>Con la entrada en vigor del presente Reglamento, las entidades deberán utilizar el saldo que posean en la subcuenta 139.02.M.04 (Componente genérico para cartera de créditos-Transitorio), en el siguiente orden: primero, para cubrir los requerimientos de estimaciones contracíclicas (subcuenta 139.02.M.02); segundo para  los requerimientos de estimaciones específicas (subcuenta 139.01) y  una vez cubiertos ambos requerimientos,  podrán revertir contra los resultados del período  cualquier saldo remanente.</w:t>
      </w:r>
    </w:p>
    <w:p w14:paraId="50CAF9DE" w14:textId="77777777" w:rsidR="008B5F96" w:rsidRPr="008B5F96" w:rsidRDefault="008B5F96" w:rsidP="008B5F96">
      <w:pPr>
        <w:jc w:val="both"/>
        <w:rPr>
          <w:sz w:val="22"/>
          <w:szCs w:val="22"/>
          <w:lang w:val="es-CR"/>
        </w:rPr>
      </w:pPr>
    </w:p>
    <w:p w14:paraId="15E0943D" w14:textId="77777777" w:rsidR="008B5F96" w:rsidRPr="008B5F96" w:rsidRDefault="008B5F96" w:rsidP="008B5F96">
      <w:pPr>
        <w:jc w:val="both"/>
        <w:rPr>
          <w:sz w:val="22"/>
          <w:szCs w:val="22"/>
          <w:lang w:val="es-CR"/>
        </w:rPr>
      </w:pPr>
      <w:r w:rsidRPr="008B5F96">
        <w:rPr>
          <w:sz w:val="22"/>
          <w:szCs w:val="22"/>
          <w:lang w:val="es-CR"/>
        </w:rPr>
        <w:t>Cuando las entidades utilicen el saldo de la 139.02.M.04 para cubrir los requerimientos de estimaciones contracíclicas o específicas deberán proceder de la siguiente forma:</w:t>
      </w:r>
    </w:p>
    <w:p w14:paraId="63A3B2C9" w14:textId="77777777" w:rsidR="008B5F96" w:rsidRPr="008B5F96" w:rsidRDefault="008B5F96" w:rsidP="008B5F96">
      <w:pPr>
        <w:jc w:val="both"/>
        <w:rPr>
          <w:sz w:val="22"/>
          <w:szCs w:val="22"/>
          <w:lang w:val="es-CR"/>
        </w:rPr>
      </w:pPr>
    </w:p>
    <w:p w14:paraId="1A0EC5ED" w14:textId="77777777" w:rsidR="008B5F96" w:rsidRPr="008B5F96" w:rsidRDefault="008B5F96" w:rsidP="008B5F96">
      <w:pPr>
        <w:ind w:left="360" w:hanging="360"/>
        <w:jc w:val="both"/>
        <w:rPr>
          <w:sz w:val="22"/>
          <w:szCs w:val="22"/>
          <w:lang w:val="es-CR"/>
        </w:rPr>
      </w:pPr>
      <w:r w:rsidRPr="008B5F96">
        <w:rPr>
          <w:sz w:val="22"/>
          <w:szCs w:val="22"/>
          <w:lang w:val="es-CR"/>
        </w:rPr>
        <w:t>i.</w:t>
      </w:r>
      <w:r w:rsidRPr="008B5F96">
        <w:rPr>
          <w:sz w:val="22"/>
          <w:szCs w:val="22"/>
          <w:lang w:val="es-CR"/>
        </w:rPr>
        <w:tab/>
        <w:t>Reversar contra un ingreso la estimación regulatoria registrada en la subcuenta 139.02.M.04.</w:t>
      </w:r>
    </w:p>
    <w:p w14:paraId="43CBE712" w14:textId="77777777" w:rsidR="008B5F96" w:rsidRPr="008B5F96" w:rsidRDefault="008B5F96" w:rsidP="008B5F96">
      <w:pPr>
        <w:ind w:left="360"/>
        <w:contextualSpacing/>
        <w:jc w:val="both"/>
        <w:rPr>
          <w:sz w:val="22"/>
          <w:szCs w:val="22"/>
          <w:lang w:val="es-CR"/>
        </w:rPr>
      </w:pPr>
    </w:p>
    <w:p w14:paraId="006C6C71" w14:textId="77777777" w:rsidR="008B5F96" w:rsidRPr="008B5F96" w:rsidRDefault="008B5F96" w:rsidP="008B5F96">
      <w:pPr>
        <w:ind w:left="360" w:hanging="360"/>
        <w:jc w:val="both"/>
        <w:rPr>
          <w:sz w:val="22"/>
          <w:szCs w:val="22"/>
          <w:lang w:val="es-CR"/>
        </w:rPr>
      </w:pPr>
      <w:r w:rsidRPr="008B5F96">
        <w:rPr>
          <w:sz w:val="22"/>
          <w:szCs w:val="22"/>
          <w:lang w:val="es-CR"/>
        </w:rPr>
        <w:t>ii.</w:t>
      </w:r>
      <w:r w:rsidRPr="008B5F96">
        <w:rPr>
          <w:sz w:val="22"/>
          <w:szCs w:val="22"/>
          <w:lang w:val="es-CR"/>
        </w:rPr>
        <w:tab/>
        <w:t>Registrar un gasto para reconocer la estimación correspondiente (específica o contracíclica). El monto del gasto deberá coincidir con el monto de la reversión en el ingreso.</w:t>
      </w:r>
    </w:p>
    <w:p w14:paraId="5A88E8CA" w14:textId="77777777" w:rsidR="008B5F96" w:rsidRPr="008B5F96" w:rsidRDefault="008B5F96" w:rsidP="008B5F96">
      <w:pPr>
        <w:ind w:left="360"/>
        <w:contextualSpacing/>
        <w:jc w:val="both"/>
        <w:rPr>
          <w:sz w:val="22"/>
          <w:szCs w:val="22"/>
          <w:lang w:val="es-CR"/>
        </w:rPr>
      </w:pPr>
    </w:p>
    <w:p w14:paraId="515780FF" w14:textId="77777777" w:rsidR="008B5F96" w:rsidRPr="008B5F96" w:rsidRDefault="008B5F96" w:rsidP="008B5F96">
      <w:pPr>
        <w:jc w:val="both"/>
        <w:rPr>
          <w:b/>
          <w:bCs/>
          <w:sz w:val="22"/>
          <w:szCs w:val="22"/>
          <w:lang w:val="es-CR"/>
        </w:rPr>
      </w:pPr>
      <w:r w:rsidRPr="008B5F96">
        <w:rPr>
          <w:b/>
          <w:bCs/>
          <w:sz w:val="22"/>
          <w:szCs w:val="22"/>
          <w:lang w:val="es-CR"/>
        </w:rPr>
        <w:t>Transitorio VI</w:t>
      </w:r>
    </w:p>
    <w:p w14:paraId="24FCA65B" w14:textId="77777777" w:rsidR="008B5F96" w:rsidRPr="000B27C9" w:rsidRDefault="008B5F96" w:rsidP="008B5F96">
      <w:pPr>
        <w:jc w:val="both"/>
        <w:rPr>
          <w:sz w:val="22"/>
          <w:szCs w:val="22"/>
          <w:lang w:val="es-CR"/>
        </w:rPr>
      </w:pPr>
    </w:p>
    <w:p w14:paraId="0B86C43C" w14:textId="77777777" w:rsidR="008B5F96" w:rsidRPr="008B5F96" w:rsidRDefault="008B5F96" w:rsidP="008B5F96">
      <w:pPr>
        <w:jc w:val="both"/>
        <w:rPr>
          <w:sz w:val="22"/>
          <w:szCs w:val="22"/>
          <w:lang w:val="es-CR"/>
        </w:rPr>
      </w:pPr>
      <w:r w:rsidRPr="008B5F96">
        <w:rPr>
          <w:sz w:val="22"/>
          <w:szCs w:val="22"/>
          <w:lang w:val="es-CR"/>
        </w:rPr>
        <w:t>A partir de la aprobación del presente Reglamento, las nuevas solicitudes para el uso de modelos internos en la constitución de estimaciones específicas por riesgo de crédito se regirán por las disposiciones, los requisitos y el procedimiento de no objeción establecidos en el Acuerdo Sugef 1-26 y en sus Lineamientos Generales. El uso de dichos modelos estará sujeto a la obtención de la resolución de no objeción emitida por la Superintendencia.</w:t>
      </w:r>
    </w:p>
    <w:p w14:paraId="4C22D6BC" w14:textId="77777777" w:rsidR="008B5F96" w:rsidRPr="008B5F96" w:rsidRDefault="008B5F96" w:rsidP="008B5F96">
      <w:pPr>
        <w:jc w:val="both"/>
        <w:rPr>
          <w:sz w:val="22"/>
          <w:szCs w:val="22"/>
          <w:lang w:val="es-CR"/>
        </w:rPr>
      </w:pPr>
    </w:p>
    <w:p w14:paraId="6F94D930" w14:textId="77777777" w:rsidR="008B5F96" w:rsidRPr="008B5F96" w:rsidRDefault="008B5F96" w:rsidP="008B5F96">
      <w:pPr>
        <w:spacing w:after="160" w:line="278" w:lineRule="auto"/>
        <w:rPr>
          <w:sz w:val="22"/>
          <w:szCs w:val="22"/>
          <w:lang w:val="es-CR"/>
        </w:rPr>
      </w:pPr>
      <w:r w:rsidRPr="008B5F96">
        <w:rPr>
          <w:sz w:val="22"/>
          <w:szCs w:val="22"/>
          <w:lang w:val="es-CR"/>
        </w:rPr>
        <w:br w:type="page"/>
      </w:r>
    </w:p>
    <w:p w14:paraId="3C5D000C" w14:textId="77777777" w:rsidR="008B5F96" w:rsidRPr="008B5F96" w:rsidRDefault="008B5F96" w:rsidP="008B5F96">
      <w:pPr>
        <w:jc w:val="center"/>
        <w:rPr>
          <w:b/>
          <w:bCs/>
          <w:sz w:val="22"/>
          <w:szCs w:val="22"/>
          <w:lang w:val="es-CR"/>
        </w:rPr>
      </w:pPr>
      <w:r w:rsidRPr="008B5F96">
        <w:rPr>
          <w:b/>
          <w:bCs/>
          <w:sz w:val="22"/>
          <w:szCs w:val="22"/>
          <w:lang w:val="es-CR"/>
        </w:rPr>
        <w:lastRenderedPageBreak/>
        <w:t>Anexo 1</w:t>
      </w:r>
    </w:p>
    <w:p w14:paraId="56D79EB4" w14:textId="77777777" w:rsidR="008B5F96" w:rsidRPr="008B5F96" w:rsidRDefault="008B5F96" w:rsidP="008B5F96">
      <w:pPr>
        <w:jc w:val="center"/>
        <w:rPr>
          <w:b/>
          <w:bCs/>
          <w:sz w:val="22"/>
          <w:szCs w:val="22"/>
          <w:lang w:val="es-CR"/>
        </w:rPr>
      </w:pPr>
    </w:p>
    <w:p w14:paraId="28F05122" w14:textId="77777777" w:rsidR="008B5F96" w:rsidRPr="008B5F96" w:rsidRDefault="008B5F96" w:rsidP="008B5F96">
      <w:pPr>
        <w:jc w:val="both"/>
        <w:rPr>
          <w:b/>
          <w:bCs/>
          <w:sz w:val="22"/>
          <w:szCs w:val="22"/>
          <w:lang w:val="es-CR"/>
        </w:rPr>
      </w:pPr>
      <w:r w:rsidRPr="008B5F96">
        <w:rPr>
          <w:b/>
          <w:bCs/>
          <w:sz w:val="22"/>
          <w:szCs w:val="22"/>
          <w:lang w:val="es-CR"/>
        </w:rPr>
        <w:t>Operaciones crediticias sujetas a estimación</w:t>
      </w:r>
    </w:p>
    <w:p w14:paraId="266554DA" w14:textId="77777777" w:rsidR="008B5F96" w:rsidRPr="000B27C9" w:rsidRDefault="008B5F96" w:rsidP="008B5F96">
      <w:pPr>
        <w:jc w:val="both"/>
        <w:rPr>
          <w:sz w:val="22"/>
          <w:szCs w:val="22"/>
          <w:lang w:val="es-CR"/>
        </w:rPr>
      </w:pPr>
    </w:p>
    <w:p w14:paraId="1874FE53" w14:textId="77777777" w:rsidR="008B5F96" w:rsidRPr="008B5F96" w:rsidRDefault="008B5F96" w:rsidP="008B5F96">
      <w:pPr>
        <w:jc w:val="both"/>
        <w:rPr>
          <w:sz w:val="22"/>
          <w:szCs w:val="22"/>
          <w:lang w:val="es-CR"/>
        </w:rPr>
      </w:pPr>
      <w:r w:rsidRPr="008B5F96">
        <w:rPr>
          <w:sz w:val="22"/>
          <w:szCs w:val="22"/>
          <w:lang w:val="es-CR"/>
        </w:rPr>
        <w:t>El principal de las operaciones crediticias se registra por su naturaleza en las siguientes cuentas o subcuentas, conforme la codificación del anexo 1 de Reglamento de Información Financiera:</w:t>
      </w:r>
    </w:p>
    <w:p w14:paraId="5B4D626F" w14:textId="77777777" w:rsidR="008B5F96" w:rsidRPr="008B5F96" w:rsidRDefault="008B5F96" w:rsidP="008B5F96">
      <w:pPr>
        <w:jc w:val="both"/>
        <w:rPr>
          <w:sz w:val="22"/>
          <w:szCs w:val="22"/>
          <w:lang w:val="es-CR"/>
        </w:rPr>
      </w:pPr>
    </w:p>
    <w:tbl>
      <w:tblPr>
        <w:tblW w:w="8494" w:type="dxa"/>
        <w:jc w:val="center"/>
        <w:tblCellMar>
          <w:left w:w="70" w:type="dxa"/>
          <w:right w:w="84" w:type="dxa"/>
        </w:tblCellMar>
        <w:tblLook w:val="04A0" w:firstRow="1" w:lastRow="0" w:firstColumn="1" w:lastColumn="0" w:noHBand="0" w:noVBand="1"/>
      </w:tblPr>
      <w:tblGrid>
        <w:gridCol w:w="1529"/>
        <w:gridCol w:w="6965"/>
      </w:tblGrid>
      <w:tr w:rsidR="008B5F96" w:rsidRPr="008B5F96" w14:paraId="784B0047"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42C62393" w14:textId="77777777" w:rsidR="008B5F96" w:rsidRPr="008B5F96" w:rsidRDefault="008B5F96" w:rsidP="008B5F96">
            <w:pPr>
              <w:rPr>
                <w:b/>
                <w:bCs/>
                <w:sz w:val="22"/>
                <w:szCs w:val="22"/>
                <w:lang w:val="es-CR"/>
              </w:rPr>
            </w:pPr>
            <w:r w:rsidRPr="008B5F96">
              <w:rPr>
                <w:b/>
                <w:bCs/>
                <w:sz w:val="22"/>
                <w:szCs w:val="22"/>
                <w:lang w:val="es-CR"/>
              </w:rPr>
              <w:t>Cuenta</w:t>
            </w:r>
          </w:p>
        </w:tc>
        <w:tc>
          <w:tcPr>
            <w:tcW w:w="6965" w:type="dxa"/>
            <w:tcBorders>
              <w:top w:val="single" w:sz="4" w:space="0" w:color="000000"/>
              <w:left w:val="single" w:sz="4" w:space="0" w:color="000000"/>
              <w:bottom w:val="single" w:sz="4" w:space="0" w:color="000000"/>
              <w:right w:val="single" w:sz="4" w:space="0" w:color="000000"/>
            </w:tcBorders>
          </w:tcPr>
          <w:p w14:paraId="464FA3C8" w14:textId="77777777" w:rsidR="008B5F96" w:rsidRPr="008B5F96" w:rsidRDefault="008B5F96" w:rsidP="008B5F96">
            <w:pPr>
              <w:rPr>
                <w:b/>
                <w:bCs/>
                <w:sz w:val="22"/>
                <w:szCs w:val="22"/>
                <w:lang w:val="es-CR"/>
              </w:rPr>
            </w:pPr>
            <w:r w:rsidRPr="008B5F96">
              <w:rPr>
                <w:b/>
                <w:bCs/>
                <w:sz w:val="22"/>
                <w:szCs w:val="22"/>
                <w:lang w:val="es-CR"/>
              </w:rPr>
              <w:t>Descripción</w:t>
            </w:r>
          </w:p>
        </w:tc>
      </w:tr>
      <w:tr w:rsidR="008B5F96" w:rsidRPr="008B5F96" w14:paraId="0114FA17"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70568EB7" w14:textId="77777777" w:rsidR="008B5F96" w:rsidRPr="008B5F96" w:rsidRDefault="008B5F96" w:rsidP="008B5F96">
            <w:pPr>
              <w:jc w:val="both"/>
              <w:rPr>
                <w:sz w:val="22"/>
                <w:szCs w:val="22"/>
                <w:lang w:val="es-CR"/>
              </w:rPr>
            </w:pPr>
            <w:r w:rsidRPr="008B5F96">
              <w:rPr>
                <w:sz w:val="22"/>
                <w:szCs w:val="22"/>
                <w:lang w:val="es-CR"/>
              </w:rPr>
              <w:t xml:space="preserve">131 </w:t>
            </w:r>
          </w:p>
        </w:tc>
        <w:tc>
          <w:tcPr>
            <w:tcW w:w="6965" w:type="dxa"/>
            <w:tcBorders>
              <w:top w:val="single" w:sz="4" w:space="0" w:color="000000"/>
              <w:left w:val="single" w:sz="4" w:space="0" w:color="000000"/>
              <w:bottom w:val="single" w:sz="4" w:space="0" w:color="000000"/>
              <w:right w:val="single" w:sz="4" w:space="0" w:color="000000"/>
            </w:tcBorders>
          </w:tcPr>
          <w:p w14:paraId="43ADE41D" w14:textId="77777777" w:rsidR="008B5F96" w:rsidRPr="008B5F96" w:rsidRDefault="008B5F96" w:rsidP="008B5F96">
            <w:pPr>
              <w:jc w:val="both"/>
              <w:rPr>
                <w:sz w:val="22"/>
                <w:szCs w:val="22"/>
                <w:lang w:val="es-CR"/>
              </w:rPr>
            </w:pPr>
            <w:r w:rsidRPr="008B5F96">
              <w:rPr>
                <w:sz w:val="22"/>
                <w:szCs w:val="22"/>
                <w:lang w:val="es-CR"/>
              </w:rPr>
              <w:t xml:space="preserve">Créditos vigentes </w:t>
            </w:r>
          </w:p>
        </w:tc>
      </w:tr>
      <w:tr w:rsidR="008B5F96" w:rsidRPr="008B5F96" w14:paraId="6CCE05B8"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1CCAF7C2" w14:textId="77777777" w:rsidR="008B5F96" w:rsidRPr="008B5F96" w:rsidRDefault="008B5F96" w:rsidP="008B5F96">
            <w:pPr>
              <w:jc w:val="both"/>
              <w:rPr>
                <w:sz w:val="22"/>
                <w:szCs w:val="22"/>
                <w:lang w:val="es-CR"/>
              </w:rPr>
            </w:pPr>
            <w:r w:rsidRPr="008B5F96">
              <w:rPr>
                <w:sz w:val="22"/>
                <w:szCs w:val="22"/>
                <w:lang w:val="es-CR"/>
              </w:rPr>
              <w:t xml:space="preserve">132 </w:t>
            </w:r>
          </w:p>
        </w:tc>
        <w:tc>
          <w:tcPr>
            <w:tcW w:w="6965" w:type="dxa"/>
            <w:tcBorders>
              <w:top w:val="single" w:sz="4" w:space="0" w:color="000000"/>
              <w:left w:val="single" w:sz="4" w:space="0" w:color="000000"/>
              <w:bottom w:val="single" w:sz="4" w:space="0" w:color="000000"/>
              <w:right w:val="single" w:sz="4" w:space="0" w:color="000000"/>
            </w:tcBorders>
          </w:tcPr>
          <w:p w14:paraId="318F982F" w14:textId="77777777" w:rsidR="008B5F96" w:rsidRPr="008B5F96" w:rsidRDefault="008B5F96" w:rsidP="008B5F96">
            <w:pPr>
              <w:jc w:val="both"/>
              <w:rPr>
                <w:sz w:val="22"/>
                <w:szCs w:val="22"/>
                <w:lang w:val="es-CR"/>
              </w:rPr>
            </w:pPr>
            <w:r w:rsidRPr="008B5F96">
              <w:rPr>
                <w:sz w:val="22"/>
                <w:szCs w:val="22"/>
                <w:lang w:val="es-CR"/>
              </w:rPr>
              <w:t xml:space="preserve">Créditos vencidos  </w:t>
            </w:r>
          </w:p>
        </w:tc>
      </w:tr>
      <w:tr w:rsidR="008B5F96" w:rsidRPr="008B5F96" w14:paraId="0CE9F539"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36BE66B5" w14:textId="77777777" w:rsidR="008B5F96" w:rsidRPr="008B5F96" w:rsidRDefault="008B5F96" w:rsidP="008B5F96">
            <w:pPr>
              <w:jc w:val="both"/>
              <w:rPr>
                <w:sz w:val="22"/>
                <w:szCs w:val="22"/>
                <w:lang w:val="es-CR"/>
              </w:rPr>
            </w:pPr>
            <w:r w:rsidRPr="008B5F96">
              <w:rPr>
                <w:sz w:val="22"/>
                <w:szCs w:val="22"/>
                <w:lang w:val="es-CR"/>
              </w:rPr>
              <w:t xml:space="preserve">133 </w:t>
            </w:r>
          </w:p>
        </w:tc>
        <w:tc>
          <w:tcPr>
            <w:tcW w:w="6965" w:type="dxa"/>
            <w:tcBorders>
              <w:top w:val="single" w:sz="4" w:space="0" w:color="000000"/>
              <w:left w:val="single" w:sz="4" w:space="0" w:color="000000"/>
              <w:bottom w:val="single" w:sz="4" w:space="0" w:color="000000"/>
              <w:right w:val="single" w:sz="4" w:space="0" w:color="000000"/>
            </w:tcBorders>
          </w:tcPr>
          <w:p w14:paraId="4176FD8E" w14:textId="77777777" w:rsidR="008B5F96" w:rsidRPr="008B5F96" w:rsidRDefault="008B5F96" w:rsidP="008B5F96">
            <w:pPr>
              <w:jc w:val="both"/>
              <w:rPr>
                <w:sz w:val="22"/>
                <w:szCs w:val="22"/>
                <w:lang w:val="es-CR"/>
              </w:rPr>
            </w:pPr>
            <w:r w:rsidRPr="008B5F96">
              <w:rPr>
                <w:sz w:val="22"/>
                <w:szCs w:val="22"/>
                <w:lang w:val="es-CR"/>
              </w:rPr>
              <w:t xml:space="preserve">Créditos en cobro judicial </w:t>
            </w:r>
          </w:p>
        </w:tc>
      </w:tr>
      <w:tr w:rsidR="008B5F96" w:rsidRPr="008B5F96" w14:paraId="7D5EEE58"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06714DDF" w14:textId="77777777" w:rsidR="008B5F96" w:rsidRPr="008B5F96" w:rsidRDefault="008B5F96" w:rsidP="008B5F96">
            <w:pPr>
              <w:jc w:val="both"/>
              <w:rPr>
                <w:sz w:val="22"/>
                <w:szCs w:val="22"/>
                <w:lang w:val="es-CR"/>
              </w:rPr>
            </w:pPr>
            <w:r w:rsidRPr="008B5F96">
              <w:rPr>
                <w:sz w:val="22"/>
                <w:szCs w:val="22"/>
                <w:lang w:val="es-CR"/>
              </w:rPr>
              <w:t xml:space="preserve">134 </w:t>
            </w:r>
          </w:p>
        </w:tc>
        <w:tc>
          <w:tcPr>
            <w:tcW w:w="6965" w:type="dxa"/>
            <w:tcBorders>
              <w:top w:val="single" w:sz="4" w:space="0" w:color="000000"/>
              <w:left w:val="single" w:sz="4" w:space="0" w:color="000000"/>
              <w:bottom w:val="single" w:sz="4" w:space="0" w:color="000000"/>
              <w:right w:val="single" w:sz="4" w:space="0" w:color="000000"/>
            </w:tcBorders>
          </w:tcPr>
          <w:p w14:paraId="43C52666" w14:textId="77777777" w:rsidR="008B5F96" w:rsidRPr="008B5F96" w:rsidRDefault="008B5F96" w:rsidP="008B5F96">
            <w:pPr>
              <w:jc w:val="both"/>
              <w:rPr>
                <w:sz w:val="22"/>
                <w:szCs w:val="22"/>
                <w:lang w:val="es-CR"/>
              </w:rPr>
            </w:pPr>
            <w:r w:rsidRPr="008B5F96">
              <w:rPr>
                <w:sz w:val="22"/>
                <w:szCs w:val="22"/>
                <w:lang w:val="es-CR"/>
              </w:rPr>
              <w:t xml:space="preserve">Créditos restringidos </w:t>
            </w:r>
          </w:p>
        </w:tc>
      </w:tr>
      <w:tr w:rsidR="008B5F96" w:rsidRPr="008B5F96" w14:paraId="4DD7312E"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3DEA9743" w14:textId="77777777" w:rsidR="008B5F96" w:rsidRPr="008B5F96" w:rsidRDefault="008B5F96" w:rsidP="008B5F96">
            <w:pPr>
              <w:jc w:val="both"/>
              <w:rPr>
                <w:sz w:val="22"/>
                <w:szCs w:val="22"/>
                <w:lang w:val="es-CR"/>
              </w:rPr>
            </w:pPr>
            <w:r w:rsidRPr="008B5F96">
              <w:rPr>
                <w:sz w:val="22"/>
                <w:szCs w:val="22"/>
                <w:lang w:val="es-CR"/>
              </w:rPr>
              <w:t xml:space="preserve">611.01.M.02 </w:t>
            </w:r>
          </w:p>
        </w:tc>
        <w:tc>
          <w:tcPr>
            <w:tcW w:w="6965" w:type="dxa"/>
            <w:tcBorders>
              <w:top w:val="single" w:sz="4" w:space="0" w:color="000000"/>
              <w:left w:val="single" w:sz="4" w:space="0" w:color="000000"/>
              <w:bottom w:val="single" w:sz="4" w:space="0" w:color="000000"/>
              <w:right w:val="single" w:sz="4" w:space="0" w:color="000000"/>
            </w:tcBorders>
          </w:tcPr>
          <w:p w14:paraId="6BB9B164" w14:textId="77777777" w:rsidR="008B5F96" w:rsidRPr="008B5F96" w:rsidRDefault="008B5F96" w:rsidP="008B5F96">
            <w:pPr>
              <w:jc w:val="both"/>
              <w:rPr>
                <w:sz w:val="22"/>
                <w:szCs w:val="22"/>
                <w:lang w:val="es-CR"/>
              </w:rPr>
            </w:pPr>
            <w:r w:rsidRPr="008B5F96">
              <w:rPr>
                <w:sz w:val="22"/>
                <w:szCs w:val="22"/>
                <w:lang w:val="es-CR"/>
              </w:rPr>
              <w:t xml:space="preserve">Avales saldo sin depósito previo </w:t>
            </w:r>
          </w:p>
        </w:tc>
      </w:tr>
      <w:tr w:rsidR="008B5F96" w:rsidRPr="008B5F96" w14:paraId="3496ED24"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53868242" w14:textId="77777777" w:rsidR="008B5F96" w:rsidRPr="008B5F96" w:rsidRDefault="008B5F96" w:rsidP="008B5F96">
            <w:pPr>
              <w:jc w:val="both"/>
              <w:rPr>
                <w:sz w:val="22"/>
                <w:szCs w:val="22"/>
                <w:lang w:val="es-CR"/>
              </w:rPr>
            </w:pPr>
            <w:r w:rsidRPr="008B5F96">
              <w:rPr>
                <w:sz w:val="22"/>
                <w:szCs w:val="22"/>
                <w:lang w:val="es-CR"/>
              </w:rPr>
              <w:t xml:space="preserve">611.02.M.02 </w:t>
            </w:r>
          </w:p>
        </w:tc>
        <w:tc>
          <w:tcPr>
            <w:tcW w:w="6965" w:type="dxa"/>
            <w:tcBorders>
              <w:top w:val="single" w:sz="4" w:space="0" w:color="000000"/>
              <w:left w:val="single" w:sz="4" w:space="0" w:color="000000"/>
              <w:bottom w:val="single" w:sz="4" w:space="0" w:color="000000"/>
              <w:right w:val="single" w:sz="4" w:space="0" w:color="000000"/>
            </w:tcBorders>
          </w:tcPr>
          <w:p w14:paraId="6A4001EE" w14:textId="77777777" w:rsidR="008B5F96" w:rsidRPr="008B5F96" w:rsidRDefault="008B5F96" w:rsidP="008B5F96">
            <w:pPr>
              <w:jc w:val="both"/>
              <w:rPr>
                <w:sz w:val="22"/>
                <w:szCs w:val="22"/>
                <w:lang w:val="es-CR"/>
              </w:rPr>
            </w:pPr>
            <w:r w:rsidRPr="008B5F96">
              <w:rPr>
                <w:sz w:val="22"/>
                <w:szCs w:val="22"/>
                <w:lang w:val="es-CR"/>
              </w:rPr>
              <w:t xml:space="preserve">Garantías de cumplimiento saldo sin depósito previo </w:t>
            </w:r>
          </w:p>
        </w:tc>
      </w:tr>
      <w:tr w:rsidR="008B5F96" w:rsidRPr="008B5F96" w14:paraId="14B44A25"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1D144437" w14:textId="77777777" w:rsidR="008B5F96" w:rsidRPr="008B5F96" w:rsidRDefault="008B5F96" w:rsidP="008B5F96">
            <w:pPr>
              <w:jc w:val="both"/>
              <w:rPr>
                <w:sz w:val="22"/>
                <w:szCs w:val="22"/>
                <w:lang w:val="es-CR"/>
              </w:rPr>
            </w:pPr>
            <w:r w:rsidRPr="008B5F96">
              <w:rPr>
                <w:sz w:val="22"/>
                <w:szCs w:val="22"/>
                <w:lang w:val="es-CR"/>
              </w:rPr>
              <w:t xml:space="preserve">611.03.M.02 </w:t>
            </w:r>
          </w:p>
        </w:tc>
        <w:tc>
          <w:tcPr>
            <w:tcW w:w="6965" w:type="dxa"/>
            <w:tcBorders>
              <w:top w:val="single" w:sz="4" w:space="0" w:color="000000"/>
              <w:left w:val="single" w:sz="4" w:space="0" w:color="000000"/>
              <w:bottom w:val="single" w:sz="4" w:space="0" w:color="000000"/>
              <w:right w:val="single" w:sz="4" w:space="0" w:color="000000"/>
            </w:tcBorders>
          </w:tcPr>
          <w:p w14:paraId="2D89A60F" w14:textId="77777777" w:rsidR="008B5F96" w:rsidRPr="008B5F96" w:rsidRDefault="008B5F96" w:rsidP="008B5F96">
            <w:pPr>
              <w:jc w:val="both"/>
              <w:rPr>
                <w:sz w:val="22"/>
                <w:szCs w:val="22"/>
                <w:lang w:val="es-CR"/>
              </w:rPr>
            </w:pPr>
            <w:r w:rsidRPr="008B5F96">
              <w:rPr>
                <w:sz w:val="22"/>
                <w:szCs w:val="22"/>
                <w:lang w:val="es-CR"/>
              </w:rPr>
              <w:t xml:space="preserve">Garantías de participación saldo sin depósito previo </w:t>
            </w:r>
          </w:p>
        </w:tc>
      </w:tr>
      <w:tr w:rsidR="008B5F96" w:rsidRPr="008B5F96" w14:paraId="456D312B"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638D25DC" w14:textId="77777777" w:rsidR="008B5F96" w:rsidRPr="008B5F96" w:rsidRDefault="008B5F96" w:rsidP="008B5F96">
            <w:pPr>
              <w:jc w:val="both"/>
              <w:rPr>
                <w:sz w:val="22"/>
                <w:szCs w:val="22"/>
                <w:lang w:val="es-CR"/>
              </w:rPr>
            </w:pPr>
            <w:r w:rsidRPr="008B5F96">
              <w:rPr>
                <w:sz w:val="22"/>
                <w:szCs w:val="22"/>
                <w:lang w:val="es-CR"/>
              </w:rPr>
              <w:t xml:space="preserve">611.04.M.02 </w:t>
            </w:r>
          </w:p>
        </w:tc>
        <w:tc>
          <w:tcPr>
            <w:tcW w:w="6965" w:type="dxa"/>
            <w:tcBorders>
              <w:top w:val="single" w:sz="4" w:space="0" w:color="000000"/>
              <w:left w:val="single" w:sz="4" w:space="0" w:color="000000"/>
              <w:bottom w:val="single" w:sz="4" w:space="0" w:color="000000"/>
              <w:right w:val="single" w:sz="4" w:space="0" w:color="000000"/>
            </w:tcBorders>
          </w:tcPr>
          <w:p w14:paraId="38F26082" w14:textId="77777777" w:rsidR="008B5F96" w:rsidRPr="008B5F96" w:rsidRDefault="008B5F96" w:rsidP="008B5F96">
            <w:pPr>
              <w:jc w:val="both"/>
              <w:rPr>
                <w:sz w:val="22"/>
                <w:szCs w:val="22"/>
                <w:lang w:val="es-CR"/>
              </w:rPr>
            </w:pPr>
            <w:r w:rsidRPr="008B5F96">
              <w:rPr>
                <w:sz w:val="22"/>
                <w:szCs w:val="22"/>
                <w:lang w:val="es-CR"/>
              </w:rPr>
              <w:t xml:space="preserve">Otras garantías sin depósito previo  </w:t>
            </w:r>
          </w:p>
        </w:tc>
      </w:tr>
      <w:tr w:rsidR="008B5F96" w:rsidRPr="008B5F96" w14:paraId="60474263"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09042594" w14:textId="77777777" w:rsidR="008B5F96" w:rsidRPr="008B5F96" w:rsidRDefault="008B5F96" w:rsidP="008B5F96">
            <w:pPr>
              <w:jc w:val="both"/>
              <w:rPr>
                <w:sz w:val="22"/>
                <w:szCs w:val="22"/>
                <w:lang w:val="es-CR"/>
              </w:rPr>
            </w:pPr>
            <w:r w:rsidRPr="008B5F96">
              <w:rPr>
                <w:sz w:val="22"/>
                <w:szCs w:val="22"/>
                <w:lang w:val="es-CR"/>
              </w:rPr>
              <w:t xml:space="preserve">612.02 </w:t>
            </w:r>
          </w:p>
        </w:tc>
        <w:tc>
          <w:tcPr>
            <w:tcW w:w="6965" w:type="dxa"/>
            <w:tcBorders>
              <w:top w:val="single" w:sz="4" w:space="0" w:color="000000"/>
              <w:left w:val="single" w:sz="4" w:space="0" w:color="000000"/>
              <w:bottom w:val="single" w:sz="4" w:space="0" w:color="000000"/>
              <w:right w:val="single" w:sz="4" w:space="0" w:color="000000"/>
            </w:tcBorders>
          </w:tcPr>
          <w:p w14:paraId="7F2241E7" w14:textId="77777777" w:rsidR="008B5F96" w:rsidRPr="008B5F96" w:rsidRDefault="008B5F96" w:rsidP="008B5F96">
            <w:pPr>
              <w:jc w:val="both"/>
              <w:rPr>
                <w:sz w:val="22"/>
                <w:szCs w:val="22"/>
                <w:lang w:val="es-CR"/>
              </w:rPr>
            </w:pPr>
            <w:r w:rsidRPr="008B5F96">
              <w:rPr>
                <w:sz w:val="22"/>
                <w:szCs w:val="22"/>
                <w:lang w:val="es-CR"/>
              </w:rPr>
              <w:t xml:space="preserve">Cartas de crédito a la vista saldo sin depósito previo </w:t>
            </w:r>
          </w:p>
        </w:tc>
      </w:tr>
      <w:tr w:rsidR="008B5F96" w:rsidRPr="008B5F96" w14:paraId="4C38FEE0"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28CAB964" w14:textId="77777777" w:rsidR="008B5F96" w:rsidRPr="008B5F96" w:rsidRDefault="008B5F96" w:rsidP="008B5F96">
            <w:pPr>
              <w:jc w:val="both"/>
              <w:rPr>
                <w:sz w:val="22"/>
                <w:szCs w:val="22"/>
                <w:lang w:val="es-CR"/>
              </w:rPr>
            </w:pPr>
            <w:r w:rsidRPr="008B5F96">
              <w:rPr>
                <w:sz w:val="22"/>
                <w:szCs w:val="22"/>
                <w:lang w:val="es-CR"/>
              </w:rPr>
              <w:t xml:space="preserve">612.04 </w:t>
            </w:r>
          </w:p>
        </w:tc>
        <w:tc>
          <w:tcPr>
            <w:tcW w:w="6965" w:type="dxa"/>
            <w:tcBorders>
              <w:top w:val="single" w:sz="4" w:space="0" w:color="000000"/>
              <w:left w:val="single" w:sz="4" w:space="0" w:color="000000"/>
              <w:bottom w:val="single" w:sz="4" w:space="0" w:color="000000"/>
              <w:right w:val="single" w:sz="4" w:space="0" w:color="000000"/>
            </w:tcBorders>
          </w:tcPr>
          <w:p w14:paraId="0436FA9D" w14:textId="77777777" w:rsidR="008B5F96" w:rsidRPr="008B5F96" w:rsidRDefault="008B5F96" w:rsidP="008B5F96">
            <w:pPr>
              <w:jc w:val="both"/>
              <w:rPr>
                <w:sz w:val="22"/>
                <w:szCs w:val="22"/>
                <w:lang w:val="es-CR"/>
              </w:rPr>
            </w:pPr>
            <w:r w:rsidRPr="008B5F96">
              <w:rPr>
                <w:sz w:val="22"/>
                <w:szCs w:val="22"/>
                <w:lang w:val="es-CR"/>
              </w:rPr>
              <w:t xml:space="preserve">Cartas de crédito diferidas saldo sin depósito previo </w:t>
            </w:r>
          </w:p>
        </w:tc>
      </w:tr>
      <w:tr w:rsidR="008B5F96" w:rsidRPr="008B5F96" w14:paraId="00C8CD42"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4196A6CD" w14:textId="77777777" w:rsidR="008B5F96" w:rsidRPr="008B5F96" w:rsidRDefault="008B5F96" w:rsidP="008B5F96">
            <w:pPr>
              <w:jc w:val="both"/>
              <w:rPr>
                <w:sz w:val="22"/>
                <w:szCs w:val="22"/>
                <w:lang w:val="es-CR"/>
              </w:rPr>
            </w:pPr>
            <w:r w:rsidRPr="008B5F96">
              <w:rPr>
                <w:sz w:val="22"/>
                <w:szCs w:val="22"/>
                <w:lang w:val="es-CR"/>
              </w:rPr>
              <w:t xml:space="preserve">613.01.M.02 </w:t>
            </w:r>
          </w:p>
        </w:tc>
        <w:tc>
          <w:tcPr>
            <w:tcW w:w="6965" w:type="dxa"/>
            <w:tcBorders>
              <w:top w:val="single" w:sz="4" w:space="0" w:color="000000"/>
              <w:left w:val="single" w:sz="4" w:space="0" w:color="000000"/>
              <w:bottom w:val="single" w:sz="4" w:space="0" w:color="000000"/>
              <w:right w:val="single" w:sz="4" w:space="0" w:color="000000"/>
            </w:tcBorders>
          </w:tcPr>
          <w:p w14:paraId="4B89CEA1" w14:textId="77777777" w:rsidR="008B5F96" w:rsidRPr="008B5F96" w:rsidRDefault="008B5F96" w:rsidP="008B5F96">
            <w:pPr>
              <w:jc w:val="both"/>
              <w:rPr>
                <w:sz w:val="22"/>
                <w:szCs w:val="22"/>
                <w:lang w:val="es-CR"/>
              </w:rPr>
            </w:pPr>
            <w:r w:rsidRPr="008B5F96">
              <w:rPr>
                <w:sz w:val="22"/>
                <w:szCs w:val="22"/>
                <w:lang w:val="es-CR"/>
              </w:rPr>
              <w:t xml:space="preserve">Cartas de crédito confirmadas no negociadas saldo sin depósito previo </w:t>
            </w:r>
          </w:p>
        </w:tc>
      </w:tr>
      <w:tr w:rsidR="008B5F96" w:rsidRPr="008B5F96" w14:paraId="5ADE206D"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32771D7E" w14:textId="77777777" w:rsidR="008B5F96" w:rsidRPr="008B5F96" w:rsidRDefault="008B5F96" w:rsidP="008B5F96">
            <w:pPr>
              <w:jc w:val="both"/>
              <w:rPr>
                <w:sz w:val="22"/>
                <w:szCs w:val="22"/>
                <w:lang w:val="es-CR"/>
              </w:rPr>
            </w:pPr>
            <w:r w:rsidRPr="008B5F96">
              <w:rPr>
                <w:sz w:val="22"/>
                <w:szCs w:val="22"/>
                <w:lang w:val="es-CR"/>
              </w:rPr>
              <w:t xml:space="preserve">615.01 </w:t>
            </w:r>
          </w:p>
        </w:tc>
        <w:tc>
          <w:tcPr>
            <w:tcW w:w="6965" w:type="dxa"/>
            <w:tcBorders>
              <w:top w:val="single" w:sz="4" w:space="0" w:color="000000"/>
              <w:left w:val="single" w:sz="4" w:space="0" w:color="000000"/>
              <w:bottom w:val="single" w:sz="4" w:space="0" w:color="000000"/>
              <w:right w:val="single" w:sz="4" w:space="0" w:color="000000"/>
            </w:tcBorders>
          </w:tcPr>
          <w:p w14:paraId="1EB32D50" w14:textId="77777777" w:rsidR="008B5F96" w:rsidRPr="008B5F96" w:rsidRDefault="008B5F96" w:rsidP="008B5F96">
            <w:pPr>
              <w:jc w:val="both"/>
              <w:rPr>
                <w:sz w:val="22"/>
                <w:szCs w:val="22"/>
                <w:lang w:val="es-CR"/>
              </w:rPr>
            </w:pPr>
            <w:r w:rsidRPr="008B5F96">
              <w:rPr>
                <w:sz w:val="22"/>
                <w:szCs w:val="22"/>
                <w:lang w:val="es-CR"/>
              </w:rPr>
              <w:t xml:space="preserve">Líneas de crédito para sobregiros en cuenta corriente </w:t>
            </w:r>
          </w:p>
        </w:tc>
      </w:tr>
      <w:tr w:rsidR="008B5F96" w:rsidRPr="008B5F96" w14:paraId="1845814F"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168EED4C" w14:textId="77777777" w:rsidR="008B5F96" w:rsidRPr="008B5F96" w:rsidRDefault="008B5F96" w:rsidP="008B5F96">
            <w:pPr>
              <w:jc w:val="both"/>
              <w:rPr>
                <w:sz w:val="22"/>
                <w:szCs w:val="22"/>
                <w:lang w:val="es-CR"/>
              </w:rPr>
            </w:pPr>
            <w:r w:rsidRPr="008B5F96">
              <w:rPr>
                <w:sz w:val="22"/>
                <w:szCs w:val="22"/>
                <w:lang w:val="es-CR"/>
              </w:rPr>
              <w:t xml:space="preserve">615.03 </w:t>
            </w:r>
          </w:p>
        </w:tc>
        <w:tc>
          <w:tcPr>
            <w:tcW w:w="6965" w:type="dxa"/>
            <w:tcBorders>
              <w:top w:val="single" w:sz="4" w:space="0" w:color="000000"/>
              <w:left w:val="single" w:sz="4" w:space="0" w:color="000000"/>
              <w:bottom w:val="single" w:sz="4" w:space="0" w:color="000000"/>
              <w:right w:val="single" w:sz="4" w:space="0" w:color="000000"/>
            </w:tcBorders>
          </w:tcPr>
          <w:p w14:paraId="043249CA" w14:textId="77777777" w:rsidR="008B5F96" w:rsidRPr="008B5F96" w:rsidRDefault="008B5F96" w:rsidP="008B5F96">
            <w:pPr>
              <w:jc w:val="both"/>
              <w:rPr>
                <w:sz w:val="22"/>
                <w:szCs w:val="22"/>
                <w:lang w:val="es-CR"/>
              </w:rPr>
            </w:pPr>
            <w:r w:rsidRPr="008B5F96">
              <w:rPr>
                <w:sz w:val="22"/>
                <w:szCs w:val="22"/>
                <w:lang w:val="es-CR"/>
              </w:rPr>
              <w:t xml:space="preserve">Líneas de crédito para factoraje </w:t>
            </w:r>
          </w:p>
        </w:tc>
      </w:tr>
      <w:tr w:rsidR="008B5F96" w:rsidRPr="008B5F96" w14:paraId="3DE6FA3A"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3D7E6CA5" w14:textId="77777777" w:rsidR="008B5F96" w:rsidRPr="008B5F96" w:rsidRDefault="008B5F96" w:rsidP="008B5F96">
            <w:pPr>
              <w:jc w:val="both"/>
              <w:rPr>
                <w:sz w:val="22"/>
                <w:szCs w:val="22"/>
                <w:lang w:val="es-CR"/>
              </w:rPr>
            </w:pPr>
            <w:r w:rsidRPr="008B5F96">
              <w:rPr>
                <w:sz w:val="22"/>
                <w:szCs w:val="22"/>
                <w:lang w:val="es-CR"/>
              </w:rPr>
              <w:t xml:space="preserve">615.02 </w:t>
            </w:r>
          </w:p>
        </w:tc>
        <w:tc>
          <w:tcPr>
            <w:tcW w:w="6965" w:type="dxa"/>
            <w:tcBorders>
              <w:top w:val="single" w:sz="4" w:space="0" w:color="000000"/>
              <w:left w:val="single" w:sz="4" w:space="0" w:color="000000"/>
              <w:bottom w:val="single" w:sz="4" w:space="0" w:color="000000"/>
              <w:right w:val="single" w:sz="4" w:space="0" w:color="000000"/>
            </w:tcBorders>
          </w:tcPr>
          <w:p w14:paraId="361AD194" w14:textId="77777777" w:rsidR="008B5F96" w:rsidRPr="008B5F96" w:rsidRDefault="008B5F96" w:rsidP="008B5F96">
            <w:pPr>
              <w:jc w:val="both"/>
              <w:rPr>
                <w:sz w:val="22"/>
                <w:szCs w:val="22"/>
                <w:lang w:val="es-CR"/>
              </w:rPr>
            </w:pPr>
            <w:r w:rsidRPr="008B5F96">
              <w:rPr>
                <w:sz w:val="22"/>
                <w:szCs w:val="22"/>
                <w:lang w:val="es-CR"/>
              </w:rPr>
              <w:t>Líneas de crédito para tarjetas de crédito</w:t>
            </w:r>
          </w:p>
        </w:tc>
      </w:tr>
      <w:tr w:rsidR="008B5F96" w:rsidRPr="008B5F96" w14:paraId="51E599D6"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611A4648" w14:textId="77777777" w:rsidR="008B5F96" w:rsidRPr="008B5F96" w:rsidRDefault="008B5F96" w:rsidP="008B5F96">
            <w:pPr>
              <w:jc w:val="both"/>
              <w:rPr>
                <w:sz w:val="22"/>
                <w:szCs w:val="22"/>
                <w:lang w:val="es-CR"/>
              </w:rPr>
            </w:pPr>
            <w:r w:rsidRPr="008B5F96">
              <w:rPr>
                <w:sz w:val="22"/>
                <w:szCs w:val="22"/>
                <w:lang w:val="es-CR"/>
              </w:rPr>
              <w:t xml:space="preserve">615.99 </w:t>
            </w:r>
          </w:p>
        </w:tc>
        <w:tc>
          <w:tcPr>
            <w:tcW w:w="6965" w:type="dxa"/>
            <w:tcBorders>
              <w:top w:val="single" w:sz="4" w:space="0" w:color="000000"/>
              <w:left w:val="single" w:sz="4" w:space="0" w:color="000000"/>
              <w:bottom w:val="single" w:sz="4" w:space="0" w:color="000000"/>
              <w:right w:val="single" w:sz="4" w:space="0" w:color="000000"/>
            </w:tcBorders>
          </w:tcPr>
          <w:p w14:paraId="48070F5F" w14:textId="77777777" w:rsidR="008B5F96" w:rsidRPr="008B5F96" w:rsidRDefault="008B5F96" w:rsidP="008B5F96">
            <w:pPr>
              <w:jc w:val="both"/>
              <w:rPr>
                <w:sz w:val="22"/>
                <w:szCs w:val="22"/>
                <w:lang w:val="es-CR"/>
              </w:rPr>
            </w:pPr>
            <w:r w:rsidRPr="008B5F96">
              <w:rPr>
                <w:sz w:val="22"/>
                <w:szCs w:val="22"/>
                <w:lang w:val="es-CR"/>
              </w:rPr>
              <w:t xml:space="preserve">Otras líneas de crédito de utilización automática </w:t>
            </w:r>
          </w:p>
        </w:tc>
      </w:tr>
      <w:tr w:rsidR="008B5F96" w:rsidRPr="008B5F96" w14:paraId="05BA270C"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704B76EA" w14:textId="77777777" w:rsidR="008B5F96" w:rsidRPr="008B5F96" w:rsidRDefault="008B5F96" w:rsidP="008B5F96">
            <w:pPr>
              <w:jc w:val="both"/>
              <w:rPr>
                <w:sz w:val="22"/>
                <w:szCs w:val="22"/>
                <w:lang w:val="es-CR"/>
              </w:rPr>
            </w:pPr>
            <w:r w:rsidRPr="008B5F96">
              <w:rPr>
                <w:sz w:val="22"/>
                <w:szCs w:val="22"/>
                <w:lang w:val="es-CR"/>
              </w:rPr>
              <w:t xml:space="preserve">617.01 </w:t>
            </w:r>
          </w:p>
        </w:tc>
        <w:tc>
          <w:tcPr>
            <w:tcW w:w="6965" w:type="dxa"/>
            <w:tcBorders>
              <w:top w:val="single" w:sz="4" w:space="0" w:color="000000"/>
              <w:left w:val="single" w:sz="4" w:space="0" w:color="000000"/>
              <w:bottom w:val="single" w:sz="4" w:space="0" w:color="000000"/>
              <w:right w:val="single" w:sz="4" w:space="0" w:color="000000"/>
            </w:tcBorders>
          </w:tcPr>
          <w:p w14:paraId="1A1DD67D" w14:textId="77777777" w:rsidR="008B5F96" w:rsidRPr="008B5F96" w:rsidRDefault="008B5F96" w:rsidP="008B5F96">
            <w:pPr>
              <w:jc w:val="both"/>
              <w:rPr>
                <w:sz w:val="22"/>
                <w:szCs w:val="22"/>
                <w:lang w:val="es-CR"/>
              </w:rPr>
            </w:pPr>
            <w:r w:rsidRPr="008B5F96">
              <w:rPr>
                <w:sz w:val="22"/>
                <w:szCs w:val="22"/>
                <w:lang w:val="es-CR"/>
              </w:rPr>
              <w:t xml:space="preserve">Otras contingencias crediticias </w:t>
            </w:r>
          </w:p>
        </w:tc>
      </w:tr>
      <w:tr w:rsidR="008B5F96" w:rsidRPr="008B5F96" w14:paraId="07BA0439" w14:textId="77777777" w:rsidTr="00FB5A1A">
        <w:trPr>
          <w:trHeight w:val="64"/>
          <w:jc w:val="center"/>
        </w:trPr>
        <w:tc>
          <w:tcPr>
            <w:tcW w:w="1529" w:type="dxa"/>
            <w:tcBorders>
              <w:top w:val="single" w:sz="4" w:space="0" w:color="000000"/>
              <w:left w:val="single" w:sz="4" w:space="0" w:color="000000"/>
              <w:bottom w:val="single" w:sz="4" w:space="0" w:color="000000"/>
              <w:right w:val="single" w:sz="4" w:space="0" w:color="000000"/>
            </w:tcBorders>
          </w:tcPr>
          <w:p w14:paraId="51789C39" w14:textId="77777777" w:rsidR="008B5F96" w:rsidRPr="008B5F96" w:rsidRDefault="008B5F96" w:rsidP="008B5F96">
            <w:pPr>
              <w:jc w:val="both"/>
              <w:rPr>
                <w:sz w:val="22"/>
                <w:szCs w:val="22"/>
                <w:lang w:val="es-CR"/>
              </w:rPr>
            </w:pPr>
            <w:r w:rsidRPr="008B5F96">
              <w:rPr>
                <w:sz w:val="22"/>
                <w:szCs w:val="22"/>
                <w:lang w:val="es-CR"/>
              </w:rPr>
              <w:t>619</w:t>
            </w:r>
          </w:p>
        </w:tc>
        <w:tc>
          <w:tcPr>
            <w:tcW w:w="6965" w:type="dxa"/>
            <w:tcBorders>
              <w:top w:val="single" w:sz="4" w:space="0" w:color="000000"/>
              <w:left w:val="single" w:sz="4" w:space="0" w:color="000000"/>
              <w:bottom w:val="single" w:sz="4" w:space="0" w:color="000000"/>
              <w:right w:val="single" w:sz="4" w:space="0" w:color="000000"/>
            </w:tcBorders>
          </w:tcPr>
          <w:p w14:paraId="1B0E1EA3" w14:textId="77777777" w:rsidR="008B5F96" w:rsidRPr="008B5F96" w:rsidRDefault="008B5F96" w:rsidP="008B5F96">
            <w:pPr>
              <w:jc w:val="both"/>
              <w:rPr>
                <w:sz w:val="22"/>
                <w:szCs w:val="22"/>
                <w:lang w:val="es-CR"/>
              </w:rPr>
            </w:pPr>
            <w:r w:rsidRPr="008B5F96">
              <w:rPr>
                <w:sz w:val="22"/>
                <w:szCs w:val="22"/>
                <w:lang w:val="es-CR"/>
              </w:rPr>
              <w:t>Créditos pendientes de desembolsar</w:t>
            </w:r>
          </w:p>
        </w:tc>
      </w:tr>
    </w:tbl>
    <w:p w14:paraId="0640AA3F" w14:textId="77777777" w:rsidR="008B5F96" w:rsidRPr="008B5F96" w:rsidRDefault="008B5F96" w:rsidP="008B5F96">
      <w:pPr>
        <w:jc w:val="both"/>
        <w:rPr>
          <w:sz w:val="22"/>
          <w:szCs w:val="22"/>
          <w:lang w:val="es-CR"/>
        </w:rPr>
      </w:pPr>
    </w:p>
    <w:p w14:paraId="35164E5E" w14:textId="77777777" w:rsidR="008B5F96" w:rsidRPr="008B5F96" w:rsidRDefault="008B5F96" w:rsidP="008B5F96">
      <w:pPr>
        <w:jc w:val="both"/>
        <w:rPr>
          <w:b/>
          <w:bCs/>
          <w:sz w:val="22"/>
          <w:szCs w:val="22"/>
          <w:lang w:val="es-CR"/>
        </w:rPr>
      </w:pPr>
      <w:r w:rsidRPr="008B5F96">
        <w:rPr>
          <w:b/>
          <w:bCs/>
          <w:sz w:val="22"/>
          <w:szCs w:val="22"/>
          <w:lang w:val="es-CR"/>
        </w:rPr>
        <w:t>Productos y cuentas por cobrar asociados a operaciones crediticias</w:t>
      </w:r>
    </w:p>
    <w:p w14:paraId="33C9391A" w14:textId="77777777" w:rsidR="008B5F96" w:rsidRPr="008B5F96" w:rsidRDefault="008B5F96" w:rsidP="008B5F96">
      <w:pPr>
        <w:jc w:val="both"/>
        <w:rPr>
          <w:sz w:val="22"/>
          <w:szCs w:val="22"/>
          <w:lang w:val="es-CR"/>
        </w:rPr>
      </w:pPr>
    </w:p>
    <w:p w14:paraId="49A062D3" w14:textId="77777777" w:rsidR="008B5F96" w:rsidRPr="008B5F96" w:rsidRDefault="008B5F96" w:rsidP="008B5F96">
      <w:pPr>
        <w:jc w:val="both"/>
        <w:rPr>
          <w:sz w:val="22"/>
          <w:szCs w:val="22"/>
          <w:lang w:val="es-CR"/>
        </w:rPr>
      </w:pPr>
      <w:r w:rsidRPr="008B5F96">
        <w:rPr>
          <w:sz w:val="22"/>
          <w:szCs w:val="22"/>
          <w:lang w:val="es-CR"/>
        </w:rPr>
        <w:t>Los productos y cuentas por cobrar asociados a operaciones crediticias se registran por su naturaleza en las siguientes cuentas y subcuentas conforme la codificación del anexo 1 de Reglamento de Información Financiera:</w:t>
      </w:r>
    </w:p>
    <w:p w14:paraId="28FC2453" w14:textId="77777777" w:rsidR="008B5F96" w:rsidRPr="008B5F96" w:rsidRDefault="008B5F96" w:rsidP="008B5F96">
      <w:pPr>
        <w:jc w:val="both"/>
        <w:rPr>
          <w:sz w:val="22"/>
          <w:szCs w:val="22"/>
          <w:lang w:val="es-CR"/>
        </w:rPr>
      </w:pPr>
    </w:p>
    <w:tbl>
      <w:tblPr>
        <w:tblW w:w="8515" w:type="dxa"/>
        <w:jc w:val="center"/>
        <w:tblCellMar>
          <w:left w:w="70" w:type="dxa"/>
          <w:right w:w="115" w:type="dxa"/>
        </w:tblCellMar>
        <w:tblLook w:val="04A0" w:firstRow="1" w:lastRow="0" w:firstColumn="1" w:lastColumn="0" w:noHBand="0" w:noVBand="1"/>
      </w:tblPr>
      <w:tblGrid>
        <w:gridCol w:w="1461"/>
        <w:gridCol w:w="7054"/>
      </w:tblGrid>
      <w:tr w:rsidR="008B5F96" w:rsidRPr="008B5F96" w14:paraId="48589865" w14:textId="77777777" w:rsidTr="00FB5A1A">
        <w:trPr>
          <w:trHeight w:val="54"/>
          <w:jc w:val="center"/>
        </w:trPr>
        <w:tc>
          <w:tcPr>
            <w:tcW w:w="1461" w:type="dxa"/>
            <w:tcBorders>
              <w:top w:val="single" w:sz="8" w:space="0" w:color="000000"/>
              <w:left w:val="single" w:sz="8" w:space="0" w:color="000000"/>
              <w:bottom w:val="single" w:sz="4" w:space="0" w:color="000000"/>
              <w:right w:val="single" w:sz="4" w:space="0" w:color="000000"/>
            </w:tcBorders>
          </w:tcPr>
          <w:p w14:paraId="6C0A5EAA" w14:textId="77777777" w:rsidR="008B5F96" w:rsidRPr="008B5F96" w:rsidRDefault="008B5F96" w:rsidP="008B5F96">
            <w:pPr>
              <w:rPr>
                <w:sz w:val="22"/>
                <w:szCs w:val="22"/>
                <w:lang w:val="es-CR"/>
              </w:rPr>
            </w:pPr>
            <w:r w:rsidRPr="008B5F96">
              <w:rPr>
                <w:b/>
                <w:bCs/>
                <w:sz w:val="22"/>
                <w:szCs w:val="22"/>
                <w:lang w:val="es-CR"/>
              </w:rPr>
              <w:t>Cuenta</w:t>
            </w:r>
          </w:p>
        </w:tc>
        <w:tc>
          <w:tcPr>
            <w:tcW w:w="7054" w:type="dxa"/>
            <w:tcBorders>
              <w:top w:val="single" w:sz="8" w:space="0" w:color="000000"/>
              <w:left w:val="single" w:sz="4" w:space="0" w:color="000000"/>
              <w:bottom w:val="single" w:sz="4" w:space="0" w:color="000000"/>
              <w:right w:val="single" w:sz="8" w:space="0" w:color="000000"/>
            </w:tcBorders>
          </w:tcPr>
          <w:p w14:paraId="64DE89C8" w14:textId="77777777" w:rsidR="008B5F96" w:rsidRPr="008B5F96" w:rsidRDefault="008B5F96" w:rsidP="008B5F96">
            <w:pPr>
              <w:rPr>
                <w:sz w:val="22"/>
                <w:szCs w:val="22"/>
                <w:lang w:val="es-CR"/>
              </w:rPr>
            </w:pPr>
            <w:r w:rsidRPr="008B5F96">
              <w:rPr>
                <w:b/>
                <w:bCs/>
                <w:sz w:val="22"/>
                <w:szCs w:val="22"/>
                <w:lang w:val="es-CR"/>
              </w:rPr>
              <w:t>Descripción</w:t>
            </w:r>
          </w:p>
        </w:tc>
      </w:tr>
      <w:tr w:rsidR="008B5F96" w:rsidRPr="008B5F96" w14:paraId="6F842B83" w14:textId="77777777" w:rsidTr="00FB5A1A">
        <w:trPr>
          <w:trHeight w:val="54"/>
          <w:jc w:val="center"/>
        </w:trPr>
        <w:tc>
          <w:tcPr>
            <w:tcW w:w="1461" w:type="dxa"/>
            <w:tcBorders>
              <w:top w:val="single" w:sz="8" w:space="0" w:color="000000"/>
              <w:left w:val="single" w:sz="8" w:space="0" w:color="000000"/>
              <w:bottom w:val="single" w:sz="4" w:space="0" w:color="000000"/>
              <w:right w:val="single" w:sz="4" w:space="0" w:color="000000"/>
            </w:tcBorders>
          </w:tcPr>
          <w:p w14:paraId="09DB3343" w14:textId="77777777" w:rsidR="008B5F96" w:rsidRPr="008B5F96" w:rsidRDefault="008B5F96" w:rsidP="008B5F96">
            <w:pPr>
              <w:jc w:val="both"/>
              <w:rPr>
                <w:sz w:val="22"/>
                <w:szCs w:val="22"/>
                <w:lang w:val="es-CR"/>
              </w:rPr>
            </w:pPr>
            <w:r w:rsidRPr="008B5F96">
              <w:rPr>
                <w:sz w:val="22"/>
                <w:szCs w:val="22"/>
                <w:lang w:val="es-CR"/>
              </w:rPr>
              <w:t xml:space="preserve">138 </w:t>
            </w:r>
          </w:p>
        </w:tc>
        <w:tc>
          <w:tcPr>
            <w:tcW w:w="7054" w:type="dxa"/>
            <w:tcBorders>
              <w:top w:val="single" w:sz="8" w:space="0" w:color="000000"/>
              <w:left w:val="single" w:sz="4" w:space="0" w:color="000000"/>
              <w:bottom w:val="single" w:sz="4" w:space="0" w:color="000000"/>
              <w:right w:val="single" w:sz="8" w:space="0" w:color="000000"/>
            </w:tcBorders>
          </w:tcPr>
          <w:p w14:paraId="394A3947" w14:textId="77777777" w:rsidR="008B5F96" w:rsidRPr="008B5F96" w:rsidRDefault="008B5F96" w:rsidP="008B5F96">
            <w:pPr>
              <w:jc w:val="both"/>
              <w:rPr>
                <w:sz w:val="22"/>
                <w:szCs w:val="22"/>
                <w:lang w:val="es-CR"/>
              </w:rPr>
            </w:pPr>
            <w:r w:rsidRPr="008B5F96">
              <w:rPr>
                <w:sz w:val="22"/>
                <w:szCs w:val="22"/>
                <w:lang w:val="es-CR"/>
              </w:rPr>
              <w:t xml:space="preserve">Cuentas y productos por cobrar asociados a cartera de créditos  </w:t>
            </w:r>
          </w:p>
        </w:tc>
      </w:tr>
      <w:tr w:rsidR="008B5F96" w:rsidRPr="008B5F96" w14:paraId="6587E55F" w14:textId="77777777" w:rsidTr="00FB5A1A">
        <w:trPr>
          <w:trHeight w:val="64"/>
          <w:jc w:val="center"/>
        </w:trPr>
        <w:tc>
          <w:tcPr>
            <w:tcW w:w="1461" w:type="dxa"/>
            <w:tcBorders>
              <w:top w:val="single" w:sz="4" w:space="0" w:color="000000"/>
              <w:left w:val="single" w:sz="8" w:space="0" w:color="000000"/>
              <w:bottom w:val="single" w:sz="4" w:space="0" w:color="000000"/>
              <w:right w:val="single" w:sz="4" w:space="0" w:color="000000"/>
            </w:tcBorders>
          </w:tcPr>
          <w:p w14:paraId="3C862ECF" w14:textId="77777777" w:rsidR="008B5F96" w:rsidRPr="008B5F96" w:rsidRDefault="008B5F96" w:rsidP="008B5F96">
            <w:pPr>
              <w:jc w:val="both"/>
              <w:rPr>
                <w:sz w:val="22"/>
                <w:szCs w:val="22"/>
                <w:lang w:val="es-CR"/>
              </w:rPr>
            </w:pPr>
            <w:r w:rsidRPr="008B5F96">
              <w:rPr>
                <w:sz w:val="22"/>
                <w:szCs w:val="22"/>
                <w:lang w:val="es-CR"/>
              </w:rPr>
              <w:t xml:space="preserve">142.01 </w:t>
            </w:r>
          </w:p>
        </w:tc>
        <w:tc>
          <w:tcPr>
            <w:tcW w:w="7054" w:type="dxa"/>
            <w:tcBorders>
              <w:top w:val="single" w:sz="4" w:space="0" w:color="000000"/>
              <w:left w:val="single" w:sz="4" w:space="0" w:color="000000"/>
              <w:bottom w:val="single" w:sz="4" w:space="0" w:color="000000"/>
              <w:right w:val="single" w:sz="8" w:space="0" w:color="000000"/>
            </w:tcBorders>
          </w:tcPr>
          <w:p w14:paraId="02BE9C89" w14:textId="77777777" w:rsidR="008B5F96" w:rsidRPr="008B5F96" w:rsidRDefault="008B5F96" w:rsidP="008B5F96">
            <w:pPr>
              <w:jc w:val="both"/>
              <w:rPr>
                <w:sz w:val="22"/>
                <w:szCs w:val="22"/>
                <w:lang w:val="es-CR"/>
              </w:rPr>
            </w:pPr>
            <w:r w:rsidRPr="008B5F96">
              <w:rPr>
                <w:sz w:val="22"/>
                <w:szCs w:val="22"/>
                <w:lang w:val="es-CR"/>
              </w:rPr>
              <w:t xml:space="preserve">Comisiones por cobrar por créditos contingentes  </w:t>
            </w:r>
          </w:p>
        </w:tc>
      </w:tr>
    </w:tbl>
    <w:p w14:paraId="297750CC" w14:textId="77777777" w:rsidR="008B5F96" w:rsidRPr="008B5F96" w:rsidRDefault="008B5F96" w:rsidP="008B5F96">
      <w:pPr>
        <w:jc w:val="both"/>
        <w:rPr>
          <w:sz w:val="22"/>
          <w:szCs w:val="22"/>
          <w:lang w:val="es-CR"/>
        </w:rPr>
      </w:pPr>
    </w:p>
    <w:p w14:paraId="61636013" w14:textId="77777777" w:rsidR="008B5F96" w:rsidRPr="008B5F96" w:rsidRDefault="008B5F96" w:rsidP="008B5F96">
      <w:pPr>
        <w:spacing w:after="160" w:line="278" w:lineRule="auto"/>
        <w:rPr>
          <w:sz w:val="22"/>
          <w:szCs w:val="22"/>
          <w:lang w:val="es-CR"/>
        </w:rPr>
      </w:pPr>
      <w:r w:rsidRPr="008B5F96">
        <w:rPr>
          <w:sz w:val="22"/>
          <w:szCs w:val="22"/>
          <w:lang w:val="es-CR"/>
        </w:rPr>
        <w:br w:type="page"/>
      </w:r>
    </w:p>
    <w:p w14:paraId="3A6E6657" w14:textId="77777777" w:rsidR="008B5F96" w:rsidRPr="008B5F96" w:rsidRDefault="008B5F96" w:rsidP="008B5F96">
      <w:pPr>
        <w:jc w:val="center"/>
        <w:rPr>
          <w:b/>
          <w:bCs/>
          <w:sz w:val="22"/>
          <w:szCs w:val="22"/>
          <w:lang w:val="es-CR"/>
        </w:rPr>
      </w:pPr>
      <w:r w:rsidRPr="008B5F96">
        <w:rPr>
          <w:b/>
          <w:bCs/>
          <w:sz w:val="22"/>
          <w:szCs w:val="22"/>
          <w:lang w:val="es-CR"/>
        </w:rPr>
        <w:lastRenderedPageBreak/>
        <w:t>Anexo 2</w:t>
      </w:r>
    </w:p>
    <w:p w14:paraId="3858F3EB" w14:textId="77777777" w:rsidR="008B5F96" w:rsidRPr="008B5F96" w:rsidRDefault="008B5F96" w:rsidP="008B5F96">
      <w:pPr>
        <w:jc w:val="center"/>
        <w:rPr>
          <w:b/>
          <w:bCs/>
          <w:sz w:val="22"/>
          <w:szCs w:val="22"/>
          <w:lang w:val="es-CR"/>
        </w:rPr>
      </w:pPr>
      <w:r w:rsidRPr="008B5F96">
        <w:rPr>
          <w:b/>
          <w:bCs/>
          <w:sz w:val="22"/>
          <w:szCs w:val="22"/>
          <w:lang w:val="es-CR"/>
        </w:rPr>
        <w:t>Equivalencias de las calificaciones de las agencias calificadoras de riesgo internacionales</w:t>
      </w:r>
    </w:p>
    <w:p w14:paraId="47924FD1" w14:textId="77777777" w:rsidR="008B5F96" w:rsidRPr="008B5F96" w:rsidRDefault="008B5F96" w:rsidP="008B5F96">
      <w:pPr>
        <w:jc w:val="both"/>
        <w:rPr>
          <w:sz w:val="22"/>
          <w:szCs w:val="22"/>
          <w:lang w:val="es-CR"/>
        </w:rPr>
      </w:pPr>
    </w:p>
    <w:p w14:paraId="530CEFC6" w14:textId="77777777" w:rsidR="008B5F96" w:rsidRPr="008B5F96" w:rsidRDefault="008B5F96" w:rsidP="008B5F96">
      <w:pPr>
        <w:jc w:val="both"/>
        <w:rPr>
          <w:b/>
          <w:bCs/>
          <w:sz w:val="22"/>
          <w:szCs w:val="22"/>
          <w:lang w:val="es-CR"/>
        </w:rPr>
      </w:pPr>
      <w:r w:rsidRPr="008B5F96">
        <w:rPr>
          <w:b/>
          <w:bCs/>
          <w:sz w:val="22"/>
          <w:szCs w:val="22"/>
          <w:lang w:val="es-CR"/>
        </w:rPr>
        <w:t>Calificaciones de largo plazo:</w:t>
      </w:r>
    </w:p>
    <w:p w14:paraId="32575985" w14:textId="77777777" w:rsidR="008B5F96" w:rsidRPr="008B5F96" w:rsidRDefault="008B5F96" w:rsidP="008B5F96">
      <w:pPr>
        <w:jc w:val="both"/>
        <w:rPr>
          <w:sz w:val="22"/>
          <w:szCs w:val="22"/>
          <w:lang w:val="es-CR"/>
        </w:rPr>
      </w:pPr>
      <w:r w:rsidRPr="008B5F96">
        <w:rPr>
          <w:noProof/>
          <w:sz w:val="22"/>
          <w:szCs w:val="22"/>
          <w:lang w:val="es-CR"/>
        </w:rPr>
        <w:drawing>
          <wp:anchor distT="0" distB="0" distL="114300" distR="114300" simplePos="0" relativeHeight="251656192" behindDoc="1" locked="0" layoutInCell="1" allowOverlap="1" wp14:anchorId="7E5E5057" wp14:editId="2F23422E">
            <wp:simplePos x="0" y="0"/>
            <wp:positionH relativeFrom="page">
              <wp:posOffset>1625600</wp:posOffset>
            </wp:positionH>
            <wp:positionV relativeFrom="paragraph">
              <wp:posOffset>86360</wp:posOffset>
            </wp:positionV>
            <wp:extent cx="4368800" cy="2990850"/>
            <wp:effectExtent l="0" t="0" r="0" b="0"/>
            <wp:wrapTight wrapText="bothSides">
              <wp:wrapPolygon edited="0">
                <wp:start x="0" y="0"/>
                <wp:lineTo x="0" y="21462"/>
                <wp:lineTo x="21474" y="21462"/>
                <wp:lineTo x="21474" y="0"/>
                <wp:lineTo x="0" y="0"/>
              </wp:wrapPolygon>
            </wp:wrapTight>
            <wp:docPr id="1717167108" name="Imagen 1717167108"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8800" cy="299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120DF2" w14:textId="77777777" w:rsidR="008B5F96" w:rsidRPr="008B5F96" w:rsidRDefault="008B5F96" w:rsidP="008B5F96">
      <w:pPr>
        <w:jc w:val="both"/>
        <w:rPr>
          <w:sz w:val="22"/>
          <w:szCs w:val="22"/>
          <w:lang w:val="es-CR"/>
        </w:rPr>
      </w:pPr>
    </w:p>
    <w:p w14:paraId="3BADD375" w14:textId="77777777" w:rsidR="008B5F96" w:rsidRPr="008B5F96" w:rsidRDefault="008B5F96" w:rsidP="008B5F96">
      <w:pPr>
        <w:jc w:val="both"/>
        <w:rPr>
          <w:sz w:val="22"/>
          <w:szCs w:val="22"/>
          <w:lang w:val="es-CR"/>
        </w:rPr>
      </w:pPr>
    </w:p>
    <w:p w14:paraId="1696017A" w14:textId="77777777" w:rsidR="008B5F96" w:rsidRPr="008B5F96" w:rsidRDefault="008B5F96" w:rsidP="008B5F96">
      <w:pPr>
        <w:jc w:val="both"/>
        <w:rPr>
          <w:sz w:val="22"/>
          <w:szCs w:val="22"/>
          <w:lang w:val="es-CR"/>
        </w:rPr>
      </w:pPr>
    </w:p>
    <w:p w14:paraId="13C37439" w14:textId="77777777" w:rsidR="008B5F96" w:rsidRPr="008B5F96" w:rsidRDefault="008B5F96" w:rsidP="008B5F96">
      <w:pPr>
        <w:jc w:val="both"/>
        <w:rPr>
          <w:sz w:val="22"/>
          <w:szCs w:val="22"/>
          <w:lang w:val="es-CR"/>
        </w:rPr>
      </w:pPr>
    </w:p>
    <w:p w14:paraId="4C4E6C73" w14:textId="77777777" w:rsidR="008B5F96" w:rsidRPr="008B5F96" w:rsidRDefault="008B5F96" w:rsidP="008B5F96">
      <w:pPr>
        <w:jc w:val="both"/>
        <w:rPr>
          <w:sz w:val="22"/>
          <w:szCs w:val="22"/>
          <w:lang w:val="es-CR"/>
        </w:rPr>
      </w:pPr>
    </w:p>
    <w:p w14:paraId="77A34506" w14:textId="77777777" w:rsidR="008B5F96" w:rsidRPr="008B5F96" w:rsidRDefault="008B5F96" w:rsidP="008B5F96">
      <w:pPr>
        <w:jc w:val="both"/>
        <w:rPr>
          <w:sz w:val="22"/>
          <w:szCs w:val="22"/>
          <w:lang w:val="es-CR"/>
        </w:rPr>
      </w:pPr>
    </w:p>
    <w:p w14:paraId="4D9C01CC" w14:textId="77777777" w:rsidR="008B5F96" w:rsidRPr="008B5F96" w:rsidRDefault="008B5F96" w:rsidP="008B5F96">
      <w:pPr>
        <w:jc w:val="both"/>
        <w:rPr>
          <w:sz w:val="22"/>
          <w:szCs w:val="22"/>
          <w:lang w:val="es-CR"/>
        </w:rPr>
      </w:pPr>
    </w:p>
    <w:p w14:paraId="74FDCA72" w14:textId="77777777" w:rsidR="008B5F96" w:rsidRPr="008B5F96" w:rsidRDefault="008B5F96" w:rsidP="008B5F96">
      <w:pPr>
        <w:jc w:val="both"/>
        <w:rPr>
          <w:sz w:val="22"/>
          <w:szCs w:val="22"/>
          <w:lang w:val="es-CR"/>
        </w:rPr>
      </w:pPr>
    </w:p>
    <w:p w14:paraId="474C615D" w14:textId="77777777" w:rsidR="008B5F96" w:rsidRPr="008B5F96" w:rsidRDefault="008B5F96" w:rsidP="008B5F96">
      <w:pPr>
        <w:jc w:val="both"/>
        <w:rPr>
          <w:sz w:val="22"/>
          <w:szCs w:val="22"/>
          <w:lang w:val="es-CR"/>
        </w:rPr>
      </w:pPr>
    </w:p>
    <w:p w14:paraId="584000A1" w14:textId="77777777" w:rsidR="008B5F96" w:rsidRPr="008B5F96" w:rsidRDefault="008B5F96" w:rsidP="008B5F96">
      <w:pPr>
        <w:jc w:val="both"/>
        <w:rPr>
          <w:sz w:val="22"/>
          <w:szCs w:val="22"/>
          <w:lang w:val="es-CR"/>
        </w:rPr>
      </w:pPr>
    </w:p>
    <w:p w14:paraId="2A650425" w14:textId="77777777" w:rsidR="008B5F96" w:rsidRPr="008B5F96" w:rsidRDefault="008B5F96" w:rsidP="008B5F96">
      <w:pPr>
        <w:jc w:val="both"/>
        <w:rPr>
          <w:sz w:val="22"/>
          <w:szCs w:val="22"/>
          <w:lang w:val="es-CR"/>
        </w:rPr>
      </w:pPr>
    </w:p>
    <w:p w14:paraId="005CC940" w14:textId="77777777" w:rsidR="008B5F96" w:rsidRPr="008B5F96" w:rsidRDefault="008B5F96" w:rsidP="008B5F96">
      <w:pPr>
        <w:jc w:val="both"/>
        <w:rPr>
          <w:sz w:val="22"/>
          <w:szCs w:val="22"/>
          <w:lang w:val="es-CR"/>
        </w:rPr>
      </w:pPr>
    </w:p>
    <w:p w14:paraId="02A14C82" w14:textId="77777777" w:rsidR="008B5F96" w:rsidRPr="008B5F96" w:rsidRDefault="008B5F96" w:rsidP="008B5F96">
      <w:pPr>
        <w:jc w:val="both"/>
        <w:rPr>
          <w:sz w:val="22"/>
          <w:szCs w:val="22"/>
          <w:lang w:val="es-CR"/>
        </w:rPr>
      </w:pPr>
    </w:p>
    <w:p w14:paraId="0100C9CF" w14:textId="77777777" w:rsidR="008B5F96" w:rsidRPr="008B5F96" w:rsidRDefault="008B5F96" w:rsidP="008B5F96">
      <w:pPr>
        <w:jc w:val="both"/>
        <w:rPr>
          <w:sz w:val="22"/>
          <w:szCs w:val="22"/>
          <w:lang w:val="es-CR"/>
        </w:rPr>
      </w:pPr>
    </w:p>
    <w:p w14:paraId="164ABCFE" w14:textId="77777777" w:rsidR="008B5F96" w:rsidRPr="008B5F96" w:rsidRDefault="008B5F96" w:rsidP="008B5F96">
      <w:pPr>
        <w:jc w:val="both"/>
        <w:rPr>
          <w:sz w:val="22"/>
          <w:szCs w:val="22"/>
          <w:lang w:val="es-CR"/>
        </w:rPr>
      </w:pPr>
    </w:p>
    <w:p w14:paraId="4C4115B4" w14:textId="77777777" w:rsidR="008B5F96" w:rsidRPr="008B5F96" w:rsidRDefault="008B5F96" w:rsidP="008B5F96">
      <w:pPr>
        <w:jc w:val="both"/>
        <w:rPr>
          <w:sz w:val="22"/>
          <w:szCs w:val="22"/>
          <w:lang w:val="es-CR"/>
        </w:rPr>
      </w:pPr>
    </w:p>
    <w:p w14:paraId="77EA84A3" w14:textId="77777777" w:rsidR="008B5F96" w:rsidRPr="008B5F96" w:rsidRDefault="008B5F96" w:rsidP="008B5F96">
      <w:pPr>
        <w:jc w:val="both"/>
        <w:rPr>
          <w:sz w:val="22"/>
          <w:szCs w:val="22"/>
          <w:lang w:val="es-CR"/>
        </w:rPr>
      </w:pPr>
    </w:p>
    <w:p w14:paraId="7AEF50C8" w14:textId="77777777" w:rsidR="008B5F96" w:rsidRPr="008B5F96" w:rsidRDefault="008B5F96" w:rsidP="008B5F96">
      <w:pPr>
        <w:jc w:val="both"/>
        <w:rPr>
          <w:sz w:val="22"/>
          <w:szCs w:val="22"/>
          <w:lang w:val="es-CR"/>
        </w:rPr>
      </w:pPr>
    </w:p>
    <w:p w14:paraId="2F879D41" w14:textId="77777777" w:rsidR="005A3F9E" w:rsidRDefault="005A3F9E" w:rsidP="008B5F96">
      <w:pPr>
        <w:jc w:val="both"/>
        <w:rPr>
          <w:b/>
          <w:bCs/>
          <w:sz w:val="22"/>
          <w:szCs w:val="22"/>
          <w:lang w:val="es-CR"/>
        </w:rPr>
      </w:pPr>
    </w:p>
    <w:p w14:paraId="1B7CDB68" w14:textId="4751FDEF" w:rsidR="008B5F96" w:rsidRPr="008B5F96" w:rsidRDefault="008B5F96" w:rsidP="008B5F96">
      <w:pPr>
        <w:jc w:val="both"/>
        <w:rPr>
          <w:b/>
          <w:bCs/>
          <w:sz w:val="22"/>
          <w:szCs w:val="22"/>
          <w:lang w:val="es-CR"/>
        </w:rPr>
      </w:pPr>
      <w:r w:rsidRPr="008B5F96">
        <w:rPr>
          <w:b/>
          <w:bCs/>
          <w:sz w:val="22"/>
          <w:szCs w:val="22"/>
          <w:lang w:val="es-CR"/>
        </w:rPr>
        <w:t xml:space="preserve">Calificaciones de corto plazo: </w:t>
      </w:r>
    </w:p>
    <w:p w14:paraId="1FF9F3D5" w14:textId="6FD785CD" w:rsidR="008B5F96" w:rsidRPr="008B5F96" w:rsidRDefault="005A3F9E" w:rsidP="008B5F96">
      <w:pPr>
        <w:jc w:val="both"/>
        <w:rPr>
          <w:sz w:val="22"/>
          <w:szCs w:val="22"/>
          <w:lang w:val="es-CR"/>
        </w:rPr>
      </w:pPr>
      <w:r w:rsidRPr="008B5F96">
        <w:rPr>
          <w:noProof/>
          <w:sz w:val="22"/>
          <w:szCs w:val="22"/>
          <w:lang w:val="es-CR"/>
        </w:rPr>
        <w:drawing>
          <wp:anchor distT="0" distB="0" distL="114300" distR="114300" simplePos="0" relativeHeight="251659264" behindDoc="1" locked="0" layoutInCell="1" allowOverlap="1" wp14:anchorId="581CE280" wp14:editId="584AA316">
            <wp:simplePos x="0" y="0"/>
            <wp:positionH relativeFrom="margin">
              <wp:posOffset>520065</wp:posOffset>
            </wp:positionH>
            <wp:positionV relativeFrom="paragraph">
              <wp:posOffset>161290</wp:posOffset>
            </wp:positionV>
            <wp:extent cx="4476750" cy="1460500"/>
            <wp:effectExtent l="0" t="0" r="0" b="6350"/>
            <wp:wrapThrough wrapText="bothSides">
              <wp:wrapPolygon edited="0">
                <wp:start x="0" y="0"/>
                <wp:lineTo x="0" y="21412"/>
                <wp:lineTo x="21508" y="21412"/>
                <wp:lineTo x="21508" y="0"/>
                <wp:lineTo x="0" y="0"/>
              </wp:wrapPolygon>
            </wp:wrapThrough>
            <wp:docPr id="362479175" name="Imagen 362479175"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6750" cy="1460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BFE0E" w14:textId="5722DF25" w:rsidR="008B5F96" w:rsidRPr="008B5F96" w:rsidRDefault="008B5F96" w:rsidP="008B5F96">
      <w:pPr>
        <w:jc w:val="both"/>
        <w:rPr>
          <w:sz w:val="22"/>
          <w:szCs w:val="22"/>
          <w:lang w:val="es-CR"/>
        </w:rPr>
      </w:pPr>
    </w:p>
    <w:p w14:paraId="0E1E4A76" w14:textId="77777777" w:rsidR="008B5F96" w:rsidRPr="008B5F96" w:rsidRDefault="008B5F96" w:rsidP="008B5F96">
      <w:pPr>
        <w:jc w:val="both"/>
        <w:rPr>
          <w:sz w:val="22"/>
          <w:szCs w:val="22"/>
          <w:lang w:val="es-CR"/>
        </w:rPr>
      </w:pPr>
    </w:p>
    <w:p w14:paraId="3B1B4F82" w14:textId="77777777" w:rsidR="008B5F96" w:rsidRPr="008B5F96" w:rsidRDefault="008B5F96" w:rsidP="008B5F96">
      <w:pPr>
        <w:jc w:val="both"/>
        <w:rPr>
          <w:sz w:val="22"/>
          <w:szCs w:val="22"/>
          <w:lang w:val="es-CR"/>
        </w:rPr>
      </w:pPr>
    </w:p>
    <w:p w14:paraId="21C60260" w14:textId="77777777" w:rsidR="008B5F96" w:rsidRPr="008B5F96" w:rsidRDefault="008B5F96" w:rsidP="008B5F96">
      <w:pPr>
        <w:jc w:val="both"/>
        <w:rPr>
          <w:sz w:val="22"/>
          <w:szCs w:val="22"/>
          <w:lang w:val="es-CR"/>
        </w:rPr>
      </w:pPr>
    </w:p>
    <w:p w14:paraId="4455CFAD" w14:textId="77777777" w:rsidR="008B5F96" w:rsidRPr="008B5F96" w:rsidRDefault="008B5F96" w:rsidP="008B5F96">
      <w:pPr>
        <w:jc w:val="both"/>
        <w:rPr>
          <w:sz w:val="22"/>
          <w:szCs w:val="22"/>
          <w:lang w:val="es-CR"/>
        </w:rPr>
      </w:pPr>
    </w:p>
    <w:p w14:paraId="2B0CFF88" w14:textId="77777777" w:rsidR="008B5F96" w:rsidRPr="008B5F96" w:rsidRDefault="008B5F96" w:rsidP="008B5F96">
      <w:pPr>
        <w:jc w:val="both"/>
        <w:rPr>
          <w:sz w:val="22"/>
          <w:szCs w:val="22"/>
          <w:lang w:val="es-CR"/>
        </w:rPr>
      </w:pPr>
    </w:p>
    <w:p w14:paraId="2CB3DC86" w14:textId="77777777" w:rsidR="008B5F96" w:rsidRPr="008B5F96" w:rsidRDefault="008B5F96" w:rsidP="008B5F96">
      <w:pPr>
        <w:jc w:val="both"/>
        <w:rPr>
          <w:sz w:val="22"/>
          <w:szCs w:val="22"/>
          <w:lang w:val="es-CR"/>
        </w:rPr>
      </w:pPr>
    </w:p>
    <w:p w14:paraId="0B1FCB89" w14:textId="77777777" w:rsidR="008B5F96" w:rsidRPr="008B5F96" w:rsidRDefault="008B5F96" w:rsidP="008B5F96">
      <w:pPr>
        <w:jc w:val="both"/>
        <w:rPr>
          <w:sz w:val="22"/>
          <w:szCs w:val="22"/>
          <w:lang w:val="es-CR"/>
        </w:rPr>
      </w:pPr>
    </w:p>
    <w:p w14:paraId="5DD00BDA" w14:textId="77777777" w:rsidR="008B5F96" w:rsidRPr="008B5F96" w:rsidRDefault="008B5F96" w:rsidP="008B5F96">
      <w:pPr>
        <w:jc w:val="both"/>
        <w:rPr>
          <w:sz w:val="22"/>
          <w:szCs w:val="22"/>
          <w:lang w:val="es-CR"/>
        </w:rPr>
      </w:pPr>
    </w:p>
    <w:p w14:paraId="1163962C" w14:textId="77777777" w:rsidR="008B5F96" w:rsidRPr="008B5F96" w:rsidRDefault="008B5F96" w:rsidP="008B5F96">
      <w:pPr>
        <w:jc w:val="both"/>
        <w:rPr>
          <w:sz w:val="22"/>
          <w:szCs w:val="22"/>
          <w:lang w:val="es-CR"/>
        </w:rPr>
      </w:pPr>
    </w:p>
    <w:p w14:paraId="49D4A8D8" w14:textId="77777777" w:rsidR="008B5F96" w:rsidRPr="008B5F96" w:rsidRDefault="008B5F96" w:rsidP="008B5F96">
      <w:pPr>
        <w:jc w:val="both"/>
        <w:rPr>
          <w:sz w:val="22"/>
          <w:szCs w:val="22"/>
          <w:lang w:val="es-CR"/>
        </w:rPr>
      </w:pPr>
      <w:r w:rsidRPr="008B5F96">
        <w:rPr>
          <w:b/>
          <w:bCs/>
          <w:sz w:val="22"/>
          <w:szCs w:val="22"/>
          <w:lang w:val="es-CR"/>
        </w:rPr>
        <w:t>Rige a partir del 1° de enero de 2028.”</w:t>
      </w:r>
    </w:p>
    <w:p w14:paraId="1C04FDA7" w14:textId="77777777" w:rsidR="00A632A5" w:rsidRPr="008B5F96" w:rsidRDefault="00A632A5" w:rsidP="003308B2">
      <w:pPr>
        <w:widowControl w:val="0"/>
        <w:jc w:val="both"/>
        <w:rPr>
          <w:sz w:val="24"/>
          <w:szCs w:val="24"/>
          <w:lang w:val="es-CR"/>
        </w:rPr>
      </w:pPr>
    </w:p>
    <w:p w14:paraId="1E29C7B2" w14:textId="4C5E45B7" w:rsidR="00A36D16" w:rsidRPr="001F668A" w:rsidRDefault="00A36D16" w:rsidP="003308B2">
      <w:pPr>
        <w:widowControl w:val="0"/>
        <w:jc w:val="both"/>
        <w:rPr>
          <w:sz w:val="24"/>
          <w:szCs w:val="24"/>
        </w:rPr>
      </w:pPr>
      <w:r w:rsidRPr="001F668A">
        <w:rPr>
          <w:sz w:val="24"/>
          <w:szCs w:val="24"/>
        </w:rPr>
        <w:t>Atentamente,</w:t>
      </w:r>
    </w:p>
    <w:p w14:paraId="19102069" w14:textId="4FDB593D" w:rsidR="00377F7C" w:rsidRPr="001F668A" w:rsidRDefault="00967C7B" w:rsidP="00C675C7">
      <w:pPr>
        <w:widowControl w:val="0"/>
        <w:jc w:val="both"/>
        <w:rPr>
          <w:sz w:val="24"/>
          <w:szCs w:val="24"/>
        </w:rPr>
      </w:pPr>
      <w:r w:rsidRPr="001F668A">
        <w:rPr>
          <w:noProof/>
          <w:sz w:val="24"/>
          <w:szCs w:val="24"/>
        </w:rPr>
        <w:drawing>
          <wp:anchor distT="0" distB="0" distL="114300" distR="114300" simplePos="0" relativeHeight="251658240" behindDoc="1" locked="0" layoutInCell="1" allowOverlap="0" wp14:anchorId="444BC151" wp14:editId="3FE5839D">
            <wp:simplePos x="0" y="0"/>
            <wp:positionH relativeFrom="column">
              <wp:posOffset>5715</wp:posOffset>
            </wp:positionH>
            <wp:positionV relativeFrom="paragraph">
              <wp:posOffset>26670</wp:posOffset>
            </wp:positionV>
            <wp:extent cx="2078355" cy="36195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l="5118"/>
                    <a:stretch>
                      <a:fillRect/>
                    </a:stretch>
                  </pic:blipFill>
                  <pic:spPr bwMode="auto">
                    <a:xfrm>
                      <a:off x="0" y="0"/>
                      <a:ext cx="20783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1AE2C" w14:textId="1FD8810B" w:rsidR="009E3ED9" w:rsidRPr="001F668A" w:rsidRDefault="009E3ED9" w:rsidP="00C675C7">
      <w:pPr>
        <w:widowControl w:val="0"/>
        <w:jc w:val="both"/>
        <w:rPr>
          <w:sz w:val="24"/>
          <w:szCs w:val="24"/>
        </w:rPr>
      </w:pPr>
    </w:p>
    <w:p w14:paraId="2C5C601F" w14:textId="77777777" w:rsidR="00967C7B" w:rsidRDefault="00967C7B" w:rsidP="00C675C7">
      <w:pPr>
        <w:widowControl w:val="0"/>
        <w:jc w:val="both"/>
        <w:rPr>
          <w:sz w:val="24"/>
          <w:szCs w:val="24"/>
        </w:rPr>
      </w:pPr>
    </w:p>
    <w:p w14:paraId="5FD3E916" w14:textId="57928DF2" w:rsidR="00C675C7" w:rsidRPr="001F668A" w:rsidRDefault="001D21E7" w:rsidP="00C675C7">
      <w:pPr>
        <w:widowControl w:val="0"/>
        <w:jc w:val="both"/>
        <w:rPr>
          <w:sz w:val="24"/>
          <w:szCs w:val="24"/>
        </w:rPr>
      </w:pPr>
      <w:r w:rsidRPr="001F668A">
        <w:rPr>
          <w:sz w:val="24"/>
          <w:szCs w:val="24"/>
        </w:rPr>
        <w:t>Celia Alpízar Paniagua</w:t>
      </w:r>
    </w:p>
    <w:p w14:paraId="3FE91BA6" w14:textId="40D99399" w:rsidR="0083363C" w:rsidRPr="001F668A" w:rsidRDefault="00C675C7" w:rsidP="00042B5B">
      <w:pPr>
        <w:widowControl w:val="0"/>
        <w:rPr>
          <w:sz w:val="24"/>
          <w:szCs w:val="24"/>
        </w:rPr>
      </w:pPr>
      <w:r w:rsidRPr="001F668A">
        <w:rPr>
          <w:b/>
          <w:i/>
          <w:sz w:val="24"/>
          <w:szCs w:val="24"/>
        </w:rPr>
        <w:t>Secretari</w:t>
      </w:r>
      <w:r w:rsidR="00DB478B" w:rsidRPr="001F668A">
        <w:rPr>
          <w:b/>
          <w:i/>
          <w:sz w:val="24"/>
          <w:szCs w:val="24"/>
        </w:rPr>
        <w:t>a interina</w:t>
      </w:r>
      <w:r w:rsidR="004339AB" w:rsidRPr="001F668A">
        <w:rPr>
          <w:b/>
          <w:i/>
          <w:sz w:val="24"/>
          <w:szCs w:val="24"/>
        </w:rPr>
        <w:t xml:space="preserve"> </w:t>
      </w:r>
      <w:r w:rsidRPr="001F668A">
        <w:rPr>
          <w:b/>
          <w:i/>
          <w:sz w:val="24"/>
          <w:szCs w:val="24"/>
        </w:rPr>
        <w:t>del Consejo</w:t>
      </w:r>
    </w:p>
    <w:sectPr w:rsidR="0083363C" w:rsidRPr="001F668A" w:rsidSect="001D0382">
      <w:headerReference w:type="even" r:id="rId15"/>
      <w:headerReference w:type="default" r:id="rId16"/>
      <w:footerReference w:type="even" r:id="rId17"/>
      <w:footerReference w:type="default" r:id="rId18"/>
      <w:headerReference w:type="first" r:id="rId19"/>
      <w:footerReference w:type="first" r:id="rId20"/>
      <w:pgSz w:w="12240" w:h="15840"/>
      <w:pgMar w:top="1812"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7248D" w14:textId="77777777" w:rsidR="009261D8" w:rsidRDefault="009261D8" w:rsidP="00290A93">
      <w:r>
        <w:separator/>
      </w:r>
    </w:p>
  </w:endnote>
  <w:endnote w:type="continuationSeparator" w:id="0">
    <w:p w14:paraId="26471A65" w14:textId="77777777" w:rsidR="009261D8" w:rsidRDefault="009261D8" w:rsidP="00290A93">
      <w:r>
        <w:continuationSeparator/>
      </w:r>
    </w:p>
  </w:endnote>
  <w:endnote w:type="continuationNotice" w:id="1">
    <w:p w14:paraId="09217DFA" w14:textId="77777777" w:rsidR="009261D8" w:rsidRDefault="009261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ronet">
    <w:altName w:val="Calibri"/>
    <w:charset w:val="00"/>
    <w:family w:val="script"/>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R-01T">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panose1 w:val="00000000000000000000"/>
    <w:charset w:val="FF"/>
    <w:family w:val="roman"/>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NimrodRegular">
    <w:altName w:val="Times New Roman"/>
    <w:charset w:val="00"/>
    <w:family w:val="auto"/>
    <w:pitch w:val="default"/>
    <w:sig w:usb0="00000003" w:usb1="00000000" w:usb2="00000000" w:usb3="00000000" w:csb0="00000001" w:csb1="00000000"/>
  </w:font>
  <w:font w:name="Mangal">
    <w:panose1 w:val="00000400000000000000"/>
    <w:charset w:val="01"/>
    <w:family w:val="roman"/>
    <w:pitch w:val="variable"/>
    <w:sig w:usb0="0000A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FUIText-Regular">
    <w:altName w:val="Times New Roman"/>
    <w:charset w:val="00"/>
    <w:family w:val="auto"/>
    <w:pitch w:val="default"/>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Switzerland">
    <w:altName w:val="Courier New"/>
    <w:charset w:val="00"/>
    <w:family w:val="swiss"/>
    <w:pitch w:val="variable"/>
    <w:sig w:usb0="00000003" w:usb1="00000000" w:usb2="00000000" w:usb3="00000000" w:csb0="00000001" w:csb1="00000000"/>
  </w:font>
  <w:font w:name="Ottawa">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249E" w14:textId="77777777" w:rsidR="00D00861" w:rsidRDefault="00D008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049" w14:textId="05EB1B73" w:rsidR="001D0382" w:rsidRDefault="009040CE">
    <w:pPr>
      <w:pStyle w:val="Piedepgina"/>
      <w:jc w:val="right"/>
    </w:pPr>
    <w:r>
      <w:rPr>
        <w:noProof/>
      </w:rPr>
      <mc:AlternateContent>
        <mc:Choice Requires="wps">
          <w:drawing>
            <wp:anchor distT="0" distB="0" distL="114300" distR="114300" simplePos="0" relativeHeight="251658241" behindDoc="0" locked="0" layoutInCell="0" allowOverlap="1" wp14:anchorId="67F9DC61" wp14:editId="1A81F044">
              <wp:simplePos x="0" y="0"/>
              <wp:positionH relativeFrom="page">
                <wp:posOffset>0</wp:posOffset>
              </wp:positionH>
              <wp:positionV relativeFrom="page">
                <wp:posOffset>9594215</wp:posOffset>
              </wp:positionV>
              <wp:extent cx="7772400" cy="273685"/>
              <wp:effectExtent l="0" t="2540" r="0" b="0"/>
              <wp:wrapNone/>
              <wp:docPr id="1088453975"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DC61"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191D7D82"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D75" w14:textId="77777777" w:rsidR="003F16A6" w:rsidRDefault="003F16A6">
    <w:pPr>
      <w:pStyle w:val="Piedepgina"/>
      <w:jc w:val="center"/>
    </w:pPr>
    <w:r>
      <w:fldChar w:fldCharType="begin"/>
    </w:r>
    <w:r>
      <w:instrText>PAGE   \* MERGEFORMAT</w:instrText>
    </w:r>
    <w:r>
      <w:fldChar w:fldCharType="separate"/>
    </w:r>
    <w:r>
      <w:t>2</w:t>
    </w:r>
    <w:r>
      <w:fldChar w:fldCharType="end"/>
    </w:r>
  </w:p>
  <w:p w14:paraId="2AD685F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CD95F" w14:textId="77777777" w:rsidR="009261D8" w:rsidRDefault="009261D8" w:rsidP="00290A93">
      <w:r>
        <w:separator/>
      </w:r>
    </w:p>
  </w:footnote>
  <w:footnote w:type="continuationSeparator" w:id="0">
    <w:p w14:paraId="75B85E9F" w14:textId="77777777" w:rsidR="009261D8" w:rsidRDefault="009261D8" w:rsidP="00290A93">
      <w:r>
        <w:continuationSeparator/>
      </w:r>
    </w:p>
  </w:footnote>
  <w:footnote w:type="continuationNotice" w:id="1">
    <w:p w14:paraId="1A90DB8D" w14:textId="77777777" w:rsidR="009261D8" w:rsidRDefault="009261D8"/>
  </w:footnote>
  <w:footnote w:id="2">
    <w:p w14:paraId="5AFAB829" w14:textId="77777777" w:rsidR="008B5F96" w:rsidRPr="000B27C9" w:rsidRDefault="008B5F96" w:rsidP="008B5F96">
      <w:pPr>
        <w:pStyle w:val="Prrafodelista"/>
        <w:spacing w:after="240"/>
        <w:ind w:left="142" w:hanging="142"/>
        <w:jc w:val="both"/>
        <w:rPr>
          <w:sz w:val="16"/>
          <w:szCs w:val="16"/>
        </w:rPr>
      </w:pPr>
      <w:r w:rsidRPr="000B27C9">
        <w:rPr>
          <w:rStyle w:val="Refdenotaalpie"/>
          <w:sz w:val="16"/>
          <w:szCs w:val="16"/>
        </w:rPr>
        <w:footnoteRef/>
      </w:r>
      <w:r w:rsidRPr="000B27C9">
        <w:rPr>
          <w:sz w:val="16"/>
          <w:szCs w:val="16"/>
        </w:rPr>
        <w:t xml:space="preserve"> Para estos efectos, se entenderá por requerimiento de ajuste la diferencia incremental entre el monto de estimaciones determinado conforme al nuevo Reglamento y el monto requerido bajo el régimen previo, calculada a la fecha de entrada en vigor.</w:t>
      </w:r>
    </w:p>
    <w:p w14:paraId="5F77E86A" w14:textId="77777777" w:rsidR="008B5F96" w:rsidRDefault="008B5F96" w:rsidP="008B5F9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D28A" w14:textId="77777777" w:rsidR="00D00861" w:rsidRDefault="00D008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DC35" w14:textId="4628F3A5" w:rsidR="00D33020" w:rsidRDefault="009040CE">
    <w:pPr>
      <w:pStyle w:val="Encabezado"/>
    </w:pPr>
    <w:r>
      <w:rPr>
        <w:noProof/>
      </w:rPr>
      <w:drawing>
        <wp:inline distT="0" distB="0" distL="0" distR="0" wp14:anchorId="534DBA88" wp14:editId="28F7D166">
          <wp:extent cx="1924050" cy="6915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83" w14:textId="4D195048" w:rsidR="001D683F" w:rsidRDefault="009040CE">
    <w:pPr>
      <w:pStyle w:val="Encabezado"/>
    </w:pPr>
    <w:r>
      <w:rPr>
        <w:noProof/>
      </w:rPr>
      <w:drawing>
        <wp:anchor distT="0" distB="0" distL="114300" distR="114300" simplePos="0" relativeHeight="251658240" behindDoc="0" locked="0" layoutInCell="1" allowOverlap="1" wp14:anchorId="7788616F" wp14:editId="1182418C">
          <wp:simplePos x="0" y="0"/>
          <wp:positionH relativeFrom="column">
            <wp:posOffset>-423545</wp:posOffset>
          </wp:positionH>
          <wp:positionV relativeFrom="paragraph">
            <wp:posOffset>-104775</wp:posOffset>
          </wp:positionV>
          <wp:extent cx="4750435" cy="51054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3CB"/>
    <w:multiLevelType w:val="multilevel"/>
    <w:tmpl w:val="81C017A4"/>
    <w:lvl w:ilvl="0">
      <w:start w:val="1"/>
      <w:numFmt w:val="decimal"/>
      <w:pStyle w:val="Cuadro1"/>
      <w:suff w:val="space"/>
      <w:lvlText w:val="Cuadro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B0593C"/>
    <w:multiLevelType w:val="hybridMultilevel"/>
    <w:tmpl w:val="2786B3AE"/>
    <w:lvl w:ilvl="0" w:tplc="BC0CA16A">
      <w:start w:val="1"/>
      <w:numFmt w:val="lowerLetter"/>
      <w:pStyle w:val="incisos"/>
      <w:lvlText w:val="%1)"/>
      <w:lvlJc w:val="left"/>
      <w:pPr>
        <w:ind w:left="71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AB7FC9"/>
    <w:multiLevelType w:val="multilevel"/>
    <w:tmpl w:val="5E36CD02"/>
    <w:lvl w:ilvl="0">
      <w:start w:val="1"/>
      <w:numFmt w:val="upperRoman"/>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rPr>
        <w:b w:val="0"/>
        <w:lang w:val="es-ES"/>
      </w:rPr>
    </w:lvl>
    <w:lvl w:ilvl="2">
      <w:start w:val="1"/>
      <w:numFmt w:val="lowerLetter"/>
      <w:pStyle w:val="subpar"/>
      <w:lvlText w:val="%3."/>
      <w:lvlJc w:val="left"/>
      <w:pPr>
        <w:tabs>
          <w:tab w:val="num" w:pos="1152"/>
        </w:tabs>
        <w:ind w:left="11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3" w15:restartNumberingAfterBreak="0">
    <w:nsid w:val="13707651"/>
    <w:multiLevelType w:val="hybridMultilevel"/>
    <w:tmpl w:val="2E189500"/>
    <w:lvl w:ilvl="0" w:tplc="87ECF378">
      <w:start w:val="1"/>
      <w:numFmt w:val="decimal"/>
      <w:pStyle w:val="CM7"/>
      <w:lvlText w:val="%1)"/>
      <w:lvlJc w:val="left"/>
      <w:pPr>
        <w:ind w:left="720" w:hanging="360"/>
      </w:pPr>
      <w:rPr>
        <w:b/>
        <w:i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5" w15:restartNumberingAfterBreak="0">
    <w:nsid w:val="1FDF56C9"/>
    <w:multiLevelType w:val="hybridMultilevel"/>
    <w:tmpl w:val="2B9E958A"/>
    <w:lvl w:ilvl="0" w:tplc="F8D0EA08">
      <w:start w:val="1"/>
      <w:numFmt w:val="decimal"/>
      <w:pStyle w:val="spc3"/>
      <w:lvlText w:val="Artículo %1."/>
      <w:lvlJc w:val="left"/>
      <w:pPr>
        <w:tabs>
          <w:tab w:val="num" w:pos="567"/>
        </w:tabs>
        <w:ind w:left="0" w:firstLine="0"/>
      </w:pPr>
      <w:rPr>
        <w:rFonts w:hint="default"/>
        <w:lang w:val="es-CR"/>
      </w:rPr>
    </w:lvl>
    <w:lvl w:ilvl="1" w:tplc="140A0019">
      <w:start w:val="1"/>
      <w:numFmt w:val="lowerLetter"/>
      <w:lvlText w:val="%2)"/>
      <w:lvlJc w:val="left"/>
      <w:pPr>
        <w:tabs>
          <w:tab w:val="num" w:pos="1440"/>
        </w:tabs>
        <w:ind w:left="1440" w:hanging="360"/>
      </w:pPr>
      <w:rPr>
        <w:rFonts w:ascii="Cambria" w:eastAsia="Times New Roman" w:hAnsi="Cambria" w:cs="Arial" w:hint="default"/>
      </w:rPr>
    </w:lvl>
    <w:lvl w:ilvl="2" w:tplc="140A001B" w:tentative="1">
      <w:start w:val="1"/>
      <w:numFmt w:val="lowerRoman"/>
      <w:lvlText w:val="%3."/>
      <w:lvlJc w:val="right"/>
      <w:pPr>
        <w:tabs>
          <w:tab w:val="num" w:pos="2160"/>
        </w:tabs>
        <w:ind w:left="2160" w:hanging="180"/>
      </w:pPr>
    </w:lvl>
    <w:lvl w:ilvl="3" w:tplc="140A000F" w:tentative="1">
      <w:start w:val="1"/>
      <w:numFmt w:val="decimal"/>
      <w:lvlText w:val="%4."/>
      <w:lvlJc w:val="left"/>
      <w:pPr>
        <w:tabs>
          <w:tab w:val="num" w:pos="2880"/>
        </w:tabs>
        <w:ind w:left="2880" w:hanging="360"/>
      </w:pPr>
    </w:lvl>
    <w:lvl w:ilvl="4" w:tplc="140A0019" w:tentative="1">
      <w:start w:val="1"/>
      <w:numFmt w:val="lowerLetter"/>
      <w:lvlText w:val="%5."/>
      <w:lvlJc w:val="left"/>
      <w:pPr>
        <w:tabs>
          <w:tab w:val="num" w:pos="3600"/>
        </w:tabs>
        <w:ind w:left="3600" w:hanging="360"/>
      </w:pPr>
    </w:lvl>
    <w:lvl w:ilvl="5" w:tplc="140A001B" w:tentative="1">
      <w:start w:val="1"/>
      <w:numFmt w:val="lowerRoman"/>
      <w:lvlText w:val="%6."/>
      <w:lvlJc w:val="right"/>
      <w:pPr>
        <w:tabs>
          <w:tab w:val="num" w:pos="4320"/>
        </w:tabs>
        <w:ind w:left="4320" w:hanging="180"/>
      </w:pPr>
    </w:lvl>
    <w:lvl w:ilvl="6" w:tplc="140A000F" w:tentative="1">
      <w:start w:val="1"/>
      <w:numFmt w:val="decimal"/>
      <w:lvlText w:val="%7."/>
      <w:lvlJc w:val="left"/>
      <w:pPr>
        <w:tabs>
          <w:tab w:val="num" w:pos="5040"/>
        </w:tabs>
        <w:ind w:left="5040" w:hanging="360"/>
      </w:pPr>
    </w:lvl>
    <w:lvl w:ilvl="7" w:tplc="140A0019" w:tentative="1">
      <w:start w:val="1"/>
      <w:numFmt w:val="lowerLetter"/>
      <w:lvlText w:val="%8."/>
      <w:lvlJc w:val="left"/>
      <w:pPr>
        <w:tabs>
          <w:tab w:val="num" w:pos="5760"/>
        </w:tabs>
        <w:ind w:left="5760" w:hanging="360"/>
      </w:pPr>
    </w:lvl>
    <w:lvl w:ilvl="8" w:tplc="140A001B" w:tentative="1">
      <w:start w:val="1"/>
      <w:numFmt w:val="lowerRoman"/>
      <w:lvlText w:val="%9."/>
      <w:lvlJc w:val="right"/>
      <w:pPr>
        <w:tabs>
          <w:tab w:val="num" w:pos="6480"/>
        </w:tabs>
        <w:ind w:left="6480" w:hanging="180"/>
      </w:pPr>
    </w:lvl>
  </w:abstractNum>
  <w:abstractNum w:abstractNumId="6" w15:restartNumberingAfterBreak="0">
    <w:nsid w:val="24A331C8"/>
    <w:multiLevelType w:val="multilevel"/>
    <w:tmpl w:val="D86644E6"/>
    <w:lvl w:ilvl="0">
      <w:start w:val="1"/>
      <w:numFmt w:val="decimal"/>
      <w:pStyle w:val="Cuadro"/>
      <w:suff w:val="space"/>
      <w:lvlText w:val="Cuadro %1."/>
      <w:lvlJc w:val="left"/>
      <w:pPr>
        <w:ind w:left="4897" w:hanging="360"/>
      </w:pPr>
      <w:rPr>
        <w:rFonts w:hint="default"/>
        <w:sz w:val="21"/>
        <w:szCs w:val="21"/>
      </w:rPr>
    </w:lvl>
    <w:lvl w:ilvl="1">
      <w:start w:val="1"/>
      <w:numFmt w:val="decimal"/>
      <w:lvlText w:val="%1.%2."/>
      <w:lvlJc w:val="left"/>
      <w:pPr>
        <w:ind w:left="5046" w:hanging="432"/>
      </w:pPr>
      <w:rPr>
        <w:rFonts w:hint="default"/>
      </w:rPr>
    </w:lvl>
    <w:lvl w:ilvl="2">
      <w:start w:val="1"/>
      <w:numFmt w:val="decimal"/>
      <w:lvlText w:val="%1.%2.%3."/>
      <w:lvlJc w:val="left"/>
      <w:pPr>
        <w:ind w:left="5478" w:hanging="504"/>
      </w:pPr>
      <w:rPr>
        <w:rFonts w:hint="default"/>
      </w:rPr>
    </w:lvl>
    <w:lvl w:ilvl="3">
      <w:start w:val="1"/>
      <w:numFmt w:val="decimal"/>
      <w:lvlText w:val="%1.%2.%3.%4."/>
      <w:lvlJc w:val="left"/>
      <w:pPr>
        <w:ind w:left="5982" w:hanging="648"/>
      </w:pPr>
      <w:rPr>
        <w:rFonts w:hint="default"/>
      </w:rPr>
    </w:lvl>
    <w:lvl w:ilvl="4">
      <w:start w:val="1"/>
      <w:numFmt w:val="decimal"/>
      <w:lvlText w:val="%1.%2.%3.%4.%5."/>
      <w:lvlJc w:val="left"/>
      <w:pPr>
        <w:ind w:left="6486" w:hanging="792"/>
      </w:pPr>
      <w:rPr>
        <w:rFonts w:hint="default"/>
      </w:rPr>
    </w:lvl>
    <w:lvl w:ilvl="5">
      <w:start w:val="1"/>
      <w:numFmt w:val="decimal"/>
      <w:lvlText w:val="%1.%2.%3.%4.%5.%6."/>
      <w:lvlJc w:val="left"/>
      <w:pPr>
        <w:ind w:left="6990" w:hanging="936"/>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7998" w:hanging="1224"/>
      </w:pPr>
      <w:rPr>
        <w:rFonts w:hint="default"/>
      </w:rPr>
    </w:lvl>
    <w:lvl w:ilvl="8">
      <w:start w:val="1"/>
      <w:numFmt w:val="decimal"/>
      <w:lvlText w:val="%1.%2.%3.%4.%5.%6.%7.%8.%9."/>
      <w:lvlJc w:val="left"/>
      <w:pPr>
        <w:ind w:left="8574" w:hanging="1440"/>
      </w:pPr>
      <w:rPr>
        <w:rFonts w:hint="default"/>
      </w:rPr>
    </w:lvl>
  </w:abstractNum>
  <w:abstractNum w:abstractNumId="7" w15:restartNumberingAfterBreak="0">
    <w:nsid w:val="288C3896"/>
    <w:multiLevelType w:val="hybridMultilevel"/>
    <w:tmpl w:val="E62E3A5C"/>
    <w:lvl w:ilvl="0" w:tplc="293892CA">
      <w:start w:val="1"/>
      <w:numFmt w:val="upperLetter"/>
      <w:pStyle w:val="GraficosABC"/>
      <w:lvlText w:val="%1."/>
      <w:lvlJc w:val="left"/>
      <w:pPr>
        <w:ind w:left="360" w:hanging="360"/>
      </w:pPr>
      <w:rPr>
        <w:rFonts w:hint="default"/>
        <w:lang w:val="es-CR"/>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8" w15:restartNumberingAfterBreak="0">
    <w:nsid w:val="2E826302"/>
    <w:multiLevelType w:val="multilevel"/>
    <w:tmpl w:val="3594E486"/>
    <w:lvl w:ilvl="0">
      <w:start w:val="1"/>
      <w:numFmt w:val="decimal"/>
      <w:pStyle w:val="ACuadro"/>
      <w:lvlText w:val="Cuadro A. %1."/>
      <w:lvlJc w:val="left"/>
      <w:pPr>
        <w:ind w:left="785"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10C6196"/>
    <w:multiLevelType w:val="multilevel"/>
    <w:tmpl w:val="E52E9B92"/>
    <w:lvl w:ilvl="0">
      <w:start w:val="1"/>
      <w:numFmt w:val="lowerRoman"/>
      <w:pStyle w:val="ListaNivel2"/>
      <w:suff w:val="space"/>
      <w:lvlText w:val="%1."/>
      <w:lvlJc w:val="left"/>
      <w:pPr>
        <w:ind w:left="2154" w:hanging="226"/>
      </w:pPr>
      <w:rPr>
        <w:rFonts w:ascii="Arial" w:hAnsi="Arial" w:hint="default"/>
        <w:b/>
        <w:i w:val="0"/>
        <w:caps w:val="0"/>
        <w:strike w:val="0"/>
        <w:dstrike w:val="0"/>
        <w:vanish w:val="0"/>
        <w:color w:val="auto"/>
        <w:sz w:val="20"/>
        <w:szCs w:val="20"/>
        <w:u w:val="none"/>
        <w:vertAlign w:val="baseline"/>
        <w:lang w:val="es-ES_tradnl"/>
      </w:rPr>
    </w:lvl>
    <w:lvl w:ilvl="1">
      <w:start w:val="1"/>
      <w:numFmt w:val="none"/>
      <w:lvlRestart w:val="0"/>
      <w:suff w:val="space"/>
      <w:lvlText w:val="%2"/>
      <w:lvlJc w:val="left"/>
      <w:pPr>
        <w:ind w:left="229" w:firstLine="0"/>
      </w:pPr>
      <w:rPr>
        <w:rFonts w:ascii="Arial" w:hAnsi="Arial" w:hint="default"/>
        <w:b w:val="0"/>
        <w:i w:val="0"/>
        <w:color w:val="auto"/>
        <w:sz w:val="20"/>
        <w:szCs w:val="20"/>
        <w:u w:val="none"/>
      </w:rPr>
    </w:lvl>
    <w:lvl w:ilvl="2">
      <w:start w:val="1"/>
      <w:numFmt w:val="none"/>
      <w:lvlText w:val="%3"/>
      <w:lvlJc w:val="left"/>
      <w:pPr>
        <w:tabs>
          <w:tab w:val="num" w:pos="1626"/>
        </w:tabs>
        <w:ind w:left="1626" w:hanging="360"/>
      </w:pPr>
      <w:rPr>
        <w:rFonts w:hint="default"/>
      </w:rPr>
    </w:lvl>
    <w:lvl w:ilvl="3">
      <w:start w:val="1"/>
      <w:numFmt w:val="none"/>
      <w:lvlText w:val=""/>
      <w:lvlJc w:val="left"/>
      <w:pPr>
        <w:tabs>
          <w:tab w:val="num" w:pos="31680"/>
        </w:tabs>
        <w:ind w:left="1986" w:hanging="360"/>
      </w:pPr>
      <w:rPr>
        <w:rFonts w:hint="default"/>
      </w:rPr>
    </w:lvl>
    <w:lvl w:ilvl="4">
      <w:start w:val="1"/>
      <w:numFmt w:val="none"/>
      <w:lvlText w:val=""/>
      <w:lvlJc w:val="left"/>
      <w:pPr>
        <w:tabs>
          <w:tab w:val="num" w:pos="2346"/>
        </w:tabs>
        <w:ind w:left="2346" w:hanging="360"/>
      </w:pPr>
      <w:rPr>
        <w:rFonts w:hint="default"/>
      </w:rPr>
    </w:lvl>
    <w:lvl w:ilvl="5">
      <w:start w:val="1"/>
      <w:numFmt w:val="none"/>
      <w:lvlText w:val=""/>
      <w:lvlJc w:val="left"/>
      <w:pPr>
        <w:tabs>
          <w:tab w:val="num" w:pos="2706"/>
        </w:tabs>
        <w:ind w:left="2706" w:hanging="360"/>
      </w:pPr>
      <w:rPr>
        <w:rFonts w:hint="default"/>
      </w:rPr>
    </w:lvl>
    <w:lvl w:ilvl="6">
      <w:start w:val="1"/>
      <w:numFmt w:val="none"/>
      <w:lvlText w:val=""/>
      <w:lvlJc w:val="left"/>
      <w:pPr>
        <w:tabs>
          <w:tab w:val="num" w:pos="3066"/>
        </w:tabs>
        <w:ind w:left="3066" w:hanging="360"/>
      </w:pPr>
      <w:rPr>
        <w:rFonts w:hint="default"/>
      </w:rPr>
    </w:lvl>
    <w:lvl w:ilvl="7">
      <w:start w:val="1"/>
      <w:numFmt w:val="none"/>
      <w:lvlText w:val=""/>
      <w:lvlJc w:val="left"/>
      <w:pPr>
        <w:tabs>
          <w:tab w:val="num" w:pos="3426"/>
        </w:tabs>
        <w:ind w:left="3426" w:hanging="360"/>
      </w:pPr>
      <w:rPr>
        <w:rFonts w:hint="default"/>
      </w:rPr>
    </w:lvl>
    <w:lvl w:ilvl="8">
      <w:start w:val="1"/>
      <w:numFmt w:val="none"/>
      <w:lvlText w:val=""/>
      <w:lvlJc w:val="left"/>
      <w:pPr>
        <w:tabs>
          <w:tab w:val="num" w:pos="3786"/>
        </w:tabs>
        <w:ind w:left="3786" w:hanging="360"/>
      </w:pPr>
      <w:rPr>
        <w:rFonts w:hint="default"/>
      </w:rPr>
    </w:lvl>
  </w:abstractNum>
  <w:abstractNum w:abstractNumId="10" w15:restartNumberingAfterBreak="0">
    <w:nsid w:val="3302126D"/>
    <w:multiLevelType w:val="multilevel"/>
    <w:tmpl w:val="F796F8A0"/>
    <w:lvl w:ilvl="0">
      <w:start w:val="1"/>
      <w:numFmt w:val="decimal"/>
      <w:pStyle w:val="Graficos"/>
      <w:suff w:val="space"/>
      <w:lvlText w:val="Gráfico %1."/>
      <w:lvlJc w:val="left"/>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55227C4"/>
    <w:multiLevelType w:val="hybridMultilevel"/>
    <w:tmpl w:val="2438F7BE"/>
    <w:lvl w:ilvl="0" w:tplc="B9EE8AE6">
      <w:start w:val="1"/>
      <w:numFmt w:val="lowerRoman"/>
      <w:pStyle w:val="ListaNivel3"/>
      <w:lvlText w:val="%1)"/>
      <w:lvlJc w:val="left"/>
      <w:rPr>
        <w:rFonts w:ascii="Arial" w:hAnsi="Arial" w:cs="Times New Roman" w:hint="default"/>
        <w:b/>
        <w:bCs w:val="0"/>
        <w:i w:val="0"/>
        <w:iCs w:val="0"/>
        <w:caps w:val="0"/>
        <w:smallCaps w:val="0"/>
        <w:strike w:val="0"/>
        <w:dstrike w:val="0"/>
        <w:noProof w:val="0"/>
        <w:snapToGrid w:val="0"/>
        <w:vanish w:val="0"/>
        <w:color w:val="auto"/>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0D3228"/>
    <w:multiLevelType w:val="multilevel"/>
    <w:tmpl w:val="A094E9BE"/>
    <w:styleLink w:val="Captulo"/>
    <w:lvl w:ilvl="0">
      <w:start w:val="1"/>
      <w:numFmt w:val="upperRoman"/>
      <w:suff w:val="nothing"/>
      <w:lvlText w:val="CAPÍTULO %1"/>
      <w:lvlJc w:val="left"/>
      <w:pPr>
        <w:ind w:left="2118" w:firstLine="0"/>
      </w:pPr>
      <w:rPr>
        <w:rFonts w:ascii="Arial" w:hAnsi="Arial" w:hint="default"/>
        <w:b/>
        <w:i/>
        <w:color w:val="auto"/>
        <w:sz w:val="24"/>
        <w:szCs w:val="24"/>
        <w:u w:val="single"/>
      </w:rPr>
    </w:lvl>
    <w:lvl w:ilvl="1">
      <w:start w:val="1"/>
      <w:numFmt w:val="none"/>
      <w:lvlText w:val="%2"/>
      <w:lvlJc w:val="left"/>
      <w:pPr>
        <w:tabs>
          <w:tab w:val="num" w:pos="1137"/>
        </w:tabs>
        <w:ind w:left="1137" w:hanging="360"/>
      </w:pPr>
      <w:rPr>
        <w:rFonts w:hint="default"/>
      </w:rPr>
    </w:lvl>
    <w:lvl w:ilvl="2">
      <w:start w:val="1"/>
      <w:numFmt w:val="none"/>
      <w:lvlText w:val="%3"/>
      <w:lvlJc w:val="left"/>
      <w:pPr>
        <w:tabs>
          <w:tab w:val="num" w:pos="1497"/>
        </w:tabs>
        <w:ind w:left="1497" w:hanging="360"/>
      </w:pPr>
      <w:rPr>
        <w:rFonts w:hint="default"/>
      </w:rPr>
    </w:lvl>
    <w:lvl w:ilvl="3">
      <w:start w:val="1"/>
      <w:numFmt w:val="none"/>
      <w:lvlText w:val=""/>
      <w:lvlJc w:val="left"/>
      <w:pPr>
        <w:tabs>
          <w:tab w:val="num" w:pos="1857"/>
        </w:tabs>
        <w:ind w:left="1857" w:hanging="360"/>
      </w:pPr>
      <w:rPr>
        <w:rFonts w:hint="default"/>
      </w:rPr>
    </w:lvl>
    <w:lvl w:ilvl="4">
      <w:start w:val="1"/>
      <w:numFmt w:val="none"/>
      <w:lvlText w:val=""/>
      <w:lvlJc w:val="left"/>
      <w:pPr>
        <w:tabs>
          <w:tab w:val="num" w:pos="2217"/>
        </w:tabs>
        <w:ind w:left="2217" w:hanging="360"/>
      </w:pPr>
      <w:rPr>
        <w:rFonts w:hint="default"/>
      </w:rPr>
    </w:lvl>
    <w:lvl w:ilvl="5">
      <w:start w:val="1"/>
      <w:numFmt w:val="none"/>
      <w:lvlText w:val=""/>
      <w:lvlJc w:val="left"/>
      <w:pPr>
        <w:tabs>
          <w:tab w:val="num" w:pos="2577"/>
        </w:tabs>
        <w:ind w:left="2577" w:hanging="360"/>
      </w:pPr>
      <w:rPr>
        <w:rFonts w:hint="default"/>
      </w:rPr>
    </w:lvl>
    <w:lvl w:ilvl="6">
      <w:start w:val="1"/>
      <w:numFmt w:val="none"/>
      <w:lvlText w:val="%7"/>
      <w:lvlJc w:val="left"/>
      <w:pPr>
        <w:tabs>
          <w:tab w:val="num" w:pos="2937"/>
        </w:tabs>
        <w:ind w:left="2937" w:hanging="360"/>
      </w:pPr>
      <w:rPr>
        <w:rFonts w:hint="default"/>
      </w:rPr>
    </w:lvl>
    <w:lvl w:ilvl="7">
      <w:start w:val="1"/>
      <w:numFmt w:val="none"/>
      <w:lvlText w:val="%8"/>
      <w:lvlJc w:val="left"/>
      <w:pPr>
        <w:tabs>
          <w:tab w:val="num" w:pos="3297"/>
        </w:tabs>
        <w:ind w:left="3297" w:hanging="360"/>
      </w:pPr>
      <w:rPr>
        <w:rFonts w:hint="default"/>
      </w:rPr>
    </w:lvl>
    <w:lvl w:ilvl="8">
      <w:start w:val="1"/>
      <w:numFmt w:val="none"/>
      <w:lvlText w:val="%9"/>
      <w:lvlJc w:val="left"/>
      <w:pPr>
        <w:tabs>
          <w:tab w:val="num" w:pos="3657"/>
        </w:tabs>
        <w:ind w:left="3657" w:hanging="360"/>
      </w:pPr>
      <w:rPr>
        <w:rFonts w:hint="default"/>
      </w:rPr>
    </w:lvl>
  </w:abstractNum>
  <w:abstractNum w:abstractNumId="13" w15:restartNumberingAfterBreak="0">
    <w:nsid w:val="4F536BBA"/>
    <w:multiLevelType w:val="hybridMultilevel"/>
    <w:tmpl w:val="B7EEC9A4"/>
    <w:lvl w:ilvl="0" w:tplc="3BB87BE8">
      <w:start w:val="1"/>
      <w:numFmt w:val="bullet"/>
      <w:pStyle w:val="Heading316pt"/>
      <w:lvlText w:val=""/>
      <w:lvlJc w:val="left"/>
      <w:pPr>
        <w:tabs>
          <w:tab w:val="num" w:pos="284"/>
        </w:tabs>
        <w:ind w:left="284" w:hanging="284"/>
      </w:pPr>
      <w:rPr>
        <w:rFonts w:ascii="Wingdings" w:hAnsi="Wingdings" w:hint="default"/>
        <w:color w:val="999999"/>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5" w15:restartNumberingAfterBreak="0">
    <w:nsid w:val="538B3445"/>
    <w:multiLevelType w:val="hybridMultilevel"/>
    <w:tmpl w:val="514C4F70"/>
    <w:lvl w:ilvl="0" w:tplc="2FE264B8">
      <w:start w:val="1"/>
      <w:numFmt w:val="lowerLetter"/>
      <w:pStyle w:val="ListaNivel1"/>
      <w:lvlText w:val="%1)"/>
      <w:lvlJc w:val="left"/>
      <w:pPr>
        <w:ind w:left="2155" w:hanging="397"/>
      </w:pPr>
      <w:rPr>
        <w:rFonts w:ascii="Arial" w:hAnsi="Arial" w:hint="default"/>
        <w:b w:val="0"/>
        <w:i w:val="0"/>
        <w:caps w:val="0"/>
        <w:strike w:val="0"/>
        <w:dstrike w:val="0"/>
        <w:vanish w:val="0"/>
        <w:color w:val="auto"/>
        <w:sz w:val="20"/>
        <w:szCs w:val="20"/>
        <w:u w:val="none"/>
        <w:vertAlign w:val="baseli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pStyle w:val="Resaltadocaptulo"/>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4B01BEB"/>
    <w:multiLevelType w:val="multilevel"/>
    <w:tmpl w:val="A24246A6"/>
    <w:lvl w:ilvl="0">
      <w:start w:val="1"/>
      <w:numFmt w:val="decimal"/>
      <w:pStyle w:val="Titulorecuadro"/>
      <w:suff w:val="space"/>
      <w:lvlText w:val="Recuadro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F312C6B"/>
    <w:multiLevelType w:val="hybridMultilevel"/>
    <w:tmpl w:val="741027FE"/>
    <w:lvl w:ilvl="0" w:tplc="AB04570A">
      <w:start w:val="1"/>
      <w:numFmt w:val="bullet"/>
      <w:pStyle w:val="ListaVietas"/>
      <w:lvlText w:val=""/>
      <w:lvlJc w:val="left"/>
      <w:pPr>
        <w:tabs>
          <w:tab w:val="num" w:pos="0"/>
        </w:tabs>
        <w:ind w:left="2098" w:hanging="340"/>
      </w:pPr>
      <w:rPr>
        <w:rFonts w:ascii="Wingdings 2" w:hAnsi="Wingdings 2" w:hint="default"/>
        <w:b w:val="0"/>
        <w:i w:val="0"/>
        <w:caps w:val="0"/>
        <w:strike w:val="0"/>
        <w:dstrike w:val="0"/>
        <w:vanish w:val="0"/>
        <w:color w:val="auto"/>
        <w:sz w:val="18"/>
        <w:szCs w:val="18"/>
        <w:u w:val="none"/>
        <w:vertAlign w:val="baseline"/>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7672F"/>
    <w:multiLevelType w:val="hybridMultilevel"/>
    <w:tmpl w:val="8A52D1E6"/>
    <w:lvl w:ilvl="0" w:tplc="FE468036">
      <w:start w:val="1"/>
      <w:numFmt w:val="decimal"/>
      <w:pStyle w:val="Numeracin"/>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657D4126"/>
    <w:multiLevelType w:val="hybridMultilevel"/>
    <w:tmpl w:val="44E8D9EC"/>
    <w:lvl w:ilvl="0" w:tplc="8D2AEA8E">
      <w:start w:val="1"/>
      <w:numFmt w:val="decimal"/>
      <w:pStyle w:val="Figura"/>
      <w:lvlText w:val="Figura %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A841D89"/>
    <w:multiLevelType w:val="multilevel"/>
    <w:tmpl w:val="371CB72A"/>
    <w:lvl w:ilvl="0">
      <w:start w:val="1"/>
      <w:numFmt w:val="decimal"/>
      <w:lvlText w:val="Cuadro %1."/>
      <w:lvlJc w:val="left"/>
      <w:pPr>
        <w:ind w:left="0" w:firstLine="0"/>
      </w:pPr>
      <w:rPr>
        <w:rFonts w:hint="default"/>
      </w:rPr>
    </w:lvl>
    <w:lvl w:ilvl="1">
      <w:start w:val="1"/>
      <w:numFmt w:val="decimal"/>
      <w:pStyle w:val="Titulointroduccion"/>
      <w:lvlText w:val="2.%2."/>
      <w:lvlJc w:val="left"/>
      <w:rPr>
        <w:rFonts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B545221"/>
    <w:multiLevelType w:val="hybridMultilevel"/>
    <w:tmpl w:val="EAD237EA"/>
    <w:lvl w:ilvl="0" w:tplc="7FA0C504">
      <w:start w:val="1"/>
      <w:numFmt w:val="decimal"/>
      <w:pStyle w:val="Cuadrorecuadro"/>
      <w:lvlText w:val="Cuadro %1."/>
      <w:lvlJc w:val="right"/>
      <w:pPr>
        <w:ind w:left="1080" w:hanging="18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78B74E1D"/>
    <w:multiLevelType w:val="multilevel"/>
    <w:tmpl w:val="87CADF64"/>
    <w:lvl w:ilvl="0">
      <w:start w:val="1"/>
      <w:numFmt w:val="upperLetter"/>
      <w:pStyle w:val="CuadrosA"/>
      <w:lvlText w:val="Cuadro %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FCA45FA"/>
    <w:multiLevelType w:val="hybridMultilevel"/>
    <w:tmpl w:val="C9F43B56"/>
    <w:lvl w:ilvl="0" w:tplc="700038B0">
      <w:start w:val="1"/>
      <w:numFmt w:val="bullet"/>
      <w:pStyle w:val="Lista1"/>
      <w:lvlText w:val=""/>
      <w:lvlJc w:val="left"/>
      <w:pPr>
        <w:tabs>
          <w:tab w:val="num" w:pos="1080"/>
        </w:tabs>
        <w:ind w:left="1080" w:hanging="360"/>
      </w:pPr>
      <w:rPr>
        <w:rFonts w:ascii="Wingdings 2" w:hAnsi="Wingdings 2" w:hint="default"/>
        <w:b w:val="0"/>
        <w:i w:val="0"/>
        <w:sz w:val="18"/>
        <w:szCs w:val="18"/>
      </w:rPr>
    </w:lvl>
    <w:lvl w:ilvl="1" w:tplc="04090019">
      <w:start w:val="1"/>
      <w:numFmt w:val="bullet"/>
      <w:lvlText w:val="o"/>
      <w:lvlJc w:val="left"/>
      <w:pPr>
        <w:tabs>
          <w:tab w:val="num" w:pos="461"/>
        </w:tabs>
        <w:ind w:left="461" w:hanging="360"/>
      </w:pPr>
      <w:rPr>
        <w:rFonts w:ascii="Courier New" w:hAnsi="Courier New" w:cs="Courier New" w:hint="default"/>
      </w:rPr>
    </w:lvl>
    <w:lvl w:ilvl="2" w:tplc="0409001B">
      <w:start w:val="1"/>
      <w:numFmt w:val="bullet"/>
      <w:lvlText w:val=""/>
      <w:lvlJc w:val="left"/>
      <w:pPr>
        <w:tabs>
          <w:tab w:val="num" w:pos="1181"/>
        </w:tabs>
        <w:ind w:left="1181" w:hanging="360"/>
      </w:pPr>
      <w:rPr>
        <w:rFonts w:ascii="Wingdings" w:hAnsi="Wingdings" w:hint="default"/>
      </w:rPr>
    </w:lvl>
    <w:lvl w:ilvl="3" w:tplc="0409000F">
      <w:start w:val="1"/>
      <w:numFmt w:val="bullet"/>
      <w:lvlText w:val=""/>
      <w:lvlJc w:val="left"/>
      <w:pPr>
        <w:tabs>
          <w:tab w:val="num" w:pos="1901"/>
        </w:tabs>
        <w:ind w:left="1901" w:hanging="360"/>
      </w:pPr>
      <w:rPr>
        <w:rFonts w:ascii="Symbol" w:hAnsi="Symbol" w:hint="default"/>
      </w:rPr>
    </w:lvl>
    <w:lvl w:ilvl="4" w:tplc="04090019">
      <w:start w:val="1"/>
      <w:numFmt w:val="bullet"/>
      <w:lvlText w:val="o"/>
      <w:lvlJc w:val="left"/>
      <w:pPr>
        <w:tabs>
          <w:tab w:val="num" w:pos="2621"/>
        </w:tabs>
        <w:ind w:left="2621" w:hanging="360"/>
      </w:pPr>
      <w:rPr>
        <w:rFonts w:ascii="Courier New" w:hAnsi="Courier New" w:cs="Courier New" w:hint="default"/>
      </w:rPr>
    </w:lvl>
    <w:lvl w:ilvl="5" w:tplc="0409001B" w:tentative="1">
      <w:start w:val="1"/>
      <w:numFmt w:val="bullet"/>
      <w:lvlText w:val=""/>
      <w:lvlJc w:val="left"/>
      <w:pPr>
        <w:tabs>
          <w:tab w:val="num" w:pos="3341"/>
        </w:tabs>
        <w:ind w:left="3341" w:hanging="360"/>
      </w:pPr>
      <w:rPr>
        <w:rFonts w:ascii="Wingdings" w:hAnsi="Wingdings" w:hint="default"/>
      </w:rPr>
    </w:lvl>
    <w:lvl w:ilvl="6" w:tplc="0409000F" w:tentative="1">
      <w:start w:val="1"/>
      <w:numFmt w:val="bullet"/>
      <w:lvlText w:val=""/>
      <w:lvlJc w:val="left"/>
      <w:pPr>
        <w:tabs>
          <w:tab w:val="num" w:pos="4061"/>
        </w:tabs>
        <w:ind w:left="4061" w:hanging="360"/>
      </w:pPr>
      <w:rPr>
        <w:rFonts w:ascii="Symbol" w:hAnsi="Symbol" w:hint="default"/>
      </w:rPr>
    </w:lvl>
    <w:lvl w:ilvl="7" w:tplc="04090019" w:tentative="1">
      <w:start w:val="1"/>
      <w:numFmt w:val="bullet"/>
      <w:lvlText w:val="o"/>
      <w:lvlJc w:val="left"/>
      <w:pPr>
        <w:tabs>
          <w:tab w:val="num" w:pos="4781"/>
        </w:tabs>
        <w:ind w:left="4781" w:hanging="360"/>
      </w:pPr>
      <w:rPr>
        <w:rFonts w:ascii="Courier New" w:hAnsi="Courier New" w:cs="Courier New" w:hint="default"/>
      </w:rPr>
    </w:lvl>
    <w:lvl w:ilvl="8" w:tplc="0409001B" w:tentative="1">
      <w:start w:val="1"/>
      <w:numFmt w:val="bullet"/>
      <w:lvlText w:val=""/>
      <w:lvlJc w:val="left"/>
      <w:pPr>
        <w:tabs>
          <w:tab w:val="num" w:pos="5501"/>
        </w:tabs>
        <w:ind w:left="5501" w:hanging="360"/>
      </w:pPr>
      <w:rPr>
        <w:rFonts w:ascii="Wingdings" w:hAnsi="Wingdings" w:hint="default"/>
      </w:rPr>
    </w:lvl>
  </w:abstractNum>
  <w:num w:numId="1" w16cid:durableId="573048359">
    <w:abstractNumId w:val="17"/>
  </w:num>
  <w:num w:numId="2" w16cid:durableId="1109813309">
    <w:abstractNumId w:val="20"/>
  </w:num>
  <w:num w:numId="3" w16cid:durableId="1182475050">
    <w:abstractNumId w:val="24"/>
  </w:num>
  <w:num w:numId="4" w16cid:durableId="1227910819">
    <w:abstractNumId w:val="7"/>
  </w:num>
  <w:num w:numId="5" w16cid:durableId="123622982">
    <w:abstractNumId w:val="11"/>
  </w:num>
  <w:num w:numId="6" w16cid:durableId="1301426549">
    <w:abstractNumId w:val="12"/>
  </w:num>
  <w:num w:numId="7" w16cid:durableId="1488597886">
    <w:abstractNumId w:val="16"/>
  </w:num>
  <w:num w:numId="8" w16cid:durableId="1634797427">
    <w:abstractNumId w:val="9"/>
  </w:num>
  <w:num w:numId="9" w16cid:durableId="1871063493">
    <w:abstractNumId w:val="22"/>
  </w:num>
  <w:num w:numId="10" w16cid:durableId="189610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9986803">
    <w:abstractNumId w:val="4"/>
  </w:num>
  <w:num w:numId="12" w16cid:durableId="1961719994">
    <w:abstractNumId w:val="15"/>
  </w:num>
  <w:num w:numId="13" w16cid:durableId="2016296430">
    <w:abstractNumId w:val="5"/>
  </w:num>
  <w:num w:numId="14" w16cid:durableId="258954799">
    <w:abstractNumId w:val="19"/>
  </w:num>
  <w:num w:numId="15" w16cid:durableId="431239979">
    <w:abstractNumId w:val="0"/>
  </w:num>
  <w:num w:numId="16" w16cid:durableId="4581814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28389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4392586">
    <w:abstractNumId w:val="6"/>
  </w:num>
  <w:num w:numId="19" w16cid:durableId="667826887">
    <w:abstractNumId w:val="8"/>
  </w:num>
  <w:num w:numId="20" w16cid:durableId="733813578">
    <w:abstractNumId w:val="14"/>
  </w:num>
  <w:num w:numId="21" w16cid:durableId="740911548">
    <w:abstractNumId w:val="23"/>
  </w:num>
  <w:num w:numId="22" w16cid:durableId="786192705">
    <w:abstractNumId w:val="21"/>
  </w:num>
  <w:num w:numId="23" w16cid:durableId="790519262">
    <w:abstractNumId w:val="13"/>
  </w:num>
  <w:num w:numId="24" w16cid:durableId="901791596">
    <w:abstractNumId w:val="10"/>
  </w:num>
  <w:num w:numId="25" w16cid:durableId="92484456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C1F"/>
    <w:rsid w:val="00002DD0"/>
    <w:rsid w:val="00003155"/>
    <w:rsid w:val="00003F70"/>
    <w:rsid w:val="00004CF9"/>
    <w:rsid w:val="0000585F"/>
    <w:rsid w:val="00007E89"/>
    <w:rsid w:val="00010980"/>
    <w:rsid w:val="00012E82"/>
    <w:rsid w:val="00014E33"/>
    <w:rsid w:val="00015534"/>
    <w:rsid w:val="00016278"/>
    <w:rsid w:val="000168A8"/>
    <w:rsid w:val="00017364"/>
    <w:rsid w:val="000219AD"/>
    <w:rsid w:val="00021C63"/>
    <w:rsid w:val="0002418E"/>
    <w:rsid w:val="0002439A"/>
    <w:rsid w:val="000246D3"/>
    <w:rsid w:val="00025CFD"/>
    <w:rsid w:val="0002759B"/>
    <w:rsid w:val="000308B7"/>
    <w:rsid w:val="000316EA"/>
    <w:rsid w:val="00033232"/>
    <w:rsid w:val="00033295"/>
    <w:rsid w:val="00034565"/>
    <w:rsid w:val="00035F3F"/>
    <w:rsid w:val="00036CC3"/>
    <w:rsid w:val="0003788B"/>
    <w:rsid w:val="000408C1"/>
    <w:rsid w:val="00040EA3"/>
    <w:rsid w:val="00042B5B"/>
    <w:rsid w:val="0004418E"/>
    <w:rsid w:val="00044B4C"/>
    <w:rsid w:val="000474DE"/>
    <w:rsid w:val="000474E7"/>
    <w:rsid w:val="0005129D"/>
    <w:rsid w:val="00051CAE"/>
    <w:rsid w:val="00055066"/>
    <w:rsid w:val="0005579D"/>
    <w:rsid w:val="0005722B"/>
    <w:rsid w:val="00057E08"/>
    <w:rsid w:val="00062B0D"/>
    <w:rsid w:val="000642A5"/>
    <w:rsid w:val="00065058"/>
    <w:rsid w:val="000660BD"/>
    <w:rsid w:val="00066413"/>
    <w:rsid w:val="00071CE5"/>
    <w:rsid w:val="00073BE3"/>
    <w:rsid w:val="000747C4"/>
    <w:rsid w:val="0007680D"/>
    <w:rsid w:val="000770A8"/>
    <w:rsid w:val="00084F79"/>
    <w:rsid w:val="000855FA"/>
    <w:rsid w:val="00085D4E"/>
    <w:rsid w:val="00086130"/>
    <w:rsid w:val="00086DD5"/>
    <w:rsid w:val="000900A2"/>
    <w:rsid w:val="00091091"/>
    <w:rsid w:val="00091D6D"/>
    <w:rsid w:val="000936B0"/>
    <w:rsid w:val="00094091"/>
    <w:rsid w:val="00095B79"/>
    <w:rsid w:val="00097035"/>
    <w:rsid w:val="000A0034"/>
    <w:rsid w:val="000A1B48"/>
    <w:rsid w:val="000A1C6B"/>
    <w:rsid w:val="000A21B9"/>
    <w:rsid w:val="000A2FDB"/>
    <w:rsid w:val="000A63A7"/>
    <w:rsid w:val="000A6474"/>
    <w:rsid w:val="000A7215"/>
    <w:rsid w:val="000B03FB"/>
    <w:rsid w:val="000B0D8A"/>
    <w:rsid w:val="000B27C9"/>
    <w:rsid w:val="000B3D80"/>
    <w:rsid w:val="000B5E64"/>
    <w:rsid w:val="000B70FC"/>
    <w:rsid w:val="000C24EC"/>
    <w:rsid w:val="000C4712"/>
    <w:rsid w:val="000C4918"/>
    <w:rsid w:val="000C4C82"/>
    <w:rsid w:val="000C6280"/>
    <w:rsid w:val="000C6455"/>
    <w:rsid w:val="000C6754"/>
    <w:rsid w:val="000C782F"/>
    <w:rsid w:val="000C7AB3"/>
    <w:rsid w:val="000C7B97"/>
    <w:rsid w:val="000D127C"/>
    <w:rsid w:val="000D33AC"/>
    <w:rsid w:val="000D48AA"/>
    <w:rsid w:val="000D6775"/>
    <w:rsid w:val="000D6F45"/>
    <w:rsid w:val="000D7CDB"/>
    <w:rsid w:val="000E0D82"/>
    <w:rsid w:val="000E141A"/>
    <w:rsid w:val="000E14D3"/>
    <w:rsid w:val="000E18F8"/>
    <w:rsid w:val="000E1D0C"/>
    <w:rsid w:val="000E1D69"/>
    <w:rsid w:val="000E408E"/>
    <w:rsid w:val="000E40C9"/>
    <w:rsid w:val="000E68CE"/>
    <w:rsid w:val="000E70B5"/>
    <w:rsid w:val="000F21A4"/>
    <w:rsid w:val="000F3343"/>
    <w:rsid w:val="000F5013"/>
    <w:rsid w:val="000F6E44"/>
    <w:rsid w:val="000F78F6"/>
    <w:rsid w:val="0010096D"/>
    <w:rsid w:val="00101104"/>
    <w:rsid w:val="0010361C"/>
    <w:rsid w:val="00104666"/>
    <w:rsid w:val="0010567E"/>
    <w:rsid w:val="001066FF"/>
    <w:rsid w:val="001070D6"/>
    <w:rsid w:val="00111724"/>
    <w:rsid w:val="001141CF"/>
    <w:rsid w:val="0011455E"/>
    <w:rsid w:val="0011588F"/>
    <w:rsid w:val="00115EB1"/>
    <w:rsid w:val="00117BB7"/>
    <w:rsid w:val="00120124"/>
    <w:rsid w:val="00122719"/>
    <w:rsid w:val="00122CCE"/>
    <w:rsid w:val="00123B6F"/>
    <w:rsid w:val="00126BB4"/>
    <w:rsid w:val="0013144C"/>
    <w:rsid w:val="00132A17"/>
    <w:rsid w:val="001354EF"/>
    <w:rsid w:val="00136319"/>
    <w:rsid w:val="00136386"/>
    <w:rsid w:val="001365A9"/>
    <w:rsid w:val="001369A7"/>
    <w:rsid w:val="00140937"/>
    <w:rsid w:val="00142B3C"/>
    <w:rsid w:val="00144485"/>
    <w:rsid w:val="00144DC8"/>
    <w:rsid w:val="0014532F"/>
    <w:rsid w:val="001464FA"/>
    <w:rsid w:val="00150BBF"/>
    <w:rsid w:val="00151C33"/>
    <w:rsid w:val="00151EF2"/>
    <w:rsid w:val="00151F6C"/>
    <w:rsid w:val="00152A20"/>
    <w:rsid w:val="001550C2"/>
    <w:rsid w:val="001554AB"/>
    <w:rsid w:val="00156FB0"/>
    <w:rsid w:val="00157A7A"/>
    <w:rsid w:val="00157FDD"/>
    <w:rsid w:val="00161363"/>
    <w:rsid w:val="001624D1"/>
    <w:rsid w:val="00162ECC"/>
    <w:rsid w:val="00165059"/>
    <w:rsid w:val="00166B18"/>
    <w:rsid w:val="001716EE"/>
    <w:rsid w:val="001728AD"/>
    <w:rsid w:val="001734F5"/>
    <w:rsid w:val="00174487"/>
    <w:rsid w:val="00174656"/>
    <w:rsid w:val="00181B1C"/>
    <w:rsid w:val="001826CC"/>
    <w:rsid w:val="001846F1"/>
    <w:rsid w:val="001859BC"/>
    <w:rsid w:val="00186DB2"/>
    <w:rsid w:val="00187074"/>
    <w:rsid w:val="00190A25"/>
    <w:rsid w:val="00190E23"/>
    <w:rsid w:val="00191692"/>
    <w:rsid w:val="00191C29"/>
    <w:rsid w:val="00192661"/>
    <w:rsid w:val="001930BD"/>
    <w:rsid w:val="001944C9"/>
    <w:rsid w:val="001951B5"/>
    <w:rsid w:val="001962DB"/>
    <w:rsid w:val="001963C5"/>
    <w:rsid w:val="00197E5D"/>
    <w:rsid w:val="001A1AE5"/>
    <w:rsid w:val="001A2930"/>
    <w:rsid w:val="001A298C"/>
    <w:rsid w:val="001A3312"/>
    <w:rsid w:val="001A3BC6"/>
    <w:rsid w:val="001A4A9B"/>
    <w:rsid w:val="001A570E"/>
    <w:rsid w:val="001A61E3"/>
    <w:rsid w:val="001A67E5"/>
    <w:rsid w:val="001A7088"/>
    <w:rsid w:val="001A77EB"/>
    <w:rsid w:val="001B0B6C"/>
    <w:rsid w:val="001B1501"/>
    <w:rsid w:val="001B2D2B"/>
    <w:rsid w:val="001B318F"/>
    <w:rsid w:val="001B48F5"/>
    <w:rsid w:val="001B49BB"/>
    <w:rsid w:val="001B6F0F"/>
    <w:rsid w:val="001C0CDC"/>
    <w:rsid w:val="001C7EDE"/>
    <w:rsid w:val="001D0382"/>
    <w:rsid w:val="001D21E7"/>
    <w:rsid w:val="001D2F64"/>
    <w:rsid w:val="001D3296"/>
    <w:rsid w:val="001D440D"/>
    <w:rsid w:val="001D683F"/>
    <w:rsid w:val="001D7998"/>
    <w:rsid w:val="001E3BA6"/>
    <w:rsid w:val="001E4BAA"/>
    <w:rsid w:val="001E4FE7"/>
    <w:rsid w:val="001E5104"/>
    <w:rsid w:val="001E5817"/>
    <w:rsid w:val="001E5831"/>
    <w:rsid w:val="001E7A64"/>
    <w:rsid w:val="001F04C9"/>
    <w:rsid w:val="001F0B02"/>
    <w:rsid w:val="001F187F"/>
    <w:rsid w:val="001F1D92"/>
    <w:rsid w:val="001F3F5C"/>
    <w:rsid w:val="001F668A"/>
    <w:rsid w:val="001F7383"/>
    <w:rsid w:val="00201B60"/>
    <w:rsid w:val="00201E0C"/>
    <w:rsid w:val="002021D8"/>
    <w:rsid w:val="002030A3"/>
    <w:rsid w:val="002033D4"/>
    <w:rsid w:val="00206D06"/>
    <w:rsid w:val="00207B24"/>
    <w:rsid w:val="00213419"/>
    <w:rsid w:val="00215770"/>
    <w:rsid w:val="0021586C"/>
    <w:rsid w:val="00216AC6"/>
    <w:rsid w:val="00216FEA"/>
    <w:rsid w:val="00217C4D"/>
    <w:rsid w:val="002217F3"/>
    <w:rsid w:val="002226E1"/>
    <w:rsid w:val="0022389F"/>
    <w:rsid w:val="00224F93"/>
    <w:rsid w:val="002261E0"/>
    <w:rsid w:val="0023161A"/>
    <w:rsid w:val="002323F4"/>
    <w:rsid w:val="002340E7"/>
    <w:rsid w:val="00234373"/>
    <w:rsid w:val="002344FE"/>
    <w:rsid w:val="00236D4C"/>
    <w:rsid w:val="00240132"/>
    <w:rsid w:val="00240B66"/>
    <w:rsid w:val="00242C4B"/>
    <w:rsid w:val="00242D16"/>
    <w:rsid w:val="00245F3E"/>
    <w:rsid w:val="00246F32"/>
    <w:rsid w:val="00250072"/>
    <w:rsid w:val="00251960"/>
    <w:rsid w:val="002526DB"/>
    <w:rsid w:val="00252C38"/>
    <w:rsid w:val="002539D6"/>
    <w:rsid w:val="00260497"/>
    <w:rsid w:val="00262C58"/>
    <w:rsid w:val="002633E2"/>
    <w:rsid w:val="0026542C"/>
    <w:rsid w:val="002664B6"/>
    <w:rsid w:val="002675BC"/>
    <w:rsid w:val="0027219C"/>
    <w:rsid w:val="00273182"/>
    <w:rsid w:val="002746FA"/>
    <w:rsid w:val="0027618D"/>
    <w:rsid w:val="0027633C"/>
    <w:rsid w:val="00276D74"/>
    <w:rsid w:val="00280B4B"/>
    <w:rsid w:val="00281638"/>
    <w:rsid w:val="00282205"/>
    <w:rsid w:val="00282DB5"/>
    <w:rsid w:val="00283E1E"/>
    <w:rsid w:val="002864DA"/>
    <w:rsid w:val="00290803"/>
    <w:rsid w:val="00290A93"/>
    <w:rsid w:val="00290DB2"/>
    <w:rsid w:val="00291E8B"/>
    <w:rsid w:val="00294C7E"/>
    <w:rsid w:val="00296C60"/>
    <w:rsid w:val="002971C2"/>
    <w:rsid w:val="002A097B"/>
    <w:rsid w:val="002A187C"/>
    <w:rsid w:val="002A237B"/>
    <w:rsid w:val="002A3605"/>
    <w:rsid w:val="002A470C"/>
    <w:rsid w:val="002A5131"/>
    <w:rsid w:val="002A5236"/>
    <w:rsid w:val="002A5E69"/>
    <w:rsid w:val="002A6D44"/>
    <w:rsid w:val="002A7162"/>
    <w:rsid w:val="002A79FB"/>
    <w:rsid w:val="002B09DE"/>
    <w:rsid w:val="002B2043"/>
    <w:rsid w:val="002B24E5"/>
    <w:rsid w:val="002B2D06"/>
    <w:rsid w:val="002B379B"/>
    <w:rsid w:val="002B3DA2"/>
    <w:rsid w:val="002B43B7"/>
    <w:rsid w:val="002B52E4"/>
    <w:rsid w:val="002B5B3E"/>
    <w:rsid w:val="002B71B7"/>
    <w:rsid w:val="002C13C1"/>
    <w:rsid w:val="002C1ADE"/>
    <w:rsid w:val="002C25C0"/>
    <w:rsid w:val="002C2AAB"/>
    <w:rsid w:val="002C2F98"/>
    <w:rsid w:val="002C443C"/>
    <w:rsid w:val="002C6A51"/>
    <w:rsid w:val="002C6BD8"/>
    <w:rsid w:val="002C7FE6"/>
    <w:rsid w:val="002D09EA"/>
    <w:rsid w:val="002D103D"/>
    <w:rsid w:val="002D17C7"/>
    <w:rsid w:val="002D4181"/>
    <w:rsid w:val="002D55D1"/>
    <w:rsid w:val="002D7BF0"/>
    <w:rsid w:val="002E14FE"/>
    <w:rsid w:val="002E21B1"/>
    <w:rsid w:val="002E22DE"/>
    <w:rsid w:val="002E36D6"/>
    <w:rsid w:val="002E44B3"/>
    <w:rsid w:val="002E7DD4"/>
    <w:rsid w:val="002F04F8"/>
    <w:rsid w:val="002F3573"/>
    <w:rsid w:val="002F4A53"/>
    <w:rsid w:val="002F4EA5"/>
    <w:rsid w:val="002F526C"/>
    <w:rsid w:val="002F671A"/>
    <w:rsid w:val="002F75F0"/>
    <w:rsid w:val="003005FA"/>
    <w:rsid w:val="00303DDF"/>
    <w:rsid w:val="00304223"/>
    <w:rsid w:val="00304CB8"/>
    <w:rsid w:val="00305B79"/>
    <w:rsid w:val="00305DEF"/>
    <w:rsid w:val="00306733"/>
    <w:rsid w:val="00307EAA"/>
    <w:rsid w:val="00314438"/>
    <w:rsid w:val="003174DB"/>
    <w:rsid w:val="00320053"/>
    <w:rsid w:val="003200D8"/>
    <w:rsid w:val="00322CE5"/>
    <w:rsid w:val="00323F18"/>
    <w:rsid w:val="003253EA"/>
    <w:rsid w:val="00326670"/>
    <w:rsid w:val="00326F27"/>
    <w:rsid w:val="003308B2"/>
    <w:rsid w:val="0033213C"/>
    <w:rsid w:val="00334BEC"/>
    <w:rsid w:val="00336339"/>
    <w:rsid w:val="003418C1"/>
    <w:rsid w:val="00341955"/>
    <w:rsid w:val="00343457"/>
    <w:rsid w:val="00343D5D"/>
    <w:rsid w:val="003464C0"/>
    <w:rsid w:val="0034727B"/>
    <w:rsid w:val="0035034F"/>
    <w:rsid w:val="00350CBC"/>
    <w:rsid w:val="00350DA3"/>
    <w:rsid w:val="00350DCE"/>
    <w:rsid w:val="003510A8"/>
    <w:rsid w:val="003528B2"/>
    <w:rsid w:val="00356221"/>
    <w:rsid w:val="003565AF"/>
    <w:rsid w:val="00360F26"/>
    <w:rsid w:val="00366355"/>
    <w:rsid w:val="0036689D"/>
    <w:rsid w:val="003673FA"/>
    <w:rsid w:val="003700BF"/>
    <w:rsid w:val="00370207"/>
    <w:rsid w:val="00370CDF"/>
    <w:rsid w:val="00371011"/>
    <w:rsid w:val="0037117E"/>
    <w:rsid w:val="00372010"/>
    <w:rsid w:val="0037257E"/>
    <w:rsid w:val="003737A5"/>
    <w:rsid w:val="0037420C"/>
    <w:rsid w:val="00377F7C"/>
    <w:rsid w:val="0038143A"/>
    <w:rsid w:val="00381A14"/>
    <w:rsid w:val="00383C0C"/>
    <w:rsid w:val="00384949"/>
    <w:rsid w:val="0038579F"/>
    <w:rsid w:val="003905C9"/>
    <w:rsid w:val="003946DA"/>
    <w:rsid w:val="00395227"/>
    <w:rsid w:val="00396033"/>
    <w:rsid w:val="003965E9"/>
    <w:rsid w:val="00396BC0"/>
    <w:rsid w:val="003A2A93"/>
    <w:rsid w:val="003A3C22"/>
    <w:rsid w:val="003A46CC"/>
    <w:rsid w:val="003A61C1"/>
    <w:rsid w:val="003A633E"/>
    <w:rsid w:val="003A6CBD"/>
    <w:rsid w:val="003B076C"/>
    <w:rsid w:val="003B0F7D"/>
    <w:rsid w:val="003B111E"/>
    <w:rsid w:val="003B3210"/>
    <w:rsid w:val="003B4286"/>
    <w:rsid w:val="003B48F4"/>
    <w:rsid w:val="003B50B2"/>
    <w:rsid w:val="003B6CFC"/>
    <w:rsid w:val="003B6FB3"/>
    <w:rsid w:val="003B7B3C"/>
    <w:rsid w:val="003B7EF6"/>
    <w:rsid w:val="003C0269"/>
    <w:rsid w:val="003C039E"/>
    <w:rsid w:val="003C2994"/>
    <w:rsid w:val="003C36AB"/>
    <w:rsid w:val="003C3B7C"/>
    <w:rsid w:val="003C5D1E"/>
    <w:rsid w:val="003C6682"/>
    <w:rsid w:val="003C6EC5"/>
    <w:rsid w:val="003D2F9A"/>
    <w:rsid w:val="003D5938"/>
    <w:rsid w:val="003E0F58"/>
    <w:rsid w:val="003E2018"/>
    <w:rsid w:val="003E22F7"/>
    <w:rsid w:val="003E2303"/>
    <w:rsid w:val="003E24CE"/>
    <w:rsid w:val="003E507C"/>
    <w:rsid w:val="003E631E"/>
    <w:rsid w:val="003E7B93"/>
    <w:rsid w:val="003F141E"/>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0948"/>
    <w:rsid w:val="004017C0"/>
    <w:rsid w:val="00401FDC"/>
    <w:rsid w:val="00402BF7"/>
    <w:rsid w:val="00402E07"/>
    <w:rsid w:val="00402E79"/>
    <w:rsid w:val="00403F49"/>
    <w:rsid w:val="004066D4"/>
    <w:rsid w:val="0040776B"/>
    <w:rsid w:val="00407F46"/>
    <w:rsid w:val="0041199F"/>
    <w:rsid w:val="004123DD"/>
    <w:rsid w:val="00412C1E"/>
    <w:rsid w:val="0041325F"/>
    <w:rsid w:val="00413FF2"/>
    <w:rsid w:val="00414D18"/>
    <w:rsid w:val="004158B7"/>
    <w:rsid w:val="00416E63"/>
    <w:rsid w:val="004170AD"/>
    <w:rsid w:val="00417778"/>
    <w:rsid w:val="0042132B"/>
    <w:rsid w:val="00421582"/>
    <w:rsid w:val="00422AF9"/>
    <w:rsid w:val="00423E0B"/>
    <w:rsid w:val="00423E7D"/>
    <w:rsid w:val="00426487"/>
    <w:rsid w:val="0042682A"/>
    <w:rsid w:val="004279BF"/>
    <w:rsid w:val="004303A3"/>
    <w:rsid w:val="0043176A"/>
    <w:rsid w:val="00432186"/>
    <w:rsid w:val="004339AB"/>
    <w:rsid w:val="00433E4C"/>
    <w:rsid w:val="004355D1"/>
    <w:rsid w:val="00437FF9"/>
    <w:rsid w:val="004404BD"/>
    <w:rsid w:val="004405A9"/>
    <w:rsid w:val="004407B6"/>
    <w:rsid w:val="00440A9D"/>
    <w:rsid w:val="00442281"/>
    <w:rsid w:val="0044263C"/>
    <w:rsid w:val="00442F1C"/>
    <w:rsid w:val="00443124"/>
    <w:rsid w:val="004438EC"/>
    <w:rsid w:val="004462B3"/>
    <w:rsid w:val="00446437"/>
    <w:rsid w:val="00446F1E"/>
    <w:rsid w:val="004472F7"/>
    <w:rsid w:val="00447671"/>
    <w:rsid w:val="00447F2E"/>
    <w:rsid w:val="004506DA"/>
    <w:rsid w:val="0045175C"/>
    <w:rsid w:val="00451DCD"/>
    <w:rsid w:val="0045310A"/>
    <w:rsid w:val="00456E18"/>
    <w:rsid w:val="00456F35"/>
    <w:rsid w:val="00460192"/>
    <w:rsid w:val="004606A6"/>
    <w:rsid w:val="004611A7"/>
    <w:rsid w:val="004612F6"/>
    <w:rsid w:val="0046195A"/>
    <w:rsid w:val="0046245F"/>
    <w:rsid w:val="004631DC"/>
    <w:rsid w:val="00464824"/>
    <w:rsid w:val="004654DA"/>
    <w:rsid w:val="00471B41"/>
    <w:rsid w:val="00472A23"/>
    <w:rsid w:val="00473500"/>
    <w:rsid w:val="00476DB5"/>
    <w:rsid w:val="00480DC0"/>
    <w:rsid w:val="004823E4"/>
    <w:rsid w:val="00483D7F"/>
    <w:rsid w:val="0048424C"/>
    <w:rsid w:val="0048469A"/>
    <w:rsid w:val="004853AC"/>
    <w:rsid w:val="00485AF3"/>
    <w:rsid w:val="00485CC9"/>
    <w:rsid w:val="00486FE5"/>
    <w:rsid w:val="00491A33"/>
    <w:rsid w:val="00492A7A"/>
    <w:rsid w:val="00493823"/>
    <w:rsid w:val="00494E7B"/>
    <w:rsid w:val="004961C4"/>
    <w:rsid w:val="00497489"/>
    <w:rsid w:val="004974DC"/>
    <w:rsid w:val="004A0B67"/>
    <w:rsid w:val="004A156F"/>
    <w:rsid w:val="004A26B1"/>
    <w:rsid w:val="004A2C5F"/>
    <w:rsid w:val="004A3264"/>
    <w:rsid w:val="004A3558"/>
    <w:rsid w:val="004A44B6"/>
    <w:rsid w:val="004A486B"/>
    <w:rsid w:val="004A69F7"/>
    <w:rsid w:val="004A6C90"/>
    <w:rsid w:val="004A79D6"/>
    <w:rsid w:val="004B0CE3"/>
    <w:rsid w:val="004B1CCC"/>
    <w:rsid w:val="004B200F"/>
    <w:rsid w:val="004B205C"/>
    <w:rsid w:val="004B381A"/>
    <w:rsid w:val="004B408B"/>
    <w:rsid w:val="004B42DE"/>
    <w:rsid w:val="004B7770"/>
    <w:rsid w:val="004B7E43"/>
    <w:rsid w:val="004C082D"/>
    <w:rsid w:val="004C0BC0"/>
    <w:rsid w:val="004C1A01"/>
    <w:rsid w:val="004C2691"/>
    <w:rsid w:val="004C4D1D"/>
    <w:rsid w:val="004C53E9"/>
    <w:rsid w:val="004C5591"/>
    <w:rsid w:val="004C6C9E"/>
    <w:rsid w:val="004C775A"/>
    <w:rsid w:val="004D0AFD"/>
    <w:rsid w:val="004D0B3B"/>
    <w:rsid w:val="004D0CF0"/>
    <w:rsid w:val="004D11E0"/>
    <w:rsid w:val="004D1AAF"/>
    <w:rsid w:val="004D2627"/>
    <w:rsid w:val="004D27F0"/>
    <w:rsid w:val="004D3C25"/>
    <w:rsid w:val="004D3C68"/>
    <w:rsid w:val="004D6CBF"/>
    <w:rsid w:val="004D6D28"/>
    <w:rsid w:val="004D7C2C"/>
    <w:rsid w:val="004E04A7"/>
    <w:rsid w:val="004E1861"/>
    <w:rsid w:val="004E1936"/>
    <w:rsid w:val="004E1D50"/>
    <w:rsid w:val="004E292D"/>
    <w:rsid w:val="004E4308"/>
    <w:rsid w:val="004E4DA4"/>
    <w:rsid w:val="004E6390"/>
    <w:rsid w:val="004E674D"/>
    <w:rsid w:val="004E6F5B"/>
    <w:rsid w:val="004F0582"/>
    <w:rsid w:val="004F3FFF"/>
    <w:rsid w:val="004F5D45"/>
    <w:rsid w:val="005004F5"/>
    <w:rsid w:val="005013C7"/>
    <w:rsid w:val="00501926"/>
    <w:rsid w:val="0050279B"/>
    <w:rsid w:val="00504AC1"/>
    <w:rsid w:val="005054B2"/>
    <w:rsid w:val="00505978"/>
    <w:rsid w:val="00506331"/>
    <w:rsid w:val="00506E1B"/>
    <w:rsid w:val="00507536"/>
    <w:rsid w:val="005105BF"/>
    <w:rsid w:val="005113B7"/>
    <w:rsid w:val="0051217F"/>
    <w:rsid w:val="005136A6"/>
    <w:rsid w:val="005139BD"/>
    <w:rsid w:val="00513A65"/>
    <w:rsid w:val="00514027"/>
    <w:rsid w:val="0051443F"/>
    <w:rsid w:val="00514D76"/>
    <w:rsid w:val="00517A97"/>
    <w:rsid w:val="0052186F"/>
    <w:rsid w:val="00521B15"/>
    <w:rsid w:val="005245E7"/>
    <w:rsid w:val="00525F51"/>
    <w:rsid w:val="00526CDD"/>
    <w:rsid w:val="0052738C"/>
    <w:rsid w:val="00527930"/>
    <w:rsid w:val="0053091D"/>
    <w:rsid w:val="005325E7"/>
    <w:rsid w:val="0053294F"/>
    <w:rsid w:val="00532E35"/>
    <w:rsid w:val="00533AA0"/>
    <w:rsid w:val="00535244"/>
    <w:rsid w:val="0053605A"/>
    <w:rsid w:val="0053647C"/>
    <w:rsid w:val="00536AC6"/>
    <w:rsid w:val="005377D5"/>
    <w:rsid w:val="005402B1"/>
    <w:rsid w:val="00540705"/>
    <w:rsid w:val="00542907"/>
    <w:rsid w:val="00545031"/>
    <w:rsid w:val="00545881"/>
    <w:rsid w:val="00546609"/>
    <w:rsid w:val="00551970"/>
    <w:rsid w:val="00552E9D"/>
    <w:rsid w:val="00560BB6"/>
    <w:rsid w:val="00562395"/>
    <w:rsid w:val="005625E1"/>
    <w:rsid w:val="00563618"/>
    <w:rsid w:val="005652C4"/>
    <w:rsid w:val="005661D3"/>
    <w:rsid w:val="00567260"/>
    <w:rsid w:val="005674CD"/>
    <w:rsid w:val="00567913"/>
    <w:rsid w:val="005716AA"/>
    <w:rsid w:val="005747BB"/>
    <w:rsid w:val="00574BCB"/>
    <w:rsid w:val="005751DB"/>
    <w:rsid w:val="00575616"/>
    <w:rsid w:val="00576D07"/>
    <w:rsid w:val="00580927"/>
    <w:rsid w:val="00581440"/>
    <w:rsid w:val="0058156C"/>
    <w:rsid w:val="00583FDB"/>
    <w:rsid w:val="0058671F"/>
    <w:rsid w:val="00586A00"/>
    <w:rsid w:val="00587CCB"/>
    <w:rsid w:val="00590254"/>
    <w:rsid w:val="0059077D"/>
    <w:rsid w:val="00590BD9"/>
    <w:rsid w:val="00591740"/>
    <w:rsid w:val="00591A87"/>
    <w:rsid w:val="0059378E"/>
    <w:rsid w:val="0059427A"/>
    <w:rsid w:val="00596788"/>
    <w:rsid w:val="00596B87"/>
    <w:rsid w:val="005A21FC"/>
    <w:rsid w:val="005A3DD0"/>
    <w:rsid w:val="005A3F9E"/>
    <w:rsid w:val="005A4344"/>
    <w:rsid w:val="005A64BF"/>
    <w:rsid w:val="005A6650"/>
    <w:rsid w:val="005A745B"/>
    <w:rsid w:val="005A7B1D"/>
    <w:rsid w:val="005A7DFA"/>
    <w:rsid w:val="005B0D56"/>
    <w:rsid w:val="005B2B70"/>
    <w:rsid w:val="005B5012"/>
    <w:rsid w:val="005B511B"/>
    <w:rsid w:val="005B51FD"/>
    <w:rsid w:val="005B64B8"/>
    <w:rsid w:val="005B6B76"/>
    <w:rsid w:val="005B7CEA"/>
    <w:rsid w:val="005C20AB"/>
    <w:rsid w:val="005C2CC3"/>
    <w:rsid w:val="005C33BD"/>
    <w:rsid w:val="005C38D1"/>
    <w:rsid w:val="005C4442"/>
    <w:rsid w:val="005C4B63"/>
    <w:rsid w:val="005C6504"/>
    <w:rsid w:val="005C6973"/>
    <w:rsid w:val="005C6EFF"/>
    <w:rsid w:val="005C7FE7"/>
    <w:rsid w:val="005D1F3F"/>
    <w:rsid w:val="005D204C"/>
    <w:rsid w:val="005D23C5"/>
    <w:rsid w:val="005D77F7"/>
    <w:rsid w:val="005E10A7"/>
    <w:rsid w:val="005E1F5C"/>
    <w:rsid w:val="005E28F8"/>
    <w:rsid w:val="005E3F0A"/>
    <w:rsid w:val="005E4DC0"/>
    <w:rsid w:val="005E51A2"/>
    <w:rsid w:val="005E53A6"/>
    <w:rsid w:val="005E6A94"/>
    <w:rsid w:val="005E6FD2"/>
    <w:rsid w:val="005E7AEB"/>
    <w:rsid w:val="005F06C2"/>
    <w:rsid w:val="005F0FBB"/>
    <w:rsid w:val="005F12E7"/>
    <w:rsid w:val="005F196B"/>
    <w:rsid w:val="005F28B4"/>
    <w:rsid w:val="005F363E"/>
    <w:rsid w:val="005F3AB8"/>
    <w:rsid w:val="005F4865"/>
    <w:rsid w:val="005F4879"/>
    <w:rsid w:val="005F5F5D"/>
    <w:rsid w:val="005F61B4"/>
    <w:rsid w:val="005F719F"/>
    <w:rsid w:val="00600C61"/>
    <w:rsid w:val="00603E32"/>
    <w:rsid w:val="00604457"/>
    <w:rsid w:val="00604649"/>
    <w:rsid w:val="006053FE"/>
    <w:rsid w:val="00605D23"/>
    <w:rsid w:val="00606B98"/>
    <w:rsid w:val="00606EBA"/>
    <w:rsid w:val="00610C65"/>
    <w:rsid w:val="00610FF1"/>
    <w:rsid w:val="0061219A"/>
    <w:rsid w:val="00612380"/>
    <w:rsid w:val="00612BFC"/>
    <w:rsid w:val="006138B8"/>
    <w:rsid w:val="00613CEB"/>
    <w:rsid w:val="006145F4"/>
    <w:rsid w:val="00614B22"/>
    <w:rsid w:val="00614EE4"/>
    <w:rsid w:val="00615A77"/>
    <w:rsid w:val="00616715"/>
    <w:rsid w:val="0061783A"/>
    <w:rsid w:val="00617A4E"/>
    <w:rsid w:val="00617BC4"/>
    <w:rsid w:val="00617D51"/>
    <w:rsid w:val="006203F2"/>
    <w:rsid w:val="0062069D"/>
    <w:rsid w:val="00620F86"/>
    <w:rsid w:val="00621534"/>
    <w:rsid w:val="006229B9"/>
    <w:rsid w:val="00622E76"/>
    <w:rsid w:val="00622FA4"/>
    <w:rsid w:val="0062379A"/>
    <w:rsid w:val="006239DF"/>
    <w:rsid w:val="00624890"/>
    <w:rsid w:val="00624BD1"/>
    <w:rsid w:val="00624DAA"/>
    <w:rsid w:val="006266B8"/>
    <w:rsid w:val="006268F7"/>
    <w:rsid w:val="00627216"/>
    <w:rsid w:val="00631F18"/>
    <w:rsid w:val="006320E3"/>
    <w:rsid w:val="00632198"/>
    <w:rsid w:val="00635081"/>
    <w:rsid w:val="006367DF"/>
    <w:rsid w:val="00636C30"/>
    <w:rsid w:val="006379DD"/>
    <w:rsid w:val="00637A13"/>
    <w:rsid w:val="00637CBD"/>
    <w:rsid w:val="006415F7"/>
    <w:rsid w:val="006441BE"/>
    <w:rsid w:val="00644639"/>
    <w:rsid w:val="00644754"/>
    <w:rsid w:val="00645468"/>
    <w:rsid w:val="0064749E"/>
    <w:rsid w:val="0065185E"/>
    <w:rsid w:val="006518D5"/>
    <w:rsid w:val="006526EF"/>
    <w:rsid w:val="00653450"/>
    <w:rsid w:val="006543C8"/>
    <w:rsid w:val="006574C5"/>
    <w:rsid w:val="006578AB"/>
    <w:rsid w:val="00657B18"/>
    <w:rsid w:val="00660705"/>
    <w:rsid w:val="00661E60"/>
    <w:rsid w:val="00662C09"/>
    <w:rsid w:val="006636EB"/>
    <w:rsid w:val="00664C14"/>
    <w:rsid w:val="006651BE"/>
    <w:rsid w:val="006652DA"/>
    <w:rsid w:val="00672642"/>
    <w:rsid w:val="00673AE7"/>
    <w:rsid w:val="00676D48"/>
    <w:rsid w:val="00677BC2"/>
    <w:rsid w:val="00681422"/>
    <w:rsid w:val="00682944"/>
    <w:rsid w:val="006830DE"/>
    <w:rsid w:val="006834E6"/>
    <w:rsid w:val="006837A8"/>
    <w:rsid w:val="006850F3"/>
    <w:rsid w:val="00686AAE"/>
    <w:rsid w:val="006872EF"/>
    <w:rsid w:val="006876C8"/>
    <w:rsid w:val="006878A1"/>
    <w:rsid w:val="00687A7A"/>
    <w:rsid w:val="00690617"/>
    <w:rsid w:val="0069152C"/>
    <w:rsid w:val="00691AA0"/>
    <w:rsid w:val="00694571"/>
    <w:rsid w:val="00696418"/>
    <w:rsid w:val="006972F8"/>
    <w:rsid w:val="006A332D"/>
    <w:rsid w:val="006A38B1"/>
    <w:rsid w:val="006A3CC1"/>
    <w:rsid w:val="006A5D27"/>
    <w:rsid w:val="006A76B2"/>
    <w:rsid w:val="006B08AC"/>
    <w:rsid w:val="006B1083"/>
    <w:rsid w:val="006B193A"/>
    <w:rsid w:val="006B1C53"/>
    <w:rsid w:val="006B1C57"/>
    <w:rsid w:val="006B2F8F"/>
    <w:rsid w:val="006B3079"/>
    <w:rsid w:val="006B33D0"/>
    <w:rsid w:val="006B3B5A"/>
    <w:rsid w:val="006B4DBC"/>
    <w:rsid w:val="006B5BD5"/>
    <w:rsid w:val="006C06C7"/>
    <w:rsid w:val="006C1733"/>
    <w:rsid w:val="006C364A"/>
    <w:rsid w:val="006C3AF0"/>
    <w:rsid w:val="006C3F4C"/>
    <w:rsid w:val="006C5E0C"/>
    <w:rsid w:val="006C6C50"/>
    <w:rsid w:val="006C7C64"/>
    <w:rsid w:val="006D0E64"/>
    <w:rsid w:val="006D15D9"/>
    <w:rsid w:val="006D2528"/>
    <w:rsid w:val="006D43F1"/>
    <w:rsid w:val="006D508D"/>
    <w:rsid w:val="006D527A"/>
    <w:rsid w:val="006D5A6C"/>
    <w:rsid w:val="006D5B74"/>
    <w:rsid w:val="006D7B9F"/>
    <w:rsid w:val="006E0571"/>
    <w:rsid w:val="006E3FDC"/>
    <w:rsid w:val="006E466C"/>
    <w:rsid w:val="006E54B9"/>
    <w:rsid w:val="006E6A56"/>
    <w:rsid w:val="006E71A7"/>
    <w:rsid w:val="006E777E"/>
    <w:rsid w:val="006F0854"/>
    <w:rsid w:val="006F1A34"/>
    <w:rsid w:val="006F25BE"/>
    <w:rsid w:val="006F6116"/>
    <w:rsid w:val="0070000F"/>
    <w:rsid w:val="007030B4"/>
    <w:rsid w:val="007042A8"/>
    <w:rsid w:val="007047A6"/>
    <w:rsid w:val="0070654B"/>
    <w:rsid w:val="007069F9"/>
    <w:rsid w:val="00710127"/>
    <w:rsid w:val="0071214E"/>
    <w:rsid w:val="00715DE0"/>
    <w:rsid w:val="00720277"/>
    <w:rsid w:val="007215F4"/>
    <w:rsid w:val="0072251F"/>
    <w:rsid w:val="00722BF2"/>
    <w:rsid w:val="007232AF"/>
    <w:rsid w:val="007240DA"/>
    <w:rsid w:val="0072410E"/>
    <w:rsid w:val="007259E3"/>
    <w:rsid w:val="0072633E"/>
    <w:rsid w:val="007275E2"/>
    <w:rsid w:val="00727B1D"/>
    <w:rsid w:val="0073056B"/>
    <w:rsid w:val="007305FF"/>
    <w:rsid w:val="0073094E"/>
    <w:rsid w:val="00735EB7"/>
    <w:rsid w:val="007375AC"/>
    <w:rsid w:val="007377B4"/>
    <w:rsid w:val="00740560"/>
    <w:rsid w:val="0074683D"/>
    <w:rsid w:val="00746F43"/>
    <w:rsid w:val="00750167"/>
    <w:rsid w:val="00751D2B"/>
    <w:rsid w:val="007528D4"/>
    <w:rsid w:val="00753345"/>
    <w:rsid w:val="00753ECA"/>
    <w:rsid w:val="00754253"/>
    <w:rsid w:val="007547B4"/>
    <w:rsid w:val="007555DF"/>
    <w:rsid w:val="00755868"/>
    <w:rsid w:val="0075753D"/>
    <w:rsid w:val="00760B94"/>
    <w:rsid w:val="007649B5"/>
    <w:rsid w:val="007649C7"/>
    <w:rsid w:val="00764FE7"/>
    <w:rsid w:val="00765E5B"/>
    <w:rsid w:val="007664C0"/>
    <w:rsid w:val="00770167"/>
    <w:rsid w:val="00772163"/>
    <w:rsid w:val="0077226C"/>
    <w:rsid w:val="00772BCA"/>
    <w:rsid w:val="00773551"/>
    <w:rsid w:val="0077602B"/>
    <w:rsid w:val="00776D00"/>
    <w:rsid w:val="00780489"/>
    <w:rsid w:val="0078084E"/>
    <w:rsid w:val="00781D06"/>
    <w:rsid w:val="00783B2C"/>
    <w:rsid w:val="00784044"/>
    <w:rsid w:val="00784620"/>
    <w:rsid w:val="00784E04"/>
    <w:rsid w:val="0078582A"/>
    <w:rsid w:val="00785D13"/>
    <w:rsid w:val="00787E4D"/>
    <w:rsid w:val="00790696"/>
    <w:rsid w:val="00793CDF"/>
    <w:rsid w:val="00796CD4"/>
    <w:rsid w:val="00797B5B"/>
    <w:rsid w:val="00797B7A"/>
    <w:rsid w:val="007A0159"/>
    <w:rsid w:val="007A246B"/>
    <w:rsid w:val="007A2936"/>
    <w:rsid w:val="007A5AA5"/>
    <w:rsid w:val="007A5D9F"/>
    <w:rsid w:val="007A6005"/>
    <w:rsid w:val="007A6ADB"/>
    <w:rsid w:val="007A6E72"/>
    <w:rsid w:val="007A7E4D"/>
    <w:rsid w:val="007B056F"/>
    <w:rsid w:val="007B0B2B"/>
    <w:rsid w:val="007B17AD"/>
    <w:rsid w:val="007B1852"/>
    <w:rsid w:val="007B30FC"/>
    <w:rsid w:val="007B67CD"/>
    <w:rsid w:val="007B6A72"/>
    <w:rsid w:val="007C1CEE"/>
    <w:rsid w:val="007C204E"/>
    <w:rsid w:val="007C2548"/>
    <w:rsid w:val="007C30F2"/>
    <w:rsid w:val="007C3F60"/>
    <w:rsid w:val="007C5478"/>
    <w:rsid w:val="007C557F"/>
    <w:rsid w:val="007C55F8"/>
    <w:rsid w:val="007C619A"/>
    <w:rsid w:val="007D06FF"/>
    <w:rsid w:val="007D0C57"/>
    <w:rsid w:val="007D2ABE"/>
    <w:rsid w:val="007D3868"/>
    <w:rsid w:val="007D5A8D"/>
    <w:rsid w:val="007D6085"/>
    <w:rsid w:val="007E01BF"/>
    <w:rsid w:val="007E1820"/>
    <w:rsid w:val="007E1A9C"/>
    <w:rsid w:val="007E1BC4"/>
    <w:rsid w:val="007E2598"/>
    <w:rsid w:val="007E26BF"/>
    <w:rsid w:val="007E2F03"/>
    <w:rsid w:val="007E2FE0"/>
    <w:rsid w:val="007E3085"/>
    <w:rsid w:val="007E3ADA"/>
    <w:rsid w:val="007E584B"/>
    <w:rsid w:val="007E6625"/>
    <w:rsid w:val="007E7E4D"/>
    <w:rsid w:val="007F09A0"/>
    <w:rsid w:val="007F0AED"/>
    <w:rsid w:val="007F10E4"/>
    <w:rsid w:val="007F1CA1"/>
    <w:rsid w:val="007F2916"/>
    <w:rsid w:val="007F2C53"/>
    <w:rsid w:val="007F6930"/>
    <w:rsid w:val="007F7DAA"/>
    <w:rsid w:val="00800870"/>
    <w:rsid w:val="00800DAF"/>
    <w:rsid w:val="008018DE"/>
    <w:rsid w:val="00801B75"/>
    <w:rsid w:val="00802132"/>
    <w:rsid w:val="00803278"/>
    <w:rsid w:val="008033E3"/>
    <w:rsid w:val="008035EB"/>
    <w:rsid w:val="008045CF"/>
    <w:rsid w:val="00805639"/>
    <w:rsid w:val="00806C77"/>
    <w:rsid w:val="0080737A"/>
    <w:rsid w:val="008076CC"/>
    <w:rsid w:val="00807E44"/>
    <w:rsid w:val="008102F6"/>
    <w:rsid w:val="008125AD"/>
    <w:rsid w:val="0081325E"/>
    <w:rsid w:val="00813663"/>
    <w:rsid w:val="00813A0C"/>
    <w:rsid w:val="00816D1E"/>
    <w:rsid w:val="008179D1"/>
    <w:rsid w:val="008203B5"/>
    <w:rsid w:val="00820EB5"/>
    <w:rsid w:val="00821AC0"/>
    <w:rsid w:val="008238CC"/>
    <w:rsid w:val="008264F2"/>
    <w:rsid w:val="0082785F"/>
    <w:rsid w:val="008329D9"/>
    <w:rsid w:val="00833454"/>
    <w:rsid w:val="0083363C"/>
    <w:rsid w:val="008341B4"/>
    <w:rsid w:val="008348F2"/>
    <w:rsid w:val="00836C1D"/>
    <w:rsid w:val="00836D76"/>
    <w:rsid w:val="008371CE"/>
    <w:rsid w:val="00840D3F"/>
    <w:rsid w:val="00840F6D"/>
    <w:rsid w:val="00842037"/>
    <w:rsid w:val="0084212E"/>
    <w:rsid w:val="008423BB"/>
    <w:rsid w:val="008424E2"/>
    <w:rsid w:val="00842B4A"/>
    <w:rsid w:val="00842E15"/>
    <w:rsid w:val="00843E5E"/>
    <w:rsid w:val="008460F3"/>
    <w:rsid w:val="00846317"/>
    <w:rsid w:val="008478C4"/>
    <w:rsid w:val="00850D23"/>
    <w:rsid w:val="00851149"/>
    <w:rsid w:val="00851CA9"/>
    <w:rsid w:val="00852A23"/>
    <w:rsid w:val="00852AA5"/>
    <w:rsid w:val="00854AD4"/>
    <w:rsid w:val="008562C1"/>
    <w:rsid w:val="00856833"/>
    <w:rsid w:val="00856FDE"/>
    <w:rsid w:val="00857074"/>
    <w:rsid w:val="00857C7A"/>
    <w:rsid w:val="008608BA"/>
    <w:rsid w:val="00860C85"/>
    <w:rsid w:val="00861406"/>
    <w:rsid w:val="00861D8A"/>
    <w:rsid w:val="008638F2"/>
    <w:rsid w:val="008656B3"/>
    <w:rsid w:val="00865BFB"/>
    <w:rsid w:val="00867628"/>
    <w:rsid w:val="00867718"/>
    <w:rsid w:val="00871526"/>
    <w:rsid w:val="00872F3E"/>
    <w:rsid w:val="0087575F"/>
    <w:rsid w:val="00875E0F"/>
    <w:rsid w:val="00876D94"/>
    <w:rsid w:val="00876E9D"/>
    <w:rsid w:val="00881290"/>
    <w:rsid w:val="0088138A"/>
    <w:rsid w:val="00881B12"/>
    <w:rsid w:val="00882867"/>
    <w:rsid w:val="0088311A"/>
    <w:rsid w:val="00885022"/>
    <w:rsid w:val="00885C16"/>
    <w:rsid w:val="0088648F"/>
    <w:rsid w:val="00887B2C"/>
    <w:rsid w:val="008912DE"/>
    <w:rsid w:val="0089173E"/>
    <w:rsid w:val="0089274E"/>
    <w:rsid w:val="00892DCC"/>
    <w:rsid w:val="0089361A"/>
    <w:rsid w:val="00896529"/>
    <w:rsid w:val="00896A80"/>
    <w:rsid w:val="00896D20"/>
    <w:rsid w:val="00897470"/>
    <w:rsid w:val="008A0405"/>
    <w:rsid w:val="008A35C9"/>
    <w:rsid w:val="008A5524"/>
    <w:rsid w:val="008A7625"/>
    <w:rsid w:val="008A7737"/>
    <w:rsid w:val="008A7DF4"/>
    <w:rsid w:val="008B0BC2"/>
    <w:rsid w:val="008B1258"/>
    <w:rsid w:val="008B127D"/>
    <w:rsid w:val="008B4301"/>
    <w:rsid w:val="008B48E3"/>
    <w:rsid w:val="008B4986"/>
    <w:rsid w:val="008B53C0"/>
    <w:rsid w:val="008B5F96"/>
    <w:rsid w:val="008B66E6"/>
    <w:rsid w:val="008C03F4"/>
    <w:rsid w:val="008C21FA"/>
    <w:rsid w:val="008C274C"/>
    <w:rsid w:val="008C2AC6"/>
    <w:rsid w:val="008C3996"/>
    <w:rsid w:val="008C6266"/>
    <w:rsid w:val="008C791E"/>
    <w:rsid w:val="008D02DF"/>
    <w:rsid w:val="008D0F33"/>
    <w:rsid w:val="008D2DD7"/>
    <w:rsid w:val="008D3E24"/>
    <w:rsid w:val="008D4679"/>
    <w:rsid w:val="008D49A9"/>
    <w:rsid w:val="008D73A8"/>
    <w:rsid w:val="008E09E3"/>
    <w:rsid w:val="008E1656"/>
    <w:rsid w:val="008E1F82"/>
    <w:rsid w:val="008E30D9"/>
    <w:rsid w:val="008E79EC"/>
    <w:rsid w:val="008F0075"/>
    <w:rsid w:val="008F0A70"/>
    <w:rsid w:val="008F1BDD"/>
    <w:rsid w:val="008F24AA"/>
    <w:rsid w:val="008F2B09"/>
    <w:rsid w:val="008F3793"/>
    <w:rsid w:val="008F3E87"/>
    <w:rsid w:val="008F4760"/>
    <w:rsid w:val="008F5445"/>
    <w:rsid w:val="008F57C8"/>
    <w:rsid w:val="008F63E3"/>
    <w:rsid w:val="008F6991"/>
    <w:rsid w:val="00901072"/>
    <w:rsid w:val="00902A35"/>
    <w:rsid w:val="00903BE1"/>
    <w:rsid w:val="009040CE"/>
    <w:rsid w:val="00904B4E"/>
    <w:rsid w:val="009058A1"/>
    <w:rsid w:val="00906983"/>
    <w:rsid w:val="009106AF"/>
    <w:rsid w:val="009122AD"/>
    <w:rsid w:val="0091376A"/>
    <w:rsid w:val="0091411A"/>
    <w:rsid w:val="00916168"/>
    <w:rsid w:val="00920844"/>
    <w:rsid w:val="0092217E"/>
    <w:rsid w:val="009224CA"/>
    <w:rsid w:val="00923790"/>
    <w:rsid w:val="009240DE"/>
    <w:rsid w:val="00925BE9"/>
    <w:rsid w:val="00925C47"/>
    <w:rsid w:val="009261D8"/>
    <w:rsid w:val="00927460"/>
    <w:rsid w:val="0093270D"/>
    <w:rsid w:val="00932734"/>
    <w:rsid w:val="00933B81"/>
    <w:rsid w:val="00933E03"/>
    <w:rsid w:val="00934D20"/>
    <w:rsid w:val="0093669A"/>
    <w:rsid w:val="00937704"/>
    <w:rsid w:val="00940A67"/>
    <w:rsid w:val="00940B38"/>
    <w:rsid w:val="00941577"/>
    <w:rsid w:val="00941D6C"/>
    <w:rsid w:val="00942A5D"/>
    <w:rsid w:val="0094458D"/>
    <w:rsid w:val="009457E8"/>
    <w:rsid w:val="00945AA4"/>
    <w:rsid w:val="00946586"/>
    <w:rsid w:val="009474FA"/>
    <w:rsid w:val="0095259E"/>
    <w:rsid w:val="00953A06"/>
    <w:rsid w:val="00954482"/>
    <w:rsid w:val="0095450A"/>
    <w:rsid w:val="00961547"/>
    <w:rsid w:val="009630D0"/>
    <w:rsid w:val="00963657"/>
    <w:rsid w:val="00963FDE"/>
    <w:rsid w:val="0096402C"/>
    <w:rsid w:val="009648B3"/>
    <w:rsid w:val="00965130"/>
    <w:rsid w:val="00966C4B"/>
    <w:rsid w:val="00967896"/>
    <w:rsid w:val="00967C7B"/>
    <w:rsid w:val="00972BE2"/>
    <w:rsid w:val="00974E40"/>
    <w:rsid w:val="0097535F"/>
    <w:rsid w:val="00980314"/>
    <w:rsid w:val="00980F0E"/>
    <w:rsid w:val="0098150F"/>
    <w:rsid w:val="009818EA"/>
    <w:rsid w:val="0098409C"/>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6BB"/>
    <w:rsid w:val="009A3C2B"/>
    <w:rsid w:val="009A516F"/>
    <w:rsid w:val="009A53F3"/>
    <w:rsid w:val="009A56C4"/>
    <w:rsid w:val="009B0677"/>
    <w:rsid w:val="009B0821"/>
    <w:rsid w:val="009B10B6"/>
    <w:rsid w:val="009B28D6"/>
    <w:rsid w:val="009B3C14"/>
    <w:rsid w:val="009B476C"/>
    <w:rsid w:val="009B78C1"/>
    <w:rsid w:val="009B7BA1"/>
    <w:rsid w:val="009B7BE9"/>
    <w:rsid w:val="009C0B8A"/>
    <w:rsid w:val="009C23DA"/>
    <w:rsid w:val="009C2A0F"/>
    <w:rsid w:val="009C4A13"/>
    <w:rsid w:val="009C6425"/>
    <w:rsid w:val="009C6C41"/>
    <w:rsid w:val="009C6FDE"/>
    <w:rsid w:val="009C7221"/>
    <w:rsid w:val="009D0A57"/>
    <w:rsid w:val="009D0C34"/>
    <w:rsid w:val="009D1998"/>
    <w:rsid w:val="009D1E29"/>
    <w:rsid w:val="009D3A34"/>
    <w:rsid w:val="009D4235"/>
    <w:rsid w:val="009D4BB5"/>
    <w:rsid w:val="009D5D1E"/>
    <w:rsid w:val="009D5F1F"/>
    <w:rsid w:val="009D68DD"/>
    <w:rsid w:val="009D7606"/>
    <w:rsid w:val="009E05EB"/>
    <w:rsid w:val="009E3ED9"/>
    <w:rsid w:val="009E78C7"/>
    <w:rsid w:val="009E7D88"/>
    <w:rsid w:val="009F10AF"/>
    <w:rsid w:val="009F436D"/>
    <w:rsid w:val="009F4F57"/>
    <w:rsid w:val="009F5B44"/>
    <w:rsid w:val="009F6D82"/>
    <w:rsid w:val="009F6E4E"/>
    <w:rsid w:val="009F7364"/>
    <w:rsid w:val="00A02756"/>
    <w:rsid w:val="00A04AE1"/>
    <w:rsid w:val="00A110D4"/>
    <w:rsid w:val="00A12A7F"/>
    <w:rsid w:val="00A16878"/>
    <w:rsid w:val="00A16FD3"/>
    <w:rsid w:val="00A175DC"/>
    <w:rsid w:val="00A17B57"/>
    <w:rsid w:val="00A17E55"/>
    <w:rsid w:val="00A2047E"/>
    <w:rsid w:val="00A20BAE"/>
    <w:rsid w:val="00A21BB0"/>
    <w:rsid w:val="00A21D22"/>
    <w:rsid w:val="00A22C1A"/>
    <w:rsid w:val="00A2676E"/>
    <w:rsid w:val="00A270C7"/>
    <w:rsid w:val="00A2794F"/>
    <w:rsid w:val="00A32D84"/>
    <w:rsid w:val="00A34274"/>
    <w:rsid w:val="00A35CF8"/>
    <w:rsid w:val="00A36D16"/>
    <w:rsid w:val="00A376E2"/>
    <w:rsid w:val="00A400C2"/>
    <w:rsid w:val="00A4184B"/>
    <w:rsid w:val="00A42771"/>
    <w:rsid w:val="00A43006"/>
    <w:rsid w:val="00A44C67"/>
    <w:rsid w:val="00A450AA"/>
    <w:rsid w:val="00A45740"/>
    <w:rsid w:val="00A466B6"/>
    <w:rsid w:val="00A47836"/>
    <w:rsid w:val="00A47CE2"/>
    <w:rsid w:val="00A505BA"/>
    <w:rsid w:val="00A52237"/>
    <w:rsid w:val="00A53087"/>
    <w:rsid w:val="00A54131"/>
    <w:rsid w:val="00A56F68"/>
    <w:rsid w:val="00A57FBE"/>
    <w:rsid w:val="00A57FEB"/>
    <w:rsid w:val="00A60008"/>
    <w:rsid w:val="00A60643"/>
    <w:rsid w:val="00A60BA2"/>
    <w:rsid w:val="00A60E04"/>
    <w:rsid w:val="00A632A5"/>
    <w:rsid w:val="00A633AB"/>
    <w:rsid w:val="00A63679"/>
    <w:rsid w:val="00A65063"/>
    <w:rsid w:val="00A66358"/>
    <w:rsid w:val="00A6661F"/>
    <w:rsid w:val="00A6668E"/>
    <w:rsid w:val="00A71594"/>
    <w:rsid w:val="00A71DA6"/>
    <w:rsid w:val="00A73781"/>
    <w:rsid w:val="00A7467E"/>
    <w:rsid w:val="00A75010"/>
    <w:rsid w:val="00A763ED"/>
    <w:rsid w:val="00A7693C"/>
    <w:rsid w:val="00A8070A"/>
    <w:rsid w:val="00A80898"/>
    <w:rsid w:val="00A81CC2"/>
    <w:rsid w:val="00A82047"/>
    <w:rsid w:val="00A828EA"/>
    <w:rsid w:val="00A82B85"/>
    <w:rsid w:val="00A845FD"/>
    <w:rsid w:val="00A8506A"/>
    <w:rsid w:val="00A86460"/>
    <w:rsid w:val="00A91907"/>
    <w:rsid w:val="00A9495A"/>
    <w:rsid w:val="00A94A10"/>
    <w:rsid w:val="00A955E1"/>
    <w:rsid w:val="00A973BF"/>
    <w:rsid w:val="00AA03D3"/>
    <w:rsid w:val="00AA1710"/>
    <w:rsid w:val="00AB0C5B"/>
    <w:rsid w:val="00AB11B2"/>
    <w:rsid w:val="00AB452E"/>
    <w:rsid w:val="00AB4DE8"/>
    <w:rsid w:val="00AB5C47"/>
    <w:rsid w:val="00AB5F06"/>
    <w:rsid w:val="00AB6B3D"/>
    <w:rsid w:val="00AC0D10"/>
    <w:rsid w:val="00AC0FC1"/>
    <w:rsid w:val="00AC17F3"/>
    <w:rsid w:val="00AC195B"/>
    <w:rsid w:val="00AC23D7"/>
    <w:rsid w:val="00AC438A"/>
    <w:rsid w:val="00AC62F8"/>
    <w:rsid w:val="00AC63E3"/>
    <w:rsid w:val="00AC7E0E"/>
    <w:rsid w:val="00AC7F4E"/>
    <w:rsid w:val="00AD329C"/>
    <w:rsid w:val="00AD4518"/>
    <w:rsid w:val="00AD5FA5"/>
    <w:rsid w:val="00AD5FAB"/>
    <w:rsid w:val="00AD7D64"/>
    <w:rsid w:val="00AE0283"/>
    <w:rsid w:val="00AE096A"/>
    <w:rsid w:val="00AE0C49"/>
    <w:rsid w:val="00AE32AC"/>
    <w:rsid w:val="00AE4283"/>
    <w:rsid w:val="00AE5FBA"/>
    <w:rsid w:val="00AE76BC"/>
    <w:rsid w:val="00AF138C"/>
    <w:rsid w:val="00AF1457"/>
    <w:rsid w:val="00AF23F3"/>
    <w:rsid w:val="00AF3722"/>
    <w:rsid w:val="00AF4D8E"/>
    <w:rsid w:val="00B00059"/>
    <w:rsid w:val="00B01EA9"/>
    <w:rsid w:val="00B04587"/>
    <w:rsid w:val="00B06CAB"/>
    <w:rsid w:val="00B07563"/>
    <w:rsid w:val="00B1051A"/>
    <w:rsid w:val="00B130F8"/>
    <w:rsid w:val="00B13617"/>
    <w:rsid w:val="00B13CB1"/>
    <w:rsid w:val="00B14C8F"/>
    <w:rsid w:val="00B14FE4"/>
    <w:rsid w:val="00B16589"/>
    <w:rsid w:val="00B172D9"/>
    <w:rsid w:val="00B22CA6"/>
    <w:rsid w:val="00B22E7A"/>
    <w:rsid w:val="00B276E6"/>
    <w:rsid w:val="00B27837"/>
    <w:rsid w:val="00B27BB3"/>
    <w:rsid w:val="00B32AF1"/>
    <w:rsid w:val="00B32F0D"/>
    <w:rsid w:val="00B3387D"/>
    <w:rsid w:val="00B33FAF"/>
    <w:rsid w:val="00B3519D"/>
    <w:rsid w:val="00B3627B"/>
    <w:rsid w:val="00B364B4"/>
    <w:rsid w:val="00B36D8A"/>
    <w:rsid w:val="00B37085"/>
    <w:rsid w:val="00B409BD"/>
    <w:rsid w:val="00B4196C"/>
    <w:rsid w:val="00B443F4"/>
    <w:rsid w:val="00B44E32"/>
    <w:rsid w:val="00B44EDD"/>
    <w:rsid w:val="00B45194"/>
    <w:rsid w:val="00B45F61"/>
    <w:rsid w:val="00B46AEF"/>
    <w:rsid w:val="00B46E9E"/>
    <w:rsid w:val="00B47D5E"/>
    <w:rsid w:val="00B47DD0"/>
    <w:rsid w:val="00B503C4"/>
    <w:rsid w:val="00B5090E"/>
    <w:rsid w:val="00B51B65"/>
    <w:rsid w:val="00B52091"/>
    <w:rsid w:val="00B53C1B"/>
    <w:rsid w:val="00B54D48"/>
    <w:rsid w:val="00B55FC4"/>
    <w:rsid w:val="00B5736A"/>
    <w:rsid w:val="00B57686"/>
    <w:rsid w:val="00B57987"/>
    <w:rsid w:val="00B606BB"/>
    <w:rsid w:val="00B60FC5"/>
    <w:rsid w:val="00B62908"/>
    <w:rsid w:val="00B63ABE"/>
    <w:rsid w:val="00B64142"/>
    <w:rsid w:val="00B65B20"/>
    <w:rsid w:val="00B702F0"/>
    <w:rsid w:val="00B71846"/>
    <w:rsid w:val="00B71ADF"/>
    <w:rsid w:val="00B72392"/>
    <w:rsid w:val="00B72703"/>
    <w:rsid w:val="00B72EF2"/>
    <w:rsid w:val="00B7407C"/>
    <w:rsid w:val="00B747BD"/>
    <w:rsid w:val="00B80266"/>
    <w:rsid w:val="00B80C7E"/>
    <w:rsid w:val="00B833FF"/>
    <w:rsid w:val="00B86082"/>
    <w:rsid w:val="00B8691A"/>
    <w:rsid w:val="00B90AC0"/>
    <w:rsid w:val="00B90DC9"/>
    <w:rsid w:val="00B92824"/>
    <w:rsid w:val="00B94937"/>
    <w:rsid w:val="00B960AB"/>
    <w:rsid w:val="00B96382"/>
    <w:rsid w:val="00B96A60"/>
    <w:rsid w:val="00B97D9C"/>
    <w:rsid w:val="00BA066E"/>
    <w:rsid w:val="00BA144C"/>
    <w:rsid w:val="00BA154D"/>
    <w:rsid w:val="00BA1715"/>
    <w:rsid w:val="00BA36EA"/>
    <w:rsid w:val="00BA39C1"/>
    <w:rsid w:val="00BA5856"/>
    <w:rsid w:val="00BA609E"/>
    <w:rsid w:val="00BA723E"/>
    <w:rsid w:val="00BA7DB9"/>
    <w:rsid w:val="00BB20A2"/>
    <w:rsid w:val="00BB30D4"/>
    <w:rsid w:val="00BB38AA"/>
    <w:rsid w:val="00BB3E2B"/>
    <w:rsid w:val="00BB679E"/>
    <w:rsid w:val="00BB7D18"/>
    <w:rsid w:val="00BB7D5B"/>
    <w:rsid w:val="00BC4536"/>
    <w:rsid w:val="00BC7D97"/>
    <w:rsid w:val="00BD2966"/>
    <w:rsid w:val="00BD2C53"/>
    <w:rsid w:val="00BD307A"/>
    <w:rsid w:val="00BD31B1"/>
    <w:rsid w:val="00BD54F1"/>
    <w:rsid w:val="00BD5D1C"/>
    <w:rsid w:val="00BD5D46"/>
    <w:rsid w:val="00BE284B"/>
    <w:rsid w:val="00BE2C1D"/>
    <w:rsid w:val="00BE2EAA"/>
    <w:rsid w:val="00BE648E"/>
    <w:rsid w:val="00BE7F59"/>
    <w:rsid w:val="00BF0814"/>
    <w:rsid w:val="00BF303D"/>
    <w:rsid w:val="00BF50F8"/>
    <w:rsid w:val="00BF56D4"/>
    <w:rsid w:val="00BF689D"/>
    <w:rsid w:val="00BF6FDA"/>
    <w:rsid w:val="00BF71F6"/>
    <w:rsid w:val="00C018BE"/>
    <w:rsid w:val="00C01D3F"/>
    <w:rsid w:val="00C0221B"/>
    <w:rsid w:val="00C0465A"/>
    <w:rsid w:val="00C12ED5"/>
    <w:rsid w:val="00C133ED"/>
    <w:rsid w:val="00C14544"/>
    <w:rsid w:val="00C15500"/>
    <w:rsid w:val="00C17AAE"/>
    <w:rsid w:val="00C20114"/>
    <w:rsid w:val="00C20DE9"/>
    <w:rsid w:val="00C21E64"/>
    <w:rsid w:val="00C220BE"/>
    <w:rsid w:val="00C2383B"/>
    <w:rsid w:val="00C2417E"/>
    <w:rsid w:val="00C24429"/>
    <w:rsid w:val="00C27B60"/>
    <w:rsid w:val="00C3006E"/>
    <w:rsid w:val="00C30AAA"/>
    <w:rsid w:val="00C32065"/>
    <w:rsid w:val="00C33D7E"/>
    <w:rsid w:val="00C35AAA"/>
    <w:rsid w:val="00C36049"/>
    <w:rsid w:val="00C37763"/>
    <w:rsid w:val="00C37CF2"/>
    <w:rsid w:val="00C37E20"/>
    <w:rsid w:val="00C42EA7"/>
    <w:rsid w:val="00C440D7"/>
    <w:rsid w:val="00C45337"/>
    <w:rsid w:val="00C46FB0"/>
    <w:rsid w:val="00C5092F"/>
    <w:rsid w:val="00C51B3B"/>
    <w:rsid w:val="00C51D96"/>
    <w:rsid w:val="00C520DE"/>
    <w:rsid w:val="00C5255A"/>
    <w:rsid w:val="00C52B96"/>
    <w:rsid w:val="00C5446D"/>
    <w:rsid w:val="00C55801"/>
    <w:rsid w:val="00C55B7D"/>
    <w:rsid w:val="00C55D38"/>
    <w:rsid w:val="00C56159"/>
    <w:rsid w:val="00C5798C"/>
    <w:rsid w:val="00C61A0E"/>
    <w:rsid w:val="00C61C85"/>
    <w:rsid w:val="00C62C0A"/>
    <w:rsid w:val="00C62CD6"/>
    <w:rsid w:val="00C63084"/>
    <w:rsid w:val="00C636D0"/>
    <w:rsid w:val="00C63B22"/>
    <w:rsid w:val="00C6629E"/>
    <w:rsid w:val="00C675C7"/>
    <w:rsid w:val="00C70743"/>
    <w:rsid w:val="00C7285D"/>
    <w:rsid w:val="00C76028"/>
    <w:rsid w:val="00C775CC"/>
    <w:rsid w:val="00C77BD1"/>
    <w:rsid w:val="00C815E7"/>
    <w:rsid w:val="00C822F7"/>
    <w:rsid w:val="00C82977"/>
    <w:rsid w:val="00C82CF2"/>
    <w:rsid w:val="00C8358D"/>
    <w:rsid w:val="00C84076"/>
    <w:rsid w:val="00C8470C"/>
    <w:rsid w:val="00C85B21"/>
    <w:rsid w:val="00C85F4D"/>
    <w:rsid w:val="00C873F9"/>
    <w:rsid w:val="00C90799"/>
    <w:rsid w:val="00C908AA"/>
    <w:rsid w:val="00C944C7"/>
    <w:rsid w:val="00C94EB0"/>
    <w:rsid w:val="00C97D98"/>
    <w:rsid w:val="00CA3723"/>
    <w:rsid w:val="00CA42DD"/>
    <w:rsid w:val="00CA5C3F"/>
    <w:rsid w:val="00CB07B4"/>
    <w:rsid w:val="00CB0EA1"/>
    <w:rsid w:val="00CB112F"/>
    <w:rsid w:val="00CB11E4"/>
    <w:rsid w:val="00CB15C4"/>
    <w:rsid w:val="00CB1D7C"/>
    <w:rsid w:val="00CB2ACA"/>
    <w:rsid w:val="00CB2BA8"/>
    <w:rsid w:val="00CB3930"/>
    <w:rsid w:val="00CB5B34"/>
    <w:rsid w:val="00CB6CCE"/>
    <w:rsid w:val="00CB6DF2"/>
    <w:rsid w:val="00CC0313"/>
    <w:rsid w:val="00CC0BF3"/>
    <w:rsid w:val="00CC13B1"/>
    <w:rsid w:val="00CC24B6"/>
    <w:rsid w:val="00CC2778"/>
    <w:rsid w:val="00CC4916"/>
    <w:rsid w:val="00CC7069"/>
    <w:rsid w:val="00CD089A"/>
    <w:rsid w:val="00CD135B"/>
    <w:rsid w:val="00CD1A1B"/>
    <w:rsid w:val="00CD3821"/>
    <w:rsid w:val="00CD3E1B"/>
    <w:rsid w:val="00CD62D8"/>
    <w:rsid w:val="00CD6D82"/>
    <w:rsid w:val="00CE0439"/>
    <w:rsid w:val="00CE428C"/>
    <w:rsid w:val="00CE4686"/>
    <w:rsid w:val="00CE46BE"/>
    <w:rsid w:val="00CE4F45"/>
    <w:rsid w:val="00CE5120"/>
    <w:rsid w:val="00CE55F0"/>
    <w:rsid w:val="00CE6354"/>
    <w:rsid w:val="00CE6DA9"/>
    <w:rsid w:val="00CE765B"/>
    <w:rsid w:val="00CE7D7C"/>
    <w:rsid w:val="00CE7EE0"/>
    <w:rsid w:val="00CF1240"/>
    <w:rsid w:val="00CF1735"/>
    <w:rsid w:val="00CF242E"/>
    <w:rsid w:val="00CF2616"/>
    <w:rsid w:val="00CF2F9E"/>
    <w:rsid w:val="00CF32B9"/>
    <w:rsid w:val="00CF33EC"/>
    <w:rsid w:val="00CF3418"/>
    <w:rsid w:val="00CF4CEB"/>
    <w:rsid w:val="00CF5F64"/>
    <w:rsid w:val="00D00043"/>
    <w:rsid w:val="00D001C3"/>
    <w:rsid w:val="00D00861"/>
    <w:rsid w:val="00D01137"/>
    <w:rsid w:val="00D01864"/>
    <w:rsid w:val="00D03907"/>
    <w:rsid w:val="00D04A84"/>
    <w:rsid w:val="00D05857"/>
    <w:rsid w:val="00D0589B"/>
    <w:rsid w:val="00D116A6"/>
    <w:rsid w:val="00D15246"/>
    <w:rsid w:val="00D1534C"/>
    <w:rsid w:val="00D15C57"/>
    <w:rsid w:val="00D16618"/>
    <w:rsid w:val="00D177D8"/>
    <w:rsid w:val="00D17977"/>
    <w:rsid w:val="00D1799E"/>
    <w:rsid w:val="00D201EA"/>
    <w:rsid w:val="00D20C6B"/>
    <w:rsid w:val="00D21B9B"/>
    <w:rsid w:val="00D23507"/>
    <w:rsid w:val="00D23863"/>
    <w:rsid w:val="00D23C39"/>
    <w:rsid w:val="00D23D14"/>
    <w:rsid w:val="00D2649E"/>
    <w:rsid w:val="00D2651D"/>
    <w:rsid w:val="00D317FD"/>
    <w:rsid w:val="00D32F24"/>
    <w:rsid w:val="00D33020"/>
    <w:rsid w:val="00D34AC4"/>
    <w:rsid w:val="00D34F74"/>
    <w:rsid w:val="00D36BA2"/>
    <w:rsid w:val="00D370A6"/>
    <w:rsid w:val="00D373E7"/>
    <w:rsid w:val="00D37F6E"/>
    <w:rsid w:val="00D402E3"/>
    <w:rsid w:val="00D43ACC"/>
    <w:rsid w:val="00D44006"/>
    <w:rsid w:val="00D4454D"/>
    <w:rsid w:val="00D452CA"/>
    <w:rsid w:val="00D461E2"/>
    <w:rsid w:val="00D47728"/>
    <w:rsid w:val="00D477D5"/>
    <w:rsid w:val="00D51DCB"/>
    <w:rsid w:val="00D51EC9"/>
    <w:rsid w:val="00D539D1"/>
    <w:rsid w:val="00D5610F"/>
    <w:rsid w:val="00D56D17"/>
    <w:rsid w:val="00D56F0B"/>
    <w:rsid w:val="00D6214D"/>
    <w:rsid w:val="00D6438A"/>
    <w:rsid w:val="00D65448"/>
    <w:rsid w:val="00D712ED"/>
    <w:rsid w:val="00D72E9E"/>
    <w:rsid w:val="00D734EC"/>
    <w:rsid w:val="00D74098"/>
    <w:rsid w:val="00D7495B"/>
    <w:rsid w:val="00D753D6"/>
    <w:rsid w:val="00D75655"/>
    <w:rsid w:val="00D75AA4"/>
    <w:rsid w:val="00D775AF"/>
    <w:rsid w:val="00D77CF1"/>
    <w:rsid w:val="00D801EC"/>
    <w:rsid w:val="00D810BB"/>
    <w:rsid w:val="00D826AE"/>
    <w:rsid w:val="00D82781"/>
    <w:rsid w:val="00D82BBF"/>
    <w:rsid w:val="00D845CA"/>
    <w:rsid w:val="00D86E59"/>
    <w:rsid w:val="00D9179B"/>
    <w:rsid w:val="00D91DE9"/>
    <w:rsid w:val="00D94131"/>
    <w:rsid w:val="00D945FE"/>
    <w:rsid w:val="00D956E7"/>
    <w:rsid w:val="00D9753A"/>
    <w:rsid w:val="00D97DF9"/>
    <w:rsid w:val="00DA0FF1"/>
    <w:rsid w:val="00DA2EB1"/>
    <w:rsid w:val="00DA3322"/>
    <w:rsid w:val="00DA3B4D"/>
    <w:rsid w:val="00DA54DC"/>
    <w:rsid w:val="00DA70BC"/>
    <w:rsid w:val="00DB0657"/>
    <w:rsid w:val="00DB199F"/>
    <w:rsid w:val="00DB267F"/>
    <w:rsid w:val="00DB2E8D"/>
    <w:rsid w:val="00DB3A16"/>
    <w:rsid w:val="00DB478B"/>
    <w:rsid w:val="00DB7659"/>
    <w:rsid w:val="00DC061C"/>
    <w:rsid w:val="00DC3F58"/>
    <w:rsid w:val="00DC4D05"/>
    <w:rsid w:val="00DC4FB3"/>
    <w:rsid w:val="00DC54CD"/>
    <w:rsid w:val="00DC6253"/>
    <w:rsid w:val="00DC6C44"/>
    <w:rsid w:val="00DC6D11"/>
    <w:rsid w:val="00DC6D6D"/>
    <w:rsid w:val="00DC76D9"/>
    <w:rsid w:val="00DD0425"/>
    <w:rsid w:val="00DD079D"/>
    <w:rsid w:val="00DD190E"/>
    <w:rsid w:val="00DD1B18"/>
    <w:rsid w:val="00DD28D7"/>
    <w:rsid w:val="00DD2FD9"/>
    <w:rsid w:val="00DD3880"/>
    <w:rsid w:val="00DD4278"/>
    <w:rsid w:val="00DD473A"/>
    <w:rsid w:val="00DD4D2C"/>
    <w:rsid w:val="00DD4FE0"/>
    <w:rsid w:val="00DD7CE4"/>
    <w:rsid w:val="00DE185F"/>
    <w:rsid w:val="00DE2D85"/>
    <w:rsid w:val="00DE5631"/>
    <w:rsid w:val="00DE5DD9"/>
    <w:rsid w:val="00DE6207"/>
    <w:rsid w:val="00DE76D7"/>
    <w:rsid w:val="00DF01E5"/>
    <w:rsid w:val="00DF377D"/>
    <w:rsid w:val="00DF48D2"/>
    <w:rsid w:val="00DF593B"/>
    <w:rsid w:val="00DF5D1E"/>
    <w:rsid w:val="00DF60C4"/>
    <w:rsid w:val="00DF7ABB"/>
    <w:rsid w:val="00E01B80"/>
    <w:rsid w:val="00E02152"/>
    <w:rsid w:val="00E023AF"/>
    <w:rsid w:val="00E03CE7"/>
    <w:rsid w:val="00E04E82"/>
    <w:rsid w:val="00E052EB"/>
    <w:rsid w:val="00E05E0B"/>
    <w:rsid w:val="00E066C7"/>
    <w:rsid w:val="00E06C2A"/>
    <w:rsid w:val="00E106F6"/>
    <w:rsid w:val="00E11304"/>
    <w:rsid w:val="00E12B45"/>
    <w:rsid w:val="00E134E0"/>
    <w:rsid w:val="00E13751"/>
    <w:rsid w:val="00E1390F"/>
    <w:rsid w:val="00E13D9B"/>
    <w:rsid w:val="00E14E7B"/>
    <w:rsid w:val="00E17027"/>
    <w:rsid w:val="00E17655"/>
    <w:rsid w:val="00E176A1"/>
    <w:rsid w:val="00E24A40"/>
    <w:rsid w:val="00E25275"/>
    <w:rsid w:val="00E2581B"/>
    <w:rsid w:val="00E25978"/>
    <w:rsid w:val="00E26760"/>
    <w:rsid w:val="00E26A40"/>
    <w:rsid w:val="00E26EC0"/>
    <w:rsid w:val="00E27F57"/>
    <w:rsid w:val="00E33226"/>
    <w:rsid w:val="00E34B95"/>
    <w:rsid w:val="00E36A49"/>
    <w:rsid w:val="00E36C10"/>
    <w:rsid w:val="00E36DBC"/>
    <w:rsid w:val="00E37819"/>
    <w:rsid w:val="00E41B64"/>
    <w:rsid w:val="00E421B7"/>
    <w:rsid w:val="00E440FC"/>
    <w:rsid w:val="00E449F1"/>
    <w:rsid w:val="00E45E6E"/>
    <w:rsid w:val="00E46E5C"/>
    <w:rsid w:val="00E47216"/>
    <w:rsid w:val="00E53AD6"/>
    <w:rsid w:val="00E54632"/>
    <w:rsid w:val="00E55A75"/>
    <w:rsid w:val="00E561E1"/>
    <w:rsid w:val="00E57ACB"/>
    <w:rsid w:val="00E60F09"/>
    <w:rsid w:val="00E61399"/>
    <w:rsid w:val="00E61E5B"/>
    <w:rsid w:val="00E63C6C"/>
    <w:rsid w:val="00E6486A"/>
    <w:rsid w:val="00E65595"/>
    <w:rsid w:val="00E6762D"/>
    <w:rsid w:val="00E67699"/>
    <w:rsid w:val="00E704A2"/>
    <w:rsid w:val="00E72465"/>
    <w:rsid w:val="00E76ABF"/>
    <w:rsid w:val="00E77754"/>
    <w:rsid w:val="00E80EA2"/>
    <w:rsid w:val="00E84011"/>
    <w:rsid w:val="00E84C0F"/>
    <w:rsid w:val="00E86AC8"/>
    <w:rsid w:val="00E871DB"/>
    <w:rsid w:val="00E87BD8"/>
    <w:rsid w:val="00E91E23"/>
    <w:rsid w:val="00E9367D"/>
    <w:rsid w:val="00E93B5A"/>
    <w:rsid w:val="00E94E64"/>
    <w:rsid w:val="00E960C6"/>
    <w:rsid w:val="00E97AA6"/>
    <w:rsid w:val="00EA2724"/>
    <w:rsid w:val="00EA528C"/>
    <w:rsid w:val="00EA5B42"/>
    <w:rsid w:val="00EA6D6B"/>
    <w:rsid w:val="00EA7BDD"/>
    <w:rsid w:val="00EB0883"/>
    <w:rsid w:val="00EB1547"/>
    <w:rsid w:val="00EB24AD"/>
    <w:rsid w:val="00EB4636"/>
    <w:rsid w:val="00EB4821"/>
    <w:rsid w:val="00EB74FC"/>
    <w:rsid w:val="00EC004A"/>
    <w:rsid w:val="00EC092F"/>
    <w:rsid w:val="00EC0BF3"/>
    <w:rsid w:val="00EC2160"/>
    <w:rsid w:val="00EC432B"/>
    <w:rsid w:val="00EC4A2C"/>
    <w:rsid w:val="00EC5200"/>
    <w:rsid w:val="00EC524F"/>
    <w:rsid w:val="00EC63F1"/>
    <w:rsid w:val="00ED30B0"/>
    <w:rsid w:val="00ED37D9"/>
    <w:rsid w:val="00ED37DA"/>
    <w:rsid w:val="00ED6B9E"/>
    <w:rsid w:val="00ED6EF0"/>
    <w:rsid w:val="00ED7927"/>
    <w:rsid w:val="00EE008B"/>
    <w:rsid w:val="00EE00A8"/>
    <w:rsid w:val="00EE077D"/>
    <w:rsid w:val="00EE1061"/>
    <w:rsid w:val="00EE2240"/>
    <w:rsid w:val="00EE2F75"/>
    <w:rsid w:val="00EE4235"/>
    <w:rsid w:val="00EE66C6"/>
    <w:rsid w:val="00EF28A3"/>
    <w:rsid w:val="00EF5089"/>
    <w:rsid w:val="00F0151E"/>
    <w:rsid w:val="00F018A8"/>
    <w:rsid w:val="00F01AB8"/>
    <w:rsid w:val="00F03011"/>
    <w:rsid w:val="00F03FF8"/>
    <w:rsid w:val="00F04814"/>
    <w:rsid w:val="00F04866"/>
    <w:rsid w:val="00F06822"/>
    <w:rsid w:val="00F10FAF"/>
    <w:rsid w:val="00F14128"/>
    <w:rsid w:val="00F1421E"/>
    <w:rsid w:val="00F1557D"/>
    <w:rsid w:val="00F15A55"/>
    <w:rsid w:val="00F16C1A"/>
    <w:rsid w:val="00F204DD"/>
    <w:rsid w:val="00F22155"/>
    <w:rsid w:val="00F231B7"/>
    <w:rsid w:val="00F25853"/>
    <w:rsid w:val="00F2604D"/>
    <w:rsid w:val="00F3071E"/>
    <w:rsid w:val="00F31163"/>
    <w:rsid w:val="00F3165D"/>
    <w:rsid w:val="00F3209C"/>
    <w:rsid w:val="00F32595"/>
    <w:rsid w:val="00F32D08"/>
    <w:rsid w:val="00F33B70"/>
    <w:rsid w:val="00F34F61"/>
    <w:rsid w:val="00F35DCF"/>
    <w:rsid w:val="00F40A14"/>
    <w:rsid w:val="00F410D9"/>
    <w:rsid w:val="00F431F9"/>
    <w:rsid w:val="00F433B8"/>
    <w:rsid w:val="00F44704"/>
    <w:rsid w:val="00F449ED"/>
    <w:rsid w:val="00F456F4"/>
    <w:rsid w:val="00F46F83"/>
    <w:rsid w:val="00F47818"/>
    <w:rsid w:val="00F47BDC"/>
    <w:rsid w:val="00F50120"/>
    <w:rsid w:val="00F51644"/>
    <w:rsid w:val="00F523F6"/>
    <w:rsid w:val="00F53D07"/>
    <w:rsid w:val="00F53FB7"/>
    <w:rsid w:val="00F56B82"/>
    <w:rsid w:val="00F572BA"/>
    <w:rsid w:val="00F65513"/>
    <w:rsid w:val="00F67D94"/>
    <w:rsid w:val="00F67EA3"/>
    <w:rsid w:val="00F70E1A"/>
    <w:rsid w:val="00F729AB"/>
    <w:rsid w:val="00F737BF"/>
    <w:rsid w:val="00F737D5"/>
    <w:rsid w:val="00F74265"/>
    <w:rsid w:val="00F748A3"/>
    <w:rsid w:val="00F74901"/>
    <w:rsid w:val="00F75420"/>
    <w:rsid w:val="00F7576B"/>
    <w:rsid w:val="00F75C82"/>
    <w:rsid w:val="00F77E7F"/>
    <w:rsid w:val="00F80596"/>
    <w:rsid w:val="00F80D0F"/>
    <w:rsid w:val="00F80F97"/>
    <w:rsid w:val="00F82402"/>
    <w:rsid w:val="00F84CD2"/>
    <w:rsid w:val="00F86689"/>
    <w:rsid w:val="00F90857"/>
    <w:rsid w:val="00F91F5D"/>
    <w:rsid w:val="00F92AC0"/>
    <w:rsid w:val="00F92D3C"/>
    <w:rsid w:val="00F95068"/>
    <w:rsid w:val="00F956E7"/>
    <w:rsid w:val="00F95E20"/>
    <w:rsid w:val="00F96071"/>
    <w:rsid w:val="00F962D0"/>
    <w:rsid w:val="00FA022D"/>
    <w:rsid w:val="00FA3596"/>
    <w:rsid w:val="00FA3D52"/>
    <w:rsid w:val="00FA4182"/>
    <w:rsid w:val="00FA4595"/>
    <w:rsid w:val="00FA643A"/>
    <w:rsid w:val="00FC097B"/>
    <w:rsid w:val="00FC1C71"/>
    <w:rsid w:val="00FC2839"/>
    <w:rsid w:val="00FC2A33"/>
    <w:rsid w:val="00FC31E5"/>
    <w:rsid w:val="00FC3E96"/>
    <w:rsid w:val="00FC4F74"/>
    <w:rsid w:val="00FC5F6D"/>
    <w:rsid w:val="00FC6E30"/>
    <w:rsid w:val="00FC729B"/>
    <w:rsid w:val="00FD0AC8"/>
    <w:rsid w:val="00FD191D"/>
    <w:rsid w:val="00FD20B1"/>
    <w:rsid w:val="00FD2C56"/>
    <w:rsid w:val="00FD3B10"/>
    <w:rsid w:val="00FD684B"/>
    <w:rsid w:val="00FE041B"/>
    <w:rsid w:val="00FE0CFB"/>
    <w:rsid w:val="00FE1A2D"/>
    <w:rsid w:val="00FE1B8D"/>
    <w:rsid w:val="00FE1D69"/>
    <w:rsid w:val="00FE2FE2"/>
    <w:rsid w:val="00FE3A30"/>
    <w:rsid w:val="00FE5633"/>
    <w:rsid w:val="00FE788D"/>
    <w:rsid w:val="00FF1068"/>
    <w:rsid w:val="00FF3824"/>
    <w:rsid w:val="00FF46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32E0"/>
  <w15:chartTrackingRefBased/>
  <w15:docId w15:val="{85A515B9-4741-4A7B-A469-56C46A7C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
    <w:qFormat/>
    <w:rsid w:val="004D0B3B"/>
    <w:pPr>
      <w:keepNext/>
      <w:jc w:val="both"/>
      <w:outlineLvl w:val="0"/>
    </w:pPr>
    <w:rPr>
      <w:sz w:val="24"/>
    </w:rPr>
  </w:style>
  <w:style w:type="paragraph" w:styleId="Ttulo2">
    <w:name w:val="heading 2"/>
    <w:aliases w:val="CAPÍTULO,Car10,secciones"/>
    <w:basedOn w:val="Normal"/>
    <w:next w:val="Normal"/>
    <w:link w:val="Ttulo2Car"/>
    <w:qFormat/>
    <w:rsid w:val="004D0B3B"/>
    <w:pPr>
      <w:keepNext/>
      <w:jc w:val="both"/>
      <w:outlineLvl w:val="1"/>
    </w:pPr>
    <w:rPr>
      <w:b/>
      <w:sz w:val="28"/>
    </w:rPr>
  </w:style>
  <w:style w:type="paragraph" w:styleId="Ttulo3">
    <w:name w:val="heading 3"/>
    <w:basedOn w:val="Normal"/>
    <w:next w:val="Normal"/>
    <w:link w:val="Ttulo3Car"/>
    <w:uiPriority w:val="9"/>
    <w:qFormat/>
    <w:rsid w:val="004D0B3B"/>
    <w:pPr>
      <w:keepNext/>
      <w:outlineLvl w:val="2"/>
    </w:pPr>
    <w:rPr>
      <w:b/>
      <w:bCs/>
      <w:sz w:val="24"/>
    </w:rPr>
  </w:style>
  <w:style w:type="paragraph" w:styleId="Ttulo4">
    <w:name w:val="heading 4"/>
    <w:basedOn w:val="Normal"/>
    <w:next w:val="Normal"/>
    <w:link w:val="Ttulo4Car"/>
    <w:uiPriority w:val="9"/>
    <w:qFormat/>
    <w:rsid w:val="004D0B3B"/>
    <w:pPr>
      <w:keepNext/>
      <w:jc w:val="center"/>
      <w:outlineLvl w:val="3"/>
    </w:pPr>
    <w:rPr>
      <w:rFonts w:ascii="Coronet" w:hAnsi="Coronet"/>
      <w:sz w:val="42"/>
      <w:lang w:val="es-CR"/>
    </w:rPr>
  </w:style>
  <w:style w:type="paragraph" w:styleId="Ttulo5">
    <w:name w:val="heading 5"/>
    <w:basedOn w:val="Normal"/>
    <w:next w:val="Normal"/>
    <w:link w:val="Ttulo5Car"/>
    <w:uiPriority w:val="9"/>
    <w:qFormat/>
    <w:rsid w:val="004D0B3B"/>
    <w:pPr>
      <w:keepNext/>
      <w:widowControl w:val="0"/>
      <w:ind w:firstLine="426"/>
      <w:jc w:val="both"/>
      <w:outlineLvl w:val="4"/>
    </w:pPr>
    <w:rPr>
      <w:b/>
      <w:bCs/>
      <w:i/>
      <w:iCs/>
      <w:lang w:val="es-CR"/>
    </w:rPr>
  </w:style>
  <w:style w:type="paragraph" w:styleId="Ttulo6">
    <w:name w:val="heading 6"/>
    <w:basedOn w:val="Normal"/>
    <w:next w:val="Normal"/>
    <w:link w:val="Ttulo6Car"/>
    <w:uiPriority w:val="9"/>
    <w:qFormat/>
    <w:rsid w:val="008B5F96"/>
    <w:pPr>
      <w:spacing w:before="240" w:after="60"/>
      <w:outlineLvl w:val="5"/>
    </w:pPr>
    <w:rPr>
      <w:b/>
      <w:bCs/>
      <w:sz w:val="22"/>
      <w:szCs w:val="22"/>
      <w:lang w:val="es-CR"/>
    </w:rPr>
  </w:style>
  <w:style w:type="paragraph" w:styleId="Ttulo7">
    <w:name w:val="heading 7"/>
    <w:basedOn w:val="Normal"/>
    <w:next w:val="Normal"/>
    <w:link w:val="Ttulo7Car"/>
    <w:uiPriority w:val="9"/>
    <w:qFormat/>
    <w:rsid w:val="004D0B3B"/>
    <w:pPr>
      <w:keepNext/>
      <w:tabs>
        <w:tab w:val="num" w:pos="1296"/>
      </w:tabs>
      <w:ind w:left="1296" w:hanging="1296"/>
      <w:outlineLvl w:val="6"/>
    </w:pPr>
    <w:rPr>
      <w:sz w:val="28"/>
    </w:rPr>
  </w:style>
  <w:style w:type="paragraph" w:styleId="Ttulo8">
    <w:name w:val="heading 8"/>
    <w:basedOn w:val="Normal"/>
    <w:next w:val="Normal"/>
    <w:link w:val="Ttulo8Car"/>
    <w:uiPriority w:val="9"/>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uiPriority w:val="9"/>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qFormat/>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link w:val="NormalWebCar"/>
    <w:uiPriority w:val="99"/>
    <w:unhideWhenUsed/>
    <w:rsid w:val="00AC438A"/>
    <w:pPr>
      <w:spacing w:before="100" w:beforeAutospacing="1" w:after="100" w:afterAutospacing="1"/>
    </w:pPr>
    <w:rPr>
      <w:rFonts w:ascii="Arial" w:hAnsi="Arial" w:cs="Arial"/>
      <w:sz w:val="18"/>
      <w:szCs w:val="18"/>
      <w:lang w:val="es-CR" w:eastAsia="es-CR"/>
    </w:rPr>
  </w:style>
  <w:style w:type="character" w:styleId="Fuerte">
    <w:name w:val="Strong"/>
    <w:uiPriority w:val="22"/>
    <w:qFormat/>
    <w:rsid w:val="00AC438A"/>
    <w:rPr>
      <w:b/>
      <w:bCs/>
    </w:rPr>
  </w:style>
  <w:style w:type="paragraph" w:styleId="Textodeglobo">
    <w:name w:val="Balloon Text"/>
    <w:basedOn w:val="Normal"/>
    <w:link w:val="TextodegloboCar"/>
    <w:uiPriority w:val="99"/>
    <w:semiHidden/>
    <w:unhideWhenUsed/>
    <w:rsid w:val="00BD5D1C"/>
    <w:rPr>
      <w:rFonts w:ascii="Tahoma" w:hAnsi="Tahoma" w:cs="Tahoma"/>
      <w:sz w:val="16"/>
      <w:szCs w:val="16"/>
    </w:rPr>
  </w:style>
  <w:style w:type="character" w:customStyle="1" w:styleId="TextodegloboCar">
    <w:name w:val="Texto de globo Car"/>
    <w:link w:val="Textodeglobo"/>
    <w:uiPriority w:val="99"/>
    <w:semiHidden/>
    <w:rsid w:val="00BD5D1C"/>
    <w:rPr>
      <w:rFonts w:ascii="Tahoma" w:eastAsia="Times New Roman" w:hAnsi="Tahoma" w:cs="Tahoma"/>
      <w:sz w:val="16"/>
      <w:szCs w:val="16"/>
      <w:lang w:val="es-ES" w:eastAsia="es-ES"/>
    </w:rPr>
  </w:style>
  <w:style w:type="character" w:styleId="Hipervnculo">
    <w:name w:val="Hyperlink"/>
    <w:uiPriority w:val="99"/>
    <w:qFormat/>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titulo 3"/>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99"/>
    <w:unhideWhenUsed/>
    <w:qFormat/>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99"/>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iPriority w:val="99"/>
    <w:unhideWhenUsed/>
    <w:rsid w:val="001E4BAA"/>
    <w:pPr>
      <w:spacing w:after="120" w:line="480" w:lineRule="auto"/>
      <w:ind w:left="283"/>
    </w:pPr>
  </w:style>
  <w:style w:type="character" w:customStyle="1" w:styleId="Sangra2detindependienteCar">
    <w:name w:val="Sangría 2 de t. independiente Car"/>
    <w:link w:val="Sangra2detindependiente"/>
    <w:uiPriority w:val="99"/>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
    <w:rsid w:val="004D0B3B"/>
    <w:rPr>
      <w:rFonts w:ascii="Times New Roman" w:eastAsia="Times New Roman" w:hAnsi="Times New Roman"/>
      <w:sz w:val="24"/>
      <w:lang w:val="es-ES" w:eastAsia="es-ES"/>
    </w:rPr>
  </w:style>
  <w:style w:type="character" w:customStyle="1" w:styleId="Ttulo2Car">
    <w:name w:val="Título 2 Car"/>
    <w:aliases w:val="CAPÍTULO Car,Car10 Car,secciones Car"/>
    <w:link w:val="Ttulo2"/>
    <w:rsid w:val="004D0B3B"/>
    <w:rPr>
      <w:rFonts w:ascii="Times New Roman" w:eastAsia="Times New Roman" w:hAnsi="Times New Roman"/>
      <w:b/>
      <w:sz w:val="28"/>
      <w:lang w:val="es-ES" w:eastAsia="es-ES"/>
    </w:rPr>
  </w:style>
  <w:style w:type="character" w:customStyle="1" w:styleId="Ttulo3Car">
    <w:name w:val="Título 3 Car"/>
    <w:link w:val="Ttulo3"/>
    <w:uiPriority w:val="9"/>
    <w:rsid w:val="004D0B3B"/>
    <w:rPr>
      <w:rFonts w:ascii="Times New Roman" w:eastAsia="Times New Roman" w:hAnsi="Times New Roman"/>
      <w:b/>
      <w:bCs/>
      <w:sz w:val="24"/>
      <w:lang w:val="es-ES" w:eastAsia="es-ES"/>
    </w:rPr>
  </w:style>
  <w:style w:type="character" w:customStyle="1" w:styleId="Ttulo4Car">
    <w:name w:val="Título 4 Car"/>
    <w:link w:val="Ttulo4"/>
    <w:uiPriority w:val="9"/>
    <w:rsid w:val="004D0B3B"/>
    <w:rPr>
      <w:rFonts w:ascii="Coronet" w:eastAsia="Times New Roman" w:hAnsi="Coronet"/>
      <w:sz w:val="42"/>
      <w:lang w:eastAsia="es-ES"/>
    </w:rPr>
  </w:style>
  <w:style w:type="character" w:customStyle="1" w:styleId="Ttulo5Car">
    <w:name w:val="Título 5 Car"/>
    <w:link w:val="Ttulo5"/>
    <w:uiPriority w:val="9"/>
    <w:rsid w:val="004D0B3B"/>
    <w:rPr>
      <w:rFonts w:ascii="Times New Roman" w:eastAsia="Times New Roman" w:hAnsi="Times New Roman"/>
      <w:b/>
      <w:bCs/>
      <w:i/>
      <w:iCs/>
      <w:lang w:eastAsia="es-ES"/>
    </w:rPr>
  </w:style>
  <w:style w:type="character" w:customStyle="1" w:styleId="Ttulo7Car">
    <w:name w:val="Título 7 Car"/>
    <w:link w:val="Ttulo7"/>
    <w:uiPriority w:val="9"/>
    <w:rsid w:val="004D0B3B"/>
    <w:rPr>
      <w:rFonts w:ascii="Times New Roman" w:eastAsia="Times New Roman" w:hAnsi="Times New Roman"/>
      <w:sz w:val="28"/>
      <w:lang w:val="es-ES" w:eastAsia="es-ES"/>
    </w:rPr>
  </w:style>
  <w:style w:type="character" w:customStyle="1" w:styleId="Ttulo8Car">
    <w:name w:val="Título 8 Car"/>
    <w:link w:val="Ttulo8"/>
    <w:uiPriority w:val="9"/>
    <w:rsid w:val="004D0B3B"/>
    <w:rPr>
      <w:rFonts w:ascii="Arial" w:eastAsia="Times New Roman" w:hAnsi="Arial" w:cs="Arial"/>
      <w:b/>
      <w:bCs/>
      <w:color w:val="99CC00"/>
      <w:lang w:val="es-ES" w:eastAsia="es-ES"/>
    </w:rPr>
  </w:style>
  <w:style w:type="character" w:customStyle="1" w:styleId="Ttulo9Car">
    <w:name w:val="Título 9 Car"/>
    <w:link w:val="Ttulo9"/>
    <w:uiPriority w:val="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rsid w:val="004D0B3B"/>
  </w:style>
  <w:style w:type="paragraph" w:styleId="Textoindependiente2">
    <w:name w:val="Body Text 2"/>
    <w:basedOn w:val="Normal"/>
    <w:link w:val="Textoindependiente2Car"/>
    <w:uiPriority w:val="99"/>
    <w:rsid w:val="004D0B3B"/>
    <w:pPr>
      <w:spacing w:after="120" w:line="480" w:lineRule="auto"/>
    </w:pPr>
  </w:style>
  <w:style w:type="character" w:customStyle="1" w:styleId="Textoindependiente2Car">
    <w:name w:val="Texto independiente 2 Car"/>
    <w:link w:val="Textoindependiente2"/>
    <w:uiPriority w:val="99"/>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fn Car,texto de nota al pie Car,Texto nota pie Car Car Car Car Car Car Car Car Car,Texto nota pie Car Car Car Car,Footnote Text Char Char Char Char Char Char Car,Texto nota pie Car Car Car Car Car Car,single space Car,ft Car"/>
    <w:link w:val="Textonotapie"/>
    <w:uiPriority w:val="99"/>
    <w:qFormat/>
    <w:rsid w:val="004D0B3B"/>
    <w:rPr>
      <w:lang w:eastAsia="es-ES"/>
    </w:rPr>
  </w:style>
  <w:style w:type="paragraph" w:styleId="Textonotapie">
    <w:name w:val="footnote text"/>
    <w:aliases w:val="Car1,fn,texto de nota al pie,Texto nota pie Car Car Car Car Car Car Car Car,Texto nota pie Car Car Car,Footnote Text Char Char Char Char Char Char,Texto nota pie Car Car Car Car Car,Texto nota pie Car Car,single space,footn,Char, Char,ft"/>
    <w:basedOn w:val="Normal"/>
    <w:link w:val="TextonotapieCar"/>
    <w:uiPriority w:val="99"/>
    <w:qFormat/>
    <w:rsid w:val="004D0B3B"/>
    <w:rPr>
      <w:rFonts w:ascii="Calibri" w:eastAsia="Calibri" w:hAnsi="Calibri"/>
      <w:lang w:val="es-CR"/>
    </w:rPr>
  </w:style>
  <w:style w:type="character" w:customStyle="1" w:styleId="TextonotapieCar1">
    <w:name w:val="Texto nota pie Car1"/>
    <w:aliases w:val="Car1 Car1,fn Car1,texto de nota al pie Car1,Texto nota pie Car Car Car Car Car Car Car Car Car1,Texto nota pie Car Car Car Car1,Footnote Text Char Char Char Char Char Char Car1,Texto nota pie Car Car Car Car Car Car1,footn Car"/>
    <w:rsid w:val="004D0B3B"/>
    <w:rPr>
      <w:rFonts w:ascii="Times New Roman" w:eastAsia="Times New Roman" w:hAnsi="Times New Roman"/>
      <w:lang w:val="es-ES" w:eastAsia="es-ES"/>
    </w:rPr>
  </w:style>
  <w:style w:type="character" w:styleId="Refdenotaalpie">
    <w:name w:val="footnote reference"/>
    <w:aliases w:val="FC,ftref,referencia nota al pie,Ref,de nota al pie,16 Point,Superscript 6 Point,BVI fnr,Footnote Reference Number,Footnote Reference_LVL6,Footnote Reference_LVL61,Footnote Reference_LVL62,Footnote Reference_LVL63,fr,Char Char1,titulo"/>
    <w:uiPriority w:val="99"/>
    <w:qFormat/>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39"/>
    <w:qFormat/>
    <w:rsid w:val="004D0B3B"/>
    <w:pPr>
      <w:tabs>
        <w:tab w:val="right" w:leader="dot" w:pos="8820"/>
      </w:tabs>
    </w:pPr>
    <w:rPr>
      <w:lang w:eastAsia="en-US"/>
    </w:rPr>
  </w:style>
  <w:style w:type="paragraph" w:styleId="TDC2">
    <w:name w:val="toc 2"/>
    <w:basedOn w:val="Normal"/>
    <w:next w:val="Normal"/>
    <w:autoRedefine/>
    <w:uiPriority w:val="39"/>
    <w:qFormat/>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10"/>
    <w:qFormat/>
    <w:rsid w:val="004D0B3B"/>
    <w:pPr>
      <w:jc w:val="center"/>
    </w:pPr>
    <w:rPr>
      <w:b/>
      <w:sz w:val="32"/>
      <w:lang w:val="es-ES_tradnl"/>
    </w:rPr>
  </w:style>
  <w:style w:type="character" w:customStyle="1" w:styleId="TtuloCar">
    <w:name w:val="Título Car"/>
    <w:link w:val="Ttulo"/>
    <w:uiPriority w:val="10"/>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 w:type="paragraph" w:customStyle="1" w:styleId="Texto">
    <w:name w:val="Texto"/>
    <w:basedOn w:val="Normal"/>
    <w:link w:val="TextoChar"/>
    <w:qFormat/>
    <w:rsid w:val="00727B1D"/>
    <w:pPr>
      <w:spacing w:before="120" w:after="120"/>
      <w:jc w:val="both"/>
    </w:pPr>
    <w:rPr>
      <w:rFonts w:ascii="Franklin Gothic Book" w:hAnsi="Franklin Gothic Book"/>
      <w:sz w:val="22"/>
      <w:szCs w:val="24"/>
      <w:lang w:val="es-CR" w:eastAsia="en-US"/>
    </w:rPr>
  </w:style>
  <w:style w:type="character" w:customStyle="1" w:styleId="TextoChar">
    <w:name w:val="Texto Char"/>
    <w:link w:val="Texto"/>
    <w:rsid w:val="00727B1D"/>
    <w:rPr>
      <w:rFonts w:ascii="Franklin Gothic Book" w:eastAsia="Times New Roman" w:hAnsi="Franklin Gothic Book"/>
      <w:sz w:val="22"/>
      <w:szCs w:val="24"/>
      <w:lang w:eastAsia="en-US"/>
    </w:rPr>
  </w:style>
  <w:style w:type="paragraph" w:customStyle="1" w:styleId="CC">
    <w:name w:val="CC"/>
    <w:basedOn w:val="Texto"/>
    <w:link w:val="CCChar"/>
    <w:qFormat/>
    <w:rsid w:val="00727B1D"/>
    <w:pPr>
      <w:spacing w:before="0" w:after="0"/>
    </w:pPr>
    <w:rPr>
      <w:sz w:val="18"/>
      <w:szCs w:val="18"/>
      <w:lang w:val="es-ES"/>
    </w:rPr>
  </w:style>
  <w:style w:type="character" w:customStyle="1" w:styleId="CCChar">
    <w:name w:val="CC Char"/>
    <w:basedOn w:val="TextoChar"/>
    <w:link w:val="CC"/>
    <w:rsid w:val="00727B1D"/>
    <w:rPr>
      <w:rFonts w:ascii="Franklin Gothic Book" w:eastAsia="Times New Roman" w:hAnsi="Franklin Gothic Book"/>
      <w:sz w:val="18"/>
      <w:szCs w:val="18"/>
      <w:lang w:val="es-ES" w:eastAsia="en-US"/>
    </w:rPr>
  </w:style>
  <w:style w:type="character" w:customStyle="1" w:styleId="NormalWebCar">
    <w:name w:val="Normal (Web) Car"/>
    <w:link w:val="NormalWeb"/>
    <w:uiPriority w:val="99"/>
    <w:rsid w:val="00722BF2"/>
    <w:rPr>
      <w:rFonts w:ascii="Arial" w:eastAsia="Times New Roman" w:hAnsi="Arial" w:cs="Arial"/>
      <w:sz w:val="18"/>
      <w:szCs w:val="18"/>
    </w:rPr>
  </w:style>
  <w:style w:type="paragraph" w:customStyle="1" w:styleId="Negrita">
    <w:name w:val="Negrita"/>
    <w:basedOn w:val="Texto"/>
    <w:link w:val="NegritaChar1"/>
    <w:uiPriority w:val="1"/>
    <w:qFormat/>
    <w:rsid w:val="00BB7D18"/>
    <w:rPr>
      <w:b/>
    </w:rPr>
  </w:style>
  <w:style w:type="character" w:customStyle="1" w:styleId="NegritaChar1">
    <w:name w:val="Negrita Char1"/>
    <w:link w:val="Negrita"/>
    <w:uiPriority w:val="1"/>
    <w:rsid w:val="00BB7D18"/>
    <w:rPr>
      <w:rFonts w:ascii="Franklin Gothic Book" w:eastAsia="Times New Roman" w:hAnsi="Franklin Gothic Book"/>
      <w:b/>
      <w:sz w:val="22"/>
      <w:szCs w:val="24"/>
      <w:lang w:eastAsia="en-US"/>
    </w:rPr>
  </w:style>
  <w:style w:type="table" w:customStyle="1" w:styleId="Tablaconcuadrcula6">
    <w:name w:val="Tabla con cuadrícula6"/>
    <w:basedOn w:val="Tablanormal"/>
    <w:next w:val="Tablaconcuadrcula"/>
    <w:uiPriority w:val="39"/>
    <w:rsid w:val="00BB7D1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1D21E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ar">
    <w:name w:val="Título 6 Car"/>
    <w:basedOn w:val="Fuentedeprrafopredeter"/>
    <w:link w:val="Ttulo6"/>
    <w:uiPriority w:val="9"/>
    <w:rsid w:val="008B5F96"/>
    <w:rPr>
      <w:rFonts w:ascii="Times New Roman" w:eastAsia="Times New Roman" w:hAnsi="Times New Roman"/>
      <w:b/>
      <w:bCs/>
      <w:sz w:val="22"/>
      <w:szCs w:val="22"/>
      <w:lang w:eastAsia="es-ES"/>
    </w:rPr>
  </w:style>
  <w:style w:type="character" w:customStyle="1" w:styleId="BodyTextIndent2Char1">
    <w:name w:val="Body Text Indent 2 Char1"/>
    <w:basedOn w:val="Fuentedeprrafopredeter"/>
    <w:semiHidden/>
    <w:rsid w:val="008B5F96"/>
    <w:rPr>
      <w:rFonts w:ascii="Times New Roman" w:eastAsia="Times New Roman" w:hAnsi="Times New Roman"/>
      <w:lang w:eastAsia="es-ES"/>
    </w:rPr>
  </w:style>
  <w:style w:type="character" w:customStyle="1" w:styleId="BodyTextChar1">
    <w:name w:val="Body Text Char1"/>
    <w:basedOn w:val="Fuentedeprrafopredeter"/>
    <w:uiPriority w:val="99"/>
    <w:semiHidden/>
    <w:rsid w:val="008B5F96"/>
    <w:rPr>
      <w:rFonts w:ascii="Times New Roman" w:eastAsia="Times New Roman" w:hAnsi="Times New Roman"/>
      <w:lang w:eastAsia="es-ES"/>
    </w:rPr>
  </w:style>
  <w:style w:type="character" w:customStyle="1" w:styleId="PlainTextChar1">
    <w:name w:val="Plain Text Char1"/>
    <w:basedOn w:val="Fuentedeprrafopredeter"/>
    <w:uiPriority w:val="99"/>
    <w:semiHidden/>
    <w:rsid w:val="008B5F96"/>
    <w:rPr>
      <w:rFonts w:ascii="Consolas" w:eastAsia="Times New Roman" w:hAnsi="Consolas"/>
      <w:sz w:val="21"/>
      <w:szCs w:val="21"/>
      <w:lang w:eastAsia="es-ES"/>
    </w:rPr>
  </w:style>
  <w:style w:type="character" w:customStyle="1" w:styleId="BalloonTextChar1">
    <w:name w:val="Balloon Text Char1"/>
    <w:basedOn w:val="Fuentedeprrafopredeter"/>
    <w:uiPriority w:val="99"/>
    <w:semiHidden/>
    <w:rsid w:val="008B5F96"/>
    <w:rPr>
      <w:rFonts w:ascii="Segoe UI" w:eastAsia="Times New Roman" w:hAnsi="Segoe UI" w:cs="Segoe UI"/>
      <w:sz w:val="18"/>
      <w:szCs w:val="18"/>
      <w:lang w:eastAsia="es-ES"/>
    </w:rPr>
  </w:style>
  <w:style w:type="character" w:customStyle="1" w:styleId="BodyTextIndentChar1">
    <w:name w:val="Body Text Indent Char1"/>
    <w:basedOn w:val="Fuentedeprrafopredeter"/>
    <w:uiPriority w:val="99"/>
    <w:semiHidden/>
    <w:rsid w:val="008B5F96"/>
    <w:rPr>
      <w:rFonts w:ascii="Times New Roman" w:eastAsia="Times New Roman" w:hAnsi="Times New Roman"/>
      <w:lang w:eastAsia="es-ES"/>
    </w:rPr>
  </w:style>
  <w:style w:type="character" w:customStyle="1" w:styleId="BodyText2Char1">
    <w:name w:val="Body Text 2 Char1"/>
    <w:basedOn w:val="Fuentedeprrafopredeter"/>
    <w:semiHidden/>
    <w:rsid w:val="008B5F96"/>
    <w:rPr>
      <w:rFonts w:ascii="Times New Roman" w:eastAsia="Times New Roman" w:hAnsi="Times New Roman"/>
      <w:lang w:eastAsia="es-ES"/>
    </w:rPr>
  </w:style>
  <w:style w:type="character" w:customStyle="1" w:styleId="FootnoteTextChar1">
    <w:name w:val="Footnote Text Char1"/>
    <w:basedOn w:val="Fuentedeprrafopredeter"/>
    <w:uiPriority w:val="99"/>
    <w:semiHidden/>
    <w:rsid w:val="008B5F96"/>
    <w:rPr>
      <w:rFonts w:ascii="Times New Roman" w:eastAsia="Times New Roman" w:hAnsi="Times New Roman"/>
      <w:lang w:eastAsia="es-ES"/>
    </w:rPr>
  </w:style>
  <w:style w:type="character" w:customStyle="1" w:styleId="CommentTextChar1">
    <w:name w:val="Comment Text Char1"/>
    <w:basedOn w:val="Fuentedeprrafopredeter"/>
    <w:uiPriority w:val="99"/>
    <w:semiHidden/>
    <w:rsid w:val="008B5F96"/>
    <w:rPr>
      <w:rFonts w:ascii="Times New Roman" w:eastAsia="Times New Roman" w:hAnsi="Times New Roman"/>
      <w:lang w:eastAsia="es-ES"/>
    </w:rPr>
  </w:style>
  <w:style w:type="character" w:customStyle="1" w:styleId="BodyText3Char1">
    <w:name w:val="Body Text 3 Char1"/>
    <w:basedOn w:val="Fuentedeprrafopredeter"/>
    <w:uiPriority w:val="99"/>
    <w:semiHidden/>
    <w:rsid w:val="008B5F96"/>
    <w:rPr>
      <w:rFonts w:ascii="Times New Roman" w:eastAsia="Times New Roman" w:hAnsi="Times New Roman"/>
      <w:sz w:val="16"/>
      <w:szCs w:val="16"/>
      <w:lang w:eastAsia="es-ES"/>
    </w:rPr>
  </w:style>
  <w:style w:type="character" w:customStyle="1" w:styleId="BodyTextIndent3Char1">
    <w:name w:val="Body Text Indent 3 Char1"/>
    <w:basedOn w:val="Fuentedeprrafopredeter"/>
    <w:uiPriority w:val="99"/>
    <w:semiHidden/>
    <w:rsid w:val="008B5F96"/>
    <w:rPr>
      <w:rFonts w:ascii="Times New Roman" w:eastAsia="Times New Roman" w:hAnsi="Times New Roman"/>
      <w:sz w:val="16"/>
      <w:szCs w:val="16"/>
      <w:lang w:eastAsia="es-ES"/>
    </w:rPr>
  </w:style>
  <w:style w:type="character" w:customStyle="1" w:styleId="CommentSubjectChar1">
    <w:name w:val="Comment Subject Char1"/>
    <w:basedOn w:val="CommentTextChar1"/>
    <w:uiPriority w:val="99"/>
    <w:semiHidden/>
    <w:rsid w:val="008B5F96"/>
    <w:rPr>
      <w:rFonts w:ascii="Times New Roman" w:eastAsia="Times New Roman" w:hAnsi="Times New Roman"/>
      <w:b/>
      <w:bCs/>
      <w:lang w:eastAsia="es-ES"/>
    </w:rPr>
  </w:style>
  <w:style w:type="character" w:customStyle="1" w:styleId="HTMLPreformattedChar1">
    <w:name w:val="HTML Preformatted Char1"/>
    <w:basedOn w:val="Fuentedeprrafopredeter"/>
    <w:uiPriority w:val="99"/>
    <w:semiHidden/>
    <w:rsid w:val="008B5F96"/>
    <w:rPr>
      <w:rFonts w:ascii="Consolas" w:eastAsia="Times New Roman" w:hAnsi="Consolas"/>
      <w:lang w:eastAsia="es-ES"/>
    </w:rPr>
  </w:style>
  <w:style w:type="character" w:customStyle="1" w:styleId="EndnoteTextChar1">
    <w:name w:val="Endnote Text Char1"/>
    <w:basedOn w:val="Fuentedeprrafopredeter"/>
    <w:semiHidden/>
    <w:rsid w:val="008B5F96"/>
    <w:rPr>
      <w:rFonts w:ascii="Times New Roman" w:eastAsia="Times New Roman" w:hAnsi="Times New Roman"/>
      <w:lang w:eastAsia="es-ES"/>
    </w:rPr>
  </w:style>
  <w:style w:type="character" w:customStyle="1" w:styleId="SalutationChar1">
    <w:name w:val="Salutation Char1"/>
    <w:basedOn w:val="Fuentedeprrafopredeter"/>
    <w:uiPriority w:val="99"/>
    <w:semiHidden/>
    <w:rsid w:val="008B5F96"/>
    <w:rPr>
      <w:rFonts w:ascii="Times New Roman" w:eastAsia="Times New Roman" w:hAnsi="Times New Roman"/>
      <w:lang w:eastAsia="es-ES"/>
    </w:rPr>
  </w:style>
  <w:style w:type="character" w:customStyle="1" w:styleId="BodyTextFirstIndentChar1">
    <w:name w:val="Body Text First Indent Char1"/>
    <w:basedOn w:val="BodyTextChar1"/>
    <w:uiPriority w:val="99"/>
    <w:semiHidden/>
    <w:rsid w:val="008B5F96"/>
    <w:rPr>
      <w:rFonts w:ascii="Times New Roman" w:eastAsia="Times New Roman" w:hAnsi="Times New Roman"/>
      <w:lang w:eastAsia="es-ES"/>
    </w:rPr>
  </w:style>
  <w:style w:type="character" w:customStyle="1" w:styleId="BodyTextFirstIndent2Char1">
    <w:name w:val="Body Text First Indent 2 Char1"/>
    <w:basedOn w:val="BodyTextIndentChar1"/>
    <w:uiPriority w:val="99"/>
    <w:semiHidden/>
    <w:rsid w:val="008B5F96"/>
    <w:rPr>
      <w:rFonts w:ascii="Times New Roman" w:eastAsia="Times New Roman" w:hAnsi="Times New Roman"/>
      <w:lang w:eastAsia="es-ES"/>
    </w:rPr>
  </w:style>
  <w:style w:type="character" w:customStyle="1" w:styleId="MessageHeaderChar1">
    <w:name w:val="Message Header Char1"/>
    <w:basedOn w:val="Fuentedeprrafopredeter"/>
    <w:semiHidden/>
    <w:rsid w:val="008B5F96"/>
    <w:rPr>
      <w:rFonts w:ascii="Calibri Light" w:eastAsia="Yu Gothic Light" w:hAnsi="Calibri Light" w:cs="Times New Roman"/>
      <w:sz w:val="24"/>
      <w:szCs w:val="24"/>
      <w:shd w:val="pct20" w:color="auto" w:fill="auto"/>
      <w:lang w:eastAsia="es-ES"/>
    </w:rPr>
  </w:style>
  <w:style w:type="paragraph" w:customStyle="1" w:styleId="encabezado0">
    <w:name w:val="encabezado"/>
    <w:basedOn w:val="Normal"/>
    <w:link w:val="encabezadoChar"/>
    <w:uiPriority w:val="1"/>
    <w:qFormat/>
    <w:rsid w:val="008B5F96"/>
    <w:pPr>
      <w:jc w:val="both"/>
    </w:pPr>
    <w:rPr>
      <w:rFonts w:ascii="Franklin Gothic Book" w:hAnsi="Franklin Gothic Book"/>
      <w:sz w:val="22"/>
      <w:szCs w:val="24"/>
      <w:lang w:val="es-CR" w:eastAsia="en-US"/>
    </w:rPr>
  </w:style>
  <w:style w:type="character" w:customStyle="1" w:styleId="NoteHeadingChar1">
    <w:name w:val="Note Heading Char1"/>
    <w:basedOn w:val="Fuentedeprrafopredeter"/>
    <w:semiHidden/>
    <w:rsid w:val="008B5F96"/>
    <w:rPr>
      <w:rFonts w:ascii="Times New Roman" w:eastAsia="Times New Roman" w:hAnsi="Times New Roman"/>
      <w:lang w:eastAsia="es-ES"/>
    </w:rPr>
  </w:style>
  <w:style w:type="character" w:customStyle="1" w:styleId="DocumentMapChar1">
    <w:name w:val="Document Map Char1"/>
    <w:basedOn w:val="Fuentedeprrafopredeter"/>
    <w:uiPriority w:val="99"/>
    <w:semiHidden/>
    <w:rsid w:val="008B5F96"/>
    <w:rPr>
      <w:rFonts w:ascii="Segoe UI" w:eastAsia="Times New Roman" w:hAnsi="Segoe UI" w:cs="Segoe UI"/>
      <w:sz w:val="16"/>
      <w:szCs w:val="16"/>
      <w:lang w:eastAsia="es-ES"/>
    </w:rPr>
  </w:style>
  <w:style w:type="character" w:customStyle="1" w:styleId="QuoteChar1">
    <w:name w:val="Quote Char1"/>
    <w:basedOn w:val="Fuentedeprrafopredeter"/>
    <w:uiPriority w:val="29"/>
    <w:rsid w:val="008B5F96"/>
    <w:rPr>
      <w:rFonts w:ascii="Times New Roman" w:eastAsia="Times New Roman" w:hAnsi="Times New Roman"/>
      <w:i/>
      <w:iCs/>
      <w:color w:val="404040"/>
      <w:lang w:eastAsia="es-ES"/>
    </w:rPr>
  </w:style>
  <w:style w:type="character" w:customStyle="1" w:styleId="SubtitleChar1">
    <w:name w:val="Subtitle Char1"/>
    <w:basedOn w:val="Fuentedeprrafopredeter"/>
    <w:rsid w:val="008B5F96"/>
    <w:rPr>
      <w:rFonts w:ascii="Calibri" w:eastAsia="Yu Gothic Light" w:hAnsi="Calibri" w:cs="Times New Roman"/>
      <w:color w:val="595959"/>
      <w:spacing w:val="15"/>
      <w:sz w:val="28"/>
      <w:szCs w:val="28"/>
      <w:lang w:eastAsia="es-ES"/>
    </w:rPr>
  </w:style>
  <w:style w:type="character" w:customStyle="1" w:styleId="DateChar1">
    <w:name w:val="Date Char1"/>
    <w:basedOn w:val="Fuentedeprrafopredeter"/>
    <w:semiHidden/>
    <w:rsid w:val="008B5F96"/>
    <w:rPr>
      <w:rFonts w:ascii="Times New Roman" w:eastAsia="Times New Roman" w:hAnsi="Times New Roman"/>
      <w:lang w:eastAsia="es-ES"/>
    </w:rPr>
  </w:style>
  <w:style w:type="character" w:customStyle="1" w:styleId="IntenseQuoteChar1">
    <w:name w:val="Intense Quote Char1"/>
    <w:basedOn w:val="Fuentedeprrafopredeter"/>
    <w:uiPriority w:val="30"/>
    <w:rsid w:val="008B5F96"/>
    <w:rPr>
      <w:rFonts w:ascii="Times New Roman" w:eastAsia="Times New Roman" w:hAnsi="Times New Roman"/>
      <w:i/>
      <w:iCs/>
      <w:color w:val="2F5496"/>
      <w:lang w:eastAsia="es-ES"/>
    </w:rPr>
  </w:style>
  <w:style w:type="character" w:customStyle="1" w:styleId="SignatureChar1">
    <w:name w:val="Signature Char1"/>
    <w:basedOn w:val="Fuentedeprrafopredeter"/>
    <w:semiHidden/>
    <w:rsid w:val="008B5F96"/>
    <w:rPr>
      <w:rFonts w:ascii="Times New Roman" w:eastAsia="Times New Roman" w:hAnsi="Times New Roman"/>
      <w:lang w:eastAsia="es-ES"/>
    </w:rPr>
  </w:style>
  <w:style w:type="character" w:customStyle="1" w:styleId="z-TopofFormChar1">
    <w:name w:val="z-Top of Form Char1"/>
    <w:basedOn w:val="Fuentedeprrafopredeter"/>
    <w:uiPriority w:val="99"/>
    <w:semiHidden/>
    <w:rsid w:val="008B5F96"/>
    <w:rPr>
      <w:rFonts w:ascii="Arial" w:eastAsia="Times New Roman" w:hAnsi="Arial" w:cs="Arial"/>
      <w:vanish/>
      <w:sz w:val="16"/>
      <w:szCs w:val="16"/>
      <w:lang w:eastAsia="es-ES"/>
    </w:rPr>
  </w:style>
  <w:style w:type="character" w:customStyle="1" w:styleId="z-BottomofFormChar1">
    <w:name w:val="z-Bottom of Form Char1"/>
    <w:basedOn w:val="Fuentedeprrafopredeter"/>
    <w:uiPriority w:val="99"/>
    <w:semiHidden/>
    <w:rsid w:val="008B5F96"/>
    <w:rPr>
      <w:rFonts w:ascii="Arial" w:eastAsia="Times New Roman" w:hAnsi="Arial" w:cs="Arial"/>
      <w:vanish/>
      <w:sz w:val="16"/>
      <w:szCs w:val="16"/>
      <w:lang w:eastAsia="es-ES"/>
    </w:rPr>
  </w:style>
  <w:style w:type="character" w:customStyle="1" w:styleId="HTMLAddressChar1">
    <w:name w:val="HTML Address Char1"/>
    <w:basedOn w:val="Fuentedeprrafopredeter"/>
    <w:semiHidden/>
    <w:rsid w:val="008B5F96"/>
    <w:rPr>
      <w:rFonts w:ascii="Times New Roman" w:eastAsia="Times New Roman" w:hAnsi="Times New Roman"/>
      <w:i/>
      <w:iCs/>
      <w:lang w:eastAsia="es-ES"/>
    </w:rPr>
  </w:style>
  <w:style w:type="character" w:customStyle="1" w:styleId="ClosingChar1">
    <w:name w:val="Closing Char1"/>
    <w:basedOn w:val="Fuentedeprrafopredeter"/>
    <w:semiHidden/>
    <w:rsid w:val="008B5F96"/>
    <w:rPr>
      <w:rFonts w:ascii="Times New Roman" w:eastAsia="Times New Roman" w:hAnsi="Times New Roman"/>
      <w:lang w:eastAsia="es-ES"/>
    </w:rPr>
  </w:style>
  <w:style w:type="character" w:customStyle="1" w:styleId="E-mailSignatureChar1">
    <w:name w:val="E-mail Signature Char1"/>
    <w:basedOn w:val="Fuentedeprrafopredeter"/>
    <w:semiHidden/>
    <w:rsid w:val="008B5F96"/>
    <w:rPr>
      <w:rFonts w:ascii="Times New Roman" w:eastAsia="Times New Roman" w:hAnsi="Times New Roman"/>
      <w:lang w:eastAsia="es-ES"/>
    </w:rPr>
  </w:style>
  <w:style w:type="character" w:customStyle="1" w:styleId="haupttext1">
    <w:name w:val="haupttext1"/>
    <w:rsid w:val="008B5F96"/>
    <w:rPr>
      <w:rFonts w:ascii="Verdana" w:hAnsi="Verdana" w:hint="default"/>
      <w:sz w:val="18"/>
      <w:szCs w:val="18"/>
    </w:rPr>
  </w:style>
  <w:style w:type="paragraph" w:customStyle="1" w:styleId="Textoindependiente21">
    <w:name w:val="Texto independiente 21"/>
    <w:basedOn w:val="Normal"/>
    <w:rsid w:val="008B5F96"/>
    <w:pPr>
      <w:jc w:val="both"/>
    </w:pPr>
    <w:rPr>
      <w:b/>
      <w:sz w:val="24"/>
      <w:szCs w:val="24"/>
      <w:lang w:val="es-CR"/>
    </w:rPr>
  </w:style>
  <w:style w:type="character" w:customStyle="1" w:styleId="xdtextbox1">
    <w:name w:val="xdtextbox1"/>
    <w:rsid w:val="008B5F96"/>
    <w:rPr>
      <w:color w:val="auto"/>
      <w:bdr w:val="single" w:sz="8" w:space="1" w:color="DCDCDC" w:frame="1"/>
      <w:shd w:val="clear" w:color="auto" w:fill="FFFFFF"/>
    </w:rPr>
  </w:style>
  <w:style w:type="paragraph" w:customStyle="1" w:styleId="Estilo3">
    <w:name w:val="Estilo 3"/>
    <w:basedOn w:val="Normal"/>
    <w:rsid w:val="008B5F96"/>
    <w:pPr>
      <w:widowControl w:val="0"/>
      <w:spacing w:before="220" w:line="255" w:lineRule="exact"/>
      <w:jc w:val="both"/>
    </w:pPr>
    <w:rPr>
      <w:snapToGrid w:val="0"/>
      <w:lang w:val="es-CR"/>
    </w:rPr>
  </w:style>
  <w:style w:type="paragraph" w:customStyle="1" w:styleId="TextoindependienteReglamento">
    <w:name w:val="Texto independiente Reglamento"/>
    <w:basedOn w:val="Normal"/>
    <w:next w:val="Normal"/>
    <w:link w:val="TextoindependienteReglamentoCar"/>
    <w:rsid w:val="008B5F96"/>
    <w:pPr>
      <w:widowControl w:val="0"/>
      <w:tabs>
        <w:tab w:val="num" w:pos="643"/>
      </w:tabs>
      <w:ind w:left="643"/>
      <w:jc w:val="both"/>
    </w:pPr>
    <w:rPr>
      <w:sz w:val="28"/>
      <w:szCs w:val="16"/>
    </w:rPr>
  </w:style>
  <w:style w:type="character" w:customStyle="1" w:styleId="TextoindependienteReglamentoCar">
    <w:name w:val="Texto independiente Reglamento Car"/>
    <w:link w:val="TextoindependienteReglamento"/>
    <w:locked/>
    <w:rsid w:val="008B5F96"/>
    <w:rPr>
      <w:rFonts w:ascii="Times New Roman" w:eastAsia="Times New Roman" w:hAnsi="Times New Roman"/>
      <w:sz w:val="28"/>
      <w:szCs w:val="16"/>
      <w:lang w:val="es-ES" w:eastAsia="es-ES"/>
    </w:rPr>
  </w:style>
  <w:style w:type="paragraph" w:customStyle="1" w:styleId="domtab">
    <w:name w:val="domtab"/>
    <w:basedOn w:val="Normal"/>
    <w:rsid w:val="008B5F96"/>
    <w:pPr>
      <w:spacing w:before="420" w:line="225" w:lineRule="atLeast"/>
    </w:pPr>
    <w:rPr>
      <w:rFonts w:ascii="Arial" w:hAnsi="Arial" w:cs="Arial"/>
      <w:color w:val="434343"/>
      <w:sz w:val="18"/>
      <w:szCs w:val="18"/>
      <w:lang w:val="es-CR"/>
    </w:rPr>
  </w:style>
  <w:style w:type="paragraph" w:customStyle="1" w:styleId="clear">
    <w:name w:val="clear"/>
    <w:basedOn w:val="Normal"/>
    <w:rsid w:val="008B5F96"/>
    <w:pPr>
      <w:spacing w:before="150" w:after="100" w:afterAutospacing="1" w:line="225" w:lineRule="atLeast"/>
      <w:ind w:left="150"/>
    </w:pPr>
    <w:rPr>
      <w:rFonts w:ascii="Arial" w:hAnsi="Arial" w:cs="Arial"/>
      <w:color w:val="333333"/>
      <w:sz w:val="18"/>
      <w:szCs w:val="18"/>
      <w:lang w:val="es-CR"/>
    </w:rPr>
  </w:style>
  <w:style w:type="paragraph" w:customStyle="1" w:styleId="bwcellpaddingbottom1">
    <w:name w:val="bwcellpaddingbottom1"/>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bottom3">
    <w:name w:val="bwcellpaddingbottom3"/>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0">
    <w:name w:val="bwcellpaddingleft0"/>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1">
    <w:name w:val="bwcellpaddingleft1"/>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2">
    <w:name w:val="bwcellpaddingleft2"/>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4">
    <w:name w:val="bwcellpaddingleft4"/>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5">
    <w:name w:val="bwcellpaddingleft5"/>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6">
    <w:name w:val="bwcellpaddingleft6"/>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7">
    <w:name w:val="bwcellpaddingleft7"/>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left8">
    <w:name w:val="bwcellpaddingleft8"/>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ddingright0">
    <w:name w:val="bwcellpaddingright0"/>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cellparagraphmargin">
    <w:name w:val="bwcellparagraphmargin"/>
    <w:basedOn w:val="Normal"/>
    <w:rsid w:val="008B5F96"/>
    <w:pPr>
      <w:spacing w:line="225" w:lineRule="atLeast"/>
      <w:ind w:left="150"/>
    </w:pPr>
    <w:rPr>
      <w:rFonts w:ascii="Arial" w:hAnsi="Arial" w:cs="Arial"/>
      <w:color w:val="333333"/>
      <w:sz w:val="24"/>
      <w:szCs w:val="24"/>
      <w:lang w:val="es-CR"/>
    </w:rPr>
  </w:style>
  <w:style w:type="paragraph" w:customStyle="1" w:styleId="bwdoublebottomborder">
    <w:name w:val="bwdoublebottomborder"/>
    <w:basedOn w:val="Normal"/>
    <w:rsid w:val="008B5F96"/>
    <w:pPr>
      <w:pBdr>
        <w:bottom w:val="double" w:sz="6" w:space="0" w:color="000000"/>
      </w:pBdr>
      <w:spacing w:before="150" w:after="100" w:afterAutospacing="1" w:line="225" w:lineRule="atLeast"/>
      <w:ind w:left="150"/>
    </w:pPr>
    <w:rPr>
      <w:rFonts w:ascii="Arial" w:hAnsi="Arial" w:cs="Arial"/>
      <w:color w:val="333333"/>
      <w:sz w:val="24"/>
      <w:szCs w:val="24"/>
      <w:lang w:val="es-CR"/>
    </w:rPr>
  </w:style>
  <w:style w:type="paragraph" w:customStyle="1" w:styleId="bwlistitemmarginbottom">
    <w:name w:val="bwlistitemmarginbottom"/>
    <w:basedOn w:val="Normal"/>
    <w:rsid w:val="008B5F96"/>
    <w:pPr>
      <w:spacing w:before="150" w:after="150" w:line="225" w:lineRule="atLeast"/>
      <w:ind w:left="150"/>
    </w:pPr>
    <w:rPr>
      <w:rFonts w:ascii="Arial" w:hAnsi="Arial" w:cs="Arial"/>
      <w:color w:val="333333"/>
      <w:sz w:val="24"/>
      <w:szCs w:val="24"/>
      <w:lang w:val="es-CR"/>
    </w:rPr>
  </w:style>
  <w:style w:type="paragraph" w:customStyle="1" w:styleId="bwsinglebottomborder">
    <w:name w:val="bwsinglebottomborder"/>
    <w:basedOn w:val="Normal"/>
    <w:rsid w:val="008B5F96"/>
    <w:pPr>
      <w:pBdr>
        <w:bottom w:val="single" w:sz="8" w:space="0" w:color="000000"/>
      </w:pBdr>
      <w:spacing w:before="150" w:after="100" w:afterAutospacing="1" w:line="225" w:lineRule="atLeast"/>
      <w:ind w:left="150"/>
    </w:pPr>
    <w:rPr>
      <w:rFonts w:ascii="Arial" w:hAnsi="Arial" w:cs="Arial"/>
      <w:color w:val="333333"/>
      <w:sz w:val="24"/>
      <w:szCs w:val="24"/>
      <w:lang w:val="es-CR"/>
    </w:rPr>
  </w:style>
  <w:style w:type="paragraph" w:customStyle="1" w:styleId="bwtablebottommargin">
    <w:name w:val="bwtablebottommargin"/>
    <w:basedOn w:val="Normal"/>
    <w:rsid w:val="008B5F96"/>
    <w:pPr>
      <w:spacing w:before="150" w:after="150" w:line="225" w:lineRule="atLeast"/>
      <w:ind w:left="150"/>
    </w:pPr>
    <w:rPr>
      <w:rFonts w:ascii="Arial" w:hAnsi="Arial" w:cs="Arial"/>
      <w:color w:val="333333"/>
      <w:sz w:val="24"/>
      <w:szCs w:val="24"/>
      <w:lang w:val="es-CR"/>
    </w:rPr>
  </w:style>
  <w:style w:type="paragraph" w:customStyle="1" w:styleId="bwtextaligncenter">
    <w:name w:val="bwtextaligncenter"/>
    <w:basedOn w:val="Normal"/>
    <w:rsid w:val="008B5F96"/>
    <w:pPr>
      <w:spacing w:before="150" w:after="100" w:afterAutospacing="1" w:line="225" w:lineRule="atLeast"/>
      <w:ind w:left="150"/>
      <w:jc w:val="center"/>
    </w:pPr>
    <w:rPr>
      <w:rFonts w:ascii="Arial" w:hAnsi="Arial" w:cs="Arial"/>
      <w:color w:val="333333"/>
      <w:sz w:val="24"/>
      <w:szCs w:val="24"/>
      <w:lang w:val="es-CR"/>
    </w:rPr>
  </w:style>
  <w:style w:type="paragraph" w:customStyle="1" w:styleId="bwtextalignleft">
    <w:name w:val="bwtextalignleft"/>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bwtextalignright">
    <w:name w:val="bwtextalignright"/>
    <w:basedOn w:val="Normal"/>
    <w:rsid w:val="008B5F96"/>
    <w:pPr>
      <w:spacing w:before="150" w:after="100" w:afterAutospacing="1" w:line="225" w:lineRule="atLeast"/>
      <w:ind w:left="150"/>
      <w:jc w:val="right"/>
    </w:pPr>
    <w:rPr>
      <w:rFonts w:ascii="Arial" w:hAnsi="Arial" w:cs="Arial"/>
      <w:color w:val="333333"/>
      <w:sz w:val="24"/>
      <w:szCs w:val="24"/>
      <w:lang w:val="es-CR"/>
    </w:rPr>
  </w:style>
  <w:style w:type="paragraph" w:customStyle="1" w:styleId="bwunderlinestyle">
    <w:name w:val="bwunderlinestyle"/>
    <w:basedOn w:val="Normal"/>
    <w:rsid w:val="008B5F96"/>
    <w:pPr>
      <w:spacing w:before="150" w:after="100" w:afterAutospacing="1" w:line="225" w:lineRule="atLeast"/>
      <w:ind w:left="150"/>
    </w:pPr>
    <w:rPr>
      <w:rFonts w:ascii="Arial" w:hAnsi="Arial" w:cs="Arial"/>
      <w:color w:val="333333"/>
      <w:sz w:val="24"/>
      <w:szCs w:val="24"/>
      <w:u w:val="single"/>
      <w:lang w:val="es-CR"/>
    </w:rPr>
  </w:style>
  <w:style w:type="paragraph" w:customStyle="1" w:styleId="bwverticalalignbottom">
    <w:name w:val="bwverticalalignbottom"/>
    <w:basedOn w:val="Normal"/>
    <w:rsid w:val="008B5F96"/>
    <w:pPr>
      <w:spacing w:before="150" w:after="100" w:afterAutospacing="1" w:line="225" w:lineRule="atLeast"/>
      <w:ind w:left="150"/>
      <w:textAlignment w:val="bottom"/>
    </w:pPr>
    <w:rPr>
      <w:rFonts w:ascii="Arial" w:hAnsi="Arial" w:cs="Arial"/>
      <w:color w:val="333333"/>
      <w:sz w:val="24"/>
      <w:szCs w:val="24"/>
      <w:lang w:val="es-CR"/>
    </w:rPr>
  </w:style>
  <w:style w:type="paragraph" w:customStyle="1" w:styleId="bwverticalaligntop">
    <w:name w:val="bwverticalaligntop"/>
    <w:basedOn w:val="Normal"/>
    <w:rsid w:val="008B5F96"/>
    <w:pPr>
      <w:spacing w:before="150" w:after="100" w:afterAutospacing="1" w:line="225" w:lineRule="atLeast"/>
      <w:ind w:left="150"/>
      <w:textAlignment w:val="top"/>
    </w:pPr>
    <w:rPr>
      <w:rFonts w:ascii="Arial" w:hAnsi="Arial" w:cs="Arial"/>
      <w:color w:val="333333"/>
      <w:sz w:val="24"/>
      <w:szCs w:val="24"/>
      <w:lang w:val="es-CR"/>
    </w:rPr>
  </w:style>
  <w:style w:type="paragraph" w:customStyle="1" w:styleId="bwwhitespacenowrap">
    <w:name w:val="bwwhitespacenowrap"/>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ccbnresptitle">
    <w:name w:val="ccbnresptitle"/>
    <w:basedOn w:val="Normal"/>
    <w:rsid w:val="008B5F96"/>
    <w:pPr>
      <w:spacing w:before="150" w:after="100" w:afterAutospacing="1" w:line="225" w:lineRule="atLeast"/>
      <w:ind w:left="150"/>
    </w:pPr>
    <w:rPr>
      <w:rFonts w:ascii="Arial" w:hAnsi="Arial" w:cs="Arial"/>
      <w:b/>
      <w:bCs/>
      <w:color w:val="434343"/>
      <w:sz w:val="38"/>
      <w:szCs w:val="38"/>
      <w:lang w:val="es-CR"/>
    </w:rPr>
  </w:style>
  <w:style w:type="paragraph" w:customStyle="1" w:styleId="ccbnoutline">
    <w:name w:val="ccbnoutline"/>
    <w:basedOn w:val="Normal"/>
    <w:rsid w:val="008B5F96"/>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ccbnoutline1">
    <w:name w:val="ccbnoutline1"/>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outline2">
    <w:name w:val="ccbnoutline2"/>
    <w:basedOn w:val="Normal"/>
    <w:rsid w:val="008B5F96"/>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ccbnoutlinechart">
    <w:name w:val="ccbnoutlinechar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outlinequote">
    <w:name w:val="ccbnoutlinequot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tl">
    <w:name w:val="ccbnttl"/>
    <w:basedOn w:val="Normal"/>
    <w:rsid w:val="008B5F96"/>
    <w:pPr>
      <w:spacing w:before="150" w:after="100" w:afterAutospacing="1" w:line="225" w:lineRule="atLeast"/>
      <w:ind w:left="150"/>
    </w:pPr>
    <w:rPr>
      <w:rFonts w:ascii="Arial" w:hAnsi="Arial" w:cs="Arial"/>
      <w:b/>
      <w:bCs/>
      <w:color w:val="434343"/>
      <w:sz w:val="17"/>
      <w:szCs w:val="17"/>
      <w:lang w:val="es-CR"/>
    </w:rPr>
  </w:style>
  <w:style w:type="paragraph" w:customStyle="1" w:styleId="ccbnbgttl">
    <w:name w:val="ccbnbg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ttl">
    <w:name w:val="ccbnsubttl"/>
    <w:basedOn w:val="Normal"/>
    <w:rsid w:val="008B5F96"/>
    <w:pPr>
      <w:spacing w:before="150" w:after="100" w:afterAutospacing="1" w:line="225" w:lineRule="atLeast"/>
      <w:ind w:left="150"/>
    </w:pPr>
    <w:rPr>
      <w:rFonts w:ascii="Arial" w:hAnsi="Arial" w:cs="Arial"/>
      <w:b/>
      <w:bCs/>
      <w:color w:val="011C77"/>
      <w:sz w:val="18"/>
      <w:szCs w:val="18"/>
      <w:lang w:val="es-CR"/>
    </w:rPr>
  </w:style>
  <w:style w:type="paragraph" w:customStyle="1" w:styleId="ccbnbgsubttl">
    <w:name w:val="ccbnbgsub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label">
    <w:name w:val="ccbnlabel"/>
    <w:basedOn w:val="Normal"/>
    <w:rsid w:val="008B5F96"/>
    <w:pPr>
      <w:spacing w:before="150" w:after="100" w:afterAutospacing="1" w:line="225" w:lineRule="atLeast"/>
      <w:ind w:left="150"/>
    </w:pPr>
    <w:rPr>
      <w:rFonts w:ascii="Arial" w:hAnsi="Arial" w:cs="Arial"/>
      <w:color w:val="434343"/>
      <w:sz w:val="17"/>
      <w:szCs w:val="17"/>
      <w:lang w:val="es-CR"/>
    </w:rPr>
  </w:style>
  <w:style w:type="paragraph" w:customStyle="1" w:styleId="ccbnbglabel">
    <w:name w:val="ccbnbg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bold">
    <w:name w:val="ccbntxtbold"/>
    <w:basedOn w:val="Normal"/>
    <w:rsid w:val="008B5F96"/>
    <w:pPr>
      <w:spacing w:before="150" w:after="100" w:afterAutospacing="1" w:line="225" w:lineRule="atLeast"/>
      <w:ind w:left="150"/>
    </w:pPr>
    <w:rPr>
      <w:rFonts w:ascii="Arial" w:hAnsi="Arial" w:cs="Arial"/>
      <w:b/>
      <w:bCs/>
      <w:color w:val="434343"/>
      <w:sz w:val="17"/>
      <w:szCs w:val="17"/>
      <w:lang w:val="es-CR"/>
    </w:rPr>
  </w:style>
  <w:style w:type="paragraph" w:customStyle="1" w:styleId="ccbnbgtxtbold">
    <w:name w:val="ccbnbgtxtbol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boldsub">
    <w:name w:val="ccbntxtboldsub"/>
    <w:basedOn w:val="Normal"/>
    <w:rsid w:val="008B5F96"/>
    <w:pPr>
      <w:spacing w:before="150" w:after="100" w:afterAutospacing="1" w:line="225" w:lineRule="atLeast"/>
      <w:ind w:left="150"/>
    </w:pPr>
    <w:rPr>
      <w:rFonts w:ascii="Arial" w:hAnsi="Arial" w:cs="Arial"/>
      <w:i/>
      <w:iCs/>
      <w:color w:val="434343"/>
      <w:sz w:val="17"/>
      <w:szCs w:val="17"/>
      <w:lang w:val="es-CR"/>
    </w:rPr>
  </w:style>
  <w:style w:type="paragraph" w:customStyle="1" w:styleId="ccbnbgtxtboldsub">
    <w:name w:val="ccbnbgtxtboldsub"/>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
    <w:name w:val="ccbntxt"/>
    <w:basedOn w:val="Normal"/>
    <w:rsid w:val="008B5F96"/>
    <w:pPr>
      <w:spacing w:before="150" w:after="100" w:afterAutospacing="1" w:line="225" w:lineRule="atLeast"/>
      <w:ind w:left="150"/>
    </w:pPr>
    <w:rPr>
      <w:rFonts w:ascii="Arial" w:hAnsi="Arial" w:cs="Arial"/>
      <w:color w:val="434343"/>
      <w:sz w:val="17"/>
      <w:szCs w:val="17"/>
      <w:lang w:val="es-CR"/>
    </w:rPr>
  </w:style>
  <w:style w:type="paragraph" w:customStyle="1" w:styleId="ccbnbgtxt">
    <w:name w:val="ccbnbg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txt">
    <w:name w:val="ccbnsubtxt"/>
    <w:basedOn w:val="Normal"/>
    <w:rsid w:val="008B5F96"/>
    <w:pPr>
      <w:spacing w:before="150" w:after="100" w:afterAutospacing="1" w:line="225" w:lineRule="atLeast"/>
      <w:ind w:left="150"/>
    </w:pPr>
    <w:rPr>
      <w:rFonts w:ascii="Arial" w:hAnsi="Arial" w:cs="Arial"/>
      <w:color w:val="666666"/>
      <w:sz w:val="15"/>
      <w:szCs w:val="15"/>
      <w:lang w:val="es-CR"/>
    </w:rPr>
  </w:style>
  <w:style w:type="paragraph" w:customStyle="1" w:styleId="ccbnbgsubtxt">
    <w:name w:val="ccbnbgsub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nav">
    <w:name w:val="ccbnnav"/>
    <w:basedOn w:val="Normal"/>
    <w:rsid w:val="008B5F96"/>
    <w:pPr>
      <w:spacing w:before="150" w:after="100" w:afterAutospacing="1" w:line="225" w:lineRule="atLeast"/>
      <w:ind w:left="150"/>
    </w:pPr>
    <w:rPr>
      <w:rFonts w:ascii="Arial" w:hAnsi="Arial" w:cs="Arial"/>
      <w:color w:val="666666"/>
      <w:sz w:val="15"/>
      <w:szCs w:val="15"/>
      <w:lang w:val="es-CR"/>
    </w:rPr>
  </w:style>
  <w:style w:type="paragraph" w:customStyle="1" w:styleId="ccbnbgnav">
    <w:name w:val="ccbnbgnav"/>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lnk">
    <w:name w:val="ccbn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bglnk">
    <w:name w:val="ccbnbglnk"/>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lnk">
    <w:name w:val="ccbnsublnk"/>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ccbnbgsublnk">
    <w:name w:val="ccbnbgsublnk"/>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lnk">
    <w:name w:val="ccbntbl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bgtbllnk">
    <w:name w:val="ccbnbgtbllnk"/>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highlightlnk">
    <w:name w:val="ccbntblhighlightlnk"/>
    <w:basedOn w:val="Normal"/>
    <w:rsid w:val="008B5F96"/>
    <w:pPr>
      <w:spacing w:before="150" w:after="100" w:afterAutospacing="1" w:line="225" w:lineRule="atLeast"/>
      <w:ind w:left="150"/>
    </w:pPr>
    <w:rPr>
      <w:rFonts w:ascii="Arial" w:hAnsi="Arial" w:cs="Arial"/>
      <w:b/>
      <w:bCs/>
      <w:color w:val="333333"/>
      <w:sz w:val="18"/>
      <w:szCs w:val="18"/>
      <w:lang w:val="es-CR"/>
    </w:rPr>
  </w:style>
  <w:style w:type="paragraph" w:customStyle="1" w:styleId="ccbnbgtblhighlightlnk">
    <w:name w:val="ccbnbgtblhighlightlnk"/>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tblsublnk">
    <w:name w:val="ccbntblsublnk"/>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ccbnbgtblsublnk">
    <w:name w:val="ccbnbgtblsublnk"/>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labellnk">
    <w:name w:val="ccbntbllabellnk"/>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ccbnbgtbllabellnk">
    <w:name w:val="ccbnbgtbllabellnk"/>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ttl">
    <w:name w:val="ccbntblttl"/>
    <w:basedOn w:val="Normal"/>
    <w:rsid w:val="008B5F96"/>
    <w:pPr>
      <w:spacing w:before="150" w:after="100" w:afterAutospacing="1" w:line="225" w:lineRule="atLeast"/>
      <w:ind w:left="150"/>
    </w:pPr>
    <w:rPr>
      <w:rFonts w:ascii="Arial" w:hAnsi="Arial" w:cs="Arial"/>
      <w:b/>
      <w:bCs/>
      <w:color w:val="CCCCCC"/>
      <w:sz w:val="17"/>
      <w:szCs w:val="17"/>
      <w:lang w:val="es-CR"/>
    </w:rPr>
  </w:style>
  <w:style w:type="paragraph" w:customStyle="1" w:styleId="ccbnbgtblttl">
    <w:name w:val="ccbnbgtbl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subttl">
    <w:name w:val="ccbntblsubttl"/>
    <w:basedOn w:val="Normal"/>
    <w:rsid w:val="008B5F96"/>
    <w:pPr>
      <w:spacing w:before="150" w:after="100" w:afterAutospacing="1" w:line="225" w:lineRule="atLeast"/>
      <w:ind w:left="150"/>
    </w:pPr>
    <w:rPr>
      <w:rFonts w:ascii="Arial" w:hAnsi="Arial" w:cs="Arial"/>
      <w:b/>
      <w:bCs/>
      <w:color w:val="FFFFFF"/>
      <w:sz w:val="18"/>
      <w:szCs w:val="18"/>
      <w:lang w:val="es-CR"/>
    </w:rPr>
  </w:style>
  <w:style w:type="paragraph" w:customStyle="1" w:styleId="ccbnbgtblsubttl">
    <w:name w:val="ccbnbgtblsubttl"/>
    <w:basedOn w:val="Normal"/>
    <w:rsid w:val="008B5F96"/>
    <w:pPr>
      <w:shd w:val="clear" w:color="auto" w:fill="5A83B6"/>
      <w:spacing w:before="150" w:after="100" w:afterAutospacing="1" w:line="225" w:lineRule="atLeast"/>
      <w:ind w:left="150"/>
    </w:pPr>
    <w:rPr>
      <w:rFonts w:ascii="Arial" w:hAnsi="Arial" w:cs="Arial"/>
      <w:color w:val="333333"/>
      <w:sz w:val="18"/>
      <w:szCs w:val="18"/>
      <w:lang w:val="es-CR"/>
    </w:rPr>
  </w:style>
  <w:style w:type="paragraph" w:customStyle="1" w:styleId="ccbntbllabelleft">
    <w:name w:val="ccbntbllabelleft"/>
    <w:basedOn w:val="Normal"/>
    <w:rsid w:val="008B5F96"/>
    <w:pPr>
      <w:spacing w:before="150" w:after="100" w:afterAutospacing="1" w:line="225" w:lineRule="atLeast"/>
      <w:ind w:left="150"/>
    </w:pPr>
    <w:rPr>
      <w:rFonts w:ascii="Arial" w:hAnsi="Arial" w:cs="Arial"/>
      <w:b/>
      <w:bCs/>
      <w:color w:val="434343"/>
      <w:sz w:val="18"/>
      <w:szCs w:val="18"/>
      <w:lang w:val="es-CR"/>
    </w:rPr>
  </w:style>
  <w:style w:type="paragraph" w:customStyle="1" w:styleId="ccbntbllabeltop">
    <w:name w:val="ccbntbllabeltop"/>
    <w:basedOn w:val="Normal"/>
    <w:rsid w:val="008B5F96"/>
    <w:pPr>
      <w:spacing w:before="150" w:after="100" w:afterAutospacing="1" w:line="225" w:lineRule="atLeast"/>
      <w:ind w:left="150"/>
    </w:pPr>
    <w:rPr>
      <w:rFonts w:ascii="Arial" w:hAnsi="Arial" w:cs="Arial"/>
      <w:b/>
      <w:bCs/>
      <w:color w:val="FFFFFF"/>
      <w:sz w:val="18"/>
      <w:szCs w:val="18"/>
      <w:lang w:val="es-CR"/>
    </w:rPr>
  </w:style>
  <w:style w:type="paragraph" w:customStyle="1" w:styleId="ccbnbgtbllabeltop">
    <w:name w:val="ccbnbgtbllabeltop"/>
    <w:basedOn w:val="Normal"/>
    <w:rsid w:val="008B5F96"/>
    <w:pPr>
      <w:shd w:val="clear" w:color="auto" w:fill="5A83B6"/>
      <w:spacing w:before="150" w:after="100" w:afterAutospacing="1" w:line="225" w:lineRule="atLeast"/>
      <w:ind w:left="150"/>
    </w:pPr>
    <w:rPr>
      <w:rFonts w:ascii="Arial" w:hAnsi="Arial" w:cs="Arial"/>
      <w:color w:val="333333"/>
      <w:sz w:val="18"/>
      <w:szCs w:val="18"/>
      <w:lang w:val="es-CR"/>
    </w:rPr>
  </w:style>
  <w:style w:type="paragraph" w:customStyle="1" w:styleId="ccbntblodd">
    <w:name w:val="ccbntblodd"/>
    <w:basedOn w:val="Normal"/>
    <w:rsid w:val="008B5F96"/>
    <w:pPr>
      <w:spacing w:before="150" w:after="100" w:afterAutospacing="1" w:line="225" w:lineRule="atLeast"/>
      <w:ind w:left="150"/>
    </w:pPr>
    <w:rPr>
      <w:rFonts w:ascii="Arial" w:hAnsi="Arial" w:cs="Arial"/>
      <w:b/>
      <w:bCs/>
      <w:color w:val="434343"/>
      <w:sz w:val="17"/>
      <w:szCs w:val="17"/>
      <w:lang w:val="es-CR"/>
    </w:rPr>
  </w:style>
  <w:style w:type="paragraph" w:customStyle="1" w:styleId="ccbnbgtblodd">
    <w:name w:val="ccbnbgtblod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even">
    <w:name w:val="ccbntbleven"/>
    <w:basedOn w:val="Normal"/>
    <w:rsid w:val="008B5F96"/>
    <w:pPr>
      <w:spacing w:before="150" w:after="100" w:afterAutospacing="1" w:line="225" w:lineRule="atLeast"/>
      <w:ind w:left="150"/>
    </w:pPr>
    <w:rPr>
      <w:rFonts w:ascii="Arial" w:hAnsi="Arial" w:cs="Arial"/>
      <w:b/>
      <w:bCs/>
      <w:color w:val="434343"/>
      <w:sz w:val="17"/>
      <w:szCs w:val="17"/>
      <w:lang w:val="es-CR"/>
    </w:rPr>
  </w:style>
  <w:style w:type="paragraph" w:customStyle="1" w:styleId="ccbnbgtbleven">
    <w:name w:val="ccbnbgtbleven"/>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tblevensec">
    <w:name w:val="ccbnbgtblevensec"/>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bgtblsec">
    <w:name w:val="ccbnbgtblsec"/>
    <w:basedOn w:val="Normal"/>
    <w:rsid w:val="008B5F96"/>
    <w:pPr>
      <w:shd w:val="clear" w:color="auto" w:fill="555555"/>
      <w:spacing w:before="150" w:after="100" w:afterAutospacing="1" w:line="225" w:lineRule="atLeast"/>
      <w:ind w:left="150"/>
    </w:pPr>
    <w:rPr>
      <w:rFonts w:ascii="Arial" w:hAnsi="Arial" w:cs="Arial"/>
      <w:color w:val="333333"/>
      <w:sz w:val="18"/>
      <w:szCs w:val="18"/>
      <w:lang w:val="es-CR"/>
    </w:rPr>
  </w:style>
  <w:style w:type="paragraph" w:customStyle="1" w:styleId="ccbnbgtblttlsec">
    <w:name w:val="ccbnbgtblttlsec"/>
    <w:basedOn w:val="Normal"/>
    <w:rsid w:val="008B5F96"/>
    <w:pPr>
      <w:spacing w:before="150" w:after="100" w:afterAutospacing="1" w:line="225" w:lineRule="atLeast"/>
      <w:ind w:left="150"/>
    </w:pPr>
    <w:rPr>
      <w:rFonts w:ascii="Arial" w:hAnsi="Arial" w:cs="Arial"/>
      <w:color w:val="CCCCCC"/>
      <w:sz w:val="18"/>
      <w:szCs w:val="18"/>
      <w:lang w:val="es-CR"/>
    </w:rPr>
  </w:style>
  <w:style w:type="paragraph" w:customStyle="1" w:styleId="ccbntbltxt">
    <w:name w:val="ccbntbltxt"/>
    <w:basedOn w:val="Normal"/>
    <w:rsid w:val="008B5F96"/>
    <w:pPr>
      <w:spacing w:before="150" w:after="100" w:afterAutospacing="1" w:line="225" w:lineRule="atLeast"/>
      <w:ind w:left="150"/>
    </w:pPr>
    <w:rPr>
      <w:rFonts w:ascii="Arial" w:hAnsi="Arial" w:cs="Arial"/>
      <w:color w:val="434343"/>
      <w:sz w:val="17"/>
      <w:szCs w:val="17"/>
      <w:lang w:val="es-CR"/>
    </w:rPr>
  </w:style>
  <w:style w:type="paragraph" w:customStyle="1" w:styleId="ccbnbgtbltxt">
    <w:name w:val="ccbnbgtbl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txtbold">
    <w:name w:val="ccbntbltxtbold"/>
    <w:basedOn w:val="Normal"/>
    <w:rsid w:val="008B5F96"/>
    <w:pPr>
      <w:spacing w:before="150" w:after="100" w:afterAutospacing="1" w:line="225" w:lineRule="atLeast"/>
      <w:ind w:left="150"/>
    </w:pPr>
    <w:rPr>
      <w:rFonts w:ascii="Arial" w:hAnsi="Arial" w:cs="Arial"/>
      <w:b/>
      <w:bCs/>
      <w:color w:val="5A83B6"/>
      <w:sz w:val="18"/>
      <w:szCs w:val="18"/>
      <w:lang w:val="es-CR"/>
    </w:rPr>
  </w:style>
  <w:style w:type="paragraph" w:customStyle="1" w:styleId="ccbnbgtbltxtbold">
    <w:name w:val="ccbnbgtbltxtbol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highlight">
    <w:name w:val="ccbntblhighlight"/>
    <w:basedOn w:val="Normal"/>
    <w:rsid w:val="008B5F96"/>
    <w:pPr>
      <w:spacing w:before="150" w:after="100" w:afterAutospacing="1" w:line="225" w:lineRule="atLeast"/>
      <w:ind w:left="150"/>
    </w:pPr>
    <w:rPr>
      <w:rFonts w:ascii="Arial" w:hAnsi="Arial" w:cs="Arial"/>
      <w:b/>
      <w:bCs/>
      <w:color w:val="434343"/>
      <w:sz w:val="18"/>
      <w:szCs w:val="18"/>
      <w:lang w:val="es-CR"/>
    </w:rPr>
  </w:style>
  <w:style w:type="paragraph" w:customStyle="1" w:styleId="ccbnbgtblhighlight">
    <w:name w:val="ccbnbgtblhighlight"/>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tblsubtxt">
    <w:name w:val="ccbntblsubtxt"/>
    <w:basedOn w:val="Normal"/>
    <w:rsid w:val="008B5F96"/>
    <w:pPr>
      <w:spacing w:before="150" w:after="100" w:afterAutospacing="1" w:line="225" w:lineRule="atLeast"/>
      <w:ind w:left="150"/>
    </w:pPr>
    <w:rPr>
      <w:rFonts w:ascii="Arial" w:hAnsi="Arial" w:cs="Arial"/>
      <w:color w:val="666666"/>
      <w:sz w:val="15"/>
      <w:szCs w:val="15"/>
      <w:lang w:val="es-CR"/>
    </w:rPr>
  </w:style>
  <w:style w:type="paragraph" w:customStyle="1" w:styleId="ccbnbgtblsubtxt">
    <w:name w:val="ccbnbgtblsub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disclaimer">
    <w:name w:val="moddisclaimer"/>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disclaimer">
    <w:name w:val="ccbndisclaimer"/>
    <w:basedOn w:val="Normal"/>
    <w:rsid w:val="008B5F96"/>
    <w:pPr>
      <w:spacing w:before="150" w:after="100" w:afterAutospacing="1" w:line="225" w:lineRule="atLeast"/>
      <w:ind w:left="150"/>
    </w:pPr>
    <w:rPr>
      <w:rFonts w:ascii="Arial" w:hAnsi="Arial" w:cs="Arial"/>
      <w:color w:val="666666"/>
      <w:sz w:val="15"/>
      <w:szCs w:val="15"/>
      <w:lang w:val="es-CR"/>
    </w:rPr>
  </w:style>
  <w:style w:type="paragraph" w:customStyle="1" w:styleId="ccbnbgdisclaimer">
    <w:name w:val="ccbnbgdisclaim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required">
    <w:name w:val="ccbnrequired"/>
    <w:basedOn w:val="Normal"/>
    <w:rsid w:val="008B5F96"/>
    <w:pPr>
      <w:spacing w:before="150" w:after="100" w:afterAutospacing="1" w:line="225" w:lineRule="atLeast"/>
      <w:ind w:left="150"/>
    </w:pPr>
    <w:rPr>
      <w:rFonts w:ascii="Arial" w:hAnsi="Arial" w:cs="Arial"/>
      <w:color w:val="FF0000"/>
      <w:sz w:val="18"/>
      <w:szCs w:val="18"/>
      <w:lang w:val="es-CR"/>
    </w:rPr>
  </w:style>
  <w:style w:type="paragraph" w:customStyle="1" w:styleId="ccbnbgrequired">
    <w:name w:val="ccbnbgrequire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rror">
    <w:name w:val="ccbnerror"/>
    <w:basedOn w:val="Normal"/>
    <w:rsid w:val="008B5F96"/>
    <w:pPr>
      <w:spacing w:before="150" w:after="100" w:afterAutospacing="1" w:line="225" w:lineRule="atLeast"/>
      <w:ind w:left="150"/>
    </w:pPr>
    <w:rPr>
      <w:rFonts w:ascii="Arial" w:hAnsi="Arial" w:cs="Arial"/>
      <w:color w:val="FF0000"/>
      <w:sz w:val="18"/>
      <w:szCs w:val="18"/>
      <w:lang w:val="es-CR"/>
    </w:rPr>
  </w:style>
  <w:style w:type="paragraph" w:customStyle="1" w:styleId="ccbnbgerror">
    <w:name w:val="ccbnbgerro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confirmbold">
    <w:name w:val="ccbnconfirmbold"/>
    <w:basedOn w:val="Normal"/>
    <w:rsid w:val="008B5F96"/>
    <w:pPr>
      <w:spacing w:before="150" w:after="100" w:afterAutospacing="1" w:line="225" w:lineRule="atLeast"/>
      <w:ind w:left="150"/>
    </w:pPr>
    <w:rPr>
      <w:rFonts w:ascii="Arial" w:hAnsi="Arial" w:cs="Arial"/>
      <w:b/>
      <w:bCs/>
      <w:color w:val="FF0000"/>
      <w:sz w:val="18"/>
      <w:szCs w:val="18"/>
      <w:lang w:val="es-CR"/>
    </w:rPr>
  </w:style>
  <w:style w:type="paragraph" w:customStyle="1" w:styleId="ccbnbgconfirmbold">
    <w:name w:val="ccbnbgconfirmbol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neg">
    <w:name w:val="ccbnneg"/>
    <w:basedOn w:val="Normal"/>
    <w:rsid w:val="008B5F96"/>
    <w:pPr>
      <w:spacing w:before="150" w:after="100" w:afterAutospacing="1" w:line="225" w:lineRule="atLeast"/>
      <w:ind w:left="150"/>
    </w:pPr>
    <w:rPr>
      <w:rFonts w:ascii="Arial" w:hAnsi="Arial" w:cs="Arial"/>
      <w:color w:val="990000"/>
      <w:sz w:val="17"/>
      <w:szCs w:val="17"/>
      <w:lang w:val="es-CR"/>
    </w:rPr>
  </w:style>
  <w:style w:type="paragraph" w:customStyle="1" w:styleId="ccbnbgneg">
    <w:name w:val="ccbnbgneg"/>
    <w:basedOn w:val="Normal"/>
    <w:rsid w:val="008B5F96"/>
    <w:pPr>
      <w:shd w:val="clear" w:color="auto" w:fill="990000"/>
      <w:spacing w:before="150" w:after="100" w:afterAutospacing="1" w:line="225" w:lineRule="atLeast"/>
      <w:ind w:left="150"/>
    </w:pPr>
    <w:rPr>
      <w:rFonts w:ascii="Arial" w:hAnsi="Arial" w:cs="Arial"/>
      <w:color w:val="333333"/>
      <w:sz w:val="18"/>
      <w:szCs w:val="18"/>
      <w:lang w:val="es-CR"/>
    </w:rPr>
  </w:style>
  <w:style w:type="paragraph" w:customStyle="1" w:styleId="ccbnpos">
    <w:name w:val="ccbnpos"/>
    <w:basedOn w:val="Normal"/>
    <w:rsid w:val="008B5F96"/>
    <w:pPr>
      <w:spacing w:before="150" w:after="100" w:afterAutospacing="1" w:line="225" w:lineRule="atLeast"/>
      <w:ind w:left="150"/>
    </w:pPr>
    <w:rPr>
      <w:rFonts w:ascii="Arial" w:hAnsi="Arial" w:cs="Arial"/>
      <w:color w:val="009900"/>
      <w:sz w:val="17"/>
      <w:szCs w:val="17"/>
      <w:lang w:val="es-CR"/>
    </w:rPr>
  </w:style>
  <w:style w:type="paragraph" w:customStyle="1" w:styleId="ccbnbgpos">
    <w:name w:val="ccbnbgpos"/>
    <w:basedOn w:val="Normal"/>
    <w:rsid w:val="008B5F96"/>
    <w:pPr>
      <w:shd w:val="clear" w:color="auto" w:fill="009900"/>
      <w:spacing w:before="150" w:after="100" w:afterAutospacing="1" w:line="225" w:lineRule="atLeast"/>
      <w:ind w:left="150"/>
    </w:pPr>
    <w:rPr>
      <w:rFonts w:ascii="Arial" w:hAnsi="Arial" w:cs="Arial"/>
      <w:color w:val="333333"/>
      <w:sz w:val="18"/>
      <w:szCs w:val="18"/>
      <w:lang w:val="es-CR"/>
    </w:rPr>
  </w:style>
  <w:style w:type="paragraph" w:customStyle="1" w:styleId="ccbnselect">
    <w:name w:val="ccbnselect"/>
    <w:basedOn w:val="Normal"/>
    <w:rsid w:val="008B5F96"/>
    <w:pPr>
      <w:spacing w:before="150" w:after="100" w:afterAutospacing="1" w:line="225" w:lineRule="atLeast"/>
      <w:ind w:left="150"/>
    </w:pPr>
    <w:rPr>
      <w:rFonts w:ascii="Arial" w:hAnsi="Arial" w:cs="Arial"/>
      <w:color w:val="434343"/>
      <w:sz w:val="18"/>
      <w:szCs w:val="18"/>
      <w:lang w:val="es-CR"/>
    </w:rPr>
  </w:style>
  <w:style w:type="paragraph" w:customStyle="1" w:styleId="ccbnbgselect">
    <w:name w:val="ccbnbgselec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input">
    <w:name w:val="ccbninput"/>
    <w:basedOn w:val="Normal"/>
    <w:rsid w:val="008B5F96"/>
    <w:pPr>
      <w:spacing w:before="150" w:after="100" w:afterAutospacing="1" w:line="225" w:lineRule="atLeast"/>
      <w:ind w:left="150"/>
    </w:pPr>
    <w:rPr>
      <w:rFonts w:ascii="Arial" w:hAnsi="Arial" w:cs="Arial"/>
      <w:color w:val="434343"/>
      <w:sz w:val="18"/>
      <w:szCs w:val="18"/>
      <w:lang w:val="es-CR"/>
    </w:rPr>
  </w:style>
  <w:style w:type="paragraph" w:customStyle="1" w:styleId="ccbnbginput">
    <w:name w:val="ccbnbginpu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utton">
    <w:name w:val="ccbnbutto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bgbutton">
    <w:name w:val="ccbnbgbutton"/>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line">
    <w:name w:val="ccbnbgline"/>
    <w:basedOn w:val="Normal"/>
    <w:rsid w:val="008B5F96"/>
    <w:pPr>
      <w:shd w:val="clear" w:color="auto" w:fill="434343"/>
      <w:spacing w:before="150" w:after="100" w:afterAutospacing="1" w:line="225" w:lineRule="atLeast"/>
      <w:ind w:left="150"/>
    </w:pPr>
    <w:rPr>
      <w:rFonts w:ascii="Arial" w:hAnsi="Arial" w:cs="Arial"/>
      <w:color w:val="333333"/>
      <w:sz w:val="18"/>
      <w:szCs w:val="18"/>
      <w:lang w:val="es-CR"/>
    </w:rPr>
  </w:style>
  <w:style w:type="paragraph" w:customStyle="1" w:styleId="ccbnbgspacer">
    <w:name w:val="ccbnbgspac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chart">
    <w:name w:val="ccbnbgchar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price">
    <w:name w:val="ccbnprice"/>
    <w:basedOn w:val="Normal"/>
    <w:rsid w:val="008B5F96"/>
    <w:pPr>
      <w:spacing w:before="150" w:after="100" w:afterAutospacing="1" w:line="225" w:lineRule="atLeast"/>
      <w:ind w:left="150"/>
    </w:pPr>
    <w:rPr>
      <w:rFonts w:ascii="Arial" w:hAnsi="Arial" w:cs="Arial"/>
      <w:b/>
      <w:bCs/>
      <w:color w:val="434343"/>
      <w:sz w:val="18"/>
      <w:szCs w:val="18"/>
      <w:lang w:val="es-CR"/>
    </w:rPr>
  </w:style>
  <w:style w:type="paragraph" w:customStyle="1" w:styleId="ccbnbgprice">
    <w:name w:val="ccbnbgpric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bg">
    <w:name w:val="ccbnenumbg"/>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enumbglogo">
    <w:name w:val="ccbnenumbglogo"/>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highlightlt">
    <w:name w:val="ccbnenumhighlightl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highlight">
    <w:name w:val="ccbnenumhighlight"/>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ccbnenumshadow">
    <w:name w:val="ccbnenumshadow"/>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ccbnenumshadowdk">
    <w:name w:val="ccbnenumshadowdk"/>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ccbnenumtablnk">
    <w:name w:val="ccbnenumtablnk"/>
    <w:basedOn w:val="Normal"/>
    <w:rsid w:val="008B5F96"/>
    <w:pPr>
      <w:spacing w:before="150" w:after="100" w:afterAutospacing="1" w:line="225" w:lineRule="atLeast"/>
      <w:ind w:left="150"/>
    </w:pPr>
    <w:rPr>
      <w:rFonts w:ascii="Arial" w:hAnsi="Arial" w:cs="Arial"/>
      <w:caps/>
      <w:color w:val="333333"/>
      <w:sz w:val="15"/>
      <w:szCs w:val="15"/>
      <w:lang w:val="es-CR"/>
    </w:rPr>
  </w:style>
  <w:style w:type="paragraph" w:customStyle="1" w:styleId="ccbnenumpeerlistlnk">
    <w:name w:val="ccbnenumpeerlist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bgenumtbleven">
    <w:name w:val="ccbnbgenumtbleven"/>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ccbnenumtxteven">
    <w:name w:val="ccbnenumtxteve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bgenumtblodd">
    <w:name w:val="ccbnbgenumtblod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txtodd">
    <w:name w:val="ccbnenumtxtodd"/>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fixedttl">
    <w:name w:val="ccbnfixedttl"/>
    <w:basedOn w:val="Normal"/>
    <w:rsid w:val="008B5F96"/>
    <w:pPr>
      <w:spacing w:before="150" w:after="100" w:afterAutospacing="1" w:line="225" w:lineRule="atLeast"/>
      <w:ind w:left="150"/>
    </w:pPr>
    <w:rPr>
      <w:rFonts w:ascii="Arial" w:hAnsi="Arial" w:cs="Arial"/>
      <w:b/>
      <w:bCs/>
      <w:color w:val="000000"/>
      <w:sz w:val="17"/>
      <w:szCs w:val="17"/>
      <w:lang w:val="es-CR"/>
    </w:rPr>
  </w:style>
  <w:style w:type="paragraph" w:customStyle="1" w:styleId="ccbnbgfixedsubttl">
    <w:name w:val="ccbnbgfixedsubttl"/>
    <w:basedOn w:val="Normal"/>
    <w:rsid w:val="008B5F96"/>
    <w:pPr>
      <w:shd w:val="clear" w:color="auto" w:fill="E5E5E5"/>
      <w:spacing w:before="150" w:after="100" w:afterAutospacing="1" w:line="225" w:lineRule="atLeast"/>
      <w:ind w:left="150"/>
    </w:pPr>
    <w:rPr>
      <w:rFonts w:ascii="Arial" w:hAnsi="Arial" w:cs="Arial"/>
      <w:color w:val="333333"/>
      <w:sz w:val="18"/>
      <w:szCs w:val="18"/>
      <w:lang w:val="es-CR"/>
    </w:rPr>
  </w:style>
  <w:style w:type="paragraph" w:customStyle="1" w:styleId="ccbnfixedsubttlbold">
    <w:name w:val="ccbnfixedsubttlbold"/>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ccbnfixedsubttl">
    <w:name w:val="ccbnfixedsubttl"/>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ccbnfixedinput">
    <w:name w:val="ccbnfixedinpu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ccbnfixedtabtxt">
    <w:name w:val="ccbnfixedtabtxt"/>
    <w:basedOn w:val="Normal"/>
    <w:rsid w:val="008B5F96"/>
    <w:pPr>
      <w:shd w:val="clear" w:color="auto" w:fill="CCCCCC"/>
      <w:spacing w:before="150" w:after="100" w:afterAutospacing="1" w:line="225" w:lineRule="atLeast"/>
      <w:ind w:left="150"/>
    </w:pPr>
    <w:rPr>
      <w:rFonts w:ascii="Arial" w:hAnsi="Arial" w:cs="Arial"/>
      <w:color w:val="333333"/>
      <w:sz w:val="15"/>
      <w:szCs w:val="15"/>
      <w:lang w:val="es-CR"/>
    </w:rPr>
  </w:style>
  <w:style w:type="paragraph" w:customStyle="1" w:styleId="ccbnfixedtablnk">
    <w:name w:val="ccbnfixedtablnk"/>
    <w:basedOn w:val="Normal"/>
    <w:rsid w:val="008B5F96"/>
    <w:pPr>
      <w:shd w:val="clear" w:color="auto" w:fill="CCCCCC"/>
      <w:spacing w:before="150" w:after="100" w:afterAutospacing="1" w:line="225" w:lineRule="atLeast"/>
      <w:ind w:left="150"/>
    </w:pPr>
    <w:rPr>
      <w:rFonts w:ascii="Arial" w:hAnsi="Arial" w:cs="Arial"/>
      <w:color w:val="333333"/>
      <w:sz w:val="15"/>
      <w:szCs w:val="15"/>
      <w:lang w:val="es-CR"/>
    </w:rPr>
  </w:style>
  <w:style w:type="paragraph" w:customStyle="1" w:styleId="ccbnfixedlabel">
    <w:name w:val="ccbnfixedlabel"/>
    <w:basedOn w:val="Normal"/>
    <w:rsid w:val="008B5F96"/>
    <w:pPr>
      <w:spacing w:before="150" w:after="100" w:afterAutospacing="1" w:line="225" w:lineRule="atLeast"/>
      <w:ind w:left="150"/>
    </w:pPr>
    <w:rPr>
      <w:rFonts w:ascii="Arial" w:hAnsi="Arial" w:cs="Arial"/>
      <w:b/>
      <w:bCs/>
      <w:color w:val="333333"/>
      <w:sz w:val="21"/>
      <w:szCs w:val="21"/>
      <w:lang w:val="es-CR"/>
    </w:rPr>
  </w:style>
  <w:style w:type="paragraph" w:customStyle="1" w:styleId="ccbnfixedmenusubttl">
    <w:name w:val="ccbnfixedmenusubttl"/>
    <w:basedOn w:val="Normal"/>
    <w:rsid w:val="008B5F96"/>
    <w:pPr>
      <w:spacing w:before="150" w:after="100" w:afterAutospacing="1" w:line="225" w:lineRule="atLeast"/>
      <w:ind w:left="150"/>
    </w:pPr>
    <w:rPr>
      <w:rFonts w:ascii="Arial" w:hAnsi="Arial" w:cs="Arial"/>
      <w:b/>
      <w:bCs/>
      <w:color w:val="000000"/>
      <w:sz w:val="17"/>
      <w:szCs w:val="17"/>
      <w:lang w:val="es-CR"/>
    </w:rPr>
  </w:style>
  <w:style w:type="paragraph" w:customStyle="1" w:styleId="ccbnfixedmenuttl">
    <w:name w:val="ccbnfixedmenuttl"/>
    <w:basedOn w:val="Normal"/>
    <w:rsid w:val="008B5F96"/>
    <w:pPr>
      <w:spacing w:before="150" w:after="100" w:afterAutospacing="1" w:line="225" w:lineRule="atLeast"/>
      <w:ind w:left="150"/>
    </w:pPr>
    <w:rPr>
      <w:rFonts w:ascii="Arial" w:hAnsi="Arial" w:cs="Arial"/>
      <w:b/>
      <w:bCs/>
      <w:color w:val="000000"/>
      <w:sz w:val="22"/>
      <w:szCs w:val="22"/>
      <w:lang w:val="es-CR"/>
    </w:rPr>
  </w:style>
  <w:style w:type="paragraph" w:customStyle="1" w:styleId="ccbnbgfixedlogo">
    <w:name w:val="ccbnbgfixedlogo"/>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bggray">
    <w:name w:val="ccbnbggray"/>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style1">
    <w:name w:val="style1"/>
    <w:basedOn w:val="Normal"/>
    <w:rsid w:val="008B5F96"/>
    <w:pPr>
      <w:spacing w:before="150" w:after="100" w:afterAutospacing="1" w:line="225" w:lineRule="atLeast"/>
      <w:ind w:left="150"/>
    </w:pPr>
    <w:rPr>
      <w:rFonts w:ascii="Arial" w:hAnsi="Arial" w:cs="Arial"/>
      <w:color w:val="CC9900"/>
      <w:sz w:val="18"/>
      <w:szCs w:val="18"/>
      <w:lang w:val="es-CR"/>
    </w:rPr>
  </w:style>
  <w:style w:type="paragraph" w:customStyle="1" w:styleId="copyright">
    <w:name w:val="copyright"/>
    <w:basedOn w:val="Normal"/>
    <w:rsid w:val="008B5F96"/>
    <w:pPr>
      <w:spacing w:before="150" w:after="100" w:afterAutospacing="1" w:line="165" w:lineRule="atLeast"/>
      <w:ind w:left="150"/>
    </w:pPr>
    <w:rPr>
      <w:rFonts w:ascii="Arial" w:hAnsi="Arial" w:cs="Arial"/>
      <w:color w:val="333333"/>
      <w:sz w:val="14"/>
      <w:szCs w:val="14"/>
      <w:lang w:val="es-CR"/>
    </w:rPr>
  </w:style>
  <w:style w:type="paragraph" w:customStyle="1" w:styleId="xslsectionhead">
    <w:name w:val="xslsectionhead"/>
    <w:basedOn w:val="Normal"/>
    <w:rsid w:val="008B5F96"/>
    <w:pPr>
      <w:spacing w:before="150" w:after="100" w:afterAutospacing="1" w:line="225" w:lineRule="atLeast"/>
      <w:ind w:left="150"/>
    </w:pPr>
    <w:rPr>
      <w:rFonts w:ascii="Arial" w:hAnsi="Arial" w:cs="Arial"/>
      <w:b/>
      <w:bCs/>
      <w:i/>
      <w:iCs/>
      <w:color w:val="333333"/>
      <w:sz w:val="17"/>
      <w:szCs w:val="17"/>
      <w:lang w:val="es-CR"/>
    </w:rPr>
  </w:style>
  <w:style w:type="paragraph" w:customStyle="1" w:styleId="xslfeaturettl">
    <w:name w:val="xslfeaturettl"/>
    <w:basedOn w:val="Normal"/>
    <w:rsid w:val="008B5F96"/>
    <w:pPr>
      <w:spacing w:before="150" w:after="100" w:afterAutospacing="1" w:line="225" w:lineRule="atLeast"/>
      <w:ind w:left="150"/>
    </w:pPr>
    <w:rPr>
      <w:rFonts w:ascii="Arial" w:hAnsi="Arial" w:cs="Arial"/>
      <w:b/>
      <w:bCs/>
      <w:i/>
      <w:iCs/>
      <w:color w:val="333333"/>
      <w:sz w:val="17"/>
      <w:szCs w:val="17"/>
      <w:lang w:val="es-CR"/>
    </w:rPr>
  </w:style>
  <w:style w:type="paragraph" w:customStyle="1" w:styleId="xslttl">
    <w:name w:val="xsl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xsltxt">
    <w:name w:val="xs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xsllnk">
    <w:name w:val="xsllnk"/>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xslnav">
    <w:name w:val="xslnav"/>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xsltblttl">
    <w:name w:val="xsltblttl"/>
    <w:basedOn w:val="Normal"/>
    <w:rsid w:val="008B5F96"/>
    <w:pPr>
      <w:spacing w:before="150" w:after="100" w:afterAutospacing="1" w:line="225" w:lineRule="atLeast"/>
      <w:ind w:left="150"/>
    </w:pPr>
    <w:rPr>
      <w:rFonts w:ascii="Arial" w:hAnsi="Arial" w:cs="Arial"/>
      <w:b/>
      <w:bCs/>
      <w:color w:val="434343"/>
      <w:sz w:val="17"/>
      <w:szCs w:val="17"/>
      <w:lang w:val="es-CR"/>
    </w:rPr>
  </w:style>
  <w:style w:type="paragraph" w:customStyle="1" w:styleId="xslbgtblttl">
    <w:name w:val="xslbgtbl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xslfundttl">
    <w:name w:val="xslfundttl"/>
    <w:basedOn w:val="Normal"/>
    <w:rsid w:val="008B5F96"/>
    <w:pPr>
      <w:spacing w:before="150" w:after="100" w:afterAutospacing="1" w:line="225" w:lineRule="atLeast"/>
      <w:ind w:left="150"/>
    </w:pPr>
    <w:rPr>
      <w:rFonts w:ascii="Arial" w:hAnsi="Arial" w:cs="Arial"/>
      <w:b/>
      <w:bCs/>
      <w:i/>
      <w:iCs/>
      <w:color w:val="333333"/>
      <w:sz w:val="17"/>
      <w:szCs w:val="17"/>
      <w:lang w:val="es-CR"/>
    </w:rPr>
  </w:style>
  <w:style w:type="paragraph" w:customStyle="1" w:styleId="xslbgfundttl">
    <w:name w:val="xslbgfundttl"/>
    <w:basedOn w:val="Normal"/>
    <w:rsid w:val="008B5F96"/>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xslfrmoption">
    <w:name w:val="xslfrmoptio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tblttl">
    <w:name w:val="modtblttl"/>
    <w:basedOn w:val="Normal"/>
    <w:rsid w:val="008B5F96"/>
    <w:pPr>
      <w:spacing w:before="150" w:after="100" w:afterAutospacing="1" w:line="225" w:lineRule="atLeast"/>
      <w:ind w:left="150"/>
    </w:pPr>
    <w:rPr>
      <w:rFonts w:ascii="Arial" w:hAnsi="Arial" w:cs="Arial"/>
      <w:b/>
      <w:bCs/>
      <w:color w:val="FFFFFF"/>
      <w:sz w:val="17"/>
      <w:szCs w:val="17"/>
      <w:lang w:val="es-CR"/>
    </w:rPr>
  </w:style>
  <w:style w:type="paragraph" w:customStyle="1" w:styleId="modtblsubttl">
    <w:name w:val="modtblsubttl"/>
    <w:basedOn w:val="Normal"/>
    <w:rsid w:val="008B5F96"/>
    <w:pPr>
      <w:spacing w:before="150" w:after="100" w:afterAutospacing="1" w:line="225" w:lineRule="atLeast"/>
      <w:ind w:left="150"/>
    </w:pPr>
    <w:rPr>
      <w:rFonts w:ascii="Arial" w:hAnsi="Arial" w:cs="Arial"/>
      <w:b/>
      <w:bCs/>
      <w:color w:val="333333"/>
      <w:lang w:val="es-CR"/>
    </w:rPr>
  </w:style>
  <w:style w:type="paragraph" w:customStyle="1" w:styleId="modtblhighlight">
    <w:name w:val="modtblhighlight"/>
    <w:basedOn w:val="Normal"/>
    <w:rsid w:val="008B5F96"/>
    <w:pPr>
      <w:spacing w:before="150" w:after="100" w:afterAutospacing="1" w:line="225" w:lineRule="atLeast"/>
      <w:ind w:left="150"/>
    </w:pPr>
    <w:rPr>
      <w:rFonts w:ascii="Arial" w:hAnsi="Arial" w:cs="Arial"/>
      <w:b/>
      <w:bCs/>
      <w:color w:val="333333"/>
      <w:lang w:val="es-CR"/>
    </w:rPr>
  </w:style>
  <w:style w:type="paragraph" w:customStyle="1" w:styleId="modtblhighlightcoleven">
    <w:name w:val="modtblhighlightcoleven"/>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tblhighlightcolodd">
    <w:name w:val="modtblhighlightcolodd"/>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tbltxt">
    <w:name w:val="modtb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tbltxtodd">
    <w:name w:val="modtbltxtodd"/>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tbltxteven">
    <w:name w:val="modtbltxteve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tbllabelodd">
    <w:name w:val="modtbllabelodd"/>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tbllabeleven">
    <w:name w:val="modtbllabeleven"/>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lnkbody">
    <w:name w:val="modlnkbody"/>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lnktbl">
    <w:name w:val="modlnktbl"/>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required">
    <w:name w:val="modrequired"/>
    <w:basedOn w:val="Normal"/>
    <w:rsid w:val="008B5F96"/>
    <w:pPr>
      <w:spacing w:before="150" w:after="100" w:afterAutospacing="1" w:line="225" w:lineRule="atLeast"/>
      <w:ind w:left="150"/>
    </w:pPr>
    <w:rPr>
      <w:rFonts w:ascii="Arial" w:hAnsi="Arial" w:cs="Arial"/>
      <w:b/>
      <w:bCs/>
      <w:color w:val="FF0000"/>
      <w:sz w:val="15"/>
      <w:szCs w:val="15"/>
      <w:lang w:val="es-CR"/>
    </w:rPr>
  </w:style>
  <w:style w:type="paragraph" w:customStyle="1" w:styleId="modlnkprint">
    <w:name w:val="modlnkprin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tbltxt">
    <w:name w:val="modbgtbltxt"/>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tblttl">
    <w:name w:val="modbgtblttl"/>
    <w:basedOn w:val="Normal"/>
    <w:rsid w:val="008B5F96"/>
    <w:pPr>
      <w:shd w:val="clear" w:color="auto" w:fill="073767"/>
      <w:spacing w:before="150" w:after="100" w:afterAutospacing="1" w:line="225" w:lineRule="atLeast"/>
      <w:ind w:left="150"/>
    </w:pPr>
    <w:rPr>
      <w:rFonts w:ascii="Arial" w:hAnsi="Arial" w:cs="Arial"/>
      <w:color w:val="333333"/>
      <w:sz w:val="18"/>
      <w:szCs w:val="18"/>
      <w:lang w:val="es-CR"/>
    </w:rPr>
  </w:style>
  <w:style w:type="paragraph" w:customStyle="1" w:styleId="modbgtblsubttl">
    <w:name w:val="modbgtblsubttl"/>
    <w:basedOn w:val="Normal"/>
    <w:rsid w:val="008B5F96"/>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modbgtblhighlight">
    <w:name w:val="modbgtblhighlight"/>
    <w:basedOn w:val="Normal"/>
    <w:rsid w:val="008B5F96"/>
    <w:pPr>
      <w:shd w:val="clear" w:color="auto" w:fill="BABABA"/>
      <w:spacing w:before="150" w:after="100" w:afterAutospacing="1" w:line="225" w:lineRule="atLeast"/>
      <w:ind w:left="150"/>
    </w:pPr>
    <w:rPr>
      <w:rFonts w:ascii="Arial" w:hAnsi="Arial" w:cs="Arial"/>
      <w:color w:val="333333"/>
      <w:sz w:val="18"/>
      <w:szCs w:val="18"/>
      <w:lang w:val="es-CR"/>
    </w:rPr>
  </w:style>
  <w:style w:type="paragraph" w:customStyle="1" w:styleId="modbgtblodd">
    <w:name w:val="modbgtblodd"/>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tbleven">
    <w:name w:val="modbgtbleven"/>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frmfld">
    <w:name w:val="modfrmfld"/>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rmoption">
    <w:name w:val="modfrmoptio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rmbutton">
    <w:name w:val="modfrmbutto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odyttl">
    <w:name w:val="modbodyttl"/>
    <w:basedOn w:val="Normal"/>
    <w:rsid w:val="008B5F96"/>
    <w:pPr>
      <w:spacing w:before="150" w:after="100" w:afterAutospacing="1" w:line="225" w:lineRule="atLeast"/>
      <w:ind w:left="150"/>
    </w:pPr>
    <w:rPr>
      <w:rFonts w:ascii="Arial" w:hAnsi="Arial" w:cs="Arial"/>
      <w:b/>
      <w:bCs/>
      <w:color w:val="FFFFFF"/>
      <w:sz w:val="17"/>
      <w:szCs w:val="17"/>
      <w:lang w:val="es-CR"/>
    </w:rPr>
  </w:style>
  <w:style w:type="paragraph" w:customStyle="1" w:styleId="modbodytxt">
    <w:name w:val="modbody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bodyttl">
    <w:name w:val="modbgbodyttl"/>
    <w:basedOn w:val="Normal"/>
    <w:rsid w:val="008B5F96"/>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modbgbodytxt">
    <w:name w:val="modbgbody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rror">
    <w:name w:val="moderror"/>
    <w:basedOn w:val="Normal"/>
    <w:rsid w:val="008B5F96"/>
    <w:pPr>
      <w:spacing w:before="150" w:after="100" w:afterAutospacing="1" w:line="225" w:lineRule="atLeast"/>
      <w:ind w:left="150"/>
    </w:pPr>
    <w:rPr>
      <w:rFonts w:ascii="Arial" w:hAnsi="Arial" w:cs="Arial"/>
      <w:b/>
      <w:bCs/>
      <w:color w:val="FF3300"/>
      <w:sz w:val="17"/>
      <w:szCs w:val="17"/>
      <w:lang w:val="es-CR"/>
    </w:rPr>
  </w:style>
  <w:style w:type="paragraph" w:customStyle="1" w:styleId="modbgerror">
    <w:name w:val="modbgerror"/>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confirmbold">
    <w:name w:val="modconfirmbold"/>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confirm">
    <w:name w:val="modconfirm"/>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roadcastttl">
    <w:name w:val="modbroadcastttl"/>
    <w:basedOn w:val="Normal"/>
    <w:rsid w:val="008B5F96"/>
    <w:pPr>
      <w:spacing w:before="150" w:after="100" w:afterAutospacing="1" w:line="225" w:lineRule="atLeast"/>
      <w:ind w:left="150"/>
    </w:pPr>
    <w:rPr>
      <w:rFonts w:ascii="Arial" w:hAnsi="Arial" w:cs="Arial"/>
      <w:b/>
      <w:bCs/>
      <w:color w:val="333333"/>
      <w:sz w:val="21"/>
      <w:szCs w:val="21"/>
      <w:lang w:val="es-CR"/>
    </w:rPr>
  </w:style>
  <w:style w:type="paragraph" w:customStyle="1" w:styleId="modbroadcasttxt">
    <w:name w:val="modbroadcast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roadcastdate">
    <w:name w:val="modbroadcastdate"/>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bgbroadcasttxt">
    <w:name w:val="modbgbroadcasttxt"/>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modbgbroadcastttl">
    <w:name w:val="modbgbroadcastttl"/>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quoteshrtprice">
    <w:name w:val="modquoteshrtprice"/>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shrtdata">
    <w:name w:val="modquoteshrtdata"/>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shrtlabel">
    <w:name w:val="modquoteshrtlabe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quoteshrtpos">
    <w:name w:val="modquoteshrtpos"/>
    <w:basedOn w:val="Normal"/>
    <w:rsid w:val="008B5F96"/>
    <w:pPr>
      <w:spacing w:before="150" w:after="100" w:afterAutospacing="1" w:line="225" w:lineRule="atLeast"/>
      <w:ind w:left="150"/>
    </w:pPr>
    <w:rPr>
      <w:rFonts w:ascii="Arial" w:hAnsi="Arial" w:cs="Arial"/>
      <w:b/>
      <w:bCs/>
      <w:color w:val="006600"/>
      <w:sz w:val="17"/>
      <w:szCs w:val="17"/>
      <w:lang w:val="es-CR"/>
    </w:rPr>
  </w:style>
  <w:style w:type="paragraph" w:customStyle="1" w:styleId="modquoteshrtneg">
    <w:name w:val="modquoteshrtneg"/>
    <w:basedOn w:val="Normal"/>
    <w:rsid w:val="008B5F96"/>
    <w:pPr>
      <w:spacing w:before="150" w:after="100" w:afterAutospacing="1" w:line="225" w:lineRule="atLeast"/>
      <w:ind w:left="150"/>
    </w:pPr>
    <w:rPr>
      <w:rFonts w:ascii="Arial" w:hAnsi="Arial" w:cs="Arial"/>
      <w:b/>
      <w:bCs/>
      <w:color w:val="FF3300"/>
      <w:sz w:val="17"/>
      <w:szCs w:val="17"/>
      <w:lang w:val="es-CR"/>
    </w:rPr>
  </w:style>
  <w:style w:type="paragraph" w:customStyle="1" w:styleId="modquoteshrtticker">
    <w:name w:val="modquoteshrtticker"/>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shrttickertbl">
    <w:name w:val="modquoteshrttickertb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shrtdate">
    <w:name w:val="modquoteshrtdate"/>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quoteshrtdisclaimer">
    <w:name w:val="modquoteshrtdisclaimer"/>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bgquoteshrtprice">
    <w:name w:val="modbgquoteshrtpric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shrtdata">
    <w:name w:val="modbgquoteshrtdata"/>
    <w:basedOn w:val="Normal"/>
    <w:rsid w:val="008B5F96"/>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quoteshrtlabel">
    <w:name w:val="modbgquoteshrt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imgpos">
    <w:name w:val="modbgquoteshrtimgpos"/>
    <w:basedOn w:val="Normal"/>
    <w:rsid w:val="008B5F96"/>
    <w:pPr>
      <w:shd w:val="clear" w:color="auto" w:fill="006600"/>
      <w:spacing w:before="150" w:after="100" w:afterAutospacing="1" w:line="225" w:lineRule="atLeast"/>
      <w:ind w:left="150"/>
    </w:pPr>
    <w:rPr>
      <w:rFonts w:ascii="Arial" w:hAnsi="Arial" w:cs="Arial"/>
      <w:color w:val="333333"/>
      <w:sz w:val="18"/>
      <w:szCs w:val="18"/>
      <w:lang w:val="es-CR"/>
    </w:rPr>
  </w:style>
  <w:style w:type="paragraph" w:customStyle="1" w:styleId="modbgquoteshrtimgneg">
    <w:name w:val="modbgquoteshrtimgneg"/>
    <w:basedOn w:val="Normal"/>
    <w:rsid w:val="008B5F96"/>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modbgquoteshrtticker">
    <w:name w:val="modbgquoteshrttick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date">
    <w:name w:val="modbgquoteshrtdat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disclaimer">
    <w:name w:val="modbgquoteshrtdisclaim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hline">
    <w:name w:val="modbgquoteshrthlin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shrtvline">
    <w:name w:val="modbgquoteshrtvlin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quotelngprice">
    <w:name w:val="modquotelngprice"/>
    <w:basedOn w:val="Normal"/>
    <w:rsid w:val="008B5F96"/>
    <w:pPr>
      <w:spacing w:before="150" w:after="100" w:afterAutospacing="1" w:line="225" w:lineRule="atLeast"/>
      <w:ind w:left="150"/>
    </w:pPr>
    <w:rPr>
      <w:rFonts w:ascii="Arial" w:hAnsi="Arial" w:cs="Arial"/>
      <w:b/>
      <w:bCs/>
      <w:color w:val="FFFFFF"/>
      <w:sz w:val="27"/>
      <w:szCs w:val="27"/>
      <w:lang w:val="es-CR"/>
    </w:rPr>
  </w:style>
  <w:style w:type="paragraph" w:customStyle="1" w:styleId="modquotelngdata">
    <w:name w:val="modquotelngdata"/>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lnglabel">
    <w:name w:val="modquotelnglabe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quotelngpos">
    <w:name w:val="modquotelngpos"/>
    <w:basedOn w:val="Normal"/>
    <w:rsid w:val="008B5F96"/>
    <w:pPr>
      <w:spacing w:before="150" w:after="100" w:afterAutospacing="1" w:line="225" w:lineRule="atLeast"/>
      <w:ind w:left="150"/>
    </w:pPr>
    <w:rPr>
      <w:rFonts w:ascii="Arial" w:hAnsi="Arial" w:cs="Arial"/>
      <w:b/>
      <w:bCs/>
      <w:color w:val="006600"/>
      <w:sz w:val="21"/>
      <w:szCs w:val="21"/>
      <w:lang w:val="es-CR"/>
    </w:rPr>
  </w:style>
  <w:style w:type="paragraph" w:customStyle="1" w:styleId="modquotelngneg">
    <w:name w:val="modquotelngneg"/>
    <w:basedOn w:val="Normal"/>
    <w:rsid w:val="008B5F96"/>
    <w:pPr>
      <w:spacing w:before="150" w:after="100" w:afterAutospacing="1" w:line="225" w:lineRule="atLeast"/>
      <w:ind w:left="150"/>
    </w:pPr>
    <w:rPr>
      <w:rFonts w:ascii="Arial" w:hAnsi="Arial" w:cs="Arial"/>
      <w:b/>
      <w:bCs/>
      <w:color w:val="FF3300"/>
      <w:sz w:val="21"/>
      <w:szCs w:val="21"/>
      <w:lang w:val="es-CR"/>
    </w:rPr>
  </w:style>
  <w:style w:type="paragraph" w:customStyle="1" w:styleId="modquotelngticker">
    <w:name w:val="modquotelngticker"/>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lngtickertbl">
    <w:name w:val="modquotelngtickertb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quotelngdate">
    <w:name w:val="modquotelngdate"/>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quotelngdisclaimer">
    <w:name w:val="modquotelngdisclaimer"/>
    <w:basedOn w:val="Normal"/>
    <w:rsid w:val="008B5F96"/>
    <w:pPr>
      <w:spacing w:before="150" w:after="100" w:afterAutospacing="1" w:line="225" w:lineRule="atLeast"/>
      <w:ind w:left="150"/>
    </w:pPr>
    <w:rPr>
      <w:rFonts w:ascii="Arial" w:hAnsi="Arial" w:cs="Arial"/>
      <w:color w:val="333333"/>
      <w:sz w:val="15"/>
      <w:szCs w:val="15"/>
      <w:lang w:val="es-CR"/>
    </w:rPr>
  </w:style>
  <w:style w:type="paragraph" w:customStyle="1" w:styleId="modbgquotelngprice">
    <w:name w:val="modbgquotelngprice"/>
    <w:basedOn w:val="Normal"/>
    <w:rsid w:val="008B5F96"/>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modbgquotelngdata">
    <w:name w:val="modbgquotelngdata"/>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label">
    <w:name w:val="modbgquotelng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imgpos">
    <w:name w:val="modbgquotelngimgpos"/>
    <w:basedOn w:val="Normal"/>
    <w:rsid w:val="008B5F96"/>
    <w:pPr>
      <w:shd w:val="clear" w:color="auto" w:fill="006600"/>
      <w:spacing w:before="150" w:after="100" w:afterAutospacing="1" w:line="225" w:lineRule="atLeast"/>
      <w:ind w:left="150"/>
    </w:pPr>
    <w:rPr>
      <w:rFonts w:ascii="Arial" w:hAnsi="Arial" w:cs="Arial"/>
      <w:color w:val="333333"/>
      <w:sz w:val="18"/>
      <w:szCs w:val="18"/>
      <w:lang w:val="es-CR"/>
    </w:rPr>
  </w:style>
  <w:style w:type="paragraph" w:customStyle="1" w:styleId="modbgquotelngimgneg">
    <w:name w:val="modbgquotelngimgneg"/>
    <w:basedOn w:val="Normal"/>
    <w:rsid w:val="008B5F96"/>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modbgquotelngticker">
    <w:name w:val="modbgquotelngtick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date">
    <w:name w:val="modbgquotelngdat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disclaimer">
    <w:name w:val="modbgquotelngdisclaim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hline">
    <w:name w:val="modbgquotelnghlin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lngvline">
    <w:name w:val="modbgquotelngvlin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stockinfoticker">
    <w:name w:val="modstockinfoticker"/>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stockinfoprice">
    <w:name w:val="modstockinfoprice"/>
    <w:basedOn w:val="Normal"/>
    <w:rsid w:val="008B5F96"/>
    <w:pPr>
      <w:spacing w:before="150" w:after="100" w:afterAutospacing="1" w:line="225" w:lineRule="atLeast"/>
      <w:ind w:left="150"/>
    </w:pPr>
    <w:rPr>
      <w:rFonts w:ascii="Arial" w:hAnsi="Arial" w:cs="Arial"/>
      <w:color w:val="333333"/>
      <w:sz w:val="24"/>
      <w:szCs w:val="24"/>
      <w:lang w:val="es-CR"/>
    </w:rPr>
  </w:style>
  <w:style w:type="paragraph" w:customStyle="1" w:styleId="modstockinfodata">
    <w:name w:val="modstockinfodata"/>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stockinfolabeloutput">
    <w:name w:val="modstockinfolabeloutpu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stockinfolabelinput">
    <w:name w:val="modstockinfolabelinpu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stockinput">
    <w:name w:val="modbgstockinpu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stockoutput">
    <w:name w:val="modbgstockoutpu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infottl">
    <w:name w:val="modinfo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infolabel">
    <w:name w:val="modinfolabe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infotxt">
    <w:name w:val="modinfo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infottl">
    <w:name w:val="modbginfo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infolabel">
    <w:name w:val="modbginfo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infotxt">
    <w:name w:val="modbginfo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infosubttl">
    <w:name w:val="modinfosub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infomaterialstxt">
    <w:name w:val="modinfomaterials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mailttl">
    <w:name w:val="modemail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emaillabel">
    <w:name w:val="modemaillabe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emailtxt">
    <w:name w:val="modemai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mailttl">
    <w:name w:val="modbgemail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maillabel">
    <w:name w:val="modbgemail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mailtxt">
    <w:name w:val="modbgemail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secsearchttl">
    <w:name w:val="modsecsearch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secsearchtxt">
    <w:name w:val="modsecsearch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secsearchlnk">
    <w:name w:val="modsecsearch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secsearch">
    <w:name w:val="modbgsecsearch"/>
    <w:basedOn w:val="Normal"/>
    <w:rsid w:val="008B5F96"/>
    <w:pPr>
      <w:shd w:val="clear" w:color="auto" w:fill="DEE3F0"/>
      <w:spacing w:before="150" w:after="100" w:afterAutospacing="1" w:line="225" w:lineRule="atLeast"/>
      <w:ind w:left="150"/>
    </w:pPr>
    <w:rPr>
      <w:rFonts w:ascii="Arial" w:hAnsi="Arial" w:cs="Arial"/>
      <w:color w:val="333333"/>
      <w:sz w:val="18"/>
      <w:szCs w:val="18"/>
      <w:lang w:val="es-CR"/>
    </w:rPr>
  </w:style>
  <w:style w:type="paragraph" w:customStyle="1" w:styleId="modnewssearchttl">
    <w:name w:val="modnewssearch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newssearchtxt">
    <w:name w:val="modnewssearch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newssearch">
    <w:name w:val="modbgnewssearch"/>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sec16lnk">
    <w:name w:val="modsec16lnk"/>
    <w:basedOn w:val="Normal"/>
    <w:rsid w:val="008B5F96"/>
    <w:pPr>
      <w:spacing w:before="150" w:after="100" w:afterAutospacing="1" w:line="225" w:lineRule="atLeast"/>
      <w:ind w:left="150"/>
    </w:pPr>
    <w:rPr>
      <w:rFonts w:ascii="Arial" w:hAnsi="Arial" w:cs="Arial"/>
      <w:color w:val="333333"/>
      <w:sz w:val="21"/>
      <w:szCs w:val="21"/>
      <w:lang w:val="es-CR"/>
    </w:rPr>
  </w:style>
  <w:style w:type="paragraph" w:customStyle="1" w:styleId="modfaqlabelq">
    <w:name w:val="modfaqlabelq"/>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aqtxtq">
    <w:name w:val="modfaqtxtq"/>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aqlabela">
    <w:name w:val="modfaqlabela"/>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aqtxta">
    <w:name w:val="modfaqtxta"/>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faqtxtq">
    <w:name w:val="modbgfaqtxtq"/>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txta">
    <w:name w:val="modbgfaqtxta"/>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labelq">
    <w:name w:val="modbgfaqlabelq"/>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labela">
    <w:name w:val="modbgfaqlabela"/>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anchorlnk">
    <w:name w:val="modbgfaqanchorlnk"/>
    <w:basedOn w:val="Normal"/>
    <w:rsid w:val="008B5F96"/>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faqanchorlnk">
    <w:name w:val="modfaqanchor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ntactttl">
    <w:name w:val="modcontact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contactsubttl">
    <w:name w:val="modcontactsubttl"/>
    <w:basedOn w:val="Normal"/>
    <w:rsid w:val="008B5F96"/>
    <w:pPr>
      <w:spacing w:before="150" w:after="100" w:afterAutospacing="1" w:line="225" w:lineRule="atLeast"/>
      <w:ind w:left="150"/>
    </w:pPr>
    <w:rPr>
      <w:rFonts w:ascii="Arial" w:hAnsi="Arial" w:cs="Arial"/>
      <w:b/>
      <w:bCs/>
      <w:color w:val="444444"/>
      <w:sz w:val="17"/>
      <w:szCs w:val="17"/>
      <w:lang w:val="es-CR"/>
    </w:rPr>
  </w:style>
  <w:style w:type="paragraph" w:customStyle="1" w:styleId="modcontacttxt">
    <w:name w:val="modcontact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ntactlnk">
    <w:name w:val="modcontact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contactttl">
    <w:name w:val="modbgcontactttl"/>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modbgcontactsubttl">
    <w:name w:val="modbgcontactsubttl"/>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contacttxt">
    <w:name w:val="modbgcontacttxt"/>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fundtbltxtodd">
    <w:name w:val="modfundtbltxtodd"/>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undtbltxteven">
    <w:name w:val="modfundtbltxteve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undtbltxtboldodd">
    <w:name w:val="modfundtbltxtboldodd"/>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undtbltxtboldeven">
    <w:name w:val="modfundtbltxtboldeven"/>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undtblttl">
    <w:name w:val="modfundtbl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undtblsubttl">
    <w:name w:val="modfundtblsub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fundheader">
    <w:name w:val="modfundheader"/>
    <w:basedOn w:val="Normal"/>
    <w:rsid w:val="008B5F96"/>
    <w:pPr>
      <w:spacing w:before="150" w:after="100" w:afterAutospacing="1" w:line="225" w:lineRule="atLeast"/>
      <w:ind w:left="150"/>
    </w:pPr>
    <w:rPr>
      <w:rFonts w:ascii="Arial" w:hAnsi="Arial" w:cs="Arial"/>
      <w:color w:val="333333"/>
      <w:sz w:val="21"/>
      <w:szCs w:val="21"/>
      <w:lang w:val="es-CR"/>
    </w:rPr>
  </w:style>
  <w:style w:type="paragraph" w:customStyle="1" w:styleId="modfunddesctxt">
    <w:name w:val="modfunddesc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funddescsubttltxt">
    <w:name w:val="modfunddescsubtt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fundtblodd">
    <w:name w:val="modbgfundtblodd"/>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fundtbleven">
    <w:name w:val="modbgfundtbleven"/>
    <w:basedOn w:val="Normal"/>
    <w:rsid w:val="008B5F96"/>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bgfundtblttl">
    <w:name w:val="modbgfundtblttl"/>
    <w:basedOn w:val="Normal"/>
    <w:rsid w:val="008B5F96"/>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fundtblsubttl">
    <w:name w:val="modbgfundtblsubttl"/>
    <w:basedOn w:val="Normal"/>
    <w:rsid w:val="008B5F96"/>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modoutlineeventdetails">
    <w:name w:val="modoutlineeventdetails"/>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webcast">
    <w:name w:val="modoutlineeventdetailswebcas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future">
    <w:name w:val="modoutlineeventdetailsfutur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disclaimer">
    <w:name w:val="modoutlineeventdetailsdisclaim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sponsor">
    <w:name w:val="modoutlineeventdetailssponso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date">
    <w:name w:val="modbgeventdetailsdate"/>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ate">
    <w:name w:val="modeventdetailsdate"/>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ventdetailsformats">
    <w:name w:val="modeventdetailsformats"/>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ventsdate">
    <w:name w:val="modeventsdate"/>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txteven">
    <w:name w:val="modbgeventdetailstxteven"/>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txtodd">
    <w:name w:val="modbgeventdetailstxtodd"/>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disclaimer">
    <w:name w:val="modbgeventdetailsdisclaime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isclaimer">
    <w:name w:val="modeventdetailsdisclaimer"/>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sponsor">
    <w:name w:val="modbgeventdetailssponsor"/>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sponsor">
    <w:name w:val="modeventdetailssponsor"/>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webcast">
    <w:name w:val="modbgeventdetailswebcas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ttl">
    <w:name w:val="modeventdetails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ttl">
    <w:name w:val="modbgeventdetails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label">
    <w:name w:val="modeventdetailslabe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label">
    <w:name w:val="modbgeventdetailslabe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ata">
    <w:name w:val="modeventdetailsdata"/>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data">
    <w:name w:val="modbgeventdetailsdata"/>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subttl">
    <w:name w:val="modeventdetailssub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subttl">
    <w:name w:val="modbgeventdetailssub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txt">
    <w:name w:val="modeventdetails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detailstxt">
    <w:name w:val="modbgeventdetails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lnk">
    <w:name w:val="modeventdetails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ventstbltxt">
    <w:name w:val="modeventstb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ventstblttl">
    <w:name w:val="modeventstbl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bgeventstblttl">
    <w:name w:val="modbgeventstblttl"/>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stxt">
    <w:name w:val="modevents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ventstxt">
    <w:name w:val="modbgevents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stbltxt">
    <w:name w:val="modbgeventstbltxt"/>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stbllnk">
    <w:name w:val="modeventstbl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stimatestxt">
    <w:name w:val="modestimatestxt"/>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estimatestblttl">
    <w:name w:val="modestimatestbl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estimatestbltxtodd">
    <w:name w:val="modestimatestbltxtodd"/>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stimatestbltxteven">
    <w:name w:val="modestimatestbltxteve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estimateslnk">
    <w:name w:val="modestimates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estimatestblttl">
    <w:name w:val="modbgestimatestblttl"/>
    <w:basedOn w:val="Normal"/>
    <w:rsid w:val="008B5F96"/>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estimatestbltxtodd">
    <w:name w:val="modbgestimatestbltxtodd"/>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estimatestbltxteven">
    <w:name w:val="modbgestimatestbltxteven"/>
    <w:basedOn w:val="Normal"/>
    <w:rsid w:val="008B5F96"/>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govttl">
    <w:name w:val="modgovttl"/>
    <w:basedOn w:val="Normal"/>
    <w:rsid w:val="008B5F96"/>
    <w:pPr>
      <w:spacing w:before="150" w:after="100" w:afterAutospacing="1" w:line="225" w:lineRule="atLeast"/>
      <w:ind w:left="150"/>
    </w:pPr>
    <w:rPr>
      <w:rFonts w:ascii="Arial" w:hAnsi="Arial" w:cs="Arial"/>
      <w:b/>
      <w:bCs/>
      <w:color w:val="333333"/>
      <w:sz w:val="17"/>
      <w:szCs w:val="17"/>
      <w:lang w:val="es-CR"/>
    </w:rPr>
  </w:style>
  <w:style w:type="paragraph" w:customStyle="1" w:styleId="modgovsubttl">
    <w:name w:val="modgovsub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txt">
    <w:name w:val="modgov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tblttl">
    <w:name w:val="modgovtblttl"/>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tbltxt">
    <w:name w:val="modgovtbl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navlnk">
    <w:name w:val="modgovnav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tbllnk">
    <w:name w:val="modgovtbl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govnavtxt">
    <w:name w:val="modgovnav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bggovtblttl">
    <w:name w:val="modbggovtblttl"/>
    <w:basedOn w:val="Normal"/>
    <w:rsid w:val="008B5F96"/>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bggovtbltxt">
    <w:name w:val="modbggovtbltxt"/>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govtbllnk">
    <w:name w:val="modbggovtbllnk"/>
    <w:basedOn w:val="Normal"/>
    <w:rsid w:val="008B5F96"/>
    <w:pPr>
      <w:shd w:val="clear" w:color="auto" w:fill="DEDEDE"/>
      <w:spacing w:before="150" w:after="100" w:afterAutospacing="1" w:line="225" w:lineRule="atLeast"/>
      <w:ind w:left="150"/>
    </w:pPr>
    <w:rPr>
      <w:rFonts w:ascii="Arial" w:hAnsi="Arial" w:cs="Arial"/>
      <w:color w:val="333333"/>
      <w:sz w:val="18"/>
      <w:szCs w:val="18"/>
      <w:lang w:val="es-CR"/>
    </w:rPr>
  </w:style>
  <w:style w:type="paragraph" w:customStyle="1" w:styleId="modcommitteebodytxt">
    <w:name w:val="modcommitteebody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mmitteebodyttl">
    <w:name w:val="modcommitteebodyttl"/>
    <w:basedOn w:val="Normal"/>
    <w:rsid w:val="008B5F96"/>
    <w:pPr>
      <w:spacing w:before="150" w:after="100" w:afterAutospacing="1" w:line="225" w:lineRule="atLeast"/>
      <w:ind w:left="150"/>
    </w:pPr>
    <w:rPr>
      <w:rFonts w:ascii="Arial" w:hAnsi="Arial" w:cs="Arial"/>
      <w:color w:val="333333"/>
      <w:sz w:val="17"/>
      <w:szCs w:val="17"/>
      <w:u w:val="single"/>
      <w:lang w:val="es-CR"/>
    </w:rPr>
  </w:style>
  <w:style w:type="paragraph" w:customStyle="1" w:styleId="modcommitteelegendtxt">
    <w:name w:val="modcommitteelegendtxt"/>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mmitteetbllnkcolumn">
    <w:name w:val="modcommitteetbllnkcolumn"/>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mmitteetbllnk">
    <w:name w:val="modcommitteetbllnk"/>
    <w:basedOn w:val="Normal"/>
    <w:rsid w:val="008B5F96"/>
    <w:pPr>
      <w:spacing w:before="150" w:after="100" w:afterAutospacing="1" w:line="225" w:lineRule="atLeast"/>
      <w:ind w:left="150"/>
    </w:pPr>
    <w:rPr>
      <w:rFonts w:ascii="Arial" w:hAnsi="Arial" w:cs="Arial"/>
      <w:color w:val="333333"/>
      <w:sz w:val="17"/>
      <w:szCs w:val="17"/>
      <w:lang w:val="es-CR"/>
    </w:rPr>
  </w:style>
  <w:style w:type="paragraph" w:customStyle="1" w:styleId="modcommitteetblttl">
    <w:name w:val="modcommitteetblttl"/>
    <w:basedOn w:val="Normal"/>
    <w:rsid w:val="008B5F96"/>
    <w:pPr>
      <w:spacing w:before="150" w:after="100" w:afterAutospacing="1" w:line="225" w:lineRule="atLeast"/>
      <w:ind w:left="150"/>
    </w:pPr>
    <w:rPr>
      <w:rFonts w:ascii="Arial" w:hAnsi="Arial" w:cs="Arial"/>
      <w:color w:val="333333"/>
      <w:sz w:val="17"/>
      <w:szCs w:val="17"/>
      <w:u w:val="single"/>
      <w:lang w:val="es-CR"/>
    </w:rPr>
  </w:style>
  <w:style w:type="paragraph" w:customStyle="1" w:styleId="modbgcommitteetbllnkcolumn">
    <w:name w:val="modbgcommitteetbllnkcolumn"/>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committeetblttl">
    <w:name w:val="modbgcommitteetblttl"/>
    <w:basedOn w:val="Normal"/>
    <w:rsid w:val="008B5F96"/>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committeetbllnkodd">
    <w:name w:val="modbgcommitteetbllnkodd"/>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committeetbllnkeven">
    <w:name w:val="modbgcommitteetbllnkeven"/>
    <w:basedOn w:val="Normal"/>
    <w:rsid w:val="008B5F96"/>
    <w:pPr>
      <w:shd w:val="clear" w:color="auto" w:fill="BCBCBC"/>
      <w:spacing w:before="150" w:after="100" w:afterAutospacing="1" w:line="225" w:lineRule="atLeast"/>
      <w:ind w:left="150"/>
    </w:pPr>
    <w:rPr>
      <w:rFonts w:ascii="Arial" w:hAnsi="Arial" w:cs="Arial"/>
      <w:color w:val="333333"/>
      <w:sz w:val="18"/>
      <w:szCs w:val="18"/>
      <w:lang w:val="es-CR"/>
    </w:rPr>
  </w:style>
  <w:style w:type="paragraph" w:customStyle="1" w:styleId="xslbglineh">
    <w:name w:val="xslbglineh"/>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glinev">
    <w:name w:val="xslbglinev"/>
    <w:basedOn w:val="Normal"/>
    <w:rsid w:val="008B5F96"/>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xslbevinhighlightlt">
    <w:name w:val="xslbevinhighlightlt"/>
    <w:basedOn w:val="Normal"/>
    <w:rsid w:val="008B5F96"/>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xslbevinhighlightdk">
    <w:name w:val="xslbevinhighlightdk"/>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xslbevinshadowlt">
    <w:name w:val="xslbevinshadowlt"/>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bevinshadowdk">
    <w:name w:val="xslbevinshadowdk"/>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evininset">
    <w:name w:val="xslbevininset"/>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xslbevouthighlightlt">
    <w:name w:val="xslbevouthighlightlt"/>
    <w:basedOn w:val="Normal"/>
    <w:rsid w:val="008B5F96"/>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xslbevouthighlightdk">
    <w:name w:val="xslbevouthighlightdk"/>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xslbevoutshadowlt">
    <w:name w:val="xslbevoutshadowlt"/>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bevoutshadowdk">
    <w:name w:val="xslbevoutshadowdk"/>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evoutinset">
    <w:name w:val="xslbevoutinset"/>
    <w:basedOn w:val="Normal"/>
    <w:rsid w:val="008B5F96"/>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xsldropshadow">
    <w:name w:val="xsldropshadow"/>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dropinset">
    <w:name w:val="xsldropinset"/>
    <w:basedOn w:val="Normal"/>
    <w:rsid w:val="008B5F96"/>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xsloutline">
    <w:name w:val="xsloutline"/>
    <w:basedOn w:val="Normal"/>
    <w:rsid w:val="008B5F96"/>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outlineinset">
    <w:name w:val="xsloutlineinset"/>
    <w:basedOn w:val="Normal"/>
    <w:rsid w:val="008B5F96"/>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fullcolor">
    <w:name w:val="xslfullcolor"/>
    <w:basedOn w:val="Normal"/>
    <w:rsid w:val="008B5F96"/>
    <w:pPr>
      <w:shd w:val="clear" w:color="auto" w:fill="DDDDDD"/>
      <w:spacing w:before="150" w:after="100" w:afterAutospacing="1" w:line="225" w:lineRule="atLeast"/>
      <w:ind w:left="150"/>
    </w:pPr>
    <w:rPr>
      <w:rFonts w:ascii="Arial" w:hAnsi="Arial" w:cs="Arial"/>
      <w:color w:val="333333"/>
      <w:sz w:val="18"/>
      <w:szCs w:val="18"/>
      <w:lang w:val="es-CR"/>
    </w:rPr>
  </w:style>
  <w:style w:type="character" w:customStyle="1" w:styleId="ccbntxt1">
    <w:name w:val="ccbntxt1"/>
    <w:rsid w:val="008B5F96"/>
    <w:rPr>
      <w:rFonts w:ascii="Arial" w:hAnsi="Arial" w:cs="Arial" w:hint="default"/>
      <w:color w:val="434343"/>
      <w:sz w:val="17"/>
      <w:szCs w:val="17"/>
    </w:rPr>
  </w:style>
  <w:style w:type="character" w:styleId="Refdenotaalfinal">
    <w:name w:val="endnote reference"/>
    <w:uiPriority w:val="99"/>
    <w:unhideWhenUsed/>
    <w:rsid w:val="008B5F96"/>
    <w:rPr>
      <w:vertAlign w:val="superscript"/>
    </w:rPr>
  </w:style>
  <w:style w:type="character" w:customStyle="1" w:styleId="hps">
    <w:name w:val="hps"/>
    <w:rsid w:val="008B5F96"/>
  </w:style>
  <w:style w:type="paragraph" w:customStyle="1" w:styleId="TextoInformes">
    <w:name w:val="Texto Informes"/>
    <w:basedOn w:val="Normal"/>
    <w:rsid w:val="008B5F96"/>
    <w:pPr>
      <w:jc w:val="both"/>
    </w:pPr>
    <w:rPr>
      <w:rFonts w:ascii="Arial" w:hAnsi="Arial"/>
      <w:sz w:val="22"/>
      <w:szCs w:val="24"/>
      <w:lang w:val="es-CR"/>
    </w:rPr>
  </w:style>
  <w:style w:type="table" w:customStyle="1" w:styleId="Sombreadomedio1-nfasis51">
    <w:name w:val="Sombreado medio 1 - Énfasis 51"/>
    <w:basedOn w:val="Tablanormal"/>
    <w:next w:val="Tablanormal"/>
    <w:uiPriority w:val="63"/>
    <w:rsid w:val="008B5F96"/>
    <w:rPr>
      <w:rFonts w:eastAsia="Times New Roman"/>
      <w:sz w:val="22"/>
      <w:szCs w:val="22"/>
      <w:lang w:val="es-ES" w:eastAsia="es-E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Direccinsobre">
    <w:name w:val="envelope address"/>
    <w:basedOn w:val="Normal"/>
    <w:uiPriority w:val="99"/>
    <w:unhideWhenUsed/>
    <w:rsid w:val="008B5F96"/>
    <w:pPr>
      <w:framePr w:w="7920" w:h="1980" w:hRule="exact" w:hSpace="141" w:wrap="auto" w:hAnchor="page" w:xAlign="center" w:yAlign="bottom"/>
      <w:ind w:left="2880"/>
    </w:pPr>
    <w:rPr>
      <w:rFonts w:ascii="Cambria" w:hAnsi="Cambria"/>
      <w:kern w:val="24"/>
      <w:sz w:val="24"/>
      <w:szCs w:val="24"/>
      <w:lang w:val="es-CR" w:eastAsia="en-US"/>
    </w:rPr>
  </w:style>
  <w:style w:type="numbering" w:customStyle="1" w:styleId="Sinlista1">
    <w:name w:val="Sin lista1"/>
    <w:next w:val="Sinlista"/>
    <w:uiPriority w:val="99"/>
    <w:semiHidden/>
    <w:unhideWhenUsed/>
    <w:rsid w:val="008B5F96"/>
  </w:style>
  <w:style w:type="paragraph" w:styleId="Lista">
    <w:name w:val="List"/>
    <w:basedOn w:val="Normal"/>
    <w:uiPriority w:val="99"/>
    <w:unhideWhenUsed/>
    <w:rsid w:val="008B5F96"/>
    <w:pPr>
      <w:ind w:left="283" w:hanging="283"/>
      <w:contextualSpacing/>
    </w:pPr>
    <w:rPr>
      <w:lang w:val="es-CR"/>
    </w:rPr>
  </w:style>
  <w:style w:type="paragraph" w:styleId="Lista2">
    <w:name w:val="List 2"/>
    <w:basedOn w:val="Normal"/>
    <w:uiPriority w:val="99"/>
    <w:unhideWhenUsed/>
    <w:rsid w:val="008B5F96"/>
    <w:pPr>
      <w:ind w:left="566" w:hanging="283"/>
      <w:contextualSpacing/>
    </w:pPr>
    <w:rPr>
      <w:lang w:val="es-CR"/>
    </w:rPr>
  </w:style>
  <w:style w:type="character" w:customStyle="1" w:styleId="CommentReference1">
    <w:name w:val="Comment Reference1"/>
    <w:uiPriority w:val="99"/>
    <w:rsid w:val="008B5F96"/>
    <w:rPr>
      <w:sz w:val="16"/>
      <w:szCs w:val="16"/>
    </w:rPr>
  </w:style>
  <w:style w:type="paragraph" w:customStyle="1" w:styleId="Parrafo">
    <w:name w:val="Parrafo"/>
    <w:basedOn w:val="Normal"/>
    <w:link w:val="ParrafoChar"/>
    <w:qFormat/>
    <w:rsid w:val="008B5F96"/>
    <w:pPr>
      <w:spacing w:before="120" w:after="120"/>
      <w:ind w:left="806"/>
      <w:jc w:val="both"/>
      <w:outlineLvl w:val="0"/>
    </w:pPr>
    <w:rPr>
      <w:rFonts w:ascii="Franklin Gothic Book" w:hAnsi="Franklin Gothic Book"/>
      <w:color w:val="000000"/>
      <w:sz w:val="22"/>
      <w:szCs w:val="24"/>
      <w:lang w:eastAsia="en-US"/>
    </w:rPr>
  </w:style>
  <w:style w:type="character" w:customStyle="1" w:styleId="ParrafoChar">
    <w:name w:val="Parrafo Char"/>
    <w:link w:val="Parrafo"/>
    <w:rsid w:val="008B5F96"/>
    <w:rPr>
      <w:rFonts w:ascii="Franklin Gothic Book" w:eastAsia="Times New Roman" w:hAnsi="Franklin Gothic Book"/>
      <w:color w:val="000000"/>
      <w:sz w:val="22"/>
      <w:szCs w:val="24"/>
      <w:lang w:val="es-ES" w:eastAsia="en-US"/>
    </w:rPr>
  </w:style>
  <w:style w:type="paragraph" w:customStyle="1" w:styleId="Textoindependiente211">
    <w:name w:val="Texto independiente 211"/>
    <w:basedOn w:val="Normal"/>
    <w:rsid w:val="008B5F96"/>
    <w:pPr>
      <w:overflowPunct w:val="0"/>
      <w:autoSpaceDE w:val="0"/>
      <w:autoSpaceDN w:val="0"/>
      <w:adjustRightInd w:val="0"/>
      <w:spacing w:line="360" w:lineRule="auto"/>
      <w:jc w:val="both"/>
    </w:pPr>
    <w:rPr>
      <w:sz w:val="24"/>
      <w:lang w:val="es-ES_tradnl"/>
    </w:rPr>
  </w:style>
  <w:style w:type="paragraph" w:customStyle="1" w:styleId="grficos">
    <w:name w:val="gráficos"/>
    <w:basedOn w:val="Normal"/>
    <w:link w:val="grficosCar"/>
    <w:qFormat/>
    <w:rsid w:val="008B5F96"/>
    <w:pPr>
      <w:ind w:right="-6"/>
      <w:contextualSpacing/>
      <w:jc w:val="center"/>
    </w:pPr>
    <w:rPr>
      <w:rFonts w:ascii="Arial" w:hAnsi="Arial" w:cs="Arial"/>
      <w:b/>
      <w:bCs/>
      <w:sz w:val="16"/>
      <w:szCs w:val="14"/>
      <w:lang w:val="es-CR" w:eastAsia="en-US"/>
    </w:rPr>
  </w:style>
  <w:style w:type="character" w:customStyle="1" w:styleId="grficosCar">
    <w:name w:val="gráficos Car"/>
    <w:link w:val="grficos"/>
    <w:rsid w:val="008B5F96"/>
    <w:rPr>
      <w:rFonts w:ascii="Arial" w:eastAsia="Times New Roman" w:hAnsi="Arial" w:cs="Arial"/>
      <w:b/>
      <w:bCs/>
      <w:sz w:val="16"/>
      <w:szCs w:val="14"/>
      <w:lang w:eastAsia="en-US"/>
    </w:rPr>
  </w:style>
  <w:style w:type="paragraph" w:customStyle="1" w:styleId="Cuadros">
    <w:name w:val="Cuadros"/>
    <w:basedOn w:val="Normal"/>
    <w:link w:val="CuadrosCar"/>
    <w:uiPriority w:val="99"/>
    <w:qFormat/>
    <w:rsid w:val="008B5F96"/>
    <w:pPr>
      <w:ind w:right="-6"/>
      <w:contextualSpacing/>
      <w:jc w:val="center"/>
    </w:pPr>
    <w:rPr>
      <w:rFonts w:ascii="Arial" w:hAnsi="Arial" w:cs="Arial"/>
      <w:b/>
      <w:bCs/>
      <w:sz w:val="16"/>
      <w:szCs w:val="14"/>
      <w:lang w:val="es-CR" w:eastAsia="en-US"/>
    </w:rPr>
  </w:style>
  <w:style w:type="character" w:customStyle="1" w:styleId="CuadrosCar">
    <w:name w:val="Cuadros Car"/>
    <w:link w:val="Cuadros"/>
    <w:uiPriority w:val="99"/>
    <w:rsid w:val="008B5F96"/>
    <w:rPr>
      <w:rFonts w:ascii="Arial" w:eastAsia="Times New Roman" w:hAnsi="Arial" w:cs="Arial"/>
      <w:b/>
      <w:bCs/>
      <w:sz w:val="16"/>
      <w:szCs w:val="14"/>
      <w:lang w:eastAsia="en-US"/>
    </w:rPr>
  </w:style>
  <w:style w:type="paragraph" w:customStyle="1" w:styleId="TextoParrafo">
    <w:name w:val="Texto Parrafo"/>
    <w:rsid w:val="008B5F96"/>
    <w:pPr>
      <w:spacing w:before="160" w:after="160"/>
      <w:ind w:left="1701"/>
      <w:jc w:val="both"/>
    </w:pPr>
    <w:rPr>
      <w:rFonts w:eastAsia="Times New Roman"/>
      <w:sz w:val="22"/>
      <w:lang w:eastAsia="en-US"/>
    </w:rPr>
  </w:style>
  <w:style w:type="paragraph" w:customStyle="1" w:styleId="TtuloInicial">
    <w:name w:val="Título Inicial"/>
    <w:rsid w:val="008B5F96"/>
    <w:pPr>
      <w:spacing w:after="120"/>
    </w:pPr>
    <w:rPr>
      <w:rFonts w:ascii="Franklin Gothic Medium" w:eastAsia="Times New Roman" w:hAnsi="Franklin Gothic Medium"/>
      <w:color w:val="1F497D"/>
      <w:sz w:val="40"/>
      <w:szCs w:val="24"/>
      <w:lang w:eastAsia="en-US"/>
    </w:rPr>
  </w:style>
  <w:style w:type="paragraph" w:customStyle="1" w:styleId="PrrafoTtulos">
    <w:name w:val="Párrafo Títulos"/>
    <w:link w:val="PrrafoTtulosCar"/>
    <w:qFormat/>
    <w:rsid w:val="008B5F96"/>
    <w:pPr>
      <w:keepNext/>
      <w:keepLines/>
      <w:spacing w:before="160" w:after="160"/>
      <w:ind w:left="1701"/>
      <w:jc w:val="both"/>
    </w:pPr>
    <w:rPr>
      <w:rFonts w:ascii="Arial" w:eastAsia="Times New Roman" w:hAnsi="Arial"/>
      <w:lang w:eastAsia="en-US"/>
    </w:rPr>
  </w:style>
  <w:style w:type="paragraph" w:customStyle="1" w:styleId="TextoTablaJustificado">
    <w:name w:val="Texto Tabla Justificado"/>
    <w:basedOn w:val="PrrafoTtulos"/>
    <w:link w:val="TextoTablaJustificadoCar"/>
    <w:uiPriority w:val="99"/>
    <w:qFormat/>
    <w:rsid w:val="008B5F96"/>
    <w:pPr>
      <w:spacing w:before="60" w:after="60"/>
      <w:ind w:left="57" w:right="57"/>
    </w:pPr>
    <w:rPr>
      <w:snapToGrid w:val="0"/>
      <w:sz w:val="16"/>
      <w:szCs w:val="16"/>
      <w:lang w:val="es-ES_tradnl" w:eastAsia="es-ES"/>
    </w:rPr>
  </w:style>
  <w:style w:type="paragraph" w:customStyle="1" w:styleId="ListaNivel1">
    <w:name w:val="Lista Nivel 1"/>
    <w:basedOn w:val="ListaVietas"/>
    <w:link w:val="ListaNivel1Car"/>
    <w:qFormat/>
    <w:rsid w:val="008B5F96"/>
    <w:pPr>
      <w:numPr>
        <w:numId w:val="12"/>
      </w:numPr>
      <w:spacing w:before="120" w:after="60"/>
      <w:ind w:left="0" w:firstLine="0"/>
    </w:pPr>
    <w:rPr>
      <w:lang w:val="es-ES_tradnl" w:eastAsia="es-ES"/>
    </w:rPr>
  </w:style>
  <w:style w:type="paragraph" w:customStyle="1" w:styleId="ListaVietas">
    <w:name w:val="Lista Viñetas"/>
    <w:basedOn w:val="Normal"/>
    <w:link w:val="ListaVietasCar"/>
    <w:uiPriority w:val="99"/>
    <w:qFormat/>
    <w:rsid w:val="008B5F96"/>
    <w:pPr>
      <w:keepNext/>
      <w:keepLines/>
      <w:numPr>
        <w:numId w:val="25"/>
      </w:numPr>
      <w:tabs>
        <w:tab w:val="clear" w:pos="0"/>
      </w:tabs>
      <w:spacing w:before="60" w:after="120"/>
      <w:ind w:left="0" w:firstLine="0"/>
      <w:jc w:val="both"/>
    </w:pPr>
    <w:rPr>
      <w:rFonts w:ascii="Arial" w:hAnsi="Arial"/>
      <w:snapToGrid w:val="0"/>
      <w:lang w:val="es-CR" w:eastAsia="en-US"/>
    </w:rPr>
  </w:style>
  <w:style w:type="paragraph" w:customStyle="1" w:styleId="TextoInicial">
    <w:name w:val="Texto Inicial"/>
    <w:link w:val="TextoInicialCar"/>
    <w:uiPriority w:val="99"/>
    <w:rsid w:val="008B5F96"/>
    <w:pPr>
      <w:keepNext/>
      <w:keepLines/>
      <w:suppressAutoHyphens/>
      <w:spacing w:before="120" w:after="240"/>
      <w:ind w:left="1701"/>
      <w:jc w:val="center"/>
    </w:pPr>
    <w:rPr>
      <w:rFonts w:ascii="Arial" w:eastAsia="Times New Roman" w:hAnsi="Arial"/>
      <w:b/>
      <w:sz w:val="28"/>
      <w:szCs w:val="24"/>
      <w:lang w:eastAsia="en-US"/>
    </w:rPr>
  </w:style>
  <w:style w:type="character" w:customStyle="1" w:styleId="LetraNegrita">
    <w:name w:val="Letra Negrita"/>
    <w:qFormat/>
    <w:rsid w:val="008B5F96"/>
    <w:rPr>
      <w:rFonts w:ascii="Arial" w:hAnsi="Arial"/>
      <w:b/>
      <w:color w:val="auto"/>
      <w:sz w:val="20"/>
    </w:rPr>
  </w:style>
  <w:style w:type="paragraph" w:customStyle="1" w:styleId="PrrafoListaNivel1">
    <w:name w:val="Párrafo Lista Nivel 1"/>
    <w:basedOn w:val="Normal"/>
    <w:link w:val="PrrafoListaNivel1Car"/>
    <w:uiPriority w:val="99"/>
    <w:qFormat/>
    <w:rsid w:val="008B5F96"/>
    <w:pPr>
      <w:keepNext/>
      <w:keepLines/>
      <w:spacing w:before="160" w:after="160"/>
      <w:ind w:left="2155"/>
      <w:jc w:val="both"/>
    </w:pPr>
    <w:rPr>
      <w:rFonts w:ascii="Arial" w:hAnsi="Arial"/>
      <w:lang w:val="es-CR" w:eastAsia="en-US"/>
    </w:rPr>
  </w:style>
  <w:style w:type="paragraph" w:customStyle="1" w:styleId="TextoTablaCentrado">
    <w:name w:val="Texto Tabla Centrado"/>
    <w:basedOn w:val="Normal"/>
    <w:uiPriority w:val="99"/>
    <w:qFormat/>
    <w:rsid w:val="008B5F96"/>
    <w:pPr>
      <w:keepNext/>
      <w:keepLines/>
      <w:spacing w:before="60" w:after="60"/>
      <w:ind w:left="57" w:right="57"/>
      <w:jc w:val="center"/>
    </w:pPr>
    <w:rPr>
      <w:rFonts w:ascii="Arial" w:hAnsi="Arial"/>
      <w:snapToGrid w:val="0"/>
      <w:sz w:val="16"/>
      <w:szCs w:val="16"/>
      <w:lang w:val="es-ES_tradnl"/>
    </w:rPr>
  </w:style>
  <w:style w:type="paragraph" w:customStyle="1" w:styleId="TextoTablaDerecha">
    <w:name w:val="Texto Tabla Derecha"/>
    <w:basedOn w:val="Normal"/>
    <w:uiPriority w:val="99"/>
    <w:qFormat/>
    <w:rsid w:val="008B5F96"/>
    <w:pPr>
      <w:keepNext/>
      <w:keepLines/>
      <w:spacing w:before="60" w:after="60"/>
      <w:ind w:left="57" w:right="57"/>
      <w:jc w:val="right"/>
    </w:pPr>
    <w:rPr>
      <w:rFonts w:ascii="Arial" w:hAnsi="Arial"/>
      <w:snapToGrid w:val="0"/>
      <w:sz w:val="16"/>
      <w:szCs w:val="16"/>
      <w:lang w:val="es-ES_tradnl"/>
    </w:rPr>
  </w:style>
  <w:style w:type="paragraph" w:customStyle="1" w:styleId="TtuloTabla">
    <w:name w:val="Título Tabla"/>
    <w:uiPriority w:val="99"/>
    <w:qFormat/>
    <w:rsid w:val="008B5F96"/>
    <w:pPr>
      <w:keepNext/>
      <w:keepLines/>
      <w:pBdr>
        <w:between w:val="single" w:sz="4" w:space="1" w:color="FFFFFF"/>
      </w:pBdr>
      <w:suppressAutoHyphens/>
      <w:spacing w:before="120" w:after="120"/>
      <w:jc w:val="center"/>
    </w:pPr>
    <w:rPr>
      <w:rFonts w:ascii="Arial" w:eastAsia="Times New Roman" w:hAnsi="Arial"/>
      <w:b/>
      <w:color w:val="FFFFFF"/>
      <w:szCs w:val="24"/>
      <w:lang w:eastAsia="en-US"/>
    </w:rPr>
  </w:style>
  <w:style w:type="character" w:customStyle="1" w:styleId="PrrafoTtulosCar">
    <w:name w:val="Párrafo Títulos Car"/>
    <w:link w:val="PrrafoTtulos"/>
    <w:locked/>
    <w:rsid w:val="008B5F96"/>
    <w:rPr>
      <w:rFonts w:ascii="Arial" w:eastAsia="Times New Roman" w:hAnsi="Arial"/>
      <w:lang w:eastAsia="en-US"/>
    </w:rPr>
  </w:style>
  <w:style w:type="character" w:customStyle="1" w:styleId="EncabezadoCar1">
    <w:name w:val="Encabezado Car1"/>
    <w:basedOn w:val="Fuentedeprrafopredeter"/>
    <w:uiPriority w:val="99"/>
    <w:rsid w:val="008B5F96"/>
    <w:rPr>
      <w:rFonts w:ascii="Times New Roman" w:eastAsia="Times New Roman" w:hAnsi="Times New Roman"/>
      <w:lang w:eastAsia="es-ES"/>
    </w:rPr>
  </w:style>
  <w:style w:type="character" w:customStyle="1" w:styleId="TextoCar">
    <w:name w:val="Texto Car"/>
    <w:rsid w:val="008B5F96"/>
    <w:rPr>
      <w:rFonts w:ascii="Franklin Gothic Book" w:eastAsia="Times New Roman" w:hAnsi="Franklin Gothic Book" w:cs="Arial"/>
      <w:sz w:val="20"/>
      <w:lang w:eastAsia="es-CR"/>
    </w:rPr>
  </w:style>
  <w:style w:type="paragraph" w:customStyle="1" w:styleId="Fuente">
    <w:name w:val="Fuente"/>
    <w:basedOn w:val="Normal"/>
    <w:link w:val="FuenteCar"/>
    <w:qFormat/>
    <w:rsid w:val="008B5F96"/>
    <w:pPr>
      <w:ind w:left="432" w:right="432"/>
      <w:jc w:val="both"/>
    </w:pPr>
    <w:rPr>
      <w:rFonts w:ascii="Franklin Gothic Book" w:eastAsia="Calibri" w:hAnsi="Franklin Gothic Book"/>
      <w:sz w:val="16"/>
      <w:szCs w:val="22"/>
      <w:lang w:val="es-CR" w:eastAsia="es-CR"/>
    </w:rPr>
  </w:style>
  <w:style w:type="character" w:customStyle="1" w:styleId="FuenteCar">
    <w:name w:val="Fuente Car"/>
    <w:link w:val="Fuente"/>
    <w:rsid w:val="008B5F96"/>
    <w:rPr>
      <w:rFonts w:ascii="Franklin Gothic Book" w:hAnsi="Franklin Gothic Book"/>
      <w:sz w:val="16"/>
      <w:szCs w:val="22"/>
    </w:rPr>
  </w:style>
  <w:style w:type="character" w:customStyle="1" w:styleId="apple-converted-space">
    <w:name w:val="apple-converted-space"/>
    <w:rsid w:val="008B5F96"/>
  </w:style>
  <w:style w:type="table" w:customStyle="1" w:styleId="Correspondencia1">
    <w:name w:val="Correspondencia1"/>
    <w:basedOn w:val="Tablanormal"/>
    <w:uiPriority w:val="99"/>
    <w:qFormat/>
    <w:locked/>
    <w:rsid w:val="008B5F96"/>
    <w:pPr>
      <w:spacing w:before="20" w:after="20"/>
    </w:pPr>
    <w:rPr>
      <w:rFonts w:ascii="Franklin Gothic Book" w:hAnsi="Franklin Gothic Book"/>
    </w:rPr>
    <w:tblPr/>
    <w:tblStylePr w:type="firstRow">
      <w:rPr>
        <w:rFonts w:ascii="Verdana" w:hAnsi="Verdana"/>
        <w:b/>
        <w:sz w:val="20"/>
      </w:rPr>
    </w:tblStylePr>
    <w:tblStylePr w:type="lastRow">
      <w:rPr>
        <w:rFonts w:ascii="Verdana" w:hAnsi="Verdana"/>
        <w:sz w:val="20"/>
      </w:rPr>
    </w:tblStylePr>
    <w:tblStylePr w:type="band1Horz">
      <w:rPr>
        <w:rFonts w:ascii="Verdana" w:hAnsi="Verdana"/>
        <w:color w:val="auto"/>
        <w:sz w:val="20"/>
      </w:rPr>
    </w:tblStylePr>
  </w:style>
  <w:style w:type="paragraph" w:customStyle="1" w:styleId="ContraportadaCdigo">
    <w:name w:val="Contraportada Código"/>
    <w:uiPriority w:val="99"/>
    <w:qFormat/>
    <w:rsid w:val="008B5F96"/>
    <w:pPr>
      <w:keepNext/>
      <w:keepLines/>
      <w:suppressAutoHyphens/>
    </w:pPr>
    <w:rPr>
      <w:rFonts w:ascii="Arial" w:eastAsia="Times New Roman" w:hAnsi="Arial"/>
      <w:sz w:val="73"/>
      <w:szCs w:val="73"/>
      <w:lang w:eastAsia="en-US"/>
    </w:rPr>
  </w:style>
  <w:style w:type="paragraph" w:customStyle="1" w:styleId="ContraportadaSerie">
    <w:name w:val="Contraportada Serie"/>
    <w:uiPriority w:val="99"/>
    <w:qFormat/>
    <w:rsid w:val="008B5F96"/>
    <w:pPr>
      <w:keepNext/>
      <w:suppressAutoHyphens/>
      <w:spacing w:after="240"/>
      <w:jc w:val="center"/>
    </w:pPr>
    <w:rPr>
      <w:rFonts w:ascii="Arial" w:eastAsia="Times New Roman" w:hAnsi="Arial"/>
      <w:b/>
      <w:caps/>
      <w:spacing w:val="-2"/>
      <w:sz w:val="26"/>
      <w:szCs w:val="26"/>
      <w:lang w:eastAsia="en-US"/>
    </w:rPr>
  </w:style>
  <w:style w:type="paragraph" w:customStyle="1" w:styleId="ContraportadaServicio">
    <w:name w:val="Contraportada Servicio"/>
    <w:uiPriority w:val="99"/>
    <w:qFormat/>
    <w:rsid w:val="008B5F96"/>
    <w:pPr>
      <w:keepNext/>
      <w:suppressAutoHyphens/>
      <w:spacing w:after="240"/>
      <w:jc w:val="center"/>
    </w:pPr>
    <w:rPr>
      <w:rFonts w:ascii="Arial" w:eastAsia="Times New Roman" w:hAnsi="Arial"/>
      <w:b/>
      <w:caps/>
      <w:spacing w:val="60"/>
      <w:sz w:val="28"/>
      <w:szCs w:val="28"/>
      <w:lang w:eastAsia="en-US"/>
    </w:rPr>
  </w:style>
  <w:style w:type="paragraph" w:customStyle="1" w:styleId="ListaNivel2">
    <w:name w:val="Lista Nivel 2"/>
    <w:basedOn w:val="ListaVietas"/>
    <w:link w:val="ListaNivel2Car"/>
    <w:uiPriority w:val="99"/>
    <w:qFormat/>
    <w:rsid w:val="008B5F96"/>
    <w:pPr>
      <w:numPr>
        <w:numId w:val="8"/>
      </w:numPr>
      <w:spacing w:before="120" w:after="60"/>
      <w:ind w:left="0" w:firstLine="0"/>
    </w:pPr>
    <w:rPr>
      <w:lang w:val="es-ES_tradnl" w:eastAsia="es-ES"/>
    </w:rPr>
  </w:style>
  <w:style w:type="character" w:customStyle="1" w:styleId="PiedepginaCar1">
    <w:name w:val="Pie de página Car1"/>
    <w:basedOn w:val="Fuentedeprrafopredeter"/>
    <w:uiPriority w:val="99"/>
    <w:rsid w:val="008B5F96"/>
    <w:rPr>
      <w:rFonts w:ascii="Times New Roman" w:eastAsia="Times New Roman" w:hAnsi="Times New Roman"/>
      <w:lang w:eastAsia="es-ES"/>
    </w:rPr>
  </w:style>
  <w:style w:type="table" w:customStyle="1" w:styleId="MediumShading1-Accent51">
    <w:name w:val="Medium Shading 1 - Accent 51"/>
    <w:basedOn w:val="TableNormal1"/>
    <w:uiPriority w:val="63"/>
    <w:rsid w:val="008B5F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11">
    <w:name w:val="Light List - Accent 11"/>
    <w:basedOn w:val="TableNormal1"/>
    <w:uiPriority w:val="61"/>
    <w:rsid w:val="008B5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61">
    <w:name w:val="Light Shading - Accent 61"/>
    <w:basedOn w:val="TableNormal1"/>
    <w:uiPriority w:val="60"/>
    <w:rsid w:val="008B5F96"/>
    <w:rPr>
      <w:rFonts w:ascii="Franklin Gothic Book" w:hAnsi="Franklin Gothic Book"/>
      <w:color w:val="5282BE"/>
      <w:lang w:val="en-US" w:eastAsia="ja-JP"/>
    </w:rPr>
    <w:tblPr>
      <w:tblStyleRowBandSize w:val="1"/>
      <w:tblStyleColBandSize w:val="1"/>
      <w:tblBorders>
        <w:top w:val="single" w:sz="8" w:space="0" w:color="95B3D7"/>
        <w:bottom w:val="single" w:sz="8" w:space="0" w:color="95B3D7"/>
      </w:tblBorders>
    </w:tblPr>
    <w:tblStylePr w:type="fir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la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cPr>
    </w:tblStylePr>
    <w:tblStylePr w:type="band1Horz">
      <w:tblPr/>
      <w:tcPr>
        <w:tcBorders>
          <w:left w:val="nil"/>
          <w:right w:val="nil"/>
          <w:insideH w:val="nil"/>
          <w:insideV w:val="nil"/>
        </w:tcBorders>
        <w:shd w:val="clear" w:color="auto" w:fill="E4ECF5"/>
      </w:tcPr>
    </w:tblStylePr>
  </w:style>
  <w:style w:type="paragraph" w:customStyle="1" w:styleId="ContraportadaBorrador">
    <w:name w:val="Contraportada Borrador"/>
    <w:rsid w:val="008B5F96"/>
    <w:pPr>
      <w:spacing w:before="300"/>
      <w:jc w:val="right"/>
    </w:pPr>
    <w:rPr>
      <w:rFonts w:ascii="Arial" w:eastAsia="Times New Roman" w:hAnsi="Arial"/>
      <w:b/>
      <w:color w:val="808080"/>
      <w:sz w:val="28"/>
      <w:szCs w:val="28"/>
      <w:lang w:eastAsia="en-US"/>
    </w:rPr>
  </w:style>
  <w:style w:type="paragraph" w:customStyle="1" w:styleId="PortadaBorrador">
    <w:name w:val="Portada Borrador"/>
    <w:rsid w:val="008B5F96"/>
    <w:pPr>
      <w:spacing w:before="260"/>
      <w:jc w:val="right"/>
    </w:pPr>
    <w:rPr>
      <w:rFonts w:ascii="Arial" w:eastAsia="Times New Roman" w:hAnsi="Arial"/>
      <w:b/>
      <w:color w:val="FFFFFF"/>
      <w:sz w:val="32"/>
      <w:szCs w:val="32"/>
      <w:lang w:eastAsia="en-US"/>
    </w:rPr>
  </w:style>
  <w:style w:type="paragraph" w:customStyle="1" w:styleId="PortadaCdigo">
    <w:name w:val="Portada Código"/>
    <w:qFormat/>
    <w:rsid w:val="008B5F96"/>
    <w:rPr>
      <w:rFonts w:ascii="Arial" w:eastAsia="Times New Roman" w:hAnsi="Arial"/>
      <w:b/>
      <w:sz w:val="73"/>
      <w:szCs w:val="73"/>
      <w:lang w:eastAsia="en-US"/>
    </w:rPr>
  </w:style>
  <w:style w:type="table" w:customStyle="1" w:styleId="LightList-Accent61">
    <w:name w:val="Light List - Accent 61"/>
    <w:basedOn w:val="TableNormal1"/>
    <w:uiPriority w:val="61"/>
    <w:rsid w:val="008B5F96"/>
    <w:rPr>
      <w:rFonts w:ascii="Franklin Gothic Book" w:hAnsi="Franklin Gothic Book"/>
      <w:lang w:val="en-US" w:eastAsia="ja-JP"/>
    </w:rPr>
    <w:tblPr>
      <w:tblStyleRowBandSize w:val="1"/>
      <w:tblStyleColBandSize w:val="1"/>
      <w:tblBorders>
        <w:top w:val="single" w:sz="8" w:space="0" w:color="95B3D7"/>
        <w:left w:val="single" w:sz="8" w:space="0" w:color="95B3D7"/>
        <w:bottom w:val="single" w:sz="8" w:space="0" w:color="95B3D7"/>
        <w:right w:val="single" w:sz="8" w:space="0" w:color="95B3D7"/>
      </w:tblBorders>
    </w:tblPr>
    <w:tblStylePr w:type="firstRow">
      <w:pPr>
        <w:spacing w:before="0" w:after="0" w:line="240" w:lineRule="auto"/>
      </w:pPr>
      <w:rPr>
        <w:b/>
        <w:bCs/>
        <w:color w:val="000000"/>
      </w:rPr>
      <w:tblPr/>
      <w:tcPr>
        <w:shd w:val="clear" w:color="auto" w:fill="95B3D7"/>
      </w:tcPr>
    </w:tblStylePr>
    <w:tblStylePr w:type="lastRow">
      <w:pPr>
        <w:spacing w:before="0" w:after="0" w:line="240" w:lineRule="auto"/>
      </w:pPr>
      <w:rPr>
        <w:b/>
        <w:bCs/>
      </w:rPr>
      <w:tblPr/>
      <w:tcPr>
        <w:tcBorders>
          <w:top w:val="double" w:sz="6" w:space="0" w:color="95B3D7"/>
          <w:left w:val="single" w:sz="8" w:space="0" w:color="95B3D7"/>
          <w:bottom w:val="single" w:sz="8" w:space="0" w:color="95B3D7"/>
          <w:right w:val="single" w:sz="8" w:space="0" w:color="95B3D7"/>
        </w:tcBorders>
      </w:tcPr>
    </w:tblStylePr>
    <w:tblStylePr w:type="firstCol">
      <w:rPr>
        <w:b/>
        <w:bCs/>
      </w:rPr>
    </w:tblStylePr>
    <w:tblStylePr w:type="lastCol">
      <w:rPr>
        <w:b/>
        <w:bCs/>
      </w:rPr>
    </w:tblStylePr>
    <w:tblStylePr w:type="band1Vert">
      <w:tblPr/>
      <w:tcPr>
        <w:tcBorders>
          <w:top w:val="single" w:sz="8" w:space="0" w:color="95B3D7"/>
          <w:left w:val="single" w:sz="8" w:space="0" w:color="95B3D7"/>
          <w:bottom w:val="single" w:sz="8" w:space="0" w:color="95B3D7"/>
          <w:right w:val="single" w:sz="8" w:space="0" w:color="95B3D7"/>
        </w:tcBorders>
      </w:tcPr>
    </w:tblStylePr>
    <w:tblStylePr w:type="band1Horz">
      <w:tblPr/>
      <w:tcPr>
        <w:tcBorders>
          <w:top w:val="single" w:sz="8" w:space="0" w:color="95B3D7"/>
          <w:left w:val="single" w:sz="8" w:space="0" w:color="95B3D7"/>
          <w:bottom w:val="single" w:sz="8" w:space="0" w:color="95B3D7"/>
          <w:right w:val="single" w:sz="8" w:space="0" w:color="95B3D7"/>
        </w:tcBorders>
      </w:tcPr>
    </w:tblStylePr>
  </w:style>
  <w:style w:type="table" w:customStyle="1" w:styleId="MediumList1-Accent11">
    <w:name w:val="Medium List 1 - Accent 11"/>
    <w:basedOn w:val="TableNormal1"/>
    <w:uiPriority w:val="65"/>
    <w:rsid w:val="008B5F96"/>
    <w:rPr>
      <w:color w:val="000000"/>
      <w:lang w:val="en-US" w:eastAsia="ja-JP"/>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styleId="ArtculoSeccin">
    <w:name w:val="Outline List 3"/>
    <w:basedOn w:val="Sinlista"/>
    <w:rsid w:val="008B5F96"/>
  </w:style>
  <w:style w:type="paragraph" w:customStyle="1" w:styleId="PrrafoListaNivel2">
    <w:name w:val="Párrafo Lista Nivel 2"/>
    <w:basedOn w:val="Normal"/>
    <w:uiPriority w:val="99"/>
    <w:qFormat/>
    <w:rsid w:val="008B5F96"/>
    <w:pPr>
      <w:keepNext/>
      <w:keepLines/>
      <w:spacing w:before="160" w:after="160"/>
      <w:ind w:left="2325"/>
      <w:jc w:val="both"/>
    </w:pPr>
    <w:rPr>
      <w:rFonts w:ascii="Arial" w:hAnsi="Arial"/>
      <w:lang w:val="es-CR" w:eastAsia="en-US"/>
    </w:rPr>
  </w:style>
  <w:style w:type="paragraph" w:customStyle="1" w:styleId="PrrafoListaVietas">
    <w:name w:val="Párrafo Lista Viñetas"/>
    <w:basedOn w:val="Normal"/>
    <w:uiPriority w:val="99"/>
    <w:qFormat/>
    <w:rsid w:val="008B5F96"/>
    <w:pPr>
      <w:keepNext/>
      <w:keepLines/>
      <w:spacing w:before="160" w:after="160"/>
      <w:ind w:left="1985"/>
      <w:jc w:val="both"/>
    </w:pPr>
    <w:rPr>
      <w:rFonts w:ascii="Arial" w:hAnsi="Arial"/>
      <w:lang w:val="es-CR" w:eastAsia="en-US"/>
    </w:rPr>
  </w:style>
  <w:style w:type="character" w:customStyle="1" w:styleId="LetraCursiva">
    <w:name w:val="Letra Cursiva"/>
    <w:uiPriority w:val="99"/>
    <w:qFormat/>
    <w:rsid w:val="008B5F96"/>
    <w:rPr>
      <w:rFonts w:ascii="Arial" w:hAnsi="Arial"/>
      <w:i/>
      <w:sz w:val="20"/>
    </w:rPr>
  </w:style>
  <w:style w:type="character" w:customStyle="1" w:styleId="LetraSubrayada">
    <w:name w:val="Letra Subrayada"/>
    <w:uiPriority w:val="99"/>
    <w:qFormat/>
    <w:rsid w:val="008B5F96"/>
    <w:rPr>
      <w:rFonts w:ascii="Arial" w:hAnsi="Arial"/>
      <w:sz w:val="20"/>
      <w:u w:val="single"/>
    </w:rPr>
  </w:style>
  <w:style w:type="character" w:customStyle="1" w:styleId="LetraTablaNegrita">
    <w:name w:val="Letra Tabla Negrita"/>
    <w:qFormat/>
    <w:rsid w:val="008B5F96"/>
    <w:rPr>
      <w:rFonts w:ascii="Arial" w:hAnsi="Arial"/>
      <w:b/>
      <w:sz w:val="16"/>
    </w:rPr>
  </w:style>
  <w:style w:type="paragraph" w:customStyle="1" w:styleId="PortadaNombreServicio">
    <w:name w:val="Portada Nombre Servicio"/>
    <w:uiPriority w:val="99"/>
    <w:qFormat/>
    <w:rsid w:val="008B5F96"/>
    <w:pPr>
      <w:keepNext/>
      <w:keepLines/>
      <w:suppressAutoHyphens/>
      <w:spacing w:after="240"/>
      <w:jc w:val="center"/>
    </w:pPr>
    <w:rPr>
      <w:rFonts w:ascii="Arial" w:eastAsia="Times New Roman" w:hAnsi="Arial"/>
      <w:b/>
      <w:caps/>
      <w:spacing w:val="80"/>
      <w:sz w:val="40"/>
      <w:szCs w:val="40"/>
      <w:lang w:eastAsia="en-US"/>
    </w:rPr>
  </w:style>
  <w:style w:type="paragraph" w:customStyle="1" w:styleId="PortadaSerieNormas">
    <w:name w:val="Portada Serie Normas"/>
    <w:uiPriority w:val="99"/>
    <w:qFormat/>
    <w:rsid w:val="008B5F96"/>
    <w:pPr>
      <w:keepNext/>
      <w:keepLines/>
      <w:suppressAutoHyphens/>
      <w:spacing w:after="240"/>
      <w:jc w:val="center"/>
    </w:pPr>
    <w:rPr>
      <w:rFonts w:ascii="Arial" w:eastAsia="Times New Roman" w:hAnsi="Arial"/>
      <w:b/>
      <w:caps/>
      <w:color w:val="1C4598"/>
      <w:spacing w:val="24"/>
      <w:sz w:val="32"/>
      <w:szCs w:val="32"/>
      <w:lang w:eastAsia="en-US"/>
    </w:rPr>
  </w:style>
  <w:style w:type="paragraph" w:styleId="TDC3">
    <w:name w:val="toc 3"/>
    <w:autoRedefine/>
    <w:uiPriority w:val="39"/>
    <w:qFormat/>
    <w:rsid w:val="008B5F96"/>
    <w:pPr>
      <w:tabs>
        <w:tab w:val="right" w:leader="dot" w:pos="7920"/>
      </w:tabs>
      <w:spacing w:before="40" w:after="40"/>
      <w:ind w:left="1701" w:right="561"/>
      <w:jc w:val="both"/>
    </w:pPr>
    <w:rPr>
      <w:rFonts w:ascii="Times New Roman" w:eastAsia="Times New Roman" w:hAnsi="Times New Roman"/>
      <w:noProof/>
      <w:snapToGrid w:val="0"/>
      <w:sz w:val="18"/>
      <w:lang w:val="es-ES_tradnl" w:eastAsia="es-ES"/>
    </w:rPr>
  </w:style>
  <w:style w:type="paragraph" w:styleId="TDC4">
    <w:name w:val="toc 4"/>
    <w:autoRedefine/>
    <w:uiPriority w:val="39"/>
    <w:rsid w:val="008B5F96"/>
    <w:pPr>
      <w:tabs>
        <w:tab w:val="right" w:leader="dot" w:pos="7921"/>
      </w:tabs>
      <w:spacing w:before="40" w:after="40"/>
      <w:ind w:left="1701" w:right="561"/>
      <w:jc w:val="both"/>
    </w:pPr>
    <w:rPr>
      <w:rFonts w:ascii="Times New Roman" w:eastAsia="Times New Roman" w:hAnsi="Times New Roman"/>
      <w:i/>
      <w:sz w:val="18"/>
      <w:szCs w:val="18"/>
      <w:lang w:eastAsia="en-US"/>
    </w:rPr>
  </w:style>
  <w:style w:type="character" w:customStyle="1" w:styleId="LetraTablaSubrayada">
    <w:name w:val="Letra Tabla Subrayada"/>
    <w:qFormat/>
    <w:rsid w:val="008B5F96"/>
    <w:rPr>
      <w:rFonts w:ascii="Arial" w:hAnsi="Arial"/>
      <w:sz w:val="16"/>
      <w:u w:val="single"/>
    </w:rPr>
  </w:style>
  <w:style w:type="character" w:customStyle="1" w:styleId="LetraTablaCursiva">
    <w:name w:val="Letra Tabla Cursiva"/>
    <w:qFormat/>
    <w:rsid w:val="008B5F96"/>
    <w:rPr>
      <w:rFonts w:ascii="Arial" w:hAnsi="Arial"/>
      <w:i/>
      <w:sz w:val="16"/>
    </w:rPr>
  </w:style>
  <w:style w:type="paragraph" w:customStyle="1" w:styleId="TextoIntroductorio">
    <w:name w:val="Texto Introductorio"/>
    <w:uiPriority w:val="99"/>
    <w:qFormat/>
    <w:rsid w:val="008B5F96"/>
    <w:pPr>
      <w:keepNext/>
      <w:suppressAutoHyphens/>
      <w:spacing w:before="120" w:line="360" w:lineRule="auto"/>
    </w:pPr>
    <w:rPr>
      <w:rFonts w:ascii="Arial" w:eastAsia="Times New Roman" w:hAnsi="Arial"/>
      <w:b/>
      <w:color w:val="999999"/>
      <w:lang w:eastAsia="en-US"/>
    </w:rPr>
  </w:style>
  <w:style w:type="paragraph" w:customStyle="1" w:styleId="TextoIntroductorioDerecha">
    <w:name w:val="Texto Introductorio Derecha"/>
    <w:basedOn w:val="TextoIntroductorio"/>
    <w:qFormat/>
    <w:rsid w:val="008B5F96"/>
    <w:pPr>
      <w:jc w:val="right"/>
    </w:pPr>
  </w:style>
  <w:style w:type="paragraph" w:customStyle="1" w:styleId="TextoTablaIzquierda">
    <w:name w:val="Texto Tabla Izquierda"/>
    <w:basedOn w:val="Normal"/>
    <w:qFormat/>
    <w:rsid w:val="008B5F96"/>
    <w:pPr>
      <w:keepNext/>
      <w:keepLines/>
      <w:spacing w:before="60" w:after="60"/>
      <w:ind w:left="57" w:right="57"/>
      <w:jc w:val="both"/>
    </w:pPr>
    <w:rPr>
      <w:rFonts w:ascii="Arial" w:hAnsi="Arial"/>
      <w:snapToGrid w:val="0"/>
      <w:sz w:val="16"/>
      <w:szCs w:val="16"/>
      <w:lang w:val="es-ES_tradnl"/>
    </w:rPr>
  </w:style>
  <w:style w:type="paragraph" w:customStyle="1" w:styleId="PrrafoTtuloEspecial">
    <w:name w:val="Párrafo Título Especial"/>
    <w:basedOn w:val="Normal"/>
    <w:rsid w:val="008B5F96"/>
    <w:pPr>
      <w:keepNext/>
      <w:keepLines/>
      <w:spacing w:before="160" w:after="160"/>
      <w:ind w:left="1701"/>
      <w:jc w:val="both"/>
    </w:pPr>
    <w:rPr>
      <w:rFonts w:ascii="Arial" w:hAnsi="Arial"/>
      <w:sz w:val="6"/>
      <w:lang w:val="es-CR" w:eastAsia="en-US"/>
    </w:rPr>
  </w:style>
  <w:style w:type="paragraph" w:customStyle="1" w:styleId="texto0">
    <w:name w:val="texto"/>
    <w:basedOn w:val="Normal"/>
    <w:link w:val="textoCar0"/>
    <w:locked/>
    <w:rsid w:val="008B5F96"/>
    <w:pPr>
      <w:spacing w:before="100" w:beforeAutospacing="1" w:after="100" w:afterAutospacing="1"/>
      <w:jc w:val="both"/>
    </w:pPr>
    <w:rPr>
      <w:rFonts w:ascii="Arial" w:hAnsi="Arial"/>
      <w:color w:val="000000"/>
      <w:sz w:val="22"/>
      <w:szCs w:val="18"/>
      <w:lang w:val="es-CR" w:eastAsia="en-US"/>
    </w:rPr>
  </w:style>
  <w:style w:type="paragraph" w:customStyle="1" w:styleId="italica">
    <w:name w:val="italica"/>
    <w:basedOn w:val="Normal"/>
    <w:autoRedefine/>
    <w:qFormat/>
    <w:rsid w:val="008B5F96"/>
    <w:pPr>
      <w:jc w:val="both"/>
      <w:outlineLvl w:val="0"/>
    </w:pPr>
    <w:rPr>
      <w:rFonts w:ascii="Franklin Gothic Book" w:hAnsi="Franklin Gothic Book"/>
      <w:i/>
      <w:color w:val="000000"/>
      <w:sz w:val="22"/>
      <w:szCs w:val="24"/>
      <w:lang w:val="es-CR" w:eastAsia="en-US"/>
    </w:rPr>
  </w:style>
  <w:style w:type="paragraph" w:customStyle="1" w:styleId="numeracion">
    <w:name w:val="numeracion"/>
    <w:basedOn w:val="Texto"/>
    <w:uiPriority w:val="1"/>
    <w:qFormat/>
    <w:rsid w:val="008B5F96"/>
    <w:pPr>
      <w:numPr>
        <w:numId w:val="11"/>
      </w:numPr>
      <w:ind w:left="0" w:firstLine="0"/>
    </w:pPr>
  </w:style>
  <w:style w:type="paragraph" w:customStyle="1" w:styleId="vinetas">
    <w:name w:val="vinetas"/>
    <w:basedOn w:val="numeracion"/>
    <w:uiPriority w:val="1"/>
    <w:qFormat/>
    <w:rsid w:val="008B5F96"/>
    <w:pPr>
      <w:numPr>
        <w:numId w:val="20"/>
      </w:numPr>
      <w:ind w:left="0" w:firstLine="0"/>
    </w:pPr>
  </w:style>
  <w:style w:type="paragraph" w:customStyle="1" w:styleId="TextoTabla">
    <w:name w:val="Texto Tabla"/>
    <w:basedOn w:val="Texto"/>
    <w:link w:val="TextoTablaChar"/>
    <w:uiPriority w:val="1"/>
    <w:qFormat/>
    <w:rsid w:val="008B5F96"/>
    <w:pPr>
      <w:spacing w:before="20" w:after="20"/>
    </w:pPr>
    <w:rPr>
      <w:sz w:val="20"/>
    </w:rPr>
  </w:style>
  <w:style w:type="table" w:customStyle="1" w:styleId="LightShading-Accent11">
    <w:name w:val="Light Shading - Accent 11"/>
    <w:basedOn w:val="Tablanormal"/>
    <w:uiPriority w:val="60"/>
    <w:locked/>
    <w:rsid w:val="008B5F96"/>
    <w:rPr>
      <w:rFonts w:ascii="Franklin Gothic Book" w:hAnsi="Franklin Gothic Book"/>
      <w:color w:val="2A6094"/>
    </w:rPr>
    <w:tblPr>
      <w:tblStyleRowBandSize w:val="1"/>
      <w:tblStyleColBandSize w:val="1"/>
      <w:tblBorders>
        <w:top w:val="single" w:sz="8" w:space="0" w:color="3882C6"/>
        <w:bottom w:val="single" w:sz="8" w:space="0" w:color="3882C6"/>
      </w:tblBorders>
    </w:tblPr>
    <w:tblStylePr w:type="firstRow">
      <w:pPr>
        <w:spacing w:before="0" w:after="0" w:line="240" w:lineRule="auto"/>
      </w:pPr>
      <w:rPr>
        <w:b/>
        <w:bCs/>
      </w:rPr>
      <w:tblPr/>
      <w:tcPr>
        <w:tcBorders>
          <w:top w:val="single" w:sz="8" w:space="0" w:color="3882C6"/>
          <w:left w:val="nil"/>
          <w:bottom w:val="single" w:sz="8" w:space="0" w:color="3882C6"/>
          <w:right w:val="nil"/>
          <w:insideH w:val="nil"/>
          <w:insideV w:val="nil"/>
        </w:tcBorders>
      </w:tcPr>
    </w:tblStylePr>
    <w:tblStylePr w:type="lastRow">
      <w:pPr>
        <w:spacing w:before="0" w:after="0" w:line="240" w:lineRule="auto"/>
      </w:pPr>
      <w:rPr>
        <w:b/>
        <w:bCs/>
      </w:rPr>
      <w:tblPr/>
      <w:tcPr>
        <w:tcBorders>
          <w:top w:val="single" w:sz="8" w:space="0" w:color="3882C6"/>
          <w:left w:val="nil"/>
          <w:bottom w:val="single" w:sz="8" w:space="0" w:color="3882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cPr>
    </w:tblStylePr>
    <w:tblStylePr w:type="band1Horz">
      <w:tblPr/>
      <w:tcPr>
        <w:tcBorders>
          <w:left w:val="nil"/>
          <w:right w:val="nil"/>
          <w:insideH w:val="nil"/>
          <w:insideV w:val="nil"/>
        </w:tcBorders>
        <w:shd w:val="clear" w:color="auto" w:fill="CDDFF1"/>
      </w:tcPr>
    </w:tblStylePr>
  </w:style>
  <w:style w:type="paragraph" w:customStyle="1" w:styleId="TtulodeTDC">
    <w:name w:val="Título de TDC"/>
    <w:basedOn w:val="Ttulo1"/>
    <w:next w:val="Normal"/>
    <w:uiPriority w:val="39"/>
    <w:unhideWhenUsed/>
    <w:qFormat/>
    <w:rsid w:val="008B5F96"/>
    <w:pPr>
      <w:keepLines/>
      <w:spacing w:before="480" w:line="276" w:lineRule="auto"/>
      <w:jc w:val="left"/>
      <w:outlineLvl w:val="9"/>
    </w:pPr>
    <w:rPr>
      <w:rFonts w:ascii="Cambria" w:eastAsia="SimSun" w:hAnsi="Cambria"/>
      <w:b/>
      <w:bCs/>
      <w:color w:val="365F91"/>
      <w:sz w:val="28"/>
      <w:szCs w:val="28"/>
      <w:lang w:val="es-CR" w:eastAsia="en-US"/>
    </w:rPr>
  </w:style>
  <w:style w:type="character" w:customStyle="1" w:styleId="gt-icon-text1">
    <w:name w:val="gt-icon-text1"/>
    <w:rsid w:val="008B5F96"/>
  </w:style>
  <w:style w:type="character" w:customStyle="1" w:styleId="AsuntodelcomentarioCar1">
    <w:name w:val="Asunto del comentario Car1"/>
    <w:uiPriority w:val="99"/>
    <w:semiHidden/>
    <w:rsid w:val="008B5F96"/>
    <w:rPr>
      <w:rFonts w:ascii="Franklin Gothic Book" w:eastAsia="Times New Roman" w:hAnsi="Franklin Gothic Book" w:cs="Times New Roman"/>
      <w:b/>
      <w:bCs/>
      <w:sz w:val="20"/>
      <w:szCs w:val="20"/>
      <w:lang w:val="es-ES" w:eastAsia="en-US"/>
    </w:rPr>
  </w:style>
  <w:style w:type="character" w:customStyle="1" w:styleId="Sangra3detindependienteCar1">
    <w:name w:val="Sangría 3 de t. independiente Car1"/>
    <w:uiPriority w:val="99"/>
    <w:semiHidden/>
    <w:rsid w:val="008B5F96"/>
    <w:rPr>
      <w:rFonts w:ascii="Times New Roman" w:eastAsia="Times New Roman" w:hAnsi="Times New Roman" w:cs="Times New Roman"/>
      <w:sz w:val="16"/>
      <w:szCs w:val="16"/>
      <w:lang w:val="es-CR" w:eastAsia="es-ES"/>
    </w:rPr>
  </w:style>
  <w:style w:type="paragraph" w:customStyle="1" w:styleId="mce36">
    <w:name w:val="mce36"/>
    <w:basedOn w:val="Normal"/>
    <w:rsid w:val="008B5F96"/>
    <w:pPr>
      <w:spacing w:after="375" w:line="375" w:lineRule="atLeast"/>
    </w:pPr>
    <w:rPr>
      <w:rFonts w:ascii="NimrodRegular" w:hAnsi="NimrodRegular"/>
      <w:color w:val="000000"/>
      <w:sz w:val="27"/>
      <w:szCs w:val="27"/>
      <w:lang w:val="es-CR" w:eastAsia="es-CR"/>
    </w:rPr>
  </w:style>
  <w:style w:type="table" w:customStyle="1" w:styleId="LightShading-Accent12">
    <w:name w:val="Light Shading - Accent 12"/>
    <w:basedOn w:val="TableNormal1"/>
    <w:uiPriority w:val="60"/>
    <w:rsid w:val="008B5F96"/>
    <w:rPr>
      <w:color w:val="365F91"/>
      <w:lang w:val="en-US" w:eastAsia="ja-JP"/>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amedia1-nfasis11">
    <w:name w:val="Lista media 1 - Énfasis 11"/>
    <w:basedOn w:val="Tablanormal"/>
    <w:next w:val="Tablanormal"/>
    <w:uiPriority w:val="65"/>
    <w:rsid w:val="008B5F96"/>
    <w:rPr>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paragraph" w:customStyle="1" w:styleId="Sinespaciado1">
    <w:name w:val="Sin espaciado1"/>
    <w:uiPriority w:val="1"/>
    <w:qFormat/>
    <w:rsid w:val="008B5F96"/>
    <w:rPr>
      <w:sz w:val="22"/>
      <w:szCs w:val="22"/>
      <w:lang w:val="es-ES" w:eastAsia="en-US"/>
    </w:rPr>
  </w:style>
  <w:style w:type="character" w:styleId="nfasis">
    <w:name w:val="Emphasis"/>
    <w:aliases w:val="Cursiva"/>
    <w:uiPriority w:val="20"/>
    <w:qFormat/>
    <w:rsid w:val="008B5F96"/>
    <w:rPr>
      <w:b/>
      <w:bCs/>
      <w:i w:val="0"/>
      <w:iCs w:val="0"/>
    </w:rPr>
  </w:style>
  <w:style w:type="paragraph" w:customStyle="1" w:styleId="EstiloTtuloTablaEntreSinborde">
    <w:name w:val="Estilo Título Tabla + Entre : (Sin borde)"/>
    <w:basedOn w:val="TtuloTabla"/>
    <w:locked/>
    <w:rsid w:val="008B5F96"/>
    <w:pPr>
      <w:keepNext w:val="0"/>
      <w:keepLines w:val="0"/>
      <w:pBdr>
        <w:between w:val="none" w:sz="0" w:space="0" w:color="auto"/>
      </w:pBdr>
      <w:suppressAutoHyphens w:val="0"/>
    </w:pPr>
    <w:rPr>
      <w:rFonts w:ascii="Times New Roman" w:hAnsi="Times New Roman"/>
      <w:bCs/>
      <w:color w:val="1F497D"/>
      <w:szCs w:val="20"/>
    </w:rPr>
  </w:style>
  <w:style w:type="character" w:customStyle="1" w:styleId="LetraCursivaNegrita">
    <w:name w:val="Letra Cursiva Negrita"/>
    <w:qFormat/>
    <w:rsid w:val="008B5F96"/>
    <w:rPr>
      <w:rFonts w:ascii="Arial" w:hAnsi="Arial"/>
      <w:b/>
      <w:i/>
      <w:color w:val="auto"/>
      <w:sz w:val="20"/>
      <w:szCs w:val="20"/>
      <w:u w:val="none"/>
    </w:rPr>
  </w:style>
  <w:style w:type="character" w:customStyle="1" w:styleId="TextoTablaJustificadoCar">
    <w:name w:val="Texto Tabla Justificado Car"/>
    <w:link w:val="TextoTablaJustificado"/>
    <w:uiPriority w:val="99"/>
    <w:locked/>
    <w:rsid w:val="008B5F96"/>
    <w:rPr>
      <w:rFonts w:ascii="Arial" w:eastAsia="Times New Roman" w:hAnsi="Arial"/>
      <w:snapToGrid w:val="0"/>
      <w:sz w:val="16"/>
      <w:szCs w:val="16"/>
      <w:lang w:val="es-ES_tradnl" w:eastAsia="es-ES"/>
    </w:rPr>
  </w:style>
  <w:style w:type="character" w:customStyle="1" w:styleId="LetraNegritaSubrayada">
    <w:name w:val="Letra Negrita Subrayada"/>
    <w:uiPriority w:val="1"/>
    <w:qFormat/>
    <w:rsid w:val="008B5F96"/>
    <w:rPr>
      <w:rFonts w:ascii="Arial" w:hAnsi="Arial"/>
      <w:b/>
      <w:color w:val="auto"/>
      <w:sz w:val="20"/>
      <w:u w:val="single"/>
    </w:rPr>
  </w:style>
  <w:style w:type="character" w:customStyle="1" w:styleId="TextoInicialCar">
    <w:name w:val="Texto Inicial Car"/>
    <w:link w:val="TextoInicial"/>
    <w:uiPriority w:val="99"/>
    <w:locked/>
    <w:rsid w:val="008B5F96"/>
    <w:rPr>
      <w:rFonts w:ascii="Arial" w:eastAsia="Times New Roman" w:hAnsi="Arial"/>
      <w:b/>
      <w:sz w:val="28"/>
      <w:szCs w:val="24"/>
      <w:lang w:eastAsia="en-US"/>
    </w:rPr>
  </w:style>
  <w:style w:type="character" w:customStyle="1" w:styleId="PrrafoListaNivel1Car">
    <w:name w:val="Párrafo Lista Nivel 1 Car"/>
    <w:link w:val="PrrafoListaNivel1"/>
    <w:uiPriority w:val="99"/>
    <w:locked/>
    <w:rsid w:val="008B5F96"/>
    <w:rPr>
      <w:rFonts w:ascii="Arial" w:eastAsia="Times New Roman" w:hAnsi="Arial"/>
      <w:lang w:eastAsia="en-US"/>
    </w:rPr>
  </w:style>
  <w:style w:type="table" w:customStyle="1" w:styleId="LightList-Accent21">
    <w:name w:val="Light List - Accent 21"/>
    <w:basedOn w:val="TableNormal1"/>
    <w:uiPriority w:val="61"/>
    <w:rsid w:val="008B5F96"/>
    <w:rPr>
      <w:rFonts w:eastAsia="MS Mincho"/>
      <w:lang w:val="en-US" w:eastAsia="ja-JP"/>
    </w:rPr>
    <w:tblPr>
      <w:tblStyleRowBandSize w:val="1"/>
      <w:tblStyleColBandSize w:val="1"/>
      <w:tblBorders>
        <w:top w:val="single" w:sz="8" w:space="0" w:color="1F497D"/>
        <w:left w:val="single" w:sz="8" w:space="0" w:color="1F497D"/>
        <w:bottom w:val="single" w:sz="8" w:space="0" w:color="1F497D"/>
        <w:right w:val="single" w:sz="8" w:space="0" w:color="1F497D"/>
      </w:tblBorders>
    </w:tblPr>
    <w:tblStylePr w:type="firstRow">
      <w:pPr>
        <w:spacing w:beforeLines="0" w:before="0" w:beforeAutospacing="0" w:afterLines="0" w:after="0" w:afterAutospacing="0" w:line="240" w:lineRule="auto"/>
      </w:pPr>
      <w:rPr>
        <w:b/>
        <w:bCs/>
        <w:color w:val="FFFFFF"/>
      </w:rPr>
      <w:tblPr/>
      <w:tcPr>
        <w:shd w:val="clear" w:color="auto" w:fill="1F497D"/>
      </w:tcPr>
    </w:tblStylePr>
    <w:tblStylePr w:type="lastRow">
      <w:pPr>
        <w:spacing w:beforeLines="0" w:before="0" w:beforeAutospacing="0" w:afterLines="0" w:after="0" w:afterAutospacing="0" w:line="240" w:lineRule="auto"/>
      </w:pPr>
      <w:rPr>
        <w:b/>
        <w:bCs/>
      </w:rPr>
      <w:tblPr/>
      <w:tcPr>
        <w:tcBorders>
          <w:top w:val="double" w:sz="6" w:space="0" w:color="1F497D"/>
          <w:left w:val="single" w:sz="8" w:space="0" w:color="1F497D"/>
          <w:bottom w:val="single" w:sz="8" w:space="0" w:color="1F497D"/>
          <w:right w:val="single" w:sz="8" w:space="0" w:color="1F497D"/>
        </w:tcBorders>
      </w:tcPr>
    </w:tblStylePr>
    <w:tblStylePr w:type="firstCol">
      <w:rPr>
        <w:b/>
        <w:bCs/>
      </w:rPr>
    </w:tblStylePr>
    <w:tblStylePr w:type="lastCol">
      <w:rPr>
        <w:b/>
        <w:bCs/>
      </w:rPr>
    </w:tblStylePr>
    <w:tblStylePr w:type="band1Vert">
      <w:tblPr/>
      <w:tcPr>
        <w:tcBorders>
          <w:top w:val="single" w:sz="8" w:space="0" w:color="1F497D"/>
          <w:left w:val="single" w:sz="8" w:space="0" w:color="1F497D"/>
          <w:bottom w:val="single" w:sz="8" w:space="0" w:color="1F497D"/>
          <w:right w:val="single" w:sz="8" w:space="0" w:color="1F497D"/>
        </w:tcBorders>
      </w:tcPr>
    </w:tblStylePr>
    <w:tblStylePr w:type="band1Horz">
      <w:tblPr/>
      <w:tcPr>
        <w:tcBorders>
          <w:top w:val="single" w:sz="8" w:space="0" w:color="1F497D"/>
          <w:left w:val="single" w:sz="8" w:space="0" w:color="1F497D"/>
          <w:bottom w:val="single" w:sz="8" w:space="0" w:color="1F497D"/>
          <w:right w:val="single" w:sz="8" w:space="0" w:color="1F497D"/>
        </w:tcBorders>
      </w:tcPr>
    </w:tblStylePr>
  </w:style>
  <w:style w:type="table" w:customStyle="1" w:styleId="LightShading-Accent21">
    <w:name w:val="Light Shading - Accent 21"/>
    <w:basedOn w:val="TableNormal1"/>
    <w:uiPriority w:val="60"/>
    <w:rsid w:val="008B5F96"/>
    <w:rPr>
      <w:rFonts w:ascii="Times New Roman" w:eastAsia="Times New Roman" w:hAnsi="Times New Roman"/>
      <w:color w:val="943634"/>
      <w:lang w:val="en-US" w:eastAsia="ja-JP"/>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extoTablaJustificadoMargen">
    <w:name w:val="Texto Tabla Justificado Margen"/>
    <w:basedOn w:val="TextoTablaIzquierda"/>
    <w:rsid w:val="008B5F96"/>
    <w:pPr>
      <w:keepNext w:val="0"/>
      <w:keepLines w:val="0"/>
      <w:spacing w:before="120" w:after="120"/>
      <w:ind w:left="568" w:right="170" w:hanging="284"/>
    </w:pPr>
    <w:rPr>
      <w:rFonts w:ascii="Times New Roman" w:hAnsi="Times New Roman"/>
      <w:snapToGrid/>
      <w:sz w:val="22"/>
      <w:szCs w:val="24"/>
      <w:lang w:val="es-CR" w:eastAsia="en-US"/>
    </w:rPr>
  </w:style>
  <w:style w:type="numbering" w:customStyle="1" w:styleId="Captulo">
    <w:name w:val="Capítulo"/>
    <w:locked/>
    <w:rsid w:val="008B5F96"/>
    <w:pPr>
      <w:numPr>
        <w:numId w:val="6"/>
      </w:numPr>
    </w:pPr>
  </w:style>
  <w:style w:type="paragraph" w:customStyle="1" w:styleId="EstiloPrrafoListaNivel1Negrita">
    <w:name w:val="Estilo Párrafo Lista Nivel 1 + Negrita"/>
    <w:basedOn w:val="PrrafoListaNivel1"/>
    <w:locked/>
    <w:rsid w:val="008B5F96"/>
  </w:style>
  <w:style w:type="table" w:customStyle="1" w:styleId="LightShading-Accent41">
    <w:name w:val="Light Shading - Accent 41"/>
    <w:basedOn w:val="TableNormal1"/>
    <w:uiPriority w:val="60"/>
    <w:rsid w:val="008B5F96"/>
    <w:rPr>
      <w:rFonts w:ascii="Times New Roman" w:eastAsia="Times New Roman" w:hAnsi="Times New Roman"/>
      <w:color w:val="5F497A"/>
      <w:lang w:val="en-US" w:eastAsia="ja-JP"/>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
    <w:name w:val="Light Shading - Accent 31"/>
    <w:basedOn w:val="TableNormal1"/>
    <w:uiPriority w:val="60"/>
    <w:rsid w:val="008B5F96"/>
    <w:rPr>
      <w:rFonts w:ascii="Times New Roman" w:eastAsia="Times New Roman" w:hAnsi="Times New Roman"/>
      <w:color w:val="76923C"/>
      <w:lang w:val="en-US" w:eastAsia="ja-JP"/>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TDC5">
    <w:name w:val="toc 5"/>
    <w:basedOn w:val="Normal"/>
    <w:next w:val="Normal"/>
    <w:autoRedefine/>
    <w:uiPriority w:val="39"/>
    <w:unhideWhenUsed/>
    <w:rsid w:val="008B5F96"/>
    <w:pPr>
      <w:spacing w:before="160" w:after="100" w:line="276" w:lineRule="auto"/>
      <w:ind w:left="880"/>
      <w:jc w:val="both"/>
    </w:pPr>
    <w:rPr>
      <w:rFonts w:ascii="Calibri" w:hAnsi="Calibri"/>
      <w:sz w:val="22"/>
      <w:szCs w:val="22"/>
      <w:lang w:val="es-CR" w:eastAsia="es-CR"/>
    </w:rPr>
  </w:style>
  <w:style w:type="paragraph" w:customStyle="1" w:styleId="TtuloTablaContenido">
    <w:name w:val="Título Tabla Contenido"/>
    <w:qFormat/>
    <w:rsid w:val="008B5F96"/>
    <w:pPr>
      <w:spacing w:after="360"/>
      <w:jc w:val="center"/>
    </w:pPr>
    <w:rPr>
      <w:rFonts w:ascii="Times New Roman" w:eastAsia="Times New Roman" w:hAnsi="Times New Roman"/>
      <w:b/>
      <w:sz w:val="36"/>
      <w:szCs w:val="24"/>
      <w:lang w:eastAsia="en-US"/>
    </w:rPr>
  </w:style>
  <w:style w:type="paragraph" w:customStyle="1" w:styleId="Titulodellibro">
    <w:name w:val="Titulo del libro"/>
    <w:autoRedefine/>
    <w:qFormat/>
    <w:rsid w:val="008B5F96"/>
    <w:pPr>
      <w:keepNext/>
      <w:keepLines/>
      <w:suppressAutoHyphens/>
      <w:spacing w:before="240" w:after="240"/>
      <w:jc w:val="center"/>
    </w:pPr>
    <w:rPr>
      <w:rFonts w:ascii="Times New Roman" w:eastAsia="Times New Roman" w:hAnsi="Times New Roman"/>
      <w:b/>
      <w:caps/>
      <w:sz w:val="28"/>
      <w:szCs w:val="24"/>
      <w:lang w:eastAsia="en-US"/>
    </w:rPr>
  </w:style>
  <w:style w:type="paragraph" w:customStyle="1" w:styleId="TtuloTipoServicio">
    <w:name w:val="Título Tipo Servicio"/>
    <w:basedOn w:val="Titulodellibro"/>
    <w:autoRedefine/>
    <w:qFormat/>
    <w:rsid w:val="008B5F96"/>
  </w:style>
  <w:style w:type="paragraph" w:customStyle="1" w:styleId="PortadaConfidencialidad">
    <w:name w:val="Portada Confidencialidad"/>
    <w:autoRedefine/>
    <w:qFormat/>
    <w:rsid w:val="008B5F96"/>
    <w:pPr>
      <w:jc w:val="center"/>
    </w:pPr>
    <w:rPr>
      <w:rFonts w:ascii="Arial" w:eastAsia="Times New Roman" w:hAnsi="Arial"/>
      <w:b/>
      <w:sz w:val="48"/>
      <w:szCs w:val="48"/>
      <w:lang w:eastAsia="en-US"/>
    </w:rPr>
  </w:style>
  <w:style w:type="paragraph" w:customStyle="1" w:styleId="ContraportadaConfidencialidad">
    <w:name w:val="Contraportada Confidencialidad"/>
    <w:autoRedefine/>
    <w:qFormat/>
    <w:rsid w:val="008B5F96"/>
    <w:pPr>
      <w:mirrorIndents/>
      <w:jc w:val="center"/>
    </w:pPr>
    <w:rPr>
      <w:rFonts w:ascii="Arial" w:eastAsia="Times New Roman" w:hAnsi="Arial"/>
      <w:b/>
      <w:caps/>
      <w:sz w:val="44"/>
      <w:szCs w:val="48"/>
      <w:lang w:eastAsia="en-US"/>
    </w:rPr>
  </w:style>
  <w:style w:type="paragraph" w:styleId="TDC6">
    <w:name w:val="toc 6"/>
    <w:basedOn w:val="Normal"/>
    <w:next w:val="Normal"/>
    <w:autoRedefine/>
    <w:uiPriority w:val="39"/>
    <w:unhideWhenUsed/>
    <w:rsid w:val="008B5F96"/>
    <w:pPr>
      <w:spacing w:before="160" w:after="100" w:line="276" w:lineRule="auto"/>
      <w:ind w:left="1100"/>
      <w:jc w:val="both"/>
    </w:pPr>
    <w:rPr>
      <w:rFonts w:ascii="Calibri" w:hAnsi="Calibri"/>
      <w:sz w:val="22"/>
      <w:szCs w:val="22"/>
      <w:lang w:val="es-CR" w:eastAsia="es-CR"/>
    </w:rPr>
  </w:style>
  <w:style w:type="paragraph" w:styleId="TDC7">
    <w:name w:val="toc 7"/>
    <w:basedOn w:val="Normal"/>
    <w:next w:val="Normal"/>
    <w:autoRedefine/>
    <w:uiPriority w:val="39"/>
    <w:unhideWhenUsed/>
    <w:rsid w:val="008B5F96"/>
    <w:pPr>
      <w:spacing w:before="160" w:after="100" w:line="276" w:lineRule="auto"/>
      <w:ind w:left="1320"/>
      <w:jc w:val="both"/>
    </w:pPr>
    <w:rPr>
      <w:rFonts w:ascii="Calibri" w:hAnsi="Calibri"/>
      <w:sz w:val="22"/>
      <w:szCs w:val="22"/>
      <w:lang w:val="es-CR" w:eastAsia="es-CR"/>
    </w:rPr>
  </w:style>
  <w:style w:type="paragraph" w:styleId="TDC8">
    <w:name w:val="toc 8"/>
    <w:basedOn w:val="Normal"/>
    <w:next w:val="Normal"/>
    <w:autoRedefine/>
    <w:uiPriority w:val="39"/>
    <w:unhideWhenUsed/>
    <w:rsid w:val="008B5F96"/>
    <w:pPr>
      <w:spacing w:before="160" w:after="100" w:line="276" w:lineRule="auto"/>
      <w:ind w:left="1540"/>
      <w:jc w:val="both"/>
    </w:pPr>
    <w:rPr>
      <w:rFonts w:ascii="Calibri" w:hAnsi="Calibri"/>
      <w:sz w:val="22"/>
      <w:szCs w:val="22"/>
      <w:lang w:val="es-CR" w:eastAsia="es-CR"/>
    </w:rPr>
  </w:style>
  <w:style w:type="paragraph" w:styleId="TDC9">
    <w:name w:val="toc 9"/>
    <w:basedOn w:val="Normal"/>
    <w:next w:val="Normal"/>
    <w:autoRedefine/>
    <w:uiPriority w:val="39"/>
    <w:unhideWhenUsed/>
    <w:rsid w:val="008B5F96"/>
    <w:pPr>
      <w:spacing w:before="160" w:after="100" w:line="276" w:lineRule="auto"/>
      <w:ind w:left="1760"/>
      <w:jc w:val="both"/>
    </w:pPr>
    <w:rPr>
      <w:rFonts w:ascii="Calibri" w:hAnsi="Calibri"/>
      <w:sz w:val="22"/>
      <w:szCs w:val="22"/>
      <w:lang w:val="es-CR" w:eastAsia="es-CR"/>
    </w:rPr>
  </w:style>
  <w:style w:type="table" w:customStyle="1" w:styleId="TablaBase">
    <w:name w:val="Tabla Base"/>
    <w:basedOn w:val="Tablanormal"/>
    <w:uiPriority w:val="99"/>
    <w:locked/>
    <w:rsid w:val="008B5F96"/>
    <w:rPr>
      <w:rFonts w:ascii="Arial" w:eastAsia="Times New Roman"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tblPr/>
      <w:trPr>
        <w:tblHeader/>
      </w:trPr>
      <w:tcPr>
        <w:tcBorders>
          <w:insideH w:val="single" w:sz="4" w:space="0" w:color="FFFFFF"/>
          <w:insideV w:val="single" w:sz="4" w:space="0" w:color="FFFFFF"/>
        </w:tcBorders>
        <w:shd w:val="clear" w:color="auto" w:fill="4082E2"/>
      </w:tcPr>
    </w:tblStylePr>
  </w:style>
  <w:style w:type="table" w:styleId="Sombreadoclaro">
    <w:name w:val="Light Shading"/>
    <w:basedOn w:val="Tablanormal"/>
    <w:uiPriority w:val="60"/>
    <w:rsid w:val="008B5F96"/>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LetraTablaCursivaNegrita">
    <w:name w:val="Letra Tabla Cursiva Negrita"/>
    <w:uiPriority w:val="1"/>
    <w:qFormat/>
    <w:rsid w:val="008B5F96"/>
    <w:rPr>
      <w:rFonts w:ascii="Times New Roman" w:hAnsi="Times New Roman"/>
      <w:b/>
      <w:i/>
      <w:sz w:val="22"/>
    </w:rPr>
  </w:style>
  <w:style w:type="character" w:customStyle="1" w:styleId="LetraTablaNegritaSubrayada">
    <w:name w:val="Letra Tabla Negrita Subrayada"/>
    <w:uiPriority w:val="1"/>
    <w:qFormat/>
    <w:rsid w:val="008B5F96"/>
    <w:rPr>
      <w:rFonts w:ascii="Times New Roman" w:hAnsi="Times New Roman"/>
      <w:b/>
      <w:sz w:val="22"/>
      <w:u w:val="single"/>
    </w:rPr>
  </w:style>
  <w:style w:type="paragraph" w:customStyle="1" w:styleId="Normalcentrado">
    <w:name w:val="Normal centrado"/>
    <w:basedOn w:val="Normal"/>
    <w:qFormat/>
    <w:rsid w:val="008B5F96"/>
    <w:pPr>
      <w:spacing w:before="160" w:after="160"/>
      <w:jc w:val="center"/>
    </w:pPr>
    <w:rPr>
      <w:rFonts w:ascii="Arial" w:hAnsi="Arial"/>
      <w:szCs w:val="24"/>
      <w:lang w:val="es-CR" w:eastAsia="en-US"/>
    </w:rPr>
  </w:style>
  <w:style w:type="paragraph" w:customStyle="1" w:styleId="TablaJustificadoMargen">
    <w:name w:val="Tabla Justificado Margen"/>
    <w:basedOn w:val="TextoTablaJustificado"/>
    <w:rsid w:val="008B5F96"/>
    <w:pPr>
      <w:keepNext w:val="0"/>
      <w:keepLines w:val="0"/>
      <w:spacing w:before="120" w:after="120"/>
      <w:ind w:left="170" w:right="170"/>
    </w:pPr>
    <w:rPr>
      <w:rFonts w:ascii="Times New Roman" w:hAnsi="Times New Roman"/>
      <w:snapToGrid/>
      <w:position w:val="-20"/>
      <w:sz w:val="22"/>
      <w:szCs w:val="20"/>
      <w:lang w:val="es-CR" w:eastAsia="en-US"/>
    </w:rPr>
  </w:style>
  <w:style w:type="paragraph" w:customStyle="1" w:styleId="ContraportadaTipo">
    <w:name w:val="Contraportada Tipo"/>
    <w:rsid w:val="008B5F96"/>
    <w:pPr>
      <w:spacing w:after="240"/>
      <w:jc w:val="center"/>
    </w:pPr>
    <w:rPr>
      <w:rFonts w:ascii="Arial" w:eastAsia="Times New Roman" w:hAnsi="Arial"/>
      <w:b/>
      <w:caps/>
      <w:spacing w:val="70"/>
      <w:sz w:val="26"/>
      <w:szCs w:val="26"/>
      <w:lang w:eastAsia="en-US"/>
    </w:rPr>
  </w:style>
  <w:style w:type="paragraph" w:customStyle="1" w:styleId="PrrafoListaNivel3">
    <w:name w:val="Párrafo Lista Nivel 3"/>
    <w:basedOn w:val="Normal"/>
    <w:qFormat/>
    <w:rsid w:val="008B5F96"/>
    <w:pPr>
      <w:spacing w:before="160" w:after="160"/>
      <w:ind w:left="1077"/>
      <w:jc w:val="both"/>
    </w:pPr>
    <w:rPr>
      <w:rFonts w:ascii="Arial" w:hAnsi="Arial"/>
      <w:szCs w:val="24"/>
      <w:lang w:val="es-CR" w:eastAsia="en-US"/>
    </w:rPr>
  </w:style>
  <w:style w:type="paragraph" w:customStyle="1" w:styleId="PrrafoTtulosNegritaCentrada">
    <w:name w:val="Párrafo Títulos Negrita Centrada"/>
    <w:basedOn w:val="Normal"/>
    <w:next w:val="Normal"/>
    <w:rsid w:val="008B5F96"/>
    <w:pPr>
      <w:spacing w:before="160" w:after="160"/>
      <w:jc w:val="center"/>
    </w:pPr>
    <w:rPr>
      <w:rFonts w:ascii="Arial" w:hAnsi="Arial"/>
      <w:b/>
      <w:lang w:val="es-CR" w:eastAsia="en-US"/>
    </w:rPr>
  </w:style>
  <w:style w:type="paragraph" w:customStyle="1" w:styleId="PortadaTipoLibro">
    <w:name w:val="Portada Tipo Libro"/>
    <w:rsid w:val="008B5F96"/>
    <w:pPr>
      <w:spacing w:after="240"/>
      <w:jc w:val="center"/>
    </w:pPr>
    <w:rPr>
      <w:rFonts w:ascii="Arial" w:eastAsia="Times New Roman" w:hAnsi="Arial"/>
      <w:b/>
      <w:caps/>
      <w:color w:val="1C4598"/>
      <w:spacing w:val="130"/>
      <w:sz w:val="32"/>
      <w:szCs w:val="32"/>
      <w:lang w:eastAsia="en-US"/>
    </w:rPr>
  </w:style>
  <w:style w:type="paragraph" w:customStyle="1" w:styleId="TextoJustificadoTabla">
    <w:name w:val="Texto Justificado Tabla"/>
    <w:basedOn w:val="Normal"/>
    <w:rsid w:val="008B5F96"/>
    <w:pPr>
      <w:spacing w:before="60" w:after="60"/>
      <w:ind w:left="57" w:right="57"/>
      <w:jc w:val="both"/>
    </w:pPr>
    <w:rPr>
      <w:rFonts w:ascii="Arial" w:hAnsi="Arial"/>
      <w:snapToGrid w:val="0"/>
      <w:sz w:val="16"/>
      <w:szCs w:val="16"/>
      <w:lang w:val="es-ES_tradnl"/>
    </w:rPr>
  </w:style>
  <w:style w:type="paragraph" w:customStyle="1" w:styleId="TextoJustificadoComprimidoTabla">
    <w:name w:val="Texto Justificado Comprimido Tabla"/>
    <w:basedOn w:val="TextoJustificadoTabla"/>
    <w:rsid w:val="008B5F96"/>
    <w:pPr>
      <w:ind w:left="14" w:right="14"/>
    </w:pPr>
    <w:rPr>
      <w:spacing w:val="-12"/>
    </w:rPr>
  </w:style>
  <w:style w:type="paragraph" w:customStyle="1" w:styleId="TextoCentradoComprimidoTabla">
    <w:name w:val="Texto Centrado Comprimido Tabla"/>
    <w:basedOn w:val="TextoJustificadoComprimidoTabla"/>
    <w:rsid w:val="008B5F96"/>
    <w:pPr>
      <w:jc w:val="center"/>
    </w:pPr>
  </w:style>
  <w:style w:type="paragraph" w:customStyle="1" w:styleId="TextoCentradoNegritaComprimidoTabla">
    <w:name w:val="Texto Centrado Negrita Comprimido Tabla"/>
    <w:basedOn w:val="TextoJustificadoComprimidoTabla"/>
    <w:rsid w:val="008B5F96"/>
    <w:pPr>
      <w:jc w:val="center"/>
    </w:pPr>
    <w:rPr>
      <w:b/>
    </w:rPr>
  </w:style>
  <w:style w:type="paragraph" w:customStyle="1" w:styleId="TextoCentradoNegritaTabla">
    <w:name w:val="Texto Centrado Negrita Tabla"/>
    <w:basedOn w:val="TextoJustificadoTabla"/>
    <w:rsid w:val="008B5F96"/>
    <w:pPr>
      <w:jc w:val="center"/>
    </w:pPr>
    <w:rPr>
      <w:b/>
    </w:rPr>
  </w:style>
  <w:style w:type="paragraph" w:customStyle="1" w:styleId="TextoCentradoTabla">
    <w:name w:val="Texto Centrado Tabla"/>
    <w:basedOn w:val="TextoJustificadoTabla"/>
    <w:rsid w:val="008B5F96"/>
    <w:pPr>
      <w:jc w:val="center"/>
    </w:pPr>
  </w:style>
  <w:style w:type="paragraph" w:customStyle="1" w:styleId="TextoComprimidoTabla">
    <w:name w:val="Texto Comprimido Tabla"/>
    <w:basedOn w:val="Normal"/>
    <w:rsid w:val="008B5F96"/>
    <w:pPr>
      <w:spacing w:before="60" w:after="60"/>
      <w:ind w:left="14" w:right="14"/>
      <w:jc w:val="both"/>
    </w:pPr>
    <w:rPr>
      <w:rFonts w:ascii="Arial" w:hAnsi="Arial"/>
      <w:snapToGrid w:val="0"/>
      <w:spacing w:val="-12"/>
      <w:sz w:val="16"/>
      <w:szCs w:val="16"/>
      <w:lang w:val="es-ES_tradnl"/>
    </w:rPr>
  </w:style>
  <w:style w:type="paragraph" w:customStyle="1" w:styleId="TextoDerechaComprimidoTabla">
    <w:name w:val="Texto Derecha Comprimido Tabla"/>
    <w:basedOn w:val="TextoJustificadoComprimidoTabla"/>
    <w:rsid w:val="008B5F96"/>
    <w:pPr>
      <w:jc w:val="right"/>
    </w:pPr>
  </w:style>
  <w:style w:type="paragraph" w:customStyle="1" w:styleId="TextoDerechaTabla">
    <w:name w:val="Texto Derecha Tabla"/>
    <w:basedOn w:val="TextoJustificadoTabla"/>
    <w:rsid w:val="008B5F96"/>
    <w:pPr>
      <w:jc w:val="right"/>
    </w:pPr>
  </w:style>
  <w:style w:type="paragraph" w:customStyle="1" w:styleId="TextoIzquierdaComprimidoTabla">
    <w:name w:val="Texto Izquierda Comprimido Tabla"/>
    <w:basedOn w:val="TextoJustificadoComprimidoTabla"/>
    <w:rsid w:val="008B5F96"/>
    <w:pPr>
      <w:jc w:val="left"/>
    </w:pPr>
  </w:style>
  <w:style w:type="paragraph" w:customStyle="1" w:styleId="TextoIzquierdaTabla">
    <w:name w:val="Texto Izquierda Tabla"/>
    <w:basedOn w:val="TextoJustificadoTabla"/>
    <w:rsid w:val="008B5F96"/>
    <w:pPr>
      <w:jc w:val="left"/>
    </w:pPr>
  </w:style>
  <w:style w:type="paragraph" w:customStyle="1" w:styleId="TextoJustificadoNegritaComprimidoTabla">
    <w:name w:val="Texto Justificado Negrita Comprimido Tabla"/>
    <w:basedOn w:val="TextoJustificadoComprimidoTabla"/>
    <w:rsid w:val="008B5F96"/>
    <w:rPr>
      <w:b/>
    </w:rPr>
  </w:style>
  <w:style w:type="paragraph" w:customStyle="1" w:styleId="TextoJustificadoNegritaTabla">
    <w:name w:val="Texto Justificado Negrita Tabla"/>
    <w:basedOn w:val="TextoJustificadoTabla"/>
    <w:rsid w:val="008B5F96"/>
    <w:rPr>
      <w:b/>
    </w:rPr>
  </w:style>
  <w:style w:type="paragraph" w:customStyle="1" w:styleId="Titulo">
    <w:name w:val="Titulo"/>
    <w:autoRedefine/>
    <w:rsid w:val="008B5F96"/>
    <w:pPr>
      <w:keepNext/>
      <w:keepLines/>
      <w:suppressAutoHyphens/>
      <w:spacing w:before="120" w:after="240"/>
      <w:jc w:val="center"/>
    </w:pPr>
    <w:rPr>
      <w:rFonts w:ascii="Arial" w:eastAsia="Times New Roman" w:hAnsi="Arial"/>
      <w:b/>
      <w:caps/>
      <w:sz w:val="28"/>
      <w:szCs w:val="24"/>
      <w:lang w:eastAsia="en-US"/>
    </w:rPr>
  </w:style>
  <w:style w:type="character" w:styleId="Ttulodellibro">
    <w:name w:val="Book Title"/>
    <w:uiPriority w:val="33"/>
    <w:qFormat/>
    <w:rsid w:val="008B5F96"/>
    <w:rPr>
      <w:b/>
      <w:bCs/>
      <w:smallCaps/>
      <w:spacing w:val="5"/>
    </w:rPr>
  </w:style>
  <w:style w:type="paragraph" w:styleId="ndice1">
    <w:name w:val="index 1"/>
    <w:basedOn w:val="Normal"/>
    <w:next w:val="Normal"/>
    <w:autoRedefine/>
    <w:uiPriority w:val="99"/>
    <w:semiHidden/>
    <w:unhideWhenUsed/>
    <w:rsid w:val="008B5F96"/>
    <w:pPr>
      <w:ind w:left="200" w:hanging="200"/>
    </w:pPr>
    <w:rPr>
      <w:rFonts w:ascii="Arial" w:hAnsi="Arial"/>
      <w:szCs w:val="24"/>
      <w:lang w:val="es-CR" w:eastAsia="en-US"/>
    </w:rPr>
  </w:style>
  <w:style w:type="paragraph" w:styleId="Ttulodendice">
    <w:name w:val="index heading"/>
    <w:basedOn w:val="Normal"/>
    <w:next w:val="ndice1"/>
    <w:uiPriority w:val="99"/>
    <w:unhideWhenUsed/>
    <w:qFormat/>
    <w:rsid w:val="008B5F96"/>
    <w:pPr>
      <w:spacing w:before="160" w:after="160"/>
      <w:jc w:val="both"/>
    </w:pPr>
    <w:rPr>
      <w:rFonts w:ascii="Cambria" w:hAnsi="Cambria"/>
      <w:b/>
      <w:bCs/>
      <w:szCs w:val="24"/>
      <w:lang w:val="es-CR" w:eastAsia="en-US"/>
    </w:rPr>
  </w:style>
  <w:style w:type="table" w:customStyle="1" w:styleId="TablaEstilo2">
    <w:name w:val="Tabla Estilo2"/>
    <w:basedOn w:val="Tablanormal"/>
    <w:uiPriority w:val="99"/>
    <w:rsid w:val="008B5F96"/>
    <w:rPr>
      <w:rFonts w:ascii="Arial" w:eastAsia="Times New Roman" w:hAnsi="Arial"/>
      <w:sz w:val="1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shd w:val="clear" w:color="auto" w:fill="FFFFFF"/>
      <w:vAlign w:val="center"/>
    </w:tcPr>
    <w:tblStylePr w:type="firstRow">
      <w:pPr>
        <w:jc w:val="center"/>
      </w:pPr>
      <w:rPr>
        <w:rFonts w:ascii="Arial" w:hAnsi="Arial"/>
        <w:color w:val="FFFFFF"/>
        <w:sz w:val="18"/>
      </w:rPr>
      <w:tblPr/>
      <w:tcPr>
        <w:tcBorders>
          <w:insideH w:val="single" w:sz="8" w:space="0" w:color="FFFFFF"/>
          <w:insideV w:val="single" w:sz="8" w:space="0" w:color="FFFFFF"/>
        </w:tcBorders>
        <w:shd w:val="clear" w:color="auto" w:fill="4082E2"/>
      </w:tcPr>
    </w:tblStylePr>
  </w:style>
  <w:style w:type="table" w:customStyle="1" w:styleId="TablaEstilo1">
    <w:name w:val="Tabla Estilo1"/>
    <w:basedOn w:val="Tablanormal"/>
    <w:uiPriority w:val="99"/>
    <w:rsid w:val="008B5F96"/>
    <w:rPr>
      <w:rFonts w:ascii="Arial" w:eastAsia="Times New Roman"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rPr>
        <w:rFonts w:ascii="Arial" w:hAnsi="Arial"/>
        <w:b/>
        <w:i w:val="0"/>
        <w:color w:val="FFFFFF"/>
        <w:sz w:val="18"/>
      </w:rPr>
      <w:tblPr/>
      <w:tcPr>
        <w:tcBorders>
          <w:insideH w:val="single" w:sz="4" w:space="0" w:color="FFFFFF"/>
          <w:insideV w:val="single" w:sz="4" w:space="0" w:color="FFFFFF"/>
        </w:tcBorders>
        <w:shd w:val="clear" w:color="auto" w:fill="4082E2"/>
      </w:tcPr>
    </w:tblStylePr>
    <w:tblStylePr w:type="lastRow">
      <w:rPr>
        <w:b w:val="0"/>
      </w:rPr>
    </w:tblStylePr>
  </w:style>
  <w:style w:type="table" w:customStyle="1" w:styleId="TablaEstilo3">
    <w:name w:val="Tabla Estilo3"/>
    <w:basedOn w:val="Tablanormal"/>
    <w:uiPriority w:val="99"/>
    <w:rsid w:val="008B5F96"/>
    <w:rPr>
      <w:rFonts w:ascii="Arial" w:eastAsia="Times New Roman" w:hAnsi="Arial"/>
      <w:sz w:val="1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rPr>
      <w:tblHeader/>
    </w:trPr>
    <w:tcPr>
      <w:shd w:val="clear" w:color="auto" w:fill="4082E2"/>
      <w:vAlign w:val="center"/>
    </w:tcPr>
    <w:tblStylePr w:type="lastRow">
      <w:tblPr/>
      <w:tcPr>
        <w:shd w:val="clear" w:color="auto" w:fill="FFFFFF"/>
      </w:tcPr>
    </w:tblStylePr>
  </w:style>
  <w:style w:type="table" w:styleId="Tablacontema">
    <w:name w:val="Table Theme"/>
    <w:basedOn w:val="Tablanormal"/>
    <w:unhideWhenUsed/>
    <w:rsid w:val="008B5F96"/>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NotaPie">
    <w:name w:val="Ref. Nota Pie"/>
    <w:link w:val="RefNotaPieCar"/>
    <w:autoRedefine/>
    <w:rsid w:val="008B5F96"/>
    <w:rPr>
      <w:rFonts w:ascii="Arial" w:eastAsia="Times New Roman" w:hAnsi="Arial"/>
      <w:b/>
      <w:bCs/>
      <w:snapToGrid w:val="0"/>
      <w:vertAlign w:val="superscript"/>
      <w:lang w:val="es-ES_tradnl" w:eastAsia="es-ES"/>
    </w:rPr>
  </w:style>
  <w:style w:type="character" w:customStyle="1" w:styleId="RefNotaPieCar">
    <w:name w:val="Ref. Nota Pie Car"/>
    <w:link w:val="RefNotaPie"/>
    <w:rsid w:val="008B5F96"/>
    <w:rPr>
      <w:rFonts w:ascii="Arial" w:eastAsia="Times New Roman" w:hAnsi="Arial"/>
      <w:b/>
      <w:bCs/>
      <w:snapToGrid w:val="0"/>
      <w:vertAlign w:val="superscript"/>
      <w:lang w:val="es-ES_tradnl" w:eastAsia="es-ES"/>
    </w:rPr>
  </w:style>
  <w:style w:type="paragraph" w:customStyle="1" w:styleId="ListaNivel3">
    <w:name w:val="Lista Nivel 3"/>
    <w:link w:val="ListaNivel3Car"/>
    <w:qFormat/>
    <w:rsid w:val="008B5F96"/>
    <w:pPr>
      <w:numPr>
        <w:numId w:val="5"/>
      </w:numPr>
      <w:suppressAutoHyphens/>
      <w:spacing w:before="160" w:after="160"/>
    </w:pPr>
    <w:rPr>
      <w:rFonts w:ascii="Arial" w:eastAsia="Times New Roman" w:hAnsi="Arial"/>
      <w:snapToGrid w:val="0"/>
      <w:lang w:eastAsia="es-ES"/>
    </w:rPr>
  </w:style>
  <w:style w:type="character" w:customStyle="1" w:styleId="ListaNivel3Car">
    <w:name w:val="Lista Nivel 3 Car"/>
    <w:link w:val="ListaNivel3"/>
    <w:rsid w:val="008B5F96"/>
    <w:rPr>
      <w:rFonts w:ascii="Arial" w:eastAsia="Times New Roman" w:hAnsi="Arial"/>
      <w:snapToGrid w:val="0"/>
      <w:lang w:eastAsia="es-ES"/>
    </w:rPr>
  </w:style>
  <w:style w:type="paragraph" w:customStyle="1" w:styleId="PrrafoTtulosCentrado">
    <w:name w:val="Párrafo Títulos Centrado"/>
    <w:next w:val="Normal"/>
    <w:qFormat/>
    <w:rsid w:val="008B5F96"/>
    <w:pPr>
      <w:spacing w:before="240" w:after="240"/>
      <w:jc w:val="center"/>
    </w:pPr>
    <w:rPr>
      <w:rFonts w:ascii="Arial" w:eastAsia="Times New Roman" w:hAnsi="Arial"/>
      <w:szCs w:val="24"/>
      <w:lang w:eastAsia="en-US"/>
    </w:rPr>
  </w:style>
  <w:style w:type="paragraph" w:customStyle="1" w:styleId="TablaBsica2">
    <w:name w:val="Tabla Básica 2"/>
    <w:basedOn w:val="Normal"/>
    <w:qFormat/>
    <w:locked/>
    <w:rsid w:val="008B5F96"/>
    <w:pPr>
      <w:pBdr>
        <w:between w:val="single" w:sz="4" w:space="1" w:color="FFFFFF"/>
      </w:pBdr>
      <w:spacing w:before="120" w:after="120"/>
      <w:jc w:val="center"/>
    </w:pPr>
    <w:rPr>
      <w:rFonts w:ascii="Arial" w:hAnsi="Arial"/>
      <w:b/>
      <w:color w:val="FFFFFF"/>
      <w:szCs w:val="24"/>
      <w:lang w:val="es-CR" w:eastAsia="en-US"/>
    </w:rPr>
  </w:style>
  <w:style w:type="character" w:customStyle="1" w:styleId="ListaNivel1Car">
    <w:name w:val="Lista Nivel 1 Car"/>
    <w:link w:val="ListaNivel1"/>
    <w:rsid w:val="008B5F96"/>
    <w:rPr>
      <w:rFonts w:ascii="Arial" w:eastAsia="Times New Roman" w:hAnsi="Arial"/>
      <w:snapToGrid w:val="0"/>
      <w:lang w:val="es-ES_tradnl" w:eastAsia="es-ES"/>
    </w:rPr>
  </w:style>
  <w:style w:type="character" w:customStyle="1" w:styleId="ListaNivel2Car">
    <w:name w:val="Lista Nivel 2 Car"/>
    <w:link w:val="ListaNivel2"/>
    <w:uiPriority w:val="99"/>
    <w:rsid w:val="008B5F96"/>
    <w:rPr>
      <w:rFonts w:ascii="Arial" w:eastAsia="Times New Roman" w:hAnsi="Arial"/>
      <w:snapToGrid w:val="0"/>
      <w:lang w:val="es-ES_tradnl" w:eastAsia="es-ES"/>
    </w:rPr>
  </w:style>
  <w:style w:type="character" w:customStyle="1" w:styleId="ListaVietasCar">
    <w:name w:val="Lista Viñetas Car"/>
    <w:link w:val="ListaVietas"/>
    <w:uiPriority w:val="99"/>
    <w:rsid w:val="008B5F96"/>
    <w:rPr>
      <w:rFonts w:ascii="Arial" w:eastAsia="Times New Roman" w:hAnsi="Arial"/>
      <w:snapToGrid w:val="0"/>
      <w:lang w:eastAsia="en-US"/>
    </w:rPr>
  </w:style>
  <w:style w:type="character" w:customStyle="1" w:styleId="Ttulo2Car1">
    <w:name w:val="Título 2 Car1"/>
    <w:aliases w:val="CAPÍTULO Car1,Car10 Car1"/>
    <w:semiHidden/>
    <w:rsid w:val="008B5F96"/>
    <w:rPr>
      <w:rFonts w:ascii="Cambria" w:eastAsia="Times New Roman" w:hAnsi="Cambria" w:cs="Times New Roman"/>
      <w:color w:val="365F91"/>
      <w:sz w:val="26"/>
      <w:szCs w:val="26"/>
      <w:lang w:eastAsia="es-ES"/>
    </w:rPr>
  </w:style>
  <w:style w:type="character" w:customStyle="1" w:styleId="PuestoCar">
    <w:name w:val="Puesto Car"/>
    <w:uiPriority w:val="99"/>
    <w:rsid w:val="008B5F96"/>
    <w:rPr>
      <w:rFonts w:ascii="Times New Roman" w:eastAsia="Times New Roman" w:hAnsi="Times New Roman"/>
      <w:b/>
      <w:sz w:val="32"/>
      <w:lang w:val="es-ES_tradnl" w:eastAsia="es-ES"/>
    </w:rPr>
  </w:style>
  <w:style w:type="character" w:customStyle="1" w:styleId="SangradetextonormalCar1">
    <w:name w:val="Sangría de texto normal Car1"/>
    <w:aliases w:val="Sangría de t. independiente Car1"/>
    <w:uiPriority w:val="99"/>
    <w:semiHidden/>
    <w:rsid w:val="008B5F96"/>
    <w:rPr>
      <w:rFonts w:ascii="Times New Roman" w:eastAsia="Times New Roman" w:hAnsi="Times New Roman"/>
      <w:lang w:eastAsia="es-ES"/>
    </w:rPr>
  </w:style>
  <w:style w:type="character" w:customStyle="1" w:styleId="textoCar0">
    <w:name w:val="texto Car"/>
    <w:link w:val="texto0"/>
    <w:locked/>
    <w:rsid w:val="008B5F96"/>
    <w:rPr>
      <w:rFonts w:ascii="Arial" w:eastAsia="Times New Roman" w:hAnsi="Arial"/>
      <w:color w:val="000000"/>
      <w:sz w:val="22"/>
      <w:szCs w:val="18"/>
      <w:lang w:eastAsia="en-US"/>
    </w:rPr>
  </w:style>
  <w:style w:type="character" w:customStyle="1" w:styleId="DescripcinCar">
    <w:name w:val="Descripción Car"/>
    <w:uiPriority w:val="35"/>
    <w:rsid w:val="008B5F96"/>
    <w:rPr>
      <w:rFonts w:ascii="Times New Roman" w:eastAsia="Times New Roman" w:hAnsi="Times New Roman"/>
      <w:i/>
      <w:sz w:val="24"/>
      <w:lang w:val="es-ES_tradnl" w:eastAsia="es-ES"/>
    </w:rPr>
  </w:style>
  <w:style w:type="table" w:customStyle="1" w:styleId="Tabladelista3-nfasis11">
    <w:name w:val="Tabla de lista 3 - Énfasis 11"/>
    <w:basedOn w:val="Tablanormal"/>
    <w:uiPriority w:val="48"/>
    <w:rsid w:val="008B5F96"/>
    <w:rPr>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ghtList-Accent41">
    <w:name w:val="Light List - Accent 41"/>
    <w:basedOn w:val="TableNormal1"/>
    <w:uiPriority w:val="61"/>
    <w:rsid w:val="008B5F96"/>
    <w:rPr>
      <w:rFonts w:ascii="Times New Roman" w:eastAsia="Times New Roman" w:hAnsi="Times New Roman"/>
      <w:lang w:val="en-US" w:eastAsia="ja-JP"/>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1"/>
    <w:uiPriority w:val="61"/>
    <w:rsid w:val="008B5F96"/>
    <w:rPr>
      <w:rFonts w:ascii="Times New Roman" w:eastAsia="Times New Roman" w:hAnsi="Times New Roman"/>
      <w:lang w:val="en-US" w:eastAsia="ja-JP"/>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styleId="Lista3">
    <w:name w:val="List 3"/>
    <w:basedOn w:val="Normal"/>
    <w:unhideWhenUsed/>
    <w:rsid w:val="008B5F96"/>
    <w:pPr>
      <w:spacing w:after="200" w:line="276" w:lineRule="auto"/>
      <w:ind w:left="849" w:hanging="283"/>
      <w:contextualSpacing/>
    </w:pPr>
    <w:rPr>
      <w:rFonts w:ascii="Calibri" w:eastAsia="Calibri" w:hAnsi="Calibri"/>
      <w:sz w:val="22"/>
      <w:szCs w:val="22"/>
      <w:lang w:val="es-CR" w:eastAsia="en-US"/>
    </w:rPr>
  </w:style>
  <w:style w:type="paragraph" w:customStyle="1" w:styleId="Portada">
    <w:name w:val="Portada"/>
    <w:basedOn w:val="Normal"/>
    <w:link w:val="PortadaCar"/>
    <w:qFormat/>
    <w:rsid w:val="008B5F96"/>
    <w:pPr>
      <w:jc w:val="both"/>
    </w:pPr>
    <w:rPr>
      <w:rFonts w:ascii="Franklin Gothic Medium" w:hAnsi="Franklin Gothic Medium" w:cs="Arial"/>
      <w:color w:val="265884"/>
      <w:sz w:val="48"/>
      <w:szCs w:val="48"/>
      <w:lang w:val="es-CR" w:eastAsia="es-CR"/>
    </w:rPr>
  </w:style>
  <w:style w:type="character" w:customStyle="1" w:styleId="PortadaCar">
    <w:name w:val="Portada Car"/>
    <w:link w:val="Portada"/>
    <w:rsid w:val="008B5F96"/>
    <w:rPr>
      <w:rFonts w:ascii="Franklin Gothic Medium" w:eastAsia="Times New Roman" w:hAnsi="Franklin Gothic Medium" w:cs="Arial"/>
      <w:color w:val="265884"/>
      <w:sz w:val="48"/>
      <w:szCs w:val="48"/>
    </w:rPr>
  </w:style>
  <w:style w:type="table" w:customStyle="1" w:styleId="Tabladecuadrcula6concolores-nfasis5">
    <w:name w:val="Tabla de cuadrícula 6 con colores - Énfasis 5"/>
    <w:basedOn w:val="Tablanormal"/>
    <w:uiPriority w:val="51"/>
    <w:rsid w:val="008B5F96"/>
    <w:rPr>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MTDisplayEquation">
    <w:name w:val="MTDisplayEquation"/>
    <w:basedOn w:val="Normal"/>
    <w:next w:val="Normal"/>
    <w:link w:val="MTDisplayEquationCar"/>
    <w:rsid w:val="008B5F96"/>
    <w:pPr>
      <w:tabs>
        <w:tab w:val="center" w:pos="4420"/>
        <w:tab w:val="right" w:pos="8840"/>
      </w:tabs>
      <w:spacing w:after="200" w:line="276" w:lineRule="auto"/>
      <w:jc w:val="both"/>
    </w:pPr>
    <w:rPr>
      <w:rFonts w:ascii="Calibri" w:eastAsia="Calibri" w:hAnsi="Calibri"/>
      <w:noProof/>
      <w:sz w:val="22"/>
      <w:szCs w:val="22"/>
      <w:lang w:val="es-CR" w:eastAsia="es-CR"/>
    </w:rPr>
  </w:style>
  <w:style w:type="character" w:customStyle="1" w:styleId="MTDisplayEquationCar">
    <w:name w:val="MTDisplayEquation Car"/>
    <w:link w:val="MTDisplayEquation"/>
    <w:rsid w:val="008B5F96"/>
    <w:rPr>
      <w:noProof/>
      <w:sz w:val="22"/>
      <w:szCs w:val="22"/>
    </w:rPr>
  </w:style>
  <w:style w:type="paragraph" w:customStyle="1" w:styleId="Estilo1">
    <w:name w:val="Estilo1"/>
    <w:basedOn w:val="Normal"/>
    <w:link w:val="Estilo1Car"/>
    <w:uiPriority w:val="99"/>
    <w:qFormat/>
    <w:rsid w:val="008B5F96"/>
    <w:pPr>
      <w:pBdr>
        <w:top w:val="single" w:sz="12" w:space="1" w:color="44546A"/>
        <w:left w:val="single" w:sz="12" w:space="4" w:color="44546A"/>
        <w:bottom w:val="single" w:sz="12" w:space="1" w:color="44546A"/>
        <w:right w:val="single" w:sz="12" w:space="4" w:color="44546A"/>
      </w:pBdr>
      <w:shd w:val="clear" w:color="auto" w:fill="D5DCE4"/>
      <w:jc w:val="both"/>
    </w:pPr>
    <w:rPr>
      <w:rFonts w:ascii="Franklin Gothic Book" w:hAnsi="Franklin Gothic Book"/>
      <w:sz w:val="18"/>
      <w:szCs w:val="24"/>
      <w:lang w:val="es-CR" w:eastAsia="en-US"/>
    </w:rPr>
  </w:style>
  <w:style w:type="character" w:customStyle="1" w:styleId="Estilo1Car">
    <w:name w:val="Estilo1 Car"/>
    <w:link w:val="Estilo1"/>
    <w:uiPriority w:val="99"/>
    <w:rsid w:val="008B5F96"/>
    <w:rPr>
      <w:rFonts w:ascii="Franklin Gothic Book" w:eastAsia="Times New Roman" w:hAnsi="Franklin Gothic Book"/>
      <w:sz w:val="18"/>
      <w:szCs w:val="24"/>
      <w:shd w:val="clear" w:color="auto" w:fill="D5DCE4"/>
      <w:lang w:eastAsia="en-US"/>
    </w:rPr>
  </w:style>
  <w:style w:type="table" w:customStyle="1" w:styleId="Cuadrculadetablaclara">
    <w:name w:val="Cuadrícula de tabla clara"/>
    <w:basedOn w:val="Tablanormal"/>
    <w:uiPriority w:val="40"/>
    <w:rsid w:val="008B5F96"/>
    <w:rPr>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11">
    <w:name w:val="Tabla con cuadrícula11"/>
    <w:basedOn w:val="Tablanormal"/>
    <w:uiPriority w:val="59"/>
    <w:rsid w:val="008B5F96"/>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altado">
    <w:name w:val="Resaltado"/>
    <w:basedOn w:val="Normal"/>
    <w:qFormat/>
    <w:rsid w:val="008B5F96"/>
    <w:pPr>
      <w:jc w:val="both"/>
      <w:outlineLvl w:val="0"/>
    </w:pPr>
    <w:rPr>
      <w:rFonts w:ascii="Franklin Gothic Medium" w:hAnsi="Franklin Gothic Medium"/>
      <w:color w:val="000000"/>
      <w:sz w:val="22"/>
      <w:szCs w:val="24"/>
      <w:lang w:eastAsia="en-US"/>
    </w:rPr>
  </w:style>
  <w:style w:type="table" w:customStyle="1" w:styleId="Tablaconcuadrcula2">
    <w:name w:val="Tabla con cuadrícula2"/>
    <w:basedOn w:val="Tablanormal"/>
    <w:next w:val="Tablaconcuadrcula"/>
    <w:uiPriority w:val="39"/>
    <w:rsid w:val="008B5F96"/>
    <w:pPr>
      <w:jc w:val="both"/>
    </w:pPr>
    <w:rPr>
      <w:rFonts w:eastAsia="Times New Roman"/>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clara-nfasis21">
    <w:name w:val="Lista clara - Énfasis 21"/>
    <w:basedOn w:val="Tablanormal"/>
    <w:next w:val="Tablanormal"/>
    <w:uiPriority w:val="61"/>
    <w:rsid w:val="008B5F96"/>
    <w:rPr>
      <w:rFonts w:eastAsia="MS Mincho"/>
      <w:lang w:val="en-US" w:eastAsia="en-US"/>
    </w:rPr>
    <w:tblPr>
      <w:tblStyleRowBandSize w:val="1"/>
      <w:tblStyleColBandSize w:val="1"/>
      <w:tblBorders>
        <w:top w:val="single" w:sz="8" w:space="0" w:color="1F497D"/>
        <w:left w:val="single" w:sz="8" w:space="0" w:color="1F497D"/>
        <w:bottom w:val="single" w:sz="8" w:space="0" w:color="1F497D"/>
        <w:right w:val="single" w:sz="8" w:space="0" w:color="1F497D"/>
      </w:tblBorders>
    </w:tblPr>
    <w:tblStylePr w:type="firstRow">
      <w:pPr>
        <w:spacing w:before="0" w:after="0" w:line="240" w:lineRule="auto"/>
      </w:pPr>
      <w:rPr>
        <w:b/>
        <w:bCs/>
        <w:color w:val="FFFFFF"/>
      </w:rPr>
      <w:tblPr/>
      <w:tcPr>
        <w:shd w:val="clear" w:color="auto" w:fill="1F497D"/>
      </w:tcPr>
    </w:tblStylePr>
    <w:tblStylePr w:type="lastRow">
      <w:pPr>
        <w:spacing w:before="0" w:after="0" w:line="240" w:lineRule="auto"/>
      </w:pPr>
      <w:rPr>
        <w:b/>
        <w:bCs/>
      </w:rPr>
      <w:tblPr/>
      <w:tcPr>
        <w:tcBorders>
          <w:top w:val="double" w:sz="6" w:space="0" w:color="1F497D"/>
          <w:left w:val="single" w:sz="8" w:space="0" w:color="1F497D"/>
          <w:bottom w:val="single" w:sz="8" w:space="0" w:color="1F497D"/>
          <w:right w:val="single" w:sz="8" w:space="0" w:color="1F497D"/>
        </w:tcBorders>
      </w:tcPr>
    </w:tblStylePr>
    <w:tblStylePr w:type="firstCol">
      <w:rPr>
        <w:b/>
        <w:bCs/>
      </w:rPr>
    </w:tblStylePr>
    <w:tblStylePr w:type="lastCol">
      <w:rPr>
        <w:b/>
        <w:bCs/>
      </w:rPr>
    </w:tblStylePr>
    <w:tblStylePr w:type="band1Vert">
      <w:tblPr/>
      <w:tcPr>
        <w:tcBorders>
          <w:top w:val="single" w:sz="8" w:space="0" w:color="1F497D"/>
          <w:left w:val="single" w:sz="8" w:space="0" w:color="1F497D"/>
          <w:bottom w:val="single" w:sz="8" w:space="0" w:color="1F497D"/>
          <w:right w:val="single" w:sz="8" w:space="0" w:color="1F497D"/>
        </w:tcBorders>
      </w:tcPr>
    </w:tblStylePr>
    <w:tblStylePr w:type="band1Horz">
      <w:tblPr/>
      <w:tcPr>
        <w:tcBorders>
          <w:top w:val="single" w:sz="8" w:space="0" w:color="1F497D"/>
          <w:left w:val="single" w:sz="8" w:space="0" w:color="1F497D"/>
          <w:bottom w:val="single" w:sz="8" w:space="0" w:color="1F497D"/>
          <w:right w:val="single" w:sz="8" w:space="0" w:color="1F497D"/>
        </w:tcBorders>
      </w:tcPr>
    </w:tblStylePr>
  </w:style>
  <w:style w:type="character" w:customStyle="1" w:styleId="tgc">
    <w:name w:val="_tgc"/>
    <w:rsid w:val="008B5F96"/>
  </w:style>
  <w:style w:type="character" w:customStyle="1" w:styleId="encabezadoChar">
    <w:name w:val="encabezado Char"/>
    <w:link w:val="encabezado0"/>
    <w:uiPriority w:val="1"/>
    <w:rsid w:val="008B5F96"/>
    <w:rPr>
      <w:rFonts w:ascii="Franklin Gothic Book" w:eastAsia="Times New Roman" w:hAnsi="Franklin Gothic Book"/>
      <w:sz w:val="22"/>
      <w:szCs w:val="24"/>
      <w:lang w:eastAsia="en-US"/>
    </w:rPr>
  </w:style>
  <w:style w:type="paragraph" w:customStyle="1" w:styleId="Pa101">
    <w:name w:val="Pa10+1"/>
    <w:basedOn w:val="Default"/>
    <w:next w:val="Default"/>
    <w:uiPriority w:val="99"/>
    <w:rsid w:val="008B5F96"/>
    <w:pPr>
      <w:spacing w:line="201" w:lineRule="atLeast"/>
    </w:pPr>
    <w:rPr>
      <w:rFonts w:ascii="Times New Roman" w:eastAsia="Calibri" w:hAnsi="Times New Roman" w:cs="Times New Roman"/>
      <w:color w:val="auto"/>
      <w:lang w:eastAsia="en-US"/>
    </w:rPr>
  </w:style>
  <w:style w:type="paragraph" w:customStyle="1" w:styleId="Pa111">
    <w:name w:val="Pa11+1"/>
    <w:basedOn w:val="Default"/>
    <w:next w:val="Default"/>
    <w:uiPriority w:val="99"/>
    <w:rsid w:val="008B5F96"/>
    <w:pPr>
      <w:spacing w:line="201" w:lineRule="atLeast"/>
    </w:pPr>
    <w:rPr>
      <w:rFonts w:ascii="Times New Roman" w:eastAsia="Calibri" w:hAnsi="Times New Roman" w:cs="Times New Roman"/>
      <w:color w:val="auto"/>
      <w:lang w:eastAsia="en-US"/>
    </w:rPr>
  </w:style>
  <w:style w:type="paragraph" w:customStyle="1" w:styleId="mce">
    <w:name w:val="mce"/>
    <w:basedOn w:val="Normal"/>
    <w:rsid w:val="008B5F96"/>
    <w:pPr>
      <w:spacing w:after="375"/>
    </w:pPr>
    <w:rPr>
      <w:rFonts w:eastAsia="Calibri"/>
      <w:sz w:val="24"/>
      <w:szCs w:val="24"/>
      <w:lang w:val="es-CR" w:eastAsia="es-CR"/>
    </w:rPr>
  </w:style>
  <w:style w:type="paragraph" w:customStyle="1" w:styleId="Car11">
    <w:name w:val="Car11"/>
    <w:basedOn w:val="Normal"/>
    <w:rsid w:val="008B5F96"/>
    <w:pPr>
      <w:spacing w:after="160" w:line="240" w:lineRule="exact"/>
    </w:pPr>
    <w:rPr>
      <w:rFonts w:ascii="Verdana" w:hAnsi="Verdana" w:cs="Verdana"/>
      <w:lang w:val="en-AU" w:eastAsia="en-US"/>
    </w:rPr>
  </w:style>
  <w:style w:type="table" w:styleId="Tablanormal2">
    <w:name w:val="Plain Table 2"/>
    <w:basedOn w:val="Tablanormal"/>
    <w:uiPriority w:val="42"/>
    <w:rsid w:val="008B5F96"/>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andard">
    <w:name w:val="Standard"/>
    <w:uiPriority w:val="99"/>
    <w:rsid w:val="008B5F96"/>
    <w:pPr>
      <w:widowControl w:val="0"/>
      <w:suppressAutoHyphens/>
      <w:autoSpaceDN w:val="0"/>
      <w:textAlignment w:val="baseline"/>
    </w:pPr>
    <w:rPr>
      <w:rFonts w:ascii="Times New Roman" w:eastAsia="SimSun" w:hAnsi="Times New Roman" w:cs="Mangal"/>
      <w:kern w:val="3"/>
      <w:sz w:val="24"/>
      <w:szCs w:val="24"/>
      <w:lang w:val="es-ES" w:eastAsia="zh-CN" w:bidi="hi-IN"/>
    </w:rPr>
  </w:style>
  <w:style w:type="table" w:customStyle="1" w:styleId="Tabladecuadrcula1clara-nfasis1">
    <w:name w:val="Tabla de cuadrícula 1 clara - Énfasis 1"/>
    <w:basedOn w:val="Tablanormal"/>
    <w:uiPriority w:val="46"/>
    <w:rsid w:val="008B5F96"/>
    <w:pPr>
      <w:spacing w:after="200" w:line="276" w:lineRule="auto"/>
      <w:jc w:val="both"/>
    </w:pPr>
    <w:rPr>
      <w:rFonts w:eastAsia="Times New Roman"/>
      <w:lang w:val="en-US"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MediumShading1-Accent61">
    <w:name w:val="Medium Shading 1 - Accent 61"/>
    <w:basedOn w:val="TableNormal1"/>
    <w:uiPriority w:val="63"/>
    <w:rsid w:val="008B5F96"/>
    <w:rPr>
      <w:rFonts w:ascii="Franklin Gothic Book" w:hAnsi="Franklin Gothic Book"/>
      <w:lang w:val="en-US" w:eastAsia="ja-JP"/>
    </w:rPr>
    <w:tblPr>
      <w:tblStyleRowBandSize w:val="1"/>
      <w:tblStyleColBandSize w:val="1"/>
      <w:tblBorders>
        <w:top w:val="single" w:sz="8" w:space="0" w:color="AFC5E1"/>
        <w:left w:val="single" w:sz="8" w:space="0" w:color="AFC5E1"/>
        <w:bottom w:val="single" w:sz="8" w:space="0" w:color="AFC5E1"/>
        <w:right w:val="single" w:sz="8" w:space="0" w:color="AFC5E1"/>
        <w:insideH w:val="single" w:sz="8" w:space="0" w:color="AFC5E1"/>
      </w:tblBorders>
    </w:tblPr>
    <w:tblStylePr w:type="firstRow">
      <w:pPr>
        <w:spacing w:before="0" w:after="0" w:line="240" w:lineRule="auto"/>
      </w:pPr>
      <w:rPr>
        <w:b/>
        <w:bCs/>
        <w:color w:val="000000"/>
      </w:rPr>
      <w:tblPr/>
      <w:tcPr>
        <w:tcBorders>
          <w:top w:val="single" w:sz="8" w:space="0" w:color="AFC5E1"/>
          <w:left w:val="single" w:sz="8" w:space="0" w:color="AFC5E1"/>
          <w:bottom w:val="single" w:sz="8" w:space="0" w:color="AFC5E1"/>
          <w:right w:val="single" w:sz="8" w:space="0" w:color="AFC5E1"/>
          <w:insideH w:val="nil"/>
          <w:insideV w:val="nil"/>
        </w:tcBorders>
        <w:shd w:val="clear" w:color="auto" w:fill="95B3D7"/>
      </w:tcPr>
    </w:tblStylePr>
    <w:tblStylePr w:type="lastRow">
      <w:pPr>
        <w:spacing w:before="0" w:after="0" w:line="240" w:lineRule="auto"/>
      </w:pPr>
      <w:rPr>
        <w:b/>
        <w:bCs/>
      </w:rPr>
      <w:tblPr/>
      <w:tcPr>
        <w:tcBorders>
          <w:top w:val="double" w:sz="6" w:space="0" w:color="AFC5E1"/>
          <w:left w:val="single" w:sz="8" w:space="0" w:color="AFC5E1"/>
          <w:bottom w:val="single" w:sz="8" w:space="0" w:color="AFC5E1"/>
          <w:right w:val="single" w:sz="8" w:space="0" w:color="AFC5E1"/>
          <w:insideH w:val="nil"/>
          <w:insideV w:val="nil"/>
        </w:tcBorders>
      </w:tcPr>
    </w:tblStylePr>
    <w:tblStylePr w:type="firstCol">
      <w:rPr>
        <w:b/>
        <w:bCs/>
      </w:rPr>
    </w:tblStylePr>
    <w:tblStylePr w:type="lastCol">
      <w:rPr>
        <w:b/>
        <w:bCs/>
      </w:rPr>
    </w:tblStylePr>
    <w:tblStylePr w:type="band1Vert">
      <w:tblPr/>
      <w:tcPr>
        <w:shd w:val="clear" w:color="auto" w:fill="E4ECF5"/>
      </w:tcPr>
    </w:tblStylePr>
    <w:tblStylePr w:type="band1Horz">
      <w:tblPr/>
      <w:tcPr>
        <w:tcBorders>
          <w:insideH w:val="nil"/>
          <w:insideV w:val="nil"/>
        </w:tcBorders>
        <w:shd w:val="clear" w:color="auto" w:fill="E4ECF5"/>
      </w:tcPr>
    </w:tblStylePr>
    <w:tblStylePr w:type="band2Horz">
      <w:tblPr/>
      <w:tcPr>
        <w:tcBorders>
          <w:insideH w:val="nil"/>
          <w:insideV w:val="nil"/>
        </w:tcBorders>
      </w:tcPr>
    </w:tblStylePr>
  </w:style>
  <w:style w:type="table" w:customStyle="1" w:styleId="LightGrid-Accent61">
    <w:name w:val="Light Grid - Accent 61"/>
    <w:basedOn w:val="TableNormal1"/>
    <w:uiPriority w:val="62"/>
    <w:rsid w:val="008B5F96"/>
    <w:rPr>
      <w:rFonts w:ascii="Franklin Gothic Book" w:hAnsi="Franklin Gothic Book"/>
      <w:lang w:val="en-US" w:eastAsia="ja-JP"/>
    </w:rPr>
    <w:tblPr>
      <w:tblStyleRowBandSize w:val="1"/>
      <w:tblStyleColBandSize w:val="1"/>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95B3D7"/>
          <w:left w:val="single" w:sz="8" w:space="0" w:color="95B3D7"/>
          <w:bottom w:val="single" w:sz="18" w:space="0" w:color="95B3D7"/>
          <w:right w:val="single" w:sz="8" w:space="0" w:color="95B3D7"/>
          <w:insideH w:val="nil"/>
          <w:insideV w:val="single" w:sz="8" w:space="0" w:color="95B3D7"/>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95B3D7"/>
          <w:left w:val="single" w:sz="8" w:space="0" w:color="95B3D7"/>
          <w:bottom w:val="single" w:sz="8" w:space="0" w:color="95B3D7"/>
          <w:right w:val="single" w:sz="8" w:space="0" w:color="95B3D7"/>
          <w:insideH w:val="nil"/>
          <w:insideV w:val="single" w:sz="8" w:space="0" w:color="95B3D7"/>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95B3D7"/>
          <w:left w:val="single" w:sz="8" w:space="0" w:color="95B3D7"/>
          <w:bottom w:val="single" w:sz="8" w:space="0" w:color="95B3D7"/>
          <w:right w:val="single" w:sz="8" w:space="0" w:color="95B3D7"/>
        </w:tcBorders>
      </w:tcPr>
    </w:tblStylePr>
    <w:tblStylePr w:type="band1Vert">
      <w:tblPr/>
      <w:tcPr>
        <w:tcBorders>
          <w:top w:val="single" w:sz="8" w:space="0" w:color="95B3D7"/>
          <w:left w:val="single" w:sz="8" w:space="0" w:color="95B3D7"/>
          <w:bottom w:val="single" w:sz="8" w:space="0" w:color="95B3D7"/>
          <w:right w:val="single" w:sz="8" w:space="0" w:color="95B3D7"/>
        </w:tcBorders>
        <w:shd w:val="clear" w:color="auto" w:fill="E4ECF5"/>
      </w:tcPr>
    </w:tblStylePr>
    <w:tblStylePr w:type="band1Horz">
      <w:tblPr/>
      <w:tcPr>
        <w:tcBorders>
          <w:top w:val="single" w:sz="8" w:space="0" w:color="95B3D7"/>
          <w:left w:val="single" w:sz="8" w:space="0" w:color="95B3D7"/>
          <w:bottom w:val="single" w:sz="8" w:space="0" w:color="95B3D7"/>
          <w:right w:val="single" w:sz="8" w:space="0" w:color="95B3D7"/>
          <w:insideV w:val="single" w:sz="8" w:space="0" w:color="95B3D7"/>
        </w:tcBorders>
        <w:shd w:val="clear" w:color="auto" w:fill="E4ECF5"/>
      </w:tcPr>
    </w:tblStylePr>
    <w:tblStylePr w:type="band2Horz">
      <w:tblPr/>
      <w:tcPr>
        <w:tcBorders>
          <w:top w:val="single" w:sz="8" w:space="0" w:color="95B3D7"/>
          <w:left w:val="single" w:sz="8" w:space="0" w:color="95B3D7"/>
          <w:bottom w:val="single" w:sz="8" w:space="0" w:color="95B3D7"/>
          <w:right w:val="single" w:sz="8" w:space="0" w:color="95B3D7"/>
          <w:insideV w:val="single" w:sz="8" w:space="0" w:color="95B3D7"/>
        </w:tcBorders>
      </w:tcPr>
    </w:tblStylePr>
  </w:style>
  <w:style w:type="character" w:styleId="nfasissutil">
    <w:name w:val="Subtle Emphasis"/>
    <w:uiPriority w:val="19"/>
    <w:qFormat/>
    <w:rsid w:val="008B5F96"/>
    <w:rPr>
      <w:i/>
    </w:rPr>
  </w:style>
  <w:style w:type="character" w:styleId="nfasisintenso">
    <w:name w:val="Intense Emphasis"/>
    <w:uiPriority w:val="21"/>
    <w:qFormat/>
    <w:rsid w:val="008B5F96"/>
    <w:rPr>
      <w:b/>
      <w:i/>
      <w:color w:val="ED7D31"/>
      <w:spacing w:val="10"/>
    </w:rPr>
  </w:style>
  <w:style w:type="character" w:styleId="Referenciasutil">
    <w:name w:val="Subtle Reference"/>
    <w:uiPriority w:val="31"/>
    <w:qFormat/>
    <w:rsid w:val="008B5F96"/>
    <w:rPr>
      <w:b/>
    </w:rPr>
  </w:style>
  <w:style w:type="character" w:styleId="Referenciaintensa">
    <w:name w:val="Intense Reference"/>
    <w:uiPriority w:val="32"/>
    <w:qFormat/>
    <w:rsid w:val="008B5F96"/>
    <w:rPr>
      <w:b/>
      <w:bCs/>
      <w:smallCaps/>
      <w:spacing w:val="5"/>
      <w:sz w:val="22"/>
      <w:szCs w:val="22"/>
      <w:u w:val="single"/>
    </w:rPr>
  </w:style>
  <w:style w:type="table" w:customStyle="1" w:styleId="Tabladecuadrcula4-nfasis1">
    <w:name w:val="Tabla de cuadrícula 4 - Énfasis 1"/>
    <w:basedOn w:val="Tablanormal"/>
    <w:uiPriority w:val="49"/>
    <w:rsid w:val="008B5F96"/>
    <w:rPr>
      <w:rFonts w:ascii="Franklin Gothic Book" w:hAnsi="Franklin Gothic Book"/>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xl25">
    <w:name w:val="xl25"/>
    <w:basedOn w:val="Normal"/>
    <w:rsid w:val="008B5F96"/>
    <w:pPr>
      <w:spacing w:before="100" w:beforeAutospacing="1" w:after="100" w:afterAutospacing="1"/>
    </w:pPr>
    <w:rPr>
      <w:rFonts w:ascii="Arial" w:eastAsia="Batang" w:hAnsi="Arial" w:cs="Arial"/>
      <w:b/>
      <w:bCs/>
      <w:sz w:val="24"/>
      <w:szCs w:val="24"/>
    </w:rPr>
  </w:style>
  <w:style w:type="character" w:customStyle="1" w:styleId="hasnegrita1">
    <w:name w:val="has_negrita1"/>
    <w:rsid w:val="008B5F96"/>
    <w:rPr>
      <w:b/>
      <w:bCs/>
    </w:rPr>
  </w:style>
  <w:style w:type="character" w:customStyle="1" w:styleId="ParagraphCar">
    <w:name w:val="Paragraph Car"/>
    <w:link w:val="Paragraph"/>
    <w:locked/>
    <w:rsid w:val="008B5F96"/>
  </w:style>
  <w:style w:type="paragraph" w:customStyle="1" w:styleId="Paragraph">
    <w:name w:val="Paragraph"/>
    <w:aliases w:val="paragraph,p,PARAGRAPH,PG,pa,at"/>
    <w:basedOn w:val="Normal"/>
    <w:link w:val="ParagraphCar"/>
    <w:rsid w:val="008B5F96"/>
    <w:pPr>
      <w:numPr>
        <w:ilvl w:val="1"/>
        <w:numId w:val="10"/>
      </w:numPr>
      <w:tabs>
        <w:tab w:val="clear" w:pos="720"/>
      </w:tabs>
      <w:spacing w:before="120" w:after="120"/>
      <w:ind w:left="0" w:firstLine="0"/>
      <w:jc w:val="both"/>
    </w:pPr>
    <w:rPr>
      <w:rFonts w:ascii="Calibri" w:eastAsia="Calibri" w:hAnsi="Calibri"/>
      <w:lang w:val="es-CR" w:eastAsia="es-CR"/>
    </w:rPr>
  </w:style>
  <w:style w:type="paragraph" w:customStyle="1" w:styleId="subpar">
    <w:name w:val="subpar"/>
    <w:basedOn w:val="Normal"/>
    <w:uiPriority w:val="99"/>
    <w:rsid w:val="008B5F96"/>
    <w:pPr>
      <w:numPr>
        <w:ilvl w:val="2"/>
        <w:numId w:val="10"/>
      </w:numPr>
      <w:tabs>
        <w:tab w:val="clear" w:pos="1152"/>
        <w:tab w:val="num" w:pos="360"/>
      </w:tabs>
      <w:spacing w:before="120" w:after="120"/>
      <w:ind w:left="0" w:firstLine="0"/>
      <w:jc w:val="both"/>
    </w:pPr>
    <w:rPr>
      <w:rFonts w:eastAsia="Calibri"/>
      <w:sz w:val="24"/>
      <w:szCs w:val="24"/>
      <w:lang w:val="es-CR" w:eastAsia="en-US"/>
    </w:rPr>
  </w:style>
  <w:style w:type="paragraph" w:customStyle="1" w:styleId="SubSubPar">
    <w:name w:val="SubSubPar"/>
    <w:basedOn w:val="Normal"/>
    <w:uiPriority w:val="99"/>
    <w:rsid w:val="008B5F96"/>
    <w:pPr>
      <w:numPr>
        <w:ilvl w:val="3"/>
        <w:numId w:val="10"/>
      </w:numPr>
      <w:tabs>
        <w:tab w:val="clear" w:pos="1584"/>
        <w:tab w:val="num" w:pos="360"/>
      </w:tabs>
      <w:spacing w:before="120" w:after="120"/>
      <w:ind w:left="0" w:firstLine="0"/>
      <w:jc w:val="both"/>
    </w:pPr>
    <w:rPr>
      <w:rFonts w:eastAsia="Calibri"/>
      <w:sz w:val="24"/>
      <w:szCs w:val="24"/>
      <w:lang w:val="es-CR" w:eastAsia="en-US"/>
    </w:rPr>
  </w:style>
  <w:style w:type="character" w:customStyle="1" w:styleId="tituloprincipal1">
    <w:name w:val="tituloprincipal1"/>
    <w:rsid w:val="008B5F96"/>
    <w:rPr>
      <w:rFonts w:ascii="Arial" w:hAnsi="Arial" w:cs="Arial" w:hint="default"/>
      <w:b/>
      <w:bCs/>
      <w:i w:val="0"/>
      <w:iCs w:val="0"/>
      <w:caps w:val="0"/>
      <w:smallCaps w:val="0"/>
      <w:strike w:val="0"/>
      <w:dstrike w:val="0"/>
      <w:color w:val="374F79"/>
      <w:sz w:val="40"/>
      <w:szCs w:val="40"/>
      <w:u w:val="none"/>
      <w:effect w:val="none"/>
    </w:rPr>
  </w:style>
  <w:style w:type="character" w:customStyle="1" w:styleId="textogde1">
    <w:name w:val="textogde1"/>
    <w:rsid w:val="008B5F96"/>
    <w:rPr>
      <w:rFonts w:ascii="Arial" w:hAnsi="Arial" w:cs="Arial" w:hint="default"/>
      <w:b w:val="0"/>
      <w:bCs w:val="0"/>
      <w:color w:val="000000"/>
    </w:rPr>
  </w:style>
  <w:style w:type="character" w:styleId="Textodelmarcadordeposicin">
    <w:name w:val="Placeholder Text"/>
    <w:uiPriority w:val="99"/>
    <w:semiHidden/>
    <w:rsid w:val="008B5F96"/>
    <w:rPr>
      <w:color w:val="808080"/>
    </w:rPr>
  </w:style>
  <w:style w:type="paragraph" w:customStyle="1" w:styleId="pa41">
    <w:name w:val="pa41"/>
    <w:basedOn w:val="Normal"/>
    <w:rsid w:val="008B5F96"/>
    <w:pPr>
      <w:spacing w:before="100" w:beforeAutospacing="1" w:after="100" w:afterAutospacing="1"/>
    </w:pPr>
    <w:rPr>
      <w:sz w:val="24"/>
      <w:szCs w:val="24"/>
      <w:lang w:val="es-CR" w:eastAsia="es-CR"/>
    </w:rPr>
  </w:style>
  <w:style w:type="character" w:customStyle="1" w:styleId="TextoTablaChar">
    <w:name w:val="Texto Tabla Char"/>
    <w:link w:val="TextoTabla"/>
    <w:uiPriority w:val="1"/>
    <w:rsid w:val="008B5F96"/>
    <w:rPr>
      <w:rFonts w:ascii="Franklin Gothic Book" w:eastAsia="Times New Roman" w:hAnsi="Franklin Gothic Book"/>
      <w:szCs w:val="24"/>
      <w:lang w:eastAsia="en-US"/>
    </w:rPr>
  </w:style>
  <w:style w:type="paragraph" w:customStyle="1" w:styleId="CentradoResaltado">
    <w:name w:val="Centrado Resaltado"/>
    <w:basedOn w:val="Normal"/>
    <w:link w:val="CentradoResaltadoChar"/>
    <w:uiPriority w:val="1"/>
    <w:qFormat/>
    <w:rsid w:val="008B5F96"/>
    <w:pPr>
      <w:spacing w:before="240" w:after="240"/>
      <w:jc w:val="center"/>
    </w:pPr>
    <w:rPr>
      <w:rFonts w:ascii="Franklin Gothic Medium" w:hAnsi="Franklin Gothic Medium"/>
      <w:sz w:val="22"/>
      <w:szCs w:val="24"/>
      <w:lang w:eastAsia="en-US"/>
    </w:rPr>
  </w:style>
  <w:style w:type="character" w:customStyle="1" w:styleId="CentradoResaltadoChar">
    <w:name w:val="Centrado Resaltado Char"/>
    <w:link w:val="CentradoResaltado"/>
    <w:uiPriority w:val="1"/>
    <w:rsid w:val="008B5F96"/>
    <w:rPr>
      <w:rFonts w:ascii="Franklin Gothic Medium" w:eastAsia="Times New Roman" w:hAnsi="Franklin Gothic Medium"/>
      <w:sz w:val="22"/>
      <w:szCs w:val="24"/>
      <w:lang w:val="es-ES" w:eastAsia="en-US"/>
    </w:rPr>
  </w:style>
  <w:style w:type="paragraph" w:customStyle="1" w:styleId="tabla-titulo">
    <w:name w:val="tabla-titulo"/>
    <w:basedOn w:val="Negrita"/>
    <w:rsid w:val="008B5F96"/>
    <w:pPr>
      <w:spacing w:before="0" w:after="0"/>
      <w:jc w:val="center"/>
    </w:pPr>
    <w:rPr>
      <w:rFonts w:ascii="Franklin Gothic Medium" w:hAnsi="Franklin Gothic Medium"/>
      <w:b w:val="0"/>
      <w:color w:val="000000"/>
      <w:szCs w:val="20"/>
      <w:lang w:val="es-ES"/>
    </w:rPr>
  </w:style>
  <w:style w:type="character" w:customStyle="1" w:styleId="st">
    <w:name w:val="st"/>
    <w:rsid w:val="008B5F96"/>
  </w:style>
  <w:style w:type="character" w:customStyle="1" w:styleId="s1">
    <w:name w:val="s1"/>
    <w:rsid w:val="008B5F96"/>
    <w:rPr>
      <w:rFonts w:ascii=".SFUIText-Regular" w:hAnsi=".SFUIText-Regular" w:hint="default"/>
      <w:b w:val="0"/>
      <w:bCs w:val="0"/>
      <w:i w:val="0"/>
      <w:iCs w:val="0"/>
    </w:rPr>
  </w:style>
  <w:style w:type="paragraph" w:customStyle="1" w:styleId="TextoTablaJustificado4pto">
    <w:name w:val="Texto Tabla Justificado 4 pto"/>
    <w:basedOn w:val="TextoTablaJustificado"/>
    <w:rsid w:val="008B5F96"/>
    <w:pPr>
      <w:keepNext w:val="0"/>
      <w:keepLines w:val="0"/>
      <w:spacing w:before="120" w:after="120"/>
      <w:ind w:left="170" w:right="170"/>
    </w:pPr>
    <w:rPr>
      <w:rFonts w:ascii="Times New Roman" w:hAnsi="Times New Roman"/>
      <w:snapToGrid/>
      <w:sz w:val="8"/>
      <w:szCs w:val="24"/>
      <w:lang w:val="es-CR" w:eastAsia="en-US"/>
    </w:rPr>
  </w:style>
  <w:style w:type="table" w:customStyle="1" w:styleId="Correspondencia11">
    <w:name w:val="Correspondencia11"/>
    <w:basedOn w:val="Tablanormal"/>
    <w:uiPriority w:val="99"/>
    <w:qFormat/>
    <w:locked/>
    <w:rsid w:val="008B5F96"/>
    <w:pPr>
      <w:spacing w:before="20" w:after="20"/>
    </w:pPr>
    <w:rPr>
      <w:rFonts w:ascii="Franklin Gothic Book" w:hAnsi="Franklin Gothic Book"/>
    </w:rPr>
    <w:tblPr/>
    <w:tblStylePr w:type="firstRow">
      <w:rPr>
        <w:rFonts w:ascii="Bahnschrift SemiBold Condensed" w:hAnsi="Bahnschrift SemiBold Condensed"/>
        <w:b/>
        <w:sz w:val="20"/>
      </w:rPr>
    </w:tblStylePr>
    <w:tblStylePr w:type="lastRow">
      <w:rPr>
        <w:rFonts w:ascii="Bahnschrift SemiBold Condensed" w:hAnsi="Bahnschrift SemiBold Condensed"/>
        <w:sz w:val="20"/>
      </w:rPr>
    </w:tblStylePr>
    <w:tblStylePr w:type="band1Horz">
      <w:rPr>
        <w:rFonts w:ascii="Bahnschrift SemiBold Condensed" w:hAnsi="Bahnschrift SemiBold Condensed"/>
        <w:color w:val="auto"/>
        <w:sz w:val="20"/>
      </w:rPr>
    </w:tblStylePr>
  </w:style>
  <w:style w:type="table" w:customStyle="1" w:styleId="Correspondencia12">
    <w:name w:val="Correspondencia12"/>
    <w:basedOn w:val="Tablanormal"/>
    <w:uiPriority w:val="99"/>
    <w:qFormat/>
    <w:locked/>
    <w:rsid w:val="008B5F96"/>
    <w:pPr>
      <w:spacing w:before="20" w:after="20"/>
    </w:pPr>
    <w:rPr>
      <w:rFonts w:ascii="Franklin Gothic Book" w:hAnsi="Franklin Gothic Book"/>
    </w:rPr>
    <w:tblPr/>
    <w:tblStylePr w:type="firstRow">
      <w:rPr>
        <w:rFonts w:ascii="Bahnschrift SemiBold Condensed" w:hAnsi="Bahnschrift SemiBold Condensed"/>
        <w:b/>
        <w:sz w:val="20"/>
      </w:rPr>
    </w:tblStylePr>
    <w:tblStylePr w:type="lastRow">
      <w:rPr>
        <w:rFonts w:ascii="Bahnschrift SemiBold Condensed" w:hAnsi="Bahnschrift SemiBold Condensed"/>
        <w:sz w:val="20"/>
      </w:rPr>
    </w:tblStylePr>
    <w:tblStylePr w:type="band1Horz">
      <w:rPr>
        <w:rFonts w:ascii="Bahnschrift SemiBold Condensed" w:hAnsi="Bahnschrift SemiBold Condensed"/>
        <w:color w:val="auto"/>
        <w:sz w:val="20"/>
      </w:rPr>
    </w:tblStylePr>
  </w:style>
  <w:style w:type="paragraph" w:customStyle="1" w:styleId="Lista1">
    <w:name w:val="Lista 1"/>
    <w:basedOn w:val="Normal"/>
    <w:rsid w:val="008B5F96"/>
    <w:pPr>
      <w:numPr>
        <w:numId w:val="3"/>
      </w:numPr>
      <w:tabs>
        <w:tab w:val="clear" w:pos="1080"/>
      </w:tabs>
      <w:spacing w:before="60" w:after="60"/>
      <w:ind w:left="0" w:firstLine="0"/>
      <w:jc w:val="both"/>
    </w:pPr>
    <w:rPr>
      <w:rFonts w:ascii="Arial" w:hAnsi="Arial"/>
      <w:snapToGrid w:val="0"/>
      <w:szCs w:val="24"/>
      <w:lang w:val="es-CR" w:eastAsia="en-US"/>
    </w:rPr>
  </w:style>
  <w:style w:type="character" w:customStyle="1" w:styleId="Ttulo10">
    <w:name w:val="Título1"/>
    <w:rsid w:val="008B5F96"/>
  </w:style>
  <w:style w:type="character" w:customStyle="1" w:styleId="company-name1">
    <w:name w:val="company-name1"/>
    <w:rsid w:val="008B5F96"/>
  </w:style>
  <w:style w:type="paragraph" w:customStyle="1" w:styleId="default0">
    <w:name w:val="default"/>
    <w:basedOn w:val="Normal"/>
    <w:rsid w:val="008B5F96"/>
    <w:pPr>
      <w:spacing w:before="100" w:beforeAutospacing="1" w:after="100" w:afterAutospacing="1"/>
    </w:pPr>
    <w:rPr>
      <w:sz w:val="24"/>
      <w:szCs w:val="24"/>
      <w:lang w:val="es-CR" w:eastAsia="es-CR"/>
    </w:rPr>
  </w:style>
  <w:style w:type="character" w:customStyle="1" w:styleId="ilfuvd">
    <w:name w:val="ilfuvd"/>
    <w:rsid w:val="008B5F96"/>
  </w:style>
  <w:style w:type="table" w:styleId="Tablanormal4">
    <w:name w:val="Plain Table 4"/>
    <w:basedOn w:val="Tablanormal"/>
    <w:uiPriority w:val="44"/>
    <w:rsid w:val="008B5F96"/>
    <w:rPr>
      <w:sz w:val="22"/>
      <w:szCs w:val="22"/>
      <w:lang w:eastAsia="en-U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1clara-nfasis11">
    <w:name w:val="Tabla de cuadrícula 1 clara - Énfasis 11"/>
    <w:basedOn w:val="Tablanormal"/>
    <w:uiPriority w:val="46"/>
    <w:rsid w:val="008B5F96"/>
    <w:rPr>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element">
    <w:name w:val="element"/>
    <w:basedOn w:val="Normal"/>
    <w:rsid w:val="008B5F96"/>
    <w:pPr>
      <w:spacing w:after="150"/>
    </w:pPr>
    <w:rPr>
      <w:sz w:val="24"/>
      <w:szCs w:val="24"/>
    </w:rPr>
  </w:style>
  <w:style w:type="paragraph" w:customStyle="1" w:styleId="gmail-msonormal">
    <w:name w:val="gmail-msonormal"/>
    <w:basedOn w:val="Normal"/>
    <w:rsid w:val="008B5F96"/>
    <w:pPr>
      <w:spacing w:before="100" w:beforeAutospacing="1" w:after="100" w:afterAutospacing="1"/>
    </w:pPr>
    <w:rPr>
      <w:rFonts w:eastAsia="Calibri"/>
      <w:sz w:val="24"/>
      <w:szCs w:val="24"/>
    </w:rPr>
  </w:style>
  <w:style w:type="paragraph" w:customStyle="1" w:styleId="paralargetext">
    <w:name w:val="paralargetext"/>
    <w:basedOn w:val="Normal"/>
    <w:rsid w:val="008B5F96"/>
    <w:pPr>
      <w:spacing w:before="100" w:beforeAutospacing="1" w:after="100" w:afterAutospacing="1"/>
    </w:pPr>
    <w:rPr>
      <w:sz w:val="24"/>
      <w:szCs w:val="24"/>
    </w:rPr>
  </w:style>
  <w:style w:type="character" w:customStyle="1" w:styleId="Puesto1">
    <w:name w:val="Puesto1"/>
    <w:rsid w:val="008B5F96"/>
  </w:style>
  <w:style w:type="character" w:customStyle="1" w:styleId="bumpedfont15">
    <w:name w:val="bumpedfont15"/>
    <w:rsid w:val="008B5F96"/>
  </w:style>
  <w:style w:type="paragraph" w:customStyle="1" w:styleId="xmsolistparagraph">
    <w:name w:val="x_msolistparagraph"/>
    <w:basedOn w:val="Normal"/>
    <w:uiPriority w:val="99"/>
    <w:rsid w:val="008B5F96"/>
    <w:pPr>
      <w:spacing w:before="100" w:beforeAutospacing="1" w:after="100" w:afterAutospacing="1"/>
    </w:pPr>
    <w:rPr>
      <w:rFonts w:eastAsia="Calibri"/>
      <w:sz w:val="24"/>
      <w:szCs w:val="24"/>
      <w:lang w:val="es-CR" w:eastAsia="es-CR"/>
    </w:rPr>
  </w:style>
  <w:style w:type="table" w:customStyle="1" w:styleId="GridTable5Dark-Accent11">
    <w:name w:val="Grid Table 5 Dark - Accent 11"/>
    <w:basedOn w:val="TableNormal1"/>
    <w:uiPriority w:val="50"/>
    <w:rsid w:val="008B5F96"/>
    <w:rPr>
      <w:rFonts w:ascii="Times New Roman" w:eastAsia="Times New Roman" w:hAnsi="Times New Roman"/>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31">
    <w:name w:val="Grid Table 5 Dark - Accent 31"/>
    <w:basedOn w:val="TableNormal1"/>
    <w:uiPriority w:val="50"/>
    <w:rsid w:val="008B5F96"/>
    <w:rPr>
      <w:rFonts w:ascii="Times New Roman" w:eastAsia="Times New Roman" w:hAnsi="Times New Roman"/>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ListTable3-Accent11">
    <w:name w:val="List Table 3 - Accent 11"/>
    <w:basedOn w:val="TableNormal1"/>
    <w:uiPriority w:val="48"/>
    <w:rsid w:val="008B5F96"/>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Textoresaltado">
    <w:name w:val="Texto resaltado"/>
    <w:basedOn w:val="Texto"/>
    <w:qFormat/>
    <w:rsid w:val="008B5F96"/>
    <w:pPr>
      <w:keepLines/>
      <w:suppressAutoHyphens/>
      <w:spacing w:before="360" w:after="360" w:line="280" w:lineRule="atLeast"/>
      <w:ind w:left="1077"/>
    </w:pPr>
    <w:rPr>
      <w:rFonts w:ascii="Times New Roman" w:eastAsia="Arial" w:hAnsi="Times New Roman"/>
      <w:noProof/>
      <w:color w:val="0070C0"/>
      <w:sz w:val="24"/>
    </w:rPr>
  </w:style>
  <w:style w:type="paragraph" w:customStyle="1" w:styleId="Graficos">
    <w:name w:val="Graficos"/>
    <w:basedOn w:val="Normal"/>
    <w:qFormat/>
    <w:rsid w:val="008B5F96"/>
    <w:pPr>
      <w:widowControl w:val="0"/>
      <w:numPr>
        <w:numId w:val="24"/>
      </w:numPr>
      <w:autoSpaceDE w:val="0"/>
      <w:autoSpaceDN w:val="0"/>
      <w:spacing w:before="240" w:after="40"/>
    </w:pPr>
    <w:rPr>
      <w:rFonts w:ascii="Arial" w:eastAsia="Arial" w:hAnsi="Arial" w:cs="Arial"/>
      <w:b/>
      <w:color w:val="0070C0"/>
      <w:szCs w:val="22"/>
      <w:lang w:bidi="es-ES"/>
    </w:rPr>
  </w:style>
  <w:style w:type="paragraph" w:customStyle="1" w:styleId="Fuentegraficos">
    <w:name w:val="Fuente graficos"/>
    <w:basedOn w:val="Normal"/>
    <w:autoRedefine/>
    <w:qFormat/>
    <w:rsid w:val="008B5F96"/>
    <w:pPr>
      <w:widowControl w:val="0"/>
      <w:autoSpaceDE w:val="0"/>
      <w:autoSpaceDN w:val="0"/>
      <w:jc w:val="both"/>
    </w:pPr>
    <w:rPr>
      <w:rFonts w:eastAsia="Arial"/>
      <w:sz w:val="16"/>
      <w:szCs w:val="16"/>
      <w:lang w:val="es-CR" w:bidi="es-ES"/>
    </w:rPr>
  </w:style>
  <w:style w:type="paragraph" w:customStyle="1" w:styleId="GraficosABC">
    <w:name w:val="Graficos ABC"/>
    <w:basedOn w:val="Graficos"/>
    <w:qFormat/>
    <w:rsid w:val="008B5F96"/>
    <w:pPr>
      <w:numPr>
        <w:numId w:val="4"/>
      </w:numPr>
      <w:ind w:left="0" w:firstLine="0"/>
    </w:pPr>
    <w:rPr>
      <w:b w:val="0"/>
    </w:rPr>
  </w:style>
  <w:style w:type="paragraph" w:customStyle="1" w:styleId="Graficosdetalles">
    <w:name w:val="Graficos detalles"/>
    <w:basedOn w:val="Fuentegraficos"/>
    <w:qFormat/>
    <w:rsid w:val="008B5F96"/>
    <w:rPr>
      <w:i/>
      <w:color w:val="0070C0"/>
    </w:rPr>
  </w:style>
  <w:style w:type="paragraph" w:customStyle="1" w:styleId="Textocongrficos">
    <w:name w:val="Texto con gráficos"/>
    <w:basedOn w:val="Texto"/>
    <w:qFormat/>
    <w:rsid w:val="008B5F96"/>
    <w:pPr>
      <w:keepLines/>
      <w:suppressAutoHyphens/>
      <w:spacing w:before="360" w:after="360" w:line="280" w:lineRule="atLeast"/>
    </w:pPr>
    <w:rPr>
      <w:rFonts w:ascii="Times New Roman" w:eastAsia="Arial" w:hAnsi="Times New Roman"/>
      <w:noProof/>
      <w:sz w:val="24"/>
    </w:rPr>
  </w:style>
  <w:style w:type="paragraph" w:customStyle="1" w:styleId="Resaltadocaptulo">
    <w:name w:val="Resaltado capítulo"/>
    <w:basedOn w:val="Ttulo5"/>
    <w:qFormat/>
    <w:rsid w:val="008B5F96"/>
    <w:pPr>
      <w:keepNext w:val="0"/>
      <w:numPr>
        <w:ilvl w:val="4"/>
        <w:numId w:val="12"/>
      </w:numPr>
      <w:pBdr>
        <w:right w:val="single" w:sz="4" w:space="6" w:color="7F7F7F"/>
      </w:pBdr>
      <w:tabs>
        <w:tab w:val="clear" w:pos="3600"/>
      </w:tabs>
      <w:autoSpaceDE w:val="0"/>
      <w:autoSpaceDN w:val="0"/>
      <w:spacing w:before="40" w:line="280" w:lineRule="exact"/>
      <w:ind w:left="0" w:right="227" w:firstLine="0"/>
      <w:jc w:val="right"/>
    </w:pPr>
    <w:rPr>
      <w:rFonts w:ascii="Arial" w:eastAsia="Arial" w:hAnsi="Arial" w:cs="Arial"/>
      <w:b w:val="0"/>
      <w:bCs w:val="0"/>
      <w:i w:val="0"/>
      <w:iCs w:val="0"/>
      <w:color w:val="0070C0"/>
      <w:w w:val="105"/>
      <w:sz w:val="22"/>
      <w:szCs w:val="24"/>
      <w:lang w:val="es-ES" w:bidi="es-ES"/>
    </w:rPr>
  </w:style>
  <w:style w:type="paragraph" w:customStyle="1" w:styleId="Textoencabezado">
    <w:name w:val="Texto encabezado"/>
    <w:basedOn w:val="Normal"/>
    <w:qFormat/>
    <w:rsid w:val="008B5F96"/>
    <w:pPr>
      <w:widowControl w:val="0"/>
      <w:autoSpaceDE w:val="0"/>
      <w:autoSpaceDN w:val="0"/>
      <w:spacing w:before="112"/>
      <w:ind w:left="5606"/>
      <w:jc w:val="right"/>
    </w:pPr>
    <w:rPr>
      <w:rFonts w:ascii="Arial" w:eastAsia="Arial" w:hAnsi="Arial" w:cs="Arial"/>
      <w:color w:val="58595B"/>
      <w:w w:val="110"/>
      <w:sz w:val="16"/>
      <w:szCs w:val="22"/>
      <w:lang w:bidi="es-ES"/>
    </w:rPr>
  </w:style>
  <w:style w:type="paragraph" w:customStyle="1" w:styleId="TableParagraph">
    <w:name w:val="Table Paragraph"/>
    <w:basedOn w:val="Normal"/>
    <w:uiPriority w:val="1"/>
    <w:qFormat/>
    <w:rsid w:val="008B5F96"/>
    <w:pPr>
      <w:widowControl w:val="0"/>
      <w:autoSpaceDE w:val="0"/>
      <w:autoSpaceDN w:val="0"/>
      <w:spacing w:before="64"/>
      <w:jc w:val="center"/>
    </w:pPr>
    <w:rPr>
      <w:rFonts w:ascii="Arial" w:eastAsia="Arial" w:hAnsi="Arial" w:cs="Arial"/>
      <w:sz w:val="22"/>
      <w:szCs w:val="22"/>
      <w:lang w:bidi="es-ES"/>
    </w:rPr>
  </w:style>
  <w:style w:type="paragraph" w:customStyle="1" w:styleId="Contenido">
    <w:name w:val="Contenido"/>
    <w:basedOn w:val="Normal"/>
    <w:qFormat/>
    <w:rsid w:val="008B5F96"/>
    <w:pPr>
      <w:widowControl w:val="0"/>
      <w:autoSpaceDE w:val="0"/>
      <w:autoSpaceDN w:val="0"/>
      <w:spacing w:before="252"/>
    </w:pPr>
    <w:rPr>
      <w:rFonts w:ascii="Arial" w:eastAsia="Arial" w:hAnsi="Arial" w:cs="Arial"/>
      <w:b/>
      <w:color w:val="2C80D8"/>
      <w:sz w:val="60"/>
      <w:szCs w:val="22"/>
      <w:lang w:bidi="es-ES"/>
    </w:rPr>
  </w:style>
  <w:style w:type="paragraph" w:customStyle="1" w:styleId="Titulointroduccion">
    <w:name w:val="Titulo introduccion"/>
    <w:basedOn w:val="Ttulo2"/>
    <w:next w:val="Ttulo2"/>
    <w:qFormat/>
    <w:rsid w:val="008B5F96"/>
    <w:pPr>
      <w:keepNext w:val="0"/>
      <w:widowControl w:val="0"/>
      <w:numPr>
        <w:ilvl w:val="1"/>
        <w:numId w:val="22"/>
      </w:numPr>
      <w:autoSpaceDE w:val="0"/>
      <w:autoSpaceDN w:val="0"/>
      <w:spacing w:before="416" w:after="240"/>
      <w:jc w:val="left"/>
    </w:pPr>
    <w:rPr>
      <w:rFonts w:ascii="Arial" w:eastAsia="Arial" w:hAnsi="Arial" w:cs="Arial"/>
      <w:bCs/>
      <w:color w:val="0070C0"/>
      <w:sz w:val="24"/>
      <w:szCs w:val="68"/>
      <w:lang w:bidi="es-ES"/>
    </w:rPr>
  </w:style>
  <w:style w:type="paragraph" w:customStyle="1" w:styleId="Textointroductorio0">
    <w:name w:val="Texto introductorio"/>
    <w:basedOn w:val="Normal"/>
    <w:qFormat/>
    <w:rsid w:val="008B5F96"/>
    <w:pPr>
      <w:widowControl w:val="0"/>
      <w:autoSpaceDE w:val="0"/>
      <w:autoSpaceDN w:val="0"/>
      <w:spacing w:before="544" w:line="278" w:lineRule="auto"/>
      <w:ind w:left="4231" w:right="251"/>
      <w:jc w:val="both"/>
    </w:pPr>
    <w:rPr>
      <w:rFonts w:ascii="Arial" w:eastAsia="Arial" w:hAnsi="Arial" w:cs="Arial"/>
      <w:w w:val="105"/>
      <w:sz w:val="21"/>
      <w:szCs w:val="21"/>
      <w:lang w:bidi="es-ES"/>
    </w:rPr>
  </w:style>
  <w:style w:type="paragraph" w:customStyle="1" w:styleId="Numeracioncapitulos">
    <w:name w:val="Numeracion capitulos"/>
    <w:qFormat/>
    <w:rsid w:val="008B5F96"/>
    <w:pPr>
      <w:widowControl w:val="0"/>
      <w:autoSpaceDE w:val="0"/>
      <w:autoSpaceDN w:val="0"/>
      <w:spacing w:before="174"/>
    </w:pPr>
    <w:rPr>
      <w:rFonts w:ascii="Arial" w:eastAsia="Arial" w:hAnsi="Arial" w:cs="Arial"/>
      <w:b/>
      <w:bCs/>
      <w:noProof/>
      <w:color w:val="0070C0"/>
      <w:sz w:val="72"/>
      <w:szCs w:val="200"/>
      <w:lang w:val="es-ES" w:eastAsia="es-ES" w:bidi="es-ES"/>
    </w:rPr>
  </w:style>
  <w:style w:type="paragraph" w:customStyle="1" w:styleId="Capitulo">
    <w:name w:val="Capitulo"/>
    <w:basedOn w:val="Ttulo2"/>
    <w:qFormat/>
    <w:rsid w:val="008B5F96"/>
    <w:pPr>
      <w:keepNext w:val="0"/>
      <w:widowControl w:val="0"/>
      <w:autoSpaceDE w:val="0"/>
      <w:autoSpaceDN w:val="0"/>
      <w:spacing w:before="600" w:after="240" w:line="220" w:lineRule="auto"/>
      <w:ind w:left="4593" w:right="987"/>
      <w:jc w:val="left"/>
    </w:pPr>
    <w:rPr>
      <w:rFonts w:ascii="Arial" w:eastAsia="Arial" w:hAnsi="Arial" w:cs="Arial"/>
      <w:bCs/>
      <w:color w:val="0070C0"/>
      <w:sz w:val="24"/>
      <w:szCs w:val="68"/>
      <w:lang w:bidi="es-ES"/>
    </w:rPr>
  </w:style>
  <w:style w:type="paragraph" w:customStyle="1" w:styleId="Parrafocaptulo">
    <w:name w:val="Parrafo capítulo"/>
    <w:basedOn w:val="Normal"/>
    <w:qFormat/>
    <w:rsid w:val="008B5F96"/>
    <w:pPr>
      <w:widowControl w:val="0"/>
      <w:autoSpaceDE w:val="0"/>
      <w:autoSpaceDN w:val="0"/>
      <w:spacing w:before="11"/>
    </w:pPr>
    <w:rPr>
      <w:rFonts w:ascii="Arial" w:eastAsia="Arial" w:hAnsi="Arial" w:cs="Arial"/>
      <w:sz w:val="28"/>
      <w:szCs w:val="21"/>
      <w:lang w:bidi="es-ES"/>
    </w:rPr>
  </w:style>
  <w:style w:type="paragraph" w:customStyle="1" w:styleId="Notasalpie">
    <w:name w:val="Notas al pie"/>
    <w:basedOn w:val="Normal"/>
    <w:qFormat/>
    <w:rsid w:val="008B5F96"/>
    <w:pPr>
      <w:spacing w:line="200" w:lineRule="exact"/>
      <w:jc w:val="both"/>
    </w:pPr>
    <w:rPr>
      <w:rFonts w:ascii="Arial" w:hAnsi="Arial" w:cs="Arial"/>
      <w:color w:val="000000"/>
      <w:sz w:val="16"/>
      <w:szCs w:val="18"/>
      <w:vertAlign w:val="superscript"/>
    </w:rPr>
  </w:style>
  <w:style w:type="paragraph" w:customStyle="1" w:styleId="alista">
    <w:name w:val="a. lista"/>
    <w:basedOn w:val="Normal"/>
    <w:qFormat/>
    <w:rsid w:val="008B5F96"/>
    <w:pPr>
      <w:keepLines/>
      <w:suppressAutoHyphens/>
      <w:spacing w:before="360" w:after="360"/>
      <w:ind w:left="9149" w:hanging="360"/>
      <w:jc w:val="both"/>
    </w:pPr>
    <w:rPr>
      <w:rFonts w:ascii="Arial" w:hAnsi="Arial"/>
      <w:sz w:val="22"/>
      <w:szCs w:val="24"/>
      <w:lang w:eastAsia="en-US"/>
    </w:rPr>
  </w:style>
  <w:style w:type="paragraph" w:customStyle="1" w:styleId="Textocaptulos">
    <w:name w:val="Texto capítulos"/>
    <w:basedOn w:val="Ttulo1"/>
    <w:next w:val="Ttulo1"/>
    <w:qFormat/>
    <w:rsid w:val="008B5F96"/>
    <w:pPr>
      <w:keepNext w:val="0"/>
      <w:widowControl w:val="0"/>
      <w:autoSpaceDE w:val="0"/>
      <w:autoSpaceDN w:val="0"/>
      <w:spacing w:before="120" w:after="600"/>
      <w:jc w:val="left"/>
    </w:pPr>
    <w:rPr>
      <w:rFonts w:ascii="Arial" w:eastAsia="Arial" w:hAnsi="Arial" w:cs="Arial"/>
      <w:b/>
      <w:bCs/>
      <w:color w:val="2C80D8"/>
      <w:sz w:val="72"/>
      <w:szCs w:val="72"/>
      <w:lang w:bidi="es-ES"/>
    </w:rPr>
  </w:style>
  <w:style w:type="paragraph" w:customStyle="1" w:styleId="TextoPresentacion">
    <w:name w:val="Texto Presentacion"/>
    <w:basedOn w:val="Texto"/>
    <w:qFormat/>
    <w:rsid w:val="008B5F96"/>
    <w:pPr>
      <w:keepLines/>
      <w:suppressAutoHyphens/>
      <w:spacing w:before="360" w:after="360" w:line="280" w:lineRule="atLeast"/>
      <w:ind w:left="5103"/>
    </w:pPr>
    <w:rPr>
      <w:rFonts w:ascii="Times New Roman" w:eastAsia="Arial" w:hAnsi="Times New Roman"/>
      <w:noProof/>
      <w:sz w:val="24"/>
    </w:rPr>
  </w:style>
  <w:style w:type="paragraph" w:customStyle="1" w:styleId="FirmaPresidente">
    <w:name w:val="Firma Presidente"/>
    <w:basedOn w:val="TextoPresentacion"/>
    <w:qFormat/>
    <w:rsid w:val="008B5F96"/>
    <w:pPr>
      <w:spacing w:before="0" w:after="0"/>
    </w:pPr>
  </w:style>
  <w:style w:type="paragraph" w:customStyle="1" w:styleId="Recuadro">
    <w:name w:val="Recuadro"/>
    <w:basedOn w:val="Normal"/>
    <w:qFormat/>
    <w:rsid w:val="008B5F96"/>
    <w:pPr>
      <w:widowControl w:val="0"/>
      <w:autoSpaceDE w:val="0"/>
      <w:autoSpaceDN w:val="0"/>
      <w:jc w:val="both"/>
    </w:pPr>
    <w:rPr>
      <w:rFonts w:ascii="Arial" w:eastAsia="Arial" w:hAnsi="Arial" w:cs="Arial"/>
      <w:szCs w:val="22"/>
      <w:lang w:bidi="es-ES"/>
    </w:rPr>
  </w:style>
  <w:style w:type="paragraph" w:customStyle="1" w:styleId="Titulorecuadro">
    <w:name w:val="Titulo recuadro"/>
    <w:basedOn w:val="Recuadro"/>
    <w:qFormat/>
    <w:rsid w:val="008B5F96"/>
    <w:pPr>
      <w:numPr>
        <w:numId w:val="7"/>
      </w:numPr>
      <w:shd w:val="clear" w:color="auto" w:fill="0070C0"/>
      <w:spacing w:before="120" w:after="120"/>
    </w:pPr>
    <w:rPr>
      <w:b/>
      <w:noProof/>
      <w:color w:val="FFFFFF"/>
      <w:sz w:val="24"/>
    </w:rPr>
  </w:style>
  <w:style w:type="paragraph" w:customStyle="1" w:styleId="Titulopresentacion">
    <w:name w:val="Titulo presentacion"/>
    <w:basedOn w:val="Textocaptulos"/>
    <w:qFormat/>
    <w:rsid w:val="008B5F96"/>
    <w:pPr>
      <w:ind w:left="3260"/>
    </w:pPr>
  </w:style>
  <w:style w:type="paragraph" w:customStyle="1" w:styleId="Contraportada">
    <w:name w:val="Contraportada"/>
    <w:basedOn w:val="Normal"/>
    <w:qFormat/>
    <w:rsid w:val="008B5F96"/>
    <w:pPr>
      <w:jc w:val="both"/>
    </w:pPr>
    <w:rPr>
      <w:rFonts w:ascii="Arial" w:hAnsi="Arial" w:cs="Arial"/>
      <w:color w:val="595959"/>
      <w:sz w:val="18"/>
      <w:szCs w:val="18"/>
    </w:rPr>
  </w:style>
  <w:style w:type="paragraph" w:customStyle="1" w:styleId="Cuadro1">
    <w:name w:val="Cuadro 1"/>
    <w:basedOn w:val="Graficos"/>
    <w:qFormat/>
    <w:rsid w:val="008B5F96"/>
    <w:pPr>
      <w:numPr>
        <w:numId w:val="15"/>
      </w:numPr>
    </w:pPr>
  </w:style>
  <w:style w:type="paragraph" w:customStyle="1" w:styleId="listanegrita">
    <w:name w:val="lista negrita"/>
    <w:basedOn w:val="Normal"/>
    <w:qFormat/>
    <w:rsid w:val="008B5F96"/>
    <w:pPr>
      <w:ind w:left="360"/>
      <w:contextualSpacing/>
      <w:jc w:val="both"/>
    </w:pPr>
    <w:rPr>
      <w:rFonts w:ascii="Arial" w:eastAsia="Arial" w:hAnsi="Arial" w:cs="Arial"/>
      <w:b/>
      <w:bCs/>
      <w:sz w:val="22"/>
      <w:szCs w:val="22"/>
      <w:lang w:bidi="es-ES"/>
    </w:rPr>
  </w:style>
  <w:style w:type="paragraph" w:customStyle="1" w:styleId="Estilo2">
    <w:name w:val="Estilo2"/>
    <w:basedOn w:val="Texto"/>
    <w:link w:val="Estilo2Car"/>
    <w:qFormat/>
    <w:rsid w:val="008B5F96"/>
    <w:pPr>
      <w:keepLines/>
      <w:suppressAutoHyphens/>
      <w:spacing w:before="360" w:after="360" w:line="280" w:lineRule="atLeast"/>
    </w:pPr>
    <w:rPr>
      <w:rFonts w:ascii="Times New Roman" w:eastAsia="Arial" w:hAnsi="Times New Roman"/>
      <w:noProof/>
      <w:sz w:val="24"/>
    </w:rPr>
  </w:style>
  <w:style w:type="paragraph" w:customStyle="1" w:styleId="Graficorecuadro">
    <w:name w:val="Grafico recuadro"/>
    <w:basedOn w:val="Recuadro"/>
    <w:qFormat/>
    <w:rsid w:val="008B5F96"/>
    <w:rPr>
      <w:b/>
      <w:color w:val="0070C0"/>
    </w:rPr>
  </w:style>
  <w:style w:type="character" w:customStyle="1" w:styleId="Mencinsinresolver1">
    <w:name w:val="Mención sin resolver1"/>
    <w:uiPriority w:val="99"/>
    <w:semiHidden/>
    <w:unhideWhenUsed/>
    <w:rsid w:val="008B5F96"/>
    <w:rPr>
      <w:color w:val="605E5C"/>
      <w:shd w:val="clear" w:color="auto" w:fill="E1DFDD"/>
    </w:rPr>
  </w:style>
  <w:style w:type="character" w:customStyle="1" w:styleId="Mencinsinresolver2">
    <w:name w:val="Mención sin resolver2"/>
    <w:uiPriority w:val="99"/>
    <w:semiHidden/>
    <w:unhideWhenUsed/>
    <w:rsid w:val="008B5F96"/>
    <w:rPr>
      <w:color w:val="605E5C"/>
      <w:shd w:val="clear" w:color="auto" w:fill="E1DFDD"/>
    </w:rPr>
  </w:style>
  <w:style w:type="paragraph" w:customStyle="1" w:styleId="CuadrosA">
    <w:name w:val="Cuadros A"/>
    <w:basedOn w:val="Cuadro1"/>
    <w:qFormat/>
    <w:rsid w:val="008B5F96"/>
    <w:pPr>
      <w:numPr>
        <w:numId w:val="21"/>
      </w:numPr>
      <w:ind w:left="0" w:firstLine="0"/>
    </w:pPr>
  </w:style>
  <w:style w:type="paragraph" w:customStyle="1" w:styleId="ACuadro">
    <w:name w:val="A Cuadro"/>
    <w:basedOn w:val="CuadrosA"/>
    <w:qFormat/>
    <w:rsid w:val="008B5F96"/>
    <w:pPr>
      <w:numPr>
        <w:numId w:val="19"/>
      </w:numPr>
      <w:ind w:left="0" w:firstLine="0"/>
    </w:pPr>
    <w:rPr>
      <w:lang w:val="es-CR"/>
    </w:rPr>
  </w:style>
  <w:style w:type="paragraph" w:customStyle="1" w:styleId="null">
    <w:name w:val="null"/>
    <w:basedOn w:val="Normal"/>
    <w:rsid w:val="008B5F96"/>
    <w:pPr>
      <w:spacing w:before="100" w:beforeAutospacing="1" w:after="100" w:afterAutospacing="1"/>
    </w:pPr>
    <w:rPr>
      <w:rFonts w:ascii="Calibri" w:eastAsia="Calibri" w:hAnsi="Calibri" w:cs="Calibri"/>
      <w:sz w:val="22"/>
      <w:szCs w:val="22"/>
      <w:lang w:val="es-CR" w:eastAsia="es-CR"/>
    </w:rPr>
  </w:style>
  <w:style w:type="character" w:customStyle="1" w:styleId="null1">
    <w:name w:val="null1"/>
    <w:rsid w:val="008B5F96"/>
  </w:style>
  <w:style w:type="character" w:customStyle="1" w:styleId="spelle">
    <w:name w:val="spelle"/>
    <w:rsid w:val="008B5F96"/>
  </w:style>
  <w:style w:type="table" w:customStyle="1" w:styleId="Tablaconcuadrcula4">
    <w:name w:val="Tabla con cuadrícula4"/>
    <w:basedOn w:val="Tablanormal"/>
    <w:next w:val="Tablaconcuadrcula"/>
    <w:uiPriority w:val="39"/>
    <w:rsid w:val="008B5F96"/>
    <w:pPr>
      <w:jc w:val="both"/>
    </w:pPr>
    <w:rPr>
      <w:rFonts w:eastAsia="Times New Roman"/>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aliases w:val="Título2 Car"/>
    <w:uiPriority w:val="10"/>
    <w:rsid w:val="008B5F96"/>
    <w:rPr>
      <w:rFonts w:ascii="Times New Roman" w:eastAsia="Times New Roman" w:hAnsi="Times New Roman"/>
      <w:b/>
      <w:sz w:val="32"/>
      <w:lang w:val="es-ES_tradnl" w:eastAsia="es-ES"/>
    </w:rPr>
  </w:style>
  <w:style w:type="character" w:customStyle="1" w:styleId="Puesto2">
    <w:name w:val="Puesto2"/>
    <w:rsid w:val="008B5F96"/>
  </w:style>
  <w:style w:type="character" w:customStyle="1" w:styleId="Ttulo20">
    <w:name w:val="Título2"/>
    <w:rsid w:val="008B5F96"/>
  </w:style>
  <w:style w:type="character" w:customStyle="1" w:styleId="Ttulo30">
    <w:name w:val="Título3"/>
    <w:rsid w:val="008B5F96"/>
  </w:style>
  <w:style w:type="table" w:styleId="Tablanormal1">
    <w:name w:val="Plain Table 1"/>
    <w:basedOn w:val="Tablanormal"/>
    <w:uiPriority w:val="99"/>
    <w:rsid w:val="008B5F96"/>
    <w:rPr>
      <w:rFonts w:ascii="Franklin Gothic Book" w:hAnsi="Franklin Gothic Book"/>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iedefoto">
    <w:name w:val="pie de foto"/>
    <w:basedOn w:val="Normal"/>
    <w:link w:val="piedefotoCar"/>
    <w:qFormat/>
    <w:rsid w:val="008B5F96"/>
    <w:pPr>
      <w:spacing w:before="120" w:after="120" w:line="312" w:lineRule="auto"/>
      <w:jc w:val="center"/>
    </w:pPr>
    <w:rPr>
      <w:rFonts w:ascii="Arial" w:eastAsia="Calibri" w:hAnsi="Arial"/>
      <w:i/>
      <w:sz w:val="16"/>
      <w:lang w:eastAsia="en-US"/>
    </w:rPr>
  </w:style>
  <w:style w:type="character" w:customStyle="1" w:styleId="piedefotoCar">
    <w:name w:val="pie de foto Car"/>
    <w:link w:val="piedefoto"/>
    <w:rsid w:val="008B5F96"/>
    <w:rPr>
      <w:rFonts w:ascii="Arial" w:hAnsi="Arial"/>
      <w:i/>
      <w:sz w:val="16"/>
      <w:lang w:val="es-ES" w:eastAsia="en-US"/>
    </w:rPr>
  </w:style>
  <w:style w:type="paragraph" w:customStyle="1" w:styleId="msonormal0">
    <w:name w:val="msonormal"/>
    <w:basedOn w:val="Normal"/>
    <w:rsid w:val="008B5F96"/>
    <w:pPr>
      <w:spacing w:before="100" w:beforeAutospacing="1" w:after="100" w:afterAutospacing="1"/>
    </w:pPr>
    <w:rPr>
      <w:sz w:val="24"/>
      <w:szCs w:val="24"/>
      <w:lang w:val="es-CR"/>
    </w:rPr>
  </w:style>
  <w:style w:type="character" w:customStyle="1" w:styleId="A17">
    <w:name w:val="A17"/>
    <w:uiPriority w:val="99"/>
    <w:rsid w:val="008B5F96"/>
    <w:rPr>
      <w:rFonts w:cs="Minion Pro"/>
      <w:color w:val="000000"/>
      <w:sz w:val="21"/>
      <w:szCs w:val="21"/>
    </w:rPr>
  </w:style>
  <w:style w:type="table" w:customStyle="1" w:styleId="TableNormal1">
    <w:name w:val="Table Normal1"/>
    <w:uiPriority w:val="2"/>
    <w:semiHidden/>
    <w:unhideWhenUsed/>
    <w:qFormat/>
    <w:rsid w:val="008B5F96"/>
    <w:tblPr>
      <w:tblInd w:w="0" w:type="dxa"/>
      <w:tblCellMar>
        <w:top w:w="0" w:type="dxa"/>
        <w:left w:w="108" w:type="dxa"/>
        <w:bottom w:w="0" w:type="dxa"/>
        <w:right w:w="108" w:type="dxa"/>
      </w:tblCellMar>
    </w:tblPr>
  </w:style>
  <w:style w:type="character" w:customStyle="1" w:styleId="Mencinsinresolver3">
    <w:name w:val="Mención sin resolver3"/>
    <w:uiPriority w:val="99"/>
    <w:semiHidden/>
    <w:unhideWhenUsed/>
    <w:rsid w:val="008B5F96"/>
    <w:rPr>
      <w:color w:val="605E5C"/>
      <w:shd w:val="clear" w:color="auto" w:fill="E1DFDD"/>
    </w:rPr>
  </w:style>
  <w:style w:type="paragraph" w:customStyle="1" w:styleId="Estilo30">
    <w:name w:val="Estilo3"/>
    <w:basedOn w:val="Graficos"/>
    <w:link w:val="Estilo3Car"/>
    <w:qFormat/>
    <w:rsid w:val="008B5F96"/>
    <w:pPr>
      <w:numPr>
        <w:numId w:val="0"/>
      </w:numPr>
      <w:spacing w:before="0" w:after="0"/>
      <w:ind w:hanging="360"/>
      <w:jc w:val="center"/>
    </w:pPr>
    <w:rPr>
      <w:rFonts w:ascii="Times New Roman" w:hAnsi="Times New Roman" w:cs="Times New Roman"/>
      <w:noProof/>
      <w:sz w:val="24"/>
      <w:lang w:val="es-CR" w:eastAsia="es-CR" w:bidi="ar-SA"/>
    </w:rPr>
  </w:style>
  <w:style w:type="paragraph" w:customStyle="1" w:styleId="EncabezadoRPM">
    <w:name w:val="Encabezado RPM"/>
    <w:basedOn w:val="Textoencabezado"/>
    <w:qFormat/>
    <w:rsid w:val="008B5F96"/>
    <w:pPr>
      <w:ind w:left="0"/>
      <w:jc w:val="left"/>
    </w:pPr>
    <w:rPr>
      <w:noProof/>
      <w:lang w:val="es-CR" w:eastAsia="es-CR" w:bidi="ar-SA"/>
    </w:rPr>
  </w:style>
  <w:style w:type="paragraph" w:customStyle="1" w:styleId="Notasgrficos">
    <w:name w:val="Notas gráficos"/>
    <w:basedOn w:val="Fuentegraficos"/>
    <w:qFormat/>
    <w:rsid w:val="008B5F96"/>
    <w:pPr>
      <w:spacing w:before="40" w:after="40"/>
    </w:pPr>
    <w:rPr>
      <w:noProof/>
      <w:sz w:val="20"/>
      <w:szCs w:val="20"/>
      <w:lang w:eastAsia="es-CR" w:bidi="ar-SA"/>
    </w:rPr>
  </w:style>
  <w:style w:type="paragraph" w:customStyle="1" w:styleId="INTRODUCCION">
    <w:name w:val="INTRODUCCION"/>
    <w:basedOn w:val="Parrafocaptulo"/>
    <w:qFormat/>
    <w:rsid w:val="008B5F96"/>
    <w:rPr>
      <w:b/>
      <w:noProof/>
      <w:color w:val="0A1A3C"/>
      <w:lang w:val="es-CR" w:eastAsia="es-CR" w:bidi="ar-SA"/>
    </w:rPr>
  </w:style>
  <w:style w:type="paragraph" w:customStyle="1" w:styleId="TituloIntroduccin">
    <w:name w:val="Titulo Introducción"/>
    <w:basedOn w:val="Parrafocaptulo"/>
    <w:qFormat/>
    <w:rsid w:val="008B5F96"/>
    <w:pPr>
      <w:spacing w:before="1000" w:after="360"/>
    </w:pPr>
    <w:rPr>
      <w:b/>
      <w:noProof/>
      <w:color w:val="0A1A3C"/>
      <w:lang w:val="es-CR" w:eastAsia="es-CR" w:bidi="ar-SA"/>
    </w:rPr>
  </w:style>
  <w:style w:type="paragraph" w:customStyle="1" w:styleId="Introduccion0">
    <w:name w:val="Introduccion"/>
    <w:basedOn w:val="Normal"/>
    <w:qFormat/>
    <w:rsid w:val="008B5F96"/>
    <w:pPr>
      <w:jc w:val="both"/>
    </w:pPr>
    <w:rPr>
      <w:rFonts w:ascii="Arial" w:hAnsi="Arial" w:cs="Arial"/>
      <w:noProof/>
      <w:color w:val="595959"/>
      <w:szCs w:val="18"/>
      <w:lang w:val="es-CR" w:eastAsia="es-CR"/>
    </w:rPr>
  </w:style>
  <w:style w:type="paragraph" w:customStyle="1" w:styleId="Directores">
    <w:name w:val="Directores"/>
    <w:basedOn w:val="Introduccion0"/>
    <w:qFormat/>
    <w:rsid w:val="008B5F96"/>
    <w:pPr>
      <w:spacing w:before="240" w:after="240"/>
      <w:jc w:val="center"/>
    </w:pPr>
    <w:rPr>
      <w:color w:val="0A1A3C"/>
      <w:sz w:val="21"/>
    </w:rPr>
  </w:style>
  <w:style w:type="paragraph" w:customStyle="1" w:styleId="FECHATITULO">
    <w:name w:val="FECHA TITULO"/>
    <w:basedOn w:val="TituloIntroduccin"/>
    <w:qFormat/>
    <w:rsid w:val="008B5F96"/>
    <w:pPr>
      <w:spacing w:before="0" w:after="240"/>
    </w:pPr>
    <w:rPr>
      <w:sz w:val="24"/>
      <w:szCs w:val="24"/>
    </w:rPr>
  </w:style>
  <w:style w:type="paragraph" w:customStyle="1" w:styleId="EstiloTtulo3Izquierda">
    <w:name w:val="Estilo Título 3 + Izquierda"/>
    <w:basedOn w:val="Ttulo3"/>
    <w:autoRedefine/>
    <w:rsid w:val="008B5F96"/>
    <w:pPr>
      <w:keepNext w:val="0"/>
      <w:widowControl w:val="0"/>
      <w:autoSpaceDE w:val="0"/>
      <w:autoSpaceDN w:val="0"/>
      <w:adjustRightInd w:val="0"/>
      <w:spacing w:before="360" w:after="240"/>
      <w:ind w:left="720" w:hanging="720"/>
    </w:pPr>
    <w:rPr>
      <w:rFonts w:ascii="Arial" w:hAnsi="Arial"/>
      <w:b w:val="0"/>
      <w:bCs w:val="0"/>
      <w:noProof/>
      <w:color w:val="0070C0"/>
      <w:sz w:val="22"/>
      <w:lang w:val="es-CR" w:eastAsia="es-CR"/>
    </w:rPr>
  </w:style>
  <w:style w:type="paragraph" w:customStyle="1" w:styleId="PiedePgina0">
    <w:name w:val="Pie de Página"/>
    <w:basedOn w:val="Normal"/>
    <w:link w:val="PiedePginaCar0"/>
    <w:qFormat/>
    <w:rsid w:val="008B5F96"/>
    <w:pPr>
      <w:jc w:val="both"/>
    </w:pPr>
    <w:rPr>
      <w:rFonts w:ascii="Arial" w:hAnsi="Arial"/>
      <w:noProof/>
      <w:color w:val="000000"/>
      <w:sz w:val="16"/>
      <w:szCs w:val="24"/>
      <w:lang w:val="es-ES_tradnl" w:eastAsia="es-CR"/>
    </w:rPr>
  </w:style>
  <w:style w:type="character" w:customStyle="1" w:styleId="PiedePginaCar0">
    <w:name w:val="Pie de Página Car"/>
    <w:link w:val="PiedePgina0"/>
    <w:rsid w:val="008B5F96"/>
    <w:rPr>
      <w:rFonts w:ascii="Arial" w:eastAsia="Times New Roman" w:hAnsi="Arial"/>
      <w:noProof/>
      <w:color w:val="000000"/>
      <w:sz w:val="16"/>
      <w:szCs w:val="24"/>
      <w:lang w:val="es-ES_tradnl"/>
    </w:rPr>
  </w:style>
  <w:style w:type="character" w:customStyle="1" w:styleId="Recuadronegrita">
    <w:name w:val="Recuadro negrita"/>
    <w:uiPriority w:val="1"/>
    <w:qFormat/>
    <w:rsid w:val="008B5F96"/>
    <w:rPr>
      <w:rFonts w:ascii="Arial" w:hAnsi="Arial"/>
      <w:b/>
      <w:sz w:val="20"/>
    </w:rPr>
  </w:style>
  <w:style w:type="paragraph" w:customStyle="1" w:styleId="Listaabc">
    <w:name w:val="Lista abc"/>
    <w:basedOn w:val="Normal"/>
    <w:qFormat/>
    <w:rsid w:val="008B5F96"/>
    <w:pPr>
      <w:spacing w:before="120" w:after="240"/>
      <w:jc w:val="both"/>
    </w:pPr>
    <w:rPr>
      <w:rFonts w:ascii="Arial" w:eastAsia="Arial" w:hAnsi="Arial" w:cs="Arial"/>
      <w:noProof/>
      <w:sz w:val="21"/>
      <w:szCs w:val="21"/>
      <w:lang w:val="es-CR" w:eastAsia="es-CR"/>
    </w:rPr>
  </w:style>
  <w:style w:type="paragraph" w:customStyle="1" w:styleId="Cuadrorecuadro">
    <w:name w:val="Cuadro recuadro"/>
    <w:basedOn w:val="ACuadro"/>
    <w:qFormat/>
    <w:rsid w:val="008B5F96"/>
    <w:pPr>
      <w:numPr>
        <w:numId w:val="9"/>
      </w:numPr>
      <w:spacing w:before="0" w:after="0"/>
      <w:ind w:left="0" w:firstLine="0"/>
      <w:jc w:val="center"/>
    </w:pPr>
    <w:rPr>
      <w:rFonts w:ascii="Times New Roman" w:hAnsi="Times New Roman" w:cs="Times New Roman"/>
      <w:noProof/>
      <w:sz w:val="24"/>
      <w:lang w:eastAsia="es-CR" w:bidi="ar-SA"/>
    </w:rPr>
  </w:style>
  <w:style w:type="paragraph" w:customStyle="1" w:styleId="Grafico">
    <w:name w:val="Grafico"/>
    <w:basedOn w:val="Normal"/>
    <w:qFormat/>
    <w:rsid w:val="008B5F96"/>
    <w:pPr>
      <w:jc w:val="both"/>
    </w:pPr>
    <w:rPr>
      <w:rFonts w:ascii="Calibri" w:eastAsia="Calibri" w:hAnsi="Calibri"/>
      <w:b/>
      <w:noProof/>
      <w:color w:val="000000"/>
      <w:szCs w:val="24"/>
      <w:lang w:val="es-ES_tradnl" w:eastAsia="en-US"/>
    </w:rPr>
  </w:style>
  <w:style w:type="paragraph" w:customStyle="1" w:styleId="Cuadro">
    <w:name w:val="Cuadro"/>
    <w:basedOn w:val="Grafico"/>
    <w:link w:val="CuadroCar"/>
    <w:qFormat/>
    <w:rsid w:val="008B5F96"/>
    <w:pPr>
      <w:numPr>
        <w:numId w:val="18"/>
      </w:numPr>
      <w:ind w:left="0" w:firstLine="0"/>
    </w:pPr>
  </w:style>
  <w:style w:type="paragraph" w:customStyle="1" w:styleId="Centrado">
    <w:name w:val="Centrado"/>
    <w:basedOn w:val="Normal"/>
    <w:qFormat/>
    <w:rsid w:val="008B5F96"/>
    <w:pPr>
      <w:widowControl w:val="0"/>
      <w:autoSpaceDE w:val="0"/>
      <w:autoSpaceDN w:val="0"/>
      <w:jc w:val="center"/>
    </w:pPr>
    <w:rPr>
      <w:rFonts w:ascii="Arial" w:eastAsia="Arial" w:hAnsi="Arial" w:cs="Arial"/>
      <w:noProof/>
      <w:sz w:val="21"/>
      <w:szCs w:val="22"/>
      <w:lang w:val="es-CR" w:eastAsia="es-CR"/>
    </w:rPr>
  </w:style>
  <w:style w:type="paragraph" w:customStyle="1" w:styleId="NR">
    <w:name w:val="NR"/>
    <w:basedOn w:val="Texto"/>
    <w:qFormat/>
    <w:rsid w:val="008B5F96"/>
    <w:pPr>
      <w:keepLines/>
      <w:suppressAutoHyphens/>
      <w:spacing w:before="240" w:after="240"/>
      <w:jc w:val="left"/>
    </w:pPr>
    <w:rPr>
      <w:rFonts w:ascii="Arial" w:eastAsia="Arial" w:hAnsi="Arial" w:cs="Arial"/>
      <w:b/>
      <w:noProof/>
      <w:color w:val="2870C0"/>
      <w:sz w:val="24"/>
      <w:szCs w:val="21"/>
    </w:rPr>
  </w:style>
  <w:style w:type="paragraph" w:customStyle="1" w:styleId="Figura">
    <w:name w:val="Figura"/>
    <w:basedOn w:val="Cuadro1"/>
    <w:qFormat/>
    <w:rsid w:val="008B5F96"/>
    <w:pPr>
      <w:numPr>
        <w:numId w:val="2"/>
      </w:numPr>
      <w:spacing w:before="0" w:after="0"/>
      <w:ind w:left="0" w:firstLine="0"/>
      <w:jc w:val="center"/>
    </w:pPr>
    <w:rPr>
      <w:rFonts w:ascii="Times New Roman" w:hAnsi="Times New Roman" w:cs="Times New Roman"/>
      <w:noProof/>
      <w:sz w:val="24"/>
      <w:lang w:val="es-CR" w:eastAsia="es-CR" w:bidi="ar-SA"/>
    </w:rPr>
  </w:style>
  <w:style w:type="paragraph" w:customStyle="1" w:styleId="Estilo4">
    <w:name w:val="Estilo 4"/>
    <w:basedOn w:val="Estilo30"/>
    <w:qFormat/>
    <w:rsid w:val="008B5F96"/>
    <w:pPr>
      <w:keepNext/>
      <w:keepLines/>
      <w:widowControl/>
      <w:tabs>
        <w:tab w:val="num" w:pos="360"/>
        <w:tab w:val="num" w:pos="1432"/>
      </w:tabs>
      <w:autoSpaceDE/>
      <w:autoSpaceDN/>
      <w:spacing w:before="480" w:after="240" w:line="276" w:lineRule="auto"/>
      <w:ind w:left="1432" w:hanging="864"/>
      <w:jc w:val="both"/>
      <w:outlineLvl w:val="2"/>
    </w:pPr>
    <w:rPr>
      <w:rFonts w:ascii="Franklin Gothic Medium" w:eastAsia="Times New Roman" w:hAnsi="Franklin Gothic Medium"/>
      <w:b w:val="0"/>
      <w:bCs/>
      <w:noProof w:val="0"/>
      <w:color w:val="44546A"/>
    </w:rPr>
  </w:style>
  <w:style w:type="table" w:styleId="Tablaconcuadrcula1clara">
    <w:name w:val="Grid Table 1 Light"/>
    <w:basedOn w:val="Tablanormal"/>
    <w:uiPriority w:val="46"/>
    <w:rsid w:val="008B5F96"/>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tulo40">
    <w:name w:val="Título4"/>
    <w:rsid w:val="008B5F96"/>
  </w:style>
  <w:style w:type="paragraph" w:customStyle="1" w:styleId="PrrafoTtulosCar1">
    <w:name w:val="Párrafo Títulos Car1"/>
    <w:basedOn w:val="Normal"/>
    <w:link w:val="PrrafoTtulosCar1Car"/>
    <w:rsid w:val="008B5F96"/>
    <w:pPr>
      <w:spacing w:before="160" w:after="160"/>
      <w:ind w:left="1701"/>
      <w:jc w:val="both"/>
    </w:pPr>
    <w:rPr>
      <w:rFonts w:ascii="Arial" w:hAnsi="Arial"/>
      <w:szCs w:val="24"/>
      <w:lang w:eastAsia="en-US"/>
    </w:rPr>
  </w:style>
  <w:style w:type="character" w:customStyle="1" w:styleId="PrrafoTtulosCar1Car">
    <w:name w:val="Párrafo Títulos Car1 Car"/>
    <w:link w:val="PrrafoTtulosCar1"/>
    <w:rsid w:val="008B5F96"/>
    <w:rPr>
      <w:rFonts w:ascii="Arial" w:eastAsia="Times New Roman" w:hAnsi="Arial"/>
      <w:szCs w:val="24"/>
      <w:lang w:val="es-ES" w:eastAsia="en-US"/>
    </w:rPr>
  </w:style>
  <w:style w:type="paragraph" w:customStyle="1" w:styleId="Car">
    <w:name w:val="Car"/>
    <w:basedOn w:val="Normal"/>
    <w:rsid w:val="008B5F96"/>
    <w:pPr>
      <w:spacing w:after="160" w:line="240" w:lineRule="exact"/>
    </w:pPr>
    <w:rPr>
      <w:rFonts w:ascii="Arial" w:eastAsia="MS Mincho" w:hAnsi="Arial"/>
      <w:lang w:eastAsia="en-US"/>
    </w:rPr>
  </w:style>
  <w:style w:type="character" w:customStyle="1" w:styleId="estilo11">
    <w:name w:val="estilo11"/>
    <w:rsid w:val="008B5F96"/>
    <w:rPr>
      <w:rFonts w:ascii="Arial" w:hAnsi="Arial" w:cs="Arial" w:hint="default"/>
      <w:sz w:val="20"/>
      <w:szCs w:val="20"/>
    </w:rPr>
  </w:style>
  <w:style w:type="paragraph" w:customStyle="1" w:styleId="Artculo">
    <w:name w:val="Artículo"/>
    <w:basedOn w:val="Normal"/>
    <w:next w:val="Normal"/>
    <w:qFormat/>
    <w:rsid w:val="008B5F96"/>
    <w:pPr>
      <w:widowControl w:val="0"/>
      <w:spacing w:before="120" w:after="120"/>
      <w:jc w:val="both"/>
    </w:pPr>
    <w:rPr>
      <w:rFonts w:eastAsia="Arial Unicode MS"/>
      <w:b/>
      <w:sz w:val="24"/>
      <w:szCs w:val="24"/>
    </w:rPr>
  </w:style>
  <w:style w:type="paragraph" w:customStyle="1" w:styleId="spc3">
    <w:name w:val="spc3"/>
    <w:rsid w:val="008B5F96"/>
    <w:pPr>
      <w:numPr>
        <w:numId w:val="13"/>
      </w:numPr>
      <w:tabs>
        <w:tab w:val="clear"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pPr>
    <w:rPr>
      <w:rFonts w:ascii="Switzerland" w:eastAsia="Times New Roman" w:hAnsi="Switzerland"/>
      <w:snapToGrid w:val="0"/>
      <w:sz w:val="8"/>
      <w:lang w:val="es-ES" w:eastAsia="es-ES"/>
    </w:rPr>
  </w:style>
  <w:style w:type="paragraph" w:customStyle="1" w:styleId="plansubcta">
    <w:name w:val="plansubcta"/>
    <w:basedOn w:val="Normal"/>
    <w:rsid w:val="008B5F96"/>
    <w:pPr>
      <w:tabs>
        <w:tab w:val="left" w:pos="2126"/>
        <w:tab w:val="left" w:pos="2552"/>
        <w:tab w:val="left" w:pos="3119"/>
        <w:tab w:val="left" w:pos="3969"/>
        <w:tab w:val="left" w:pos="5103"/>
        <w:tab w:val="center" w:pos="7796"/>
        <w:tab w:val="center" w:pos="8222"/>
        <w:tab w:val="center" w:pos="8647"/>
      </w:tabs>
      <w:ind w:left="567"/>
    </w:pPr>
    <w:rPr>
      <w:b/>
      <w:snapToGrid w:val="0"/>
      <w:sz w:val="24"/>
    </w:rPr>
  </w:style>
  <w:style w:type="paragraph" w:customStyle="1" w:styleId="BODYCUENTAS">
    <w:name w:val="BODY CUENTAS"/>
    <w:basedOn w:val="Normal"/>
    <w:rsid w:val="008B5F96"/>
    <w:pPr>
      <w:tabs>
        <w:tab w:val="left" w:pos="2126"/>
        <w:tab w:val="left" w:pos="2551"/>
        <w:tab w:val="left" w:pos="3515"/>
        <w:tab w:val="left" w:pos="4248"/>
        <w:tab w:val="left" w:pos="4956"/>
        <w:tab w:val="left" w:pos="5664"/>
        <w:tab w:val="left" w:pos="6372"/>
        <w:tab w:val="left" w:pos="7080"/>
      </w:tabs>
      <w:spacing w:after="60"/>
      <w:ind w:left="3515" w:hanging="2948"/>
      <w:jc w:val="both"/>
    </w:pPr>
    <w:rPr>
      <w:rFonts w:ascii="Arial" w:hAnsi="Arial"/>
      <w:b/>
      <w:snapToGrid w:val="0"/>
    </w:rPr>
  </w:style>
  <w:style w:type="paragraph" w:customStyle="1" w:styleId="NORMALSUB-CUENTAS">
    <w:name w:val="NORMAL SUB-CUENTAS"/>
    <w:basedOn w:val="Normal"/>
    <w:rsid w:val="008B5F96"/>
    <w:pPr>
      <w:tabs>
        <w:tab w:val="left" w:pos="3906"/>
        <w:tab w:val="left" w:pos="4956"/>
        <w:tab w:val="left" w:pos="5664"/>
        <w:tab w:val="left" w:pos="6372"/>
        <w:tab w:val="left" w:pos="7080"/>
      </w:tabs>
      <w:spacing w:after="60"/>
      <w:ind w:left="3912" w:hanging="1361"/>
      <w:jc w:val="both"/>
    </w:pPr>
    <w:rPr>
      <w:rFonts w:ascii="Ottawa" w:hAnsi="Ottawa"/>
      <w:snapToGrid w:val="0"/>
    </w:rPr>
  </w:style>
  <w:style w:type="paragraph" w:customStyle="1" w:styleId="EstiloTextoTimesNewRoman12pt">
    <w:name w:val="Estilo Texto + Times New Roman 12 pt"/>
    <w:basedOn w:val="Normal"/>
    <w:rsid w:val="008B5F96"/>
    <w:pPr>
      <w:spacing w:after="120"/>
      <w:jc w:val="both"/>
    </w:pPr>
    <w:rPr>
      <w:rFonts w:eastAsia="Arial Unicode MS" w:cs="Arial"/>
      <w:sz w:val="24"/>
    </w:rPr>
  </w:style>
  <w:style w:type="paragraph" w:customStyle="1" w:styleId="TextoInforme">
    <w:name w:val="Texto Informe"/>
    <w:basedOn w:val="Normal"/>
    <w:qFormat/>
    <w:rsid w:val="008B5F96"/>
    <w:pPr>
      <w:spacing w:after="200" w:line="276" w:lineRule="auto"/>
      <w:jc w:val="both"/>
    </w:pPr>
    <w:rPr>
      <w:rFonts w:ascii="Arial" w:eastAsia="Calibri" w:hAnsi="Arial" w:cs="Arial"/>
      <w:sz w:val="22"/>
      <w:szCs w:val="22"/>
      <w:lang w:val="es-CR" w:eastAsia="en-US"/>
    </w:rPr>
  </w:style>
  <w:style w:type="paragraph" w:customStyle="1" w:styleId="EMPTYCELLSTYLE">
    <w:name w:val="EMPTY_CELL_STYLE"/>
    <w:qFormat/>
    <w:rsid w:val="008B5F96"/>
    <w:rPr>
      <w:rFonts w:ascii="Times New Roman" w:eastAsia="Times New Roman" w:hAnsi="Times New Roman"/>
      <w:sz w:val="1"/>
    </w:rPr>
  </w:style>
  <w:style w:type="paragraph" w:customStyle="1" w:styleId="piepagina0">
    <w:name w:val="piepagina"/>
    <w:basedOn w:val="Normal"/>
    <w:rsid w:val="008B5F96"/>
    <w:pPr>
      <w:spacing w:before="100" w:beforeAutospacing="1" w:after="100" w:afterAutospacing="1"/>
    </w:pPr>
    <w:rPr>
      <w:sz w:val="24"/>
      <w:szCs w:val="24"/>
      <w:lang w:val="es-CR" w:eastAsia="es-CR"/>
    </w:rPr>
  </w:style>
  <w:style w:type="table" w:styleId="Tablaconcuadrcula50">
    <w:name w:val="Table Grid 5"/>
    <w:basedOn w:val="Tablanormal"/>
    <w:rsid w:val="008B5F96"/>
    <w:rPr>
      <w:rFonts w:ascii="Times New Roman" w:eastAsia="Times New Roman" w:hAnsi="Times New Roman"/>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staclara">
    <w:name w:val="Light List"/>
    <w:basedOn w:val="Tablanormal"/>
    <w:uiPriority w:val="61"/>
    <w:rsid w:val="008B5F96"/>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domedio1">
    <w:name w:val="Medium Shading 1"/>
    <w:basedOn w:val="Tablanormal"/>
    <w:uiPriority w:val="63"/>
    <w:rsid w:val="008B5F96"/>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52">
    <w:name w:val="Sombreado medio 1 - Énfasis 52"/>
    <w:basedOn w:val="Tablanormal"/>
    <w:next w:val="Tablanormal"/>
    <w:uiPriority w:val="63"/>
    <w:rsid w:val="008B5F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domedio1-nfasis511">
    <w:name w:val="Sombreado medio 1 - Énfasis 511"/>
    <w:basedOn w:val="Tablanormal"/>
    <w:next w:val="Tablanormal"/>
    <w:uiPriority w:val="63"/>
    <w:rsid w:val="008B5F96"/>
    <w:rPr>
      <w:rFonts w:eastAsia="Times New Roman"/>
      <w:lang w:val="es-ES" w:eastAsia="es-E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doclaro1">
    <w:name w:val="Sombreado claro1"/>
    <w:basedOn w:val="Tablanormal"/>
    <w:next w:val="Sombreadoclaro"/>
    <w:uiPriority w:val="60"/>
    <w:rsid w:val="008B5F96"/>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8B5F96"/>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font1">
    <w:name w:val="font1"/>
    <w:rsid w:val="008B5F96"/>
    <w:rPr>
      <w:rFonts w:ascii="Helvetica" w:hAnsi="Helvetica" w:cs="Helvetica" w:hint="default"/>
      <w:b w:val="0"/>
      <w:bCs w:val="0"/>
      <w:i w:val="0"/>
      <w:iCs w:val="0"/>
      <w:strike w:val="0"/>
      <w:dstrike w:val="0"/>
      <w:color w:val="000000"/>
      <w:sz w:val="18"/>
      <w:szCs w:val="18"/>
      <w:u w:val="none"/>
      <w:effect w:val="none"/>
    </w:rPr>
  </w:style>
  <w:style w:type="character" w:customStyle="1" w:styleId="TextodereglamentoChar">
    <w:name w:val="Texto de reglamento Char"/>
    <w:link w:val="Textodereglamento"/>
    <w:locked/>
    <w:rsid w:val="008B5F96"/>
    <w:rPr>
      <w:lang w:eastAsia="es-ES"/>
    </w:rPr>
  </w:style>
  <w:style w:type="paragraph" w:customStyle="1" w:styleId="Textodereglamento">
    <w:name w:val="Texto de reglamento"/>
    <w:basedOn w:val="Normal"/>
    <w:link w:val="TextodereglamentoChar"/>
    <w:qFormat/>
    <w:rsid w:val="008B5F96"/>
    <w:pPr>
      <w:spacing w:before="120"/>
      <w:jc w:val="both"/>
    </w:pPr>
    <w:rPr>
      <w:rFonts w:ascii="Calibri" w:eastAsia="Calibri" w:hAnsi="Calibri"/>
      <w:lang w:val="es-CR"/>
    </w:rPr>
  </w:style>
  <w:style w:type="paragraph" w:customStyle="1" w:styleId="incisos">
    <w:name w:val="incisos"/>
    <w:basedOn w:val="Normal"/>
    <w:qFormat/>
    <w:rsid w:val="008B5F96"/>
    <w:pPr>
      <w:numPr>
        <w:numId w:val="16"/>
      </w:numPr>
      <w:spacing w:before="60"/>
      <w:ind w:left="0" w:firstLine="0"/>
      <w:jc w:val="both"/>
    </w:pPr>
    <w:rPr>
      <w:rFonts w:eastAsia="Calibri"/>
      <w:sz w:val="22"/>
      <w:szCs w:val="22"/>
      <w:lang w:val="en-US"/>
    </w:rPr>
  </w:style>
  <w:style w:type="table" w:customStyle="1" w:styleId="Listaclara11">
    <w:name w:val="Lista clara11"/>
    <w:basedOn w:val="Tablanormal"/>
    <w:uiPriority w:val="61"/>
    <w:rsid w:val="008B5F96"/>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111">
    <w:name w:val="Tabla con cuadrícula111"/>
    <w:basedOn w:val="Tablanormal"/>
    <w:next w:val="Tablaconcuadrcula"/>
    <w:uiPriority w:val="59"/>
    <w:rsid w:val="008B5F96"/>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nEncabezado">
    <w:name w:val="Supen_Encabezado"/>
    <w:next w:val="Normal"/>
    <w:link w:val="SupenEncabezadoCar"/>
    <w:autoRedefine/>
    <w:qFormat/>
    <w:rsid w:val="008B5F96"/>
    <w:pPr>
      <w:spacing w:line="360" w:lineRule="auto"/>
    </w:pPr>
    <w:rPr>
      <w:rFonts w:ascii="Times New Roman" w:hAnsi="Times New Roman"/>
      <w:sz w:val="24"/>
      <w:szCs w:val="22"/>
      <w:lang w:val="es-ES" w:eastAsia="en-US"/>
    </w:rPr>
  </w:style>
  <w:style w:type="character" w:customStyle="1" w:styleId="SupenEncabezadoCar">
    <w:name w:val="Supen_Encabezado Car"/>
    <w:link w:val="SupenEncabezado"/>
    <w:rsid w:val="008B5F96"/>
    <w:rPr>
      <w:rFonts w:ascii="Times New Roman" w:hAnsi="Times New Roman"/>
      <w:sz w:val="24"/>
      <w:szCs w:val="22"/>
      <w:lang w:val="es-ES" w:eastAsia="en-US"/>
    </w:rPr>
  </w:style>
  <w:style w:type="paragraph" w:customStyle="1" w:styleId="CharCharCarCarCarCar">
    <w:name w:val="Char Char Car Car Car Car"/>
    <w:basedOn w:val="Normal"/>
    <w:autoRedefine/>
    <w:rsid w:val="008B5F96"/>
    <w:pPr>
      <w:spacing w:after="160" w:line="240" w:lineRule="exact"/>
    </w:pPr>
    <w:rPr>
      <w:rFonts w:ascii="Arial" w:eastAsia="Batang" w:hAnsi="Arial"/>
      <w:b/>
      <w:caps/>
      <w:sz w:val="16"/>
      <w:lang w:val="en-US" w:eastAsia="en-US"/>
    </w:rPr>
  </w:style>
  <w:style w:type="paragraph" w:customStyle="1" w:styleId="p31">
    <w:name w:val="p31"/>
    <w:basedOn w:val="Normal"/>
    <w:rsid w:val="008B5F96"/>
    <w:pPr>
      <w:widowControl w:val="0"/>
      <w:tabs>
        <w:tab w:val="left" w:pos="10834"/>
      </w:tabs>
      <w:autoSpaceDE w:val="0"/>
      <w:autoSpaceDN w:val="0"/>
      <w:adjustRightInd w:val="0"/>
      <w:spacing w:line="266" w:lineRule="atLeast"/>
      <w:ind w:left="879"/>
      <w:jc w:val="both"/>
    </w:pPr>
    <w:rPr>
      <w:sz w:val="24"/>
      <w:szCs w:val="24"/>
      <w:lang w:val="en-US" w:eastAsia="en-US"/>
    </w:rPr>
  </w:style>
  <w:style w:type="paragraph" w:customStyle="1" w:styleId="p32">
    <w:name w:val="p32"/>
    <w:basedOn w:val="Normal"/>
    <w:rsid w:val="008B5F96"/>
    <w:pPr>
      <w:widowControl w:val="0"/>
      <w:tabs>
        <w:tab w:val="left" w:pos="2001"/>
      </w:tabs>
      <w:autoSpaceDE w:val="0"/>
      <w:autoSpaceDN w:val="0"/>
      <w:adjustRightInd w:val="0"/>
      <w:spacing w:line="240" w:lineRule="atLeast"/>
      <w:ind w:left="561" w:hanging="2001"/>
    </w:pPr>
    <w:rPr>
      <w:sz w:val="24"/>
      <w:szCs w:val="24"/>
      <w:lang w:val="en-US" w:eastAsia="en-US"/>
    </w:rPr>
  </w:style>
  <w:style w:type="paragraph" w:customStyle="1" w:styleId="CarCar">
    <w:name w:val="Car Car"/>
    <w:basedOn w:val="Normal"/>
    <w:autoRedefine/>
    <w:rsid w:val="008B5F96"/>
    <w:pPr>
      <w:spacing w:after="160" w:line="240" w:lineRule="exact"/>
    </w:pPr>
    <w:rPr>
      <w:rFonts w:ascii="Arial" w:eastAsia="Batang" w:hAnsi="Arial"/>
      <w:b/>
      <w:caps/>
      <w:sz w:val="16"/>
      <w:lang w:val="en-US" w:eastAsia="en-US"/>
    </w:rPr>
  </w:style>
  <w:style w:type="character" w:customStyle="1" w:styleId="Textoindependiente3Car1">
    <w:name w:val="Texto independiente 3 Car1"/>
    <w:rsid w:val="008B5F96"/>
    <w:rPr>
      <w:rFonts w:ascii="Times New Roman" w:eastAsia="Times New Roman" w:hAnsi="Times New Roman" w:cs="Times New Roman" w:hint="default"/>
      <w:sz w:val="28"/>
      <w:szCs w:val="16"/>
      <w:lang w:val="es-ES" w:eastAsia="es-ES"/>
    </w:rPr>
  </w:style>
  <w:style w:type="paragraph" w:customStyle="1" w:styleId="noparagraphstyle">
    <w:name w:val="noparagraphstyle"/>
    <w:basedOn w:val="Normal"/>
    <w:rsid w:val="008B5F96"/>
    <w:pPr>
      <w:spacing w:before="100" w:beforeAutospacing="1" w:after="100" w:afterAutospacing="1"/>
    </w:pPr>
    <w:rPr>
      <w:sz w:val="24"/>
      <w:szCs w:val="24"/>
    </w:rPr>
  </w:style>
  <w:style w:type="paragraph" w:customStyle="1" w:styleId="FechaCNS">
    <w:name w:val="FechaCNS"/>
    <w:basedOn w:val="Normal"/>
    <w:qFormat/>
    <w:rsid w:val="008B5F96"/>
    <w:pPr>
      <w:spacing w:before="360"/>
      <w:ind w:left="567" w:hanging="567"/>
      <w:jc w:val="both"/>
    </w:pPr>
    <w:rPr>
      <w:sz w:val="22"/>
      <w:szCs w:val="22"/>
    </w:rPr>
  </w:style>
  <w:style w:type="character" w:customStyle="1" w:styleId="CuadroCar">
    <w:name w:val="Cuadro Car"/>
    <w:link w:val="Cuadro"/>
    <w:rsid w:val="008B5F96"/>
    <w:rPr>
      <w:b/>
      <w:noProof/>
      <w:color w:val="000000"/>
      <w:szCs w:val="24"/>
      <w:lang w:val="es-ES_tradnl" w:eastAsia="en-US"/>
    </w:rPr>
  </w:style>
  <w:style w:type="paragraph" w:customStyle="1" w:styleId="Pa6">
    <w:name w:val="Pa6"/>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12">
    <w:name w:val="Pa12"/>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16">
    <w:name w:val="Pa16"/>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17">
    <w:name w:val="Pa17"/>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18">
    <w:name w:val="Pa18"/>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7">
    <w:name w:val="Pa7"/>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Pa21">
    <w:name w:val="Pa21"/>
    <w:basedOn w:val="Default"/>
    <w:next w:val="Default"/>
    <w:uiPriority w:val="99"/>
    <w:rsid w:val="008B5F96"/>
    <w:pPr>
      <w:spacing w:line="201" w:lineRule="atLeast"/>
    </w:pPr>
    <w:rPr>
      <w:rFonts w:ascii="Times New Roman" w:hAnsi="Times New Roman" w:cs="Times New Roman"/>
      <w:color w:val="auto"/>
      <w:lang w:eastAsia="es-ES"/>
    </w:rPr>
  </w:style>
  <w:style w:type="paragraph" w:customStyle="1" w:styleId="Textoindependiente22">
    <w:name w:val="Texto independiente 22"/>
    <w:basedOn w:val="Normal"/>
    <w:rsid w:val="008B5F96"/>
    <w:pPr>
      <w:spacing w:line="360" w:lineRule="auto"/>
      <w:jc w:val="both"/>
    </w:pPr>
    <w:rPr>
      <w:sz w:val="24"/>
      <w:lang w:val="es-ES_tradnl"/>
    </w:rPr>
  </w:style>
  <w:style w:type="character" w:customStyle="1" w:styleId="CarCar4">
    <w:name w:val="Car Car4"/>
    <w:locked/>
    <w:rsid w:val="008B5F96"/>
    <w:rPr>
      <w:lang w:val="es-ES" w:eastAsia="es-ES" w:bidi="ar-SA"/>
    </w:rPr>
  </w:style>
  <w:style w:type="paragraph" w:customStyle="1" w:styleId="Textoindependiente23">
    <w:name w:val="Texto independiente 23"/>
    <w:basedOn w:val="Normal"/>
    <w:rsid w:val="008B5F96"/>
    <w:pPr>
      <w:spacing w:line="360" w:lineRule="auto"/>
      <w:jc w:val="both"/>
    </w:pPr>
    <w:rPr>
      <w:sz w:val="24"/>
      <w:lang w:val="es-ES_tradnl"/>
    </w:rPr>
  </w:style>
  <w:style w:type="character" w:customStyle="1" w:styleId="i">
    <w:name w:val="i"/>
    <w:rsid w:val="008B5F96"/>
    <w:rPr>
      <w:i/>
      <w:iCs/>
      <w:color w:val="003399"/>
    </w:rPr>
  </w:style>
  <w:style w:type="paragraph" w:customStyle="1" w:styleId="brandcopy">
    <w:name w:val="brand_copy"/>
    <w:basedOn w:val="Normal"/>
    <w:rsid w:val="008B5F96"/>
    <w:pPr>
      <w:spacing w:before="120"/>
    </w:pPr>
    <w:rPr>
      <w:rFonts w:ascii="Arial" w:hAnsi="Arial" w:cs="Arial"/>
      <w:sz w:val="15"/>
      <w:szCs w:val="15"/>
      <w:lang w:val="en-US" w:eastAsia="en-US"/>
    </w:rPr>
  </w:style>
  <w:style w:type="character" w:customStyle="1" w:styleId="hw1">
    <w:name w:val="hw1"/>
    <w:rsid w:val="008B5F96"/>
    <w:rPr>
      <w:b/>
      <w:bCs/>
      <w:sz w:val="29"/>
      <w:szCs w:val="29"/>
    </w:rPr>
  </w:style>
  <w:style w:type="character" w:customStyle="1" w:styleId="illustration1">
    <w:name w:val="illustration1"/>
    <w:rsid w:val="008B5F96"/>
    <w:rPr>
      <w:i/>
      <w:iCs/>
      <w:color w:val="226699"/>
    </w:rPr>
  </w:style>
  <w:style w:type="character" w:customStyle="1" w:styleId="syn1">
    <w:name w:val="syn1"/>
    <w:rsid w:val="008B5F96"/>
  </w:style>
  <w:style w:type="table" w:customStyle="1" w:styleId="GridTable1Light-Accent31">
    <w:name w:val="Grid Table 1 Light - Accent 31"/>
    <w:basedOn w:val="TableNormal1"/>
    <w:uiPriority w:val="46"/>
    <w:rsid w:val="008B5F96"/>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4-Accent51">
    <w:name w:val="Grid Table 4 - Accent 51"/>
    <w:basedOn w:val="TableNormal1"/>
    <w:uiPriority w:val="49"/>
    <w:rsid w:val="008B5F9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11">
    <w:name w:val="List Table 4 - Accent 11"/>
    <w:basedOn w:val="TableNormal1"/>
    <w:uiPriority w:val="49"/>
    <w:rsid w:val="008B5F9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1"/>
    <w:uiPriority w:val="46"/>
    <w:rsid w:val="008B5F96"/>
    <w:rPr>
      <w:sz w:val="24"/>
      <w:szCs w:val="24"/>
      <w:lang w:val="es-ES_tradn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z-FinaldelformularioCar1">
    <w:name w:val="z-Final del formulario Car1"/>
    <w:uiPriority w:val="99"/>
    <w:semiHidden/>
    <w:rsid w:val="008B5F96"/>
    <w:rPr>
      <w:rFonts w:ascii="Arial" w:eastAsia="Times New Roman" w:hAnsi="Arial" w:cs="Arial"/>
      <w:vanish/>
      <w:sz w:val="16"/>
      <w:szCs w:val="16"/>
      <w:lang w:eastAsia="es-ES"/>
    </w:rPr>
  </w:style>
  <w:style w:type="paragraph" w:customStyle="1" w:styleId="Heading316pt">
    <w:name w:val="Heading 3 + 16 pt"/>
    <w:aliases w:val="Not Italic + Times New Roman"/>
    <w:basedOn w:val="Normal"/>
    <w:rsid w:val="008B5F96"/>
    <w:pPr>
      <w:widowControl w:val="0"/>
      <w:numPr>
        <w:numId w:val="23"/>
      </w:numPr>
      <w:tabs>
        <w:tab w:val="clear" w:pos="284"/>
      </w:tabs>
      <w:ind w:left="0" w:firstLine="0"/>
      <w:jc w:val="both"/>
    </w:pPr>
    <w:rPr>
      <w:b/>
      <w:sz w:val="24"/>
      <w:szCs w:val="24"/>
      <w:lang w:val="es-MX"/>
    </w:rPr>
  </w:style>
  <w:style w:type="paragraph" w:customStyle="1" w:styleId="Evento">
    <w:name w:val="Evento"/>
    <w:basedOn w:val="Normal"/>
    <w:uiPriority w:val="99"/>
    <w:rsid w:val="008B5F96"/>
    <w:pPr>
      <w:spacing w:after="80"/>
    </w:pPr>
    <w:rPr>
      <w:rFonts w:ascii="Calibri" w:eastAsia="Calibri" w:hAnsi="Calibri"/>
      <w:sz w:val="18"/>
      <w:szCs w:val="22"/>
      <w:lang w:val="en-US" w:eastAsia="en-US"/>
    </w:rPr>
  </w:style>
  <w:style w:type="table" w:customStyle="1" w:styleId="Listaclara-nfasis11">
    <w:name w:val="Lista clara - Énfasis 11"/>
    <w:basedOn w:val="Tablanormal"/>
    <w:uiPriority w:val="61"/>
    <w:rsid w:val="008B5F96"/>
    <w:rPr>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
    <w:name w:val="TableGrid"/>
    <w:rsid w:val="008B5F96"/>
    <w:rPr>
      <w:rFonts w:eastAsia="Times New Roman"/>
      <w:sz w:val="22"/>
      <w:szCs w:val="22"/>
    </w:rPr>
    <w:tblPr>
      <w:tblCellMar>
        <w:top w:w="0" w:type="dxa"/>
        <w:left w:w="0" w:type="dxa"/>
        <w:bottom w:w="0" w:type="dxa"/>
        <w:right w:w="0" w:type="dxa"/>
      </w:tblCellMar>
    </w:tblPr>
  </w:style>
  <w:style w:type="table" w:customStyle="1" w:styleId="Tabladecuadrcula1clara1">
    <w:name w:val="Tabla de cuadrícula 1 clara1"/>
    <w:basedOn w:val="Tablanormal"/>
    <w:uiPriority w:val="46"/>
    <w:rsid w:val="008B5F96"/>
    <w:rPr>
      <w:sz w:val="22"/>
      <w:szCs w:val="22"/>
      <w:lang w:val="es-E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3">
    <w:name w:val="Tabla con cuadrícula3"/>
    <w:basedOn w:val="Tablanormal"/>
    <w:next w:val="Tablaconcuadrcula"/>
    <w:uiPriority w:val="59"/>
    <w:rsid w:val="008B5F96"/>
    <w:rPr>
      <w:rFonts w:ascii="Times New Roman" w:eastAsia="PMingLiU"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4">
    <w:name w:val="List 4"/>
    <w:basedOn w:val="Normal"/>
    <w:rsid w:val="008B5F96"/>
    <w:pPr>
      <w:ind w:left="1132" w:hanging="283"/>
    </w:pPr>
    <w:rPr>
      <w:sz w:val="24"/>
      <w:szCs w:val="24"/>
      <w:lang w:val="es-CR"/>
    </w:rPr>
  </w:style>
  <w:style w:type="paragraph" w:styleId="Listaconvietas2">
    <w:name w:val="List Bullet 2"/>
    <w:basedOn w:val="Normal"/>
    <w:rsid w:val="008B5F96"/>
    <w:pPr>
      <w:tabs>
        <w:tab w:val="num" w:pos="643"/>
      </w:tabs>
      <w:ind w:left="643" w:hanging="360"/>
    </w:pPr>
    <w:rPr>
      <w:sz w:val="24"/>
      <w:szCs w:val="24"/>
      <w:lang w:val="es-CR"/>
    </w:rPr>
  </w:style>
  <w:style w:type="paragraph" w:styleId="Continuarlista2">
    <w:name w:val="List Continue 2"/>
    <w:basedOn w:val="Normal"/>
    <w:rsid w:val="008B5F96"/>
    <w:pPr>
      <w:spacing w:after="120"/>
      <w:ind w:left="566"/>
    </w:pPr>
    <w:rPr>
      <w:sz w:val="24"/>
      <w:szCs w:val="24"/>
      <w:lang w:val="es-CR"/>
    </w:rPr>
  </w:style>
  <w:style w:type="paragraph" w:styleId="Continuarlista3">
    <w:name w:val="List Continue 3"/>
    <w:basedOn w:val="Normal"/>
    <w:rsid w:val="008B5F96"/>
    <w:pPr>
      <w:spacing w:after="120"/>
      <w:ind w:left="849"/>
    </w:pPr>
    <w:rPr>
      <w:sz w:val="24"/>
      <w:szCs w:val="24"/>
      <w:lang w:val="es-CR"/>
    </w:rPr>
  </w:style>
  <w:style w:type="paragraph" w:customStyle="1" w:styleId="EstiloArtculoTimesNewRoman12pt">
    <w:name w:val="Estilo Artículo + Times New Roman 12 pt"/>
    <w:basedOn w:val="Artculo"/>
    <w:rsid w:val="008B5F96"/>
    <w:pPr>
      <w:keepNext/>
      <w:widowControl/>
      <w:spacing w:before="180" w:after="60"/>
      <w:ind w:left="3232" w:hanging="3232"/>
      <w:jc w:val="left"/>
    </w:pPr>
    <w:rPr>
      <w:rFonts w:eastAsia="Times New Roman"/>
      <w:bCs/>
    </w:rPr>
  </w:style>
  <w:style w:type="character" w:customStyle="1" w:styleId="longtext">
    <w:name w:val="long_text"/>
    <w:rsid w:val="008B5F96"/>
  </w:style>
  <w:style w:type="paragraph" w:customStyle="1" w:styleId="Estilo1Tablacontenidos">
    <w:name w:val="Estilo1_Tabla contenidos"/>
    <w:basedOn w:val="Normal"/>
    <w:link w:val="Estilo1TablacontenidosCar"/>
    <w:qFormat/>
    <w:rsid w:val="008B5F96"/>
    <w:pPr>
      <w:widowControl w:val="0"/>
      <w:jc w:val="center"/>
    </w:pPr>
    <w:rPr>
      <w:rFonts w:ascii="Calibri" w:hAnsi="Calibri"/>
      <w:b/>
      <w:bCs/>
      <w:sz w:val="24"/>
      <w:szCs w:val="24"/>
      <w:lang w:val="es-CR"/>
    </w:rPr>
  </w:style>
  <w:style w:type="character" w:customStyle="1" w:styleId="Estilo1TablacontenidosCar">
    <w:name w:val="Estilo1_Tabla contenidos Car"/>
    <w:link w:val="Estilo1Tablacontenidos"/>
    <w:rsid w:val="008B5F96"/>
    <w:rPr>
      <w:rFonts w:eastAsia="Times New Roman"/>
      <w:b/>
      <w:bCs/>
      <w:sz w:val="24"/>
      <w:szCs w:val="24"/>
      <w:lang w:eastAsia="es-ES"/>
    </w:rPr>
  </w:style>
  <w:style w:type="paragraph" w:customStyle="1" w:styleId="A">
    <w:name w:val="A"/>
    <w:basedOn w:val="Estilo1Tablacontenidos"/>
    <w:next w:val="Ttulo1"/>
    <w:link w:val="ACar"/>
    <w:qFormat/>
    <w:rsid w:val="008B5F96"/>
  </w:style>
  <w:style w:type="character" w:customStyle="1" w:styleId="ACar">
    <w:name w:val="A Car"/>
    <w:link w:val="A"/>
    <w:rsid w:val="008B5F96"/>
    <w:rPr>
      <w:rFonts w:eastAsia="Times New Roman"/>
      <w:b/>
      <w:bCs/>
      <w:sz w:val="24"/>
      <w:szCs w:val="24"/>
      <w:lang w:eastAsia="es-ES"/>
    </w:rPr>
  </w:style>
  <w:style w:type="character" w:customStyle="1" w:styleId="PuestoCar1">
    <w:name w:val="Puesto Car1"/>
    <w:uiPriority w:val="10"/>
    <w:rsid w:val="008B5F96"/>
    <w:rPr>
      <w:rFonts w:ascii="Calibri Light" w:eastAsia="Times New Roman" w:hAnsi="Calibri Light" w:cs="Times New Roman"/>
      <w:spacing w:val="-10"/>
      <w:kern w:val="28"/>
      <w:sz w:val="56"/>
      <w:szCs w:val="56"/>
      <w:lang w:eastAsia="es-ES"/>
    </w:rPr>
  </w:style>
  <w:style w:type="paragraph" w:customStyle="1" w:styleId="Pa0">
    <w:name w:val="Pa0"/>
    <w:basedOn w:val="Default"/>
    <w:next w:val="Default"/>
    <w:uiPriority w:val="99"/>
    <w:rsid w:val="008B5F96"/>
    <w:pPr>
      <w:spacing w:line="241" w:lineRule="atLeast"/>
    </w:pPr>
    <w:rPr>
      <w:rFonts w:ascii="Calibri" w:eastAsia="Calibri" w:hAnsi="Calibri" w:cs="Times New Roman"/>
      <w:color w:val="auto"/>
      <w:lang w:eastAsia="en-US"/>
    </w:rPr>
  </w:style>
  <w:style w:type="character" w:customStyle="1" w:styleId="A1">
    <w:name w:val="A1"/>
    <w:uiPriority w:val="99"/>
    <w:rsid w:val="008B5F96"/>
    <w:rPr>
      <w:rFonts w:cs="Calibri"/>
      <w:color w:val="000000"/>
      <w:sz w:val="28"/>
      <w:szCs w:val="28"/>
    </w:rPr>
  </w:style>
  <w:style w:type="character" w:customStyle="1" w:styleId="A0">
    <w:name w:val="A0"/>
    <w:uiPriority w:val="99"/>
    <w:rsid w:val="008B5F96"/>
    <w:rPr>
      <w:b/>
      <w:bCs/>
      <w:color w:val="000000"/>
      <w:sz w:val="36"/>
      <w:szCs w:val="36"/>
    </w:rPr>
  </w:style>
  <w:style w:type="character" w:customStyle="1" w:styleId="notranslate">
    <w:name w:val="notranslate"/>
    <w:rsid w:val="008B5F96"/>
  </w:style>
  <w:style w:type="character" w:customStyle="1" w:styleId="google-src-text1">
    <w:name w:val="google-src-text1"/>
    <w:rsid w:val="008B5F96"/>
    <w:rPr>
      <w:vanish/>
      <w:webHidden w:val="0"/>
      <w:specVanish w:val="0"/>
    </w:rPr>
  </w:style>
  <w:style w:type="paragraph" w:customStyle="1" w:styleId="Numeracin">
    <w:name w:val="Numeración"/>
    <w:basedOn w:val="Textodereglamento"/>
    <w:link w:val="NumeracinChar"/>
    <w:qFormat/>
    <w:rsid w:val="008B5F96"/>
    <w:pPr>
      <w:numPr>
        <w:numId w:val="14"/>
      </w:numPr>
      <w:ind w:left="0" w:firstLine="0"/>
    </w:pPr>
    <w:rPr>
      <w:sz w:val="22"/>
      <w:szCs w:val="22"/>
      <w:lang w:eastAsia="en-US"/>
    </w:rPr>
  </w:style>
  <w:style w:type="character" w:customStyle="1" w:styleId="NumeracinChar">
    <w:name w:val="Numeración Char"/>
    <w:link w:val="Numeracin"/>
    <w:rsid w:val="008B5F96"/>
    <w:rPr>
      <w:sz w:val="22"/>
      <w:szCs w:val="22"/>
      <w:lang w:eastAsia="en-US"/>
    </w:rPr>
  </w:style>
  <w:style w:type="paragraph" w:customStyle="1" w:styleId="Pa51">
    <w:name w:val="Pa5+1"/>
    <w:basedOn w:val="Normal"/>
    <w:next w:val="Normal"/>
    <w:uiPriority w:val="99"/>
    <w:rsid w:val="008B5F96"/>
    <w:pPr>
      <w:autoSpaceDE w:val="0"/>
      <w:autoSpaceDN w:val="0"/>
      <w:adjustRightInd w:val="0"/>
      <w:spacing w:line="201" w:lineRule="atLeast"/>
    </w:pPr>
    <w:rPr>
      <w:rFonts w:eastAsia="Calibri"/>
      <w:sz w:val="24"/>
      <w:szCs w:val="24"/>
      <w:lang w:val="es-CR" w:eastAsia="en-US"/>
    </w:rPr>
  </w:style>
  <w:style w:type="numbering" w:customStyle="1" w:styleId="Sinlista11">
    <w:name w:val="Sin lista11"/>
    <w:next w:val="Sinlista"/>
    <w:uiPriority w:val="99"/>
    <w:semiHidden/>
    <w:unhideWhenUsed/>
    <w:rsid w:val="008B5F96"/>
  </w:style>
  <w:style w:type="table" w:customStyle="1" w:styleId="Tablaconcuadrcula21">
    <w:name w:val="Tabla con cuadrícula21"/>
    <w:basedOn w:val="Tablanormal"/>
    <w:next w:val="Tablaconcuadrcula"/>
    <w:uiPriority w:val="59"/>
    <w:rsid w:val="008B5F96"/>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8B5F96"/>
  </w:style>
  <w:style w:type="paragraph" w:customStyle="1" w:styleId="Cuerpo">
    <w:name w:val="Cuerpo"/>
    <w:rsid w:val="008B5F96"/>
    <w:pPr>
      <w:pBdr>
        <w:top w:val="nil"/>
        <w:left w:val="nil"/>
        <w:bottom w:val="nil"/>
        <w:right w:val="nil"/>
        <w:between w:val="nil"/>
        <w:bar w:val="nil"/>
      </w:pBdr>
    </w:pPr>
    <w:rPr>
      <w:rFonts w:ascii="Helvetica" w:eastAsia="Arial Unicode MS" w:hAnsi="Arial Unicode MS" w:cs="Arial Unicode MS"/>
      <w:color w:val="000000"/>
      <w:sz w:val="22"/>
      <w:szCs w:val="22"/>
      <w:bdr w:val="nil"/>
      <w:lang w:val="es-ES_tradnl"/>
    </w:rPr>
  </w:style>
  <w:style w:type="character" w:customStyle="1" w:styleId="rnvifontlist1">
    <w:name w:val="rnvi_font_list1"/>
    <w:rsid w:val="008B5F96"/>
    <w:rPr>
      <w:rFonts w:ascii="Arial" w:hAnsi="Arial" w:cs="Arial" w:hint="default"/>
      <w:b w:val="0"/>
      <w:bCs w:val="0"/>
      <w:i w:val="0"/>
      <w:iCs w:val="0"/>
      <w:strike w:val="0"/>
      <w:dstrike w:val="0"/>
      <w:color w:val="000000"/>
      <w:sz w:val="20"/>
      <w:szCs w:val="20"/>
      <w:u w:val="none"/>
      <w:effect w:val="none"/>
      <w:bdr w:val="none" w:sz="0" w:space="0" w:color="auto" w:frame="1"/>
    </w:rPr>
  </w:style>
  <w:style w:type="paragraph" w:customStyle="1" w:styleId="Textoindependiente24">
    <w:name w:val="Texto independiente 24"/>
    <w:basedOn w:val="Normal"/>
    <w:rsid w:val="008B5F96"/>
    <w:pPr>
      <w:spacing w:line="360" w:lineRule="auto"/>
      <w:jc w:val="both"/>
    </w:pPr>
    <w:rPr>
      <w:sz w:val="24"/>
      <w:lang w:val="es-ES_tradnl"/>
    </w:rPr>
  </w:style>
  <w:style w:type="table" w:styleId="Tablabsica1">
    <w:name w:val="Table Simple 1"/>
    <w:basedOn w:val="Tablanormal"/>
    <w:rsid w:val="008B5F96"/>
    <w:rPr>
      <w:rFonts w:ascii="Times New Roman" w:eastAsia="Times New Roman" w:hAnsi="Times New Roman"/>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angranormal">
    <w:name w:val="Normal Indent"/>
    <w:basedOn w:val="Normal"/>
    <w:rsid w:val="008B5F96"/>
    <w:pPr>
      <w:ind w:left="708"/>
    </w:pPr>
    <w:rPr>
      <w:sz w:val="24"/>
      <w:szCs w:val="24"/>
      <w:lang w:val="es-CR"/>
    </w:rPr>
  </w:style>
  <w:style w:type="paragraph" w:customStyle="1" w:styleId="Textoindependiente221">
    <w:name w:val="Texto independiente 221"/>
    <w:basedOn w:val="Normal"/>
    <w:rsid w:val="008B5F96"/>
    <w:pPr>
      <w:spacing w:line="360" w:lineRule="auto"/>
      <w:jc w:val="both"/>
    </w:pPr>
    <w:rPr>
      <w:sz w:val="24"/>
      <w:lang w:val="es-ES_tradnl"/>
    </w:rPr>
  </w:style>
  <w:style w:type="paragraph" w:customStyle="1" w:styleId="Textoindependiente25">
    <w:name w:val="Texto independiente 25"/>
    <w:basedOn w:val="Normal"/>
    <w:rsid w:val="008B5F96"/>
    <w:pPr>
      <w:spacing w:line="360" w:lineRule="auto"/>
      <w:jc w:val="both"/>
    </w:pPr>
    <w:rPr>
      <w:sz w:val="24"/>
      <w:lang w:val="es-ES_tradnl"/>
    </w:rPr>
  </w:style>
  <w:style w:type="paragraph" w:customStyle="1" w:styleId="Cuadrculamedia21">
    <w:name w:val="Cuadrícula media 21"/>
    <w:uiPriority w:val="1"/>
    <w:qFormat/>
    <w:rsid w:val="008B5F96"/>
    <w:rPr>
      <w:sz w:val="22"/>
      <w:szCs w:val="22"/>
      <w:lang w:val="es-ES" w:eastAsia="en-US"/>
    </w:rPr>
  </w:style>
  <w:style w:type="character" w:customStyle="1" w:styleId="b1">
    <w:name w:val="b1"/>
    <w:rsid w:val="008B5F96"/>
    <w:rPr>
      <w:color w:val="000000"/>
    </w:rPr>
  </w:style>
  <w:style w:type="paragraph" w:customStyle="1" w:styleId="j">
    <w:name w:val="j"/>
    <w:basedOn w:val="Normal"/>
    <w:rsid w:val="008B5F96"/>
    <w:pPr>
      <w:spacing w:after="120"/>
    </w:pPr>
    <w:rPr>
      <w:sz w:val="24"/>
      <w:szCs w:val="24"/>
      <w:lang w:val="es-CR" w:eastAsia="es-CR"/>
    </w:rPr>
  </w:style>
  <w:style w:type="character" w:customStyle="1" w:styleId="nacep">
    <w:name w:val="n_acep"/>
    <w:rsid w:val="008B5F96"/>
  </w:style>
  <w:style w:type="character" w:customStyle="1" w:styleId="Ninguno">
    <w:name w:val="Ninguno"/>
    <w:rsid w:val="008B5F96"/>
    <w:rPr>
      <w:lang w:val="es-ES_tradnl"/>
    </w:rPr>
  </w:style>
  <w:style w:type="character" w:customStyle="1" w:styleId="grame">
    <w:name w:val="grame"/>
    <w:rsid w:val="008B5F96"/>
  </w:style>
  <w:style w:type="paragraph" w:customStyle="1" w:styleId="Textoindependiente26">
    <w:name w:val="Texto independiente 26"/>
    <w:basedOn w:val="Normal"/>
    <w:rsid w:val="008B5F96"/>
    <w:pPr>
      <w:spacing w:line="360" w:lineRule="auto"/>
      <w:jc w:val="both"/>
    </w:pPr>
    <w:rPr>
      <w:sz w:val="24"/>
      <w:lang w:val="es-ES_tradnl"/>
    </w:rPr>
  </w:style>
  <w:style w:type="character" w:customStyle="1" w:styleId="textocarta">
    <w:name w:val="texto carta"/>
    <w:qFormat/>
    <w:rsid w:val="008B5F96"/>
    <w:rPr>
      <w:rFonts w:ascii="Franklin Gothic Book" w:hAnsi="Franklin Gothic Book" w:cs="Arial" w:hint="default"/>
      <w:b w:val="0"/>
      <w:bCs w:val="0"/>
      <w:i w:val="0"/>
      <w:iCs w:val="0"/>
      <w:caps w:val="0"/>
      <w:smallCaps w:val="0"/>
      <w:strike w:val="0"/>
      <w:dstrike w:val="0"/>
      <w:color w:val="000000"/>
      <w:sz w:val="22"/>
      <w:szCs w:val="20"/>
      <w:u w:val="none"/>
      <w:effect w:val="none"/>
    </w:rPr>
  </w:style>
  <w:style w:type="character" w:customStyle="1" w:styleId="st1">
    <w:name w:val="st1"/>
    <w:rsid w:val="008B5F96"/>
  </w:style>
  <w:style w:type="paragraph" w:customStyle="1" w:styleId="Textoindependiente27">
    <w:name w:val="Texto independiente 27"/>
    <w:basedOn w:val="Normal"/>
    <w:rsid w:val="008B5F96"/>
    <w:pPr>
      <w:spacing w:line="360" w:lineRule="auto"/>
      <w:jc w:val="both"/>
    </w:pPr>
    <w:rPr>
      <w:sz w:val="24"/>
      <w:lang w:val="es-ES_tradnl"/>
    </w:rPr>
  </w:style>
  <w:style w:type="paragraph" w:styleId="Remitedesobre">
    <w:name w:val="envelope return"/>
    <w:basedOn w:val="Normal"/>
    <w:unhideWhenUsed/>
    <w:rsid w:val="008B5F96"/>
    <w:rPr>
      <w:rFonts w:ascii="Arial" w:hAnsi="Arial" w:cs="Arial"/>
      <w:b/>
      <w:lang w:val="es-CR"/>
    </w:rPr>
  </w:style>
  <w:style w:type="paragraph" w:customStyle="1" w:styleId="Pa3">
    <w:name w:val="Pa3"/>
    <w:basedOn w:val="Normal"/>
    <w:next w:val="Normal"/>
    <w:uiPriority w:val="99"/>
    <w:rsid w:val="008B5F96"/>
    <w:pPr>
      <w:autoSpaceDE w:val="0"/>
      <w:autoSpaceDN w:val="0"/>
      <w:adjustRightInd w:val="0"/>
      <w:spacing w:line="201" w:lineRule="atLeast"/>
    </w:pPr>
    <w:rPr>
      <w:rFonts w:eastAsia="Calibri"/>
      <w:sz w:val="24"/>
      <w:szCs w:val="24"/>
      <w:lang w:val="es-CR" w:eastAsia="en-US"/>
    </w:rPr>
  </w:style>
  <w:style w:type="paragraph" w:customStyle="1" w:styleId="Pa210">
    <w:name w:val="Pa2+1"/>
    <w:basedOn w:val="Normal"/>
    <w:next w:val="Normal"/>
    <w:uiPriority w:val="99"/>
    <w:rsid w:val="008B5F96"/>
    <w:pPr>
      <w:autoSpaceDE w:val="0"/>
      <w:autoSpaceDN w:val="0"/>
      <w:adjustRightInd w:val="0"/>
      <w:spacing w:line="201" w:lineRule="atLeast"/>
    </w:pPr>
    <w:rPr>
      <w:rFonts w:eastAsia="Calibri"/>
      <w:sz w:val="24"/>
      <w:szCs w:val="24"/>
      <w:lang w:val="es-CR" w:eastAsia="en-US"/>
    </w:rPr>
  </w:style>
  <w:style w:type="character" w:customStyle="1" w:styleId="Estilo2Car">
    <w:name w:val="Estilo2 Car"/>
    <w:link w:val="Estilo2"/>
    <w:locked/>
    <w:rsid w:val="008B5F96"/>
    <w:rPr>
      <w:rFonts w:ascii="Times New Roman" w:eastAsia="Arial" w:hAnsi="Times New Roman"/>
      <w:noProof/>
      <w:sz w:val="24"/>
      <w:szCs w:val="24"/>
      <w:lang w:eastAsia="en-US"/>
    </w:rPr>
  </w:style>
  <w:style w:type="character" w:customStyle="1" w:styleId="Estilo3Car">
    <w:name w:val="Estilo3 Car"/>
    <w:link w:val="Estilo30"/>
    <w:locked/>
    <w:rsid w:val="008B5F96"/>
    <w:rPr>
      <w:rFonts w:ascii="Times New Roman" w:eastAsia="Arial" w:hAnsi="Times New Roman"/>
      <w:b/>
      <w:noProof/>
      <w:color w:val="0070C0"/>
      <w:sz w:val="24"/>
      <w:szCs w:val="22"/>
    </w:rPr>
  </w:style>
  <w:style w:type="paragraph" w:customStyle="1" w:styleId="formatolibre1">
    <w:name w:val="formatolibre1"/>
    <w:basedOn w:val="Normal"/>
    <w:rsid w:val="008B5F96"/>
    <w:pPr>
      <w:spacing w:after="150"/>
      <w:jc w:val="both"/>
      <w:textAlignment w:val="top"/>
    </w:pPr>
    <w:rPr>
      <w:color w:val="000015"/>
      <w:sz w:val="17"/>
      <w:szCs w:val="17"/>
      <w:lang w:val="es-CR" w:eastAsia="es-CR"/>
    </w:rPr>
  </w:style>
  <w:style w:type="paragraph" w:customStyle="1" w:styleId="Textoindependiente28">
    <w:name w:val="Texto independiente 28"/>
    <w:basedOn w:val="Normal"/>
    <w:rsid w:val="008B5F96"/>
    <w:pPr>
      <w:spacing w:line="360" w:lineRule="auto"/>
      <w:jc w:val="both"/>
    </w:pPr>
    <w:rPr>
      <w:sz w:val="24"/>
      <w:lang w:val="es-ES_tradnl"/>
    </w:rPr>
  </w:style>
  <w:style w:type="paragraph" w:customStyle="1" w:styleId="Textoindependiente29">
    <w:name w:val="Texto independiente 29"/>
    <w:basedOn w:val="Normal"/>
    <w:rsid w:val="008B5F96"/>
    <w:pPr>
      <w:spacing w:line="360" w:lineRule="auto"/>
      <w:jc w:val="both"/>
    </w:pPr>
    <w:rPr>
      <w:sz w:val="24"/>
      <w:lang w:val="es-ES_tradnl"/>
    </w:rPr>
  </w:style>
  <w:style w:type="paragraph" w:customStyle="1" w:styleId="Textoindependiente210">
    <w:name w:val="Texto independiente 210"/>
    <w:basedOn w:val="Normal"/>
    <w:rsid w:val="008B5F96"/>
    <w:pPr>
      <w:spacing w:line="360" w:lineRule="auto"/>
      <w:jc w:val="both"/>
    </w:pPr>
    <w:rPr>
      <w:sz w:val="24"/>
      <w:lang w:val="es-ES_tradnl"/>
    </w:rPr>
  </w:style>
  <w:style w:type="paragraph" w:customStyle="1" w:styleId="Textoindependiente212">
    <w:name w:val="Texto independiente 212"/>
    <w:basedOn w:val="Normal"/>
    <w:rsid w:val="008B5F96"/>
    <w:pPr>
      <w:spacing w:line="360" w:lineRule="auto"/>
      <w:jc w:val="both"/>
    </w:pPr>
    <w:rPr>
      <w:sz w:val="24"/>
      <w:lang w:val="es-ES_tradnl"/>
    </w:rPr>
  </w:style>
  <w:style w:type="paragraph" w:customStyle="1" w:styleId="Textoindependiente213">
    <w:name w:val="Texto independiente 213"/>
    <w:basedOn w:val="Normal"/>
    <w:rsid w:val="008B5F96"/>
    <w:pPr>
      <w:spacing w:line="360" w:lineRule="auto"/>
      <w:jc w:val="both"/>
    </w:pPr>
    <w:rPr>
      <w:sz w:val="24"/>
      <w:lang w:val="es-ES_tradnl"/>
    </w:rPr>
  </w:style>
  <w:style w:type="paragraph" w:customStyle="1" w:styleId="BodyText31">
    <w:name w:val="Body Text 31"/>
    <w:basedOn w:val="Normal"/>
    <w:rsid w:val="008B5F96"/>
    <w:rPr>
      <w:rFonts w:eastAsia="MS Mincho"/>
      <w:b/>
      <w:sz w:val="40"/>
      <w:lang w:val="es-CR"/>
    </w:rPr>
  </w:style>
  <w:style w:type="paragraph" w:customStyle="1" w:styleId="PARRAFOARTICULO">
    <w:name w:val="PARRAFO ARTICULO"/>
    <w:rsid w:val="008B5F96"/>
    <w:pPr>
      <w:widowControl w:val="0"/>
      <w:overflowPunct w:val="0"/>
      <w:autoSpaceDE w:val="0"/>
      <w:autoSpaceDN w:val="0"/>
      <w:adjustRightInd w:val="0"/>
      <w:spacing w:before="100" w:after="40" w:line="220" w:lineRule="exact"/>
      <w:jc w:val="both"/>
      <w:textAlignment w:val="baseline"/>
    </w:pPr>
    <w:rPr>
      <w:rFonts w:ascii="Helvetica-Narrow" w:eastAsia="Times New Roman" w:hAnsi="Helvetica-Narrow"/>
      <w:sz w:val="22"/>
      <w:lang w:val="es-ES" w:eastAsia="es-ES"/>
    </w:rPr>
  </w:style>
  <w:style w:type="paragraph" w:customStyle="1" w:styleId="Textosinformato2">
    <w:name w:val="Texto sin formato2"/>
    <w:basedOn w:val="Normal"/>
    <w:rsid w:val="008B5F96"/>
    <w:pPr>
      <w:overflowPunct w:val="0"/>
      <w:autoSpaceDE w:val="0"/>
      <w:autoSpaceDN w:val="0"/>
      <w:adjustRightInd w:val="0"/>
      <w:textAlignment w:val="baseline"/>
    </w:pPr>
    <w:rPr>
      <w:rFonts w:ascii="Courier New" w:hAnsi="Courier New"/>
    </w:rPr>
  </w:style>
  <w:style w:type="character" w:customStyle="1" w:styleId="TextoCar1">
    <w:name w:val="Texto Car1"/>
    <w:locked/>
    <w:rsid w:val="008B5F96"/>
    <w:rPr>
      <w:rFonts w:ascii="Arial" w:eastAsia="Times New Roman" w:hAnsi="Arial" w:cs="Arial"/>
      <w:sz w:val="18"/>
      <w:szCs w:val="20"/>
      <w:lang w:val="es-ES" w:eastAsia="es-ES"/>
    </w:rPr>
  </w:style>
  <w:style w:type="paragraph" w:customStyle="1" w:styleId="ROMANOS">
    <w:name w:val="ROMANOS"/>
    <w:basedOn w:val="Normal"/>
    <w:link w:val="ROMANOSCar"/>
    <w:rsid w:val="008B5F96"/>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8B5F96"/>
    <w:rPr>
      <w:rFonts w:ascii="Arial" w:eastAsia="Times New Roman" w:hAnsi="Arial" w:cs="Arial"/>
      <w:sz w:val="18"/>
      <w:szCs w:val="18"/>
      <w:lang w:val="es-ES" w:eastAsia="es-ES"/>
    </w:rPr>
  </w:style>
  <w:style w:type="paragraph" w:customStyle="1" w:styleId="Textoindependiente214">
    <w:name w:val="Texto independiente 214"/>
    <w:basedOn w:val="Normal"/>
    <w:rsid w:val="008B5F96"/>
    <w:pPr>
      <w:spacing w:line="360" w:lineRule="auto"/>
      <w:jc w:val="both"/>
    </w:pPr>
    <w:rPr>
      <w:sz w:val="24"/>
      <w:lang w:val="es-ES_tradnl"/>
    </w:rPr>
  </w:style>
  <w:style w:type="paragraph" w:customStyle="1" w:styleId="Textoindependiente215">
    <w:name w:val="Texto independiente 215"/>
    <w:basedOn w:val="Normal"/>
    <w:rsid w:val="008B5F96"/>
    <w:pPr>
      <w:spacing w:line="360" w:lineRule="auto"/>
      <w:jc w:val="both"/>
    </w:pPr>
    <w:rPr>
      <w:sz w:val="24"/>
      <w:lang w:val="es-ES_tradnl"/>
    </w:rPr>
  </w:style>
  <w:style w:type="character" w:customStyle="1" w:styleId="normaltextrun1">
    <w:name w:val="normaltextrun1"/>
    <w:rsid w:val="008B5F96"/>
  </w:style>
  <w:style w:type="character" w:customStyle="1" w:styleId="eop">
    <w:name w:val="eop"/>
    <w:rsid w:val="008B5F96"/>
  </w:style>
  <w:style w:type="paragraph" w:customStyle="1" w:styleId="Textoindependiente216">
    <w:name w:val="Texto independiente 216"/>
    <w:basedOn w:val="Normal"/>
    <w:rsid w:val="008B5F96"/>
    <w:pPr>
      <w:spacing w:line="360" w:lineRule="auto"/>
      <w:jc w:val="both"/>
    </w:pPr>
    <w:rPr>
      <w:sz w:val="24"/>
      <w:lang w:val="es-ES_tradnl"/>
    </w:rPr>
  </w:style>
  <w:style w:type="paragraph" w:customStyle="1" w:styleId="Textoindependiente217">
    <w:name w:val="Texto independiente 217"/>
    <w:basedOn w:val="Normal"/>
    <w:rsid w:val="008B5F96"/>
    <w:pPr>
      <w:spacing w:line="360" w:lineRule="auto"/>
      <w:jc w:val="both"/>
    </w:pPr>
    <w:rPr>
      <w:sz w:val="24"/>
      <w:lang w:val="es-ES_tradnl"/>
    </w:rPr>
  </w:style>
  <w:style w:type="character" w:customStyle="1" w:styleId="Num-DocParagraphChar">
    <w:name w:val="Num-Doc Paragraph Char"/>
    <w:link w:val="Num-DocParagraph"/>
    <w:uiPriority w:val="99"/>
    <w:locked/>
    <w:rsid w:val="008B5F96"/>
    <w:rPr>
      <w:rFonts w:ascii="Times New Roman" w:eastAsia="Times New Roman" w:hAnsi="Times New Roman"/>
      <w:sz w:val="22"/>
      <w:szCs w:val="22"/>
      <w:lang w:val="en-GB" w:eastAsia="zh-CN"/>
    </w:rPr>
  </w:style>
  <w:style w:type="paragraph" w:customStyle="1" w:styleId="Num-DocParagraph">
    <w:name w:val="Num-Doc Paragraph"/>
    <w:basedOn w:val="Normal"/>
    <w:link w:val="Num-DocParagraphChar"/>
    <w:uiPriority w:val="99"/>
    <w:rsid w:val="008B5F96"/>
    <w:pPr>
      <w:tabs>
        <w:tab w:val="left" w:pos="850"/>
        <w:tab w:val="left" w:pos="1191"/>
        <w:tab w:val="left" w:pos="1531"/>
      </w:tabs>
      <w:spacing w:after="240"/>
      <w:jc w:val="both"/>
    </w:pPr>
    <w:rPr>
      <w:sz w:val="22"/>
      <w:szCs w:val="22"/>
      <w:lang w:val="en-GB" w:eastAsia="zh-CN"/>
    </w:rPr>
  </w:style>
  <w:style w:type="paragraph" w:customStyle="1" w:styleId="ydp5a9c23a9yiv8112026816ydp5d4b34d9yiv4648981337msonormal">
    <w:name w:val="ydp5a9c23a9yiv8112026816ydp5d4b34d9yiv4648981337msonormal"/>
    <w:basedOn w:val="Normal"/>
    <w:rsid w:val="008B5F96"/>
    <w:pPr>
      <w:spacing w:before="100" w:beforeAutospacing="1" w:after="100" w:afterAutospacing="1"/>
    </w:pPr>
    <w:rPr>
      <w:rFonts w:eastAsia="Calibri"/>
      <w:sz w:val="24"/>
      <w:szCs w:val="24"/>
      <w:lang w:val="es-CR" w:eastAsia="es-CR"/>
    </w:rPr>
  </w:style>
  <w:style w:type="table" w:customStyle="1" w:styleId="Sombreadomedio1-nfasis11">
    <w:name w:val="Sombreado medio 1 - Énfasis 11"/>
    <w:basedOn w:val="Tablanormal"/>
    <w:uiPriority w:val="63"/>
    <w:rsid w:val="008B5F96"/>
    <w:pPr>
      <w:jc w:val="both"/>
    </w:pPr>
    <w:rPr>
      <w:rFonts w:eastAsia="Times New Roman"/>
      <w:lang w:val="en-US" w:eastAsia="en-US" w:bidi="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highlight1">
    <w:name w:val="highlight1"/>
    <w:rsid w:val="008B5F96"/>
    <w:rPr>
      <w:shd w:val="clear" w:color="auto" w:fill="BFECF8"/>
    </w:rPr>
  </w:style>
  <w:style w:type="paragraph" w:customStyle="1" w:styleId="Textoindependiente218">
    <w:name w:val="Texto independiente 218"/>
    <w:basedOn w:val="Normal"/>
    <w:rsid w:val="008B5F96"/>
    <w:pPr>
      <w:spacing w:line="360" w:lineRule="auto"/>
      <w:jc w:val="both"/>
    </w:pPr>
    <w:rPr>
      <w:sz w:val="24"/>
      <w:lang w:val="es-ES_tradnl"/>
    </w:rPr>
  </w:style>
  <w:style w:type="paragraph" w:styleId="Lista5">
    <w:name w:val="List 5"/>
    <w:basedOn w:val="Normal"/>
    <w:rsid w:val="008B5F96"/>
    <w:pPr>
      <w:ind w:left="1415" w:hanging="283"/>
    </w:pPr>
    <w:rPr>
      <w:sz w:val="24"/>
      <w:szCs w:val="24"/>
      <w:lang w:val="es-CR"/>
    </w:rPr>
  </w:style>
  <w:style w:type="paragraph" w:styleId="Listaconvietas3">
    <w:name w:val="List Bullet 3"/>
    <w:basedOn w:val="Normal"/>
    <w:autoRedefine/>
    <w:rsid w:val="008B5F96"/>
    <w:pPr>
      <w:tabs>
        <w:tab w:val="num" w:pos="720"/>
      </w:tabs>
      <w:ind w:left="720" w:hanging="360"/>
    </w:pPr>
    <w:rPr>
      <w:sz w:val="24"/>
      <w:szCs w:val="24"/>
      <w:lang w:val="es-CR"/>
    </w:rPr>
  </w:style>
  <w:style w:type="paragraph" w:styleId="Listaconvietas4">
    <w:name w:val="List Bullet 4"/>
    <w:basedOn w:val="Normal"/>
    <w:autoRedefine/>
    <w:rsid w:val="008B5F96"/>
    <w:pPr>
      <w:tabs>
        <w:tab w:val="num" w:pos="720"/>
      </w:tabs>
      <w:ind w:left="720" w:hanging="360"/>
    </w:pPr>
    <w:rPr>
      <w:sz w:val="24"/>
      <w:szCs w:val="24"/>
      <w:lang w:val="es-CR"/>
    </w:rPr>
  </w:style>
  <w:style w:type="paragraph" w:styleId="Listaconvietas5">
    <w:name w:val="List Bullet 5"/>
    <w:basedOn w:val="Normal"/>
    <w:autoRedefine/>
    <w:rsid w:val="008B5F96"/>
    <w:pPr>
      <w:tabs>
        <w:tab w:val="num" w:pos="720"/>
      </w:tabs>
      <w:ind w:left="720" w:hanging="360"/>
    </w:pPr>
    <w:rPr>
      <w:sz w:val="24"/>
      <w:szCs w:val="24"/>
      <w:lang w:val="es-CR"/>
    </w:rPr>
  </w:style>
  <w:style w:type="paragraph" w:styleId="Listaconnmeros2">
    <w:name w:val="List Number 2"/>
    <w:basedOn w:val="Normal"/>
    <w:rsid w:val="008B5F96"/>
    <w:pPr>
      <w:tabs>
        <w:tab w:val="num" w:pos="360"/>
      </w:tabs>
      <w:ind w:left="360" w:hanging="360"/>
    </w:pPr>
    <w:rPr>
      <w:sz w:val="24"/>
      <w:szCs w:val="24"/>
      <w:lang w:val="es-CR"/>
    </w:rPr>
  </w:style>
  <w:style w:type="paragraph" w:styleId="Listaconnmeros3">
    <w:name w:val="List Number 3"/>
    <w:basedOn w:val="Normal"/>
    <w:rsid w:val="008B5F96"/>
    <w:pPr>
      <w:tabs>
        <w:tab w:val="num" w:pos="360"/>
      </w:tabs>
      <w:ind w:left="360" w:hanging="360"/>
    </w:pPr>
    <w:rPr>
      <w:sz w:val="24"/>
      <w:szCs w:val="24"/>
      <w:lang w:val="es-CR"/>
    </w:rPr>
  </w:style>
  <w:style w:type="paragraph" w:styleId="Listaconnmeros4">
    <w:name w:val="List Number 4"/>
    <w:basedOn w:val="Normal"/>
    <w:rsid w:val="008B5F96"/>
    <w:pPr>
      <w:tabs>
        <w:tab w:val="num" w:pos="720"/>
      </w:tabs>
      <w:ind w:left="720" w:hanging="360"/>
    </w:pPr>
    <w:rPr>
      <w:sz w:val="24"/>
      <w:szCs w:val="24"/>
      <w:lang w:val="es-CR"/>
    </w:rPr>
  </w:style>
  <w:style w:type="paragraph" w:styleId="Listaconnmeros5">
    <w:name w:val="List Number 5"/>
    <w:basedOn w:val="Normal"/>
    <w:rsid w:val="008B5F96"/>
    <w:pPr>
      <w:tabs>
        <w:tab w:val="num" w:pos="1065"/>
      </w:tabs>
      <w:ind w:left="1065" w:hanging="360"/>
    </w:pPr>
    <w:rPr>
      <w:sz w:val="24"/>
      <w:szCs w:val="24"/>
      <w:lang w:val="es-CR"/>
    </w:rPr>
  </w:style>
  <w:style w:type="paragraph" w:styleId="Continuarlista">
    <w:name w:val="List Continue"/>
    <w:basedOn w:val="Normal"/>
    <w:rsid w:val="008B5F96"/>
    <w:pPr>
      <w:spacing w:after="120"/>
      <w:ind w:left="283"/>
    </w:pPr>
    <w:rPr>
      <w:sz w:val="24"/>
      <w:szCs w:val="24"/>
      <w:lang w:val="es-CR"/>
    </w:rPr>
  </w:style>
  <w:style w:type="paragraph" w:styleId="Continuarlista4">
    <w:name w:val="List Continue 4"/>
    <w:basedOn w:val="Normal"/>
    <w:rsid w:val="008B5F96"/>
    <w:pPr>
      <w:tabs>
        <w:tab w:val="num" w:pos="787"/>
      </w:tabs>
      <w:spacing w:after="120"/>
      <w:ind w:left="1132"/>
    </w:pPr>
    <w:rPr>
      <w:sz w:val="24"/>
      <w:szCs w:val="24"/>
      <w:lang w:val="es-CR"/>
    </w:rPr>
  </w:style>
  <w:style w:type="paragraph" w:styleId="Continuarlista5">
    <w:name w:val="List Continue 5"/>
    <w:basedOn w:val="Normal"/>
    <w:rsid w:val="008B5F96"/>
    <w:pPr>
      <w:tabs>
        <w:tab w:val="num" w:pos="720"/>
      </w:tabs>
      <w:spacing w:after="120"/>
      <w:ind w:left="1415"/>
    </w:pPr>
    <w:rPr>
      <w:sz w:val="24"/>
      <w:szCs w:val="24"/>
      <w:lang w:val="es-CR"/>
    </w:rPr>
  </w:style>
  <w:style w:type="paragraph" w:customStyle="1" w:styleId="p83">
    <w:name w:val="p83"/>
    <w:basedOn w:val="Normal"/>
    <w:rsid w:val="008B5F96"/>
    <w:pPr>
      <w:widowControl w:val="0"/>
      <w:tabs>
        <w:tab w:val="left" w:pos="788"/>
        <w:tab w:val="left" w:pos="1269"/>
      </w:tabs>
      <w:spacing w:line="283" w:lineRule="atLeast"/>
      <w:ind w:left="1269" w:hanging="481"/>
    </w:pPr>
    <w:rPr>
      <w:sz w:val="24"/>
      <w:lang w:val="en-US" w:eastAsia="en-US"/>
    </w:rPr>
  </w:style>
  <w:style w:type="table" w:styleId="Tablaconcuadrcula10">
    <w:name w:val="Table Grid 1"/>
    <w:basedOn w:val="Tablanormal"/>
    <w:rsid w:val="008B5F96"/>
    <w:rPr>
      <w:rFonts w:ascii="Times New Roman" w:eastAsia="Times New Roman" w:hAnsi="Times New Roman"/>
      <w:lang w:val="es-ES"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8">
    <w:name w:val="Pa8"/>
    <w:basedOn w:val="Normal"/>
    <w:next w:val="Normal"/>
    <w:uiPriority w:val="99"/>
    <w:rsid w:val="008B5F96"/>
    <w:pPr>
      <w:autoSpaceDE w:val="0"/>
      <w:autoSpaceDN w:val="0"/>
      <w:adjustRightInd w:val="0"/>
      <w:spacing w:line="201" w:lineRule="atLeast"/>
    </w:pPr>
    <w:rPr>
      <w:rFonts w:ascii="Verdana" w:eastAsia="Verdana" w:hAnsi="Verdana"/>
      <w:sz w:val="24"/>
      <w:szCs w:val="24"/>
      <w:lang w:val="es-CR" w:eastAsia="es-CR"/>
    </w:rPr>
  </w:style>
  <w:style w:type="character" w:customStyle="1" w:styleId="Textoindependiente2Car1">
    <w:name w:val="Texto independiente 2 Car1"/>
    <w:uiPriority w:val="99"/>
    <w:semiHidden/>
    <w:rsid w:val="008B5F96"/>
    <w:rPr>
      <w:rFonts w:eastAsia="Times New Roman"/>
      <w:sz w:val="22"/>
      <w:szCs w:val="24"/>
      <w:lang w:val="es-ES" w:eastAsia="en-US"/>
    </w:rPr>
  </w:style>
  <w:style w:type="character" w:customStyle="1" w:styleId="followed">
    <w:name w:val="followed"/>
    <w:rsid w:val="008B5F96"/>
    <w:rPr>
      <w:color w:val="7F7F7F"/>
      <w:u w:val="single"/>
    </w:rPr>
  </w:style>
  <w:style w:type="paragraph" w:customStyle="1" w:styleId="Textoindependiente219">
    <w:name w:val="Texto independiente 219"/>
    <w:basedOn w:val="Normal"/>
    <w:rsid w:val="008B5F96"/>
    <w:pPr>
      <w:spacing w:line="360" w:lineRule="auto"/>
      <w:jc w:val="both"/>
    </w:pPr>
    <w:rPr>
      <w:sz w:val="24"/>
      <w:lang w:val="es-ES_tradnl"/>
    </w:rPr>
  </w:style>
  <w:style w:type="paragraph" w:customStyle="1" w:styleId="CM9">
    <w:name w:val="CM9"/>
    <w:basedOn w:val="Normal"/>
    <w:next w:val="Normal"/>
    <w:uiPriority w:val="99"/>
    <w:rsid w:val="008B5F96"/>
    <w:pPr>
      <w:widowControl w:val="0"/>
      <w:autoSpaceDE w:val="0"/>
      <w:autoSpaceDN w:val="0"/>
      <w:adjustRightInd w:val="0"/>
    </w:pPr>
    <w:rPr>
      <w:rFonts w:ascii="Arial" w:hAnsi="Arial" w:cs="Arial"/>
      <w:sz w:val="24"/>
      <w:szCs w:val="24"/>
    </w:rPr>
  </w:style>
  <w:style w:type="paragraph" w:customStyle="1" w:styleId="CM6">
    <w:name w:val="CM6"/>
    <w:basedOn w:val="Normal"/>
    <w:next w:val="Normal"/>
    <w:uiPriority w:val="99"/>
    <w:rsid w:val="008B5F96"/>
    <w:pPr>
      <w:widowControl w:val="0"/>
      <w:autoSpaceDE w:val="0"/>
      <w:autoSpaceDN w:val="0"/>
      <w:adjustRightInd w:val="0"/>
      <w:spacing w:line="256" w:lineRule="atLeast"/>
    </w:pPr>
    <w:rPr>
      <w:sz w:val="24"/>
      <w:szCs w:val="24"/>
    </w:rPr>
  </w:style>
  <w:style w:type="paragraph" w:customStyle="1" w:styleId="Textoindependiente220">
    <w:name w:val="Texto independiente 220"/>
    <w:basedOn w:val="Normal"/>
    <w:rsid w:val="008B5F96"/>
    <w:pPr>
      <w:spacing w:line="360" w:lineRule="auto"/>
      <w:jc w:val="both"/>
    </w:pPr>
    <w:rPr>
      <w:sz w:val="24"/>
      <w:lang w:val="es-ES_tradnl"/>
    </w:rPr>
  </w:style>
  <w:style w:type="paragraph" w:customStyle="1" w:styleId="EncabezadoTtulo">
    <w:name w:val="Encabezado Título"/>
    <w:basedOn w:val="Normal"/>
    <w:link w:val="EncabezadoTtuloChar"/>
    <w:qFormat/>
    <w:rsid w:val="008B5F96"/>
    <w:pPr>
      <w:widowControl w:val="0"/>
      <w:jc w:val="center"/>
    </w:pPr>
    <w:rPr>
      <w:b/>
      <w:sz w:val="28"/>
      <w:szCs w:val="28"/>
    </w:rPr>
  </w:style>
  <w:style w:type="character" w:customStyle="1" w:styleId="EncabezadoTtuloChar">
    <w:name w:val="Encabezado Título Char"/>
    <w:link w:val="EncabezadoTtulo"/>
    <w:rsid w:val="008B5F96"/>
    <w:rPr>
      <w:rFonts w:ascii="Times New Roman" w:eastAsia="Times New Roman" w:hAnsi="Times New Roman"/>
      <w:b/>
      <w:sz w:val="28"/>
      <w:szCs w:val="28"/>
      <w:lang w:val="es-ES" w:eastAsia="es-ES"/>
    </w:rPr>
  </w:style>
  <w:style w:type="paragraph" w:customStyle="1" w:styleId="Textoindependiente222">
    <w:name w:val="Texto independiente 222"/>
    <w:basedOn w:val="Normal"/>
    <w:rsid w:val="008B5F96"/>
    <w:pPr>
      <w:spacing w:line="360" w:lineRule="auto"/>
      <w:jc w:val="both"/>
    </w:pPr>
    <w:rPr>
      <w:sz w:val="24"/>
      <w:lang w:val="es-ES_tradnl"/>
    </w:rPr>
  </w:style>
  <w:style w:type="paragraph" w:customStyle="1" w:styleId="Textoindependiente223">
    <w:name w:val="Texto independiente 223"/>
    <w:basedOn w:val="Normal"/>
    <w:rsid w:val="008B5F96"/>
    <w:pPr>
      <w:spacing w:line="360" w:lineRule="auto"/>
      <w:jc w:val="both"/>
    </w:pPr>
    <w:rPr>
      <w:sz w:val="24"/>
      <w:lang w:val="es-ES_tradnl"/>
    </w:rPr>
  </w:style>
  <w:style w:type="paragraph" w:customStyle="1" w:styleId="n2">
    <w:name w:val="n2"/>
    <w:basedOn w:val="Normal"/>
    <w:rsid w:val="008B5F96"/>
    <w:pPr>
      <w:spacing w:before="100" w:beforeAutospacing="1" w:after="100" w:afterAutospacing="1"/>
    </w:pPr>
    <w:rPr>
      <w:sz w:val="24"/>
      <w:szCs w:val="24"/>
      <w:lang w:val="es-CR" w:eastAsia="es-CR"/>
    </w:rPr>
  </w:style>
  <w:style w:type="paragraph" w:customStyle="1" w:styleId="Textoindependiente224">
    <w:name w:val="Texto independiente 224"/>
    <w:basedOn w:val="Normal"/>
    <w:rsid w:val="008B5F96"/>
    <w:pPr>
      <w:spacing w:line="360" w:lineRule="auto"/>
      <w:jc w:val="both"/>
    </w:pPr>
    <w:rPr>
      <w:sz w:val="24"/>
      <w:lang w:val="es-ES_tradnl"/>
    </w:rPr>
  </w:style>
  <w:style w:type="paragraph" w:customStyle="1" w:styleId="Textoindependiente225">
    <w:name w:val="Texto independiente 225"/>
    <w:basedOn w:val="Normal"/>
    <w:rsid w:val="008B5F96"/>
    <w:pPr>
      <w:spacing w:line="360" w:lineRule="auto"/>
      <w:jc w:val="both"/>
    </w:pPr>
    <w:rPr>
      <w:sz w:val="24"/>
      <w:lang w:val="es-ES_tradnl"/>
    </w:rPr>
  </w:style>
  <w:style w:type="paragraph" w:customStyle="1" w:styleId="Compact">
    <w:name w:val="Compact"/>
    <w:basedOn w:val="Normal"/>
    <w:qFormat/>
    <w:rsid w:val="008B5F96"/>
    <w:pPr>
      <w:spacing w:before="36" w:after="36"/>
    </w:pPr>
    <w:rPr>
      <w:rFonts w:ascii="Calibri" w:eastAsia="Calibri" w:hAnsi="Calibri"/>
      <w:sz w:val="24"/>
      <w:szCs w:val="24"/>
      <w:lang w:val="en-US" w:eastAsia="en-US"/>
    </w:rPr>
  </w:style>
  <w:style w:type="paragraph" w:customStyle="1" w:styleId="FirstParagraph">
    <w:name w:val="First Paragraph"/>
    <w:basedOn w:val="Normal"/>
    <w:next w:val="Normal"/>
    <w:qFormat/>
    <w:rsid w:val="008B5F96"/>
    <w:pPr>
      <w:spacing w:before="180" w:after="180"/>
    </w:pPr>
    <w:rPr>
      <w:rFonts w:ascii="Calibri" w:eastAsia="Calibri" w:hAnsi="Calibri"/>
      <w:sz w:val="24"/>
      <w:szCs w:val="24"/>
      <w:lang w:val="en-US" w:eastAsia="en-US"/>
    </w:rPr>
  </w:style>
  <w:style w:type="character" w:customStyle="1" w:styleId="example1">
    <w:name w:val="example1"/>
    <w:rsid w:val="008B5F96"/>
  </w:style>
  <w:style w:type="paragraph" w:customStyle="1" w:styleId="Textoindependiente226">
    <w:name w:val="Texto independiente 226"/>
    <w:basedOn w:val="Normal"/>
    <w:rsid w:val="008B5F96"/>
    <w:pPr>
      <w:spacing w:line="360" w:lineRule="auto"/>
      <w:jc w:val="both"/>
    </w:pPr>
    <w:rPr>
      <w:sz w:val="24"/>
      <w:lang w:val="es-ES_tradnl"/>
    </w:rPr>
  </w:style>
  <w:style w:type="paragraph" w:customStyle="1" w:styleId="Textoindependiente227">
    <w:name w:val="Texto independiente 227"/>
    <w:basedOn w:val="Normal"/>
    <w:rsid w:val="008B5F96"/>
    <w:pPr>
      <w:spacing w:line="360" w:lineRule="auto"/>
      <w:jc w:val="both"/>
    </w:pPr>
    <w:rPr>
      <w:sz w:val="24"/>
      <w:lang w:val="es-ES_tradnl"/>
    </w:rPr>
  </w:style>
  <w:style w:type="paragraph" w:customStyle="1" w:styleId="Textoindependiente228">
    <w:name w:val="Texto independiente 228"/>
    <w:basedOn w:val="Normal"/>
    <w:rsid w:val="008B5F96"/>
    <w:pPr>
      <w:spacing w:line="360" w:lineRule="auto"/>
      <w:jc w:val="both"/>
    </w:pPr>
    <w:rPr>
      <w:sz w:val="24"/>
      <w:lang w:val="es-ES_tradnl"/>
    </w:rPr>
  </w:style>
  <w:style w:type="paragraph" w:customStyle="1" w:styleId="Textoindependiente229">
    <w:name w:val="Texto independiente 229"/>
    <w:basedOn w:val="Normal"/>
    <w:rsid w:val="008B5F96"/>
    <w:pPr>
      <w:spacing w:line="360" w:lineRule="auto"/>
      <w:jc w:val="both"/>
    </w:pPr>
    <w:rPr>
      <w:sz w:val="24"/>
      <w:lang w:val="es-ES_tradnl"/>
    </w:rPr>
  </w:style>
  <w:style w:type="paragraph" w:customStyle="1" w:styleId="Content">
    <w:name w:val="Content"/>
    <w:basedOn w:val="Normal"/>
    <w:link w:val="ContentChar"/>
    <w:qFormat/>
    <w:rsid w:val="008B5F96"/>
    <w:pPr>
      <w:spacing w:line="276" w:lineRule="auto"/>
    </w:pPr>
    <w:rPr>
      <w:rFonts w:ascii="Calibri" w:hAnsi="Calibri"/>
      <w:color w:val="44546A"/>
      <w:sz w:val="28"/>
      <w:szCs w:val="22"/>
      <w:lang w:val="en-US" w:eastAsia="en-US"/>
    </w:rPr>
  </w:style>
  <w:style w:type="character" w:customStyle="1" w:styleId="ContentChar">
    <w:name w:val="Content Char"/>
    <w:link w:val="Content"/>
    <w:rsid w:val="008B5F96"/>
    <w:rPr>
      <w:rFonts w:eastAsia="Times New Roman"/>
      <w:color w:val="44546A"/>
      <w:sz w:val="28"/>
      <w:szCs w:val="22"/>
      <w:lang w:val="en-US" w:eastAsia="en-US"/>
    </w:rPr>
  </w:style>
  <w:style w:type="paragraph" w:customStyle="1" w:styleId="Textoindependiente230">
    <w:name w:val="Texto independiente 230"/>
    <w:basedOn w:val="Normal"/>
    <w:rsid w:val="008B5F96"/>
    <w:pPr>
      <w:spacing w:line="360" w:lineRule="auto"/>
      <w:jc w:val="both"/>
    </w:pPr>
    <w:rPr>
      <w:sz w:val="24"/>
      <w:lang w:val="es-ES_tradnl"/>
    </w:rPr>
  </w:style>
  <w:style w:type="paragraph" w:customStyle="1" w:styleId="Textoindependiente231">
    <w:name w:val="Texto independiente 231"/>
    <w:basedOn w:val="Normal"/>
    <w:rsid w:val="008B5F96"/>
    <w:pPr>
      <w:spacing w:line="360" w:lineRule="auto"/>
      <w:jc w:val="both"/>
    </w:pPr>
    <w:rPr>
      <w:sz w:val="24"/>
      <w:lang w:val="es-ES_tradnl"/>
    </w:rPr>
  </w:style>
  <w:style w:type="paragraph" w:customStyle="1" w:styleId="Textoindependiente232">
    <w:name w:val="Texto independiente 232"/>
    <w:basedOn w:val="Normal"/>
    <w:rsid w:val="008B5F96"/>
    <w:pPr>
      <w:spacing w:line="360" w:lineRule="auto"/>
      <w:jc w:val="both"/>
    </w:pPr>
    <w:rPr>
      <w:sz w:val="24"/>
      <w:lang w:val="es-ES_tradnl"/>
    </w:rPr>
  </w:style>
  <w:style w:type="paragraph" w:customStyle="1" w:styleId="Textoindependiente233">
    <w:name w:val="Texto independiente 233"/>
    <w:basedOn w:val="Normal"/>
    <w:rsid w:val="008B5F96"/>
    <w:pPr>
      <w:spacing w:line="360" w:lineRule="auto"/>
      <w:jc w:val="both"/>
    </w:pPr>
    <w:rPr>
      <w:sz w:val="24"/>
      <w:lang w:val="es-ES_tradnl"/>
    </w:rPr>
  </w:style>
  <w:style w:type="paragraph" w:customStyle="1" w:styleId="Textoindependiente234">
    <w:name w:val="Texto independiente 234"/>
    <w:basedOn w:val="Normal"/>
    <w:rsid w:val="008B5F96"/>
    <w:pPr>
      <w:spacing w:line="360" w:lineRule="auto"/>
      <w:jc w:val="both"/>
    </w:pPr>
    <w:rPr>
      <w:sz w:val="24"/>
      <w:lang w:val="es-ES_tradnl"/>
    </w:rPr>
  </w:style>
  <w:style w:type="paragraph" w:customStyle="1" w:styleId="Textoindependiente235">
    <w:name w:val="Texto independiente 235"/>
    <w:basedOn w:val="Normal"/>
    <w:rsid w:val="008B5F96"/>
    <w:pPr>
      <w:spacing w:line="360" w:lineRule="auto"/>
      <w:jc w:val="both"/>
    </w:pPr>
    <w:rPr>
      <w:sz w:val="24"/>
      <w:lang w:val="es-ES_tradnl"/>
    </w:rPr>
  </w:style>
  <w:style w:type="paragraph" w:customStyle="1" w:styleId="CM3">
    <w:name w:val="CM3"/>
    <w:basedOn w:val="Default"/>
    <w:next w:val="Default"/>
    <w:uiPriority w:val="99"/>
    <w:rsid w:val="008B5F96"/>
    <w:pPr>
      <w:widowControl w:val="0"/>
      <w:spacing w:line="478" w:lineRule="atLeast"/>
    </w:pPr>
    <w:rPr>
      <w:rFonts w:ascii="Times New Roman" w:hAnsi="Times New Roman" w:cs="Times New Roman"/>
      <w:color w:val="auto"/>
      <w:lang w:val="es-ES" w:eastAsia="es-ES"/>
    </w:rPr>
  </w:style>
  <w:style w:type="paragraph" w:customStyle="1" w:styleId="CM8">
    <w:name w:val="CM8"/>
    <w:basedOn w:val="Default"/>
    <w:next w:val="Default"/>
    <w:uiPriority w:val="99"/>
    <w:rsid w:val="008B5F96"/>
    <w:pPr>
      <w:widowControl w:val="0"/>
    </w:pPr>
    <w:rPr>
      <w:color w:val="auto"/>
      <w:lang w:val="es-ES" w:eastAsia="es-ES"/>
    </w:rPr>
  </w:style>
  <w:style w:type="paragraph" w:customStyle="1" w:styleId="CM7">
    <w:name w:val="CM7"/>
    <w:basedOn w:val="Default"/>
    <w:next w:val="Default"/>
    <w:uiPriority w:val="99"/>
    <w:rsid w:val="008B5F96"/>
    <w:pPr>
      <w:widowControl w:val="0"/>
      <w:numPr>
        <w:numId w:val="17"/>
      </w:numPr>
      <w:ind w:left="0" w:firstLine="0"/>
    </w:pPr>
    <w:rPr>
      <w:color w:val="auto"/>
      <w:lang w:val="es-ES" w:eastAsia="es-ES"/>
    </w:rPr>
  </w:style>
  <w:style w:type="character" w:customStyle="1" w:styleId="Hipervnculo1">
    <w:name w:val="Hipervínculo1"/>
    <w:uiPriority w:val="99"/>
    <w:unhideWhenUsed/>
    <w:locked/>
    <w:rsid w:val="008B5F96"/>
    <w:rPr>
      <w:color w:val="4F81BD"/>
      <w:u w:val="single"/>
    </w:rPr>
  </w:style>
  <w:style w:type="paragraph" w:customStyle="1" w:styleId="Textoindependiente236">
    <w:name w:val="Texto independiente 236"/>
    <w:basedOn w:val="Normal"/>
    <w:rsid w:val="008B5F96"/>
    <w:pPr>
      <w:spacing w:line="360" w:lineRule="auto"/>
      <w:jc w:val="both"/>
    </w:pPr>
    <w:rPr>
      <w:sz w:val="24"/>
      <w:lang w:val="es-ES_tradnl"/>
    </w:rPr>
  </w:style>
  <w:style w:type="paragraph" w:customStyle="1" w:styleId="Textoindependiente237">
    <w:name w:val="Texto independiente 237"/>
    <w:basedOn w:val="Normal"/>
    <w:rsid w:val="008B5F96"/>
    <w:pPr>
      <w:spacing w:line="360" w:lineRule="auto"/>
      <w:jc w:val="both"/>
    </w:pPr>
    <w:rPr>
      <w:sz w:val="24"/>
      <w:lang w:val="es-ES_tradnl"/>
    </w:rPr>
  </w:style>
  <w:style w:type="table" w:customStyle="1" w:styleId="Cuadrculadetablaclara1">
    <w:name w:val="Cuadrícula de tabla clara1"/>
    <w:basedOn w:val="Tablanormal"/>
    <w:uiPriority w:val="40"/>
    <w:rsid w:val="008B5F96"/>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1clara-nfasis31">
    <w:name w:val="Tabla de cuadrícula 1 clara - Énfasis 31"/>
    <w:basedOn w:val="Tablanormal"/>
    <w:uiPriority w:val="46"/>
    <w:rsid w:val="008B5F96"/>
    <w:rPr>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customStyle="1" w:styleId="Mencinsinresolver4">
    <w:name w:val="Mención sin resolver4"/>
    <w:uiPriority w:val="99"/>
    <w:semiHidden/>
    <w:unhideWhenUsed/>
    <w:rsid w:val="008B5F96"/>
    <w:rPr>
      <w:color w:val="605E5C"/>
      <w:shd w:val="clear" w:color="auto" w:fill="E1DFDD"/>
    </w:rPr>
  </w:style>
  <w:style w:type="paragraph" w:customStyle="1" w:styleId="Textoindependiente238">
    <w:name w:val="Texto independiente 238"/>
    <w:basedOn w:val="Normal"/>
    <w:rsid w:val="008B5F96"/>
    <w:pPr>
      <w:spacing w:line="360" w:lineRule="auto"/>
      <w:jc w:val="both"/>
    </w:pPr>
    <w:rPr>
      <w:sz w:val="24"/>
      <w:lang w:val="es-ES_tradnl"/>
    </w:rPr>
  </w:style>
  <w:style w:type="paragraph" w:customStyle="1" w:styleId="Textoindependiente239">
    <w:name w:val="Texto independiente 239"/>
    <w:basedOn w:val="Normal"/>
    <w:rsid w:val="008B5F96"/>
    <w:pPr>
      <w:spacing w:line="360" w:lineRule="auto"/>
      <w:jc w:val="both"/>
    </w:pPr>
    <w:rPr>
      <w:sz w:val="24"/>
      <w:lang w:val="es-ES_tradnl"/>
    </w:rPr>
  </w:style>
  <w:style w:type="character" w:customStyle="1" w:styleId="Mencinsinresolver5">
    <w:name w:val="Mención sin resolver5"/>
    <w:uiPriority w:val="99"/>
    <w:semiHidden/>
    <w:unhideWhenUsed/>
    <w:rsid w:val="008B5F96"/>
    <w:rPr>
      <w:color w:val="605E5C"/>
      <w:shd w:val="clear" w:color="auto" w:fill="E1DFDD"/>
    </w:rPr>
  </w:style>
  <w:style w:type="character" w:customStyle="1" w:styleId="app-page-detaildocumentanyCharacter">
    <w:name w:val="app-page-detail_document_any Character"/>
    <w:rsid w:val="008B5F96"/>
    <w:rPr>
      <w:rFonts w:ascii="Arial" w:hAnsi="Arial" w:cs="Arial"/>
      <w:color w:val="000000"/>
      <w:sz w:val="21"/>
      <w:szCs w:val="21"/>
    </w:rPr>
  </w:style>
  <w:style w:type="paragraph" w:customStyle="1" w:styleId="Textoindependiente240">
    <w:name w:val="Texto independiente 240"/>
    <w:basedOn w:val="Normal"/>
    <w:rsid w:val="008B5F96"/>
    <w:pPr>
      <w:spacing w:line="360" w:lineRule="auto"/>
      <w:jc w:val="both"/>
    </w:pPr>
    <w:rPr>
      <w:sz w:val="24"/>
      <w:lang w:val="es-ES_tradnl"/>
    </w:rPr>
  </w:style>
  <w:style w:type="character" w:customStyle="1" w:styleId="Mencinsinresolver6">
    <w:name w:val="Mención sin resolver6"/>
    <w:uiPriority w:val="99"/>
    <w:semiHidden/>
    <w:unhideWhenUsed/>
    <w:rsid w:val="008B5F96"/>
    <w:rPr>
      <w:color w:val="605E5C"/>
      <w:shd w:val="clear" w:color="auto" w:fill="E1DFDD"/>
    </w:rPr>
  </w:style>
  <w:style w:type="paragraph" w:customStyle="1" w:styleId="Textoindependiente241">
    <w:name w:val="Texto independiente 241"/>
    <w:basedOn w:val="Normal"/>
    <w:rsid w:val="008B5F96"/>
    <w:pPr>
      <w:spacing w:line="360" w:lineRule="auto"/>
      <w:jc w:val="both"/>
    </w:pPr>
    <w:rPr>
      <w:sz w:val="24"/>
      <w:lang w:val="es-ES_tradnl"/>
    </w:rPr>
  </w:style>
  <w:style w:type="character" w:customStyle="1" w:styleId="Mencinsinresolver7">
    <w:name w:val="Mención sin resolver7"/>
    <w:uiPriority w:val="99"/>
    <w:semiHidden/>
    <w:unhideWhenUsed/>
    <w:rsid w:val="008B5F96"/>
    <w:rPr>
      <w:color w:val="605E5C"/>
      <w:shd w:val="clear" w:color="auto" w:fill="E1DFDD"/>
    </w:rPr>
  </w:style>
  <w:style w:type="paragraph" w:customStyle="1" w:styleId="Textoindependiente242">
    <w:name w:val="Texto independiente 242"/>
    <w:basedOn w:val="Normal"/>
    <w:rsid w:val="008B5F96"/>
    <w:pPr>
      <w:spacing w:line="360" w:lineRule="auto"/>
      <w:jc w:val="both"/>
    </w:pPr>
    <w:rPr>
      <w:sz w:val="24"/>
      <w:lang w:val="es-ES_tradnl"/>
    </w:rPr>
  </w:style>
  <w:style w:type="paragraph" w:customStyle="1" w:styleId="Textoindependiente243">
    <w:name w:val="Texto independiente 243"/>
    <w:basedOn w:val="Normal"/>
    <w:rsid w:val="008B5F96"/>
    <w:pPr>
      <w:spacing w:line="360" w:lineRule="auto"/>
      <w:jc w:val="both"/>
    </w:pPr>
    <w:rPr>
      <w:sz w:val="24"/>
      <w:lang w:val="es-ES_tradnl"/>
    </w:rPr>
  </w:style>
  <w:style w:type="character" w:customStyle="1" w:styleId="Mencinsinresolver8">
    <w:name w:val="Mención sin resolver8"/>
    <w:uiPriority w:val="99"/>
    <w:semiHidden/>
    <w:unhideWhenUsed/>
    <w:rsid w:val="008B5F96"/>
    <w:rPr>
      <w:color w:val="605E5C"/>
      <w:shd w:val="clear" w:color="auto" w:fill="E1DFDD"/>
    </w:rPr>
  </w:style>
  <w:style w:type="paragraph" w:customStyle="1" w:styleId="Textoindependiente244">
    <w:name w:val="Texto independiente 244"/>
    <w:basedOn w:val="Normal"/>
    <w:rsid w:val="008B5F96"/>
    <w:pPr>
      <w:spacing w:line="360" w:lineRule="auto"/>
      <w:jc w:val="both"/>
    </w:pPr>
    <w:rPr>
      <w:sz w:val="24"/>
      <w:lang w:val="es-ES_tradnl"/>
    </w:rPr>
  </w:style>
  <w:style w:type="character" w:customStyle="1" w:styleId="Mencinsinresolver9">
    <w:name w:val="Mención sin resolver9"/>
    <w:uiPriority w:val="99"/>
    <w:semiHidden/>
    <w:unhideWhenUsed/>
    <w:rsid w:val="008B5F96"/>
    <w:rPr>
      <w:color w:val="605E5C"/>
      <w:shd w:val="clear" w:color="auto" w:fill="E1DFDD"/>
    </w:rPr>
  </w:style>
  <w:style w:type="paragraph" w:customStyle="1" w:styleId="Textoindependiente245">
    <w:name w:val="Texto independiente 245"/>
    <w:basedOn w:val="Normal"/>
    <w:rsid w:val="008B5F96"/>
    <w:pPr>
      <w:spacing w:line="360" w:lineRule="auto"/>
      <w:jc w:val="both"/>
    </w:pPr>
    <w:rPr>
      <w:sz w:val="24"/>
      <w:lang w:val="es-ES_tradnl"/>
    </w:rPr>
  </w:style>
  <w:style w:type="character" w:customStyle="1" w:styleId="Mencinsinresolver10">
    <w:name w:val="Mención sin resolver10"/>
    <w:uiPriority w:val="99"/>
    <w:semiHidden/>
    <w:unhideWhenUsed/>
    <w:rsid w:val="008B5F96"/>
    <w:rPr>
      <w:color w:val="605E5C"/>
      <w:shd w:val="clear" w:color="auto" w:fill="E1DFDD"/>
    </w:rPr>
  </w:style>
  <w:style w:type="paragraph" w:customStyle="1" w:styleId="Textoindependiente246">
    <w:name w:val="Texto independiente 246"/>
    <w:basedOn w:val="Normal"/>
    <w:rsid w:val="008B5F96"/>
    <w:pPr>
      <w:spacing w:line="360" w:lineRule="auto"/>
      <w:jc w:val="both"/>
    </w:pPr>
    <w:rPr>
      <w:sz w:val="24"/>
      <w:lang w:val="es-ES_tradnl"/>
    </w:rPr>
  </w:style>
  <w:style w:type="character" w:customStyle="1" w:styleId="Mencinsinresolver11">
    <w:name w:val="Mención sin resolver11"/>
    <w:uiPriority w:val="99"/>
    <w:semiHidden/>
    <w:unhideWhenUsed/>
    <w:rsid w:val="008B5F96"/>
    <w:rPr>
      <w:color w:val="605E5C"/>
      <w:shd w:val="clear" w:color="auto" w:fill="E1DFDD"/>
    </w:rPr>
  </w:style>
  <w:style w:type="paragraph" w:customStyle="1" w:styleId="Textoindependiente247">
    <w:name w:val="Texto independiente 247"/>
    <w:basedOn w:val="Normal"/>
    <w:rsid w:val="008B5F96"/>
    <w:pPr>
      <w:spacing w:line="360" w:lineRule="auto"/>
      <w:jc w:val="both"/>
    </w:pPr>
    <w:rPr>
      <w:sz w:val="24"/>
      <w:lang w:val="es-ES_tradnl"/>
    </w:rPr>
  </w:style>
  <w:style w:type="character" w:customStyle="1" w:styleId="Mencinsinresolver12">
    <w:name w:val="Mención sin resolver12"/>
    <w:uiPriority w:val="99"/>
    <w:semiHidden/>
    <w:unhideWhenUsed/>
    <w:rsid w:val="008B5F96"/>
    <w:rPr>
      <w:color w:val="605E5C"/>
      <w:shd w:val="clear" w:color="auto" w:fill="E1DFDD"/>
    </w:rPr>
  </w:style>
  <w:style w:type="table" w:customStyle="1" w:styleId="Sombreadoclaro-nfasis61">
    <w:name w:val="Sombreado claro - Énfasis 61"/>
    <w:basedOn w:val="Tablanormal"/>
    <w:next w:val="Tablanormal"/>
    <w:uiPriority w:val="60"/>
    <w:locked/>
    <w:rsid w:val="008B5F96"/>
    <w:rPr>
      <w:rFonts w:ascii="Franklin Gothic Book" w:hAnsi="Franklin Gothic Book"/>
      <w:color w:val="5282BE"/>
    </w:rPr>
    <w:tblPr>
      <w:tblStyleRowBandSize w:val="1"/>
      <w:tblStyleColBandSize w:val="1"/>
      <w:tblBorders>
        <w:top w:val="single" w:sz="8" w:space="0" w:color="95B3D7"/>
        <w:bottom w:val="single" w:sz="8" w:space="0" w:color="95B3D7"/>
      </w:tblBorders>
    </w:tblPr>
    <w:tblStylePr w:type="fir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la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cPr>
    </w:tblStylePr>
    <w:tblStylePr w:type="band1Horz">
      <w:tblPr/>
      <w:tcPr>
        <w:tcBorders>
          <w:left w:val="nil"/>
          <w:right w:val="nil"/>
          <w:insideH w:val="nil"/>
          <w:insideV w:val="nil"/>
        </w:tcBorders>
        <w:shd w:val="clear" w:color="auto" w:fill="E4ECF5"/>
      </w:tcPr>
    </w:tblStylePr>
  </w:style>
  <w:style w:type="table" w:customStyle="1" w:styleId="Sombreadomedio1-nfasis61">
    <w:name w:val="Sombreado medio 1 - Énfasis 61"/>
    <w:basedOn w:val="Tablanormal"/>
    <w:next w:val="Tablanormal"/>
    <w:uiPriority w:val="63"/>
    <w:locked/>
    <w:rsid w:val="008B5F96"/>
    <w:rPr>
      <w:rFonts w:ascii="Franklin Gothic Book" w:hAnsi="Franklin Gothic Book"/>
    </w:rPr>
    <w:tblPr>
      <w:tblStyleRowBandSize w:val="1"/>
      <w:tblStyleColBandSize w:val="1"/>
      <w:tblBorders>
        <w:top w:val="single" w:sz="8" w:space="0" w:color="AFC5E1"/>
        <w:left w:val="single" w:sz="8" w:space="0" w:color="AFC5E1"/>
        <w:bottom w:val="single" w:sz="8" w:space="0" w:color="AFC5E1"/>
        <w:right w:val="single" w:sz="8" w:space="0" w:color="AFC5E1"/>
        <w:insideH w:val="single" w:sz="8" w:space="0" w:color="AFC5E1"/>
      </w:tblBorders>
    </w:tblPr>
    <w:tblStylePr w:type="firstRow">
      <w:pPr>
        <w:spacing w:before="0" w:after="0" w:line="240" w:lineRule="auto"/>
      </w:pPr>
      <w:rPr>
        <w:b/>
        <w:bCs/>
        <w:color w:val="000000"/>
      </w:rPr>
      <w:tblPr/>
      <w:tcPr>
        <w:tcBorders>
          <w:top w:val="single" w:sz="8" w:space="0" w:color="AFC5E1"/>
          <w:left w:val="single" w:sz="8" w:space="0" w:color="AFC5E1"/>
          <w:bottom w:val="single" w:sz="8" w:space="0" w:color="AFC5E1"/>
          <w:right w:val="single" w:sz="8" w:space="0" w:color="AFC5E1"/>
          <w:insideH w:val="nil"/>
          <w:insideV w:val="nil"/>
        </w:tcBorders>
        <w:shd w:val="clear" w:color="auto" w:fill="95B3D7"/>
      </w:tcPr>
    </w:tblStylePr>
    <w:tblStylePr w:type="lastRow">
      <w:pPr>
        <w:spacing w:before="0" w:after="0" w:line="240" w:lineRule="auto"/>
      </w:pPr>
      <w:rPr>
        <w:b/>
        <w:bCs/>
      </w:rPr>
      <w:tblPr/>
      <w:tcPr>
        <w:tcBorders>
          <w:top w:val="double" w:sz="6" w:space="0" w:color="AFC5E1"/>
          <w:left w:val="single" w:sz="8" w:space="0" w:color="AFC5E1"/>
          <w:bottom w:val="single" w:sz="8" w:space="0" w:color="AFC5E1"/>
          <w:right w:val="single" w:sz="8" w:space="0" w:color="AFC5E1"/>
          <w:insideH w:val="nil"/>
          <w:insideV w:val="nil"/>
        </w:tcBorders>
      </w:tcPr>
    </w:tblStylePr>
    <w:tblStylePr w:type="firstCol">
      <w:rPr>
        <w:b/>
        <w:bCs/>
      </w:rPr>
    </w:tblStylePr>
    <w:tblStylePr w:type="lastCol">
      <w:rPr>
        <w:b/>
        <w:bCs/>
      </w:rPr>
    </w:tblStylePr>
    <w:tblStylePr w:type="band1Vert">
      <w:tblPr/>
      <w:tcPr>
        <w:shd w:val="clear" w:color="auto" w:fill="E4ECF5"/>
      </w:tcPr>
    </w:tblStylePr>
    <w:tblStylePr w:type="band1Horz">
      <w:tblPr/>
      <w:tcPr>
        <w:tcBorders>
          <w:insideH w:val="nil"/>
          <w:insideV w:val="nil"/>
        </w:tcBorders>
        <w:shd w:val="clear" w:color="auto" w:fill="E4ECF5"/>
      </w:tcPr>
    </w:tblStylePr>
    <w:tblStylePr w:type="band2Horz">
      <w:tblPr/>
      <w:tcPr>
        <w:tcBorders>
          <w:insideH w:val="nil"/>
          <w:insideV w:val="nil"/>
        </w:tcBorders>
      </w:tcPr>
    </w:tblStylePr>
  </w:style>
  <w:style w:type="table" w:customStyle="1" w:styleId="Listaclara-nfasis61">
    <w:name w:val="Lista clara - Énfasis 61"/>
    <w:basedOn w:val="Tablanormal"/>
    <w:next w:val="Tablanormal"/>
    <w:uiPriority w:val="61"/>
    <w:locked/>
    <w:rsid w:val="008B5F96"/>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tblBorders>
    </w:tblPr>
    <w:tblStylePr w:type="firstRow">
      <w:pPr>
        <w:spacing w:before="0" w:after="0" w:line="240" w:lineRule="auto"/>
      </w:pPr>
      <w:rPr>
        <w:b/>
        <w:bCs/>
        <w:color w:val="000000"/>
      </w:rPr>
      <w:tblPr/>
      <w:tcPr>
        <w:shd w:val="clear" w:color="auto" w:fill="95B3D7"/>
      </w:tcPr>
    </w:tblStylePr>
    <w:tblStylePr w:type="lastRow">
      <w:pPr>
        <w:spacing w:before="0" w:after="0" w:line="240" w:lineRule="auto"/>
      </w:pPr>
      <w:rPr>
        <w:b/>
        <w:bCs/>
      </w:rPr>
      <w:tblPr/>
      <w:tcPr>
        <w:tcBorders>
          <w:top w:val="double" w:sz="6" w:space="0" w:color="95B3D7"/>
          <w:left w:val="single" w:sz="8" w:space="0" w:color="95B3D7"/>
          <w:bottom w:val="single" w:sz="8" w:space="0" w:color="95B3D7"/>
          <w:right w:val="single" w:sz="8" w:space="0" w:color="95B3D7"/>
        </w:tcBorders>
      </w:tcPr>
    </w:tblStylePr>
    <w:tblStylePr w:type="firstCol">
      <w:rPr>
        <w:b/>
        <w:bCs/>
      </w:rPr>
    </w:tblStylePr>
    <w:tblStylePr w:type="lastCol">
      <w:rPr>
        <w:b/>
        <w:bCs/>
      </w:rPr>
    </w:tblStylePr>
    <w:tblStylePr w:type="band1Vert">
      <w:tblPr/>
      <w:tcPr>
        <w:tcBorders>
          <w:top w:val="single" w:sz="8" w:space="0" w:color="95B3D7"/>
          <w:left w:val="single" w:sz="8" w:space="0" w:color="95B3D7"/>
          <w:bottom w:val="single" w:sz="8" w:space="0" w:color="95B3D7"/>
          <w:right w:val="single" w:sz="8" w:space="0" w:color="95B3D7"/>
        </w:tcBorders>
      </w:tcPr>
    </w:tblStylePr>
    <w:tblStylePr w:type="band1Horz">
      <w:tblPr/>
      <w:tcPr>
        <w:tcBorders>
          <w:top w:val="single" w:sz="8" w:space="0" w:color="95B3D7"/>
          <w:left w:val="single" w:sz="8" w:space="0" w:color="95B3D7"/>
          <w:bottom w:val="single" w:sz="8" w:space="0" w:color="95B3D7"/>
          <w:right w:val="single" w:sz="8" w:space="0" w:color="95B3D7"/>
        </w:tcBorders>
      </w:tcPr>
    </w:tblStylePr>
  </w:style>
  <w:style w:type="paragraph" w:customStyle="1" w:styleId="Cita1">
    <w:name w:val="Cita1"/>
    <w:basedOn w:val="Normal"/>
    <w:next w:val="Normal"/>
    <w:uiPriority w:val="29"/>
    <w:locked/>
    <w:rsid w:val="008B5F96"/>
    <w:pPr>
      <w:jc w:val="both"/>
    </w:pPr>
    <w:rPr>
      <w:rFonts w:ascii="Franklin Gothic Book" w:hAnsi="Franklin Gothic Book"/>
      <w:i/>
      <w:iCs/>
      <w:color w:val="000000"/>
      <w:sz w:val="22"/>
      <w:szCs w:val="24"/>
      <w:lang w:eastAsia="en-US"/>
    </w:rPr>
  </w:style>
  <w:style w:type="paragraph" w:customStyle="1" w:styleId="Textonotapie1">
    <w:name w:val="Texto nota pie1"/>
    <w:basedOn w:val="Normal"/>
    <w:next w:val="Normal"/>
    <w:uiPriority w:val="99"/>
    <w:semiHidden/>
    <w:unhideWhenUsed/>
    <w:locked/>
    <w:rsid w:val="008B5F96"/>
    <w:pPr>
      <w:jc w:val="both"/>
    </w:pPr>
    <w:rPr>
      <w:rFonts w:ascii="Bookman Old Style" w:eastAsia="Calibri" w:hAnsi="Bookman Old Style"/>
      <w:sz w:val="22"/>
      <w:szCs w:val="22"/>
      <w:lang w:val="es-CR" w:eastAsia="en-US"/>
    </w:rPr>
  </w:style>
  <w:style w:type="paragraph" w:customStyle="1" w:styleId="Textocomentario1">
    <w:name w:val="Texto comentario1"/>
    <w:basedOn w:val="Normal"/>
    <w:next w:val="Normal"/>
    <w:uiPriority w:val="99"/>
    <w:semiHidden/>
    <w:unhideWhenUsed/>
    <w:locked/>
    <w:rsid w:val="008B5F96"/>
    <w:pPr>
      <w:spacing w:after="160"/>
      <w:jc w:val="both"/>
    </w:pPr>
    <w:rPr>
      <w:rFonts w:ascii="Bookman Old Style" w:eastAsia="Calibri" w:hAnsi="Bookman Old Style"/>
      <w:sz w:val="22"/>
      <w:szCs w:val="22"/>
      <w:lang w:val="es-CR" w:eastAsia="en-US"/>
    </w:rPr>
  </w:style>
  <w:style w:type="paragraph" w:customStyle="1" w:styleId="Textodebloque1">
    <w:name w:val="Texto de bloque1"/>
    <w:basedOn w:val="Normal"/>
    <w:next w:val="Textodebloque"/>
    <w:uiPriority w:val="99"/>
    <w:semiHidden/>
    <w:unhideWhenUsed/>
    <w:locked/>
    <w:rsid w:val="008B5F96"/>
    <w:pPr>
      <w:pBdr>
        <w:top w:val="single" w:sz="2" w:space="10" w:color="3882C6"/>
        <w:left w:val="single" w:sz="2" w:space="10" w:color="3882C6"/>
        <w:bottom w:val="single" w:sz="2" w:space="10" w:color="3882C6"/>
        <w:right w:val="single" w:sz="2" w:space="10" w:color="3882C6"/>
      </w:pBdr>
      <w:spacing w:after="160"/>
      <w:ind w:left="1152" w:right="1152"/>
      <w:jc w:val="both"/>
    </w:pPr>
    <w:rPr>
      <w:rFonts w:ascii="Calibri" w:hAnsi="Calibri"/>
      <w:i/>
      <w:iCs/>
      <w:color w:val="3882C6"/>
      <w:sz w:val="22"/>
      <w:szCs w:val="22"/>
      <w:lang w:val="es-CR" w:eastAsia="en-US"/>
    </w:rPr>
  </w:style>
  <w:style w:type="character" w:customStyle="1" w:styleId="TextocomentarioCar1">
    <w:name w:val="Texto comentario Car1"/>
    <w:uiPriority w:val="99"/>
    <w:semiHidden/>
    <w:rsid w:val="008B5F96"/>
    <w:rPr>
      <w:sz w:val="20"/>
      <w:szCs w:val="20"/>
    </w:rPr>
  </w:style>
  <w:style w:type="character" w:customStyle="1" w:styleId="CitaCar1">
    <w:name w:val="Cita Car1"/>
    <w:uiPriority w:val="29"/>
    <w:rsid w:val="008B5F96"/>
    <w:rPr>
      <w:i/>
      <w:iCs/>
      <w:color w:val="404040"/>
    </w:rPr>
  </w:style>
  <w:style w:type="paragraph" w:customStyle="1" w:styleId="Nombredireccininterior">
    <w:name w:val="Nombre dirección interior"/>
    <w:basedOn w:val="Normal"/>
    <w:rsid w:val="008B5F96"/>
    <w:pPr>
      <w:spacing w:before="220" w:line="240" w:lineRule="atLeast"/>
      <w:jc w:val="both"/>
    </w:pPr>
    <w:rPr>
      <w:rFonts w:ascii="Arial" w:eastAsia="Calibri" w:hAnsi="Arial" w:cs="Arial"/>
      <w:sz w:val="24"/>
      <w:szCs w:val="24"/>
      <w:lang w:val="es-CR" w:eastAsia="en-US"/>
    </w:rPr>
  </w:style>
  <w:style w:type="character" w:customStyle="1" w:styleId="TtuloCar2">
    <w:name w:val="Título Car2"/>
    <w:uiPriority w:val="99"/>
    <w:rsid w:val="008B5F96"/>
    <w:rPr>
      <w:rFonts w:ascii="Calibri Light" w:eastAsia="Times New Roman" w:hAnsi="Calibri Light" w:cs="Times New Roman"/>
      <w:spacing w:val="-10"/>
      <w:kern w:val="28"/>
      <w:sz w:val="56"/>
      <w:szCs w:val="56"/>
      <w:lang w:eastAsia="es-ES"/>
    </w:rPr>
  </w:style>
  <w:style w:type="character" w:styleId="Mencinsinresolver">
    <w:name w:val="Unresolved Mention"/>
    <w:uiPriority w:val="99"/>
    <w:semiHidden/>
    <w:unhideWhenUsed/>
    <w:rsid w:val="008B5F96"/>
    <w:rPr>
      <w:color w:val="605E5C"/>
      <w:shd w:val="clear" w:color="auto" w:fill="E1DFDD"/>
    </w:rPr>
  </w:style>
  <w:style w:type="paragraph" w:customStyle="1" w:styleId="PrrafoListaconLetras">
    <w:name w:val="Párrafo Lista con Letras"/>
    <w:basedOn w:val="Normal"/>
    <w:rsid w:val="008B5F96"/>
    <w:pPr>
      <w:spacing w:before="160" w:after="160"/>
      <w:ind w:left="1944"/>
      <w:jc w:val="both"/>
    </w:pPr>
    <w:rPr>
      <w:rFonts w:ascii="Arial" w:hAnsi="Arial"/>
      <w:szCs w:val="24"/>
      <w:lang w:eastAsia="en-US"/>
    </w:rPr>
  </w:style>
  <w:style w:type="paragraph" w:customStyle="1" w:styleId="EstiloTextoIntroductorio">
    <w:name w:val="Estilo Texto Introductorio"/>
    <w:basedOn w:val="TextoIntroductorio"/>
    <w:rsid w:val="008B5F96"/>
    <w:rPr>
      <w:bCs/>
      <w:color w:val="auto"/>
    </w:rPr>
  </w:style>
  <w:style w:type="character" w:customStyle="1" w:styleId="subtitulo1">
    <w:name w:val="subtitulo1"/>
    <w:rsid w:val="008B5F96"/>
    <w:rPr>
      <w:rFonts w:ascii="Arial" w:hAnsi="Arial" w:cs="Arial" w:hint="default"/>
      <w:b/>
      <w:bCs/>
      <w:i w:val="0"/>
      <w:iCs w:val="0"/>
      <w:caps w:val="0"/>
      <w:smallCaps w:val="0"/>
      <w:strike w:val="0"/>
      <w:dstrike w:val="0"/>
      <w:color w:val="374F79"/>
      <w:u w:val="none"/>
      <w:effect w:val="none"/>
    </w:rPr>
  </w:style>
  <w:style w:type="character" w:customStyle="1" w:styleId="EstiloRefdenotaalpieSinNegritaEspacioajustadoen14pto1">
    <w:name w:val="Estilo Ref. de nota al pie + Sin Negrita Espacio ajustado en 14 pto1"/>
    <w:rsid w:val="008B5F96"/>
    <w:rPr>
      <w:rFonts w:ascii="Arial" w:hAnsi="Arial"/>
      <w:b/>
      <w:dstrike w:val="0"/>
      <w:color w:val="auto"/>
      <w:kern w:val="28"/>
      <w:sz w:val="22"/>
      <w:szCs w:val="20"/>
      <w:u w:val="none"/>
      <w:vertAlign w:val="superscript"/>
      <w:lang w:val="es-CR"/>
    </w:rPr>
  </w:style>
  <w:style w:type="paragraph" w:customStyle="1" w:styleId="Instruccionesenvocorreo">
    <w:name w:val="Instrucciones envío correo"/>
    <w:basedOn w:val="Normal"/>
    <w:rsid w:val="008B5F96"/>
    <w:rPr>
      <w:rFonts w:ascii="Calibri" w:eastAsia="Calibri" w:hAnsi="Calibri"/>
      <w:sz w:val="24"/>
      <w:szCs w:val="24"/>
      <w:lang w:val="es-ES_tradnl" w:eastAsia="en-US"/>
    </w:rPr>
  </w:style>
  <w:style w:type="character" w:customStyle="1" w:styleId="e24kjd">
    <w:name w:val="e24kjd"/>
    <w:rsid w:val="008B5F96"/>
  </w:style>
  <w:style w:type="table" w:customStyle="1" w:styleId="Tablaconcuadrcula4-nfasis11">
    <w:name w:val="Tabla con cuadrícula 4 - Énfasis 11"/>
    <w:basedOn w:val="Tablanormal"/>
    <w:next w:val="Tabladecuadrcula4-nfasis1"/>
    <w:uiPriority w:val="49"/>
    <w:rsid w:val="008B5F96"/>
    <w:pPr>
      <w:jc w:val="both"/>
    </w:pPr>
    <w:rPr>
      <w:rFonts w:eastAsia="Times New Roman"/>
      <w:lang w:val="en-US" w:eastAsia="en-US" w:bidi="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1clara1">
    <w:name w:val="Tabla con cuadrícula 1 clara1"/>
    <w:basedOn w:val="Tablanormal"/>
    <w:next w:val="Tablaconcuadrcula1clara"/>
    <w:uiPriority w:val="46"/>
    <w:rsid w:val="008B5F96"/>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2">
    <w:name w:val="Tabla con cuadrícula12"/>
    <w:basedOn w:val="Tablanormal"/>
    <w:next w:val="Tablaconcuadrcula"/>
    <w:uiPriority w:val="59"/>
    <w:locked/>
    <w:rsid w:val="008B5F96"/>
    <w:rPr>
      <w:rFonts w:ascii="Franklin Gothic Book" w:hAnsi="Franklin Gothic Boo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decuadrcula4">
    <w:name w:val="Grid Table 4"/>
    <w:basedOn w:val="Tablanormal"/>
    <w:uiPriority w:val="49"/>
    <w:rsid w:val="008B5F96"/>
    <w:pPr>
      <w:jc w:val="both"/>
    </w:pPr>
    <w:rPr>
      <w:rFonts w:eastAsia="Times New Roman"/>
      <w:lang w:val="en-US" w:eastAsia="en-US" w:bidi="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textrun">
    <w:name w:val="normaltextrun"/>
    <w:basedOn w:val="Fuentedeprrafopredeter"/>
    <w:rsid w:val="008B5F96"/>
  </w:style>
  <w:style w:type="table" w:customStyle="1" w:styleId="Tablaconcuadrcula51">
    <w:name w:val="Tabla con cuadrícula51"/>
    <w:basedOn w:val="Tablanormal"/>
    <w:next w:val="Tablaconcuadrcula"/>
    <w:uiPriority w:val="39"/>
    <w:rsid w:val="008B5F96"/>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8B5F96"/>
  </w:style>
  <w:style w:type="character" w:customStyle="1" w:styleId="overflow-hidden">
    <w:name w:val="overflow-hidden"/>
    <w:basedOn w:val="Fuentedeprrafopredeter"/>
    <w:rsid w:val="008B5F96"/>
  </w:style>
  <w:style w:type="character" w:customStyle="1" w:styleId="cf01">
    <w:name w:val="cf01"/>
    <w:basedOn w:val="Fuentedeprrafopredeter"/>
    <w:rsid w:val="008B5F96"/>
    <w:rPr>
      <w:rFonts w:ascii="Segoe UI" w:hAnsi="Segoe UI" w:cs="Segoe UI" w:hint="default"/>
      <w:sz w:val="18"/>
      <w:szCs w:val="18"/>
    </w:rPr>
  </w:style>
  <w:style w:type="paragraph" w:customStyle="1" w:styleId="Textoscentradosennegrita">
    <w:name w:val="Textos centrados en negrita"/>
    <w:basedOn w:val="Normal"/>
    <w:link w:val="TextoscentradosennegritaCar"/>
    <w:qFormat/>
    <w:rsid w:val="008B5F96"/>
    <w:pPr>
      <w:spacing w:after="160" w:line="259" w:lineRule="auto"/>
      <w:jc w:val="center"/>
    </w:pPr>
    <w:rPr>
      <w:rFonts w:eastAsia="Calibri"/>
      <w:b/>
      <w:i/>
      <w:sz w:val="22"/>
      <w:szCs w:val="22"/>
      <w:lang w:val="es-CR" w:eastAsia="en-US"/>
    </w:rPr>
  </w:style>
  <w:style w:type="character" w:customStyle="1" w:styleId="TextoscentradosennegritaCar">
    <w:name w:val="Textos centrados en negrita Car"/>
    <w:link w:val="Textoscentradosennegrita"/>
    <w:rsid w:val="008B5F96"/>
    <w:rPr>
      <w:rFonts w:ascii="Times New Roman" w:hAnsi="Times New Roman"/>
      <w:b/>
      <w:i/>
      <w:sz w:val="22"/>
      <w:szCs w:val="22"/>
      <w:lang w:eastAsia="en-US"/>
    </w:rPr>
  </w:style>
  <w:style w:type="table" w:customStyle="1" w:styleId="Tablaconcuadrcula61">
    <w:name w:val="Tabla con cuadrícula61"/>
    <w:basedOn w:val="Tablanormal"/>
    <w:next w:val="Tablaconcuadrcula"/>
    <w:uiPriority w:val="39"/>
    <w:rsid w:val="008B5F96"/>
    <w:rPr>
      <w:rFonts w:eastAsia="Yu Mincho"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rsid w:val="008B5F96"/>
    <w:rPr>
      <w:rFonts w:ascii="Times New Roman" w:eastAsia="Times New Roman" w:hAnsi="Times New Roman" w:cs="Times New Roman"/>
      <w:sz w:val="20"/>
      <w:szCs w:val="20"/>
      <w:lang w:val="es-ES" w:eastAsia="es-ES"/>
    </w:rPr>
  </w:style>
  <w:style w:type="character" w:customStyle="1" w:styleId="FooterChar">
    <w:name w:val="Footer Char"/>
    <w:uiPriority w:val="99"/>
    <w:rsid w:val="008B5F96"/>
    <w:rPr>
      <w:rFonts w:ascii="Times New Roman" w:eastAsia="Times New Roman" w:hAnsi="Times New Roman" w:cs="Times New Roman"/>
      <w:sz w:val="20"/>
      <w:szCs w:val="20"/>
      <w:lang w:val="es-ES" w:eastAsia="es-ES"/>
    </w:rPr>
  </w:style>
  <w:style w:type="character" w:customStyle="1" w:styleId="Ttulo1-Carcter">
    <w:name w:val="Título1-(Carácter)"/>
    <w:rsid w:val="008B5F96"/>
  </w:style>
  <w:style w:type="paragraph" w:customStyle="1" w:styleId="Ttulo1-Prrafo">
    <w:name w:val="Título1-(Párrafo)"/>
    <w:basedOn w:val="Normal"/>
    <w:qFormat/>
    <w:rsid w:val="008B5F96"/>
    <w:pPr>
      <w:jc w:val="center"/>
    </w:pPr>
    <w:rPr>
      <w:b/>
      <w:sz w:val="32"/>
      <w:lang w:val="es-ES_tradnl"/>
    </w:rPr>
  </w:style>
  <w:style w:type="character" w:customStyle="1" w:styleId="TextosinformatoCar1">
    <w:name w:val="Texto sin formato Car1"/>
    <w:basedOn w:val="Fuentedeprrafopredeter"/>
    <w:uiPriority w:val="99"/>
    <w:semiHidden/>
    <w:rsid w:val="008B5F96"/>
    <w:rPr>
      <w:rFonts w:ascii="Consolas" w:eastAsia="Times New Roman" w:hAnsi="Consolas"/>
      <w:sz w:val="21"/>
      <w:szCs w:val="21"/>
      <w:lang w:eastAsia="es-ES"/>
    </w:rPr>
  </w:style>
  <w:style w:type="paragraph" w:customStyle="1" w:styleId="NOMBRESPARALASACTAS">
    <w:name w:val="NOMBRES PARA LAS ACTAS"/>
    <w:basedOn w:val="Normal"/>
    <w:qFormat/>
    <w:rsid w:val="008B5F96"/>
    <w:pPr>
      <w:spacing w:after="200" w:line="276" w:lineRule="auto"/>
      <w:jc w:val="both"/>
    </w:pPr>
    <w:rPr>
      <w:rFonts w:eastAsia="Yu Mincho"/>
      <w:b/>
      <w:bCs/>
      <w:sz w:val="24"/>
      <w:szCs w:val="24"/>
      <w:lang w:val="es-CR" w:eastAsia="en-US"/>
    </w:rPr>
  </w:style>
  <w:style w:type="table" w:customStyle="1" w:styleId="Cuadrculaclara-nfasis61">
    <w:name w:val="Cuadrícula clara - Énfasis 61"/>
    <w:basedOn w:val="Tablanormal"/>
    <w:next w:val="Tablanormal"/>
    <w:uiPriority w:val="62"/>
    <w:locked/>
    <w:rsid w:val="008B5F96"/>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Pr>
    <w:tblStylePr w:type="firstRow">
      <w:pPr>
        <w:spacing w:before="0" w:after="0" w:line="240" w:lineRule="auto"/>
      </w:pPr>
      <w:rPr>
        <w:rFonts w:ascii="Coronet" w:eastAsia="Times New Roman" w:hAnsi="Coronet" w:cs="Times New Roman"/>
        <w:b/>
        <w:bCs/>
      </w:rPr>
      <w:tblPr/>
      <w:tcPr>
        <w:tcBorders>
          <w:top w:val="single" w:sz="8" w:space="0" w:color="95B3D7"/>
          <w:left w:val="single" w:sz="8" w:space="0" w:color="95B3D7"/>
          <w:bottom w:val="single" w:sz="18" w:space="0" w:color="95B3D7"/>
          <w:right w:val="single" w:sz="8" w:space="0" w:color="95B3D7"/>
          <w:insideH w:val="nil"/>
          <w:insideV w:val="single" w:sz="8" w:space="0" w:color="95B3D7"/>
        </w:tcBorders>
      </w:tcPr>
    </w:tblStylePr>
    <w:tblStylePr w:type="lastRow">
      <w:pPr>
        <w:spacing w:before="0" w:after="0" w:line="240" w:lineRule="auto"/>
      </w:pPr>
      <w:rPr>
        <w:rFonts w:ascii="Coronet" w:eastAsia="Times New Roman" w:hAnsi="Coronet" w:cs="Times New Roman"/>
        <w:b/>
        <w:bCs/>
      </w:rPr>
      <w:tblPr/>
      <w:tcPr>
        <w:tcBorders>
          <w:top w:val="double" w:sz="6" w:space="0" w:color="95B3D7"/>
          <w:left w:val="single" w:sz="8" w:space="0" w:color="95B3D7"/>
          <w:bottom w:val="single" w:sz="8" w:space="0" w:color="95B3D7"/>
          <w:right w:val="single" w:sz="8" w:space="0" w:color="95B3D7"/>
          <w:insideH w:val="nil"/>
          <w:insideV w:val="single" w:sz="8" w:space="0" w:color="95B3D7"/>
        </w:tcBorders>
      </w:tcPr>
    </w:tblStylePr>
    <w:tblStylePr w:type="firstCol">
      <w:rPr>
        <w:rFonts w:ascii="Coronet" w:eastAsia="Times New Roman" w:hAnsi="Coronet" w:cs="Times New Roman"/>
        <w:b/>
        <w:bCs/>
      </w:rPr>
    </w:tblStylePr>
    <w:tblStylePr w:type="lastCol">
      <w:rPr>
        <w:rFonts w:ascii="Coronet" w:eastAsia="Times New Roman" w:hAnsi="Coronet" w:cs="Times New Roman"/>
        <w:b/>
        <w:bCs/>
      </w:rPr>
      <w:tblPr/>
      <w:tcPr>
        <w:tcBorders>
          <w:top w:val="single" w:sz="8" w:space="0" w:color="95B3D7"/>
          <w:left w:val="single" w:sz="8" w:space="0" w:color="95B3D7"/>
          <w:bottom w:val="single" w:sz="8" w:space="0" w:color="95B3D7"/>
          <w:right w:val="single" w:sz="8" w:space="0" w:color="95B3D7"/>
        </w:tcBorders>
      </w:tcPr>
    </w:tblStylePr>
    <w:tblStylePr w:type="band1Vert">
      <w:tblPr/>
      <w:tcPr>
        <w:tcBorders>
          <w:top w:val="single" w:sz="8" w:space="0" w:color="95B3D7"/>
          <w:left w:val="single" w:sz="8" w:space="0" w:color="95B3D7"/>
          <w:bottom w:val="single" w:sz="8" w:space="0" w:color="95B3D7"/>
          <w:right w:val="single" w:sz="8" w:space="0" w:color="95B3D7"/>
        </w:tcBorders>
        <w:shd w:val="clear" w:color="auto" w:fill="E4ECF5"/>
      </w:tcPr>
    </w:tblStylePr>
    <w:tblStylePr w:type="band1Horz">
      <w:tblPr/>
      <w:tcPr>
        <w:tcBorders>
          <w:top w:val="single" w:sz="8" w:space="0" w:color="95B3D7"/>
          <w:left w:val="single" w:sz="8" w:space="0" w:color="95B3D7"/>
          <w:bottom w:val="single" w:sz="8" w:space="0" w:color="95B3D7"/>
          <w:right w:val="single" w:sz="8" w:space="0" w:color="95B3D7"/>
          <w:insideV w:val="single" w:sz="8" w:space="0" w:color="95B3D7"/>
        </w:tcBorders>
        <w:shd w:val="clear" w:color="auto" w:fill="E4ECF5"/>
      </w:tcPr>
    </w:tblStylePr>
    <w:tblStylePr w:type="band2Horz">
      <w:tblPr/>
      <w:tcPr>
        <w:tcBorders>
          <w:top w:val="single" w:sz="8" w:space="0" w:color="95B3D7"/>
          <w:left w:val="single" w:sz="8" w:space="0" w:color="95B3D7"/>
          <w:bottom w:val="single" w:sz="8" w:space="0" w:color="95B3D7"/>
          <w:right w:val="single" w:sz="8" w:space="0" w:color="95B3D7"/>
          <w:insideV w:val="single" w:sz="8" w:space="0" w:color="95B3D7"/>
        </w:tcBorders>
      </w:tcPr>
    </w:tblStylePr>
  </w:style>
  <w:style w:type="character" w:customStyle="1" w:styleId="TtuloCar3">
    <w:name w:val="Título Car3"/>
    <w:basedOn w:val="Fuentedeprrafopredeter"/>
    <w:uiPriority w:val="10"/>
    <w:rsid w:val="008B5F96"/>
    <w:rPr>
      <w:rFonts w:ascii="Calibri Light" w:eastAsia="Yu Gothic Light" w:hAnsi="Calibri Light" w:cs="Times New Roman"/>
      <w:spacing w:val="-10"/>
      <w:kern w:val="28"/>
      <w:sz w:val="56"/>
      <w:szCs w:val="56"/>
      <w:lang w:eastAsia="es-ES"/>
    </w:rPr>
  </w:style>
  <w:style w:type="paragraph" w:customStyle="1" w:styleId="Subttulo1">
    <w:name w:val="Subtítulo1"/>
    <w:basedOn w:val="Normal"/>
    <w:next w:val="Normal"/>
    <w:uiPriority w:val="11"/>
    <w:qFormat/>
    <w:rsid w:val="008B5F96"/>
    <w:pPr>
      <w:numPr>
        <w:ilvl w:val="1"/>
      </w:numPr>
    </w:pPr>
    <w:rPr>
      <w:rFonts w:eastAsia="Yu Gothic Light"/>
      <w:color w:val="595959"/>
      <w:spacing w:val="15"/>
      <w:sz w:val="28"/>
      <w:szCs w:val="28"/>
    </w:rPr>
  </w:style>
  <w:style w:type="character" w:customStyle="1" w:styleId="SubttuloCar">
    <w:name w:val="Subtítulo Car"/>
    <w:basedOn w:val="Fuentedeprrafopredeter"/>
    <w:link w:val="Subttulo"/>
    <w:uiPriority w:val="11"/>
    <w:rsid w:val="008B5F96"/>
    <w:rPr>
      <w:rFonts w:ascii="Times New Roman" w:eastAsia="Yu Gothic Light" w:hAnsi="Times New Roman" w:cs="Times New Roman"/>
      <w:color w:val="595959"/>
      <w:spacing w:val="15"/>
      <w:sz w:val="28"/>
      <w:szCs w:val="28"/>
      <w:lang w:val="es-ES" w:eastAsia="es-ES"/>
    </w:rPr>
  </w:style>
  <w:style w:type="paragraph" w:customStyle="1" w:styleId="Cita2">
    <w:name w:val="Cita2"/>
    <w:basedOn w:val="Normal"/>
    <w:next w:val="Normal"/>
    <w:uiPriority w:val="29"/>
    <w:qFormat/>
    <w:rsid w:val="008B5F96"/>
    <w:pPr>
      <w:spacing w:before="160"/>
      <w:jc w:val="center"/>
    </w:pPr>
    <w:rPr>
      <w:i/>
      <w:iCs/>
      <w:color w:val="404040"/>
    </w:rPr>
  </w:style>
  <w:style w:type="character" w:customStyle="1" w:styleId="CitaCar">
    <w:name w:val="Cita Car"/>
    <w:basedOn w:val="Fuentedeprrafopredeter"/>
    <w:link w:val="Cita"/>
    <w:uiPriority w:val="29"/>
    <w:rsid w:val="008B5F96"/>
    <w:rPr>
      <w:rFonts w:ascii="Times New Roman" w:eastAsia="Times New Roman" w:hAnsi="Times New Roman"/>
      <w:i/>
      <w:iCs/>
      <w:color w:val="404040"/>
      <w:lang w:val="es-ES" w:eastAsia="es-ES"/>
    </w:rPr>
  </w:style>
  <w:style w:type="paragraph" w:customStyle="1" w:styleId="Citadestacada1">
    <w:name w:val="Cita destacada1"/>
    <w:basedOn w:val="Normal"/>
    <w:next w:val="Normal"/>
    <w:uiPriority w:val="30"/>
    <w:qFormat/>
    <w:rsid w:val="008B5F96"/>
    <w:pPr>
      <w:pBdr>
        <w:top w:val="single" w:sz="4" w:space="10" w:color="2F5496"/>
        <w:bottom w:val="single" w:sz="4" w:space="10" w:color="2F5496"/>
      </w:pBdr>
      <w:spacing w:before="360" w:after="360"/>
      <w:ind w:left="864" w:right="864"/>
      <w:jc w:val="center"/>
    </w:pPr>
    <w:rPr>
      <w:i/>
      <w:iCs/>
      <w:color w:val="2F5496"/>
    </w:rPr>
  </w:style>
  <w:style w:type="character" w:customStyle="1" w:styleId="CitadestacadaCar">
    <w:name w:val="Cita destacada Car"/>
    <w:basedOn w:val="Fuentedeprrafopredeter"/>
    <w:link w:val="Citadestacada"/>
    <w:uiPriority w:val="30"/>
    <w:rsid w:val="008B5F96"/>
    <w:rPr>
      <w:rFonts w:ascii="Times New Roman" w:eastAsia="Times New Roman" w:hAnsi="Times New Roman"/>
      <w:i/>
      <w:iCs/>
      <w:color w:val="2F5496"/>
      <w:lang w:val="es-ES" w:eastAsia="es-ES"/>
    </w:rPr>
  </w:style>
  <w:style w:type="character" w:customStyle="1" w:styleId="TextonotapieCar2">
    <w:name w:val="Texto nota pie Car2"/>
    <w:basedOn w:val="Fuentedeprrafopredeter"/>
    <w:uiPriority w:val="99"/>
    <w:semiHidden/>
    <w:rsid w:val="008B5F96"/>
    <w:rPr>
      <w:rFonts w:ascii="Times New Roman" w:eastAsia="Times New Roman" w:hAnsi="Times New Roman"/>
      <w:lang w:eastAsia="es-ES"/>
    </w:rPr>
  </w:style>
  <w:style w:type="character" w:customStyle="1" w:styleId="TextodegloboCar1">
    <w:name w:val="Texto de globo Car1"/>
    <w:basedOn w:val="Fuentedeprrafopredeter"/>
    <w:uiPriority w:val="99"/>
    <w:semiHidden/>
    <w:rsid w:val="008B5F96"/>
    <w:rPr>
      <w:rFonts w:ascii="Segoe UI" w:eastAsia="Times New Roman" w:hAnsi="Segoe UI" w:cs="Segoe UI"/>
      <w:kern w:val="0"/>
      <w:sz w:val="18"/>
      <w:szCs w:val="18"/>
      <w:lang w:eastAsia="es-ES"/>
      <w14:ligatures w14:val="none"/>
    </w:rPr>
  </w:style>
  <w:style w:type="paragraph" w:customStyle="1" w:styleId="TtuloTDC1">
    <w:name w:val="Título TDC1"/>
    <w:basedOn w:val="Ttulo1"/>
    <w:next w:val="Normal"/>
    <w:uiPriority w:val="39"/>
    <w:unhideWhenUsed/>
    <w:qFormat/>
    <w:rsid w:val="008B5F96"/>
    <w:pPr>
      <w:keepNext w:val="0"/>
      <w:keepLines/>
      <w:widowControl w:val="0"/>
      <w:spacing w:line="259" w:lineRule="auto"/>
      <w:jc w:val="center"/>
      <w:outlineLvl w:val="9"/>
    </w:pPr>
    <w:rPr>
      <w:rFonts w:ascii="Calibri Light" w:eastAsia="Yu Gothic Light" w:hAnsi="Calibri Light"/>
      <w:bCs/>
      <w:color w:val="2F5496"/>
      <w:szCs w:val="24"/>
      <w:lang w:eastAsia="es-CR"/>
    </w:rPr>
  </w:style>
  <w:style w:type="paragraph" w:customStyle="1" w:styleId="pf0">
    <w:name w:val="pf0"/>
    <w:basedOn w:val="Normal"/>
    <w:rsid w:val="008B5F96"/>
    <w:pPr>
      <w:spacing w:before="100" w:beforeAutospacing="1" w:after="100" w:afterAutospacing="1"/>
    </w:pPr>
    <w:rPr>
      <w:sz w:val="24"/>
      <w:szCs w:val="24"/>
      <w:lang w:val="es-CR" w:eastAsia="es-CR"/>
    </w:rPr>
  </w:style>
  <w:style w:type="paragraph" w:styleId="Subttulo">
    <w:name w:val="Subtitle"/>
    <w:basedOn w:val="Normal"/>
    <w:next w:val="Normal"/>
    <w:link w:val="SubttuloCar"/>
    <w:uiPriority w:val="11"/>
    <w:qFormat/>
    <w:rsid w:val="008B5F96"/>
    <w:pPr>
      <w:numPr>
        <w:ilvl w:val="1"/>
      </w:numPr>
      <w:spacing w:after="160"/>
    </w:pPr>
    <w:rPr>
      <w:rFonts w:eastAsia="Yu Gothic Light"/>
      <w:color w:val="595959"/>
      <w:spacing w:val="15"/>
      <w:sz w:val="28"/>
      <w:szCs w:val="28"/>
    </w:rPr>
  </w:style>
  <w:style w:type="character" w:customStyle="1" w:styleId="SubttuloCar1">
    <w:name w:val="Subtítulo Car1"/>
    <w:basedOn w:val="Fuentedeprrafopredeter"/>
    <w:uiPriority w:val="11"/>
    <w:rsid w:val="008B5F96"/>
    <w:rPr>
      <w:rFonts w:asciiTheme="minorHAnsi" w:eastAsiaTheme="minorEastAsia" w:hAnsiTheme="minorHAnsi" w:cstheme="minorBidi"/>
      <w:color w:val="5A5A5A" w:themeColor="text1" w:themeTint="A5"/>
      <w:spacing w:val="15"/>
      <w:sz w:val="22"/>
      <w:szCs w:val="22"/>
      <w:lang w:val="es-ES" w:eastAsia="es-ES"/>
    </w:rPr>
  </w:style>
  <w:style w:type="paragraph" w:styleId="Cita">
    <w:name w:val="Quote"/>
    <w:basedOn w:val="Normal"/>
    <w:next w:val="Normal"/>
    <w:link w:val="CitaCar"/>
    <w:uiPriority w:val="29"/>
    <w:qFormat/>
    <w:rsid w:val="008B5F96"/>
    <w:pPr>
      <w:spacing w:before="200" w:after="160"/>
      <w:ind w:left="864" w:right="864"/>
      <w:jc w:val="center"/>
    </w:pPr>
    <w:rPr>
      <w:i/>
      <w:iCs/>
      <w:color w:val="404040"/>
    </w:rPr>
  </w:style>
  <w:style w:type="character" w:customStyle="1" w:styleId="CitaCar2">
    <w:name w:val="Cita Car2"/>
    <w:basedOn w:val="Fuentedeprrafopredeter"/>
    <w:uiPriority w:val="29"/>
    <w:rsid w:val="008B5F96"/>
    <w:rPr>
      <w:rFonts w:ascii="Times New Roman" w:eastAsia="Times New Roman" w:hAnsi="Times New Roman"/>
      <w:i/>
      <w:iCs/>
      <w:color w:val="404040" w:themeColor="text1" w:themeTint="BF"/>
      <w:lang w:val="es-ES" w:eastAsia="es-ES"/>
    </w:rPr>
  </w:style>
  <w:style w:type="paragraph" w:styleId="Citadestacada">
    <w:name w:val="Intense Quote"/>
    <w:basedOn w:val="Normal"/>
    <w:next w:val="Normal"/>
    <w:link w:val="CitadestacadaCar"/>
    <w:uiPriority w:val="30"/>
    <w:qFormat/>
    <w:rsid w:val="008B5F96"/>
    <w:pPr>
      <w:pBdr>
        <w:top w:val="single" w:sz="4" w:space="10" w:color="156082" w:themeColor="accent1"/>
        <w:bottom w:val="single" w:sz="4" w:space="10" w:color="156082" w:themeColor="accent1"/>
      </w:pBdr>
      <w:spacing w:before="360" w:after="360"/>
      <w:ind w:left="864" w:right="864"/>
      <w:jc w:val="center"/>
    </w:pPr>
    <w:rPr>
      <w:i/>
      <w:iCs/>
      <w:color w:val="2F5496"/>
    </w:rPr>
  </w:style>
  <w:style w:type="character" w:customStyle="1" w:styleId="CitadestacadaCar1">
    <w:name w:val="Cita destacada Car1"/>
    <w:basedOn w:val="Fuentedeprrafopredeter"/>
    <w:uiPriority w:val="30"/>
    <w:rsid w:val="008B5F96"/>
    <w:rPr>
      <w:rFonts w:ascii="Times New Roman" w:eastAsia="Times New Roman" w:hAnsi="Times New Roman"/>
      <w:i/>
      <w:iCs/>
      <w:color w:val="156082" w:themeColor="accent1"/>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V8zNgZTiXVoGdltHBupI4MfLzUJmurSWTkFY2AXu4dw=</DigestValue>
    </Reference>
    <Reference Type="http://www.w3.org/2000/09/xmldsig#Object" URI="#idOfficeObject">
      <DigestMethod Algorithm="http://www.w3.org/2001/04/xmlenc#sha256"/>
      <DigestValue>XuvhU8BGAPGEsOcGv4zAu4zVR8SeCFosGCuhxEwKByo=</DigestValue>
    </Reference>
    <Reference Type="http://uri.etsi.org/01903#SignedProperties" URI="#idSignedProperties">
      <Transforms>
        <Transform Algorithm="http://www.w3.org/TR/2001/REC-xml-c14n-20010315"/>
      </Transforms>
      <DigestMethod Algorithm="http://www.w3.org/2001/04/xmlenc#sha256"/>
      <DigestValue>5u34GEzYHBionOAq1zhSU1IIj7yx4P8KeZo+pUib9Ps=</DigestValue>
    </Reference>
  </SignedInfo>
  <SignatureValue>Ws31ltOUW5O8uLD2SNwir+Pr6ymGYbFe+pK31N6tQHpGHnPm4AaVbTV40DHUzTgmsuPVUWrlrMjs
7kVpUqBcfJ0aoAAPLWhqLJkhMNWiufjWCCThUhjbzycxOpoTpJJjrWqD3Qsw0YXnlbLmHCiBwpuC
RGYwVfBd3aMZ5uHjh9aTJl4/lUF8VhU6EkWksj9RMvUNDMp2/t8ObuHRuyzyLkO1VQbhRIwW1R8w
KyxlB1tMWWEdADDh/a3XyHklZyrgsRtorjoLQdQDLmTdI2DWAUfTESt0zzxWvTEkaueRcsW/WiSP
YYs5JCDEGwzo16OzElkQMxjVwUEsgdjUbuNetw==</SignatureValue>
  <KeyInfo>
    <X509Data>
      <X509Certificate>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BC+UMS5psGwCfU56fIo4/GDzoSNbL8uUoHfFyOkgwsapFfnSWzsVO/hmYfTXtB4dYd9cosqgqDByqu5TL9E1y2MCQq22t39Lytkzo+M5Mc68KdCjwdOK1vIqML5+P4KNDXnznxmBAqSOgjeltM56MJNfCGquGZLAJi2cQlGpQ0xzg/lwxGeA/7rtbFdAx+9AFmMRfILQ7x745C+cQLGUC7wgMisGbTSCQQwe9PwJb3lQ5roiBMCXbuK1sMkDS5pIlnj/Ux8rvCMy5H1HG5J6n048HbVCNawie6p3i7F5jR6ZA+0ohjpRrybndEBaTF0uY73gLwqnefEc5HJ+N8DHV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Transform>
          <Transform Algorithm="http://www.w3.org/TR/2001/REC-xml-c14n-20010315"/>
        </Transforms>
        <DigestMethod Algorithm="http://www.w3.org/2001/04/xmlenc#sha256"/>
        <DigestValue>7j04f467Id/e5GLFC+toIH1GlXiFPOrJS+Gph6ThAkY=</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6U57BlFAFphj59X8P6VgTe3Zkt2rfhv9viT+ahq2bSM=</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document.xml?ContentType=application/vnd.openxmlformats-officedocument.wordprocessingml.document.main+xml">
        <DigestMethod Algorithm="http://www.w3.org/2001/04/xmlenc#sha256"/>
        <DigestValue>tV2dAyjFrIByBX7IXUyyZh389xj72bAj0yEvVYBQzBY=</DigestValue>
      </Reference>
      <Reference URI="/word/endnotes.xml?ContentType=application/vnd.openxmlformats-officedocument.wordprocessingml.endnotes+xml">
        <DigestMethod Algorithm="http://www.w3.org/2001/04/xmlenc#sha256"/>
        <DigestValue>8aPPiKKgtjdkEZ0I5PYu8w7yuiWn2M3a3ZQtQAkUXZ0=</DigestValue>
      </Reference>
      <Reference URI="/word/fontTable.xml?ContentType=application/vnd.openxmlformats-officedocument.wordprocessingml.fontTable+xml">
        <DigestMethod Algorithm="http://www.w3.org/2001/04/xmlenc#sha256"/>
        <DigestValue>pJk048VtMPGC4DAXkPw9qyx7wtBaaAiZShaz+XAXr7Y=</DigestValue>
      </Reference>
      <Reference URI="/word/footer1.xml?ContentType=application/vnd.openxmlformats-officedocument.wordprocessingml.footer+xml">
        <DigestMethod Algorithm="http://www.w3.org/2001/04/xmlenc#sha256"/>
        <DigestValue>LUINCi5Wt/2PlSFq2qGTtwKbpmJidr9D4RQ8lXoWr08=</DigestValue>
      </Reference>
      <Reference URI="/word/footer2.xml?ContentType=application/vnd.openxmlformats-officedocument.wordprocessingml.footer+xml">
        <DigestMethod Algorithm="http://www.w3.org/2001/04/xmlenc#sha256"/>
        <DigestValue>e/BDxtJxWpXn1ygDDhtINe3cDin/0+ZpJOy4KP0y+iI=</DigestValue>
      </Reference>
      <Reference URI="/word/footer3.xml?ContentType=application/vnd.openxmlformats-officedocument.wordprocessingml.footer+xml">
        <DigestMethod Algorithm="http://www.w3.org/2001/04/xmlenc#sha256"/>
        <DigestValue>jdN8d3fcyV97DfwVkkVsFz3qKF4wZlNXHq+oadDsAfs=</DigestValue>
      </Reference>
      <Reference URI="/word/footnotes.xml?ContentType=application/vnd.openxmlformats-officedocument.wordprocessingml.footnotes+xml">
        <DigestMethod Algorithm="http://www.w3.org/2001/04/xmlenc#sha256"/>
        <DigestValue>V0nDq/LfCeGmQEFFebIcnG22tRnxGR5D24zdzY73OEQ=</DigestValue>
      </Reference>
      <Reference URI="/word/header1.xml?ContentType=application/vnd.openxmlformats-officedocument.wordprocessingml.header+xml">
        <DigestMethod Algorithm="http://www.w3.org/2001/04/xmlenc#sha256"/>
        <DigestValue>CZWVuffcINJosNm2Im9onKD+W5xWGo63df2ywltnQtU=</DigestValue>
      </Reference>
      <Reference URI="/word/header2.xml?ContentType=application/vnd.openxmlformats-officedocument.wordprocessingml.header+xml">
        <DigestMethod Algorithm="http://www.w3.org/2001/04/xmlenc#sha256"/>
        <DigestValue>LG0r716jSXzkV0lwKjze2L0NYYaft9oJ7sWJ3Ue9Mas=</DigestValue>
      </Reference>
      <Reference URI="/word/header3.xml?ContentType=application/vnd.openxmlformats-officedocument.wordprocessingml.header+xml">
        <DigestMethod Algorithm="http://www.w3.org/2001/04/xmlenc#sha256"/>
        <DigestValue>CJ4ACqK7Y3mTykHS3yP2SOYJ+PZR46tO++qNgke1fcA=</DigestValue>
      </Reference>
      <Reference URI="/word/media/image1.png?ContentType=image/png">
        <DigestMethod Algorithm="http://www.w3.org/2001/04/xmlenc#sha256"/>
        <DigestValue>Jl0drUdbJBogEiZeZIfZo7MopnnflMb7AE85UwlEsMI=</DigestValue>
      </Reference>
      <Reference URI="/word/media/image2.png?ContentType=image/png">
        <DigestMethod Algorithm="http://www.w3.org/2001/04/xmlenc#sha256"/>
        <DigestValue>+98JjKdxCP/zBsR8cxQ39Ip4kdZhZjkYPck/rPKEQ4E=</DigestValue>
      </Reference>
      <Reference URI="/word/media/image3.jpeg?ContentType=image/jpeg">
        <DigestMethod Algorithm="http://www.w3.org/2001/04/xmlenc#sha256"/>
        <DigestValue>JfIDIUk4DLpacM5qIVUvmWB7SQ3AuMD5HGGIQTzUnwA=</DigestValue>
      </Reference>
      <Reference URI="/word/media/image4.jpeg?ContentType=image/jpeg">
        <DigestMethod Algorithm="http://www.w3.org/2001/04/xmlenc#sha256"/>
        <DigestValue>KIBRR7jSR9i9r9ryH1lQ1MvNib3FG7vpevKfZV/YVc8=</DigestValue>
      </Reference>
      <Reference URI="/word/media/image5.emf?ContentType=image/x-emf">
        <DigestMethod Algorithm="http://www.w3.org/2001/04/xmlenc#sha256"/>
        <DigestValue>6D9fsnsTUIQVb1moA3vonYu3AAHKfuvQ1QJ7V/PvmYM=</DigestValue>
      </Reference>
      <Reference URI="/word/numbering.xml?ContentType=application/vnd.openxmlformats-officedocument.wordprocessingml.numbering+xml">
        <DigestMethod Algorithm="http://www.w3.org/2001/04/xmlenc#sha256"/>
        <DigestValue>tiRSDA3i7qsNyb44WFMpyM7HHt0ZOnlgyegRai29utI=</DigestValue>
      </Reference>
      <Reference URI="/word/settings.xml?ContentType=application/vnd.openxmlformats-officedocument.wordprocessingml.settings+xml">
        <DigestMethod Algorithm="http://www.w3.org/2001/04/xmlenc#sha256"/>
        <DigestValue>MPqsIxft4EimjunGaD4mnoTsEsOF2g7S6KsAfa5GKeg=</DigestValue>
      </Reference>
      <Reference URI="/word/styles.xml?ContentType=application/vnd.openxmlformats-officedocument.wordprocessingml.styles+xml">
        <DigestMethod Algorithm="http://www.w3.org/2001/04/xmlenc#sha256"/>
        <DigestValue>b7jvkDVlyz5pTMu3Bmmy/+cz+xlACzJd2CtOsxC45Jg=</DigestValue>
      </Reference>
      <Reference URI="/word/theme/theme1.xml?ContentType=application/vnd.openxmlformats-officedocument.theme+xml">
        <DigestMethod Algorithm="http://www.w3.org/2001/04/xmlenc#sha256"/>
        <DigestValue>oxv5UoMk/adxshj6cGB+uGUcRLsoDt0pdEA3VtiLti4=</DigestValue>
      </Reference>
      <Reference URI="/word/webSettings.xml?ContentType=application/vnd.openxmlformats-officedocument.wordprocessingml.webSettings+xml">
        <DigestMethod Algorithm="http://www.w3.org/2001/04/xmlenc#sha256"/>
        <DigestValue>vHCXixoCGhBJj3Uf6nEEC4A7xYkKOD9c1aYyR+9r0eg=</DigestValue>
      </Reference>
    </Manifest>
    <SignatureProperties>
      <SignatureProperty Id="idSignatureTime" Target="#idPackageSignature">
        <mdssi:SignatureTime xmlns:mdssi="http://schemas.openxmlformats.org/package/2006/digital-signature">
          <mdssi:Format>YYYY-MM-DDThh:mm:ssTZD</mdssi:Format>
          <mdssi:Value>2026-10-21T15:19:37Z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2026-10-21T15:19:37Z</xd:SigningTime>
          <xd:SigningCertificate>
            <xd:Cert>
              <xd:CertDigest>
                <DigestMethod Algorithm="http://www.w3.org/2001/04/xmlenc#sha256"/>
                <DigestValue>o+c0oYEVpoRg5SOYK5Rl8sqzLGVyoY+TCKlEL9rT+bs=</DigestValue>
              </xd:CertDigest>
              <xd:IssuerSerial>
                <X509IssuerName>CN=CA SINPE - PERSONA FISICA v2, OU=DIVISION SISTEMAS DE PAGO, O=BANCO CENTRAL DE COSTA RICA, C=CR, SERIALNUMBER=CPJ-4-000-004017</X509IssuerName>
                <X509SerialNumber>446021412448115004944871682016004480739516527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L3wYJKoZIhvcNAQcCoIIL0DCCC8wCAQMxDzANBglghkgBZQMEAgEFADBzBgsqhkiG9w0BCRABBKBkBGIwYAIBAQYIYIE8AQEBAQUwMTANBglghkgBZQMEAgEFAAQg+r1ktXG+DCD/kqesUjr+Q4yW0itZhJpNylX/PVeftj8CBAChJ2MYDzIwMjYxMDIxMTUxOTQwWjAEgAIB9AEB/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TJ8as+ALO9DBpO0RM9KXtdkl/Po5w25TLfLp+Nonq+krQLo0mtHed5457Fgh8f4ljpVomG2N9fZultqFyIyxC3xqphLIHYuZiijgevHAlw4YLMBnfHvp7o7MRqAmiDejKp8wnj3ufW2hkOxy8AC8CWukjC6Ds1m3PGnPYbfSSXz1TJggoHWDk+ExB3O7V/QsSF2VnJXdS/W2ZdUogPb/PB10aSsdPJsJjOnKhNLQJy1lBUDh0PuvJ7Dpz+8XCQ3Sp1IKHgxz/4WJV/k7ZUbvo1d1eE9EFb9Av6F2m1piavX4Py7bX9rlSft+cdgWbxYWif+x8ZjAz4T/9EDWlYiOMfvOG3ivrAAC6asgdUKIFDsk6SsVjx/j5jTIJ7EE8WiLOa1ZVSn0k39K2kWMdD4pyP1cJxfvyJt3zjugOrXyj3c08qbuboOU/e+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wQMMAoGCCsGAQUFBwMIMA4GA1UdDwEB/wQEAwIGwDAdBgNVHQ4EFgQU4jNYdaLjiH5fMVxSorIuvtUsCZ4wHwYDVR0jBBgwFoAUB3DVMuPWrEYZI7G0OQex/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</xd:EncapsulatedTimeStamp>
          </xd:SignatureTimeStamp>
          <TimeStampValidationData xmlns="http://uri.etsi.org/01903/v1.4.1#">
            <xd:CertificateValues>
              <xd:EncapsulatedX509Certificate>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</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</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WJ1E7DJoqYEIPZ2ztoSngO3+y90=</xd:ByKey>
                  </xd:ResponderID>
                  <xd:ProducedAt>2026-10-21T03:49:04Z</xd:ProducedAt>
                </xd:OCSPIdentifier>
                <xd:DigestAlgAndValue>
                  <DigestMethod Algorithm="http://www.w3.org/2001/04/xmlenc#sha256"/>
                  <DigestValue>cJCG5IvL7zmdGvzowE0QQI5gX36Q65wDbs1Odn63t/4=</DigestValue>
                </xd:DigestAlgAndValue>
              </xd:OCSPRef>
            </xd:OCSPRefs>
            <xd:CRLRefs>
              <xd:CRLRef>
                <xd:DigestAlgAndValue>
                  <DigestMethod Algorithm="http://www.w3.org/2001/04/xmlenc#sha256"/>
                  <DigestValue>nsp/xv2MUIPoFvwKuu9WhJG0Tvyl8+GI5Nvf4JI02Jg=</DigestValue>
                </xd:DigestAlgAndValue>
                <xd:CRLIdentifier>
                  <xd:Issuer>CN=CA POLITICA PERSONA FISICA - COSTA RICA v2, OU=DCFD, O=MICITT, C=CR, SERIALNUMBER=CPJ-2-100-098311</xd:Issuer>
                  <xd:IssueTime>2026-10-01T16:27:14Z</xd:IssueTime>
                </xd:CRLIdentifier>
              </xd:CRLRef>
              <xd:CRLRef>
                <xd:DigestAlgAndValue>
                  <DigestMethod Algorithm="http://www.w3.org/2001/04/xmlenc#sha256"/>
                  <DigestValue>71YDwy898FGwagL1+ZfM+WIjtZsvVrsoAeGznI6rxic=</DigestValue>
                </xd:DigestAlgAndValue>
                <xd:CRLIdentifier>
                  <xd:Issuer>CN=CA RAIZ NACIONAL - COSTA RICA v2, C=CR, O=MICITT, OU=DCFD, SERIALNUMBER=CPJ-2-100-098311</xd:Issuer>
                  <xd:IssueTime>2026-10-01T17:11:46Z</xd:IssueTime>
                </xd:CRLIdentifier>
              </xd:CRLRef>
            </xd:CRLRefs>
          </xd:CompleteRevocationRefs>
          <xd:RevocationValues>
            <xd:OCSPValues>
              <xd:EncapsulatedOCSPValue>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</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</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RevocationValues>
          <xd:SigAndRefsTimeStamp>
            <CanonicalizationMethod Algorithm="http://www.w3.org/TR/2001/REC-xml-c14n-20010315"/>
            <xd:EncapsulatedTimeStamp>MIIL3wYJKoZIhvcNAQcCoIIL0DCCC8wCAQMxDzANBglghkgBZQMEAgEFADBzBgsqhkiG9w0BCRABBKBkBGIwYAIBAQYIYIE8AQEBAQUwMTANBglghkgBZQMEAgEFAAQg6DuP+I55rpBQ/dLCeWXJqPa8K5oHE6KQj6IsoDYSqnACBAChJ2YYDzIwMjYxMDIxMTUxOTQwWjAEgAIB9AEB/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TJ8as+ALO9DBpO0RM9KXtdkl/Po5w25TLfLp+Nonq+krQLo0mtHed5457Fgh8f4ljpVomG2N9fZultqFyIyxC3xqphLIHYuZiijgevHAlw4YLMBnfHvp7o7MRqAmiDejKp8wnj3ufW2hkOxy8AC8CWukjC6Ds1m3PGnPYbfSSXz1TJggoHWDk+ExB3O7V/QsSF2VnJXdS/W2ZdUogPb/PB10aSsdPJsJjOnKhNLQJy1lBUDh0PuvJ7Dpz+8XCQ3Sp1IKHgxz/4WJV/k7ZUbvo1d1eE9EFb9Av6F2m1piavX4Py7bX9rlSft+cdgWbxYWif+x8ZjAz4T/9EDWlYiOMfvOG3ivrAAC6asgdUKIFDsk6SsVjx/j5jTIJ7EE8WiLOa1ZVSn0k39K2kWMdD4pyP1cJxfvyJt3zjugOrXyj3c08qbuboOU/e+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wQMMAoGCCsGAQUFBwMIMA4GA1UdDwEB/wQEAwIGwDAdBgNVHQ4EFgQU4jNYdaLjiH5fMVxSorIuvtUsCZ4wHwYDVR0jBBgwFoAUB3DVMuPWrEYZI7G0OQex/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municación Acuerdo Conassif" ma:contentTypeID="0x0101001999A01A5076EF418C32BE07C190743100CCCD100EF7A4A6499464CC7781BA65A8" ma:contentTypeVersion="27" ma:contentTypeDescription="Plantilla para comunicar los acuerdos tomados por la JD del Conassif" ma:contentTypeScope="" ma:versionID="e4607bcc17df0a6374ecb50f836689c9">
  <xsd:schema xmlns:xsd="http://www.w3.org/2001/XMLSchema" xmlns:xs="http://www.w3.org/2001/XMLSchema" xmlns:p="http://schemas.microsoft.com/office/2006/metadata/properties" xmlns:ns2="96c239bb-9668-4681-985a-a7d7030fe907" targetNamespace="http://schemas.microsoft.com/office/2006/metadata/properties" ma:root="true" ma:fieldsID="569f3c00d2dca0ba0cb6bf5ceeb29c92" ns2:_="">
    <xsd:import namespace="96c239bb-9668-4681-985a-a7d7030fe907"/>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2" nillable="true" ma:displayName="Año" ma:default="2026" ma:format="Dropdown" ma:indexed="true" ma:internalName="A_x00f1_o" ma:readOnly="false">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Estado" ma:index="3"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4"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5"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6" nillable="true" ma:displayName="Sesión" ma:indexed="true" ma:internalName="Sesi_x00f3_n" ma:readOnly="false">
      <xsd:simpleType>
        <xsd:restriction base="dms:Text">
          <xsd:maxLength value="255"/>
        </xsd:restriction>
      </xsd:simpleType>
    </xsd:element>
    <xsd:element name="_x002d_" ma:index="7" nillable="true" ma:displayName="-" ma:internalName="_x002d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stituci_x00f3_n xmlns="96c239bb-9668-4681-985a-a7d7030fe907">Conassif</Instituci_x00f3_n>
    <Sesi_x00f3_n xmlns="96c239bb-9668-4681-985a-a7d7030fe907">2057</Sesi_x00f3_n>
    <Estado xmlns="96c239bb-9668-4681-985a-a7d7030fe907">En proceso</Estado>
    <Mes xmlns="96c239bb-9668-4681-985a-a7d7030fe907">10-Octubre</Mes>
    <_x002d_ xmlns="96c239bb-9668-4681-985a-a7d7030fe907" xsi:nil="true"/>
    <A_x00f1_o xmlns="96c239bb-9668-4681-985a-a7d7030fe907">2026</A_x00f1_o>
  </documentManagement>
</p:properties>
</file>

<file path=customXml/item3.xml><?xml version="1.0" encoding="utf-8"?>
<?mso-contentType ?>
<FormTemplates xmlns="http://schemas.microsoft.com/sharepoint/v3/contenttype/form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FE4D-ED88-46AC-9C7B-B610EF5DA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1B2BD6-A6AA-4B33-B51C-95B71938BCCC}">
  <ds:schemaRefs>
    <ds:schemaRef ds:uri="http://schemas.microsoft.com/office/2006/metadata/properties"/>
    <ds:schemaRef ds:uri="http://schemas.microsoft.com/office/infopath/2007/PartnerControls"/>
    <ds:schemaRef ds:uri="96c239bb-9668-4681-985a-a7d7030fe907"/>
  </ds:schemaRefs>
</ds:datastoreItem>
</file>

<file path=customXml/itemProps3.xml><?xml version="1.0" encoding="utf-8"?>
<ds:datastoreItem xmlns:ds="http://schemas.openxmlformats.org/officeDocument/2006/customXml" ds:itemID="{3B653C67-DA6E-4CC4-95D6-D54C83B2999A}">
  <ds:schemaRefs>
    <ds:schemaRef ds:uri="http://schemas.microsoft.com/sharepoint/v3/contenttype/forms"/>
  </ds:schemaRefs>
</ds:datastoreItem>
</file>

<file path=customXml/itemProps4.xml><?xml version="1.0" encoding="utf-8"?>
<ds:datastoreItem xmlns:ds="http://schemas.openxmlformats.org/officeDocument/2006/customXml" ds:itemID="{AF95C1F6-2753-486F-9BEB-57E264C091FD}">
  <ds:schemaRefs>
    <ds:schemaRef ds:uri="http://schemas.microsoft.com/office/2006/metadata/longProperties"/>
  </ds:schemaRefs>
</ds:datastoreItem>
</file>

<file path=customXml/itemProps5.xml><?xml version="1.0" encoding="utf-8"?>
<ds:datastoreItem xmlns:ds="http://schemas.openxmlformats.org/officeDocument/2006/customXml" ds:itemID="{A6BAC7F6-8B99-4D55-8A41-F1B4D46DC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18955</Words>
  <Characters>104254</Characters>
  <Application>Microsoft Office Word</Application>
  <DocSecurity>0</DocSecurity>
  <Lines>868</Lines>
  <Paragraphs>245</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122964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hernandezsv@bccr.fi.cr</dc:creator>
  <cp:keywords/>
  <dc:description/>
  <cp:lastModifiedBy>RAMIREZ ARAYA ANA VIRGINIA</cp:lastModifiedBy>
  <cp:revision>5</cp:revision>
  <cp:lastPrinted>2025-09-03T23:51:00Z</cp:lastPrinted>
  <dcterms:created xsi:type="dcterms:W3CDTF">2026-10-20T23:19:00Z</dcterms:created>
  <dcterms:modified xsi:type="dcterms:W3CDTF">2026-10-21T14:56:00Z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0x0101001999A01A5076EF418C32BE07C190743100CCCD100EF7A4A6499464CC7781BA65A8</vt:lpwstr>
  </property>
</Properties>
</file>