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0046" w14:textId="77777777" w:rsidR="004D7C2C" w:rsidRDefault="004D7C2C" w:rsidP="005C6973">
      <w:pPr>
        <w:widowControl w:val="0"/>
        <w:jc w:val="both"/>
        <w:rPr>
          <w:sz w:val="24"/>
          <w:szCs w:val="24"/>
          <w:lang w:val="es-CR"/>
        </w:rPr>
      </w:pPr>
    </w:p>
    <w:p w14:paraId="0D15595F" w14:textId="2F613528" w:rsidR="000B3D80" w:rsidRPr="00F015A0" w:rsidRDefault="001B0003" w:rsidP="000B3D80">
      <w:pPr>
        <w:widowControl w:val="0"/>
        <w:jc w:val="both"/>
        <w:rPr>
          <w:sz w:val="24"/>
          <w:szCs w:val="24"/>
        </w:rPr>
      </w:pPr>
      <w:r w:rsidRPr="00F015A0">
        <w:rPr>
          <w:sz w:val="24"/>
          <w:szCs w:val="24"/>
        </w:rPr>
        <w:t>6</w:t>
      </w:r>
      <w:r w:rsidR="000B3D80" w:rsidRPr="00F015A0">
        <w:rPr>
          <w:sz w:val="24"/>
          <w:szCs w:val="24"/>
        </w:rPr>
        <w:t xml:space="preserve"> de </w:t>
      </w:r>
      <w:r w:rsidRPr="00F015A0">
        <w:rPr>
          <w:sz w:val="24"/>
          <w:szCs w:val="24"/>
        </w:rPr>
        <w:t xml:space="preserve">marzo </w:t>
      </w:r>
      <w:r w:rsidR="00B32AF1" w:rsidRPr="00F015A0">
        <w:rPr>
          <w:sz w:val="24"/>
          <w:szCs w:val="24"/>
        </w:rPr>
        <w:t>de</w:t>
      </w:r>
      <w:r w:rsidR="00423E7D" w:rsidRPr="00F015A0">
        <w:rPr>
          <w:sz w:val="24"/>
          <w:szCs w:val="24"/>
        </w:rPr>
        <w:t>l</w:t>
      </w:r>
      <w:r w:rsidR="00B32AF1" w:rsidRPr="00F015A0">
        <w:rPr>
          <w:sz w:val="24"/>
          <w:szCs w:val="24"/>
        </w:rPr>
        <w:t xml:space="preserve"> 202</w:t>
      </w:r>
      <w:r w:rsidR="00186DB2" w:rsidRPr="00F015A0">
        <w:rPr>
          <w:sz w:val="24"/>
          <w:szCs w:val="24"/>
        </w:rPr>
        <w:t>4</w:t>
      </w:r>
    </w:p>
    <w:p w14:paraId="0712401F" w14:textId="62B5DD62" w:rsidR="00D6438A" w:rsidRPr="00F015A0" w:rsidRDefault="008608BA" w:rsidP="005C6973">
      <w:pPr>
        <w:ind w:left="567" w:hanging="567"/>
        <w:jc w:val="both"/>
        <w:rPr>
          <w:sz w:val="24"/>
          <w:szCs w:val="24"/>
        </w:rPr>
      </w:pPr>
      <w:r w:rsidRPr="00F015A0">
        <w:rPr>
          <w:sz w:val="24"/>
          <w:szCs w:val="24"/>
        </w:rPr>
        <w:t>CN</w:t>
      </w:r>
      <w:r w:rsidR="006D43F1" w:rsidRPr="00F015A0">
        <w:rPr>
          <w:sz w:val="24"/>
          <w:szCs w:val="24"/>
        </w:rPr>
        <w:t>S-</w:t>
      </w:r>
      <w:r w:rsidR="002261E0" w:rsidRPr="00F015A0">
        <w:rPr>
          <w:sz w:val="24"/>
          <w:szCs w:val="24"/>
        </w:rPr>
        <w:t>1</w:t>
      </w:r>
      <w:r w:rsidR="00790696" w:rsidRPr="00F015A0">
        <w:rPr>
          <w:sz w:val="24"/>
          <w:szCs w:val="24"/>
        </w:rPr>
        <w:t>8</w:t>
      </w:r>
      <w:r w:rsidR="001B0003" w:rsidRPr="00F015A0">
        <w:rPr>
          <w:sz w:val="24"/>
          <w:szCs w:val="24"/>
        </w:rPr>
        <w:t>46</w:t>
      </w:r>
      <w:r w:rsidR="005C4B63" w:rsidRPr="00F015A0">
        <w:rPr>
          <w:sz w:val="24"/>
          <w:szCs w:val="24"/>
        </w:rPr>
        <w:t>/</w:t>
      </w:r>
      <w:r w:rsidR="003549E4" w:rsidRPr="00F015A0">
        <w:rPr>
          <w:sz w:val="24"/>
          <w:szCs w:val="24"/>
        </w:rPr>
        <w:t>0</w:t>
      </w:r>
      <w:r w:rsidR="0019373F" w:rsidRPr="00F015A0">
        <w:rPr>
          <w:sz w:val="24"/>
          <w:szCs w:val="24"/>
        </w:rPr>
        <w:t>7</w:t>
      </w:r>
    </w:p>
    <w:p w14:paraId="623297FD" w14:textId="445338A6" w:rsidR="00D6438A" w:rsidRPr="00F015A0" w:rsidRDefault="00D6438A" w:rsidP="005C6973">
      <w:pPr>
        <w:jc w:val="both"/>
        <w:rPr>
          <w:b/>
          <w:i/>
          <w:sz w:val="24"/>
          <w:szCs w:val="24"/>
        </w:rPr>
      </w:pPr>
    </w:p>
    <w:p w14:paraId="43799A43" w14:textId="77777777" w:rsidR="001B0003" w:rsidRPr="00F015A0" w:rsidRDefault="001B0003" w:rsidP="005C6973">
      <w:pPr>
        <w:jc w:val="both"/>
        <w:rPr>
          <w:b/>
          <w:i/>
          <w:sz w:val="24"/>
          <w:szCs w:val="24"/>
        </w:rPr>
      </w:pPr>
    </w:p>
    <w:p w14:paraId="2194DF5D" w14:textId="77777777" w:rsidR="00BA39C1" w:rsidRPr="00F015A0" w:rsidRDefault="00BA39C1" w:rsidP="00BA39C1">
      <w:pPr>
        <w:widowControl w:val="0"/>
        <w:jc w:val="both"/>
        <w:rPr>
          <w:sz w:val="24"/>
          <w:szCs w:val="24"/>
        </w:rPr>
      </w:pPr>
      <w:r w:rsidRPr="00F015A0">
        <w:rPr>
          <w:sz w:val="24"/>
          <w:szCs w:val="24"/>
        </w:rPr>
        <w:t>Señora</w:t>
      </w:r>
    </w:p>
    <w:p w14:paraId="6749BD43" w14:textId="77777777" w:rsidR="00BA39C1" w:rsidRPr="00F015A0" w:rsidRDefault="00BA39C1" w:rsidP="00BA39C1">
      <w:pPr>
        <w:widowControl w:val="0"/>
        <w:jc w:val="both"/>
        <w:rPr>
          <w:sz w:val="24"/>
          <w:szCs w:val="24"/>
        </w:rPr>
      </w:pPr>
      <w:r w:rsidRPr="00F015A0">
        <w:rPr>
          <w:sz w:val="24"/>
          <w:szCs w:val="24"/>
        </w:rPr>
        <w:t>Laura Suárez Zamora, presidente</w:t>
      </w:r>
    </w:p>
    <w:p w14:paraId="12EEA250" w14:textId="77777777" w:rsidR="00BA39C1" w:rsidRPr="00F015A0" w:rsidRDefault="00BA39C1" w:rsidP="00BA39C1">
      <w:pPr>
        <w:widowControl w:val="0"/>
        <w:jc w:val="both"/>
        <w:rPr>
          <w:b/>
          <w:i/>
          <w:sz w:val="24"/>
          <w:szCs w:val="24"/>
        </w:rPr>
      </w:pPr>
      <w:r w:rsidRPr="00F015A0">
        <w:rPr>
          <w:b/>
          <w:i/>
          <w:sz w:val="24"/>
          <w:szCs w:val="24"/>
        </w:rPr>
        <w:t>Consejo Nacional de Supervisión del Sistema Financiero</w:t>
      </w:r>
    </w:p>
    <w:p w14:paraId="67D58AE9" w14:textId="77777777" w:rsidR="00350DA3" w:rsidRPr="00F015A0" w:rsidRDefault="00350DA3" w:rsidP="005C6973">
      <w:pPr>
        <w:jc w:val="both"/>
        <w:rPr>
          <w:b/>
          <w:i/>
          <w:sz w:val="24"/>
          <w:szCs w:val="24"/>
        </w:rPr>
      </w:pPr>
    </w:p>
    <w:p w14:paraId="063F0129" w14:textId="77777777" w:rsidR="00423E7D" w:rsidRPr="00F015A0" w:rsidRDefault="00423E7D" w:rsidP="005C6973">
      <w:pPr>
        <w:jc w:val="both"/>
        <w:rPr>
          <w:b/>
          <w:i/>
          <w:sz w:val="24"/>
          <w:szCs w:val="24"/>
        </w:rPr>
      </w:pPr>
    </w:p>
    <w:p w14:paraId="3A1C46AE" w14:textId="77777777" w:rsidR="00D6438A" w:rsidRPr="00F015A0" w:rsidRDefault="00D6438A" w:rsidP="005C6973">
      <w:pPr>
        <w:widowControl w:val="0"/>
        <w:jc w:val="both"/>
        <w:rPr>
          <w:sz w:val="24"/>
          <w:szCs w:val="24"/>
        </w:rPr>
      </w:pPr>
      <w:r w:rsidRPr="00F015A0">
        <w:rPr>
          <w:sz w:val="24"/>
          <w:szCs w:val="24"/>
        </w:rPr>
        <w:t>Estimad</w:t>
      </w:r>
      <w:r w:rsidR="00BA39C1" w:rsidRPr="00F015A0">
        <w:rPr>
          <w:sz w:val="24"/>
          <w:szCs w:val="24"/>
        </w:rPr>
        <w:t>a</w:t>
      </w:r>
      <w:r w:rsidRPr="00F015A0">
        <w:rPr>
          <w:sz w:val="24"/>
          <w:szCs w:val="24"/>
        </w:rPr>
        <w:t xml:space="preserve"> señor</w:t>
      </w:r>
      <w:r w:rsidR="00BA39C1" w:rsidRPr="00F015A0">
        <w:rPr>
          <w:sz w:val="24"/>
          <w:szCs w:val="24"/>
        </w:rPr>
        <w:t>a</w:t>
      </w:r>
      <w:r w:rsidRPr="00F015A0">
        <w:rPr>
          <w:sz w:val="24"/>
          <w:szCs w:val="24"/>
        </w:rPr>
        <w:t>:</w:t>
      </w:r>
    </w:p>
    <w:p w14:paraId="69D0514F" w14:textId="77777777" w:rsidR="00D6438A" w:rsidRPr="00F015A0" w:rsidRDefault="00D6438A" w:rsidP="005C6973">
      <w:pPr>
        <w:jc w:val="both"/>
        <w:rPr>
          <w:b/>
          <w:i/>
          <w:sz w:val="24"/>
          <w:szCs w:val="24"/>
        </w:rPr>
      </w:pPr>
    </w:p>
    <w:p w14:paraId="77CC2434" w14:textId="52D69D0C" w:rsidR="000B3D80" w:rsidRPr="00F015A0" w:rsidRDefault="000246D3" w:rsidP="000B3D80">
      <w:pPr>
        <w:widowControl w:val="0"/>
        <w:jc w:val="both"/>
        <w:rPr>
          <w:sz w:val="24"/>
          <w:szCs w:val="24"/>
        </w:rPr>
      </w:pPr>
      <w:r w:rsidRPr="00F015A0">
        <w:rPr>
          <w:sz w:val="24"/>
          <w:szCs w:val="24"/>
        </w:rPr>
        <w:t>El Consejo Nacional de Supervisión del Sis</w:t>
      </w:r>
      <w:r w:rsidR="00542907" w:rsidRPr="00F015A0">
        <w:rPr>
          <w:sz w:val="24"/>
          <w:szCs w:val="24"/>
        </w:rPr>
        <w:t>tema Financiero</w:t>
      </w:r>
      <w:r w:rsidR="004D6CBF" w:rsidRPr="00F015A0">
        <w:rPr>
          <w:sz w:val="24"/>
          <w:szCs w:val="24"/>
        </w:rPr>
        <w:t>,</w:t>
      </w:r>
      <w:r w:rsidR="00542907" w:rsidRPr="00F015A0">
        <w:rPr>
          <w:sz w:val="24"/>
          <w:szCs w:val="24"/>
        </w:rPr>
        <w:t xml:space="preserve"> en el artículo</w:t>
      </w:r>
      <w:r w:rsidR="006367DF" w:rsidRPr="00F015A0">
        <w:rPr>
          <w:sz w:val="24"/>
          <w:szCs w:val="24"/>
        </w:rPr>
        <w:t xml:space="preserve"> </w:t>
      </w:r>
      <w:r w:rsidR="00FF67D9" w:rsidRPr="00F015A0">
        <w:rPr>
          <w:sz w:val="24"/>
          <w:szCs w:val="24"/>
        </w:rPr>
        <w:t>7</w:t>
      </w:r>
      <w:r w:rsidR="006367DF" w:rsidRPr="00F015A0">
        <w:rPr>
          <w:sz w:val="24"/>
          <w:szCs w:val="24"/>
        </w:rPr>
        <w:t xml:space="preserve"> </w:t>
      </w:r>
      <w:r w:rsidRPr="00F015A0">
        <w:rPr>
          <w:sz w:val="24"/>
          <w:szCs w:val="24"/>
        </w:rPr>
        <w:t>de</w:t>
      </w:r>
      <w:r w:rsidR="00542907" w:rsidRPr="00F015A0">
        <w:rPr>
          <w:sz w:val="24"/>
          <w:szCs w:val="24"/>
        </w:rPr>
        <w:t xml:space="preserve">l </w:t>
      </w:r>
      <w:r w:rsidR="00867718" w:rsidRPr="00F015A0">
        <w:rPr>
          <w:sz w:val="24"/>
          <w:szCs w:val="24"/>
        </w:rPr>
        <w:t>acta de la</w:t>
      </w:r>
      <w:r w:rsidR="006367DF" w:rsidRPr="00F015A0">
        <w:rPr>
          <w:sz w:val="24"/>
          <w:szCs w:val="24"/>
        </w:rPr>
        <w:t xml:space="preserve"> sesi</w:t>
      </w:r>
      <w:r w:rsidR="000E18F8" w:rsidRPr="00F015A0">
        <w:rPr>
          <w:sz w:val="24"/>
          <w:szCs w:val="24"/>
        </w:rPr>
        <w:t xml:space="preserve">ón </w:t>
      </w:r>
      <w:r w:rsidR="002261E0" w:rsidRPr="00F015A0">
        <w:rPr>
          <w:sz w:val="24"/>
          <w:szCs w:val="24"/>
        </w:rPr>
        <w:t>1</w:t>
      </w:r>
      <w:r w:rsidR="00790696" w:rsidRPr="00F015A0">
        <w:rPr>
          <w:sz w:val="24"/>
          <w:szCs w:val="24"/>
        </w:rPr>
        <w:t>8</w:t>
      </w:r>
      <w:r w:rsidR="001B0003" w:rsidRPr="00F015A0">
        <w:rPr>
          <w:sz w:val="24"/>
          <w:szCs w:val="24"/>
        </w:rPr>
        <w:t>46</w:t>
      </w:r>
      <w:r w:rsidR="00B32AF1" w:rsidRPr="00F015A0">
        <w:rPr>
          <w:sz w:val="24"/>
          <w:szCs w:val="24"/>
        </w:rPr>
        <w:t>-202</w:t>
      </w:r>
      <w:r w:rsidR="00186DB2" w:rsidRPr="00F015A0">
        <w:rPr>
          <w:sz w:val="24"/>
          <w:szCs w:val="24"/>
        </w:rPr>
        <w:t>4</w:t>
      </w:r>
      <w:r w:rsidR="00A7467E" w:rsidRPr="00F015A0">
        <w:rPr>
          <w:sz w:val="24"/>
          <w:szCs w:val="24"/>
        </w:rPr>
        <w:t>,</w:t>
      </w:r>
      <w:r w:rsidR="006367DF" w:rsidRPr="00F015A0">
        <w:rPr>
          <w:sz w:val="24"/>
          <w:szCs w:val="24"/>
        </w:rPr>
        <w:t xml:space="preserve"> </w:t>
      </w:r>
      <w:r w:rsidR="00CB07B4" w:rsidRPr="00F015A0">
        <w:rPr>
          <w:sz w:val="24"/>
          <w:szCs w:val="24"/>
        </w:rPr>
        <w:t xml:space="preserve">celebrada el </w:t>
      </w:r>
      <w:r w:rsidR="001B0003" w:rsidRPr="00F015A0">
        <w:rPr>
          <w:sz w:val="24"/>
          <w:szCs w:val="24"/>
        </w:rPr>
        <w:t>4</w:t>
      </w:r>
      <w:r w:rsidR="000B3D80" w:rsidRPr="00F015A0">
        <w:rPr>
          <w:sz w:val="24"/>
          <w:szCs w:val="24"/>
        </w:rPr>
        <w:t xml:space="preserve"> de </w:t>
      </w:r>
      <w:r w:rsidR="001B0003" w:rsidRPr="00F015A0">
        <w:rPr>
          <w:sz w:val="24"/>
          <w:szCs w:val="24"/>
        </w:rPr>
        <w:t xml:space="preserve">marzo </w:t>
      </w:r>
      <w:r w:rsidR="00B32AF1" w:rsidRPr="00F015A0">
        <w:rPr>
          <w:sz w:val="24"/>
          <w:szCs w:val="24"/>
        </w:rPr>
        <w:t>de</w:t>
      </w:r>
      <w:r w:rsidR="00423E7D" w:rsidRPr="00F015A0">
        <w:rPr>
          <w:sz w:val="24"/>
          <w:szCs w:val="24"/>
        </w:rPr>
        <w:t>l</w:t>
      </w:r>
      <w:r w:rsidR="00B32AF1" w:rsidRPr="00F015A0">
        <w:rPr>
          <w:sz w:val="24"/>
          <w:szCs w:val="24"/>
        </w:rPr>
        <w:t xml:space="preserve"> 202</w:t>
      </w:r>
      <w:r w:rsidR="00186DB2" w:rsidRPr="00F015A0">
        <w:rPr>
          <w:sz w:val="24"/>
          <w:szCs w:val="24"/>
        </w:rPr>
        <w:t>4</w:t>
      </w:r>
      <w:r w:rsidR="004D6CBF" w:rsidRPr="00F015A0">
        <w:rPr>
          <w:sz w:val="24"/>
          <w:szCs w:val="24"/>
        </w:rPr>
        <w:t>,</w:t>
      </w:r>
    </w:p>
    <w:p w14:paraId="6D95DD4B" w14:textId="2C6F3557" w:rsidR="000246D3" w:rsidRPr="00F015A0" w:rsidRDefault="000246D3" w:rsidP="005C6973">
      <w:pPr>
        <w:widowControl w:val="0"/>
        <w:jc w:val="both"/>
        <w:rPr>
          <w:sz w:val="24"/>
          <w:szCs w:val="24"/>
        </w:rPr>
      </w:pPr>
    </w:p>
    <w:p w14:paraId="257EBA2F" w14:textId="77777777" w:rsidR="00F015A0" w:rsidRPr="00F015A0" w:rsidRDefault="00F015A0" w:rsidP="00F015A0">
      <w:pPr>
        <w:jc w:val="both"/>
        <w:rPr>
          <w:b/>
          <w:bCs/>
          <w:sz w:val="24"/>
          <w:szCs w:val="24"/>
          <w:lang w:val="es-MX"/>
        </w:rPr>
      </w:pPr>
      <w:r w:rsidRPr="00F015A0">
        <w:rPr>
          <w:b/>
          <w:bCs/>
          <w:sz w:val="24"/>
          <w:szCs w:val="24"/>
          <w:lang w:val="es-MX"/>
        </w:rPr>
        <w:t>considerando que:</w:t>
      </w:r>
    </w:p>
    <w:p w14:paraId="09B95640" w14:textId="77777777" w:rsidR="00F015A0" w:rsidRPr="00F015A0" w:rsidRDefault="00F015A0" w:rsidP="00F015A0">
      <w:pPr>
        <w:jc w:val="both"/>
        <w:rPr>
          <w:sz w:val="24"/>
          <w:szCs w:val="24"/>
          <w:lang w:val="es-MX"/>
        </w:rPr>
      </w:pPr>
    </w:p>
    <w:p w14:paraId="262E7911" w14:textId="77777777" w:rsidR="00F015A0" w:rsidRPr="00F015A0" w:rsidRDefault="00F015A0" w:rsidP="00F015A0">
      <w:pPr>
        <w:widowControl w:val="0"/>
        <w:jc w:val="center"/>
        <w:rPr>
          <w:b/>
          <w:bCs/>
          <w:sz w:val="24"/>
          <w:szCs w:val="24"/>
        </w:rPr>
      </w:pPr>
      <w:r w:rsidRPr="00F015A0">
        <w:rPr>
          <w:b/>
          <w:bCs/>
          <w:sz w:val="24"/>
          <w:szCs w:val="24"/>
        </w:rPr>
        <w:t>Considerandos legales y reglamentarios</w:t>
      </w:r>
    </w:p>
    <w:p w14:paraId="5FE75445" w14:textId="77777777" w:rsidR="00F015A0" w:rsidRPr="00485BCF" w:rsidRDefault="00F015A0" w:rsidP="00F015A0">
      <w:pPr>
        <w:widowControl w:val="0"/>
        <w:jc w:val="both"/>
        <w:rPr>
          <w:sz w:val="24"/>
          <w:szCs w:val="24"/>
        </w:rPr>
      </w:pPr>
    </w:p>
    <w:p w14:paraId="4898C5C4" w14:textId="77777777" w:rsidR="00F015A0" w:rsidRPr="00485BCF" w:rsidRDefault="00F015A0" w:rsidP="00F015A0">
      <w:pPr>
        <w:widowControl w:val="0"/>
        <w:ind w:left="567" w:hanging="567"/>
        <w:jc w:val="both"/>
        <w:rPr>
          <w:sz w:val="24"/>
          <w:szCs w:val="24"/>
        </w:rPr>
      </w:pPr>
      <w:r w:rsidRPr="00485BCF">
        <w:rPr>
          <w:sz w:val="24"/>
          <w:szCs w:val="24"/>
        </w:rPr>
        <w:t xml:space="preserve">I. </w:t>
      </w:r>
      <w:r w:rsidRPr="00485BCF">
        <w:rPr>
          <w:sz w:val="24"/>
          <w:szCs w:val="24"/>
        </w:rPr>
        <w:tab/>
        <w:t xml:space="preserve">En el Alcance 19 al diario oficial La Gaceta 28 del 12 de febrero del 2020, fue publicada la </w:t>
      </w:r>
      <w:r w:rsidRPr="00485BCF">
        <w:rPr>
          <w:i/>
          <w:iCs/>
          <w:sz w:val="24"/>
          <w:szCs w:val="24"/>
        </w:rPr>
        <w:t>Ley de Creación del Fondo de Garantía de Depósitos y de Mecanismos de Resolución de Intermediarios Financieros</w:t>
      </w:r>
      <w:r w:rsidRPr="00485BCF">
        <w:rPr>
          <w:sz w:val="24"/>
          <w:szCs w:val="24"/>
        </w:rPr>
        <w:t>, Ley 9816.</w:t>
      </w:r>
    </w:p>
    <w:p w14:paraId="27E7BCDB" w14:textId="77777777" w:rsidR="00F015A0" w:rsidRPr="00485BCF" w:rsidRDefault="00F015A0" w:rsidP="00F015A0">
      <w:pPr>
        <w:widowControl w:val="0"/>
        <w:ind w:left="567" w:hanging="567"/>
        <w:jc w:val="both"/>
        <w:rPr>
          <w:sz w:val="24"/>
          <w:szCs w:val="24"/>
        </w:rPr>
      </w:pPr>
    </w:p>
    <w:p w14:paraId="0044F06F" w14:textId="77777777" w:rsidR="00F015A0" w:rsidRPr="00485BCF" w:rsidRDefault="00F015A0" w:rsidP="00F015A0">
      <w:pPr>
        <w:widowControl w:val="0"/>
        <w:ind w:left="567"/>
        <w:jc w:val="both"/>
        <w:rPr>
          <w:sz w:val="24"/>
          <w:szCs w:val="24"/>
        </w:rPr>
      </w:pPr>
      <w:r w:rsidRPr="00485BCF">
        <w:rPr>
          <w:sz w:val="24"/>
          <w:szCs w:val="24"/>
        </w:rPr>
        <w:t>Esta Ley tiene la finalidad de fortalecer y completar la red de seguridad financiera para contribuir a la estabilidad financiera, proteger los recursos de los pequeños ahorrantes, y promover la confianza y la competitividad del sistema financiero nacional.</w:t>
      </w:r>
    </w:p>
    <w:p w14:paraId="6FC881C0" w14:textId="77777777" w:rsidR="00F015A0" w:rsidRPr="00485BCF" w:rsidRDefault="00F015A0" w:rsidP="00F015A0">
      <w:pPr>
        <w:widowControl w:val="0"/>
        <w:ind w:left="567"/>
        <w:jc w:val="both"/>
        <w:rPr>
          <w:sz w:val="24"/>
          <w:szCs w:val="24"/>
        </w:rPr>
      </w:pPr>
    </w:p>
    <w:p w14:paraId="7A26A220" w14:textId="77777777" w:rsidR="00F015A0" w:rsidRPr="00485BCF" w:rsidRDefault="00F015A0" w:rsidP="00F015A0">
      <w:pPr>
        <w:widowControl w:val="0"/>
        <w:ind w:left="567" w:hanging="567"/>
        <w:jc w:val="both"/>
        <w:rPr>
          <w:sz w:val="24"/>
          <w:szCs w:val="24"/>
        </w:rPr>
      </w:pPr>
      <w:r w:rsidRPr="00485BCF">
        <w:rPr>
          <w:sz w:val="24"/>
          <w:szCs w:val="24"/>
        </w:rPr>
        <w:t xml:space="preserve">II. </w:t>
      </w:r>
      <w:r w:rsidRPr="00485BCF">
        <w:rPr>
          <w:sz w:val="24"/>
          <w:szCs w:val="24"/>
        </w:rPr>
        <w:tab/>
        <w:t>La Ley 9816 crea el Fondo de Garantía de Depósitos (FGD), como un patrimonio autónomo, cuyo fin es el de garantizar, hasta cierto límite, los depósitos y ahorros que las personas físicas y jurídicas mantienen en las entidades contribuyentes a este Fondo, de conformidad con los términos y las condiciones establecidos en dicha Ley.</w:t>
      </w:r>
    </w:p>
    <w:p w14:paraId="3726AC1F" w14:textId="77777777" w:rsidR="00F015A0" w:rsidRPr="00485BCF" w:rsidRDefault="00F015A0" w:rsidP="00F015A0">
      <w:pPr>
        <w:widowControl w:val="0"/>
        <w:ind w:left="567" w:hanging="567"/>
        <w:jc w:val="both"/>
        <w:rPr>
          <w:sz w:val="24"/>
          <w:szCs w:val="24"/>
        </w:rPr>
      </w:pPr>
    </w:p>
    <w:p w14:paraId="61A5FCE6" w14:textId="77777777" w:rsidR="00F015A0" w:rsidRPr="00485BCF" w:rsidRDefault="00F015A0" w:rsidP="00F015A0">
      <w:pPr>
        <w:widowControl w:val="0"/>
        <w:ind w:left="567" w:hanging="567"/>
        <w:jc w:val="both"/>
        <w:rPr>
          <w:sz w:val="24"/>
          <w:szCs w:val="24"/>
        </w:rPr>
      </w:pPr>
      <w:r w:rsidRPr="00485BCF">
        <w:rPr>
          <w:sz w:val="24"/>
          <w:szCs w:val="24"/>
        </w:rPr>
        <w:t xml:space="preserve">III. </w:t>
      </w:r>
      <w:r w:rsidRPr="00485BCF">
        <w:rPr>
          <w:sz w:val="24"/>
          <w:szCs w:val="24"/>
        </w:rPr>
        <w:tab/>
        <w:t xml:space="preserve">El artículo 6 de la Ley 9816 le asigna al Consejo Nacional de Supervisión del Sistema Financiero (Conassif), la responsabilidad de emitir la reglamentación técnica del FGD. </w:t>
      </w:r>
    </w:p>
    <w:p w14:paraId="37E3E304" w14:textId="77777777" w:rsidR="00F015A0" w:rsidRPr="00485BCF" w:rsidRDefault="00F015A0" w:rsidP="00F015A0">
      <w:pPr>
        <w:widowControl w:val="0"/>
        <w:ind w:left="567" w:hanging="567"/>
        <w:jc w:val="both"/>
        <w:rPr>
          <w:sz w:val="24"/>
          <w:szCs w:val="24"/>
        </w:rPr>
      </w:pPr>
    </w:p>
    <w:p w14:paraId="3C88D3AA" w14:textId="77777777" w:rsidR="00F015A0" w:rsidRPr="00F015A0" w:rsidRDefault="00F015A0" w:rsidP="00F015A0">
      <w:pPr>
        <w:widowControl w:val="0"/>
        <w:ind w:left="567"/>
        <w:jc w:val="both"/>
        <w:rPr>
          <w:sz w:val="24"/>
          <w:szCs w:val="24"/>
        </w:rPr>
      </w:pPr>
      <w:r w:rsidRPr="00485BCF">
        <w:rPr>
          <w:sz w:val="24"/>
          <w:szCs w:val="24"/>
        </w:rPr>
        <w:t xml:space="preserve">En cumplimiento de lo anterior, el Conassif, mediante artículo 5 del acta de la sesión 1640-2021, celebrada el 28 de enero de 2021, dispuso en firme aprobar el </w:t>
      </w:r>
      <w:r w:rsidRPr="00485BCF">
        <w:rPr>
          <w:i/>
          <w:iCs/>
          <w:sz w:val="24"/>
          <w:szCs w:val="24"/>
        </w:rPr>
        <w:t>Reglamento de Gestión del Fondo de Garantía de Depósitos (FGD) y de Otros Fondos de Garantía</w:t>
      </w:r>
      <w:r w:rsidRPr="00F015A0">
        <w:rPr>
          <w:i/>
          <w:iCs/>
          <w:sz w:val="24"/>
          <w:szCs w:val="24"/>
        </w:rPr>
        <w:t xml:space="preserve"> (OFG)</w:t>
      </w:r>
      <w:r w:rsidRPr="00F015A0">
        <w:rPr>
          <w:sz w:val="24"/>
          <w:szCs w:val="24"/>
        </w:rPr>
        <w:t>, el cual fue publicado en el Alcance 23 a La Gaceta 22 del miércoles 3 de febrero del 2021.</w:t>
      </w:r>
    </w:p>
    <w:p w14:paraId="682CF7F9" w14:textId="77777777" w:rsidR="00F015A0" w:rsidRPr="00F015A0" w:rsidRDefault="00F015A0" w:rsidP="00F015A0">
      <w:pPr>
        <w:widowControl w:val="0"/>
        <w:ind w:left="567"/>
        <w:jc w:val="both"/>
        <w:rPr>
          <w:sz w:val="24"/>
          <w:szCs w:val="24"/>
        </w:rPr>
      </w:pPr>
      <w:r w:rsidRPr="00F015A0">
        <w:rPr>
          <w:sz w:val="24"/>
          <w:szCs w:val="24"/>
        </w:rPr>
        <w:t xml:space="preserve"> </w:t>
      </w:r>
    </w:p>
    <w:p w14:paraId="2031F5C8" w14:textId="77777777" w:rsidR="00F015A0" w:rsidRPr="00F015A0" w:rsidRDefault="00F015A0" w:rsidP="00F015A0">
      <w:pPr>
        <w:widowControl w:val="0"/>
        <w:ind w:left="567"/>
        <w:jc w:val="both"/>
        <w:rPr>
          <w:sz w:val="24"/>
          <w:szCs w:val="24"/>
        </w:rPr>
      </w:pPr>
      <w:r w:rsidRPr="00F015A0">
        <w:rPr>
          <w:sz w:val="24"/>
          <w:szCs w:val="24"/>
        </w:rPr>
        <w:t>Este Reglamento tiene la finalidad de establecer las normas operativas de este Fondo, en cumplimiento de lo establecido por el legislador.</w:t>
      </w:r>
    </w:p>
    <w:p w14:paraId="37AEC9D5" w14:textId="77777777" w:rsidR="00F015A0" w:rsidRPr="00F015A0" w:rsidRDefault="00F015A0" w:rsidP="00F015A0">
      <w:pPr>
        <w:widowControl w:val="0"/>
        <w:ind w:left="567"/>
        <w:jc w:val="both"/>
        <w:rPr>
          <w:sz w:val="24"/>
          <w:szCs w:val="24"/>
        </w:rPr>
      </w:pPr>
    </w:p>
    <w:p w14:paraId="4781B17E" w14:textId="77777777" w:rsidR="00F015A0" w:rsidRPr="00F015A0" w:rsidRDefault="00F015A0" w:rsidP="00F015A0">
      <w:pPr>
        <w:widowControl w:val="0"/>
        <w:jc w:val="center"/>
        <w:rPr>
          <w:b/>
          <w:bCs/>
          <w:sz w:val="24"/>
          <w:szCs w:val="24"/>
        </w:rPr>
      </w:pPr>
      <w:bookmarkStart w:id="0" w:name="_Hlk158639453"/>
      <w:r w:rsidRPr="00F015A0">
        <w:rPr>
          <w:b/>
          <w:bCs/>
          <w:sz w:val="24"/>
          <w:szCs w:val="24"/>
        </w:rPr>
        <w:t>Considerando sobre la contratación anual de una auditoría externa</w:t>
      </w:r>
    </w:p>
    <w:p w14:paraId="558302B1" w14:textId="77777777" w:rsidR="00F015A0" w:rsidRPr="00485BCF" w:rsidRDefault="00F015A0" w:rsidP="00F015A0">
      <w:pPr>
        <w:widowControl w:val="0"/>
        <w:jc w:val="both"/>
        <w:rPr>
          <w:sz w:val="24"/>
          <w:szCs w:val="24"/>
        </w:rPr>
      </w:pPr>
    </w:p>
    <w:bookmarkEnd w:id="0"/>
    <w:p w14:paraId="1E0B2AED" w14:textId="77777777" w:rsidR="00F015A0" w:rsidRPr="00485BCF" w:rsidRDefault="00F015A0" w:rsidP="00F015A0">
      <w:pPr>
        <w:widowControl w:val="0"/>
        <w:ind w:left="567" w:hanging="567"/>
        <w:jc w:val="both"/>
        <w:rPr>
          <w:sz w:val="24"/>
          <w:szCs w:val="24"/>
        </w:rPr>
      </w:pPr>
      <w:r w:rsidRPr="00485BCF">
        <w:rPr>
          <w:sz w:val="24"/>
          <w:szCs w:val="24"/>
        </w:rPr>
        <w:t xml:space="preserve">IV. </w:t>
      </w:r>
      <w:r w:rsidRPr="00485BCF">
        <w:rPr>
          <w:sz w:val="24"/>
          <w:szCs w:val="24"/>
        </w:rPr>
        <w:tab/>
        <w:t xml:space="preserve">El artículo 27 de la Ley 9816 establece la obligatoriedad de que la administración del FGD contrate anualmente una auditoría externa y publique los estados financieros auditados correspondientes a cada ejercicio fiscal. </w:t>
      </w:r>
    </w:p>
    <w:p w14:paraId="2D7A8BC8" w14:textId="77777777" w:rsidR="00F015A0" w:rsidRPr="00485BCF" w:rsidRDefault="00F015A0" w:rsidP="00F015A0">
      <w:pPr>
        <w:widowControl w:val="0"/>
        <w:ind w:left="567" w:hanging="567"/>
        <w:jc w:val="both"/>
        <w:rPr>
          <w:sz w:val="24"/>
          <w:szCs w:val="24"/>
        </w:rPr>
      </w:pPr>
    </w:p>
    <w:p w14:paraId="51514EA6" w14:textId="77777777" w:rsidR="00F015A0" w:rsidRPr="00485BCF" w:rsidRDefault="00F015A0" w:rsidP="00F015A0">
      <w:pPr>
        <w:widowControl w:val="0"/>
        <w:ind w:left="567"/>
        <w:jc w:val="both"/>
        <w:rPr>
          <w:sz w:val="24"/>
          <w:szCs w:val="24"/>
        </w:rPr>
      </w:pPr>
      <w:r w:rsidRPr="00485BCF">
        <w:rPr>
          <w:sz w:val="24"/>
          <w:szCs w:val="24"/>
        </w:rPr>
        <w:t xml:space="preserve">Adicionalmente, el Artículo 39, Auditoría externa, del </w:t>
      </w:r>
      <w:r w:rsidRPr="00485BCF">
        <w:rPr>
          <w:i/>
          <w:iCs/>
          <w:sz w:val="24"/>
          <w:szCs w:val="24"/>
        </w:rPr>
        <w:t>Reglamento de Gestión del Fondo de Garantía de Depósitos (FGD) y de Otros Fondos de Garantía (OFG)</w:t>
      </w:r>
      <w:r w:rsidRPr="00485BCF">
        <w:rPr>
          <w:sz w:val="24"/>
          <w:szCs w:val="24"/>
        </w:rPr>
        <w:t>, establece que el administrador del FGD debe contratar anualmente una firma de Auditoría Externa para que evalúe y emita opinión sobre la situación financiera, los procedimientos, la gestión de riesgos, las tecnologías de información y la estructura administrativa de control interno del Fondo.</w:t>
      </w:r>
    </w:p>
    <w:p w14:paraId="37430BB9" w14:textId="77777777" w:rsidR="00F015A0" w:rsidRPr="00F015A0" w:rsidRDefault="00F015A0" w:rsidP="00F015A0">
      <w:pPr>
        <w:widowControl w:val="0"/>
        <w:ind w:left="567"/>
        <w:jc w:val="both"/>
        <w:rPr>
          <w:sz w:val="24"/>
          <w:szCs w:val="24"/>
        </w:rPr>
      </w:pPr>
    </w:p>
    <w:p w14:paraId="222594BF" w14:textId="77777777" w:rsidR="00F015A0" w:rsidRPr="00AB651E" w:rsidRDefault="00F015A0" w:rsidP="00F015A0">
      <w:pPr>
        <w:widowControl w:val="0"/>
        <w:jc w:val="center"/>
        <w:rPr>
          <w:b/>
          <w:bCs/>
          <w:sz w:val="24"/>
          <w:szCs w:val="24"/>
        </w:rPr>
      </w:pPr>
      <w:bookmarkStart w:id="1" w:name="_Hlk158639467"/>
      <w:r w:rsidRPr="00AB651E">
        <w:rPr>
          <w:b/>
          <w:bCs/>
          <w:sz w:val="24"/>
          <w:szCs w:val="24"/>
        </w:rPr>
        <w:t>Considerandos sobre la auditoría interna</w:t>
      </w:r>
    </w:p>
    <w:p w14:paraId="16C82361" w14:textId="77777777" w:rsidR="00F015A0" w:rsidRPr="00485BCF" w:rsidRDefault="00F015A0" w:rsidP="00F015A0">
      <w:pPr>
        <w:widowControl w:val="0"/>
        <w:jc w:val="both"/>
        <w:rPr>
          <w:sz w:val="24"/>
          <w:szCs w:val="24"/>
        </w:rPr>
      </w:pPr>
    </w:p>
    <w:bookmarkEnd w:id="1"/>
    <w:p w14:paraId="1701F85D" w14:textId="77777777" w:rsidR="00F015A0" w:rsidRPr="00485BCF" w:rsidRDefault="00F015A0" w:rsidP="00F015A0">
      <w:pPr>
        <w:widowControl w:val="0"/>
        <w:ind w:left="567" w:hanging="567"/>
        <w:jc w:val="both"/>
        <w:rPr>
          <w:sz w:val="24"/>
          <w:szCs w:val="24"/>
        </w:rPr>
      </w:pPr>
      <w:r w:rsidRPr="00485BCF">
        <w:rPr>
          <w:sz w:val="24"/>
          <w:szCs w:val="24"/>
        </w:rPr>
        <w:t xml:space="preserve">V. </w:t>
      </w:r>
      <w:r w:rsidRPr="00485BCF">
        <w:rPr>
          <w:sz w:val="24"/>
          <w:szCs w:val="24"/>
        </w:rPr>
        <w:tab/>
        <w:t xml:space="preserve">El artículo 28 de la Ley 9816 le asigna a la Auditoría Interna del Banco Central de Costa Rica (BCCR), el deber de ejercer la auditoría interna del FGD. Esta obligación se regula en el Artículo 38, Auditoría interna, del </w:t>
      </w:r>
      <w:r w:rsidRPr="00485BCF">
        <w:rPr>
          <w:i/>
          <w:iCs/>
          <w:sz w:val="24"/>
          <w:szCs w:val="24"/>
        </w:rPr>
        <w:t>Reglamento de Gestión del Fondo de Garantía de Depósitos (FGD) y de Otros Fondos de Garantía (OFG)</w:t>
      </w:r>
      <w:r w:rsidRPr="00485BCF">
        <w:rPr>
          <w:sz w:val="24"/>
          <w:szCs w:val="24"/>
        </w:rPr>
        <w:t>, donde se establece que la Auditoría Interna del BCCR debe considerar en su plan anual de auditoría, la revisión y aplicación de controles internos y de riesgos, de manera tal que se evalúe y se controle la gestión en la administración del FGD.</w:t>
      </w:r>
    </w:p>
    <w:p w14:paraId="41A1BD22" w14:textId="77777777" w:rsidR="00F015A0" w:rsidRPr="00485BCF" w:rsidRDefault="00F015A0" w:rsidP="00F015A0">
      <w:pPr>
        <w:widowControl w:val="0"/>
        <w:ind w:left="567" w:hanging="567"/>
        <w:jc w:val="both"/>
        <w:rPr>
          <w:sz w:val="24"/>
          <w:szCs w:val="24"/>
        </w:rPr>
      </w:pPr>
    </w:p>
    <w:p w14:paraId="74E1A7C7" w14:textId="77777777" w:rsidR="00F015A0" w:rsidRPr="00485BCF" w:rsidRDefault="00F015A0" w:rsidP="00F015A0">
      <w:pPr>
        <w:widowControl w:val="0"/>
        <w:ind w:left="567" w:hanging="567"/>
        <w:jc w:val="both"/>
        <w:rPr>
          <w:sz w:val="24"/>
          <w:szCs w:val="24"/>
        </w:rPr>
      </w:pPr>
      <w:r w:rsidRPr="00485BCF">
        <w:rPr>
          <w:sz w:val="24"/>
          <w:szCs w:val="24"/>
        </w:rPr>
        <w:t>VI.</w:t>
      </w:r>
      <w:r w:rsidRPr="00485BCF">
        <w:rPr>
          <w:sz w:val="24"/>
          <w:szCs w:val="24"/>
        </w:rPr>
        <w:tab/>
        <w:t>La Auditoría Interna del Banco Central atiende anualmente la revisión de la ejecución de los controles internos incluyendo los de la administración de riesgos del FGD, de manera tal que se verifique el cumplimiento de estos por parte de la administración del Fondo. Este servicio que brinda la Auditoría Interna del BCCR forma parte de los gastos administrativos del FGD.</w:t>
      </w:r>
    </w:p>
    <w:p w14:paraId="0FEE62C0" w14:textId="77777777" w:rsidR="00F015A0" w:rsidRPr="00485BCF" w:rsidRDefault="00F015A0" w:rsidP="00F015A0">
      <w:pPr>
        <w:widowControl w:val="0"/>
        <w:ind w:left="567" w:hanging="567"/>
        <w:jc w:val="both"/>
        <w:rPr>
          <w:sz w:val="24"/>
          <w:szCs w:val="24"/>
        </w:rPr>
      </w:pPr>
    </w:p>
    <w:p w14:paraId="474F1121" w14:textId="77777777" w:rsidR="00F015A0" w:rsidRPr="00F015A0" w:rsidRDefault="00F015A0" w:rsidP="00F015A0">
      <w:pPr>
        <w:widowControl w:val="0"/>
        <w:ind w:left="567" w:hanging="567"/>
        <w:jc w:val="center"/>
        <w:rPr>
          <w:b/>
          <w:bCs/>
          <w:sz w:val="24"/>
          <w:szCs w:val="24"/>
        </w:rPr>
      </w:pPr>
      <w:bookmarkStart w:id="2" w:name="_Hlk158639496"/>
      <w:r w:rsidRPr="00F015A0">
        <w:rPr>
          <w:b/>
          <w:bCs/>
          <w:sz w:val="24"/>
          <w:szCs w:val="24"/>
        </w:rPr>
        <w:t>Considerandos sobre la contratación de auditoría externa administrativa</w:t>
      </w:r>
    </w:p>
    <w:p w14:paraId="3F50ED5D" w14:textId="77777777" w:rsidR="00F015A0" w:rsidRPr="00F015A0" w:rsidRDefault="00F015A0" w:rsidP="00F015A0">
      <w:pPr>
        <w:widowControl w:val="0"/>
        <w:ind w:left="567" w:hanging="567"/>
        <w:jc w:val="both"/>
        <w:rPr>
          <w:b/>
          <w:bCs/>
          <w:sz w:val="24"/>
          <w:szCs w:val="24"/>
        </w:rPr>
      </w:pPr>
    </w:p>
    <w:bookmarkEnd w:id="2"/>
    <w:p w14:paraId="1EAEE27A" w14:textId="77777777" w:rsidR="00F015A0" w:rsidRPr="00485BCF" w:rsidRDefault="00F015A0" w:rsidP="00F015A0">
      <w:pPr>
        <w:widowControl w:val="0"/>
        <w:ind w:left="567" w:hanging="567"/>
        <w:jc w:val="both"/>
        <w:rPr>
          <w:sz w:val="24"/>
          <w:szCs w:val="24"/>
        </w:rPr>
      </w:pPr>
      <w:r w:rsidRPr="00485BCF">
        <w:rPr>
          <w:sz w:val="24"/>
          <w:szCs w:val="24"/>
        </w:rPr>
        <w:t xml:space="preserve">VII. </w:t>
      </w:r>
      <w:r w:rsidRPr="00485BCF">
        <w:rPr>
          <w:sz w:val="24"/>
          <w:szCs w:val="24"/>
        </w:rPr>
        <w:tab/>
        <w:t xml:space="preserve">Dentro de las funciones que le asigna al administrador del FGD el Artículo 9- Funciones del administrador del Fondo de Garantía de Depósitos de la Ley 9816, se encuentra la de contratar una firma de auditores externos que evalúe y emita opinión sobre la situación financiera, los procedimientos, la gestión de riesgos, las tecnologías de la información y la estructura administrativa del Fondo. No obstante, lo anterior, el artículo mencionado no establece una periodicidad a dicha función, por lo que, en virtud de que la misma Ley ordena una auditoría externa anual de estados financieros y una auditoría interna anual, se considera necesario establecer la periodicidad de la auditoría externa administrativa. </w:t>
      </w:r>
    </w:p>
    <w:p w14:paraId="3633260E" w14:textId="77777777" w:rsidR="00F015A0" w:rsidRPr="00485BCF" w:rsidRDefault="00F015A0" w:rsidP="00F015A0">
      <w:pPr>
        <w:widowControl w:val="0"/>
        <w:ind w:left="567" w:hanging="567"/>
        <w:jc w:val="both"/>
        <w:rPr>
          <w:sz w:val="24"/>
          <w:szCs w:val="24"/>
        </w:rPr>
      </w:pPr>
    </w:p>
    <w:p w14:paraId="6347C8B7" w14:textId="77777777" w:rsidR="00F015A0" w:rsidRPr="00F015A0" w:rsidRDefault="00F015A0" w:rsidP="00F015A0">
      <w:pPr>
        <w:widowControl w:val="0"/>
        <w:ind w:left="567" w:hanging="567"/>
        <w:jc w:val="both"/>
        <w:rPr>
          <w:sz w:val="24"/>
          <w:szCs w:val="24"/>
        </w:rPr>
      </w:pPr>
      <w:r w:rsidRPr="00485BCF">
        <w:rPr>
          <w:sz w:val="24"/>
          <w:szCs w:val="24"/>
        </w:rPr>
        <w:t>VIII. La administración del FGD contrata de anualmente una firma de auditoría externa que evalúa y emite opinión sobre la situación financiera, los procedimientos, la gestión de</w:t>
      </w:r>
      <w:r w:rsidRPr="00F015A0">
        <w:rPr>
          <w:sz w:val="24"/>
          <w:szCs w:val="24"/>
        </w:rPr>
        <w:t xml:space="preserve"> riesgos, las tecnologías de información y la estructura administrativa de control interno del Fondo. Las acciones que se ejecutan en esta auditoría externa, de índole administrativa, son redundantes con las acciones que realiza la Auditoría Interna del BCCR.</w:t>
      </w:r>
    </w:p>
    <w:p w14:paraId="53EC0852" w14:textId="77777777" w:rsidR="00F015A0" w:rsidRPr="00F015A0" w:rsidRDefault="00F015A0" w:rsidP="00F015A0">
      <w:pPr>
        <w:widowControl w:val="0"/>
        <w:ind w:left="567" w:hanging="567"/>
        <w:jc w:val="both"/>
        <w:rPr>
          <w:sz w:val="24"/>
          <w:szCs w:val="24"/>
        </w:rPr>
      </w:pPr>
    </w:p>
    <w:p w14:paraId="21080496" w14:textId="77777777" w:rsidR="00F015A0" w:rsidRPr="00F015A0" w:rsidRDefault="00F015A0" w:rsidP="00F015A0">
      <w:pPr>
        <w:widowControl w:val="0"/>
        <w:ind w:left="567"/>
        <w:jc w:val="both"/>
        <w:rPr>
          <w:sz w:val="24"/>
          <w:szCs w:val="24"/>
        </w:rPr>
      </w:pPr>
      <w:r w:rsidRPr="00F015A0">
        <w:rPr>
          <w:sz w:val="24"/>
          <w:szCs w:val="24"/>
        </w:rPr>
        <w:t>Por otra parte, anualmente la administración del FGD contrata una auditoría externa para elaborar los estados financieros auditados correspondientes a cada ejercicio fiscal.</w:t>
      </w:r>
    </w:p>
    <w:p w14:paraId="4BA4BD51" w14:textId="77777777" w:rsidR="00F015A0" w:rsidRPr="00F015A0" w:rsidRDefault="00F015A0" w:rsidP="00F015A0">
      <w:pPr>
        <w:widowControl w:val="0"/>
        <w:ind w:left="567"/>
        <w:jc w:val="both"/>
        <w:rPr>
          <w:sz w:val="24"/>
          <w:szCs w:val="24"/>
        </w:rPr>
      </w:pPr>
    </w:p>
    <w:p w14:paraId="09FFA991" w14:textId="77777777" w:rsidR="00F015A0" w:rsidRPr="00F015A0" w:rsidRDefault="00F015A0" w:rsidP="00F015A0">
      <w:pPr>
        <w:widowControl w:val="0"/>
        <w:jc w:val="center"/>
        <w:rPr>
          <w:b/>
          <w:bCs/>
          <w:sz w:val="24"/>
          <w:szCs w:val="24"/>
        </w:rPr>
      </w:pPr>
      <w:bookmarkStart w:id="3" w:name="_Hlk158639536"/>
      <w:r w:rsidRPr="00F015A0">
        <w:rPr>
          <w:b/>
          <w:bCs/>
          <w:sz w:val="24"/>
          <w:szCs w:val="24"/>
        </w:rPr>
        <w:t>Considerando sobre la evaluación Costo – Beneficio que exige la Ley 8220</w:t>
      </w:r>
    </w:p>
    <w:p w14:paraId="3018CAB0" w14:textId="77777777" w:rsidR="00F015A0" w:rsidRPr="00485BCF" w:rsidRDefault="00F015A0" w:rsidP="00F015A0">
      <w:pPr>
        <w:widowControl w:val="0"/>
        <w:jc w:val="both"/>
        <w:rPr>
          <w:sz w:val="24"/>
          <w:szCs w:val="24"/>
        </w:rPr>
      </w:pPr>
    </w:p>
    <w:bookmarkEnd w:id="3"/>
    <w:p w14:paraId="42247F74" w14:textId="77777777" w:rsidR="00F015A0" w:rsidRPr="00F015A0" w:rsidRDefault="00F015A0" w:rsidP="00F015A0">
      <w:pPr>
        <w:widowControl w:val="0"/>
        <w:ind w:left="567" w:hanging="567"/>
        <w:jc w:val="both"/>
        <w:rPr>
          <w:sz w:val="24"/>
          <w:szCs w:val="24"/>
        </w:rPr>
      </w:pPr>
      <w:r w:rsidRPr="00485BCF">
        <w:rPr>
          <w:sz w:val="24"/>
          <w:szCs w:val="24"/>
        </w:rPr>
        <w:t xml:space="preserve">IX. </w:t>
      </w:r>
      <w:r w:rsidRPr="00485BCF">
        <w:rPr>
          <w:sz w:val="24"/>
          <w:szCs w:val="24"/>
        </w:rPr>
        <w:tab/>
        <w:t xml:space="preserve">La evaluación costo-beneficio de la regulación se realiza de conformidad con lo establecido en los artículos 1 y 12 de la </w:t>
      </w:r>
      <w:r w:rsidRPr="00485BCF">
        <w:rPr>
          <w:i/>
          <w:iCs/>
          <w:sz w:val="24"/>
          <w:szCs w:val="24"/>
        </w:rPr>
        <w:t>Ley Protección al ciudadano del exceso de requisitos y trámites administrativos</w:t>
      </w:r>
      <w:r w:rsidRPr="00485BCF">
        <w:rPr>
          <w:sz w:val="24"/>
          <w:szCs w:val="24"/>
        </w:rPr>
        <w:t>, Ley 8220, y en los artículos 12, 12bis, 13, 13 bis y</w:t>
      </w:r>
      <w:r w:rsidRPr="00F015A0">
        <w:rPr>
          <w:sz w:val="24"/>
          <w:szCs w:val="24"/>
        </w:rPr>
        <w:t xml:space="preserve"> 56 al 60bis del </w:t>
      </w:r>
      <w:r w:rsidRPr="00F015A0">
        <w:rPr>
          <w:i/>
          <w:iCs/>
          <w:sz w:val="24"/>
          <w:szCs w:val="24"/>
        </w:rPr>
        <w:t>Reglamento a la Ley de Protección al Ciudadano del Exceso de Requisitos y Trámites Administrativos</w:t>
      </w:r>
      <w:r w:rsidRPr="00F015A0">
        <w:rPr>
          <w:sz w:val="24"/>
          <w:szCs w:val="24"/>
        </w:rPr>
        <w:t xml:space="preserve">, 37045- MP-MEIC. </w:t>
      </w:r>
    </w:p>
    <w:p w14:paraId="0D3A63DA" w14:textId="77777777" w:rsidR="00F015A0" w:rsidRPr="00F015A0" w:rsidRDefault="00F015A0" w:rsidP="00F015A0">
      <w:pPr>
        <w:widowControl w:val="0"/>
        <w:ind w:left="567" w:hanging="567"/>
        <w:jc w:val="both"/>
        <w:rPr>
          <w:sz w:val="24"/>
          <w:szCs w:val="24"/>
        </w:rPr>
      </w:pPr>
    </w:p>
    <w:p w14:paraId="14156C74" w14:textId="77777777" w:rsidR="00F015A0" w:rsidRPr="00F015A0" w:rsidRDefault="00F015A0" w:rsidP="00F015A0">
      <w:pPr>
        <w:widowControl w:val="0"/>
        <w:ind w:left="567"/>
        <w:jc w:val="both"/>
        <w:rPr>
          <w:sz w:val="24"/>
          <w:szCs w:val="24"/>
        </w:rPr>
      </w:pPr>
      <w:r w:rsidRPr="00F015A0">
        <w:rPr>
          <w:sz w:val="24"/>
          <w:szCs w:val="24"/>
        </w:rPr>
        <w:t xml:space="preserve">Esta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w:t>
      </w:r>
    </w:p>
    <w:p w14:paraId="14EE51D8" w14:textId="77777777" w:rsidR="00F015A0" w:rsidRPr="00F015A0" w:rsidRDefault="00F015A0" w:rsidP="00F015A0">
      <w:pPr>
        <w:widowControl w:val="0"/>
        <w:ind w:left="567"/>
        <w:jc w:val="both"/>
        <w:rPr>
          <w:sz w:val="24"/>
          <w:szCs w:val="24"/>
        </w:rPr>
      </w:pPr>
    </w:p>
    <w:p w14:paraId="15C68BAF" w14:textId="77777777" w:rsidR="00F015A0" w:rsidRPr="00F015A0" w:rsidRDefault="00F015A0" w:rsidP="00F015A0">
      <w:pPr>
        <w:widowControl w:val="0"/>
        <w:ind w:left="567"/>
        <w:jc w:val="both"/>
        <w:rPr>
          <w:sz w:val="24"/>
          <w:szCs w:val="24"/>
        </w:rPr>
      </w:pPr>
      <w:r w:rsidRPr="00F015A0">
        <w:rPr>
          <w:sz w:val="24"/>
          <w:szCs w:val="24"/>
        </w:rPr>
        <w:t>De dicho análisis se determinó que la regulación no establece ni modifica trámites, requisitos o procedimientos que el administrado deba cumplir ante la Administración Central, por lo que no se realiza este control previo.</w:t>
      </w:r>
    </w:p>
    <w:p w14:paraId="7CE98599" w14:textId="77777777" w:rsidR="00F015A0" w:rsidRPr="00F015A0" w:rsidRDefault="00F015A0" w:rsidP="00F015A0">
      <w:pPr>
        <w:widowControl w:val="0"/>
        <w:jc w:val="both"/>
        <w:rPr>
          <w:sz w:val="24"/>
          <w:szCs w:val="24"/>
        </w:rPr>
      </w:pPr>
    </w:p>
    <w:p w14:paraId="25B7344C" w14:textId="77777777" w:rsidR="00F015A0" w:rsidRPr="00F015A0" w:rsidRDefault="00F015A0" w:rsidP="00F015A0">
      <w:pPr>
        <w:widowControl w:val="0"/>
        <w:jc w:val="both"/>
        <w:rPr>
          <w:b/>
          <w:bCs/>
          <w:sz w:val="24"/>
          <w:szCs w:val="24"/>
        </w:rPr>
      </w:pPr>
      <w:r w:rsidRPr="00F015A0">
        <w:rPr>
          <w:b/>
          <w:bCs/>
          <w:sz w:val="24"/>
          <w:szCs w:val="24"/>
        </w:rPr>
        <w:t>dispuso en firme:</w:t>
      </w:r>
    </w:p>
    <w:p w14:paraId="005E08E0" w14:textId="77777777" w:rsidR="00F015A0" w:rsidRPr="00F015A0" w:rsidRDefault="00F015A0" w:rsidP="00F015A0">
      <w:pPr>
        <w:widowControl w:val="0"/>
        <w:jc w:val="both"/>
        <w:rPr>
          <w:b/>
          <w:bCs/>
          <w:sz w:val="24"/>
          <w:szCs w:val="24"/>
        </w:rPr>
      </w:pPr>
    </w:p>
    <w:p w14:paraId="328734DF" w14:textId="00DD2C84" w:rsidR="00F015A0" w:rsidRPr="00EB77C5" w:rsidRDefault="00F015A0" w:rsidP="00EB77C5">
      <w:pPr>
        <w:pStyle w:val="Prrafodelista"/>
        <w:widowControl w:val="0"/>
        <w:numPr>
          <w:ilvl w:val="0"/>
          <w:numId w:val="11"/>
        </w:numPr>
        <w:ind w:left="567" w:hanging="567"/>
        <w:jc w:val="both"/>
      </w:pPr>
      <w:r w:rsidRPr="00EB77C5">
        <w:t xml:space="preserve">Modificar el Artículo 39. Auditoría externa, del </w:t>
      </w:r>
      <w:r w:rsidRPr="00EB77C5">
        <w:rPr>
          <w:i/>
          <w:iCs/>
        </w:rPr>
        <w:t>Reglamento de Gestión del Fondo de Garantía de Depósitos (FGD) y de Otros Fondos de Garantía (OFG)</w:t>
      </w:r>
      <w:r w:rsidRPr="00EB77C5">
        <w:t>, para que en adelante se lea de la siguiente manera:</w:t>
      </w:r>
    </w:p>
    <w:p w14:paraId="08040B09" w14:textId="77777777" w:rsidR="00F015A0" w:rsidRPr="00F015A0" w:rsidRDefault="00F015A0" w:rsidP="00F015A0">
      <w:pPr>
        <w:widowControl w:val="0"/>
        <w:jc w:val="both"/>
        <w:rPr>
          <w:sz w:val="24"/>
          <w:szCs w:val="24"/>
        </w:rPr>
      </w:pPr>
    </w:p>
    <w:p w14:paraId="1E2806BA" w14:textId="77777777" w:rsidR="00F015A0" w:rsidRPr="00F015A0" w:rsidRDefault="00F015A0" w:rsidP="00F015A0">
      <w:pPr>
        <w:widowControl w:val="0"/>
        <w:ind w:left="567" w:right="336"/>
        <w:jc w:val="both"/>
        <w:rPr>
          <w:i/>
          <w:iCs/>
          <w:sz w:val="24"/>
          <w:szCs w:val="24"/>
        </w:rPr>
      </w:pPr>
      <w:r w:rsidRPr="00F015A0">
        <w:rPr>
          <w:i/>
          <w:iCs/>
          <w:sz w:val="24"/>
          <w:szCs w:val="24"/>
        </w:rPr>
        <w:t>“Artículo 39. Auditoría externa.</w:t>
      </w:r>
    </w:p>
    <w:p w14:paraId="0096D8BA" w14:textId="77777777" w:rsidR="00F015A0" w:rsidRPr="00F015A0" w:rsidRDefault="00F015A0" w:rsidP="00F015A0">
      <w:pPr>
        <w:widowControl w:val="0"/>
        <w:ind w:left="567" w:right="336"/>
        <w:jc w:val="both"/>
        <w:rPr>
          <w:i/>
          <w:iCs/>
          <w:sz w:val="24"/>
          <w:szCs w:val="24"/>
        </w:rPr>
      </w:pPr>
    </w:p>
    <w:p w14:paraId="3605122A" w14:textId="77777777" w:rsidR="00F015A0" w:rsidRPr="00F015A0" w:rsidRDefault="00F015A0" w:rsidP="00F015A0">
      <w:pPr>
        <w:widowControl w:val="0"/>
        <w:ind w:left="567" w:right="336"/>
        <w:jc w:val="both"/>
        <w:rPr>
          <w:i/>
          <w:iCs/>
          <w:sz w:val="24"/>
          <w:szCs w:val="24"/>
        </w:rPr>
      </w:pPr>
      <w:r w:rsidRPr="00F015A0">
        <w:rPr>
          <w:i/>
          <w:iCs/>
          <w:sz w:val="24"/>
          <w:szCs w:val="24"/>
        </w:rPr>
        <w:t>El administrador del FGD debe contratar anualmente una auditoría externa y publicar los estados financieros auditados correspondientes a cada ejercicio fiscal, elaborados conforme a las normas contables vigentes, y en un plazo máximo de un mes desde la recepción del informe final de la auditoría externa.</w:t>
      </w:r>
    </w:p>
    <w:p w14:paraId="7B96B0BE" w14:textId="77777777" w:rsidR="00F015A0" w:rsidRPr="00F015A0" w:rsidRDefault="00F015A0" w:rsidP="00F015A0">
      <w:pPr>
        <w:widowControl w:val="0"/>
        <w:ind w:left="567" w:right="336"/>
        <w:jc w:val="both"/>
        <w:rPr>
          <w:i/>
          <w:iCs/>
          <w:sz w:val="24"/>
          <w:szCs w:val="24"/>
        </w:rPr>
      </w:pPr>
    </w:p>
    <w:p w14:paraId="5F076C5F" w14:textId="77777777" w:rsidR="00F015A0" w:rsidRPr="00F015A0" w:rsidRDefault="00F015A0" w:rsidP="00F015A0">
      <w:pPr>
        <w:widowControl w:val="0"/>
        <w:ind w:left="567" w:right="336"/>
        <w:jc w:val="both"/>
        <w:rPr>
          <w:i/>
          <w:iCs/>
          <w:sz w:val="24"/>
          <w:szCs w:val="24"/>
        </w:rPr>
      </w:pPr>
      <w:r w:rsidRPr="00F015A0">
        <w:rPr>
          <w:i/>
          <w:iCs/>
          <w:sz w:val="24"/>
          <w:szCs w:val="24"/>
        </w:rPr>
        <w:t>Además, el administrador del FGD debe contratar cada dos años una firma de auditoría externa que evalúe y emita opinión sobre los procedimientos, la gestión de riesgos, las tecnologías de información y la estructura administrativa de control interno del Fondo.</w:t>
      </w:r>
    </w:p>
    <w:p w14:paraId="3AD56263" w14:textId="77777777" w:rsidR="00F015A0" w:rsidRPr="00F015A0" w:rsidRDefault="00F015A0" w:rsidP="00F015A0">
      <w:pPr>
        <w:widowControl w:val="0"/>
        <w:ind w:left="567" w:right="336"/>
        <w:jc w:val="both"/>
        <w:rPr>
          <w:i/>
          <w:iCs/>
          <w:sz w:val="24"/>
          <w:szCs w:val="24"/>
        </w:rPr>
      </w:pPr>
    </w:p>
    <w:p w14:paraId="272C3CB1" w14:textId="77777777" w:rsidR="00F015A0" w:rsidRPr="00F015A0" w:rsidRDefault="00F015A0" w:rsidP="00F015A0">
      <w:pPr>
        <w:widowControl w:val="0"/>
        <w:ind w:left="567" w:right="336"/>
        <w:jc w:val="both"/>
        <w:rPr>
          <w:i/>
          <w:iCs/>
          <w:sz w:val="24"/>
          <w:szCs w:val="24"/>
        </w:rPr>
      </w:pPr>
      <w:r w:rsidRPr="00F015A0">
        <w:rPr>
          <w:i/>
          <w:iCs/>
          <w:sz w:val="24"/>
          <w:szCs w:val="24"/>
        </w:rPr>
        <w:t>La Junta Directiva del BCCR, debe conocer y valorar los resultados de estos informes. Ambos informes se deben publicar conforme a los lineamientos que emita la Junta Directiva del BCCR.”</w:t>
      </w:r>
    </w:p>
    <w:p w14:paraId="67212C23" w14:textId="77777777" w:rsidR="00F015A0" w:rsidRPr="00F015A0" w:rsidRDefault="00F015A0" w:rsidP="00F015A0">
      <w:pPr>
        <w:widowControl w:val="0"/>
        <w:ind w:right="336"/>
        <w:jc w:val="both"/>
        <w:rPr>
          <w:i/>
          <w:iCs/>
          <w:sz w:val="24"/>
          <w:szCs w:val="24"/>
        </w:rPr>
      </w:pPr>
    </w:p>
    <w:p w14:paraId="7EA732BF" w14:textId="77777777" w:rsidR="00F015A0" w:rsidRPr="00F015A0" w:rsidRDefault="00F015A0" w:rsidP="00F015A0">
      <w:pPr>
        <w:widowControl w:val="0"/>
        <w:ind w:left="567" w:hanging="567"/>
        <w:jc w:val="both"/>
        <w:rPr>
          <w:sz w:val="24"/>
          <w:szCs w:val="24"/>
        </w:rPr>
      </w:pPr>
      <w:r w:rsidRPr="00F015A0">
        <w:rPr>
          <w:sz w:val="24"/>
          <w:szCs w:val="24"/>
        </w:rPr>
        <w:t>2.</w:t>
      </w:r>
      <w:r w:rsidRPr="00F015A0">
        <w:rPr>
          <w:sz w:val="24"/>
          <w:szCs w:val="24"/>
        </w:rPr>
        <w:tab/>
        <w:t xml:space="preserve">Agregar a la norma reglamentaria detallada en el numeral 1 precedente, el Transitorio que se cita a continuación: </w:t>
      </w:r>
    </w:p>
    <w:p w14:paraId="6F52C923" w14:textId="77777777" w:rsidR="00F015A0" w:rsidRPr="00F015A0" w:rsidRDefault="00F015A0" w:rsidP="00F015A0">
      <w:pPr>
        <w:widowControl w:val="0"/>
        <w:ind w:left="567" w:right="336"/>
        <w:jc w:val="both"/>
        <w:rPr>
          <w:i/>
          <w:iCs/>
          <w:sz w:val="24"/>
          <w:szCs w:val="24"/>
        </w:rPr>
      </w:pPr>
    </w:p>
    <w:p w14:paraId="55FB3861" w14:textId="77777777" w:rsidR="00F015A0" w:rsidRPr="00F015A0" w:rsidRDefault="00F015A0" w:rsidP="00F015A0">
      <w:pPr>
        <w:widowControl w:val="0"/>
        <w:ind w:left="567" w:right="336"/>
        <w:jc w:val="both"/>
        <w:rPr>
          <w:i/>
          <w:iCs/>
          <w:sz w:val="24"/>
          <w:szCs w:val="24"/>
        </w:rPr>
      </w:pPr>
      <w:r w:rsidRPr="00F015A0">
        <w:rPr>
          <w:i/>
          <w:iCs/>
          <w:sz w:val="24"/>
          <w:szCs w:val="24"/>
        </w:rPr>
        <w:t xml:space="preserve">“Transitorio I </w:t>
      </w:r>
    </w:p>
    <w:p w14:paraId="21AEB409" w14:textId="34FA3BBA" w:rsidR="00F015A0" w:rsidRPr="00F015A0" w:rsidRDefault="00F015A0" w:rsidP="00F015A0">
      <w:pPr>
        <w:widowControl w:val="0"/>
        <w:ind w:left="567" w:right="336"/>
        <w:jc w:val="both"/>
        <w:rPr>
          <w:i/>
          <w:iCs/>
          <w:sz w:val="24"/>
          <w:szCs w:val="24"/>
        </w:rPr>
      </w:pPr>
      <w:r w:rsidRPr="00F015A0">
        <w:rPr>
          <w:i/>
          <w:iCs/>
          <w:sz w:val="24"/>
          <w:szCs w:val="24"/>
        </w:rPr>
        <w:t xml:space="preserve">La primera auditoría externa </w:t>
      </w:r>
      <w:r w:rsidR="00F85387">
        <w:rPr>
          <w:i/>
          <w:iCs/>
          <w:sz w:val="24"/>
          <w:szCs w:val="24"/>
        </w:rPr>
        <w:t>relacionada con</w:t>
      </w:r>
      <w:r w:rsidRPr="00F015A0">
        <w:rPr>
          <w:i/>
          <w:iCs/>
          <w:sz w:val="24"/>
          <w:szCs w:val="24"/>
        </w:rPr>
        <w:t xml:space="preserve"> lo requerido en el segundo párrafo del artículo 39 de este reglamento, se realizará respecto del año 2024.”</w:t>
      </w:r>
    </w:p>
    <w:p w14:paraId="463D8C18" w14:textId="77777777" w:rsidR="00F015A0" w:rsidRPr="00F015A0" w:rsidRDefault="00F015A0" w:rsidP="00F015A0">
      <w:pPr>
        <w:widowControl w:val="0"/>
        <w:ind w:left="567" w:right="336"/>
        <w:jc w:val="both"/>
        <w:rPr>
          <w:i/>
          <w:iCs/>
          <w:sz w:val="24"/>
          <w:szCs w:val="24"/>
        </w:rPr>
      </w:pPr>
    </w:p>
    <w:p w14:paraId="423451DB" w14:textId="77777777" w:rsidR="00F015A0" w:rsidRPr="00F015A0" w:rsidRDefault="00F015A0" w:rsidP="00F015A0">
      <w:pPr>
        <w:widowControl w:val="0"/>
        <w:jc w:val="both"/>
        <w:rPr>
          <w:sz w:val="24"/>
          <w:szCs w:val="24"/>
        </w:rPr>
      </w:pPr>
      <w:r w:rsidRPr="00F015A0">
        <w:rPr>
          <w:sz w:val="24"/>
          <w:szCs w:val="24"/>
        </w:rPr>
        <w:t>Rige a partir de su publicación en el diario oficial La Gaceta.</w:t>
      </w:r>
    </w:p>
    <w:p w14:paraId="100AD2DE" w14:textId="77777777" w:rsidR="00F015A0" w:rsidRDefault="00F015A0" w:rsidP="005C6973">
      <w:pPr>
        <w:widowControl w:val="0"/>
        <w:jc w:val="both"/>
        <w:rPr>
          <w:sz w:val="24"/>
          <w:szCs w:val="24"/>
        </w:rPr>
      </w:pPr>
    </w:p>
    <w:p w14:paraId="1C14C197" w14:textId="73549CA8" w:rsidR="00A36D16" w:rsidRPr="00F015A0" w:rsidRDefault="00D62E1A" w:rsidP="005C6973">
      <w:pPr>
        <w:widowControl w:val="0"/>
        <w:jc w:val="both"/>
        <w:rPr>
          <w:sz w:val="24"/>
          <w:szCs w:val="24"/>
        </w:rPr>
      </w:pPr>
      <w:r w:rsidRPr="00F015A0">
        <w:rPr>
          <w:noProof/>
          <w:sz w:val="24"/>
          <w:szCs w:val="24"/>
        </w:rPr>
        <w:drawing>
          <wp:anchor distT="0" distB="0" distL="114300" distR="114300" simplePos="0" relativeHeight="251658240" behindDoc="1" locked="0" layoutInCell="1" allowOverlap="0" wp14:anchorId="69404AF2" wp14:editId="508AFFA6">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F015A0">
        <w:rPr>
          <w:sz w:val="24"/>
          <w:szCs w:val="24"/>
        </w:rPr>
        <w:t>Atentamente,</w:t>
      </w:r>
    </w:p>
    <w:p w14:paraId="6353802A" w14:textId="77777777" w:rsidR="00901072" w:rsidRPr="00F015A0" w:rsidRDefault="00901072" w:rsidP="00901072">
      <w:pPr>
        <w:widowControl w:val="0"/>
        <w:jc w:val="both"/>
        <w:rPr>
          <w:sz w:val="24"/>
          <w:szCs w:val="24"/>
        </w:rPr>
      </w:pPr>
      <w:r w:rsidRPr="00F015A0">
        <w:rPr>
          <w:sz w:val="24"/>
          <w:szCs w:val="24"/>
        </w:rPr>
        <w:br/>
      </w:r>
    </w:p>
    <w:p w14:paraId="1568C1F2" w14:textId="77777777" w:rsidR="004D6CBF" w:rsidRPr="00F015A0" w:rsidRDefault="004D6CBF" w:rsidP="004D6CBF">
      <w:pPr>
        <w:widowControl w:val="0"/>
        <w:jc w:val="both"/>
        <w:rPr>
          <w:sz w:val="24"/>
          <w:szCs w:val="24"/>
        </w:rPr>
      </w:pPr>
    </w:p>
    <w:p w14:paraId="6EE52FF6" w14:textId="77777777" w:rsidR="00A36D16" w:rsidRPr="00F015A0" w:rsidRDefault="00645468" w:rsidP="004D6CBF">
      <w:pPr>
        <w:widowControl w:val="0"/>
        <w:jc w:val="both"/>
        <w:rPr>
          <w:sz w:val="24"/>
          <w:szCs w:val="24"/>
        </w:rPr>
      </w:pPr>
      <w:r w:rsidRPr="00F015A0">
        <w:rPr>
          <w:sz w:val="24"/>
          <w:szCs w:val="24"/>
        </w:rPr>
        <w:t>Celia Alpízar Paniagua</w:t>
      </w:r>
    </w:p>
    <w:p w14:paraId="696DE268" w14:textId="77777777" w:rsidR="00A36D16" w:rsidRPr="00F015A0" w:rsidRDefault="00A36D16" w:rsidP="003510A8">
      <w:pPr>
        <w:widowControl w:val="0"/>
        <w:rPr>
          <w:b/>
          <w:i/>
          <w:sz w:val="24"/>
          <w:szCs w:val="24"/>
        </w:rPr>
      </w:pPr>
      <w:r w:rsidRPr="00F015A0">
        <w:rPr>
          <w:b/>
          <w:i/>
          <w:sz w:val="24"/>
          <w:szCs w:val="24"/>
        </w:rPr>
        <w:t>Secretari</w:t>
      </w:r>
      <w:r w:rsidR="004A486B" w:rsidRPr="00F015A0">
        <w:rPr>
          <w:b/>
          <w:i/>
          <w:sz w:val="24"/>
          <w:szCs w:val="24"/>
        </w:rPr>
        <w:t>a</w:t>
      </w:r>
      <w:r w:rsidRPr="00F015A0">
        <w:rPr>
          <w:b/>
          <w:i/>
          <w:sz w:val="24"/>
          <w:szCs w:val="24"/>
        </w:rPr>
        <w:t xml:space="preserve"> </w:t>
      </w:r>
      <w:r w:rsidR="00402E07" w:rsidRPr="00F015A0">
        <w:rPr>
          <w:b/>
          <w:i/>
          <w:sz w:val="24"/>
          <w:szCs w:val="24"/>
        </w:rPr>
        <w:t>i</w:t>
      </w:r>
      <w:r w:rsidR="0005722B" w:rsidRPr="00F015A0">
        <w:rPr>
          <w:b/>
          <w:i/>
          <w:sz w:val="24"/>
          <w:szCs w:val="24"/>
        </w:rPr>
        <w:t xml:space="preserve">nterina </w:t>
      </w:r>
      <w:r w:rsidRPr="00F015A0">
        <w:rPr>
          <w:b/>
          <w:i/>
          <w:sz w:val="24"/>
          <w:szCs w:val="24"/>
        </w:rPr>
        <w:t>del Consejo</w:t>
      </w:r>
    </w:p>
    <w:p w14:paraId="37939B4E" w14:textId="77777777" w:rsidR="00A36D16" w:rsidRPr="00F015A0" w:rsidRDefault="00A36D16" w:rsidP="005C6973">
      <w:pPr>
        <w:widowControl w:val="0"/>
        <w:jc w:val="both"/>
        <w:rPr>
          <w:sz w:val="24"/>
          <w:szCs w:val="24"/>
        </w:rPr>
      </w:pPr>
    </w:p>
    <w:p w14:paraId="34B9CBEA" w14:textId="77777777" w:rsidR="00304CB8" w:rsidRPr="00F015A0" w:rsidRDefault="00304CB8" w:rsidP="00304CB8">
      <w:pPr>
        <w:widowControl w:val="0"/>
        <w:jc w:val="both"/>
        <w:rPr>
          <w:sz w:val="24"/>
          <w:szCs w:val="24"/>
          <w:lang w:val="es-CR"/>
        </w:rPr>
      </w:pPr>
    </w:p>
    <w:p w14:paraId="56D09BE9" w14:textId="77777777" w:rsidR="00304CB8" w:rsidRPr="00F015A0" w:rsidRDefault="00304CB8" w:rsidP="00304CB8">
      <w:pPr>
        <w:widowControl w:val="0"/>
        <w:jc w:val="both"/>
        <w:rPr>
          <w:sz w:val="24"/>
          <w:szCs w:val="24"/>
          <w:lang w:val="es-CR"/>
        </w:rPr>
      </w:pPr>
    </w:p>
    <w:p w14:paraId="1BFA1390" w14:textId="77777777" w:rsidR="00304CB8" w:rsidRPr="00F015A0" w:rsidRDefault="00304CB8" w:rsidP="00304CB8">
      <w:pPr>
        <w:widowControl w:val="0"/>
        <w:jc w:val="both"/>
        <w:rPr>
          <w:sz w:val="24"/>
          <w:szCs w:val="24"/>
          <w:lang w:val="es-CR"/>
        </w:rPr>
      </w:pPr>
    </w:p>
    <w:p w14:paraId="63CD2D96" w14:textId="77777777" w:rsidR="00304CB8" w:rsidRPr="00F015A0" w:rsidRDefault="00304CB8" w:rsidP="00304CB8">
      <w:pPr>
        <w:widowControl w:val="0"/>
        <w:jc w:val="both"/>
        <w:rPr>
          <w:sz w:val="24"/>
          <w:szCs w:val="24"/>
          <w:lang w:val="es-CR"/>
        </w:rPr>
      </w:pPr>
    </w:p>
    <w:p w14:paraId="515ACF20" w14:textId="77777777" w:rsidR="00304CB8" w:rsidRPr="00F015A0" w:rsidRDefault="00304CB8" w:rsidP="00304CB8">
      <w:pPr>
        <w:widowControl w:val="0"/>
        <w:jc w:val="both"/>
        <w:rPr>
          <w:sz w:val="24"/>
          <w:szCs w:val="24"/>
          <w:lang w:val="es-CR"/>
        </w:rPr>
      </w:pPr>
    </w:p>
    <w:p w14:paraId="23C8CD3A" w14:textId="77777777" w:rsidR="00304CB8" w:rsidRDefault="00304CB8" w:rsidP="00304CB8">
      <w:pPr>
        <w:widowControl w:val="0"/>
        <w:jc w:val="both"/>
        <w:rPr>
          <w:sz w:val="24"/>
          <w:szCs w:val="24"/>
          <w:lang w:val="es-CR"/>
        </w:rPr>
      </w:pPr>
    </w:p>
    <w:p w14:paraId="64870878" w14:textId="77777777" w:rsidR="00445A3A" w:rsidRDefault="00445A3A" w:rsidP="00304CB8">
      <w:pPr>
        <w:widowControl w:val="0"/>
        <w:jc w:val="both"/>
        <w:rPr>
          <w:sz w:val="24"/>
          <w:szCs w:val="24"/>
          <w:lang w:val="es-CR"/>
        </w:rPr>
      </w:pPr>
    </w:p>
    <w:p w14:paraId="23AD7107" w14:textId="77777777" w:rsidR="00445A3A" w:rsidRDefault="00445A3A" w:rsidP="00304CB8">
      <w:pPr>
        <w:widowControl w:val="0"/>
        <w:jc w:val="both"/>
        <w:rPr>
          <w:sz w:val="24"/>
          <w:szCs w:val="24"/>
          <w:lang w:val="es-CR"/>
        </w:rPr>
      </w:pPr>
    </w:p>
    <w:p w14:paraId="5AD32BB5" w14:textId="77777777" w:rsidR="00445A3A" w:rsidRDefault="00445A3A" w:rsidP="00304CB8">
      <w:pPr>
        <w:widowControl w:val="0"/>
        <w:jc w:val="both"/>
        <w:rPr>
          <w:sz w:val="24"/>
          <w:szCs w:val="24"/>
          <w:lang w:val="es-CR"/>
        </w:rPr>
      </w:pPr>
    </w:p>
    <w:p w14:paraId="3597B4F5" w14:textId="77777777" w:rsidR="00445A3A" w:rsidRDefault="00445A3A" w:rsidP="00304CB8">
      <w:pPr>
        <w:widowControl w:val="0"/>
        <w:jc w:val="both"/>
        <w:rPr>
          <w:sz w:val="24"/>
          <w:szCs w:val="24"/>
          <w:lang w:val="es-CR"/>
        </w:rPr>
      </w:pPr>
    </w:p>
    <w:p w14:paraId="3658621C" w14:textId="77777777" w:rsidR="00445A3A" w:rsidRDefault="00445A3A" w:rsidP="00304CB8">
      <w:pPr>
        <w:widowControl w:val="0"/>
        <w:jc w:val="both"/>
        <w:rPr>
          <w:sz w:val="24"/>
          <w:szCs w:val="24"/>
          <w:lang w:val="es-CR"/>
        </w:rPr>
      </w:pPr>
    </w:p>
    <w:p w14:paraId="7F69EDEB" w14:textId="77777777" w:rsidR="00445A3A" w:rsidRDefault="00445A3A" w:rsidP="00304CB8">
      <w:pPr>
        <w:widowControl w:val="0"/>
        <w:jc w:val="both"/>
        <w:rPr>
          <w:sz w:val="24"/>
          <w:szCs w:val="24"/>
          <w:lang w:val="es-CR"/>
        </w:rPr>
      </w:pPr>
    </w:p>
    <w:p w14:paraId="325A0727" w14:textId="77777777" w:rsidR="00445A3A" w:rsidRDefault="00445A3A" w:rsidP="00304CB8">
      <w:pPr>
        <w:widowControl w:val="0"/>
        <w:jc w:val="both"/>
        <w:rPr>
          <w:sz w:val="24"/>
          <w:szCs w:val="24"/>
          <w:lang w:val="es-CR"/>
        </w:rPr>
      </w:pPr>
    </w:p>
    <w:p w14:paraId="70A56151" w14:textId="77777777" w:rsidR="00445A3A" w:rsidRDefault="00445A3A" w:rsidP="00304CB8">
      <w:pPr>
        <w:widowControl w:val="0"/>
        <w:jc w:val="both"/>
        <w:rPr>
          <w:sz w:val="24"/>
          <w:szCs w:val="24"/>
          <w:lang w:val="es-CR"/>
        </w:rPr>
      </w:pPr>
    </w:p>
    <w:p w14:paraId="1795B62C" w14:textId="77777777" w:rsidR="00445A3A" w:rsidRDefault="00445A3A" w:rsidP="00304CB8">
      <w:pPr>
        <w:widowControl w:val="0"/>
        <w:jc w:val="both"/>
        <w:rPr>
          <w:sz w:val="24"/>
          <w:szCs w:val="24"/>
          <w:lang w:val="es-CR"/>
        </w:rPr>
      </w:pPr>
    </w:p>
    <w:p w14:paraId="26013076" w14:textId="77777777" w:rsidR="00445A3A" w:rsidRDefault="00445A3A" w:rsidP="00304CB8">
      <w:pPr>
        <w:widowControl w:val="0"/>
        <w:jc w:val="both"/>
        <w:rPr>
          <w:sz w:val="24"/>
          <w:szCs w:val="24"/>
          <w:lang w:val="es-CR"/>
        </w:rPr>
      </w:pPr>
    </w:p>
    <w:p w14:paraId="01CE8BF6" w14:textId="77777777" w:rsidR="00445A3A" w:rsidRDefault="00445A3A" w:rsidP="00304CB8">
      <w:pPr>
        <w:widowControl w:val="0"/>
        <w:jc w:val="both"/>
        <w:rPr>
          <w:sz w:val="24"/>
          <w:szCs w:val="24"/>
          <w:lang w:val="es-CR"/>
        </w:rPr>
      </w:pPr>
    </w:p>
    <w:p w14:paraId="7272D8FF" w14:textId="77777777" w:rsidR="00445A3A" w:rsidRDefault="00445A3A" w:rsidP="00304CB8">
      <w:pPr>
        <w:widowControl w:val="0"/>
        <w:jc w:val="both"/>
        <w:rPr>
          <w:sz w:val="24"/>
          <w:szCs w:val="24"/>
          <w:lang w:val="es-CR"/>
        </w:rPr>
      </w:pPr>
    </w:p>
    <w:p w14:paraId="62F3D0EC" w14:textId="77777777" w:rsidR="00445A3A" w:rsidRDefault="00445A3A" w:rsidP="00304CB8">
      <w:pPr>
        <w:widowControl w:val="0"/>
        <w:jc w:val="both"/>
        <w:rPr>
          <w:sz w:val="24"/>
          <w:szCs w:val="24"/>
          <w:lang w:val="es-CR"/>
        </w:rPr>
      </w:pPr>
    </w:p>
    <w:p w14:paraId="07D1ACEE" w14:textId="77777777" w:rsidR="00445A3A" w:rsidRDefault="00445A3A" w:rsidP="00304CB8">
      <w:pPr>
        <w:widowControl w:val="0"/>
        <w:jc w:val="both"/>
        <w:rPr>
          <w:sz w:val="24"/>
          <w:szCs w:val="24"/>
          <w:lang w:val="es-CR"/>
        </w:rPr>
      </w:pPr>
    </w:p>
    <w:p w14:paraId="6BCB0DC4" w14:textId="77777777" w:rsidR="00445A3A" w:rsidRDefault="00445A3A" w:rsidP="00304CB8">
      <w:pPr>
        <w:widowControl w:val="0"/>
        <w:jc w:val="both"/>
        <w:rPr>
          <w:sz w:val="24"/>
          <w:szCs w:val="24"/>
          <w:lang w:val="es-CR"/>
        </w:rPr>
      </w:pPr>
    </w:p>
    <w:p w14:paraId="7D09747E" w14:textId="77777777" w:rsidR="00445A3A" w:rsidRDefault="00445A3A" w:rsidP="00304CB8">
      <w:pPr>
        <w:widowControl w:val="0"/>
        <w:jc w:val="both"/>
        <w:rPr>
          <w:sz w:val="24"/>
          <w:szCs w:val="24"/>
          <w:lang w:val="es-CR"/>
        </w:rPr>
      </w:pPr>
    </w:p>
    <w:p w14:paraId="65E3A6A1" w14:textId="77777777" w:rsidR="00445A3A" w:rsidRDefault="00445A3A" w:rsidP="00304CB8">
      <w:pPr>
        <w:widowControl w:val="0"/>
        <w:jc w:val="both"/>
        <w:rPr>
          <w:sz w:val="24"/>
          <w:szCs w:val="24"/>
          <w:lang w:val="es-CR"/>
        </w:rPr>
      </w:pPr>
    </w:p>
    <w:p w14:paraId="632B6AF1" w14:textId="77777777" w:rsidR="00445A3A" w:rsidRDefault="00445A3A" w:rsidP="00304CB8">
      <w:pPr>
        <w:widowControl w:val="0"/>
        <w:jc w:val="both"/>
        <w:rPr>
          <w:sz w:val="24"/>
          <w:szCs w:val="24"/>
          <w:lang w:val="es-CR"/>
        </w:rPr>
      </w:pPr>
    </w:p>
    <w:p w14:paraId="41327FA3" w14:textId="77777777" w:rsidR="00445A3A" w:rsidRDefault="00445A3A" w:rsidP="00304CB8">
      <w:pPr>
        <w:widowControl w:val="0"/>
        <w:jc w:val="both"/>
        <w:rPr>
          <w:sz w:val="24"/>
          <w:szCs w:val="24"/>
          <w:lang w:val="es-CR"/>
        </w:rPr>
      </w:pPr>
    </w:p>
    <w:p w14:paraId="3AABDFD3" w14:textId="77777777" w:rsidR="00445A3A" w:rsidRDefault="00445A3A" w:rsidP="00304CB8">
      <w:pPr>
        <w:widowControl w:val="0"/>
        <w:jc w:val="both"/>
        <w:rPr>
          <w:sz w:val="24"/>
          <w:szCs w:val="24"/>
          <w:lang w:val="es-CR"/>
        </w:rPr>
      </w:pPr>
    </w:p>
    <w:p w14:paraId="60A18EAF" w14:textId="77777777" w:rsidR="00445A3A" w:rsidRPr="00F015A0" w:rsidRDefault="00445A3A" w:rsidP="00304CB8">
      <w:pPr>
        <w:widowControl w:val="0"/>
        <w:jc w:val="both"/>
        <w:rPr>
          <w:sz w:val="24"/>
          <w:szCs w:val="24"/>
          <w:lang w:val="es-CR"/>
        </w:rPr>
      </w:pPr>
    </w:p>
    <w:p w14:paraId="6975F24D" w14:textId="77777777" w:rsidR="00304CB8" w:rsidRPr="00F015A0" w:rsidRDefault="00304CB8" w:rsidP="00304CB8">
      <w:pPr>
        <w:widowControl w:val="0"/>
        <w:jc w:val="both"/>
        <w:rPr>
          <w:sz w:val="24"/>
          <w:szCs w:val="24"/>
          <w:lang w:val="es-CR"/>
        </w:rPr>
      </w:pPr>
    </w:p>
    <w:p w14:paraId="3686B7A7" w14:textId="374D3E75" w:rsidR="00A36D16" w:rsidRPr="00F015A0" w:rsidRDefault="00304CB8" w:rsidP="001B0003">
      <w:pPr>
        <w:widowControl w:val="0"/>
        <w:ind w:left="1418" w:hanging="1418"/>
        <w:jc w:val="both"/>
        <w:rPr>
          <w:sz w:val="16"/>
          <w:szCs w:val="16"/>
        </w:rPr>
      </w:pPr>
      <w:r w:rsidRPr="00F015A0">
        <w:rPr>
          <w:b/>
          <w:i/>
          <w:sz w:val="16"/>
          <w:szCs w:val="16"/>
          <w:lang w:val="es-CR"/>
        </w:rPr>
        <w:t>Comunicado a:</w:t>
      </w:r>
      <w:r w:rsidRPr="00F015A0">
        <w:rPr>
          <w:i/>
          <w:sz w:val="16"/>
          <w:szCs w:val="16"/>
          <w:lang w:val="es-CR"/>
        </w:rPr>
        <w:tab/>
      </w:r>
      <w:r w:rsidR="00F015A0" w:rsidRPr="00F015A0">
        <w:rPr>
          <w:i/>
          <w:sz w:val="16"/>
          <w:szCs w:val="16"/>
          <w:lang w:val="es-CR"/>
        </w:rPr>
        <w:t>S</w:t>
      </w:r>
      <w:r w:rsidR="00F015A0" w:rsidRPr="00F015A0">
        <w:rPr>
          <w:i/>
          <w:sz w:val="16"/>
          <w:szCs w:val="16"/>
        </w:rPr>
        <w:t>istema financiero nacional, Banco Central de Costa Rica, diario oficial La Gaceta, (c.a: superintendencias, intendencias, Departamento Fondo de Garantía de Depósitos BCCR, Auditoría Interna).</w:t>
      </w:r>
    </w:p>
    <w:sectPr w:rsidR="00A36D16" w:rsidRPr="00F015A0" w:rsidSect="001D0382">
      <w:headerReference w:type="default" r:id="rId13"/>
      <w:footerReference w:type="even" r:id="rId14"/>
      <w:footerReference w:type="default" r:id="rId15"/>
      <w:headerReference w:type="first" r:id="rId16"/>
      <w:footerReference w:type="first" r:id="rId17"/>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A0AC" w14:textId="77777777" w:rsidR="007D58FD" w:rsidRDefault="007D58FD" w:rsidP="00290A93">
      <w:r>
        <w:separator/>
      </w:r>
    </w:p>
  </w:endnote>
  <w:endnote w:type="continuationSeparator" w:id="0">
    <w:p w14:paraId="702C55BD" w14:textId="77777777" w:rsidR="007D58FD" w:rsidRDefault="007D58FD" w:rsidP="00290A93">
      <w:r>
        <w:continuationSeparator/>
      </w:r>
    </w:p>
  </w:endnote>
  <w:endnote w:type="continuationNotice" w:id="1">
    <w:p w14:paraId="513A9612" w14:textId="77777777" w:rsidR="007D58FD" w:rsidRDefault="007D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Calibri"/>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F5E4" w14:textId="38F07549" w:rsidR="00811E43" w:rsidRDefault="003549E4">
    <w:pPr>
      <w:pStyle w:val="Piedepgina"/>
    </w:pPr>
    <w:r>
      <w:rPr>
        <w:noProof/>
      </w:rPr>
      <mc:AlternateContent>
        <mc:Choice Requires="wps">
          <w:drawing>
            <wp:anchor distT="0" distB="0" distL="0" distR="0" simplePos="0" relativeHeight="251658242" behindDoc="0" locked="0" layoutInCell="1" allowOverlap="1" wp14:anchorId="7BD04031" wp14:editId="74BC2AD6">
              <wp:simplePos x="635" y="635"/>
              <wp:positionH relativeFrom="page">
                <wp:align>center</wp:align>
              </wp:positionH>
              <wp:positionV relativeFrom="page">
                <wp:align>bottom</wp:align>
              </wp:positionV>
              <wp:extent cx="443865" cy="443865"/>
              <wp:effectExtent l="0" t="0" r="2540" b="0"/>
              <wp:wrapNone/>
              <wp:docPr id="13" name="Cuadro de texto 13"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AB027A" w14:textId="7D8AC621"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7BD04031" id="_x0000_t202" coordsize="21600,21600" o:spt="202" path="m,l,21600r21600,l21600,xe">
              <v:stroke joinstyle="miter"/>
              <v:path gradientshapeok="t" o:connecttype="rect"/>
            </v:shapetype>
            <v:shape id="Cuadro de texto 13" o:spid="_x0000_s1026" type="#_x0000_t202" alt="Público"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AB027A" w14:textId="7D8AC621"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5238" w14:textId="12B5C999" w:rsidR="001D0382" w:rsidRDefault="003549E4">
    <w:pPr>
      <w:pStyle w:val="Piedepgina"/>
      <w:jc w:val="right"/>
    </w:pPr>
    <w:r>
      <w:rPr>
        <w:noProof/>
      </w:rPr>
      <mc:AlternateContent>
        <mc:Choice Requires="wps">
          <w:drawing>
            <wp:anchor distT="0" distB="0" distL="0" distR="0" simplePos="0" relativeHeight="251658243" behindDoc="0" locked="0" layoutInCell="1" allowOverlap="1" wp14:anchorId="6303A2C2" wp14:editId="35FAE237">
              <wp:simplePos x="1079500" y="9315450"/>
              <wp:positionH relativeFrom="page">
                <wp:align>center</wp:align>
              </wp:positionH>
              <wp:positionV relativeFrom="page">
                <wp:align>bottom</wp:align>
              </wp:positionV>
              <wp:extent cx="443865" cy="443865"/>
              <wp:effectExtent l="0" t="0" r="2540" b="0"/>
              <wp:wrapNone/>
              <wp:docPr id="14" name="Cuadro de texto 14"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1CE77" w14:textId="203A68F9"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303A2C2" id="_x0000_t202" coordsize="21600,21600" o:spt="202" path="m,l,21600r21600,l21600,xe">
              <v:stroke joinstyle="miter"/>
              <v:path gradientshapeok="t" o:connecttype="rect"/>
            </v:shapetype>
            <v:shape id="Cuadro de texto 14" o:spid="_x0000_s1027" type="#_x0000_t202" alt="Público"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61CE77" w14:textId="203A68F9"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2E7F1DC3"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808B" w14:textId="636E3443" w:rsidR="003F16A6" w:rsidRDefault="003549E4">
    <w:pPr>
      <w:pStyle w:val="Piedepgina"/>
      <w:jc w:val="center"/>
    </w:pPr>
    <w:r>
      <w:rPr>
        <w:noProof/>
      </w:rPr>
      <mc:AlternateContent>
        <mc:Choice Requires="wps">
          <w:drawing>
            <wp:anchor distT="0" distB="0" distL="0" distR="0" simplePos="0" relativeHeight="251658241" behindDoc="0" locked="0" layoutInCell="1" allowOverlap="1" wp14:anchorId="15D7E148" wp14:editId="5E70F666">
              <wp:simplePos x="635" y="635"/>
              <wp:positionH relativeFrom="page">
                <wp:align>center</wp:align>
              </wp:positionH>
              <wp:positionV relativeFrom="page">
                <wp:align>bottom</wp:align>
              </wp:positionV>
              <wp:extent cx="443865" cy="443865"/>
              <wp:effectExtent l="0" t="0" r="2540" b="0"/>
              <wp:wrapNone/>
              <wp:docPr id="12" name="Cuadro de texto 12" descr="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1405D" w14:textId="4E8F086D"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5D7E148" id="_x0000_t202" coordsize="21600,21600" o:spt="202" path="m,l,21600r21600,l21600,xe">
              <v:stroke joinstyle="miter"/>
              <v:path gradientshapeok="t" o:connecttype="rect"/>
            </v:shapetype>
            <v:shape id="Cuadro de texto 12" o:spid="_x0000_s1028" type="#_x0000_t202" alt="Público"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981405D" w14:textId="4E8F086D" w:rsidR="003549E4" w:rsidRPr="003549E4" w:rsidRDefault="003549E4" w:rsidP="003549E4">
                    <w:pPr>
                      <w:rPr>
                        <w:rFonts w:ascii="Calibri" w:eastAsia="Calibri" w:hAnsi="Calibri" w:cs="Calibri"/>
                        <w:noProof/>
                        <w:color w:val="000000"/>
                      </w:rPr>
                    </w:pPr>
                    <w:r w:rsidRPr="003549E4">
                      <w:rPr>
                        <w:rFonts w:ascii="Calibri" w:eastAsia="Calibri" w:hAnsi="Calibri" w:cs="Calibri"/>
                        <w:noProof/>
                        <w:color w:val="000000"/>
                      </w:rPr>
                      <w:t>Público</w:t>
                    </w:r>
                  </w:p>
                </w:txbxContent>
              </v:textbox>
              <w10:wrap anchorx="page" anchory="page"/>
            </v:shape>
          </w:pict>
        </mc:Fallback>
      </mc:AlternateContent>
    </w:r>
    <w:r w:rsidR="003F16A6">
      <w:fldChar w:fldCharType="begin"/>
    </w:r>
    <w:r w:rsidR="003F16A6">
      <w:instrText>PAGE   \* MERGEFORMAT</w:instrText>
    </w:r>
    <w:r w:rsidR="003F16A6">
      <w:fldChar w:fldCharType="separate"/>
    </w:r>
    <w:r w:rsidR="003F16A6">
      <w:t>2</w:t>
    </w:r>
    <w:r w:rsidR="003F16A6">
      <w:fldChar w:fldCharType="end"/>
    </w:r>
  </w:p>
  <w:p w14:paraId="2B9728F1"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8676" w14:textId="77777777" w:rsidR="007D58FD" w:rsidRDefault="007D58FD" w:rsidP="00290A93">
      <w:r>
        <w:separator/>
      </w:r>
    </w:p>
  </w:footnote>
  <w:footnote w:type="continuationSeparator" w:id="0">
    <w:p w14:paraId="6B8DAB6A" w14:textId="77777777" w:rsidR="007D58FD" w:rsidRDefault="007D58FD" w:rsidP="00290A93">
      <w:r>
        <w:continuationSeparator/>
      </w:r>
    </w:p>
  </w:footnote>
  <w:footnote w:type="continuationNotice" w:id="1">
    <w:p w14:paraId="5AB56B6B" w14:textId="77777777" w:rsidR="007D58FD" w:rsidRDefault="007D5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1F7" w14:textId="7863E11E" w:rsidR="00D33020" w:rsidRDefault="00D62E1A">
    <w:pPr>
      <w:pStyle w:val="Encabezado"/>
    </w:pPr>
    <w:r>
      <w:rPr>
        <w:noProof/>
      </w:rPr>
      <w:drawing>
        <wp:inline distT="0" distB="0" distL="0" distR="0" wp14:anchorId="17BFC4AF" wp14:editId="1395E44C">
          <wp:extent cx="1924050" cy="698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8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AD29" w14:textId="77A04E04" w:rsidR="001D683F" w:rsidRDefault="00D62E1A">
    <w:pPr>
      <w:pStyle w:val="Encabezado"/>
    </w:pPr>
    <w:r>
      <w:rPr>
        <w:noProof/>
      </w:rPr>
      <w:drawing>
        <wp:anchor distT="0" distB="0" distL="114300" distR="114300" simplePos="0" relativeHeight="251658240" behindDoc="0" locked="0" layoutInCell="1" allowOverlap="1" wp14:anchorId="360A315C" wp14:editId="17F39B7A">
          <wp:simplePos x="0" y="0"/>
          <wp:positionH relativeFrom="column">
            <wp:posOffset>-423545</wp:posOffset>
          </wp:positionH>
          <wp:positionV relativeFrom="paragraph">
            <wp:posOffset>-104775</wp:posOffset>
          </wp:positionV>
          <wp:extent cx="4750435" cy="5105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8.5pt;height:37.5pt" o:bullet="t">
        <v:imagedata r:id="rId1" o:title="clip_image001"/>
      </v:shape>
    </w:pict>
  </w:numPicBullet>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17B2835"/>
    <w:multiLevelType w:val="hybridMultilevel"/>
    <w:tmpl w:val="0CD46D3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4827422D"/>
    <w:multiLevelType w:val="hybridMultilevel"/>
    <w:tmpl w:val="3F96AE96"/>
    <w:lvl w:ilvl="0" w:tplc="5C00FAEC">
      <w:start w:val="1"/>
      <w:numFmt w:val="bullet"/>
      <w:lvlText w:val=""/>
      <w:lvlPicBulletId w:val="0"/>
      <w:lvlJc w:val="left"/>
      <w:pPr>
        <w:tabs>
          <w:tab w:val="num" w:pos="720"/>
        </w:tabs>
        <w:ind w:left="720" w:hanging="360"/>
      </w:pPr>
      <w:rPr>
        <w:rFonts w:ascii="Symbol" w:hAnsi="Symbol" w:hint="default"/>
        <w:sz w:val="28"/>
      </w:rPr>
    </w:lvl>
    <w:lvl w:ilvl="1" w:tplc="BE2E7EBC">
      <w:start w:val="1"/>
      <w:numFmt w:val="bullet"/>
      <w:lvlText w:val=""/>
      <w:lvlJc w:val="left"/>
      <w:pPr>
        <w:tabs>
          <w:tab w:val="num" w:pos="1440"/>
        </w:tabs>
        <w:ind w:left="1440" w:hanging="360"/>
      </w:pPr>
      <w:rPr>
        <w:rFonts w:ascii="Symbol" w:hAnsi="Symbol" w:hint="default"/>
      </w:rPr>
    </w:lvl>
    <w:lvl w:ilvl="2" w:tplc="7D6047D4">
      <w:start w:val="1"/>
      <w:numFmt w:val="bullet"/>
      <w:lvlText w:val=""/>
      <w:lvlJc w:val="left"/>
      <w:pPr>
        <w:tabs>
          <w:tab w:val="num" w:pos="2160"/>
        </w:tabs>
        <w:ind w:left="2160" w:hanging="360"/>
      </w:pPr>
      <w:rPr>
        <w:rFonts w:ascii="Symbol" w:hAnsi="Symbol" w:hint="default"/>
      </w:rPr>
    </w:lvl>
    <w:lvl w:ilvl="3" w:tplc="F73E9C2C">
      <w:start w:val="1"/>
      <w:numFmt w:val="bullet"/>
      <w:lvlText w:val=""/>
      <w:lvlJc w:val="left"/>
      <w:pPr>
        <w:tabs>
          <w:tab w:val="num" w:pos="2880"/>
        </w:tabs>
        <w:ind w:left="2880" w:hanging="360"/>
      </w:pPr>
      <w:rPr>
        <w:rFonts w:ascii="Symbol" w:hAnsi="Symbol" w:hint="default"/>
      </w:rPr>
    </w:lvl>
    <w:lvl w:ilvl="4" w:tplc="E4226F60">
      <w:start w:val="1"/>
      <w:numFmt w:val="bullet"/>
      <w:lvlText w:val=""/>
      <w:lvlJc w:val="left"/>
      <w:pPr>
        <w:tabs>
          <w:tab w:val="num" w:pos="3600"/>
        </w:tabs>
        <w:ind w:left="3600" w:hanging="360"/>
      </w:pPr>
      <w:rPr>
        <w:rFonts w:ascii="Symbol" w:hAnsi="Symbol" w:hint="default"/>
      </w:rPr>
    </w:lvl>
    <w:lvl w:ilvl="5" w:tplc="235E1D86">
      <w:start w:val="1"/>
      <w:numFmt w:val="bullet"/>
      <w:lvlText w:val=""/>
      <w:lvlJc w:val="left"/>
      <w:pPr>
        <w:tabs>
          <w:tab w:val="num" w:pos="4320"/>
        </w:tabs>
        <w:ind w:left="4320" w:hanging="360"/>
      </w:pPr>
      <w:rPr>
        <w:rFonts w:ascii="Symbol" w:hAnsi="Symbol" w:hint="default"/>
      </w:rPr>
    </w:lvl>
    <w:lvl w:ilvl="6" w:tplc="0AA243E8">
      <w:start w:val="1"/>
      <w:numFmt w:val="bullet"/>
      <w:lvlText w:val=""/>
      <w:lvlJc w:val="left"/>
      <w:pPr>
        <w:tabs>
          <w:tab w:val="num" w:pos="5040"/>
        </w:tabs>
        <w:ind w:left="5040" w:hanging="360"/>
      </w:pPr>
      <w:rPr>
        <w:rFonts w:ascii="Symbol" w:hAnsi="Symbol" w:hint="default"/>
      </w:rPr>
    </w:lvl>
    <w:lvl w:ilvl="7" w:tplc="69D0AB84">
      <w:start w:val="1"/>
      <w:numFmt w:val="bullet"/>
      <w:lvlText w:val=""/>
      <w:lvlJc w:val="left"/>
      <w:pPr>
        <w:tabs>
          <w:tab w:val="num" w:pos="5760"/>
        </w:tabs>
        <w:ind w:left="5760" w:hanging="360"/>
      </w:pPr>
      <w:rPr>
        <w:rFonts w:ascii="Symbol" w:hAnsi="Symbol" w:hint="default"/>
      </w:rPr>
    </w:lvl>
    <w:lvl w:ilvl="8" w:tplc="712AF410">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6"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227648813">
    <w:abstractNumId w:val="6"/>
  </w:num>
  <w:num w:numId="2" w16cid:durableId="1392919563">
    <w:abstractNumId w:val="7"/>
  </w:num>
  <w:num w:numId="3" w16cid:durableId="682050748">
    <w:abstractNumId w:val="9"/>
  </w:num>
  <w:num w:numId="4" w16cid:durableId="821770782">
    <w:abstractNumId w:val="2"/>
  </w:num>
  <w:num w:numId="5" w16cid:durableId="1231304326">
    <w:abstractNumId w:val="3"/>
  </w:num>
  <w:num w:numId="6" w16cid:durableId="2098743474">
    <w:abstractNumId w:val="8"/>
  </w:num>
  <w:num w:numId="7" w16cid:durableId="575170140">
    <w:abstractNumId w:val="0"/>
  </w:num>
  <w:num w:numId="8" w16cid:durableId="314847167">
    <w:abstractNumId w:val="5"/>
  </w:num>
  <w:num w:numId="9" w16cid:durableId="1687058547">
    <w:abstractNumId w:val="10"/>
  </w:num>
  <w:num w:numId="10" w16cid:durableId="1309170224">
    <w:abstractNumId w:val="4"/>
  </w:num>
  <w:num w:numId="11" w16cid:durableId="85835146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344B"/>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6DB2"/>
    <w:rsid w:val="00191692"/>
    <w:rsid w:val="00191C29"/>
    <w:rsid w:val="00192661"/>
    <w:rsid w:val="001930BD"/>
    <w:rsid w:val="0019373F"/>
    <w:rsid w:val="001944C9"/>
    <w:rsid w:val="001951B5"/>
    <w:rsid w:val="001963C5"/>
    <w:rsid w:val="00197E5D"/>
    <w:rsid w:val="001A1AE5"/>
    <w:rsid w:val="001A2930"/>
    <w:rsid w:val="001A3312"/>
    <w:rsid w:val="001A3BC6"/>
    <w:rsid w:val="001A4A9B"/>
    <w:rsid w:val="001A570E"/>
    <w:rsid w:val="001A7088"/>
    <w:rsid w:val="001A77EB"/>
    <w:rsid w:val="001B0003"/>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868B1"/>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395A"/>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549E4"/>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5A3A"/>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BCF"/>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033"/>
    <w:rsid w:val="00542907"/>
    <w:rsid w:val="00545031"/>
    <w:rsid w:val="00545881"/>
    <w:rsid w:val="00546609"/>
    <w:rsid w:val="00552E9D"/>
    <w:rsid w:val="00557CD5"/>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6F1"/>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8FD"/>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1E43"/>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5D2E"/>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2B0"/>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B651E"/>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AF3C98"/>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3FBF"/>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2E1A"/>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0540"/>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B77C5"/>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15A0"/>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85387"/>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 w:val="00FF67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E5AB"/>
  <w15:chartTrackingRefBased/>
  <w15:docId w15:val="{9D17A43B-5A23-4BE5-A0D9-0850A219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Titulo 2,Segundo nivel de viñetas,Titulo 1,Lista vistosa - Énfasis 11,Párrafo de lista Car Car Car"/>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Titulo 2 Car,Segundo nivel de viñetas Car,Titulo 1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NormalWebCar">
    <w:name w:val="Normal (Web) Car"/>
    <w:link w:val="NormalWeb"/>
    <w:uiPriority w:val="99"/>
    <w:rsid w:val="001B0003"/>
    <w:rPr>
      <w:rFonts w:ascii="Arial" w:eastAsia="Times New Roman" w:hAnsi="Arial" w:cs="Arial"/>
      <w:sz w:val="18"/>
      <w:szCs w:val="18"/>
    </w:rPr>
  </w:style>
  <w:style w:type="table" w:customStyle="1" w:styleId="Tablaconcuadrcula2">
    <w:name w:val="Tabla con cuadrícula2"/>
    <w:basedOn w:val="Tablanormal"/>
    <w:next w:val="Tablaconcuadrcula"/>
    <w:uiPriority w:val="39"/>
    <w:rsid w:val="00AF3C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F3C98"/>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F3C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pK9aGvYalNVz2zXWJBAs4TutnRF/rdpQRruGtVBAyLw=</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923boc0r7btc4+TYli9IJKut1ITPEFAz1bCV+ssp3fE=</DigestValue>
    </Reference>
  </SignedInfo>
  <SignatureValue>eyTuQjEIh+FxfnL0ZNhtziqsXRzLEXIiKrBcUWCD64q7J36rIbenJxM82Eya3Z4MniWg4aDmCcc3
lwHVmPkZIPqfwa2u24X/m0ccVU57Vw2tnUGic8CMbakbulLfEd2b1VICeuzuqmB/kTmQ8dXvNaot
fS8B8RsbrNYFGE0Kcg8R+5rB2iZ49vgu/I5vm5nMaGm9FqTfHTMvIHEWO6uFaU1mUbg6ZxQRkWEB
79G3PUIC1M4te9tdPdyAc48JYZKzntKpQJyweiv46NdDrgI32CRL3vKwmfVmQVt8dzalfqXjx48P
9cbK5ixq+pGvmbKgYs5yWltZU/58FYgtT6vaSQ==</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0Km6CIpIPrKvGUkAEgq4iSbHUP89UER+wPBIaEivAo0=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ao3zfzVaX6gyEc/R1ttf0gQF595EoJTv7Y6RKAZH9v4=</DigestValue>
      </Reference>
      <Reference URI="/word/endnotes.xml?ContentType=application/vnd.openxmlformats-officedocument.wordprocessingml.endnotes+xml">
        <DigestMethod Algorithm="http://www.w3.org/2001/04/xmlenc#sha256"/>
        <DigestValue>De81jcVDgCh9F8d/WPo/GOW5W+SrJfBvOfyVDu91IaU=</DigestValue>
      </Reference>
      <Reference URI="/word/fontTable.xml?ContentType=application/vnd.openxmlformats-officedocument.wordprocessingml.fontTable+xml">
        <DigestMethod Algorithm="http://www.w3.org/2001/04/xmlenc#sha256"/>
        <DigestValue>iIXJUunLx8Yk6boLM+Jwfvnzm+/7J+rOVv7W8drFer8=</DigestValue>
      </Reference>
      <Reference URI="/word/footer1.xml?ContentType=application/vnd.openxmlformats-officedocument.wordprocessingml.footer+xml">
        <DigestMethod Algorithm="http://www.w3.org/2001/04/xmlenc#sha256"/>
        <DigestValue>knjvPhWWzRmjKeH9yZtSQLBmUQYMdrESkd+aHudrXuk=</DigestValue>
      </Reference>
      <Reference URI="/word/footer2.xml?ContentType=application/vnd.openxmlformats-officedocument.wordprocessingml.footer+xml">
        <DigestMethod Algorithm="http://www.w3.org/2001/04/xmlenc#sha256"/>
        <DigestValue>cLWwpk3aWkF/FGGKWH9raye4Ca30CsurwLg5X77wqWg=</DigestValue>
      </Reference>
      <Reference URI="/word/footer3.xml?ContentType=application/vnd.openxmlformats-officedocument.wordprocessingml.footer+xml">
        <DigestMethod Algorithm="http://www.w3.org/2001/04/xmlenc#sha256"/>
        <DigestValue>d4LOrOEbnoG0JskQkpRpX1NYjkfZuGRO3/tshlkysTc=</DigestValue>
      </Reference>
      <Reference URI="/word/footnotes.xml?ContentType=application/vnd.openxmlformats-officedocument.wordprocessingml.footnotes+xml">
        <DigestMethod Algorithm="http://www.w3.org/2001/04/xmlenc#sha256"/>
        <DigestValue>CWSZlu64+/+O9CTukjnsNiuKQGJqf32vcaWDaG7RyEA=</DigestValue>
      </Reference>
      <Reference URI="/word/header1.xml?ContentType=application/vnd.openxmlformats-officedocument.wordprocessingml.header+xml">
        <DigestMethod Algorithm="http://www.w3.org/2001/04/xmlenc#sha256"/>
        <DigestValue>Av3pM4iOXvV3XZigAd5NeYzoVP9rawT9eGmmDGmKau4=</DigestValue>
      </Reference>
      <Reference URI="/word/header2.xml?ContentType=application/vnd.openxmlformats-officedocument.wordprocessingml.header+xml">
        <DigestMethod Algorithm="http://www.w3.org/2001/04/xmlenc#sha256"/>
        <DigestValue>caa8C1UkYYdRklP47AxbaSf+seXCItIas8ByfqOFwJ0=</DigestValue>
      </Reference>
      <Reference URI="/word/media/image1.png?ContentType=image/png">
        <DigestMethod Algorithm="http://www.w3.org/2001/04/xmlenc#sha256"/>
        <DigestValue>L9IN83f3wHo5pHjpEy1ZLvzj9jsDMKW3iA9Csuyn4F4=</DigestValue>
      </Reference>
      <Reference URI="/word/media/image2.jpeg?ContentType=image/jpeg">
        <DigestMethod Algorithm="http://www.w3.org/2001/04/xmlenc#sha256"/>
        <DigestValue>ijzY2eNAYqCxyVgPPU8USYmnehAVySbjRtUchCjIsO4=</DigestValue>
      </Reference>
      <Reference URI="/word/media/image3.jpeg?ContentType=image/jpeg">
        <DigestMethod Algorithm="http://www.w3.org/2001/04/xmlenc#sha256"/>
        <DigestValue>KIBRR7jSR9i9r9ryH1lQ1MvNib3FG7vpevKfZV/YVc8=</DigestValue>
      </Reference>
      <Reference URI="/word/media/image4.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5X/iWKaIlvtyIniUqTrUKTZpC9HNk+fgeG1F+lorIYA=</DigestValue>
      </Reference>
      <Reference URI="/word/settings.xml?ContentType=application/vnd.openxmlformats-officedocument.wordprocessingml.settings+xml">
        <DigestMethod Algorithm="http://www.w3.org/2001/04/xmlenc#sha256"/>
        <DigestValue>vyHvfF8EMdSvTUnPN7E5wiMsjmwhtHyge8XkMLAgbUI=</DigestValue>
      </Reference>
      <Reference URI="/word/styles.xml?ContentType=application/vnd.openxmlformats-officedocument.wordprocessingml.styles+xml">
        <DigestMethod Algorithm="http://www.w3.org/2001/04/xmlenc#sha256"/>
        <DigestValue>DE1YmXeV4hwqHcdNhEt/Imnyix03u9wtPlM8gdAzMbQ=</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2024-03-07T02:16:27Z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2024-03-07T02:16:27Z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td2EfOavPoPdSeR6z16HZUcfjXDsEKy0xr/gigbr2HACBBlgolAYDzIwMjQwMzA3MDIxNj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fV3zz7h++DBmdeauW0wYKnHGPxk=</xd:ByKey>
                  </xd:ResponderID>
                  <xd:ProducedAt>2024-03-05T23:33:10Z</xd:ProducedAt>
                </xd:OCSPIdentifier>
                <xd:DigestAlgAndValue>
                  <DigestMethod Algorithm="http://www.w3.org/2001/04/xmlenc#sha256"/>
                  <DigestValue>bsS3a9asn5YHYa4nfli0P9WErtZKJGBTA/onNehogIk=</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HqVsnDZ9Brt528zBvPfJOtr0oR7PyKXaXXcOwgGNwyUCBBlgolIYDzIwMjQwMzA3MDIxNjI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03-Marzo</Mes>
    <_x002d_ xmlns="96c239bb-9668-4681-985a-a7d7030fe907" xsi:nil="true"/>
    <A_x00f1_o xmlns="96c239bb-9668-4681-985a-a7d7030fe907">2024</A_x00f1_o>
    <Sesi_x00f3_n xmlns="96c239bb-9668-4681-985a-a7d7030fe907">1846</Sesi_x00f3_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4C9750F-6F3E-4E02-9D7B-55190EA6A239}">
  <ds:schemaRefs>
    <ds:schemaRef ds:uri="http://schemas.microsoft.com/office/2006/metadata/properties"/>
    <ds:schemaRef ds:uri="http://schemas.microsoft.com/office/infopath/2007/PartnerControls"/>
    <ds:schemaRef ds:uri="96c239bb-9668-4681-985a-a7d7030fe907"/>
  </ds:schemaRefs>
</ds:datastoreItem>
</file>

<file path=customXml/itemProps2.xml><?xml version="1.0" encoding="utf-8"?>
<ds:datastoreItem xmlns:ds="http://schemas.openxmlformats.org/officeDocument/2006/customXml" ds:itemID="{8DA9C6A5-8D2D-491C-91F7-3B69CA60A00D}">
  <ds:schemaRefs>
    <ds:schemaRef ds:uri="http://schemas.openxmlformats.org/officeDocument/2006/bibliography"/>
  </ds:schemaRefs>
</ds:datastoreItem>
</file>

<file path=customXml/itemProps3.xml><?xml version="1.0" encoding="utf-8"?>
<ds:datastoreItem xmlns:ds="http://schemas.openxmlformats.org/officeDocument/2006/customXml" ds:itemID="{23BE8FA8-0335-4999-B329-2B37DDCAC426}">
  <ds:schemaRefs>
    <ds:schemaRef ds:uri="http://schemas.microsoft.com/sharepoint/v3/contenttype/forms"/>
  </ds:schemaRefs>
</ds:datastoreItem>
</file>

<file path=customXml/itemProps4.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1D57F5-A9A0-439B-B3FD-59CF18E894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1846-12 LSZ  CONFIDENCIAL</vt:lpstr>
    </vt:vector>
  </TitlesOfParts>
  <Company>BCCR</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1846-12 LSZ  CONFIDENCIAL</dc:title>
  <dc:subject/>
  <dc:creator>HERNANDEZ MORA DAYANA</dc:creator>
  <cp:keywords/>
  <dc:description/>
  <cp:lastModifiedBy>ALPIZAR PANIAGUA CELIA MARIA</cp:lastModifiedBy>
  <cp:revision>11</cp:revision>
  <cp:lastPrinted>2013-01-31T00:12:00Z</cp:lastPrinted>
  <dcterms:created xsi:type="dcterms:W3CDTF">2024-03-06T19:49:00Z</dcterms:created>
  <dcterms:modified xsi:type="dcterms:W3CDTF">2024-03-07T02:16:00Z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lassificationContentMarkingFooterShapeIds">
    <vt:lpwstr>c,d,e</vt:lpwstr>
  </property>
  <property fmtid="{D5CDD505-2E9C-101B-9397-08002B2CF9AE}" pid="9" name="ClassificationContentMarkingFooterFontProps">
    <vt:lpwstr>#000000,10,Calibri</vt:lpwstr>
  </property>
  <property fmtid="{D5CDD505-2E9C-101B-9397-08002B2CF9AE}" pid="10" name="ClassificationContentMarkingFooterText">
    <vt:lpwstr>Público</vt:lpwstr>
  </property>
  <property fmtid="{D5CDD505-2E9C-101B-9397-08002B2CF9AE}" pid="11" name="ContentTypeId">
    <vt:lpwstr>0x0101008A2E0295431CB54A933AC477DC2BC7AF00A2A5AC1694757C44B8474694E4442E22</vt:lpwstr>
  </property>
  <property fmtid="{D5CDD505-2E9C-101B-9397-08002B2CF9AE}" pid="12" name="MSIP_Label_9bfceeab-f12b-49f2-b4d7-bd5af5d5f9b8_Enabled">
    <vt:lpwstr>true</vt:lpwstr>
  </property>
  <property fmtid="{D5CDD505-2E9C-101B-9397-08002B2CF9AE}" pid="13" name="MSIP_Label_9bfceeab-f12b-49f2-b4d7-bd5af5d5f9b8_SetDate">
    <vt:lpwstr>2024-03-06T17:45:26Z</vt:lpwstr>
  </property>
  <property fmtid="{D5CDD505-2E9C-101B-9397-08002B2CF9AE}" pid="14" name="MSIP_Label_9bfceeab-f12b-49f2-b4d7-bd5af5d5f9b8_Method">
    <vt:lpwstr>Privileged</vt:lpwstr>
  </property>
  <property fmtid="{D5CDD505-2E9C-101B-9397-08002B2CF9AE}" pid="15" name="MSIP_Label_9bfceeab-f12b-49f2-b4d7-bd5af5d5f9b8_Name">
    <vt:lpwstr>9bfceeab-f12b-49f2-b4d7-bd5af5d5f9b8</vt:lpwstr>
  </property>
  <property fmtid="{D5CDD505-2E9C-101B-9397-08002B2CF9AE}" pid="16" name="MSIP_Label_9bfceeab-f12b-49f2-b4d7-bd5af5d5f9b8_SiteId">
    <vt:lpwstr>618d0a45-25a6-4618-9f80-8f70a435ee52</vt:lpwstr>
  </property>
  <property fmtid="{D5CDD505-2E9C-101B-9397-08002B2CF9AE}" pid="17" name="MSIP_Label_9bfceeab-f12b-49f2-b4d7-bd5af5d5f9b8_ActionId">
    <vt:lpwstr>569be7ac-b01f-45d4-b061-fcb26787ba70</vt:lpwstr>
  </property>
  <property fmtid="{D5CDD505-2E9C-101B-9397-08002B2CF9AE}" pid="18" name="MSIP_Label_9bfceeab-f12b-49f2-b4d7-bd5af5d5f9b8_ContentBits">
    <vt:lpwstr>2</vt:lpwstr>
  </property>
</Properties>
</file>