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DFE4" w14:textId="77777777" w:rsidR="00370207" w:rsidRPr="00772B41" w:rsidRDefault="00370207" w:rsidP="00772B41">
      <w:pPr>
        <w:widowControl w:val="0"/>
        <w:jc w:val="both"/>
        <w:rPr>
          <w:sz w:val="24"/>
          <w:szCs w:val="24"/>
        </w:rPr>
      </w:pPr>
    </w:p>
    <w:p w14:paraId="63E509EA" w14:textId="77777777" w:rsidR="004D7C2C" w:rsidRPr="00772B41" w:rsidRDefault="004D7C2C" w:rsidP="00645809">
      <w:pPr>
        <w:widowControl w:val="0"/>
        <w:jc w:val="both"/>
        <w:rPr>
          <w:sz w:val="24"/>
          <w:szCs w:val="24"/>
        </w:rPr>
      </w:pPr>
    </w:p>
    <w:p w14:paraId="66C58801" w14:textId="3EF44EBB" w:rsidR="00EC6E61" w:rsidRPr="00645809" w:rsidRDefault="00C152A0" w:rsidP="00645809">
      <w:pPr>
        <w:widowControl w:val="0"/>
        <w:jc w:val="both"/>
        <w:rPr>
          <w:sz w:val="24"/>
          <w:szCs w:val="24"/>
        </w:rPr>
      </w:pPr>
      <w:r>
        <w:rPr>
          <w:sz w:val="24"/>
          <w:szCs w:val="24"/>
        </w:rPr>
        <w:t>5</w:t>
      </w:r>
      <w:r w:rsidR="00EC6E61" w:rsidRPr="00645809">
        <w:rPr>
          <w:sz w:val="24"/>
          <w:szCs w:val="24"/>
        </w:rPr>
        <w:t xml:space="preserve"> de setiembre del 2023</w:t>
      </w:r>
    </w:p>
    <w:p w14:paraId="42FF74A4" w14:textId="36814898" w:rsidR="00EC6E61" w:rsidRPr="00645809" w:rsidRDefault="00EC6E61" w:rsidP="00772B41">
      <w:pPr>
        <w:widowControl w:val="0"/>
        <w:jc w:val="both"/>
        <w:rPr>
          <w:sz w:val="24"/>
          <w:szCs w:val="24"/>
        </w:rPr>
      </w:pPr>
      <w:r w:rsidRPr="00645809">
        <w:rPr>
          <w:sz w:val="24"/>
          <w:szCs w:val="24"/>
        </w:rPr>
        <w:t>CNS-1817/</w:t>
      </w:r>
      <w:r w:rsidR="00E726D1" w:rsidRPr="00645809">
        <w:rPr>
          <w:sz w:val="24"/>
          <w:szCs w:val="24"/>
        </w:rPr>
        <w:t>09</w:t>
      </w:r>
    </w:p>
    <w:p w14:paraId="5D2A8F18" w14:textId="77777777" w:rsidR="00EC6E61" w:rsidRPr="00772B41" w:rsidRDefault="00EC6E61" w:rsidP="00772B41">
      <w:pPr>
        <w:widowControl w:val="0"/>
        <w:jc w:val="both"/>
        <w:rPr>
          <w:sz w:val="24"/>
          <w:szCs w:val="24"/>
        </w:rPr>
      </w:pPr>
    </w:p>
    <w:p w14:paraId="44C06B8D" w14:textId="77777777" w:rsidR="00EC6E61" w:rsidRPr="00772B41" w:rsidRDefault="00EC6E61" w:rsidP="00772B41">
      <w:pPr>
        <w:widowControl w:val="0"/>
        <w:jc w:val="both"/>
        <w:rPr>
          <w:sz w:val="24"/>
          <w:szCs w:val="24"/>
        </w:rPr>
      </w:pPr>
    </w:p>
    <w:p w14:paraId="2E7D50BB" w14:textId="77777777" w:rsidR="006F7160" w:rsidRPr="00823901" w:rsidRDefault="006F7160" w:rsidP="006F7160">
      <w:pPr>
        <w:widowControl w:val="0"/>
        <w:jc w:val="both"/>
        <w:rPr>
          <w:sz w:val="24"/>
          <w:szCs w:val="24"/>
        </w:rPr>
      </w:pPr>
      <w:bookmarkStart w:id="0" w:name="_Hlk103857159"/>
      <w:r w:rsidRPr="00823901">
        <w:rPr>
          <w:sz w:val="24"/>
          <w:szCs w:val="24"/>
        </w:rPr>
        <w:t>Señora</w:t>
      </w:r>
    </w:p>
    <w:p w14:paraId="188EDED7" w14:textId="77777777" w:rsidR="006F7160" w:rsidRPr="00823901" w:rsidRDefault="006F7160" w:rsidP="006F7160">
      <w:pPr>
        <w:widowControl w:val="0"/>
        <w:jc w:val="both"/>
        <w:rPr>
          <w:sz w:val="24"/>
          <w:szCs w:val="24"/>
        </w:rPr>
      </w:pPr>
      <w:r w:rsidRPr="00823901">
        <w:rPr>
          <w:sz w:val="24"/>
          <w:szCs w:val="24"/>
        </w:rPr>
        <w:t>María del Rocío Aguilar Montoya, superintendente</w:t>
      </w:r>
    </w:p>
    <w:p w14:paraId="3C07ADD4" w14:textId="77777777" w:rsidR="006F7160" w:rsidRPr="00823901" w:rsidRDefault="006F7160" w:rsidP="006F7160">
      <w:pPr>
        <w:widowControl w:val="0"/>
        <w:jc w:val="both"/>
        <w:rPr>
          <w:b/>
          <w:i/>
          <w:sz w:val="24"/>
          <w:szCs w:val="24"/>
        </w:rPr>
      </w:pPr>
      <w:r w:rsidRPr="00823901">
        <w:rPr>
          <w:b/>
          <w:i/>
          <w:sz w:val="24"/>
          <w:szCs w:val="24"/>
        </w:rPr>
        <w:t>Superintendencia General de Entidades Financieras</w:t>
      </w:r>
    </w:p>
    <w:p w14:paraId="7B1DCCA4" w14:textId="77777777" w:rsidR="006F7160" w:rsidRPr="00823901" w:rsidRDefault="006F7160" w:rsidP="006F7160">
      <w:pPr>
        <w:widowControl w:val="0"/>
        <w:jc w:val="both"/>
        <w:rPr>
          <w:b/>
          <w:i/>
          <w:sz w:val="24"/>
          <w:szCs w:val="24"/>
        </w:rPr>
      </w:pPr>
    </w:p>
    <w:p w14:paraId="414097F4" w14:textId="77777777" w:rsidR="006F7160" w:rsidRPr="00823901" w:rsidRDefault="006F7160" w:rsidP="006F7160">
      <w:pPr>
        <w:widowControl w:val="0"/>
        <w:jc w:val="both"/>
        <w:rPr>
          <w:b/>
          <w:i/>
          <w:sz w:val="24"/>
          <w:szCs w:val="24"/>
        </w:rPr>
      </w:pPr>
    </w:p>
    <w:p w14:paraId="66124687" w14:textId="77777777" w:rsidR="006F7160" w:rsidRPr="00823901" w:rsidRDefault="006F7160" w:rsidP="006F7160">
      <w:pPr>
        <w:widowControl w:val="0"/>
        <w:jc w:val="both"/>
        <w:rPr>
          <w:sz w:val="24"/>
          <w:szCs w:val="24"/>
        </w:rPr>
      </w:pPr>
      <w:r w:rsidRPr="00823901">
        <w:rPr>
          <w:sz w:val="24"/>
          <w:szCs w:val="24"/>
        </w:rPr>
        <w:t>Estimada señora:</w:t>
      </w:r>
    </w:p>
    <w:bookmarkEnd w:id="0"/>
    <w:p w14:paraId="6EBC16DF" w14:textId="77777777" w:rsidR="00EC6E61" w:rsidRPr="00772B41" w:rsidRDefault="00EC6E61" w:rsidP="00772B41">
      <w:pPr>
        <w:widowControl w:val="0"/>
        <w:jc w:val="both"/>
        <w:rPr>
          <w:sz w:val="24"/>
          <w:szCs w:val="24"/>
        </w:rPr>
      </w:pPr>
    </w:p>
    <w:p w14:paraId="40C66B63" w14:textId="2F021764" w:rsidR="00EC6E61" w:rsidRPr="00645809" w:rsidRDefault="00EC6E61" w:rsidP="00645809">
      <w:pPr>
        <w:widowControl w:val="0"/>
        <w:jc w:val="both"/>
        <w:rPr>
          <w:sz w:val="24"/>
          <w:szCs w:val="24"/>
        </w:rPr>
      </w:pPr>
      <w:r w:rsidRPr="00645809">
        <w:rPr>
          <w:sz w:val="24"/>
          <w:szCs w:val="24"/>
        </w:rPr>
        <w:t xml:space="preserve">El Consejo Nacional de Supervisión del Sistema Financiero, en el artículo </w:t>
      </w:r>
      <w:r w:rsidR="00E726D1" w:rsidRPr="00645809">
        <w:rPr>
          <w:sz w:val="24"/>
          <w:szCs w:val="24"/>
        </w:rPr>
        <w:t>9</w:t>
      </w:r>
      <w:r w:rsidRPr="00645809">
        <w:rPr>
          <w:sz w:val="24"/>
          <w:szCs w:val="24"/>
        </w:rPr>
        <w:t xml:space="preserve"> del acta de la sesión 1817-2023, celebrada el 28 de agosto del 2023,</w:t>
      </w:r>
    </w:p>
    <w:p w14:paraId="6F0F309F" w14:textId="77777777" w:rsidR="00645809" w:rsidRPr="005863A9" w:rsidRDefault="00645809" w:rsidP="00645809">
      <w:pPr>
        <w:widowControl w:val="0"/>
        <w:jc w:val="both"/>
        <w:rPr>
          <w:sz w:val="24"/>
          <w:szCs w:val="24"/>
        </w:rPr>
      </w:pPr>
    </w:p>
    <w:p w14:paraId="34C94324" w14:textId="77777777" w:rsidR="00645809" w:rsidRPr="005863A9" w:rsidRDefault="00645809" w:rsidP="00645809">
      <w:pPr>
        <w:pStyle w:val="Prrafodelista"/>
        <w:ind w:left="426" w:hanging="426"/>
        <w:jc w:val="both"/>
        <w:rPr>
          <w:b/>
          <w:bCs/>
        </w:rPr>
      </w:pPr>
      <w:r w:rsidRPr="005863A9">
        <w:rPr>
          <w:b/>
          <w:bCs/>
        </w:rPr>
        <w:t>I.</w:t>
      </w:r>
      <w:r w:rsidRPr="005863A9">
        <w:rPr>
          <w:b/>
          <w:bCs/>
        </w:rPr>
        <w:tab/>
        <w:t>En lo atinente a la propuesta de modificación al ICL para incluir depósitos estables y menos estables al Reglamento sobre el Indicador de Cobertura de Liquidez, Acuerdo SUGEF 17-13.</w:t>
      </w:r>
    </w:p>
    <w:p w14:paraId="28218DD4" w14:textId="77777777" w:rsidR="00645809" w:rsidRPr="005863A9" w:rsidRDefault="00645809" w:rsidP="00645809">
      <w:pPr>
        <w:widowControl w:val="0"/>
        <w:jc w:val="both"/>
        <w:rPr>
          <w:sz w:val="24"/>
          <w:szCs w:val="24"/>
        </w:rPr>
      </w:pPr>
    </w:p>
    <w:p w14:paraId="2A4AB803" w14:textId="77777777" w:rsidR="00645809" w:rsidRPr="005863A9" w:rsidRDefault="00645809" w:rsidP="00645809">
      <w:pPr>
        <w:jc w:val="both"/>
        <w:rPr>
          <w:b/>
          <w:sz w:val="24"/>
          <w:szCs w:val="24"/>
        </w:rPr>
      </w:pPr>
      <w:r w:rsidRPr="005863A9">
        <w:rPr>
          <w:b/>
          <w:sz w:val="24"/>
          <w:szCs w:val="24"/>
        </w:rPr>
        <w:t>considerando que:</w:t>
      </w:r>
    </w:p>
    <w:p w14:paraId="0F821532" w14:textId="77777777" w:rsidR="00645809" w:rsidRPr="005863A9" w:rsidRDefault="00645809" w:rsidP="00645809">
      <w:pPr>
        <w:jc w:val="both"/>
        <w:rPr>
          <w:b/>
          <w:sz w:val="24"/>
          <w:szCs w:val="24"/>
        </w:rPr>
      </w:pPr>
    </w:p>
    <w:p w14:paraId="0C73EB4B" w14:textId="77777777" w:rsidR="00645809" w:rsidRPr="00645809" w:rsidRDefault="00645809" w:rsidP="00645809">
      <w:pPr>
        <w:pStyle w:val="Prrafodelista"/>
        <w:ind w:left="426" w:hanging="426"/>
        <w:jc w:val="both"/>
      </w:pPr>
      <w:r w:rsidRPr="00645809">
        <w:t>A.</w:t>
      </w:r>
      <w:r w:rsidRPr="00645809">
        <w:tab/>
        <w:t xml:space="preserve">El inciso 2) del artículo 361 de la </w:t>
      </w:r>
      <w:r w:rsidRPr="00645809">
        <w:rPr>
          <w:i/>
          <w:iCs/>
        </w:rPr>
        <w:t>Ley General de la Administración Pública</w:t>
      </w:r>
      <w:r w:rsidRPr="00645809">
        <w:t xml:space="preserve"> establece que se concederá a las entidades representativas de intereses de carácter general o corporativo afectados por la disposición, la oportunidad de exponer su parecer.</w:t>
      </w:r>
    </w:p>
    <w:p w14:paraId="561664B3" w14:textId="77777777" w:rsidR="00645809" w:rsidRPr="00645809" w:rsidRDefault="00645809" w:rsidP="00645809">
      <w:pPr>
        <w:pStyle w:val="Prrafodelista"/>
        <w:tabs>
          <w:tab w:val="left" w:pos="1134"/>
        </w:tabs>
        <w:ind w:left="426" w:hanging="426"/>
        <w:jc w:val="both"/>
      </w:pPr>
    </w:p>
    <w:p w14:paraId="342219AB" w14:textId="77777777" w:rsidR="00645809" w:rsidRPr="00645809" w:rsidRDefault="00645809" w:rsidP="00645809">
      <w:pPr>
        <w:pStyle w:val="Prrafodelista"/>
        <w:tabs>
          <w:tab w:val="left" w:pos="1134"/>
        </w:tabs>
        <w:ind w:left="426" w:hanging="426"/>
        <w:jc w:val="both"/>
      </w:pPr>
      <w:r w:rsidRPr="00645809">
        <w:t>B.</w:t>
      </w:r>
      <w:r w:rsidRPr="00645809">
        <w:tab/>
        <w:t xml:space="preserve">Se elaboró la propuesta de regulación para incorporar la clasificación de depósitos estables y menos estables al </w:t>
      </w:r>
      <w:r w:rsidRPr="00645809">
        <w:rPr>
          <w:i/>
          <w:iCs/>
        </w:rPr>
        <w:t>Reglamento sobre el Indicador de Cobertura de Liquidez,</w:t>
      </w:r>
      <w:r w:rsidRPr="00645809">
        <w:t xml:space="preserve"> Acuerdo Sugef 17-13, la cual, en cumplimiento del </w:t>
      </w:r>
      <w:r w:rsidRPr="00645809">
        <w:rPr>
          <w:i/>
          <w:iCs/>
        </w:rPr>
        <w:t>Procedimiento para la Tramitación ante el Consejo Nacional de Supervisión del Sistema Financiero Costarricense de proyectos de emisión o reforma de reglamentos del sistema financiero</w:t>
      </w:r>
      <w:r w:rsidRPr="00645809">
        <w:t>, debe ser sometida a consulta de las entidades supervisadas, cámaras y gremios.</w:t>
      </w:r>
    </w:p>
    <w:p w14:paraId="1B3F8B84" w14:textId="77777777" w:rsidR="00645809" w:rsidRPr="005863A9" w:rsidRDefault="00645809" w:rsidP="00645809">
      <w:pPr>
        <w:pStyle w:val="Prrafodelista"/>
        <w:ind w:left="426" w:hanging="426"/>
        <w:rPr>
          <w:sz w:val="22"/>
          <w:szCs w:val="22"/>
        </w:rPr>
      </w:pPr>
    </w:p>
    <w:p w14:paraId="6FD80AFC" w14:textId="77777777" w:rsidR="00645809" w:rsidRPr="005863A9" w:rsidRDefault="00645809" w:rsidP="00645809">
      <w:pPr>
        <w:tabs>
          <w:tab w:val="left" w:pos="1134"/>
        </w:tabs>
        <w:ind w:left="1134" w:hanging="1134"/>
        <w:jc w:val="both"/>
        <w:rPr>
          <w:b/>
          <w:bCs/>
          <w:sz w:val="24"/>
          <w:szCs w:val="24"/>
        </w:rPr>
      </w:pPr>
      <w:r w:rsidRPr="005863A9">
        <w:rPr>
          <w:b/>
          <w:bCs/>
          <w:sz w:val="24"/>
          <w:szCs w:val="24"/>
        </w:rPr>
        <w:t>dispuso en firme:</w:t>
      </w:r>
    </w:p>
    <w:p w14:paraId="4E2A630D" w14:textId="77777777" w:rsidR="00645809" w:rsidRPr="005863A9" w:rsidRDefault="00645809" w:rsidP="00645809">
      <w:pPr>
        <w:jc w:val="both"/>
        <w:rPr>
          <w:sz w:val="22"/>
          <w:szCs w:val="22"/>
        </w:rPr>
      </w:pPr>
    </w:p>
    <w:p w14:paraId="4B26CD27" w14:textId="77777777" w:rsidR="00645809" w:rsidRPr="00645809" w:rsidRDefault="00645809" w:rsidP="00645809">
      <w:pPr>
        <w:jc w:val="both"/>
        <w:rPr>
          <w:sz w:val="24"/>
          <w:szCs w:val="24"/>
        </w:rPr>
      </w:pPr>
      <w:r w:rsidRPr="00645809">
        <w:rPr>
          <w:sz w:val="24"/>
          <w:szCs w:val="24"/>
        </w:rPr>
        <w:t xml:space="preserve">remitir en consulta, en cumplimiento de lo establecido en el numeral 2, artículo 361, de la </w:t>
      </w:r>
      <w:r w:rsidRPr="00645809">
        <w:rPr>
          <w:i/>
          <w:iCs/>
          <w:sz w:val="24"/>
          <w:szCs w:val="24"/>
        </w:rPr>
        <w:t>Ley General de la Administración Pública</w:t>
      </w:r>
      <w:r w:rsidRPr="00645809">
        <w:rPr>
          <w:sz w:val="24"/>
          <w:szCs w:val="24"/>
        </w:rPr>
        <w:t xml:space="preserve">, a todas las entidades supervisadas por la Sugef, Federación de Cooperativas de Ahorro y Crédito, Fedeac, R.L., Federación de Cooperativas de Ahorro y Crédito, Fecoopse, R.L., Asociación Bancaria Costarricense, Cámara de Bancos e Instituciones Financieras de Costa Rica, la Federación de Mutuales de Ahorro y Préstamo y el Banco Central de Costa Rica, la propuesta de modificación al </w:t>
      </w:r>
      <w:r w:rsidRPr="00645809">
        <w:rPr>
          <w:i/>
          <w:iCs/>
          <w:sz w:val="24"/>
          <w:szCs w:val="24"/>
        </w:rPr>
        <w:t>Reglamento sobre el Indicador de Cobertura de Liquidez</w:t>
      </w:r>
      <w:r w:rsidRPr="00645809">
        <w:rPr>
          <w:sz w:val="24"/>
          <w:szCs w:val="24"/>
        </w:rPr>
        <w:t>, Acuerdo Sugef 17-13, cuyo texto se incluye a continuación.</w:t>
      </w:r>
    </w:p>
    <w:p w14:paraId="2A992C6F" w14:textId="77777777" w:rsidR="00645809" w:rsidRPr="00645809" w:rsidRDefault="00645809" w:rsidP="00645809">
      <w:pPr>
        <w:jc w:val="both"/>
        <w:rPr>
          <w:sz w:val="24"/>
          <w:szCs w:val="24"/>
        </w:rPr>
      </w:pPr>
    </w:p>
    <w:p w14:paraId="514A5AF1" w14:textId="7D047638" w:rsidR="00645809" w:rsidRPr="00645809" w:rsidRDefault="00645809" w:rsidP="00645809">
      <w:pPr>
        <w:jc w:val="both"/>
        <w:rPr>
          <w:color w:val="000000"/>
          <w:sz w:val="24"/>
          <w:szCs w:val="24"/>
        </w:rPr>
      </w:pPr>
      <w:r w:rsidRPr="00645809">
        <w:rPr>
          <w:color w:val="000000"/>
          <w:sz w:val="24"/>
          <w:szCs w:val="24"/>
          <w:lang w:eastAsia="es-CR"/>
        </w:rPr>
        <w:t>En</w:t>
      </w:r>
      <w:r w:rsidRPr="00645809">
        <w:rPr>
          <w:color w:val="000000"/>
          <w:sz w:val="24"/>
          <w:szCs w:val="24"/>
        </w:rPr>
        <w:t xml:space="preserve"> el entendido que en un plazo máximo de diez (10) días hábiles, contados a partir del día hábil siguiente del recibo de la comunicación, deberán </w:t>
      </w:r>
      <w:r w:rsidRPr="00645809">
        <w:rPr>
          <w:color w:val="000000"/>
          <w:sz w:val="24"/>
          <w:szCs w:val="24"/>
          <w:lang w:eastAsia="es-CR"/>
        </w:rPr>
        <w:t>incluir los</w:t>
      </w:r>
      <w:r w:rsidRPr="00645809">
        <w:rPr>
          <w:color w:val="000000"/>
          <w:sz w:val="24"/>
          <w:szCs w:val="24"/>
        </w:rPr>
        <w:t xml:space="preserve"> comentarios y observaciones </w:t>
      </w:r>
      <w:r w:rsidRPr="00645809">
        <w:rPr>
          <w:color w:val="000000"/>
          <w:sz w:val="24"/>
          <w:szCs w:val="24"/>
          <w:lang w:eastAsia="es-CR"/>
        </w:rPr>
        <w:t xml:space="preserve">en el formulario que </w:t>
      </w:r>
      <w:r w:rsidRPr="00645809">
        <w:rPr>
          <w:color w:val="000000"/>
          <w:sz w:val="24"/>
          <w:szCs w:val="24"/>
          <w:lang w:val="es-419" w:eastAsia="es-CR"/>
        </w:rPr>
        <w:t>está disponible</w:t>
      </w:r>
      <w:r w:rsidRPr="00645809">
        <w:rPr>
          <w:color w:val="000000"/>
          <w:sz w:val="24"/>
          <w:szCs w:val="24"/>
          <w:lang w:val="es-419"/>
        </w:rPr>
        <w:t xml:space="preserve"> en el </w:t>
      </w:r>
      <w:r w:rsidRPr="00645809">
        <w:rPr>
          <w:color w:val="000000"/>
          <w:sz w:val="24"/>
          <w:szCs w:val="24"/>
          <w:lang w:val="es-419" w:eastAsia="es-CR"/>
        </w:rPr>
        <w:t xml:space="preserve">apartado </w:t>
      </w:r>
      <w:hyperlink r:id="rId12" w:history="1">
        <w:r w:rsidRPr="00645809">
          <w:rPr>
            <w:rStyle w:val="Hipervnculo"/>
            <w:sz w:val="24"/>
            <w:szCs w:val="24"/>
            <w:lang w:eastAsia="es-CR"/>
          </w:rPr>
          <w:t>“</w:t>
        </w:r>
        <w:r w:rsidRPr="00772B41">
          <w:rPr>
            <w:rStyle w:val="Hipervnculo"/>
            <w:sz w:val="24"/>
            <w:szCs w:val="24"/>
            <w:lang w:eastAsia="es-CR"/>
          </w:rPr>
          <w:t xml:space="preserve">Formularios para remitir observaciones de </w:t>
        </w:r>
        <w:r w:rsidRPr="00772B41">
          <w:rPr>
            <w:rStyle w:val="Hipervnculo"/>
            <w:sz w:val="24"/>
            <w:szCs w:val="24"/>
            <w:lang w:eastAsia="es-CR"/>
          </w:rPr>
          <w:lastRenderedPageBreak/>
          <w:t>normativa en consulta</w:t>
        </w:r>
        <w:r>
          <w:rPr>
            <w:rStyle w:val="Hipervnculo"/>
            <w:sz w:val="24"/>
            <w:szCs w:val="24"/>
            <w:lang w:eastAsia="es-CR"/>
          </w:rPr>
          <w:t>”</w:t>
        </w:r>
      </w:hyperlink>
      <w:r w:rsidRPr="00645809">
        <w:rPr>
          <w:b/>
          <w:bCs/>
          <w:color w:val="000000"/>
          <w:sz w:val="24"/>
          <w:szCs w:val="24"/>
          <w:lang w:eastAsia="es-CR"/>
        </w:rPr>
        <w:t>,</w:t>
      </w:r>
      <w:r w:rsidRPr="00645809">
        <w:rPr>
          <w:b/>
          <w:color w:val="000000"/>
          <w:sz w:val="24"/>
          <w:szCs w:val="24"/>
        </w:rPr>
        <w:t xml:space="preserve"> </w:t>
      </w:r>
      <w:r w:rsidRPr="00645809">
        <w:rPr>
          <w:color w:val="000000"/>
          <w:sz w:val="24"/>
          <w:szCs w:val="24"/>
        </w:rPr>
        <w:t>ubicado en la dirección electrónica</w:t>
      </w:r>
      <w:r w:rsidRPr="00645809">
        <w:rPr>
          <w:color w:val="000000"/>
          <w:sz w:val="24"/>
          <w:szCs w:val="24"/>
          <w:lang w:eastAsia="es-CR"/>
        </w:rPr>
        <w:t xml:space="preserve"> de la página oficial de la Sugef.</w:t>
      </w:r>
      <w:r w:rsidRPr="00645809">
        <w:rPr>
          <w:color w:val="000000"/>
          <w:sz w:val="24"/>
          <w:szCs w:val="24"/>
        </w:rPr>
        <w:t xml:space="preserve"> </w:t>
      </w:r>
      <w:r w:rsidRPr="00645809">
        <w:rPr>
          <w:sz w:val="24"/>
          <w:szCs w:val="24"/>
        </w:rPr>
        <w:t>El formulario estará disponible hasta el término de la consulta.</w:t>
      </w:r>
    </w:p>
    <w:p w14:paraId="2C8FA75E" w14:textId="77777777" w:rsidR="00645809" w:rsidRPr="00645809" w:rsidRDefault="00645809" w:rsidP="00645809">
      <w:pPr>
        <w:jc w:val="both"/>
        <w:rPr>
          <w:sz w:val="24"/>
          <w:szCs w:val="24"/>
        </w:rPr>
      </w:pPr>
    </w:p>
    <w:p w14:paraId="1E14967F" w14:textId="77777777" w:rsidR="00645809" w:rsidRPr="00645809" w:rsidRDefault="00645809" w:rsidP="00645809">
      <w:pPr>
        <w:jc w:val="both"/>
        <w:rPr>
          <w:sz w:val="24"/>
          <w:szCs w:val="24"/>
        </w:rPr>
      </w:pPr>
      <w:r w:rsidRPr="00645809">
        <w:rPr>
          <w:sz w:val="24"/>
          <w:szCs w:val="24"/>
        </w:rPr>
        <w:t xml:space="preserve">Sin detrimento de lo anterior, las entidades consultadas pueden presentar de manera consolidada sus observaciones y comentarios a través de los gremios y cámaras que les representan. Asimismo, el correo electrónico </w:t>
      </w:r>
      <w:hyperlink r:id="rId13" w:history="1">
        <w:r w:rsidRPr="00645809">
          <w:rPr>
            <w:rStyle w:val="Hipervnculo"/>
            <w:sz w:val="24"/>
            <w:szCs w:val="24"/>
          </w:rPr>
          <w:t>normativaenconsulta@sugef.fi.cr</w:t>
        </w:r>
      </w:hyperlink>
      <w:r w:rsidRPr="00645809">
        <w:rPr>
          <w:sz w:val="24"/>
          <w:szCs w:val="24"/>
        </w:rPr>
        <w:t xml:space="preserve"> será utilizado únicamente como mecanismo de notificación sobre la completitud de dicho formulario. </w:t>
      </w:r>
    </w:p>
    <w:p w14:paraId="16DE3558" w14:textId="77777777" w:rsidR="00645809" w:rsidRPr="00645809" w:rsidRDefault="00645809" w:rsidP="00645809">
      <w:pPr>
        <w:jc w:val="both"/>
        <w:rPr>
          <w:sz w:val="24"/>
          <w:szCs w:val="24"/>
        </w:rPr>
      </w:pPr>
    </w:p>
    <w:p w14:paraId="65B13514" w14:textId="1E40B0E2" w:rsidR="00645809" w:rsidRPr="005863A9" w:rsidRDefault="00645809" w:rsidP="00645809">
      <w:pPr>
        <w:jc w:val="center"/>
        <w:rPr>
          <w:b/>
          <w:bCs/>
          <w:sz w:val="22"/>
          <w:szCs w:val="22"/>
        </w:rPr>
      </w:pPr>
      <w:r w:rsidRPr="005863A9">
        <w:rPr>
          <w:b/>
          <w:bCs/>
          <w:sz w:val="22"/>
          <w:szCs w:val="22"/>
        </w:rPr>
        <w:t xml:space="preserve">“Propuesta de modificación al Reglamento sobre el Indicador de </w:t>
      </w:r>
    </w:p>
    <w:p w14:paraId="5A4E1E60" w14:textId="77777777" w:rsidR="00645809" w:rsidRPr="005863A9" w:rsidRDefault="00645809" w:rsidP="00645809">
      <w:pPr>
        <w:jc w:val="center"/>
        <w:rPr>
          <w:b/>
          <w:bCs/>
          <w:sz w:val="22"/>
          <w:szCs w:val="22"/>
        </w:rPr>
      </w:pPr>
      <w:r w:rsidRPr="005863A9">
        <w:rPr>
          <w:b/>
          <w:bCs/>
          <w:sz w:val="22"/>
          <w:szCs w:val="22"/>
        </w:rPr>
        <w:t>Cobertura de Liquidez Acuerdo Sugef 17-13</w:t>
      </w:r>
    </w:p>
    <w:p w14:paraId="01F0281D" w14:textId="77777777" w:rsidR="00645809" w:rsidRPr="005863A9" w:rsidRDefault="00645809" w:rsidP="00645809">
      <w:pPr>
        <w:jc w:val="both"/>
        <w:rPr>
          <w:sz w:val="22"/>
          <w:szCs w:val="22"/>
        </w:rPr>
      </w:pPr>
    </w:p>
    <w:p w14:paraId="753F8ED7" w14:textId="77777777" w:rsidR="00645809" w:rsidRPr="005863A9" w:rsidRDefault="00645809" w:rsidP="00645809">
      <w:pPr>
        <w:jc w:val="both"/>
        <w:rPr>
          <w:sz w:val="22"/>
          <w:szCs w:val="22"/>
        </w:rPr>
      </w:pPr>
      <w:r w:rsidRPr="005863A9">
        <w:rPr>
          <w:sz w:val="22"/>
          <w:szCs w:val="22"/>
        </w:rPr>
        <w:t xml:space="preserve">El Consejo Nacional de Supervisión del Sistema Financiero, </w:t>
      </w:r>
    </w:p>
    <w:p w14:paraId="2257B1B1" w14:textId="77777777" w:rsidR="00645809" w:rsidRPr="005863A9" w:rsidRDefault="00645809" w:rsidP="00645809">
      <w:pPr>
        <w:widowControl w:val="0"/>
        <w:tabs>
          <w:tab w:val="left" w:pos="1134"/>
        </w:tabs>
        <w:jc w:val="both"/>
        <w:rPr>
          <w:b/>
          <w:bCs/>
          <w:sz w:val="22"/>
          <w:szCs w:val="22"/>
        </w:rPr>
      </w:pPr>
    </w:p>
    <w:p w14:paraId="194886C7" w14:textId="77777777" w:rsidR="00645809" w:rsidRPr="005863A9" w:rsidRDefault="00645809" w:rsidP="00645809">
      <w:pPr>
        <w:widowControl w:val="0"/>
        <w:tabs>
          <w:tab w:val="left" w:pos="1134"/>
        </w:tabs>
        <w:jc w:val="both"/>
        <w:rPr>
          <w:b/>
          <w:bCs/>
          <w:sz w:val="22"/>
          <w:szCs w:val="22"/>
        </w:rPr>
      </w:pPr>
      <w:r w:rsidRPr="005863A9">
        <w:rPr>
          <w:b/>
          <w:bCs/>
          <w:sz w:val="22"/>
          <w:szCs w:val="22"/>
        </w:rPr>
        <w:t>Considerando que:</w:t>
      </w:r>
    </w:p>
    <w:p w14:paraId="0E6751F8" w14:textId="77777777" w:rsidR="00645809" w:rsidRPr="005863A9" w:rsidRDefault="00645809" w:rsidP="00645809">
      <w:pPr>
        <w:widowControl w:val="0"/>
        <w:tabs>
          <w:tab w:val="left" w:pos="1134"/>
        </w:tabs>
        <w:jc w:val="both"/>
        <w:rPr>
          <w:b/>
          <w:bCs/>
          <w:sz w:val="22"/>
          <w:szCs w:val="22"/>
        </w:rPr>
      </w:pPr>
    </w:p>
    <w:p w14:paraId="2CC04A1F" w14:textId="77777777" w:rsidR="00645809" w:rsidRPr="005863A9" w:rsidRDefault="00645809" w:rsidP="00645809">
      <w:pPr>
        <w:widowControl w:val="0"/>
        <w:tabs>
          <w:tab w:val="left" w:pos="1134"/>
        </w:tabs>
        <w:jc w:val="both"/>
        <w:rPr>
          <w:b/>
          <w:bCs/>
          <w:sz w:val="22"/>
          <w:szCs w:val="22"/>
        </w:rPr>
      </w:pPr>
      <w:r w:rsidRPr="005863A9">
        <w:rPr>
          <w:b/>
          <w:bCs/>
          <w:sz w:val="22"/>
          <w:szCs w:val="22"/>
        </w:rPr>
        <w:t>Consideraciones de orden legal y reglamentario</w:t>
      </w:r>
    </w:p>
    <w:p w14:paraId="67E8557C" w14:textId="77777777" w:rsidR="00645809" w:rsidRPr="005863A9" w:rsidRDefault="00645809" w:rsidP="00645809">
      <w:pPr>
        <w:widowControl w:val="0"/>
        <w:tabs>
          <w:tab w:val="left" w:pos="1134"/>
        </w:tabs>
        <w:jc w:val="both"/>
        <w:rPr>
          <w:b/>
          <w:bCs/>
          <w:sz w:val="22"/>
          <w:szCs w:val="22"/>
        </w:rPr>
      </w:pPr>
    </w:p>
    <w:p w14:paraId="57246829" w14:textId="5F8B35EA"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El literal b) del artículo 171 de la </w:t>
      </w:r>
      <w:r w:rsidRPr="005863A9">
        <w:rPr>
          <w:i/>
          <w:iCs/>
          <w:sz w:val="22"/>
          <w:szCs w:val="22"/>
        </w:rPr>
        <w:t>Ley Reguladora del Mercado de Valores</w:t>
      </w:r>
      <w:r w:rsidRPr="005863A9">
        <w:rPr>
          <w:sz w:val="22"/>
          <w:szCs w:val="22"/>
        </w:rPr>
        <w:t xml:space="preserve">, Ley 7732, dispone que son funciones del </w:t>
      </w:r>
      <w:r w:rsidRPr="005863A9">
        <w:rPr>
          <w:i/>
          <w:iCs/>
          <w:sz w:val="22"/>
          <w:szCs w:val="22"/>
        </w:rPr>
        <w:t>Consejo Nacional de Supervisión del Sistema Financiero</w:t>
      </w:r>
      <w:r w:rsidRPr="005863A9">
        <w:rPr>
          <w:sz w:val="22"/>
          <w:szCs w:val="22"/>
        </w:rPr>
        <w:t xml:space="preserve"> (CONASSIF) aprobar las normas atinentes a la autorización, regulación, supervisión, fiscalización y vigilancia que, conforme a la ley, debe ejecutar la </w:t>
      </w:r>
      <w:r w:rsidRPr="005863A9">
        <w:rPr>
          <w:i/>
          <w:iCs/>
          <w:sz w:val="22"/>
          <w:szCs w:val="22"/>
        </w:rPr>
        <w:t>Superintendencia General de Entidades Financieras</w:t>
      </w:r>
      <w:r w:rsidRPr="005863A9">
        <w:rPr>
          <w:sz w:val="22"/>
          <w:szCs w:val="22"/>
        </w:rPr>
        <w:t xml:space="preserve"> (SUGEF).</w:t>
      </w:r>
    </w:p>
    <w:p w14:paraId="7AA03A4E" w14:textId="77777777" w:rsidR="000C7616" w:rsidRPr="005863A9" w:rsidRDefault="000C7616" w:rsidP="000C7616">
      <w:pPr>
        <w:jc w:val="both"/>
        <w:rPr>
          <w:sz w:val="22"/>
          <w:szCs w:val="22"/>
        </w:rPr>
      </w:pPr>
    </w:p>
    <w:p w14:paraId="2ABCDF3D" w14:textId="70597984"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El inciso c), del artículo 131 de la </w:t>
      </w:r>
      <w:r w:rsidRPr="005863A9">
        <w:rPr>
          <w:i/>
          <w:iCs/>
          <w:sz w:val="22"/>
          <w:szCs w:val="22"/>
        </w:rPr>
        <w:t>Ley Orgánica del Banco Central de Costa Rica</w:t>
      </w:r>
      <w:r w:rsidRPr="005863A9">
        <w:rPr>
          <w:sz w:val="22"/>
          <w:szCs w:val="22"/>
        </w:rPr>
        <w:t>, Ley 7558, establece, como parte de las funciones del Superintendente General de Entidades Financieras, proponer al CONASSIF, para su aprobación, las normas que estime necesarias para el desarrollo de las labores de fiscalización y vigilancia.</w:t>
      </w:r>
    </w:p>
    <w:p w14:paraId="3397BF1B" w14:textId="77777777" w:rsidR="000C7616" w:rsidRPr="005863A9" w:rsidRDefault="000C7616" w:rsidP="000C7616">
      <w:pPr>
        <w:jc w:val="both"/>
        <w:rPr>
          <w:sz w:val="22"/>
          <w:szCs w:val="22"/>
        </w:rPr>
      </w:pPr>
    </w:p>
    <w:p w14:paraId="2ACCE1AE" w14:textId="1D20FA96" w:rsidR="00645809" w:rsidRPr="005863A9" w:rsidRDefault="00645809" w:rsidP="00645809">
      <w:pPr>
        <w:widowControl w:val="0"/>
        <w:numPr>
          <w:ilvl w:val="0"/>
          <w:numId w:val="25"/>
        </w:numPr>
        <w:ind w:left="567" w:hanging="567"/>
        <w:jc w:val="both"/>
        <w:rPr>
          <w:sz w:val="22"/>
          <w:szCs w:val="22"/>
        </w:rPr>
      </w:pPr>
      <w:r w:rsidRPr="005863A9">
        <w:rPr>
          <w:sz w:val="22"/>
          <w:szCs w:val="22"/>
        </w:rPr>
        <w:t>El numeral i), inciso n) del artículo 131 de la Ley 7558, dispone que el Superintendente debe proponer al CONASSIF las normas para definir requerimientos de capital, de liquidez y otros, aplicables a las entidades supervisadas.</w:t>
      </w:r>
    </w:p>
    <w:p w14:paraId="153A158D" w14:textId="77777777" w:rsidR="000C7616" w:rsidRPr="005863A9" w:rsidRDefault="000C7616" w:rsidP="000C7616">
      <w:pPr>
        <w:jc w:val="both"/>
        <w:rPr>
          <w:sz w:val="22"/>
          <w:szCs w:val="22"/>
        </w:rPr>
      </w:pPr>
    </w:p>
    <w:p w14:paraId="10FAA4BC" w14:textId="33EA8228"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De conformidad a lo dispuesto en el inciso 2), artículo 3 de la </w:t>
      </w:r>
      <w:r w:rsidRPr="005863A9">
        <w:rPr>
          <w:i/>
          <w:iCs/>
          <w:sz w:val="22"/>
          <w:szCs w:val="22"/>
        </w:rPr>
        <w:t>Ley Orgánica del Sistema Financiero Nacional</w:t>
      </w:r>
      <w:r w:rsidRPr="005863A9">
        <w:rPr>
          <w:sz w:val="22"/>
          <w:szCs w:val="22"/>
        </w:rPr>
        <w:t>, Ley 1644, le compete a los bancos la función esencial de procurar la liquidez, solvencia y buen funcionamiento del Sistema Bancario Nacional, lo que es extensivo a los demás entes supervisados del Sistema Financiero Nacional; en ese sentido, la administración de riesgo de liquidez involucra la mayoría de los procesos de los entes financieros por lo que se requiere que éstos implementen políticas, controles e infraestructura para limitar la exposición no aceptable del riesgo de liquidez.</w:t>
      </w:r>
    </w:p>
    <w:p w14:paraId="468FFE70" w14:textId="77777777" w:rsidR="000C7616" w:rsidRPr="005863A9" w:rsidRDefault="000C7616" w:rsidP="000C7616">
      <w:pPr>
        <w:jc w:val="both"/>
        <w:rPr>
          <w:sz w:val="22"/>
          <w:szCs w:val="22"/>
        </w:rPr>
      </w:pPr>
    </w:p>
    <w:p w14:paraId="7A8E6F93" w14:textId="04A4F8C5"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Mediante artículo 9, del acta de la sesión 862-2010 del 25 de junio del 2010, el CONASSIF aprobó el </w:t>
      </w:r>
      <w:r w:rsidRPr="005863A9">
        <w:rPr>
          <w:i/>
          <w:iCs/>
          <w:sz w:val="22"/>
          <w:szCs w:val="22"/>
        </w:rPr>
        <w:t>Reglamento sobre administración integral de riesgos</w:t>
      </w:r>
      <w:r w:rsidRPr="005863A9">
        <w:rPr>
          <w:sz w:val="22"/>
          <w:szCs w:val="22"/>
        </w:rPr>
        <w:t>, Acuerdo SUGEF 2-10, publicado en el diario oficial La Gaceta 137 del 15 de julio de 2010. En éste se establecen los aspectos fundamentales de un proceso de gestión de riesgos enfocado hacia la identificación, medición, monitoreo, control, mitigación y comunicación de los riesgos medulares de la entidad, debidamente conmensurado con su estrategia de negocio, el volumen y complejidad de sus operaciones y su perfil de riesgo.</w:t>
      </w:r>
    </w:p>
    <w:p w14:paraId="47E83FF5" w14:textId="77777777" w:rsidR="000C7616" w:rsidRPr="005863A9" w:rsidRDefault="000C7616" w:rsidP="000C7616">
      <w:pPr>
        <w:jc w:val="both"/>
        <w:rPr>
          <w:sz w:val="22"/>
          <w:szCs w:val="22"/>
        </w:rPr>
      </w:pPr>
    </w:p>
    <w:p w14:paraId="455B4BD8" w14:textId="685A4A96"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Mediante artículo 7 del acta de la sesión 1058-2013, celebrada el 19 de agosto del 2013, el CONASSIF aprobó el </w:t>
      </w:r>
      <w:r w:rsidRPr="005863A9">
        <w:rPr>
          <w:i/>
          <w:iCs/>
          <w:sz w:val="22"/>
          <w:szCs w:val="22"/>
        </w:rPr>
        <w:t>Reglamento sobre la administración del riesgo de liquidez</w:t>
      </w:r>
      <w:r w:rsidRPr="005863A9">
        <w:rPr>
          <w:sz w:val="22"/>
          <w:szCs w:val="22"/>
        </w:rPr>
        <w:t xml:space="preserve">, Acuerdo SUGEF 17-13, publicado en el diario oficial La Gaceta 166 del 30 de agosto del 2013. En la regulación </w:t>
      </w:r>
      <w:r w:rsidRPr="005863A9">
        <w:rPr>
          <w:sz w:val="22"/>
          <w:szCs w:val="22"/>
        </w:rPr>
        <w:lastRenderedPageBreak/>
        <w:t>aprobada se establecieron los requerimientos mínimos que deben observar las entidades supervisadas en el proceso de administración del riesgo de liquidez, así como los aspectos metodológicos para el cálculo del Indicador de Cobertura de Liquidez (ICL).</w:t>
      </w:r>
    </w:p>
    <w:p w14:paraId="6AEC41CB" w14:textId="77777777" w:rsidR="000C7616" w:rsidRPr="005863A9" w:rsidRDefault="000C7616" w:rsidP="000C7616">
      <w:pPr>
        <w:jc w:val="both"/>
        <w:rPr>
          <w:sz w:val="22"/>
          <w:szCs w:val="22"/>
        </w:rPr>
      </w:pPr>
    </w:p>
    <w:p w14:paraId="5A79779B" w14:textId="77777777" w:rsidR="00645809" w:rsidRPr="005863A9" w:rsidRDefault="00645809" w:rsidP="00645809">
      <w:pPr>
        <w:widowControl w:val="0"/>
        <w:numPr>
          <w:ilvl w:val="0"/>
          <w:numId w:val="25"/>
        </w:numPr>
        <w:ind w:left="567" w:hanging="567"/>
        <w:jc w:val="both"/>
        <w:rPr>
          <w:sz w:val="22"/>
          <w:szCs w:val="22"/>
        </w:rPr>
      </w:pPr>
      <w:r w:rsidRPr="005863A9">
        <w:rPr>
          <w:sz w:val="22"/>
          <w:szCs w:val="22"/>
        </w:rPr>
        <w:t>Mediante artículo 8 del acta de la sesión 1712-2022, celebrada el 31 de enero del 2022 el CONASSIF aprobó una reforma al Acuerdo SUGEF 17-13, según el cual, se traslada el apartado sobre gestión de riesgo de liquidez al Acuerdo SUGEF 2-10 y los aspectos metodológicos para el cálculo del ICL permanecen en el Acuerdo SUGEF 17-13.</w:t>
      </w:r>
    </w:p>
    <w:p w14:paraId="00EE62DC" w14:textId="77777777" w:rsidR="00645809" w:rsidRPr="005863A9" w:rsidRDefault="00645809" w:rsidP="00645809">
      <w:pPr>
        <w:widowControl w:val="0"/>
        <w:ind w:left="567"/>
        <w:jc w:val="both"/>
        <w:rPr>
          <w:sz w:val="22"/>
          <w:szCs w:val="22"/>
        </w:rPr>
      </w:pPr>
    </w:p>
    <w:p w14:paraId="54533477" w14:textId="77777777" w:rsidR="00645809" w:rsidRPr="005863A9" w:rsidRDefault="00645809" w:rsidP="00645809">
      <w:pPr>
        <w:widowControl w:val="0"/>
        <w:jc w:val="both"/>
        <w:rPr>
          <w:b/>
          <w:bCs/>
          <w:sz w:val="22"/>
          <w:szCs w:val="22"/>
        </w:rPr>
      </w:pPr>
      <w:r w:rsidRPr="005863A9">
        <w:rPr>
          <w:b/>
          <w:bCs/>
          <w:sz w:val="22"/>
          <w:szCs w:val="22"/>
        </w:rPr>
        <w:t>Consideraciones sobre depósitos estables</w:t>
      </w:r>
    </w:p>
    <w:p w14:paraId="171088F5" w14:textId="77777777" w:rsidR="00645809" w:rsidRPr="005863A9" w:rsidRDefault="00645809" w:rsidP="00645809">
      <w:pPr>
        <w:widowControl w:val="0"/>
        <w:jc w:val="both"/>
        <w:rPr>
          <w:b/>
          <w:bCs/>
          <w:sz w:val="22"/>
          <w:szCs w:val="22"/>
        </w:rPr>
      </w:pPr>
    </w:p>
    <w:p w14:paraId="7062E822" w14:textId="7E18945F" w:rsidR="00645809" w:rsidRPr="005863A9" w:rsidRDefault="00645809" w:rsidP="00645809">
      <w:pPr>
        <w:widowControl w:val="0"/>
        <w:numPr>
          <w:ilvl w:val="0"/>
          <w:numId w:val="25"/>
        </w:numPr>
        <w:ind w:left="567" w:hanging="567"/>
        <w:jc w:val="both"/>
        <w:rPr>
          <w:sz w:val="22"/>
          <w:szCs w:val="22"/>
        </w:rPr>
      </w:pPr>
      <w:r w:rsidRPr="005863A9">
        <w:rPr>
          <w:sz w:val="22"/>
          <w:szCs w:val="22"/>
        </w:rPr>
        <w:t>El Comité de Supervisión Bancaria de Basilea establece el tratamiento en las Salidas de Efectivo en el ICL, de los depósitos minoristas y los depósitos efectuados por pequeñas empresas, los cuales se dividen en i) depósitos estables y ii) depósitos menos estables. Los depósitos estables corresponden al volumen de depósitos que se encuentran totalmente cubiertos por un mecanismo efectivo de seguro o garantía de depósitos. Este sistema de depósitos debe ser eficaz y cumplir al menos lo siguiente:  a) garantizar la capacidad para realizar desembolsos rápidos, b) contar con una cobertura claramente definida y c) ser conocido ampliamente por el público. Además, de acuerdo con lo establecido por Basilea, todos los depósitos que no están totalmente cubiertos deberán ser clasificados como depósitos menos estables.</w:t>
      </w:r>
    </w:p>
    <w:p w14:paraId="10010942" w14:textId="77777777" w:rsidR="000C7616" w:rsidRPr="005863A9" w:rsidRDefault="000C7616" w:rsidP="000C7616">
      <w:pPr>
        <w:jc w:val="both"/>
        <w:rPr>
          <w:sz w:val="22"/>
          <w:szCs w:val="22"/>
        </w:rPr>
      </w:pPr>
    </w:p>
    <w:p w14:paraId="1D7044FC" w14:textId="12CCEF7D"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En el Alcance 19 al diario oficial La Gaceta 28 del 12 de febrero del 2020, fue publicada la </w:t>
      </w:r>
      <w:r w:rsidRPr="005863A9">
        <w:rPr>
          <w:i/>
          <w:iCs/>
          <w:sz w:val="22"/>
          <w:szCs w:val="22"/>
        </w:rPr>
        <w:t>Ley de Creación del Fondo de Garantía de Depósitos y de Mecanismos de Resolución de Intermediarios Financieros</w:t>
      </w:r>
      <w:r w:rsidRPr="005863A9">
        <w:rPr>
          <w:sz w:val="22"/>
          <w:szCs w:val="22"/>
        </w:rPr>
        <w:t>, Ley 9816. Dicha Ley tiene la finalidad de fortalecer y completar la red de seguridad financiera para contribuir a la estabilidad financiera, proteger los recursos de los pequeños ahorrantes y promover la confianza y la competitividad del Sistema Financiero Nacional.</w:t>
      </w:r>
    </w:p>
    <w:p w14:paraId="5B0C3EF6" w14:textId="77777777" w:rsidR="000C7616" w:rsidRPr="005863A9" w:rsidRDefault="000C7616" w:rsidP="000C7616">
      <w:pPr>
        <w:jc w:val="both"/>
        <w:rPr>
          <w:sz w:val="22"/>
          <w:szCs w:val="22"/>
        </w:rPr>
      </w:pPr>
    </w:p>
    <w:p w14:paraId="771328EC" w14:textId="7FD8582D"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La Ley 9816 crea el </w:t>
      </w:r>
      <w:r w:rsidRPr="005863A9">
        <w:rPr>
          <w:i/>
          <w:iCs/>
          <w:sz w:val="22"/>
          <w:szCs w:val="22"/>
        </w:rPr>
        <w:t>Fondo de Garantía de Depósitos</w:t>
      </w:r>
      <w:r w:rsidRPr="005863A9">
        <w:rPr>
          <w:sz w:val="22"/>
          <w:szCs w:val="22"/>
        </w:rPr>
        <w:t xml:space="preserve"> (FGD), como un patrimonio autónomo, cuyo fin es el de garantizar, hasta cierto límite, los depósitos y ahorros que las personas físicas y jurídicas mantienen en las entidades contribuyentes, de conformidad con los términos y las condiciones establecidos en dicha Ley y en el Reglamento correspondiente.</w:t>
      </w:r>
    </w:p>
    <w:p w14:paraId="29BBBD5F" w14:textId="77777777" w:rsidR="000C7616" w:rsidRPr="005863A9" w:rsidRDefault="000C7616" w:rsidP="000C7616">
      <w:pPr>
        <w:jc w:val="both"/>
        <w:rPr>
          <w:sz w:val="22"/>
          <w:szCs w:val="22"/>
        </w:rPr>
      </w:pPr>
    </w:p>
    <w:p w14:paraId="3515DA79" w14:textId="225CA547" w:rsidR="00645809" w:rsidRPr="005863A9" w:rsidRDefault="00645809" w:rsidP="00645809">
      <w:pPr>
        <w:widowControl w:val="0"/>
        <w:ind w:left="567"/>
        <w:jc w:val="both"/>
        <w:rPr>
          <w:sz w:val="22"/>
          <w:szCs w:val="22"/>
        </w:rPr>
      </w:pPr>
      <w:r w:rsidRPr="005863A9">
        <w:rPr>
          <w:sz w:val="22"/>
          <w:szCs w:val="22"/>
        </w:rPr>
        <w:t>A diferencia de otros fondos de garantía existentes o que llegaren a constituirse, el Fondo de Garantía de Depósitos (FGD) es regulado por el Conassif y administrado por el Banco Central de Costa Rica. Ambas entidades tienen mandatos legales y coordinan acciones enfocadas en asegurar el fortalecimiento y efectivo funcionamiento de la red de seguridad financiera del país, de acuerdo con las mejores prácticas en la materia y las disposiciones establecidas en la Ley. En este sentido, el FGD está plenamente integrado e interactúa en conjunto con los procesos de resolución y salida ordenada del sistema financiero. Asimismo, el marco de regulación del FGD establece disposiciones en relación con el nivel de estabilidad de largo plazo del fondo, la gestión de los activos y pasivos del fondo, criterios para la determinación de los aportes de las entidades contribuyentes, mecanismos de cobro administrativo de la contribución y régimen sancionatorio, mecanismos de uso y reposición de garantía contingente, así como de acceso a otros recursos para cubrir faltantes, entre otros aspectos.</w:t>
      </w:r>
    </w:p>
    <w:p w14:paraId="573D5E5F" w14:textId="77777777" w:rsidR="000C7616" w:rsidRPr="005863A9" w:rsidRDefault="000C7616" w:rsidP="000C7616">
      <w:pPr>
        <w:jc w:val="both"/>
        <w:rPr>
          <w:sz w:val="22"/>
          <w:szCs w:val="22"/>
        </w:rPr>
      </w:pPr>
    </w:p>
    <w:p w14:paraId="226B2DCC" w14:textId="77777777" w:rsidR="00645809" w:rsidRPr="005863A9" w:rsidRDefault="00645809" w:rsidP="00645809">
      <w:pPr>
        <w:widowControl w:val="0"/>
        <w:numPr>
          <w:ilvl w:val="0"/>
          <w:numId w:val="25"/>
        </w:numPr>
        <w:ind w:left="567" w:hanging="567"/>
        <w:jc w:val="both"/>
        <w:rPr>
          <w:sz w:val="22"/>
          <w:szCs w:val="22"/>
        </w:rPr>
      </w:pPr>
      <w:r w:rsidRPr="005863A9">
        <w:rPr>
          <w:sz w:val="22"/>
          <w:szCs w:val="22"/>
        </w:rPr>
        <w:t xml:space="preserve">Dadas las reformas señaladas por la Ley 9816 se considera que el FGD cumple las condiciones que establece el Comité de Supervisión Bancaria de Basilea en el tratamiento de los depósitos estables, por lo que es razonable reconocer el esquema de garantía determinado en esta Ley e </w:t>
      </w:r>
      <w:r w:rsidRPr="005863A9">
        <w:rPr>
          <w:strike/>
          <w:sz w:val="22"/>
          <w:szCs w:val="22"/>
        </w:rPr>
        <w:t>a</w:t>
      </w:r>
      <w:r w:rsidRPr="005863A9">
        <w:rPr>
          <w:sz w:val="22"/>
          <w:szCs w:val="22"/>
        </w:rPr>
        <w:t xml:space="preserve"> incorporar en el ICL el concepto de depósitos minoristas y depósitos efectuados por MiPyME, los cuales se dividen en i) depósitos estables y ii) depósitos menos estables.  Tomando en consideración las características del FGD mencionadas anteriormente, las entidades supervisadas que se encuentran fuera del alcance </w:t>
      </w:r>
      <w:r w:rsidRPr="005863A9">
        <w:rPr>
          <w:sz w:val="22"/>
          <w:szCs w:val="22"/>
        </w:rPr>
        <w:lastRenderedPageBreak/>
        <w:t>de la Ley 9816, deben categorizar todos los depósitos minoristas y los depósitos efectuados por MiPyME como menos estables, independientemente de que existan otros mecanismos de garantía públicos o privados.</w:t>
      </w:r>
    </w:p>
    <w:p w14:paraId="04C8BCC9" w14:textId="77777777" w:rsidR="00645809" w:rsidRPr="005863A9" w:rsidRDefault="00645809" w:rsidP="00645809">
      <w:pPr>
        <w:widowControl w:val="0"/>
        <w:jc w:val="both"/>
        <w:rPr>
          <w:b/>
          <w:bCs/>
          <w:sz w:val="22"/>
          <w:szCs w:val="22"/>
        </w:rPr>
      </w:pPr>
    </w:p>
    <w:p w14:paraId="23FF1E0C" w14:textId="77777777" w:rsidR="00645809" w:rsidRPr="005863A9" w:rsidRDefault="00645809" w:rsidP="00645809">
      <w:pPr>
        <w:widowControl w:val="0"/>
        <w:jc w:val="both"/>
        <w:rPr>
          <w:sz w:val="22"/>
          <w:szCs w:val="22"/>
        </w:rPr>
      </w:pPr>
      <w:r w:rsidRPr="005863A9">
        <w:rPr>
          <w:b/>
          <w:bCs/>
          <w:sz w:val="22"/>
          <w:szCs w:val="22"/>
        </w:rPr>
        <w:t>dispone:</w:t>
      </w:r>
    </w:p>
    <w:p w14:paraId="0D308097" w14:textId="77777777" w:rsidR="00645809" w:rsidRPr="005863A9" w:rsidRDefault="00645809" w:rsidP="00645809">
      <w:pPr>
        <w:widowControl w:val="0"/>
        <w:jc w:val="both"/>
        <w:rPr>
          <w:b/>
          <w:bCs/>
          <w:sz w:val="22"/>
          <w:szCs w:val="22"/>
        </w:rPr>
      </w:pPr>
    </w:p>
    <w:p w14:paraId="18C1C63F" w14:textId="77777777" w:rsidR="00645809" w:rsidRPr="005863A9" w:rsidRDefault="00645809" w:rsidP="00645809">
      <w:pPr>
        <w:widowControl w:val="0"/>
        <w:jc w:val="both"/>
        <w:rPr>
          <w:b/>
          <w:bCs/>
          <w:sz w:val="22"/>
          <w:szCs w:val="22"/>
        </w:rPr>
      </w:pPr>
      <w:r w:rsidRPr="005863A9">
        <w:rPr>
          <w:b/>
          <w:bCs/>
          <w:sz w:val="22"/>
          <w:szCs w:val="22"/>
        </w:rPr>
        <w:t xml:space="preserve">Modificar el </w:t>
      </w:r>
      <w:r w:rsidRPr="005863A9">
        <w:rPr>
          <w:b/>
          <w:bCs/>
          <w:i/>
          <w:iCs/>
          <w:sz w:val="22"/>
          <w:szCs w:val="22"/>
        </w:rPr>
        <w:t>Reglamento sobre el Indicador de Cobertura de Liquidez</w:t>
      </w:r>
      <w:r w:rsidRPr="005863A9">
        <w:rPr>
          <w:b/>
          <w:bCs/>
          <w:sz w:val="22"/>
          <w:szCs w:val="22"/>
        </w:rPr>
        <w:t>, Acuerdo SUGEF 17-13, según el siguiente detalle:</w:t>
      </w:r>
    </w:p>
    <w:p w14:paraId="5CDF2ADD" w14:textId="77777777" w:rsidR="00645809" w:rsidRPr="005863A9" w:rsidRDefault="00645809" w:rsidP="00645809">
      <w:pPr>
        <w:widowControl w:val="0"/>
        <w:jc w:val="both"/>
        <w:rPr>
          <w:b/>
          <w:bCs/>
          <w:sz w:val="22"/>
          <w:szCs w:val="22"/>
        </w:rPr>
      </w:pPr>
    </w:p>
    <w:p w14:paraId="787C412A" w14:textId="77777777" w:rsidR="00645809" w:rsidRPr="005863A9" w:rsidRDefault="00645809" w:rsidP="00645809">
      <w:pPr>
        <w:widowControl w:val="0"/>
        <w:ind w:left="567" w:hanging="567"/>
        <w:jc w:val="both"/>
        <w:rPr>
          <w:b/>
          <w:bCs/>
          <w:sz w:val="22"/>
          <w:szCs w:val="22"/>
        </w:rPr>
      </w:pPr>
      <w:r w:rsidRPr="005863A9">
        <w:rPr>
          <w:b/>
          <w:bCs/>
          <w:sz w:val="22"/>
          <w:szCs w:val="22"/>
        </w:rPr>
        <w:t>1)</w:t>
      </w:r>
      <w:r w:rsidRPr="005863A9">
        <w:rPr>
          <w:b/>
          <w:bCs/>
          <w:sz w:val="22"/>
          <w:szCs w:val="22"/>
        </w:rPr>
        <w:tab/>
        <w:t xml:space="preserve">Adicionar el párrafo cuarto y quinto, así como sustituir el inciso A) </w:t>
      </w:r>
      <w:r w:rsidRPr="005863A9">
        <w:rPr>
          <w:b/>
          <w:bCs/>
          <w:i/>
          <w:iCs/>
          <w:sz w:val="22"/>
          <w:szCs w:val="22"/>
        </w:rPr>
        <w:t>Pasivos minoristas</w:t>
      </w:r>
      <w:r w:rsidRPr="005863A9">
        <w:rPr>
          <w:b/>
          <w:bCs/>
          <w:sz w:val="22"/>
          <w:szCs w:val="22"/>
        </w:rPr>
        <w:t xml:space="preserve"> del Artículo 7. </w:t>
      </w:r>
      <w:r w:rsidRPr="005863A9">
        <w:rPr>
          <w:b/>
          <w:bCs/>
          <w:i/>
          <w:iCs/>
          <w:sz w:val="22"/>
          <w:szCs w:val="22"/>
        </w:rPr>
        <w:t>Salidas de efectivo totales</w:t>
      </w:r>
      <w:r w:rsidRPr="005863A9">
        <w:rPr>
          <w:b/>
          <w:bCs/>
          <w:sz w:val="22"/>
          <w:szCs w:val="22"/>
        </w:rPr>
        <w:t>, de acuerdo con el siguiente texto:</w:t>
      </w:r>
    </w:p>
    <w:p w14:paraId="51DCE324" w14:textId="3802F44A" w:rsidR="00645809" w:rsidRPr="000C7616" w:rsidRDefault="00645809" w:rsidP="00645809">
      <w:pPr>
        <w:widowControl w:val="0"/>
        <w:ind w:left="567"/>
        <w:jc w:val="both"/>
        <w:rPr>
          <w:b/>
          <w:i/>
          <w:sz w:val="22"/>
          <w:szCs w:val="22"/>
        </w:rPr>
      </w:pPr>
      <w:r w:rsidRPr="000C7616">
        <w:rPr>
          <w:b/>
          <w:i/>
          <w:sz w:val="22"/>
          <w:szCs w:val="22"/>
        </w:rPr>
        <w:t xml:space="preserve">“Artículo 7. </w:t>
      </w:r>
      <w:r w:rsidRPr="005863A9">
        <w:rPr>
          <w:b/>
          <w:bCs/>
          <w:i/>
          <w:iCs/>
          <w:sz w:val="22"/>
          <w:szCs w:val="22"/>
        </w:rPr>
        <w:t>Salidas de efectivo totales</w:t>
      </w:r>
    </w:p>
    <w:p w14:paraId="2202B1B9" w14:textId="77777777" w:rsidR="00645809" w:rsidRPr="005863A9" w:rsidRDefault="00645809" w:rsidP="00645809">
      <w:pPr>
        <w:widowControl w:val="0"/>
        <w:ind w:left="567"/>
        <w:jc w:val="both"/>
        <w:rPr>
          <w:sz w:val="22"/>
          <w:szCs w:val="22"/>
        </w:rPr>
      </w:pPr>
      <w:r w:rsidRPr="005863A9">
        <w:rPr>
          <w:sz w:val="22"/>
          <w:szCs w:val="22"/>
        </w:rPr>
        <w:t>[...]</w:t>
      </w:r>
    </w:p>
    <w:p w14:paraId="5C68D149" w14:textId="36352044" w:rsidR="00645809" w:rsidRPr="005863A9" w:rsidRDefault="00645809" w:rsidP="00645809">
      <w:pPr>
        <w:pStyle w:val="Ttulo3"/>
        <w:keepNext w:val="0"/>
        <w:widowControl w:val="0"/>
        <w:ind w:left="567"/>
        <w:jc w:val="both"/>
        <w:rPr>
          <w:b w:val="0"/>
          <w:bCs w:val="0"/>
          <w:i/>
          <w:iCs/>
          <w:sz w:val="22"/>
          <w:szCs w:val="22"/>
        </w:rPr>
      </w:pPr>
      <w:r w:rsidRPr="005863A9">
        <w:rPr>
          <w:b w:val="0"/>
          <w:bCs w:val="0"/>
          <w:i/>
          <w:iCs/>
          <w:sz w:val="22"/>
          <w:szCs w:val="22"/>
        </w:rPr>
        <w:t>“Se debe considerar como depósitos estables el monto de los depósitos que están totalmente cubiertos por el Fondo de Garantía de Depósitos creado mediante Ley 9816, y como depósitos menos estables los depósitos que no están cubiertos por dicho Fondo de Garantía de Depósitos.</w:t>
      </w:r>
    </w:p>
    <w:p w14:paraId="3C31B782" w14:textId="05751221" w:rsidR="00645809" w:rsidRPr="005863A9" w:rsidRDefault="00645809" w:rsidP="00645809">
      <w:pPr>
        <w:widowControl w:val="0"/>
        <w:ind w:left="567"/>
        <w:jc w:val="both"/>
        <w:rPr>
          <w:i/>
          <w:iCs/>
          <w:sz w:val="22"/>
          <w:szCs w:val="22"/>
        </w:rPr>
      </w:pPr>
      <w:r w:rsidRPr="005863A9">
        <w:rPr>
          <w:i/>
          <w:iCs/>
          <w:sz w:val="22"/>
          <w:szCs w:val="22"/>
        </w:rPr>
        <w:t>Las entidades supervisadas que se encuentran fuera del alcance de la Ley de Creación del Fondo de Garantía de Depósitos y de Mecanismos de Resolución de Intermediarios Financieros, Ley 9816, deben categorizar todos los depósitos minoristas y los depósitos efectuados por MiPyME como menos estables, independientemente de que existan otros mecanismos de garantía públicos o privados.”</w:t>
      </w:r>
    </w:p>
    <w:p w14:paraId="5A59D5D5" w14:textId="77777777" w:rsidR="00645809" w:rsidRPr="005863A9" w:rsidRDefault="00645809" w:rsidP="00AA512A">
      <w:pPr>
        <w:pStyle w:val="Textosinformato"/>
        <w:numPr>
          <w:ilvl w:val="0"/>
          <w:numId w:val="26"/>
        </w:numPr>
        <w:ind w:left="1134" w:hanging="567"/>
        <w:jc w:val="both"/>
        <w:rPr>
          <w:rFonts w:ascii="Times New Roman" w:hAnsi="Times New Roman"/>
          <w:b/>
          <w:i/>
          <w:iCs/>
          <w:sz w:val="22"/>
          <w:szCs w:val="22"/>
        </w:rPr>
      </w:pPr>
      <w:r w:rsidRPr="005863A9">
        <w:rPr>
          <w:rFonts w:ascii="Times New Roman" w:hAnsi="Times New Roman"/>
          <w:b/>
          <w:i/>
          <w:iCs/>
          <w:sz w:val="22"/>
          <w:szCs w:val="22"/>
        </w:rPr>
        <w:t>Pasivos minoristas:</w:t>
      </w:r>
    </w:p>
    <w:p w14:paraId="436D43E4" w14:textId="77777777" w:rsidR="00645809" w:rsidRPr="005863A9" w:rsidRDefault="00645809" w:rsidP="00645809">
      <w:pPr>
        <w:pStyle w:val="Textosinformato"/>
        <w:numPr>
          <w:ilvl w:val="1"/>
          <w:numId w:val="26"/>
        </w:numPr>
        <w:jc w:val="both"/>
        <w:rPr>
          <w:rFonts w:ascii="Times New Roman" w:hAnsi="Times New Roman"/>
          <w:b/>
          <w:i/>
          <w:iCs/>
          <w:sz w:val="22"/>
          <w:szCs w:val="22"/>
        </w:rPr>
      </w:pPr>
      <w:r w:rsidRPr="005863A9">
        <w:rPr>
          <w:rFonts w:ascii="Times New Roman" w:hAnsi="Times New Roman"/>
          <w:b/>
          <w:i/>
          <w:iCs/>
          <w:sz w:val="22"/>
          <w:szCs w:val="22"/>
        </w:rPr>
        <w:t>Factor del 0%.</w:t>
      </w:r>
      <w:r w:rsidRPr="005863A9">
        <w:rPr>
          <w:rFonts w:ascii="Times New Roman" w:hAnsi="Times New Roman"/>
          <w:i/>
          <w:iCs/>
          <w:sz w:val="22"/>
          <w:szCs w:val="22"/>
        </w:rPr>
        <w:t xml:space="preserve"> Depósitos a plazo, con vencimiento residual superior a 30 días y sin posibilidad explícita contractual de cancelación anticipada por parte del cliente dentro de los próximos 30 días.</w:t>
      </w:r>
    </w:p>
    <w:p w14:paraId="51D250CD" w14:textId="77777777" w:rsidR="00645809" w:rsidRPr="005863A9" w:rsidRDefault="00645809" w:rsidP="00645809">
      <w:pPr>
        <w:pStyle w:val="Textosinformato"/>
        <w:numPr>
          <w:ilvl w:val="1"/>
          <w:numId w:val="26"/>
        </w:numPr>
        <w:jc w:val="both"/>
        <w:rPr>
          <w:rFonts w:ascii="Times New Roman" w:hAnsi="Times New Roman"/>
          <w:b/>
          <w:i/>
          <w:iCs/>
          <w:sz w:val="22"/>
          <w:szCs w:val="22"/>
        </w:rPr>
      </w:pPr>
      <w:r w:rsidRPr="005863A9">
        <w:rPr>
          <w:rFonts w:ascii="Times New Roman" w:hAnsi="Times New Roman"/>
          <w:b/>
          <w:i/>
          <w:iCs/>
          <w:sz w:val="22"/>
          <w:szCs w:val="22"/>
        </w:rPr>
        <w:t>Factor del 0%.</w:t>
      </w:r>
      <w:r w:rsidRPr="005863A9">
        <w:rPr>
          <w:rFonts w:ascii="Times New Roman" w:hAnsi="Times New Roman"/>
          <w:i/>
          <w:iCs/>
          <w:sz w:val="22"/>
          <w:szCs w:val="22"/>
        </w:rPr>
        <w:t xml:space="preserve"> Otras obligaciones con vencimiento superior a 30 días y sin posibilidad explícita contractual de cancelación anticipada por parte del cliente dentro de los próximos 30 días.</w:t>
      </w:r>
    </w:p>
    <w:p w14:paraId="0C72B38C" w14:textId="77777777" w:rsidR="00645809" w:rsidRPr="005863A9" w:rsidRDefault="00645809" w:rsidP="00645809">
      <w:pPr>
        <w:pStyle w:val="Textosinformato"/>
        <w:numPr>
          <w:ilvl w:val="1"/>
          <w:numId w:val="26"/>
        </w:numPr>
        <w:jc w:val="both"/>
        <w:rPr>
          <w:rFonts w:ascii="Times New Roman" w:hAnsi="Times New Roman"/>
          <w:b/>
          <w:i/>
          <w:iCs/>
          <w:sz w:val="22"/>
          <w:szCs w:val="22"/>
        </w:rPr>
      </w:pPr>
      <w:r w:rsidRPr="005863A9">
        <w:rPr>
          <w:rFonts w:ascii="Times New Roman" w:hAnsi="Times New Roman"/>
          <w:b/>
          <w:bCs/>
          <w:i/>
          <w:iCs/>
          <w:sz w:val="22"/>
          <w:szCs w:val="22"/>
        </w:rPr>
        <w:t>Factor del 5%</w:t>
      </w:r>
      <w:r w:rsidRPr="005863A9">
        <w:rPr>
          <w:rFonts w:ascii="Times New Roman" w:hAnsi="Times New Roman"/>
          <w:i/>
          <w:iCs/>
          <w:sz w:val="22"/>
          <w:szCs w:val="22"/>
        </w:rPr>
        <w:t>. Depósitos a la vista y depósitos a plazo estables con vencimiento residual inferior o igual a 30 días o, teniendo un plazo residual superior a 30 días, el cliente cuenta con la posibilidad explícita contractual de obtener la cancelación anticipada dentro de los próximos 30 días.</w:t>
      </w:r>
    </w:p>
    <w:p w14:paraId="275ECAFE" w14:textId="77777777" w:rsidR="00645809" w:rsidRPr="005863A9" w:rsidRDefault="00645809" w:rsidP="00645809">
      <w:pPr>
        <w:pStyle w:val="Textosinformato"/>
        <w:numPr>
          <w:ilvl w:val="1"/>
          <w:numId w:val="26"/>
        </w:numPr>
        <w:jc w:val="both"/>
        <w:rPr>
          <w:rFonts w:ascii="Times New Roman" w:hAnsi="Times New Roman"/>
          <w:i/>
          <w:iCs/>
          <w:sz w:val="22"/>
          <w:szCs w:val="22"/>
        </w:rPr>
      </w:pPr>
      <w:r w:rsidRPr="005863A9">
        <w:rPr>
          <w:rFonts w:ascii="Times New Roman" w:hAnsi="Times New Roman"/>
          <w:b/>
          <w:bCs/>
          <w:i/>
          <w:iCs/>
          <w:sz w:val="22"/>
          <w:szCs w:val="22"/>
        </w:rPr>
        <w:t>Factor del 10%.</w:t>
      </w:r>
      <w:r w:rsidRPr="005863A9">
        <w:rPr>
          <w:rFonts w:ascii="Times New Roman" w:hAnsi="Times New Roman"/>
          <w:i/>
          <w:iCs/>
          <w:sz w:val="22"/>
          <w:szCs w:val="22"/>
        </w:rPr>
        <w:t xml:space="preserve"> Depósitos menos estables a la vista y depósitos menos estables a plazo con vencimiento residual inferior o igual a 30 días o, teniendo un plazo residual superior a 30 días, el cliente cuenta con la posibilidad explícita contractual de obtener la cancelación anticipada dentro de los próximos 30 días.</w:t>
      </w:r>
    </w:p>
    <w:p w14:paraId="7A9E3089" w14:textId="35B908B4" w:rsidR="00645809" w:rsidRPr="005863A9" w:rsidRDefault="00645809" w:rsidP="00645809">
      <w:pPr>
        <w:pStyle w:val="Textosinformato"/>
        <w:numPr>
          <w:ilvl w:val="1"/>
          <w:numId w:val="26"/>
        </w:numPr>
        <w:jc w:val="both"/>
        <w:rPr>
          <w:rFonts w:ascii="Times New Roman" w:hAnsi="Times New Roman"/>
          <w:i/>
          <w:iCs/>
          <w:sz w:val="22"/>
          <w:szCs w:val="22"/>
        </w:rPr>
      </w:pPr>
      <w:r w:rsidRPr="005863A9">
        <w:rPr>
          <w:rFonts w:ascii="Times New Roman" w:hAnsi="Times New Roman"/>
          <w:b/>
          <w:i/>
          <w:iCs/>
          <w:sz w:val="22"/>
          <w:szCs w:val="22"/>
        </w:rPr>
        <w:t xml:space="preserve">Factor del 100%. </w:t>
      </w:r>
      <w:r w:rsidRPr="005863A9">
        <w:rPr>
          <w:rFonts w:ascii="Times New Roman" w:hAnsi="Times New Roman"/>
          <w:i/>
          <w:iCs/>
          <w:sz w:val="22"/>
          <w:szCs w:val="22"/>
        </w:rPr>
        <w:t>Otras obligaciones a la vista, otras obligaciones con vencimiento inferior o igual a 30 días y obligaciones con plazo indeterminado</w:t>
      </w:r>
      <w:r w:rsidRPr="005863A9">
        <w:rPr>
          <w:rFonts w:ascii="Times New Roman" w:hAnsi="Times New Roman"/>
          <w:b/>
          <w:i/>
          <w:iCs/>
          <w:sz w:val="22"/>
          <w:szCs w:val="22"/>
        </w:rPr>
        <w:t>.</w:t>
      </w:r>
      <w:r w:rsidRPr="005863A9">
        <w:rPr>
          <w:rFonts w:ascii="Times New Roman" w:hAnsi="Times New Roman"/>
          <w:i/>
          <w:iCs/>
          <w:sz w:val="22"/>
          <w:szCs w:val="22"/>
        </w:rPr>
        <w:t>”</w:t>
      </w:r>
    </w:p>
    <w:p w14:paraId="21B8F5CD" w14:textId="77777777" w:rsidR="00645809" w:rsidRPr="005863A9" w:rsidRDefault="00645809" w:rsidP="00645809">
      <w:pPr>
        <w:widowControl w:val="0"/>
        <w:ind w:left="567" w:hanging="567"/>
        <w:jc w:val="both"/>
        <w:rPr>
          <w:b/>
          <w:bCs/>
          <w:sz w:val="22"/>
          <w:szCs w:val="22"/>
        </w:rPr>
      </w:pPr>
    </w:p>
    <w:p w14:paraId="4FBA8107" w14:textId="77777777" w:rsidR="00645809" w:rsidRPr="005863A9" w:rsidRDefault="00645809" w:rsidP="00645809">
      <w:pPr>
        <w:widowControl w:val="0"/>
        <w:ind w:left="567" w:hanging="567"/>
        <w:jc w:val="both"/>
        <w:rPr>
          <w:b/>
          <w:bCs/>
          <w:sz w:val="22"/>
          <w:szCs w:val="22"/>
        </w:rPr>
      </w:pPr>
      <w:r w:rsidRPr="005863A9">
        <w:rPr>
          <w:b/>
          <w:bCs/>
          <w:sz w:val="22"/>
          <w:szCs w:val="22"/>
        </w:rPr>
        <w:t>2)</w:t>
      </w:r>
      <w:r w:rsidRPr="005863A9">
        <w:rPr>
          <w:b/>
          <w:bCs/>
          <w:sz w:val="22"/>
          <w:szCs w:val="22"/>
        </w:rPr>
        <w:tab/>
        <w:t xml:space="preserve">Sustituir el inciso B) </w:t>
      </w:r>
      <w:r w:rsidRPr="005863A9">
        <w:rPr>
          <w:b/>
          <w:bCs/>
          <w:i/>
          <w:iCs/>
          <w:sz w:val="22"/>
          <w:szCs w:val="22"/>
        </w:rPr>
        <w:t>Pasivos mayoristas no garantizados por derechos legales sobre activos identificados propiedad de la entidad</w:t>
      </w:r>
      <w:r w:rsidRPr="005863A9">
        <w:rPr>
          <w:b/>
          <w:bCs/>
          <w:sz w:val="22"/>
          <w:szCs w:val="22"/>
        </w:rPr>
        <w:t xml:space="preserve"> del Artículo 7. </w:t>
      </w:r>
      <w:r w:rsidRPr="005863A9">
        <w:rPr>
          <w:b/>
          <w:bCs/>
          <w:i/>
          <w:iCs/>
          <w:sz w:val="22"/>
          <w:szCs w:val="22"/>
        </w:rPr>
        <w:t>Salidas de efectivo totales</w:t>
      </w:r>
      <w:r w:rsidRPr="005863A9">
        <w:rPr>
          <w:b/>
          <w:bCs/>
          <w:sz w:val="22"/>
          <w:szCs w:val="22"/>
        </w:rPr>
        <w:t>, de acuerdo con el siguiente texto:</w:t>
      </w:r>
    </w:p>
    <w:p w14:paraId="40F4D54A" w14:textId="2159ABC4" w:rsidR="00645809" w:rsidRPr="000C7616" w:rsidRDefault="00645809" w:rsidP="00645809">
      <w:pPr>
        <w:widowControl w:val="0"/>
        <w:ind w:left="567"/>
        <w:jc w:val="both"/>
        <w:rPr>
          <w:b/>
          <w:i/>
          <w:sz w:val="22"/>
          <w:szCs w:val="22"/>
        </w:rPr>
      </w:pPr>
      <w:r w:rsidRPr="000C7616">
        <w:rPr>
          <w:b/>
          <w:i/>
          <w:sz w:val="22"/>
          <w:szCs w:val="22"/>
        </w:rPr>
        <w:t xml:space="preserve">“Artículo 7. </w:t>
      </w:r>
      <w:r w:rsidRPr="005863A9">
        <w:rPr>
          <w:b/>
          <w:bCs/>
          <w:i/>
          <w:iCs/>
          <w:sz w:val="22"/>
          <w:szCs w:val="22"/>
        </w:rPr>
        <w:t>Salidas de efectivo totales</w:t>
      </w:r>
    </w:p>
    <w:p w14:paraId="0BA7595E" w14:textId="77777777" w:rsidR="00645809" w:rsidRPr="005863A9" w:rsidRDefault="00645809" w:rsidP="00645809">
      <w:pPr>
        <w:widowControl w:val="0"/>
        <w:ind w:left="567"/>
        <w:jc w:val="both"/>
        <w:rPr>
          <w:sz w:val="22"/>
          <w:szCs w:val="22"/>
        </w:rPr>
      </w:pPr>
      <w:r w:rsidRPr="005863A9">
        <w:rPr>
          <w:sz w:val="22"/>
          <w:szCs w:val="22"/>
        </w:rPr>
        <w:t>[...]</w:t>
      </w:r>
    </w:p>
    <w:p w14:paraId="2E1C2AB0" w14:textId="77777777" w:rsidR="00645809" w:rsidRPr="005863A9" w:rsidRDefault="00645809" w:rsidP="000C7616">
      <w:pPr>
        <w:widowControl w:val="0"/>
        <w:ind w:left="1134" w:hanging="567"/>
        <w:jc w:val="both"/>
        <w:rPr>
          <w:b/>
          <w:i/>
          <w:iCs/>
          <w:sz w:val="22"/>
          <w:szCs w:val="22"/>
        </w:rPr>
      </w:pPr>
      <w:r w:rsidRPr="005863A9">
        <w:rPr>
          <w:b/>
          <w:i/>
          <w:iCs/>
          <w:sz w:val="22"/>
          <w:szCs w:val="22"/>
        </w:rPr>
        <w:t>B)</w:t>
      </w:r>
      <w:r w:rsidRPr="005863A9">
        <w:rPr>
          <w:b/>
          <w:i/>
          <w:iCs/>
          <w:sz w:val="22"/>
          <w:szCs w:val="22"/>
        </w:rPr>
        <w:tab/>
        <w:t xml:space="preserve">Pasivos mayoristas no garantizados por derechos legales sobre activos identificados propiedad de la entidad. </w:t>
      </w:r>
    </w:p>
    <w:p w14:paraId="099E7CFB" w14:textId="77777777" w:rsidR="00645809" w:rsidRPr="005863A9" w:rsidRDefault="00645809" w:rsidP="00645809">
      <w:pPr>
        <w:pStyle w:val="Textosinformato"/>
        <w:numPr>
          <w:ilvl w:val="0"/>
          <w:numId w:val="27"/>
        </w:numPr>
        <w:jc w:val="both"/>
        <w:rPr>
          <w:rFonts w:ascii="Times New Roman" w:hAnsi="Times New Roman"/>
          <w:b/>
          <w:i/>
          <w:iCs/>
          <w:sz w:val="22"/>
          <w:szCs w:val="22"/>
        </w:rPr>
      </w:pPr>
      <w:r w:rsidRPr="005863A9">
        <w:rPr>
          <w:rFonts w:ascii="Times New Roman" w:hAnsi="Times New Roman"/>
          <w:b/>
          <w:i/>
          <w:iCs/>
          <w:sz w:val="22"/>
          <w:szCs w:val="22"/>
        </w:rPr>
        <w:t xml:space="preserve">Factor del 0%. </w:t>
      </w:r>
      <w:r w:rsidRPr="005863A9">
        <w:rPr>
          <w:rFonts w:ascii="Times New Roman" w:hAnsi="Times New Roman"/>
          <w:bCs/>
          <w:i/>
          <w:iCs/>
          <w:sz w:val="22"/>
          <w:szCs w:val="22"/>
        </w:rPr>
        <w:t>Todas las contrapartes: depósitos a plazo, con vencimiento residual superior a 30 días y sin posibilidad explícita contractual de cancelación anticipada por el cliente, dentro de los próximos 30 días.</w:t>
      </w:r>
    </w:p>
    <w:p w14:paraId="202D50E6" w14:textId="77777777" w:rsidR="00645809" w:rsidRPr="005863A9" w:rsidRDefault="00645809" w:rsidP="00645809">
      <w:pPr>
        <w:pStyle w:val="Textosinformato"/>
        <w:numPr>
          <w:ilvl w:val="0"/>
          <w:numId w:val="27"/>
        </w:numPr>
        <w:jc w:val="both"/>
        <w:rPr>
          <w:rFonts w:ascii="Times New Roman" w:hAnsi="Times New Roman"/>
          <w:b/>
          <w:i/>
          <w:iCs/>
          <w:sz w:val="22"/>
          <w:szCs w:val="22"/>
        </w:rPr>
      </w:pPr>
      <w:r w:rsidRPr="005863A9">
        <w:rPr>
          <w:rFonts w:ascii="Times New Roman" w:hAnsi="Times New Roman"/>
          <w:b/>
          <w:i/>
          <w:iCs/>
          <w:sz w:val="22"/>
          <w:szCs w:val="22"/>
        </w:rPr>
        <w:lastRenderedPageBreak/>
        <w:t>Factor del 0%.</w:t>
      </w:r>
      <w:r w:rsidRPr="005863A9">
        <w:rPr>
          <w:rFonts w:ascii="Times New Roman" w:hAnsi="Times New Roman"/>
          <w:i/>
          <w:iCs/>
          <w:sz w:val="22"/>
          <w:szCs w:val="22"/>
        </w:rPr>
        <w:t xml:space="preserve"> Todas las contrapartes: otras obligaciones con vencimiento superior a 30 días y sin posibilidad explícita contractual de cancelación anticipada por parte del cliente dentro de los próximos 30 días.</w:t>
      </w:r>
    </w:p>
    <w:p w14:paraId="05854560" w14:textId="77777777" w:rsidR="00645809" w:rsidRPr="005863A9" w:rsidRDefault="00645809" w:rsidP="00645809">
      <w:pPr>
        <w:widowControl w:val="0"/>
        <w:numPr>
          <w:ilvl w:val="0"/>
          <w:numId w:val="27"/>
        </w:numPr>
        <w:jc w:val="both"/>
        <w:rPr>
          <w:i/>
          <w:iCs/>
          <w:sz w:val="22"/>
          <w:szCs w:val="22"/>
        </w:rPr>
      </w:pPr>
      <w:r w:rsidRPr="005863A9">
        <w:rPr>
          <w:b/>
          <w:bCs/>
          <w:i/>
          <w:iCs/>
          <w:sz w:val="22"/>
          <w:szCs w:val="22"/>
        </w:rPr>
        <w:t xml:space="preserve">Factor del 5%. </w:t>
      </w:r>
      <w:r w:rsidRPr="005863A9">
        <w:rPr>
          <w:i/>
          <w:iCs/>
          <w:sz w:val="22"/>
          <w:szCs w:val="22"/>
        </w:rPr>
        <w:t>Contrapartes que califiquen como MiPyME de acuerdo con lo dispuesto en el Reglamento General a la Ley 8262 de Fortalecimiento a las Pequeñas y Medianas Empresas: depósitos a la vista y depósitos a plazo estables con vencimiento residual inferior o igual a 30 días o, teniendo un plazo residual superior a 30 días, el cliente cuenta con la posibilidad explícita contractual de obtener la cancelación anticipada dentro de los próximos 30 días</w:t>
      </w:r>
      <w:r w:rsidRPr="005863A9">
        <w:rPr>
          <w:sz w:val="22"/>
          <w:szCs w:val="22"/>
        </w:rPr>
        <w:t>.</w:t>
      </w:r>
    </w:p>
    <w:p w14:paraId="64C321BB" w14:textId="77777777" w:rsidR="00645809" w:rsidRPr="005863A9" w:rsidRDefault="00645809" w:rsidP="00645809">
      <w:pPr>
        <w:widowControl w:val="0"/>
        <w:numPr>
          <w:ilvl w:val="0"/>
          <w:numId w:val="27"/>
        </w:numPr>
        <w:jc w:val="both"/>
        <w:rPr>
          <w:i/>
          <w:iCs/>
          <w:sz w:val="22"/>
          <w:szCs w:val="22"/>
        </w:rPr>
      </w:pPr>
      <w:r w:rsidRPr="005863A9">
        <w:rPr>
          <w:b/>
          <w:bCs/>
          <w:i/>
          <w:iCs/>
          <w:sz w:val="22"/>
          <w:szCs w:val="22"/>
        </w:rPr>
        <w:t xml:space="preserve">Factor del 10%. </w:t>
      </w:r>
      <w:r w:rsidRPr="005863A9">
        <w:rPr>
          <w:i/>
          <w:iCs/>
          <w:sz w:val="22"/>
          <w:szCs w:val="22"/>
        </w:rPr>
        <w:t>Contrapartes que califiquen como MiPyME de acuerdo con lo dispuesto en el Reglamento General a la Ley 8262 de Fortalecimiento a las Pequeñas y Medianas Empresas: depósitos a la vista y depósitos a plazo menos estables con vencimiento residual inferior o igual a 30 días o, teniendo un plazo residual superior a 30 días, el cliente cuenta con la posibilidad explícita contractual de obtener la cancelación anticipada dentro de los próximos 30 días.</w:t>
      </w:r>
    </w:p>
    <w:p w14:paraId="2CF1E311" w14:textId="77777777" w:rsidR="00645809" w:rsidRPr="005863A9" w:rsidRDefault="00645809" w:rsidP="00645809">
      <w:pPr>
        <w:widowControl w:val="0"/>
        <w:numPr>
          <w:ilvl w:val="0"/>
          <w:numId w:val="27"/>
        </w:numPr>
        <w:jc w:val="both"/>
        <w:rPr>
          <w:i/>
          <w:iCs/>
          <w:sz w:val="22"/>
          <w:szCs w:val="22"/>
        </w:rPr>
      </w:pPr>
      <w:r w:rsidRPr="005863A9">
        <w:rPr>
          <w:b/>
          <w:i/>
          <w:iCs/>
          <w:sz w:val="22"/>
          <w:szCs w:val="22"/>
        </w:rPr>
        <w:t>Factor del 25%.</w:t>
      </w:r>
      <w:r w:rsidRPr="005863A9">
        <w:rPr>
          <w:i/>
          <w:iCs/>
          <w:sz w:val="22"/>
          <w:szCs w:val="22"/>
        </w:rPr>
        <w:t xml:space="preserve"> Depósitos operativos, todas las cuentas por pagar por servicios bursátiles y gestión de tesorería, depósitos a la vista y depósitos a plazo con vencimiento residual inferior o igual a 30 días o, teniendo un plazo residual superior a 30 días, el cliente cuenta con la posibilidad explícita contractual de obtener la cancelación anticipada dentro de los próximos 30 días.</w:t>
      </w:r>
    </w:p>
    <w:p w14:paraId="56A0DEBD" w14:textId="77777777" w:rsidR="00645809" w:rsidRPr="005863A9" w:rsidRDefault="00645809" w:rsidP="00645809">
      <w:pPr>
        <w:widowControl w:val="0"/>
        <w:ind w:left="1647"/>
        <w:jc w:val="both"/>
        <w:rPr>
          <w:i/>
          <w:iCs/>
          <w:sz w:val="22"/>
          <w:szCs w:val="22"/>
        </w:rPr>
      </w:pPr>
      <w:r w:rsidRPr="005863A9">
        <w:rPr>
          <w:i/>
          <w:iCs/>
          <w:sz w:val="22"/>
          <w:szCs w:val="22"/>
        </w:rPr>
        <w:t>Los tipos de actividades que pueden generar depósitos operativos se enumeran seguidamente, no obstante, la entidad debe evaluar si su presencia en dicha actividad realmente genera un depósito operativo, dado que no todas estas actividades califican debido a diferencias en el tipo de dependencia, actividades y prácticas del cliente.</w:t>
      </w:r>
    </w:p>
    <w:p w14:paraId="748DD126" w14:textId="77777777" w:rsidR="00645809" w:rsidRPr="005863A9" w:rsidRDefault="00645809" w:rsidP="00AA512A">
      <w:pPr>
        <w:widowControl w:val="0"/>
        <w:numPr>
          <w:ilvl w:val="2"/>
          <w:numId w:val="27"/>
        </w:numPr>
        <w:ind w:left="1985"/>
        <w:jc w:val="both"/>
        <w:rPr>
          <w:i/>
          <w:iCs/>
          <w:sz w:val="22"/>
          <w:szCs w:val="22"/>
        </w:rPr>
      </w:pPr>
      <w:r w:rsidRPr="005863A9">
        <w:rPr>
          <w:i/>
          <w:iCs/>
          <w:sz w:val="22"/>
          <w:szCs w:val="22"/>
        </w:rPr>
        <w:t>Actividades de compensación: Estos servicios se limitan a las siguientes actividades: transmisión, conciliación y confirmación de órdenes de pago; crédito intradía; financiamiento a un día y mantenimiento de las posiciones posteriores a la liquidación; y determinación de las posiciones de liquidación intradía y finales.</w:t>
      </w:r>
    </w:p>
    <w:p w14:paraId="7F9D8C7F" w14:textId="77777777" w:rsidR="00645809" w:rsidRPr="005863A9" w:rsidRDefault="00645809" w:rsidP="00AA512A">
      <w:pPr>
        <w:widowControl w:val="0"/>
        <w:numPr>
          <w:ilvl w:val="2"/>
          <w:numId w:val="27"/>
        </w:numPr>
        <w:ind w:left="1985"/>
        <w:jc w:val="both"/>
        <w:rPr>
          <w:i/>
          <w:iCs/>
          <w:sz w:val="22"/>
          <w:szCs w:val="22"/>
        </w:rPr>
      </w:pPr>
      <w:r w:rsidRPr="005863A9">
        <w:rPr>
          <w:i/>
          <w:iCs/>
          <w:sz w:val="22"/>
          <w:szCs w:val="22"/>
        </w:rPr>
        <w:t>Actividades de custodia: Estos servicios se limitan a la liquidación de transacciones de valores, la transferencia de pagos contractuales, el procesamiento de las garantías y la prestación de servicios de gestión de tesorería relacionados con la custodia. También incluyen la percepción de dividendos y de otros ingresos, así como las suscripciones y amortizaciones por cuenta de clientes. Los servicios de custodia pueden extenderse además a la provisión de servicios de gestión fiduciaria de activos y empresas, tesorería, contratos de plica, transferencia de fondos, transferencia de acciones y servicios de agencia, incluidos servicios de pago y liquidación (excluida banca corresponsal) y certificados de depósito.</w:t>
      </w:r>
    </w:p>
    <w:p w14:paraId="5A23E157" w14:textId="77777777" w:rsidR="00645809" w:rsidRPr="005863A9" w:rsidRDefault="00645809" w:rsidP="00AA512A">
      <w:pPr>
        <w:widowControl w:val="0"/>
        <w:numPr>
          <w:ilvl w:val="2"/>
          <w:numId w:val="27"/>
        </w:numPr>
        <w:ind w:left="1985"/>
        <w:jc w:val="both"/>
        <w:rPr>
          <w:i/>
          <w:iCs/>
          <w:sz w:val="22"/>
          <w:szCs w:val="22"/>
        </w:rPr>
      </w:pPr>
      <w:r w:rsidRPr="005863A9">
        <w:rPr>
          <w:i/>
          <w:iCs/>
          <w:sz w:val="22"/>
          <w:szCs w:val="22"/>
        </w:rPr>
        <w:t>Actividades de gestión de tesorería: Estos servicios se limitan a la transferencia de pagos, la recaudación y agrupación de fondos, la administración de nóminas y el control del desembolso de fondos.</w:t>
      </w:r>
    </w:p>
    <w:p w14:paraId="2D88B487" w14:textId="77777777" w:rsidR="00645809" w:rsidRPr="005863A9" w:rsidRDefault="00645809" w:rsidP="00645809">
      <w:pPr>
        <w:widowControl w:val="0"/>
        <w:ind w:left="1647"/>
        <w:jc w:val="both"/>
        <w:rPr>
          <w:i/>
          <w:iCs/>
          <w:sz w:val="22"/>
          <w:szCs w:val="22"/>
        </w:rPr>
      </w:pPr>
      <w:r w:rsidRPr="005863A9">
        <w:rPr>
          <w:i/>
          <w:iCs/>
          <w:sz w:val="22"/>
          <w:szCs w:val="22"/>
        </w:rPr>
        <w:t>El factor de 25% no podrá aplicarse a las posiciones excedentes que puedan ser retiradas dejando suficientes fondos para satisfacer estas actividades de compensación, custodia o gestión de tesorería. El saldo de los depósitos excedentes deberá imputarse a los acápites siguientes, según corresponda.</w:t>
      </w:r>
    </w:p>
    <w:p w14:paraId="7082646D" w14:textId="77777777" w:rsidR="00645809" w:rsidRPr="005863A9" w:rsidRDefault="00645809" w:rsidP="00645809">
      <w:pPr>
        <w:widowControl w:val="0"/>
        <w:numPr>
          <w:ilvl w:val="0"/>
          <w:numId w:val="27"/>
        </w:numPr>
        <w:jc w:val="both"/>
        <w:rPr>
          <w:b/>
          <w:bCs/>
          <w:i/>
          <w:iCs/>
          <w:sz w:val="22"/>
          <w:szCs w:val="22"/>
        </w:rPr>
      </w:pPr>
      <w:r w:rsidRPr="005863A9">
        <w:rPr>
          <w:b/>
          <w:bCs/>
          <w:i/>
          <w:iCs/>
          <w:sz w:val="22"/>
          <w:szCs w:val="22"/>
        </w:rPr>
        <w:t>Factor del 40%.</w:t>
      </w:r>
      <w:r w:rsidRPr="005863A9">
        <w:rPr>
          <w:i/>
          <w:iCs/>
          <w:sz w:val="22"/>
          <w:szCs w:val="22"/>
        </w:rPr>
        <w:t xml:space="preserve"> Todas las contrapartes, excepto empresas financieras y las contrapartes incluidas en el numeral vi) siguiente, sin relaciones operativas específicas: depósitos a la vista y depósitos a plazo con vencimiento residual inferior o igual a 30 días o, teniendo un plazo residual superior a 30 días, el cliente cuenta con la posibilidad explícita contractual de obtener la cancelación anticipada dentro de los próximos 30 días.</w:t>
      </w:r>
    </w:p>
    <w:p w14:paraId="55538B14" w14:textId="77777777" w:rsidR="00645809" w:rsidRPr="005863A9" w:rsidRDefault="00645809" w:rsidP="00645809">
      <w:pPr>
        <w:widowControl w:val="0"/>
        <w:numPr>
          <w:ilvl w:val="0"/>
          <w:numId w:val="27"/>
        </w:numPr>
        <w:jc w:val="both"/>
        <w:rPr>
          <w:b/>
          <w:bCs/>
          <w:i/>
          <w:iCs/>
          <w:sz w:val="22"/>
          <w:szCs w:val="22"/>
        </w:rPr>
      </w:pPr>
      <w:r w:rsidRPr="005863A9">
        <w:rPr>
          <w:b/>
          <w:i/>
          <w:iCs/>
          <w:sz w:val="22"/>
          <w:szCs w:val="22"/>
        </w:rPr>
        <w:lastRenderedPageBreak/>
        <w:t xml:space="preserve">Factor del 100%. </w:t>
      </w:r>
      <w:r w:rsidRPr="005863A9">
        <w:rPr>
          <w:i/>
          <w:iCs/>
          <w:sz w:val="22"/>
          <w:szCs w:val="22"/>
        </w:rPr>
        <w:t>Contrapartes empresas financieras y otras contrapartes expresamente indicadas, sin relaciones operativas específicas: depósitos a la vista y depósitos a plazo con vencimiento residual inferior o igual a 30 días o, teniendo un plazo residual superior a 30 días, el cliente cuenta con la posibilidad explícita contractual de obtener la cancelación anticipada dentro de los próximos 30 días. Se consideran empresas financieras como bancos, financieras, mutuales, cooperativas, sociedades de valores, empresas de seguros, operadoras de pensiones y entidades del mismo grupo financiero, entre otros. Además, se consideran otras contrapartes como fondos de pensiones, fondos de inversión, fondos de capitalización laboral, otros vehículos de inversión colectiva y vehículos de propósito especial.</w:t>
      </w:r>
    </w:p>
    <w:p w14:paraId="010B643F" w14:textId="31935CEF" w:rsidR="00645809" w:rsidRPr="005863A9" w:rsidRDefault="00645809" w:rsidP="00645809">
      <w:pPr>
        <w:widowControl w:val="0"/>
        <w:numPr>
          <w:ilvl w:val="0"/>
          <w:numId w:val="27"/>
        </w:numPr>
        <w:jc w:val="both"/>
        <w:rPr>
          <w:b/>
          <w:bCs/>
          <w:i/>
          <w:iCs/>
          <w:sz w:val="22"/>
          <w:szCs w:val="22"/>
        </w:rPr>
      </w:pPr>
      <w:r w:rsidRPr="005863A9">
        <w:rPr>
          <w:b/>
          <w:i/>
          <w:iCs/>
          <w:sz w:val="22"/>
          <w:szCs w:val="22"/>
        </w:rPr>
        <w:t xml:space="preserve">Factor del 100%. </w:t>
      </w:r>
      <w:r w:rsidRPr="005863A9">
        <w:rPr>
          <w:i/>
          <w:iCs/>
          <w:sz w:val="22"/>
          <w:szCs w:val="22"/>
        </w:rPr>
        <w:t>Todas las contrapartes: Otras obligaciones a la vista, otras obligaciones con vencimiento inferior o igual a 30 días y obligaciones con plazo indeterminado.”</w:t>
      </w:r>
    </w:p>
    <w:p w14:paraId="2D118088" w14:textId="77777777" w:rsidR="00645809" w:rsidRPr="005863A9" w:rsidRDefault="00645809" w:rsidP="00645809">
      <w:pPr>
        <w:jc w:val="both"/>
        <w:rPr>
          <w:b/>
          <w:bCs/>
          <w:sz w:val="22"/>
          <w:szCs w:val="22"/>
        </w:rPr>
      </w:pPr>
    </w:p>
    <w:p w14:paraId="137CAB5D" w14:textId="77777777" w:rsidR="00645809" w:rsidRPr="005863A9" w:rsidRDefault="00645809" w:rsidP="00645809">
      <w:pPr>
        <w:jc w:val="both"/>
        <w:rPr>
          <w:b/>
          <w:bCs/>
          <w:sz w:val="22"/>
          <w:szCs w:val="22"/>
        </w:rPr>
      </w:pPr>
      <w:r w:rsidRPr="005863A9">
        <w:rPr>
          <w:b/>
          <w:bCs/>
          <w:sz w:val="22"/>
          <w:szCs w:val="22"/>
        </w:rPr>
        <w:t>DISPOSICIÓN FINAL</w:t>
      </w:r>
    </w:p>
    <w:p w14:paraId="30C6D87A" w14:textId="0E4DE4DA" w:rsidR="00645809" w:rsidRPr="005863A9" w:rsidRDefault="00645809" w:rsidP="00645809">
      <w:pPr>
        <w:jc w:val="both"/>
        <w:rPr>
          <w:sz w:val="22"/>
          <w:szCs w:val="22"/>
        </w:rPr>
      </w:pPr>
      <w:r w:rsidRPr="005863A9">
        <w:rPr>
          <w:sz w:val="22"/>
          <w:szCs w:val="22"/>
        </w:rPr>
        <w:t>Vigencia de esta disposición: la presente modificación al Acuerdo SUGEF 17-13 rige a partir del 1º de setiembre del 2024”.</w:t>
      </w:r>
    </w:p>
    <w:p w14:paraId="576B9FAA" w14:textId="77777777" w:rsidR="00645809" w:rsidRPr="005863A9" w:rsidRDefault="00645809" w:rsidP="00645809">
      <w:pPr>
        <w:pStyle w:val="Prrafodelista"/>
        <w:ind w:left="426" w:hanging="426"/>
        <w:jc w:val="both"/>
        <w:rPr>
          <w:b/>
          <w:bCs/>
          <w:sz w:val="22"/>
          <w:szCs w:val="22"/>
        </w:rPr>
      </w:pPr>
    </w:p>
    <w:p w14:paraId="56D92F0F" w14:textId="77777777" w:rsidR="00645809" w:rsidRPr="005863A9" w:rsidRDefault="00645809" w:rsidP="00645809">
      <w:pPr>
        <w:pStyle w:val="Prrafodelista"/>
        <w:ind w:left="426" w:hanging="426"/>
        <w:jc w:val="both"/>
        <w:rPr>
          <w:b/>
          <w:bCs/>
        </w:rPr>
      </w:pPr>
      <w:r w:rsidRPr="005863A9">
        <w:rPr>
          <w:b/>
          <w:bCs/>
        </w:rPr>
        <w:t>II.</w:t>
      </w:r>
      <w:r w:rsidRPr="005863A9">
        <w:rPr>
          <w:b/>
          <w:bCs/>
        </w:rPr>
        <w:tab/>
        <w:t>En lo relativo a la propuesta de modificación para incluir al IFNE en el Reglamento sobre el Indicador de Cobertura de Liquidez, Acuerdo SUGEF 17-13.</w:t>
      </w:r>
    </w:p>
    <w:p w14:paraId="64EF42FD" w14:textId="77777777" w:rsidR="00645809" w:rsidRPr="005863A9" w:rsidRDefault="00645809" w:rsidP="00645809">
      <w:pPr>
        <w:autoSpaceDE w:val="0"/>
        <w:autoSpaceDN w:val="0"/>
        <w:adjustRightInd w:val="0"/>
        <w:jc w:val="both"/>
        <w:rPr>
          <w:rFonts w:eastAsia="Calibri"/>
          <w:color w:val="000000"/>
          <w:sz w:val="18"/>
          <w:szCs w:val="18"/>
        </w:rPr>
      </w:pPr>
    </w:p>
    <w:p w14:paraId="49E9DD5E" w14:textId="77777777" w:rsidR="00645809" w:rsidRPr="005863A9" w:rsidRDefault="00645809" w:rsidP="00645809">
      <w:pPr>
        <w:jc w:val="both"/>
        <w:rPr>
          <w:b/>
          <w:sz w:val="24"/>
          <w:szCs w:val="24"/>
        </w:rPr>
      </w:pPr>
      <w:r w:rsidRPr="005863A9">
        <w:rPr>
          <w:b/>
          <w:sz w:val="24"/>
          <w:szCs w:val="24"/>
        </w:rPr>
        <w:t>considerando que:</w:t>
      </w:r>
    </w:p>
    <w:p w14:paraId="2BDE49D9" w14:textId="77777777" w:rsidR="00645809" w:rsidRPr="005863A9" w:rsidRDefault="00645809" w:rsidP="00645809">
      <w:pPr>
        <w:jc w:val="both"/>
        <w:rPr>
          <w:b/>
          <w:sz w:val="24"/>
          <w:szCs w:val="24"/>
        </w:rPr>
      </w:pPr>
    </w:p>
    <w:p w14:paraId="09C3D67D" w14:textId="77777777" w:rsidR="00645809" w:rsidRPr="00645809" w:rsidRDefault="00645809" w:rsidP="00645809">
      <w:pPr>
        <w:pStyle w:val="Prrafodelista"/>
        <w:tabs>
          <w:tab w:val="left" w:pos="1134"/>
        </w:tabs>
        <w:ind w:left="426" w:hanging="426"/>
        <w:jc w:val="both"/>
      </w:pPr>
      <w:r w:rsidRPr="00645809">
        <w:rPr>
          <w:b/>
          <w:bCs/>
        </w:rPr>
        <w:t>I.</w:t>
      </w:r>
      <w:r w:rsidRPr="00645809">
        <w:tab/>
        <w:t xml:space="preserve">El inciso 2) del artículo 361 de la </w:t>
      </w:r>
      <w:r w:rsidRPr="00645809">
        <w:rPr>
          <w:i/>
          <w:iCs/>
        </w:rPr>
        <w:t>Ley General de la Administración Pública</w:t>
      </w:r>
      <w:r w:rsidRPr="00645809">
        <w:t xml:space="preserve"> establece que se concederá a las entidades representativas de intereses de carácter general o corporativo afectados por la disposición, la oportunidad de exponer su parecer.</w:t>
      </w:r>
    </w:p>
    <w:p w14:paraId="390825EB" w14:textId="77777777" w:rsidR="00645809" w:rsidRPr="00645809" w:rsidRDefault="00645809" w:rsidP="00645809">
      <w:pPr>
        <w:pStyle w:val="Prrafodelista"/>
        <w:tabs>
          <w:tab w:val="left" w:pos="1134"/>
        </w:tabs>
        <w:ind w:left="426" w:hanging="426"/>
        <w:jc w:val="both"/>
      </w:pPr>
    </w:p>
    <w:p w14:paraId="08A37E2B" w14:textId="22F2C508" w:rsidR="00645809" w:rsidRPr="00645809" w:rsidRDefault="00645809" w:rsidP="00645809">
      <w:pPr>
        <w:pStyle w:val="Prrafodelista"/>
        <w:tabs>
          <w:tab w:val="left" w:pos="1134"/>
        </w:tabs>
        <w:ind w:left="426" w:hanging="426"/>
        <w:jc w:val="both"/>
      </w:pPr>
      <w:r w:rsidRPr="00645809">
        <w:rPr>
          <w:b/>
          <w:bCs/>
        </w:rPr>
        <w:t>II.</w:t>
      </w:r>
      <w:r w:rsidRPr="00645809">
        <w:tab/>
        <w:t>Se elaboró la propuesta para incorporar el “</w:t>
      </w:r>
      <w:r w:rsidRPr="00645809">
        <w:rPr>
          <w:i/>
          <w:iCs/>
        </w:rPr>
        <w:t>Indicador de Financiamiento Neto Estable”</w:t>
      </w:r>
      <w:r>
        <w:rPr>
          <w:i/>
        </w:rPr>
        <w:t xml:space="preserve"> </w:t>
      </w:r>
      <w:r w:rsidRPr="00645809">
        <w:t xml:space="preserve">al </w:t>
      </w:r>
      <w:bookmarkStart w:id="1" w:name="_Hlk144440404"/>
      <w:r w:rsidRPr="000C7616">
        <w:rPr>
          <w:i/>
        </w:rPr>
        <w:t>Reglamento sobre el Indicador de Cobertura de Liquidez</w:t>
      </w:r>
      <w:bookmarkEnd w:id="1"/>
      <w:r w:rsidRPr="000C7616">
        <w:rPr>
          <w:i/>
        </w:rPr>
        <w:t>,</w:t>
      </w:r>
      <w:r w:rsidRPr="000C7616">
        <w:t xml:space="preserve"> Acuerdo SUGEF 17-13</w:t>
      </w:r>
      <w:r w:rsidRPr="00645809">
        <w:t xml:space="preserve">, la cual, en cumplimiento del </w:t>
      </w:r>
      <w:r w:rsidRPr="00645809">
        <w:rPr>
          <w:i/>
          <w:iCs/>
        </w:rPr>
        <w:t>Procedimiento para la Tramitación ante el Consejo Nacional de Supervisión del Sistema Financiero Costarricense de proyectos de emisión o reforma de reglamentos del sistema financiero</w:t>
      </w:r>
      <w:r w:rsidRPr="00645809">
        <w:t>, debe ser sometida a consulta de las entidades supervisadas, cámaras y gremios.</w:t>
      </w:r>
    </w:p>
    <w:p w14:paraId="032BEA47" w14:textId="77777777" w:rsidR="00645809" w:rsidRPr="005863A9" w:rsidRDefault="00645809" w:rsidP="00645809">
      <w:pPr>
        <w:pStyle w:val="Prrafodelista"/>
        <w:tabs>
          <w:tab w:val="left" w:pos="1134"/>
        </w:tabs>
        <w:ind w:left="426" w:hanging="426"/>
        <w:jc w:val="both"/>
        <w:rPr>
          <w:sz w:val="22"/>
          <w:szCs w:val="22"/>
        </w:rPr>
      </w:pPr>
    </w:p>
    <w:p w14:paraId="46C7512D" w14:textId="77777777" w:rsidR="00645809" w:rsidRPr="005863A9" w:rsidRDefault="00645809" w:rsidP="00645809">
      <w:pPr>
        <w:tabs>
          <w:tab w:val="left" w:pos="1134"/>
        </w:tabs>
        <w:ind w:left="1134" w:hanging="1134"/>
        <w:jc w:val="both"/>
        <w:rPr>
          <w:b/>
          <w:bCs/>
          <w:sz w:val="24"/>
          <w:szCs w:val="24"/>
        </w:rPr>
      </w:pPr>
      <w:r w:rsidRPr="005863A9">
        <w:rPr>
          <w:b/>
          <w:bCs/>
          <w:sz w:val="24"/>
          <w:szCs w:val="24"/>
        </w:rPr>
        <w:t>dispuso en firme:</w:t>
      </w:r>
    </w:p>
    <w:p w14:paraId="67820BB5" w14:textId="77777777" w:rsidR="00645809" w:rsidRPr="005863A9" w:rsidRDefault="00645809" w:rsidP="00645809">
      <w:pPr>
        <w:tabs>
          <w:tab w:val="left" w:pos="1134"/>
        </w:tabs>
        <w:ind w:left="1134" w:hanging="1134"/>
        <w:jc w:val="both"/>
        <w:rPr>
          <w:b/>
          <w:bCs/>
          <w:sz w:val="24"/>
          <w:szCs w:val="24"/>
        </w:rPr>
      </w:pPr>
    </w:p>
    <w:p w14:paraId="0307FFDD" w14:textId="77777777" w:rsidR="00645809" w:rsidRPr="00645809" w:rsidRDefault="00645809" w:rsidP="00645809">
      <w:pPr>
        <w:jc w:val="both"/>
        <w:rPr>
          <w:sz w:val="24"/>
          <w:szCs w:val="24"/>
        </w:rPr>
      </w:pPr>
      <w:r w:rsidRPr="00645809">
        <w:rPr>
          <w:sz w:val="24"/>
          <w:szCs w:val="24"/>
        </w:rPr>
        <w:t xml:space="preserve">remitir en consulta, en cumplimiento de lo establecido en el numeral 2, artículo 361, de la </w:t>
      </w:r>
      <w:r w:rsidRPr="00645809">
        <w:rPr>
          <w:i/>
          <w:iCs/>
          <w:sz w:val="24"/>
          <w:szCs w:val="24"/>
        </w:rPr>
        <w:t>Ley General de la Administración Pública</w:t>
      </w:r>
      <w:r w:rsidRPr="00645809">
        <w:rPr>
          <w:sz w:val="24"/>
          <w:szCs w:val="24"/>
        </w:rPr>
        <w:t xml:space="preserve">, a todas las entidades supervisadas por la SUGEF, Federación de Cooperativas de Ahorro y Crédito, FEDEAC, R.L., Federación de Cooperativas de Ahorro y Crédito, FECOOPSE, R.L., Asociación Bancaria Costarricense, Cámara de Bancos e Instituciones Financieras de Costa Rica, la Federación de Mutuales de Ahorro y Préstamo, y el Banco Central de Costa Rica, la propuesta de modificación al </w:t>
      </w:r>
      <w:r w:rsidRPr="000C7616">
        <w:rPr>
          <w:i/>
          <w:sz w:val="24"/>
          <w:szCs w:val="24"/>
        </w:rPr>
        <w:t>Reglamento sobre el Indicador de Cobertura de Liquidez</w:t>
      </w:r>
      <w:r w:rsidRPr="000C7616">
        <w:rPr>
          <w:sz w:val="24"/>
          <w:szCs w:val="24"/>
        </w:rPr>
        <w:t>, Acuerdo SUGEF 17-13</w:t>
      </w:r>
      <w:r w:rsidRPr="00645809">
        <w:rPr>
          <w:sz w:val="24"/>
          <w:szCs w:val="24"/>
        </w:rPr>
        <w:t>, cuyo texto se incluye a continuación.</w:t>
      </w:r>
    </w:p>
    <w:p w14:paraId="64EF8458" w14:textId="77777777" w:rsidR="00645809" w:rsidRPr="00645809" w:rsidRDefault="00645809" w:rsidP="00645809">
      <w:pPr>
        <w:jc w:val="both"/>
        <w:rPr>
          <w:sz w:val="24"/>
          <w:szCs w:val="24"/>
        </w:rPr>
      </w:pPr>
    </w:p>
    <w:p w14:paraId="53B5139D" w14:textId="42E35ABE" w:rsidR="00645809" w:rsidRPr="00645809" w:rsidRDefault="00645809" w:rsidP="00645809">
      <w:pPr>
        <w:jc w:val="both"/>
        <w:rPr>
          <w:sz w:val="24"/>
          <w:szCs w:val="24"/>
        </w:rPr>
      </w:pPr>
      <w:r w:rsidRPr="00645809">
        <w:rPr>
          <w:color w:val="000000"/>
          <w:sz w:val="24"/>
          <w:szCs w:val="24"/>
          <w:lang w:eastAsia="es-CR"/>
        </w:rPr>
        <w:t>En</w:t>
      </w:r>
      <w:r w:rsidRPr="00645809">
        <w:rPr>
          <w:color w:val="000000"/>
          <w:sz w:val="24"/>
          <w:szCs w:val="24"/>
        </w:rPr>
        <w:t xml:space="preserve"> el entendido que en un plazo máximo de diez (10) días hábiles, contados a partir del día hábil siguiente del recibo de la comunicación, deberán </w:t>
      </w:r>
      <w:r w:rsidRPr="00645809">
        <w:rPr>
          <w:color w:val="000000"/>
          <w:sz w:val="24"/>
          <w:szCs w:val="24"/>
          <w:lang w:eastAsia="es-CR"/>
        </w:rPr>
        <w:t>incluir los</w:t>
      </w:r>
      <w:r w:rsidRPr="00645809">
        <w:rPr>
          <w:color w:val="000000"/>
          <w:sz w:val="24"/>
          <w:szCs w:val="24"/>
        </w:rPr>
        <w:t xml:space="preserve"> comentarios y observaciones </w:t>
      </w:r>
      <w:r w:rsidRPr="00645809">
        <w:rPr>
          <w:color w:val="000000"/>
          <w:sz w:val="24"/>
          <w:szCs w:val="24"/>
          <w:lang w:eastAsia="es-CR"/>
        </w:rPr>
        <w:t xml:space="preserve">en el formulario que </w:t>
      </w:r>
      <w:r w:rsidRPr="00645809">
        <w:rPr>
          <w:color w:val="000000"/>
          <w:sz w:val="24"/>
          <w:szCs w:val="24"/>
          <w:lang w:val="es-419" w:eastAsia="es-CR"/>
        </w:rPr>
        <w:t>está disponible</w:t>
      </w:r>
      <w:r w:rsidRPr="00645809">
        <w:rPr>
          <w:color w:val="000000"/>
          <w:sz w:val="24"/>
          <w:szCs w:val="24"/>
          <w:lang w:val="es-419"/>
        </w:rPr>
        <w:t xml:space="preserve"> en el </w:t>
      </w:r>
      <w:r w:rsidRPr="00645809">
        <w:rPr>
          <w:color w:val="000000"/>
          <w:sz w:val="24"/>
          <w:szCs w:val="24"/>
          <w:lang w:val="es-419" w:eastAsia="es-CR"/>
        </w:rPr>
        <w:t xml:space="preserve">apartado </w:t>
      </w:r>
      <w:hyperlink r:id="rId14" w:history="1">
        <w:r w:rsidRPr="00645809">
          <w:rPr>
            <w:rStyle w:val="Hipervnculo"/>
            <w:sz w:val="24"/>
            <w:szCs w:val="24"/>
            <w:lang w:eastAsia="es-CR"/>
          </w:rPr>
          <w:t>“</w:t>
        </w:r>
        <w:r w:rsidRPr="000C7616">
          <w:rPr>
            <w:rStyle w:val="Hipervnculo"/>
            <w:sz w:val="24"/>
            <w:szCs w:val="24"/>
            <w:lang w:eastAsia="es-CR"/>
          </w:rPr>
          <w:t xml:space="preserve">Formularios para remitir observaciones de </w:t>
        </w:r>
        <w:r w:rsidRPr="000C7616">
          <w:rPr>
            <w:rStyle w:val="Hipervnculo"/>
            <w:sz w:val="24"/>
            <w:szCs w:val="24"/>
            <w:lang w:eastAsia="es-CR"/>
          </w:rPr>
          <w:lastRenderedPageBreak/>
          <w:t>normativa en consulta”</w:t>
        </w:r>
      </w:hyperlink>
      <w:r w:rsidRPr="00645809">
        <w:rPr>
          <w:b/>
          <w:bCs/>
          <w:color w:val="000000"/>
          <w:sz w:val="24"/>
          <w:szCs w:val="24"/>
          <w:lang w:eastAsia="es-CR"/>
        </w:rPr>
        <w:t>,</w:t>
      </w:r>
      <w:r w:rsidRPr="00645809">
        <w:rPr>
          <w:b/>
          <w:color w:val="000000"/>
          <w:sz w:val="24"/>
          <w:szCs w:val="24"/>
        </w:rPr>
        <w:t xml:space="preserve"> </w:t>
      </w:r>
      <w:r w:rsidRPr="00645809">
        <w:rPr>
          <w:color w:val="000000"/>
          <w:sz w:val="24"/>
          <w:szCs w:val="24"/>
        </w:rPr>
        <w:t>ubicado en la dirección electrónica</w:t>
      </w:r>
      <w:r w:rsidRPr="00645809">
        <w:rPr>
          <w:color w:val="000000"/>
          <w:sz w:val="24"/>
          <w:szCs w:val="24"/>
          <w:lang w:eastAsia="es-CR"/>
        </w:rPr>
        <w:t xml:space="preserve"> de la página oficial de la SUGEF.</w:t>
      </w:r>
      <w:r w:rsidRPr="00645809">
        <w:rPr>
          <w:color w:val="000000"/>
          <w:sz w:val="24"/>
          <w:szCs w:val="24"/>
        </w:rPr>
        <w:t xml:space="preserve"> </w:t>
      </w:r>
      <w:r w:rsidRPr="00645809">
        <w:rPr>
          <w:sz w:val="24"/>
          <w:szCs w:val="24"/>
        </w:rPr>
        <w:t>El formulario estará disponible hasta el término de la consulta.</w:t>
      </w:r>
    </w:p>
    <w:p w14:paraId="64BE513D" w14:textId="77777777" w:rsidR="00645809" w:rsidRPr="00645809" w:rsidRDefault="00645809" w:rsidP="00645809">
      <w:pPr>
        <w:jc w:val="both"/>
        <w:rPr>
          <w:color w:val="000000"/>
          <w:sz w:val="24"/>
          <w:szCs w:val="24"/>
        </w:rPr>
      </w:pPr>
    </w:p>
    <w:p w14:paraId="743F7DE1" w14:textId="77777777" w:rsidR="00645809" w:rsidRPr="00645809" w:rsidRDefault="00645809" w:rsidP="00645809">
      <w:pPr>
        <w:jc w:val="both"/>
        <w:rPr>
          <w:sz w:val="24"/>
          <w:szCs w:val="24"/>
        </w:rPr>
      </w:pPr>
      <w:r w:rsidRPr="00645809">
        <w:rPr>
          <w:sz w:val="24"/>
          <w:szCs w:val="24"/>
        </w:rPr>
        <w:t xml:space="preserve">Sin detrimento de lo anterior, las entidades consultadas pueden presentar de manera consolidada sus observaciones y comentarios a través de los gremios y cámaras que les representan. Asimismo, el correo electrónico </w:t>
      </w:r>
      <w:hyperlink r:id="rId15" w:history="1">
        <w:r w:rsidRPr="00645809">
          <w:rPr>
            <w:rStyle w:val="Hipervnculo"/>
            <w:sz w:val="24"/>
            <w:szCs w:val="24"/>
          </w:rPr>
          <w:t>normativaenconsulta@sugef.fi.cr</w:t>
        </w:r>
      </w:hyperlink>
      <w:r w:rsidRPr="00645809">
        <w:rPr>
          <w:sz w:val="24"/>
          <w:szCs w:val="24"/>
        </w:rPr>
        <w:t xml:space="preserve"> será utilizado únicamente como mecanismo de notificación sobre la completitud de dicho formulario. </w:t>
      </w:r>
    </w:p>
    <w:p w14:paraId="42CD1015" w14:textId="77777777" w:rsidR="00645809" w:rsidRPr="005863A9" w:rsidRDefault="00645809" w:rsidP="00645809">
      <w:pPr>
        <w:jc w:val="both"/>
        <w:rPr>
          <w:sz w:val="22"/>
          <w:szCs w:val="22"/>
        </w:rPr>
      </w:pPr>
    </w:p>
    <w:p w14:paraId="4FEECC78" w14:textId="2036599D" w:rsidR="00645809" w:rsidRPr="005863A9" w:rsidRDefault="00645809" w:rsidP="00645809">
      <w:pPr>
        <w:tabs>
          <w:tab w:val="left" w:pos="1134"/>
        </w:tabs>
        <w:jc w:val="center"/>
        <w:rPr>
          <w:b/>
          <w:bCs/>
          <w:sz w:val="22"/>
          <w:szCs w:val="22"/>
        </w:rPr>
      </w:pPr>
      <w:bookmarkStart w:id="2" w:name="_Hlk144392764"/>
      <w:r w:rsidRPr="005863A9">
        <w:rPr>
          <w:b/>
          <w:bCs/>
          <w:sz w:val="22"/>
          <w:szCs w:val="22"/>
        </w:rPr>
        <w:t>“Propuesta de modificación al Reglamento sobre el Indicador de Cobertura de Liquidez</w:t>
      </w:r>
    </w:p>
    <w:p w14:paraId="17270571" w14:textId="77777777" w:rsidR="00645809" w:rsidRPr="005863A9" w:rsidRDefault="00645809" w:rsidP="00645809">
      <w:pPr>
        <w:tabs>
          <w:tab w:val="left" w:pos="1134"/>
        </w:tabs>
        <w:jc w:val="center"/>
        <w:rPr>
          <w:b/>
          <w:bCs/>
          <w:sz w:val="22"/>
          <w:szCs w:val="22"/>
        </w:rPr>
      </w:pPr>
      <w:r w:rsidRPr="005863A9">
        <w:rPr>
          <w:b/>
          <w:bCs/>
          <w:sz w:val="22"/>
          <w:szCs w:val="22"/>
        </w:rPr>
        <w:t>Acuerdo SUGEF 17-13</w:t>
      </w:r>
    </w:p>
    <w:bookmarkEnd w:id="2"/>
    <w:p w14:paraId="4F087E77" w14:textId="77777777" w:rsidR="00645809" w:rsidRPr="005863A9" w:rsidRDefault="00645809" w:rsidP="00645809">
      <w:pPr>
        <w:tabs>
          <w:tab w:val="left" w:pos="1134"/>
        </w:tabs>
        <w:jc w:val="both"/>
        <w:rPr>
          <w:b/>
          <w:bCs/>
          <w:sz w:val="22"/>
          <w:szCs w:val="22"/>
        </w:rPr>
      </w:pPr>
    </w:p>
    <w:p w14:paraId="13E880D6" w14:textId="77777777" w:rsidR="00645809" w:rsidRPr="005863A9" w:rsidRDefault="00645809" w:rsidP="00645809">
      <w:pPr>
        <w:widowControl w:val="0"/>
        <w:contextualSpacing/>
        <w:jc w:val="both"/>
        <w:rPr>
          <w:sz w:val="22"/>
          <w:szCs w:val="22"/>
        </w:rPr>
      </w:pPr>
      <w:r w:rsidRPr="005863A9">
        <w:rPr>
          <w:sz w:val="22"/>
          <w:szCs w:val="22"/>
        </w:rPr>
        <w:t>El Consejo Nacional de Supervisión del Sistema Financiero,</w:t>
      </w:r>
    </w:p>
    <w:p w14:paraId="59A350E8" w14:textId="77777777" w:rsidR="00645809" w:rsidRPr="005863A9" w:rsidRDefault="00645809" w:rsidP="00645809">
      <w:pPr>
        <w:contextualSpacing/>
        <w:jc w:val="both"/>
        <w:rPr>
          <w:b/>
          <w:bCs/>
          <w:sz w:val="22"/>
          <w:szCs w:val="22"/>
        </w:rPr>
      </w:pPr>
    </w:p>
    <w:p w14:paraId="6963B2D7" w14:textId="77777777" w:rsidR="00645809" w:rsidRPr="005863A9" w:rsidRDefault="00645809" w:rsidP="00645809">
      <w:pPr>
        <w:contextualSpacing/>
        <w:jc w:val="both"/>
        <w:rPr>
          <w:b/>
          <w:bCs/>
          <w:sz w:val="22"/>
          <w:szCs w:val="22"/>
        </w:rPr>
      </w:pPr>
      <w:r w:rsidRPr="005863A9">
        <w:rPr>
          <w:b/>
          <w:bCs/>
          <w:sz w:val="22"/>
          <w:szCs w:val="22"/>
        </w:rPr>
        <w:t>Considerando que:</w:t>
      </w:r>
    </w:p>
    <w:p w14:paraId="30D0C4CA" w14:textId="77777777" w:rsidR="00645809" w:rsidRPr="005863A9" w:rsidRDefault="00645809" w:rsidP="00645809">
      <w:pPr>
        <w:contextualSpacing/>
        <w:jc w:val="both"/>
        <w:rPr>
          <w:rFonts w:eastAsia="Calibri"/>
          <w:sz w:val="22"/>
          <w:szCs w:val="22"/>
        </w:rPr>
      </w:pPr>
    </w:p>
    <w:p w14:paraId="541A3553" w14:textId="77777777" w:rsidR="00645809" w:rsidRPr="005863A9" w:rsidRDefault="00645809" w:rsidP="00645809">
      <w:pPr>
        <w:tabs>
          <w:tab w:val="left" w:pos="1134"/>
        </w:tabs>
        <w:jc w:val="both"/>
        <w:rPr>
          <w:b/>
          <w:bCs/>
          <w:sz w:val="22"/>
          <w:szCs w:val="22"/>
        </w:rPr>
      </w:pPr>
      <w:r w:rsidRPr="005863A9">
        <w:rPr>
          <w:b/>
          <w:bCs/>
          <w:sz w:val="22"/>
          <w:szCs w:val="22"/>
        </w:rPr>
        <w:t>Consideraciones de orden legal y reglamentario</w:t>
      </w:r>
    </w:p>
    <w:p w14:paraId="0C7C96FC" w14:textId="77777777" w:rsidR="00645809" w:rsidRPr="005863A9" w:rsidRDefault="00645809" w:rsidP="00645809">
      <w:pPr>
        <w:tabs>
          <w:tab w:val="left" w:pos="1134"/>
        </w:tabs>
        <w:jc w:val="both"/>
        <w:rPr>
          <w:b/>
          <w:bCs/>
          <w:sz w:val="22"/>
          <w:szCs w:val="22"/>
        </w:rPr>
      </w:pPr>
    </w:p>
    <w:p w14:paraId="22B8EF41" w14:textId="696BDC38" w:rsidR="00645809" w:rsidRPr="005863A9" w:rsidRDefault="00645809" w:rsidP="00645809">
      <w:pPr>
        <w:widowControl w:val="0"/>
        <w:ind w:left="851" w:hanging="851"/>
        <w:jc w:val="both"/>
        <w:rPr>
          <w:sz w:val="22"/>
          <w:szCs w:val="22"/>
        </w:rPr>
      </w:pPr>
      <w:r w:rsidRPr="005863A9">
        <w:rPr>
          <w:sz w:val="22"/>
          <w:szCs w:val="22"/>
        </w:rPr>
        <w:t>I.</w:t>
      </w:r>
      <w:r w:rsidRPr="005863A9">
        <w:rPr>
          <w:sz w:val="22"/>
          <w:szCs w:val="22"/>
        </w:rPr>
        <w:tab/>
        <w:t xml:space="preserve">El literal b) del artículo 171 de la </w:t>
      </w:r>
      <w:r w:rsidRPr="005863A9">
        <w:rPr>
          <w:i/>
          <w:iCs/>
          <w:sz w:val="22"/>
          <w:szCs w:val="22"/>
        </w:rPr>
        <w:t>Ley Reguladora del Mercado de Valores</w:t>
      </w:r>
      <w:r w:rsidRPr="005863A9">
        <w:rPr>
          <w:sz w:val="22"/>
          <w:szCs w:val="22"/>
        </w:rPr>
        <w:t xml:space="preserve">, Ley 7732, dispone que son funciones del </w:t>
      </w:r>
      <w:r w:rsidRPr="005863A9">
        <w:rPr>
          <w:i/>
          <w:iCs/>
          <w:sz w:val="22"/>
          <w:szCs w:val="22"/>
        </w:rPr>
        <w:t>Consejo Nacional de Supervisión del Sistema Financiero</w:t>
      </w:r>
      <w:r w:rsidRPr="005863A9">
        <w:rPr>
          <w:sz w:val="22"/>
          <w:szCs w:val="22"/>
        </w:rPr>
        <w:t xml:space="preserve"> (Conassif) aprobar las normas atinentes a la autorización, regulación, supervisión, fiscalización y vigilancia que, conforme a la ley, debe ejecutar la </w:t>
      </w:r>
      <w:r w:rsidRPr="005863A9">
        <w:rPr>
          <w:i/>
          <w:iCs/>
          <w:sz w:val="22"/>
          <w:szCs w:val="22"/>
        </w:rPr>
        <w:t>Superintendencia General de Entidades Financieras</w:t>
      </w:r>
      <w:r w:rsidRPr="005863A9">
        <w:rPr>
          <w:sz w:val="22"/>
          <w:szCs w:val="22"/>
        </w:rPr>
        <w:t xml:space="preserve"> (</w:t>
      </w:r>
      <w:r w:rsidR="00772B41">
        <w:rPr>
          <w:sz w:val="22"/>
          <w:szCs w:val="22"/>
        </w:rPr>
        <w:t>Sugef</w:t>
      </w:r>
      <w:r w:rsidRPr="005863A9">
        <w:rPr>
          <w:sz w:val="22"/>
          <w:szCs w:val="22"/>
        </w:rPr>
        <w:t>).</w:t>
      </w:r>
    </w:p>
    <w:p w14:paraId="2BBF62D0" w14:textId="77777777" w:rsidR="00645809" w:rsidRPr="005863A9" w:rsidRDefault="00645809" w:rsidP="00645809">
      <w:pPr>
        <w:widowControl w:val="0"/>
        <w:ind w:left="851" w:hanging="851"/>
        <w:jc w:val="both"/>
        <w:rPr>
          <w:sz w:val="22"/>
          <w:szCs w:val="22"/>
        </w:rPr>
      </w:pPr>
    </w:p>
    <w:p w14:paraId="683E8300" w14:textId="066370A9" w:rsidR="00645809" w:rsidRPr="005863A9" w:rsidRDefault="00645809" w:rsidP="00645809">
      <w:pPr>
        <w:widowControl w:val="0"/>
        <w:ind w:left="851" w:hanging="851"/>
        <w:jc w:val="both"/>
        <w:rPr>
          <w:sz w:val="22"/>
          <w:szCs w:val="22"/>
        </w:rPr>
      </w:pPr>
      <w:r w:rsidRPr="005863A9">
        <w:rPr>
          <w:sz w:val="22"/>
          <w:szCs w:val="22"/>
        </w:rPr>
        <w:t>II.</w:t>
      </w:r>
      <w:r w:rsidRPr="005863A9">
        <w:rPr>
          <w:sz w:val="22"/>
          <w:szCs w:val="22"/>
        </w:rPr>
        <w:tab/>
        <w:t xml:space="preserve">El inciso c) del artículo 131 de la </w:t>
      </w:r>
      <w:r w:rsidRPr="005863A9">
        <w:rPr>
          <w:i/>
          <w:iCs/>
          <w:sz w:val="22"/>
          <w:szCs w:val="22"/>
        </w:rPr>
        <w:t>Ley Orgánica del Banco Central de Costa Rica</w:t>
      </w:r>
      <w:r w:rsidRPr="005863A9">
        <w:rPr>
          <w:sz w:val="22"/>
          <w:szCs w:val="22"/>
        </w:rPr>
        <w:t>, Ley 7558, establece, como parte de las funciones del Superintendente General de Entidades Financieras, proponer al Conassif, para su aprobación, las normas que estime necesarias para el desarrollo de las labores de fiscalización y vigilancia.</w:t>
      </w:r>
    </w:p>
    <w:p w14:paraId="4134951B" w14:textId="77777777" w:rsidR="00645809" w:rsidRPr="005863A9" w:rsidRDefault="00645809" w:rsidP="00645809">
      <w:pPr>
        <w:widowControl w:val="0"/>
        <w:ind w:left="851" w:hanging="851"/>
        <w:jc w:val="both"/>
        <w:rPr>
          <w:sz w:val="22"/>
          <w:szCs w:val="22"/>
        </w:rPr>
      </w:pPr>
    </w:p>
    <w:p w14:paraId="1948FB30" w14:textId="77777777" w:rsidR="00645809" w:rsidRPr="005863A9" w:rsidRDefault="00645809" w:rsidP="00645809">
      <w:pPr>
        <w:widowControl w:val="0"/>
        <w:ind w:left="851" w:hanging="851"/>
        <w:jc w:val="both"/>
        <w:rPr>
          <w:sz w:val="22"/>
          <w:szCs w:val="22"/>
        </w:rPr>
      </w:pPr>
      <w:r w:rsidRPr="005863A9">
        <w:rPr>
          <w:sz w:val="22"/>
          <w:szCs w:val="22"/>
        </w:rPr>
        <w:t>III.</w:t>
      </w:r>
      <w:r w:rsidRPr="005863A9">
        <w:rPr>
          <w:sz w:val="22"/>
          <w:szCs w:val="22"/>
        </w:rPr>
        <w:tab/>
        <w:t>El numeral i), inciso n) del artículo 131 de la Ley 7558, dispone que el Superintendente debe proponer al Conassif las normas para definir requerimientos de capital, de liquidez y otros, aplicables a las entidades supervisadas.</w:t>
      </w:r>
    </w:p>
    <w:p w14:paraId="1FD913C4" w14:textId="77777777" w:rsidR="00645809" w:rsidRPr="005863A9" w:rsidRDefault="00645809" w:rsidP="00645809">
      <w:pPr>
        <w:widowControl w:val="0"/>
        <w:ind w:left="851" w:hanging="851"/>
        <w:jc w:val="both"/>
        <w:rPr>
          <w:sz w:val="22"/>
          <w:szCs w:val="22"/>
        </w:rPr>
      </w:pPr>
    </w:p>
    <w:p w14:paraId="65D809F0" w14:textId="77777777" w:rsidR="00645809" w:rsidRPr="005863A9" w:rsidRDefault="00645809" w:rsidP="00645809">
      <w:pPr>
        <w:widowControl w:val="0"/>
        <w:ind w:left="851" w:hanging="851"/>
        <w:jc w:val="both"/>
        <w:rPr>
          <w:sz w:val="22"/>
          <w:szCs w:val="22"/>
        </w:rPr>
      </w:pPr>
      <w:r w:rsidRPr="005863A9">
        <w:rPr>
          <w:sz w:val="22"/>
          <w:szCs w:val="22"/>
        </w:rPr>
        <w:t>IV.</w:t>
      </w:r>
      <w:r w:rsidRPr="005863A9">
        <w:rPr>
          <w:sz w:val="22"/>
          <w:szCs w:val="22"/>
        </w:rPr>
        <w:tab/>
        <w:t xml:space="preserve">De conformidad a lo dispuesto en el inciso 2), artículo 3 de la </w:t>
      </w:r>
      <w:r w:rsidRPr="005863A9">
        <w:rPr>
          <w:i/>
          <w:iCs/>
          <w:sz w:val="22"/>
          <w:szCs w:val="22"/>
        </w:rPr>
        <w:t>Ley Orgánica del Sistema Financiero Nacional</w:t>
      </w:r>
      <w:r w:rsidRPr="005863A9">
        <w:rPr>
          <w:sz w:val="22"/>
          <w:szCs w:val="22"/>
        </w:rPr>
        <w:t>, Ley 1644, le compete a los bancos la función esencial de procurar la liquidez, solvencia y buen funcionamiento del Sistema Bancario Nacional, lo que es extensivo a los demás entes supervisados del Sistema Financiero Nacional; en ese sentido, la administración de riesgo de liquidez involucra la mayoría de los procesos de los entes financieros por lo que se requiere que éstos implementen políticas, controles e infraestructura para limitar la exposición no aceptable del riesgo de liquidez.</w:t>
      </w:r>
    </w:p>
    <w:p w14:paraId="2C021DD2" w14:textId="77777777" w:rsidR="00645809" w:rsidRPr="005863A9" w:rsidRDefault="00645809" w:rsidP="00645809">
      <w:pPr>
        <w:widowControl w:val="0"/>
        <w:ind w:left="851" w:hanging="851"/>
        <w:jc w:val="both"/>
        <w:rPr>
          <w:sz w:val="22"/>
          <w:szCs w:val="22"/>
        </w:rPr>
      </w:pPr>
    </w:p>
    <w:p w14:paraId="683ECEC3" w14:textId="77777777" w:rsidR="00645809" w:rsidRPr="005863A9" w:rsidRDefault="00645809" w:rsidP="00645809">
      <w:pPr>
        <w:widowControl w:val="0"/>
        <w:ind w:left="851" w:hanging="851"/>
        <w:jc w:val="both"/>
        <w:rPr>
          <w:sz w:val="22"/>
          <w:szCs w:val="22"/>
        </w:rPr>
      </w:pPr>
      <w:r w:rsidRPr="005863A9">
        <w:rPr>
          <w:sz w:val="22"/>
          <w:szCs w:val="22"/>
        </w:rPr>
        <w:t>V.</w:t>
      </w:r>
      <w:r w:rsidRPr="005863A9">
        <w:rPr>
          <w:sz w:val="22"/>
          <w:szCs w:val="22"/>
        </w:rPr>
        <w:tab/>
        <w:t xml:space="preserve">Mediante artículo 9, del acta de la sesión 862-2010 del 25 de junio del 2010, el Conassif aprobó el </w:t>
      </w:r>
      <w:r w:rsidRPr="005863A9">
        <w:rPr>
          <w:i/>
          <w:iCs/>
          <w:sz w:val="22"/>
          <w:szCs w:val="22"/>
        </w:rPr>
        <w:t>Reglamento sobre administración integral de riesgos</w:t>
      </w:r>
      <w:r w:rsidRPr="005863A9">
        <w:rPr>
          <w:sz w:val="22"/>
          <w:szCs w:val="22"/>
        </w:rPr>
        <w:t>, Acuerdo SUGEF 2-10, publicado en el diario oficial La Gaceta 137 del 15 de julio de 2010. En éste se establecen los aspectos fundamentales de un proceso de gestión de riesgos enfocado hacia la identificación, medición, monitoreo, control, mitigación y comunicación de los riesgos medulares de la entidad, debidamente conmensurado con su estrategia de negocio, el volumen y complejidad de sus operaciones y su perfil de riesgo.</w:t>
      </w:r>
    </w:p>
    <w:p w14:paraId="4C8F0800" w14:textId="77777777" w:rsidR="00645809" w:rsidRPr="005863A9" w:rsidRDefault="00645809" w:rsidP="00645809">
      <w:pPr>
        <w:widowControl w:val="0"/>
        <w:ind w:left="851" w:hanging="851"/>
        <w:jc w:val="both"/>
        <w:rPr>
          <w:sz w:val="22"/>
          <w:szCs w:val="22"/>
        </w:rPr>
      </w:pPr>
    </w:p>
    <w:p w14:paraId="2632B6D4" w14:textId="77777777" w:rsidR="00645809" w:rsidRPr="005863A9" w:rsidRDefault="00645809" w:rsidP="00645809">
      <w:pPr>
        <w:widowControl w:val="0"/>
        <w:ind w:left="851" w:hanging="851"/>
        <w:jc w:val="both"/>
        <w:rPr>
          <w:sz w:val="22"/>
          <w:szCs w:val="22"/>
        </w:rPr>
      </w:pPr>
      <w:r w:rsidRPr="005863A9">
        <w:rPr>
          <w:sz w:val="22"/>
          <w:szCs w:val="22"/>
        </w:rPr>
        <w:t>VI.</w:t>
      </w:r>
      <w:r w:rsidRPr="005863A9">
        <w:rPr>
          <w:sz w:val="22"/>
          <w:szCs w:val="22"/>
        </w:rPr>
        <w:tab/>
        <w:t xml:space="preserve">Mediante artículo 7 del acta de la sesión 1058-2013, celebrada el 19 de agosto del 2013, el Conassif aprobó el </w:t>
      </w:r>
      <w:r w:rsidRPr="005863A9">
        <w:rPr>
          <w:i/>
          <w:iCs/>
          <w:sz w:val="22"/>
          <w:szCs w:val="22"/>
        </w:rPr>
        <w:t>Reglamento sobre la administración del riesgo de liquidez</w:t>
      </w:r>
      <w:r w:rsidRPr="005863A9">
        <w:rPr>
          <w:sz w:val="22"/>
          <w:szCs w:val="22"/>
        </w:rPr>
        <w:t xml:space="preserve">, Acuerdo SUGEF </w:t>
      </w:r>
      <w:r w:rsidRPr="005863A9">
        <w:rPr>
          <w:sz w:val="22"/>
          <w:szCs w:val="22"/>
        </w:rPr>
        <w:lastRenderedPageBreak/>
        <w:t>17-13, publicado en el diario oficial La Gaceta 166 del 30 de agosto del 2013. En la regulación aprobada se establecieron los requerimientos mínimos que deben observar las entidades supervisadas en el proceso de administración del riesgo de liquidez, así como los aspectos metodológicos para el cálculo del Indicador de Cobertura de Liquidez (ICL).</w:t>
      </w:r>
    </w:p>
    <w:p w14:paraId="029C99CB" w14:textId="77777777" w:rsidR="00645809" w:rsidRPr="00AA512A" w:rsidRDefault="00645809" w:rsidP="00645809">
      <w:pPr>
        <w:widowControl w:val="0"/>
        <w:ind w:left="851" w:hanging="851"/>
        <w:jc w:val="both"/>
      </w:pPr>
    </w:p>
    <w:p w14:paraId="4CC4ABC1" w14:textId="77777777" w:rsidR="00645809" w:rsidRPr="005863A9" w:rsidRDefault="00645809" w:rsidP="00645809">
      <w:pPr>
        <w:widowControl w:val="0"/>
        <w:ind w:left="851" w:hanging="851"/>
        <w:jc w:val="both"/>
        <w:rPr>
          <w:sz w:val="22"/>
          <w:szCs w:val="22"/>
        </w:rPr>
      </w:pPr>
      <w:r w:rsidRPr="005863A9">
        <w:rPr>
          <w:sz w:val="22"/>
          <w:szCs w:val="22"/>
        </w:rPr>
        <w:t>VII.</w:t>
      </w:r>
      <w:r w:rsidRPr="005863A9">
        <w:rPr>
          <w:sz w:val="22"/>
          <w:szCs w:val="22"/>
        </w:rPr>
        <w:tab/>
        <w:t>En un esfuerzo por reducir duplicidades y reiteraciones, así como armonizar términos y conceptos que se encuentran dispersos en diversos cuerpos regulatorios referidos a la administración de riesgos, el Conassif, en el artículo 8 del acta de la sesión 1712-2022, celebrada el 31 de enero del 2022 dispuso en firme y por unanimidad, modificar el Acuerdo SUGEF 2-10, agregando, los contenidos sobre administración del Riesgo de Liquidez, Riesgo Operativo, Riesgo de Mercado, Tasas de Interés y Tipo de Cambio.</w:t>
      </w:r>
    </w:p>
    <w:p w14:paraId="2FFDEEFF" w14:textId="77777777" w:rsidR="00645809" w:rsidRPr="00AA512A" w:rsidRDefault="00645809" w:rsidP="00645809">
      <w:pPr>
        <w:widowControl w:val="0"/>
        <w:ind w:left="851" w:hanging="851"/>
        <w:jc w:val="both"/>
      </w:pPr>
    </w:p>
    <w:p w14:paraId="3BC67BFD" w14:textId="77777777" w:rsidR="00645809" w:rsidRPr="005863A9" w:rsidRDefault="00645809" w:rsidP="00645809">
      <w:pPr>
        <w:widowControl w:val="0"/>
        <w:ind w:left="851" w:hanging="851"/>
        <w:jc w:val="both"/>
        <w:rPr>
          <w:sz w:val="22"/>
          <w:szCs w:val="22"/>
        </w:rPr>
      </w:pPr>
      <w:r w:rsidRPr="005863A9">
        <w:rPr>
          <w:sz w:val="22"/>
          <w:szCs w:val="22"/>
        </w:rPr>
        <w:t>VIII.</w:t>
      </w:r>
      <w:r w:rsidRPr="005863A9">
        <w:rPr>
          <w:sz w:val="22"/>
          <w:szCs w:val="22"/>
        </w:rPr>
        <w:tab/>
        <w:t>A partir de la aprobación de la reforma al Acuerdo SUGEF 17-13, según el artículo 8 del acta de la sesión 1712-2022, celebrada el 31 de enero del 2022, se traslada el apartado sobre gestión de riesgo de liquidez al Acuerdo SUGEF 2-10.  En consecuencia, los aspectos metodológicos para el cálculo del ICL permanecen en el Acuerdo SUGEF 17-13.</w:t>
      </w:r>
    </w:p>
    <w:p w14:paraId="488F5A19" w14:textId="77777777" w:rsidR="00645809" w:rsidRPr="00AA512A" w:rsidRDefault="00645809" w:rsidP="00645809">
      <w:pPr>
        <w:widowControl w:val="0"/>
        <w:ind w:left="851" w:hanging="851"/>
        <w:jc w:val="both"/>
      </w:pPr>
    </w:p>
    <w:p w14:paraId="3E804BF8" w14:textId="77777777" w:rsidR="00645809" w:rsidRPr="005863A9" w:rsidRDefault="00645809" w:rsidP="00645809">
      <w:pPr>
        <w:widowControl w:val="0"/>
        <w:jc w:val="both"/>
        <w:rPr>
          <w:b/>
          <w:bCs/>
          <w:sz w:val="22"/>
          <w:szCs w:val="22"/>
        </w:rPr>
      </w:pPr>
      <w:r w:rsidRPr="005863A9">
        <w:rPr>
          <w:b/>
          <w:bCs/>
          <w:sz w:val="22"/>
          <w:szCs w:val="22"/>
        </w:rPr>
        <w:t>Consideraciones técnicas</w:t>
      </w:r>
    </w:p>
    <w:p w14:paraId="5AEF4F98" w14:textId="77777777" w:rsidR="00645809" w:rsidRPr="00AA512A" w:rsidRDefault="00645809" w:rsidP="00AA512A">
      <w:pPr>
        <w:widowControl w:val="0"/>
        <w:ind w:left="851" w:hanging="851"/>
        <w:jc w:val="both"/>
      </w:pPr>
    </w:p>
    <w:p w14:paraId="29CD66A4" w14:textId="77777777" w:rsidR="00645809" w:rsidRPr="005863A9" w:rsidRDefault="00645809" w:rsidP="00645809">
      <w:pPr>
        <w:widowControl w:val="0"/>
        <w:ind w:left="851" w:hanging="851"/>
        <w:jc w:val="both"/>
        <w:rPr>
          <w:sz w:val="22"/>
          <w:szCs w:val="22"/>
        </w:rPr>
      </w:pPr>
      <w:r w:rsidRPr="005863A9">
        <w:rPr>
          <w:sz w:val="22"/>
          <w:szCs w:val="22"/>
        </w:rPr>
        <w:t>IX.</w:t>
      </w:r>
      <w:r w:rsidRPr="005863A9">
        <w:rPr>
          <w:sz w:val="22"/>
          <w:szCs w:val="22"/>
        </w:rPr>
        <w:tab/>
        <w:t>La crisis financiera que se dio a mediados de 2007 recalcó la importancia que tiene la liquidez para el adecuado funcionamiento de los mercados financieros y del sector bancario. Antes del periodo de inestabilidad, los mercados de activos se mostraron pujantes, con una gran disponibilidad de financiamiento a un costo reducido. El cambio en las condiciones del mercado reveló la rapidez con que la liquidez puede agotarse y puso de manifiesto que la falta de ella puede prolongarse durante mucho tiempo. Esta situación produjo graves tensiones en el sistema bancario, con lo cual los bancos centrales tuvieron que intervenir para respaldar el funcionamiento de los mercados monetarios.</w:t>
      </w:r>
    </w:p>
    <w:p w14:paraId="47E7750C" w14:textId="77777777" w:rsidR="00645809" w:rsidRPr="00AA512A" w:rsidRDefault="00645809" w:rsidP="00645809">
      <w:pPr>
        <w:widowControl w:val="0"/>
        <w:ind w:left="851" w:hanging="851"/>
        <w:jc w:val="both"/>
      </w:pPr>
    </w:p>
    <w:p w14:paraId="1582348A" w14:textId="77777777" w:rsidR="00645809" w:rsidRPr="005863A9" w:rsidRDefault="00645809" w:rsidP="00645809">
      <w:pPr>
        <w:widowControl w:val="0"/>
        <w:ind w:left="851" w:hanging="851"/>
        <w:jc w:val="both"/>
        <w:rPr>
          <w:sz w:val="22"/>
          <w:szCs w:val="22"/>
        </w:rPr>
      </w:pPr>
      <w:r w:rsidRPr="005863A9">
        <w:rPr>
          <w:sz w:val="22"/>
          <w:szCs w:val="22"/>
        </w:rPr>
        <w:t>X.</w:t>
      </w:r>
      <w:r w:rsidRPr="005863A9">
        <w:rPr>
          <w:sz w:val="22"/>
          <w:szCs w:val="22"/>
        </w:rPr>
        <w:tab/>
        <w:t xml:space="preserve">En setiembre 2008, el Comité de Supervisión Bancaria de Basilea publicó los </w:t>
      </w:r>
      <w:r w:rsidRPr="005863A9">
        <w:rPr>
          <w:i/>
          <w:iCs/>
          <w:sz w:val="22"/>
          <w:szCs w:val="22"/>
        </w:rPr>
        <w:t>Principios para la adecuada gestión y supervisión del riesgo de liquidez</w:t>
      </w:r>
      <w:r w:rsidRPr="005863A9">
        <w:rPr>
          <w:sz w:val="22"/>
          <w:szCs w:val="22"/>
        </w:rPr>
        <w:t>, en este se define la liquidez como la capacidad que tiene una entidad para financiar aumentos de su volumen de activos y para cumplir sus obligaciones de pago al vencimiento, sin incurrir en pérdidas inaceptables. El papel crucial que desempeñan las entidades en el proceso de transformación de vencimientos, captando depósitos a corto plazo y concediendo créditos a largo plazo, les hace intrínsecamente vulnerables al riesgo de liquidez, tanto al propio de cada entidad como al que afecta al conjunto del mercado. La gestión del riesgo de liquidez es de suma importancia porque la falta de liquidez de una sola institución puede repercutir en todo el sistema.</w:t>
      </w:r>
    </w:p>
    <w:p w14:paraId="3F264A2E" w14:textId="77777777" w:rsidR="00645809" w:rsidRPr="00AA512A" w:rsidRDefault="00645809" w:rsidP="00645809">
      <w:pPr>
        <w:widowControl w:val="0"/>
        <w:ind w:left="851" w:hanging="851"/>
        <w:jc w:val="both"/>
      </w:pPr>
    </w:p>
    <w:p w14:paraId="3AF89B75" w14:textId="77777777" w:rsidR="00645809" w:rsidRPr="005863A9" w:rsidRDefault="00645809" w:rsidP="00645809">
      <w:pPr>
        <w:widowControl w:val="0"/>
        <w:ind w:left="851" w:hanging="851"/>
        <w:jc w:val="both"/>
        <w:rPr>
          <w:sz w:val="22"/>
          <w:szCs w:val="22"/>
        </w:rPr>
      </w:pPr>
      <w:r w:rsidRPr="005863A9">
        <w:rPr>
          <w:sz w:val="22"/>
          <w:szCs w:val="22"/>
        </w:rPr>
        <w:t>XI.</w:t>
      </w:r>
      <w:r w:rsidRPr="005863A9">
        <w:rPr>
          <w:sz w:val="22"/>
          <w:szCs w:val="22"/>
        </w:rPr>
        <w:tab/>
        <w:t xml:space="preserve">Los </w:t>
      </w:r>
      <w:hyperlink r:id="rId16" w:history="1">
        <w:r w:rsidRPr="005863A9">
          <w:rPr>
            <w:rStyle w:val="Hipervnculo"/>
            <w:i/>
            <w:iCs/>
            <w:sz w:val="22"/>
            <w:szCs w:val="22"/>
          </w:rPr>
          <w:t>Principios para la adecuada gestión y supervisión del riesgo de liquidez</w:t>
        </w:r>
      </w:hyperlink>
      <w:r w:rsidRPr="005863A9">
        <w:rPr>
          <w:i/>
          <w:sz w:val="22"/>
          <w:szCs w:val="22"/>
        </w:rPr>
        <w:t xml:space="preserve"> </w:t>
      </w:r>
      <w:r w:rsidRPr="005863A9">
        <w:rPr>
          <w:sz w:val="22"/>
          <w:szCs w:val="22"/>
        </w:rPr>
        <w:t>definen el riesgo de liquidez de fondos como el riesgo de que la entidad no sea capaz de hacer frente eficientemente a flujos de caja previstos e imprevistos, presentes y futuros, así como a aportaciones de garantías resultantes de sus obligaciones de pago, sin que se vea afectada su operativa diaria o su situación financiera.</w:t>
      </w:r>
    </w:p>
    <w:p w14:paraId="6E709BB0" w14:textId="77777777" w:rsidR="00645809" w:rsidRPr="00AA512A" w:rsidRDefault="00645809" w:rsidP="00645809">
      <w:pPr>
        <w:widowControl w:val="0"/>
        <w:ind w:left="851" w:hanging="851"/>
        <w:jc w:val="both"/>
      </w:pPr>
    </w:p>
    <w:p w14:paraId="71119403" w14:textId="77777777" w:rsidR="00645809" w:rsidRPr="005863A9" w:rsidRDefault="00645809" w:rsidP="00645809">
      <w:pPr>
        <w:widowControl w:val="0"/>
        <w:ind w:left="851" w:hanging="851"/>
        <w:jc w:val="both"/>
        <w:rPr>
          <w:sz w:val="22"/>
          <w:szCs w:val="22"/>
        </w:rPr>
      </w:pPr>
      <w:r w:rsidRPr="005863A9">
        <w:rPr>
          <w:sz w:val="22"/>
          <w:szCs w:val="22"/>
        </w:rPr>
        <w:t>XII.</w:t>
      </w:r>
      <w:r w:rsidRPr="005863A9">
        <w:rPr>
          <w:sz w:val="22"/>
          <w:szCs w:val="22"/>
        </w:rPr>
        <w:tab/>
        <w:t>Los</w:t>
      </w:r>
      <w:r w:rsidRPr="005863A9">
        <w:rPr>
          <w:i/>
          <w:iCs/>
          <w:sz w:val="22"/>
          <w:szCs w:val="22"/>
        </w:rPr>
        <w:t xml:space="preserve"> </w:t>
      </w:r>
      <w:hyperlink r:id="rId17" w:history="1">
        <w:r w:rsidRPr="005863A9">
          <w:rPr>
            <w:rStyle w:val="Hipervnculo"/>
            <w:i/>
            <w:iCs/>
            <w:sz w:val="22"/>
            <w:szCs w:val="22"/>
          </w:rPr>
          <w:t>Principios para la adecuada gestión y supervisión del riesgo de liquidez</w:t>
        </w:r>
      </w:hyperlink>
      <w:r w:rsidRPr="005863A9">
        <w:rPr>
          <w:i/>
          <w:sz w:val="22"/>
          <w:szCs w:val="22"/>
        </w:rPr>
        <w:t xml:space="preserve"> </w:t>
      </w:r>
      <w:r w:rsidRPr="005863A9">
        <w:rPr>
          <w:sz w:val="22"/>
          <w:szCs w:val="22"/>
        </w:rPr>
        <w:t>son considerados de especial relevancia en este proyecto, ya que establecen elementos claves que deben ser tomados en consideración para gestionar y supervisar el riesgo de liquidez. Seguidamente se hace referencia a los principios 1, 6, 7 y 12.</w:t>
      </w:r>
    </w:p>
    <w:p w14:paraId="4A6838A4" w14:textId="77777777" w:rsidR="00645809" w:rsidRPr="00AA512A" w:rsidRDefault="00645809" w:rsidP="00645809">
      <w:pPr>
        <w:widowControl w:val="0"/>
        <w:ind w:left="851" w:hanging="851"/>
        <w:jc w:val="both"/>
      </w:pPr>
    </w:p>
    <w:p w14:paraId="1B51C7AB" w14:textId="0073A3FA" w:rsidR="00645809" w:rsidRDefault="00645809" w:rsidP="00645809">
      <w:pPr>
        <w:widowControl w:val="0"/>
        <w:ind w:left="1134" w:right="903"/>
        <w:jc w:val="both"/>
        <w:rPr>
          <w:i/>
          <w:sz w:val="22"/>
          <w:szCs w:val="22"/>
        </w:rPr>
      </w:pPr>
      <w:r w:rsidRPr="005863A9">
        <w:rPr>
          <w:b/>
          <w:bCs/>
          <w:i/>
          <w:iCs/>
          <w:sz w:val="22"/>
          <w:szCs w:val="22"/>
        </w:rPr>
        <w:t>“Principio 1:</w:t>
      </w:r>
      <w:r w:rsidRPr="005863A9">
        <w:rPr>
          <w:i/>
          <w:iCs/>
          <w:sz w:val="22"/>
          <w:szCs w:val="22"/>
        </w:rPr>
        <w:t xml:space="preserve"> El banco es responsable de la buena gestión del riesgo de liquidez. El banco deberá establecer un robusto marco de gestión del riesgo de liquidez que </w:t>
      </w:r>
      <w:r w:rsidRPr="005863A9">
        <w:rPr>
          <w:i/>
          <w:iCs/>
          <w:sz w:val="22"/>
          <w:szCs w:val="22"/>
        </w:rPr>
        <w:lastRenderedPageBreak/>
        <w:t>garantice que la entidad mantiene liquidez suficiente, incluido un colchón de activos líquidos de alta calidad y libres de cargas, con la que hacer frente a una serie de eventos generadores de tensiones, incluidos los que ocasionan la pérdida o el deterioro de fuentes de financiamiento, tanto garantizadas como no garantizadas. Los supervisores deberán evaluar la suficiencia tanto del marco de gestión del riesgo de liquidez del banco como de su posición de liquidez. Asimismo, deberán adoptar las medidas oportunas si detectan deficiencias en cualquiera de estas áreas, con el fin de proteger a los depositantes y limitar posibles daños sobre el sistema financiero.”</w:t>
      </w:r>
    </w:p>
    <w:p w14:paraId="6F6650CF" w14:textId="77777777" w:rsidR="00AA512A" w:rsidRPr="005863A9" w:rsidRDefault="00AA512A" w:rsidP="00645809">
      <w:pPr>
        <w:widowControl w:val="0"/>
        <w:ind w:left="1134" w:right="903"/>
        <w:jc w:val="both"/>
        <w:rPr>
          <w:sz w:val="22"/>
          <w:szCs w:val="22"/>
        </w:rPr>
      </w:pPr>
    </w:p>
    <w:p w14:paraId="2B65A7AA" w14:textId="69814A7C" w:rsidR="00645809" w:rsidRPr="005863A9" w:rsidRDefault="000C7616" w:rsidP="00645809">
      <w:pPr>
        <w:widowControl w:val="0"/>
        <w:ind w:left="1134" w:right="903"/>
        <w:jc w:val="both"/>
        <w:rPr>
          <w:i/>
          <w:iCs/>
          <w:sz w:val="22"/>
          <w:szCs w:val="22"/>
        </w:rPr>
      </w:pPr>
      <w:r w:rsidRPr="000C7616">
        <w:rPr>
          <w:b/>
          <w:bCs/>
          <w:i/>
          <w:iCs/>
          <w:sz w:val="22"/>
          <w:szCs w:val="22"/>
        </w:rPr>
        <w:t>“</w:t>
      </w:r>
      <w:r w:rsidR="00645809" w:rsidRPr="005863A9">
        <w:rPr>
          <w:b/>
          <w:bCs/>
          <w:i/>
          <w:iCs/>
          <w:sz w:val="22"/>
          <w:szCs w:val="22"/>
        </w:rPr>
        <w:t>Principio 6</w:t>
      </w:r>
      <w:r w:rsidR="00645809" w:rsidRPr="005863A9">
        <w:rPr>
          <w:i/>
          <w:iCs/>
          <w:sz w:val="22"/>
          <w:szCs w:val="22"/>
        </w:rPr>
        <w:t>: El banco deberá vigilar y controlar de forma activa las exposiciones al riesgo de liquidez y las necesidades de financiamiento dentro de cada entidad jurídica, línea de negocio y divisa, así como entre éstas, teniendo en cuenta las limitaciones de índole jurídica, regulatoria y operativa a la capacidad de transferir liquidez</w:t>
      </w:r>
      <w:r>
        <w:rPr>
          <w:i/>
          <w:iCs/>
          <w:sz w:val="22"/>
          <w:szCs w:val="22"/>
        </w:rPr>
        <w:t>.”</w:t>
      </w:r>
    </w:p>
    <w:p w14:paraId="02D91515" w14:textId="77777777" w:rsidR="000C7616" w:rsidRPr="005863A9" w:rsidRDefault="000C7616" w:rsidP="00645809">
      <w:pPr>
        <w:widowControl w:val="0"/>
        <w:ind w:left="1134" w:right="903"/>
        <w:jc w:val="both"/>
        <w:rPr>
          <w:i/>
          <w:iCs/>
          <w:sz w:val="22"/>
          <w:szCs w:val="22"/>
        </w:rPr>
      </w:pPr>
    </w:p>
    <w:p w14:paraId="75DDF59A" w14:textId="5D0A820C" w:rsidR="00645809" w:rsidRPr="005863A9" w:rsidRDefault="00645809" w:rsidP="00645809">
      <w:pPr>
        <w:widowControl w:val="0"/>
        <w:ind w:left="1134" w:right="903"/>
        <w:jc w:val="both"/>
        <w:rPr>
          <w:i/>
          <w:iCs/>
          <w:sz w:val="22"/>
          <w:szCs w:val="22"/>
        </w:rPr>
      </w:pPr>
      <w:r w:rsidRPr="000C7616">
        <w:rPr>
          <w:b/>
          <w:i/>
          <w:sz w:val="22"/>
          <w:szCs w:val="22"/>
        </w:rPr>
        <w:t>“</w:t>
      </w:r>
      <w:r w:rsidRPr="005863A9">
        <w:rPr>
          <w:b/>
          <w:bCs/>
          <w:i/>
          <w:iCs/>
          <w:sz w:val="22"/>
          <w:szCs w:val="22"/>
        </w:rPr>
        <w:t>Principio 7:</w:t>
      </w:r>
      <w:r w:rsidRPr="005863A9">
        <w:rPr>
          <w:i/>
          <w:iCs/>
          <w:sz w:val="22"/>
          <w:szCs w:val="22"/>
        </w:rPr>
        <w:t xml:space="preserve"> El banco deberá establecer una estrategia de financiamiento que ofrezca una eficaz diversificación de las fuentes y plazos de vencimiento del financiamiento. Asimismo, deberá mantener una presencia continua en los mercados de financiamiento elegidos y estrechas relaciones con los proveedores de fondos, a fin de promover una eficaz diversificación de las fuentes de financiamiento. El banco deberá calibrar periódicamente su capacidad para obtener con presteza fondos de cada fuente. Además, deberá identificar los principales factores que afectan a su capacidad de captar fondos, vigilándolos estrechamente para asegurarse de la vigencia de las estimaciones sobre su capacidad para obtener financiamiento.”</w:t>
      </w:r>
    </w:p>
    <w:p w14:paraId="772BE1C5" w14:textId="77777777" w:rsidR="000C7616" w:rsidRPr="005863A9" w:rsidRDefault="000C7616" w:rsidP="00645809">
      <w:pPr>
        <w:widowControl w:val="0"/>
        <w:ind w:left="1134" w:right="903"/>
        <w:jc w:val="both"/>
        <w:rPr>
          <w:i/>
          <w:iCs/>
          <w:sz w:val="22"/>
          <w:szCs w:val="22"/>
        </w:rPr>
      </w:pPr>
    </w:p>
    <w:p w14:paraId="5F2414C5" w14:textId="2AEC3D24" w:rsidR="00645809" w:rsidRPr="005863A9" w:rsidRDefault="00645809" w:rsidP="00645809">
      <w:pPr>
        <w:widowControl w:val="0"/>
        <w:ind w:left="1134" w:right="903"/>
        <w:jc w:val="both"/>
        <w:rPr>
          <w:i/>
          <w:iCs/>
          <w:sz w:val="22"/>
          <w:szCs w:val="22"/>
        </w:rPr>
      </w:pPr>
      <w:r w:rsidRPr="000C7616">
        <w:rPr>
          <w:b/>
          <w:i/>
          <w:sz w:val="22"/>
          <w:szCs w:val="22"/>
        </w:rPr>
        <w:t>“</w:t>
      </w:r>
      <w:r w:rsidRPr="005863A9">
        <w:rPr>
          <w:b/>
          <w:bCs/>
          <w:i/>
          <w:iCs/>
          <w:sz w:val="22"/>
          <w:szCs w:val="22"/>
        </w:rPr>
        <w:t>Principio 12</w:t>
      </w:r>
      <w:r w:rsidRPr="005863A9">
        <w:rPr>
          <w:i/>
          <w:iCs/>
          <w:sz w:val="22"/>
          <w:szCs w:val="22"/>
        </w:rPr>
        <w:t>: El banco deberá mantener un colchón de activos líquidos de alta calidad y libres de cargas como seguro frente a una serie de escenarios de tensiones de liquidez, incluidos los que implican la pérdida o el deterioro de fuentes de financiamiento garantizada habitualmente disponibles. No deberá existir ningún obstáculo de índole jurídica, regulatoria u operativa que impida utilizar estos activos para obtener financiamiento.”</w:t>
      </w:r>
    </w:p>
    <w:p w14:paraId="063DC547" w14:textId="77777777" w:rsidR="00645809" w:rsidRPr="005863A9" w:rsidRDefault="00645809" w:rsidP="00645809">
      <w:pPr>
        <w:widowControl w:val="0"/>
        <w:ind w:left="1134" w:right="903"/>
        <w:jc w:val="both"/>
        <w:rPr>
          <w:i/>
          <w:iCs/>
          <w:sz w:val="22"/>
          <w:szCs w:val="22"/>
        </w:rPr>
      </w:pPr>
    </w:p>
    <w:p w14:paraId="0AC5E400" w14:textId="77777777" w:rsidR="00645809" w:rsidRPr="005863A9" w:rsidRDefault="00645809" w:rsidP="00645809">
      <w:pPr>
        <w:widowControl w:val="0"/>
        <w:ind w:left="851" w:hanging="851"/>
        <w:jc w:val="both"/>
        <w:rPr>
          <w:sz w:val="22"/>
          <w:szCs w:val="22"/>
        </w:rPr>
      </w:pPr>
      <w:r w:rsidRPr="005863A9">
        <w:rPr>
          <w:sz w:val="22"/>
          <w:szCs w:val="22"/>
        </w:rPr>
        <w:t>XIII.</w:t>
      </w:r>
      <w:r w:rsidRPr="005863A9">
        <w:rPr>
          <w:sz w:val="22"/>
          <w:szCs w:val="22"/>
        </w:rPr>
        <w:tab/>
        <w:t xml:space="preserve">En diciembre 2010, el Comité de Supervisión Bancaria de Basilea publicó el </w:t>
      </w:r>
      <w:r w:rsidRPr="005863A9">
        <w:rPr>
          <w:i/>
          <w:iCs/>
          <w:sz w:val="22"/>
          <w:szCs w:val="22"/>
        </w:rPr>
        <w:t>Marco internacional para la medición, normalización y seguimiento del Riesgo de Liquidez</w:t>
      </w:r>
      <w:r w:rsidRPr="005863A9">
        <w:rPr>
          <w:sz w:val="22"/>
          <w:szCs w:val="22"/>
        </w:rPr>
        <w:t>, el cual viene a reforzar la regulación internacional sobre liquidez, con el propósito de promover una mayor resistencia del sector bancario. El objetivo de esta reforma es mejorar la capacidad del sector bancario para hacer frente a perturbaciones procedentes de tensiones financieras, económicas o de cualquier tipo, reduciendo con ello el riesgo de contagio desde el sector financiero hacia la economía.</w:t>
      </w:r>
    </w:p>
    <w:p w14:paraId="64C8981C" w14:textId="77777777" w:rsidR="00645809" w:rsidRPr="005863A9" w:rsidRDefault="00645809" w:rsidP="00645809">
      <w:pPr>
        <w:widowControl w:val="0"/>
        <w:ind w:left="851" w:hanging="851"/>
        <w:jc w:val="both"/>
        <w:rPr>
          <w:sz w:val="22"/>
          <w:szCs w:val="22"/>
        </w:rPr>
      </w:pPr>
    </w:p>
    <w:p w14:paraId="7E804847" w14:textId="77777777" w:rsidR="00645809" w:rsidRPr="005863A9" w:rsidRDefault="00645809" w:rsidP="00645809">
      <w:pPr>
        <w:widowControl w:val="0"/>
        <w:ind w:left="851" w:hanging="851"/>
        <w:jc w:val="both"/>
        <w:rPr>
          <w:sz w:val="22"/>
          <w:szCs w:val="22"/>
        </w:rPr>
      </w:pPr>
      <w:r w:rsidRPr="005863A9">
        <w:rPr>
          <w:sz w:val="22"/>
          <w:szCs w:val="22"/>
        </w:rPr>
        <w:t>XIV.</w:t>
      </w:r>
      <w:r w:rsidRPr="005863A9">
        <w:rPr>
          <w:sz w:val="22"/>
          <w:szCs w:val="22"/>
        </w:rPr>
        <w:tab/>
        <w:t xml:space="preserve">El </w:t>
      </w:r>
      <w:r w:rsidRPr="005863A9">
        <w:rPr>
          <w:i/>
          <w:iCs/>
          <w:sz w:val="22"/>
          <w:szCs w:val="22"/>
        </w:rPr>
        <w:t>Marco internacional para la medición, normalización y seguimiento del Riesgo de Liquidez,</w:t>
      </w:r>
      <w:r w:rsidRPr="005863A9">
        <w:rPr>
          <w:sz w:val="22"/>
          <w:szCs w:val="22"/>
        </w:rPr>
        <w:t xml:space="preserve"> introduce dos estándares de liquidez: el </w:t>
      </w:r>
      <w:r w:rsidRPr="005863A9">
        <w:rPr>
          <w:i/>
          <w:iCs/>
          <w:sz w:val="22"/>
          <w:szCs w:val="22"/>
        </w:rPr>
        <w:t>Índice de Cobertura de Liquidez</w:t>
      </w:r>
      <w:r w:rsidRPr="005863A9">
        <w:rPr>
          <w:sz w:val="22"/>
          <w:szCs w:val="22"/>
        </w:rPr>
        <w:t xml:space="preserve"> (ICL) y el </w:t>
      </w:r>
      <w:r w:rsidRPr="005863A9">
        <w:rPr>
          <w:i/>
          <w:iCs/>
          <w:sz w:val="22"/>
          <w:szCs w:val="22"/>
        </w:rPr>
        <w:t>Índice de Financiamiento Neto Estable</w:t>
      </w:r>
      <w:r w:rsidRPr="005863A9">
        <w:rPr>
          <w:sz w:val="22"/>
          <w:szCs w:val="22"/>
        </w:rPr>
        <w:t xml:space="preserve"> (IFNE). Estos estándares persiguen objetivos distintos pero complementarios. El primero promueve la resistencia a corto plazo del perfil del riesgo de liquidez de una entidad garantizando que tenga suficientes activos líquidos de alta calidad para superar un episodio de tensión significativo durante todo un mes. El segundo indicador tiene como objetivo promover la resistencia a más largo plazo, creando incentivos para que las entidades acudan a fuentes de financiamiento más estables. Se ha diseñado para hacer sostenible la estructura de plazos de los activos y pasivos.</w:t>
      </w:r>
    </w:p>
    <w:p w14:paraId="1A61D165" w14:textId="77777777" w:rsidR="00645809" w:rsidRPr="005863A9" w:rsidRDefault="00645809" w:rsidP="00645809">
      <w:pPr>
        <w:widowControl w:val="0"/>
        <w:ind w:left="851" w:hanging="851"/>
        <w:jc w:val="both"/>
        <w:rPr>
          <w:sz w:val="22"/>
          <w:szCs w:val="22"/>
        </w:rPr>
      </w:pPr>
    </w:p>
    <w:p w14:paraId="35AABE13" w14:textId="77777777" w:rsidR="00645809" w:rsidRPr="005863A9" w:rsidRDefault="00645809" w:rsidP="00645809">
      <w:pPr>
        <w:widowControl w:val="0"/>
        <w:ind w:left="851" w:hanging="851"/>
        <w:jc w:val="both"/>
        <w:rPr>
          <w:sz w:val="22"/>
          <w:szCs w:val="22"/>
        </w:rPr>
      </w:pPr>
      <w:r w:rsidRPr="005863A9">
        <w:rPr>
          <w:sz w:val="22"/>
          <w:szCs w:val="22"/>
        </w:rPr>
        <w:t>XV.</w:t>
      </w:r>
      <w:r w:rsidRPr="005863A9">
        <w:rPr>
          <w:sz w:val="22"/>
          <w:szCs w:val="22"/>
        </w:rPr>
        <w:tab/>
        <w:t>El IFNE establece un importe mínimo aceptable de financiamiento estable en función de las características de liquidez de los activos y actividades de la entidad en un horizonte temporal de un año. Este indicador se estructura para garantizar que los activos de largo plazo se financien con un mínimo de pasivos estables acorde con el perfil de riesgo de liquidez de la entidad. El IFNE busca limitar una dependencia excesiva de financiamiento mayorista a corto plazo durante periodos de abundante liquidez en el mercado y fomentar una evaluación más certera del riesgo de liquidez de todas las partidas de dentro y fuera de balance.</w:t>
      </w:r>
    </w:p>
    <w:p w14:paraId="724AA316" w14:textId="77777777" w:rsidR="00645809" w:rsidRPr="005863A9" w:rsidRDefault="00645809" w:rsidP="00645809">
      <w:pPr>
        <w:widowControl w:val="0"/>
        <w:ind w:left="851" w:hanging="851"/>
        <w:jc w:val="both"/>
        <w:rPr>
          <w:sz w:val="22"/>
          <w:szCs w:val="22"/>
        </w:rPr>
      </w:pPr>
    </w:p>
    <w:p w14:paraId="345F6812" w14:textId="77777777" w:rsidR="00645809" w:rsidRPr="005863A9" w:rsidRDefault="00645809" w:rsidP="00645809">
      <w:pPr>
        <w:widowControl w:val="0"/>
        <w:ind w:left="851" w:hanging="851"/>
        <w:jc w:val="both"/>
        <w:rPr>
          <w:sz w:val="22"/>
          <w:szCs w:val="22"/>
        </w:rPr>
      </w:pPr>
      <w:r w:rsidRPr="005863A9">
        <w:rPr>
          <w:sz w:val="22"/>
          <w:szCs w:val="22"/>
        </w:rPr>
        <w:t>XVI.</w:t>
      </w:r>
      <w:r w:rsidRPr="005863A9">
        <w:rPr>
          <w:sz w:val="22"/>
          <w:szCs w:val="22"/>
        </w:rPr>
        <w:tab/>
        <w:t>El Comité de Supervisión Bancaria de Basilea define IFNE como el resultado entre la cantidad de financiamiento estable disponible (FED) y la cantidad de financiamiento estable requerido (FER). Este resultado debe ser como mínimo del 100% en todo momento. El FED se define como la proporción de los recursos propios y ajenos que se espera sean estables durante el horizonte temporal considerado por el IFNE, es decir un año. El FER está en función del perfil de liquidez de los activos del balance, así como de las exposiciones fuera de balance de la entidad financiera.</w:t>
      </w:r>
    </w:p>
    <w:p w14:paraId="4B2855BA" w14:textId="77777777" w:rsidR="00645809" w:rsidRPr="005863A9" w:rsidRDefault="00645809" w:rsidP="00645809">
      <w:pPr>
        <w:widowControl w:val="0"/>
        <w:ind w:left="851" w:hanging="851"/>
        <w:jc w:val="both"/>
        <w:rPr>
          <w:sz w:val="22"/>
          <w:szCs w:val="22"/>
        </w:rPr>
      </w:pPr>
    </w:p>
    <w:p w14:paraId="656D9C95" w14:textId="77777777" w:rsidR="00645809" w:rsidRPr="005863A9" w:rsidRDefault="00645809" w:rsidP="00645809">
      <w:pPr>
        <w:widowControl w:val="0"/>
        <w:ind w:left="567" w:hanging="567"/>
        <w:rPr>
          <w:sz w:val="22"/>
          <w:szCs w:val="22"/>
        </w:rPr>
      </w:pPr>
      <m:oMathPara>
        <m:oMathParaPr>
          <m:jc m:val="centerGroup"/>
        </m:oMathParaPr>
        <m:oMath>
          <m:r>
            <m:rPr>
              <m:sty m:val="b"/>
            </m:rPr>
            <w:rPr>
              <w:rFonts w:ascii="Cambria Math" w:hAnsi="Cambria Math"/>
              <w:sz w:val="22"/>
              <w:szCs w:val="22"/>
              <w:lang w:val="es-MX"/>
            </w:rPr>
            <m:t>IFNE</m:t>
          </m:r>
          <m:r>
            <m:rPr>
              <m:sty m:val="bi"/>
            </m:rPr>
            <w:rPr>
              <w:rFonts w:ascii="Cambria Math" w:hAnsi="Cambria Math"/>
              <w:sz w:val="22"/>
              <w:szCs w:val="22"/>
            </w:rPr>
            <m:t>=</m:t>
          </m:r>
          <m:f>
            <m:fPr>
              <m:ctrlPr>
                <w:rPr>
                  <w:rFonts w:ascii="Cambria Math" w:hAnsi="Cambria Math"/>
                  <w:i/>
                  <w:iCs/>
                  <w:sz w:val="22"/>
                  <w:szCs w:val="22"/>
                </w:rPr>
              </m:ctrlPr>
            </m:fPr>
            <m:num>
              <m:r>
                <m:rPr>
                  <m:sty m:val="p"/>
                </m:rPr>
                <w:rPr>
                  <w:rFonts w:ascii="Cambria Math" w:hAnsi="Cambria Math"/>
                  <w:sz w:val="22"/>
                  <w:szCs w:val="22"/>
                  <w:lang w:val="es-MX"/>
                </w:rPr>
                <m:t>Financiamiento Estable Disponible (FED)</m:t>
              </m:r>
            </m:num>
            <m:den>
              <m:r>
                <m:rPr>
                  <m:sty m:val="p"/>
                </m:rPr>
                <w:rPr>
                  <w:rFonts w:ascii="Cambria Math" w:hAnsi="Cambria Math"/>
                  <w:sz w:val="22"/>
                  <w:szCs w:val="22"/>
                  <w:lang w:val="es-MX"/>
                </w:rPr>
                <m:t>Financiamiento Estable Requerido (FER)</m:t>
              </m:r>
            </m:den>
          </m:f>
          <m:r>
            <w:rPr>
              <w:rFonts w:ascii="Cambria Math" w:hAnsi="Cambria Math"/>
              <w:sz w:val="22"/>
              <w:szCs w:val="22"/>
            </w:rPr>
            <m:t>≥</m:t>
          </m:r>
          <m:r>
            <w:rPr>
              <w:rFonts w:ascii="Cambria Math" w:hAnsi="Cambria Math"/>
              <w:sz w:val="22"/>
              <w:szCs w:val="22"/>
              <w:lang w:val="es-MX"/>
            </w:rPr>
            <m:t>1.00</m:t>
          </m:r>
        </m:oMath>
      </m:oMathPara>
    </w:p>
    <w:p w14:paraId="391CDC11" w14:textId="77777777" w:rsidR="00645809" w:rsidRPr="005863A9" w:rsidRDefault="00645809" w:rsidP="00645809">
      <w:pPr>
        <w:widowControl w:val="0"/>
        <w:ind w:left="851" w:hanging="851"/>
        <w:jc w:val="both"/>
        <w:rPr>
          <w:sz w:val="22"/>
          <w:szCs w:val="22"/>
        </w:rPr>
      </w:pPr>
    </w:p>
    <w:p w14:paraId="23334D26" w14:textId="77777777" w:rsidR="00645809" w:rsidRPr="005863A9" w:rsidRDefault="00645809" w:rsidP="00645809">
      <w:pPr>
        <w:widowControl w:val="0"/>
        <w:ind w:left="851" w:hanging="851"/>
        <w:jc w:val="both"/>
        <w:rPr>
          <w:sz w:val="22"/>
          <w:szCs w:val="22"/>
        </w:rPr>
      </w:pPr>
      <w:r w:rsidRPr="005863A9">
        <w:rPr>
          <w:sz w:val="22"/>
          <w:szCs w:val="22"/>
        </w:rPr>
        <w:t>XVII.</w:t>
      </w:r>
      <w:r w:rsidRPr="005863A9">
        <w:rPr>
          <w:sz w:val="22"/>
          <w:szCs w:val="22"/>
        </w:rPr>
        <w:tab/>
        <w:t>Las cantidades de FED y el FER son calibrados para reflejar el posible grado de estabilidad de los pasivos y la liquidez de los activos. La estabilidad de los pasivos se calibra en dos dimensiones: a) el plazo de vencimiento del financiamiento, de forma que los pasivos a largo plazo se consideran más estables que los pasivos a corto plazo y b) el tipo de financiamiento y contraparte, bajo el supuesto de que los depósitos a corto plazo (inferiores a un año) efectuados por clientes minoristas y el financiamiento provisto por empresas pequeñas presentan un comportamiento más estable que el financiamiento mayorista con el mismo vencimiento procedente de otras contrapartes.  Además, los activos, toman en consideración los siguientes criterios: a) creación de crédito resiliente (crédito concedido a la economía real, a fin de garantizar la continuidad de este tipo de intermediación), b) conducta bancaria (supuesto de que los bancos podrían tratar de renovar una parte significativa de los créditos al vencimiento para mantener las relaciones con sus clientes), c) plazo de vencimiento de los activos, y d) calidad y valor de liquidación de los activos. Las calibraciones incluidas en esta propuesta se ajustan a los estándares definidos por el Comité de Supervisión Bancaria de Basilea. En algunos aspectos se incluyeron recalibraciones para adecuar los factores a características locales. Por ejemplo, en el cálculo del FER se aplica un factor de 85% para la cartera de crédito de vivienda, diferente al 65% indicado por Basilea cuando se aplica el Enfoque Estándar en Capital. Este ajuste se sustenta en cálculos de la SUGEF que indican que luego de transcurrido el plazo de un año, permanece en balance el 85% en promedio de la cartera de crédito, por lo que se considera que este sería el porcentaje de la cartera a la fecha de cálculo que estaría requiriendo financiamiento con fuentes estables.</w:t>
      </w:r>
    </w:p>
    <w:p w14:paraId="02235D89" w14:textId="77777777" w:rsidR="00645809" w:rsidRPr="005863A9" w:rsidRDefault="00645809" w:rsidP="00645809">
      <w:pPr>
        <w:widowControl w:val="0"/>
        <w:ind w:left="851" w:hanging="851"/>
        <w:jc w:val="both"/>
        <w:rPr>
          <w:sz w:val="22"/>
          <w:szCs w:val="22"/>
        </w:rPr>
      </w:pPr>
    </w:p>
    <w:p w14:paraId="21C80320" w14:textId="77777777" w:rsidR="00645809" w:rsidRPr="005863A9" w:rsidRDefault="00645809" w:rsidP="00645809">
      <w:pPr>
        <w:widowControl w:val="0"/>
        <w:ind w:left="851" w:hanging="851"/>
        <w:jc w:val="both"/>
        <w:rPr>
          <w:sz w:val="22"/>
          <w:szCs w:val="22"/>
        </w:rPr>
      </w:pPr>
      <w:r w:rsidRPr="005863A9">
        <w:rPr>
          <w:sz w:val="22"/>
          <w:szCs w:val="22"/>
        </w:rPr>
        <w:t>XVIII.</w:t>
      </w:r>
      <w:r w:rsidRPr="005863A9">
        <w:rPr>
          <w:sz w:val="22"/>
          <w:szCs w:val="22"/>
        </w:rPr>
        <w:tab/>
        <w:t>El IFNE considera fuentes adicionales de financiamiento estable para respaldar una parte de las posibles necesidades de liquidez que resulten de las posiciones fuera de balance y financiamiento contingente. Si bien, muchos de los posibles riesgos de liquidez de este tipo de operaciones escasamente requieren financiamiento directo e inmediato, estas operaciones pueden generar salidas de liquidez durante un horizonte de tiempo muy prolongado. En consecuencia, el IFNE busca garantizar que las entidades mantienen financiamiento estable para la proporción de las posiciones fuera de balance que se espera podrían requerir financiamiento dentro de un horizonte temporal de un año.</w:t>
      </w:r>
    </w:p>
    <w:p w14:paraId="112C9881" w14:textId="77777777" w:rsidR="00645809" w:rsidRPr="005863A9" w:rsidRDefault="00645809" w:rsidP="00645809">
      <w:pPr>
        <w:widowControl w:val="0"/>
        <w:ind w:left="851" w:hanging="851"/>
        <w:jc w:val="both"/>
        <w:rPr>
          <w:sz w:val="22"/>
          <w:szCs w:val="22"/>
        </w:rPr>
      </w:pPr>
    </w:p>
    <w:p w14:paraId="76E347FB" w14:textId="77777777" w:rsidR="00645809" w:rsidRPr="005863A9" w:rsidRDefault="00645809" w:rsidP="00645809">
      <w:pPr>
        <w:widowControl w:val="0"/>
        <w:ind w:left="567" w:hanging="567"/>
        <w:jc w:val="both"/>
        <w:rPr>
          <w:b/>
          <w:bCs/>
          <w:sz w:val="22"/>
          <w:szCs w:val="22"/>
        </w:rPr>
      </w:pPr>
      <w:r w:rsidRPr="005863A9">
        <w:rPr>
          <w:b/>
          <w:bCs/>
          <w:sz w:val="22"/>
          <w:szCs w:val="22"/>
        </w:rPr>
        <w:t>Consideración sobre aplicación diferenciada</w:t>
      </w:r>
    </w:p>
    <w:p w14:paraId="084D4E17" w14:textId="77777777" w:rsidR="00645809" w:rsidRPr="005863A9" w:rsidRDefault="00645809" w:rsidP="00645809">
      <w:pPr>
        <w:widowControl w:val="0"/>
        <w:ind w:left="567" w:hanging="567"/>
        <w:jc w:val="both"/>
        <w:rPr>
          <w:sz w:val="22"/>
          <w:szCs w:val="22"/>
        </w:rPr>
      </w:pPr>
    </w:p>
    <w:p w14:paraId="18B97D08" w14:textId="77777777" w:rsidR="00645809" w:rsidRPr="005863A9" w:rsidRDefault="00645809" w:rsidP="00645809">
      <w:pPr>
        <w:widowControl w:val="0"/>
        <w:ind w:left="851" w:hanging="851"/>
        <w:jc w:val="both"/>
        <w:rPr>
          <w:sz w:val="22"/>
          <w:szCs w:val="22"/>
        </w:rPr>
      </w:pPr>
      <w:r w:rsidRPr="005863A9">
        <w:rPr>
          <w:sz w:val="22"/>
          <w:szCs w:val="22"/>
        </w:rPr>
        <w:t>XIX.</w:t>
      </w:r>
      <w:r w:rsidRPr="005863A9">
        <w:rPr>
          <w:sz w:val="22"/>
          <w:szCs w:val="22"/>
        </w:rPr>
        <w:tab/>
        <w:t xml:space="preserve">Se exceptúa de la aplicación de este Reglamento al Banco Hipotecario de la Vivienda (BANHVI) y a las cooperativas de ahorro y crédito que se ubican por debajo del umbral definido en el Artículo 2 de la Regulación Proporcional para Cooperativas de Ahorro y Crédito Supervisadas, Acuerdo SUGEF 25-23. Lo anterior, </w:t>
      </w:r>
      <w:proofErr w:type="gramStart"/>
      <w:r w:rsidRPr="005863A9">
        <w:rPr>
          <w:sz w:val="22"/>
          <w:szCs w:val="22"/>
        </w:rPr>
        <w:t>en razón de</w:t>
      </w:r>
      <w:proofErr w:type="gramEnd"/>
      <w:r w:rsidRPr="005863A9">
        <w:rPr>
          <w:sz w:val="22"/>
          <w:szCs w:val="22"/>
        </w:rPr>
        <w:t xml:space="preserve"> las características particulares del modelo de negocio del BANHVI, así como las características de tamaño y complejidad del conjunto de cooperativas alcanzadas por el Acuerdo SUGEF 25-23.</w:t>
      </w:r>
    </w:p>
    <w:p w14:paraId="1EFE69FC" w14:textId="77777777" w:rsidR="00645809" w:rsidRPr="005863A9" w:rsidRDefault="00645809" w:rsidP="00645809">
      <w:pPr>
        <w:widowControl w:val="0"/>
        <w:ind w:left="851" w:hanging="851"/>
        <w:jc w:val="both"/>
        <w:rPr>
          <w:sz w:val="22"/>
          <w:szCs w:val="22"/>
        </w:rPr>
      </w:pPr>
    </w:p>
    <w:p w14:paraId="2134A65D" w14:textId="30C81BEE" w:rsidR="00645809" w:rsidRPr="005863A9" w:rsidRDefault="00645809" w:rsidP="00645809">
      <w:pPr>
        <w:widowControl w:val="0"/>
        <w:ind w:left="851"/>
        <w:jc w:val="both"/>
        <w:rPr>
          <w:sz w:val="22"/>
          <w:szCs w:val="22"/>
        </w:rPr>
      </w:pPr>
      <w:r w:rsidRPr="005863A9">
        <w:rPr>
          <w:sz w:val="22"/>
          <w:szCs w:val="22"/>
        </w:rPr>
        <w:t xml:space="preserve">El principio de </w:t>
      </w:r>
      <w:r w:rsidR="000C7616">
        <w:rPr>
          <w:sz w:val="22"/>
          <w:szCs w:val="22"/>
        </w:rPr>
        <w:t>“</w:t>
      </w:r>
      <w:r w:rsidRPr="005863A9">
        <w:rPr>
          <w:sz w:val="22"/>
          <w:szCs w:val="22"/>
        </w:rPr>
        <w:t>proporcionalidad</w:t>
      </w:r>
      <w:r w:rsidR="000C7616">
        <w:rPr>
          <w:sz w:val="22"/>
          <w:szCs w:val="22"/>
        </w:rPr>
        <w:t>”</w:t>
      </w:r>
      <w:r w:rsidRPr="005863A9">
        <w:rPr>
          <w:sz w:val="22"/>
          <w:szCs w:val="22"/>
        </w:rPr>
        <w:t xml:space="preserve"> busca la manera de adaptar los requisitos reglamentarios a las entidades financieras de menor tamaño y complejidad, con el objetivo de reducir la carga operativa de esas entidades, sin pérdida de efectividad de la regulación y supervisión sobre ellas, y sin menoscabo del objetivo de velar por la estabilidad, la solidez y el eficiente funcionamiento del Sistema Financiero Nacional.</w:t>
      </w:r>
    </w:p>
    <w:p w14:paraId="7BDF1200" w14:textId="77777777" w:rsidR="00645809" w:rsidRPr="005863A9" w:rsidRDefault="00645809" w:rsidP="00645809">
      <w:pPr>
        <w:widowControl w:val="0"/>
        <w:ind w:left="851"/>
        <w:jc w:val="both"/>
        <w:rPr>
          <w:sz w:val="22"/>
          <w:szCs w:val="22"/>
        </w:rPr>
      </w:pPr>
    </w:p>
    <w:p w14:paraId="37C2907F" w14:textId="77777777" w:rsidR="00645809" w:rsidRPr="005863A9" w:rsidRDefault="00645809" w:rsidP="00645809">
      <w:pPr>
        <w:widowControl w:val="0"/>
        <w:ind w:left="567" w:hanging="567"/>
        <w:jc w:val="both"/>
        <w:rPr>
          <w:b/>
          <w:bCs/>
          <w:sz w:val="22"/>
          <w:szCs w:val="22"/>
        </w:rPr>
      </w:pPr>
      <w:r w:rsidRPr="005863A9">
        <w:rPr>
          <w:b/>
          <w:bCs/>
          <w:sz w:val="22"/>
          <w:szCs w:val="22"/>
        </w:rPr>
        <w:t>Consideración sobre gradualidad</w:t>
      </w:r>
    </w:p>
    <w:p w14:paraId="3E2E33C6" w14:textId="77777777" w:rsidR="00645809" w:rsidRPr="005863A9" w:rsidRDefault="00645809" w:rsidP="00645809">
      <w:pPr>
        <w:widowControl w:val="0"/>
        <w:ind w:left="567" w:hanging="567"/>
        <w:jc w:val="both"/>
        <w:rPr>
          <w:sz w:val="22"/>
          <w:szCs w:val="22"/>
        </w:rPr>
      </w:pPr>
    </w:p>
    <w:p w14:paraId="0D851264" w14:textId="77777777" w:rsidR="00645809" w:rsidRPr="005863A9" w:rsidRDefault="00645809" w:rsidP="00645809">
      <w:pPr>
        <w:widowControl w:val="0"/>
        <w:ind w:left="851" w:hanging="851"/>
        <w:jc w:val="both"/>
        <w:rPr>
          <w:sz w:val="22"/>
          <w:szCs w:val="22"/>
        </w:rPr>
      </w:pPr>
      <w:r w:rsidRPr="005863A9">
        <w:rPr>
          <w:sz w:val="22"/>
          <w:szCs w:val="22"/>
        </w:rPr>
        <w:t>XX.</w:t>
      </w:r>
      <w:r w:rsidRPr="005863A9">
        <w:rPr>
          <w:sz w:val="22"/>
          <w:szCs w:val="22"/>
        </w:rPr>
        <w:tab/>
        <w:t>Se establece la implementación gradual del IFNE, comenzando en el nivel mínimo de 70% para el 30 de septiembre de 2024 y aumentándose gradualmente hasta alcanzar el 100% para el 30 de septiembre de 2027. Tanto los resultados de la sensibilización realizada por la SUGEF como los resultados del ejercicio coordinado con las entidades muestran que sus posiciones estructurales permiten cumplir de manera generalizada con el nivel 100%. Sin embargo, se considera razonable establecer gradualidad para alcanzar el 100% del IFNE por las siguientes razones: i) las entidades se encuentran en la transición hacia la aplicación de nuevas regulaciones sobre cálculo de estimaciones crediticias a partir del primero de enero 2024 y la nueva definición de capital regulatorio a partir del primero de enero de 2025; ii) la hoja de ruta de regulación incluye nuevas áreas en desarrollo a ser implementadas en los próximos años, en temas como capital por riesgo de mercado, gestión de riesgos de ciberseguridad y gestión de riesgos ASG, entre otras; iii) las entidades deben identificar e implementar cambios estructurales con un enfoque dinámico que les permita garantizar que los activos de largo plazo se financien con un mínimo de pasivos estables acorde con el perfil de riesgo de liquidez de la entidad; iv) finalmente, debe preverse el efecto conjunto de las entidades implementando estrategias para la adecuación con el nuevo marco de regulación. Respecto al impacto, la gradualidad considera que el plazo establecido es razonable para que las entidades cumplan con los requerimientos y estructura que demanda la aplicación a la reforma reglamentaria realizada.</w:t>
      </w:r>
    </w:p>
    <w:p w14:paraId="451F498A" w14:textId="77777777" w:rsidR="00645809" w:rsidRPr="005863A9" w:rsidRDefault="00645809" w:rsidP="00645809">
      <w:pPr>
        <w:widowControl w:val="0"/>
        <w:ind w:left="851" w:hanging="851"/>
        <w:jc w:val="both"/>
        <w:rPr>
          <w:sz w:val="22"/>
          <w:szCs w:val="22"/>
        </w:rPr>
      </w:pPr>
    </w:p>
    <w:p w14:paraId="5C550A59" w14:textId="77777777" w:rsidR="00645809" w:rsidRPr="005863A9" w:rsidRDefault="00645809" w:rsidP="00645809">
      <w:pPr>
        <w:widowControl w:val="0"/>
        <w:ind w:left="567" w:hanging="567"/>
        <w:jc w:val="both"/>
        <w:rPr>
          <w:b/>
          <w:bCs/>
          <w:sz w:val="22"/>
          <w:szCs w:val="22"/>
        </w:rPr>
      </w:pPr>
      <w:r w:rsidRPr="005863A9">
        <w:rPr>
          <w:b/>
          <w:bCs/>
          <w:sz w:val="22"/>
          <w:szCs w:val="22"/>
        </w:rPr>
        <w:t>Consideraciones sobre depósitos estables</w:t>
      </w:r>
    </w:p>
    <w:p w14:paraId="457AE2A8" w14:textId="77777777" w:rsidR="00645809" w:rsidRPr="005863A9" w:rsidRDefault="00645809" w:rsidP="00645809">
      <w:pPr>
        <w:widowControl w:val="0"/>
        <w:ind w:left="567" w:hanging="567"/>
        <w:jc w:val="both"/>
        <w:rPr>
          <w:b/>
          <w:bCs/>
          <w:sz w:val="22"/>
          <w:szCs w:val="22"/>
        </w:rPr>
      </w:pPr>
    </w:p>
    <w:p w14:paraId="16561735" w14:textId="77777777" w:rsidR="00645809" w:rsidRPr="005863A9" w:rsidRDefault="00645809" w:rsidP="00645809">
      <w:pPr>
        <w:widowControl w:val="0"/>
        <w:ind w:left="851" w:hanging="851"/>
        <w:jc w:val="both"/>
        <w:rPr>
          <w:sz w:val="22"/>
          <w:szCs w:val="22"/>
        </w:rPr>
      </w:pPr>
      <w:r w:rsidRPr="005863A9">
        <w:rPr>
          <w:sz w:val="22"/>
          <w:szCs w:val="22"/>
        </w:rPr>
        <w:t>XXI.</w:t>
      </w:r>
      <w:r w:rsidRPr="005863A9">
        <w:rPr>
          <w:sz w:val="22"/>
          <w:szCs w:val="22"/>
        </w:rPr>
        <w:tab/>
        <w:t>El Comité de Supervisión Bancaria de Basilea establece el tratamiento tanto para el IFNE como para el ICL, de los depósitos minoristas y los depósitos efectuados por pequeñas empresas. Para estos efectos, se dividen en i) depósitos estables y ii) depósitos menos estables. Los depósitos estables corresponden al volumen de depósitos que se encuentran totalmente cubiertos por un mecanismo efectivo de seguro o garantía de depósitos. Este mecanismo debe ser eficaz y cumplir al menos lo siguiente: a) garantizar la capacidad para realizar desembolsos rápidos, b) contar con una cobertura claramente definida y c) ser conocido ampliamente por el público. Además, de acuerdo con lo establecido por Basilea, todos los depósitos que no están totalmente cubiertos deberán ser clasificados como depósitos menos estables. Otras consideraciones para valorar la estabilidad de los depósitos, tales como la intencionalidad al mantener depósitos denominados en moneda extranjera, o la posibilidad de movilizar fondos rápidamente mediante el uso de aplicaciones tecnológicas, obedecen a valoraciones según el modelo de negocio de cada entidad, y deben considerarse en sus propios análisis de estrés de liquidez.</w:t>
      </w:r>
    </w:p>
    <w:p w14:paraId="7FC50D5D" w14:textId="77777777" w:rsidR="00645809" w:rsidRPr="005863A9" w:rsidRDefault="00645809" w:rsidP="00645809">
      <w:pPr>
        <w:widowControl w:val="0"/>
        <w:ind w:left="851" w:hanging="851"/>
        <w:jc w:val="both"/>
        <w:rPr>
          <w:sz w:val="22"/>
          <w:szCs w:val="22"/>
        </w:rPr>
      </w:pPr>
    </w:p>
    <w:p w14:paraId="459EA311" w14:textId="77777777" w:rsidR="00645809" w:rsidRPr="005863A9" w:rsidRDefault="00645809" w:rsidP="00645809">
      <w:pPr>
        <w:widowControl w:val="0"/>
        <w:ind w:left="851" w:hanging="851"/>
        <w:jc w:val="both"/>
        <w:rPr>
          <w:sz w:val="22"/>
          <w:szCs w:val="22"/>
        </w:rPr>
      </w:pPr>
      <w:r w:rsidRPr="005863A9">
        <w:rPr>
          <w:sz w:val="22"/>
          <w:szCs w:val="22"/>
        </w:rPr>
        <w:t>XXII.</w:t>
      </w:r>
      <w:r w:rsidRPr="005863A9">
        <w:rPr>
          <w:sz w:val="22"/>
          <w:szCs w:val="22"/>
        </w:rPr>
        <w:tab/>
        <w:t xml:space="preserve">En el Alcance 19 al diario oficial La Gaceta 28 del 12 de febrero del 2020, fue publicada la </w:t>
      </w:r>
      <w:r w:rsidRPr="005863A9">
        <w:rPr>
          <w:i/>
          <w:iCs/>
          <w:sz w:val="22"/>
          <w:szCs w:val="22"/>
        </w:rPr>
        <w:t>Ley de Creación del Fondo de Garantía de Depósitos y de Mecanismos de Resolución de Intermediarios Financieros</w:t>
      </w:r>
      <w:r w:rsidRPr="005863A9">
        <w:rPr>
          <w:sz w:val="22"/>
          <w:szCs w:val="22"/>
        </w:rPr>
        <w:t>, Ley 9816. Dicha Ley tiene la finalidad de fortalecer y completar la red de seguridad financiera para contribuir a la estabilidad financiera, proteger los recursos de los pequeños ahorrantes y promover la confianza y la competitividad del Sistema Financiero Nacional.</w:t>
      </w:r>
    </w:p>
    <w:p w14:paraId="71E2ADCC" w14:textId="77777777" w:rsidR="00645809" w:rsidRPr="005863A9" w:rsidRDefault="00645809" w:rsidP="00645809">
      <w:pPr>
        <w:widowControl w:val="0"/>
        <w:ind w:left="851" w:hanging="851"/>
        <w:jc w:val="both"/>
        <w:rPr>
          <w:sz w:val="22"/>
          <w:szCs w:val="22"/>
        </w:rPr>
      </w:pPr>
    </w:p>
    <w:p w14:paraId="20325729" w14:textId="77777777" w:rsidR="00645809" w:rsidRPr="005863A9" w:rsidRDefault="00645809" w:rsidP="00645809">
      <w:pPr>
        <w:widowControl w:val="0"/>
        <w:ind w:left="851" w:hanging="851"/>
        <w:jc w:val="both"/>
        <w:rPr>
          <w:sz w:val="22"/>
          <w:szCs w:val="22"/>
        </w:rPr>
      </w:pPr>
      <w:r w:rsidRPr="005863A9">
        <w:rPr>
          <w:sz w:val="22"/>
          <w:szCs w:val="22"/>
        </w:rPr>
        <w:t>XXIII.</w:t>
      </w:r>
      <w:r w:rsidRPr="005863A9">
        <w:rPr>
          <w:sz w:val="22"/>
          <w:szCs w:val="22"/>
        </w:rPr>
        <w:tab/>
        <w:t xml:space="preserve">La Ley 9816 crea el </w:t>
      </w:r>
      <w:r w:rsidRPr="005863A9">
        <w:rPr>
          <w:i/>
          <w:iCs/>
          <w:sz w:val="22"/>
          <w:szCs w:val="22"/>
        </w:rPr>
        <w:t>Fondo de Garantía de Depósitos</w:t>
      </w:r>
      <w:r w:rsidRPr="005863A9">
        <w:rPr>
          <w:sz w:val="22"/>
          <w:szCs w:val="22"/>
        </w:rPr>
        <w:t xml:space="preserve"> (FGD), como un patrimonio autónomo, cuyo fin es el de garantizar, hasta cierto límite, los depósitos y ahorros que las personas físicas y jurídicas mantienen en las entidades contribuyentes, de conformidad con los términos y las condiciones establecidos en dicha Ley y en el Reglamento correspondiente.</w:t>
      </w:r>
    </w:p>
    <w:p w14:paraId="464670AC" w14:textId="77777777" w:rsidR="00645809" w:rsidRPr="005863A9" w:rsidRDefault="00645809" w:rsidP="00645809">
      <w:pPr>
        <w:widowControl w:val="0"/>
        <w:ind w:left="851" w:hanging="851"/>
        <w:jc w:val="both"/>
        <w:rPr>
          <w:color w:val="4472C4"/>
          <w:sz w:val="22"/>
          <w:szCs w:val="22"/>
        </w:rPr>
      </w:pPr>
    </w:p>
    <w:p w14:paraId="175D59D8" w14:textId="77777777" w:rsidR="00645809" w:rsidRPr="005863A9" w:rsidRDefault="00645809" w:rsidP="00645809">
      <w:pPr>
        <w:widowControl w:val="0"/>
        <w:ind w:left="851"/>
        <w:jc w:val="both"/>
        <w:rPr>
          <w:sz w:val="22"/>
          <w:szCs w:val="22"/>
        </w:rPr>
      </w:pPr>
      <w:bookmarkStart w:id="3" w:name="_Hlk144445834"/>
      <w:r w:rsidRPr="005863A9">
        <w:rPr>
          <w:sz w:val="22"/>
          <w:szCs w:val="22"/>
        </w:rPr>
        <w:t xml:space="preserve">A diferencia de otros fondos de garantía existentes o que llegaren a constituirse, el Fondo de Garantía de Depósitos (FGD) es regulado por el Conassif y administrado por el Banco Central de Costa Rica. Ambas entidades tienen mandatos legales y coordinan acciones enfocadas en asegurar el fortalecimiento y efectivo funcionamiento de la red de seguridad financiera del país, de acuerdo con las mejores prácticas en la materia y las disposiciones establecidas en la Ley. En este sentido, el FGD está plenamente integrado e interactúa en conjunto con los procesos de resolución y salida ordenada del sistema financiero. Asimismo, el marco de regulación del FGD establece disposiciones en relación con el nivel de estabilidad de largo plazo del fondo, la gestión de los activos y pasivos del fondo, criterios para la determinación de los aportes de las entidades contribuyentes, mecanismos de cobro administrativo de la contribución y régimen sancionatorio, mecanismos de uso y reposición de garantía contingente, así como de acceso a otros recursos para cubrir faltantes, entre otros aspectos. </w:t>
      </w:r>
    </w:p>
    <w:p w14:paraId="734C6166" w14:textId="77777777" w:rsidR="00645809" w:rsidRPr="005863A9" w:rsidRDefault="00645809" w:rsidP="00645809">
      <w:pPr>
        <w:widowControl w:val="0"/>
        <w:ind w:left="851"/>
        <w:jc w:val="both"/>
        <w:rPr>
          <w:sz w:val="22"/>
          <w:szCs w:val="22"/>
        </w:rPr>
      </w:pPr>
    </w:p>
    <w:bookmarkEnd w:id="3"/>
    <w:p w14:paraId="54416D28" w14:textId="77777777" w:rsidR="00645809" w:rsidRPr="005863A9" w:rsidRDefault="00645809" w:rsidP="00645809">
      <w:pPr>
        <w:widowControl w:val="0"/>
        <w:ind w:left="851" w:hanging="851"/>
        <w:jc w:val="both"/>
        <w:rPr>
          <w:sz w:val="22"/>
          <w:szCs w:val="22"/>
        </w:rPr>
      </w:pPr>
      <w:r w:rsidRPr="005863A9">
        <w:rPr>
          <w:sz w:val="22"/>
          <w:szCs w:val="22"/>
        </w:rPr>
        <w:t>XXIV.</w:t>
      </w:r>
      <w:r w:rsidRPr="005863A9">
        <w:rPr>
          <w:sz w:val="22"/>
          <w:szCs w:val="22"/>
        </w:rPr>
        <w:tab/>
      </w:r>
      <w:bookmarkStart w:id="4" w:name="_Hlk144446087"/>
      <w:r w:rsidRPr="005863A9">
        <w:rPr>
          <w:sz w:val="22"/>
          <w:szCs w:val="22"/>
        </w:rPr>
        <w:t>Dadas las reformas señaladas por la Ley 9816 se considera que el FGD cumple las condiciones que establece el Comité de Supervisión Bancaria de Basilea en el tratamiento de los depósitos estables, por lo que es razonable reconocer el esquema de garantía determinado en esta Ley e incorporar en el IFNE el concepto de depósitos minoristas y depósitos efectuados por MiPyME, los cuales se dividen en i) depósitos estables y ii) depósitos menos estables.  Tomando en consideración las características del FGD mencionadas anteriormente, las entidades supervisadas que se encuentran fuera del alcance de la Ley 9816, deben categorizar todos los depósitos minoristas y los depósitos efectuados por MiPyME como menos estables, independientemente de que existan otros mecanismos de garantía públicos o privados.</w:t>
      </w:r>
      <w:bookmarkEnd w:id="4"/>
    </w:p>
    <w:p w14:paraId="6D056EF8" w14:textId="77777777" w:rsidR="00645809" w:rsidRPr="005863A9" w:rsidRDefault="00645809" w:rsidP="00645809">
      <w:pPr>
        <w:widowControl w:val="0"/>
        <w:ind w:left="851" w:hanging="851"/>
        <w:jc w:val="both"/>
        <w:rPr>
          <w:sz w:val="22"/>
          <w:szCs w:val="22"/>
        </w:rPr>
      </w:pPr>
    </w:p>
    <w:p w14:paraId="047F1F53" w14:textId="77777777" w:rsidR="00645809" w:rsidRPr="005863A9" w:rsidRDefault="00645809" w:rsidP="00645809">
      <w:pPr>
        <w:widowControl w:val="0"/>
        <w:jc w:val="both"/>
        <w:rPr>
          <w:b/>
          <w:bCs/>
          <w:sz w:val="22"/>
          <w:szCs w:val="22"/>
        </w:rPr>
      </w:pPr>
      <w:r w:rsidRPr="005863A9">
        <w:rPr>
          <w:b/>
          <w:bCs/>
          <w:sz w:val="22"/>
          <w:szCs w:val="22"/>
        </w:rPr>
        <w:t xml:space="preserve">Consideraciones sobre los </w:t>
      </w:r>
      <w:r w:rsidRPr="005863A9">
        <w:rPr>
          <w:b/>
          <w:bCs/>
          <w:i/>
          <w:iCs/>
          <w:sz w:val="22"/>
          <w:szCs w:val="22"/>
        </w:rPr>
        <w:t>Principios Básicos para una supervisión bancaria eficaz</w:t>
      </w:r>
      <w:r w:rsidRPr="005863A9">
        <w:rPr>
          <w:b/>
          <w:bCs/>
          <w:sz w:val="22"/>
          <w:szCs w:val="22"/>
        </w:rPr>
        <w:t>, emitidos por el Comité de Supervisión Bancaria de Basilea.</w:t>
      </w:r>
    </w:p>
    <w:p w14:paraId="1BE1771D" w14:textId="77777777" w:rsidR="00645809" w:rsidRPr="005863A9" w:rsidRDefault="00645809" w:rsidP="00645809">
      <w:pPr>
        <w:widowControl w:val="0"/>
        <w:jc w:val="both"/>
        <w:rPr>
          <w:b/>
          <w:bCs/>
          <w:sz w:val="22"/>
          <w:szCs w:val="22"/>
        </w:rPr>
      </w:pPr>
    </w:p>
    <w:p w14:paraId="33A363B6" w14:textId="77777777" w:rsidR="00645809" w:rsidRPr="005863A9" w:rsidRDefault="00645809" w:rsidP="00645809">
      <w:pPr>
        <w:widowControl w:val="0"/>
        <w:ind w:left="851" w:hanging="851"/>
        <w:jc w:val="both"/>
        <w:rPr>
          <w:sz w:val="22"/>
          <w:szCs w:val="22"/>
        </w:rPr>
      </w:pPr>
      <w:r w:rsidRPr="005863A9">
        <w:rPr>
          <w:sz w:val="22"/>
          <w:szCs w:val="22"/>
        </w:rPr>
        <w:t>XXV.</w:t>
      </w:r>
      <w:r w:rsidRPr="005863A9">
        <w:rPr>
          <w:sz w:val="22"/>
          <w:szCs w:val="22"/>
        </w:rPr>
        <w:tab/>
        <w:t>El reglamento tiene como propósito cumplir con las recomendaciones de los Principios Básicos para una supervisión bancaria eficaz, emitidos por el Comité de Supervisión Bancaria de Basilea en setiembre del 2012:</w:t>
      </w:r>
    </w:p>
    <w:p w14:paraId="1E34FE3B" w14:textId="77777777" w:rsidR="00645809" w:rsidRPr="005863A9" w:rsidRDefault="00645809" w:rsidP="00645809">
      <w:pPr>
        <w:widowControl w:val="0"/>
        <w:ind w:left="851" w:hanging="851"/>
        <w:jc w:val="both"/>
        <w:rPr>
          <w:sz w:val="22"/>
          <w:szCs w:val="22"/>
        </w:rPr>
      </w:pPr>
    </w:p>
    <w:p w14:paraId="7209F15A" w14:textId="584978AC" w:rsidR="00645809" w:rsidRPr="005863A9" w:rsidRDefault="00645809" w:rsidP="00645809">
      <w:pPr>
        <w:widowControl w:val="0"/>
        <w:ind w:left="851"/>
        <w:jc w:val="both"/>
        <w:rPr>
          <w:sz w:val="22"/>
          <w:szCs w:val="22"/>
        </w:rPr>
      </w:pPr>
      <w:r w:rsidRPr="005863A9">
        <w:rPr>
          <w:sz w:val="22"/>
          <w:szCs w:val="22"/>
        </w:rPr>
        <w:t xml:space="preserve">El Principio 24, Riesgo de Liquidez, señala que </w:t>
      </w:r>
      <w:r w:rsidRPr="005863A9">
        <w:rPr>
          <w:i/>
          <w:iCs/>
          <w:sz w:val="22"/>
          <w:szCs w:val="22"/>
        </w:rPr>
        <w:t xml:space="preserve">“[e]l supervisor exige a los bancos unos requerimientos de liquidez prudentes y adecuados (de tipo cuantitativo, cualitativo o de ambos tipos) que reflejen las necesidades de liquidez del banco. El supervisor determina que los bancos disponen de una estrategia que les permite la gestión prudente del riesgo de liquidez y el cumplimiento de los requerimientos de liquidez. La estrategia tiene en cuenta el perfil de riesgo del banco, así como la situación macroeconómica y de los mercados, e incluye políticas y procesos prudentes, acordes con el apetito por el riesgo de la entidad, para identificar, cuantificar, evaluar, </w:t>
      </w:r>
      <w:r w:rsidRPr="005863A9">
        <w:rPr>
          <w:i/>
          <w:iCs/>
          <w:sz w:val="22"/>
          <w:szCs w:val="22"/>
        </w:rPr>
        <w:lastRenderedPageBreak/>
        <w:t>vigilar, informar y controlar o mitigar el riesgo de liquidez a lo largo de un conjunto relevante de horizontes temporales. Al menos en el caso de bancos con actividad internacional, los requerimientos de liquidez no son inferiores a los que establecen las normas de Basilea.”</w:t>
      </w:r>
    </w:p>
    <w:p w14:paraId="7671303D" w14:textId="77777777" w:rsidR="000C7616" w:rsidRDefault="000C7616" w:rsidP="00645809">
      <w:pPr>
        <w:widowControl w:val="0"/>
        <w:ind w:left="851"/>
        <w:jc w:val="both"/>
        <w:rPr>
          <w:iCs/>
          <w:sz w:val="22"/>
          <w:szCs w:val="22"/>
        </w:rPr>
      </w:pPr>
    </w:p>
    <w:p w14:paraId="027CF453" w14:textId="1C514FDA" w:rsidR="00645809" w:rsidRPr="005863A9" w:rsidRDefault="00645809" w:rsidP="00645809">
      <w:pPr>
        <w:widowControl w:val="0"/>
        <w:ind w:left="851"/>
        <w:jc w:val="both"/>
        <w:rPr>
          <w:iCs/>
          <w:sz w:val="22"/>
          <w:szCs w:val="22"/>
        </w:rPr>
      </w:pPr>
      <w:r w:rsidRPr="005863A9">
        <w:rPr>
          <w:iCs/>
          <w:sz w:val="22"/>
          <w:szCs w:val="22"/>
        </w:rPr>
        <w:t>La actualización del marco regulatorio, de acuerdo con los principios, representa un avance importante en el objetivo de procurar un marco de regulación prudencial alineado con los estándares y las mejores prácticas internacionales.</w:t>
      </w:r>
    </w:p>
    <w:p w14:paraId="0EB5B38D" w14:textId="77777777" w:rsidR="00645809" w:rsidRPr="005863A9" w:rsidRDefault="00645809" w:rsidP="00645809">
      <w:pPr>
        <w:widowControl w:val="0"/>
        <w:ind w:left="851"/>
        <w:jc w:val="both"/>
        <w:rPr>
          <w:sz w:val="22"/>
          <w:szCs w:val="22"/>
        </w:rPr>
      </w:pPr>
    </w:p>
    <w:p w14:paraId="6BB5DFD2" w14:textId="77777777" w:rsidR="00645809" w:rsidRPr="005863A9" w:rsidRDefault="00645809" w:rsidP="00645809">
      <w:pPr>
        <w:pStyle w:val="NormalWeb"/>
        <w:spacing w:before="0" w:beforeAutospacing="0" w:after="0" w:afterAutospacing="0"/>
        <w:jc w:val="both"/>
        <w:rPr>
          <w:rFonts w:ascii="Times New Roman" w:hAnsi="Times New Roman" w:cs="Times New Roman"/>
          <w:b/>
          <w:bCs/>
          <w:iCs/>
          <w:sz w:val="22"/>
          <w:szCs w:val="22"/>
        </w:rPr>
      </w:pPr>
      <w:bookmarkStart w:id="5" w:name="_Hlk143598126"/>
      <w:r w:rsidRPr="005863A9">
        <w:rPr>
          <w:rFonts w:ascii="Times New Roman" w:hAnsi="Times New Roman" w:cs="Times New Roman"/>
          <w:b/>
          <w:bCs/>
          <w:iCs/>
          <w:sz w:val="22"/>
          <w:szCs w:val="22"/>
        </w:rPr>
        <w:t>Consideraciones sobre ampliación del plazo de consulta externa.</w:t>
      </w:r>
    </w:p>
    <w:p w14:paraId="3B586397" w14:textId="77777777" w:rsidR="00645809" w:rsidRPr="005863A9" w:rsidRDefault="00645809" w:rsidP="00645809">
      <w:pPr>
        <w:pStyle w:val="NormalWeb"/>
        <w:spacing w:before="0" w:beforeAutospacing="0" w:after="0" w:afterAutospacing="0"/>
        <w:jc w:val="both"/>
        <w:rPr>
          <w:rFonts w:ascii="Times New Roman" w:hAnsi="Times New Roman" w:cs="Times New Roman"/>
          <w:b/>
          <w:bCs/>
          <w:iCs/>
          <w:sz w:val="22"/>
          <w:szCs w:val="22"/>
        </w:rPr>
      </w:pPr>
    </w:p>
    <w:p w14:paraId="48F16BB3" w14:textId="77777777" w:rsidR="00645809" w:rsidRPr="005863A9" w:rsidRDefault="00645809" w:rsidP="00645809">
      <w:pPr>
        <w:widowControl w:val="0"/>
        <w:ind w:left="851" w:hanging="851"/>
        <w:jc w:val="both"/>
        <w:rPr>
          <w:sz w:val="22"/>
          <w:szCs w:val="22"/>
        </w:rPr>
      </w:pPr>
      <w:r w:rsidRPr="005863A9">
        <w:rPr>
          <w:sz w:val="22"/>
          <w:szCs w:val="22"/>
        </w:rPr>
        <w:t>XXVI.</w:t>
      </w:r>
      <w:r w:rsidRPr="005863A9">
        <w:rPr>
          <w:sz w:val="22"/>
          <w:szCs w:val="22"/>
        </w:rPr>
        <w:tab/>
        <w:t xml:space="preserve">El Conassif, en el artículo 5 del acta de la sesión 1780-2023, celebrada el 16 de enero del 2023, resolvió en firme ampliar al 26 de enero de 2023, el plazo otorgado para la recepción de los comentarios y de las observaciones en torno a la propuesta de ajuste al Acuerdo SUGEF 17-13 para implementar el IFNE, remitida en consulta, según lo dispuesto mediante el artículo 14, del acta de la sesión 1776-2022, celebrada el 19 de diciembre de 2022. </w:t>
      </w:r>
    </w:p>
    <w:p w14:paraId="70BD95AE" w14:textId="77777777" w:rsidR="00645809" w:rsidRPr="005863A9" w:rsidRDefault="00645809" w:rsidP="00645809">
      <w:pPr>
        <w:widowControl w:val="0"/>
        <w:ind w:left="851" w:hanging="851"/>
        <w:jc w:val="both"/>
        <w:rPr>
          <w:sz w:val="22"/>
          <w:szCs w:val="22"/>
        </w:rPr>
      </w:pPr>
    </w:p>
    <w:p w14:paraId="34242461" w14:textId="77777777" w:rsidR="00645809" w:rsidRPr="005863A9" w:rsidRDefault="00645809" w:rsidP="00645809">
      <w:pPr>
        <w:widowControl w:val="0"/>
        <w:ind w:left="851" w:hanging="851"/>
        <w:jc w:val="both"/>
        <w:rPr>
          <w:sz w:val="22"/>
          <w:szCs w:val="22"/>
        </w:rPr>
      </w:pPr>
      <w:r w:rsidRPr="005863A9">
        <w:rPr>
          <w:sz w:val="22"/>
          <w:szCs w:val="22"/>
        </w:rPr>
        <w:t>XXVII.</w:t>
      </w:r>
      <w:r w:rsidRPr="005863A9">
        <w:rPr>
          <w:sz w:val="22"/>
          <w:szCs w:val="22"/>
        </w:rPr>
        <w:tab/>
        <w:t>El Conassif, en el artículo 6 del acta de la sesión 1781-2023, celebrada el 23 de enero del 2023, dispuso una nueva ampliación al plazo otorgado para la recepción de comentarios y observaciones al 15 de febrero de 2023, en torno a la propuesta de ajuste al Acuerdo SUGEF 17-13, para implementar el IFNE.</w:t>
      </w:r>
    </w:p>
    <w:p w14:paraId="699473EE" w14:textId="77777777" w:rsidR="00645809" w:rsidRPr="005863A9" w:rsidRDefault="00645809" w:rsidP="00645809">
      <w:pPr>
        <w:widowControl w:val="0"/>
        <w:ind w:left="851" w:hanging="851"/>
        <w:jc w:val="both"/>
        <w:rPr>
          <w:sz w:val="22"/>
          <w:szCs w:val="22"/>
        </w:rPr>
      </w:pPr>
    </w:p>
    <w:p w14:paraId="7F30515E" w14:textId="77777777" w:rsidR="00645809" w:rsidRPr="005863A9" w:rsidRDefault="00645809" w:rsidP="00645809">
      <w:pPr>
        <w:widowControl w:val="0"/>
        <w:jc w:val="both"/>
        <w:rPr>
          <w:b/>
          <w:bCs/>
          <w:sz w:val="22"/>
          <w:szCs w:val="22"/>
        </w:rPr>
      </w:pPr>
      <w:bookmarkStart w:id="6" w:name="_Hlk143598104"/>
      <w:bookmarkEnd w:id="5"/>
      <w:r w:rsidRPr="005863A9">
        <w:rPr>
          <w:b/>
          <w:bCs/>
          <w:sz w:val="22"/>
          <w:szCs w:val="22"/>
        </w:rPr>
        <w:t>Consideraciones sobre la Evaluación Costo-Beneficio</w:t>
      </w:r>
    </w:p>
    <w:p w14:paraId="7BAE702A" w14:textId="77777777" w:rsidR="00645809" w:rsidRPr="005863A9" w:rsidRDefault="00645809" w:rsidP="00645809">
      <w:pPr>
        <w:widowControl w:val="0"/>
        <w:jc w:val="both"/>
        <w:rPr>
          <w:b/>
          <w:bCs/>
          <w:sz w:val="22"/>
          <w:szCs w:val="22"/>
        </w:rPr>
      </w:pPr>
    </w:p>
    <w:p w14:paraId="6E12068C" w14:textId="77777777" w:rsidR="00645809" w:rsidRPr="005863A9" w:rsidRDefault="00645809" w:rsidP="00645809">
      <w:pPr>
        <w:widowControl w:val="0"/>
        <w:ind w:left="851" w:hanging="851"/>
        <w:jc w:val="both"/>
        <w:rPr>
          <w:sz w:val="22"/>
          <w:szCs w:val="22"/>
        </w:rPr>
      </w:pPr>
      <w:r w:rsidRPr="005863A9">
        <w:rPr>
          <w:sz w:val="22"/>
          <w:szCs w:val="22"/>
        </w:rPr>
        <w:t>XXVIII.</w:t>
      </w:r>
      <w:r w:rsidRPr="005863A9">
        <w:rPr>
          <w:sz w:val="22"/>
          <w:szCs w:val="22"/>
        </w:rPr>
        <w:tab/>
        <w:t xml:space="preserve">La Evaluación Costo-Beneficio de la regulación se realiza de conformidad con lo establecido en los artículos 1 y 12 de la </w:t>
      </w:r>
      <w:r w:rsidRPr="005863A9">
        <w:rPr>
          <w:i/>
          <w:iCs/>
          <w:sz w:val="22"/>
          <w:szCs w:val="22"/>
        </w:rPr>
        <w:t>Ley Protección al ciudadano del exceso de requisitos y trámites administrativos</w:t>
      </w:r>
      <w:r w:rsidRPr="005863A9">
        <w:rPr>
          <w:sz w:val="22"/>
          <w:szCs w:val="22"/>
        </w:rPr>
        <w:t xml:space="preserve">, Ley 8220, y en los artículos 12, 12bis, 13, 13 bis y 56 al 60bis del </w:t>
      </w:r>
      <w:r w:rsidRPr="005863A9">
        <w:rPr>
          <w:i/>
          <w:iCs/>
          <w:sz w:val="22"/>
          <w:szCs w:val="22"/>
        </w:rPr>
        <w:t>Reglamento a la Ley de Protección al Ciudadano del Exceso de Requisitos y Trámites Administrativos</w:t>
      </w:r>
      <w:r w:rsidRPr="005863A9">
        <w:rPr>
          <w:sz w:val="22"/>
          <w:szCs w:val="22"/>
        </w:rPr>
        <w:t>, No.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previo</w:t>
      </w:r>
      <w:bookmarkEnd w:id="6"/>
      <w:r w:rsidRPr="005863A9">
        <w:rPr>
          <w:sz w:val="22"/>
          <w:szCs w:val="22"/>
        </w:rPr>
        <w:t>.</w:t>
      </w:r>
    </w:p>
    <w:p w14:paraId="44921C79" w14:textId="77777777" w:rsidR="00645809" w:rsidRPr="005863A9" w:rsidRDefault="00645809" w:rsidP="00645809">
      <w:pPr>
        <w:widowControl w:val="0"/>
        <w:ind w:left="851" w:hanging="851"/>
        <w:jc w:val="both"/>
        <w:rPr>
          <w:sz w:val="22"/>
          <w:szCs w:val="22"/>
        </w:rPr>
      </w:pPr>
    </w:p>
    <w:p w14:paraId="345B3249" w14:textId="77777777" w:rsidR="00645809" w:rsidRPr="005863A9" w:rsidRDefault="00645809" w:rsidP="00645809">
      <w:pPr>
        <w:widowControl w:val="0"/>
        <w:jc w:val="both"/>
        <w:rPr>
          <w:b/>
          <w:bCs/>
          <w:sz w:val="22"/>
          <w:szCs w:val="22"/>
        </w:rPr>
      </w:pPr>
      <w:r w:rsidRPr="005863A9">
        <w:rPr>
          <w:b/>
          <w:bCs/>
          <w:sz w:val="22"/>
          <w:szCs w:val="22"/>
        </w:rPr>
        <w:t>dispone:</w:t>
      </w:r>
    </w:p>
    <w:p w14:paraId="29A4FCAD" w14:textId="77777777" w:rsidR="00645809" w:rsidRPr="005863A9" w:rsidRDefault="00645809" w:rsidP="00645809">
      <w:pPr>
        <w:widowControl w:val="0"/>
        <w:jc w:val="both"/>
        <w:rPr>
          <w:sz w:val="22"/>
          <w:szCs w:val="22"/>
        </w:rPr>
      </w:pPr>
    </w:p>
    <w:p w14:paraId="397E50BD" w14:textId="77777777" w:rsidR="00645809" w:rsidRPr="005863A9" w:rsidRDefault="00645809" w:rsidP="00645809">
      <w:pPr>
        <w:widowControl w:val="0"/>
        <w:jc w:val="both"/>
        <w:rPr>
          <w:b/>
          <w:bCs/>
          <w:sz w:val="22"/>
          <w:szCs w:val="22"/>
        </w:rPr>
      </w:pPr>
      <w:r w:rsidRPr="005863A9">
        <w:rPr>
          <w:b/>
          <w:bCs/>
          <w:sz w:val="22"/>
          <w:szCs w:val="22"/>
        </w:rPr>
        <w:t xml:space="preserve">Modificar el </w:t>
      </w:r>
      <w:r w:rsidRPr="005863A9">
        <w:rPr>
          <w:b/>
          <w:bCs/>
          <w:i/>
          <w:iCs/>
          <w:sz w:val="22"/>
          <w:szCs w:val="22"/>
        </w:rPr>
        <w:t>Reglamento sobre el Indicador de Cobertura de Liquidez</w:t>
      </w:r>
      <w:r w:rsidRPr="005863A9">
        <w:rPr>
          <w:b/>
          <w:bCs/>
          <w:sz w:val="22"/>
          <w:szCs w:val="22"/>
        </w:rPr>
        <w:t>, Acuerdo SUGEF 17-13, según el siguiente detalle:</w:t>
      </w:r>
    </w:p>
    <w:p w14:paraId="3DEC3EF9" w14:textId="77777777" w:rsidR="00645809" w:rsidRPr="005863A9" w:rsidRDefault="00645809" w:rsidP="00645809">
      <w:pPr>
        <w:widowControl w:val="0"/>
        <w:jc w:val="both"/>
        <w:rPr>
          <w:b/>
          <w:bCs/>
          <w:sz w:val="22"/>
          <w:szCs w:val="22"/>
        </w:rPr>
      </w:pPr>
    </w:p>
    <w:p w14:paraId="2B38A7E8" w14:textId="77777777" w:rsidR="00645809" w:rsidRPr="005863A9" w:rsidRDefault="00645809" w:rsidP="00645809">
      <w:pPr>
        <w:widowControl w:val="0"/>
        <w:ind w:left="567" w:hanging="567"/>
        <w:jc w:val="both"/>
        <w:rPr>
          <w:sz w:val="22"/>
          <w:szCs w:val="22"/>
        </w:rPr>
      </w:pPr>
      <w:r w:rsidRPr="005863A9">
        <w:rPr>
          <w:b/>
          <w:bCs/>
          <w:sz w:val="22"/>
          <w:szCs w:val="22"/>
        </w:rPr>
        <w:t>I.</w:t>
      </w:r>
      <w:r w:rsidRPr="005863A9">
        <w:rPr>
          <w:b/>
          <w:bCs/>
          <w:sz w:val="22"/>
          <w:szCs w:val="22"/>
        </w:rPr>
        <w:tab/>
        <w:t>Modificar el título según el siguiente texto:</w:t>
      </w:r>
    </w:p>
    <w:p w14:paraId="378E33C4" w14:textId="1C897AC4" w:rsidR="00645809" w:rsidRPr="000C7616" w:rsidRDefault="00645809" w:rsidP="000C7616">
      <w:pPr>
        <w:widowControl w:val="0"/>
        <w:ind w:left="567" w:right="48"/>
        <w:jc w:val="both"/>
        <w:rPr>
          <w:sz w:val="22"/>
          <w:szCs w:val="22"/>
        </w:rPr>
      </w:pPr>
      <w:r>
        <w:rPr>
          <w:sz w:val="22"/>
          <w:szCs w:val="22"/>
        </w:rPr>
        <w:t>“</w:t>
      </w:r>
      <w:r w:rsidRPr="000C7616">
        <w:rPr>
          <w:sz w:val="22"/>
          <w:szCs w:val="22"/>
        </w:rPr>
        <w:t>Reglamento sobre el Indicador de Cobertura de Liquidez y el Indicador de Financiamiento Neto Estable, Acuerdo SUGEF 17-13.</w:t>
      </w:r>
      <w:r>
        <w:rPr>
          <w:sz w:val="22"/>
          <w:szCs w:val="22"/>
        </w:rPr>
        <w:t>”</w:t>
      </w:r>
    </w:p>
    <w:p w14:paraId="6564C0CA" w14:textId="77777777" w:rsidR="00645809" w:rsidRPr="005863A9" w:rsidRDefault="00645809" w:rsidP="00645809">
      <w:pPr>
        <w:widowControl w:val="0"/>
        <w:ind w:left="567" w:right="903"/>
        <w:jc w:val="both"/>
        <w:rPr>
          <w:sz w:val="22"/>
          <w:szCs w:val="22"/>
        </w:rPr>
      </w:pPr>
    </w:p>
    <w:p w14:paraId="6544F65F" w14:textId="77777777" w:rsidR="00645809" w:rsidRPr="005863A9" w:rsidRDefault="00645809" w:rsidP="00645809">
      <w:pPr>
        <w:widowControl w:val="0"/>
        <w:ind w:left="567" w:hanging="567"/>
        <w:jc w:val="both"/>
        <w:rPr>
          <w:b/>
          <w:bCs/>
          <w:sz w:val="22"/>
          <w:szCs w:val="22"/>
        </w:rPr>
      </w:pPr>
      <w:r w:rsidRPr="005863A9">
        <w:rPr>
          <w:b/>
          <w:bCs/>
          <w:sz w:val="22"/>
          <w:szCs w:val="22"/>
        </w:rPr>
        <w:t>II.</w:t>
      </w:r>
      <w:r w:rsidRPr="005863A9">
        <w:rPr>
          <w:b/>
          <w:bCs/>
          <w:sz w:val="22"/>
          <w:szCs w:val="22"/>
        </w:rPr>
        <w:tab/>
        <w:t>Sustituir el Artículo 1. Objeto, del Capítulo I, Disposiciones Generales, según el siguiente texto:</w:t>
      </w:r>
    </w:p>
    <w:p w14:paraId="21AC976B" w14:textId="249CDEB4" w:rsidR="00645809" w:rsidRPr="000C7616" w:rsidRDefault="00645809" w:rsidP="00645809">
      <w:pPr>
        <w:pStyle w:val="Prrafodelista"/>
        <w:ind w:left="567" w:right="619"/>
        <w:jc w:val="both"/>
        <w:rPr>
          <w:sz w:val="22"/>
          <w:szCs w:val="22"/>
        </w:rPr>
      </w:pPr>
      <w:r>
        <w:rPr>
          <w:sz w:val="22"/>
          <w:szCs w:val="22"/>
        </w:rPr>
        <w:t>“</w:t>
      </w:r>
      <w:r w:rsidRPr="000C7616">
        <w:rPr>
          <w:b/>
          <w:sz w:val="22"/>
          <w:szCs w:val="22"/>
        </w:rPr>
        <w:t xml:space="preserve">Artículo 1. </w:t>
      </w:r>
      <w:r w:rsidRPr="000C7616">
        <w:rPr>
          <w:b/>
          <w:sz w:val="22"/>
          <w:szCs w:val="22"/>
        </w:rPr>
        <w:tab/>
        <w:t>Objeto</w:t>
      </w:r>
    </w:p>
    <w:p w14:paraId="7539B5D7" w14:textId="11EA09E1" w:rsidR="00645809" w:rsidRPr="000C7616" w:rsidRDefault="00645809" w:rsidP="000C7616">
      <w:pPr>
        <w:widowControl w:val="0"/>
        <w:ind w:left="567" w:right="48"/>
        <w:jc w:val="both"/>
        <w:rPr>
          <w:sz w:val="22"/>
          <w:szCs w:val="22"/>
        </w:rPr>
      </w:pPr>
      <w:r w:rsidRPr="000C7616">
        <w:rPr>
          <w:sz w:val="22"/>
          <w:szCs w:val="22"/>
        </w:rPr>
        <w:t>El presente reglamento establece la metodología para el cálculo del Indicador de Cobertura de Liquidez (ICL) y del Indicador de Financiamiento Neto Estable (IFNE).</w:t>
      </w:r>
      <w:r>
        <w:rPr>
          <w:sz w:val="22"/>
          <w:szCs w:val="22"/>
        </w:rPr>
        <w:t>”</w:t>
      </w:r>
    </w:p>
    <w:p w14:paraId="4201EE5E" w14:textId="77777777" w:rsidR="00645809" w:rsidRPr="005863A9" w:rsidRDefault="00645809" w:rsidP="00645809">
      <w:pPr>
        <w:widowControl w:val="0"/>
        <w:ind w:left="567" w:right="619"/>
        <w:jc w:val="both"/>
        <w:rPr>
          <w:sz w:val="22"/>
          <w:szCs w:val="22"/>
        </w:rPr>
      </w:pPr>
    </w:p>
    <w:p w14:paraId="5F227053" w14:textId="77777777" w:rsidR="00645809" w:rsidRPr="005863A9" w:rsidRDefault="00645809" w:rsidP="00645809">
      <w:pPr>
        <w:widowControl w:val="0"/>
        <w:ind w:left="567" w:hanging="567"/>
        <w:jc w:val="both"/>
        <w:rPr>
          <w:b/>
          <w:bCs/>
          <w:sz w:val="22"/>
          <w:szCs w:val="22"/>
        </w:rPr>
      </w:pPr>
      <w:r w:rsidRPr="005863A9">
        <w:rPr>
          <w:b/>
          <w:bCs/>
          <w:sz w:val="22"/>
          <w:szCs w:val="22"/>
        </w:rPr>
        <w:t>III.</w:t>
      </w:r>
      <w:r w:rsidRPr="005863A9">
        <w:rPr>
          <w:b/>
          <w:bCs/>
          <w:sz w:val="22"/>
          <w:szCs w:val="22"/>
        </w:rPr>
        <w:tab/>
        <w:t>Agregar un tercer párrafo al Artículo 2. Alcance, según el siguiente texto:</w:t>
      </w:r>
    </w:p>
    <w:p w14:paraId="473C1ABC" w14:textId="6DDE2F4C" w:rsidR="00645809" w:rsidRPr="005863A9" w:rsidRDefault="00645809" w:rsidP="00645809">
      <w:pPr>
        <w:widowControl w:val="0"/>
        <w:ind w:left="567" w:right="619"/>
        <w:jc w:val="both"/>
        <w:rPr>
          <w:sz w:val="22"/>
          <w:szCs w:val="22"/>
        </w:rPr>
      </w:pPr>
      <w:r w:rsidRPr="005863A9">
        <w:rPr>
          <w:b/>
          <w:bCs/>
          <w:sz w:val="22"/>
          <w:szCs w:val="22"/>
        </w:rPr>
        <w:t>“Artículo 2. Alcance</w:t>
      </w:r>
      <w:r w:rsidRPr="005863A9">
        <w:rPr>
          <w:sz w:val="22"/>
          <w:szCs w:val="22"/>
        </w:rPr>
        <w:t xml:space="preserve"> </w:t>
      </w:r>
    </w:p>
    <w:p w14:paraId="04057E0B" w14:textId="77777777" w:rsidR="00AA512A" w:rsidRDefault="00AA512A" w:rsidP="00645809">
      <w:pPr>
        <w:widowControl w:val="0"/>
        <w:ind w:left="567" w:right="619"/>
        <w:jc w:val="both"/>
        <w:rPr>
          <w:sz w:val="22"/>
          <w:szCs w:val="22"/>
        </w:rPr>
      </w:pPr>
    </w:p>
    <w:p w14:paraId="67DA7E6E" w14:textId="2102D080" w:rsidR="00645809" w:rsidRPr="005863A9" w:rsidRDefault="00645809" w:rsidP="00645809">
      <w:pPr>
        <w:widowControl w:val="0"/>
        <w:ind w:left="567" w:right="619"/>
        <w:jc w:val="both"/>
        <w:rPr>
          <w:sz w:val="22"/>
          <w:szCs w:val="22"/>
        </w:rPr>
      </w:pPr>
      <w:r w:rsidRPr="005863A9">
        <w:rPr>
          <w:sz w:val="22"/>
          <w:szCs w:val="22"/>
        </w:rPr>
        <w:t>[…]</w:t>
      </w:r>
    </w:p>
    <w:p w14:paraId="44311D86" w14:textId="6ECBBC23" w:rsidR="00645809" w:rsidRPr="005863A9" w:rsidRDefault="00645809" w:rsidP="000C7616">
      <w:pPr>
        <w:widowControl w:val="0"/>
        <w:ind w:left="567" w:right="48"/>
        <w:jc w:val="both"/>
        <w:rPr>
          <w:sz w:val="22"/>
          <w:szCs w:val="22"/>
        </w:rPr>
      </w:pPr>
      <w:r w:rsidRPr="005863A9">
        <w:rPr>
          <w:sz w:val="22"/>
          <w:szCs w:val="22"/>
        </w:rPr>
        <w:t xml:space="preserve">Para efectos del IFNE, se excluye del alcance de esta regulación al Banco Hipotecario de la Vivienda (Banhvi) y a las cooperativas de ahorro y crédito que se ubican por debajo del umbral definido en el Artículo 2 de la </w:t>
      </w:r>
      <w:r w:rsidRPr="005863A9">
        <w:rPr>
          <w:i/>
          <w:iCs/>
          <w:sz w:val="22"/>
          <w:szCs w:val="22"/>
        </w:rPr>
        <w:t>Regulación Proporcional para Cooperativas de Ahorro y Crédito Supervisadas,</w:t>
      </w:r>
      <w:r w:rsidRPr="005863A9">
        <w:rPr>
          <w:sz w:val="22"/>
          <w:szCs w:val="22"/>
        </w:rPr>
        <w:t xml:space="preserve"> Acuerdo SUGEF 25-23.”</w:t>
      </w:r>
    </w:p>
    <w:p w14:paraId="2B46762C" w14:textId="77777777" w:rsidR="00645809" w:rsidRPr="005863A9" w:rsidRDefault="00645809" w:rsidP="00645809">
      <w:pPr>
        <w:widowControl w:val="0"/>
        <w:ind w:left="567" w:right="619"/>
        <w:jc w:val="both"/>
        <w:rPr>
          <w:b/>
          <w:bCs/>
          <w:sz w:val="22"/>
          <w:szCs w:val="22"/>
        </w:rPr>
      </w:pPr>
    </w:p>
    <w:p w14:paraId="49303D51" w14:textId="77777777" w:rsidR="00645809" w:rsidRPr="005863A9" w:rsidRDefault="00645809" w:rsidP="00645809">
      <w:pPr>
        <w:widowControl w:val="0"/>
        <w:ind w:left="567" w:hanging="567"/>
        <w:jc w:val="both"/>
        <w:rPr>
          <w:b/>
          <w:bCs/>
          <w:sz w:val="22"/>
          <w:szCs w:val="22"/>
        </w:rPr>
      </w:pPr>
      <w:r w:rsidRPr="005863A9">
        <w:rPr>
          <w:b/>
          <w:bCs/>
          <w:sz w:val="22"/>
          <w:szCs w:val="22"/>
        </w:rPr>
        <w:t>IV.</w:t>
      </w:r>
      <w:r w:rsidRPr="005863A9">
        <w:rPr>
          <w:b/>
          <w:bCs/>
          <w:sz w:val="22"/>
          <w:szCs w:val="22"/>
        </w:rPr>
        <w:tab/>
        <w:t>Agregar una definición al Artículo 3. Definiciones, según el siguiente texto:</w:t>
      </w:r>
    </w:p>
    <w:p w14:paraId="490F348F" w14:textId="77777777" w:rsidR="00AA512A" w:rsidRDefault="00AA512A" w:rsidP="00645809">
      <w:pPr>
        <w:widowControl w:val="0"/>
        <w:ind w:left="567" w:right="619"/>
        <w:jc w:val="both"/>
        <w:rPr>
          <w:b/>
          <w:bCs/>
          <w:sz w:val="22"/>
          <w:szCs w:val="22"/>
        </w:rPr>
      </w:pPr>
    </w:p>
    <w:p w14:paraId="5AAD2344" w14:textId="61C120AB" w:rsidR="00645809" w:rsidRPr="005863A9" w:rsidRDefault="00645809" w:rsidP="00645809">
      <w:pPr>
        <w:widowControl w:val="0"/>
        <w:ind w:left="567" w:right="619"/>
        <w:jc w:val="both"/>
        <w:rPr>
          <w:b/>
          <w:bCs/>
          <w:sz w:val="22"/>
          <w:szCs w:val="22"/>
        </w:rPr>
      </w:pPr>
      <w:r w:rsidRPr="005863A9">
        <w:rPr>
          <w:b/>
          <w:bCs/>
          <w:sz w:val="22"/>
          <w:szCs w:val="22"/>
        </w:rPr>
        <w:t xml:space="preserve">“Artículo 3. Definiciones </w:t>
      </w:r>
    </w:p>
    <w:p w14:paraId="3F2ED58C" w14:textId="77777777" w:rsidR="00645809" w:rsidRPr="005863A9" w:rsidRDefault="00645809" w:rsidP="00645809">
      <w:pPr>
        <w:widowControl w:val="0"/>
        <w:ind w:left="567" w:right="619"/>
        <w:jc w:val="both"/>
        <w:rPr>
          <w:b/>
          <w:bCs/>
          <w:sz w:val="22"/>
          <w:szCs w:val="22"/>
        </w:rPr>
      </w:pPr>
      <w:r w:rsidRPr="005863A9">
        <w:rPr>
          <w:b/>
          <w:bCs/>
          <w:sz w:val="22"/>
          <w:szCs w:val="22"/>
        </w:rPr>
        <w:t>[…]</w:t>
      </w:r>
    </w:p>
    <w:p w14:paraId="02C340A4" w14:textId="26469951" w:rsidR="00645809" w:rsidRPr="005863A9" w:rsidRDefault="00645809" w:rsidP="00645809">
      <w:pPr>
        <w:ind w:left="1134" w:hanging="567"/>
        <w:jc w:val="both"/>
        <w:rPr>
          <w:sz w:val="22"/>
          <w:szCs w:val="22"/>
        </w:rPr>
      </w:pPr>
      <w:r w:rsidRPr="005863A9">
        <w:rPr>
          <w:b/>
          <w:bCs/>
          <w:sz w:val="22"/>
          <w:szCs w:val="22"/>
        </w:rPr>
        <w:t>f.</w:t>
      </w:r>
      <w:r w:rsidRPr="005863A9">
        <w:rPr>
          <w:b/>
          <w:bCs/>
          <w:sz w:val="22"/>
          <w:szCs w:val="22"/>
        </w:rPr>
        <w:tab/>
        <w:t>Bancos multilaterales de desarrollo (BMD):</w:t>
      </w:r>
      <w:r w:rsidRPr="005863A9">
        <w:rPr>
          <w:sz w:val="22"/>
          <w:szCs w:val="22"/>
        </w:rPr>
        <w:t xml:space="preserve"> instituciones creadas por un grupo de países que brinda financiamiento y asesoría profesional para proyectos de desarrollo económico y social. Éstas tienen un gran número de miembros soberanos y pueden incluir tanto países desarrollados como países en desarrollo. Cada una de estas instituciones tienen su propio estatuto jurídico y operativo independiente, pero con un mandato similar y un número considerable de copropietarios.”</w:t>
      </w:r>
    </w:p>
    <w:p w14:paraId="179392D2" w14:textId="77777777" w:rsidR="00645809" w:rsidRPr="005863A9" w:rsidRDefault="00645809" w:rsidP="00645809">
      <w:pPr>
        <w:ind w:left="1134" w:hanging="567"/>
        <w:jc w:val="both"/>
        <w:rPr>
          <w:sz w:val="22"/>
          <w:szCs w:val="22"/>
        </w:rPr>
      </w:pPr>
    </w:p>
    <w:p w14:paraId="13744176" w14:textId="77777777" w:rsidR="00645809" w:rsidRPr="005863A9" w:rsidRDefault="00645809" w:rsidP="00645809">
      <w:pPr>
        <w:widowControl w:val="0"/>
        <w:ind w:left="567" w:hanging="567"/>
        <w:jc w:val="both"/>
        <w:rPr>
          <w:b/>
          <w:bCs/>
          <w:sz w:val="22"/>
          <w:szCs w:val="22"/>
        </w:rPr>
      </w:pPr>
      <w:r w:rsidRPr="005863A9">
        <w:rPr>
          <w:b/>
          <w:bCs/>
          <w:sz w:val="22"/>
          <w:szCs w:val="22"/>
        </w:rPr>
        <w:t>V.</w:t>
      </w:r>
      <w:r w:rsidRPr="005863A9">
        <w:rPr>
          <w:b/>
          <w:bCs/>
          <w:sz w:val="22"/>
          <w:szCs w:val="22"/>
        </w:rPr>
        <w:tab/>
        <w:t>Eliminar el Artículo 9. Envío de la información a la SUGEF, del Capítulo II.</w:t>
      </w:r>
    </w:p>
    <w:p w14:paraId="6DFFF4B3" w14:textId="77777777" w:rsidR="00645809" w:rsidRPr="005863A9" w:rsidRDefault="00645809" w:rsidP="00645809">
      <w:pPr>
        <w:widowControl w:val="0"/>
        <w:ind w:left="567" w:hanging="567"/>
        <w:jc w:val="both"/>
        <w:rPr>
          <w:b/>
          <w:bCs/>
          <w:sz w:val="22"/>
          <w:szCs w:val="22"/>
        </w:rPr>
      </w:pPr>
    </w:p>
    <w:p w14:paraId="0F5B7702" w14:textId="77777777" w:rsidR="00645809" w:rsidRPr="005863A9" w:rsidRDefault="00645809" w:rsidP="00645809">
      <w:pPr>
        <w:widowControl w:val="0"/>
        <w:ind w:left="567" w:hanging="567"/>
        <w:jc w:val="both"/>
        <w:rPr>
          <w:b/>
          <w:bCs/>
          <w:sz w:val="22"/>
          <w:szCs w:val="22"/>
        </w:rPr>
      </w:pPr>
      <w:r w:rsidRPr="005863A9">
        <w:rPr>
          <w:b/>
          <w:bCs/>
          <w:sz w:val="22"/>
          <w:szCs w:val="22"/>
        </w:rPr>
        <w:t>VI.</w:t>
      </w:r>
      <w:r w:rsidRPr="005863A9">
        <w:rPr>
          <w:b/>
          <w:bCs/>
          <w:sz w:val="22"/>
          <w:szCs w:val="22"/>
        </w:rPr>
        <w:tab/>
        <w:t>Añadir el Capítulo III Indicador de Financiamiento Neto Estable y el Capítulo IV Disposiciones Finales, de acuerdo con el siguiente texto:</w:t>
      </w:r>
    </w:p>
    <w:p w14:paraId="42F1447E" w14:textId="77777777" w:rsidR="00645809" w:rsidRPr="005863A9" w:rsidRDefault="00645809" w:rsidP="00645809">
      <w:pPr>
        <w:widowControl w:val="0"/>
        <w:ind w:left="567" w:hanging="567"/>
        <w:jc w:val="both"/>
        <w:rPr>
          <w:b/>
          <w:bCs/>
          <w:sz w:val="22"/>
          <w:szCs w:val="22"/>
        </w:rPr>
      </w:pPr>
    </w:p>
    <w:p w14:paraId="3CDD7B87" w14:textId="7ABA7C47" w:rsidR="00645809" w:rsidRPr="005863A9" w:rsidRDefault="00645809" w:rsidP="00645809">
      <w:pPr>
        <w:widowControl w:val="0"/>
        <w:ind w:left="567"/>
        <w:jc w:val="both"/>
        <w:rPr>
          <w:b/>
          <w:bCs/>
          <w:sz w:val="22"/>
          <w:szCs w:val="22"/>
        </w:rPr>
      </w:pPr>
      <w:r w:rsidRPr="005863A9">
        <w:rPr>
          <w:sz w:val="22"/>
          <w:szCs w:val="22"/>
        </w:rPr>
        <w:t>“</w:t>
      </w:r>
      <w:r w:rsidRPr="005863A9">
        <w:rPr>
          <w:b/>
          <w:bCs/>
          <w:sz w:val="22"/>
          <w:szCs w:val="22"/>
        </w:rPr>
        <w:t>CAPÍTULO III</w:t>
      </w:r>
    </w:p>
    <w:p w14:paraId="17D8B726" w14:textId="77777777" w:rsidR="00645809" w:rsidRPr="005863A9" w:rsidRDefault="00645809" w:rsidP="00645809">
      <w:pPr>
        <w:widowControl w:val="0"/>
        <w:ind w:left="567"/>
        <w:jc w:val="both"/>
        <w:rPr>
          <w:b/>
          <w:bCs/>
          <w:sz w:val="22"/>
          <w:szCs w:val="22"/>
        </w:rPr>
      </w:pPr>
      <w:r w:rsidRPr="005863A9">
        <w:rPr>
          <w:b/>
          <w:bCs/>
          <w:sz w:val="22"/>
          <w:szCs w:val="22"/>
        </w:rPr>
        <w:t xml:space="preserve">INDICADOR DE FINANCIAMIENTO NETO ESTABLE </w:t>
      </w:r>
    </w:p>
    <w:p w14:paraId="30B5A9DD" w14:textId="77777777" w:rsidR="000C7616" w:rsidRDefault="000C7616" w:rsidP="00645809">
      <w:pPr>
        <w:widowControl w:val="0"/>
        <w:ind w:left="567"/>
        <w:jc w:val="both"/>
        <w:rPr>
          <w:b/>
          <w:bCs/>
          <w:sz w:val="22"/>
          <w:szCs w:val="22"/>
        </w:rPr>
      </w:pPr>
    </w:p>
    <w:p w14:paraId="6FF6DCC2" w14:textId="0C26346B" w:rsidR="00645809" w:rsidRPr="005863A9" w:rsidRDefault="00645809" w:rsidP="00645809">
      <w:pPr>
        <w:widowControl w:val="0"/>
        <w:ind w:left="567"/>
        <w:jc w:val="both"/>
        <w:rPr>
          <w:b/>
          <w:bCs/>
          <w:sz w:val="22"/>
          <w:szCs w:val="22"/>
        </w:rPr>
      </w:pPr>
      <w:r w:rsidRPr="005863A9">
        <w:rPr>
          <w:b/>
          <w:bCs/>
          <w:sz w:val="22"/>
          <w:szCs w:val="22"/>
        </w:rPr>
        <w:t>Artículo 9. Indicador de Financiamiento Neto Estable (IFNE)</w:t>
      </w:r>
    </w:p>
    <w:p w14:paraId="6C7FE1E7" w14:textId="77777777" w:rsidR="00645809" w:rsidRPr="005863A9" w:rsidRDefault="00645809" w:rsidP="00645809">
      <w:pPr>
        <w:widowControl w:val="0"/>
        <w:ind w:left="567"/>
        <w:jc w:val="both"/>
        <w:rPr>
          <w:sz w:val="22"/>
          <w:szCs w:val="22"/>
        </w:rPr>
      </w:pPr>
      <w:r w:rsidRPr="005863A9">
        <w:rPr>
          <w:sz w:val="22"/>
          <w:szCs w:val="22"/>
        </w:rPr>
        <w:t>La entidad debe calcular mensualmente el IFNE que se define a continuación:</w:t>
      </w:r>
    </w:p>
    <w:p w14:paraId="010A5C9F" w14:textId="77777777" w:rsidR="00645809" w:rsidRPr="005863A9" w:rsidRDefault="00645809" w:rsidP="00645809">
      <w:pPr>
        <w:widowControl w:val="0"/>
        <w:ind w:left="567"/>
        <w:jc w:val="both"/>
        <w:rPr>
          <w:sz w:val="22"/>
          <w:szCs w:val="22"/>
        </w:rPr>
      </w:pPr>
    </w:p>
    <w:p w14:paraId="0590036D" w14:textId="77777777" w:rsidR="00645809" w:rsidRPr="005863A9" w:rsidRDefault="00645809" w:rsidP="00645809">
      <w:pPr>
        <w:widowControl w:val="0"/>
        <w:ind w:left="567"/>
        <w:rPr>
          <w:sz w:val="22"/>
          <w:szCs w:val="22"/>
        </w:rPr>
      </w:pPr>
      <m:oMathPara>
        <m:oMath>
          <m:r>
            <m:rPr>
              <m:sty m:val="b"/>
            </m:rPr>
            <w:rPr>
              <w:rFonts w:ascii="Cambria Math" w:hAnsi="Cambria Math"/>
              <w:sz w:val="22"/>
              <w:szCs w:val="22"/>
            </w:rPr>
            <m:t>IFNE</m:t>
          </m:r>
          <m:r>
            <m:rPr>
              <m:sty m:val="bi"/>
            </m:rPr>
            <w:rPr>
              <w:rFonts w:ascii="Cambria Math" w:hAnsi="Cambria Math"/>
              <w:sz w:val="22"/>
              <w:szCs w:val="22"/>
            </w:rPr>
            <m:t>=</m:t>
          </m:r>
          <m:r>
            <w:rPr>
              <w:rFonts w:ascii="Cambria Math" w:hAnsi="Cambria Math"/>
              <w:sz w:val="22"/>
              <w:szCs w:val="22"/>
            </w:rPr>
            <m:t xml:space="preserve"> </m:t>
          </m:r>
          <m:f>
            <m:fPr>
              <m:ctrlPr>
                <w:rPr>
                  <w:rFonts w:ascii="Cambria Math" w:hAnsi="Cambria Math"/>
                  <w:i/>
                  <w:sz w:val="22"/>
                  <w:szCs w:val="22"/>
                </w:rPr>
              </m:ctrlPr>
            </m:fPr>
            <m:num>
              <m:r>
                <m:rPr>
                  <m:sty m:val="p"/>
                </m:rPr>
                <w:rPr>
                  <w:rFonts w:ascii="Cambria Math" w:hAnsi="Cambria Math"/>
                  <w:sz w:val="22"/>
                  <w:szCs w:val="22"/>
                  <w:lang w:val="es-MX"/>
                </w:rPr>
                <m:t>Financiamiento Estable Disponible</m:t>
              </m:r>
              <m:r>
                <w:rPr>
                  <w:rFonts w:ascii="Cambria Math" w:hAnsi="Cambria Math"/>
                  <w:sz w:val="22"/>
                  <w:szCs w:val="22"/>
                  <w:lang w:val="es-MX"/>
                </w:rPr>
                <m:t xml:space="preserve"> </m:t>
              </m:r>
              <m:d>
                <m:dPr>
                  <m:ctrlPr>
                    <w:rPr>
                      <w:rFonts w:ascii="Cambria Math" w:hAnsi="Cambria Math"/>
                      <w:i/>
                      <w:sz w:val="22"/>
                      <w:szCs w:val="22"/>
                      <w:lang w:val="es-MX"/>
                    </w:rPr>
                  </m:ctrlPr>
                </m:dPr>
                <m:e>
                  <m:r>
                    <m:rPr>
                      <m:sty m:val="p"/>
                    </m:rPr>
                    <w:rPr>
                      <w:rFonts w:ascii="Cambria Math" w:hAnsi="Cambria Math"/>
                      <w:sz w:val="22"/>
                      <w:szCs w:val="22"/>
                      <w:lang w:val="es-MX"/>
                    </w:rPr>
                    <m:t>FED</m:t>
                  </m:r>
                </m:e>
              </m:d>
            </m:num>
            <m:den>
              <m:r>
                <m:rPr>
                  <m:sty m:val="p"/>
                </m:rPr>
                <w:rPr>
                  <w:rFonts w:ascii="Cambria Math" w:hAnsi="Cambria Math"/>
                  <w:sz w:val="22"/>
                  <w:szCs w:val="22"/>
                  <w:lang w:val="es-MX"/>
                </w:rPr>
                <m:t>Financiamiento Estable Requerido</m:t>
              </m:r>
              <m:r>
                <w:rPr>
                  <w:rFonts w:ascii="Cambria Math" w:hAnsi="Cambria Math"/>
                  <w:sz w:val="22"/>
                  <w:szCs w:val="22"/>
                  <w:lang w:val="es-MX"/>
                </w:rPr>
                <m:t xml:space="preserve"> (</m:t>
              </m:r>
              <m:r>
                <m:rPr>
                  <m:sty m:val="p"/>
                </m:rPr>
                <w:rPr>
                  <w:rFonts w:ascii="Cambria Math" w:hAnsi="Cambria Math"/>
                  <w:sz w:val="22"/>
                  <w:szCs w:val="22"/>
                  <w:lang w:val="es-MX"/>
                </w:rPr>
                <m:t>FER</m:t>
              </m:r>
              <m:r>
                <w:rPr>
                  <w:rFonts w:ascii="Cambria Math" w:hAnsi="Cambria Math"/>
                  <w:sz w:val="22"/>
                  <w:szCs w:val="22"/>
                  <w:lang w:val="es-MX"/>
                </w:rPr>
                <m:t>)</m:t>
              </m:r>
            </m:den>
          </m:f>
        </m:oMath>
      </m:oMathPara>
    </w:p>
    <w:p w14:paraId="00E020E7" w14:textId="77777777" w:rsidR="00645809" w:rsidRPr="005863A9" w:rsidRDefault="00645809" w:rsidP="00645809">
      <w:pPr>
        <w:ind w:left="567"/>
        <w:jc w:val="both"/>
        <w:rPr>
          <w:sz w:val="22"/>
          <w:szCs w:val="22"/>
        </w:rPr>
      </w:pPr>
    </w:p>
    <w:p w14:paraId="315AF4A6" w14:textId="77777777" w:rsidR="00645809" w:rsidRPr="005863A9" w:rsidRDefault="00645809" w:rsidP="00645809">
      <w:pPr>
        <w:ind w:left="567"/>
        <w:jc w:val="both"/>
        <w:rPr>
          <w:sz w:val="22"/>
          <w:szCs w:val="22"/>
        </w:rPr>
      </w:pPr>
      <w:r w:rsidRPr="005863A9">
        <w:rPr>
          <w:sz w:val="22"/>
          <w:szCs w:val="22"/>
        </w:rPr>
        <w:t>Donde,</w:t>
      </w:r>
    </w:p>
    <w:p w14:paraId="09685DC0" w14:textId="77777777" w:rsidR="00645809" w:rsidRPr="005863A9" w:rsidRDefault="00645809" w:rsidP="00645809">
      <w:pPr>
        <w:ind w:left="1418" w:hanging="851"/>
        <w:jc w:val="both"/>
        <w:rPr>
          <w:b/>
          <w:bCs/>
          <w:sz w:val="22"/>
          <w:szCs w:val="22"/>
        </w:rPr>
      </w:pPr>
      <w:r w:rsidRPr="005863A9">
        <w:rPr>
          <w:b/>
          <w:bCs/>
          <w:sz w:val="22"/>
          <w:szCs w:val="22"/>
        </w:rPr>
        <w:t>IFNE:</w:t>
      </w:r>
      <w:r w:rsidRPr="005863A9">
        <w:rPr>
          <w:b/>
          <w:bCs/>
          <w:sz w:val="22"/>
          <w:szCs w:val="22"/>
        </w:rPr>
        <w:tab/>
        <w:t>Indicador de Financiamiento Neto Estable</w:t>
      </w:r>
      <w:r w:rsidRPr="005863A9">
        <w:rPr>
          <w:sz w:val="22"/>
          <w:szCs w:val="22"/>
        </w:rPr>
        <w:t>.</w:t>
      </w:r>
    </w:p>
    <w:p w14:paraId="03E1494F" w14:textId="77777777" w:rsidR="00645809" w:rsidRPr="005863A9" w:rsidRDefault="00645809" w:rsidP="00645809">
      <w:pPr>
        <w:widowControl w:val="0"/>
        <w:ind w:left="1418" w:hanging="851"/>
        <w:jc w:val="both"/>
        <w:rPr>
          <w:sz w:val="22"/>
          <w:szCs w:val="22"/>
        </w:rPr>
      </w:pPr>
      <w:r w:rsidRPr="005863A9">
        <w:rPr>
          <w:b/>
          <w:bCs/>
          <w:sz w:val="22"/>
          <w:szCs w:val="22"/>
        </w:rPr>
        <w:t>FED:</w:t>
      </w:r>
      <w:r w:rsidRPr="005863A9">
        <w:rPr>
          <w:b/>
          <w:bCs/>
          <w:sz w:val="22"/>
          <w:szCs w:val="22"/>
        </w:rPr>
        <w:tab/>
        <w:t xml:space="preserve">Financiamiento Estable Disponible, </w:t>
      </w:r>
      <w:r w:rsidRPr="005863A9">
        <w:rPr>
          <w:bCs/>
          <w:sz w:val="22"/>
          <w:szCs w:val="22"/>
        </w:rPr>
        <w:t>corresponde</w:t>
      </w:r>
      <w:r w:rsidRPr="005863A9">
        <w:rPr>
          <w:sz w:val="22"/>
          <w:szCs w:val="22"/>
        </w:rPr>
        <w:t xml:space="preserve"> a los recursos propios (capital) y ajenos (pasivos) que se espera estén disponibles durante el horizonte de un año en un escenario de estrés. Además,</w:t>
      </w:r>
    </w:p>
    <w:p w14:paraId="74C62085" w14:textId="77777777" w:rsidR="00645809" w:rsidRPr="005863A9" w:rsidRDefault="00645809" w:rsidP="00645809">
      <w:pPr>
        <w:widowControl w:val="0"/>
        <w:ind w:left="567"/>
        <w:rPr>
          <w:sz w:val="22"/>
          <w:szCs w:val="22"/>
        </w:rPr>
      </w:pPr>
      <m:oMathPara>
        <m:oMath>
          <m:r>
            <m:rPr>
              <m:sty m:val="b"/>
            </m:rPr>
            <w:rPr>
              <w:rFonts w:ascii="Cambria Math" w:hAnsi="Cambria Math"/>
              <w:sz w:val="22"/>
              <w:szCs w:val="22"/>
            </w:rPr>
            <m:t>FED</m:t>
          </m:r>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e>
          </m:nary>
        </m:oMath>
      </m:oMathPara>
    </w:p>
    <w:p w14:paraId="6FDA7514" w14:textId="77777777" w:rsidR="00645809" w:rsidRPr="005863A9" w:rsidRDefault="00645809" w:rsidP="00645809">
      <w:pPr>
        <w:ind w:left="567"/>
        <w:jc w:val="both"/>
        <w:rPr>
          <w:sz w:val="22"/>
          <w:szCs w:val="22"/>
        </w:rPr>
      </w:pPr>
    </w:p>
    <w:p w14:paraId="2ACA71EF" w14:textId="77777777" w:rsidR="00645809" w:rsidRPr="005863A9" w:rsidRDefault="00645809" w:rsidP="00645809">
      <w:pPr>
        <w:ind w:left="567"/>
        <w:jc w:val="both"/>
        <w:rPr>
          <w:sz w:val="22"/>
          <w:szCs w:val="22"/>
        </w:rPr>
      </w:pPr>
      <w:r w:rsidRPr="005863A9">
        <w:rPr>
          <w:sz w:val="22"/>
          <w:szCs w:val="22"/>
        </w:rPr>
        <w:t>Donde,</w:t>
      </w:r>
    </w:p>
    <w:p w14:paraId="3381A66E" w14:textId="77777777" w:rsidR="00645809" w:rsidRPr="005863A9" w:rsidRDefault="006F7160" w:rsidP="00645809">
      <w:pPr>
        <w:ind w:left="1418" w:hanging="851"/>
        <w:jc w:val="both"/>
        <w:rPr>
          <w:sz w:val="22"/>
          <w:szCs w:val="22"/>
        </w:rPr>
      </w:pPr>
      <m:oMath>
        <m:sSub>
          <m:sSubPr>
            <m:ctrlPr>
              <w:rPr>
                <w:rFonts w:ascii="Cambria Math" w:hAnsi="Cambria Math"/>
                <w:sz w:val="22"/>
                <w:szCs w:val="22"/>
              </w:rPr>
            </m:ctrlPr>
          </m:sSubPr>
          <m:e>
            <m:r>
              <m:rPr>
                <m:sty m:val="bi"/>
              </m:rPr>
              <w:rPr>
                <w:rFonts w:ascii="Cambria Math" w:hAnsi="Cambria Math"/>
                <w:sz w:val="22"/>
                <w:szCs w:val="22"/>
              </w:rPr>
              <m:t>α</m:t>
            </m:r>
          </m:e>
          <m:sub>
            <m:r>
              <m:rPr>
                <m:sty m:val="bi"/>
              </m:rPr>
              <w:rPr>
                <w:rFonts w:ascii="Cambria Math" w:hAnsi="Cambria Math"/>
                <w:sz w:val="22"/>
                <w:szCs w:val="22"/>
              </w:rPr>
              <m:t>i</m:t>
            </m:r>
          </m:sub>
        </m:sSub>
        <m:r>
          <m:rPr>
            <m:sty m:val="p"/>
          </m:rPr>
          <w:rPr>
            <w:rFonts w:ascii="Cambria Math" w:hAnsi="Cambria Math"/>
            <w:sz w:val="22"/>
            <w:szCs w:val="22"/>
          </w:rPr>
          <m:t>:</m:t>
        </m:r>
      </m:oMath>
      <w:r w:rsidR="00645809" w:rsidRPr="005863A9">
        <w:rPr>
          <w:sz w:val="22"/>
          <w:szCs w:val="22"/>
        </w:rPr>
        <w:tab/>
        <w:t xml:space="preserve">corresponde a los factores de ponderación definidos en el Artículo 10 de este Reglamento, para las categorías </w:t>
      </w:r>
      <m:oMath>
        <m:r>
          <w:rPr>
            <w:rFonts w:ascii="Cambria Math" w:hAnsi="Cambria Math"/>
            <w:sz w:val="22"/>
            <w:szCs w:val="22"/>
          </w:rPr>
          <m:t>i</m:t>
        </m:r>
      </m:oMath>
      <w:r w:rsidR="00645809" w:rsidRPr="005863A9">
        <w:rPr>
          <w:sz w:val="22"/>
          <w:szCs w:val="22"/>
        </w:rPr>
        <w:t xml:space="preserve">=1, 2, …, </w:t>
      </w:r>
      <m:oMath>
        <m:r>
          <w:rPr>
            <w:rFonts w:ascii="Cambria Math" w:hAnsi="Cambria Math"/>
            <w:sz w:val="22"/>
            <w:szCs w:val="22"/>
          </w:rPr>
          <m:t>n</m:t>
        </m:r>
      </m:oMath>
      <w:r w:rsidR="00645809" w:rsidRPr="005863A9">
        <w:rPr>
          <w:iCs/>
          <w:sz w:val="22"/>
          <w:szCs w:val="22"/>
        </w:rPr>
        <w:t>.</w:t>
      </w:r>
    </w:p>
    <w:p w14:paraId="0FDAA42E" w14:textId="77777777" w:rsidR="00645809" w:rsidRPr="005863A9" w:rsidRDefault="006F7160" w:rsidP="00645809">
      <w:pPr>
        <w:ind w:left="1418" w:hanging="851"/>
        <w:jc w:val="both"/>
        <w:rPr>
          <w:iCs/>
          <w:sz w:val="22"/>
          <w:szCs w:val="22"/>
        </w:rPr>
      </w:pPr>
      <m:oMath>
        <m:sSub>
          <m:sSubPr>
            <m:ctrlPr>
              <w:rPr>
                <w:rFonts w:ascii="Cambria Math" w:hAnsi="Cambria Math"/>
                <w:sz w:val="22"/>
                <w:szCs w:val="22"/>
              </w:rPr>
            </m:ctrlPr>
          </m:sSubPr>
          <m:e>
            <m:r>
              <m:rPr>
                <m:sty m:val="bi"/>
              </m:rPr>
              <w:rPr>
                <w:rFonts w:ascii="Cambria Math" w:hAnsi="Cambria Math"/>
                <w:sz w:val="22"/>
                <w:szCs w:val="22"/>
              </w:rPr>
              <m:t>x</m:t>
            </m:r>
          </m:e>
          <m:sub>
            <m:r>
              <m:rPr>
                <m:sty m:val="bi"/>
              </m:rPr>
              <w:rPr>
                <w:rFonts w:ascii="Cambria Math" w:hAnsi="Cambria Math"/>
                <w:sz w:val="22"/>
                <w:szCs w:val="22"/>
              </w:rPr>
              <m:t>i</m:t>
            </m:r>
          </m:sub>
        </m:sSub>
        <m:r>
          <m:rPr>
            <m:sty m:val="p"/>
          </m:rPr>
          <w:rPr>
            <w:rFonts w:ascii="Cambria Math" w:hAnsi="Cambria Math"/>
            <w:sz w:val="22"/>
            <w:szCs w:val="22"/>
          </w:rPr>
          <m:t>:</m:t>
        </m:r>
      </m:oMath>
      <w:r w:rsidR="00645809" w:rsidRPr="005863A9">
        <w:rPr>
          <w:sz w:val="22"/>
          <w:szCs w:val="22"/>
        </w:rPr>
        <w:tab/>
        <w:t xml:space="preserve">corresponde al monto de las categorías de recursos propios (capital) y ajenos (pasivos) definidos en el Artículo 10 de este Reglamento, para las categorías </w:t>
      </w:r>
      <m:oMath>
        <m:r>
          <w:rPr>
            <w:rFonts w:ascii="Cambria Math" w:hAnsi="Cambria Math"/>
            <w:sz w:val="22"/>
            <w:szCs w:val="22"/>
          </w:rPr>
          <m:t>i</m:t>
        </m:r>
      </m:oMath>
      <w:r w:rsidR="00645809" w:rsidRPr="005863A9">
        <w:rPr>
          <w:sz w:val="22"/>
          <w:szCs w:val="22"/>
        </w:rPr>
        <w:t xml:space="preserve">=1, 2, …, </w:t>
      </w:r>
      <m:oMath>
        <m:r>
          <w:rPr>
            <w:rFonts w:ascii="Cambria Math" w:hAnsi="Cambria Math"/>
            <w:sz w:val="22"/>
            <w:szCs w:val="22"/>
          </w:rPr>
          <m:t>n</m:t>
        </m:r>
      </m:oMath>
      <w:r w:rsidR="00645809" w:rsidRPr="005863A9">
        <w:rPr>
          <w:iCs/>
          <w:sz w:val="22"/>
          <w:szCs w:val="22"/>
        </w:rPr>
        <w:t>.</w:t>
      </w:r>
    </w:p>
    <w:p w14:paraId="51D9207F" w14:textId="77777777" w:rsidR="00645809" w:rsidRPr="005863A9" w:rsidRDefault="00645809" w:rsidP="00645809">
      <w:pPr>
        <w:widowControl w:val="0"/>
        <w:ind w:left="1418" w:hanging="851"/>
        <w:jc w:val="both"/>
        <w:rPr>
          <w:sz w:val="22"/>
          <w:szCs w:val="22"/>
        </w:rPr>
      </w:pPr>
      <w:r w:rsidRPr="005863A9">
        <w:rPr>
          <w:b/>
          <w:bCs/>
          <w:sz w:val="22"/>
          <w:szCs w:val="22"/>
        </w:rPr>
        <w:t>FER:</w:t>
      </w:r>
      <w:r w:rsidRPr="005863A9">
        <w:rPr>
          <w:b/>
          <w:bCs/>
          <w:sz w:val="22"/>
          <w:szCs w:val="22"/>
        </w:rPr>
        <w:tab/>
        <w:t>Financiamiento Estable Requerido</w:t>
      </w:r>
      <w:r w:rsidRPr="005863A9">
        <w:rPr>
          <w:sz w:val="22"/>
          <w:szCs w:val="22"/>
        </w:rPr>
        <w:t>, corresponde a los recursos necesarios para solventar los diversos activos, independientemente del tratamiento contable. También se requiere cubrir una fracción de los compromisos fuera de balance. Además</w:t>
      </w:r>
    </w:p>
    <w:p w14:paraId="11C0934A" w14:textId="77777777" w:rsidR="00645809" w:rsidRPr="005863A9" w:rsidRDefault="00645809" w:rsidP="00645809">
      <w:pPr>
        <w:widowControl w:val="0"/>
        <w:ind w:left="1418" w:hanging="851"/>
        <w:jc w:val="both"/>
        <w:rPr>
          <w:sz w:val="22"/>
          <w:szCs w:val="22"/>
        </w:rPr>
      </w:pPr>
    </w:p>
    <w:p w14:paraId="23DF279F" w14:textId="77777777" w:rsidR="00645809" w:rsidRPr="005863A9" w:rsidRDefault="00645809" w:rsidP="00645809">
      <w:pPr>
        <w:widowControl w:val="0"/>
        <w:ind w:left="567"/>
        <w:rPr>
          <w:sz w:val="22"/>
          <w:szCs w:val="22"/>
        </w:rPr>
      </w:pPr>
      <m:oMathPara>
        <m:oMath>
          <m:r>
            <m:rPr>
              <m:sty m:val="b"/>
            </m:rPr>
            <w:rPr>
              <w:rFonts w:ascii="Cambria Math" w:hAnsi="Cambria Math"/>
              <w:sz w:val="22"/>
              <w:szCs w:val="22"/>
            </w:rPr>
            <w:lastRenderedPageBreak/>
            <m:t>FER</m:t>
          </m:r>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j</m:t>
                  </m:r>
                </m:sub>
              </m:sSub>
            </m:e>
          </m:nary>
        </m:oMath>
      </m:oMathPara>
    </w:p>
    <w:p w14:paraId="42FFB8E8" w14:textId="77777777" w:rsidR="00645809" w:rsidRPr="005863A9" w:rsidRDefault="00645809" w:rsidP="00645809">
      <w:pPr>
        <w:ind w:left="567"/>
        <w:jc w:val="both"/>
        <w:rPr>
          <w:sz w:val="22"/>
          <w:szCs w:val="22"/>
        </w:rPr>
      </w:pPr>
      <w:r w:rsidRPr="005863A9">
        <w:rPr>
          <w:sz w:val="22"/>
          <w:szCs w:val="22"/>
        </w:rPr>
        <w:t>Donde,</w:t>
      </w:r>
    </w:p>
    <w:p w14:paraId="67657452" w14:textId="77777777" w:rsidR="00645809" w:rsidRPr="005863A9" w:rsidRDefault="006F7160" w:rsidP="00645809">
      <w:pPr>
        <w:ind w:left="1134" w:hanging="567"/>
        <w:jc w:val="both"/>
        <w:rPr>
          <w:sz w:val="22"/>
          <w:szCs w:val="22"/>
        </w:rPr>
      </w:pPr>
      <m:oMath>
        <m:sSub>
          <m:sSubPr>
            <m:ctrlPr>
              <w:rPr>
                <w:rFonts w:ascii="Cambria Math" w:hAnsi="Cambria Math"/>
                <w:b/>
                <w:bCs/>
                <w:sz w:val="22"/>
                <w:szCs w:val="22"/>
              </w:rPr>
            </m:ctrlPr>
          </m:sSubPr>
          <m:e>
            <m:r>
              <m:rPr>
                <m:sty m:val="bi"/>
              </m:rPr>
              <w:rPr>
                <w:rFonts w:ascii="Cambria Math" w:hAnsi="Cambria Math"/>
                <w:sz w:val="22"/>
                <w:szCs w:val="22"/>
              </w:rPr>
              <m:t>β</m:t>
            </m:r>
          </m:e>
          <m:sub>
            <m:r>
              <m:rPr>
                <m:sty m:val="bi"/>
              </m:rPr>
              <w:rPr>
                <w:rFonts w:ascii="Cambria Math" w:hAnsi="Cambria Math"/>
                <w:sz w:val="22"/>
                <w:szCs w:val="22"/>
              </w:rPr>
              <m:t>j</m:t>
            </m:r>
          </m:sub>
        </m:sSub>
        <m:r>
          <m:rPr>
            <m:sty m:val="b"/>
          </m:rPr>
          <w:rPr>
            <w:rFonts w:ascii="Cambria Math" w:hAnsi="Cambria Math"/>
            <w:sz w:val="22"/>
            <w:szCs w:val="22"/>
          </w:rPr>
          <m:t>:</m:t>
        </m:r>
      </m:oMath>
      <w:r w:rsidR="00645809" w:rsidRPr="005863A9">
        <w:rPr>
          <w:sz w:val="22"/>
          <w:szCs w:val="22"/>
        </w:rPr>
        <w:tab/>
        <w:t xml:space="preserve">corresponde a los factores de ponderación definidos en el Artículo 11 de este Reglamento, para las categorías </w:t>
      </w:r>
      <m:oMath>
        <m:r>
          <w:rPr>
            <w:rFonts w:ascii="Cambria Math" w:hAnsi="Cambria Math"/>
            <w:sz w:val="22"/>
            <w:szCs w:val="22"/>
          </w:rPr>
          <m:t>j</m:t>
        </m:r>
      </m:oMath>
      <w:r w:rsidR="00645809" w:rsidRPr="005863A9">
        <w:rPr>
          <w:sz w:val="22"/>
          <w:szCs w:val="22"/>
        </w:rPr>
        <w:t xml:space="preserve">=1, 2, …, </w:t>
      </w:r>
      <m:oMath>
        <m:r>
          <w:rPr>
            <w:rFonts w:ascii="Cambria Math" w:hAnsi="Cambria Math"/>
            <w:sz w:val="22"/>
            <w:szCs w:val="22"/>
          </w:rPr>
          <m:t>m</m:t>
        </m:r>
      </m:oMath>
      <w:r w:rsidR="00645809" w:rsidRPr="005863A9">
        <w:rPr>
          <w:iCs/>
          <w:sz w:val="22"/>
          <w:szCs w:val="22"/>
        </w:rPr>
        <w:t>.</w:t>
      </w:r>
    </w:p>
    <w:p w14:paraId="3A2C580A" w14:textId="77777777" w:rsidR="00645809" w:rsidRPr="005863A9" w:rsidRDefault="006F7160" w:rsidP="00645809">
      <w:pPr>
        <w:widowControl w:val="0"/>
        <w:ind w:left="1134" w:hanging="567"/>
        <w:jc w:val="both"/>
        <w:rPr>
          <w:sz w:val="22"/>
          <w:szCs w:val="22"/>
        </w:rPr>
      </w:pPr>
      <m:oMath>
        <m:sSub>
          <m:sSubPr>
            <m:ctrlPr>
              <w:rPr>
                <w:rFonts w:ascii="Cambria Math" w:hAnsi="Cambria Math"/>
                <w:b/>
                <w:bCs/>
                <w:sz w:val="22"/>
                <w:szCs w:val="22"/>
              </w:rPr>
            </m:ctrlPr>
          </m:sSubPr>
          <m:e>
            <m:r>
              <m:rPr>
                <m:sty m:val="bi"/>
              </m:rPr>
              <w:rPr>
                <w:rFonts w:ascii="Cambria Math" w:hAnsi="Cambria Math"/>
                <w:sz w:val="22"/>
                <w:szCs w:val="22"/>
              </w:rPr>
              <m:t>y</m:t>
            </m:r>
          </m:e>
          <m:sub>
            <m:r>
              <m:rPr>
                <m:sty m:val="bi"/>
              </m:rPr>
              <w:rPr>
                <w:rFonts w:ascii="Cambria Math" w:hAnsi="Cambria Math"/>
                <w:sz w:val="22"/>
                <w:szCs w:val="22"/>
              </w:rPr>
              <m:t>j</m:t>
            </m:r>
          </m:sub>
        </m:sSub>
        <m:r>
          <m:rPr>
            <m:sty m:val="b"/>
          </m:rPr>
          <w:rPr>
            <w:rFonts w:ascii="Cambria Math" w:hAnsi="Cambria Math"/>
            <w:sz w:val="22"/>
            <w:szCs w:val="22"/>
          </w:rPr>
          <m:t>:</m:t>
        </m:r>
      </m:oMath>
      <w:r w:rsidR="00645809" w:rsidRPr="005863A9">
        <w:rPr>
          <w:b/>
          <w:bCs/>
          <w:sz w:val="22"/>
          <w:szCs w:val="22"/>
        </w:rPr>
        <w:tab/>
      </w:r>
      <w:r w:rsidR="00645809" w:rsidRPr="005863A9">
        <w:rPr>
          <w:sz w:val="22"/>
          <w:szCs w:val="22"/>
        </w:rPr>
        <w:t xml:space="preserve">corresponde al monto de las categorías del activo y posiciones fuera de balance definidos en el Artículo 11 de este Reglamento, para las categorías </w:t>
      </w:r>
      <m:oMath>
        <m:r>
          <w:rPr>
            <w:rFonts w:ascii="Cambria Math" w:hAnsi="Cambria Math"/>
            <w:sz w:val="22"/>
            <w:szCs w:val="22"/>
          </w:rPr>
          <m:t>j</m:t>
        </m:r>
      </m:oMath>
      <w:r w:rsidR="00645809" w:rsidRPr="005863A9">
        <w:rPr>
          <w:sz w:val="22"/>
          <w:szCs w:val="22"/>
        </w:rPr>
        <w:t xml:space="preserve">=1, 2, …, </w:t>
      </w:r>
      <m:oMath>
        <m:r>
          <w:rPr>
            <w:rFonts w:ascii="Cambria Math" w:hAnsi="Cambria Math"/>
            <w:sz w:val="22"/>
            <w:szCs w:val="22"/>
          </w:rPr>
          <m:t>m</m:t>
        </m:r>
      </m:oMath>
      <w:r w:rsidR="00645809" w:rsidRPr="005863A9">
        <w:rPr>
          <w:iCs/>
          <w:sz w:val="22"/>
          <w:szCs w:val="22"/>
        </w:rPr>
        <w:t>.</w:t>
      </w:r>
    </w:p>
    <w:p w14:paraId="523A40D6" w14:textId="77777777" w:rsidR="00645809" w:rsidRPr="005863A9" w:rsidRDefault="00645809" w:rsidP="00645809">
      <w:pPr>
        <w:widowControl w:val="0"/>
        <w:ind w:left="567"/>
        <w:jc w:val="both"/>
        <w:rPr>
          <w:sz w:val="22"/>
          <w:szCs w:val="22"/>
        </w:rPr>
      </w:pPr>
      <w:r w:rsidRPr="005863A9">
        <w:rPr>
          <w:rFonts w:eastAsia="Calibri"/>
          <w:sz w:val="22"/>
          <w:szCs w:val="22"/>
        </w:rPr>
        <w:t>El IFNE deberá ser en todo momento igual o mayor al 100%.</w:t>
      </w:r>
    </w:p>
    <w:p w14:paraId="1FD63D57" w14:textId="77777777" w:rsidR="00645809" w:rsidRPr="005863A9" w:rsidRDefault="00645809" w:rsidP="00645809">
      <w:pPr>
        <w:widowControl w:val="0"/>
        <w:ind w:left="567"/>
        <w:jc w:val="both"/>
        <w:rPr>
          <w:sz w:val="22"/>
          <w:szCs w:val="22"/>
        </w:rPr>
      </w:pPr>
    </w:p>
    <w:p w14:paraId="78FC0626" w14:textId="77777777" w:rsidR="00645809" w:rsidRPr="005863A9" w:rsidRDefault="00645809" w:rsidP="00645809">
      <w:pPr>
        <w:widowControl w:val="0"/>
        <w:ind w:left="567"/>
        <w:jc w:val="both"/>
        <w:rPr>
          <w:sz w:val="22"/>
          <w:szCs w:val="22"/>
        </w:rPr>
      </w:pPr>
      <w:r w:rsidRPr="005863A9">
        <w:rPr>
          <w:sz w:val="22"/>
          <w:szCs w:val="22"/>
        </w:rPr>
        <w:t>La entidad debe notificar por escrito a la Superintendencia en un plazo máximo de cinco días hábiles posteriores al momento en el que se presente</w:t>
      </w:r>
      <w:r w:rsidRPr="005863A9">
        <w:rPr>
          <w:strike/>
          <w:sz w:val="22"/>
          <w:szCs w:val="22"/>
        </w:rPr>
        <w:t xml:space="preserve"> </w:t>
      </w:r>
      <w:r w:rsidRPr="005863A9">
        <w:rPr>
          <w:sz w:val="22"/>
          <w:szCs w:val="22"/>
        </w:rPr>
        <w:t>un incumplimiento, incorporando el detalle de la(s) causa(s) que originaron dicha situación.</w:t>
      </w:r>
    </w:p>
    <w:p w14:paraId="7784CDF2" w14:textId="77777777" w:rsidR="00645809" w:rsidRPr="005863A9" w:rsidRDefault="00645809" w:rsidP="00645809">
      <w:pPr>
        <w:widowControl w:val="0"/>
        <w:ind w:left="567"/>
        <w:jc w:val="both"/>
        <w:rPr>
          <w:sz w:val="22"/>
          <w:szCs w:val="22"/>
        </w:rPr>
      </w:pPr>
    </w:p>
    <w:p w14:paraId="3CDDBDB7" w14:textId="77777777" w:rsidR="00645809" w:rsidRPr="005863A9" w:rsidRDefault="00645809" w:rsidP="00645809">
      <w:pPr>
        <w:widowControl w:val="0"/>
        <w:ind w:left="567"/>
        <w:jc w:val="both"/>
        <w:rPr>
          <w:strike/>
          <w:sz w:val="22"/>
          <w:szCs w:val="22"/>
        </w:rPr>
      </w:pPr>
      <w:r w:rsidRPr="005863A9">
        <w:rPr>
          <w:sz w:val="22"/>
          <w:szCs w:val="22"/>
        </w:rPr>
        <w:t>Asimismo, la entidad debe presentar en un plazo máximo de diez días hábiles posteriores al momento en el que se presente el incumplimiento, un plan de restablecimiento del IFNE sobre cómo espera restablecer o cómo se restableció el faltante de financiamiento</w:t>
      </w:r>
      <w:r w:rsidRPr="005863A9">
        <w:rPr>
          <w:b/>
          <w:bCs/>
          <w:sz w:val="22"/>
          <w:szCs w:val="22"/>
        </w:rPr>
        <w:t>,</w:t>
      </w:r>
      <w:r w:rsidRPr="005863A9">
        <w:rPr>
          <w:sz w:val="22"/>
          <w:szCs w:val="22"/>
        </w:rPr>
        <w:t xml:space="preserve"> con el detalle de actividades, responsables y plazos para su ejecución. Este plan de restablecimiento deberá incorporar, al menos: fecha del incumplimiento, detalle de acciones ejecutadas o que se espera ejecutar, responsables de su realización, plazos en los que se realizaron o se realizarán, retos y oportunidades de mejora identificados de los procesos ejecutados, así como las acciones propuestas para robustecer los niveles de financiamiento. Además, este plan deberá ser conocido y aprobado por el Órgano de Dirección previo a su remisión a la SUGEF.</w:t>
      </w:r>
    </w:p>
    <w:p w14:paraId="21C3F89D" w14:textId="77777777" w:rsidR="00645809" w:rsidRPr="005863A9" w:rsidRDefault="00645809" w:rsidP="00645809">
      <w:pPr>
        <w:widowControl w:val="0"/>
        <w:ind w:left="567"/>
        <w:jc w:val="both"/>
        <w:rPr>
          <w:sz w:val="22"/>
          <w:szCs w:val="22"/>
        </w:rPr>
      </w:pPr>
    </w:p>
    <w:p w14:paraId="76255E6C" w14:textId="77777777" w:rsidR="00645809" w:rsidRPr="005863A9" w:rsidRDefault="00645809" w:rsidP="00645809">
      <w:pPr>
        <w:widowControl w:val="0"/>
        <w:ind w:left="567"/>
        <w:jc w:val="both"/>
        <w:rPr>
          <w:sz w:val="22"/>
          <w:szCs w:val="22"/>
        </w:rPr>
      </w:pPr>
      <w:r w:rsidRPr="005863A9">
        <w:rPr>
          <w:sz w:val="22"/>
          <w:szCs w:val="22"/>
        </w:rPr>
        <w:t xml:space="preserve">En caso de que la entidad requiera prorrogar el plazo inicial para el envío del plan de restablecimiento, deberá solicitarlo a la SUGEF, previo al vencimiento del plazo inicial, justificando las causas de la solicitud. La SUGEF comunicará oportunamente la decisión de otorgar o no la prórroga.  En caso de que esta proceda, no podrá ser superior a cinco días hábiles. </w:t>
      </w:r>
    </w:p>
    <w:p w14:paraId="12A448B4" w14:textId="77777777" w:rsidR="00645809" w:rsidRPr="005863A9" w:rsidRDefault="00645809" w:rsidP="00645809">
      <w:pPr>
        <w:widowControl w:val="0"/>
        <w:ind w:left="567"/>
        <w:jc w:val="both"/>
        <w:rPr>
          <w:sz w:val="22"/>
          <w:szCs w:val="22"/>
        </w:rPr>
      </w:pPr>
    </w:p>
    <w:p w14:paraId="4385D16B" w14:textId="77777777" w:rsidR="00645809" w:rsidRPr="005863A9" w:rsidRDefault="00645809" w:rsidP="00645809">
      <w:pPr>
        <w:widowControl w:val="0"/>
        <w:ind w:left="567"/>
        <w:jc w:val="both"/>
        <w:rPr>
          <w:sz w:val="22"/>
          <w:szCs w:val="22"/>
        </w:rPr>
      </w:pPr>
      <w:r w:rsidRPr="005863A9">
        <w:rPr>
          <w:sz w:val="22"/>
          <w:szCs w:val="22"/>
        </w:rPr>
        <w:t>Cuando la SUGEF considere que la entidad debe corregir el plan de restablecimiento presentado, este se debe devolver por única vez, debidamente motivado y se debe otorgar un plazo adicional para la presentación del plan con los respectivos ajustes.</w:t>
      </w:r>
    </w:p>
    <w:p w14:paraId="7FBFE044" w14:textId="77777777" w:rsidR="00645809" w:rsidRPr="005863A9" w:rsidRDefault="00645809" w:rsidP="00645809">
      <w:pPr>
        <w:ind w:left="567"/>
        <w:jc w:val="both"/>
        <w:rPr>
          <w:sz w:val="22"/>
          <w:szCs w:val="22"/>
        </w:rPr>
      </w:pPr>
    </w:p>
    <w:p w14:paraId="7F0B8E34" w14:textId="6F549064" w:rsidR="00645809" w:rsidRPr="005863A9" w:rsidRDefault="00645809" w:rsidP="00645809">
      <w:pPr>
        <w:ind w:left="567"/>
        <w:jc w:val="both"/>
        <w:rPr>
          <w:sz w:val="22"/>
          <w:szCs w:val="22"/>
        </w:rPr>
      </w:pPr>
      <w:r w:rsidRPr="005863A9">
        <w:rPr>
          <w:sz w:val="22"/>
          <w:szCs w:val="22"/>
        </w:rPr>
        <w:t>El IFNE debe ser calculado de forma consolidada en moneda nacional y en moneda extranjera. Este cálculo debe ser remitido en moneda nacional, por lo cual, en el caso de saldos en moneda extranjera, estos se deben de convertir al tipo de cambio indicado en el Reglamento de Información Financiera.</w:t>
      </w:r>
    </w:p>
    <w:p w14:paraId="1A342C77" w14:textId="77777777" w:rsidR="000C7616" w:rsidRPr="005863A9" w:rsidRDefault="000C7616" w:rsidP="00645809">
      <w:pPr>
        <w:ind w:left="567"/>
        <w:jc w:val="both"/>
        <w:rPr>
          <w:sz w:val="22"/>
          <w:szCs w:val="22"/>
        </w:rPr>
      </w:pPr>
    </w:p>
    <w:p w14:paraId="795B6AAE" w14:textId="77777777" w:rsidR="00645809" w:rsidRPr="005863A9" w:rsidRDefault="00645809" w:rsidP="00645809">
      <w:pPr>
        <w:widowControl w:val="0"/>
        <w:ind w:left="567"/>
        <w:jc w:val="both"/>
        <w:rPr>
          <w:sz w:val="22"/>
          <w:szCs w:val="22"/>
        </w:rPr>
      </w:pPr>
      <w:r w:rsidRPr="005863A9">
        <w:rPr>
          <w:sz w:val="22"/>
          <w:szCs w:val="22"/>
        </w:rPr>
        <w:t>Mediante Anexo III de este Reglamento se incluye el cálculo detallado del IFNE, con indicación de los factores aplicables a cada rubro del FED y del FER, según se desarrolla en este Reglamento.</w:t>
      </w:r>
    </w:p>
    <w:p w14:paraId="431896E9" w14:textId="77777777" w:rsidR="00645809" w:rsidRPr="005863A9" w:rsidRDefault="00645809" w:rsidP="00645809">
      <w:pPr>
        <w:widowControl w:val="0"/>
        <w:ind w:left="567"/>
        <w:jc w:val="both"/>
        <w:rPr>
          <w:sz w:val="22"/>
          <w:szCs w:val="22"/>
        </w:rPr>
      </w:pPr>
    </w:p>
    <w:p w14:paraId="216252AC" w14:textId="77777777" w:rsidR="00645809" w:rsidRPr="005863A9" w:rsidRDefault="00645809" w:rsidP="00645809">
      <w:pPr>
        <w:pStyle w:val="Ttulo3"/>
        <w:keepNext w:val="0"/>
        <w:widowControl w:val="0"/>
        <w:ind w:left="567"/>
        <w:jc w:val="both"/>
        <w:rPr>
          <w:sz w:val="22"/>
          <w:szCs w:val="22"/>
        </w:rPr>
      </w:pPr>
      <w:r w:rsidRPr="005863A9">
        <w:rPr>
          <w:sz w:val="22"/>
          <w:szCs w:val="22"/>
        </w:rPr>
        <w:t>Artículo 10. Financiamiento Estable Disponible</w:t>
      </w:r>
    </w:p>
    <w:p w14:paraId="540A44C9" w14:textId="77777777" w:rsidR="00645809" w:rsidRPr="005863A9" w:rsidRDefault="00645809" w:rsidP="00645809">
      <w:pPr>
        <w:widowControl w:val="0"/>
        <w:ind w:left="567"/>
        <w:jc w:val="both"/>
        <w:rPr>
          <w:sz w:val="22"/>
          <w:szCs w:val="22"/>
        </w:rPr>
      </w:pPr>
      <w:r w:rsidRPr="005863A9">
        <w:rPr>
          <w:sz w:val="22"/>
          <w:szCs w:val="22"/>
        </w:rPr>
        <w:t xml:space="preserve">El FED agregado comprenderá el monto de las siguientes categorías </w:t>
      </w:r>
      <w:r w:rsidRPr="005863A9">
        <w:rPr>
          <w:b/>
          <w:bCs/>
          <w:sz w:val="22"/>
          <w:szCs w:val="22"/>
        </w:rPr>
        <w:t>(</w:t>
      </w:r>
      <m:oMath>
        <m:r>
          <m:rPr>
            <m:sty m:val="bi"/>
          </m:rPr>
          <w:rPr>
            <w:rFonts w:ascii="Cambria Math" w:hAnsi="Cambria Math"/>
            <w:sz w:val="22"/>
            <w:szCs w:val="22"/>
          </w:rPr>
          <m:t>x</m:t>
        </m:r>
      </m:oMath>
      <w:r w:rsidRPr="005863A9">
        <w:rPr>
          <w:b/>
          <w:bCs/>
          <w:sz w:val="22"/>
          <w:szCs w:val="22"/>
        </w:rPr>
        <w:t>)</w:t>
      </w:r>
      <w:r w:rsidRPr="005863A9">
        <w:rPr>
          <w:sz w:val="22"/>
          <w:szCs w:val="22"/>
        </w:rPr>
        <w:t xml:space="preserve"> del pasivo y capital que se indican a continuación, los cuales se computarán por los siguientes factores </w:t>
      </w:r>
      <w:r w:rsidRPr="005863A9">
        <w:rPr>
          <w:b/>
          <w:bCs/>
          <w:sz w:val="22"/>
          <w:szCs w:val="22"/>
        </w:rPr>
        <w:t>(α)</w:t>
      </w:r>
      <w:r w:rsidRPr="005863A9">
        <w:rPr>
          <w:sz w:val="22"/>
          <w:szCs w:val="22"/>
        </w:rPr>
        <w:t>:</w:t>
      </w:r>
    </w:p>
    <w:p w14:paraId="28FDA49E" w14:textId="77777777" w:rsidR="00645809" w:rsidRPr="005863A9" w:rsidRDefault="00645809" w:rsidP="00645809">
      <w:pPr>
        <w:widowControl w:val="0"/>
        <w:ind w:left="567"/>
        <w:jc w:val="both"/>
        <w:rPr>
          <w:sz w:val="22"/>
          <w:szCs w:val="22"/>
        </w:rPr>
      </w:pPr>
    </w:p>
    <w:p w14:paraId="25A113D2" w14:textId="77777777" w:rsidR="00645809" w:rsidRPr="005863A9" w:rsidRDefault="00645809" w:rsidP="00645809">
      <w:pPr>
        <w:pStyle w:val="Ttulo3"/>
        <w:keepNext w:val="0"/>
        <w:widowControl w:val="0"/>
        <w:numPr>
          <w:ilvl w:val="0"/>
          <w:numId w:val="28"/>
        </w:numPr>
        <w:tabs>
          <w:tab w:val="num" w:pos="567"/>
        </w:tabs>
        <w:ind w:left="1134" w:hanging="567"/>
        <w:jc w:val="both"/>
        <w:rPr>
          <w:sz w:val="22"/>
          <w:szCs w:val="22"/>
        </w:rPr>
      </w:pPr>
      <w:r w:rsidRPr="005863A9">
        <w:rPr>
          <w:sz w:val="22"/>
          <w:szCs w:val="22"/>
        </w:rPr>
        <w:t xml:space="preserve">Capital </w:t>
      </w:r>
    </w:p>
    <w:p w14:paraId="2F8231A3" w14:textId="77777777" w:rsidR="00645809" w:rsidRPr="005863A9" w:rsidRDefault="00645809" w:rsidP="00645809">
      <w:pPr>
        <w:rPr>
          <w:sz w:val="22"/>
          <w:szCs w:val="22"/>
        </w:rPr>
      </w:pPr>
    </w:p>
    <w:p w14:paraId="30B70598" w14:textId="77777777" w:rsidR="00645809" w:rsidRPr="005863A9" w:rsidRDefault="00645809" w:rsidP="000C7616">
      <w:pPr>
        <w:pStyle w:val="Ttulo3"/>
        <w:keepNext w:val="0"/>
        <w:widowControl w:val="0"/>
        <w:numPr>
          <w:ilvl w:val="1"/>
          <w:numId w:val="28"/>
        </w:numPr>
        <w:tabs>
          <w:tab w:val="num" w:pos="1701"/>
        </w:tabs>
        <w:ind w:left="1701" w:hanging="567"/>
        <w:jc w:val="both"/>
        <w:rPr>
          <w:sz w:val="22"/>
          <w:szCs w:val="22"/>
        </w:rPr>
      </w:pPr>
      <w:r w:rsidRPr="005863A9">
        <w:rPr>
          <w:sz w:val="22"/>
          <w:szCs w:val="22"/>
        </w:rPr>
        <w:t>Capital base ajustado para IFNE:</w:t>
      </w:r>
      <w:r w:rsidRPr="005863A9">
        <w:rPr>
          <w:b w:val="0"/>
          <w:bCs w:val="0"/>
          <w:sz w:val="22"/>
          <w:szCs w:val="22"/>
        </w:rPr>
        <w:t xml:space="preserve"> </w:t>
      </w:r>
    </w:p>
    <w:p w14:paraId="785E67B7" w14:textId="77777777" w:rsidR="00645809" w:rsidRPr="005863A9" w:rsidRDefault="00645809" w:rsidP="00645809">
      <w:pPr>
        <w:pStyle w:val="Ttulo3"/>
        <w:keepNext w:val="0"/>
        <w:widowControl w:val="0"/>
        <w:ind w:left="1701"/>
        <w:jc w:val="both"/>
        <w:rPr>
          <w:b w:val="0"/>
          <w:bCs w:val="0"/>
          <w:sz w:val="22"/>
          <w:szCs w:val="22"/>
        </w:rPr>
      </w:pPr>
      <w:r w:rsidRPr="005863A9">
        <w:rPr>
          <w:b w:val="0"/>
          <w:bCs w:val="0"/>
          <w:sz w:val="22"/>
          <w:szCs w:val="22"/>
        </w:rPr>
        <w:t>El Capital base ajustado para IFNE corresponde al monto del Capital base, antes de aplicar las deducciones prudenciales establecidas en el Anexo I. Factor de 100%.</w:t>
      </w:r>
    </w:p>
    <w:p w14:paraId="58BDCCF8" w14:textId="77777777" w:rsidR="00645809" w:rsidRPr="005863A9" w:rsidRDefault="00645809" w:rsidP="00645809">
      <w:pPr>
        <w:rPr>
          <w:sz w:val="22"/>
          <w:szCs w:val="22"/>
        </w:rPr>
      </w:pPr>
    </w:p>
    <w:p w14:paraId="046D18BE" w14:textId="77777777" w:rsidR="00645809" w:rsidRPr="005863A9" w:rsidRDefault="00645809" w:rsidP="000C7616">
      <w:pPr>
        <w:pStyle w:val="Ttulo3"/>
        <w:keepNext w:val="0"/>
        <w:widowControl w:val="0"/>
        <w:numPr>
          <w:ilvl w:val="1"/>
          <w:numId w:val="28"/>
        </w:numPr>
        <w:tabs>
          <w:tab w:val="num" w:pos="1701"/>
        </w:tabs>
        <w:ind w:left="1701" w:hanging="567"/>
        <w:jc w:val="both"/>
        <w:rPr>
          <w:b w:val="0"/>
          <w:bCs w:val="0"/>
          <w:sz w:val="22"/>
          <w:szCs w:val="22"/>
        </w:rPr>
      </w:pPr>
      <w:r w:rsidRPr="005863A9">
        <w:rPr>
          <w:sz w:val="22"/>
          <w:szCs w:val="22"/>
        </w:rPr>
        <w:t>Otros instrumentos de capital:</w:t>
      </w:r>
    </w:p>
    <w:p w14:paraId="685AF1E9" w14:textId="77777777" w:rsidR="00645809" w:rsidRPr="005863A9" w:rsidRDefault="00645809" w:rsidP="00645809">
      <w:pPr>
        <w:pStyle w:val="Ttulo3"/>
        <w:keepNext w:val="0"/>
        <w:widowControl w:val="0"/>
        <w:numPr>
          <w:ilvl w:val="0"/>
          <w:numId w:val="36"/>
        </w:numPr>
        <w:tabs>
          <w:tab w:val="num" w:pos="720"/>
        </w:tabs>
        <w:ind w:left="2268" w:hanging="567"/>
        <w:jc w:val="both"/>
        <w:rPr>
          <w:b w:val="0"/>
          <w:bCs w:val="0"/>
          <w:sz w:val="22"/>
          <w:szCs w:val="22"/>
        </w:rPr>
      </w:pPr>
      <w:r w:rsidRPr="005863A9">
        <w:rPr>
          <w:b w:val="0"/>
          <w:bCs w:val="0"/>
          <w:sz w:val="22"/>
          <w:szCs w:val="22"/>
        </w:rPr>
        <w:t xml:space="preserve">Otros instrumentos de deuda subordinada y convertible en acciones que no cumplen con los criterios de admisibilidad para el cálculo del Capital base con vencimiento residual efectivo igual o superior a un año, excluido cualquier instrumento con opciones explícitas o implícitas que, de ejercerse, reducirían el vencimiento previsto a menos de un año. Anexo II. Factor de 100%.  </w:t>
      </w:r>
    </w:p>
    <w:p w14:paraId="03FF5D07" w14:textId="77777777" w:rsidR="00645809" w:rsidRPr="005863A9" w:rsidRDefault="00645809" w:rsidP="00645809">
      <w:pPr>
        <w:pStyle w:val="Ttulo3"/>
        <w:keepNext w:val="0"/>
        <w:widowControl w:val="0"/>
        <w:numPr>
          <w:ilvl w:val="0"/>
          <w:numId w:val="36"/>
        </w:numPr>
        <w:tabs>
          <w:tab w:val="num" w:pos="720"/>
        </w:tabs>
        <w:ind w:left="2268" w:hanging="567"/>
        <w:jc w:val="both"/>
        <w:rPr>
          <w:b w:val="0"/>
          <w:bCs w:val="0"/>
          <w:sz w:val="22"/>
          <w:szCs w:val="22"/>
        </w:rPr>
      </w:pPr>
      <w:r w:rsidRPr="005863A9">
        <w:rPr>
          <w:b w:val="0"/>
          <w:bCs w:val="0"/>
          <w:sz w:val="22"/>
          <w:szCs w:val="22"/>
        </w:rPr>
        <w:t>Otras obligaciones no incluidas en las categorías anteriores con vencimiento residual de seis meses hasta menos de un año, incluidas obligaciones procedentes de bancos centrales y entidades financieras. Factor de 50%.</w:t>
      </w:r>
    </w:p>
    <w:p w14:paraId="76A07FCD" w14:textId="77777777" w:rsidR="00645809" w:rsidRPr="005863A9" w:rsidRDefault="00645809" w:rsidP="00645809">
      <w:pPr>
        <w:pStyle w:val="Ttulo3"/>
        <w:keepNext w:val="0"/>
        <w:widowControl w:val="0"/>
        <w:numPr>
          <w:ilvl w:val="0"/>
          <w:numId w:val="36"/>
        </w:numPr>
        <w:tabs>
          <w:tab w:val="num" w:pos="720"/>
        </w:tabs>
        <w:ind w:left="2268" w:hanging="567"/>
        <w:jc w:val="both"/>
        <w:rPr>
          <w:b w:val="0"/>
          <w:bCs w:val="0"/>
          <w:sz w:val="22"/>
          <w:szCs w:val="22"/>
        </w:rPr>
      </w:pPr>
      <w:r w:rsidRPr="005863A9">
        <w:rPr>
          <w:b w:val="0"/>
          <w:bCs w:val="0"/>
          <w:sz w:val="22"/>
          <w:szCs w:val="22"/>
        </w:rPr>
        <w:t>Todos los demás instrumentos de deuda subordinada y convertible en acciones que no cumplen con los criterios de admisibilidad para el cálculo de Capital base, no incluidos en las categorías anteriores, incluidas otras obligaciones con vencimiento residual inferior a seis meses procedente de bancos centrales y entidades financieras. Factor de 0%.</w:t>
      </w:r>
    </w:p>
    <w:p w14:paraId="0653C666" w14:textId="77777777" w:rsidR="00645809" w:rsidRPr="005863A9" w:rsidRDefault="00645809" w:rsidP="00645809">
      <w:pPr>
        <w:rPr>
          <w:sz w:val="22"/>
          <w:szCs w:val="22"/>
        </w:rPr>
      </w:pPr>
    </w:p>
    <w:p w14:paraId="56EEF252" w14:textId="77777777" w:rsidR="00645809" w:rsidRPr="005863A9" w:rsidRDefault="00645809" w:rsidP="00645809">
      <w:pPr>
        <w:pStyle w:val="Ttulo3"/>
        <w:keepNext w:val="0"/>
        <w:widowControl w:val="0"/>
        <w:numPr>
          <w:ilvl w:val="0"/>
          <w:numId w:val="28"/>
        </w:numPr>
        <w:tabs>
          <w:tab w:val="num" w:pos="567"/>
        </w:tabs>
        <w:ind w:left="1134" w:hanging="567"/>
        <w:jc w:val="both"/>
        <w:rPr>
          <w:sz w:val="22"/>
          <w:szCs w:val="22"/>
        </w:rPr>
      </w:pPr>
      <w:r w:rsidRPr="005863A9">
        <w:rPr>
          <w:sz w:val="22"/>
          <w:szCs w:val="22"/>
        </w:rPr>
        <w:t>Depósitos minoristas y depósitos efectuados por MiPyME</w:t>
      </w:r>
    </w:p>
    <w:p w14:paraId="27D327A1" w14:textId="77777777" w:rsidR="00645809" w:rsidRPr="005863A9" w:rsidRDefault="00645809" w:rsidP="00645809">
      <w:pPr>
        <w:rPr>
          <w:sz w:val="22"/>
          <w:szCs w:val="22"/>
        </w:rPr>
      </w:pPr>
    </w:p>
    <w:p w14:paraId="6AA41E48" w14:textId="77777777" w:rsidR="00645809" w:rsidRPr="005863A9" w:rsidRDefault="00645809" w:rsidP="00645809">
      <w:pPr>
        <w:pStyle w:val="Ttulo3"/>
        <w:keepNext w:val="0"/>
        <w:widowControl w:val="0"/>
        <w:ind w:left="1701" w:hanging="567"/>
        <w:jc w:val="both"/>
        <w:rPr>
          <w:sz w:val="22"/>
          <w:szCs w:val="22"/>
        </w:rPr>
      </w:pPr>
      <w:r w:rsidRPr="005863A9">
        <w:rPr>
          <w:sz w:val="22"/>
          <w:szCs w:val="22"/>
        </w:rPr>
        <w:t>2.1</w:t>
      </w:r>
      <w:r w:rsidRPr="005863A9">
        <w:rPr>
          <w:sz w:val="22"/>
          <w:szCs w:val="22"/>
        </w:rPr>
        <w:tab/>
        <w:t>Depósitos estables</w:t>
      </w:r>
    </w:p>
    <w:p w14:paraId="352AA558" w14:textId="77777777" w:rsidR="00645809" w:rsidRPr="005863A9" w:rsidRDefault="00645809" w:rsidP="00645809">
      <w:pPr>
        <w:pStyle w:val="Ttulo3"/>
        <w:keepNext w:val="0"/>
        <w:widowControl w:val="0"/>
        <w:ind w:left="1701"/>
        <w:jc w:val="both"/>
        <w:rPr>
          <w:b w:val="0"/>
          <w:bCs w:val="0"/>
          <w:sz w:val="22"/>
          <w:szCs w:val="22"/>
        </w:rPr>
      </w:pPr>
      <w:r w:rsidRPr="005863A9">
        <w:rPr>
          <w:b w:val="0"/>
          <w:bCs w:val="0"/>
          <w:sz w:val="22"/>
          <w:szCs w:val="22"/>
        </w:rPr>
        <w:t xml:space="preserve">Se debe considerar como depósitos estables el monto de los depósitos que están totalmente cubiertos por el Fondo de Garantía de Depósitos creado mediante Ley 9816. </w:t>
      </w:r>
    </w:p>
    <w:p w14:paraId="4015FE1B" w14:textId="77777777" w:rsidR="00645809" w:rsidRPr="005863A9" w:rsidRDefault="00645809" w:rsidP="00645809">
      <w:pPr>
        <w:ind w:left="1701"/>
        <w:jc w:val="both"/>
        <w:rPr>
          <w:sz w:val="22"/>
          <w:szCs w:val="22"/>
        </w:rPr>
      </w:pPr>
      <w:r w:rsidRPr="005863A9">
        <w:rPr>
          <w:sz w:val="22"/>
          <w:szCs w:val="22"/>
        </w:rPr>
        <w:t>A los depósitos estables les aplica los siguientes factores:</w:t>
      </w:r>
    </w:p>
    <w:p w14:paraId="26C2232F" w14:textId="1AE497D7" w:rsidR="00645809" w:rsidRPr="005863A9" w:rsidRDefault="00645809" w:rsidP="00645809">
      <w:pPr>
        <w:pStyle w:val="Ttulo3"/>
        <w:keepNext w:val="0"/>
        <w:widowControl w:val="0"/>
        <w:numPr>
          <w:ilvl w:val="0"/>
          <w:numId w:val="29"/>
        </w:numPr>
        <w:tabs>
          <w:tab w:val="left" w:pos="104"/>
          <w:tab w:val="left" w:pos="246"/>
        </w:tabs>
        <w:ind w:left="2268" w:hanging="567"/>
        <w:jc w:val="both"/>
        <w:rPr>
          <w:b w:val="0"/>
          <w:bCs w:val="0"/>
          <w:sz w:val="22"/>
          <w:szCs w:val="22"/>
        </w:rPr>
      </w:pPr>
      <w:r w:rsidRPr="005863A9">
        <w:rPr>
          <w:b w:val="0"/>
          <w:bCs w:val="0"/>
          <w:sz w:val="22"/>
          <w:szCs w:val="22"/>
        </w:rPr>
        <w:t>El importe total de obligaciones con el público a plazo minoristas y MiPyME, según lo dispuesto en el Reglamento General a la Ley 8262 de Fortalecimiento a las Pequeñas y Medianas Empresas, con vencimiento residual efectivo igual o superior a un año. Factor de 100%.</w:t>
      </w:r>
    </w:p>
    <w:p w14:paraId="00CC7F98" w14:textId="77777777" w:rsidR="00645809" w:rsidRPr="005863A9" w:rsidRDefault="00645809" w:rsidP="00645809">
      <w:pPr>
        <w:pStyle w:val="Ttulo3"/>
        <w:keepNext w:val="0"/>
        <w:widowControl w:val="0"/>
        <w:ind w:left="2268"/>
        <w:jc w:val="both"/>
        <w:rPr>
          <w:sz w:val="22"/>
          <w:szCs w:val="22"/>
        </w:rPr>
      </w:pPr>
      <w:r w:rsidRPr="005863A9">
        <w:rPr>
          <w:b w:val="0"/>
          <w:bCs w:val="0"/>
          <w:sz w:val="22"/>
          <w:szCs w:val="22"/>
        </w:rPr>
        <w:t>No se asignará el factor FED del 100% a los flujos de efectivo con un horizonte temporal inferior a un año, procedentes de obligaciones con vencimiento final superior a un año. Por ejemplo, en el caso de un financiamiento a 5 años amortizable a razón de un 20% anual, debe excluirse del FED el importe correspondiente a la amortización a realizarse dentro de los siguientes 12 meses.</w:t>
      </w:r>
    </w:p>
    <w:p w14:paraId="4047A291" w14:textId="32E3EA6B" w:rsidR="00645809" w:rsidRPr="005863A9" w:rsidRDefault="00645809" w:rsidP="00645809">
      <w:pPr>
        <w:pStyle w:val="Ttulo3"/>
        <w:keepNext w:val="0"/>
        <w:widowControl w:val="0"/>
        <w:numPr>
          <w:ilvl w:val="0"/>
          <w:numId w:val="29"/>
        </w:numPr>
        <w:tabs>
          <w:tab w:val="left" w:pos="104"/>
          <w:tab w:val="left" w:pos="246"/>
        </w:tabs>
        <w:ind w:left="2268" w:hanging="567"/>
        <w:jc w:val="both"/>
        <w:rPr>
          <w:b w:val="0"/>
          <w:bCs w:val="0"/>
          <w:sz w:val="22"/>
          <w:szCs w:val="22"/>
        </w:rPr>
      </w:pPr>
      <w:r w:rsidRPr="005863A9">
        <w:rPr>
          <w:b w:val="0"/>
          <w:bCs w:val="0"/>
          <w:sz w:val="22"/>
          <w:szCs w:val="22"/>
        </w:rPr>
        <w:t>Obligaciones con el público a la vista y a plazo, con vencimiento residual inferior a un año, realizados por clientes minoristas y MiPyME, según lo dispuesto en el Reglamento General a la Ley 8262 de Fortalecimiento a las Pequeñas y Medianas Empresas. Factor de 95%.</w:t>
      </w:r>
    </w:p>
    <w:p w14:paraId="17345EEF" w14:textId="77777777" w:rsidR="00645809" w:rsidRPr="005863A9" w:rsidRDefault="00645809" w:rsidP="00645809">
      <w:pPr>
        <w:pStyle w:val="Ttulo3"/>
        <w:keepNext w:val="0"/>
        <w:widowControl w:val="0"/>
        <w:ind w:left="1701" w:hanging="567"/>
        <w:jc w:val="both"/>
        <w:rPr>
          <w:sz w:val="22"/>
          <w:szCs w:val="22"/>
        </w:rPr>
      </w:pPr>
    </w:p>
    <w:p w14:paraId="4F2AB5FD" w14:textId="77777777" w:rsidR="00645809" w:rsidRPr="005863A9" w:rsidRDefault="00645809" w:rsidP="00645809">
      <w:pPr>
        <w:pStyle w:val="Ttulo3"/>
        <w:keepNext w:val="0"/>
        <w:widowControl w:val="0"/>
        <w:ind w:left="1701" w:hanging="567"/>
        <w:jc w:val="both"/>
        <w:rPr>
          <w:sz w:val="22"/>
          <w:szCs w:val="22"/>
        </w:rPr>
      </w:pPr>
      <w:r w:rsidRPr="005863A9">
        <w:rPr>
          <w:sz w:val="22"/>
          <w:szCs w:val="22"/>
        </w:rPr>
        <w:t>2.2</w:t>
      </w:r>
      <w:r w:rsidRPr="005863A9">
        <w:rPr>
          <w:sz w:val="22"/>
          <w:szCs w:val="22"/>
        </w:rPr>
        <w:tab/>
        <w:t xml:space="preserve">Depósitos menos estables </w:t>
      </w:r>
    </w:p>
    <w:p w14:paraId="34948978" w14:textId="77777777" w:rsidR="00645809" w:rsidRPr="005863A9" w:rsidRDefault="00645809" w:rsidP="00645809">
      <w:pPr>
        <w:pStyle w:val="Ttulo3"/>
        <w:keepNext w:val="0"/>
        <w:widowControl w:val="0"/>
        <w:ind w:left="1701"/>
        <w:jc w:val="both"/>
        <w:rPr>
          <w:b w:val="0"/>
          <w:bCs w:val="0"/>
          <w:sz w:val="22"/>
          <w:szCs w:val="22"/>
        </w:rPr>
      </w:pPr>
      <w:r w:rsidRPr="005863A9">
        <w:rPr>
          <w:b w:val="0"/>
          <w:bCs w:val="0"/>
          <w:sz w:val="22"/>
          <w:szCs w:val="22"/>
        </w:rPr>
        <w:t>Se debe considerar como depósitos menos estables los depósitos que no están cubiertos por el Fondo de Garantía de Depósitos creado mediante Ley 9816. Por ejemplo, en caso de que la cobertura de la garantía sea hasta seis millones de colones (¢6.000.000) por persona en la entidad, si la persona mantiene depósitos por diez millones de colones (¢10.000.000), se consideran como estables hasta seis millones de colones (¢6.000.000) y el exceso de cuatro millones de colones (¢4.000.000) se considera como depósitos menos estables.</w:t>
      </w:r>
    </w:p>
    <w:p w14:paraId="416AA346" w14:textId="77777777" w:rsidR="00645809" w:rsidRPr="005863A9" w:rsidRDefault="00645809" w:rsidP="00645809">
      <w:pPr>
        <w:ind w:left="1701"/>
        <w:jc w:val="both"/>
        <w:rPr>
          <w:sz w:val="22"/>
          <w:szCs w:val="22"/>
        </w:rPr>
      </w:pPr>
    </w:p>
    <w:p w14:paraId="330696BD" w14:textId="77777777" w:rsidR="00645809" w:rsidRPr="005863A9" w:rsidRDefault="00645809" w:rsidP="00645809">
      <w:pPr>
        <w:ind w:left="1701"/>
        <w:jc w:val="both"/>
        <w:rPr>
          <w:sz w:val="22"/>
          <w:szCs w:val="22"/>
        </w:rPr>
      </w:pPr>
      <w:r w:rsidRPr="005863A9">
        <w:rPr>
          <w:sz w:val="22"/>
          <w:szCs w:val="22"/>
        </w:rPr>
        <w:t xml:space="preserve">Las entidades supervisadas que se encuentran fuera del alcance de la </w:t>
      </w:r>
      <w:r w:rsidRPr="005863A9">
        <w:rPr>
          <w:i/>
          <w:iCs/>
          <w:sz w:val="22"/>
          <w:szCs w:val="22"/>
        </w:rPr>
        <w:t>Ley de Creación del Fondo de Garantía de Depósitos y de Mecanismos de Resolución de Intermediarios Financieros</w:t>
      </w:r>
      <w:r w:rsidRPr="005863A9">
        <w:rPr>
          <w:sz w:val="22"/>
          <w:szCs w:val="22"/>
        </w:rPr>
        <w:t>, Ley 9816, deben categorizar todos los depósitos minoristas y los depósitos efectuados por MiPyME como menos estables, independientemente de que existan otros mecanismos de garantía públicos o privados.</w:t>
      </w:r>
    </w:p>
    <w:p w14:paraId="6892EFB1" w14:textId="77777777" w:rsidR="00645809" w:rsidRPr="005863A9" w:rsidRDefault="00645809" w:rsidP="00645809">
      <w:pPr>
        <w:ind w:left="1701"/>
        <w:jc w:val="both"/>
        <w:rPr>
          <w:sz w:val="22"/>
          <w:szCs w:val="22"/>
        </w:rPr>
      </w:pPr>
      <w:r w:rsidRPr="005863A9">
        <w:rPr>
          <w:sz w:val="22"/>
          <w:szCs w:val="22"/>
        </w:rPr>
        <w:lastRenderedPageBreak/>
        <w:t>A los depósitos menos estables les aplica los siguientes factores:</w:t>
      </w:r>
    </w:p>
    <w:p w14:paraId="680251DC" w14:textId="0AADC566" w:rsidR="00645809" w:rsidRPr="005863A9" w:rsidRDefault="00645809" w:rsidP="00645809">
      <w:pPr>
        <w:pStyle w:val="Ttulo3"/>
        <w:keepNext w:val="0"/>
        <w:widowControl w:val="0"/>
        <w:numPr>
          <w:ilvl w:val="0"/>
          <w:numId w:val="37"/>
        </w:numPr>
        <w:tabs>
          <w:tab w:val="num" w:pos="720"/>
        </w:tabs>
        <w:ind w:left="2268" w:hanging="567"/>
        <w:jc w:val="both"/>
        <w:rPr>
          <w:b w:val="0"/>
          <w:bCs w:val="0"/>
          <w:sz w:val="22"/>
          <w:szCs w:val="22"/>
        </w:rPr>
      </w:pPr>
      <w:r w:rsidRPr="005863A9">
        <w:rPr>
          <w:b w:val="0"/>
          <w:bCs w:val="0"/>
          <w:sz w:val="22"/>
          <w:szCs w:val="22"/>
        </w:rPr>
        <w:t>El importe total de obligaciones con el público a plazo minoristas y MiPyME, según lo dispuesto en el Reglamento General a la Ley 8262 de Fortalecimiento a las Pequeñas y Medianas Empresas, con vencimiento residual efectivo igual o superior a un año. Factor de 100%.</w:t>
      </w:r>
    </w:p>
    <w:p w14:paraId="3C0B48BA" w14:textId="77777777" w:rsidR="00645809" w:rsidRPr="005863A9" w:rsidRDefault="00645809" w:rsidP="00645809">
      <w:pPr>
        <w:pStyle w:val="Ttulo3"/>
        <w:keepNext w:val="0"/>
        <w:widowControl w:val="0"/>
        <w:ind w:left="2268"/>
        <w:jc w:val="both"/>
        <w:rPr>
          <w:b w:val="0"/>
          <w:bCs w:val="0"/>
          <w:sz w:val="22"/>
          <w:szCs w:val="22"/>
        </w:rPr>
      </w:pPr>
      <w:r w:rsidRPr="005863A9">
        <w:rPr>
          <w:b w:val="0"/>
          <w:bCs w:val="0"/>
          <w:sz w:val="22"/>
          <w:szCs w:val="22"/>
        </w:rPr>
        <w:t>No se asignará el factor FED del 100% a los flujos de efectivo con un horizonte temporal inferior a un año, procedentes de obligaciones con vencimiento final superior a un año. Por ejemplo, en el caso de un financiamiento a 5 años amortizable a razón de un 20% anual, debe excluirse del FED el importe correspondiente a la amortización a realizarse dentro de los siguientes 12 meses.</w:t>
      </w:r>
    </w:p>
    <w:p w14:paraId="17F1DF50" w14:textId="450FDB02" w:rsidR="00645809" w:rsidRPr="005863A9" w:rsidRDefault="00645809" w:rsidP="00645809">
      <w:pPr>
        <w:widowControl w:val="0"/>
        <w:numPr>
          <w:ilvl w:val="0"/>
          <w:numId w:val="37"/>
        </w:numPr>
        <w:ind w:left="2268" w:hanging="567"/>
        <w:jc w:val="both"/>
        <w:rPr>
          <w:sz w:val="22"/>
          <w:szCs w:val="22"/>
        </w:rPr>
      </w:pPr>
      <w:r w:rsidRPr="005863A9">
        <w:rPr>
          <w:sz w:val="22"/>
          <w:szCs w:val="22"/>
        </w:rPr>
        <w:t>Obligaciones con el público a la vista y a plazo con vencimiento residual inferior a un año, realizados por clientes minoristas y MiPyME, según lo dispuesto en el Reglamento General a la Ley 8262 de Fortalecimiento a las Pequeñas y Medianas Empresas. Factor de 90%.</w:t>
      </w:r>
    </w:p>
    <w:p w14:paraId="3510CE70" w14:textId="77777777" w:rsidR="00645809" w:rsidRPr="005863A9" w:rsidRDefault="00645809" w:rsidP="000C7616">
      <w:pPr>
        <w:widowControl w:val="0"/>
        <w:ind w:left="2268"/>
        <w:jc w:val="both"/>
        <w:rPr>
          <w:sz w:val="22"/>
          <w:szCs w:val="22"/>
        </w:rPr>
      </w:pPr>
    </w:p>
    <w:p w14:paraId="60CC7860" w14:textId="77777777" w:rsidR="00645809" w:rsidRPr="005863A9" w:rsidRDefault="00645809" w:rsidP="00645809">
      <w:pPr>
        <w:pStyle w:val="Ttulo3"/>
        <w:keepNext w:val="0"/>
        <w:widowControl w:val="0"/>
        <w:numPr>
          <w:ilvl w:val="0"/>
          <w:numId w:val="28"/>
        </w:numPr>
        <w:tabs>
          <w:tab w:val="num" w:pos="567"/>
        </w:tabs>
        <w:ind w:left="1134" w:hanging="567"/>
        <w:jc w:val="both"/>
        <w:rPr>
          <w:sz w:val="22"/>
          <w:szCs w:val="22"/>
        </w:rPr>
      </w:pPr>
      <w:r w:rsidRPr="005863A9">
        <w:rPr>
          <w:sz w:val="22"/>
          <w:szCs w:val="22"/>
        </w:rPr>
        <w:t>Obligaciones mayoristas</w:t>
      </w:r>
    </w:p>
    <w:p w14:paraId="1F32E4FA" w14:textId="77777777" w:rsidR="00645809" w:rsidRPr="005863A9" w:rsidRDefault="00645809" w:rsidP="00645809">
      <w:pPr>
        <w:pStyle w:val="Ttulo3"/>
        <w:keepNext w:val="0"/>
        <w:widowControl w:val="0"/>
        <w:numPr>
          <w:ilvl w:val="1"/>
          <w:numId w:val="28"/>
        </w:numPr>
        <w:tabs>
          <w:tab w:val="num" w:pos="1440"/>
        </w:tabs>
        <w:ind w:left="1701" w:hanging="567"/>
        <w:jc w:val="both"/>
        <w:rPr>
          <w:sz w:val="22"/>
          <w:szCs w:val="22"/>
        </w:rPr>
      </w:pPr>
      <w:r w:rsidRPr="005863A9">
        <w:rPr>
          <w:sz w:val="22"/>
          <w:szCs w:val="22"/>
        </w:rPr>
        <w:t>Depósitos operativos</w:t>
      </w:r>
    </w:p>
    <w:p w14:paraId="7E870616" w14:textId="7C0FB49F" w:rsidR="00645809" w:rsidRPr="005863A9" w:rsidRDefault="00645809" w:rsidP="00645809">
      <w:pPr>
        <w:widowControl w:val="0"/>
        <w:numPr>
          <w:ilvl w:val="0"/>
          <w:numId w:val="30"/>
        </w:numPr>
        <w:ind w:left="2268" w:hanging="567"/>
        <w:jc w:val="both"/>
        <w:rPr>
          <w:sz w:val="22"/>
          <w:szCs w:val="22"/>
        </w:rPr>
      </w:pPr>
      <w:r w:rsidRPr="005863A9">
        <w:rPr>
          <w:sz w:val="22"/>
          <w:szCs w:val="22"/>
        </w:rPr>
        <w:t>Obligaciones con el público utilizados como depósitos operativos generados a raíz de actividades de compensación, custodia y gestión de tesorería. Factor de 50%.</w:t>
      </w:r>
    </w:p>
    <w:p w14:paraId="1D016DD5" w14:textId="77777777" w:rsidR="00645809" w:rsidRPr="005863A9" w:rsidRDefault="00645809" w:rsidP="00645809">
      <w:pPr>
        <w:pStyle w:val="Ttulo3"/>
        <w:keepNext w:val="0"/>
        <w:widowControl w:val="0"/>
        <w:numPr>
          <w:ilvl w:val="1"/>
          <w:numId w:val="28"/>
        </w:numPr>
        <w:tabs>
          <w:tab w:val="num" w:pos="1440"/>
        </w:tabs>
        <w:ind w:left="1701" w:hanging="567"/>
        <w:jc w:val="both"/>
        <w:rPr>
          <w:sz w:val="22"/>
          <w:szCs w:val="22"/>
        </w:rPr>
      </w:pPr>
      <w:r w:rsidRPr="005863A9">
        <w:rPr>
          <w:sz w:val="22"/>
          <w:szCs w:val="22"/>
        </w:rPr>
        <w:t>Otras obligaciones mayoristas.</w:t>
      </w:r>
    </w:p>
    <w:p w14:paraId="5ADF5753" w14:textId="77777777" w:rsidR="00645809" w:rsidRPr="005863A9" w:rsidRDefault="00645809" w:rsidP="00645809">
      <w:pPr>
        <w:pStyle w:val="Ttulo3"/>
        <w:keepNext w:val="0"/>
        <w:widowControl w:val="0"/>
        <w:tabs>
          <w:tab w:val="left" w:pos="172"/>
        </w:tabs>
        <w:ind w:left="2268" w:hanging="567"/>
        <w:jc w:val="both"/>
        <w:rPr>
          <w:b w:val="0"/>
          <w:bCs w:val="0"/>
          <w:sz w:val="22"/>
          <w:szCs w:val="22"/>
        </w:rPr>
      </w:pPr>
      <w:r w:rsidRPr="005863A9">
        <w:rPr>
          <w:b w:val="0"/>
          <w:bCs w:val="0"/>
          <w:sz w:val="22"/>
          <w:szCs w:val="22"/>
        </w:rPr>
        <w:t>i)</w:t>
      </w:r>
      <w:r w:rsidRPr="005863A9">
        <w:rPr>
          <w:b w:val="0"/>
          <w:bCs w:val="0"/>
          <w:sz w:val="22"/>
          <w:szCs w:val="22"/>
        </w:rPr>
        <w:tab/>
        <w:t>Obligaciones con el público y obligaciones con banco central, entidades financieras, entidades no financieras, gobierno central, entidades del sector público no pertenecientes al gobierno central y bancos multilaterales con vencimiento residual efectivo igual o superior a un año. Factor de 100%.</w:t>
      </w:r>
    </w:p>
    <w:p w14:paraId="4525E7EA" w14:textId="77777777" w:rsidR="00645809" w:rsidRPr="005863A9" w:rsidRDefault="00645809" w:rsidP="00645809">
      <w:pPr>
        <w:pStyle w:val="Ttulo3"/>
        <w:keepNext w:val="0"/>
        <w:widowControl w:val="0"/>
        <w:tabs>
          <w:tab w:val="left" w:pos="172"/>
        </w:tabs>
        <w:ind w:left="2268" w:hanging="567"/>
        <w:jc w:val="both"/>
        <w:rPr>
          <w:b w:val="0"/>
          <w:bCs w:val="0"/>
          <w:sz w:val="22"/>
          <w:szCs w:val="22"/>
        </w:rPr>
      </w:pPr>
      <w:r w:rsidRPr="005863A9">
        <w:rPr>
          <w:b w:val="0"/>
          <w:bCs w:val="0"/>
          <w:sz w:val="22"/>
          <w:szCs w:val="22"/>
        </w:rPr>
        <w:tab/>
        <w:t>No se asignará el factor FED del 100% a los flujos de efectivo con un horizonte temporal inferior a un año, procedentes de obligaciones con vencimiento final superior a un año. Por ejemplo, en el caso de un financiamiento a 5 años amortizable a razón de un 20% anual, debe excluirse del FED el importe correspondiente a la amortización a realizarse dentro de los siguientes 12 meses.</w:t>
      </w:r>
    </w:p>
    <w:p w14:paraId="5A3ED0E6" w14:textId="77777777" w:rsidR="00645809" w:rsidRPr="005863A9" w:rsidRDefault="00645809" w:rsidP="00645809">
      <w:pPr>
        <w:pStyle w:val="Ttulo3"/>
        <w:keepNext w:val="0"/>
        <w:widowControl w:val="0"/>
        <w:tabs>
          <w:tab w:val="left" w:pos="172"/>
        </w:tabs>
        <w:ind w:left="2268" w:hanging="567"/>
        <w:jc w:val="both"/>
        <w:rPr>
          <w:b w:val="0"/>
          <w:bCs w:val="0"/>
          <w:sz w:val="22"/>
          <w:szCs w:val="22"/>
        </w:rPr>
      </w:pPr>
      <w:r w:rsidRPr="005863A9">
        <w:rPr>
          <w:b w:val="0"/>
          <w:bCs w:val="0"/>
          <w:sz w:val="22"/>
          <w:szCs w:val="22"/>
        </w:rPr>
        <w:t>ii)</w:t>
      </w:r>
      <w:r w:rsidRPr="005863A9">
        <w:rPr>
          <w:b w:val="0"/>
          <w:bCs w:val="0"/>
          <w:sz w:val="22"/>
          <w:szCs w:val="22"/>
        </w:rPr>
        <w:tab/>
        <w:t>Obligaciones con el público y obligaciones con entidades no financieras con vencimiento residual inferior a un año. Factor de 50%.</w:t>
      </w:r>
    </w:p>
    <w:p w14:paraId="36E1000A" w14:textId="77777777" w:rsidR="00645809" w:rsidRPr="005863A9" w:rsidRDefault="00645809" w:rsidP="00645809">
      <w:pPr>
        <w:pStyle w:val="Ttulo3"/>
        <w:keepNext w:val="0"/>
        <w:widowControl w:val="0"/>
        <w:tabs>
          <w:tab w:val="left" w:pos="172"/>
        </w:tabs>
        <w:ind w:left="2268" w:hanging="567"/>
        <w:jc w:val="both"/>
        <w:rPr>
          <w:b w:val="0"/>
          <w:bCs w:val="0"/>
          <w:sz w:val="22"/>
          <w:szCs w:val="22"/>
        </w:rPr>
      </w:pPr>
      <w:r w:rsidRPr="005863A9">
        <w:rPr>
          <w:b w:val="0"/>
          <w:bCs w:val="0"/>
          <w:sz w:val="22"/>
          <w:szCs w:val="22"/>
        </w:rPr>
        <w:t>iii)</w:t>
      </w:r>
      <w:r w:rsidRPr="005863A9">
        <w:rPr>
          <w:b w:val="0"/>
          <w:bCs w:val="0"/>
          <w:sz w:val="22"/>
          <w:szCs w:val="22"/>
        </w:rPr>
        <w:tab/>
        <w:t>Obligaciones con el público y otras obligaciones procedente de gobierno central, entidades del sector público no pertenecientes al gobierno central y bancos multilaterales de desarrollo con vencimiento residual inferior a un año. Factor de 50%.</w:t>
      </w:r>
    </w:p>
    <w:p w14:paraId="70CB5C77" w14:textId="77777777" w:rsidR="00645809" w:rsidRPr="005863A9" w:rsidRDefault="00645809" w:rsidP="00645809">
      <w:pPr>
        <w:pStyle w:val="Ttulo3"/>
        <w:keepNext w:val="0"/>
        <w:widowControl w:val="0"/>
        <w:tabs>
          <w:tab w:val="left" w:pos="172"/>
        </w:tabs>
        <w:ind w:left="2268" w:hanging="567"/>
        <w:jc w:val="both"/>
        <w:rPr>
          <w:b w:val="0"/>
          <w:bCs w:val="0"/>
          <w:sz w:val="22"/>
          <w:szCs w:val="22"/>
        </w:rPr>
      </w:pPr>
      <w:r w:rsidRPr="005863A9">
        <w:rPr>
          <w:b w:val="0"/>
          <w:bCs w:val="0"/>
          <w:sz w:val="22"/>
          <w:szCs w:val="22"/>
        </w:rPr>
        <w:t>iv)</w:t>
      </w:r>
      <w:r w:rsidRPr="005863A9">
        <w:rPr>
          <w:b w:val="0"/>
          <w:bCs w:val="0"/>
          <w:sz w:val="22"/>
          <w:szCs w:val="22"/>
        </w:rPr>
        <w:tab/>
        <w:t>Otras obligaciones no incluidas en las categorías anteriores con vencimiento residual de seis meses hasta menos de un año, incluidas obligaciones procedente de bancos centrales y entidades financieras. Factor de 50%.</w:t>
      </w:r>
    </w:p>
    <w:p w14:paraId="44A74375" w14:textId="77777777" w:rsidR="00645809" w:rsidRPr="005863A9" w:rsidRDefault="00645809" w:rsidP="00645809">
      <w:pPr>
        <w:pStyle w:val="Ttulo3"/>
        <w:keepNext w:val="0"/>
        <w:widowControl w:val="0"/>
        <w:tabs>
          <w:tab w:val="left" w:pos="172"/>
        </w:tabs>
        <w:ind w:left="2268" w:hanging="567"/>
        <w:jc w:val="both"/>
        <w:rPr>
          <w:b w:val="0"/>
          <w:bCs w:val="0"/>
          <w:sz w:val="22"/>
          <w:szCs w:val="22"/>
        </w:rPr>
      </w:pPr>
      <w:r w:rsidRPr="005863A9">
        <w:rPr>
          <w:b w:val="0"/>
          <w:bCs w:val="0"/>
          <w:sz w:val="22"/>
          <w:szCs w:val="22"/>
        </w:rPr>
        <w:t>v)</w:t>
      </w:r>
      <w:r w:rsidRPr="005863A9">
        <w:rPr>
          <w:b w:val="0"/>
          <w:bCs w:val="0"/>
          <w:sz w:val="22"/>
          <w:szCs w:val="22"/>
        </w:rPr>
        <w:tab/>
        <w:t>Todos los demás rubros de obligaciones no incluidos en las categorías anteriores, incluidas otras obligaciones procedentes de bancos centrales y entidades financieras con vencimiento residual inferior a seis meses. Factor de 0%.</w:t>
      </w:r>
    </w:p>
    <w:p w14:paraId="5FD3ADA7" w14:textId="77777777" w:rsidR="00645809" w:rsidRPr="005863A9" w:rsidRDefault="00645809" w:rsidP="00645809">
      <w:pPr>
        <w:pStyle w:val="Ttulo3"/>
        <w:keepNext w:val="0"/>
        <w:widowControl w:val="0"/>
        <w:tabs>
          <w:tab w:val="left" w:pos="172"/>
        </w:tabs>
        <w:ind w:left="2268"/>
        <w:jc w:val="both"/>
        <w:rPr>
          <w:b w:val="0"/>
          <w:bCs w:val="0"/>
          <w:sz w:val="22"/>
          <w:szCs w:val="22"/>
        </w:rPr>
      </w:pPr>
      <w:r w:rsidRPr="005863A9">
        <w:rPr>
          <w:b w:val="0"/>
          <w:bCs w:val="0"/>
          <w:sz w:val="22"/>
          <w:szCs w:val="22"/>
        </w:rPr>
        <w:t>En los casos de instrumentos financieros que prevean la opción de ser redimidos anticipadamente, se debe suponer que el tenedor del instrumento ejerce una opción de redención anticipada en la primera fecha posible del instrumento.</w:t>
      </w:r>
    </w:p>
    <w:p w14:paraId="56B9CAD0" w14:textId="77777777" w:rsidR="00645809" w:rsidRPr="005863A9" w:rsidRDefault="00645809" w:rsidP="00645809">
      <w:pPr>
        <w:rPr>
          <w:sz w:val="22"/>
          <w:szCs w:val="22"/>
        </w:rPr>
      </w:pPr>
    </w:p>
    <w:p w14:paraId="30A68406" w14:textId="77777777" w:rsidR="00645809" w:rsidRPr="005863A9" w:rsidRDefault="00645809" w:rsidP="00645809">
      <w:pPr>
        <w:pStyle w:val="Ttulo3"/>
        <w:keepNext w:val="0"/>
        <w:widowControl w:val="0"/>
        <w:numPr>
          <w:ilvl w:val="0"/>
          <w:numId w:val="28"/>
        </w:numPr>
        <w:tabs>
          <w:tab w:val="num" w:pos="567"/>
        </w:tabs>
        <w:ind w:left="1134" w:hanging="567"/>
        <w:jc w:val="both"/>
        <w:rPr>
          <w:sz w:val="22"/>
          <w:szCs w:val="22"/>
        </w:rPr>
      </w:pPr>
      <w:r w:rsidRPr="005863A9">
        <w:rPr>
          <w:sz w:val="22"/>
          <w:szCs w:val="22"/>
        </w:rPr>
        <w:t>Otros pasivos</w:t>
      </w:r>
    </w:p>
    <w:p w14:paraId="7F23BAAF" w14:textId="77777777" w:rsidR="00645809" w:rsidRPr="005863A9" w:rsidRDefault="00645809" w:rsidP="00645809">
      <w:pPr>
        <w:pStyle w:val="Ttulo3"/>
        <w:keepNext w:val="0"/>
        <w:widowControl w:val="0"/>
        <w:numPr>
          <w:ilvl w:val="1"/>
          <w:numId w:val="28"/>
        </w:numPr>
        <w:tabs>
          <w:tab w:val="num" w:pos="1440"/>
        </w:tabs>
        <w:ind w:left="1701" w:hanging="567"/>
        <w:jc w:val="both"/>
        <w:rPr>
          <w:sz w:val="22"/>
          <w:szCs w:val="22"/>
        </w:rPr>
      </w:pPr>
      <w:r w:rsidRPr="005863A9">
        <w:rPr>
          <w:sz w:val="22"/>
          <w:szCs w:val="22"/>
        </w:rPr>
        <w:t>Pasivos derivados a efectos del IFNE</w:t>
      </w:r>
    </w:p>
    <w:p w14:paraId="18BDC9FB" w14:textId="77777777" w:rsidR="00645809" w:rsidRPr="005863A9" w:rsidRDefault="00645809" w:rsidP="00645809">
      <w:pPr>
        <w:widowControl w:val="0"/>
        <w:ind w:left="2268" w:hanging="567"/>
        <w:jc w:val="both"/>
        <w:rPr>
          <w:sz w:val="22"/>
          <w:szCs w:val="22"/>
        </w:rPr>
      </w:pPr>
      <w:r w:rsidRPr="005863A9">
        <w:rPr>
          <w:sz w:val="22"/>
          <w:szCs w:val="22"/>
        </w:rPr>
        <w:t>i)</w:t>
      </w:r>
      <w:r w:rsidRPr="005863A9">
        <w:rPr>
          <w:sz w:val="22"/>
          <w:szCs w:val="22"/>
        </w:rPr>
        <w:tab/>
        <w:t xml:space="preserve">Siempre que exista un acuerdo contractual de neteo bilateral, los pasivos originados en operaciones de derivados conforme se establecen en el punto a) siguiente, netos de activos originados en operaciones de derivados, si los pasivos </w:t>
      </w:r>
      <w:r w:rsidRPr="005863A9">
        <w:rPr>
          <w:sz w:val="22"/>
          <w:szCs w:val="22"/>
        </w:rPr>
        <w:lastRenderedPageBreak/>
        <w:t>resultan superiores a los activos.</w:t>
      </w:r>
    </w:p>
    <w:p w14:paraId="43FA6625" w14:textId="77777777" w:rsidR="00645809" w:rsidRPr="005863A9" w:rsidRDefault="00645809" w:rsidP="00645809">
      <w:pPr>
        <w:widowControl w:val="0"/>
        <w:ind w:left="2268"/>
        <w:jc w:val="both"/>
        <w:rPr>
          <w:sz w:val="22"/>
          <w:szCs w:val="22"/>
        </w:rPr>
      </w:pPr>
      <w:r w:rsidRPr="005863A9">
        <w:rPr>
          <w:sz w:val="22"/>
          <w:szCs w:val="22"/>
        </w:rPr>
        <w:t xml:space="preserve">Este cálculo se realiza sobre una base neta por contraparte (es decir, las entradas podrán compensar las salidas de efectivo), sólo cuando exista un acuerdo válido de compensación. </w:t>
      </w:r>
    </w:p>
    <w:p w14:paraId="782D699D" w14:textId="77777777" w:rsidR="00645809" w:rsidRPr="005863A9" w:rsidRDefault="00645809" w:rsidP="00645809">
      <w:pPr>
        <w:widowControl w:val="0"/>
        <w:ind w:left="2835" w:hanging="567"/>
        <w:jc w:val="both"/>
        <w:rPr>
          <w:sz w:val="22"/>
          <w:szCs w:val="22"/>
        </w:rPr>
      </w:pPr>
      <w:r w:rsidRPr="005863A9">
        <w:rPr>
          <w:sz w:val="22"/>
          <w:szCs w:val="22"/>
        </w:rPr>
        <w:t>a)</w:t>
      </w:r>
      <w:r w:rsidRPr="005863A9">
        <w:rPr>
          <w:sz w:val="22"/>
          <w:szCs w:val="22"/>
        </w:rPr>
        <w:tab/>
        <w:t>Pasivos originados en operaciones con derivados: Los pasivos originados en operaciones con derivados se calcularán en base al costo de reposición del contrato de derivados –obtenido a partir de valoración a precios de mercado– cuando el contrato tenga un valor negativo para la entidad financiera. Factor de 0%.</w:t>
      </w:r>
    </w:p>
    <w:p w14:paraId="01399384" w14:textId="77777777" w:rsidR="00645809" w:rsidRPr="005863A9" w:rsidRDefault="00645809" w:rsidP="00645809">
      <w:pPr>
        <w:widowControl w:val="0"/>
        <w:ind w:left="2835"/>
        <w:jc w:val="both"/>
        <w:rPr>
          <w:sz w:val="22"/>
          <w:szCs w:val="22"/>
        </w:rPr>
      </w:pPr>
      <w:r w:rsidRPr="005863A9">
        <w:rPr>
          <w:sz w:val="22"/>
          <w:szCs w:val="22"/>
        </w:rPr>
        <w:t>Al calcular los pasivos de las operaciones con derivados, las garantías constituidas en forma de margen de variación con relación a los contratos de derivados, con independencia del tipo de activos, deberán deducirse del costo de reposición negativo.</w:t>
      </w:r>
    </w:p>
    <w:p w14:paraId="18DCDC96" w14:textId="77777777" w:rsidR="00645809" w:rsidRPr="005863A9" w:rsidRDefault="00645809" w:rsidP="00645809">
      <w:pPr>
        <w:widowControl w:val="0"/>
        <w:ind w:left="2835"/>
        <w:jc w:val="both"/>
        <w:rPr>
          <w:sz w:val="22"/>
          <w:szCs w:val="22"/>
        </w:rPr>
      </w:pPr>
      <w:r w:rsidRPr="005863A9">
        <w:rPr>
          <w:sz w:val="22"/>
          <w:szCs w:val="22"/>
        </w:rPr>
        <w:t>Para operaciones de derivados que no poseen acuerdo contractual de neteo bilateral deberá registrarse el importe total de los pasivos originados de los derivados.</w:t>
      </w:r>
    </w:p>
    <w:p w14:paraId="6C0731B8" w14:textId="77777777" w:rsidR="00645809" w:rsidRPr="005863A9" w:rsidRDefault="00645809" w:rsidP="00645809">
      <w:pPr>
        <w:pStyle w:val="Ttulo3"/>
        <w:keepNext w:val="0"/>
        <w:widowControl w:val="0"/>
        <w:numPr>
          <w:ilvl w:val="1"/>
          <w:numId w:val="28"/>
        </w:numPr>
        <w:tabs>
          <w:tab w:val="num" w:pos="1440"/>
        </w:tabs>
        <w:ind w:left="1701" w:hanging="567"/>
        <w:jc w:val="both"/>
        <w:rPr>
          <w:sz w:val="22"/>
          <w:szCs w:val="22"/>
        </w:rPr>
      </w:pPr>
      <w:r w:rsidRPr="005863A9">
        <w:rPr>
          <w:sz w:val="22"/>
          <w:szCs w:val="22"/>
        </w:rPr>
        <w:t>Todas las demás obligaciones no incluidas en las categorías anteriores</w:t>
      </w:r>
    </w:p>
    <w:p w14:paraId="6B0B5345" w14:textId="77777777" w:rsidR="00645809" w:rsidRPr="005863A9" w:rsidRDefault="00645809" w:rsidP="00645809">
      <w:pPr>
        <w:widowControl w:val="0"/>
        <w:ind w:left="2268" w:hanging="567"/>
        <w:jc w:val="both"/>
        <w:rPr>
          <w:sz w:val="22"/>
          <w:szCs w:val="22"/>
        </w:rPr>
      </w:pPr>
      <w:r w:rsidRPr="005863A9">
        <w:rPr>
          <w:sz w:val="22"/>
          <w:szCs w:val="22"/>
        </w:rPr>
        <w:t>i)</w:t>
      </w:r>
      <w:r w:rsidRPr="005863A9">
        <w:rPr>
          <w:sz w:val="22"/>
          <w:szCs w:val="22"/>
        </w:rPr>
        <w:tab/>
        <w:t>Importes pendientes de pago por compra de instrumentos financieros, divisas o productos básicos que: (i) se prevén liquidar dentro del ciclo de liquidación estándar o el periodo que sea habitual para el intercambio o tipo de transacción pertinente, o (ii) no hayan podido liquidarse aún, pero se esperan liquidar. Factor de 0%.</w:t>
      </w:r>
    </w:p>
    <w:p w14:paraId="2C866432" w14:textId="77777777" w:rsidR="00645809" w:rsidRPr="005863A9" w:rsidRDefault="00645809" w:rsidP="00645809">
      <w:pPr>
        <w:widowControl w:val="0"/>
        <w:ind w:left="2268" w:hanging="567"/>
        <w:jc w:val="both"/>
        <w:rPr>
          <w:sz w:val="22"/>
          <w:szCs w:val="22"/>
        </w:rPr>
      </w:pPr>
    </w:p>
    <w:p w14:paraId="3ABE9BD2" w14:textId="77777777" w:rsidR="00645809" w:rsidRPr="005863A9" w:rsidRDefault="00645809" w:rsidP="00645809">
      <w:pPr>
        <w:pStyle w:val="Ttulo1"/>
        <w:keepNext w:val="0"/>
        <w:widowControl w:val="0"/>
        <w:ind w:left="567"/>
        <w:rPr>
          <w:b/>
          <w:bCs/>
          <w:sz w:val="22"/>
          <w:szCs w:val="22"/>
        </w:rPr>
      </w:pPr>
      <w:r w:rsidRPr="005863A9">
        <w:rPr>
          <w:b/>
          <w:bCs/>
          <w:sz w:val="22"/>
          <w:szCs w:val="22"/>
        </w:rPr>
        <w:t>Artículo 11. Financiamiento Estable Requerido</w:t>
      </w:r>
    </w:p>
    <w:p w14:paraId="3D6C8FF8" w14:textId="77777777" w:rsidR="00645809" w:rsidRPr="005863A9" w:rsidRDefault="00645809" w:rsidP="00645809">
      <w:pPr>
        <w:widowControl w:val="0"/>
        <w:ind w:left="567"/>
        <w:jc w:val="both"/>
        <w:rPr>
          <w:sz w:val="22"/>
          <w:szCs w:val="22"/>
        </w:rPr>
      </w:pPr>
      <w:r w:rsidRPr="005863A9">
        <w:rPr>
          <w:sz w:val="22"/>
          <w:szCs w:val="22"/>
        </w:rPr>
        <w:t xml:space="preserve">El FER agregado comprenderá el monto de las siguientes categorías </w:t>
      </w:r>
      <w:r w:rsidRPr="005863A9">
        <w:rPr>
          <w:b/>
          <w:bCs/>
          <w:sz w:val="22"/>
          <w:szCs w:val="22"/>
        </w:rPr>
        <w:t>(</w:t>
      </w:r>
      <m:oMath>
        <m:r>
          <m:rPr>
            <m:sty m:val="bi"/>
          </m:rPr>
          <w:rPr>
            <w:rFonts w:ascii="Cambria Math" w:hAnsi="Cambria Math"/>
            <w:sz w:val="22"/>
            <w:szCs w:val="22"/>
          </w:rPr>
          <m:t>y</m:t>
        </m:r>
      </m:oMath>
      <w:r w:rsidRPr="005863A9">
        <w:rPr>
          <w:b/>
          <w:bCs/>
          <w:sz w:val="22"/>
          <w:szCs w:val="22"/>
        </w:rPr>
        <w:t>)</w:t>
      </w:r>
      <w:r w:rsidRPr="005863A9">
        <w:rPr>
          <w:sz w:val="22"/>
          <w:szCs w:val="22"/>
        </w:rPr>
        <w:t xml:space="preserve"> del activo y posiciones fuera del balance que se indican a continuación, los cuales se computarán por los siguientes factores </w:t>
      </w:r>
      <w:r w:rsidRPr="005863A9">
        <w:rPr>
          <w:b/>
          <w:bCs/>
          <w:sz w:val="22"/>
          <w:szCs w:val="22"/>
        </w:rPr>
        <w:t>(β)</w:t>
      </w:r>
      <w:r w:rsidRPr="005863A9">
        <w:rPr>
          <w:sz w:val="22"/>
          <w:szCs w:val="22"/>
        </w:rPr>
        <w:t>:</w:t>
      </w:r>
    </w:p>
    <w:p w14:paraId="08DBFE48" w14:textId="77777777" w:rsidR="00645809" w:rsidRPr="005863A9" w:rsidRDefault="00645809" w:rsidP="00645809">
      <w:pPr>
        <w:widowControl w:val="0"/>
        <w:ind w:left="567"/>
        <w:jc w:val="both"/>
        <w:rPr>
          <w:sz w:val="22"/>
          <w:szCs w:val="22"/>
        </w:rPr>
      </w:pPr>
    </w:p>
    <w:p w14:paraId="7AB6B3D2" w14:textId="77777777" w:rsidR="00645809" w:rsidRPr="005863A9" w:rsidRDefault="00645809" w:rsidP="00645809">
      <w:pPr>
        <w:pStyle w:val="Ttulo3"/>
        <w:keepNext w:val="0"/>
        <w:widowControl w:val="0"/>
        <w:numPr>
          <w:ilvl w:val="0"/>
          <w:numId w:val="31"/>
        </w:numPr>
        <w:tabs>
          <w:tab w:val="num" w:pos="360"/>
          <w:tab w:val="num" w:pos="643"/>
        </w:tabs>
        <w:ind w:left="1134" w:hanging="567"/>
        <w:jc w:val="both"/>
        <w:rPr>
          <w:b w:val="0"/>
          <w:bCs w:val="0"/>
          <w:sz w:val="22"/>
          <w:szCs w:val="22"/>
        </w:rPr>
      </w:pPr>
      <w:proofErr w:type="gramStart"/>
      <w:r w:rsidRPr="005863A9">
        <w:rPr>
          <w:sz w:val="22"/>
          <w:szCs w:val="22"/>
        </w:rPr>
        <w:t>Total</w:t>
      </w:r>
      <w:proofErr w:type="gramEnd"/>
      <w:r w:rsidRPr="005863A9">
        <w:rPr>
          <w:sz w:val="22"/>
          <w:szCs w:val="22"/>
        </w:rPr>
        <w:t xml:space="preserve"> de activos líquidos de alta calidad</w:t>
      </w:r>
    </w:p>
    <w:p w14:paraId="4E1D6AD0" w14:textId="77777777" w:rsidR="00645809" w:rsidRPr="005863A9" w:rsidRDefault="00645809" w:rsidP="00645809">
      <w:pPr>
        <w:pStyle w:val="Ttulo3"/>
        <w:keepNext w:val="0"/>
        <w:widowControl w:val="0"/>
        <w:ind w:left="1701" w:hanging="567"/>
        <w:jc w:val="both"/>
        <w:rPr>
          <w:b w:val="0"/>
          <w:bCs w:val="0"/>
          <w:sz w:val="22"/>
          <w:szCs w:val="22"/>
        </w:rPr>
      </w:pPr>
      <w:r w:rsidRPr="005863A9">
        <w:rPr>
          <w:b w:val="0"/>
          <w:bCs w:val="0"/>
          <w:sz w:val="22"/>
          <w:szCs w:val="22"/>
        </w:rPr>
        <w:t>i)</w:t>
      </w:r>
      <w:r w:rsidRPr="005863A9">
        <w:rPr>
          <w:b w:val="0"/>
          <w:bCs w:val="0"/>
          <w:sz w:val="22"/>
          <w:szCs w:val="22"/>
        </w:rPr>
        <w:tab/>
        <w:t>Monedas y billetes. Factor de 0%.</w:t>
      </w:r>
    </w:p>
    <w:p w14:paraId="59977A37" w14:textId="77777777" w:rsidR="00645809" w:rsidRPr="005863A9" w:rsidRDefault="00645809" w:rsidP="00645809">
      <w:pPr>
        <w:pStyle w:val="Prrafodelista"/>
        <w:widowControl w:val="0"/>
        <w:tabs>
          <w:tab w:val="left" w:pos="312"/>
        </w:tabs>
        <w:ind w:left="1701" w:hanging="567"/>
        <w:jc w:val="both"/>
        <w:rPr>
          <w:b/>
          <w:bCs/>
          <w:strike/>
          <w:sz w:val="22"/>
          <w:szCs w:val="22"/>
        </w:rPr>
      </w:pPr>
      <w:r w:rsidRPr="005863A9">
        <w:rPr>
          <w:sz w:val="22"/>
          <w:szCs w:val="22"/>
        </w:rPr>
        <w:t>ii)</w:t>
      </w:r>
      <w:r w:rsidRPr="005863A9">
        <w:rPr>
          <w:sz w:val="22"/>
          <w:szCs w:val="22"/>
        </w:rPr>
        <w:tab/>
        <w:t>Depósitos en el Banco Central de Costa Rica (reservas obligatorias y excedentarias). Factor de 0%.</w:t>
      </w:r>
    </w:p>
    <w:p w14:paraId="233862DA" w14:textId="77777777" w:rsidR="00645809" w:rsidRPr="005863A9" w:rsidRDefault="00645809" w:rsidP="00645809">
      <w:pPr>
        <w:pStyle w:val="Prrafodelista"/>
        <w:widowControl w:val="0"/>
        <w:ind w:left="1701" w:hanging="567"/>
        <w:jc w:val="both"/>
        <w:rPr>
          <w:strike/>
          <w:sz w:val="22"/>
          <w:szCs w:val="22"/>
        </w:rPr>
      </w:pPr>
      <w:r w:rsidRPr="005863A9">
        <w:rPr>
          <w:sz w:val="22"/>
          <w:szCs w:val="22"/>
        </w:rPr>
        <w:t>iii)</w:t>
      </w:r>
      <w:r w:rsidRPr="005863A9">
        <w:rPr>
          <w:sz w:val="22"/>
          <w:szCs w:val="22"/>
        </w:rPr>
        <w:tab/>
        <w:t>Activos de Nivel 1 excluidas monedas, billetes y depósitos en el banco central. Factor de 5%.</w:t>
      </w:r>
    </w:p>
    <w:p w14:paraId="45351AFD" w14:textId="77777777" w:rsidR="00645809" w:rsidRPr="005863A9" w:rsidRDefault="00645809" w:rsidP="00645809">
      <w:pPr>
        <w:widowControl w:val="0"/>
        <w:ind w:left="1701" w:hanging="567"/>
        <w:jc w:val="both"/>
        <w:rPr>
          <w:sz w:val="22"/>
          <w:szCs w:val="22"/>
        </w:rPr>
      </w:pPr>
      <w:r w:rsidRPr="005863A9">
        <w:rPr>
          <w:sz w:val="22"/>
          <w:szCs w:val="22"/>
        </w:rPr>
        <w:t>iv)</w:t>
      </w:r>
      <w:r w:rsidRPr="005863A9">
        <w:rPr>
          <w:sz w:val="22"/>
          <w:szCs w:val="22"/>
        </w:rPr>
        <w:tab/>
        <w:t>Activos de Nivel 2A. Factor de 15%.</w:t>
      </w:r>
    </w:p>
    <w:p w14:paraId="215934ED" w14:textId="77777777" w:rsidR="00645809" w:rsidRPr="005863A9" w:rsidRDefault="00645809" w:rsidP="00645809">
      <w:pPr>
        <w:pStyle w:val="Prrafodelista"/>
        <w:widowControl w:val="0"/>
        <w:ind w:left="1701" w:hanging="567"/>
        <w:jc w:val="both"/>
        <w:rPr>
          <w:sz w:val="22"/>
          <w:szCs w:val="22"/>
        </w:rPr>
      </w:pPr>
      <w:r w:rsidRPr="005863A9">
        <w:rPr>
          <w:sz w:val="22"/>
          <w:szCs w:val="22"/>
        </w:rPr>
        <w:t>v)</w:t>
      </w:r>
      <w:r w:rsidRPr="005863A9">
        <w:rPr>
          <w:sz w:val="22"/>
          <w:szCs w:val="22"/>
        </w:rPr>
        <w:tab/>
        <w:t>Activos de Nivel 2B. Factor de 50%.</w:t>
      </w:r>
    </w:p>
    <w:p w14:paraId="765039D7" w14:textId="77777777" w:rsidR="00645809" w:rsidRPr="005863A9" w:rsidRDefault="00645809" w:rsidP="00645809">
      <w:pPr>
        <w:pStyle w:val="Prrafodelista"/>
        <w:widowControl w:val="0"/>
        <w:ind w:left="1701" w:hanging="567"/>
        <w:jc w:val="both"/>
        <w:rPr>
          <w:sz w:val="22"/>
          <w:szCs w:val="22"/>
        </w:rPr>
      </w:pPr>
    </w:p>
    <w:p w14:paraId="7EC7F3D3" w14:textId="77777777" w:rsidR="00645809" w:rsidRPr="005863A9" w:rsidRDefault="00645809" w:rsidP="00645809">
      <w:pPr>
        <w:pStyle w:val="Ttulo3"/>
        <w:keepNext w:val="0"/>
        <w:widowControl w:val="0"/>
        <w:numPr>
          <w:ilvl w:val="0"/>
          <w:numId w:val="31"/>
        </w:numPr>
        <w:tabs>
          <w:tab w:val="num" w:pos="360"/>
          <w:tab w:val="num" w:pos="643"/>
        </w:tabs>
        <w:ind w:left="1134" w:hanging="567"/>
        <w:jc w:val="both"/>
        <w:rPr>
          <w:sz w:val="22"/>
          <w:szCs w:val="22"/>
        </w:rPr>
      </w:pPr>
      <w:r w:rsidRPr="005863A9">
        <w:rPr>
          <w:sz w:val="22"/>
          <w:szCs w:val="22"/>
        </w:rPr>
        <w:t xml:space="preserve">Depósitos mantenidos en otras entidades financieras para fines operativos </w:t>
      </w:r>
    </w:p>
    <w:p w14:paraId="57E1D645" w14:textId="77777777" w:rsidR="00645809" w:rsidRPr="005863A9" w:rsidRDefault="00645809" w:rsidP="00645809">
      <w:pPr>
        <w:pStyle w:val="Prrafodelista"/>
        <w:widowControl w:val="0"/>
        <w:ind w:left="1701" w:hanging="567"/>
        <w:jc w:val="both"/>
        <w:rPr>
          <w:sz w:val="22"/>
          <w:szCs w:val="22"/>
        </w:rPr>
      </w:pPr>
      <w:r w:rsidRPr="005863A9">
        <w:rPr>
          <w:sz w:val="22"/>
          <w:szCs w:val="22"/>
        </w:rPr>
        <w:t>i)</w:t>
      </w:r>
      <w:r w:rsidRPr="005863A9">
        <w:rPr>
          <w:sz w:val="22"/>
          <w:szCs w:val="22"/>
        </w:rPr>
        <w:tab/>
        <w:t>Los depósitos mantenidos en otras entidades financieras con fines operativos. Factor de 50%.</w:t>
      </w:r>
    </w:p>
    <w:p w14:paraId="0DE5EF35" w14:textId="77777777" w:rsidR="00645809" w:rsidRPr="005863A9" w:rsidRDefault="00645809" w:rsidP="00645809">
      <w:pPr>
        <w:pStyle w:val="Prrafodelista"/>
        <w:widowControl w:val="0"/>
        <w:ind w:left="1701" w:hanging="567"/>
        <w:jc w:val="both"/>
        <w:rPr>
          <w:sz w:val="22"/>
          <w:szCs w:val="22"/>
        </w:rPr>
      </w:pPr>
    </w:p>
    <w:p w14:paraId="49168B70" w14:textId="77777777" w:rsidR="00645809" w:rsidRPr="005863A9" w:rsidRDefault="00645809" w:rsidP="00645809">
      <w:pPr>
        <w:pStyle w:val="Ttulo3"/>
        <w:keepNext w:val="0"/>
        <w:widowControl w:val="0"/>
        <w:numPr>
          <w:ilvl w:val="0"/>
          <w:numId w:val="31"/>
        </w:numPr>
        <w:tabs>
          <w:tab w:val="num" w:pos="360"/>
          <w:tab w:val="num" w:pos="643"/>
        </w:tabs>
        <w:ind w:left="1134" w:hanging="567"/>
        <w:jc w:val="both"/>
        <w:rPr>
          <w:sz w:val="22"/>
          <w:szCs w:val="22"/>
        </w:rPr>
      </w:pPr>
      <w:r w:rsidRPr="005863A9">
        <w:rPr>
          <w:sz w:val="22"/>
          <w:szCs w:val="22"/>
        </w:rPr>
        <w:t>Saldo en libros procedentes de cartera de créditos e inversiones en instrumentos financieros</w:t>
      </w:r>
    </w:p>
    <w:p w14:paraId="00F01099"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r w:rsidRPr="005863A9">
        <w:rPr>
          <w:sz w:val="22"/>
          <w:szCs w:val="22"/>
        </w:rPr>
        <w:t>Saldo en libros procedentes de cartera de crédito otorgada a entidades financieras cuando estén garantizados con activos de Nivel 1, inversiones en</w:t>
      </w:r>
      <w:r w:rsidRPr="005863A9">
        <w:rPr>
          <w:b w:val="0"/>
          <w:bCs w:val="0"/>
          <w:sz w:val="22"/>
          <w:szCs w:val="22"/>
        </w:rPr>
        <w:t xml:space="preserve"> </w:t>
      </w:r>
      <w:r w:rsidRPr="005863A9">
        <w:rPr>
          <w:sz w:val="22"/>
          <w:szCs w:val="22"/>
        </w:rPr>
        <w:t>operaciones del tipo pacto de recompra garantizadas con activos líquidos de alta calidad de Nivel 1, operaciones diferidas de liquidez con contraparte distinta a BCCR garantizadas con activos de alta calidad de Nivel 1.</w:t>
      </w:r>
    </w:p>
    <w:p w14:paraId="14B966F2" w14:textId="77777777" w:rsidR="00645809" w:rsidRPr="005863A9" w:rsidRDefault="00645809" w:rsidP="00645809">
      <w:pPr>
        <w:pStyle w:val="Prrafodelista"/>
        <w:widowControl w:val="0"/>
        <w:ind w:left="2268" w:hanging="567"/>
        <w:jc w:val="both"/>
        <w:rPr>
          <w:sz w:val="22"/>
          <w:szCs w:val="22"/>
        </w:rPr>
      </w:pPr>
      <w:r w:rsidRPr="005863A9">
        <w:rPr>
          <w:sz w:val="22"/>
          <w:szCs w:val="22"/>
        </w:rPr>
        <w:t>i)</w:t>
      </w:r>
      <w:r w:rsidRPr="005863A9">
        <w:rPr>
          <w:sz w:val="22"/>
          <w:szCs w:val="22"/>
        </w:rPr>
        <w:tab/>
        <w:t xml:space="preserve">Saldo en libros de cartera de crédito de entidades financieras con vencimiento residual inferior a seis meses cuando estén garantizados con activos de Nivel 1 y cuando la entidad sea capaz de comprometer libremente el colateral recibido </w:t>
      </w:r>
      <w:r w:rsidRPr="005863A9">
        <w:rPr>
          <w:sz w:val="22"/>
          <w:szCs w:val="22"/>
        </w:rPr>
        <w:lastRenderedPageBreak/>
        <w:t>durante la vida del crédito, inversiones en operaciones tipo pacto de recompra garantizados con activos de Nivel 1, operaciones diferidas de liquidez con contraparte distinta a BCCR garantizada con activos de alta calidad de Nivel 1 con vencimiento residual inferior a seis meses. Factor de 10%.</w:t>
      </w:r>
    </w:p>
    <w:p w14:paraId="27AF0F95" w14:textId="77777777" w:rsidR="00645809" w:rsidRPr="005863A9" w:rsidRDefault="00645809" w:rsidP="00645809">
      <w:pPr>
        <w:pStyle w:val="Prrafodelista"/>
        <w:widowControl w:val="0"/>
        <w:ind w:left="2268" w:hanging="567"/>
        <w:jc w:val="both"/>
        <w:rPr>
          <w:sz w:val="22"/>
          <w:szCs w:val="22"/>
        </w:rPr>
      </w:pPr>
      <w:r w:rsidRPr="005863A9">
        <w:rPr>
          <w:sz w:val="22"/>
          <w:szCs w:val="22"/>
        </w:rPr>
        <w:t>ii)</w:t>
      </w:r>
      <w:r w:rsidRPr="005863A9">
        <w:rPr>
          <w:sz w:val="22"/>
          <w:szCs w:val="22"/>
        </w:rPr>
        <w:tab/>
        <w:t>Todos los créditos concedidos a entidades financieras y bancos centrales con vencimiento</w:t>
      </w:r>
      <w:r w:rsidRPr="005863A9">
        <w:rPr>
          <w:strike/>
          <w:sz w:val="22"/>
          <w:szCs w:val="22"/>
        </w:rPr>
        <w:t>s</w:t>
      </w:r>
      <w:r w:rsidRPr="005863A9">
        <w:rPr>
          <w:sz w:val="22"/>
          <w:szCs w:val="22"/>
        </w:rPr>
        <w:t xml:space="preserve"> residual igual o superior a seis meses e inferior a un año, inversiones en operaciones del tipo pacto de recompra garantizados con activos de Nivel 1 con vencimiento</w:t>
      </w:r>
      <w:r w:rsidRPr="005863A9">
        <w:rPr>
          <w:strike/>
          <w:sz w:val="22"/>
          <w:szCs w:val="22"/>
        </w:rPr>
        <w:t>s</w:t>
      </w:r>
      <w:r w:rsidRPr="005863A9">
        <w:rPr>
          <w:sz w:val="22"/>
          <w:szCs w:val="22"/>
        </w:rPr>
        <w:t xml:space="preserve"> residual igual o superior a seis meses e inferior a un año. Factor de 50%.</w:t>
      </w:r>
    </w:p>
    <w:p w14:paraId="01F598EB" w14:textId="77777777" w:rsidR="00645809" w:rsidRPr="005863A9" w:rsidRDefault="00645809" w:rsidP="00645809">
      <w:pPr>
        <w:pStyle w:val="Prrafodelista"/>
        <w:widowControl w:val="0"/>
        <w:ind w:left="2268" w:hanging="567"/>
        <w:jc w:val="both"/>
        <w:rPr>
          <w:sz w:val="22"/>
          <w:szCs w:val="22"/>
        </w:rPr>
      </w:pPr>
      <w:r w:rsidRPr="005863A9">
        <w:rPr>
          <w:sz w:val="22"/>
          <w:szCs w:val="22"/>
        </w:rPr>
        <w:t>iii)</w:t>
      </w:r>
      <w:r w:rsidRPr="005863A9">
        <w:rPr>
          <w:sz w:val="22"/>
          <w:szCs w:val="22"/>
        </w:rPr>
        <w:tab/>
        <w:t>Los restantes activos no incluidos en las categorías anteriores, incluida cartera de crédito con más de 90 días de atraso, créditos a entidades financieras, inversiones en operaciones del tipo pacto de recompra garantizados con activos de Nivel 1 con vencimiento residual igual o superior a un año.  Factor 100%.</w:t>
      </w:r>
    </w:p>
    <w:p w14:paraId="45F819AB"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r w:rsidRPr="005863A9">
        <w:rPr>
          <w:sz w:val="22"/>
          <w:szCs w:val="22"/>
        </w:rPr>
        <w:t>Saldo en libros procedentes de cartera de crédito otorgada a entidades financieras, inversiones en operaciones del tipo pacto de recompra garantizadas con activos líquidos de alta calidad distintos de Nivel 1 y cartera de crédito no garantizado a entidades financieras, operaciones diferidas de liquidez garantizada con activos distintos de Nivel 1 o no garantizados.</w:t>
      </w:r>
    </w:p>
    <w:p w14:paraId="59FD9059" w14:textId="77777777" w:rsidR="00645809" w:rsidRPr="005863A9" w:rsidRDefault="00645809" w:rsidP="00645809">
      <w:pPr>
        <w:pStyle w:val="Prrafodelista"/>
        <w:widowControl w:val="0"/>
        <w:ind w:left="2268" w:hanging="567"/>
        <w:jc w:val="both"/>
        <w:rPr>
          <w:sz w:val="22"/>
          <w:szCs w:val="22"/>
        </w:rPr>
      </w:pPr>
      <w:r w:rsidRPr="005863A9">
        <w:rPr>
          <w:sz w:val="22"/>
          <w:szCs w:val="22"/>
        </w:rPr>
        <w:t>i)</w:t>
      </w:r>
      <w:r w:rsidRPr="005863A9">
        <w:rPr>
          <w:sz w:val="22"/>
          <w:szCs w:val="22"/>
        </w:rPr>
        <w:tab/>
        <w:t>Los restantes créditos concedidos a entidades financieras con vencimientos residual inferior a seis meses no incluidos en las categorías anteriores, inversiones en operaciones del tipo pacto de recompra garantizadas con activos líquidos de alta calidad distintos de Nivel 1, operaciones diferidas de liquidez garantizada con activos distintos de Nivel 1 o no garantizados. con vencimientos residual inferior a seis meses. Factor de 15%.</w:t>
      </w:r>
    </w:p>
    <w:p w14:paraId="6F97899C" w14:textId="77777777" w:rsidR="00645809" w:rsidRPr="005863A9" w:rsidRDefault="00645809" w:rsidP="00645809">
      <w:pPr>
        <w:pStyle w:val="Prrafodelista"/>
        <w:widowControl w:val="0"/>
        <w:ind w:left="2268" w:hanging="567"/>
        <w:jc w:val="both"/>
        <w:rPr>
          <w:sz w:val="22"/>
          <w:szCs w:val="22"/>
        </w:rPr>
      </w:pPr>
      <w:r w:rsidRPr="005863A9">
        <w:rPr>
          <w:sz w:val="22"/>
          <w:szCs w:val="22"/>
        </w:rPr>
        <w:t>ii)</w:t>
      </w:r>
      <w:r w:rsidRPr="005863A9">
        <w:rPr>
          <w:sz w:val="22"/>
          <w:szCs w:val="22"/>
        </w:rPr>
        <w:tab/>
        <w:t>Los restantes créditos concedidos a entidades financieras y bancos centrales, inversiones en operaciones del tipo pacto de recompra garantizadas con activos líquidos de alta calidad distintos de Nivel 1 con vencimientos residual igual o superior a seis meses e inferiores a un año. Factor de 50%.</w:t>
      </w:r>
    </w:p>
    <w:p w14:paraId="2387195D" w14:textId="77777777" w:rsidR="00645809" w:rsidRPr="005863A9" w:rsidRDefault="00645809" w:rsidP="00645809">
      <w:pPr>
        <w:pStyle w:val="Prrafodelista"/>
        <w:widowControl w:val="0"/>
        <w:ind w:left="2268" w:hanging="567"/>
        <w:jc w:val="both"/>
        <w:rPr>
          <w:sz w:val="22"/>
          <w:szCs w:val="22"/>
        </w:rPr>
      </w:pPr>
      <w:r w:rsidRPr="005863A9">
        <w:rPr>
          <w:sz w:val="22"/>
          <w:szCs w:val="22"/>
        </w:rPr>
        <w:t>iii)</w:t>
      </w:r>
      <w:r w:rsidRPr="005863A9">
        <w:rPr>
          <w:sz w:val="22"/>
          <w:szCs w:val="22"/>
        </w:rPr>
        <w:tab/>
        <w:t>Los restantes activos no incluidos en las categorías anteriores, incluidos préstamos con más de 90 días de atraso, créditos a entidades financieras, inversiones en operaciones del tipo pacto de recompra garantizadas con activos líquidos de alta calidad distintos de Nivel 1 con vencimiento residual igual o superior a un año. Factor de 100%.</w:t>
      </w:r>
    </w:p>
    <w:p w14:paraId="10E4C9A6"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r w:rsidRPr="005863A9">
        <w:rPr>
          <w:sz w:val="22"/>
          <w:szCs w:val="22"/>
        </w:rPr>
        <w:t>Saldo en libros de cartera de crédito: a entidades no financieras, a clientes minoristas, MiPyME, a gobierno central, bancos centrales y entidades del sector público no pertenecientes al gobierno central.</w:t>
      </w:r>
    </w:p>
    <w:p w14:paraId="34189602" w14:textId="77777777" w:rsidR="00645809" w:rsidRPr="005863A9" w:rsidRDefault="00645809" w:rsidP="00645809">
      <w:pPr>
        <w:pStyle w:val="Prrafodelista"/>
        <w:widowControl w:val="0"/>
        <w:ind w:left="2268" w:hanging="567"/>
        <w:jc w:val="both"/>
        <w:rPr>
          <w:sz w:val="22"/>
          <w:szCs w:val="22"/>
        </w:rPr>
      </w:pPr>
      <w:r w:rsidRPr="005863A9">
        <w:rPr>
          <w:sz w:val="22"/>
          <w:szCs w:val="22"/>
        </w:rPr>
        <w:t>i)</w:t>
      </w:r>
      <w:r w:rsidRPr="005863A9">
        <w:rPr>
          <w:sz w:val="22"/>
          <w:szCs w:val="22"/>
        </w:rPr>
        <w:tab/>
        <w:t>Saldo en libros procedentes de bancos centrales con vencimiento residual inferior a seis meses. Factor de 0%.</w:t>
      </w:r>
    </w:p>
    <w:p w14:paraId="2E3FA71D" w14:textId="77777777" w:rsidR="00645809" w:rsidRPr="005863A9" w:rsidRDefault="00645809" w:rsidP="00645809">
      <w:pPr>
        <w:pStyle w:val="Prrafodelista"/>
        <w:widowControl w:val="0"/>
        <w:ind w:left="2268" w:hanging="567"/>
        <w:jc w:val="both"/>
        <w:rPr>
          <w:sz w:val="22"/>
          <w:szCs w:val="22"/>
        </w:rPr>
      </w:pPr>
      <w:r w:rsidRPr="005863A9">
        <w:rPr>
          <w:sz w:val="22"/>
          <w:szCs w:val="22"/>
        </w:rPr>
        <w:t>ii)</w:t>
      </w:r>
      <w:r w:rsidRPr="005863A9">
        <w:rPr>
          <w:sz w:val="22"/>
          <w:szCs w:val="22"/>
        </w:rPr>
        <w:tab/>
        <w:t xml:space="preserve">Los restantes activos distintos de activos líquidos de alta calidad no incluidos en las anteriores categorías con vencimiento residual inferior a un año, incluida cartera de crédito a entidades no financieras, a clientes minoristas y MiPyME de acuerdo con lo dispuesto en el Reglamento General a la Ley 8262 de Fortalecimiento a las Pequeñas y Medianas Empresas, y a gobierno central, bancos centrales y entidades del sector público no pertenecientes al gobierno central. Factor de 50%. </w:t>
      </w:r>
    </w:p>
    <w:p w14:paraId="5AFADBF3" w14:textId="77777777" w:rsidR="00645809" w:rsidRPr="005863A9" w:rsidRDefault="00645809" w:rsidP="00645809">
      <w:pPr>
        <w:pStyle w:val="Prrafodelista"/>
        <w:widowControl w:val="0"/>
        <w:ind w:left="2268" w:hanging="567"/>
        <w:jc w:val="both"/>
        <w:rPr>
          <w:sz w:val="22"/>
          <w:szCs w:val="22"/>
        </w:rPr>
      </w:pPr>
      <w:r w:rsidRPr="005863A9">
        <w:rPr>
          <w:sz w:val="22"/>
          <w:szCs w:val="22"/>
        </w:rPr>
        <w:t>iii)</w:t>
      </w:r>
      <w:r w:rsidRPr="005863A9">
        <w:rPr>
          <w:sz w:val="22"/>
          <w:szCs w:val="22"/>
        </w:rPr>
        <w:tab/>
        <w:t>Otra cartera de crédito con hasta 90 días de atraso con vencimiento residual igual o superior a un año, excluidas las carteras de crédito a entidades financieras. Factor de 85%.</w:t>
      </w:r>
    </w:p>
    <w:p w14:paraId="64D4E001" w14:textId="77777777" w:rsidR="00645809" w:rsidRPr="005863A9" w:rsidRDefault="00645809" w:rsidP="00645809">
      <w:pPr>
        <w:pStyle w:val="Prrafodelista"/>
        <w:widowControl w:val="0"/>
        <w:ind w:left="2268" w:hanging="567"/>
        <w:jc w:val="both"/>
        <w:rPr>
          <w:sz w:val="22"/>
          <w:szCs w:val="22"/>
        </w:rPr>
      </w:pPr>
      <w:r w:rsidRPr="005863A9">
        <w:rPr>
          <w:sz w:val="22"/>
          <w:szCs w:val="22"/>
        </w:rPr>
        <w:t>iv)</w:t>
      </w:r>
      <w:r w:rsidRPr="005863A9">
        <w:rPr>
          <w:sz w:val="22"/>
          <w:szCs w:val="22"/>
        </w:rPr>
        <w:tab/>
        <w:t>Toda la cartera de crédito comprometida durante un periodo inferior a un año. Factor de 85%.</w:t>
      </w:r>
    </w:p>
    <w:p w14:paraId="55A26153" w14:textId="77777777" w:rsidR="00645809" w:rsidRPr="005863A9" w:rsidRDefault="00645809" w:rsidP="00645809">
      <w:pPr>
        <w:pStyle w:val="Prrafodelista"/>
        <w:widowControl w:val="0"/>
        <w:ind w:left="2268" w:hanging="567"/>
        <w:jc w:val="both"/>
        <w:rPr>
          <w:sz w:val="22"/>
          <w:szCs w:val="22"/>
        </w:rPr>
      </w:pPr>
      <w:r w:rsidRPr="005863A9">
        <w:rPr>
          <w:sz w:val="22"/>
          <w:szCs w:val="22"/>
        </w:rPr>
        <w:lastRenderedPageBreak/>
        <w:t>v)</w:t>
      </w:r>
      <w:r w:rsidRPr="005863A9">
        <w:rPr>
          <w:sz w:val="22"/>
          <w:szCs w:val="22"/>
        </w:rPr>
        <w:tab/>
        <w:t>Toda la cartera de crédito comprometida durante un periodo igual o superior a un año. Factor de 100%.</w:t>
      </w:r>
    </w:p>
    <w:p w14:paraId="517C9A9F"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r w:rsidRPr="005863A9">
        <w:rPr>
          <w:sz w:val="22"/>
          <w:szCs w:val="22"/>
        </w:rPr>
        <w:t xml:space="preserve">Saldo en libros de cartera de crédito cuyo uso final sea vivienda habitacional </w:t>
      </w:r>
    </w:p>
    <w:p w14:paraId="3444AE10" w14:textId="77777777" w:rsidR="00645809" w:rsidRPr="005863A9" w:rsidRDefault="00645809" w:rsidP="00645809">
      <w:pPr>
        <w:pStyle w:val="Prrafodelista"/>
        <w:widowControl w:val="0"/>
        <w:ind w:left="2268" w:hanging="567"/>
        <w:jc w:val="both"/>
        <w:rPr>
          <w:sz w:val="22"/>
          <w:szCs w:val="22"/>
        </w:rPr>
      </w:pPr>
      <w:r w:rsidRPr="005863A9">
        <w:rPr>
          <w:sz w:val="22"/>
          <w:szCs w:val="22"/>
        </w:rPr>
        <w:t>i)</w:t>
      </w:r>
      <w:r w:rsidRPr="005863A9">
        <w:rPr>
          <w:sz w:val="22"/>
          <w:szCs w:val="22"/>
        </w:rPr>
        <w:tab/>
        <w:t>Otra cartera de crédito con hasta 90 días de atraso con vencimiento residual inferior a un año, excluida la cartera de crédito a entidades financieras. Factor de 50%.</w:t>
      </w:r>
    </w:p>
    <w:p w14:paraId="49D66FA8" w14:textId="77777777" w:rsidR="00645809" w:rsidRPr="005863A9" w:rsidRDefault="00645809" w:rsidP="00645809">
      <w:pPr>
        <w:pStyle w:val="Prrafodelista"/>
        <w:widowControl w:val="0"/>
        <w:ind w:left="2268" w:hanging="567"/>
        <w:jc w:val="both"/>
        <w:rPr>
          <w:sz w:val="22"/>
          <w:szCs w:val="22"/>
        </w:rPr>
      </w:pPr>
      <w:r w:rsidRPr="005863A9">
        <w:rPr>
          <w:sz w:val="22"/>
          <w:szCs w:val="22"/>
        </w:rPr>
        <w:t>ii)</w:t>
      </w:r>
      <w:r w:rsidRPr="005863A9">
        <w:rPr>
          <w:sz w:val="22"/>
          <w:szCs w:val="22"/>
        </w:rPr>
        <w:tab/>
        <w:t>Otra cartera de crédito con hasta 90 días de atraso con vencimiento residual igual o superior a un año, excluidos la cartera de crédito a entidades financieras. Factor de 85%.</w:t>
      </w:r>
    </w:p>
    <w:p w14:paraId="428663B0" w14:textId="77777777" w:rsidR="00645809" w:rsidRPr="005863A9" w:rsidRDefault="00645809" w:rsidP="00645809">
      <w:pPr>
        <w:pStyle w:val="Prrafodelista"/>
        <w:widowControl w:val="0"/>
        <w:ind w:left="2268" w:hanging="567"/>
        <w:jc w:val="both"/>
        <w:rPr>
          <w:sz w:val="22"/>
          <w:szCs w:val="22"/>
        </w:rPr>
      </w:pPr>
      <w:r w:rsidRPr="005863A9">
        <w:rPr>
          <w:sz w:val="22"/>
          <w:szCs w:val="22"/>
        </w:rPr>
        <w:t>iii)</w:t>
      </w:r>
      <w:r w:rsidRPr="005863A9">
        <w:rPr>
          <w:sz w:val="22"/>
          <w:szCs w:val="22"/>
        </w:rPr>
        <w:tab/>
        <w:t>Toda la cartera de crédito comprometida durante un periodo menor a un año. Factor de 85%.</w:t>
      </w:r>
    </w:p>
    <w:p w14:paraId="38AB20BE" w14:textId="77777777" w:rsidR="00645809" w:rsidRPr="005863A9" w:rsidRDefault="00645809" w:rsidP="00645809">
      <w:pPr>
        <w:pStyle w:val="Prrafodelista"/>
        <w:widowControl w:val="0"/>
        <w:ind w:left="2268" w:hanging="567"/>
        <w:jc w:val="both"/>
        <w:rPr>
          <w:strike/>
          <w:sz w:val="22"/>
          <w:szCs w:val="22"/>
        </w:rPr>
      </w:pPr>
      <w:r w:rsidRPr="005863A9">
        <w:rPr>
          <w:sz w:val="22"/>
          <w:szCs w:val="22"/>
        </w:rPr>
        <w:t>iv)</w:t>
      </w:r>
      <w:r w:rsidRPr="005863A9">
        <w:rPr>
          <w:sz w:val="22"/>
          <w:szCs w:val="22"/>
        </w:rPr>
        <w:tab/>
        <w:t>Toda la cartera de crédito comprometida durante un periodo igual o superior a un año. Factor de 100%</w:t>
      </w:r>
    </w:p>
    <w:p w14:paraId="1813EFA5"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bookmarkStart w:id="7" w:name="OLE_LINK1"/>
      <w:r w:rsidRPr="005863A9">
        <w:rPr>
          <w:sz w:val="22"/>
          <w:szCs w:val="22"/>
        </w:rPr>
        <w:t>Saldo en libros del resto de inversiones en instrumentos financieros no clasificados previamente</w:t>
      </w:r>
      <w:bookmarkEnd w:id="7"/>
      <w:r w:rsidRPr="005863A9">
        <w:rPr>
          <w:sz w:val="22"/>
          <w:szCs w:val="22"/>
        </w:rPr>
        <w:t>.</w:t>
      </w:r>
    </w:p>
    <w:p w14:paraId="4FDD3F84" w14:textId="77777777" w:rsidR="00645809" w:rsidRPr="005863A9" w:rsidRDefault="00645809" w:rsidP="00645809">
      <w:pPr>
        <w:pStyle w:val="Prrafodelista"/>
        <w:widowControl w:val="0"/>
        <w:ind w:left="2268" w:hanging="567"/>
        <w:jc w:val="both"/>
        <w:rPr>
          <w:sz w:val="22"/>
          <w:szCs w:val="22"/>
        </w:rPr>
      </w:pPr>
      <w:r w:rsidRPr="005863A9">
        <w:rPr>
          <w:sz w:val="22"/>
          <w:szCs w:val="22"/>
        </w:rPr>
        <w:t>i)</w:t>
      </w:r>
      <w:r w:rsidRPr="005863A9">
        <w:rPr>
          <w:sz w:val="22"/>
          <w:szCs w:val="22"/>
        </w:rPr>
        <w:tab/>
        <w:t>Saldo en libros de inversiones en instrumentos financieros, que no se admiten como activos líquidos de alta calidad, con vencimiento residual inferior a un año. Factor de 50%.</w:t>
      </w:r>
    </w:p>
    <w:p w14:paraId="75DA9C18" w14:textId="77777777" w:rsidR="00645809" w:rsidRPr="005863A9" w:rsidRDefault="00645809" w:rsidP="00645809">
      <w:pPr>
        <w:pStyle w:val="Prrafodelista"/>
        <w:widowControl w:val="0"/>
        <w:ind w:left="2268" w:hanging="567"/>
        <w:jc w:val="both"/>
        <w:rPr>
          <w:sz w:val="22"/>
          <w:szCs w:val="22"/>
        </w:rPr>
      </w:pPr>
      <w:r w:rsidRPr="005863A9">
        <w:rPr>
          <w:sz w:val="22"/>
          <w:szCs w:val="22"/>
        </w:rPr>
        <w:t>ii)</w:t>
      </w:r>
      <w:r w:rsidRPr="005863A9">
        <w:rPr>
          <w:sz w:val="22"/>
          <w:szCs w:val="22"/>
        </w:rPr>
        <w:tab/>
        <w:t>Saldo en libros de inversiones en instrumentos financieros, que no se admiten como activos líquidos de alta calidad con vencimiento residual igual o superior a un año. Factor de 85%.</w:t>
      </w:r>
    </w:p>
    <w:p w14:paraId="5EA32932" w14:textId="77777777" w:rsidR="00645809" w:rsidRPr="005863A9" w:rsidRDefault="00645809" w:rsidP="00645809">
      <w:pPr>
        <w:pStyle w:val="Prrafodelista"/>
        <w:widowControl w:val="0"/>
        <w:ind w:left="2268" w:hanging="567"/>
        <w:jc w:val="both"/>
        <w:rPr>
          <w:sz w:val="22"/>
          <w:szCs w:val="22"/>
        </w:rPr>
      </w:pPr>
      <w:r w:rsidRPr="005863A9">
        <w:rPr>
          <w:sz w:val="22"/>
          <w:szCs w:val="22"/>
        </w:rPr>
        <w:t>iii)</w:t>
      </w:r>
      <w:r w:rsidRPr="005863A9">
        <w:rPr>
          <w:sz w:val="22"/>
          <w:szCs w:val="22"/>
        </w:rPr>
        <w:tab/>
        <w:t>Saldo en libros de instrumentos financieros que no se admiten como activos líquidos de alta calidad, comprometidos durante un periodo menor a un año. Factor de 85%</w:t>
      </w:r>
    </w:p>
    <w:p w14:paraId="34705355" w14:textId="77777777" w:rsidR="00645809" w:rsidRPr="005863A9" w:rsidRDefault="00645809" w:rsidP="00645809">
      <w:pPr>
        <w:pStyle w:val="Prrafodelista"/>
        <w:widowControl w:val="0"/>
        <w:ind w:left="2268" w:hanging="567"/>
        <w:jc w:val="both"/>
        <w:rPr>
          <w:sz w:val="22"/>
          <w:szCs w:val="22"/>
        </w:rPr>
      </w:pPr>
      <w:r w:rsidRPr="005863A9">
        <w:rPr>
          <w:sz w:val="22"/>
          <w:szCs w:val="22"/>
        </w:rPr>
        <w:t>iv)</w:t>
      </w:r>
      <w:r w:rsidRPr="005863A9">
        <w:rPr>
          <w:sz w:val="22"/>
          <w:szCs w:val="22"/>
        </w:rPr>
        <w:tab/>
        <w:t>Saldo en libros de instrumentos financieros que no se admiten como activos líquidos de alta calidad comprometidos durante un periodo igual o superior a un año. Factor 100%</w:t>
      </w:r>
    </w:p>
    <w:p w14:paraId="5439BA7F" w14:textId="77777777" w:rsidR="00645809" w:rsidRPr="005863A9" w:rsidRDefault="00645809" w:rsidP="00645809">
      <w:pPr>
        <w:pStyle w:val="Prrafodelista"/>
        <w:widowControl w:val="0"/>
        <w:ind w:left="2268" w:hanging="567"/>
        <w:jc w:val="both"/>
        <w:rPr>
          <w:sz w:val="22"/>
          <w:szCs w:val="22"/>
        </w:rPr>
      </w:pPr>
      <w:r w:rsidRPr="005863A9">
        <w:rPr>
          <w:sz w:val="22"/>
          <w:szCs w:val="22"/>
        </w:rPr>
        <w:t>v)</w:t>
      </w:r>
      <w:r w:rsidRPr="005863A9">
        <w:rPr>
          <w:sz w:val="22"/>
          <w:szCs w:val="22"/>
        </w:rPr>
        <w:tab/>
        <w:t>Cualquier instrumento que califique como activo líquido de alta calidad comprometido durante un período menor a seis meses. Factor 10%.</w:t>
      </w:r>
    </w:p>
    <w:p w14:paraId="45B47314" w14:textId="77777777" w:rsidR="00645809" w:rsidRPr="005863A9" w:rsidRDefault="00645809" w:rsidP="00645809">
      <w:pPr>
        <w:pStyle w:val="Prrafodelista"/>
        <w:widowControl w:val="0"/>
        <w:ind w:left="2268" w:hanging="567"/>
        <w:jc w:val="both"/>
        <w:rPr>
          <w:sz w:val="22"/>
          <w:szCs w:val="22"/>
        </w:rPr>
      </w:pPr>
      <w:r w:rsidRPr="005863A9">
        <w:rPr>
          <w:sz w:val="22"/>
          <w:szCs w:val="22"/>
        </w:rPr>
        <w:t>vi)</w:t>
      </w:r>
      <w:r w:rsidRPr="005863A9">
        <w:rPr>
          <w:sz w:val="22"/>
          <w:szCs w:val="22"/>
        </w:rPr>
        <w:tab/>
        <w:t>Cualquier instrumento que califique como activo líquido de alta calidad comprometido durante un período de entre seis meses y menos de un año. Factor de 50%.</w:t>
      </w:r>
    </w:p>
    <w:p w14:paraId="36AF910C" w14:textId="77777777" w:rsidR="00645809" w:rsidRPr="005863A9" w:rsidRDefault="00645809" w:rsidP="00645809">
      <w:pPr>
        <w:pStyle w:val="Prrafodelista"/>
        <w:widowControl w:val="0"/>
        <w:tabs>
          <w:tab w:val="left" w:pos="1701"/>
        </w:tabs>
        <w:ind w:left="2268" w:hanging="567"/>
        <w:jc w:val="both"/>
        <w:rPr>
          <w:sz w:val="22"/>
          <w:szCs w:val="22"/>
        </w:rPr>
      </w:pPr>
      <w:r w:rsidRPr="005863A9">
        <w:rPr>
          <w:sz w:val="22"/>
          <w:szCs w:val="22"/>
        </w:rPr>
        <w:t>vii)</w:t>
      </w:r>
      <w:r w:rsidRPr="005863A9">
        <w:rPr>
          <w:sz w:val="22"/>
          <w:szCs w:val="22"/>
        </w:rPr>
        <w:tab/>
        <w:t>Cualquier instrumento que califique como activo líquido de alta calidad comprometido durante un período superior a un año. Factor 100%</w:t>
      </w:r>
    </w:p>
    <w:p w14:paraId="085C377B" w14:textId="77777777" w:rsidR="00645809" w:rsidRPr="005863A9" w:rsidRDefault="00645809" w:rsidP="00645809">
      <w:pPr>
        <w:pStyle w:val="Prrafodelista"/>
        <w:widowControl w:val="0"/>
        <w:tabs>
          <w:tab w:val="left" w:pos="1701"/>
        </w:tabs>
        <w:ind w:left="2268" w:hanging="567"/>
        <w:jc w:val="both"/>
        <w:rPr>
          <w:sz w:val="22"/>
          <w:szCs w:val="22"/>
        </w:rPr>
      </w:pPr>
    </w:p>
    <w:p w14:paraId="54C90D0C" w14:textId="77777777" w:rsidR="00645809" w:rsidRPr="005863A9" w:rsidRDefault="00645809" w:rsidP="00645809">
      <w:pPr>
        <w:pStyle w:val="Ttulo3"/>
        <w:keepNext w:val="0"/>
        <w:widowControl w:val="0"/>
        <w:numPr>
          <w:ilvl w:val="0"/>
          <w:numId w:val="31"/>
        </w:numPr>
        <w:tabs>
          <w:tab w:val="num" w:pos="360"/>
          <w:tab w:val="num" w:pos="643"/>
        </w:tabs>
        <w:ind w:left="1134" w:hanging="567"/>
        <w:jc w:val="both"/>
        <w:rPr>
          <w:sz w:val="22"/>
          <w:szCs w:val="22"/>
        </w:rPr>
      </w:pPr>
      <w:r w:rsidRPr="005863A9">
        <w:rPr>
          <w:sz w:val="22"/>
          <w:szCs w:val="22"/>
        </w:rPr>
        <w:t>Otros activos</w:t>
      </w:r>
    </w:p>
    <w:p w14:paraId="40067B5F"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bookmarkStart w:id="8" w:name="OLE_LINK2"/>
      <w:r w:rsidRPr="005863A9">
        <w:rPr>
          <w:sz w:val="22"/>
          <w:szCs w:val="22"/>
        </w:rPr>
        <w:t>Activos aportados como margen inicial en contratos derivados y contribuciones a los fondos de garantía de una entidad de contrapartida central</w:t>
      </w:r>
      <w:bookmarkEnd w:id="8"/>
    </w:p>
    <w:p w14:paraId="53B7C892" w14:textId="77777777" w:rsidR="00645809" w:rsidRPr="005863A9" w:rsidRDefault="00645809" w:rsidP="00645809">
      <w:pPr>
        <w:pStyle w:val="Ttulo3"/>
        <w:keepNext w:val="0"/>
        <w:widowControl w:val="0"/>
        <w:ind w:left="2268" w:hanging="567"/>
        <w:jc w:val="both"/>
        <w:rPr>
          <w:b w:val="0"/>
          <w:bCs w:val="0"/>
          <w:sz w:val="22"/>
          <w:szCs w:val="22"/>
        </w:rPr>
      </w:pPr>
      <w:r w:rsidRPr="005863A9">
        <w:rPr>
          <w:b w:val="0"/>
          <w:bCs w:val="0"/>
          <w:sz w:val="22"/>
          <w:szCs w:val="22"/>
        </w:rPr>
        <w:t>i)</w:t>
      </w:r>
      <w:r w:rsidRPr="005863A9">
        <w:rPr>
          <w:b w:val="0"/>
          <w:bCs w:val="0"/>
          <w:sz w:val="22"/>
          <w:szCs w:val="22"/>
        </w:rPr>
        <w:tab/>
        <w:t>Efectivo, inversiones en instrumentos financieros y otros activos constituidos en concepto de margen inicial en contratos de derivados y efectivo u otros activos aportados como contribución al fondo de garantía de una entidad de contrapartida central. Factor de 85%.</w:t>
      </w:r>
    </w:p>
    <w:p w14:paraId="4C9679CE"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r w:rsidRPr="005863A9">
        <w:rPr>
          <w:sz w:val="22"/>
          <w:szCs w:val="22"/>
        </w:rPr>
        <w:t>Activos derivados a efectos del IFNE</w:t>
      </w:r>
    </w:p>
    <w:p w14:paraId="43CBBBD6" w14:textId="77777777" w:rsidR="00645809" w:rsidRPr="005863A9" w:rsidRDefault="00645809" w:rsidP="00645809">
      <w:pPr>
        <w:pStyle w:val="Prrafodelista"/>
        <w:widowControl w:val="0"/>
        <w:ind w:left="2268" w:hanging="567"/>
        <w:jc w:val="both"/>
        <w:rPr>
          <w:sz w:val="22"/>
          <w:szCs w:val="22"/>
        </w:rPr>
      </w:pPr>
      <w:r w:rsidRPr="005863A9">
        <w:rPr>
          <w:sz w:val="22"/>
          <w:szCs w:val="22"/>
        </w:rPr>
        <w:t>i)</w:t>
      </w:r>
      <w:r w:rsidRPr="005863A9">
        <w:rPr>
          <w:sz w:val="22"/>
          <w:szCs w:val="22"/>
        </w:rPr>
        <w:tab/>
        <w:t xml:space="preserve"> Siempre que exista un acuerdo contractual de neteo bilateral, los activos originados en operaciones con derivados calculados conforme lo establecen a continuación el punto a) siguiente, netos de los pasivos originados en operaciones con derivados calculados siempre que los activos sean superiores a los pasivos. </w:t>
      </w:r>
    </w:p>
    <w:p w14:paraId="79F1DF13" w14:textId="77777777" w:rsidR="00645809" w:rsidRPr="005863A9" w:rsidRDefault="00645809" w:rsidP="00645809">
      <w:pPr>
        <w:pStyle w:val="Prrafodelista"/>
        <w:widowControl w:val="0"/>
        <w:ind w:left="2268"/>
        <w:jc w:val="both"/>
        <w:rPr>
          <w:sz w:val="22"/>
          <w:szCs w:val="22"/>
        </w:rPr>
      </w:pPr>
      <w:r w:rsidRPr="005863A9">
        <w:rPr>
          <w:sz w:val="22"/>
          <w:szCs w:val="22"/>
        </w:rPr>
        <w:t>Este cálculo se determina como la diferencia entre los derechos de cobro y las obligaciones pendientes de pago, cuando el saldo representa un flujo de efectivo a favor de la entidad supervisada.</w:t>
      </w:r>
    </w:p>
    <w:p w14:paraId="4F07D00A" w14:textId="77777777" w:rsidR="00645809" w:rsidRPr="005863A9" w:rsidRDefault="00645809" w:rsidP="00645809">
      <w:pPr>
        <w:pStyle w:val="Prrafodelista"/>
        <w:widowControl w:val="0"/>
        <w:numPr>
          <w:ilvl w:val="0"/>
          <w:numId w:val="38"/>
        </w:numPr>
        <w:ind w:left="2835" w:hanging="567"/>
        <w:jc w:val="both"/>
        <w:rPr>
          <w:sz w:val="22"/>
          <w:szCs w:val="22"/>
        </w:rPr>
      </w:pPr>
      <w:r w:rsidRPr="005863A9">
        <w:rPr>
          <w:sz w:val="22"/>
          <w:szCs w:val="22"/>
        </w:rPr>
        <w:lastRenderedPageBreak/>
        <w:t>Activos originados en operaciones con derivados: Los activos originados en operaciones con derivados se calcularán en base al costo de reposición del contrato de derivados obtenido a partir de valoración a precios de mercado cuando el contrato tenga un valor positivo para la entidad financiera.</w:t>
      </w:r>
    </w:p>
    <w:p w14:paraId="79C4FE73" w14:textId="77777777" w:rsidR="00645809" w:rsidRPr="005863A9" w:rsidRDefault="00645809" w:rsidP="00645809">
      <w:pPr>
        <w:pStyle w:val="Prrafodelista"/>
        <w:widowControl w:val="0"/>
        <w:ind w:left="2835"/>
        <w:jc w:val="both"/>
        <w:rPr>
          <w:sz w:val="22"/>
          <w:szCs w:val="22"/>
        </w:rPr>
      </w:pPr>
      <w:r w:rsidRPr="005863A9">
        <w:rPr>
          <w:sz w:val="22"/>
          <w:szCs w:val="22"/>
        </w:rPr>
        <w:t>Al calcular los activos de las operaciones con derivados, las garantías constituidas en forma de margen de variación con relación a los contratos de derivados, con independencia del tipo de activos, deberán deducirse del costo de reposición negativo.</w:t>
      </w:r>
    </w:p>
    <w:p w14:paraId="1562746C" w14:textId="77777777" w:rsidR="00645809" w:rsidRPr="005863A9" w:rsidRDefault="00645809" w:rsidP="00645809">
      <w:pPr>
        <w:pStyle w:val="Prrafodelista"/>
        <w:widowControl w:val="0"/>
        <w:ind w:left="2835"/>
        <w:jc w:val="both"/>
        <w:rPr>
          <w:sz w:val="22"/>
          <w:szCs w:val="22"/>
        </w:rPr>
      </w:pPr>
      <w:r w:rsidRPr="005863A9">
        <w:rPr>
          <w:sz w:val="22"/>
          <w:szCs w:val="22"/>
        </w:rPr>
        <w:t>Para operaciones de derivados que no poseen acuerdo contractual de neteo bilateral deberá registrarse el importe total de los activos originados de los derivados.</w:t>
      </w:r>
    </w:p>
    <w:p w14:paraId="7D190369" w14:textId="77777777" w:rsidR="00645809" w:rsidRPr="005863A9" w:rsidRDefault="00645809" w:rsidP="00645809">
      <w:pPr>
        <w:pStyle w:val="Ttulo3"/>
        <w:keepNext w:val="0"/>
        <w:widowControl w:val="0"/>
        <w:numPr>
          <w:ilvl w:val="1"/>
          <w:numId w:val="31"/>
        </w:numPr>
        <w:tabs>
          <w:tab w:val="num" w:pos="360"/>
          <w:tab w:val="num" w:pos="643"/>
        </w:tabs>
        <w:ind w:left="1701" w:hanging="567"/>
        <w:jc w:val="both"/>
        <w:rPr>
          <w:sz w:val="22"/>
          <w:szCs w:val="22"/>
        </w:rPr>
      </w:pPr>
      <w:r w:rsidRPr="005863A9">
        <w:rPr>
          <w:sz w:val="22"/>
          <w:szCs w:val="22"/>
        </w:rPr>
        <w:t>Todos los activos no incluidos en las categorías anteriores</w:t>
      </w:r>
    </w:p>
    <w:p w14:paraId="43A4CB7B" w14:textId="77777777" w:rsidR="00645809" w:rsidRPr="005863A9" w:rsidRDefault="00645809" w:rsidP="00645809">
      <w:pPr>
        <w:pStyle w:val="Ttulo3"/>
        <w:keepNext w:val="0"/>
        <w:widowControl w:val="0"/>
        <w:ind w:left="2268" w:hanging="567"/>
        <w:jc w:val="both"/>
        <w:rPr>
          <w:b w:val="0"/>
          <w:bCs w:val="0"/>
          <w:sz w:val="22"/>
          <w:szCs w:val="22"/>
        </w:rPr>
      </w:pPr>
      <w:r w:rsidRPr="005863A9">
        <w:rPr>
          <w:b w:val="0"/>
          <w:bCs w:val="0"/>
          <w:sz w:val="22"/>
          <w:szCs w:val="22"/>
        </w:rPr>
        <w:t>i)</w:t>
      </w:r>
      <w:r w:rsidRPr="005863A9">
        <w:rPr>
          <w:b w:val="0"/>
          <w:bCs w:val="0"/>
          <w:sz w:val="22"/>
          <w:szCs w:val="22"/>
        </w:rPr>
        <w:tab/>
        <w:t>Importes pendientes de liquidación por venta de instrumentos financieros, divisas o productos. Factor de 0%</w:t>
      </w:r>
    </w:p>
    <w:p w14:paraId="241EFCBC" w14:textId="77777777" w:rsidR="00645809" w:rsidRPr="005863A9" w:rsidRDefault="00645809" w:rsidP="00645809">
      <w:pPr>
        <w:pStyle w:val="Ttulo3"/>
        <w:keepNext w:val="0"/>
        <w:widowControl w:val="0"/>
        <w:ind w:left="2835" w:hanging="567"/>
        <w:jc w:val="both"/>
        <w:rPr>
          <w:b w:val="0"/>
          <w:bCs w:val="0"/>
          <w:sz w:val="22"/>
          <w:szCs w:val="22"/>
        </w:rPr>
      </w:pPr>
      <w:r w:rsidRPr="005863A9">
        <w:rPr>
          <w:b w:val="0"/>
          <w:bCs w:val="0"/>
          <w:sz w:val="22"/>
          <w:szCs w:val="22"/>
        </w:rPr>
        <w:t>a)</w:t>
      </w:r>
      <w:r w:rsidRPr="005863A9">
        <w:rPr>
          <w:b w:val="0"/>
          <w:bCs w:val="0"/>
          <w:sz w:val="22"/>
          <w:szCs w:val="22"/>
        </w:rPr>
        <w:tab/>
        <w:t xml:space="preserve">se prevé liquidar dentro del ciclo de liquidación estándar o el periodo que sea habitual para el intercambio o tipo de transacción pertinente, o </w:t>
      </w:r>
    </w:p>
    <w:p w14:paraId="53D283F9" w14:textId="77777777" w:rsidR="00645809" w:rsidRPr="005863A9" w:rsidRDefault="00645809" w:rsidP="00645809">
      <w:pPr>
        <w:pStyle w:val="Ttulo3"/>
        <w:keepNext w:val="0"/>
        <w:widowControl w:val="0"/>
        <w:ind w:left="2835" w:hanging="567"/>
        <w:jc w:val="both"/>
        <w:rPr>
          <w:b w:val="0"/>
          <w:bCs w:val="0"/>
          <w:sz w:val="22"/>
          <w:szCs w:val="22"/>
        </w:rPr>
      </w:pPr>
      <w:r w:rsidRPr="005863A9">
        <w:rPr>
          <w:b w:val="0"/>
          <w:bCs w:val="0"/>
          <w:sz w:val="22"/>
          <w:szCs w:val="22"/>
        </w:rPr>
        <w:t>b)</w:t>
      </w:r>
      <w:r w:rsidRPr="005863A9">
        <w:rPr>
          <w:b w:val="0"/>
          <w:bCs w:val="0"/>
          <w:sz w:val="22"/>
          <w:szCs w:val="22"/>
        </w:rPr>
        <w:tab/>
        <w:t>no hayan podido liquidarse, pero se espera serán liquidados.</w:t>
      </w:r>
    </w:p>
    <w:p w14:paraId="4E1DD2D4" w14:textId="77777777" w:rsidR="00645809" w:rsidRPr="005863A9" w:rsidRDefault="00645809" w:rsidP="00645809">
      <w:pPr>
        <w:pStyle w:val="Ttulo3"/>
        <w:keepNext w:val="0"/>
        <w:widowControl w:val="0"/>
        <w:ind w:left="2268" w:hanging="567"/>
        <w:jc w:val="both"/>
        <w:rPr>
          <w:b w:val="0"/>
          <w:bCs w:val="0"/>
          <w:sz w:val="22"/>
          <w:szCs w:val="22"/>
        </w:rPr>
      </w:pPr>
      <w:r w:rsidRPr="005863A9">
        <w:rPr>
          <w:b w:val="0"/>
          <w:bCs w:val="0"/>
          <w:sz w:val="22"/>
          <w:szCs w:val="22"/>
        </w:rPr>
        <w:t>ii)</w:t>
      </w:r>
      <w:r w:rsidRPr="005863A9">
        <w:rPr>
          <w:b w:val="0"/>
          <w:bCs w:val="0"/>
          <w:sz w:val="22"/>
          <w:szCs w:val="22"/>
        </w:rPr>
        <w:tab/>
        <w:t>Los restantes activos no incluidos en las categorías anteriores. Incluidos préstamos con más de 90 días de atraso, préstamos a entidades financieras con vencimiento residual igual o superior a un año. Factor de 100%.</w:t>
      </w:r>
    </w:p>
    <w:p w14:paraId="692DF404" w14:textId="77777777" w:rsidR="00645809" w:rsidRPr="005863A9" w:rsidRDefault="00645809" w:rsidP="00645809">
      <w:pPr>
        <w:rPr>
          <w:sz w:val="22"/>
          <w:szCs w:val="22"/>
        </w:rPr>
      </w:pPr>
    </w:p>
    <w:p w14:paraId="22F737F7" w14:textId="77777777" w:rsidR="00645809" w:rsidRPr="005863A9" w:rsidRDefault="00645809" w:rsidP="00645809">
      <w:pPr>
        <w:pStyle w:val="Ttulo3"/>
        <w:keepNext w:val="0"/>
        <w:widowControl w:val="0"/>
        <w:ind w:left="567"/>
        <w:rPr>
          <w:sz w:val="22"/>
          <w:szCs w:val="22"/>
        </w:rPr>
      </w:pPr>
      <w:r w:rsidRPr="005863A9">
        <w:rPr>
          <w:sz w:val="22"/>
          <w:szCs w:val="22"/>
        </w:rPr>
        <w:t>Artículo 12. Operaciones del tipo pacto de Recompra</w:t>
      </w:r>
    </w:p>
    <w:p w14:paraId="012AB189" w14:textId="77777777" w:rsidR="00645809" w:rsidRPr="005863A9" w:rsidRDefault="00645809" w:rsidP="00645809">
      <w:pPr>
        <w:ind w:left="567"/>
        <w:jc w:val="both"/>
        <w:rPr>
          <w:sz w:val="22"/>
          <w:szCs w:val="22"/>
        </w:rPr>
      </w:pPr>
      <w:r w:rsidRPr="005863A9">
        <w:rPr>
          <w:sz w:val="22"/>
          <w:szCs w:val="22"/>
        </w:rPr>
        <w:t>Cuando las entidades se financien mediante operaciones del tipo pacto de recompra, todos los activos que respaldan estas operaciones y que le restan menos de seis meses para su vencimiento, se les podrá asignar el mismo factor que se le asigna a un activo equivalente que no se encuentra comprometido.</w:t>
      </w:r>
    </w:p>
    <w:p w14:paraId="5DE98E17" w14:textId="77777777" w:rsidR="00645809" w:rsidRPr="005863A9" w:rsidRDefault="00645809" w:rsidP="00645809">
      <w:pPr>
        <w:ind w:left="567"/>
        <w:jc w:val="both"/>
        <w:rPr>
          <w:sz w:val="22"/>
          <w:szCs w:val="22"/>
        </w:rPr>
      </w:pPr>
    </w:p>
    <w:p w14:paraId="63FCE078" w14:textId="77777777" w:rsidR="00645809" w:rsidRPr="005863A9" w:rsidRDefault="00645809" w:rsidP="00645809">
      <w:pPr>
        <w:pStyle w:val="Ttulo3"/>
        <w:keepNext w:val="0"/>
        <w:widowControl w:val="0"/>
        <w:ind w:left="567"/>
        <w:rPr>
          <w:sz w:val="22"/>
          <w:szCs w:val="22"/>
        </w:rPr>
      </w:pPr>
      <w:r w:rsidRPr="005863A9">
        <w:rPr>
          <w:sz w:val="22"/>
          <w:szCs w:val="22"/>
        </w:rPr>
        <w:t>Artículo 13. Posiciones fuera de balance</w:t>
      </w:r>
    </w:p>
    <w:p w14:paraId="773C5845" w14:textId="77777777"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Los Factores de FER asignados a las exposiciones fuera de balance establecidas en este artículo tienen como propósito asegurar que las entidades financieras cuenten con un financiamiento estable para la parte de estas operaciones que se espera requieran fondos dentro de un horizonte temporal de un año.</w:t>
      </w:r>
    </w:p>
    <w:p w14:paraId="611358DC" w14:textId="77777777"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Las exposiciones fuera de balance aplicaran los siguientes factores:</w:t>
      </w:r>
    </w:p>
    <w:p w14:paraId="3E44CB43" w14:textId="77777777" w:rsidR="00645809" w:rsidRPr="005863A9" w:rsidRDefault="00645809" w:rsidP="00645809">
      <w:pPr>
        <w:pStyle w:val="Ttulo3"/>
        <w:keepNext w:val="0"/>
        <w:widowControl w:val="0"/>
        <w:ind w:left="1134" w:hanging="567"/>
        <w:jc w:val="both"/>
        <w:rPr>
          <w:sz w:val="22"/>
          <w:szCs w:val="22"/>
        </w:rPr>
      </w:pPr>
      <w:r w:rsidRPr="005863A9">
        <w:rPr>
          <w:b w:val="0"/>
          <w:bCs w:val="0"/>
          <w:sz w:val="22"/>
          <w:szCs w:val="22"/>
        </w:rPr>
        <w:t>a)</w:t>
      </w:r>
      <w:r w:rsidRPr="005863A9">
        <w:rPr>
          <w:b w:val="0"/>
          <w:bCs w:val="0"/>
          <w:sz w:val="22"/>
          <w:szCs w:val="22"/>
        </w:rPr>
        <w:tab/>
        <w:t>Facilidades de crédito o de liquidez en las que medie un compromiso contingente para proveer fondos, tales como, líneas de crédito de utilización automática, líneas de crédito con compromiso contractual de desembolso y créditos pendientes con compromiso contractual de desembolso. Factor 5% al saldo no utilizado.</w:t>
      </w:r>
    </w:p>
    <w:p w14:paraId="70368CEC" w14:textId="77777777" w:rsidR="00645809" w:rsidRPr="005863A9" w:rsidRDefault="00645809" w:rsidP="00645809">
      <w:pPr>
        <w:ind w:left="1134" w:hanging="567"/>
        <w:jc w:val="both"/>
        <w:rPr>
          <w:sz w:val="22"/>
          <w:szCs w:val="22"/>
        </w:rPr>
      </w:pPr>
      <w:r w:rsidRPr="005863A9">
        <w:rPr>
          <w:sz w:val="22"/>
          <w:szCs w:val="22"/>
        </w:rPr>
        <w:t>b)</w:t>
      </w:r>
      <w:r w:rsidRPr="005863A9">
        <w:rPr>
          <w:sz w:val="22"/>
          <w:szCs w:val="22"/>
        </w:rPr>
        <w:tab/>
        <w:t>Cartas de crédito emitidas y cartas de crédito confirmadas:</w:t>
      </w:r>
    </w:p>
    <w:p w14:paraId="77C933CA" w14:textId="77777777" w:rsidR="00645809" w:rsidRPr="005863A9" w:rsidRDefault="00645809" w:rsidP="00645809">
      <w:pPr>
        <w:numPr>
          <w:ilvl w:val="2"/>
          <w:numId w:val="34"/>
        </w:numPr>
        <w:ind w:left="1701" w:hanging="567"/>
        <w:jc w:val="both"/>
        <w:rPr>
          <w:sz w:val="22"/>
          <w:szCs w:val="22"/>
        </w:rPr>
      </w:pPr>
      <w:r w:rsidRPr="005863A9">
        <w:rPr>
          <w:sz w:val="22"/>
          <w:szCs w:val="22"/>
        </w:rPr>
        <w:t>Saldo con depósito previo. Factor 0%.</w:t>
      </w:r>
    </w:p>
    <w:p w14:paraId="7CD4C889" w14:textId="77777777" w:rsidR="00645809" w:rsidRPr="005863A9" w:rsidRDefault="00645809" w:rsidP="00645809">
      <w:pPr>
        <w:numPr>
          <w:ilvl w:val="2"/>
          <w:numId w:val="34"/>
        </w:numPr>
        <w:ind w:left="1701" w:hanging="567"/>
        <w:jc w:val="both"/>
        <w:rPr>
          <w:sz w:val="22"/>
          <w:szCs w:val="22"/>
        </w:rPr>
      </w:pPr>
      <w:r w:rsidRPr="005863A9">
        <w:rPr>
          <w:sz w:val="22"/>
          <w:szCs w:val="22"/>
        </w:rPr>
        <w:t>Saldo sin depósito previo. Factor 5%.</w:t>
      </w:r>
    </w:p>
    <w:p w14:paraId="0A1E2F3A" w14:textId="77777777" w:rsidR="00645809" w:rsidRPr="005863A9" w:rsidRDefault="00645809" w:rsidP="00645809">
      <w:pPr>
        <w:ind w:left="1134" w:hanging="567"/>
        <w:jc w:val="both"/>
        <w:rPr>
          <w:sz w:val="22"/>
          <w:szCs w:val="22"/>
        </w:rPr>
      </w:pPr>
      <w:r w:rsidRPr="005863A9">
        <w:rPr>
          <w:sz w:val="22"/>
          <w:szCs w:val="22"/>
        </w:rPr>
        <w:t>c)</w:t>
      </w:r>
      <w:r w:rsidRPr="005863A9">
        <w:rPr>
          <w:sz w:val="22"/>
          <w:szCs w:val="22"/>
        </w:rPr>
        <w:tab/>
        <w:t>Otras contingencias, tales como avales, garantías de cumplimiento, garantías de participación, y fianzas, las cuales se describen a continuación con los factores mínimos correspondientes:</w:t>
      </w:r>
    </w:p>
    <w:p w14:paraId="4306767F" w14:textId="77777777" w:rsidR="00645809" w:rsidRPr="005863A9" w:rsidRDefault="00645809" w:rsidP="00645809">
      <w:pPr>
        <w:numPr>
          <w:ilvl w:val="0"/>
          <w:numId w:val="35"/>
        </w:numPr>
        <w:tabs>
          <w:tab w:val="left" w:pos="323"/>
        </w:tabs>
        <w:ind w:left="1701" w:hanging="567"/>
        <w:jc w:val="both"/>
        <w:rPr>
          <w:sz w:val="22"/>
          <w:szCs w:val="22"/>
        </w:rPr>
      </w:pPr>
      <w:r w:rsidRPr="005863A9">
        <w:rPr>
          <w:sz w:val="22"/>
          <w:szCs w:val="22"/>
        </w:rPr>
        <w:t>Saldo con depósito previo. Factor 0%.</w:t>
      </w:r>
    </w:p>
    <w:p w14:paraId="69FCC957" w14:textId="77777777" w:rsidR="00645809" w:rsidRPr="005863A9" w:rsidRDefault="00645809" w:rsidP="00645809">
      <w:pPr>
        <w:numPr>
          <w:ilvl w:val="0"/>
          <w:numId w:val="35"/>
        </w:numPr>
        <w:tabs>
          <w:tab w:val="left" w:pos="323"/>
        </w:tabs>
        <w:ind w:left="1701" w:hanging="567"/>
        <w:jc w:val="both"/>
        <w:rPr>
          <w:sz w:val="22"/>
          <w:szCs w:val="22"/>
        </w:rPr>
      </w:pPr>
      <w:r w:rsidRPr="005863A9">
        <w:rPr>
          <w:sz w:val="22"/>
          <w:szCs w:val="22"/>
        </w:rPr>
        <w:t>Saldo sin depósito previo. Factor 5%</w:t>
      </w:r>
    </w:p>
    <w:p w14:paraId="21C4FB54" w14:textId="77777777" w:rsidR="00645809" w:rsidRPr="005863A9" w:rsidRDefault="00645809" w:rsidP="00645809">
      <w:pPr>
        <w:numPr>
          <w:ilvl w:val="0"/>
          <w:numId w:val="35"/>
        </w:numPr>
        <w:tabs>
          <w:tab w:val="left" w:pos="323"/>
        </w:tabs>
        <w:ind w:left="1701" w:hanging="567"/>
        <w:rPr>
          <w:sz w:val="22"/>
          <w:szCs w:val="22"/>
        </w:rPr>
      </w:pPr>
      <w:r w:rsidRPr="005863A9">
        <w:rPr>
          <w:sz w:val="22"/>
          <w:szCs w:val="22"/>
        </w:rPr>
        <w:t>Otras contingencias crediticias. Factor 5%.</w:t>
      </w:r>
    </w:p>
    <w:p w14:paraId="1CEA8E80" w14:textId="77777777" w:rsidR="00645809" w:rsidRPr="005863A9" w:rsidRDefault="00645809" w:rsidP="00645809">
      <w:pPr>
        <w:ind w:left="1134" w:hanging="567"/>
        <w:jc w:val="both"/>
        <w:rPr>
          <w:sz w:val="22"/>
          <w:szCs w:val="22"/>
        </w:rPr>
      </w:pPr>
      <w:r w:rsidRPr="005863A9">
        <w:rPr>
          <w:sz w:val="22"/>
          <w:szCs w:val="22"/>
        </w:rPr>
        <w:t>d)</w:t>
      </w:r>
      <w:r w:rsidRPr="005863A9">
        <w:rPr>
          <w:sz w:val="22"/>
          <w:szCs w:val="22"/>
        </w:rPr>
        <w:tab/>
        <w:t>Obligaciones no contractuales:</w:t>
      </w:r>
    </w:p>
    <w:p w14:paraId="6D6974D4" w14:textId="77777777" w:rsidR="00645809" w:rsidRPr="005863A9" w:rsidRDefault="00645809" w:rsidP="00645809">
      <w:pPr>
        <w:pStyle w:val="Ttulo3"/>
        <w:keepNext w:val="0"/>
        <w:widowControl w:val="0"/>
        <w:ind w:left="1701" w:hanging="567"/>
        <w:jc w:val="both"/>
        <w:rPr>
          <w:b w:val="0"/>
          <w:bCs w:val="0"/>
          <w:sz w:val="22"/>
          <w:szCs w:val="22"/>
        </w:rPr>
      </w:pPr>
      <w:r w:rsidRPr="005863A9">
        <w:rPr>
          <w:b w:val="0"/>
          <w:bCs w:val="0"/>
          <w:sz w:val="22"/>
          <w:szCs w:val="22"/>
        </w:rPr>
        <w:t>i)</w:t>
      </w:r>
      <w:r w:rsidRPr="005863A9">
        <w:rPr>
          <w:b w:val="0"/>
          <w:bCs w:val="0"/>
          <w:sz w:val="22"/>
          <w:szCs w:val="22"/>
        </w:rPr>
        <w:tab/>
        <w:t>Solicitudes de recompra de deuda emitida por la propia entidad financiera o de conductos especiales de financiamiento, vehículos de inversión en valores u otras facilidades similares de financiamiento. Factor 5%.</w:t>
      </w:r>
    </w:p>
    <w:p w14:paraId="01B3C8EE" w14:textId="77777777" w:rsidR="00645809" w:rsidRPr="005863A9" w:rsidRDefault="00645809" w:rsidP="00645809">
      <w:pPr>
        <w:pStyle w:val="Ttulo3"/>
        <w:keepNext w:val="0"/>
        <w:widowControl w:val="0"/>
        <w:ind w:left="1701" w:hanging="567"/>
        <w:jc w:val="both"/>
        <w:rPr>
          <w:b w:val="0"/>
          <w:bCs w:val="0"/>
          <w:sz w:val="22"/>
          <w:szCs w:val="22"/>
        </w:rPr>
      </w:pPr>
      <w:r w:rsidRPr="005863A9">
        <w:rPr>
          <w:b w:val="0"/>
          <w:bCs w:val="0"/>
          <w:sz w:val="22"/>
          <w:szCs w:val="22"/>
        </w:rPr>
        <w:t>ii)</w:t>
      </w:r>
      <w:r w:rsidRPr="005863A9">
        <w:rPr>
          <w:b w:val="0"/>
          <w:bCs w:val="0"/>
          <w:sz w:val="22"/>
          <w:szCs w:val="22"/>
        </w:rPr>
        <w:tab/>
        <w:t>Productos estructurados, que los clientes prevén de fácil negociabilidad, tales como bonos a interés variable y bonos a la vista a interés variable. Factor 5%.</w:t>
      </w:r>
    </w:p>
    <w:p w14:paraId="692FF2C1" w14:textId="77777777" w:rsidR="00645809" w:rsidRPr="005863A9" w:rsidRDefault="00645809" w:rsidP="00645809">
      <w:pPr>
        <w:pStyle w:val="Ttulo3"/>
        <w:keepNext w:val="0"/>
        <w:widowControl w:val="0"/>
        <w:ind w:left="1701" w:hanging="567"/>
        <w:jc w:val="both"/>
        <w:rPr>
          <w:b w:val="0"/>
          <w:bCs w:val="0"/>
          <w:sz w:val="22"/>
          <w:szCs w:val="22"/>
        </w:rPr>
      </w:pPr>
      <w:r w:rsidRPr="005863A9">
        <w:rPr>
          <w:b w:val="0"/>
          <w:bCs w:val="0"/>
          <w:sz w:val="22"/>
          <w:szCs w:val="22"/>
        </w:rPr>
        <w:lastRenderedPageBreak/>
        <w:t>iii)</w:t>
      </w:r>
      <w:r w:rsidRPr="005863A9">
        <w:rPr>
          <w:b w:val="0"/>
          <w:bCs w:val="0"/>
          <w:sz w:val="22"/>
          <w:szCs w:val="22"/>
        </w:rPr>
        <w:tab/>
        <w:t>Fondos administrados que se comercializan con el objetivo de mantener un valor estable. Factor 5%.</w:t>
      </w:r>
    </w:p>
    <w:p w14:paraId="6F80BAF7" w14:textId="77777777" w:rsidR="00645809" w:rsidRPr="005863A9" w:rsidRDefault="00645809" w:rsidP="00645809">
      <w:pPr>
        <w:pStyle w:val="Ttulo3"/>
        <w:keepNext w:val="0"/>
        <w:widowControl w:val="0"/>
        <w:tabs>
          <w:tab w:val="left" w:pos="181"/>
        </w:tabs>
        <w:ind w:left="1701" w:hanging="567"/>
        <w:jc w:val="both"/>
        <w:rPr>
          <w:b w:val="0"/>
          <w:bCs w:val="0"/>
          <w:sz w:val="22"/>
          <w:szCs w:val="22"/>
        </w:rPr>
      </w:pPr>
      <w:r w:rsidRPr="005863A9">
        <w:rPr>
          <w:b w:val="0"/>
          <w:bCs w:val="0"/>
          <w:sz w:val="22"/>
          <w:szCs w:val="22"/>
        </w:rPr>
        <w:t>iv)</w:t>
      </w:r>
      <w:r w:rsidRPr="005863A9">
        <w:rPr>
          <w:b w:val="0"/>
          <w:bCs w:val="0"/>
          <w:sz w:val="22"/>
          <w:szCs w:val="22"/>
        </w:rPr>
        <w:tab/>
        <w:t>Otras contingencias no clasificadas anteriormente. Factor 5%.</w:t>
      </w:r>
    </w:p>
    <w:p w14:paraId="3891994E" w14:textId="77777777" w:rsidR="00645809" w:rsidRPr="005863A9" w:rsidRDefault="00645809" w:rsidP="00645809">
      <w:pPr>
        <w:rPr>
          <w:sz w:val="22"/>
          <w:szCs w:val="22"/>
        </w:rPr>
      </w:pPr>
    </w:p>
    <w:p w14:paraId="44B31DAD" w14:textId="77777777" w:rsidR="00645809" w:rsidRPr="005863A9" w:rsidRDefault="00645809" w:rsidP="00645809">
      <w:pPr>
        <w:pStyle w:val="Ttulo3"/>
        <w:keepNext w:val="0"/>
        <w:widowControl w:val="0"/>
        <w:ind w:left="567"/>
        <w:jc w:val="both"/>
        <w:rPr>
          <w:sz w:val="22"/>
          <w:szCs w:val="22"/>
        </w:rPr>
      </w:pPr>
      <w:r w:rsidRPr="005863A9">
        <w:rPr>
          <w:sz w:val="22"/>
          <w:szCs w:val="22"/>
        </w:rPr>
        <w:t>Artículo 14. Activos y pasivos interdependientes</w:t>
      </w:r>
    </w:p>
    <w:p w14:paraId="2686559C" w14:textId="10562564"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Se podrá aplicar el factor del 0% a los activos y pasivos que califiquen como interdependientes, cuando de acuerdo con las disposiciones contractuales se cumpla con cada una de las siguientes condiciones:</w:t>
      </w:r>
    </w:p>
    <w:p w14:paraId="53E5229A" w14:textId="77777777" w:rsidR="00AA512A" w:rsidRPr="00AA512A" w:rsidRDefault="00AA512A" w:rsidP="00AA512A"/>
    <w:p w14:paraId="0A8EFA65" w14:textId="77777777" w:rsidR="00645809" w:rsidRPr="005863A9" w:rsidRDefault="00645809" w:rsidP="00645809">
      <w:pPr>
        <w:pStyle w:val="Ttulo3"/>
        <w:keepNext w:val="0"/>
        <w:widowControl w:val="0"/>
        <w:tabs>
          <w:tab w:val="left" w:pos="312"/>
        </w:tabs>
        <w:ind w:left="1134" w:hanging="567"/>
        <w:jc w:val="both"/>
        <w:rPr>
          <w:b w:val="0"/>
          <w:bCs w:val="0"/>
          <w:sz w:val="22"/>
          <w:szCs w:val="22"/>
        </w:rPr>
      </w:pPr>
      <w:r w:rsidRPr="005863A9">
        <w:rPr>
          <w:b w:val="0"/>
          <w:bCs w:val="0"/>
          <w:sz w:val="22"/>
          <w:szCs w:val="22"/>
        </w:rPr>
        <w:t>a.</w:t>
      </w:r>
      <w:r w:rsidRPr="005863A9">
        <w:rPr>
          <w:b w:val="0"/>
          <w:bCs w:val="0"/>
          <w:sz w:val="22"/>
          <w:szCs w:val="22"/>
        </w:rPr>
        <w:tab/>
        <w:t>Los activos y pasivos interdependientes estén claramente identificados de manera individual.</w:t>
      </w:r>
    </w:p>
    <w:p w14:paraId="2A28BB6D" w14:textId="77777777" w:rsidR="00645809" w:rsidRPr="005863A9" w:rsidRDefault="00645809" w:rsidP="00645809">
      <w:pPr>
        <w:pStyle w:val="Ttulo3"/>
        <w:keepNext w:val="0"/>
        <w:widowControl w:val="0"/>
        <w:tabs>
          <w:tab w:val="left" w:pos="312"/>
        </w:tabs>
        <w:ind w:left="1134" w:hanging="567"/>
        <w:jc w:val="both"/>
        <w:rPr>
          <w:b w:val="0"/>
          <w:bCs w:val="0"/>
          <w:sz w:val="22"/>
          <w:szCs w:val="22"/>
        </w:rPr>
      </w:pPr>
      <w:r w:rsidRPr="005863A9">
        <w:rPr>
          <w:b w:val="0"/>
          <w:bCs w:val="0"/>
          <w:sz w:val="22"/>
          <w:szCs w:val="22"/>
        </w:rPr>
        <w:t>b.</w:t>
      </w:r>
      <w:r w:rsidRPr="005863A9">
        <w:rPr>
          <w:b w:val="0"/>
          <w:bCs w:val="0"/>
          <w:sz w:val="22"/>
          <w:szCs w:val="22"/>
        </w:rPr>
        <w:tab/>
        <w:t>Coincidan los vencimientos y los importes de principal del activo y de su pasivo interdependiente.</w:t>
      </w:r>
    </w:p>
    <w:p w14:paraId="77AB0A0E" w14:textId="77777777" w:rsidR="00645809" w:rsidRPr="005863A9" w:rsidRDefault="00645809" w:rsidP="00645809">
      <w:pPr>
        <w:pStyle w:val="Ttulo3"/>
        <w:keepNext w:val="0"/>
        <w:widowControl w:val="0"/>
        <w:tabs>
          <w:tab w:val="left" w:pos="312"/>
        </w:tabs>
        <w:ind w:left="1134" w:hanging="567"/>
        <w:jc w:val="both"/>
        <w:rPr>
          <w:b w:val="0"/>
          <w:bCs w:val="0"/>
          <w:sz w:val="22"/>
          <w:szCs w:val="22"/>
        </w:rPr>
      </w:pPr>
      <w:r w:rsidRPr="005863A9">
        <w:rPr>
          <w:b w:val="0"/>
          <w:bCs w:val="0"/>
          <w:sz w:val="22"/>
          <w:szCs w:val="22"/>
        </w:rPr>
        <w:t>c.</w:t>
      </w:r>
      <w:r w:rsidRPr="005863A9">
        <w:rPr>
          <w:b w:val="0"/>
          <w:bCs w:val="0"/>
          <w:sz w:val="22"/>
          <w:szCs w:val="22"/>
        </w:rPr>
        <w:tab/>
        <w:t>La entidad financiera actúe únicamente como conducto a través del cual se canaliza el financiamiento</w:t>
      </w:r>
      <w:r w:rsidRPr="005863A9">
        <w:rPr>
          <w:b w:val="0"/>
          <w:bCs w:val="0"/>
          <w:color w:val="4472C4"/>
          <w:sz w:val="22"/>
          <w:szCs w:val="22"/>
        </w:rPr>
        <w:t xml:space="preserve"> </w:t>
      </w:r>
      <w:r w:rsidRPr="005863A9">
        <w:rPr>
          <w:b w:val="0"/>
          <w:bCs w:val="0"/>
          <w:sz w:val="22"/>
          <w:szCs w:val="22"/>
        </w:rPr>
        <w:t>recibido (el pasivo interdependiente) hacia el correspondiente activo interdependiente.</w:t>
      </w:r>
    </w:p>
    <w:p w14:paraId="77ADA388" w14:textId="77777777" w:rsidR="00645809" w:rsidRPr="005863A9" w:rsidRDefault="00645809" w:rsidP="00645809">
      <w:pPr>
        <w:pStyle w:val="Ttulo3"/>
        <w:keepNext w:val="0"/>
        <w:widowControl w:val="0"/>
        <w:tabs>
          <w:tab w:val="left" w:pos="312"/>
        </w:tabs>
        <w:ind w:left="1134" w:hanging="567"/>
        <w:jc w:val="both"/>
        <w:rPr>
          <w:b w:val="0"/>
          <w:bCs w:val="0"/>
          <w:sz w:val="22"/>
          <w:szCs w:val="22"/>
        </w:rPr>
      </w:pPr>
      <w:r w:rsidRPr="005863A9">
        <w:rPr>
          <w:b w:val="0"/>
          <w:bCs w:val="0"/>
          <w:sz w:val="22"/>
          <w:szCs w:val="22"/>
        </w:rPr>
        <w:t>d.</w:t>
      </w:r>
      <w:r w:rsidRPr="005863A9">
        <w:rPr>
          <w:b w:val="0"/>
          <w:bCs w:val="0"/>
          <w:sz w:val="22"/>
          <w:szCs w:val="22"/>
        </w:rPr>
        <w:tab/>
        <w:t>Los flujos de pago del principal del activo sólo pueden destinarse a la cancelación del pasivo y el pasivo no puede utilizarse para financiar otros activos.</w:t>
      </w:r>
    </w:p>
    <w:p w14:paraId="5B67A0B3" w14:textId="77777777" w:rsidR="00645809" w:rsidRPr="005863A9" w:rsidRDefault="00645809" w:rsidP="00645809">
      <w:pPr>
        <w:pStyle w:val="Ttulo3"/>
        <w:keepNext w:val="0"/>
        <w:widowControl w:val="0"/>
        <w:ind w:left="1134" w:hanging="567"/>
        <w:jc w:val="both"/>
        <w:rPr>
          <w:b w:val="0"/>
          <w:bCs w:val="0"/>
          <w:sz w:val="22"/>
          <w:szCs w:val="22"/>
        </w:rPr>
      </w:pPr>
      <w:r w:rsidRPr="005863A9">
        <w:rPr>
          <w:b w:val="0"/>
          <w:bCs w:val="0"/>
          <w:sz w:val="22"/>
          <w:szCs w:val="22"/>
        </w:rPr>
        <w:t>e.</w:t>
      </w:r>
      <w:r w:rsidRPr="005863A9">
        <w:rPr>
          <w:b w:val="0"/>
          <w:bCs w:val="0"/>
          <w:sz w:val="22"/>
          <w:szCs w:val="22"/>
        </w:rPr>
        <w:tab/>
        <w:t>No coincidan las contrapartes de cada par de activos y pasivos interdependientes.</w:t>
      </w:r>
    </w:p>
    <w:p w14:paraId="318CDC74" w14:textId="77777777" w:rsidR="00645809" w:rsidRPr="005863A9" w:rsidRDefault="00645809" w:rsidP="00645809">
      <w:pPr>
        <w:ind w:left="567"/>
        <w:jc w:val="both"/>
        <w:rPr>
          <w:sz w:val="22"/>
          <w:szCs w:val="22"/>
        </w:rPr>
      </w:pPr>
    </w:p>
    <w:p w14:paraId="03F2176D" w14:textId="77777777" w:rsidR="00645809" w:rsidRPr="005863A9" w:rsidRDefault="00645809" w:rsidP="00645809">
      <w:pPr>
        <w:ind w:left="567"/>
        <w:jc w:val="both"/>
        <w:rPr>
          <w:sz w:val="22"/>
          <w:szCs w:val="22"/>
        </w:rPr>
      </w:pPr>
      <w:r w:rsidRPr="005863A9">
        <w:rPr>
          <w:sz w:val="22"/>
          <w:szCs w:val="22"/>
        </w:rPr>
        <w:t>Cuando la entidad identifique activos y pasivos interdependientes debe informar a la Superintendencia, por los medios y forma que esta determine, los criterios utilizados para esta designación, para cada operación, así como el detalle de los activos y pasivos interdependientes, los vencimientos, los montos involucrados y las contrapartes. La remisión de esta información debe efectuarse en el mismo plazo y fecha definidos por la SUGEF para el envío de la información del IFNE, y firmada por la alta gerencia de la entidad.</w:t>
      </w:r>
    </w:p>
    <w:p w14:paraId="7979566F" w14:textId="77777777" w:rsidR="00645809" w:rsidRPr="005863A9" w:rsidRDefault="00645809" w:rsidP="00645809">
      <w:pPr>
        <w:ind w:left="567"/>
        <w:jc w:val="both"/>
        <w:rPr>
          <w:sz w:val="22"/>
          <w:szCs w:val="22"/>
        </w:rPr>
      </w:pPr>
    </w:p>
    <w:p w14:paraId="3EF5D61D" w14:textId="77777777" w:rsidR="00645809" w:rsidRPr="005863A9" w:rsidRDefault="00645809" w:rsidP="00645809">
      <w:pPr>
        <w:pStyle w:val="Ttulo1"/>
        <w:keepNext w:val="0"/>
        <w:widowControl w:val="0"/>
        <w:ind w:left="567"/>
        <w:jc w:val="center"/>
        <w:rPr>
          <w:b/>
          <w:bCs/>
          <w:sz w:val="22"/>
          <w:szCs w:val="22"/>
        </w:rPr>
      </w:pPr>
      <w:r w:rsidRPr="005863A9">
        <w:rPr>
          <w:b/>
          <w:bCs/>
          <w:sz w:val="22"/>
          <w:szCs w:val="22"/>
        </w:rPr>
        <w:t>CAPÍTULO IV</w:t>
      </w:r>
    </w:p>
    <w:p w14:paraId="7823DEB0" w14:textId="77777777" w:rsidR="00645809" w:rsidRPr="005863A9" w:rsidRDefault="00645809" w:rsidP="00645809">
      <w:pPr>
        <w:pStyle w:val="Ttulo3"/>
        <w:keepNext w:val="0"/>
        <w:widowControl w:val="0"/>
        <w:ind w:left="567"/>
        <w:jc w:val="center"/>
        <w:rPr>
          <w:sz w:val="22"/>
          <w:szCs w:val="22"/>
        </w:rPr>
      </w:pPr>
      <w:r w:rsidRPr="005863A9">
        <w:rPr>
          <w:sz w:val="22"/>
          <w:szCs w:val="22"/>
        </w:rPr>
        <w:t>DISPOSICIONES FINALES</w:t>
      </w:r>
    </w:p>
    <w:p w14:paraId="13230312" w14:textId="77777777" w:rsidR="00645809" w:rsidRPr="005863A9" w:rsidRDefault="00645809" w:rsidP="00645809">
      <w:pPr>
        <w:rPr>
          <w:sz w:val="22"/>
          <w:szCs w:val="22"/>
        </w:rPr>
      </w:pPr>
    </w:p>
    <w:p w14:paraId="41398A34" w14:textId="77777777" w:rsidR="00645809" w:rsidRPr="005863A9" w:rsidRDefault="00645809" w:rsidP="00645809">
      <w:pPr>
        <w:pStyle w:val="Ttulo3"/>
        <w:keepNext w:val="0"/>
        <w:widowControl w:val="0"/>
        <w:ind w:left="567"/>
        <w:jc w:val="both"/>
        <w:rPr>
          <w:sz w:val="22"/>
          <w:szCs w:val="22"/>
        </w:rPr>
      </w:pPr>
      <w:r w:rsidRPr="005863A9">
        <w:rPr>
          <w:sz w:val="22"/>
          <w:szCs w:val="22"/>
        </w:rPr>
        <w:t>Artículo 15. Envío de la información a la SUGEF</w:t>
      </w:r>
    </w:p>
    <w:p w14:paraId="5777BD5D" w14:textId="77777777"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La entidad debe suministrar a la SUGEF en el plazo, por los medios y forma que esta determine, los resultados del ICL y del IFNE, u otra información que la Superintendencia estime necesaria para fines de seguimiento.</w:t>
      </w:r>
    </w:p>
    <w:p w14:paraId="27A875C6" w14:textId="77777777" w:rsidR="00645809" w:rsidRPr="005863A9" w:rsidRDefault="00645809" w:rsidP="00645809">
      <w:pPr>
        <w:pStyle w:val="Ttulo3"/>
        <w:keepNext w:val="0"/>
        <w:widowControl w:val="0"/>
        <w:ind w:left="567"/>
        <w:jc w:val="both"/>
        <w:rPr>
          <w:b w:val="0"/>
          <w:bCs w:val="0"/>
          <w:sz w:val="22"/>
          <w:szCs w:val="22"/>
        </w:rPr>
      </w:pPr>
    </w:p>
    <w:p w14:paraId="04BAF05E" w14:textId="77777777"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Tratándose de situaciones de tensión, la SUGEF solicitará a la entidad suministrar esta información con periodicidad diaria o semanal en el caso del ICL, y se mantendrá la periodicidad mensual en el caso del IFNE. Según sea la situación, la entidad debe estar en la capacidad operativa suficiente para reportar esta información con esa periodicidad.</w:t>
      </w:r>
    </w:p>
    <w:p w14:paraId="12A40BE9" w14:textId="77777777" w:rsidR="00645809" w:rsidRPr="005863A9" w:rsidRDefault="00645809" w:rsidP="00645809">
      <w:pPr>
        <w:pStyle w:val="Ttulo3"/>
        <w:keepNext w:val="0"/>
        <w:widowControl w:val="0"/>
        <w:ind w:left="567"/>
        <w:jc w:val="both"/>
        <w:rPr>
          <w:b w:val="0"/>
          <w:bCs w:val="0"/>
          <w:sz w:val="22"/>
          <w:szCs w:val="22"/>
        </w:rPr>
      </w:pPr>
    </w:p>
    <w:p w14:paraId="3A69A13E" w14:textId="6926E252"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El cumplimiento de las disposiciones establecidas en los Capítulos II y III no exime a las entidades financieras de identificar, medir, evaluar, dar seguimiento, controlar y mitigar sus propios indicadores y análisis de tensión e incorporar los resultados en la administración del riesgo de liquidez, así como de presentar a la SUGEF los resultados de sus propios análisis de estrés, cuando les sean requeridos.”</w:t>
      </w:r>
    </w:p>
    <w:p w14:paraId="015B98D3" w14:textId="77777777" w:rsidR="00645809" w:rsidRPr="005863A9" w:rsidRDefault="00645809" w:rsidP="00645809">
      <w:pPr>
        <w:rPr>
          <w:sz w:val="22"/>
          <w:szCs w:val="22"/>
        </w:rPr>
      </w:pPr>
    </w:p>
    <w:p w14:paraId="32028D34" w14:textId="77777777" w:rsidR="00645809" w:rsidRPr="005863A9" w:rsidRDefault="00645809" w:rsidP="00645809">
      <w:pPr>
        <w:widowControl w:val="0"/>
        <w:ind w:left="567" w:hanging="567"/>
        <w:jc w:val="both"/>
        <w:rPr>
          <w:b/>
          <w:bCs/>
          <w:sz w:val="22"/>
          <w:szCs w:val="22"/>
        </w:rPr>
      </w:pPr>
      <w:r w:rsidRPr="005863A9">
        <w:rPr>
          <w:b/>
          <w:bCs/>
          <w:sz w:val="22"/>
          <w:szCs w:val="22"/>
        </w:rPr>
        <w:t>VII.</w:t>
      </w:r>
      <w:r w:rsidRPr="005863A9">
        <w:rPr>
          <w:b/>
          <w:bCs/>
          <w:sz w:val="22"/>
          <w:szCs w:val="22"/>
        </w:rPr>
        <w:tab/>
        <w:t>Incluir el Transitorio V de conformidad con el texto siguiente:</w:t>
      </w:r>
    </w:p>
    <w:p w14:paraId="7F3F2982" w14:textId="77777777" w:rsidR="000C7616" w:rsidRDefault="000C7616" w:rsidP="00645809">
      <w:pPr>
        <w:pStyle w:val="Ttulo3"/>
        <w:keepNext w:val="0"/>
        <w:widowControl w:val="0"/>
        <w:ind w:left="567"/>
        <w:jc w:val="both"/>
        <w:rPr>
          <w:sz w:val="22"/>
          <w:szCs w:val="22"/>
        </w:rPr>
      </w:pPr>
    </w:p>
    <w:p w14:paraId="26EFC05C" w14:textId="1335C001" w:rsidR="00645809" w:rsidRPr="005863A9" w:rsidRDefault="00645809" w:rsidP="00645809">
      <w:pPr>
        <w:pStyle w:val="Ttulo3"/>
        <w:keepNext w:val="0"/>
        <w:widowControl w:val="0"/>
        <w:ind w:left="567"/>
        <w:jc w:val="both"/>
        <w:rPr>
          <w:sz w:val="22"/>
          <w:szCs w:val="22"/>
        </w:rPr>
      </w:pPr>
      <w:r w:rsidRPr="005863A9">
        <w:rPr>
          <w:sz w:val="22"/>
          <w:szCs w:val="22"/>
        </w:rPr>
        <w:t>“Transitorio V.</w:t>
      </w:r>
    </w:p>
    <w:p w14:paraId="56B35ECD" w14:textId="77777777" w:rsidR="00645809" w:rsidRPr="005863A9" w:rsidRDefault="00645809" w:rsidP="00645809">
      <w:pPr>
        <w:pStyle w:val="Ttulo3"/>
        <w:keepNext w:val="0"/>
        <w:widowControl w:val="0"/>
        <w:ind w:left="567"/>
        <w:jc w:val="both"/>
        <w:rPr>
          <w:b w:val="0"/>
          <w:bCs w:val="0"/>
          <w:sz w:val="22"/>
          <w:szCs w:val="22"/>
        </w:rPr>
      </w:pPr>
      <w:r w:rsidRPr="005863A9">
        <w:rPr>
          <w:b w:val="0"/>
          <w:bCs w:val="0"/>
          <w:sz w:val="22"/>
          <w:szCs w:val="22"/>
        </w:rPr>
        <w:t xml:space="preserve">El IFNE </w:t>
      </w:r>
      <w:proofErr w:type="gramStart"/>
      <w:r w:rsidRPr="005863A9">
        <w:rPr>
          <w:b w:val="0"/>
          <w:bCs w:val="0"/>
          <w:sz w:val="22"/>
          <w:szCs w:val="22"/>
        </w:rPr>
        <w:t>entrará en vigencia</w:t>
      </w:r>
      <w:proofErr w:type="gramEnd"/>
      <w:r w:rsidRPr="005863A9">
        <w:rPr>
          <w:b w:val="0"/>
          <w:bCs w:val="0"/>
          <w:sz w:val="22"/>
          <w:szCs w:val="22"/>
        </w:rPr>
        <w:t xml:space="preserve"> a partir del primero de setiembre de 2024, con la siguiente gradualidad para la aplicación del nivel mínimo de cumplimiento.</w:t>
      </w:r>
    </w:p>
    <w:p w14:paraId="3A48CAB5" w14:textId="77777777" w:rsidR="00645809" w:rsidRPr="005863A9" w:rsidRDefault="00645809" w:rsidP="0064580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65"/>
      </w:tblGrid>
      <w:tr w:rsidR="00645809" w:rsidRPr="005863A9" w14:paraId="145973E4" w14:textId="77777777" w:rsidTr="00B76276">
        <w:trPr>
          <w:jc w:val="center"/>
        </w:trPr>
        <w:tc>
          <w:tcPr>
            <w:tcW w:w="2405" w:type="dxa"/>
            <w:shd w:val="clear" w:color="auto" w:fill="1F3864" w:themeFill="accent1" w:themeFillShade="80"/>
          </w:tcPr>
          <w:p w14:paraId="15955706" w14:textId="77777777" w:rsidR="00645809" w:rsidRPr="005863A9" w:rsidRDefault="00645809" w:rsidP="00645809">
            <w:pPr>
              <w:widowControl w:val="0"/>
              <w:rPr>
                <w:b/>
                <w:bCs/>
                <w:color w:val="FFFFFF" w:themeColor="background1"/>
                <w:sz w:val="22"/>
                <w:szCs w:val="22"/>
              </w:rPr>
            </w:pPr>
            <w:r w:rsidRPr="005863A9">
              <w:rPr>
                <w:b/>
                <w:bCs/>
                <w:color w:val="FFFFFF" w:themeColor="background1"/>
                <w:sz w:val="22"/>
                <w:szCs w:val="22"/>
              </w:rPr>
              <w:lastRenderedPageBreak/>
              <w:t>Fecha</w:t>
            </w:r>
          </w:p>
        </w:tc>
        <w:tc>
          <w:tcPr>
            <w:tcW w:w="1265" w:type="dxa"/>
            <w:shd w:val="clear" w:color="auto" w:fill="1F3864" w:themeFill="accent1" w:themeFillShade="80"/>
          </w:tcPr>
          <w:p w14:paraId="1D384FC8" w14:textId="77777777" w:rsidR="00645809" w:rsidRPr="005863A9" w:rsidRDefault="00645809" w:rsidP="00645809">
            <w:pPr>
              <w:widowControl w:val="0"/>
              <w:rPr>
                <w:b/>
                <w:bCs/>
                <w:color w:val="FFFFFF" w:themeColor="background1"/>
                <w:sz w:val="22"/>
                <w:szCs w:val="22"/>
              </w:rPr>
            </w:pPr>
            <w:r w:rsidRPr="005863A9">
              <w:rPr>
                <w:b/>
                <w:bCs/>
                <w:color w:val="FFFFFF" w:themeColor="background1"/>
                <w:sz w:val="22"/>
                <w:szCs w:val="22"/>
              </w:rPr>
              <w:t>Nivel IFNE</w:t>
            </w:r>
          </w:p>
        </w:tc>
      </w:tr>
      <w:tr w:rsidR="00645809" w:rsidRPr="005863A9" w14:paraId="20D76F6F" w14:textId="77777777" w:rsidTr="00B76276">
        <w:trPr>
          <w:jc w:val="center"/>
        </w:trPr>
        <w:tc>
          <w:tcPr>
            <w:tcW w:w="2405" w:type="dxa"/>
            <w:shd w:val="clear" w:color="auto" w:fill="auto"/>
          </w:tcPr>
          <w:p w14:paraId="46BFA933" w14:textId="77777777" w:rsidR="00645809" w:rsidRPr="005863A9" w:rsidRDefault="00645809" w:rsidP="00645809">
            <w:pPr>
              <w:widowControl w:val="0"/>
              <w:rPr>
                <w:sz w:val="22"/>
                <w:szCs w:val="22"/>
              </w:rPr>
            </w:pPr>
            <w:r w:rsidRPr="005863A9">
              <w:rPr>
                <w:sz w:val="22"/>
                <w:szCs w:val="22"/>
              </w:rPr>
              <w:t>30 de setiembre de 2024</w:t>
            </w:r>
          </w:p>
        </w:tc>
        <w:tc>
          <w:tcPr>
            <w:tcW w:w="1265" w:type="dxa"/>
            <w:shd w:val="clear" w:color="auto" w:fill="auto"/>
          </w:tcPr>
          <w:p w14:paraId="41CAEC48" w14:textId="77777777" w:rsidR="00645809" w:rsidRPr="005863A9" w:rsidRDefault="00645809" w:rsidP="00645809">
            <w:pPr>
              <w:widowControl w:val="0"/>
              <w:rPr>
                <w:sz w:val="22"/>
                <w:szCs w:val="22"/>
              </w:rPr>
            </w:pPr>
            <w:r w:rsidRPr="005863A9">
              <w:rPr>
                <w:sz w:val="22"/>
                <w:szCs w:val="22"/>
              </w:rPr>
              <w:t>70%</w:t>
            </w:r>
          </w:p>
        </w:tc>
      </w:tr>
      <w:tr w:rsidR="00645809" w:rsidRPr="005863A9" w14:paraId="77F6DD59" w14:textId="77777777" w:rsidTr="00B76276">
        <w:trPr>
          <w:jc w:val="center"/>
        </w:trPr>
        <w:tc>
          <w:tcPr>
            <w:tcW w:w="2405" w:type="dxa"/>
            <w:shd w:val="clear" w:color="auto" w:fill="auto"/>
          </w:tcPr>
          <w:p w14:paraId="03DAB0AC" w14:textId="77777777" w:rsidR="00645809" w:rsidRPr="005863A9" w:rsidRDefault="00645809" w:rsidP="00645809">
            <w:pPr>
              <w:widowControl w:val="0"/>
              <w:rPr>
                <w:sz w:val="22"/>
                <w:szCs w:val="22"/>
              </w:rPr>
            </w:pPr>
            <w:r w:rsidRPr="005863A9">
              <w:rPr>
                <w:sz w:val="22"/>
                <w:szCs w:val="22"/>
              </w:rPr>
              <w:t>31 de marzo de 2025</w:t>
            </w:r>
          </w:p>
        </w:tc>
        <w:tc>
          <w:tcPr>
            <w:tcW w:w="1265" w:type="dxa"/>
            <w:shd w:val="clear" w:color="auto" w:fill="auto"/>
          </w:tcPr>
          <w:p w14:paraId="77B86490" w14:textId="77777777" w:rsidR="00645809" w:rsidRPr="005863A9" w:rsidRDefault="00645809" w:rsidP="00645809">
            <w:pPr>
              <w:widowControl w:val="0"/>
              <w:rPr>
                <w:sz w:val="22"/>
                <w:szCs w:val="22"/>
              </w:rPr>
            </w:pPr>
            <w:r w:rsidRPr="005863A9">
              <w:rPr>
                <w:sz w:val="22"/>
                <w:szCs w:val="22"/>
              </w:rPr>
              <w:t>75%</w:t>
            </w:r>
          </w:p>
        </w:tc>
      </w:tr>
      <w:tr w:rsidR="00645809" w:rsidRPr="005863A9" w14:paraId="5997EB9E" w14:textId="77777777" w:rsidTr="00B76276">
        <w:trPr>
          <w:jc w:val="center"/>
        </w:trPr>
        <w:tc>
          <w:tcPr>
            <w:tcW w:w="2405" w:type="dxa"/>
            <w:shd w:val="clear" w:color="auto" w:fill="auto"/>
          </w:tcPr>
          <w:p w14:paraId="5496950B" w14:textId="77777777" w:rsidR="00645809" w:rsidRPr="005863A9" w:rsidRDefault="00645809" w:rsidP="00645809">
            <w:pPr>
              <w:widowControl w:val="0"/>
              <w:rPr>
                <w:sz w:val="22"/>
                <w:szCs w:val="22"/>
              </w:rPr>
            </w:pPr>
            <w:r w:rsidRPr="005863A9">
              <w:rPr>
                <w:sz w:val="22"/>
                <w:szCs w:val="22"/>
              </w:rPr>
              <w:t>30 de setiembre de 2025</w:t>
            </w:r>
          </w:p>
        </w:tc>
        <w:tc>
          <w:tcPr>
            <w:tcW w:w="1265" w:type="dxa"/>
            <w:shd w:val="clear" w:color="auto" w:fill="auto"/>
          </w:tcPr>
          <w:p w14:paraId="2FE0AEA0" w14:textId="77777777" w:rsidR="00645809" w:rsidRPr="005863A9" w:rsidRDefault="00645809" w:rsidP="00645809">
            <w:pPr>
              <w:widowControl w:val="0"/>
              <w:rPr>
                <w:sz w:val="22"/>
                <w:szCs w:val="22"/>
              </w:rPr>
            </w:pPr>
            <w:r w:rsidRPr="005863A9">
              <w:rPr>
                <w:sz w:val="22"/>
                <w:szCs w:val="22"/>
              </w:rPr>
              <w:t>80%</w:t>
            </w:r>
          </w:p>
        </w:tc>
      </w:tr>
      <w:tr w:rsidR="00645809" w:rsidRPr="005863A9" w14:paraId="70C8834D" w14:textId="77777777" w:rsidTr="00B76276">
        <w:trPr>
          <w:jc w:val="center"/>
        </w:trPr>
        <w:tc>
          <w:tcPr>
            <w:tcW w:w="2405" w:type="dxa"/>
            <w:shd w:val="clear" w:color="auto" w:fill="auto"/>
          </w:tcPr>
          <w:p w14:paraId="3436EEC8" w14:textId="77777777" w:rsidR="00645809" w:rsidRPr="005863A9" w:rsidRDefault="00645809" w:rsidP="00645809">
            <w:pPr>
              <w:widowControl w:val="0"/>
              <w:rPr>
                <w:sz w:val="22"/>
                <w:szCs w:val="22"/>
              </w:rPr>
            </w:pPr>
            <w:r w:rsidRPr="005863A9">
              <w:rPr>
                <w:sz w:val="22"/>
                <w:szCs w:val="22"/>
              </w:rPr>
              <w:t>31 de marzo de 2026</w:t>
            </w:r>
          </w:p>
        </w:tc>
        <w:tc>
          <w:tcPr>
            <w:tcW w:w="1265" w:type="dxa"/>
            <w:shd w:val="clear" w:color="auto" w:fill="auto"/>
          </w:tcPr>
          <w:p w14:paraId="3A733517" w14:textId="77777777" w:rsidR="00645809" w:rsidRPr="005863A9" w:rsidRDefault="00645809" w:rsidP="00645809">
            <w:pPr>
              <w:widowControl w:val="0"/>
              <w:rPr>
                <w:sz w:val="22"/>
                <w:szCs w:val="22"/>
              </w:rPr>
            </w:pPr>
            <w:r w:rsidRPr="005863A9">
              <w:rPr>
                <w:sz w:val="22"/>
                <w:szCs w:val="22"/>
              </w:rPr>
              <w:t>85%</w:t>
            </w:r>
          </w:p>
        </w:tc>
      </w:tr>
      <w:tr w:rsidR="00645809" w:rsidRPr="005863A9" w14:paraId="3D49728E" w14:textId="77777777" w:rsidTr="00B76276">
        <w:trPr>
          <w:jc w:val="center"/>
        </w:trPr>
        <w:tc>
          <w:tcPr>
            <w:tcW w:w="2405" w:type="dxa"/>
            <w:shd w:val="clear" w:color="auto" w:fill="auto"/>
          </w:tcPr>
          <w:p w14:paraId="576219E8" w14:textId="77777777" w:rsidR="00645809" w:rsidRPr="005863A9" w:rsidRDefault="00645809" w:rsidP="00645809">
            <w:pPr>
              <w:widowControl w:val="0"/>
              <w:rPr>
                <w:sz w:val="22"/>
                <w:szCs w:val="22"/>
              </w:rPr>
            </w:pPr>
            <w:r w:rsidRPr="005863A9">
              <w:rPr>
                <w:sz w:val="22"/>
                <w:szCs w:val="22"/>
              </w:rPr>
              <w:t>30 de setiembre de 2026</w:t>
            </w:r>
          </w:p>
        </w:tc>
        <w:tc>
          <w:tcPr>
            <w:tcW w:w="1265" w:type="dxa"/>
            <w:shd w:val="clear" w:color="auto" w:fill="auto"/>
          </w:tcPr>
          <w:p w14:paraId="6988B9B6" w14:textId="77777777" w:rsidR="00645809" w:rsidRPr="005863A9" w:rsidRDefault="00645809" w:rsidP="00645809">
            <w:pPr>
              <w:widowControl w:val="0"/>
              <w:rPr>
                <w:sz w:val="22"/>
                <w:szCs w:val="22"/>
              </w:rPr>
            </w:pPr>
            <w:r w:rsidRPr="005863A9">
              <w:rPr>
                <w:sz w:val="22"/>
                <w:szCs w:val="22"/>
              </w:rPr>
              <w:t>90%</w:t>
            </w:r>
          </w:p>
        </w:tc>
      </w:tr>
      <w:tr w:rsidR="00645809" w:rsidRPr="005863A9" w14:paraId="6BAA0C7A" w14:textId="77777777" w:rsidTr="00B76276">
        <w:trPr>
          <w:jc w:val="center"/>
        </w:trPr>
        <w:tc>
          <w:tcPr>
            <w:tcW w:w="2405" w:type="dxa"/>
            <w:shd w:val="clear" w:color="auto" w:fill="auto"/>
          </w:tcPr>
          <w:p w14:paraId="45BC7998" w14:textId="77777777" w:rsidR="00645809" w:rsidRPr="005863A9" w:rsidRDefault="00645809" w:rsidP="00645809">
            <w:pPr>
              <w:widowControl w:val="0"/>
              <w:rPr>
                <w:sz w:val="22"/>
                <w:szCs w:val="22"/>
              </w:rPr>
            </w:pPr>
            <w:r w:rsidRPr="005863A9">
              <w:rPr>
                <w:sz w:val="22"/>
                <w:szCs w:val="22"/>
              </w:rPr>
              <w:t>31 de marzo de 2027</w:t>
            </w:r>
          </w:p>
        </w:tc>
        <w:tc>
          <w:tcPr>
            <w:tcW w:w="1265" w:type="dxa"/>
            <w:shd w:val="clear" w:color="auto" w:fill="auto"/>
          </w:tcPr>
          <w:p w14:paraId="6A91850C" w14:textId="77777777" w:rsidR="00645809" w:rsidRPr="005863A9" w:rsidRDefault="00645809" w:rsidP="00645809">
            <w:pPr>
              <w:widowControl w:val="0"/>
              <w:rPr>
                <w:sz w:val="22"/>
                <w:szCs w:val="22"/>
              </w:rPr>
            </w:pPr>
            <w:r w:rsidRPr="005863A9">
              <w:rPr>
                <w:sz w:val="22"/>
                <w:szCs w:val="22"/>
              </w:rPr>
              <w:t>95%</w:t>
            </w:r>
          </w:p>
        </w:tc>
      </w:tr>
      <w:tr w:rsidR="00645809" w:rsidRPr="005863A9" w14:paraId="0556A101" w14:textId="77777777" w:rsidTr="00B76276">
        <w:trPr>
          <w:jc w:val="center"/>
        </w:trPr>
        <w:tc>
          <w:tcPr>
            <w:tcW w:w="2405" w:type="dxa"/>
            <w:shd w:val="clear" w:color="auto" w:fill="auto"/>
          </w:tcPr>
          <w:p w14:paraId="75AD8C78" w14:textId="77777777" w:rsidR="00645809" w:rsidRPr="005863A9" w:rsidRDefault="00645809" w:rsidP="00645809">
            <w:pPr>
              <w:widowControl w:val="0"/>
              <w:rPr>
                <w:sz w:val="22"/>
                <w:szCs w:val="22"/>
              </w:rPr>
            </w:pPr>
            <w:r w:rsidRPr="005863A9">
              <w:rPr>
                <w:sz w:val="22"/>
                <w:szCs w:val="22"/>
              </w:rPr>
              <w:t>30 de setiembre de 2027</w:t>
            </w:r>
          </w:p>
        </w:tc>
        <w:tc>
          <w:tcPr>
            <w:tcW w:w="1265" w:type="dxa"/>
            <w:shd w:val="clear" w:color="auto" w:fill="auto"/>
          </w:tcPr>
          <w:p w14:paraId="1DF2C404" w14:textId="5D7A0253" w:rsidR="00645809" w:rsidRPr="005863A9" w:rsidRDefault="00645809" w:rsidP="00645809">
            <w:pPr>
              <w:widowControl w:val="0"/>
              <w:rPr>
                <w:sz w:val="22"/>
                <w:szCs w:val="22"/>
              </w:rPr>
            </w:pPr>
            <w:r w:rsidRPr="005863A9">
              <w:rPr>
                <w:sz w:val="22"/>
                <w:szCs w:val="22"/>
              </w:rPr>
              <w:t>100%”</w:t>
            </w:r>
          </w:p>
        </w:tc>
      </w:tr>
    </w:tbl>
    <w:p w14:paraId="676B44C7" w14:textId="77777777" w:rsidR="00645809" w:rsidRPr="005863A9" w:rsidRDefault="00645809" w:rsidP="00645809">
      <w:pPr>
        <w:widowControl w:val="0"/>
        <w:rPr>
          <w:b/>
          <w:bCs/>
          <w:sz w:val="22"/>
          <w:szCs w:val="22"/>
          <w:lang w:val="en-US"/>
        </w:rPr>
      </w:pPr>
    </w:p>
    <w:p w14:paraId="193A86F3" w14:textId="77777777" w:rsidR="00645809" w:rsidRPr="005863A9" w:rsidRDefault="00645809" w:rsidP="00645809">
      <w:pPr>
        <w:widowControl w:val="0"/>
        <w:rPr>
          <w:b/>
          <w:bCs/>
          <w:sz w:val="22"/>
          <w:szCs w:val="22"/>
          <w:lang w:val="en-US"/>
        </w:rPr>
      </w:pPr>
      <w:r w:rsidRPr="005863A9">
        <w:rPr>
          <w:b/>
          <w:bCs/>
          <w:sz w:val="22"/>
          <w:szCs w:val="22"/>
          <w:lang w:val="en-US"/>
        </w:rPr>
        <w:t>ANEXO I</w:t>
      </w:r>
    </w:p>
    <w:p w14:paraId="7557C708" w14:textId="77777777" w:rsidR="00645809" w:rsidRPr="005863A9" w:rsidRDefault="00645809" w:rsidP="00645809">
      <w:pPr>
        <w:rPr>
          <w:b/>
          <w:bCs/>
          <w:sz w:val="22"/>
          <w:szCs w:val="22"/>
          <w:lang w:val="en-US"/>
        </w:rPr>
      </w:pPr>
      <w:r w:rsidRPr="005863A9">
        <w:rPr>
          <w:b/>
          <w:bCs/>
          <w:sz w:val="22"/>
          <w:szCs w:val="22"/>
          <w:lang w:val="en-US"/>
        </w:rPr>
        <w:t>CAPITAL BASE</w:t>
      </w:r>
    </w:p>
    <w:p w14:paraId="437B64EF" w14:textId="77777777" w:rsidR="00645809" w:rsidRPr="005863A9" w:rsidRDefault="00645809" w:rsidP="00645809">
      <w:pPr>
        <w:jc w:val="both"/>
        <w:rPr>
          <w:b/>
          <w:bCs/>
          <w:sz w:val="22"/>
          <w:szCs w:val="22"/>
          <w:lang w:val="en-US"/>
        </w:rPr>
      </w:pPr>
    </w:p>
    <w:p w14:paraId="6FDBF55F" w14:textId="2C892169" w:rsidR="00645809" w:rsidRPr="005863A9" w:rsidRDefault="00645809" w:rsidP="00645809">
      <w:pPr>
        <w:jc w:val="both"/>
        <w:rPr>
          <w:sz w:val="22"/>
          <w:szCs w:val="22"/>
        </w:rPr>
      </w:pPr>
      <w:r w:rsidRPr="005863A9">
        <w:rPr>
          <w:sz w:val="22"/>
          <w:szCs w:val="22"/>
        </w:rPr>
        <w:t>Consiste en el monto del numerador del indicador de suficiencia patrimonial, calculado bajo la metodología dispuesta en el Capítulo II del Acuerdo SUGEF 3-06 “Reglamento sobre la Suficiencia Patrimonial de Entidades Financieras.</w:t>
      </w:r>
    </w:p>
    <w:p w14:paraId="64612177" w14:textId="77777777" w:rsidR="00645809" w:rsidRPr="005863A9" w:rsidRDefault="00645809" w:rsidP="00645809">
      <w:pPr>
        <w:jc w:val="both"/>
        <w:rPr>
          <w:sz w:val="22"/>
          <w:szCs w:val="22"/>
        </w:rPr>
      </w:pPr>
    </w:p>
    <w:p w14:paraId="7D4DB80E" w14:textId="77777777" w:rsidR="00645809" w:rsidRPr="005863A9" w:rsidRDefault="00645809" w:rsidP="00645809">
      <w:pPr>
        <w:jc w:val="both"/>
        <w:rPr>
          <w:sz w:val="22"/>
          <w:szCs w:val="22"/>
        </w:rPr>
      </w:pPr>
      <w:r w:rsidRPr="005863A9">
        <w:rPr>
          <w:b/>
          <w:bCs/>
          <w:sz w:val="22"/>
          <w:szCs w:val="22"/>
        </w:rPr>
        <w:t xml:space="preserve">Capital Base ajustado para efectos de IFNE: </w:t>
      </w:r>
      <w:r w:rsidRPr="005863A9">
        <w:rPr>
          <w:sz w:val="22"/>
          <w:szCs w:val="22"/>
        </w:rPr>
        <w:t>consiste en el monto del Capital Base, antes de aplicar las siguientes deducciones prudenciales:</w:t>
      </w:r>
    </w:p>
    <w:p w14:paraId="299AEB85" w14:textId="77777777" w:rsidR="00645809" w:rsidRPr="005863A9" w:rsidRDefault="00645809" w:rsidP="0064580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45809" w:rsidRPr="005863A9" w14:paraId="694C7636" w14:textId="77777777" w:rsidTr="00141D8C">
        <w:tc>
          <w:tcPr>
            <w:tcW w:w="4531" w:type="dxa"/>
            <w:shd w:val="clear" w:color="auto" w:fill="1F3864" w:themeFill="accent1" w:themeFillShade="80"/>
          </w:tcPr>
          <w:p w14:paraId="374A1FAA" w14:textId="77777777" w:rsidR="00645809" w:rsidRPr="005863A9" w:rsidRDefault="00645809" w:rsidP="00645809">
            <w:pPr>
              <w:jc w:val="both"/>
              <w:rPr>
                <w:b/>
                <w:bCs/>
                <w:color w:val="FFFFFF" w:themeColor="background1"/>
                <w:sz w:val="22"/>
                <w:szCs w:val="22"/>
              </w:rPr>
            </w:pPr>
            <w:r w:rsidRPr="005863A9">
              <w:rPr>
                <w:b/>
                <w:bCs/>
                <w:color w:val="FFFFFF" w:themeColor="background1"/>
                <w:sz w:val="22"/>
                <w:szCs w:val="22"/>
              </w:rPr>
              <w:t>Versión hasta el 31 de diciembre de 2024</w:t>
            </w:r>
          </w:p>
        </w:tc>
        <w:tc>
          <w:tcPr>
            <w:tcW w:w="4531" w:type="dxa"/>
            <w:shd w:val="clear" w:color="auto" w:fill="1F3864" w:themeFill="accent1" w:themeFillShade="80"/>
          </w:tcPr>
          <w:p w14:paraId="31AD8823" w14:textId="77777777" w:rsidR="00645809" w:rsidRPr="005863A9" w:rsidRDefault="00645809" w:rsidP="00645809">
            <w:pPr>
              <w:jc w:val="both"/>
              <w:rPr>
                <w:b/>
                <w:bCs/>
                <w:color w:val="FFFFFF" w:themeColor="background1"/>
                <w:sz w:val="22"/>
                <w:szCs w:val="22"/>
              </w:rPr>
            </w:pPr>
            <w:r w:rsidRPr="005863A9">
              <w:rPr>
                <w:b/>
                <w:bCs/>
                <w:color w:val="FFFFFF" w:themeColor="background1"/>
                <w:sz w:val="22"/>
                <w:szCs w:val="22"/>
              </w:rPr>
              <w:t>Versión a partir del primero de enero de 2025</w:t>
            </w:r>
          </w:p>
        </w:tc>
      </w:tr>
      <w:tr w:rsidR="00645809" w:rsidRPr="005863A9" w14:paraId="7F017263" w14:textId="77777777" w:rsidTr="00141D8C">
        <w:tc>
          <w:tcPr>
            <w:tcW w:w="4531" w:type="dxa"/>
            <w:shd w:val="clear" w:color="auto" w:fill="auto"/>
          </w:tcPr>
          <w:p w14:paraId="355FEB1B" w14:textId="77777777" w:rsidR="00645809" w:rsidRPr="005863A9" w:rsidRDefault="00645809" w:rsidP="00645809">
            <w:pPr>
              <w:jc w:val="both"/>
              <w:rPr>
                <w:sz w:val="22"/>
                <w:szCs w:val="22"/>
              </w:rPr>
            </w:pPr>
          </w:p>
        </w:tc>
        <w:tc>
          <w:tcPr>
            <w:tcW w:w="4531" w:type="dxa"/>
            <w:shd w:val="clear" w:color="auto" w:fill="auto"/>
          </w:tcPr>
          <w:p w14:paraId="3BCB3D75" w14:textId="037EC478" w:rsidR="00645809" w:rsidRPr="005863A9" w:rsidRDefault="00645809" w:rsidP="00645809">
            <w:pPr>
              <w:jc w:val="both"/>
              <w:rPr>
                <w:b/>
                <w:bCs/>
                <w:sz w:val="22"/>
                <w:szCs w:val="22"/>
              </w:rPr>
            </w:pPr>
            <w:r w:rsidRPr="005863A9">
              <w:rPr>
                <w:b/>
                <w:bCs/>
                <w:sz w:val="22"/>
                <w:szCs w:val="22"/>
              </w:rPr>
              <w:t>SECCION I.  CÁLCULO DEL CAPITAL BASE PARA BANCOS COMERCIALES, BANCOS CREADOS POR LEYES ESPECIALES Y EMPRESAS FINANCIERAS NO BANCARIAS”</w:t>
            </w:r>
          </w:p>
        </w:tc>
      </w:tr>
      <w:tr w:rsidR="00645809" w:rsidRPr="005863A9" w14:paraId="355840BF" w14:textId="77777777" w:rsidTr="00141D8C">
        <w:tc>
          <w:tcPr>
            <w:tcW w:w="4531" w:type="dxa"/>
            <w:shd w:val="clear" w:color="auto" w:fill="auto"/>
          </w:tcPr>
          <w:p w14:paraId="758E4BB4" w14:textId="77777777" w:rsidR="00645809" w:rsidRPr="005863A9" w:rsidRDefault="00645809" w:rsidP="00645809">
            <w:pPr>
              <w:pStyle w:val="Prrafodelista"/>
              <w:numPr>
                <w:ilvl w:val="2"/>
                <w:numId w:val="39"/>
              </w:numPr>
              <w:ind w:left="455"/>
              <w:jc w:val="both"/>
              <w:rPr>
                <w:sz w:val="22"/>
                <w:szCs w:val="22"/>
              </w:rPr>
            </w:pPr>
            <w:r w:rsidRPr="005863A9">
              <w:rPr>
                <w:sz w:val="22"/>
                <w:szCs w:val="22"/>
              </w:rPr>
              <w:t>El valor en libros de la plusvalía comprada. (según el artículo 6 inciso f y según el artículo 9 numeral iii)</w:t>
            </w:r>
          </w:p>
        </w:tc>
        <w:tc>
          <w:tcPr>
            <w:tcW w:w="4531" w:type="dxa"/>
            <w:shd w:val="clear" w:color="auto" w:fill="auto"/>
          </w:tcPr>
          <w:p w14:paraId="6EFB2F73" w14:textId="77777777" w:rsidR="00645809" w:rsidRPr="005863A9" w:rsidRDefault="00645809" w:rsidP="00645809">
            <w:pPr>
              <w:pStyle w:val="Prrafodelista"/>
              <w:numPr>
                <w:ilvl w:val="0"/>
                <w:numId w:val="40"/>
              </w:numPr>
              <w:ind w:left="342"/>
              <w:jc w:val="both"/>
              <w:rPr>
                <w:sz w:val="22"/>
                <w:szCs w:val="22"/>
              </w:rPr>
            </w:pPr>
            <w:r w:rsidRPr="005863A9">
              <w:rPr>
                <w:sz w:val="22"/>
                <w:szCs w:val="22"/>
              </w:rPr>
              <w:t>El valor en libros de las participaciones en el capital de otras entidades o empresas en instrumentos homólogos al CCN1, CAN1 y CN2. (Según el artículo 8 inciso c, el artículo 10 inciso c) y el Artículo 12 inciso c)</w:t>
            </w:r>
          </w:p>
        </w:tc>
      </w:tr>
      <w:tr w:rsidR="00645809" w:rsidRPr="005863A9" w14:paraId="371EC1DE" w14:textId="77777777" w:rsidTr="00141D8C">
        <w:tc>
          <w:tcPr>
            <w:tcW w:w="4531" w:type="dxa"/>
            <w:shd w:val="clear" w:color="auto" w:fill="auto"/>
          </w:tcPr>
          <w:p w14:paraId="15B89D81" w14:textId="77777777" w:rsidR="00645809" w:rsidRPr="005863A9" w:rsidRDefault="00645809" w:rsidP="00645809">
            <w:pPr>
              <w:pStyle w:val="Prrafodelista"/>
              <w:numPr>
                <w:ilvl w:val="0"/>
                <w:numId w:val="40"/>
              </w:numPr>
              <w:ind w:left="455"/>
              <w:jc w:val="both"/>
              <w:rPr>
                <w:sz w:val="22"/>
                <w:szCs w:val="22"/>
              </w:rPr>
            </w:pPr>
            <w:r w:rsidRPr="005863A9">
              <w:rPr>
                <w:sz w:val="22"/>
                <w:szCs w:val="22"/>
              </w:rPr>
              <w:t xml:space="preserve">El valor en libros de las participaciones en el capital y las inversiones en deuda subordinada o convertible en capital de otras empresas (Según el artículo 8 inciso a y según el artículo 9 numeral i) </w:t>
            </w:r>
          </w:p>
        </w:tc>
        <w:tc>
          <w:tcPr>
            <w:tcW w:w="4531" w:type="dxa"/>
            <w:shd w:val="clear" w:color="auto" w:fill="auto"/>
          </w:tcPr>
          <w:p w14:paraId="667F2797"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las participaciones o inversiones en instrumentos de capital, deuda subordinada o deuda convertible que no sean homólogos a instrumentos del CCN1, CAN1 o CN2 (Según el artículo 8, inciso d)</w:t>
            </w:r>
          </w:p>
        </w:tc>
      </w:tr>
      <w:tr w:rsidR="00645809" w:rsidRPr="005863A9" w14:paraId="1D055452" w14:textId="77777777" w:rsidTr="00141D8C">
        <w:tc>
          <w:tcPr>
            <w:tcW w:w="4531" w:type="dxa"/>
            <w:shd w:val="clear" w:color="auto" w:fill="auto"/>
          </w:tcPr>
          <w:p w14:paraId="32003EB6" w14:textId="77777777" w:rsidR="00645809" w:rsidRPr="005863A9" w:rsidRDefault="00645809" w:rsidP="00645809">
            <w:pPr>
              <w:rPr>
                <w:sz w:val="22"/>
                <w:szCs w:val="22"/>
              </w:rPr>
            </w:pPr>
          </w:p>
        </w:tc>
        <w:tc>
          <w:tcPr>
            <w:tcW w:w="4531" w:type="dxa"/>
            <w:shd w:val="clear" w:color="auto" w:fill="auto"/>
          </w:tcPr>
          <w:p w14:paraId="4E729685"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los activos intangibles y el valor en libros de los derechos de uso por arrendamiento financiero sobre activos intangibles. (Según el artículo 8, inciso e).</w:t>
            </w:r>
          </w:p>
        </w:tc>
      </w:tr>
      <w:tr w:rsidR="00645809" w:rsidRPr="005863A9" w14:paraId="286610DB" w14:textId="77777777" w:rsidTr="00141D8C">
        <w:tc>
          <w:tcPr>
            <w:tcW w:w="4531" w:type="dxa"/>
            <w:shd w:val="clear" w:color="auto" w:fill="auto"/>
          </w:tcPr>
          <w:p w14:paraId="708085C2" w14:textId="77777777" w:rsidR="00645809" w:rsidRPr="005863A9" w:rsidRDefault="00645809" w:rsidP="00645809">
            <w:pPr>
              <w:rPr>
                <w:sz w:val="22"/>
                <w:szCs w:val="22"/>
              </w:rPr>
            </w:pPr>
          </w:p>
        </w:tc>
        <w:tc>
          <w:tcPr>
            <w:tcW w:w="4531" w:type="dxa"/>
            <w:shd w:val="clear" w:color="auto" w:fill="auto"/>
          </w:tcPr>
          <w:p w14:paraId="0D98579E"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importe neto positivo de restar al saldo de los Activos por Impuestos Diferidos (AID), el saldo de los Pasivos por Impuestos Diferidos (PID). (Según el Artículo 8 inciso i).</w:t>
            </w:r>
          </w:p>
        </w:tc>
      </w:tr>
      <w:tr w:rsidR="00645809" w:rsidRPr="005863A9" w14:paraId="0209DFD4" w14:textId="77777777" w:rsidTr="00141D8C">
        <w:tc>
          <w:tcPr>
            <w:tcW w:w="4531" w:type="dxa"/>
            <w:shd w:val="clear" w:color="auto" w:fill="auto"/>
          </w:tcPr>
          <w:p w14:paraId="6EA16DD5" w14:textId="77777777" w:rsidR="00645809" w:rsidRPr="005863A9" w:rsidRDefault="00645809" w:rsidP="00645809">
            <w:pPr>
              <w:rPr>
                <w:sz w:val="22"/>
                <w:szCs w:val="22"/>
              </w:rPr>
            </w:pPr>
          </w:p>
        </w:tc>
        <w:tc>
          <w:tcPr>
            <w:tcW w:w="4531" w:type="dxa"/>
            <w:shd w:val="clear" w:color="auto" w:fill="auto"/>
          </w:tcPr>
          <w:p w14:paraId="41FF8122"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importe neto positivo de restar al saldo de los activos por impuestos al valor agregado, el saldo de los pasivos por impuestos al valor agregado. (Según el Artículo 8 inciso j)</w:t>
            </w:r>
          </w:p>
        </w:tc>
      </w:tr>
      <w:tr w:rsidR="00645809" w:rsidRPr="005863A9" w14:paraId="77CD3392" w14:textId="77777777" w:rsidTr="00141D8C">
        <w:tc>
          <w:tcPr>
            <w:tcW w:w="4531" w:type="dxa"/>
            <w:shd w:val="clear" w:color="auto" w:fill="auto"/>
          </w:tcPr>
          <w:p w14:paraId="4FDC7FC3" w14:textId="77777777" w:rsidR="00645809" w:rsidRPr="005863A9" w:rsidRDefault="00645809" w:rsidP="00645809">
            <w:pPr>
              <w:rPr>
                <w:sz w:val="22"/>
                <w:szCs w:val="22"/>
              </w:rPr>
            </w:pPr>
          </w:p>
        </w:tc>
        <w:tc>
          <w:tcPr>
            <w:tcW w:w="4531" w:type="dxa"/>
            <w:shd w:val="clear" w:color="auto" w:fill="auto"/>
          </w:tcPr>
          <w:p w14:paraId="591E3B13" w14:textId="77777777" w:rsidR="00645809" w:rsidRPr="005863A9" w:rsidRDefault="00645809" w:rsidP="00645809">
            <w:pPr>
              <w:jc w:val="both"/>
              <w:rPr>
                <w:b/>
                <w:bCs/>
                <w:sz w:val="22"/>
                <w:szCs w:val="22"/>
              </w:rPr>
            </w:pPr>
            <w:r w:rsidRPr="005863A9">
              <w:rPr>
                <w:b/>
                <w:bCs/>
                <w:sz w:val="22"/>
                <w:szCs w:val="22"/>
              </w:rPr>
              <w:t>SECCIÓN II. CÁLCULO DEL CAPITAL BASE PARA ORGANIZACIONES COOPERATIVAS DE AHORRO Y CRÉDITO Y ENTIDADES DE SIMILAR NATURALEZA</w:t>
            </w:r>
          </w:p>
        </w:tc>
      </w:tr>
      <w:tr w:rsidR="00645809" w:rsidRPr="005863A9" w14:paraId="3817E492" w14:textId="77777777" w:rsidTr="00141D8C">
        <w:tc>
          <w:tcPr>
            <w:tcW w:w="4531" w:type="dxa"/>
            <w:shd w:val="clear" w:color="auto" w:fill="auto"/>
          </w:tcPr>
          <w:p w14:paraId="164068EB" w14:textId="77777777" w:rsidR="00645809" w:rsidRPr="005863A9" w:rsidRDefault="00645809" w:rsidP="00645809">
            <w:pPr>
              <w:rPr>
                <w:sz w:val="22"/>
                <w:szCs w:val="22"/>
              </w:rPr>
            </w:pPr>
          </w:p>
        </w:tc>
        <w:tc>
          <w:tcPr>
            <w:tcW w:w="4531" w:type="dxa"/>
            <w:shd w:val="clear" w:color="auto" w:fill="auto"/>
          </w:tcPr>
          <w:p w14:paraId="4005C308"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 xml:space="preserve">El valor en libros de las participaciones en el capital social de organizaciones cooperativas, o de otras entidades o empresas en instrumentos homólogos al CCN1 y CN2 (Según el artículo 22 inciso a y el artículo 28 inciso a), </w:t>
            </w:r>
          </w:p>
        </w:tc>
      </w:tr>
      <w:tr w:rsidR="00645809" w:rsidRPr="005863A9" w14:paraId="6746588F" w14:textId="77777777" w:rsidTr="00141D8C">
        <w:tc>
          <w:tcPr>
            <w:tcW w:w="4531" w:type="dxa"/>
            <w:shd w:val="clear" w:color="auto" w:fill="auto"/>
          </w:tcPr>
          <w:p w14:paraId="07A886A4" w14:textId="77777777" w:rsidR="00645809" w:rsidRPr="005863A9" w:rsidRDefault="00645809" w:rsidP="00645809">
            <w:pPr>
              <w:rPr>
                <w:sz w:val="22"/>
                <w:szCs w:val="22"/>
              </w:rPr>
            </w:pPr>
          </w:p>
        </w:tc>
        <w:tc>
          <w:tcPr>
            <w:tcW w:w="4531" w:type="dxa"/>
            <w:shd w:val="clear" w:color="auto" w:fill="auto"/>
          </w:tcPr>
          <w:p w14:paraId="6741EDA2"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las participaciones o inversiones en instrumentos de capital, deuda subordinada o deuda convertible que no sean homólogos a instrumentos del CCN1, CAN1 o CN2. (Según el artículo 22 inciso b)</w:t>
            </w:r>
          </w:p>
        </w:tc>
      </w:tr>
      <w:tr w:rsidR="00645809" w:rsidRPr="005863A9" w14:paraId="5F52B798" w14:textId="77777777" w:rsidTr="00141D8C">
        <w:tc>
          <w:tcPr>
            <w:tcW w:w="4531" w:type="dxa"/>
            <w:shd w:val="clear" w:color="auto" w:fill="auto"/>
          </w:tcPr>
          <w:p w14:paraId="10C057B2" w14:textId="77777777" w:rsidR="00645809" w:rsidRPr="005863A9" w:rsidRDefault="00645809" w:rsidP="00645809">
            <w:pPr>
              <w:rPr>
                <w:sz w:val="22"/>
                <w:szCs w:val="22"/>
              </w:rPr>
            </w:pPr>
          </w:p>
        </w:tc>
        <w:tc>
          <w:tcPr>
            <w:tcW w:w="4531" w:type="dxa"/>
            <w:shd w:val="clear" w:color="auto" w:fill="auto"/>
          </w:tcPr>
          <w:p w14:paraId="3DF0F0CD"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los activos intangibles y los derechos de uso por arrendamiento financieros sobre activos intangibles. (Según el artículo 22 inciso c).</w:t>
            </w:r>
          </w:p>
        </w:tc>
      </w:tr>
      <w:tr w:rsidR="00645809" w:rsidRPr="005863A9" w14:paraId="6AE8BA2A" w14:textId="77777777" w:rsidTr="00141D8C">
        <w:tc>
          <w:tcPr>
            <w:tcW w:w="4531" w:type="dxa"/>
            <w:shd w:val="clear" w:color="auto" w:fill="auto"/>
          </w:tcPr>
          <w:p w14:paraId="035A3B3B" w14:textId="77777777" w:rsidR="00645809" w:rsidRPr="005863A9" w:rsidRDefault="00645809" w:rsidP="00645809">
            <w:pPr>
              <w:rPr>
                <w:sz w:val="22"/>
                <w:szCs w:val="22"/>
              </w:rPr>
            </w:pPr>
          </w:p>
        </w:tc>
        <w:tc>
          <w:tcPr>
            <w:tcW w:w="4531" w:type="dxa"/>
            <w:shd w:val="clear" w:color="auto" w:fill="auto"/>
          </w:tcPr>
          <w:p w14:paraId="379F0753" w14:textId="77777777" w:rsidR="00645809" w:rsidRPr="005863A9" w:rsidRDefault="00645809" w:rsidP="00645809">
            <w:pPr>
              <w:jc w:val="both"/>
              <w:rPr>
                <w:b/>
                <w:bCs/>
                <w:sz w:val="22"/>
                <w:szCs w:val="22"/>
              </w:rPr>
            </w:pPr>
            <w:r w:rsidRPr="005863A9">
              <w:rPr>
                <w:b/>
                <w:bCs/>
                <w:sz w:val="22"/>
                <w:szCs w:val="22"/>
              </w:rPr>
              <w:t>SECCIÓN III. CÁLCULO DEL CAPITAL BASE PARA MUTUALES DE AHORRO Y PRÉSTAMO</w:t>
            </w:r>
          </w:p>
        </w:tc>
      </w:tr>
      <w:tr w:rsidR="00645809" w:rsidRPr="005863A9" w14:paraId="2BC1AC0C" w14:textId="77777777" w:rsidTr="00141D8C">
        <w:tc>
          <w:tcPr>
            <w:tcW w:w="4531" w:type="dxa"/>
            <w:shd w:val="clear" w:color="auto" w:fill="auto"/>
          </w:tcPr>
          <w:p w14:paraId="7D3AD43E" w14:textId="77777777" w:rsidR="00645809" w:rsidRPr="005863A9" w:rsidRDefault="00645809" w:rsidP="00645809">
            <w:pPr>
              <w:rPr>
                <w:sz w:val="22"/>
                <w:szCs w:val="22"/>
              </w:rPr>
            </w:pPr>
          </w:p>
        </w:tc>
        <w:tc>
          <w:tcPr>
            <w:tcW w:w="4531" w:type="dxa"/>
            <w:shd w:val="clear" w:color="auto" w:fill="auto"/>
          </w:tcPr>
          <w:p w14:paraId="54ED3972"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las participaciones en el capital social de otras entidades o empresas en instrumentos homólogos al CCN1 y CN2 (Según el artículo 33 inciso a y el artículo 37 inciso a)</w:t>
            </w:r>
          </w:p>
        </w:tc>
      </w:tr>
      <w:tr w:rsidR="00645809" w:rsidRPr="005863A9" w14:paraId="3DDBCDF5" w14:textId="77777777" w:rsidTr="00141D8C">
        <w:tc>
          <w:tcPr>
            <w:tcW w:w="4531" w:type="dxa"/>
            <w:shd w:val="clear" w:color="auto" w:fill="auto"/>
          </w:tcPr>
          <w:p w14:paraId="3FF215D6" w14:textId="77777777" w:rsidR="00645809" w:rsidRPr="005863A9" w:rsidRDefault="00645809" w:rsidP="00645809">
            <w:pPr>
              <w:rPr>
                <w:sz w:val="22"/>
                <w:szCs w:val="22"/>
              </w:rPr>
            </w:pPr>
          </w:p>
        </w:tc>
        <w:tc>
          <w:tcPr>
            <w:tcW w:w="4531" w:type="dxa"/>
            <w:shd w:val="clear" w:color="auto" w:fill="auto"/>
          </w:tcPr>
          <w:p w14:paraId="453C858A"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las participaciones o inversiones en instrumentos de capital, deuda subordinada o deuda convertible que no sean homólogos a instrumentos del CCN1, CAN1 o CN2. (Según el artículo 33 inciso b)</w:t>
            </w:r>
          </w:p>
        </w:tc>
      </w:tr>
      <w:tr w:rsidR="00645809" w:rsidRPr="005863A9" w14:paraId="6963F2A8" w14:textId="77777777" w:rsidTr="00141D8C">
        <w:tc>
          <w:tcPr>
            <w:tcW w:w="4531" w:type="dxa"/>
            <w:shd w:val="clear" w:color="auto" w:fill="auto"/>
          </w:tcPr>
          <w:p w14:paraId="34790D24" w14:textId="77777777" w:rsidR="00645809" w:rsidRPr="005863A9" w:rsidRDefault="00645809" w:rsidP="00645809">
            <w:pPr>
              <w:rPr>
                <w:sz w:val="22"/>
                <w:szCs w:val="22"/>
              </w:rPr>
            </w:pPr>
          </w:p>
        </w:tc>
        <w:tc>
          <w:tcPr>
            <w:tcW w:w="4531" w:type="dxa"/>
            <w:shd w:val="clear" w:color="auto" w:fill="auto"/>
          </w:tcPr>
          <w:p w14:paraId="22F9EF74"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valor en libros de los activos intangibles y los derechos de uso por arrendamiento financiero sobre activos intangibles. (Según el artículo 33 inciso c)</w:t>
            </w:r>
          </w:p>
        </w:tc>
      </w:tr>
      <w:tr w:rsidR="00645809" w:rsidRPr="005863A9" w14:paraId="4F0831DB" w14:textId="77777777" w:rsidTr="00141D8C">
        <w:tc>
          <w:tcPr>
            <w:tcW w:w="4531" w:type="dxa"/>
            <w:shd w:val="clear" w:color="auto" w:fill="auto"/>
          </w:tcPr>
          <w:p w14:paraId="3A60F5BE" w14:textId="77777777" w:rsidR="00645809" w:rsidRPr="005863A9" w:rsidRDefault="00645809" w:rsidP="00645809">
            <w:pPr>
              <w:rPr>
                <w:sz w:val="22"/>
                <w:szCs w:val="22"/>
              </w:rPr>
            </w:pPr>
          </w:p>
        </w:tc>
        <w:tc>
          <w:tcPr>
            <w:tcW w:w="4531" w:type="dxa"/>
            <w:shd w:val="clear" w:color="auto" w:fill="auto"/>
          </w:tcPr>
          <w:p w14:paraId="34C04447"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importe neto positivo de restar al saldo de los Activos por Impuestos Diferidos (AID), el saldo de los Pasivos por Impuestos Diferidos (PID). (Según el artículo 33, inciso f)</w:t>
            </w:r>
          </w:p>
        </w:tc>
      </w:tr>
      <w:tr w:rsidR="00645809" w:rsidRPr="005863A9" w14:paraId="5287B45F" w14:textId="77777777" w:rsidTr="00141D8C">
        <w:tc>
          <w:tcPr>
            <w:tcW w:w="4531" w:type="dxa"/>
            <w:shd w:val="clear" w:color="auto" w:fill="auto"/>
          </w:tcPr>
          <w:p w14:paraId="086D8524" w14:textId="77777777" w:rsidR="00645809" w:rsidRPr="005863A9" w:rsidRDefault="00645809" w:rsidP="00645809">
            <w:pPr>
              <w:rPr>
                <w:sz w:val="22"/>
                <w:szCs w:val="22"/>
              </w:rPr>
            </w:pPr>
          </w:p>
        </w:tc>
        <w:tc>
          <w:tcPr>
            <w:tcW w:w="4531" w:type="dxa"/>
            <w:shd w:val="clear" w:color="auto" w:fill="auto"/>
          </w:tcPr>
          <w:p w14:paraId="6C995CBD" w14:textId="77777777" w:rsidR="00645809" w:rsidRPr="005863A9" w:rsidRDefault="00645809" w:rsidP="00645809">
            <w:pPr>
              <w:pStyle w:val="Prrafodelista"/>
              <w:numPr>
                <w:ilvl w:val="0"/>
                <w:numId w:val="41"/>
              </w:numPr>
              <w:ind w:left="314"/>
              <w:jc w:val="both"/>
              <w:rPr>
                <w:sz w:val="22"/>
                <w:szCs w:val="22"/>
              </w:rPr>
            </w:pPr>
            <w:r w:rsidRPr="005863A9">
              <w:rPr>
                <w:sz w:val="22"/>
                <w:szCs w:val="22"/>
              </w:rPr>
              <w:t>El importe neto positivo de restar al saldo de los activos por impuestos al valor agregado, el saldo de los pasivos por impuestos al valor agregado. (Según el artículo 33 inciso g)</w:t>
            </w:r>
          </w:p>
        </w:tc>
      </w:tr>
    </w:tbl>
    <w:p w14:paraId="3B1F8823" w14:textId="77777777" w:rsidR="00645809" w:rsidRPr="005863A9" w:rsidRDefault="00645809" w:rsidP="00645809">
      <w:pPr>
        <w:rPr>
          <w:sz w:val="22"/>
          <w:szCs w:val="22"/>
        </w:rPr>
      </w:pPr>
    </w:p>
    <w:p w14:paraId="43B68892" w14:textId="77777777" w:rsidR="00645809" w:rsidRPr="005863A9" w:rsidRDefault="00645809" w:rsidP="00645809">
      <w:pPr>
        <w:rPr>
          <w:b/>
          <w:bCs/>
          <w:sz w:val="22"/>
          <w:szCs w:val="22"/>
        </w:rPr>
      </w:pPr>
    </w:p>
    <w:p w14:paraId="4CA22B6B" w14:textId="77777777" w:rsidR="00645809" w:rsidRPr="005863A9" w:rsidRDefault="00645809" w:rsidP="00645809">
      <w:pPr>
        <w:rPr>
          <w:b/>
          <w:bCs/>
          <w:sz w:val="22"/>
          <w:szCs w:val="22"/>
        </w:rPr>
      </w:pPr>
      <w:r w:rsidRPr="005863A9">
        <w:rPr>
          <w:b/>
          <w:bCs/>
          <w:sz w:val="22"/>
          <w:szCs w:val="22"/>
        </w:rPr>
        <w:t>ANEXO II</w:t>
      </w:r>
    </w:p>
    <w:p w14:paraId="046894AC" w14:textId="77777777" w:rsidR="00645809" w:rsidRPr="005863A9" w:rsidRDefault="00645809" w:rsidP="00645809">
      <w:pPr>
        <w:rPr>
          <w:b/>
          <w:bCs/>
          <w:sz w:val="22"/>
          <w:szCs w:val="22"/>
        </w:rPr>
      </w:pPr>
    </w:p>
    <w:p w14:paraId="3B1C3412" w14:textId="77777777" w:rsidR="00645809" w:rsidRPr="005863A9" w:rsidRDefault="00645809" w:rsidP="00645809">
      <w:pPr>
        <w:rPr>
          <w:b/>
          <w:bCs/>
          <w:sz w:val="22"/>
          <w:szCs w:val="22"/>
        </w:rPr>
      </w:pPr>
      <w:r w:rsidRPr="005863A9">
        <w:rPr>
          <w:b/>
          <w:bCs/>
          <w:sz w:val="22"/>
          <w:szCs w:val="22"/>
        </w:rPr>
        <w:lastRenderedPageBreak/>
        <w:t>OTROS INTRUMENTOS DE CAPITAL</w:t>
      </w:r>
    </w:p>
    <w:p w14:paraId="4406691C" w14:textId="77777777" w:rsidR="00645809" w:rsidRPr="005863A9" w:rsidRDefault="00645809" w:rsidP="00645809">
      <w:pPr>
        <w:rPr>
          <w:sz w:val="22"/>
          <w:szCs w:val="22"/>
        </w:rPr>
      </w:pPr>
    </w:p>
    <w:p w14:paraId="44FB3774" w14:textId="77777777" w:rsidR="00645809" w:rsidRPr="005863A9" w:rsidRDefault="00645809" w:rsidP="00645809">
      <w:pPr>
        <w:jc w:val="both"/>
        <w:rPr>
          <w:strike/>
          <w:sz w:val="22"/>
          <w:szCs w:val="22"/>
        </w:rPr>
      </w:pPr>
    </w:p>
    <w:p w14:paraId="748B46A3" w14:textId="77777777" w:rsidR="00645809" w:rsidRPr="005863A9" w:rsidRDefault="00645809" w:rsidP="00645809">
      <w:pPr>
        <w:pStyle w:val="Prrafodelista"/>
        <w:numPr>
          <w:ilvl w:val="0"/>
          <w:numId w:val="42"/>
        </w:numPr>
        <w:jc w:val="both"/>
        <w:rPr>
          <w:sz w:val="22"/>
          <w:szCs w:val="22"/>
        </w:rPr>
      </w:pPr>
      <w:bookmarkStart w:id="9" w:name="_Hlk134183506"/>
      <w:r w:rsidRPr="005863A9">
        <w:rPr>
          <w:b/>
          <w:bCs/>
          <w:sz w:val="22"/>
          <w:szCs w:val="22"/>
        </w:rPr>
        <w:t>Otros instrumentos de deuda</w:t>
      </w:r>
      <w:r w:rsidRPr="005863A9">
        <w:rPr>
          <w:sz w:val="22"/>
          <w:szCs w:val="22"/>
        </w:rPr>
        <w:t>: consiste en el valor en libros de instrumentos de deuda que no cumplen con los criterios de admisibilidad para el cálculo del Capital Base y que se registran en las siguientes cuentas del Catálogo de Cuentas Homologado:</w:t>
      </w:r>
    </w:p>
    <w:p w14:paraId="1E21D1D4" w14:textId="77777777" w:rsidR="00645809" w:rsidRPr="005863A9" w:rsidRDefault="00645809" w:rsidP="00645809">
      <w:pPr>
        <w:pStyle w:val="Prrafodelista"/>
        <w:ind w:left="36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550"/>
      </w:tblGrid>
      <w:tr w:rsidR="00645809" w:rsidRPr="005863A9" w14:paraId="05916CA1" w14:textId="77777777" w:rsidTr="00141D8C">
        <w:trPr>
          <w:jc w:val="center"/>
        </w:trPr>
        <w:tc>
          <w:tcPr>
            <w:tcW w:w="821" w:type="dxa"/>
            <w:shd w:val="clear" w:color="auto" w:fill="auto"/>
          </w:tcPr>
          <w:p w14:paraId="127B7A2D" w14:textId="77777777" w:rsidR="00645809" w:rsidRPr="005863A9" w:rsidRDefault="00645809" w:rsidP="00645809">
            <w:pPr>
              <w:jc w:val="both"/>
              <w:rPr>
                <w:sz w:val="22"/>
                <w:szCs w:val="22"/>
              </w:rPr>
            </w:pPr>
            <w:r w:rsidRPr="005863A9">
              <w:rPr>
                <w:sz w:val="22"/>
                <w:szCs w:val="22"/>
                <w:lang w:eastAsia="es-CR"/>
              </w:rPr>
              <w:t>261</w:t>
            </w:r>
          </w:p>
        </w:tc>
        <w:tc>
          <w:tcPr>
            <w:tcW w:w="6550" w:type="dxa"/>
            <w:shd w:val="clear" w:color="auto" w:fill="auto"/>
          </w:tcPr>
          <w:p w14:paraId="260AC0C1" w14:textId="77777777" w:rsidR="00645809" w:rsidRPr="005863A9" w:rsidRDefault="00645809" w:rsidP="00645809">
            <w:pPr>
              <w:jc w:val="both"/>
              <w:rPr>
                <w:sz w:val="22"/>
                <w:szCs w:val="22"/>
              </w:rPr>
            </w:pPr>
            <w:r w:rsidRPr="005863A9">
              <w:rPr>
                <w:sz w:val="22"/>
                <w:szCs w:val="22"/>
                <w:lang w:eastAsia="es-CR"/>
              </w:rPr>
              <w:t>Obligaciones subordinadas</w:t>
            </w:r>
          </w:p>
        </w:tc>
      </w:tr>
      <w:tr w:rsidR="00645809" w:rsidRPr="005863A9" w14:paraId="200594D5" w14:textId="77777777" w:rsidTr="00141D8C">
        <w:trPr>
          <w:jc w:val="center"/>
        </w:trPr>
        <w:tc>
          <w:tcPr>
            <w:tcW w:w="821" w:type="dxa"/>
            <w:shd w:val="clear" w:color="auto" w:fill="auto"/>
          </w:tcPr>
          <w:p w14:paraId="37011F07" w14:textId="77777777" w:rsidR="00645809" w:rsidRPr="005863A9" w:rsidRDefault="00645809" w:rsidP="00645809">
            <w:pPr>
              <w:jc w:val="both"/>
              <w:rPr>
                <w:sz w:val="22"/>
                <w:szCs w:val="22"/>
              </w:rPr>
            </w:pPr>
            <w:r w:rsidRPr="005863A9">
              <w:rPr>
                <w:sz w:val="22"/>
                <w:szCs w:val="22"/>
                <w:lang w:eastAsia="es-CR"/>
              </w:rPr>
              <w:t>262</w:t>
            </w:r>
          </w:p>
        </w:tc>
        <w:tc>
          <w:tcPr>
            <w:tcW w:w="6550" w:type="dxa"/>
            <w:shd w:val="clear" w:color="auto" w:fill="auto"/>
          </w:tcPr>
          <w:p w14:paraId="41100E68" w14:textId="77777777" w:rsidR="00645809" w:rsidRPr="005863A9" w:rsidRDefault="00645809" w:rsidP="00645809">
            <w:pPr>
              <w:jc w:val="both"/>
              <w:rPr>
                <w:sz w:val="22"/>
                <w:szCs w:val="22"/>
              </w:rPr>
            </w:pPr>
            <w:r w:rsidRPr="005863A9">
              <w:rPr>
                <w:sz w:val="22"/>
                <w:szCs w:val="22"/>
                <w:lang w:eastAsia="es-CR"/>
              </w:rPr>
              <w:t>Prestamos subordinados</w:t>
            </w:r>
          </w:p>
        </w:tc>
      </w:tr>
      <w:tr w:rsidR="00645809" w:rsidRPr="005863A9" w14:paraId="7A3DA8DD" w14:textId="77777777" w:rsidTr="00141D8C">
        <w:trPr>
          <w:jc w:val="center"/>
        </w:trPr>
        <w:tc>
          <w:tcPr>
            <w:tcW w:w="821" w:type="dxa"/>
            <w:shd w:val="clear" w:color="auto" w:fill="auto"/>
          </w:tcPr>
          <w:p w14:paraId="112B7C2F" w14:textId="77777777" w:rsidR="00645809" w:rsidRPr="005863A9" w:rsidRDefault="00645809" w:rsidP="00645809">
            <w:pPr>
              <w:jc w:val="both"/>
              <w:rPr>
                <w:sz w:val="22"/>
                <w:szCs w:val="22"/>
              </w:rPr>
            </w:pPr>
            <w:r w:rsidRPr="005863A9">
              <w:rPr>
                <w:sz w:val="22"/>
                <w:szCs w:val="22"/>
                <w:lang w:eastAsia="es-CR"/>
              </w:rPr>
              <w:t>271</w:t>
            </w:r>
          </w:p>
        </w:tc>
        <w:tc>
          <w:tcPr>
            <w:tcW w:w="6550" w:type="dxa"/>
            <w:shd w:val="clear" w:color="auto" w:fill="auto"/>
          </w:tcPr>
          <w:p w14:paraId="4C47D185" w14:textId="77777777" w:rsidR="00645809" w:rsidRPr="005863A9" w:rsidRDefault="00645809" w:rsidP="00645809">
            <w:pPr>
              <w:jc w:val="both"/>
              <w:rPr>
                <w:sz w:val="22"/>
                <w:szCs w:val="22"/>
              </w:rPr>
            </w:pPr>
            <w:r w:rsidRPr="005863A9">
              <w:rPr>
                <w:sz w:val="22"/>
                <w:szCs w:val="22"/>
                <w:lang w:eastAsia="es-CR"/>
              </w:rPr>
              <w:t>Obligaciones convertibles en capital</w:t>
            </w:r>
          </w:p>
        </w:tc>
      </w:tr>
      <w:bookmarkEnd w:id="9"/>
    </w:tbl>
    <w:p w14:paraId="2A84266A" w14:textId="77777777" w:rsidR="00645809" w:rsidRPr="005863A9" w:rsidRDefault="00645809" w:rsidP="00645809">
      <w:pPr>
        <w:rPr>
          <w:b/>
          <w:bCs/>
          <w:sz w:val="22"/>
          <w:szCs w:val="22"/>
        </w:rPr>
      </w:pPr>
    </w:p>
    <w:p w14:paraId="2AC27B5D" w14:textId="77777777" w:rsidR="00645809" w:rsidRPr="005863A9" w:rsidRDefault="00645809" w:rsidP="00645809">
      <w:pPr>
        <w:rPr>
          <w:b/>
          <w:bCs/>
          <w:sz w:val="22"/>
          <w:szCs w:val="22"/>
        </w:rPr>
      </w:pPr>
      <w:r w:rsidRPr="005863A9">
        <w:rPr>
          <w:b/>
          <w:bCs/>
          <w:sz w:val="22"/>
          <w:szCs w:val="22"/>
        </w:rPr>
        <w:t>ANEXO III</w:t>
      </w:r>
    </w:p>
    <w:p w14:paraId="020363E0" w14:textId="77777777" w:rsidR="00645809" w:rsidRPr="005863A9" w:rsidRDefault="00645809" w:rsidP="00645809">
      <w:pPr>
        <w:widowControl w:val="0"/>
        <w:jc w:val="both"/>
        <w:rPr>
          <w:b/>
          <w:bCs/>
          <w:sz w:val="22"/>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6622"/>
        <w:gridCol w:w="1318"/>
      </w:tblGrid>
      <w:tr w:rsidR="00645809" w:rsidRPr="005863A9" w14:paraId="47CBCECA" w14:textId="77777777" w:rsidTr="00141D8C">
        <w:trPr>
          <w:jc w:val="center"/>
        </w:trPr>
        <w:tc>
          <w:tcPr>
            <w:tcW w:w="9513" w:type="dxa"/>
            <w:gridSpan w:val="3"/>
            <w:shd w:val="clear" w:color="auto" w:fill="1F3864" w:themeFill="accent1" w:themeFillShade="80"/>
            <w:vAlign w:val="center"/>
          </w:tcPr>
          <w:p w14:paraId="571B279E" w14:textId="77777777" w:rsidR="00645809" w:rsidRPr="005863A9" w:rsidRDefault="00645809" w:rsidP="00645809">
            <w:pPr>
              <w:jc w:val="center"/>
              <w:rPr>
                <w:b/>
                <w:bCs/>
                <w:sz w:val="22"/>
                <w:szCs w:val="22"/>
              </w:rPr>
            </w:pPr>
            <w:r w:rsidRPr="005863A9">
              <w:rPr>
                <w:b/>
                <w:bCs/>
                <w:color w:val="FFFFFF" w:themeColor="background1"/>
                <w:sz w:val="22"/>
                <w:szCs w:val="22"/>
              </w:rPr>
              <w:t>FINANCIAMIENTO NETO DISPONIBLE</w:t>
            </w:r>
          </w:p>
        </w:tc>
      </w:tr>
      <w:tr w:rsidR="00645809" w:rsidRPr="005863A9" w14:paraId="225EF335" w14:textId="77777777" w:rsidTr="00141D8C">
        <w:trPr>
          <w:jc w:val="center"/>
        </w:trPr>
        <w:tc>
          <w:tcPr>
            <w:tcW w:w="1573" w:type="dxa"/>
            <w:shd w:val="clear" w:color="auto" w:fill="auto"/>
            <w:vAlign w:val="center"/>
          </w:tcPr>
          <w:p w14:paraId="70C8E58F" w14:textId="77777777" w:rsidR="00645809" w:rsidRPr="005863A9" w:rsidRDefault="00645809" w:rsidP="00645809">
            <w:pPr>
              <w:rPr>
                <w:b/>
                <w:bCs/>
                <w:sz w:val="22"/>
                <w:szCs w:val="22"/>
              </w:rPr>
            </w:pPr>
            <w:r w:rsidRPr="005863A9">
              <w:rPr>
                <w:b/>
                <w:bCs/>
                <w:sz w:val="22"/>
                <w:szCs w:val="22"/>
              </w:rPr>
              <w:t>ARTÍCULO 10</w:t>
            </w:r>
          </w:p>
        </w:tc>
        <w:tc>
          <w:tcPr>
            <w:tcW w:w="6622" w:type="dxa"/>
            <w:shd w:val="clear" w:color="auto" w:fill="auto"/>
            <w:vAlign w:val="center"/>
          </w:tcPr>
          <w:p w14:paraId="661B9868" w14:textId="77777777" w:rsidR="00645809" w:rsidRPr="005863A9" w:rsidRDefault="00645809" w:rsidP="00645809">
            <w:pPr>
              <w:rPr>
                <w:b/>
                <w:bCs/>
                <w:sz w:val="22"/>
                <w:szCs w:val="22"/>
              </w:rPr>
            </w:pPr>
            <w:r w:rsidRPr="005863A9">
              <w:rPr>
                <w:b/>
                <w:bCs/>
                <w:sz w:val="22"/>
                <w:szCs w:val="22"/>
              </w:rPr>
              <w:t>CATEGORÍA</w:t>
            </w:r>
          </w:p>
        </w:tc>
        <w:tc>
          <w:tcPr>
            <w:tcW w:w="1318" w:type="dxa"/>
            <w:shd w:val="clear" w:color="auto" w:fill="auto"/>
            <w:vAlign w:val="center"/>
          </w:tcPr>
          <w:p w14:paraId="4BB2B88E" w14:textId="77777777" w:rsidR="00645809" w:rsidRPr="005863A9" w:rsidRDefault="00645809" w:rsidP="00645809">
            <w:pPr>
              <w:rPr>
                <w:b/>
                <w:bCs/>
                <w:sz w:val="22"/>
                <w:szCs w:val="22"/>
              </w:rPr>
            </w:pPr>
            <w:r w:rsidRPr="005863A9">
              <w:rPr>
                <w:b/>
                <w:bCs/>
                <w:sz w:val="22"/>
                <w:szCs w:val="22"/>
              </w:rPr>
              <w:t>FACTOR</w:t>
            </w:r>
          </w:p>
        </w:tc>
      </w:tr>
      <w:tr w:rsidR="00645809" w:rsidRPr="005863A9" w14:paraId="5C32F80F" w14:textId="77777777" w:rsidTr="00141D8C">
        <w:trPr>
          <w:jc w:val="center"/>
        </w:trPr>
        <w:tc>
          <w:tcPr>
            <w:tcW w:w="1573" w:type="dxa"/>
            <w:shd w:val="clear" w:color="auto" w:fill="B4C6E7"/>
            <w:vAlign w:val="center"/>
          </w:tcPr>
          <w:p w14:paraId="2FA50701" w14:textId="77777777" w:rsidR="00645809" w:rsidRPr="005863A9" w:rsidRDefault="00645809" w:rsidP="00645809">
            <w:pPr>
              <w:rPr>
                <w:b/>
                <w:bCs/>
                <w:sz w:val="22"/>
                <w:szCs w:val="22"/>
              </w:rPr>
            </w:pPr>
            <w:r w:rsidRPr="005863A9">
              <w:rPr>
                <w:b/>
                <w:bCs/>
                <w:sz w:val="22"/>
                <w:szCs w:val="22"/>
              </w:rPr>
              <w:t>1.</w:t>
            </w:r>
          </w:p>
        </w:tc>
        <w:tc>
          <w:tcPr>
            <w:tcW w:w="6622" w:type="dxa"/>
            <w:shd w:val="clear" w:color="auto" w:fill="B4C6E7"/>
            <w:vAlign w:val="center"/>
          </w:tcPr>
          <w:p w14:paraId="690A8787" w14:textId="77777777" w:rsidR="00645809" w:rsidRPr="005863A9" w:rsidRDefault="00645809" w:rsidP="00645809">
            <w:pPr>
              <w:jc w:val="both"/>
              <w:rPr>
                <w:b/>
                <w:bCs/>
                <w:sz w:val="22"/>
                <w:szCs w:val="22"/>
              </w:rPr>
            </w:pPr>
            <w:r w:rsidRPr="005863A9">
              <w:rPr>
                <w:b/>
                <w:bCs/>
                <w:sz w:val="22"/>
                <w:szCs w:val="22"/>
              </w:rPr>
              <w:t>CAPITAL</w:t>
            </w:r>
          </w:p>
        </w:tc>
        <w:tc>
          <w:tcPr>
            <w:tcW w:w="1318" w:type="dxa"/>
            <w:shd w:val="clear" w:color="auto" w:fill="B4C6E7"/>
            <w:vAlign w:val="center"/>
          </w:tcPr>
          <w:p w14:paraId="53FE41E6" w14:textId="77777777" w:rsidR="00645809" w:rsidRPr="005863A9" w:rsidRDefault="00645809" w:rsidP="00645809">
            <w:pPr>
              <w:rPr>
                <w:b/>
                <w:bCs/>
                <w:sz w:val="22"/>
                <w:szCs w:val="22"/>
              </w:rPr>
            </w:pPr>
          </w:p>
        </w:tc>
      </w:tr>
      <w:tr w:rsidR="00645809" w:rsidRPr="005863A9" w14:paraId="320018C2" w14:textId="77777777" w:rsidTr="00141D8C">
        <w:trPr>
          <w:jc w:val="center"/>
        </w:trPr>
        <w:tc>
          <w:tcPr>
            <w:tcW w:w="1573" w:type="dxa"/>
            <w:shd w:val="clear" w:color="auto" w:fill="auto"/>
            <w:vAlign w:val="center"/>
          </w:tcPr>
          <w:p w14:paraId="2A6339AF" w14:textId="77777777" w:rsidR="00645809" w:rsidRPr="005863A9" w:rsidRDefault="00645809" w:rsidP="00645809">
            <w:pPr>
              <w:rPr>
                <w:b/>
                <w:bCs/>
                <w:sz w:val="22"/>
                <w:szCs w:val="22"/>
              </w:rPr>
            </w:pPr>
            <w:r w:rsidRPr="005863A9">
              <w:rPr>
                <w:b/>
                <w:bCs/>
                <w:sz w:val="22"/>
                <w:szCs w:val="22"/>
              </w:rPr>
              <w:t>1.1</w:t>
            </w:r>
          </w:p>
        </w:tc>
        <w:tc>
          <w:tcPr>
            <w:tcW w:w="6622" w:type="dxa"/>
            <w:shd w:val="clear" w:color="auto" w:fill="DEEAF6"/>
            <w:vAlign w:val="center"/>
          </w:tcPr>
          <w:p w14:paraId="3BA8A712" w14:textId="77777777" w:rsidR="00645809" w:rsidRPr="005863A9" w:rsidRDefault="00645809" w:rsidP="00645809">
            <w:pPr>
              <w:jc w:val="both"/>
              <w:rPr>
                <w:sz w:val="22"/>
                <w:szCs w:val="22"/>
              </w:rPr>
            </w:pPr>
            <w:r w:rsidRPr="005863A9">
              <w:rPr>
                <w:b/>
                <w:bCs/>
                <w:sz w:val="22"/>
                <w:szCs w:val="22"/>
              </w:rPr>
              <w:t xml:space="preserve">Capital base ajustado para IFNE </w:t>
            </w:r>
            <w:r w:rsidRPr="005863A9">
              <w:rPr>
                <w:sz w:val="22"/>
                <w:szCs w:val="22"/>
              </w:rPr>
              <w:t>(antes de aplicar deducciones), Anexo I.</w:t>
            </w:r>
          </w:p>
        </w:tc>
        <w:tc>
          <w:tcPr>
            <w:tcW w:w="1318" w:type="dxa"/>
            <w:shd w:val="clear" w:color="auto" w:fill="auto"/>
            <w:vAlign w:val="center"/>
          </w:tcPr>
          <w:p w14:paraId="501E35BB" w14:textId="77777777" w:rsidR="00645809" w:rsidRPr="005863A9" w:rsidRDefault="00645809" w:rsidP="00645809">
            <w:pPr>
              <w:rPr>
                <w:sz w:val="22"/>
                <w:szCs w:val="22"/>
              </w:rPr>
            </w:pPr>
            <w:r w:rsidRPr="005863A9">
              <w:rPr>
                <w:sz w:val="22"/>
                <w:szCs w:val="22"/>
              </w:rPr>
              <w:t>100%</w:t>
            </w:r>
          </w:p>
        </w:tc>
      </w:tr>
      <w:tr w:rsidR="00645809" w:rsidRPr="005863A9" w14:paraId="4624B5DD" w14:textId="77777777" w:rsidTr="00141D8C">
        <w:trPr>
          <w:jc w:val="center"/>
        </w:trPr>
        <w:tc>
          <w:tcPr>
            <w:tcW w:w="1573" w:type="dxa"/>
            <w:shd w:val="clear" w:color="auto" w:fill="auto"/>
            <w:vAlign w:val="center"/>
          </w:tcPr>
          <w:p w14:paraId="48C28B70" w14:textId="77777777" w:rsidR="00645809" w:rsidRPr="005863A9" w:rsidRDefault="00645809" w:rsidP="00645809">
            <w:pPr>
              <w:rPr>
                <w:b/>
                <w:bCs/>
                <w:sz w:val="22"/>
                <w:szCs w:val="22"/>
              </w:rPr>
            </w:pPr>
            <w:r w:rsidRPr="005863A9">
              <w:rPr>
                <w:b/>
                <w:bCs/>
                <w:sz w:val="22"/>
                <w:szCs w:val="22"/>
              </w:rPr>
              <w:t>1.2</w:t>
            </w:r>
          </w:p>
        </w:tc>
        <w:tc>
          <w:tcPr>
            <w:tcW w:w="6622" w:type="dxa"/>
            <w:shd w:val="clear" w:color="auto" w:fill="DEEAF6"/>
            <w:vAlign w:val="center"/>
          </w:tcPr>
          <w:p w14:paraId="6A6C3408" w14:textId="77777777" w:rsidR="00645809" w:rsidRPr="005863A9" w:rsidRDefault="00645809" w:rsidP="00645809">
            <w:pPr>
              <w:jc w:val="both"/>
              <w:rPr>
                <w:b/>
                <w:bCs/>
                <w:sz w:val="22"/>
                <w:szCs w:val="22"/>
              </w:rPr>
            </w:pPr>
            <w:r w:rsidRPr="005863A9">
              <w:rPr>
                <w:b/>
                <w:bCs/>
                <w:sz w:val="22"/>
                <w:szCs w:val="22"/>
              </w:rPr>
              <w:t xml:space="preserve">Otros instrumentos de capital, </w:t>
            </w:r>
            <w:r w:rsidRPr="005863A9">
              <w:rPr>
                <w:sz w:val="22"/>
                <w:szCs w:val="22"/>
              </w:rPr>
              <w:t>Anexo II.</w:t>
            </w:r>
          </w:p>
        </w:tc>
        <w:tc>
          <w:tcPr>
            <w:tcW w:w="1318" w:type="dxa"/>
            <w:shd w:val="clear" w:color="auto" w:fill="auto"/>
            <w:vAlign w:val="center"/>
          </w:tcPr>
          <w:p w14:paraId="541509C5" w14:textId="77777777" w:rsidR="00645809" w:rsidRPr="005863A9" w:rsidRDefault="00645809" w:rsidP="00645809">
            <w:pPr>
              <w:rPr>
                <w:b/>
                <w:bCs/>
                <w:sz w:val="22"/>
                <w:szCs w:val="22"/>
              </w:rPr>
            </w:pPr>
          </w:p>
        </w:tc>
      </w:tr>
      <w:tr w:rsidR="00645809" w:rsidRPr="005863A9" w14:paraId="2BC86495" w14:textId="77777777" w:rsidTr="00141D8C">
        <w:trPr>
          <w:jc w:val="center"/>
        </w:trPr>
        <w:tc>
          <w:tcPr>
            <w:tcW w:w="1573" w:type="dxa"/>
            <w:shd w:val="clear" w:color="auto" w:fill="auto"/>
            <w:vAlign w:val="center"/>
          </w:tcPr>
          <w:p w14:paraId="0961BD53" w14:textId="77777777" w:rsidR="00645809" w:rsidRPr="005863A9" w:rsidRDefault="00645809" w:rsidP="00645809">
            <w:pPr>
              <w:rPr>
                <w:sz w:val="22"/>
                <w:szCs w:val="22"/>
              </w:rPr>
            </w:pPr>
            <w:r w:rsidRPr="005863A9">
              <w:rPr>
                <w:sz w:val="22"/>
                <w:szCs w:val="22"/>
              </w:rPr>
              <w:t>i)</w:t>
            </w:r>
          </w:p>
        </w:tc>
        <w:tc>
          <w:tcPr>
            <w:tcW w:w="6622" w:type="dxa"/>
            <w:shd w:val="clear" w:color="auto" w:fill="auto"/>
            <w:vAlign w:val="center"/>
          </w:tcPr>
          <w:p w14:paraId="05A8CB0F" w14:textId="77777777" w:rsidR="00645809" w:rsidRPr="005863A9" w:rsidRDefault="00645809" w:rsidP="00645809">
            <w:pPr>
              <w:jc w:val="both"/>
              <w:rPr>
                <w:sz w:val="22"/>
                <w:szCs w:val="22"/>
              </w:rPr>
            </w:pPr>
            <w:r w:rsidRPr="005863A9">
              <w:rPr>
                <w:sz w:val="22"/>
                <w:szCs w:val="22"/>
              </w:rPr>
              <w:t xml:space="preserve">Otros instrumentos de deuda </w:t>
            </w:r>
            <w:r w:rsidRPr="005863A9">
              <w:rPr>
                <w:color w:val="000000"/>
                <w:sz w:val="22"/>
                <w:szCs w:val="22"/>
              </w:rPr>
              <w:t xml:space="preserve">subordinada y convertible en acciones que no cumplen con los criterios de admisibilidad para el cálculo del Capital base con </w:t>
            </w:r>
            <w:r w:rsidRPr="005863A9">
              <w:rPr>
                <w:color w:val="4472C4"/>
                <w:sz w:val="22"/>
                <w:szCs w:val="22"/>
              </w:rPr>
              <w:t>vencimiento residual efectivo igual o superior a un año.</w:t>
            </w:r>
          </w:p>
        </w:tc>
        <w:tc>
          <w:tcPr>
            <w:tcW w:w="1318" w:type="dxa"/>
            <w:shd w:val="clear" w:color="auto" w:fill="auto"/>
            <w:vAlign w:val="center"/>
          </w:tcPr>
          <w:p w14:paraId="3782B0E0" w14:textId="77777777" w:rsidR="00645809" w:rsidRPr="005863A9" w:rsidRDefault="00645809" w:rsidP="00645809">
            <w:pPr>
              <w:rPr>
                <w:sz w:val="22"/>
                <w:szCs w:val="22"/>
              </w:rPr>
            </w:pPr>
            <w:r w:rsidRPr="005863A9">
              <w:rPr>
                <w:sz w:val="22"/>
                <w:szCs w:val="22"/>
              </w:rPr>
              <w:t>100%</w:t>
            </w:r>
          </w:p>
        </w:tc>
      </w:tr>
      <w:tr w:rsidR="00645809" w:rsidRPr="005863A9" w14:paraId="628310B9" w14:textId="77777777" w:rsidTr="00141D8C">
        <w:trPr>
          <w:jc w:val="center"/>
        </w:trPr>
        <w:tc>
          <w:tcPr>
            <w:tcW w:w="1573" w:type="dxa"/>
            <w:shd w:val="clear" w:color="auto" w:fill="auto"/>
            <w:vAlign w:val="center"/>
          </w:tcPr>
          <w:p w14:paraId="41C76E7D" w14:textId="77777777" w:rsidR="00645809" w:rsidRPr="005863A9" w:rsidRDefault="00645809" w:rsidP="00645809">
            <w:pPr>
              <w:rPr>
                <w:sz w:val="22"/>
                <w:szCs w:val="22"/>
              </w:rPr>
            </w:pPr>
            <w:r w:rsidRPr="005863A9">
              <w:rPr>
                <w:sz w:val="22"/>
                <w:szCs w:val="22"/>
              </w:rPr>
              <w:t>ii)</w:t>
            </w:r>
          </w:p>
        </w:tc>
        <w:tc>
          <w:tcPr>
            <w:tcW w:w="6622" w:type="dxa"/>
            <w:shd w:val="clear" w:color="auto" w:fill="auto"/>
            <w:vAlign w:val="center"/>
          </w:tcPr>
          <w:p w14:paraId="1AE67A65" w14:textId="77777777" w:rsidR="00645809" w:rsidRPr="005863A9" w:rsidRDefault="00645809" w:rsidP="00645809">
            <w:pPr>
              <w:jc w:val="both"/>
              <w:rPr>
                <w:sz w:val="22"/>
                <w:szCs w:val="22"/>
              </w:rPr>
            </w:pPr>
            <w:r w:rsidRPr="005863A9">
              <w:rPr>
                <w:sz w:val="22"/>
                <w:szCs w:val="22"/>
              </w:rPr>
              <w:t xml:space="preserve">Otras obligaciones no incluidas en categorías anteriores con </w:t>
            </w:r>
            <w:r w:rsidRPr="005863A9">
              <w:rPr>
                <w:color w:val="4472C4"/>
                <w:sz w:val="22"/>
                <w:szCs w:val="22"/>
              </w:rPr>
              <w:t>vencimiento residual de seis meses hasta menos de un año,</w:t>
            </w:r>
            <w:r w:rsidRPr="005863A9">
              <w:rPr>
                <w:sz w:val="22"/>
                <w:szCs w:val="22"/>
              </w:rPr>
              <w:t xml:space="preserve"> incluidas obligaciones procedentes de bancos centrales y entidades financieras.</w:t>
            </w:r>
          </w:p>
        </w:tc>
        <w:tc>
          <w:tcPr>
            <w:tcW w:w="1318" w:type="dxa"/>
            <w:shd w:val="clear" w:color="auto" w:fill="auto"/>
            <w:vAlign w:val="center"/>
          </w:tcPr>
          <w:p w14:paraId="16F22506" w14:textId="77777777" w:rsidR="00645809" w:rsidRPr="005863A9" w:rsidRDefault="00645809" w:rsidP="00645809">
            <w:pPr>
              <w:rPr>
                <w:sz w:val="22"/>
                <w:szCs w:val="22"/>
              </w:rPr>
            </w:pPr>
            <w:r w:rsidRPr="005863A9">
              <w:rPr>
                <w:sz w:val="22"/>
                <w:szCs w:val="22"/>
              </w:rPr>
              <w:t>50%</w:t>
            </w:r>
          </w:p>
        </w:tc>
      </w:tr>
      <w:tr w:rsidR="00645809" w:rsidRPr="005863A9" w14:paraId="487DBEBE" w14:textId="77777777" w:rsidTr="00141D8C">
        <w:trPr>
          <w:jc w:val="center"/>
        </w:trPr>
        <w:tc>
          <w:tcPr>
            <w:tcW w:w="1573" w:type="dxa"/>
            <w:shd w:val="clear" w:color="auto" w:fill="auto"/>
            <w:vAlign w:val="center"/>
          </w:tcPr>
          <w:p w14:paraId="5925763A" w14:textId="77777777" w:rsidR="00645809" w:rsidRPr="005863A9" w:rsidRDefault="00645809" w:rsidP="00645809">
            <w:pPr>
              <w:rPr>
                <w:sz w:val="22"/>
                <w:szCs w:val="22"/>
              </w:rPr>
            </w:pPr>
            <w:r w:rsidRPr="005863A9">
              <w:rPr>
                <w:sz w:val="22"/>
                <w:szCs w:val="22"/>
              </w:rPr>
              <w:t>iii)</w:t>
            </w:r>
          </w:p>
        </w:tc>
        <w:tc>
          <w:tcPr>
            <w:tcW w:w="6622" w:type="dxa"/>
            <w:shd w:val="clear" w:color="auto" w:fill="auto"/>
            <w:vAlign w:val="center"/>
          </w:tcPr>
          <w:p w14:paraId="0D3573ED" w14:textId="77777777" w:rsidR="00645809" w:rsidRPr="005863A9" w:rsidRDefault="00645809" w:rsidP="00645809">
            <w:pPr>
              <w:jc w:val="both"/>
              <w:rPr>
                <w:sz w:val="22"/>
                <w:szCs w:val="22"/>
              </w:rPr>
            </w:pPr>
            <w:r w:rsidRPr="005863A9">
              <w:rPr>
                <w:sz w:val="22"/>
                <w:szCs w:val="22"/>
              </w:rPr>
              <w:t xml:space="preserve">Todos los demás instrumentos de </w:t>
            </w:r>
            <w:r w:rsidRPr="005863A9">
              <w:rPr>
                <w:color w:val="000000"/>
                <w:sz w:val="22"/>
                <w:szCs w:val="22"/>
              </w:rPr>
              <w:t>deuda subordinada y convertible en acciones</w:t>
            </w:r>
            <w:r w:rsidRPr="005863A9">
              <w:rPr>
                <w:b/>
                <w:bCs/>
                <w:color w:val="000000"/>
                <w:sz w:val="22"/>
                <w:szCs w:val="22"/>
                <w:u w:val="single"/>
              </w:rPr>
              <w:t xml:space="preserve"> </w:t>
            </w:r>
            <w:r w:rsidRPr="005863A9">
              <w:rPr>
                <w:sz w:val="22"/>
                <w:szCs w:val="22"/>
              </w:rPr>
              <w:t xml:space="preserve">que no cumplen con los criterios de admisibilidad para el cálculo de Capital base no incluidos en las categorías anteriores, incluidas otras obligaciones con </w:t>
            </w:r>
            <w:r w:rsidRPr="005863A9">
              <w:rPr>
                <w:color w:val="4472C4"/>
                <w:sz w:val="22"/>
                <w:szCs w:val="22"/>
              </w:rPr>
              <w:t xml:space="preserve">vencimiento residual inferior a seis meses </w:t>
            </w:r>
            <w:r w:rsidRPr="005863A9">
              <w:rPr>
                <w:sz w:val="22"/>
                <w:szCs w:val="22"/>
              </w:rPr>
              <w:t>procedente de bancos centrales y entidades financieras.</w:t>
            </w:r>
          </w:p>
        </w:tc>
        <w:tc>
          <w:tcPr>
            <w:tcW w:w="1318" w:type="dxa"/>
            <w:shd w:val="clear" w:color="auto" w:fill="auto"/>
            <w:vAlign w:val="center"/>
          </w:tcPr>
          <w:p w14:paraId="56AD114E" w14:textId="77777777" w:rsidR="00645809" w:rsidRPr="005863A9" w:rsidRDefault="00645809" w:rsidP="00645809">
            <w:pPr>
              <w:rPr>
                <w:sz w:val="22"/>
                <w:szCs w:val="22"/>
              </w:rPr>
            </w:pPr>
            <w:r w:rsidRPr="005863A9">
              <w:rPr>
                <w:sz w:val="22"/>
                <w:szCs w:val="22"/>
              </w:rPr>
              <w:t>0%</w:t>
            </w:r>
          </w:p>
        </w:tc>
      </w:tr>
      <w:tr w:rsidR="00645809" w:rsidRPr="005863A9" w14:paraId="353EEDB5" w14:textId="77777777" w:rsidTr="00141D8C">
        <w:trPr>
          <w:jc w:val="center"/>
        </w:trPr>
        <w:tc>
          <w:tcPr>
            <w:tcW w:w="1573" w:type="dxa"/>
            <w:shd w:val="clear" w:color="auto" w:fill="B4C6E7"/>
            <w:vAlign w:val="center"/>
          </w:tcPr>
          <w:p w14:paraId="1B0B5DF6" w14:textId="77777777" w:rsidR="00645809" w:rsidRPr="005863A9" w:rsidRDefault="00645809" w:rsidP="00645809">
            <w:pPr>
              <w:rPr>
                <w:b/>
                <w:bCs/>
                <w:sz w:val="22"/>
                <w:szCs w:val="22"/>
              </w:rPr>
            </w:pPr>
            <w:r w:rsidRPr="005863A9">
              <w:rPr>
                <w:b/>
                <w:bCs/>
                <w:sz w:val="22"/>
                <w:szCs w:val="22"/>
              </w:rPr>
              <w:t>2.</w:t>
            </w:r>
          </w:p>
        </w:tc>
        <w:tc>
          <w:tcPr>
            <w:tcW w:w="6622" w:type="dxa"/>
            <w:shd w:val="clear" w:color="auto" w:fill="B4C6E7"/>
            <w:vAlign w:val="center"/>
          </w:tcPr>
          <w:p w14:paraId="1E205F2A" w14:textId="77777777" w:rsidR="00645809" w:rsidRPr="005863A9" w:rsidRDefault="00645809" w:rsidP="00645809">
            <w:pPr>
              <w:jc w:val="both"/>
              <w:rPr>
                <w:b/>
                <w:bCs/>
                <w:sz w:val="22"/>
                <w:szCs w:val="22"/>
              </w:rPr>
            </w:pPr>
            <w:r w:rsidRPr="005863A9">
              <w:rPr>
                <w:b/>
                <w:bCs/>
                <w:sz w:val="22"/>
                <w:szCs w:val="22"/>
              </w:rPr>
              <w:t>DEPÓSITOS MINORISTAS Y DEPÓSITOS EFECTUADOS POR MIPYME</w:t>
            </w:r>
          </w:p>
        </w:tc>
        <w:tc>
          <w:tcPr>
            <w:tcW w:w="1318" w:type="dxa"/>
            <w:shd w:val="clear" w:color="auto" w:fill="B4C6E7"/>
            <w:vAlign w:val="center"/>
          </w:tcPr>
          <w:p w14:paraId="5AEF9BF5" w14:textId="77777777" w:rsidR="00645809" w:rsidRPr="005863A9" w:rsidRDefault="00645809" w:rsidP="00645809">
            <w:pPr>
              <w:rPr>
                <w:b/>
                <w:bCs/>
                <w:sz w:val="22"/>
                <w:szCs w:val="22"/>
              </w:rPr>
            </w:pPr>
          </w:p>
        </w:tc>
      </w:tr>
      <w:tr w:rsidR="00645809" w:rsidRPr="005863A9" w14:paraId="55F49961" w14:textId="77777777" w:rsidTr="00141D8C">
        <w:trPr>
          <w:jc w:val="center"/>
        </w:trPr>
        <w:tc>
          <w:tcPr>
            <w:tcW w:w="1573" w:type="dxa"/>
            <w:shd w:val="clear" w:color="auto" w:fill="auto"/>
            <w:vAlign w:val="center"/>
          </w:tcPr>
          <w:p w14:paraId="4A31FB37" w14:textId="77777777" w:rsidR="00645809" w:rsidRPr="005863A9" w:rsidRDefault="00645809" w:rsidP="00645809">
            <w:pPr>
              <w:pStyle w:val="NormalWeb"/>
              <w:spacing w:before="0" w:beforeAutospacing="0" w:after="0" w:afterAutospacing="0"/>
              <w:jc w:val="center"/>
              <w:rPr>
                <w:rFonts w:ascii="Times New Roman" w:eastAsia="Calibri" w:hAnsi="Times New Roman" w:cs="Times New Roman"/>
                <w:b/>
                <w:bCs/>
                <w:sz w:val="22"/>
                <w:szCs w:val="22"/>
                <w:lang w:eastAsia="en-US"/>
              </w:rPr>
            </w:pPr>
            <w:r w:rsidRPr="005863A9">
              <w:rPr>
                <w:rFonts w:ascii="Times New Roman" w:hAnsi="Times New Roman" w:cs="Times New Roman"/>
                <w:b/>
                <w:bCs/>
                <w:sz w:val="22"/>
                <w:szCs w:val="22"/>
              </w:rPr>
              <w:t>2.1</w:t>
            </w:r>
          </w:p>
        </w:tc>
        <w:tc>
          <w:tcPr>
            <w:tcW w:w="6622" w:type="dxa"/>
            <w:shd w:val="clear" w:color="auto" w:fill="DEEAF6"/>
            <w:vAlign w:val="center"/>
          </w:tcPr>
          <w:p w14:paraId="7A7F4B3D" w14:textId="77777777" w:rsidR="00645809" w:rsidRPr="005863A9" w:rsidRDefault="00645809" w:rsidP="00645809">
            <w:pPr>
              <w:pStyle w:val="NormalWeb"/>
              <w:spacing w:before="0" w:beforeAutospacing="0" w:after="0" w:afterAutospacing="0"/>
              <w:jc w:val="both"/>
              <w:rPr>
                <w:rFonts w:ascii="Times New Roman" w:eastAsia="Calibri" w:hAnsi="Times New Roman" w:cs="Times New Roman"/>
                <w:sz w:val="22"/>
                <w:szCs w:val="22"/>
                <w:lang w:eastAsia="en-US"/>
              </w:rPr>
            </w:pPr>
            <w:r w:rsidRPr="005863A9">
              <w:rPr>
                <w:rFonts w:ascii="Times New Roman" w:eastAsia="Calibri" w:hAnsi="Times New Roman" w:cs="Times New Roman"/>
                <w:b/>
                <w:bCs/>
                <w:sz w:val="22"/>
                <w:szCs w:val="22"/>
                <w:lang w:eastAsia="en-US"/>
              </w:rPr>
              <w:t>Depósitos estables</w:t>
            </w:r>
          </w:p>
        </w:tc>
        <w:tc>
          <w:tcPr>
            <w:tcW w:w="1318" w:type="dxa"/>
            <w:shd w:val="clear" w:color="auto" w:fill="auto"/>
            <w:vAlign w:val="center"/>
          </w:tcPr>
          <w:p w14:paraId="00765056" w14:textId="77777777" w:rsidR="00645809" w:rsidRPr="005863A9" w:rsidRDefault="00645809" w:rsidP="00645809">
            <w:pPr>
              <w:rPr>
                <w:sz w:val="22"/>
                <w:szCs w:val="22"/>
              </w:rPr>
            </w:pPr>
          </w:p>
        </w:tc>
      </w:tr>
      <w:tr w:rsidR="00645809" w:rsidRPr="005863A9" w14:paraId="7B63FC81" w14:textId="77777777" w:rsidTr="00141D8C">
        <w:trPr>
          <w:jc w:val="center"/>
        </w:trPr>
        <w:tc>
          <w:tcPr>
            <w:tcW w:w="1573" w:type="dxa"/>
            <w:shd w:val="clear" w:color="auto" w:fill="auto"/>
            <w:vAlign w:val="center"/>
          </w:tcPr>
          <w:p w14:paraId="23AD098A" w14:textId="77777777" w:rsidR="00645809" w:rsidRPr="005863A9" w:rsidRDefault="00645809" w:rsidP="00645809">
            <w:pPr>
              <w:pStyle w:val="Ttulo3"/>
              <w:keepNext w:val="0"/>
              <w:widowControl w:val="0"/>
              <w:tabs>
                <w:tab w:val="left" w:pos="104"/>
                <w:tab w:val="left" w:pos="246"/>
              </w:tabs>
              <w:jc w:val="center"/>
              <w:rPr>
                <w:rFonts w:eastAsia="Calibri"/>
                <w:b w:val="0"/>
                <w:bCs w:val="0"/>
                <w:sz w:val="22"/>
                <w:szCs w:val="22"/>
                <w:lang w:eastAsia="en-US"/>
              </w:rPr>
            </w:pPr>
            <w:r w:rsidRPr="005863A9">
              <w:rPr>
                <w:b w:val="0"/>
                <w:bCs w:val="0"/>
                <w:sz w:val="22"/>
                <w:szCs w:val="22"/>
              </w:rPr>
              <w:t>i)</w:t>
            </w:r>
          </w:p>
        </w:tc>
        <w:tc>
          <w:tcPr>
            <w:tcW w:w="6622" w:type="dxa"/>
            <w:shd w:val="clear" w:color="auto" w:fill="auto"/>
            <w:vAlign w:val="center"/>
          </w:tcPr>
          <w:p w14:paraId="4053B645" w14:textId="77777777" w:rsidR="00645809" w:rsidRPr="005863A9" w:rsidRDefault="00645809" w:rsidP="00645809">
            <w:pPr>
              <w:pStyle w:val="Ttulo3"/>
              <w:keepNext w:val="0"/>
              <w:widowControl w:val="0"/>
              <w:tabs>
                <w:tab w:val="left" w:pos="104"/>
                <w:tab w:val="left" w:pos="246"/>
              </w:tabs>
              <w:jc w:val="both"/>
              <w:rPr>
                <w:rFonts w:eastAsia="Calibri"/>
                <w:sz w:val="22"/>
                <w:szCs w:val="22"/>
                <w:lang w:eastAsia="en-US"/>
              </w:rPr>
            </w:pPr>
            <w:r w:rsidRPr="005863A9">
              <w:rPr>
                <w:rFonts w:eastAsia="Calibri"/>
                <w:b w:val="0"/>
                <w:bCs w:val="0"/>
                <w:sz w:val="22"/>
                <w:szCs w:val="22"/>
                <w:lang w:eastAsia="en-US"/>
              </w:rPr>
              <w:t xml:space="preserve">El importe total de obligaciones con el público a plazo minoristas y MiPyME con </w:t>
            </w:r>
            <w:r w:rsidRPr="005863A9">
              <w:rPr>
                <w:rFonts w:eastAsia="Calibri"/>
                <w:b w:val="0"/>
                <w:bCs w:val="0"/>
                <w:color w:val="4472C4"/>
                <w:sz w:val="22"/>
                <w:szCs w:val="22"/>
                <w:lang w:eastAsia="en-US"/>
              </w:rPr>
              <w:t>vencimiento residual efectivo igual o superior a un año.</w:t>
            </w:r>
          </w:p>
        </w:tc>
        <w:tc>
          <w:tcPr>
            <w:tcW w:w="1318" w:type="dxa"/>
            <w:shd w:val="clear" w:color="auto" w:fill="auto"/>
            <w:vAlign w:val="center"/>
          </w:tcPr>
          <w:p w14:paraId="66844550" w14:textId="77777777" w:rsidR="00645809" w:rsidRPr="005863A9" w:rsidRDefault="00645809" w:rsidP="00645809">
            <w:pPr>
              <w:rPr>
                <w:sz w:val="22"/>
                <w:szCs w:val="22"/>
              </w:rPr>
            </w:pPr>
            <w:r w:rsidRPr="005863A9">
              <w:rPr>
                <w:sz w:val="22"/>
                <w:szCs w:val="22"/>
              </w:rPr>
              <w:t>100%</w:t>
            </w:r>
          </w:p>
        </w:tc>
      </w:tr>
      <w:tr w:rsidR="00645809" w:rsidRPr="005863A9" w14:paraId="34A057A7" w14:textId="77777777" w:rsidTr="00141D8C">
        <w:trPr>
          <w:jc w:val="center"/>
        </w:trPr>
        <w:tc>
          <w:tcPr>
            <w:tcW w:w="1573" w:type="dxa"/>
            <w:shd w:val="clear" w:color="auto" w:fill="auto"/>
            <w:vAlign w:val="center"/>
          </w:tcPr>
          <w:p w14:paraId="45DAD706" w14:textId="77777777" w:rsidR="00645809" w:rsidRPr="005863A9" w:rsidRDefault="00645809" w:rsidP="00645809">
            <w:pPr>
              <w:pStyle w:val="NormalWeb"/>
              <w:spacing w:before="0" w:beforeAutospacing="0" w:after="0" w:afterAutospacing="0"/>
              <w:jc w:val="center"/>
              <w:rPr>
                <w:rFonts w:ascii="Times New Roman" w:eastAsia="Calibri" w:hAnsi="Times New Roman" w:cs="Times New Roman"/>
                <w:sz w:val="22"/>
                <w:szCs w:val="22"/>
                <w:lang w:eastAsia="en-US"/>
              </w:rPr>
            </w:pPr>
            <w:r w:rsidRPr="005863A9">
              <w:rPr>
                <w:rFonts w:ascii="Times New Roman" w:hAnsi="Times New Roman" w:cs="Times New Roman"/>
                <w:sz w:val="22"/>
                <w:szCs w:val="22"/>
              </w:rPr>
              <w:t>ii)</w:t>
            </w:r>
          </w:p>
        </w:tc>
        <w:tc>
          <w:tcPr>
            <w:tcW w:w="6622" w:type="dxa"/>
            <w:shd w:val="clear" w:color="auto" w:fill="auto"/>
            <w:vAlign w:val="center"/>
          </w:tcPr>
          <w:p w14:paraId="7777EC40" w14:textId="77777777" w:rsidR="00645809" w:rsidRPr="005863A9" w:rsidRDefault="00645809" w:rsidP="00645809">
            <w:pPr>
              <w:pStyle w:val="NormalWeb"/>
              <w:spacing w:before="0" w:beforeAutospacing="0" w:after="0" w:afterAutospacing="0"/>
              <w:jc w:val="both"/>
              <w:rPr>
                <w:rFonts w:ascii="Times New Roman" w:eastAsia="Calibri" w:hAnsi="Times New Roman" w:cs="Times New Roman"/>
                <w:sz w:val="22"/>
                <w:szCs w:val="22"/>
                <w:lang w:eastAsia="en-US"/>
              </w:rPr>
            </w:pPr>
            <w:r w:rsidRPr="005863A9">
              <w:rPr>
                <w:rFonts w:ascii="Times New Roman" w:eastAsia="Calibri" w:hAnsi="Times New Roman" w:cs="Times New Roman"/>
                <w:sz w:val="22"/>
                <w:szCs w:val="22"/>
                <w:lang w:eastAsia="en-US"/>
              </w:rPr>
              <w:t>Obligaciones con el público a la vista y a plazo con</w:t>
            </w:r>
            <w:r w:rsidRPr="005863A9">
              <w:rPr>
                <w:rFonts w:ascii="Times New Roman" w:eastAsia="Calibri" w:hAnsi="Times New Roman" w:cs="Times New Roman"/>
                <w:color w:val="4472C4"/>
                <w:sz w:val="22"/>
                <w:szCs w:val="22"/>
                <w:lang w:eastAsia="en-US"/>
              </w:rPr>
              <w:t xml:space="preserve"> vencimiento residual inferior a un año</w:t>
            </w:r>
            <w:r w:rsidRPr="005863A9">
              <w:rPr>
                <w:rFonts w:ascii="Times New Roman" w:eastAsia="Calibri" w:hAnsi="Times New Roman" w:cs="Times New Roman"/>
                <w:sz w:val="22"/>
                <w:szCs w:val="22"/>
                <w:lang w:eastAsia="en-US"/>
              </w:rPr>
              <w:t xml:space="preserve"> realizados por clientes minoristas y MiPyME.</w:t>
            </w:r>
          </w:p>
        </w:tc>
        <w:tc>
          <w:tcPr>
            <w:tcW w:w="1318" w:type="dxa"/>
            <w:shd w:val="clear" w:color="auto" w:fill="auto"/>
            <w:vAlign w:val="center"/>
          </w:tcPr>
          <w:p w14:paraId="4EAF42BE" w14:textId="77777777" w:rsidR="00645809" w:rsidRPr="005863A9" w:rsidRDefault="00645809" w:rsidP="00645809">
            <w:pPr>
              <w:rPr>
                <w:sz w:val="22"/>
                <w:szCs w:val="22"/>
              </w:rPr>
            </w:pPr>
            <w:r w:rsidRPr="005863A9">
              <w:rPr>
                <w:sz w:val="22"/>
                <w:szCs w:val="22"/>
              </w:rPr>
              <w:t>95%</w:t>
            </w:r>
          </w:p>
        </w:tc>
      </w:tr>
      <w:tr w:rsidR="00645809" w:rsidRPr="005863A9" w14:paraId="12B91F43" w14:textId="77777777" w:rsidTr="00141D8C">
        <w:trPr>
          <w:jc w:val="center"/>
        </w:trPr>
        <w:tc>
          <w:tcPr>
            <w:tcW w:w="1573" w:type="dxa"/>
            <w:shd w:val="clear" w:color="auto" w:fill="auto"/>
            <w:vAlign w:val="center"/>
          </w:tcPr>
          <w:p w14:paraId="064F7957" w14:textId="77777777" w:rsidR="00645809" w:rsidRPr="005863A9" w:rsidRDefault="00645809" w:rsidP="00645809">
            <w:pPr>
              <w:pStyle w:val="NormalWeb"/>
              <w:spacing w:before="0" w:beforeAutospacing="0" w:after="0" w:afterAutospacing="0"/>
              <w:jc w:val="center"/>
              <w:rPr>
                <w:rFonts w:ascii="Times New Roman" w:eastAsia="Calibri" w:hAnsi="Times New Roman" w:cs="Times New Roman"/>
                <w:b/>
                <w:bCs/>
                <w:sz w:val="22"/>
                <w:szCs w:val="22"/>
                <w:lang w:eastAsia="en-US"/>
              </w:rPr>
            </w:pPr>
            <w:r w:rsidRPr="005863A9">
              <w:rPr>
                <w:rFonts w:ascii="Times New Roman" w:hAnsi="Times New Roman" w:cs="Times New Roman"/>
                <w:b/>
                <w:bCs/>
                <w:sz w:val="22"/>
                <w:szCs w:val="22"/>
              </w:rPr>
              <w:t>2.2</w:t>
            </w:r>
          </w:p>
        </w:tc>
        <w:tc>
          <w:tcPr>
            <w:tcW w:w="6622" w:type="dxa"/>
            <w:shd w:val="clear" w:color="auto" w:fill="DEEAF6"/>
            <w:vAlign w:val="center"/>
          </w:tcPr>
          <w:p w14:paraId="31EE9FA6" w14:textId="77777777" w:rsidR="00645809" w:rsidRPr="005863A9" w:rsidRDefault="00645809" w:rsidP="00645809">
            <w:pPr>
              <w:pStyle w:val="NormalWeb"/>
              <w:spacing w:before="0" w:beforeAutospacing="0" w:after="0" w:afterAutospacing="0"/>
              <w:jc w:val="both"/>
              <w:rPr>
                <w:rFonts w:ascii="Times New Roman" w:eastAsia="Calibri" w:hAnsi="Times New Roman" w:cs="Times New Roman"/>
                <w:sz w:val="22"/>
                <w:szCs w:val="22"/>
                <w:lang w:eastAsia="en-US"/>
              </w:rPr>
            </w:pPr>
            <w:r w:rsidRPr="005863A9">
              <w:rPr>
                <w:rFonts w:ascii="Times New Roman" w:eastAsia="Calibri" w:hAnsi="Times New Roman" w:cs="Times New Roman"/>
                <w:b/>
                <w:bCs/>
                <w:sz w:val="22"/>
                <w:szCs w:val="22"/>
                <w:lang w:eastAsia="en-US"/>
              </w:rPr>
              <w:t>Depósitos menos estables</w:t>
            </w:r>
          </w:p>
        </w:tc>
        <w:tc>
          <w:tcPr>
            <w:tcW w:w="1318" w:type="dxa"/>
            <w:shd w:val="clear" w:color="auto" w:fill="auto"/>
            <w:vAlign w:val="center"/>
          </w:tcPr>
          <w:p w14:paraId="2A6F811E" w14:textId="77777777" w:rsidR="00645809" w:rsidRPr="005863A9" w:rsidRDefault="00645809" w:rsidP="00645809">
            <w:pPr>
              <w:rPr>
                <w:sz w:val="22"/>
                <w:szCs w:val="22"/>
              </w:rPr>
            </w:pPr>
          </w:p>
        </w:tc>
      </w:tr>
      <w:tr w:rsidR="00645809" w:rsidRPr="005863A9" w14:paraId="77CBD64C" w14:textId="77777777" w:rsidTr="00141D8C">
        <w:trPr>
          <w:jc w:val="center"/>
        </w:trPr>
        <w:tc>
          <w:tcPr>
            <w:tcW w:w="1573" w:type="dxa"/>
            <w:shd w:val="clear" w:color="auto" w:fill="auto"/>
            <w:vAlign w:val="center"/>
          </w:tcPr>
          <w:p w14:paraId="62F10C21" w14:textId="77777777" w:rsidR="00645809" w:rsidRPr="005863A9" w:rsidRDefault="00645809" w:rsidP="00645809">
            <w:pPr>
              <w:pStyle w:val="NormalWeb"/>
              <w:spacing w:before="0" w:beforeAutospacing="0" w:after="0" w:afterAutospacing="0"/>
              <w:jc w:val="center"/>
              <w:rPr>
                <w:rFonts w:ascii="Times New Roman" w:eastAsia="Calibri" w:hAnsi="Times New Roman" w:cs="Times New Roman"/>
                <w:sz w:val="22"/>
                <w:szCs w:val="22"/>
                <w:lang w:eastAsia="en-US"/>
              </w:rPr>
            </w:pPr>
            <w:r w:rsidRPr="005863A9">
              <w:rPr>
                <w:rFonts w:ascii="Times New Roman" w:hAnsi="Times New Roman" w:cs="Times New Roman"/>
                <w:sz w:val="22"/>
                <w:szCs w:val="22"/>
              </w:rPr>
              <w:t>i)</w:t>
            </w:r>
          </w:p>
        </w:tc>
        <w:tc>
          <w:tcPr>
            <w:tcW w:w="6622" w:type="dxa"/>
            <w:shd w:val="clear" w:color="auto" w:fill="auto"/>
            <w:vAlign w:val="center"/>
          </w:tcPr>
          <w:p w14:paraId="546B3012" w14:textId="77777777" w:rsidR="00645809" w:rsidRPr="005863A9" w:rsidRDefault="00645809" w:rsidP="00645809">
            <w:pPr>
              <w:pStyle w:val="NormalWeb"/>
              <w:spacing w:before="0" w:beforeAutospacing="0" w:after="0" w:afterAutospacing="0"/>
              <w:jc w:val="both"/>
              <w:rPr>
                <w:rFonts w:ascii="Times New Roman" w:hAnsi="Times New Roman" w:cs="Times New Roman"/>
                <w:sz w:val="22"/>
                <w:szCs w:val="22"/>
              </w:rPr>
            </w:pPr>
            <w:r w:rsidRPr="005863A9">
              <w:rPr>
                <w:rFonts w:ascii="Times New Roman" w:eastAsia="Calibri" w:hAnsi="Times New Roman" w:cs="Times New Roman"/>
                <w:sz w:val="22"/>
                <w:szCs w:val="22"/>
                <w:lang w:eastAsia="en-US"/>
              </w:rPr>
              <w:t xml:space="preserve">El importe total de obligaciones con el público a plazo minoristas y MiPyME </w:t>
            </w:r>
            <w:r w:rsidRPr="005863A9">
              <w:rPr>
                <w:rFonts w:ascii="Times New Roman" w:eastAsia="Calibri" w:hAnsi="Times New Roman" w:cs="Times New Roman"/>
                <w:color w:val="4472C4"/>
                <w:sz w:val="22"/>
                <w:szCs w:val="22"/>
                <w:lang w:eastAsia="en-US"/>
              </w:rPr>
              <w:t>con vencimiento residual efectivo igual o superior a un año</w:t>
            </w:r>
            <w:r w:rsidRPr="005863A9">
              <w:rPr>
                <w:rFonts w:ascii="Times New Roman" w:eastAsia="Calibri" w:hAnsi="Times New Roman" w:cs="Times New Roman"/>
                <w:sz w:val="22"/>
                <w:szCs w:val="22"/>
                <w:lang w:eastAsia="en-US"/>
              </w:rPr>
              <w:t>.</w:t>
            </w:r>
          </w:p>
        </w:tc>
        <w:tc>
          <w:tcPr>
            <w:tcW w:w="1318" w:type="dxa"/>
            <w:shd w:val="clear" w:color="auto" w:fill="auto"/>
            <w:vAlign w:val="center"/>
          </w:tcPr>
          <w:p w14:paraId="2F1FF377" w14:textId="77777777" w:rsidR="00645809" w:rsidRPr="005863A9" w:rsidRDefault="00645809" w:rsidP="00645809">
            <w:pPr>
              <w:rPr>
                <w:sz w:val="22"/>
                <w:szCs w:val="22"/>
              </w:rPr>
            </w:pPr>
            <w:r w:rsidRPr="005863A9">
              <w:rPr>
                <w:sz w:val="22"/>
                <w:szCs w:val="22"/>
              </w:rPr>
              <w:t>100%</w:t>
            </w:r>
          </w:p>
        </w:tc>
      </w:tr>
      <w:tr w:rsidR="00645809" w:rsidRPr="005863A9" w14:paraId="5B4190B8" w14:textId="77777777" w:rsidTr="00141D8C">
        <w:trPr>
          <w:jc w:val="center"/>
        </w:trPr>
        <w:tc>
          <w:tcPr>
            <w:tcW w:w="1573" w:type="dxa"/>
            <w:shd w:val="clear" w:color="auto" w:fill="auto"/>
            <w:vAlign w:val="center"/>
          </w:tcPr>
          <w:p w14:paraId="61E9190B" w14:textId="77777777" w:rsidR="00645809" w:rsidRPr="005863A9" w:rsidRDefault="00645809" w:rsidP="00645809">
            <w:pPr>
              <w:pStyle w:val="NormalWeb"/>
              <w:spacing w:before="0" w:beforeAutospacing="0" w:after="0" w:afterAutospacing="0"/>
              <w:jc w:val="center"/>
              <w:rPr>
                <w:rFonts w:ascii="Times New Roman" w:eastAsia="Calibri" w:hAnsi="Times New Roman" w:cs="Times New Roman"/>
                <w:sz w:val="22"/>
                <w:szCs w:val="22"/>
                <w:lang w:eastAsia="en-US"/>
              </w:rPr>
            </w:pPr>
            <w:r w:rsidRPr="005863A9">
              <w:rPr>
                <w:rFonts w:ascii="Times New Roman" w:hAnsi="Times New Roman" w:cs="Times New Roman"/>
                <w:sz w:val="22"/>
                <w:szCs w:val="22"/>
              </w:rPr>
              <w:t>ii)</w:t>
            </w:r>
          </w:p>
        </w:tc>
        <w:tc>
          <w:tcPr>
            <w:tcW w:w="6622" w:type="dxa"/>
            <w:shd w:val="clear" w:color="auto" w:fill="auto"/>
            <w:vAlign w:val="center"/>
          </w:tcPr>
          <w:p w14:paraId="4672A984" w14:textId="77777777" w:rsidR="00645809" w:rsidRPr="005863A9" w:rsidRDefault="00645809" w:rsidP="00645809">
            <w:pPr>
              <w:pStyle w:val="NormalWeb"/>
              <w:spacing w:before="0" w:beforeAutospacing="0" w:after="0" w:afterAutospacing="0"/>
              <w:jc w:val="both"/>
              <w:rPr>
                <w:rFonts w:ascii="Times New Roman" w:hAnsi="Times New Roman" w:cs="Times New Roman"/>
                <w:sz w:val="22"/>
                <w:szCs w:val="22"/>
              </w:rPr>
            </w:pPr>
            <w:r w:rsidRPr="005863A9">
              <w:rPr>
                <w:rFonts w:ascii="Times New Roman" w:eastAsia="Calibri" w:hAnsi="Times New Roman" w:cs="Times New Roman"/>
                <w:sz w:val="22"/>
                <w:szCs w:val="22"/>
                <w:lang w:eastAsia="en-US"/>
              </w:rPr>
              <w:t xml:space="preserve">Obligaciones con el público a la vista y a plazo con </w:t>
            </w:r>
            <w:r w:rsidRPr="005863A9">
              <w:rPr>
                <w:rFonts w:ascii="Times New Roman" w:eastAsia="Calibri" w:hAnsi="Times New Roman" w:cs="Times New Roman"/>
                <w:color w:val="4472C4"/>
                <w:sz w:val="22"/>
                <w:szCs w:val="22"/>
                <w:lang w:eastAsia="en-US"/>
              </w:rPr>
              <w:t>vencimiento residual inferior a un año</w:t>
            </w:r>
            <w:r w:rsidRPr="005863A9">
              <w:rPr>
                <w:rFonts w:ascii="Times New Roman" w:eastAsia="Calibri" w:hAnsi="Times New Roman" w:cs="Times New Roman"/>
                <w:sz w:val="22"/>
                <w:szCs w:val="22"/>
                <w:lang w:eastAsia="en-US"/>
              </w:rPr>
              <w:t>, realizados por clientes minoristas y MiPyME.</w:t>
            </w:r>
          </w:p>
        </w:tc>
        <w:tc>
          <w:tcPr>
            <w:tcW w:w="1318" w:type="dxa"/>
            <w:shd w:val="clear" w:color="auto" w:fill="auto"/>
            <w:vAlign w:val="center"/>
          </w:tcPr>
          <w:p w14:paraId="37DE03B9" w14:textId="77777777" w:rsidR="00645809" w:rsidRPr="005863A9" w:rsidRDefault="00645809" w:rsidP="00645809">
            <w:pPr>
              <w:rPr>
                <w:sz w:val="22"/>
                <w:szCs w:val="22"/>
              </w:rPr>
            </w:pPr>
            <w:r w:rsidRPr="005863A9">
              <w:rPr>
                <w:sz w:val="22"/>
                <w:szCs w:val="22"/>
              </w:rPr>
              <w:t>90%</w:t>
            </w:r>
          </w:p>
        </w:tc>
      </w:tr>
      <w:tr w:rsidR="00645809" w:rsidRPr="005863A9" w14:paraId="33817BB9" w14:textId="77777777" w:rsidTr="00141D8C">
        <w:trPr>
          <w:jc w:val="center"/>
        </w:trPr>
        <w:tc>
          <w:tcPr>
            <w:tcW w:w="1573" w:type="dxa"/>
            <w:shd w:val="clear" w:color="auto" w:fill="B4C6E7"/>
            <w:vAlign w:val="center"/>
          </w:tcPr>
          <w:p w14:paraId="7D59CBBD" w14:textId="77777777" w:rsidR="00645809" w:rsidRPr="005863A9" w:rsidRDefault="00645809" w:rsidP="00645809">
            <w:pPr>
              <w:rPr>
                <w:b/>
                <w:bCs/>
                <w:sz w:val="22"/>
                <w:szCs w:val="22"/>
              </w:rPr>
            </w:pPr>
            <w:r w:rsidRPr="005863A9">
              <w:rPr>
                <w:b/>
                <w:bCs/>
                <w:sz w:val="22"/>
                <w:szCs w:val="22"/>
              </w:rPr>
              <w:t>3.</w:t>
            </w:r>
          </w:p>
        </w:tc>
        <w:tc>
          <w:tcPr>
            <w:tcW w:w="6622" w:type="dxa"/>
            <w:shd w:val="clear" w:color="auto" w:fill="B4C6E7"/>
            <w:vAlign w:val="center"/>
          </w:tcPr>
          <w:p w14:paraId="78EA1D40" w14:textId="77777777" w:rsidR="00645809" w:rsidRPr="005863A9" w:rsidRDefault="00645809" w:rsidP="00645809">
            <w:pPr>
              <w:jc w:val="both"/>
              <w:rPr>
                <w:b/>
                <w:bCs/>
                <w:sz w:val="22"/>
                <w:szCs w:val="22"/>
              </w:rPr>
            </w:pPr>
            <w:r w:rsidRPr="005863A9">
              <w:rPr>
                <w:b/>
                <w:bCs/>
                <w:sz w:val="22"/>
                <w:szCs w:val="22"/>
              </w:rPr>
              <w:t>OBLIGACIONES MAYORISTAS</w:t>
            </w:r>
          </w:p>
        </w:tc>
        <w:tc>
          <w:tcPr>
            <w:tcW w:w="1318" w:type="dxa"/>
            <w:shd w:val="clear" w:color="auto" w:fill="B4C6E7"/>
            <w:vAlign w:val="center"/>
          </w:tcPr>
          <w:p w14:paraId="48710960" w14:textId="77777777" w:rsidR="00645809" w:rsidRPr="005863A9" w:rsidRDefault="00645809" w:rsidP="00645809">
            <w:pPr>
              <w:rPr>
                <w:b/>
                <w:bCs/>
                <w:sz w:val="22"/>
                <w:szCs w:val="22"/>
              </w:rPr>
            </w:pPr>
          </w:p>
        </w:tc>
      </w:tr>
      <w:tr w:rsidR="00645809" w:rsidRPr="005863A9" w14:paraId="705C8894" w14:textId="77777777" w:rsidTr="00141D8C">
        <w:trPr>
          <w:jc w:val="center"/>
        </w:trPr>
        <w:tc>
          <w:tcPr>
            <w:tcW w:w="1573" w:type="dxa"/>
            <w:shd w:val="clear" w:color="auto" w:fill="auto"/>
            <w:vAlign w:val="center"/>
          </w:tcPr>
          <w:p w14:paraId="09742581" w14:textId="77777777" w:rsidR="00645809" w:rsidRPr="005863A9" w:rsidRDefault="00645809" w:rsidP="00645809">
            <w:pPr>
              <w:rPr>
                <w:b/>
                <w:bCs/>
                <w:sz w:val="22"/>
                <w:szCs w:val="22"/>
              </w:rPr>
            </w:pPr>
            <w:r w:rsidRPr="005863A9">
              <w:rPr>
                <w:b/>
                <w:bCs/>
                <w:sz w:val="22"/>
                <w:szCs w:val="22"/>
              </w:rPr>
              <w:t>3.1</w:t>
            </w:r>
          </w:p>
        </w:tc>
        <w:tc>
          <w:tcPr>
            <w:tcW w:w="6622" w:type="dxa"/>
            <w:shd w:val="clear" w:color="auto" w:fill="DEEAF6"/>
            <w:vAlign w:val="center"/>
          </w:tcPr>
          <w:p w14:paraId="47CF694E" w14:textId="77777777" w:rsidR="00645809" w:rsidRPr="005863A9" w:rsidRDefault="00645809" w:rsidP="00645809">
            <w:pPr>
              <w:jc w:val="both"/>
              <w:rPr>
                <w:b/>
                <w:bCs/>
                <w:sz w:val="22"/>
                <w:szCs w:val="22"/>
              </w:rPr>
            </w:pPr>
            <w:r w:rsidRPr="005863A9">
              <w:rPr>
                <w:b/>
                <w:bCs/>
                <w:sz w:val="22"/>
                <w:szCs w:val="22"/>
              </w:rPr>
              <w:t xml:space="preserve">Depósitos operativos </w:t>
            </w:r>
          </w:p>
        </w:tc>
        <w:tc>
          <w:tcPr>
            <w:tcW w:w="1318" w:type="dxa"/>
            <w:shd w:val="clear" w:color="auto" w:fill="auto"/>
            <w:vAlign w:val="center"/>
          </w:tcPr>
          <w:p w14:paraId="7B07ABF3" w14:textId="77777777" w:rsidR="00645809" w:rsidRPr="005863A9" w:rsidRDefault="00645809" w:rsidP="00645809">
            <w:pPr>
              <w:rPr>
                <w:sz w:val="22"/>
                <w:szCs w:val="22"/>
              </w:rPr>
            </w:pPr>
          </w:p>
        </w:tc>
      </w:tr>
      <w:tr w:rsidR="00645809" w:rsidRPr="005863A9" w14:paraId="2E19AAC8" w14:textId="77777777" w:rsidTr="00141D8C">
        <w:trPr>
          <w:jc w:val="center"/>
        </w:trPr>
        <w:tc>
          <w:tcPr>
            <w:tcW w:w="1573" w:type="dxa"/>
            <w:shd w:val="clear" w:color="auto" w:fill="auto"/>
            <w:vAlign w:val="center"/>
          </w:tcPr>
          <w:p w14:paraId="28F086FC" w14:textId="77777777" w:rsidR="00645809" w:rsidRPr="005863A9" w:rsidRDefault="00645809" w:rsidP="00645809">
            <w:pPr>
              <w:rPr>
                <w:sz w:val="22"/>
                <w:szCs w:val="22"/>
              </w:rPr>
            </w:pPr>
            <w:r w:rsidRPr="005863A9">
              <w:rPr>
                <w:sz w:val="22"/>
                <w:szCs w:val="22"/>
              </w:rPr>
              <w:t>i)</w:t>
            </w:r>
          </w:p>
        </w:tc>
        <w:tc>
          <w:tcPr>
            <w:tcW w:w="6622" w:type="dxa"/>
            <w:shd w:val="clear" w:color="auto" w:fill="auto"/>
            <w:vAlign w:val="center"/>
          </w:tcPr>
          <w:p w14:paraId="2E7736B5" w14:textId="77777777" w:rsidR="00645809" w:rsidRPr="005863A9" w:rsidRDefault="00645809" w:rsidP="00645809">
            <w:pPr>
              <w:jc w:val="both"/>
              <w:rPr>
                <w:sz w:val="22"/>
                <w:szCs w:val="22"/>
              </w:rPr>
            </w:pPr>
            <w:r w:rsidRPr="005863A9">
              <w:rPr>
                <w:sz w:val="22"/>
                <w:szCs w:val="22"/>
              </w:rPr>
              <w:t>Obligaciones con el público utilizados como depósitos operativos generados a raíz de actividades de compensación, custodia y gestión de tesorería.</w:t>
            </w:r>
          </w:p>
        </w:tc>
        <w:tc>
          <w:tcPr>
            <w:tcW w:w="1318" w:type="dxa"/>
            <w:shd w:val="clear" w:color="auto" w:fill="auto"/>
            <w:vAlign w:val="center"/>
          </w:tcPr>
          <w:p w14:paraId="2E7A8A55" w14:textId="77777777" w:rsidR="00645809" w:rsidRPr="005863A9" w:rsidRDefault="00645809" w:rsidP="00645809">
            <w:pPr>
              <w:rPr>
                <w:sz w:val="22"/>
                <w:szCs w:val="22"/>
              </w:rPr>
            </w:pPr>
            <w:r w:rsidRPr="005863A9">
              <w:rPr>
                <w:sz w:val="22"/>
                <w:szCs w:val="22"/>
              </w:rPr>
              <w:t>50%</w:t>
            </w:r>
          </w:p>
        </w:tc>
      </w:tr>
      <w:tr w:rsidR="00645809" w:rsidRPr="005863A9" w14:paraId="7EC9AA48" w14:textId="77777777" w:rsidTr="00141D8C">
        <w:trPr>
          <w:jc w:val="center"/>
        </w:trPr>
        <w:tc>
          <w:tcPr>
            <w:tcW w:w="1573" w:type="dxa"/>
            <w:shd w:val="clear" w:color="auto" w:fill="auto"/>
            <w:vAlign w:val="center"/>
          </w:tcPr>
          <w:p w14:paraId="29B99492" w14:textId="77777777" w:rsidR="00645809" w:rsidRPr="005863A9" w:rsidRDefault="00645809" w:rsidP="00645809">
            <w:pPr>
              <w:rPr>
                <w:b/>
                <w:bCs/>
                <w:sz w:val="22"/>
                <w:szCs w:val="22"/>
              </w:rPr>
            </w:pPr>
            <w:r w:rsidRPr="005863A9">
              <w:rPr>
                <w:b/>
                <w:bCs/>
                <w:sz w:val="22"/>
                <w:szCs w:val="22"/>
              </w:rPr>
              <w:t>3.2</w:t>
            </w:r>
          </w:p>
        </w:tc>
        <w:tc>
          <w:tcPr>
            <w:tcW w:w="6622" w:type="dxa"/>
            <w:shd w:val="clear" w:color="auto" w:fill="DEEAF6"/>
            <w:vAlign w:val="center"/>
          </w:tcPr>
          <w:p w14:paraId="4F857DAE" w14:textId="77777777" w:rsidR="00645809" w:rsidRPr="005863A9" w:rsidRDefault="00645809" w:rsidP="00645809">
            <w:pPr>
              <w:jc w:val="both"/>
              <w:rPr>
                <w:b/>
                <w:bCs/>
                <w:sz w:val="22"/>
                <w:szCs w:val="22"/>
              </w:rPr>
            </w:pPr>
            <w:r w:rsidRPr="005863A9">
              <w:rPr>
                <w:b/>
                <w:bCs/>
                <w:sz w:val="22"/>
                <w:szCs w:val="22"/>
              </w:rPr>
              <w:t>Otras obligaciones mayoristas</w:t>
            </w:r>
          </w:p>
        </w:tc>
        <w:tc>
          <w:tcPr>
            <w:tcW w:w="1318" w:type="dxa"/>
            <w:shd w:val="clear" w:color="auto" w:fill="auto"/>
            <w:vAlign w:val="center"/>
          </w:tcPr>
          <w:p w14:paraId="4F33517B" w14:textId="77777777" w:rsidR="00645809" w:rsidRPr="005863A9" w:rsidRDefault="00645809" w:rsidP="00645809">
            <w:pPr>
              <w:rPr>
                <w:sz w:val="22"/>
                <w:szCs w:val="22"/>
              </w:rPr>
            </w:pPr>
          </w:p>
        </w:tc>
      </w:tr>
      <w:tr w:rsidR="00645809" w:rsidRPr="005863A9" w14:paraId="6C8C39BF" w14:textId="77777777" w:rsidTr="00141D8C">
        <w:trPr>
          <w:jc w:val="center"/>
        </w:trPr>
        <w:tc>
          <w:tcPr>
            <w:tcW w:w="1573" w:type="dxa"/>
            <w:shd w:val="clear" w:color="auto" w:fill="auto"/>
            <w:vAlign w:val="center"/>
          </w:tcPr>
          <w:p w14:paraId="19967AC1" w14:textId="77777777" w:rsidR="00645809" w:rsidRPr="005863A9" w:rsidRDefault="00645809" w:rsidP="00645809">
            <w:pPr>
              <w:rPr>
                <w:sz w:val="22"/>
                <w:szCs w:val="22"/>
              </w:rPr>
            </w:pPr>
            <w:r w:rsidRPr="005863A9">
              <w:rPr>
                <w:sz w:val="22"/>
                <w:szCs w:val="22"/>
              </w:rPr>
              <w:lastRenderedPageBreak/>
              <w:t>i)</w:t>
            </w:r>
          </w:p>
        </w:tc>
        <w:tc>
          <w:tcPr>
            <w:tcW w:w="6622" w:type="dxa"/>
            <w:shd w:val="clear" w:color="auto" w:fill="auto"/>
            <w:vAlign w:val="center"/>
          </w:tcPr>
          <w:p w14:paraId="3CEFF57C" w14:textId="77777777" w:rsidR="00645809" w:rsidRPr="005863A9" w:rsidRDefault="00645809" w:rsidP="00645809">
            <w:pPr>
              <w:jc w:val="both"/>
              <w:rPr>
                <w:sz w:val="22"/>
                <w:szCs w:val="22"/>
              </w:rPr>
            </w:pPr>
            <w:r w:rsidRPr="005863A9">
              <w:rPr>
                <w:sz w:val="22"/>
                <w:szCs w:val="22"/>
              </w:rPr>
              <w:t xml:space="preserve">Obligaciones con el público y obligaciones </w:t>
            </w:r>
            <w:r w:rsidRPr="005863A9">
              <w:rPr>
                <w:color w:val="000000"/>
                <w:sz w:val="22"/>
                <w:szCs w:val="22"/>
              </w:rPr>
              <w:t>con banco central,</w:t>
            </w:r>
            <w:r w:rsidRPr="005863A9">
              <w:rPr>
                <w:b/>
                <w:bCs/>
                <w:color w:val="000000"/>
                <w:sz w:val="22"/>
                <w:szCs w:val="22"/>
              </w:rPr>
              <w:t xml:space="preserve"> </w:t>
            </w:r>
            <w:r w:rsidRPr="005863A9">
              <w:rPr>
                <w:color w:val="000000"/>
                <w:sz w:val="22"/>
                <w:szCs w:val="22"/>
              </w:rPr>
              <w:t xml:space="preserve">entidades financieras, entidades no financieras, gobierno central, entidades del sector público no pertenecientes al gobierno central y bancos multilaterales de desarrollo </w:t>
            </w:r>
            <w:r w:rsidRPr="005863A9">
              <w:rPr>
                <w:sz w:val="22"/>
                <w:szCs w:val="22"/>
              </w:rPr>
              <w:t xml:space="preserve">con </w:t>
            </w:r>
            <w:r w:rsidRPr="005863A9">
              <w:rPr>
                <w:color w:val="4472C4"/>
                <w:sz w:val="22"/>
                <w:szCs w:val="22"/>
              </w:rPr>
              <w:t>vencimiento residual efectivo igual o superior a un año.</w:t>
            </w:r>
          </w:p>
        </w:tc>
        <w:tc>
          <w:tcPr>
            <w:tcW w:w="1318" w:type="dxa"/>
            <w:shd w:val="clear" w:color="auto" w:fill="auto"/>
            <w:vAlign w:val="center"/>
          </w:tcPr>
          <w:p w14:paraId="5CA978CD" w14:textId="77777777" w:rsidR="00645809" w:rsidRPr="005863A9" w:rsidRDefault="00645809" w:rsidP="00645809">
            <w:pPr>
              <w:rPr>
                <w:sz w:val="22"/>
                <w:szCs w:val="22"/>
              </w:rPr>
            </w:pPr>
            <w:r w:rsidRPr="005863A9">
              <w:rPr>
                <w:sz w:val="22"/>
                <w:szCs w:val="22"/>
              </w:rPr>
              <w:t>100%</w:t>
            </w:r>
          </w:p>
        </w:tc>
      </w:tr>
      <w:tr w:rsidR="00645809" w:rsidRPr="005863A9" w14:paraId="6B365805" w14:textId="77777777" w:rsidTr="00141D8C">
        <w:trPr>
          <w:jc w:val="center"/>
        </w:trPr>
        <w:tc>
          <w:tcPr>
            <w:tcW w:w="1573" w:type="dxa"/>
            <w:shd w:val="clear" w:color="auto" w:fill="auto"/>
            <w:vAlign w:val="center"/>
          </w:tcPr>
          <w:p w14:paraId="5A903618" w14:textId="77777777" w:rsidR="00645809" w:rsidRPr="005863A9" w:rsidRDefault="00645809" w:rsidP="00645809">
            <w:pPr>
              <w:rPr>
                <w:sz w:val="22"/>
                <w:szCs w:val="22"/>
              </w:rPr>
            </w:pPr>
            <w:r w:rsidRPr="005863A9">
              <w:rPr>
                <w:sz w:val="22"/>
                <w:szCs w:val="22"/>
              </w:rPr>
              <w:t>ii)</w:t>
            </w:r>
          </w:p>
        </w:tc>
        <w:tc>
          <w:tcPr>
            <w:tcW w:w="6622" w:type="dxa"/>
            <w:shd w:val="clear" w:color="auto" w:fill="auto"/>
            <w:vAlign w:val="center"/>
          </w:tcPr>
          <w:p w14:paraId="69780B29" w14:textId="77777777" w:rsidR="00645809" w:rsidRPr="005863A9" w:rsidRDefault="00645809" w:rsidP="00645809">
            <w:pPr>
              <w:jc w:val="both"/>
              <w:rPr>
                <w:sz w:val="22"/>
                <w:szCs w:val="22"/>
              </w:rPr>
            </w:pPr>
            <w:r w:rsidRPr="005863A9">
              <w:rPr>
                <w:sz w:val="22"/>
                <w:szCs w:val="22"/>
              </w:rPr>
              <w:t xml:space="preserve">Obligaciones con el público y obligaciones con entidades no financieras con </w:t>
            </w:r>
            <w:r w:rsidRPr="005863A9">
              <w:rPr>
                <w:color w:val="4472C4"/>
                <w:sz w:val="22"/>
                <w:szCs w:val="22"/>
              </w:rPr>
              <w:t>vencimiento residual inferior a un año.</w:t>
            </w:r>
          </w:p>
        </w:tc>
        <w:tc>
          <w:tcPr>
            <w:tcW w:w="1318" w:type="dxa"/>
            <w:shd w:val="clear" w:color="auto" w:fill="auto"/>
            <w:vAlign w:val="center"/>
          </w:tcPr>
          <w:p w14:paraId="3D5118EF" w14:textId="77777777" w:rsidR="00645809" w:rsidRPr="005863A9" w:rsidRDefault="00645809" w:rsidP="00645809">
            <w:pPr>
              <w:rPr>
                <w:sz w:val="22"/>
                <w:szCs w:val="22"/>
              </w:rPr>
            </w:pPr>
            <w:r w:rsidRPr="005863A9">
              <w:rPr>
                <w:sz w:val="22"/>
                <w:szCs w:val="22"/>
              </w:rPr>
              <w:t>50%</w:t>
            </w:r>
          </w:p>
        </w:tc>
      </w:tr>
      <w:tr w:rsidR="00645809" w:rsidRPr="005863A9" w14:paraId="7675CB3D" w14:textId="77777777" w:rsidTr="00141D8C">
        <w:trPr>
          <w:jc w:val="center"/>
        </w:trPr>
        <w:tc>
          <w:tcPr>
            <w:tcW w:w="1573" w:type="dxa"/>
            <w:shd w:val="clear" w:color="auto" w:fill="auto"/>
            <w:vAlign w:val="center"/>
          </w:tcPr>
          <w:p w14:paraId="1EDBB7CC" w14:textId="77777777" w:rsidR="00645809" w:rsidRPr="005863A9" w:rsidRDefault="00645809" w:rsidP="00645809">
            <w:pPr>
              <w:pStyle w:val="NormalWeb"/>
              <w:spacing w:before="0" w:beforeAutospacing="0" w:after="0" w:afterAutospacing="0"/>
              <w:jc w:val="center"/>
              <w:rPr>
                <w:rFonts w:ascii="Times New Roman" w:eastAsia="Calibri" w:hAnsi="Times New Roman" w:cs="Times New Roman"/>
                <w:sz w:val="22"/>
                <w:szCs w:val="22"/>
                <w:lang w:eastAsia="en-US"/>
              </w:rPr>
            </w:pPr>
            <w:r w:rsidRPr="005863A9">
              <w:rPr>
                <w:rFonts w:ascii="Times New Roman" w:hAnsi="Times New Roman" w:cs="Times New Roman"/>
                <w:sz w:val="22"/>
                <w:szCs w:val="22"/>
              </w:rPr>
              <w:t>iii)</w:t>
            </w:r>
          </w:p>
        </w:tc>
        <w:tc>
          <w:tcPr>
            <w:tcW w:w="6622" w:type="dxa"/>
            <w:shd w:val="clear" w:color="auto" w:fill="auto"/>
            <w:vAlign w:val="center"/>
          </w:tcPr>
          <w:p w14:paraId="6E26C9E0" w14:textId="77777777" w:rsidR="00645809" w:rsidRPr="005863A9" w:rsidRDefault="00645809" w:rsidP="00645809">
            <w:pPr>
              <w:pStyle w:val="NormalWeb"/>
              <w:spacing w:before="0" w:beforeAutospacing="0" w:after="0" w:afterAutospacing="0"/>
              <w:jc w:val="both"/>
              <w:rPr>
                <w:rFonts w:ascii="Times New Roman" w:hAnsi="Times New Roman" w:cs="Times New Roman"/>
                <w:sz w:val="22"/>
                <w:szCs w:val="22"/>
              </w:rPr>
            </w:pPr>
            <w:r w:rsidRPr="005863A9">
              <w:rPr>
                <w:rFonts w:ascii="Times New Roman" w:eastAsia="Calibri" w:hAnsi="Times New Roman" w:cs="Times New Roman"/>
                <w:sz w:val="22"/>
                <w:szCs w:val="22"/>
                <w:lang w:eastAsia="en-US"/>
              </w:rPr>
              <w:t xml:space="preserve">Obligaciones con el </w:t>
            </w:r>
            <w:r w:rsidRPr="005863A9">
              <w:rPr>
                <w:rFonts w:ascii="Times New Roman" w:eastAsia="Calibri" w:hAnsi="Times New Roman" w:cs="Times New Roman"/>
                <w:color w:val="000000"/>
                <w:sz w:val="22"/>
                <w:szCs w:val="22"/>
                <w:lang w:eastAsia="en-US"/>
              </w:rPr>
              <w:t xml:space="preserve">público y otras obligaciones procedente </w:t>
            </w:r>
            <w:r w:rsidRPr="005863A9">
              <w:rPr>
                <w:rFonts w:ascii="Times New Roman" w:eastAsia="Calibri" w:hAnsi="Times New Roman" w:cs="Times New Roman"/>
                <w:sz w:val="22"/>
                <w:szCs w:val="22"/>
                <w:lang w:eastAsia="en-US"/>
              </w:rPr>
              <w:t xml:space="preserve">de gobierno central, entidades del sector público no pertenecientes al gobierno central y bancos multilaterales de desarrollo con </w:t>
            </w:r>
            <w:r w:rsidRPr="005863A9">
              <w:rPr>
                <w:rFonts w:ascii="Times New Roman" w:eastAsia="Calibri" w:hAnsi="Times New Roman" w:cs="Times New Roman"/>
                <w:color w:val="4472C4"/>
                <w:sz w:val="22"/>
                <w:szCs w:val="22"/>
                <w:lang w:eastAsia="en-US"/>
              </w:rPr>
              <w:t>vencimiento residual inferior a un año</w:t>
            </w:r>
            <w:r w:rsidRPr="005863A9">
              <w:rPr>
                <w:rFonts w:ascii="Times New Roman" w:eastAsia="Calibri" w:hAnsi="Times New Roman" w:cs="Times New Roman"/>
                <w:sz w:val="22"/>
                <w:szCs w:val="22"/>
                <w:lang w:eastAsia="en-US"/>
              </w:rPr>
              <w:t>.</w:t>
            </w:r>
          </w:p>
        </w:tc>
        <w:tc>
          <w:tcPr>
            <w:tcW w:w="1318" w:type="dxa"/>
            <w:shd w:val="clear" w:color="auto" w:fill="auto"/>
            <w:vAlign w:val="center"/>
          </w:tcPr>
          <w:p w14:paraId="611B7C20" w14:textId="77777777" w:rsidR="00645809" w:rsidRPr="005863A9" w:rsidRDefault="00645809" w:rsidP="00645809">
            <w:pPr>
              <w:rPr>
                <w:sz w:val="22"/>
                <w:szCs w:val="22"/>
              </w:rPr>
            </w:pPr>
            <w:r w:rsidRPr="005863A9">
              <w:rPr>
                <w:sz w:val="22"/>
                <w:szCs w:val="22"/>
              </w:rPr>
              <w:t>50%</w:t>
            </w:r>
          </w:p>
        </w:tc>
      </w:tr>
      <w:tr w:rsidR="00645809" w:rsidRPr="005863A9" w14:paraId="07DF4C92" w14:textId="77777777" w:rsidTr="00141D8C">
        <w:trPr>
          <w:jc w:val="center"/>
        </w:trPr>
        <w:tc>
          <w:tcPr>
            <w:tcW w:w="1573" w:type="dxa"/>
            <w:shd w:val="clear" w:color="auto" w:fill="auto"/>
            <w:vAlign w:val="center"/>
          </w:tcPr>
          <w:p w14:paraId="2002C76B" w14:textId="77777777" w:rsidR="00645809" w:rsidRPr="005863A9" w:rsidRDefault="00645809" w:rsidP="00645809">
            <w:pPr>
              <w:rPr>
                <w:sz w:val="22"/>
                <w:szCs w:val="22"/>
              </w:rPr>
            </w:pPr>
            <w:r w:rsidRPr="005863A9">
              <w:rPr>
                <w:sz w:val="22"/>
                <w:szCs w:val="22"/>
              </w:rPr>
              <w:t>iv)</w:t>
            </w:r>
          </w:p>
        </w:tc>
        <w:tc>
          <w:tcPr>
            <w:tcW w:w="6622" w:type="dxa"/>
            <w:shd w:val="clear" w:color="auto" w:fill="auto"/>
            <w:vAlign w:val="center"/>
          </w:tcPr>
          <w:p w14:paraId="25A908D9" w14:textId="77777777" w:rsidR="00645809" w:rsidRPr="005863A9" w:rsidRDefault="00645809" w:rsidP="00645809">
            <w:pPr>
              <w:jc w:val="both"/>
              <w:rPr>
                <w:sz w:val="22"/>
                <w:szCs w:val="22"/>
              </w:rPr>
            </w:pPr>
            <w:r w:rsidRPr="005863A9">
              <w:rPr>
                <w:sz w:val="22"/>
                <w:szCs w:val="22"/>
              </w:rPr>
              <w:t xml:space="preserve">Otras obligaciones no incluidas en las categorías anteriores </w:t>
            </w:r>
            <w:r w:rsidRPr="005863A9">
              <w:rPr>
                <w:color w:val="4472C4"/>
                <w:sz w:val="22"/>
                <w:szCs w:val="22"/>
              </w:rPr>
              <w:t>con vencimiento residual de seis meses hasta menos de un año</w:t>
            </w:r>
            <w:r w:rsidRPr="005863A9">
              <w:rPr>
                <w:sz w:val="22"/>
                <w:szCs w:val="22"/>
              </w:rPr>
              <w:t>, incluidas obligaciones procedentes de bancos centrales y entidades financieras.</w:t>
            </w:r>
          </w:p>
        </w:tc>
        <w:tc>
          <w:tcPr>
            <w:tcW w:w="1318" w:type="dxa"/>
            <w:shd w:val="clear" w:color="auto" w:fill="auto"/>
            <w:vAlign w:val="center"/>
          </w:tcPr>
          <w:p w14:paraId="60C5306A" w14:textId="77777777" w:rsidR="00645809" w:rsidRPr="005863A9" w:rsidRDefault="00645809" w:rsidP="00645809">
            <w:pPr>
              <w:rPr>
                <w:sz w:val="22"/>
                <w:szCs w:val="22"/>
              </w:rPr>
            </w:pPr>
            <w:r w:rsidRPr="005863A9">
              <w:rPr>
                <w:sz w:val="22"/>
                <w:szCs w:val="22"/>
              </w:rPr>
              <w:t>50%</w:t>
            </w:r>
          </w:p>
        </w:tc>
      </w:tr>
      <w:tr w:rsidR="00645809" w:rsidRPr="005863A9" w14:paraId="0A291308" w14:textId="77777777" w:rsidTr="00141D8C">
        <w:trPr>
          <w:jc w:val="center"/>
        </w:trPr>
        <w:tc>
          <w:tcPr>
            <w:tcW w:w="1573" w:type="dxa"/>
            <w:shd w:val="clear" w:color="auto" w:fill="auto"/>
            <w:vAlign w:val="center"/>
          </w:tcPr>
          <w:p w14:paraId="1C892C65" w14:textId="77777777" w:rsidR="00645809" w:rsidRPr="005863A9" w:rsidRDefault="00645809" w:rsidP="00645809">
            <w:pPr>
              <w:rPr>
                <w:sz w:val="22"/>
                <w:szCs w:val="22"/>
              </w:rPr>
            </w:pPr>
            <w:r w:rsidRPr="005863A9">
              <w:rPr>
                <w:sz w:val="22"/>
                <w:szCs w:val="22"/>
              </w:rPr>
              <w:t>v)</w:t>
            </w:r>
          </w:p>
        </w:tc>
        <w:tc>
          <w:tcPr>
            <w:tcW w:w="6622" w:type="dxa"/>
            <w:shd w:val="clear" w:color="auto" w:fill="auto"/>
            <w:vAlign w:val="center"/>
          </w:tcPr>
          <w:p w14:paraId="5578F0BD" w14:textId="77777777" w:rsidR="00645809" w:rsidRPr="005863A9" w:rsidRDefault="00645809" w:rsidP="00645809">
            <w:pPr>
              <w:jc w:val="both"/>
              <w:rPr>
                <w:sz w:val="22"/>
                <w:szCs w:val="22"/>
              </w:rPr>
            </w:pPr>
            <w:r w:rsidRPr="005863A9">
              <w:rPr>
                <w:sz w:val="22"/>
                <w:szCs w:val="22"/>
              </w:rPr>
              <w:t>Todos los demás rubros de obligaciones no incluidas en las categorías anteriores, incluidas otras obligaciones procedentes de bancos centrales y entidades financieras</w:t>
            </w:r>
            <w:r w:rsidRPr="005863A9">
              <w:rPr>
                <w:color w:val="4472C4"/>
                <w:sz w:val="22"/>
                <w:szCs w:val="22"/>
              </w:rPr>
              <w:t xml:space="preserve"> con vencimiento residual inferior a seis meses</w:t>
            </w:r>
            <w:r w:rsidRPr="005863A9">
              <w:rPr>
                <w:sz w:val="22"/>
                <w:szCs w:val="22"/>
              </w:rPr>
              <w:t>.</w:t>
            </w:r>
          </w:p>
        </w:tc>
        <w:tc>
          <w:tcPr>
            <w:tcW w:w="1318" w:type="dxa"/>
            <w:shd w:val="clear" w:color="auto" w:fill="auto"/>
            <w:vAlign w:val="center"/>
          </w:tcPr>
          <w:p w14:paraId="1BB85888" w14:textId="77777777" w:rsidR="00645809" w:rsidRPr="005863A9" w:rsidRDefault="00645809" w:rsidP="00645809">
            <w:pPr>
              <w:rPr>
                <w:sz w:val="22"/>
                <w:szCs w:val="22"/>
              </w:rPr>
            </w:pPr>
            <w:r w:rsidRPr="005863A9">
              <w:rPr>
                <w:sz w:val="22"/>
                <w:szCs w:val="22"/>
              </w:rPr>
              <w:t>0%</w:t>
            </w:r>
          </w:p>
        </w:tc>
      </w:tr>
      <w:tr w:rsidR="00645809" w:rsidRPr="005863A9" w14:paraId="4CCBBD9D" w14:textId="77777777" w:rsidTr="00141D8C">
        <w:trPr>
          <w:jc w:val="center"/>
        </w:trPr>
        <w:tc>
          <w:tcPr>
            <w:tcW w:w="1573" w:type="dxa"/>
            <w:shd w:val="clear" w:color="auto" w:fill="B4C6E7"/>
            <w:vAlign w:val="center"/>
          </w:tcPr>
          <w:p w14:paraId="64CBC12B" w14:textId="77777777" w:rsidR="00645809" w:rsidRPr="005863A9" w:rsidRDefault="00645809" w:rsidP="00645809">
            <w:pPr>
              <w:rPr>
                <w:b/>
                <w:bCs/>
                <w:sz w:val="22"/>
                <w:szCs w:val="22"/>
              </w:rPr>
            </w:pPr>
            <w:r w:rsidRPr="005863A9">
              <w:rPr>
                <w:b/>
                <w:bCs/>
                <w:sz w:val="22"/>
                <w:szCs w:val="22"/>
              </w:rPr>
              <w:t>4.</w:t>
            </w:r>
          </w:p>
        </w:tc>
        <w:tc>
          <w:tcPr>
            <w:tcW w:w="6622" w:type="dxa"/>
            <w:shd w:val="clear" w:color="auto" w:fill="B4C6E7"/>
            <w:vAlign w:val="center"/>
          </w:tcPr>
          <w:p w14:paraId="77BE6F5A" w14:textId="77777777" w:rsidR="00645809" w:rsidRPr="005863A9" w:rsidRDefault="00645809" w:rsidP="00645809">
            <w:pPr>
              <w:jc w:val="both"/>
              <w:rPr>
                <w:b/>
                <w:bCs/>
                <w:sz w:val="22"/>
                <w:szCs w:val="22"/>
              </w:rPr>
            </w:pPr>
            <w:r w:rsidRPr="005863A9">
              <w:rPr>
                <w:b/>
                <w:bCs/>
                <w:sz w:val="22"/>
                <w:szCs w:val="22"/>
              </w:rPr>
              <w:t>OTROS PASIVOS</w:t>
            </w:r>
          </w:p>
        </w:tc>
        <w:tc>
          <w:tcPr>
            <w:tcW w:w="1318" w:type="dxa"/>
            <w:shd w:val="clear" w:color="auto" w:fill="B4C6E7"/>
            <w:vAlign w:val="center"/>
          </w:tcPr>
          <w:p w14:paraId="5FC2BCA4" w14:textId="77777777" w:rsidR="00645809" w:rsidRPr="005863A9" w:rsidRDefault="00645809" w:rsidP="00645809">
            <w:pPr>
              <w:rPr>
                <w:b/>
                <w:bCs/>
                <w:sz w:val="22"/>
                <w:szCs w:val="22"/>
              </w:rPr>
            </w:pPr>
          </w:p>
        </w:tc>
      </w:tr>
      <w:tr w:rsidR="00645809" w:rsidRPr="005863A9" w14:paraId="284FD8B8" w14:textId="77777777" w:rsidTr="00141D8C">
        <w:trPr>
          <w:jc w:val="center"/>
        </w:trPr>
        <w:tc>
          <w:tcPr>
            <w:tcW w:w="1573" w:type="dxa"/>
            <w:shd w:val="clear" w:color="auto" w:fill="auto"/>
            <w:vAlign w:val="center"/>
          </w:tcPr>
          <w:p w14:paraId="3F36084D" w14:textId="77777777" w:rsidR="00645809" w:rsidRPr="005863A9" w:rsidRDefault="00645809" w:rsidP="00645809">
            <w:pPr>
              <w:rPr>
                <w:b/>
                <w:bCs/>
                <w:sz w:val="22"/>
                <w:szCs w:val="22"/>
              </w:rPr>
            </w:pPr>
            <w:r w:rsidRPr="005863A9">
              <w:rPr>
                <w:b/>
                <w:bCs/>
                <w:sz w:val="22"/>
                <w:szCs w:val="22"/>
              </w:rPr>
              <w:t>4.1</w:t>
            </w:r>
          </w:p>
        </w:tc>
        <w:tc>
          <w:tcPr>
            <w:tcW w:w="6622" w:type="dxa"/>
            <w:shd w:val="clear" w:color="auto" w:fill="DEEAF6"/>
            <w:vAlign w:val="center"/>
          </w:tcPr>
          <w:p w14:paraId="16E94AC4" w14:textId="77777777" w:rsidR="00645809" w:rsidRPr="005863A9" w:rsidRDefault="00645809" w:rsidP="00645809">
            <w:pPr>
              <w:jc w:val="both"/>
              <w:rPr>
                <w:b/>
                <w:bCs/>
                <w:sz w:val="22"/>
                <w:szCs w:val="22"/>
              </w:rPr>
            </w:pPr>
            <w:r w:rsidRPr="005863A9">
              <w:rPr>
                <w:b/>
                <w:bCs/>
                <w:sz w:val="22"/>
                <w:szCs w:val="22"/>
              </w:rPr>
              <w:t>Pasivos derivados a efectos del IFNE</w:t>
            </w:r>
          </w:p>
        </w:tc>
        <w:tc>
          <w:tcPr>
            <w:tcW w:w="1318" w:type="dxa"/>
            <w:shd w:val="clear" w:color="auto" w:fill="auto"/>
            <w:vAlign w:val="center"/>
          </w:tcPr>
          <w:p w14:paraId="0EE5FE0C" w14:textId="77777777" w:rsidR="00645809" w:rsidRPr="005863A9" w:rsidRDefault="00645809" w:rsidP="00645809">
            <w:pPr>
              <w:rPr>
                <w:sz w:val="22"/>
                <w:szCs w:val="22"/>
              </w:rPr>
            </w:pPr>
          </w:p>
        </w:tc>
      </w:tr>
      <w:tr w:rsidR="00645809" w:rsidRPr="005863A9" w14:paraId="7F3AF93A" w14:textId="77777777" w:rsidTr="00141D8C">
        <w:trPr>
          <w:jc w:val="center"/>
        </w:trPr>
        <w:tc>
          <w:tcPr>
            <w:tcW w:w="1573" w:type="dxa"/>
            <w:shd w:val="clear" w:color="auto" w:fill="auto"/>
            <w:vAlign w:val="center"/>
          </w:tcPr>
          <w:p w14:paraId="1A39D3D4" w14:textId="77777777" w:rsidR="00645809" w:rsidRPr="005863A9" w:rsidRDefault="00645809" w:rsidP="00645809">
            <w:pPr>
              <w:ind w:left="708" w:hanging="708"/>
              <w:rPr>
                <w:sz w:val="22"/>
                <w:szCs w:val="22"/>
              </w:rPr>
            </w:pPr>
            <w:r w:rsidRPr="005863A9">
              <w:rPr>
                <w:sz w:val="22"/>
                <w:szCs w:val="22"/>
              </w:rPr>
              <w:t>i)</w:t>
            </w:r>
          </w:p>
        </w:tc>
        <w:tc>
          <w:tcPr>
            <w:tcW w:w="6622" w:type="dxa"/>
            <w:shd w:val="clear" w:color="auto" w:fill="auto"/>
            <w:vAlign w:val="center"/>
          </w:tcPr>
          <w:p w14:paraId="37801C58" w14:textId="77777777" w:rsidR="00645809" w:rsidRPr="005863A9" w:rsidRDefault="00645809" w:rsidP="00645809">
            <w:pPr>
              <w:jc w:val="both"/>
              <w:rPr>
                <w:sz w:val="22"/>
                <w:szCs w:val="22"/>
              </w:rPr>
            </w:pPr>
            <w:r w:rsidRPr="005863A9">
              <w:rPr>
                <w:sz w:val="22"/>
                <w:szCs w:val="22"/>
              </w:rPr>
              <w:t>Siempre que exista un acuerdo contractual de neteo bilateral, los pasivos originados en operaciones de derivados conforme se establecen en el punto a) siguiente, netos de activos originados en operaciones de derivados, si los pasivos resultan superiores a los activos.</w:t>
            </w:r>
          </w:p>
          <w:p w14:paraId="48CC3BE0" w14:textId="77777777" w:rsidR="00645809" w:rsidRPr="005863A9" w:rsidRDefault="00645809" w:rsidP="00645809">
            <w:pPr>
              <w:jc w:val="both"/>
              <w:rPr>
                <w:sz w:val="22"/>
                <w:szCs w:val="22"/>
              </w:rPr>
            </w:pPr>
            <w:r w:rsidRPr="005863A9">
              <w:rPr>
                <w:sz w:val="22"/>
                <w:szCs w:val="22"/>
              </w:rPr>
              <w:t>Este cálculo se realiza sobre una base neta por contraparte (es decir, las entradas podrán compensar las salidas de efectivo), sólo cuando exista un acuerdo válido de compensación.</w:t>
            </w:r>
          </w:p>
          <w:p w14:paraId="5E21ED65" w14:textId="77777777" w:rsidR="00645809" w:rsidRPr="005863A9" w:rsidRDefault="00645809" w:rsidP="00645809">
            <w:pPr>
              <w:jc w:val="both"/>
              <w:rPr>
                <w:sz w:val="22"/>
                <w:szCs w:val="22"/>
              </w:rPr>
            </w:pPr>
          </w:p>
          <w:p w14:paraId="569D208B" w14:textId="77777777" w:rsidR="00645809" w:rsidRPr="005863A9" w:rsidRDefault="00645809" w:rsidP="00645809">
            <w:pPr>
              <w:pStyle w:val="Prrafodelista"/>
              <w:numPr>
                <w:ilvl w:val="0"/>
                <w:numId w:val="48"/>
              </w:numPr>
              <w:contextualSpacing/>
              <w:jc w:val="both"/>
              <w:rPr>
                <w:sz w:val="22"/>
                <w:szCs w:val="22"/>
              </w:rPr>
            </w:pPr>
            <w:r w:rsidRPr="005863A9">
              <w:rPr>
                <w:sz w:val="22"/>
                <w:szCs w:val="22"/>
              </w:rPr>
              <w:t>Pasivos originados en operaciones con derivados: Los pasivos originados en operaciones con derivados se calcularán en base al costo de reposición del contrato de derivados –obtenido a partir de valoración a precios de mercado– cuando el contrato tenga un valor negativo para la entidad financiera. Factor de 0%.</w:t>
            </w:r>
          </w:p>
          <w:p w14:paraId="64F66111" w14:textId="77777777" w:rsidR="00645809" w:rsidRPr="005863A9" w:rsidRDefault="00645809" w:rsidP="00645809">
            <w:pPr>
              <w:pStyle w:val="Prrafodelista"/>
              <w:ind w:left="360"/>
              <w:jc w:val="both"/>
              <w:rPr>
                <w:sz w:val="22"/>
                <w:szCs w:val="22"/>
              </w:rPr>
            </w:pPr>
          </w:p>
          <w:p w14:paraId="5AF6AA95" w14:textId="77777777" w:rsidR="00645809" w:rsidRPr="005863A9" w:rsidRDefault="00645809" w:rsidP="00645809">
            <w:pPr>
              <w:jc w:val="both"/>
              <w:rPr>
                <w:sz w:val="22"/>
                <w:szCs w:val="22"/>
              </w:rPr>
            </w:pPr>
            <w:r w:rsidRPr="005863A9">
              <w:rPr>
                <w:sz w:val="22"/>
                <w:szCs w:val="22"/>
              </w:rPr>
              <w:t>Al calcular los pasivos de las operaciones con derivados, las garantías constituidas en forma de margen de variación con relación a los contratos de derivados, con independencia del tipo de activos, deberán deducirse del costo de reposición negativo.</w:t>
            </w:r>
          </w:p>
          <w:p w14:paraId="0D9845FA" w14:textId="77777777" w:rsidR="00645809" w:rsidRPr="005863A9" w:rsidRDefault="00645809" w:rsidP="00645809">
            <w:pPr>
              <w:jc w:val="both"/>
              <w:rPr>
                <w:color w:val="FF0000"/>
                <w:sz w:val="22"/>
                <w:szCs w:val="22"/>
              </w:rPr>
            </w:pPr>
            <w:r w:rsidRPr="005863A9">
              <w:rPr>
                <w:sz w:val="22"/>
                <w:szCs w:val="22"/>
              </w:rPr>
              <w:t>Para operaciones de derivados que no poseen acuerdo contractual de neteo bilateral deberá registrarse el importe total de los pasivos originados de los derivados.</w:t>
            </w:r>
          </w:p>
        </w:tc>
        <w:tc>
          <w:tcPr>
            <w:tcW w:w="1318" w:type="dxa"/>
            <w:shd w:val="clear" w:color="auto" w:fill="auto"/>
            <w:vAlign w:val="center"/>
          </w:tcPr>
          <w:p w14:paraId="25C12F29" w14:textId="77777777" w:rsidR="00645809" w:rsidRPr="005863A9" w:rsidRDefault="00645809" w:rsidP="00645809">
            <w:pPr>
              <w:rPr>
                <w:sz w:val="22"/>
                <w:szCs w:val="22"/>
              </w:rPr>
            </w:pPr>
            <w:r w:rsidRPr="005863A9">
              <w:rPr>
                <w:sz w:val="22"/>
                <w:szCs w:val="22"/>
              </w:rPr>
              <w:t>0%</w:t>
            </w:r>
          </w:p>
        </w:tc>
      </w:tr>
      <w:tr w:rsidR="00645809" w:rsidRPr="005863A9" w14:paraId="7003BD69" w14:textId="77777777" w:rsidTr="00141D8C">
        <w:trPr>
          <w:jc w:val="center"/>
        </w:trPr>
        <w:tc>
          <w:tcPr>
            <w:tcW w:w="1573" w:type="dxa"/>
            <w:shd w:val="clear" w:color="auto" w:fill="auto"/>
            <w:vAlign w:val="center"/>
          </w:tcPr>
          <w:p w14:paraId="14783543" w14:textId="77777777" w:rsidR="00645809" w:rsidRPr="005863A9" w:rsidRDefault="00645809" w:rsidP="00645809">
            <w:pPr>
              <w:rPr>
                <w:b/>
                <w:bCs/>
                <w:sz w:val="22"/>
                <w:szCs w:val="22"/>
              </w:rPr>
            </w:pPr>
            <w:r w:rsidRPr="005863A9">
              <w:rPr>
                <w:b/>
                <w:bCs/>
                <w:sz w:val="22"/>
                <w:szCs w:val="22"/>
              </w:rPr>
              <w:t>4.2</w:t>
            </w:r>
          </w:p>
        </w:tc>
        <w:tc>
          <w:tcPr>
            <w:tcW w:w="6622" w:type="dxa"/>
            <w:shd w:val="clear" w:color="auto" w:fill="DEEAF6"/>
            <w:vAlign w:val="center"/>
          </w:tcPr>
          <w:p w14:paraId="62A0034F" w14:textId="77777777" w:rsidR="00645809" w:rsidRPr="005863A9" w:rsidRDefault="00645809" w:rsidP="00645809">
            <w:pPr>
              <w:jc w:val="both"/>
              <w:rPr>
                <w:b/>
                <w:bCs/>
                <w:sz w:val="22"/>
                <w:szCs w:val="22"/>
              </w:rPr>
            </w:pPr>
            <w:r w:rsidRPr="005863A9">
              <w:rPr>
                <w:b/>
                <w:bCs/>
                <w:sz w:val="22"/>
                <w:szCs w:val="22"/>
              </w:rPr>
              <w:t>Todas las demás obligaciones no incluidas en las categorías anteriores</w:t>
            </w:r>
          </w:p>
        </w:tc>
        <w:tc>
          <w:tcPr>
            <w:tcW w:w="1318" w:type="dxa"/>
            <w:shd w:val="clear" w:color="auto" w:fill="auto"/>
            <w:vAlign w:val="center"/>
          </w:tcPr>
          <w:p w14:paraId="2FABE1D7" w14:textId="77777777" w:rsidR="00645809" w:rsidRPr="005863A9" w:rsidRDefault="00645809" w:rsidP="00645809">
            <w:pPr>
              <w:rPr>
                <w:sz w:val="22"/>
                <w:szCs w:val="22"/>
              </w:rPr>
            </w:pPr>
          </w:p>
        </w:tc>
      </w:tr>
      <w:tr w:rsidR="00645809" w:rsidRPr="005863A9" w14:paraId="6BA60D84" w14:textId="77777777" w:rsidTr="00141D8C">
        <w:trPr>
          <w:trHeight w:val="1348"/>
          <w:jc w:val="center"/>
        </w:trPr>
        <w:tc>
          <w:tcPr>
            <w:tcW w:w="1573" w:type="dxa"/>
            <w:shd w:val="clear" w:color="auto" w:fill="auto"/>
            <w:vAlign w:val="center"/>
          </w:tcPr>
          <w:p w14:paraId="5A8649D9" w14:textId="77777777" w:rsidR="00645809" w:rsidRPr="005863A9" w:rsidRDefault="00645809" w:rsidP="00645809">
            <w:pPr>
              <w:rPr>
                <w:sz w:val="22"/>
                <w:szCs w:val="22"/>
              </w:rPr>
            </w:pPr>
            <w:r w:rsidRPr="005863A9">
              <w:rPr>
                <w:sz w:val="22"/>
                <w:szCs w:val="22"/>
              </w:rPr>
              <w:t>i)</w:t>
            </w:r>
          </w:p>
        </w:tc>
        <w:tc>
          <w:tcPr>
            <w:tcW w:w="6622" w:type="dxa"/>
            <w:shd w:val="clear" w:color="auto" w:fill="auto"/>
            <w:vAlign w:val="center"/>
          </w:tcPr>
          <w:p w14:paraId="6CCBE877" w14:textId="77777777" w:rsidR="00645809" w:rsidRPr="005863A9" w:rsidRDefault="00645809" w:rsidP="00645809">
            <w:pPr>
              <w:jc w:val="both"/>
              <w:rPr>
                <w:sz w:val="22"/>
                <w:szCs w:val="22"/>
              </w:rPr>
            </w:pPr>
            <w:r w:rsidRPr="005863A9">
              <w:rPr>
                <w:sz w:val="22"/>
                <w:szCs w:val="22"/>
              </w:rPr>
              <w:t xml:space="preserve">Importes pendientes de pago por compra de instrumentos financieros, divisas o productos básicos que: </w:t>
            </w:r>
          </w:p>
          <w:p w14:paraId="65A206E1" w14:textId="77777777" w:rsidR="00645809" w:rsidRPr="005863A9" w:rsidRDefault="00645809" w:rsidP="00645809">
            <w:pPr>
              <w:pStyle w:val="Prrafodelista"/>
              <w:numPr>
                <w:ilvl w:val="0"/>
                <w:numId w:val="43"/>
              </w:numPr>
              <w:ind w:left="439" w:hanging="425"/>
              <w:contextualSpacing/>
              <w:jc w:val="both"/>
              <w:rPr>
                <w:sz w:val="22"/>
                <w:szCs w:val="22"/>
              </w:rPr>
            </w:pPr>
            <w:r w:rsidRPr="005863A9">
              <w:rPr>
                <w:sz w:val="22"/>
                <w:szCs w:val="22"/>
              </w:rPr>
              <w:t xml:space="preserve">se prevén liquidar dentro del ciclo de liquidación estándar o el periodo que sea habitual para el intercambio o tipo de transacción pertinente, o </w:t>
            </w:r>
          </w:p>
          <w:p w14:paraId="13EEC413" w14:textId="77777777" w:rsidR="00645809" w:rsidRPr="005863A9" w:rsidRDefault="00645809" w:rsidP="00645809">
            <w:pPr>
              <w:pStyle w:val="Prrafodelista"/>
              <w:numPr>
                <w:ilvl w:val="0"/>
                <w:numId w:val="43"/>
              </w:numPr>
              <w:ind w:left="439" w:hanging="425"/>
              <w:contextualSpacing/>
              <w:jc w:val="both"/>
              <w:rPr>
                <w:sz w:val="22"/>
                <w:szCs w:val="22"/>
              </w:rPr>
            </w:pPr>
            <w:r w:rsidRPr="005863A9">
              <w:rPr>
                <w:sz w:val="22"/>
                <w:szCs w:val="22"/>
              </w:rPr>
              <w:t>no hayan podido liquidarse aún, pero se esperan liquidar.</w:t>
            </w:r>
          </w:p>
        </w:tc>
        <w:tc>
          <w:tcPr>
            <w:tcW w:w="1318" w:type="dxa"/>
            <w:shd w:val="clear" w:color="auto" w:fill="auto"/>
            <w:vAlign w:val="center"/>
          </w:tcPr>
          <w:p w14:paraId="49E4DAAD" w14:textId="77777777" w:rsidR="00645809" w:rsidRPr="005863A9" w:rsidRDefault="00645809" w:rsidP="00645809">
            <w:pPr>
              <w:rPr>
                <w:sz w:val="22"/>
                <w:szCs w:val="22"/>
              </w:rPr>
            </w:pPr>
            <w:r w:rsidRPr="005863A9">
              <w:rPr>
                <w:sz w:val="22"/>
                <w:szCs w:val="22"/>
              </w:rPr>
              <w:t>0%</w:t>
            </w:r>
          </w:p>
        </w:tc>
      </w:tr>
      <w:tr w:rsidR="00645809" w:rsidRPr="005863A9" w14:paraId="68A3AF68" w14:textId="77777777" w:rsidTr="00141D8C">
        <w:trPr>
          <w:trHeight w:val="134"/>
          <w:jc w:val="center"/>
        </w:trPr>
        <w:tc>
          <w:tcPr>
            <w:tcW w:w="9513" w:type="dxa"/>
            <w:gridSpan w:val="3"/>
            <w:shd w:val="clear" w:color="auto" w:fill="auto"/>
            <w:vAlign w:val="center"/>
          </w:tcPr>
          <w:p w14:paraId="1F85BCAB" w14:textId="77777777" w:rsidR="00645809" w:rsidRPr="005863A9" w:rsidRDefault="00645809" w:rsidP="00645809">
            <w:pPr>
              <w:rPr>
                <w:sz w:val="22"/>
                <w:szCs w:val="22"/>
              </w:rPr>
            </w:pPr>
          </w:p>
        </w:tc>
      </w:tr>
    </w:tbl>
    <w:p w14:paraId="3F5117EF" w14:textId="77777777" w:rsidR="00645809" w:rsidRPr="005863A9" w:rsidRDefault="00645809" w:rsidP="00645809">
      <w:pPr>
        <w:rPr>
          <w:sz w:val="22"/>
          <w:szCs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6661"/>
        <w:gridCol w:w="1097"/>
      </w:tblGrid>
      <w:tr w:rsidR="00645809" w:rsidRPr="005863A9" w14:paraId="7151AC77" w14:textId="77777777" w:rsidTr="00141D8C">
        <w:tc>
          <w:tcPr>
            <w:tcW w:w="9498" w:type="dxa"/>
            <w:gridSpan w:val="3"/>
            <w:shd w:val="clear" w:color="auto" w:fill="1F3864" w:themeFill="accent1" w:themeFillShade="80"/>
          </w:tcPr>
          <w:p w14:paraId="250FFC60" w14:textId="77777777" w:rsidR="00645809" w:rsidRPr="005863A9" w:rsidRDefault="00645809" w:rsidP="00645809">
            <w:pPr>
              <w:rPr>
                <w:b/>
                <w:bCs/>
                <w:sz w:val="22"/>
                <w:szCs w:val="22"/>
              </w:rPr>
            </w:pPr>
            <w:r w:rsidRPr="005863A9">
              <w:rPr>
                <w:b/>
                <w:bCs/>
                <w:color w:val="FFFFFF" w:themeColor="background1"/>
                <w:sz w:val="22"/>
                <w:szCs w:val="22"/>
              </w:rPr>
              <w:t>FINANCIAMIENTO ESTABLE REQUERIDO</w:t>
            </w:r>
          </w:p>
        </w:tc>
      </w:tr>
      <w:tr w:rsidR="00645809" w:rsidRPr="005863A9" w14:paraId="51A40CE1" w14:textId="77777777" w:rsidTr="00141D8C">
        <w:tc>
          <w:tcPr>
            <w:tcW w:w="1740" w:type="dxa"/>
            <w:shd w:val="clear" w:color="auto" w:fill="auto"/>
            <w:vAlign w:val="center"/>
          </w:tcPr>
          <w:p w14:paraId="655236E8" w14:textId="77777777" w:rsidR="00645809" w:rsidRPr="005863A9" w:rsidRDefault="00645809" w:rsidP="00645809">
            <w:pPr>
              <w:rPr>
                <w:b/>
                <w:bCs/>
                <w:sz w:val="22"/>
                <w:szCs w:val="22"/>
              </w:rPr>
            </w:pPr>
            <w:r w:rsidRPr="005863A9">
              <w:rPr>
                <w:b/>
                <w:bCs/>
                <w:sz w:val="22"/>
                <w:szCs w:val="22"/>
              </w:rPr>
              <w:t>ARTÍCULO 11</w:t>
            </w:r>
          </w:p>
        </w:tc>
        <w:tc>
          <w:tcPr>
            <w:tcW w:w="6661" w:type="dxa"/>
            <w:shd w:val="clear" w:color="auto" w:fill="auto"/>
            <w:vAlign w:val="center"/>
          </w:tcPr>
          <w:p w14:paraId="1E114EDB" w14:textId="77777777" w:rsidR="00645809" w:rsidRPr="005863A9" w:rsidRDefault="00645809" w:rsidP="00645809">
            <w:pPr>
              <w:rPr>
                <w:b/>
                <w:bCs/>
                <w:sz w:val="22"/>
                <w:szCs w:val="22"/>
              </w:rPr>
            </w:pPr>
            <w:r w:rsidRPr="005863A9">
              <w:rPr>
                <w:b/>
                <w:bCs/>
                <w:sz w:val="22"/>
                <w:szCs w:val="22"/>
              </w:rPr>
              <w:t>CATEGORÍA</w:t>
            </w:r>
          </w:p>
        </w:tc>
        <w:tc>
          <w:tcPr>
            <w:tcW w:w="1097" w:type="dxa"/>
            <w:shd w:val="clear" w:color="auto" w:fill="auto"/>
            <w:vAlign w:val="center"/>
          </w:tcPr>
          <w:p w14:paraId="190AE29B" w14:textId="77777777" w:rsidR="00645809" w:rsidRPr="005863A9" w:rsidRDefault="00645809" w:rsidP="00645809">
            <w:pPr>
              <w:rPr>
                <w:b/>
                <w:bCs/>
                <w:sz w:val="22"/>
                <w:szCs w:val="22"/>
              </w:rPr>
            </w:pPr>
            <w:r w:rsidRPr="005863A9">
              <w:rPr>
                <w:b/>
                <w:bCs/>
                <w:sz w:val="22"/>
                <w:szCs w:val="22"/>
              </w:rPr>
              <w:t>FACTOR</w:t>
            </w:r>
          </w:p>
        </w:tc>
      </w:tr>
      <w:tr w:rsidR="00645809" w:rsidRPr="005863A9" w14:paraId="3EB9BDE3" w14:textId="77777777" w:rsidTr="00141D8C">
        <w:tc>
          <w:tcPr>
            <w:tcW w:w="1740" w:type="dxa"/>
            <w:shd w:val="clear" w:color="auto" w:fill="B4C6E7"/>
            <w:vAlign w:val="center"/>
          </w:tcPr>
          <w:p w14:paraId="1D8EF2E6" w14:textId="77777777" w:rsidR="00645809" w:rsidRPr="005863A9" w:rsidRDefault="00645809" w:rsidP="00645809">
            <w:pPr>
              <w:rPr>
                <w:b/>
                <w:bCs/>
                <w:sz w:val="22"/>
                <w:szCs w:val="22"/>
              </w:rPr>
            </w:pPr>
            <w:r w:rsidRPr="005863A9">
              <w:rPr>
                <w:b/>
                <w:bCs/>
                <w:sz w:val="22"/>
                <w:szCs w:val="22"/>
              </w:rPr>
              <w:t>1.</w:t>
            </w:r>
          </w:p>
        </w:tc>
        <w:tc>
          <w:tcPr>
            <w:tcW w:w="6661" w:type="dxa"/>
            <w:shd w:val="clear" w:color="auto" w:fill="B4C6E7"/>
            <w:vAlign w:val="center"/>
          </w:tcPr>
          <w:p w14:paraId="10092F42" w14:textId="77777777" w:rsidR="00645809" w:rsidRPr="005863A9" w:rsidRDefault="00645809" w:rsidP="00645809">
            <w:pPr>
              <w:jc w:val="both"/>
              <w:rPr>
                <w:b/>
                <w:bCs/>
                <w:sz w:val="22"/>
                <w:szCs w:val="22"/>
              </w:rPr>
            </w:pPr>
            <w:proofErr w:type="gramStart"/>
            <w:r w:rsidRPr="005863A9">
              <w:rPr>
                <w:b/>
                <w:bCs/>
                <w:sz w:val="22"/>
                <w:szCs w:val="22"/>
              </w:rPr>
              <w:t>TOTAL</w:t>
            </w:r>
            <w:proofErr w:type="gramEnd"/>
            <w:r w:rsidRPr="005863A9">
              <w:rPr>
                <w:b/>
                <w:bCs/>
                <w:sz w:val="22"/>
                <w:szCs w:val="22"/>
              </w:rPr>
              <w:t xml:space="preserve"> DE ACTIVOS LÍQUIDOS DE ALTA CALIDAD</w:t>
            </w:r>
          </w:p>
        </w:tc>
        <w:tc>
          <w:tcPr>
            <w:tcW w:w="1097" w:type="dxa"/>
            <w:shd w:val="clear" w:color="auto" w:fill="B4C6E7"/>
            <w:vAlign w:val="center"/>
          </w:tcPr>
          <w:p w14:paraId="4B66B850" w14:textId="77777777" w:rsidR="00645809" w:rsidRPr="005863A9" w:rsidRDefault="00645809" w:rsidP="00645809">
            <w:pPr>
              <w:rPr>
                <w:b/>
                <w:bCs/>
                <w:sz w:val="22"/>
                <w:szCs w:val="22"/>
              </w:rPr>
            </w:pPr>
          </w:p>
        </w:tc>
      </w:tr>
      <w:tr w:rsidR="00645809" w:rsidRPr="005863A9" w14:paraId="31562BF5" w14:textId="77777777" w:rsidTr="00141D8C">
        <w:tc>
          <w:tcPr>
            <w:tcW w:w="1740" w:type="dxa"/>
            <w:shd w:val="clear" w:color="auto" w:fill="auto"/>
            <w:vAlign w:val="center"/>
          </w:tcPr>
          <w:p w14:paraId="76B68BB9"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541B2560" w14:textId="77777777" w:rsidR="00645809" w:rsidRPr="005863A9" w:rsidRDefault="00645809" w:rsidP="00645809">
            <w:pPr>
              <w:jc w:val="both"/>
              <w:rPr>
                <w:sz w:val="22"/>
                <w:szCs w:val="22"/>
              </w:rPr>
            </w:pPr>
            <w:r w:rsidRPr="005863A9">
              <w:rPr>
                <w:sz w:val="22"/>
                <w:szCs w:val="22"/>
              </w:rPr>
              <w:t>Monedas y billetes.</w:t>
            </w:r>
          </w:p>
        </w:tc>
        <w:tc>
          <w:tcPr>
            <w:tcW w:w="1097" w:type="dxa"/>
            <w:shd w:val="clear" w:color="auto" w:fill="auto"/>
            <w:vAlign w:val="center"/>
          </w:tcPr>
          <w:p w14:paraId="3075C6BE" w14:textId="77777777" w:rsidR="00645809" w:rsidRPr="005863A9" w:rsidRDefault="00645809" w:rsidP="00645809">
            <w:pPr>
              <w:rPr>
                <w:sz w:val="22"/>
                <w:szCs w:val="22"/>
              </w:rPr>
            </w:pPr>
            <w:r w:rsidRPr="005863A9">
              <w:rPr>
                <w:sz w:val="22"/>
                <w:szCs w:val="22"/>
              </w:rPr>
              <w:t>0%</w:t>
            </w:r>
          </w:p>
        </w:tc>
      </w:tr>
      <w:tr w:rsidR="00645809" w:rsidRPr="005863A9" w14:paraId="24AD762D" w14:textId="77777777" w:rsidTr="00141D8C">
        <w:tc>
          <w:tcPr>
            <w:tcW w:w="1740" w:type="dxa"/>
            <w:shd w:val="clear" w:color="auto" w:fill="auto"/>
            <w:vAlign w:val="center"/>
          </w:tcPr>
          <w:p w14:paraId="51E1340A" w14:textId="77777777" w:rsidR="00645809" w:rsidRPr="005863A9" w:rsidRDefault="00645809" w:rsidP="00645809">
            <w:pPr>
              <w:rPr>
                <w:sz w:val="22"/>
                <w:szCs w:val="22"/>
              </w:rPr>
            </w:pPr>
            <w:r w:rsidRPr="005863A9">
              <w:rPr>
                <w:sz w:val="22"/>
                <w:szCs w:val="22"/>
              </w:rPr>
              <w:t>ii)</w:t>
            </w:r>
          </w:p>
        </w:tc>
        <w:tc>
          <w:tcPr>
            <w:tcW w:w="6661" w:type="dxa"/>
            <w:shd w:val="clear" w:color="auto" w:fill="auto"/>
          </w:tcPr>
          <w:p w14:paraId="47963BE6" w14:textId="77777777" w:rsidR="00645809" w:rsidRPr="005863A9" w:rsidRDefault="00645809" w:rsidP="00645809">
            <w:pPr>
              <w:jc w:val="both"/>
              <w:rPr>
                <w:strike/>
                <w:sz w:val="22"/>
                <w:szCs w:val="22"/>
              </w:rPr>
            </w:pPr>
            <w:r w:rsidRPr="005863A9">
              <w:rPr>
                <w:sz w:val="22"/>
                <w:szCs w:val="22"/>
              </w:rPr>
              <w:t>Depósitos en el Banco Central de Costa Rica (reservas).</w:t>
            </w:r>
          </w:p>
        </w:tc>
        <w:tc>
          <w:tcPr>
            <w:tcW w:w="1097" w:type="dxa"/>
            <w:shd w:val="clear" w:color="auto" w:fill="auto"/>
            <w:vAlign w:val="center"/>
          </w:tcPr>
          <w:p w14:paraId="6984BF58" w14:textId="77777777" w:rsidR="00645809" w:rsidRPr="005863A9" w:rsidRDefault="00645809" w:rsidP="00645809">
            <w:pPr>
              <w:rPr>
                <w:sz w:val="22"/>
                <w:szCs w:val="22"/>
              </w:rPr>
            </w:pPr>
            <w:r w:rsidRPr="005863A9">
              <w:rPr>
                <w:sz w:val="22"/>
                <w:szCs w:val="22"/>
              </w:rPr>
              <w:t>0%</w:t>
            </w:r>
          </w:p>
        </w:tc>
      </w:tr>
      <w:tr w:rsidR="00645809" w:rsidRPr="005863A9" w14:paraId="7E9A95D1" w14:textId="77777777" w:rsidTr="00141D8C">
        <w:tc>
          <w:tcPr>
            <w:tcW w:w="1740" w:type="dxa"/>
            <w:shd w:val="clear" w:color="auto" w:fill="auto"/>
            <w:vAlign w:val="center"/>
          </w:tcPr>
          <w:p w14:paraId="2D9B62B5" w14:textId="77777777" w:rsidR="00645809" w:rsidRPr="005863A9" w:rsidRDefault="00645809" w:rsidP="00645809">
            <w:pPr>
              <w:rPr>
                <w:sz w:val="22"/>
                <w:szCs w:val="22"/>
              </w:rPr>
            </w:pPr>
            <w:r w:rsidRPr="005863A9">
              <w:rPr>
                <w:sz w:val="22"/>
                <w:szCs w:val="22"/>
              </w:rPr>
              <w:t>iii)</w:t>
            </w:r>
          </w:p>
        </w:tc>
        <w:tc>
          <w:tcPr>
            <w:tcW w:w="6661" w:type="dxa"/>
            <w:shd w:val="clear" w:color="auto" w:fill="auto"/>
          </w:tcPr>
          <w:p w14:paraId="3D2682BC" w14:textId="77777777" w:rsidR="00645809" w:rsidRPr="005863A9" w:rsidRDefault="00645809" w:rsidP="00645809">
            <w:pPr>
              <w:jc w:val="both"/>
              <w:rPr>
                <w:sz w:val="22"/>
                <w:szCs w:val="22"/>
              </w:rPr>
            </w:pPr>
            <w:r w:rsidRPr="005863A9">
              <w:rPr>
                <w:sz w:val="22"/>
                <w:szCs w:val="22"/>
              </w:rPr>
              <w:t>Activos de Nivel 1, excluidas monedas, billetes y depósitos en el banco central.</w:t>
            </w:r>
          </w:p>
        </w:tc>
        <w:tc>
          <w:tcPr>
            <w:tcW w:w="1097" w:type="dxa"/>
            <w:shd w:val="clear" w:color="auto" w:fill="auto"/>
            <w:vAlign w:val="center"/>
          </w:tcPr>
          <w:p w14:paraId="09723CFE" w14:textId="77777777" w:rsidR="00645809" w:rsidRPr="005863A9" w:rsidRDefault="00645809" w:rsidP="00645809">
            <w:pPr>
              <w:rPr>
                <w:sz w:val="22"/>
                <w:szCs w:val="22"/>
              </w:rPr>
            </w:pPr>
            <w:r w:rsidRPr="005863A9">
              <w:rPr>
                <w:sz w:val="22"/>
                <w:szCs w:val="22"/>
              </w:rPr>
              <w:t>5%</w:t>
            </w:r>
          </w:p>
        </w:tc>
      </w:tr>
      <w:tr w:rsidR="00645809" w:rsidRPr="005863A9" w14:paraId="0B84793B" w14:textId="77777777" w:rsidTr="00141D8C">
        <w:trPr>
          <w:trHeight w:val="282"/>
        </w:trPr>
        <w:tc>
          <w:tcPr>
            <w:tcW w:w="1740" w:type="dxa"/>
            <w:shd w:val="clear" w:color="auto" w:fill="auto"/>
            <w:vAlign w:val="center"/>
          </w:tcPr>
          <w:p w14:paraId="0B725FF3" w14:textId="77777777" w:rsidR="00645809" w:rsidRPr="005863A9" w:rsidRDefault="00645809" w:rsidP="00645809">
            <w:pPr>
              <w:rPr>
                <w:sz w:val="22"/>
                <w:szCs w:val="22"/>
              </w:rPr>
            </w:pPr>
            <w:r w:rsidRPr="005863A9">
              <w:rPr>
                <w:sz w:val="22"/>
                <w:szCs w:val="22"/>
              </w:rPr>
              <w:t>iv)</w:t>
            </w:r>
          </w:p>
        </w:tc>
        <w:tc>
          <w:tcPr>
            <w:tcW w:w="6661" w:type="dxa"/>
            <w:shd w:val="clear" w:color="auto" w:fill="auto"/>
          </w:tcPr>
          <w:p w14:paraId="3DD7ABD8" w14:textId="77777777" w:rsidR="00645809" w:rsidRPr="005863A9" w:rsidRDefault="00645809" w:rsidP="00645809">
            <w:pPr>
              <w:jc w:val="both"/>
              <w:rPr>
                <w:sz w:val="22"/>
                <w:szCs w:val="22"/>
              </w:rPr>
            </w:pPr>
            <w:r w:rsidRPr="005863A9">
              <w:rPr>
                <w:sz w:val="22"/>
                <w:szCs w:val="22"/>
              </w:rPr>
              <w:t>Activos de Nivel 2A.</w:t>
            </w:r>
          </w:p>
        </w:tc>
        <w:tc>
          <w:tcPr>
            <w:tcW w:w="1097" w:type="dxa"/>
            <w:shd w:val="clear" w:color="auto" w:fill="auto"/>
            <w:vAlign w:val="center"/>
          </w:tcPr>
          <w:p w14:paraId="15E84AA6" w14:textId="77777777" w:rsidR="00645809" w:rsidRPr="005863A9" w:rsidRDefault="00645809" w:rsidP="00645809">
            <w:pPr>
              <w:rPr>
                <w:sz w:val="22"/>
                <w:szCs w:val="22"/>
              </w:rPr>
            </w:pPr>
            <w:r w:rsidRPr="005863A9">
              <w:rPr>
                <w:sz w:val="22"/>
                <w:szCs w:val="22"/>
              </w:rPr>
              <w:t>15%</w:t>
            </w:r>
          </w:p>
        </w:tc>
      </w:tr>
      <w:tr w:rsidR="00645809" w:rsidRPr="005863A9" w14:paraId="60C581D2" w14:textId="77777777" w:rsidTr="00141D8C">
        <w:tc>
          <w:tcPr>
            <w:tcW w:w="1740" w:type="dxa"/>
            <w:shd w:val="clear" w:color="auto" w:fill="auto"/>
            <w:vAlign w:val="center"/>
          </w:tcPr>
          <w:p w14:paraId="742B8560" w14:textId="77777777" w:rsidR="00645809" w:rsidRPr="005863A9" w:rsidRDefault="00645809" w:rsidP="00645809">
            <w:pPr>
              <w:rPr>
                <w:sz w:val="22"/>
                <w:szCs w:val="22"/>
              </w:rPr>
            </w:pPr>
            <w:r w:rsidRPr="005863A9">
              <w:rPr>
                <w:sz w:val="22"/>
                <w:szCs w:val="22"/>
              </w:rPr>
              <w:t>v)</w:t>
            </w:r>
          </w:p>
        </w:tc>
        <w:tc>
          <w:tcPr>
            <w:tcW w:w="6661" w:type="dxa"/>
            <w:shd w:val="clear" w:color="auto" w:fill="auto"/>
          </w:tcPr>
          <w:p w14:paraId="44A8B5E0" w14:textId="77777777" w:rsidR="00645809" w:rsidRPr="005863A9" w:rsidRDefault="00645809" w:rsidP="00645809">
            <w:pPr>
              <w:jc w:val="both"/>
              <w:rPr>
                <w:sz w:val="22"/>
                <w:szCs w:val="22"/>
              </w:rPr>
            </w:pPr>
            <w:r w:rsidRPr="005863A9">
              <w:rPr>
                <w:sz w:val="22"/>
                <w:szCs w:val="22"/>
              </w:rPr>
              <w:t>Activos de Nivel 2B.</w:t>
            </w:r>
            <w:r w:rsidRPr="005863A9">
              <w:rPr>
                <w:color w:val="4472C4"/>
                <w:sz w:val="22"/>
                <w:szCs w:val="22"/>
              </w:rPr>
              <w:t xml:space="preserve"> </w:t>
            </w:r>
          </w:p>
        </w:tc>
        <w:tc>
          <w:tcPr>
            <w:tcW w:w="1097" w:type="dxa"/>
            <w:shd w:val="clear" w:color="auto" w:fill="auto"/>
            <w:vAlign w:val="center"/>
          </w:tcPr>
          <w:p w14:paraId="175631E9" w14:textId="77777777" w:rsidR="00645809" w:rsidRPr="005863A9" w:rsidRDefault="00645809" w:rsidP="00645809">
            <w:pPr>
              <w:rPr>
                <w:sz w:val="22"/>
                <w:szCs w:val="22"/>
              </w:rPr>
            </w:pPr>
            <w:r w:rsidRPr="005863A9">
              <w:rPr>
                <w:sz w:val="22"/>
                <w:szCs w:val="22"/>
              </w:rPr>
              <w:t>50%</w:t>
            </w:r>
          </w:p>
        </w:tc>
      </w:tr>
      <w:tr w:rsidR="00645809" w:rsidRPr="005863A9" w14:paraId="435924D0" w14:textId="77777777" w:rsidTr="00141D8C">
        <w:tc>
          <w:tcPr>
            <w:tcW w:w="1740" w:type="dxa"/>
            <w:shd w:val="clear" w:color="auto" w:fill="D9E2F3"/>
            <w:vAlign w:val="center"/>
          </w:tcPr>
          <w:p w14:paraId="14124EC0" w14:textId="77777777" w:rsidR="00645809" w:rsidRPr="005863A9" w:rsidRDefault="00645809" w:rsidP="00645809">
            <w:pPr>
              <w:rPr>
                <w:b/>
                <w:bCs/>
                <w:sz w:val="22"/>
                <w:szCs w:val="22"/>
              </w:rPr>
            </w:pPr>
            <w:r w:rsidRPr="005863A9">
              <w:rPr>
                <w:b/>
                <w:bCs/>
                <w:sz w:val="22"/>
                <w:szCs w:val="22"/>
              </w:rPr>
              <w:t>2.</w:t>
            </w:r>
          </w:p>
        </w:tc>
        <w:tc>
          <w:tcPr>
            <w:tcW w:w="6661" w:type="dxa"/>
            <w:shd w:val="clear" w:color="auto" w:fill="D9E2F3"/>
            <w:vAlign w:val="center"/>
          </w:tcPr>
          <w:p w14:paraId="1D63E016" w14:textId="77777777" w:rsidR="00645809" w:rsidRPr="005863A9" w:rsidRDefault="00645809" w:rsidP="00645809">
            <w:pPr>
              <w:jc w:val="both"/>
              <w:rPr>
                <w:b/>
                <w:bCs/>
                <w:sz w:val="22"/>
                <w:szCs w:val="22"/>
              </w:rPr>
            </w:pPr>
            <w:r w:rsidRPr="005863A9">
              <w:rPr>
                <w:b/>
                <w:bCs/>
                <w:sz w:val="22"/>
                <w:szCs w:val="22"/>
              </w:rPr>
              <w:t>DEPÓSITOS MANTENIDOS EN OTRAS ENTIDADES FINANCIERAS PARA FINES OPERATIVOS</w:t>
            </w:r>
          </w:p>
        </w:tc>
        <w:tc>
          <w:tcPr>
            <w:tcW w:w="1097" w:type="dxa"/>
            <w:shd w:val="clear" w:color="auto" w:fill="D9E2F3"/>
            <w:vAlign w:val="center"/>
          </w:tcPr>
          <w:p w14:paraId="1B9878A5" w14:textId="77777777" w:rsidR="00645809" w:rsidRPr="005863A9" w:rsidRDefault="00645809" w:rsidP="00645809">
            <w:pPr>
              <w:rPr>
                <w:b/>
                <w:bCs/>
                <w:sz w:val="22"/>
                <w:szCs w:val="22"/>
              </w:rPr>
            </w:pPr>
          </w:p>
        </w:tc>
      </w:tr>
      <w:tr w:rsidR="00645809" w:rsidRPr="005863A9" w14:paraId="315047AA" w14:textId="77777777" w:rsidTr="00141D8C">
        <w:tc>
          <w:tcPr>
            <w:tcW w:w="1740" w:type="dxa"/>
            <w:shd w:val="clear" w:color="auto" w:fill="auto"/>
            <w:vAlign w:val="center"/>
          </w:tcPr>
          <w:p w14:paraId="4DE6155B"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0ECE1D14" w14:textId="77777777" w:rsidR="00645809" w:rsidRPr="005863A9" w:rsidRDefault="00645809" w:rsidP="00645809">
            <w:pPr>
              <w:jc w:val="both"/>
              <w:rPr>
                <w:sz w:val="22"/>
                <w:szCs w:val="22"/>
              </w:rPr>
            </w:pPr>
            <w:r w:rsidRPr="005863A9">
              <w:rPr>
                <w:sz w:val="22"/>
                <w:szCs w:val="22"/>
              </w:rPr>
              <w:t>Los depósitos mantenidos en otras entidades financieras con fines operativos.</w:t>
            </w:r>
          </w:p>
        </w:tc>
        <w:tc>
          <w:tcPr>
            <w:tcW w:w="1097" w:type="dxa"/>
            <w:shd w:val="clear" w:color="auto" w:fill="auto"/>
            <w:vAlign w:val="center"/>
          </w:tcPr>
          <w:p w14:paraId="143E33A7" w14:textId="77777777" w:rsidR="00645809" w:rsidRPr="005863A9" w:rsidRDefault="00645809" w:rsidP="00645809">
            <w:pPr>
              <w:rPr>
                <w:sz w:val="22"/>
                <w:szCs w:val="22"/>
              </w:rPr>
            </w:pPr>
            <w:r w:rsidRPr="005863A9">
              <w:rPr>
                <w:sz w:val="22"/>
                <w:szCs w:val="22"/>
              </w:rPr>
              <w:t>50%</w:t>
            </w:r>
          </w:p>
        </w:tc>
      </w:tr>
      <w:tr w:rsidR="00645809" w:rsidRPr="005863A9" w14:paraId="1CD89203" w14:textId="77777777" w:rsidTr="00141D8C">
        <w:tc>
          <w:tcPr>
            <w:tcW w:w="1740" w:type="dxa"/>
            <w:shd w:val="clear" w:color="auto" w:fill="D9E2F3"/>
            <w:vAlign w:val="center"/>
          </w:tcPr>
          <w:p w14:paraId="6FDA0EDC" w14:textId="77777777" w:rsidR="00645809" w:rsidRPr="005863A9" w:rsidRDefault="00645809" w:rsidP="00645809">
            <w:pPr>
              <w:rPr>
                <w:b/>
                <w:bCs/>
                <w:sz w:val="22"/>
                <w:szCs w:val="22"/>
              </w:rPr>
            </w:pPr>
            <w:r w:rsidRPr="005863A9">
              <w:rPr>
                <w:b/>
                <w:bCs/>
                <w:sz w:val="22"/>
                <w:szCs w:val="22"/>
              </w:rPr>
              <w:t>3.</w:t>
            </w:r>
          </w:p>
        </w:tc>
        <w:tc>
          <w:tcPr>
            <w:tcW w:w="6661" w:type="dxa"/>
            <w:shd w:val="clear" w:color="auto" w:fill="D9E2F3"/>
            <w:vAlign w:val="center"/>
          </w:tcPr>
          <w:p w14:paraId="1B79006A" w14:textId="77777777" w:rsidR="00645809" w:rsidRPr="005863A9" w:rsidRDefault="00645809" w:rsidP="00645809">
            <w:pPr>
              <w:jc w:val="both"/>
              <w:rPr>
                <w:sz w:val="22"/>
                <w:szCs w:val="22"/>
              </w:rPr>
            </w:pPr>
            <w:r w:rsidRPr="005863A9">
              <w:rPr>
                <w:b/>
                <w:bCs/>
                <w:sz w:val="22"/>
                <w:szCs w:val="22"/>
              </w:rPr>
              <w:t>SALDO EN LIBROS PROCEDENTES DE CARTERA DE CRÉDITOS E INVERSIONES EN INSTRUMENTOS FINANCIEROS</w:t>
            </w:r>
          </w:p>
        </w:tc>
        <w:tc>
          <w:tcPr>
            <w:tcW w:w="1097" w:type="dxa"/>
            <w:shd w:val="clear" w:color="auto" w:fill="D9E2F3"/>
            <w:vAlign w:val="center"/>
          </w:tcPr>
          <w:p w14:paraId="0C11AAF8" w14:textId="77777777" w:rsidR="00645809" w:rsidRPr="005863A9" w:rsidRDefault="00645809" w:rsidP="00645809">
            <w:pPr>
              <w:rPr>
                <w:sz w:val="22"/>
                <w:szCs w:val="22"/>
              </w:rPr>
            </w:pPr>
          </w:p>
        </w:tc>
      </w:tr>
      <w:tr w:rsidR="00645809" w:rsidRPr="005863A9" w14:paraId="10EA0D1C" w14:textId="77777777" w:rsidTr="00141D8C">
        <w:tc>
          <w:tcPr>
            <w:tcW w:w="1740" w:type="dxa"/>
            <w:shd w:val="clear" w:color="auto" w:fill="auto"/>
            <w:vAlign w:val="center"/>
          </w:tcPr>
          <w:p w14:paraId="3B662D1F" w14:textId="77777777" w:rsidR="00645809" w:rsidRPr="005863A9" w:rsidRDefault="00645809" w:rsidP="00645809">
            <w:pPr>
              <w:rPr>
                <w:b/>
                <w:bCs/>
                <w:sz w:val="22"/>
                <w:szCs w:val="22"/>
              </w:rPr>
            </w:pPr>
            <w:r w:rsidRPr="005863A9">
              <w:rPr>
                <w:b/>
                <w:bCs/>
                <w:sz w:val="22"/>
                <w:szCs w:val="22"/>
              </w:rPr>
              <w:t>3.1</w:t>
            </w:r>
          </w:p>
        </w:tc>
        <w:tc>
          <w:tcPr>
            <w:tcW w:w="6661" w:type="dxa"/>
            <w:shd w:val="clear" w:color="auto" w:fill="DEEAF6"/>
          </w:tcPr>
          <w:p w14:paraId="59DDC24C" w14:textId="77777777" w:rsidR="00645809" w:rsidRPr="005863A9" w:rsidRDefault="00645809" w:rsidP="00645809">
            <w:pPr>
              <w:jc w:val="both"/>
              <w:rPr>
                <w:b/>
                <w:bCs/>
                <w:sz w:val="22"/>
                <w:szCs w:val="22"/>
              </w:rPr>
            </w:pPr>
            <w:r w:rsidRPr="005863A9">
              <w:rPr>
                <w:b/>
                <w:bCs/>
                <w:sz w:val="22"/>
                <w:szCs w:val="22"/>
              </w:rPr>
              <w:t>Saldo en libros procedentes de cartera de crédito otorgada a entidades financieras cuando estén garantizados con activos de Nivel 1, inversiones en operaciones del tipo pacto de recompra garantizadas con activos líquidos de alta calidad de Nivel 1, operaciones diferidas de liquidez con contraparte distinta a BCCR garantizada con activos de alta calidad de Nivel 1.</w:t>
            </w:r>
          </w:p>
        </w:tc>
        <w:tc>
          <w:tcPr>
            <w:tcW w:w="1097" w:type="dxa"/>
            <w:shd w:val="clear" w:color="auto" w:fill="auto"/>
            <w:vAlign w:val="center"/>
          </w:tcPr>
          <w:p w14:paraId="2B73B4C1" w14:textId="77777777" w:rsidR="00645809" w:rsidRPr="005863A9" w:rsidRDefault="00645809" w:rsidP="00645809">
            <w:pPr>
              <w:rPr>
                <w:b/>
                <w:bCs/>
                <w:sz w:val="22"/>
                <w:szCs w:val="22"/>
              </w:rPr>
            </w:pPr>
          </w:p>
        </w:tc>
      </w:tr>
      <w:tr w:rsidR="00645809" w:rsidRPr="005863A9" w14:paraId="46FDD5D6" w14:textId="77777777" w:rsidTr="00141D8C">
        <w:tc>
          <w:tcPr>
            <w:tcW w:w="1740" w:type="dxa"/>
            <w:shd w:val="clear" w:color="auto" w:fill="auto"/>
            <w:vAlign w:val="center"/>
          </w:tcPr>
          <w:p w14:paraId="7E059919"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37CF618C" w14:textId="77777777" w:rsidR="00645809" w:rsidRPr="005863A9" w:rsidRDefault="00645809" w:rsidP="00645809">
            <w:pPr>
              <w:jc w:val="both"/>
              <w:rPr>
                <w:sz w:val="22"/>
                <w:szCs w:val="22"/>
              </w:rPr>
            </w:pPr>
            <w:r w:rsidRPr="005863A9">
              <w:rPr>
                <w:sz w:val="22"/>
                <w:szCs w:val="22"/>
              </w:rPr>
              <w:t xml:space="preserve">Saldo en libros de cartera de </w:t>
            </w:r>
            <w:r w:rsidRPr="005863A9">
              <w:rPr>
                <w:color w:val="000000"/>
                <w:sz w:val="22"/>
                <w:szCs w:val="22"/>
              </w:rPr>
              <w:t xml:space="preserve">crédito de entidades </w:t>
            </w:r>
            <w:r w:rsidRPr="005863A9">
              <w:rPr>
                <w:sz w:val="22"/>
                <w:szCs w:val="22"/>
              </w:rPr>
              <w:t xml:space="preserve">financieras con </w:t>
            </w:r>
            <w:r w:rsidRPr="005863A9">
              <w:rPr>
                <w:color w:val="4472C4"/>
                <w:sz w:val="22"/>
                <w:szCs w:val="22"/>
              </w:rPr>
              <w:t>vencimiento residual inferior a seis meses</w:t>
            </w:r>
            <w:r w:rsidRPr="005863A9">
              <w:rPr>
                <w:sz w:val="22"/>
                <w:szCs w:val="22"/>
              </w:rPr>
              <w:t xml:space="preserve"> cuando estén garantizados con activos de Nivel 1 y cuando la entidad sea capaz de comprometer libremente el colateral recibido durante la vida del crédito</w:t>
            </w:r>
            <w:r w:rsidRPr="005863A9">
              <w:rPr>
                <w:color w:val="FF0000"/>
                <w:sz w:val="22"/>
                <w:szCs w:val="22"/>
              </w:rPr>
              <w:t>,</w:t>
            </w:r>
            <w:r w:rsidRPr="005863A9">
              <w:rPr>
                <w:sz w:val="22"/>
                <w:szCs w:val="22"/>
              </w:rPr>
              <w:t xml:space="preserve"> inversiones en operaciones tipo pacto de recompra garantizados con activos de Nivel 1, operaciones diferidas de liquidez con contraparte distinta a BCCR garantizada con activos de alta calidad de Nivel 1</w:t>
            </w:r>
            <w:r w:rsidRPr="005863A9">
              <w:rPr>
                <w:color w:val="FF0000"/>
                <w:sz w:val="22"/>
                <w:szCs w:val="22"/>
              </w:rPr>
              <w:t xml:space="preserve">  </w:t>
            </w:r>
            <w:r w:rsidRPr="005863A9">
              <w:rPr>
                <w:sz w:val="22"/>
                <w:szCs w:val="22"/>
              </w:rPr>
              <w:t xml:space="preserve">con </w:t>
            </w:r>
            <w:r w:rsidRPr="005863A9">
              <w:rPr>
                <w:color w:val="4472C4"/>
                <w:sz w:val="22"/>
                <w:szCs w:val="22"/>
              </w:rPr>
              <w:t>vencimiento residual inferior a seis meses.</w:t>
            </w:r>
          </w:p>
        </w:tc>
        <w:tc>
          <w:tcPr>
            <w:tcW w:w="1097" w:type="dxa"/>
            <w:shd w:val="clear" w:color="auto" w:fill="auto"/>
            <w:vAlign w:val="center"/>
          </w:tcPr>
          <w:p w14:paraId="29DE0F4D" w14:textId="77777777" w:rsidR="00645809" w:rsidRPr="005863A9" w:rsidRDefault="00645809" w:rsidP="00645809">
            <w:pPr>
              <w:rPr>
                <w:sz w:val="22"/>
                <w:szCs w:val="22"/>
              </w:rPr>
            </w:pPr>
            <w:r w:rsidRPr="005863A9">
              <w:rPr>
                <w:sz w:val="22"/>
                <w:szCs w:val="22"/>
              </w:rPr>
              <w:t>10%</w:t>
            </w:r>
          </w:p>
        </w:tc>
      </w:tr>
      <w:tr w:rsidR="00645809" w:rsidRPr="005863A9" w14:paraId="22D36EB7" w14:textId="77777777" w:rsidTr="00141D8C">
        <w:tc>
          <w:tcPr>
            <w:tcW w:w="1740" w:type="dxa"/>
            <w:shd w:val="clear" w:color="auto" w:fill="auto"/>
            <w:vAlign w:val="center"/>
          </w:tcPr>
          <w:p w14:paraId="13015CEB" w14:textId="77777777" w:rsidR="00645809" w:rsidRPr="005863A9" w:rsidRDefault="00645809" w:rsidP="00645809">
            <w:pPr>
              <w:rPr>
                <w:sz w:val="22"/>
                <w:szCs w:val="22"/>
              </w:rPr>
            </w:pPr>
            <w:r w:rsidRPr="005863A9">
              <w:rPr>
                <w:sz w:val="22"/>
                <w:szCs w:val="22"/>
              </w:rPr>
              <w:t>ii)</w:t>
            </w:r>
          </w:p>
        </w:tc>
        <w:tc>
          <w:tcPr>
            <w:tcW w:w="6661" w:type="dxa"/>
            <w:shd w:val="clear" w:color="auto" w:fill="auto"/>
          </w:tcPr>
          <w:p w14:paraId="3656659C" w14:textId="77777777" w:rsidR="00645809" w:rsidRPr="005863A9" w:rsidRDefault="00645809" w:rsidP="00645809">
            <w:pPr>
              <w:jc w:val="both"/>
              <w:rPr>
                <w:sz w:val="22"/>
                <w:szCs w:val="22"/>
              </w:rPr>
            </w:pPr>
            <w:r w:rsidRPr="005863A9">
              <w:rPr>
                <w:color w:val="000000"/>
                <w:sz w:val="22"/>
                <w:szCs w:val="22"/>
              </w:rPr>
              <w:t xml:space="preserve">Todos los créditos concedidos a </w:t>
            </w:r>
            <w:r w:rsidRPr="005863A9">
              <w:rPr>
                <w:sz w:val="22"/>
                <w:szCs w:val="22"/>
              </w:rPr>
              <w:t xml:space="preserve">entidades financieras y bancos centrales con </w:t>
            </w:r>
            <w:r w:rsidRPr="005863A9">
              <w:rPr>
                <w:color w:val="4472C4"/>
                <w:sz w:val="22"/>
                <w:szCs w:val="22"/>
              </w:rPr>
              <w:t>vencimiento residual igual o superior a seis meses e inferiores a un año</w:t>
            </w:r>
            <w:r w:rsidRPr="005863A9">
              <w:rPr>
                <w:sz w:val="22"/>
                <w:szCs w:val="22"/>
              </w:rPr>
              <w:t>, inversiones en operaciones del tipo pacto de recompra garantizados con activos de Nive</w:t>
            </w:r>
            <w:r w:rsidRPr="005863A9">
              <w:rPr>
                <w:color w:val="000000"/>
                <w:sz w:val="22"/>
                <w:szCs w:val="22"/>
              </w:rPr>
              <w:t xml:space="preserve">l 1 con </w:t>
            </w:r>
            <w:r w:rsidRPr="005863A9">
              <w:rPr>
                <w:color w:val="4472C4"/>
                <w:sz w:val="22"/>
                <w:szCs w:val="22"/>
              </w:rPr>
              <w:t>vencimientos residual igual o superior a seis meses e inferiores a un año</w:t>
            </w:r>
            <w:r w:rsidRPr="005863A9">
              <w:rPr>
                <w:color w:val="000000"/>
                <w:sz w:val="22"/>
                <w:szCs w:val="22"/>
              </w:rPr>
              <w:t>.</w:t>
            </w:r>
          </w:p>
        </w:tc>
        <w:tc>
          <w:tcPr>
            <w:tcW w:w="1097" w:type="dxa"/>
            <w:shd w:val="clear" w:color="auto" w:fill="auto"/>
            <w:vAlign w:val="center"/>
          </w:tcPr>
          <w:p w14:paraId="2B84DB07" w14:textId="77777777" w:rsidR="00645809" w:rsidRPr="005863A9" w:rsidRDefault="00645809" w:rsidP="00645809">
            <w:pPr>
              <w:rPr>
                <w:sz w:val="22"/>
                <w:szCs w:val="22"/>
              </w:rPr>
            </w:pPr>
            <w:r w:rsidRPr="005863A9">
              <w:rPr>
                <w:sz w:val="22"/>
                <w:szCs w:val="22"/>
              </w:rPr>
              <w:t>50%</w:t>
            </w:r>
          </w:p>
        </w:tc>
      </w:tr>
      <w:tr w:rsidR="00645809" w:rsidRPr="005863A9" w14:paraId="6286B1F0" w14:textId="77777777" w:rsidTr="00141D8C">
        <w:tc>
          <w:tcPr>
            <w:tcW w:w="1740" w:type="dxa"/>
            <w:shd w:val="clear" w:color="auto" w:fill="auto"/>
            <w:vAlign w:val="center"/>
          </w:tcPr>
          <w:p w14:paraId="244B2DC9" w14:textId="77777777" w:rsidR="00645809" w:rsidRPr="005863A9" w:rsidRDefault="00645809" w:rsidP="00645809">
            <w:pPr>
              <w:rPr>
                <w:sz w:val="22"/>
                <w:szCs w:val="22"/>
              </w:rPr>
            </w:pPr>
            <w:r w:rsidRPr="005863A9">
              <w:rPr>
                <w:sz w:val="22"/>
                <w:szCs w:val="22"/>
              </w:rPr>
              <w:t>iii)</w:t>
            </w:r>
          </w:p>
        </w:tc>
        <w:tc>
          <w:tcPr>
            <w:tcW w:w="6661" w:type="dxa"/>
            <w:shd w:val="clear" w:color="auto" w:fill="auto"/>
          </w:tcPr>
          <w:p w14:paraId="7328408C" w14:textId="77777777" w:rsidR="00645809" w:rsidRPr="005863A9" w:rsidRDefault="00645809" w:rsidP="00645809">
            <w:pPr>
              <w:jc w:val="both"/>
              <w:rPr>
                <w:sz w:val="22"/>
                <w:szCs w:val="22"/>
              </w:rPr>
            </w:pPr>
            <w:r w:rsidRPr="005863A9">
              <w:rPr>
                <w:sz w:val="22"/>
                <w:szCs w:val="22"/>
              </w:rPr>
              <w:t>Los restantes activos no incluidos en las categorías anteriores, incluida cartera de crédito con más de 90 días de atraso, créditos a entidades financieras, inversiones</w:t>
            </w:r>
            <w:r w:rsidRPr="005863A9">
              <w:rPr>
                <w:color w:val="FF0000"/>
                <w:sz w:val="22"/>
                <w:szCs w:val="22"/>
              </w:rPr>
              <w:t xml:space="preserve"> </w:t>
            </w:r>
            <w:r w:rsidRPr="005863A9">
              <w:rPr>
                <w:sz w:val="22"/>
                <w:szCs w:val="22"/>
              </w:rPr>
              <w:t xml:space="preserve">en operaciones del tipo pacto de recompra garantizados con activos de Nivel 1 </w:t>
            </w:r>
            <w:r w:rsidRPr="005863A9">
              <w:rPr>
                <w:color w:val="4472C4"/>
                <w:sz w:val="22"/>
                <w:szCs w:val="22"/>
              </w:rPr>
              <w:t>con vencimiento residual igual o superior a un año.</w:t>
            </w:r>
          </w:p>
        </w:tc>
        <w:tc>
          <w:tcPr>
            <w:tcW w:w="1097" w:type="dxa"/>
            <w:shd w:val="clear" w:color="auto" w:fill="auto"/>
            <w:vAlign w:val="center"/>
          </w:tcPr>
          <w:p w14:paraId="6A413477" w14:textId="77777777" w:rsidR="00645809" w:rsidRPr="005863A9" w:rsidRDefault="00645809" w:rsidP="00645809">
            <w:pPr>
              <w:rPr>
                <w:sz w:val="22"/>
                <w:szCs w:val="22"/>
              </w:rPr>
            </w:pPr>
            <w:r w:rsidRPr="005863A9">
              <w:rPr>
                <w:sz w:val="22"/>
                <w:szCs w:val="22"/>
              </w:rPr>
              <w:t>100%</w:t>
            </w:r>
          </w:p>
        </w:tc>
      </w:tr>
      <w:tr w:rsidR="00645809" w:rsidRPr="005863A9" w14:paraId="7B793A6B" w14:textId="77777777" w:rsidTr="00141D8C">
        <w:tc>
          <w:tcPr>
            <w:tcW w:w="1740" w:type="dxa"/>
            <w:shd w:val="clear" w:color="auto" w:fill="auto"/>
            <w:vAlign w:val="center"/>
          </w:tcPr>
          <w:p w14:paraId="646535ED" w14:textId="77777777" w:rsidR="00645809" w:rsidRPr="005863A9" w:rsidRDefault="00645809" w:rsidP="00645809">
            <w:pPr>
              <w:rPr>
                <w:b/>
                <w:bCs/>
                <w:sz w:val="22"/>
                <w:szCs w:val="22"/>
              </w:rPr>
            </w:pPr>
            <w:r w:rsidRPr="005863A9">
              <w:rPr>
                <w:b/>
                <w:bCs/>
                <w:sz w:val="22"/>
                <w:szCs w:val="22"/>
              </w:rPr>
              <w:t>3.2</w:t>
            </w:r>
          </w:p>
        </w:tc>
        <w:tc>
          <w:tcPr>
            <w:tcW w:w="6661" w:type="dxa"/>
            <w:shd w:val="clear" w:color="auto" w:fill="DEEAF6"/>
          </w:tcPr>
          <w:p w14:paraId="19D2BAF6" w14:textId="77777777" w:rsidR="00645809" w:rsidRPr="005863A9" w:rsidRDefault="00645809" w:rsidP="00645809">
            <w:pPr>
              <w:jc w:val="both"/>
              <w:rPr>
                <w:sz w:val="22"/>
                <w:szCs w:val="22"/>
              </w:rPr>
            </w:pPr>
            <w:r w:rsidRPr="005863A9">
              <w:rPr>
                <w:b/>
                <w:bCs/>
                <w:sz w:val="22"/>
                <w:szCs w:val="22"/>
              </w:rPr>
              <w:t>Saldo en libros procedentes de cartera de crédito otorgada a entidades financieras, inversiones en operaciones del tipo pacto de recompra garantizadas con activos líquidos de alta calidad distintos de Nivel 1 y cartera de crédito no garantizado a entidades financieras, operaciones diferidas de liquidez garantizada con activos distintos de Nivel 1 o no garantizados</w:t>
            </w:r>
          </w:p>
        </w:tc>
        <w:tc>
          <w:tcPr>
            <w:tcW w:w="1097" w:type="dxa"/>
            <w:shd w:val="clear" w:color="auto" w:fill="auto"/>
            <w:vAlign w:val="center"/>
          </w:tcPr>
          <w:p w14:paraId="445B3E7E" w14:textId="77777777" w:rsidR="00645809" w:rsidRPr="005863A9" w:rsidRDefault="00645809" w:rsidP="00645809">
            <w:pPr>
              <w:rPr>
                <w:sz w:val="22"/>
                <w:szCs w:val="22"/>
              </w:rPr>
            </w:pPr>
          </w:p>
        </w:tc>
      </w:tr>
      <w:tr w:rsidR="00645809" w:rsidRPr="005863A9" w14:paraId="5217FB2D" w14:textId="77777777" w:rsidTr="00141D8C">
        <w:tc>
          <w:tcPr>
            <w:tcW w:w="1740" w:type="dxa"/>
            <w:shd w:val="clear" w:color="auto" w:fill="auto"/>
            <w:vAlign w:val="center"/>
          </w:tcPr>
          <w:p w14:paraId="74C3021F" w14:textId="77777777" w:rsidR="00645809" w:rsidRPr="005863A9" w:rsidRDefault="00645809" w:rsidP="00645809">
            <w:pPr>
              <w:rPr>
                <w:sz w:val="22"/>
                <w:szCs w:val="22"/>
              </w:rPr>
            </w:pPr>
            <w:r w:rsidRPr="005863A9">
              <w:rPr>
                <w:sz w:val="22"/>
                <w:szCs w:val="22"/>
              </w:rPr>
              <w:lastRenderedPageBreak/>
              <w:t>i)</w:t>
            </w:r>
          </w:p>
        </w:tc>
        <w:tc>
          <w:tcPr>
            <w:tcW w:w="6661" w:type="dxa"/>
            <w:shd w:val="clear" w:color="auto" w:fill="auto"/>
          </w:tcPr>
          <w:p w14:paraId="783544C9" w14:textId="77777777" w:rsidR="00645809" w:rsidRPr="005863A9" w:rsidRDefault="00645809" w:rsidP="00645809">
            <w:pPr>
              <w:jc w:val="both"/>
              <w:rPr>
                <w:sz w:val="22"/>
                <w:szCs w:val="22"/>
              </w:rPr>
            </w:pPr>
            <w:r w:rsidRPr="005863A9">
              <w:rPr>
                <w:sz w:val="22"/>
                <w:szCs w:val="22"/>
              </w:rPr>
              <w:t xml:space="preserve">Los restantes créditos concedidos a entidades financieras con </w:t>
            </w:r>
            <w:r w:rsidRPr="005863A9">
              <w:rPr>
                <w:color w:val="4472C4"/>
                <w:sz w:val="22"/>
                <w:szCs w:val="22"/>
              </w:rPr>
              <w:t>vencimiento residual inferior a seis meses</w:t>
            </w:r>
            <w:r w:rsidRPr="005863A9">
              <w:rPr>
                <w:sz w:val="22"/>
                <w:szCs w:val="22"/>
              </w:rPr>
              <w:t xml:space="preserve"> no incluidos en las categorías anteriores, inversiones en operaciones del tipo pacto de recompra garantizadas con activos líquidos de alta calidad distintos de Nivel 1, operaciones diferidas de liquidez garantizada con activos distintos de Nivel 1 o no garantizados con </w:t>
            </w:r>
            <w:r w:rsidRPr="005863A9">
              <w:rPr>
                <w:color w:val="4472C4"/>
                <w:sz w:val="22"/>
                <w:szCs w:val="22"/>
              </w:rPr>
              <w:t>vencimiento residual inferior a seis meses</w:t>
            </w:r>
            <w:r w:rsidRPr="005863A9">
              <w:rPr>
                <w:sz w:val="22"/>
                <w:szCs w:val="22"/>
              </w:rPr>
              <w:t>.</w:t>
            </w:r>
            <w:r w:rsidRPr="005863A9">
              <w:rPr>
                <w:b/>
                <w:bCs/>
                <w:sz w:val="22"/>
                <w:szCs w:val="22"/>
              </w:rPr>
              <w:t xml:space="preserve"> </w:t>
            </w:r>
          </w:p>
        </w:tc>
        <w:tc>
          <w:tcPr>
            <w:tcW w:w="1097" w:type="dxa"/>
            <w:shd w:val="clear" w:color="auto" w:fill="auto"/>
            <w:vAlign w:val="center"/>
          </w:tcPr>
          <w:p w14:paraId="2E9CD805" w14:textId="77777777" w:rsidR="00645809" w:rsidRPr="005863A9" w:rsidRDefault="00645809" w:rsidP="00645809">
            <w:pPr>
              <w:rPr>
                <w:sz w:val="22"/>
                <w:szCs w:val="22"/>
              </w:rPr>
            </w:pPr>
            <w:r w:rsidRPr="005863A9">
              <w:rPr>
                <w:sz w:val="22"/>
                <w:szCs w:val="22"/>
              </w:rPr>
              <w:t>15%</w:t>
            </w:r>
          </w:p>
        </w:tc>
      </w:tr>
      <w:tr w:rsidR="00645809" w:rsidRPr="005863A9" w14:paraId="599BCE06" w14:textId="77777777" w:rsidTr="00141D8C">
        <w:tc>
          <w:tcPr>
            <w:tcW w:w="1740" w:type="dxa"/>
            <w:shd w:val="clear" w:color="auto" w:fill="auto"/>
            <w:vAlign w:val="center"/>
          </w:tcPr>
          <w:p w14:paraId="7D0BD27F" w14:textId="77777777" w:rsidR="00645809" w:rsidRPr="005863A9" w:rsidRDefault="00645809" w:rsidP="00645809">
            <w:pPr>
              <w:rPr>
                <w:sz w:val="22"/>
                <w:szCs w:val="22"/>
              </w:rPr>
            </w:pPr>
            <w:r w:rsidRPr="005863A9">
              <w:rPr>
                <w:sz w:val="22"/>
                <w:szCs w:val="22"/>
              </w:rPr>
              <w:t>ii)</w:t>
            </w:r>
          </w:p>
        </w:tc>
        <w:tc>
          <w:tcPr>
            <w:tcW w:w="6661" w:type="dxa"/>
            <w:shd w:val="clear" w:color="auto" w:fill="auto"/>
          </w:tcPr>
          <w:p w14:paraId="49975A95" w14:textId="77777777" w:rsidR="00645809" w:rsidRPr="005863A9" w:rsidRDefault="00645809" w:rsidP="00645809">
            <w:pPr>
              <w:jc w:val="both"/>
              <w:rPr>
                <w:sz w:val="22"/>
                <w:szCs w:val="22"/>
              </w:rPr>
            </w:pPr>
            <w:r w:rsidRPr="005863A9">
              <w:rPr>
                <w:sz w:val="22"/>
                <w:szCs w:val="22"/>
              </w:rPr>
              <w:t xml:space="preserve">Los restantes créditos concedidos a entidades financieras y bancos centrales, inversiones en operaciones del tipo pacto de recompra garantizadas con activos líquidos de alta calidad distintos de Nivel 1 con </w:t>
            </w:r>
            <w:r w:rsidRPr="005863A9">
              <w:rPr>
                <w:color w:val="4472C4"/>
                <w:sz w:val="22"/>
                <w:szCs w:val="22"/>
              </w:rPr>
              <w:t xml:space="preserve">vencimiento residual igual o superior a seis meses e inferior a un año. </w:t>
            </w:r>
          </w:p>
        </w:tc>
        <w:tc>
          <w:tcPr>
            <w:tcW w:w="1097" w:type="dxa"/>
            <w:shd w:val="clear" w:color="auto" w:fill="auto"/>
            <w:vAlign w:val="center"/>
          </w:tcPr>
          <w:p w14:paraId="4E7AD720" w14:textId="77777777" w:rsidR="00645809" w:rsidRPr="005863A9" w:rsidRDefault="00645809" w:rsidP="00645809">
            <w:pPr>
              <w:rPr>
                <w:sz w:val="22"/>
                <w:szCs w:val="22"/>
              </w:rPr>
            </w:pPr>
            <w:r w:rsidRPr="005863A9">
              <w:rPr>
                <w:sz w:val="22"/>
                <w:szCs w:val="22"/>
              </w:rPr>
              <w:t>50%</w:t>
            </w:r>
          </w:p>
        </w:tc>
      </w:tr>
      <w:tr w:rsidR="00645809" w:rsidRPr="005863A9" w14:paraId="150496A4" w14:textId="77777777" w:rsidTr="00141D8C">
        <w:tc>
          <w:tcPr>
            <w:tcW w:w="1740" w:type="dxa"/>
            <w:shd w:val="clear" w:color="auto" w:fill="auto"/>
            <w:vAlign w:val="center"/>
          </w:tcPr>
          <w:p w14:paraId="493BAF7E" w14:textId="77777777" w:rsidR="00645809" w:rsidRPr="005863A9" w:rsidRDefault="00645809" w:rsidP="00645809">
            <w:pPr>
              <w:rPr>
                <w:sz w:val="22"/>
                <w:szCs w:val="22"/>
              </w:rPr>
            </w:pPr>
            <w:r w:rsidRPr="005863A9">
              <w:rPr>
                <w:sz w:val="22"/>
                <w:szCs w:val="22"/>
              </w:rPr>
              <w:t>iii)</w:t>
            </w:r>
          </w:p>
        </w:tc>
        <w:tc>
          <w:tcPr>
            <w:tcW w:w="6661" w:type="dxa"/>
            <w:shd w:val="clear" w:color="auto" w:fill="auto"/>
          </w:tcPr>
          <w:p w14:paraId="11C86385" w14:textId="77777777" w:rsidR="00645809" w:rsidRPr="005863A9" w:rsidRDefault="00645809" w:rsidP="00645809">
            <w:pPr>
              <w:jc w:val="both"/>
              <w:rPr>
                <w:sz w:val="22"/>
                <w:szCs w:val="22"/>
              </w:rPr>
            </w:pPr>
            <w:r w:rsidRPr="005863A9">
              <w:rPr>
                <w:sz w:val="22"/>
                <w:szCs w:val="22"/>
              </w:rPr>
              <w:t xml:space="preserve">Los restantes activos no incluidos en las anteriores categorías, incluidos préstamos con más de 90 días de atraso, créditos a entidades financieras, inversiones en operaciones del tipo pacto de recompra garantizadas con activos líquidos de alta calidad distintos de Nivel 1 </w:t>
            </w:r>
            <w:r w:rsidRPr="005863A9">
              <w:rPr>
                <w:color w:val="4472C4"/>
                <w:sz w:val="22"/>
                <w:szCs w:val="22"/>
              </w:rPr>
              <w:t>con vencimiento residual igual o superior a un año</w:t>
            </w:r>
            <w:r w:rsidRPr="005863A9">
              <w:rPr>
                <w:sz w:val="22"/>
                <w:szCs w:val="22"/>
              </w:rPr>
              <w:t xml:space="preserve">. </w:t>
            </w:r>
          </w:p>
        </w:tc>
        <w:tc>
          <w:tcPr>
            <w:tcW w:w="1097" w:type="dxa"/>
            <w:shd w:val="clear" w:color="auto" w:fill="auto"/>
            <w:vAlign w:val="center"/>
          </w:tcPr>
          <w:p w14:paraId="4F9EAAA0" w14:textId="77777777" w:rsidR="00645809" w:rsidRPr="005863A9" w:rsidRDefault="00645809" w:rsidP="00645809">
            <w:pPr>
              <w:rPr>
                <w:sz w:val="22"/>
                <w:szCs w:val="22"/>
              </w:rPr>
            </w:pPr>
            <w:r w:rsidRPr="005863A9">
              <w:rPr>
                <w:sz w:val="22"/>
                <w:szCs w:val="22"/>
              </w:rPr>
              <w:t>100%</w:t>
            </w:r>
          </w:p>
        </w:tc>
      </w:tr>
      <w:tr w:rsidR="00645809" w:rsidRPr="005863A9" w14:paraId="3F76706A" w14:textId="77777777" w:rsidTr="00141D8C">
        <w:tc>
          <w:tcPr>
            <w:tcW w:w="1740" w:type="dxa"/>
            <w:shd w:val="clear" w:color="auto" w:fill="auto"/>
            <w:vAlign w:val="center"/>
          </w:tcPr>
          <w:p w14:paraId="6C13D53C" w14:textId="77777777" w:rsidR="00645809" w:rsidRPr="005863A9" w:rsidRDefault="00645809" w:rsidP="00645809">
            <w:pPr>
              <w:rPr>
                <w:b/>
                <w:bCs/>
                <w:sz w:val="22"/>
                <w:szCs w:val="22"/>
              </w:rPr>
            </w:pPr>
            <w:r w:rsidRPr="005863A9">
              <w:rPr>
                <w:b/>
                <w:bCs/>
                <w:sz w:val="22"/>
                <w:szCs w:val="22"/>
              </w:rPr>
              <w:t>3.3</w:t>
            </w:r>
          </w:p>
        </w:tc>
        <w:tc>
          <w:tcPr>
            <w:tcW w:w="6661" w:type="dxa"/>
            <w:shd w:val="clear" w:color="auto" w:fill="DEEAF6"/>
          </w:tcPr>
          <w:p w14:paraId="4FE85FD3" w14:textId="77777777" w:rsidR="00645809" w:rsidRPr="005863A9" w:rsidRDefault="00645809" w:rsidP="00645809">
            <w:pPr>
              <w:jc w:val="both"/>
              <w:rPr>
                <w:sz w:val="22"/>
                <w:szCs w:val="22"/>
              </w:rPr>
            </w:pPr>
            <w:r w:rsidRPr="005863A9">
              <w:rPr>
                <w:b/>
                <w:bCs/>
                <w:sz w:val="22"/>
                <w:szCs w:val="22"/>
              </w:rPr>
              <w:t>Saldo en libros de cartera de crédito: a entidades no financieras, a clientes minoristas, MiPyME, gobierno central, bancos centrales y entidades del sector público no perteneciente al gobierno central.</w:t>
            </w:r>
          </w:p>
        </w:tc>
        <w:tc>
          <w:tcPr>
            <w:tcW w:w="1097" w:type="dxa"/>
            <w:shd w:val="clear" w:color="auto" w:fill="auto"/>
            <w:vAlign w:val="center"/>
          </w:tcPr>
          <w:p w14:paraId="20B0F367" w14:textId="77777777" w:rsidR="00645809" w:rsidRPr="005863A9" w:rsidRDefault="00645809" w:rsidP="00645809">
            <w:pPr>
              <w:rPr>
                <w:sz w:val="22"/>
                <w:szCs w:val="22"/>
              </w:rPr>
            </w:pPr>
          </w:p>
        </w:tc>
      </w:tr>
      <w:tr w:rsidR="00645809" w:rsidRPr="005863A9" w14:paraId="7C6516C1" w14:textId="77777777" w:rsidTr="00141D8C">
        <w:tc>
          <w:tcPr>
            <w:tcW w:w="1740" w:type="dxa"/>
            <w:shd w:val="clear" w:color="auto" w:fill="auto"/>
            <w:vAlign w:val="center"/>
          </w:tcPr>
          <w:p w14:paraId="3DC35C9D"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0AC4BF2A" w14:textId="77777777" w:rsidR="00645809" w:rsidRPr="005863A9" w:rsidRDefault="00645809" w:rsidP="00645809">
            <w:pPr>
              <w:jc w:val="both"/>
              <w:rPr>
                <w:sz w:val="22"/>
                <w:szCs w:val="22"/>
              </w:rPr>
            </w:pPr>
            <w:r w:rsidRPr="005863A9">
              <w:rPr>
                <w:sz w:val="22"/>
                <w:szCs w:val="22"/>
              </w:rPr>
              <w:t xml:space="preserve">Saldo en libros procedentes de bancos centrales con </w:t>
            </w:r>
            <w:r w:rsidRPr="005863A9">
              <w:rPr>
                <w:color w:val="4472C4"/>
                <w:sz w:val="22"/>
                <w:szCs w:val="22"/>
              </w:rPr>
              <w:t>vencimiento residual inferior a seis meses.</w:t>
            </w:r>
          </w:p>
        </w:tc>
        <w:tc>
          <w:tcPr>
            <w:tcW w:w="1097" w:type="dxa"/>
            <w:shd w:val="clear" w:color="auto" w:fill="auto"/>
            <w:vAlign w:val="center"/>
          </w:tcPr>
          <w:p w14:paraId="38E676B7" w14:textId="77777777" w:rsidR="00645809" w:rsidRPr="005863A9" w:rsidRDefault="00645809" w:rsidP="00645809">
            <w:pPr>
              <w:rPr>
                <w:sz w:val="22"/>
                <w:szCs w:val="22"/>
              </w:rPr>
            </w:pPr>
            <w:r w:rsidRPr="005863A9">
              <w:rPr>
                <w:sz w:val="22"/>
                <w:szCs w:val="22"/>
              </w:rPr>
              <w:t>0%</w:t>
            </w:r>
          </w:p>
        </w:tc>
      </w:tr>
      <w:tr w:rsidR="00645809" w:rsidRPr="005863A9" w14:paraId="025217C0" w14:textId="77777777" w:rsidTr="00141D8C">
        <w:tc>
          <w:tcPr>
            <w:tcW w:w="1740" w:type="dxa"/>
            <w:shd w:val="clear" w:color="auto" w:fill="auto"/>
            <w:vAlign w:val="center"/>
          </w:tcPr>
          <w:p w14:paraId="4D26E6DE" w14:textId="77777777" w:rsidR="00645809" w:rsidRPr="005863A9" w:rsidRDefault="00645809" w:rsidP="00645809">
            <w:pPr>
              <w:rPr>
                <w:sz w:val="22"/>
                <w:szCs w:val="22"/>
              </w:rPr>
            </w:pPr>
            <w:r w:rsidRPr="005863A9">
              <w:rPr>
                <w:sz w:val="22"/>
                <w:szCs w:val="22"/>
              </w:rPr>
              <w:t>ii)</w:t>
            </w:r>
          </w:p>
        </w:tc>
        <w:tc>
          <w:tcPr>
            <w:tcW w:w="6661" w:type="dxa"/>
            <w:shd w:val="clear" w:color="auto" w:fill="auto"/>
          </w:tcPr>
          <w:p w14:paraId="6873BD1F" w14:textId="77777777" w:rsidR="00645809" w:rsidRPr="005863A9" w:rsidRDefault="00645809" w:rsidP="00645809">
            <w:pPr>
              <w:jc w:val="both"/>
              <w:rPr>
                <w:sz w:val="22"/>
                <w:szCs w:val="22"/>
              </w:rPr>
            </w:pPr>
            <w:r w:rsidRPr="005863A9">
              <w:rPr>
                <w:sz w:val="22"/>
                <w:szCs w:val="22"/>
              </w:rPr>
              <w:t xml:space="preserve">Los </w:t>
            </w:r>
            <w:r w:rsidRPr="005863A9">
              <w:rPr>
                <w:color w:val="000000"/>
                <w:sz w:val="22"/>
                <w:szCs w:val="22"/>
              </w:rPr>
              <w:t xml:space="preserve">restantes activos distintos de activos líquidos </w:t>
            </w:r>
            <w:r w:rsidRPr="005863A9">
              <w:rPr>
                <w:sz w:val="22"/>
                <w:szCs w:val="22"/>
              </w:rPr>
              <w:t xml:space="preserve">de alta calidad no incluidos en las anteriores categorías con </w:t>
            </w:r>
            <w:r w:rsidRPr="005863A9">
              <w:rPr>
                <w:color w:val="4472C4"/>
                <w:sz w:val="22"/>
                <w:szCs w:val="22"/>
              </w:rPr>
              <w:t>vencimiento residual inferior a un año</w:t>
            </w:r>
            <w:r w:rsidRPr="005863A9">
              <w:rPr>
                <w:sz w:val="22"/>
                <w:szCs w:val="22"/>
              </w:rPr>
              <w:t xml:space="preserve">, </w:t>
            </w:r>
            <w:r w:rsidRPr="005863A9">
              <w:rPr>
                <w:color w:val="000000"/>
                <w:sz w:val="22"/>
                <w:szCs w:val="22"/>
              </w:rPr>
              <w:t>incluida</w:t>
            </w:r>
            <w:r w:rsidRPr="005863A9">
              <w:rPr>
                <w:color w:val="FF0000"/>
                <w:sz w:val="22"/>
                <w:szCs w:val="22"/>
              </w:rPr>
              <w:t xml:space="preserve"> </w:t>
            </w:r>
            <w:r w:rsidRPr="005863A9">
              <w:rPr>
                <w:color w:val="000000"/>
                <w:sz w:val="22"/>
                <w:szCs w:val="22"/>
              </w:rPr>
              <w:t xml:space="preserve">cartera de crédito a </w:t>
            </w:r>
            <w:r w:rsidRPr="005863A9">
              <w:rPr>
                <w:sz w:val="22"/>
                <w:szCs w:val="22"/>
              </w:rPr>
              <w:t>entidades no financieras, a clientes minoristas y MiPyME, y a gobierno central, bancos centrales y entidades del sector público no perteneciente al gobierno central.</w:t>
            </w:r>
          </w:p>
        </w:tc>
        <w:tc>
          <w:tcPr>
            <w:tcW w:w="1097" w:type="dxa"/>
            <w:shd w:val="clear" w:color="auto" w:fill="auto"/>
            <w:vAlign w:val="center"/>
          </w:tcPr>
          <w:p w14:paraId="3B2B2C5F" w14:textId="77777777" w:rsidR="00645809" w:rsidRPr="005863A9" w:rsidRDefault="00645809" w:rsidP="00645809">
            <w:pPr>
              <w:rPr>
                <w:sz w:val="22"/>
                <w:szCs w:val="22"/>
              </w:rPr>
            </w:pPr>
            <w:r w:rsidRPr="005863A9">
              <w:rPr>
                <w:sz w:val="22"/>
                <w:szCs w:val="22"/>
              </w:rPr>
              <w:t>50%</w:t>
            </w:r>
          </w:p>
        </w:tc>
      </w:tr>
      <w:tr w:rsidR="00645809" w:rsidRPr="005863A9" w14:paraId="53A68B0A" w14:textId="77777777" w:rsidTr="00141D8C">
        <w:tc>
          <w:tcPr>
            <w:tcW w:w="1740" w:type="dxa"/>
            <w:shd w:val="clear" w:color="auto" w:fill="auto"/>
            <w:vAlign w:val="center"/>
          </w:tcPr>
          <w:p w14:paraId="2265CF0F" w14:textId="77777777" w:rsidR="00645809" w:rsidRPr="005863A9" w:rsidRDefault="00645809" w:rsidP="00645809">
            <w:pPr>
              <w:rPr>
                <w:sz w:val="22"/>
                <w:szCs w:val="22"/>
              </w:rPr>
            </w:pPr>
            <w:r w:rsidRPr="005863A9">
              <w:rPr>
                <w:sz w:val="22"/>
                <w:szCs w:val="22"/>
              </w:rPr>
              <w:t>iii)</w:t>
            </w:r>
          </w:p>
        </w:tc>
        <w:tc>
          <w:tcPr>
            <w:tcW w:w="6661" w:type="dxa"/>
            <w:shd w:val="clear" w:color="auto" w:fill="auto"/>
          </w:tcPr>
          <w:p w14:paraId="36C52FAB" w14:textId="77777777" w:rsidR="00645809" w:rsidRPr="005863A9" w:rsidRDefault="00645809" w:rsidP="00645809">
            <w:pPr>
              <w:jc w:val="both"/>
              <w:rPr>
                <w:sz w:val="22"/>
                <w:szCs w:val="22"/>
              </w:rPr>
            </w:pPr>
            <w:r w:rsidRPr="005863A9">
              <w:rPr>
                <w:sz w:val="22"/>
                <w:szCs w:val="22"/>
              </w:rPr>
              <w:t xml:space="preserve">Otra cartera de crédito con hasta 90 días de atraso con </w:t>
            </w:r>
            <w:r w:rsidRPr="005863A9">
              <w:rPr>
                <w:color w:val="4472C4"/>
                <w:sz w:val="22"/>
                <w:szCs w:val="22"/>
              </w:rPr>
              <w:t>vencimiento residual igual o superior a un año</w:t>
            </w:r>
            <w:r w:rsidRPr="005863A9">
              <w:rPr>
                <w:sz w:val="22"/>
                <w:szCs w:val="22"/>
              </w:rPr>
              <w:t xml:space="preserve">, excluidas las carteras de crédito a entidades financieras. </w:t>
            </w:r>
          </w:p>
        </w:tc>
        <w:tc>
          <w:tcPr>
            <w:tcW w:w="1097" w:type="dxa"/>
            <w:shd w:val="clear" w:color="auto" w:fill="auto"/>
            <w:vAlign w:val="center"/>
          </w:tcPr>
          <w:p w14:paraId="45C28CF6" w14:textId="77777777" w:rsidR="00645809" w:rsidRPr="005863A9" w:rsidRDefault="00645809" w:rsidP="00645809">
            <w:pPr>
              <w:rPr>
                <w:sz w:val="22"/>
                <w:szCs w:val="22"/>
              </w:rPr>
            </w:pPr>
            <w:r w:rsidRPr="005863A9">
              <w:rPr>
                <w:sz w:val="22"/>
                <w:szCs w:val="22"/>
              </w:rPr>
              <w:t>85%</w:t>
            </w:r>
          </w:p>
        </w:tc>
      </w:tr>
      <w:tr w:rsidR="00645809" w:rsidRPr="005863A9" w14:paraId="17311CC0" w14:textId="77777777" w:rsidTr="00141D8C">
        <w:tc>
          <w:tcPr>
            <w:tcW w:w="1740" w:type="dxa"/>
            <w:shd w:val="clear" w:color="auto" w:fill="auto"/>
            <w:vAlign w:val="center"/>
          </w:tcPr>
          <w:p w14:paraId="3730D806" w14:textId="77777777" w:rsidR="00645809" w:rsidRPr="005863A9" w:rsidRDefault="00645809" w:rsidP="00645809">
            <w:pPr>
              <w:rPr>
                <w:sz w:val="22"/>
                <w:szCs w:val="22"/>
              </w:rPr>
            </w:pPr>
            <w:r w:rsidRPr="005863A9">
              <w:rPr>
                <w:sz w:val="22"/>
                <w:szCs w:val="22"/>
              </w:rPr>
              <w:t>iv)</w:t>
            </w:r>
          </w:p>
        </w:tc>
        <w:tc>
          <w:tcPr>
            <w:tcW w:w="6661" w:type="dxa"/>
            <w:shd w:val="clear" w:color="auto" w:fill="auto"/>
          </w:tcPr>
          <w:p w14:paraId="67DC2C67" w14:textId="77777777" w:rsidR="00645809" w:rsidRPr="005863A9" w:rsidRDefault="00645809" w:rsidP="00645809">
            <w:pPr>
              <w:jc w:val="both"/>
              <w:rPr>
                <w:sz w:val="22"/>
                <w:szCs w:val="22"/>
              </w:rPr>
            </w:pPr>
            <w:r w:rsidRPr="005863A9">
              <w:rPr>
                <w:sz w:val="22"/>
                <w:szCs w:val="22"/>
              </w:rPr>
              <w:t>Toda la cartera de crédito comprometida durante un</w:t>
            </w:r>
            <w:r w:rsidRPr="005863A9">
              <w:rPr>
                <w:color w:val="FF0000"/>
                <w:sz w:val="22"/>
                <w:szCs w:val="22"/>
              </w:rPr>
              <w:t xml:space="preserve"> </w:t>
            </w:r>
            <w:r w:rsidRPr="005863A9">
              <w:rPr>
                <w:color w:val="4472C4"/>
                <w:sz w:val="22"/>
                <w:szCs w:val="22"/>
              </w:rPr>
              <w:t>periodo inferior a un año.</w:t>
            </w:r>
          </w:p>
        </w:tc>
        <w:tc>
          <w:tcPr>
            <w:tcW w:w="1097" w:type="dxa"/>
            <w:shd w:val="clear" w:color="auto" w:fill="auto"/>
            <w:vAlign w:val="center"/>
          </w:tcPr>
          <w:p w14:paraId="04A05D8A" w14:textId="77777777" w:rsidR="00645809" w:rsidRPr="005863A9" w:rsidRDefault="00645809" w:rsidP="00645809">
            <w:pPr>
              <w:rPr>
                <w:sz w:val="22"/>
                <w:szCs w:val="22"/>
              </w:rPr>
            </w:pPr>
            <w:r w:rsidRPr="005863A9">
              <w:rPr>
                <w:sz w:val="22"/>
                <w:szCs w:val="22"/>
              </w:rPr>
              <w:t>85%</w:t>
            </w:r>
          </w:p>
        </w:tc>
      </w:tr>
      <w:tr w:rsidR="00645809" w:rsidRPr="005863A9" w14:paraId="4EE138DE" w14:textId="77777777" w:rsidTr="00141D8C">
        <w:tc>
          <w:tcPr>
            <w:tcW w:w="1740" w:type="dxa"/>
            <w:shd w:val="clear" w:color="auto" w:fill="auto"/>
            <w:vAlign w:val="center"/>
          </w:tcPr>
          <w:p w14:paraId="5228AC45" w14:textId="77777777" w:rsidR="00645809" w:rsidRPr="005863A9" w:rsidRDefault="00645809" w:rsidP="00645809">
            <w:pPr>
              <w:rPr>
                <w:sz w:val="22"/>
                <w:szCs w:val="22"/>
              </w:rPr>
            </w:pPr>
            <w:r w:rsidRPr="005863A9">
              <w:rPr>
                <w:sz w:val="22"/>
                <w:szCs w:val="22"/>
              </w:rPr>
              <w:t>v)</w:t>
            </w:r>
          </w:p>
        </w:tc>
        <w:tc>
          <w:tcPr>
            <w:tcW w:w="6661" w:type="dxa"/>
            <w:shd w:val="clear" w:color="auto" w:fill="auto"/>
          </w:tcPr>
          <w:p w14:paraId="7D65A795" w14:textId="77777777" w:rsidR="00645809" w:rsidRPr="005863A9" w:rsidRDefault="00645809" w:rsidP="00645809">
            <w:pPr>
              <w:jc w:val="both"/>
              <w:rPr>
                <w:sz w:val="22"/>
                <w:szCs w:val="22"/>
              </w:rPr>
            </w:pPr>
            <w:r w:rsidRPr="005863A9">
              <w:rPr>
                <w:sz w:val="22"/>
                <w:szCs w:val="22"/>
              </w:rPr>
              <w:t xml:space="preserve">Toda la cartera de crédito comprometida durante un </w:t>
            </w:r>
            <w:r w:rsidRPr="005863A9">
              <w:rPr>
                <w:color w:val="4472C4"/>
                <w:sz w:val="22"/>
                <w:szCs w:val="22"/>
              </w:rPr>
              <w:t>periodo igual o superior a un año</w:t>
            </w:r>
            <w:r w:rsidRPr="005863A9">
              <w:rPr>
                <w:sz w:val="22"/>
                <w:szCs w:val="22"/>
              </w:rPr>
              <w:t xml:space="preserve">. </w:t>
            </w:r>
          </w:p>
        </w:tc>
        <w:tc>
          <w:tcPr>
            <w:tcW w:w="1097" w:type="dxa"/>
            <w:shd w:val="clear" w:color="auto" w:fill="auto"/>
            <w:vAlign w:val="center"/>
          </w:tcPr>
          <w:p w14:paraId="3FDAFB23" w14:textId="77777777" w:rsidR="00645809" w:rsidRPr="005863A9" w:rsidRDefault="00645809" w:rsidP="00645809">
            <w:pPr>
              <w:rPr>
                <w:sz w:val="22"/>
                <w:szCs w:val="22"/>
              </w:rPr>
            </w:pPr>
            <w:r w:rsidRPr="005863A9">
              <w:rPr>
                <w:sz w:val="22"/>
                <w:szCs w:val="22"/>
              </w:rPr>
              <w:t>100%</w:t>
            </w:r>
          </w:p>
        </w:tc>
      </w:tr>
      <w:tr w:rsidR="00645809" w:rsidRPr="005863A9" w14:paraId="1FA4F74F" w14:textId="77777777" w:rsidTr="00141D8C">
        <w:tc>
          <w:tcPr>
            <w:tcW w:w="1740" w:type="dxa"/>
            <w:shd w:val="clear" w:color="auto" w:fill="auto"/>
            <w:vAlign w:val="center"/>
          </w:tcPr>
          <w:p w14:paraId="314F7D9B" w14:textId="77777777" w:rsidR="00645809" w:rsidRPr="005863A9" w:rsidRDefault="00645809" w:rsidP="00645809">
            <w:pPr>
              <w:rPr>
                <w:b/>
                <w:bCs/>
                <w:sz w:val="22"/>
                <w:szCs w:val="22"/>
              </w:rPr>
            </w:pPr>
            <w:r w:rsidRPr="005863A9">
              <w:rPr>
                <w:b/>
                <w:bCs/>
                <w:sz w:val="22"/>
                <w:szCs w:val="22"/>
              </w:rPr>
              <w:t>3.4</w:t>
            </w:r>
          </w:p>
        </w:tc>
        <w:tc>
          <w:tcPr>
            <w:tcW w:w="6661" w:type="dxa"/>
            <w:shd w:val="clear" w:color="auto" w:fill="DEEAF6"/>
          </w:tcPr>
          <w:p w14:paraId="51927ECC" w14:textId="77777777" w:rsidR="00645809" w:rsidRPr="005863A9" w:rsidRDefault="00645809" w:rsidP="00645809">
            <w:pPr>
              <w:jc w:val="both"/>
              <w:rPr>
                <w:sz w:val="22"/>
                <w:szCs w:val="22"/>
              </w:rPr>
            </w:pPr>
            <w:r w:rsidRPr="005863A9">
              <w:rPr>
                <w:b/>
                <w:bCs/>
                <w:sz w:val="22"/>
                <w:szCs w:val="22"/>
                <w:shd w:val="clear" w:color="auto" w:fill="DEEAF6"/>
              </w:rPr>
              <w:t>Saldo en libros de cartera de crédito cuyo uso final sea vivienda habitacional.</w:t>
            </w:r>
          </w:p>
        </w:tc>
        <w:tc>
          <w:tcPr>
            <w:tcW w:w="1097" w:type="dxa"/>
            <w:shd w:val="clear" w:color="auto" w:fill="auto"/>
            <w:vAlign w:val="center"/>
          </w:tcPr>
          <w:p w14:paraId="7C1729A1" w14:textId="77777777" w:rsidR="00645809" w:rsidRPr="005863A9" w:rsidRDefault="00645809" w:rsidP="00645809">
            <w:pPr>
              <w:rPr>
                <w:sz w:val="22"/>
                <w:szCs w:val="22"/>
              </w:rPr>
            </w:pPr>
          </w:p>
        </w:tc>
      </w:tr>
      <w:tr w:rsidR="00645809" w:rsidRPr="005863A9" w14:paraId="0CA2F490" w14:textId="77777777" w:rsidTr="00141D8C">
        <w:tc>
          <w:tcPr>
            <w:tcW w:w="1740" w:type="dxa"/>
            <w:shd w:val="clear" w:color="auto" w:fill="auto"/>
            <w:vAlign w:val="center"/>
          </w:tcPr>
          <w:p w14:paraId="16B041E2"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02DC26B7" w14:textId="77777777" w:rsidR="00645809" w:rsidRPr="005863A9" w:rsidRDefault="00645809" w:rsidP="00645809">
            <w:pPr>
              <w:jc w:val="both"/>
              <w:rPr>
                <w:sz w:val="22"/>
                <w:szCs w:val="22"/>
              </w:rPr>
            </w:pPr>
            <w:r w:rsidRPr="005863A9">
              <w:rPr>
                <w:sz w:val="22"/>
                <w:szCs w:val="22"/>
              </w:rPr>
              <w:t xml:space="preserve">Otra cartera de crédito con hasta 90 días de atraso con </w:t>
            </w:r>
            <w:r w:rsidRPr="005863A9">
              <w:rPr>
                <w:color w:val="4472C4"/>
                <w:sz w:val="22"/>
                <w:szCs w:val="22"/>
              </w:rPr>
              <w:t>vencimiento residual inferior a un año</w:t>
            </w:r>
            <w:r w:rsidRPr="005863A9">
              <w:rPr>
                <w:sz w:val="22"/>
                <w:szCs w:val="22"/>
              </w:rPr>
              <w:t xml:space="preserve">, excluida la cartera de crédito a entidades financieras. </w:t>
            </w:r>
          </w:p>
        </w:tc>
        <w:tc>
          <w:tcPr>
            <w:tcW w:w="1097" w:type="dxa"/>
            <w:shd w:val="clear" w:color="auto" w:fill="auto"/>
            <w:vAlign w:val="center"/>
          </w:tcPr>
          <w:p w14:paraId="52C5E304" w14:textId="77777777" w:rsidR="00645809" w:rsidRPr="005863A9" w:rsidRDefault="00645809" w:rsidP="00645809">
            <w:pPr>
              <w:rPr>
                <w:color w:val="FF0000"/>
                <w:sz w:val="22"/>
                <w:szCs w:val="22"/>
              </w:rPr>
            </w:pPr>
            <w:r w:rsidRPr="005863A9">
              <w:rPr>
                <w:sz w:val="22"/>
                <w:szCs w:val="22"/>
              </w:rPr>
              <w:t>50%</w:t>
            </w:r>
          </w:p>
        </w:tc>
      </w:tr>
      <w:tr w:rsidR="00645809" w:rsidRPr="005863A9" w14:paraId="751132BA" w14:textId="77777777" w:rsidTr="00141D8C">
        <w:tc>
          <w:tcPr>
            <w:tcW w:w="1740" w:type="dxa"/>
            <w:shd w:val="clear" w:color="auto" w:fill="auto"/>
            <w:vAlign w:val="center"/>
          </w:tcPr>
          <w:p w14:paraId="628CF634" w14:textId="77777777" w:rsidR="00645809" w:rsidRPr="005863A9" w:rsidRDefault="00645809" w:rsidP="00645809">
            <w:pPr>
              <w:rPr>
                <w:sz w:val="22"/>
                <w:szCs w:val="22"/>
              </w:rPr>
            </w:pPr>
            <w:r w:rsidRPr="005863A9">
              <w:rPr>
                <w:sz w:val="22"/>
                <w:szCs w:val="22"/>
              </w:rPr>
              <w:t>ii)</w:t>
            </w:r>
          </w:p>
        </w:tc>
        <w:tc>
          <w:tcPr>
            <w:tcW w:w="6661" w:type="dxa"/>
            <w:shd w:val="clear" w:color="auto" w:fill="auto"/>
          </w:tcPr>
          <w:p w14:paraId="54CE0414" w14:textId="77777777" w:rsidR="00645809" w:rsidRPr="005863A9" w:rsidRDefault="00645809" w:rsidP="00645809">
            <w:pPr>
              <w:jc w:val="both"/>
              <w:rPr>
                <w:sz w:val="22"/>
                <w:szCs w:val="22"/>
              </w:rPr>
            </w:pPr>
            <w:r w:rsidRPr="005863A9">
              <w:rPr>
                <w:sz w:val="22"/>
                <w:szCs w:val="22"/>
              </w:rPr>
              <w:t xml:space="preserve">Otra cartera de crédito con hasta 90 días de atraso con </w:t>
            </w:r>
            <w:r w:rsidRPr="005863A9">
              <w:rPr>
                <w:color w:val="4472C4"/>
                <w:sz w:val="22"/>
                <w:szCs w:val="22"/>
              </w:rPr>
              <w:t>vencimiento residual igual o superior a un año</w:t>
            </w:r>
            <w:r w:rsidRPr="005863A9">
              <w:rPr>
                <w:sz w:val="22"/>
                <w:szCs w:val="22"/>
              </w:rPr>
              <w:t xml:space="preserve">, excluida la cartera de crédito a entidades financieras. </w:t>
            </w:r>
          </w:p>
        </w:tc>
        <w:tc>
          <w:tcPr>
            <w:tcW w:w="1097" w:type="dxa"/>
            <w:shd w:val="clear" w:color="auto" w:fill="auto"/>
            <w:vAlign w:val="center"/>
          </w:tcPr>
          <w:p w14:paraId="7E7F4F46" w14:textId="77777777" w:rsidR="00645809" w:rsidRPr="005863A9" w:rsidRDefault="00645809" w:rsidP="00645809">
            <w:pPr>
              <w:rPr>
                <w:sz w:val="22"/>
                <w:szCs w:val="22"/>
              </w:rPr>
            </w:pPr>
            <w:r w:rsidRPr="005863A9">
              <w:rPr>
                <w:sz w:val="22"/>
                <w:szCs w:val="22"/>
              </w:rPr>
              <w:t>85%</w:t>
            </w:r>
          </w:p>
        </w:tc>
      </w:tr>
      <w:tr w:rsidR="00645809" w:rsidRPr="005863A9" w14:paraId="5E587987" w14:textId="77777777" w:rsidTr="00141D8C">
        <w:tc>
          <w:tcPr>
            <w:tcW w:w="1740" w:type="dxa"/>
            <w:shd w:val="clear" w:color="auto" w:fill="auto"/>
            <w:vAlign w:val="center"/>
          </w:tcPr>
          <w:p w14:paraId="2FD404FB" w14:textId="77777777" w:rsidR="00645809" w:rsidRPr="005863A9" w:rsidRDefault="00645809" w:rsidP="00645809">
            <w:pPr>
              <w:rPr>
                <w:sz w:val="22"/>
                <w:szCs w:val="22"/>
              </w:rPr>
            </w:pPr>
            <w:r w:rsidRPr="005863A9">
              <w:rPr>
                <w:sz w:val="22"/>
                <w:szCs w:val="22"/>
              </w:rPr>
              <w:t>iii)</w:t>
            </w:r>
          </w:p>
        </w:tc>
        <w:tc>
          <w:tcPr>
            <w:tcW w:w="6661" w:type="dxa"/>
            <w:shd w:val="clear" w:color="auto" w:fill="auto"/>
          </w:tcPr>
          <w:p w14:paraId="73CFCAF3" w14:textId="77777777" w:rsidR="00645809" w:rsidRPr="005863A9" w:rsidRDefault="00645809" w:rsidP="00645809">
            <w:pPr>
              <w:jc w:val="both"/>
              <w:rPr>
                <w:sz w:val="22"/>
                <w:szCs w:val="22"/>
              </w:rPr>
            </w:pPr>
            <w:r w:rsidRPr="005863A9">
              <w:rPr>
                <w:sz w:val="22"/>
                <w:szCs w:val="22"/>
              </w:rPr>
              <w:t xml:space="preserve">Toda la cartera de crédito comprometida durante un </w:t>
            </w:r>
            <w:r w:rsidRPr="005863A9">
              <w:rPr>
                <w:color w:val="4472C4"/>
                <w:sz w:val="22"/>
                <w:szCs w:val="22"/>
              </w:rPr>
              <w:t>periodo menor a un año</w:t>
            </w:r>
            <w:r w:rsidRPr="005863A9">
              <w:rPr>
                <w:sz w:val="22"/>
                <w:szCs w:val="22"/>
              </w:rPr>
              <w:t>.</w:t>
            </w:r>
          </w:p>
        </w:tc>
        <w:tc>
          <w:tcPr>
            <w:tcW w:w="1097" w:type="dxa"/>
            <w:shd w:val="clear" w:color="auto" w:fill="auto"/>
            <w:vAlign w:val="center"/>
          </w:tcPr>
          <w:p w14:paraId="05A9CE35" w14:textId="77777777" w:rsidR="00645809" w:rsidRPr="005863A9" w:rsidRDefault="00645809" w:rsidP="00645809">
            <w:pPr>
              <w:rPr>
                <w:sz w:val="22"/>
                <w:szCs w:val="22"/>
              </w:rPr>
            </w:pPr>
            <w:r w:rsidRPr="005863A9">
              <w:rPr>
                <w:sz w:val="22"/>
                <w:szCs w:val="22"/>
              </w:rPr>
              <w:t>85%</w:t>
            </w:r>
          </w:p>
        </w:tc>
      </w:tr>
      <w:tr w:rsidR="00645809" w:rsidRPr="005863A9" w14:paraId="12C45F78" w14:textId="77777777" w:rsidTr="00141D8C">
        <w:tc>
          <w:tcPr>
            <w:tcW w:w="1740" w:type="dxa"/>
            <w:shd w:val="clear" w:color="auto" w:fill="auto"/>
            <w:vAlign w:val="center"/>
          </w:tcPr>
          <w:p w14:paraId="033B2BAE" w14:textId="77777777" w:rsidR="00645809" w:rsidRPr="005863A9" w:rsidRDefault="00645809" w:rsidP="00645809">
            <w:pPr>
              <w:rPr>
                <w:sz w:val="22"/>
                <w:szCs w:val="22"/>
              </w:rPr>
            </w:pPr>
            <w:r w:rsidRPr="005863A9">
              <w:rPr>
                <w:sz w:val="22"/>
                <w:szCs w:val="22"/>
              </w:rPr>
              <w:t>iv)</w:t>
            </w:r>
          </w:p>
        </w:tc>
        <w:tc>
          <w:tcPr>
            <w:tcW w:w="6661" w:type="dxa"/>
            <w:shd w:val="clear" w:color="auto" w:fill="auto"/>
          </w:tcPr>
          <w:p w14:paraId="10075A73" w14:textId="77777777" w:rsidR="00645809" w:rsidRPr="005863A9" w:rsidRDefault="00645809" w:rsidP="00645809">
            <w:pPr>
              <w:jc w:val="both"/>
              <w:rPr>
                <w:sz w:val="22"/>
                <w:szCs w:val="22"/>
              </w:rPr>
            </w:pPr>
            <w:r w:rsidRPr="005863A9">
              <w:rPr>
                <w:sz w:val="22"/>
                <w:szCs w:val="22"/>
              </w:rPr>
              <w:t xml:space="preserve">Toda la cartera de crédito comprometida durante un </w:t>
            </w:r>
            <w:r w:rsidRPr="005863A9">
              <w:rPr>
                <w:color w:val="4472C4"/>
                <w:sz w:val="22"/>
                <w:szCs w:val="22"/>
              </w:rPr>
              <w:t xml:space="preserve">periodo igual o superior a un año. </w:t>
            </w:r>
          </w:p>
        </w:tc>
        <w:tc>
          <w:tcPr>
            <w:tcW w:w="1097" w:type="dxa"/>
            <w:shd w:val="clear" w:color="auto" w:fill="auto"/>
            <w:vAlign w:val="center"/>
          </w:tcPr>
          <w:p w14:paraId="0525B604" w14:textId="77777777" w:rsidR="00645809" w:rsidRPr="005863A9" w:rsidRDefault="00645809" w:rsidP="00645809">
            <w:pPr>
              <w:rPr>
                <w:sz w:val="22"/>
                <w:szCs w:val="22"/>
              </w:rPr>
            </w:pPr>
            <w:r w:rsidRPr="005863A9">
              <w:rPr>
                <w:sz w:val="22"/>
                <w:szCs w:val="22"/>
              </w:rPr>
              <w:t>100%</w:t>
            </w:r>
          </w:p>
        </w:tc>
      </w:tr>
      <w:tr w:rsidR="00645809" w:rsidRPr="005863A9" w14:paraId="2854A58C" w14:textId="77777777" w:rsidTr="00141D8C">
        <w:tc>
          <w:tcPr>
            <w:tcW w:w="1740" w:type="dxa"/>
            <w:shd w:val="clear" w:color="auto" w:fill="auto"/>
            <w:vAlign w:val="center"/>
          </w:tcPr>
          <w:p w14:paraId="128F31EC" w14:textId="77777777" w:rsidR="00645809" w:rsidRPr="005863A9" w:rsidRDefault="00645809" w:rsidP="00645809">
            <w:pPr>
              <w:rPr>
                <w:b/>
                <w:bCs/>
                <w:sz w:val="22"/>
                <w:szCs w:val="22"/>
              </w:rPr>
            </w:pPr>
            <w:r w:rsidRPr="005863A9">
              <w:rPr>
                <w:b/>
                <w:bCs/>
                <w:sz w:val="22"/>
                <w:szCs w:val="22"/>
              </w:rPr>
              <w:t>3.5</w:t>
            </w:r>
          </w:p>
        </w:tc>
        <w:tc>
          <w:tcPr>
            <w:tcW w:w="6661" w:type="dxa"/>
            <w:shd w:val="clear" w:color="auto" w:fill="DEEAF6"/>
          </w:tcPr>
          <w:p w14:paraId="1A7AEE79" w14:textId="77777777" w:rsidR="00645809" w:rsidRPr="005863A9" w:rsidRDefault="00645809" w:rsidP="00645809">
            <w:pPr>
              <w:jc w:val="both"/>
              <w:rPr>
                <w:b/>
                <w:bCs/>
                <w:strike/>
                <w:color w:val="FF0000"/>
                <w:sz w:val="22"/>
                <w:szCs w:val="22"/>
              </w:rPr>
            </w:pPr>
            <w:r w:rsidRPr="005863A9">
              <w:rPr>
                <w:b/>
                <w:bCs/>
                <w:sz w:val="22"/>
                <w:szCs w:val="22"/>
              </w:rPr>
              <w:t>Saldo en libros del resto de inversiones en instrumentos financieros no clasificados previamente.</w:t>
            </w:r>
          </w:p>
        </w:tc>
        <w:tc>
          <w:tcPr>
            <w:tcW w:w="1097" w:type="dxa"/>
            <w:shd w:val="clear" w:color="auto" w:fill="auto"/>
            <w:vAlign w:val="center"/>
          </w:tcPr>
          <w:p w14:paraId="791B5339" w14:textId="77777777" w:rsidR="00645809" w:rsidRPr="005863A9" w:rsidRDefault="00645809" w:rsidP="00645809">
            <w:pPr>
              <w:rPr>
                <w:sz w:val="22"/>
                <w:szCs w:val="22"/>
              </w:rPr>
            </w:pPr>
          </w:p>
        </w:tc>
      </w:tr>
      <w:tr w:rsidR="00645809" w:rsidRPr="005863A9" w14:paraId="6B9C1D70" w14:textId="77777777" w:rsidTr="00141D8C">
        <w:tc>
          <w:tcPr>
            <w:tcW w:w="1740" w:type="dxa"/>
            <w:shd w:val="clear" w:color="auto" w:fill="auto"/>
            <w:vAlign w:val="center"/>
          </w:tcPr>
          <w:p w14:paraId="525FBECE" w14:textId="77777777" w:rsidR="00645809" w:rsidRPr="005863A9" w:rsidRDefault="00645809" w:rsidP="00645809">
            <w:pPr>
              <w:widowControl w:val="0"/>
              <w:rPr>
                <w:sz w:val="22"/>
                <w:szCs w:val="22"/>
              </w:rPr>
            </w:pPr>
            <w:r w:rsidRPr="005863A9">
              <w:rPr>
                <w:sz w:val="22"/>
                <w:szCs w:val="22"/>
              </w:rPr>
              <w:t>i)</w:t>
            </w:r>
          </w:p>
        </w:tc>
        <w:tc>
          <w:tcPr>
            <w:tcW w:w="6661" w:type="dxa"/>
            <w:shd w:val="clear" w:color="auto" w:fill="auto"/>
          </w:tcPr>
          <w:p w14:paraId="3E27C199" w14:textId="77777777" w:rsidR="00645809" w:rsidRPr="005863A9" w:rsidRDefault="00645809" w:rsidP="00645809">
            <w:pPr>
              <w:widowControl w:val="0"/>
              <w:jc w:val="both"/>
              <w:rPr>
                <w:sz w:val="22"/>
                <w:szCs w:val="22"/>
              </w:rPr>
            </w:pPr>
            <w:r w:rsidRPr="005863A9">
              <w:rPr>
                <w:sz w:val="22"/>
                <w:szCs w:val="22"/>
              </w:rPr>
              <w:t xml:space="preserve">Saldo en libros de inversiones en instrumentos financieros que no se admiten como activos líquidos de alta calidad con un </w:t>
            </w:r>
            <w:r w:rsidRPr="005863A9">
              <w:rPr>
                <w:color w:val="4472C4"/>
                <w:sz w:val="22"/>
                <w:szCs w:val="22"/>
              </w:rPr>
              <w:t>vencimiento residual inferior a un año.</w:t>
            </w:r>
          </w:p>
        </w:tc>
        <w:tc>
          <w:tcPr>
            <w:tcW w:w="1097" w:type="dxa"/>
            <w:shd w:val="clear" w:color="auto" w:fill="auto"/>
            <w:vAlign w:val="center"/>
          </w:tcPr>
          <w:p w14:paraId="163ADF7B" w14:textId="77777777" w:rsidR="00645809" w:rsidRPr="005863A9" w:rsidRDefault="00645809" w:rsidP="00645809">
            <w:pPr>
              <w:rPr>
                <w:sz w:val="22"/>
                <w:szCs w:val="22"/>
              </w:rPr>
            </w:pPr>
            <w:r w:rsidRPr="005863A9">
              <w:rPr>
                <w:sz w:val="22"/>
                <w:szCs w:val="22"/>
              </w:rPr>
              <w:t>50%</w:t>
            </w:r>
          </w:p>
        </w:tc>
      </w:tr>
      <w:tr w:rsidR="00645809" w:rsidRPr="005863A9" w14:paraId="22F1E70F" w14:textId="77777777" w:rsidTr="00141D8C">
        <w:tc>
          <w:tcPr>
            <w:tcW w:w="1740" w:type="dxa"/>
            <w:shd w:val="clear" w:color="auto" w:fill="auto"/>
            <w:vAlign w:val="center"/>
          </w:tcPr>
          <w:p w14:paraId="5F2254E3" w14:textId="77777777" w:rsidR="00645809" w:rsidRPr="005863A9" w:rsidRDefault="00645809" w:rsidP="00645809">
            <w:pPr>
              <w:widowControl w:val="0"/>
              <w:rPr>
                <w:sz w:val="22"/>
                <w:szCs w:val="22"/>
              </w:rPr>
            </w:pPr>
            <w:r w:rsidRPr="005863A9">
              <w:rPr>
                <w:sz w:val="22"/>
                <w:szCs w:val="22"/>
              </w:rPr>
              <w:lastRenderedPageBreak/>
              <w:t>ii)</w:t>
            </w:r>
          </w:p>
        </w:tc>
        <w:tc>
          <w:tcPr>
            <w:tcW w:w="6661" w:type="dxa"/>
            <w:shd w:val="clear" w:color="auto" w:fill="auto"/>
          </w:tcPr>
          <w:p w14:paraId="431F6467" w14:textId="77777777" w:rsidR="00645809" w:rsidRPr="005863A9" w:rsidRDefault="00645809" w:rsidP="00645809">
            <w:pPr>
              <w:widowControl w:val="0"/>
              <w:jc w:val="both"/>
              <w:rPr>
                <w:sz w:val="22"/>
                <w:szCs w:val="22"/>
              </w:rPr>
            </w:pPr>
            <w:r w:rsidRPr="005863A9">
              <w:rPr>
                <w:sz w:val="22"/>
                <w:szCs w:val="22"/>
              </w:rPr>
              <w:t xml:space="preserve">Saldo en libros de inversiones en instrumentos financieros que no se admiten como activos líquidos de alta calidad </w:t>
            </w:r>
            <w:r w:rsidRPr="005863A9">
              <w:rPr>
                <w:color w:val="4472C4"/>
                <w:sz w:val="22"/>
                <w:szCs w:val="22"/>
              </w:rPr>
              <w:t>con vencimiento residual igual o superior a un año.</w:t>
            </w:r>
            <w:r w:rsidRPr="005863A9">
              <w:rPr>
                <w:sz w:val="22"/>
                <w:szCs w:val="22"/>
              </w:rPr>
              <w:t xml:space="preserve"> </w:t>
            </w:r>
          </w:p>
        </w:tc>
        <w:tc>
          <w:tcPr>
            <w:tcW w:w="1097" w:type="dxa"/>
            <w:shd w:val="clear" w:color="auto" w:fill="auto"/>
            <w:vAlign w:val="center"/>
          </w:tcPr>
          <w:p w14:paraId="265B9863" w14:textId="77777777" w:rsidR="00645809" w:rsidRPr="005863A9" w:rsidRDefault="00645809" w:rsidP="00645809">
            <w:pPr>
              <w:rPr>
                <w:sz w:val="22"/>
                <w:szCs w:val="22"/>
              </w:rPr>
            </w:pPr>
            <w:r w:rsidRPr="005863A9">
              <w:rPr>
                <w:sz w:val="22"/>
                <w:szCs w:val="22"/>
              </w:rPr>
              <w:t>85%</w:t>
            </w:r>
          </w:p>
        </w:tc>
      </w:tr>
      <w:tr w:rsidR="00645809" w:rsidRPr="005863A9" w14:paraId="6A8E062F" w14:textId="77777777" w:rsidTr="00141D8C">
        <w:tc>
          <w:tcPr>
            <w:tcW w:w="1740" w:type="dxa"/>
            <w:shd w:val="clear" w:color="auto" w:fill="auto"/>
            <w:vAlign w:val="center"/>
          </w:tcPr>
          <w:p w14:paraId="3539DCCD" w14:textId="77777777" w:rsidR="00645809" w:rsidRPr="005863A9" w:rsidRDefault="00645809" w:rsidP="00645809">
            <w:pPr>
              <w:widowControl w:val="0"/>
              <w:rPr>
                <w:sz w:val="22"/>
                <w:szCs w:val="22"/>
              </w:rPr>
            </w:pPr>
            <w:r w:rsidRPr="005863A9">
              <w:rPr>
                <w:sz w:val="22"/>
                <w:szCs w:val="22"/>
              </w:rPr>
              <w:t>iii)</w:t>
            </w:r>
          </w:p>
        </w:tc>
        <w:tc>
          <w:tcPr>
            <w:tcW w:w="6661" w:type="dxa"/>
            <w:shd w:val="clear" w:color="auto" w:fill="auto"/>
          </w:tcPr>
          <w:p w14:paraId="07D880B7" w14:textId="77777777" w:rsidR="00645809" w:rsidRPr="005863A9" w:rsidRDefault="00645809" w:rsidP="00645809">
            <w:pPr>
              <w:widowControl w:val="0"/>
              <w:jc w:val="both"/>
              <w:rPr>
                <w:sz w:val="22"/>
                <w:szCs w:val="22"/>
              </w:rPr>
            </w:pPr>
            <w:r w:rsidRPr="005863A9">
              <w:rPr>
                <w:sz w:val="22"/>
                <w:szCs w:val="22"/>
              </w:rPr>
              <w:t xml:space="preserve">Saldo en libros de instrumentos financieros que </w:t>
            </w:r>
            <w:r w:rsidRPr="005863A9">
              <w:rPr>
                <w:sz w:val="22"/>
                <w:szCs w:val="22"/>
                <w:u w:val="single"/>
              </w:rPr>
              <w:t>no se admiten como activos</w:t>
            </w:r>
            <w:r w:rsidRPr="005863A9">
              <w:rPr>
                <w:sz w:val="22"/>
                <w:szCs w:val="22"/>
              </w:rPr>
              <w:t xml:space="preserve"> </w:t>
            </w:r>
            <w:r w:rsidRPr="005863A9">
              <w:rPr>
                <w:sz w:val="22"/>
                <w:szCs w:val="22"/>
                <w:u w:val="single"/>
              </w:rPr>
              <w:t>líquidos de alta calidad</w:t>
            </w:r>
            <w:r w:rsidRPr="005863A9">
              <w:rPr>
                <w:sz w:val="22"/>
                <w:szCs w:val="22"/>
              </w:rPr>
              <w:t xml:space="preserve"> comprometidos durante un </w:t>
            </w:r>
            <w:r w:rsidRPr="005863A9">
              <w:rPr>
                <w:color w:val="4472C4"/>
                <w:sz w:val="22"/>
                <w:szCs w:val="22"/>
              </w:rPr>
              <w:t>periodo menor a un año</w:t>
            </w:r>
            <w:r w:rsidRPr="005863A9">
              <w:rPr>
                <w:sz w:val="22"/>
                <w:szCs w:val="22"/>
              </w:rPr>
              <w:t>.</w:t>
            </w:r>
          </w:p>
        </w:tc>
        <w:tc>
          <w:tcPr>
            <w:tcW w:w="1097" w:type="dxa"/>
            <w:shd w:val="clear" w:color="auto" w:fill="auto"/>
            <w:vAlign w:val="center"/>
          </w:tcPr>
          <w:p w14:paraId="17CE9099" w14:textId="77777777" w:rsidR="00645809" w:rsidRPr="005863A9" w:rsidRDefault="00645809" w:rsidP="00645809">
            <w:pPr>
              <w:rPr>
                <w:sz w:val="22"/>
                <w:szCs w:val="22"/>
              </w:rPr>
            </w:pPr>
            <w:r w:rsidRPr="005863A9">
              <w:rPr>
                <w:sz w:val="22"/>
                <w:szCs w:val="22"/>
              </w:rPr>
              <w:t>85%</w:t>
            </w:r>
          </w:p>
        </w:tc>
      </w:tr>
      <w:tr w:rsidR="00645809" w:rsidRPr="005863A9" w14:paraId="18C06301" w14:textId="77777777" w:rsidTr="00141D8C">
        <w:tc>
          <w:tcPr>
            <w:tcW w:w="1740" w:type="dxa"/>
            <w:shd w:val="clear" w:color="auto" w:fill="auto"/>
            <w:vAlign w:val="center"/>
          </w:tcPr>
          <w:p w14:paraId="659039A6" w14:textId="77777777" w:rsidR="00645809" w:rsidRPr="005863A9" w:rsidRDefault="00645809" w:rsidP="00645809">
            <w:pPr>
              <w:widowControl w:val="0"/>
              <w:rPr>
                <w:sz w:val="22"/>
                <w:szCs w:val="22"/>
              </w:rPr>
            </w:pPr>
            <w:r w:rsidRPr="005863A9">
              <w:rPr>
                <w:sz w:val="22"/>
                <w:szCs w:val="22"/>
              </w:rPr>
              <w:t>iv)</w:t>
            </w:r>
          </w:p>
        </w:tc>
        <w:tc>
          <w:tcPr>
            <w:tcW w:w="6661" w:type="dxa"/>
            <w:shd w:val="clear" w:color="auto" w:fill="auto"/>
          </w:tcPr>
          <w:p w14:paraId="690089D1" w14:textId="77777777" w:rsidR="00645809" w:rsidRPr="005863A9" w:rsidRDefault="00645809" w:rsidP="00645809">
            <w:pPr>
              <w:widowControl w:val="0"/>
              <w:jc w:val="both"/>
              <w:rPr>
                <w:sz w:val="22"/>
                <w:szCs w:val="22"/>
              </w:rPr>
            </w:pPr>
            <w:r w:rsidRPr="005863A9">
              <w:rPr>
                <w:sz w:val="22"/>
                <w:szCs w:val="22"/>
              </w:rPr>
              <w:t xml:space="preserve">Saldo en libros de instrumentos financieros que </w:t>
            </w:r>
            <w:r w:rsidRPr="005863A9">
              <w:rPr>
                <w:sz w:val="22"/>
                <w:szCs w:val="22"/>
                <w:u w:val="single"/>
              </w:rPr>
              <w:t>no se admiten como activos líquidos de alta calidad</w:t>
            </w:r>
            <w:r w:rsidRPr="005863A9">
              <w:rPr>
                <w:sz w:val="22"/>
                <w:szCs w:val="22"/>
              </w:rPr>
              <w:t xml:space="preserve"> comprometidos durante un </w:t>
            </w:r>
            <w:r w:rsidRPr="005863A9">
              <w:rPr>
                <w:color w:val="4472C4"/>
                <w:sz w:val="22"/>
                <w:szCs w:val="22"/>
              </w:rPr>
              <w:t xml:space="preserve">periodo igual o superior a un año. </w:t>
            </w:r>
          </w:p>
        </w:tc>
        <w:tc>
          <w:tcPr>
            <w:tcW w:w="1097" w:type="dxa"/>
            <w:shd w:val="clear" w:color="auto" w:fill="auto"/>
            <w:vAlign w:val="center"/>
          </w:tcPr>
          <w:p w14:paraId="54B40213" w14:textId="77777777" w:rsidR="00645809" w:rsidRPr="005863A9" w:rsidRDefault="00645809" w:rsidP="00645809">
            <w:pPr>
              <w:rPr>
                <w:sz w:val="22"/>
                <w:szCs w:val="22"/>
              </w:rPr>
            </w:pPr>
            <w:r w:rsidRPr="005863A9">
              <w:rPr>
                <w:sz w:val="22"/>
                <w:szCs w:val="22"/>
              </w:rPr>
              <w:t>100%</w:t>
            </w:r>
          </w:p>
        </w:tc>
      </w:tr>
      <w:tr w:rsidR="00645809" w:rsidRPr="005863A9" w14:paraId="2A4029D9" w14:textId="77777777" w:rsidTr="00141D8C">
        <w:tc>
          <w:tcPr>
            <w:tcW w:w="1740" w:type="dxa"/>
            <w:shd w:val="clear" w:color="auto" w:fill="auto"/>
            <w:vAlign w:val="center"/>
          </w:tcPr>
          <w:p w14:paraId="27A2D782" w14:textId="77777777" w:rsidR="00645809" w:rsidRPr="005863A9" w:rsidRDefault="00645809" w:rsidP="00645809">
            <w:pPr>
              <w:widowControl w:val="0"/>
              <w:rPr>
                <w:sz w:val="22"/>
                <w:szCs w:val="22"/>
              </w:rPr>
            </w:pPr>
            <w:r w:rsidRPr="005863A9">
              <w:rPr>
                <w:sz w:val="22"/>
                <w:szCs w:val="22"/>
              </w:rPr>
              <w:t>v)</w:t>
            </w:r>
          </w:p>
        </w:tc>
        <w:tc>
          <w:tcPr>
            <w:tcW w:w="6661" w:type="dxa"/>
            <w:shd w:val="clear" w:color="auto" w:fill="auto"/>
          </w:tcPr>
          <w:p w14:paraId="2D326E45" w14:textId="77777777" w:rsidR="00645809" w:rsidRPr="005863A9" w:rsidRDefault="00645809" w:rsidP="00645809">
            <w:pPr>
              <w:widowControl w:val="0"/>
              <w:jc w:val="both"/>
              <w:rPr>
                <w:sz w:val="22"/>
                <w:szCs w:val="22"/>
              </w:rPr>
            </w:pPr>
            <w:r w:rsidRPr="005863A9">
              <w:rPr>
                <w:sz w:val="22"/>
                <w:szCs w:val="22"/>
              </w:rPr>
              <w:t xml:space="preserve">Cualquier instrumento que califique como activo líquido de alta calidad </w:t>
            </w:r>
            <w:r w:rsidRPr="005863A9">
              <w:rPr>
                <w:sz w:val="22"/>
                <w:szCs w:val="22"/>
                <w:u w:val="single"/>
              </w:rPr>
              <w:t>comprometido</w:t>
            </w:r>
            <w:r w:rsidRPr="005863A9">
              <w:rPr>
                <w:sz w:val="22"/>
                <w:szCs w:val="22"/>
              </w:rPr>
              <w:t xml:space="preserve"> durante un </w:t>
            </w:r>
            <w:r w:rsidRPr="005863A9">
              <w:rPr>
                <w:color w:val="4472C4"/>
                <w:sz w:val="22"/>
                <w:szCs w:val="22"/>
              </w:rPr>
              <w:t>período menor a seis meses.</w:t>
            </w:r>
          </w:p>
        </w:tc>
        <w:tc>
          <w:tcPr>
            <w:tcW w:w="1097" w:type="dxa"/>
            <w:shd w:val="clear" w:color="auto" w:fill="auto"/>
            <w:vAlign w:val="center"/>
          </w:tcPr>
          <w:p w14:paraId="02BD10F5" w14:textId="77777777" w:rsidR="00645809" w:rsidRPr="005863A9" w:rsidRDefault="00645809" w:rsidP="00645809">
            <w:pPr>
              <w:rPr>
                <w:sz w:val="22"/>
                <w:szCs w:val="22"/>
              </w:rPr>
            </w:pPr>
            <w:r w:rsidRPr="005863A9">
              <w:rPr>
                <w:sz w:val="22"/>
                <w:szCs w:val="22"/>
              </w:rPr>
              <w:t>10%</w:t>
            </w:r>
          </w:p>
        </w:tc>
      </w:tr>
      <w:tr w:rsidR="00645809" w:rsidRPr="005863A9" w14:paraId="0A278261" w14:textId="77777777" w:rsidTr="00141D8C">
        <w:tc>
          <w:tcPr>
            <w:tcW w:w="1740" w:type="dxa"/>
            <w:shd w:val="clear" w:color="auto" w:fill="auto"/>
            <w:vAlign w:val="center"/>
          </w:tcPr>
          <w:p w14:paraId="7A922F11" w14:textId="77777777" w:rsidR="00645809" w:rsidRPr="005863A9" w:rsidRDefault="00645809" w:rsidP="00645809">
            <w:pPr>
              <w:widowControl w:val="0"/>
              <w:rPr>
                <w:sz w:val="22"/>
                <w:szCs w:val="22"/>
              </w:rPr>
            </w:pPr>
            <w:r w:rsidRPr="005863A9">
              <w:rPr>
                <w:sz w:val="22"/>
                <w:szCs w:val="22"/>
              </w:rPr>
              <w:t>vi)</w:t>
            </w:r>
          </w:p>
        </w:tc>
        <w:tc>
          <w:tcPr>
            <w:tcW w:w="6661" w:type="dxa"/>
            <w:shd w:val="clear" w:color="auto" w:fill="auto"/>
          </w:tcPr>
          <w:p w14:paraId="552489B9" w14:textId="77777777" w:rsidR="00645809" w:rsidRPr="005863A9" w:rsidRDefault="00645809" w:rsidP="00645809">
            <w:pPr>
              <w:widowControl w:val="0"/>
              <w:jc w:val="both"/>
              <w:rPr>
                <w:sz w:val="22"/>
                <w:szCs w:val="22"/>
              </w:rPr>
            </w:pPr>
            <w:r w:rsidRPr="005863A9">
              <w:rPr>
                <w:sz w:val="22"/>
                <w:szCs w:val="22"/>
              </w:rPr>
              <w:t xml:space="preserve">Cualquier instrumento que califique como activo líquido de alta calidad comprometido durante un período entre </w:t>
            </w:r>
            <w:r w:rsidRPr="005863A9">
              <w:rPr>
                <w:color w:val="4472C4"/>
                <w:sz w:val="22"/>
                <w:szCs w:val="22"/>
              </w:rPr>
              <w:t>seis meses y menos de un año.</w:t>
            </w:r>
          </w:p>
        </w:tc>
        <w:tc>
          <w:tcPr>
            <w:tcW w:w="1097" w:type="dxa"/>
            <w:shd w:val="clear" w:color="auto" w:fill="auto"/>
            <w:vAlign w:val="center"/>
          </w:tcPr>
          <w:p w14:paraId="75C4636F" w14:textId="77777777" w:rsidR="00645809" w:rsidRPr="005863A9" w:rsidRDefault="00645809" w:rsidP="00645809">
            <w:pPr>
              <w:rPr>
                <w:sz w:val="22"/>
                <w:szCs w:val="22"/>
              </w:rPr>
            </w:pPr>
            <w:r w:rsidRPr="005863A9">
              <w:rPr>
                <w:sz w:val="22"/>
                <w:szCs w:val="22"/>
              </w:rPr>
              <w:t>50%</w:t>
            </w:r>
          </w:p>
        </w:tc>
      </w:tr>
      <w:tr w:rsidR="00645809" w:rsidRPr="005863A9" w14:paraId="7C42A24C" w14:textId="77777777" w:rsidTr="00141D8C">
        <w:tc>
          <w:tcPr>
            <w:tcW w:w="1740" w:type="dxa"/>
            <w:shd w:val="clear" w:color="auto" w:fill="auto"/>
            <w:vAlign w:val="center"/>
          </w:tcPr>
          <w:p w14:paraId="28C169D4" w14:textId="77777777" w:rsidR="00645809" w:rsidRPr="005863A9" w:rsidRDefault="00645809" w:rsidP="00645809">
            <w:pPr>
              <w:widowControl w:val="0"/>
              <w:rPr>
                <w:sz w:val="22"/>
                <w:szCs w:val="22"/>
              </w:rPr>
            </w:pPr>
            <w:r w:rsidRPr="005863A9">
              <w:rPr>
                <w:sz w:val="22"/>
                <w:szCs w:val="22"/>
              </w:rPr>
              <w:t>vii)</w:t>
            </w:r>
          </w:p>
        </w:tc>
        <w:tc>
          <w:tcPr>
            <w:tcW w:w="6661" w:type="dxa"/>
            <w:shd w:val="clear" w:color="auto" w:fill="auto"/>
          </w:tcPr>
          <w:p w14:paraId="1F05B266" w14:textId="77777777" w:rsidR="00645809" w:rsidRPr="005863A9" w:rsidRDefault="00645809" w:rsidP="00645809">
            <w:pPr>
              <w:widowControl w:val="0"/>
              <w:jc w:val="both"/>
              <w:rPr>
                <w:sz w:val="22"/>
                <w:szCs w:val="22"/>
              </w:rPr>
            </w:pPr>
            <w:r w:rsidRPr="005863A9">
              <w:rPr>
                <w:sz w:val="22"/>
                <w:szCs w:val="22"/>
              </w:rPr>
              <w:t xml:space="preserve">Cualquier instrumento que califique como activo líquido de alta calidad </w:t>
            </w:r>
            <w:r w:rsidRPr="005863A9">
              <w:rPr>
                <w:sz w:val="22"/>
                <w:szCs w:val="22"/>
                <w:u w:val="single"/>
              </w:rPr>
              <w:t>comprometido</w:t>
            </w:r>
            <w:r w:rsidRPr="005863A9">
              <w:rPr>
                <w:sz w:val="22"/>
                <w:szCs w:val="22"/>
              </w:rPr>
              <w:t xml:space="preserve"> durante un </w:t>
            </w:r>
            <w:r w:rsidRPr="005863A9">
              <w:rPr>
                <w:color w:val="4472C4"/>
                <w:sz w:val="22"/>
                <w:szCs w:val="22"/>
              </w:rPr>
              <w:t>período superior a un año.</w:t>
            </w:r>
          </w:p>
        </w:tc>
        <w:tc>
          <w:tcPr>
            <w:tcW w:w="1097" w:type="dxa"/>
            <w:shd w:val="clear" w:color="auto" w:fill="auto"/>
            <w:vAlign w:val="center"/>
          </w:tcPr>
          <w:p w14:paraId="3899B85D" w14:textId="77777777" w:rsidR="00645809" w:rsidRPr="005863A9" w:rsidRDefault="00645809" w:rsidP="00645809">
            <w:pPr>
              <w:rPr>
                <w:sz w:val="22"/>
                <w:szCs w:val="22"/>
              </w:rPr>
            </w:pPr>
            <w:r w:rsidRPr="005863A9">
              <w:rPr>
                <w:sz w:val="22"/>
                <w:szCs w:val="22"/>
              </w:rPr>
              <w:t>100%</w:t>
            </w:r>
          </w:p>
        </w:tc>
      </w:tr>
      <w:tr w:rsidR="00645809" w:rsidRPr="005863A9" w14:paraId="0FAF9E8A" w14:textId="77777777" w:rsidTr="00141D8C">
        <w:tc>
          <w:tcPr>
            <w:tcW w:w="1740" w:type="dxa"/>
            <w:shd w:val="clear" w:color="auto" w:fill="D9E2F3"/>
            <w:vAlign w:val="center"/>
          </w:tcPr>
          <w:p w14:paraId="235927A3" w14:textId="77777777" w:rsidR="00645809" w:rsidRPr="005863A9" w:rsidRDefault="00645809" w:rsidP="00645809">
            <w:pPr>
              <w:rPr>
                <w:b/>
                <w:bCs/>
                <w:sz w:val="22"/>
                <w:szCs w:val="22"/>
              </w:rPr>
            </w:pPr>
            <w:r w:rsidRPr="005863A9">
              <w:rPr>
                <w:b/>
                <w:bCs/>
                <w:sz w:val="22"/>
                <w:szCs w:val="22"/>
              </w:rPr>
              <w:t>4.</w:t>
            </w:r>
          </w:p>
        </w:tc>
        <w:tc>
          <w:tcPr>
            <w:tcW w:w="6661" w:type="dxa"/>
            <w:shd w:val="clear" w:color="auto" w:fill="D9E2F3"/>
          </w:tcPr>
          <w:p w14:paraId="2E524C97" w14:textId="77777777" w:rsidR="00645809" w:rsidRPr="005863A9" w:rsidRDefault="00645809" w:rsidP="00645809">
            <w:pPr>
              <w:jc w:val="both"/>
              <w:rPr>
                <w:b/>
                <w:bCs/>
                <w:sz w:val="22"/>
                <w:szCs w:val="22"/>
              </w:rPr>
            </w:pPr>
            <w:r w:rsidRPr="005863A9">
              <w:rPr>
                <w:b/>
                <w:bCs/>
                <w:sz w:val="22"/>
                <w:szCs w:val="22"/>
              </w:rPr>
              <w:t>OTROS ACTIVOS.</w:t>
            </w:r>
          </w:p>
        </w:tc>
        <w:tc>
          <w:tcPr>
            <w:tcW w:w="1097" w:type="dxa"/>
            <w:shd w:val="clear" w:color="auto" w:fill="D9E2F3"/>
            <w:vAlign w:val="center"/>
          </w:tcPr>
          <w:p w14:paraId="2651156C" w14:textId="77777777" w:rsidR="00645809" w:rsidRPr="005863A9" w:rsidRDefault="00645809" w:rsidP="00645809">
            <w:pPr>
              <w:rPr>
                <w:b/>
                <w:bCs/>
                <w:sz w:val="22"/>
                <w:szCs w:val="22"/>
              </w:rPr>
            </w:pPr>
          </w:p>
        </w:tc>
      </w:tr>
      <w:tr w:rsidR="00645809" w:rsidRPr="005863A9" w14:paraId="334A3E63" w14:textId="77777777" w:rsidTr="00141D8C">
        <w:tc>
          <w:tcPr>
            <w:tcW w:w="1740" w:type="dxa"/>
            <w:shd w:val="clear" w:color="auto" w:fill="auto"/>
            <w:vAlign w:val="center"/>
          </w:tcPr>
          <w:p w14:paraId="5F61C07D" w14:textId="77777777" w:rsidR="00645809" w:rsidRPr="005863A9" w:rsidRDefault="00645809" w:rsidP="00645809">
            <w:pPr>
              <w:tabs>
                <w:tab w:val="left" w:pos="447"/>
              </w:tabs>
              <w:rPr>
                <w:b/>
                <w:bCs/>
                <w:sz w:val="22"/>
                <w:szCs w:val="22"/>
              </w:rPr>
            </w:pPr>
            <w:r w:rsidRPr="005863A9">
              <w:rPr>
                <w:b/>
                <w:bCs/>
                <w:sz w:val="22"/>
                <w:szCs w:val="22"/>
              </w:rPr>
              <w:t>4.1</w:t>
            </w:r>
          </w:p>
        </w:tc>
        <w:tc>
          <w:tcPr>
            <w:tcW w:w="6661" w:type="dxa"/>
            <w:shd w:val="clear" w:color="auto" w:fill="DEEAF6"/>
          </w:tcPr>
          <w:p w14:paraId="442269A1" w14:textId="77777777" w:rsidR="00645809" w:rsidRPr="005863A9" w:rsidRDefault="00645809" w:rsidP="00645809">
            <w:pPr>
              <w:tabs>
                <w:tab w:val="left" w:pos="447"/>
              </w:tabs>
              <w:jc w:val="both"/>
              <w:rPr>
                <w:sz w:val="22"/>
                <w:szCs w:val="22"/>
              </w:rPr>
            </w:pPr>
            <w:r w:rsidRPr="005863A9">
              <w:rPr>
                <w:b/>
                <w:bCs/>
                <w:sz w:val="22"/>
                <w:szCs w:val="22"/>
              </w:rPr>
              <w:t>Activos aportados como margen inicial en contratos derivados y contribuciones a los fondos de garantía de una entidad de contrapartida central.</w:t>
            </w:r>
          </w:p>
        </w:tc>
        <w:tc>
          <w:tcPr>
            <w:tcW w:w="1097" w:type="dxa"/>
            <w:shd w:val="clear" w:color="auto" w:fill="auto"/>
            <w:vAlign w:val="center"/>
          </w:tcPr>
          <w:p w14:paraId="773B26BE" w14:textId="77777777" w:rsidR="00645809" w:rsidRPr="005863A9" w:rsidRDefault="00645809" w:rsidP="00645809">
            <w:pPr>
              <w:rPr>
                <w:sz w:val="22"/>
                <w:szCs w:val="22"/>
              </w:rPr>
            </w:pPr>
          </w:p>
        </w:tc>
      </w:tr>
      <w:tr w:rsidR="00645809" w:rsidRPr="005863A9" w14:paraId="4C09D5B6" w14:textId="77777777" w:rsidTr="00141D8C">
        <w:tc>
          <w:tcPr>
            <w:tcW w:w="1740" w:type="dxa"/>
            <w:shd w:val="clear" w:color="auto" w:fill="auto"/>
            <w:vAlign w:val="center"/>
          </w:tcPr>
          <w:p w14:paraId="42481D14"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63905C2F" w14:textId="77777777" w:rsidR="00645809" w:rsidRPr="005863A9" w:rsidRDefault="00645809" w:rsidP="00645809">
            <w:pPr>
              <w:jc w:val="both"/>
              <w:rPr>
                <w:sz w:val="22"/>
                <w:szCs w:val="22"/>
              </w:rPr>
            </w:pPr>
            <w:r w:rsidRPr="005863A9">
              <w:rPr>
                <w:sz w:val="22"/>
                <w:szCs w:val="22"/>
              </w:rPr>
              <w:t>Efectivo, inversiones en instrumentos financieros y otros activos constituidos en concepto de margen inicial en contratos de derivados y efectivo u otros activos aportados como contribución al fondo de garantía de una entidad de contrapartida central.</w:t>
            </w:r>
          </w:p>
        </w:tc>
        <w:tc>
          <w:tcPr>
            <w:tcW w:w="1097" w:type="dxa"/>
            <w:shd w:val="clear" w:color="auto" w:fill="auto"/>
            <w:vAlign w:val="center"/>
          </w:tcPr>
          <w:p w14:paraId="342D61B3" w14:textId="77777777" w:rsidR="00645809" w:rsidRPr="005863A9" w:rsidRDefault="00645809" w:rsidP="00645809">
            <w:pPr>
              <w:rPr>
                <w:sz w:val="22"/>
                <w:szCs w:val="22"/>
              </w:rPr>
            </w:pPr>
            <w:r w:rsidRPr="005863A9">
              <w:rPr>
                <w:sz w:val="22"/>
                <w:szCs w:val="22"/>
              </w:rPr>
              <w:t>85%</w:t>
            </w:r>
          </w:p>
        </w:tc>
      </w:tr>
      <w:tr w:rsidR="00645809" w:rsidRPr="005863A9" w14:paraId="354240AE" w14:textId="77777777" w:rsidTr="00141D8C">
        <w:tc>
          <w:tcPr>
            <w:tcW w:w="1740" w:type="dxa"/>
            <w:shd w:val="clear" w:color="auto" w:fill="auto"/>
            <w:vAlign w:val="center"/>
          </w:tcPr>
          <w:p w14:paraId="30587E1C" w14:textId="77777777" w:rsidR="00645809" w:rsidRPr="005863A9" w:rsidRDefault="00645809" w:rsidP="00645809">
            <w:pPr>
              <w:tabs>
                <w:tab w:val="left" w:pos="447"/>
              </w:tabs>
              <w:rPr>
                <w:b/>
                <w:bCs/>
                <w:sz w:val="22"/>
                <w:szCs w:val="22"/>
              </w:rPr>
            </w:pPr>
            <w:r w:rsidRPr="005863A9">
              <w:rPr>
                <w:b/>
                <w:bCs/>
                <w:sz w:val="22"/>
                <w:szCs w:val="22"/>
              </w:rPr>
              <w:t>4.2</w:t>
            </w:r>
          </w:p>
        </w:tc>
        <w:tc>
          <w:tcPr>
            <w:tcW w:w="6661" w:type="dxa"/>
            <w:shd w:val="clear" w:color="auto" w:fill="DEEAF6"/>
          </w:tcPr>
          <w:p w14:paraId="4DEACD97" w14:textId="77777777" w:rsidR="00645809" w:rsidRPr="005863A9" w:rsidRDefault="00645809" w:rsidP="00645809">
            <w:pPr>
              <w:tabs>
                <w:tab w:val="left" w:pos="447"/>
              </w:tabs>
              <w:jc w:val="both"/>
              <w:rPr>
                <w:b/>
                <w:bCs/>
                <w:sz w:val="22"/>
                <w:szCs w:val="22"/>
              </w:rPr>
            </w:pPr>
            <w:r w:rsidRPr="005863A9">
              <w:rPr>
                <w:b/>
                <w:bCs/>
                <w:sz w:val="22"/>
                <w:szCs w:val="22"/>
              </w:rPr>
              <w:t>Activos derivados a efectos del IFNE.</w:t>
            </w:r>
          </w:p>
        </w:tc>
        <w:tc>
          <w:tcPr>
            <w:tcW w:w="1097" w:type="dxa"/>
            <w:shd w:val="clear" w:color="auto" w:fill="auto"/>
            <w:vAlign w:val="center"/>
          </w:tcPr>
          <w:p w14:paraId="43DDF664" w14:textId="77777777" w:rsidR="00645809" w:rsidRPr="005863A9" w:rsidRDefault="00645809" w:rsidP="00645809">
            <w:pPr>
              <w:rPr>
                <w:sz w:val="22"/>
                <w:szCs w:val="22"/>
              </w:rPr>
            </w:pPr>
          </w:p>
        </w:tc>
      </w:tr>
      <w:tr w:rsidR="00645809" w:rsidRPr="005863A9" w14:paraId="4E53AEE6" w14:textId="77777777" w:rsidTr="00141D8C">
        <w:tc>
          <w:tcPr>
            <w:tcW w:w="1740" w:type="dxa"/>
            <w:shd w:val="clear" w:color="auto" w:fill="auto"/>
            <w:vAlign w:val="center"/>
          </w:tcPr>
          <w:p w14:paraId="49B831B2" w14:textId="77777777" w:rsidR="00645809" w:rsidRPr="005863A9" w:rsidRDefault="00645809" w:rsidP="00645809">
            <w:pPr>
              <w:rPr>
                <w:sz w:val="22"/>
                <w:szCs w:val="22"/>
              </w:rPr>
            </w:pPr>
            <w:r w:rsidRPr="005863A9">
              <w:rPr>
                <w:sz w:val="22"/>
                <w:szCs w:val="22"/>
              </w:rPr>
              <w:t>i)</w:t>
            </w:r>
          </w:p>
        </w:tc>
        <w:tc>
          <w:tcPr>
            <w:tcW w:w="6661" w:type="dxa"/>
            <w:shd w:val="clear" w:color="auto" w:fill="auto"/>
          </w:tcPr>
          <w:p w14:paraId="3A575561" w14:textId="77777777" w:rsidR="00645809" w:rsidRPr="005863A9" w:rsidRDefault="00645809" w:rsidP="00645809">
            <w:pPr>
              <w:jc w:val="both"/>
              <w:rPr>
                <w:sz w:val="22"/>
                <w:szCs w:val="22"/>
              </w:rPr>
            </w:pPr>
            <w:r w:rsidRPr="005863A9">
              <w:rPr>
                <w:sz w:val="22"/>
                <w:szCs w:val="22"/>
              </w:rPr>
              <w:t xml:space="preserve">Siempre que exista un acuerdo contractual de neteo bilateral, los activos originados en operaciones con derivados calculados conforme lo establecen el punto a) siguiente, netos de los pasivos originados en operaciones con derivados calculados siempre que los activos sean superiores a los pasivos. </w:t>
            </w:r>
          </w:p>
          <w:p w14:paraId="43732A4D" w14:textId="77777777" w:rsidR="00645809" w:rsidRPr="005863A9" w:rsidRDefault="00645809" w:rsidP="00645809">
            <w:pPr>
              <w:jc w:val="both"/>
              <w:rPr>
                <w:sz w:val="22"/>
                <w:szCs w:val="22"/>
              </w:rPr>
            </w:pPr>
          </w:p>
          <w:p w14:paraId="342AB16D" w14:textId="77777777" w:rsidR="00645809" w:rsidRPr="005863A9" w:rsidRDefault="00645809" w:rsidP="00645809">
            <w:pPr>
              <w:jc w:val="both"/>
              <w:rPr>
                <w:sz w:val="22"/>
                <w:szCs w:val="22"/>
              </w:rPr>
            </w:pPr>
            <w:r w:rsidRPr="005863A9">
              <w:rPr>
                <w:sz w:val="22"/>
                <w:szCs w:val="22"/>
              </w:rPr>
              <w:t>Este cálculo se determina como la diferencia entre los derechos de cobro y las obligaciones pendientes de pago, cuando el saldo representa un flujo de efectivo a favor de la entidad supervisada.</w:t>
            </w:r>
          </w:p>
          <w:p w14:paraId="64E57A30" w14:textId="77777777" w:rsidR="00645809" w:rsidRPr="005863A9" w:rsidRDefault="00645809" w:rsidP="00645809">
            <w:pPr>
              <w:jc w:val="both"/>
              <w:rPr>
                <w:sz w:val="22"/>
                <w:szCs w:val="22"/>
              </w:rPr>
            </w:pPr>
          </w:p>
          <w:p w14:paraId="528D6A3D" w14:textId="77777777" w:rsidR="00645809" w:rsidRPr="005863A9" w:rsidRDefault="00645809" w:rsidP="00645809">
            <w:pPr>
              <w:pStyle w:val="Prrafodelista"/>
              <w:numPr>
                <w:ilvl w:val="0"/>
                <w:numId w:val="49"/>
              </w:numPr>
              <w:contextualSpacing/>
              <w:jc w:val="both"/>
              <w:rPr>
                <w:sz w:val="22"/>
                <w:szCs w:val="22"/>
              </w:rPr>
            </w:pPr>
            <w:r w:rsidRPr="005863A9">
              <w:rPr>
                <w:sz w:val="22"/>
                <w:szCs w:val="22"/>
              </w:rPr>
              <w:t>Activos originados en operaciones con derivados: Los activos originados en operaciones con derivados se calcularán en base al costo de reposición del contrato de derivados –obtenido a partir de valoración a precios de mercado– cuando el contrato tenga un valor positivo para la entidad financiera.</w:t>
            </w:r>
          </w:p>
          <w:p w14:paraId="16318818" w14:textId="77777777" w:rsidR="00645809" w:rsidRPr="005863A9" w:rsidRDefault="00645809" w:rsidP="00645809">
            <w:pPr>
              <w:jc w:val="both"/>
              <w:rPr>
                <w:sz w:val="22"/>
                <w:szCs w:val="22"/>
              </w:rPr>
            </w:pPr>
          </w:p>
          <w:p w14:paraId="053EC3B5" w14:textId="77777777" w:rsidR="00645809" w:rsidRPr="005863A9" w:rsidRDefault="00645809" w:rsidP="00645809">
            <w:pPr>
              <w:jc w:val="both"/>
              <w:rPr>
                <w:sz w:val="22"/>
                <w:szCs w:val="22"/>
              </w:rPr>
            </w:pPr>
            <w:r w:rsidRPr="005863A9">
              <w:rPr>
                <w:sz w:val="22"/>
                <w:szCs w:val="22"/>
              </w:rPr>
              <w:t>Al calcular los activos de las operaciones con derivados, las garantías constituidas en forma de margen de variación con relación a los contratos de derivados, con independencia del tipo de activos, deberán deducirse del costo de reposición negativo.</w:t>
            </w:r>
          </w:p>
          <w:p w14:paraId="53E6B911" w14:textId="77777777" w:rsidR="00645809" w:rsidRPr="005863A9" w:rsidRDefault="00645809" w:rsidP="00645809">
            <w:pPr>
              <w:jc w:val="both"/>
              <w:rPr>
                <w:sz w:val="22"/>
                <w:szCs w:val="22"/>
              </w:rPr>
            </w:pPr>
          </w:p>
          <w:p w14:paraId="5556917F" w14:textId="77777777" w:rsidR="00645809" w:rsidRPr="005863A9" w:rsidRDefault="00645809" w:rsidP="00645809">
            <w:pPr>
              <w:jc w:val="both"/>
              <w:rPr>
                <w:sz w:val="22"/>
                <w:szCs w:val="22"/>
              </w:rPr>
            </w:pPr>
            <w:r w:rsidRPr="005863A9">
              <w:rPr>
                <w:sz w:val="22"/>
                <w:szCs w:val="22"/>
              </w:rPr>
              <w:t>Para operaciones de derivados que no poseen acuerdo contractual de neteo bilateral deberá registrarse el importe total de los activos originados de los derivados.</w:t>
            </w:r>
          </w:p>
        </w:tc>
        <w:tc>
          <w:tcPr>
            <w:tcW w:w="1097" w:type="dxa"/>
            <w:shd w:val="clear" w:color="auto" w:fill="auto"/>
            <w:vAlign w:val="center"/>
          </w:tcPr>
          <w:p w14:paraId="7518AA8C" w14:textId="77777777" w:rsidR="00645809" w:rsidRPr="005863A9" w:rsidRDefault="00645809" w:rsidP="00645809">
            <w:pPr>
              <w:rPr>
                <w:sz w:val="22"/>
                <w:szCs w:val="22"/>
              </w:rPr>
            </w:pPr>
            <w:r w:rsidRPr="005863A9">
              <w:rPr>
                <w:sz w:val="22"/>
                <w:szCs w:val="22"/>
              </w:rPr>
              <w:t>100%</w:t>
            </w:r>
          </w:p>
        </w:tc>
      </w:tr>
      <w:tr w:rsidR="00645809" w:rsidRPr="005863A9" w14:paraId="0FA2782C" w14:textId="77777777" w:rsidTr="00141D8C">
        <w:tc>
          <w:tcPr>
            <w:tcW w:w="1740" w:type="dxa"/>
            <w:shd w:val="clear" w:color="auto" w:fill="auto"/>
            <w:vAlign w:val="center"/>
          </w:tcPr>
          <w:p w14:paraId="7B699913" w14:textId="77777777" w:rsidR="00645809" w:rsidRPr="005863A9" w:rsidRDefault="00645809" w:rsidP="00645809">
            <w:pPr>
              <w:tabs>
                <w:tab w:val="left" w:pos="447"/>
              </w:tabs>
              <w:rPr>
                <w:b/>
                <w:bCs/>
                <w:sz w:val="22"/>
                <w:szCs w:val="22"/>
              </w:rPr>
            </w:pPr>
            <w:r w:rsidRPr="005863A9">
              <w:rPr>
                <w:b/>
                <w:bCs/>
                <w:sz w:val="22"/>
                <w:szCs w:val="22"/>
              </w:rPr>
              <w:t>4.3</w:t>
            </w:r>
          </w:p>
        </w:tc>
        <w:tc>
          <w:tcPr>
            <w:tcW w:w="6661" w:type="dxa"/>
            <w:shd w:val="clear" w:color="auto" w:fill="DEEAF6"/>
          </w:tcPr>
          <w:p w14:paraId="1D2260D8" w14:textId="77777777" w:rsidR="00645809" w:rsidRPr="005863A9" w:rsidRDefault="00645809" w:rsidP="00645809">
            <w:pPr>
              <w:tabs>
                <w:tab w:val="left" w:pos="447"/>
              </w:tabs>
              <w:jc w:val="both"/>
              <w:rPr>
                <w:b/>
                <w:bCs/>
                <w:sz w:val="22"/>
                <w:szCs w:val="22"/>
              </w:rPr>
            </w:pPr>
            <w:r w:rsidRPr="005863A9">
              <w:rPr>
                <w:b/>
                <w:bCs/>
                <w:sz w:val="22"/>
                <w:szCs w:val="22"/>
              </w:rPr>
              <w:t>Todos los activos no incluidos en las categorías anteriores.</w:t>
            </w:r>
          </w:p>
        </w:tc>
        <w:tc>
          <w:tcPr>
            <w:tcW w:w="1097" w:type="dxa"/>
            <w:shd w:val="clear" w:color="auto" w:fill="auto"/>
            <w:vAlign w:val="center"/>
          </w:tcPr>
          <w:p w14:paraId="4AEA0A85" w14:textId="77777777" w:rsidR="00645809" w:rsidRPr="005863A9" w:rsidRDefault="00645809" w:rsidP="00645809">
            <w:pPr>
              <w:rPr>
                <w:sz w:val="22"/>
                <w:szCs w:val="22"/>
              </w:rPr>
            </w:pPr>
          </w:p>
        </w:tc>
      </w:tr>
      <w:tr w:rsidR="00645809" w:rsidRPr="005863A9" w14:paraId="17E0430A" w14:textId="77777777" w:rsidTr="00141D8C">
        <w:tc>
          <w:tcPr>
            <w:tcW w:w="1740" w:type="dxa"/>
            <w:shd w:val="clear" w:color="auto" w:fill="auto"/>
            <w:vAlign w:val="center"/>
          </w:tcPr>
          <w:p w14:paraId="66E8DA04" w14:textId="77777777" w:rsidR="00645809" w:rsidRPr="005863A9" w:rsidRDefault="00645809" w:rsidP="00645809">
            <w:pPr>
              <w:tabs>
                <w:tab w:val="left" w:pos="447"/>
              </w:tabs>
              <w:rPr>
                <w:sz w:val="22"/>
                <w:szCs w:val="22"/>
              </w:rPr>
            </w:pPr>
            <w:r w:rsidRPr="005863A9">
              <w:rPr>
                <w:sz w:val="22"/>
                <w:szCs w:val="22"/>
              </w:rPr>
              <w:lastRenderedPageBreak/>
              <w:t>i)</w:t>
            </w:r>
          </w:p>
        </w:tc>
        <w:tc>
          <w:tcPr>
            <w:tcW w:w="6661" w:type="dxa"/>
            <w:shd w:val="clear" w:color="auto" w:fill="auto"/>
          </w:tcPr>
          <w:p w14:paraId="0E00C7D6" w14:textId="77777777" w:rsidR="00645809" w:rsidRPr="005863A9" w:rsidRDefault="00645809" w:rsidP="00645809">
            <w:pPr>
              <w:tabs>
                <w:tab w:val="left" w:pos="447"/>
              </w:tabs>
              <w:jc w:val="both"/>
              <w:rPr>
                <w:sz w:val="22"/>
                <w:szCs w:val="22"/>
              </w:rPr>
            </w:pPr>
            <w:r w:rsidRPr="005863A9">
              <w:rPr>
                <w:sz w:val="22"/>
                <w:szCs w:val="22"/>
              </w:rPr>
              <w:t>Importes pendientes de liquidación por venta de instrumentos financieros, divisas o productos.</w:t>
            </w:r>
          </w:p>
          <w:p w14:paraId="4EFF244C" w14:textId="77777777" w:rsidR="00645809" w:rsidRPr="005863A9" w:rsidRDefault="00645809" w:rsidP="00645809">
            <w:pPr>
              <w:pStyle w:val="Prrafodelista"/>
              <w:numPr>
                <w:ilvl w:val="0"/>
                <w:numId w:val="44"/>
              </w:numPr>
              <w:tabs>
                <w:tab w:val="left" w:pos="447"/>
              </w:tabs>
              <w:contextualSpacing/>
              <w:jc w:val="both"/>
              <w:rPr>
                <w:sz w:val="22"/>
                <w:szCs w:val="22"/>
              </w:rPr>
            </w:pPr>
            <w:r w:rsidRPr="005863A9">
              <w:rPr>
                <w:sz w:val="22"/>
                <w:szCs w:val="22"/>
              </w:rPr>
              <w:t>se prevé liquidar dentro del ciclo de liquidación estándar o el periodo que sea habitual para el intercambio o tipo de transacción pertinente, o</w:t>
            </w:r>
          </w:p>
          <w:p w14:paraId="2D20635C" w14:textId="77777777" w:rsidR="00645809" w:rsidRPr="005863A9" w:rsidRDefault="00645809" w:rsidP="00645809">
            <w:pPr>
              <w:pStyle w:val="Prrafodelista"/>
              <w:numPr>
                <w:ilvl w:val="0"/>
                <w:numId w:val="44"/>
              </w:numPr>
              <w:tabs>
                <w:tab w:val="left" w:pos="447"/>
              </w:tabs>
              <w:contextualSpacing/>
              <w:jc w:val="both"/>
              <w:rPr>
                <w:sz w:val="22"/>
                <w:szCs w:val="22"/>
              </w:rPr>
            </w:pPr>
            <w:r w:rsidRPr="005863A9">
              <w:rPr>
                <w:sz w:val="22"/>
                <w:szCs w:val="22"/>
              </w:rPr>
              <w:t>no hayan podido liquidarse, pero se espera serán liquidados.</w:t>
            </w:r>
          </w:p>
        </w:tc>
        <w:tc>
          <w:tcPr>
            <w:tcW w:w="1097" w:type="dxa"/>
            <w:shd w:val="clear" w:color="auto" w:fill="auto"/>
            <w:vAlign w:val="center"/>
          </w:tcPr>
          <w:p w14:paraId="4E907B8A" w14:textId="77777777" w:rsidR="00645809" w:rsidRPr="005863A9" w:rsidRDefault="00645809" w:rsidP="00645809">
            <w:pPr>
              <w:rPr>
                <w:sz w:val="22"/>
                <w:szCs w:val="22"/>
              </w:rPr>
            </w:pPr>
            <w:r w:rsidRPr="005863A9">
              <w:rPr>
                <w:sz w:val="22"/>
                <w:szCs w:val="22"/>
              </w:rPr>
              <w:t>0%</w:t>
            </w:r>
          </w:p>
        </w:tc>
      </w:tr>
      <w:tr w:rsidR="00645809" w:rsidRPr="005863A9" w14:paraId="3346D164" w14:textId="77777777" w:rsidTr="00141D8C">
        <w:tc>
          <w:tcPr>
            <w:tcW w:w="1740" w:type="dxa"/>
            <w:shd w:val="clear" w:color="auto" w:fill="auto"/>
            <w:vAlign w:val="center"/>
          </w:tcPr>
          <w:p w14:paraId="11788B50" w14:textId="77777777" w:rsidR="00645809" w:rsidRPr="005863A9" w:rsidRDefault="00645809" w:rsidP="00645809">
            <w:pPr>
              <w:tabs>
                <w:tab w:val="left" w:pos="447"/>
              </w:tabs>
              <w:rPr>
                <w:sz w:val="22"/>
                <w:szCs w:val="22"/>
              </w:rPr>
            </w:pPr>
            <w:r w:rsidRPr="005863A9">
              <w:rPr>
                <w:sz w:val="22"/>
                <w:szCs w:val="22"/>
              </w:rPr>
              <w:t>ii)</w:t>
            </w:r>
          </w:p>
        </w:tc>
        <w:tc>
          <w:tcPr>
            <w:tcW w:w="6661" w:type="dxa"/>
            <w:shd w:val="clear" w:color="auto" w:fill="auto"/>
          </w:tcPr>
          <w:p w14:paraId="588523C6" w14:textId="77777777" w:rsidR="00645809" w:rsidRPr="005863A9" w:rsidRDefault="00645809" w:rsidP="00645809">
            <w:pPr>
              <w:tabs>
                <w:tab w:val="left" w:pos="447"/>
              </w:tabs>
              <w:jc w:val="both"/>
              <w:rPr>
                <w:sz w:val="22"/>
                <w:szCs w:val="22"/>
              </w:rPr>
            </w:pPr>
            <w:r w:rsidRPr="005863A9">
              <w:rPr>
                <w:sz w:val="22"/>
                <w:szCs w:val="22"/>
              </w:rPr>
              <w:t xml:space="preserve">Los restantes activos no incluidos en las categorías anteriores, incluidos préstamos con más de 90 días de atraso, préstamos a entidades financieras </w:t>
            </w:r>
            <w:r w:rsidRPr="005863A9">
              <w:rPr>
                <w:color w:val="4472C4"/>
                <w:sz w:val="22"/>
                <w:szCs w:val="22"/>
              </w:rPr>
              <w:t>con vencimiento residual igual o superior a un año.</w:t>
            </w:r>
            <w:r w:rsidRPr="005863A9">
              <w:rPr>
                <w:strike/>
                <w:sz w:val="22"/>
                <w:szCs w:val="22"/>
              </w:rPr>
              <w:t xml:space="preserve"> </w:t>
            </w:r>
          </w:p>
        </w:tc>
        <w:tc>
          <w:tcPr>
            <w:tcW w:w="1097" w:type="dxa"/>
            <w:shd w:val="clear" w:color="auto" w:fill="auto"/>
            <w:vAlign w:val="center"/>
          </w:tcPr>
          <w:p w14:paraId="06BA471D" w14:textId="77777777" w:rsidR="00645809" w:rsidRPr="005863A9" w:rsidRDefault="00645809" w:rsidP="00645809">
            <w:pPr>
              <w:rPr>
                <w:sz w:val="22"/>
                <w:szCs w:val="22"/>
              </w:rPr>
            </w:pPr>
            <w:r w:rsidRPr="005863A9">
              <w:rPr>
                <w:sz w:val="22"/>
                <w:szCs w:val="22"/>
              </w:rPr>
              <w:t>100%</w:t>
            </w:r>
          </w:p>
        </w:tc>
      </w:tr>
      <w:tr w:rsidR="00645809" w:rsidRPr="005863A9" w14:paraId="366CF479" w14:textId="77777777" w:rsidTr="00141D8C">
        <w:tc>
          <w:tcPr>
            <w:tcW w:w="1740" w:type="dxa"/>
            <w:shd w:val="clear" w:color="auto" w:fill="auto"/>
            <w:vAlign w:val="center"/>
          </w:tcPr>
          <w:p w14:paraId="3EDBC976" w14:textId="77777777" w:rsidR="00645809" w:rsidRPr="005863A9" w:rsidRDefault="00645809" w:rsidP="00645809">
            <w:pPr>
              <w:rPr>
                <w:b/>
                <w:bCs/>
                <w:sz w:val="22"/>
                <w:szCs w:val="22"/>
              </w:rPr>
            </w:pPr>
            <w:r w:rsidRPr="005863A9">
              <w:rPr>
                <w:b/>
                <w:bCs/>
                <w:sz w:val="22"/>
                <w:szCs w:val="22"/>
              </w:rPr>
              <w:t>ARTÍCULO 12</w:t>
            </w:r>
          </w:p>
        </w:tc>
        <w:tc>
          <w:tcPr>
            <w:tcW w:w="6661" w:type="dxa"/>
            <w:shd w:val="clear" w:color="auto" w:fill="auto"/>
            <w:vAlign w:val="center"/>
          </w:tcPr>
          <w:p w14:paraId="10CC8F6F" w14:textId="77777777" w:rsidR="00645809" w:rsidRPr="005863A9" w:rsidRDefault="00645809" w:rsidP="00645809">
            <w:pPr>
              <w:rPr>
                <w:b/>
                <w:bCs/>
                <w:sz w:val="22"/>
                <w:szCs w:val="22"/>
              </w:rPr>
            </w:pPr>
            <w:r w:rsidRPr="005863A9">
              <w:rPr>
                <w:b/>
                <w:bCs/>
                <w:sz w:val="22"/>
                <w:szCs w:val="22"/>
              </w:rPr>
              <w:t>CATEGORÍA</w:t>
            </w:r>
          </w:p>
        </w:tc>
        <w:tc>
          <w:tcPr>
            <w:tcW w:w="1097" w:type="dxa"/>
            <w:shd w:val="clear" w:color="auto" w:fill="auto"/>
            <w:vAlign w:val="center"/>
          </w:tcPr>
          <w:p w14:paraId="12A74774" w14:textId="77777777" w:rsidR="00645809" w:rsidRPr="005863A9" w:rsidRDefault="00645809" w:rsidP="00645809">
            <w:pPr>
              <w:rPr>
                <w:b/>
                <w:bCs/>
                <w:sz w:val="22"/>
                <w:szCs w:val="22"/>
              </w:rPr>
            </w:pPr>
            <w:r w:rsidRPr="005863A9">
              <w:rPr>
                <w:b/>
                <w:bCs/>
                <w:sz w:val="22"/>
                <w:szCs w:val="22"/>
              </w:rPr>
              <w:t>FACTOR</w:t>
            </w:r>
          </w:p>
        </w:tc>
      </w:tr>
      <w:tr w:rsidR="00645809" w:rsidRPr="005863A9" w14:paraId="6CD63279" w14:textId="77777777" w:rsidTr="00141D8C">
        <w:tc>
          <w:tcPr>
            <w:tcW w:w="1740" w:type="dxa"/>
            <w:shd w:val="clear" w:color="auto" w:fill="D9E2F3"/>
            <w:vAlign w:val="center"/>
          </w:tcPr>
          <w:p w14:paraId="0CEB9CCD" w14:textId="77777777" w:rsidR="00645809" w:rsidRPr="005863A9" w:rsidRDefault="00645809" w:rsidP="00645809">
            <w:pPr>
              <w:rPr>
                <w:b/>
                <w:bCs/>
                <w:sz w:val="22"/>
                <w:szCs w:val="22"/>
              </w:rPr>
            </w:pPr>
          </w:p>
        </w:tc>
        <w:tc>
          <w:tcPr>
            <w:tcW w:w="6661" w:type="dxa"/>
            <w:shd w:val="clear" w:color="auto" w:fill="D9E2F3"/>
            <w:vAlign w:val="center"/>
          </w:tcPr>
          <w:p w14:paraId="45EB2BF4" w14:textId="77777777" w:rsidR="00645809" w:rsidRPr="005863A9" w:rsidRDefault="00645809" w:rsidP="00645809">
            <w:pPr>
              <w:rPr>
                <w:b/>
                <w:bCs/>
                <w:sz w:val="22"/>
                <w:szCs w:val="22"/>
              </w:rPr>
            </w:pPr>
            <w:r w:rsidRPr="005863A9">
              <w:rPr>
                <w:b/>
                <w:bCs/>
                <w:sz w:val="22"/>
                <w:szCs w:val="22"/>
              </w:rPr>
              <w:t>OPERACIONES DEL TIPO PACTO RECOMPRA</w:t>
            </w:r>
          </w:p>
        </w:tc>
        <w:tc>
          <w:tcPr>
            <w:tcW w:w="1097" w:type="dxa"/>
            <w:shd w:val="clear" w:color="auto" w:fill="D9E2F3"/>
            <w:vAlign w:val="center"/>
          </w:tcPr>
          <w:p w14:paraId="6A02146B" w14:textId="77777777" w:rsidR="00645809" w:rsidRPr="005863A9" w:rsidRDefault="00645809" w:rsidP="00645809">
            <w:pPr>
              <w:rPr>
                <w:b/>
                <w:bCs/>
                <w:sz w:val="22"/>
                <w:szCs w:val="22"/>
              </w:rPr>
            </w:pPr>
          </w:p>
        </w:tc>
      </w:tr>
      <w:tr w:rsidR="00645809" w:rsidRPr="005863A9" w14:paraId="656A820D" w14:textId="77777777" w:rsidTr="00141D8C">
        <w:tc>
          <w:tcPr>
            <w:tcW w:w="1740" w:type="dxa"/>
            <w:shd w:val="clear" w:color="auto" w:fill="auto"/>
            <w:vAlign w:val="center"/>
          </w:tcPr>
          <w:p w14:paraId="705B317B" w14:textId="77777777" w:rsidR="00645809" w:rsidRPr="005863A9" w:rsidRDefault="00645809" w:rsidP="00645809">
            <w:pPr>
              <w:rPr>
                <w:b/>
                <w:bCs/>
                <w:sz w:val="22"/>
                <w:szCs w:val="22"/>
              </w:rPr>
            </w:pPr>
          </w:p>
        </w:tc>
        <w:tc>
          <w:tcPr>
            <w:tcW w:w="6661" w:type="dxa"/>
            <w:shd w:val="clear" w:color="auto" w:fill="auto"/>
            <w:vAlign w:val="center"/>
          </w:tcPr>
          <w:p w14:paraId="758640AE" w14:textId="77777777" w:rsidR="00645809" w:rsidRPr="005863A9" w:rsidRDefault="00645809" w:rsidP="00645809">
            <w:pPr>
              <w:jc w:val="both"/>
              <w:rPr>
                <w:b/>
                <w:bCs/>
                <w:sz w:val="22"/>
                <w:szCs w:val="22"/>
              </w:rPr>
            </w:pPr>
            <w:r w:rsidRPr="005863A9">
              <w:rPr>
                <w:sz w:val="22"/>
                <w:szCs w:val="22"/>
              </w:rPr>
              <w:t xml:space="preserve">Cuando las entidades se financien mediante operaciones del tipo pacto de recompra, todos los activos que respaldan estas operaciones y </w:t>
            </w:r>
            <w:r w:rsidRPr="005863A9">
              <w:rPr>
                <w:color w:val="4472C4"/>
                <w:sz w:val="22"/>
                <w:szCs w:val="22"/>
              </w:rPr>
              <w:t>que le restan menos de seis meses para su vencimiento</w:t>
            </w:r>
            <w:r w:rsidRPr="005863A9">
              <w:rPr>
                <w:sz w:val="22"/>
                <w:szCs w:val="22"/>
              </w:rPr>
              <w:t>, se les podrá asignar el mismo factor que se le asigna a un activo equivalente que no se encuentra comprometido.</w:t>
            </w:r>
          </w:p>
        </w:tc>
        <w:tc>
          <w:tcPr>
            <w:tcW w:w="1097" w:type="dxa"/>
            <w:shd w:val="clear" w:color="auto" w:fill="auto"/>
            <w:vAlign w:val="center"/>
          </w:tcPr>
          <w:p w14:paraId="3A6C3CEF" w14:textId="77777777" w:rsidR="00645809" w:rsidRPr="005863A9" w:rsidRDefault="00645809" w:rsidP="00645809">
            <w:pPr>
              <w:rPr>
                <w:b/>
                <w:bCs/>
                <w:sz w:val="22"/>
                <w:szCs w:val="22"/>
              </w:rPr>
            </w:pPr>
          </w:p>
        </w:tc>
      </w:tr>
      <w:tr w:rsidR="00645809" w:rsidRPr="005863A9" w14:paraId="4BBD7593" w14:textId="77777777" w:rsidTr="00141D8C">
        <w:tc>
          <w:tcPr>
            <w:tcW w:w="1740" w:type="dxa"/>
            <w:shd w:val="clear" w:color="auto" w:fill="auto"/>
            <w:vAlign w:val="center"/>
          </w:tcPr>
          <w:p w14:paraId="420C15C6" w14:textId="77777777" w:rsidR="00645809" w:rsidRPr="005863A9" w:rsidRDefault="00645809" w:rsidP="00645809">
            <w:pPr>
              <w:rPr>
                <w:b/>
                <w:bCs/>
                <w:sz w:val="22"/>
                <w:szCs w:val="22"/>
              </w:rPr>
            </w:pPr>
            <w:r w:rsidRPr="005863A9">
              <w:rPr>
                <w:b/>
                <w:bCs/>
                <w:sz w:val="22"/>
                <w:szCs w:val="22"/>
              </w:rPr>
              <w:t>ARTÍCULO 13</w:t>
            </w:r>
          </w:p>
        </w:tc>
        <w:tc>
          <w:tcPr>
            <w:tcW w:w="6661" w:type="dxa"/>
            <w:shd w:val="clear" w:color="auto" w:fill="auto"/>
            <w:vAlign w:val="center"/>
          </w:tcPr>
          <w:p w14:paraId="64AC19BB" w14:textId="77777777" w:rsidR="00645809" w:rsidRPr="005863A9" w:rsidRDefault="00645809" w:rsidP="00645809">
            <w:pPr>
              <w:rPr>
                <w:b/>
                <w:bCs/>
                <w:sz w:val="22"/>
                <w:szCs w:val="22"/>
              </w:rPr>
            </w:pPr>
            <w:r w:rsidRPr="005863A9">
              <w:rPr>
                <w:b/>
                <w:bCs/>
                <w:sz w:val="22"/>
                <w:szCs w:val="22"/>
              </w:rPr>
              <w:t>CATEGORÍA</w:t>
            </w:r>
          </w:p>
        </w:tc>
        <w:tc>
          <w:tcPr>
            <w:tcW w:w="1097" w:type="dxa"/>
            <w:shd w:val="clear" w:color="auto" w:fill="auto"/>
            <w:vAlign w:val="center"/>
          </w:tcPr>
          <w:p w14:paraId="3963FBBE" w14:textId="77777777" w:rsidR="00645809" w:rsidRPr="005863A9" w:rsidRDefault="00645809" w:rsidP="00645809">
            <w:pPr>
              <w:rPr>
                <w:b/>
                <w:bCs/>
                <w:sz w:val="22"/>
                <w:szCs w:val="22"/>
              </w:rPr>
            </w:pPr>
            <w:r w:rsidRPr="005863A9">
              <w:rPr>
                <w:b/>
                <w:bCs/>
                <w:sz w:val="22"/>
                <w:szCs w:val="22"/>
              </w:rPr>
              <w:t>FACTOR</w:t>
            </w:r>
          </w:p>
        </w:tc>
      </w:tr>
      <w:tr w:rsidR="00645809" w:rsidRPr="005863A9" w14:paraId="5861469B" w14:textId="77777777" w:rsidTr="00141D8C">
        <w:tc>
          <w:tcPr>
            <w:tcW w:w="1740" w:type="dxa"/>
            <w:shd w:val="clear" w:color="auto" w:fill="D9E2F3"/>
            <w:vAlign w:val="center"/>
          </w:tcPr>
          <w:p w14:paraId="3E54622B" w14:textId="77777777" w:rsidR="00645809" w:rsidRPr="005863A9" w:rsidRDefault="00645809" w:rsidP="00645809">
            <w:pPr>
              <w:rPr>
                <w:b/>
                <w:bCs/>
                <w:sz w:val="22"/>
                <w:szCs w:val="22"/>
              </w:rPr>
            </w:pPr>
            <w:r w:rsidRPr="005863A9">
              <w:rPr>
                <w:b/>
                <w:bCs/>
                <w:sz w:val="22"/>
                <w:szCs w:val="22"/>
              </w:rPr>
              <w:t>5.</w:t>
            </w:r>
          </w:p>
        </w:tc>
        <w:tc>
          <w:tcPr>
            <w:tcW w:w="6661" w:type="dxa"/>
            <w:shd w:val="clear" w:color="auto" w:fill="D9E2F3"/>
          </w:tcPr>
          <w:p w14:paraId="4646D653" w14:textId="77777777" w:rsidR="00645809" w:rsidRPr="005863A9" w:rsidRDefault="00645809" w:rsidP="00645809">
            <w:pPr>
              <w:jc w:val="both"/>
              <w:rPr>
                <w:b/>
                <w:bCs/>
                <w:sz w:val="22"/>
                <w:szCs w:val="22"/>
              </w:rPr>
            </w:pPr>
            <w:r w:rsidRPr="005863A9">
              <w:rPr>
                <w:b/>
                <w:bCs/>
                <w:sz w:val="22"/>
                <w:szCs w:val="22"/>
              </w:rPr>
              <w:t>POSICIONES FUERA DE BALANCE.</w:t>
            </w:r>
          </w:p>
        </w:tc>
        <w:tc>
          <w:tcPr>
            <w:tcW w:w="1097" w:type="dxa"/>
            <w:shd w:val="clear" w:color="auto" w:fill="D9E2F3"/>
            <w:vAlign w:val="center"/>
          </w:tcPr>
          <w:p w14:paraId="26990BAA" w14:textId="77777777" w:rsidR="00645809" w:rsidRPr="005863A9" w:rsidRDefault="00645809" w:rsidP="00645809">
            <w:pPr>
              <w:rPr>
                <w:sz w:val="22"/>
                <w:szCs w:val="22"/>
              </w:rPr>
            </w:pPr>
          </w:p>
        </w:tc>
      </w:tr>
      <w:tr w:rsidR="00645809" w:rsidRPr="005863A9" w14:paraId="431DB192" w14:textId="77777777" w:rsidTr="00141D8C">
        <w:tc>
          <w:tcPr>
            <w:tcW w:w="1740" w:type="dxa"/>
            <w:shd w:val="clear" w:color="auto" w:fill="auto"/>
            <w:vAlign w:val="center"/>
          </w:tcPr>
          <w:p w14:paraId="26DE9DF3" w14:textId="77777777" w:rsidR="00645809" w:rsidRPr="005863A9" w:rsidRDefault="00645809" w:rsidP="00645809">
            <w:pPr>
              <w:tabs>
                <w:tab w:val="left" w:pos="447"/>
              </w:tabs>
              <w:rPr>
                <w:sz w:val="22"/>
                <w:szCs w:val="22"/>
              </w:rPr>
            </w:pPr>
            <w:r w:rsidRPr="005863A9">
              <w:rPr>
                <w:sz w:val="22"/>
                <w:szCs w:val="22"/>
              </w:rPr>
              <w:t>a)</w:t>
            </w:r>
          </w:p>
        </w:tc>
        <w:tc>
          <w:tcPr>
            <w:tcW w:w="6661" w:type="dxa"/>
            <w:shd w:val="clear" w:color="auto" w:fill="auto"/>
          </w:tcPr>
          <w:p w14:paraId="455E2D7F" w14:textId="77777777" w:rsidR="00645809" w:rsidRPr="005863A9" w:rsidRDefault="00645809" w:rsidP="00645809">
            <w:pPr>
              <w:tabs>
                <w:tab w:val="left" w:pos="447"/>
              </w:tabs>
              <w:jc w:val="both"/>
              <w:rPr>
                <w:rFonts w:eastAsia="Calibri"/>
                <w:sz w:val="22"/>
                <w:szCs w:val="22"/>
                <w:lang w:eastAsia="en-US"/>
              </w:rPr>
            </w:pPr>
            <w:r w:rsidRPr="005863A9">
              <w:rPr>
                <w:rFonts w:eastAsia="Calibri"/>
                <w:sz w:val="22"/>
                <w:szCs w:val="22"/>
                <w:lang w:eastAsia="en-US"/>
              </w:rPr>
              <w:t>Facilidades de crédito o de liquidez en las que medie un compromiso contingente para proveer fondos, tales como, líneas de crédito de utilización automática, líneas de crédito con compromiso contractual de desembolso y créditos pendientes con compromiso contractual de desembolso. Factor 5% al saldo no utilizado.</w:t>
            </w:r>
          </w:p>
        </w:tc>
        <w:tc>
          <w:tcPr>
            <w:tcW w:w="1097" w:type="dxa"/>
            <w:shd w:val="clear" w:color="auto" w:fill="auto"/>
            <w:vAlign w:val="center"/>
          </w:tcPr>
          <w:p w14:paraId="49044025" w14:textId="77777777" w:rsidR="00645809" w:rsidRPr="005863A9" w:rsidRDefault="00645809" w:rsidP="00645809">
            <w:pPr>
              <w:rPr>
                <w:sz w:val="22"/>
                <w:szCs w:val="22"/>
              </w:rPr>
            </w:pPr>
            <w:r w:rsidRPr="005863A9">
              <w:rPr>
                <w:sz w:val="22"/>
                <w:szCs w:val="22"/>
              </w:rPr>
              <w:t>5%</w:t>
            </w:r>
          </w:p>
        </w:tc>
      </w:tr>
      <w:tr w:rsidR="00645809" w:rsidRPr="005863A9" w14:paraId="25122EFF" w14:textId="77777777" w:rsidTr="00141D8C">
        <w:tc>
          <w:tcPr>
            <w:tcW w:w="1740" w:type="dxa"/>
            <w:vMerge w:val="restart"/>
            <w:shd w:val="clear" w:color="auto" w:fill="auto"/>
            <w:vAlign w:val="center"/>
          </w:tcPr>
          <w:p w14:paraId="6531F79E" w14:textId="77777777" w:rsidR="00645809" w:rsidRPr="005863A9" w:rsidRDefault="00645809" w:rsidP="00645809">
            <w:pPr>
              <w:pStyle w:val="Ttulo3"/>
              <w:keepNext w:val="0"/>
              <w:widowControl w:val="0"/>
              <w:jc w:val="center"/>
              <w:rPr>
                <w:b w:val="0"/>
                <w:bCs w:val="0"/>
                <w:sz w:val="22"/>
                <w:szCs w:val="22"/>
              </w:rPr>
            </w:pPr>
            <w:r w:rsidRPr="005863A9">
              <w:rPr>
                <w:b w:val="0"/>
                <w:bCs w:val="0"/>
                <w:sz w:val="22"/>
                <w:szCs w:val="22"/>
              </w:rPr>
              <w:t>b)</w:t>
            </w:r>
          </w:p>
        </w:tc>
        <w:tc>
          <w:tcPr>
            <w:tcW w:w="6661" w:type="dxa"/>
            <w:shd w:val="clear" w:color="auto" w:fill="auto"/>
          </w:tcPr>
          <w:p w14:paraId="48F55079" w14:textId="77777777" w:rsidR="00645809" w:rsidRPr="005863A9" w:rsidRDefault="00645809" w:rsidP="00645809">
            <w:pPr>
              <w:jc w:val="both"/>
              <w:rPr>
                <w:rFonts w:eastAsia="Calibri"/>
                <w:sz w:val="22"/>
                <w:szCs w:val="22"/>
                <w:lang w:eastAsia="en-US"/>
              </w:rPr>
            </w:pPr>
            <w:r w:rsidRPr="005863A9">
              <w:rPr>
                <w:rFonts w:eastAsia="Calibri"/>
                <w:sz w:val="22"/>
                <w:szCs w:val="22"/>
                <w:lang w:eastAsia="en-US"/>
              </w:rPr>
              <w:t>Cartas de crédito emitidas y cartas de crédito confirmadas:</w:t>
            </w:r>
          </w:p>
        </w:tc>
        <w:tc>
          <w:tcPr>
            <w:tcW w:w="1097" w:type="dxa"/>
            <w:shd w:val="clear" w:color="auto" w:fill="auto"/>
            <w:vAlign w:val="center"/>
          </w:tcPr>
          <w:p w14:paraId="061D1744" w14:textId="77777777" w:rsidR="00645809" w:rsidRPr="005863A9" w:rsidRDefault="00645809" w:rsidP="00645809">
            <w:pPr>
              <w:rPr>
                <w:sz w:val="22"/>
                <w:szCs w:val="22"/>
              </w:rPr>
            </w:pPr>
          </w:p>
        </w:tc>
      </w:tr>
      <w:tr w:rsidR="00645809" w:rsidRPr="005863A9" w14:paraId="70AFAD8C" w14:textId="77777777" w:rsidTr="00141D8C">
        <w:tc>
          <w:tcPr>
            <w:tcW w:w="1740" w:type="dxa"/>
            <w:vMerge/>
            <w:shd w:val="clear" w:color="auto" w:fill="auto"/>
            <w:vAlign w:val="center"/>
          </w:tcPr>
          <w:p w14:paraId="45A1B551" w14:textId="77777777" w:rsidR="00645809" w:rsidRPr="005863A9" w:rsidRDefault="00645809" w:rsidP="00645809">
            <w:pPr>
              <w:pStyle w:val="Ttulo3"/>
              <w:keepNext w:val="0"/>
              <w:widowControl w:val="0"/>
              <w:jc w:val="center"/>
              <w:rPr>
                <w:b w:val="0"/>
                <w:bCs w:val="0"/>
                <w:sz w:val="22"/>
                <w:szCs w:val="22"/>
              </w:rPr>
            </w:pPr>
          </w:p>
        </w:tc>
        <w:tc>
          <w:tcPr>
            <w:tcW w:w="6661" w:type="dxa"/>
            <w:shd w:val="clear" w:color="auto" w:fill="auto"/>
          </w:tcPr>
          <w:p w14:paraId="67B5C59B" w14:textId="77777777" w:rsidR="00645809" w:rsidRPr="005863A9" w:rsidRDefault="00645809" w:rsidP="00645809">
            <w:pPr>
              <w:numPr>
                <w:ilvl w:val="2"/>
                <w:numId w:val="34"/>
              </w:numPr>
              <w:ind w:left="453" w:hanging="142"/>
              <w:jc w:val="both"/>
              <w:rPr>
                <w:rFonts w:eastAsia="Calibri"/>
                <w:sz w:val="22"/>
                <w:szCs w:val="22"/>
                <w:lang w:eastAsia="en-US"/>
              </w:rPr>
            </w:pPr>
            <w:r w:rsidRPr="005863A9">
              <w:rPr>
                <w:rFonts w:eastAsia="Calibri"/>
                <w:sz w:val="22"/>
                <w:szCs w:val="22"/>
                <w:lang w:eastAsia="en-US"/>
              </w:rPr>
              <w:t xml:space="preserve">  Saldo con depósito previo. </w:t>
            </w:r>
          </w:p>
        </w:tc>
        <w:tc>
          <w:tcPr>
            <w:tcW w:w="1097" w:type="dxa"/>
            <w:shd w:val="clear" w:color="auto" w:fill="auto"/>
            <w:vAlign w:val="center"/>
          </w:tcPr>
          <w:p w14:paraId="436ABBB3" w14:textId="77777777" w:rsidR="00645809" w:rsidRPr="005863A9" w:rsidRDefault="00645809" w:rsidP="00645809">
            <w:pPr>
              <w:rPr>
                <w:sz w:val="22"/>
                <w:szCs w:val="22"/>
              </w:rPr>
            </w:pPr>
            <w:r w:rsidRPr="005863A9">
              <w:rPr>
                <w:sz w:val="22"/>
                <w:szCs w:val="22"/>
              </w:rPr>
              <w:t>0%</w:t>
            </w:r>
          </w:p>
        </w:tc>
      </w:tr>
      <w:tr w:rsidR="00645809" w:rsidRPr="005863A9" w14:paraId="7AFC3FCD" w14:textId="77777777" w:rsidTr="00141D8C">
        <w:tc>
          <w:tcPr>
            <w:tcW w:w="1740" w:type="dxa"/>
            <w:vMerge/>
            <w:shd w:val="clear" w:color="auto" w:fill="auto"/>
            <w:vAlign w:val="center"/>
          </w:tcPr>
          <w:p w14:paraId="1EA1C6CD" w14:textId="77777777" w:rsidR="00645809" w:rsidRPr="005863A9" w:rsidRDefault="00645809" w:rsidP="00645809">
            <w:pPr>
              <w:pStyle w:val="Ttulo3"/>
              <w:keepNext w:val="0"/>
              <w:widowControl w:val="0"/>
              <w:jc w:val="center"/>
              <w:rPr>
                <w:b w:val="0"/>
                <w:bCs w:val="0"/>
                <w:sz w:val="22"/>
                <w:szCs w:val="22"/>
              </w:rPr>
            </w:pPr>
          </w:p>
        </w:tc>
        <w:tc>
          <w:tcPr>
            <w:tcW w:w="6661" w:type="dxa"/>
            <w:shd w:val="clear" w:color="auto" w:fill="auto"/>
          </w:tcPr>
          <w:p w14:paraId="3F547286" w14:textId="77777777" w:rsidR="00645809" w:rsidRPr="005863A9" w:rsidRDefault="00645809" w:rsidP="00645809">
            <w:pPr>
              <w:numPr>
                <w:ilvl w:val="2"/>
                <w:numId w:val="34"/>
              </w:numPr>
              <w:tabs>
                <w:tab w:val="left" w:pos="595"/>
              </w:tabs>
              <w:ind w:left="453" w:hanging="142"/>
              <w:jc w:val="both"/>
              <w:rPr>
                <w:rFonts w:eastAsia="Calibri"/>
                <w:sz w:val="22"/>
                <w:szCs w:val="22"/>
                <w:lang w:eastAsia="en-US"/>
              </w:rPr>
            </w:pPr>
            <w:r w:rsidRPr="005863A9">
              <w:rPr>
                <w:rFonts w:eastAsia="Calibri"/>
                <w:sz w:val="22"/>
                <w:szCs w:val="22"/>
                <w:lang w:eastAsia="en-US"/>
              </w:rPr>
              <w:t xml:space="preserve">Saldo sin depósito previo. </w:t>
            </w:r>
          </w:p>
        </w:tc>
        <w:tc>
          <w:tcPr>
            <w:tcW w:w="1097" w:type="dxa"/>
            <w:shd w:val="clear" w:color="auto" w:fill="auto"/>
            <w:vAlign w:val="center"/>
          </w:tcPr>
          <w:p w14:paraId="25BA6688" w14:textId="77777777" w:rsidR="00645809" w:rsidRPr="005863A9" w:rsidRDefault="00645809" w:rsidP="00645809">
            <w:pPr>
              <w:rPr>
                <w:sz w:val="22"/>
                <w:szCs w:val="22"/>
              </w:rPr>
            </w:pPr>
            <w:r w:rsidRPr="005863A9">
              <w:rPr>
                <w:sz w:val="22"/>
                <w:szCs w:val="22"/>
              </w:rPr>
              <w:t>5%</w:t>
            </w:r>
          </w:p>
        </w:tc>
      </w:tr>
      <w:tr w:rsidR="00645809" w:rsidRPr="005863A9" w14:paraId="75FA73A3" w14:textId="77777777" w:rsidTr="00141D8C">
        <w:tc>
          <w:tcPr>
            <w:tcW w:w="1740" w:type="dxa"/>
            <w:vMerge w:val="restart"/>
            <w:shd w:val="clear" w:color="auto" w:fill="auto"/>
            <w:vAlign w:val="center"/>
          </w:tcPr>
          <w:p w14:paraId="3A2897DB" w14:textId="77777777" w:rsidR="00645809" w:rsidRPr="005863A9" w:rsidRDefault="00645809" w:rsidP="00645809">
            <w:pPr>
              <w:pStyle w:val="Ttulo3"/>
              <w:keepNext w:val="0"/>
              <w:widowControl w:val="0"/>
              <w:jc w:val="center"/>
              <w:rPr>
                <w:b w:val="0"/>
                <w:bCs w:val="0"/>
                <w:color w:val="FF0000"/>
                <w:sz w:val="22"/>
                <w:szCs w:val="22"/>
              </w:rPr>
            </w:pPr>
            <w:r w:rsidRPr="005863A9">
              <w:rPr>
                <w:b w:val="0"/>
                <w:bCs w:val="0"/>
                <w:sz w:val="22"/>
                <w:szCs w:val="22"/>
              </w:rPr>
              <w:t>c)</w:t>
            </w:r>
          </w:p>
        </w:tc>
        <w:tc>
          <w:tcPr>
            <w:tcW w:w="6661" w:type="dxa"/>
            <w:shd w:val="clear" w:color="auto" w:fill="auto"/>
          </w:tcPr>
          <w:p w14:paraId="4256741E" w14:textId="77777777" w:rsidR="00645809" w:rsidRPr="005863A9" w:rsidRDefault="00645809" w:rsidP="00645809">
            <w:pPr>
              <w:pStyle w:val="Ttulo3"/>
              <w:keepNext w:val="0"/>
              <w:widowControl w:val="0"/>
              <w:jc w:val="both"/>
              <w:rPr>
                <w:rFonts w:eastAsia="Calibri"/>
                <w:b w:val="0"/>
                <w:bCs w:val="0"/>
                <w:color w:val="FF0000"/>
                <w:sz w:val="22"/>
                <w:szCs w:val="22"/>
                <w:lang w:eastAsia="en-US"/>
              </w:rPr>
            </w:pPr>
            <w:r w:rsidRPr="005863A9">
              <w:rPr>
                <w:rFonts w:eastAsia="Calibri"/>
                <w:b w:val="0"/>
                <w:bCs w:val="0"/>
                <w:sz w:val="22"/>
                <w:szCs w:val="22"/>
                <w:lang w:eastAsia="en-US"/>
              </w:rPr>
              <w:t>Otras contingencias, tales como avales, garantías de cumplimiento, garantías de participación, y fianzas, las cuales se describen a continuación con los factores mínimos correspondientes:</w:t>
            </w:r>
          </w:p>
        </w:tc>
        <w:tc>
          <w:tcPr>
            <w:tcW w:w="1097" w:type="dxa"/>
            <w:shd w:val="clear" w:color="auto" w:fill="auto"/>
            <w:vAlign w:val="center"/>
          </w:tcPr>
          <w:p w14:paraId="09B16849" w14:textId="77777777" w:rsidR="00645809" w:rsidRPr="005863A9" w:rsidRDefault="00645809" w:rsidP="00645809">
            <w:pPr>
              <w:rPr>
                <w:color w:val="FF0000"/>
                <w:sz w:val="22"/>
                <w:szCs w:val="22"/>
              </w:rPr>
            </w:pPr>
          </w:p>
        </w:tc>
      </w:tr>
      <w:tr w:rsidR="00645809" w:rsidRPr="005863A9" w14:paraId="3EAFE285" w14:textId="77777777" w:rsidTr="00141D8C">
        <w:trPr>
          <w:trHeight w:val="216"/>
        </w:trPr>
        <w:tc>
          <w:tcPr>
            <w:tcW w:w="1740" w:type="dxa"/>
            <w:vMerge/>
            <w:shd w:val="clear" w:color="auto" w:fill="auto"/>
            <w:vAlign w:val="center"/>
          </w:tcPr>
          <w:p w14:paraId="24331A1F" w14:textId="77777777" w:rsidR="00645809" w:rsidRPr="005863A9" w:rsidRDefault="00645809" w:rsidP="00645809">
            <w:pPr>
              <w:pStyle w:val="Ttulo3"/>
              <w:keepNext w:val="0"/>
              <w:widowControl w:val="0"/>
              <w:jc w:val="center"/>
              <w:rPr>
                <w:b w:val="0"/>
                <w:bCs w:val="0"/>
                <w:color w:val="FF0000"/>
                <w:sz w:val="22"/>
                <w:szCs w:val="22"/>
              </w:rPr>
            </w:pPr>
          </w:p>
        </w:tc>
        <w:tc>
          <w:tcPr>
            <w:tcW w:w="6661" w:type="dxa"/>
            <w:shd w:val="clear" w:color="auto" w:fill="auto"/>
          </w:tcPr>
          <w:p w14:paraId="577DCBEF" w14:textId="77777777" w:rsidR="00645809" w:rsidRPr="005863A9" w:rsidRDefault="00645809" w:rsidP="00645809">
            <w:pPr>
              <w:numPr>
                <w:ilvl w:val="0"/>
                <w:numId w:val="46"/>
              </w:numPr>
              <w:ind w:left="613" w:hanging="284"/>
              <w:jc w:val="both"/>
              <w:rPr>
                <w:rFonts w:eastAsia="Calibri"/>
                <w:sz w:val="22"/>
                <w:szCs w:val="22"/>
                <w:lang w:eastAsia="en-US"/>
              </w:rPr>
            </w:pPr>
            <w:r w:rsidRPr="005863A9">
              <w:rPr>
                <w:rFonts w:eastAsia="Calibri"/>
                <w:sz w:val="22"/>
                <w:szCs w:val="22"/>
                <w:lang w:eastAsia="en-US"/>
              </w:rPr>
              <w:t xml:space="preserve">Saldo con depósito previo. </w:t>
            </w:r>
          </w:p>
        </w:tc>
        <w:tc>
          <w:tcPr>
            <w:tcW w:w="1097" w:type="dxa"/>
            <w:shd w:val="clear" w:color="auto" w:fill="auto"/>
            <w:vAlign w:val="center"/>
          </w:tcPr>
          <w:p w14:paraId="10058444" w14:textId="77777777" w:rsidR="00645809" w:rsidRPr="005863A9" w:rsidRDefault="00645809" w:rsidP="00645809">
            <w:pPr>
              <w:rPr>
                <w:sz w:val="22"/>
                <w:szCs w:val="22"/>
              </w:rPr>
            </w:pPr>
            <w:r w:rsidRPr="005863A9">
              <w:rPr>
                <w:sz w:val="22"/>
                <w:szCs w:val="22"/>
              </w:rPr>
              <w:t>0%</w:t>
            </w:r>
          </w:p>
        </w:tc>
      </w:tr>
      <w:tr w:rsidR="00645809" w:rsidRPr="005863A9" w14:paraId="0D55470D" w14:textId="77777777" w:rsidTr="00141D8C">
        <w:tc>
          <w:tcPr>
            <w:tcW w:w="1740" w:type="dxa"/>
            <w:vMerge/>
            <w:shd w:val="clear" w:color="auto" w:fill="auto"/>
            <w:vAlign w:val="center"/>
          </w:tcPr>
          <w:p w14:paraId="7C91DC88" w14:textId="77777777" w:rsidR="00645809" w:rsidRPr="005863A9" w:rsidRDefault="00645809" w:rsidP="00645809">
            <w:pPr>
              <w:pStyle w:val="Ttulo3"/>
              <w:keepNext w:val="0"/>
              <w:widowControl w:val="0"/>
              <w:jc w:val="center"/>
              <w:rPr>
                <w:b w:val="0"/>
                <w:bCs w:val="0"/>
                <w:sz w:val="22"/>
                <w:szCs w:val="22"/>
              </w:rPr>
            </w:pPr>
          </w:p>
        </w:tc>
        <w:tc>
          <w:tcPr>
            <w:tcW w:w="6661" w:type="dxa"/>
            <w:shd w:val="clear" w:color="auto" w:fill="auto"/>
          </w:tcPr>
          <w:p w14:paraId="02C653E8" w14:textId="77777777" w:rsidR="00645809" w:rsidRPr="005863A9" w:rsidRDefault="00645809" w:rsidP="00645809">
            <w:pPr>
              <w:numPr>
                <w:ilvl w:val="0"/>
                <w:numId w:val="46"/>
              </w:numPr>
              <w:ind w:left="613" w:hanging="284"/>
              <w:jc w:val="both"/>
              <w:rPr>
                <w:sz w:val="22"/>
                <w:szCs w:val="22"/>
              </w:rPr>
            </w:pPr>
            <w:r w:rsidRPr="005863A9">
              <w:rPr>
                <w:sz w:val="22"/>
                <w:szCs w:val="22"/>
              </w:rPr>
              <w:t>Saldo sin depósito previo.</w:t>
            </w:r>
          </w:p>
        </w:tc>
        <w:tc>
          <w:tcPr>
            <w:tcW w:w="1097" w:type="dxa"/>
            <w:shd w:val="clear" w:color="auto" w:fill="auto"/>
            <w:vAlign w:val="center"/>
          </w:tcPr>
          <w:p w14:paraId="0D8DA08F" w14:textId="77777777" w:rsidR="00645809" w:rsidRPr="005863A9" w:rsidRDefault="00645809" w:rsidP="00645809">
            <w:pPr>
              <w:rPr>
                <w:sz w:val="22"/>
                <w:szCs w:val="22"/>
              </w:rPr>
            </w:pPr>
            <w:r w:rsidRPr="005863A9">
              <w:rPr>
                <w:sz w:val="22"/>
                <w:szCs w:val="22"/>
              </w:rPr>
              <w:t>5%</w:t>
            </w:r>
          </w:p>
        </w:tc>
      </w:tr>
      <w:tr w:rsidR="00645809" w:rsidRPr="005863A9" w14:paraId="5204DA9D" w14:textId="77777777" w:rsidTr="00141D8C">
        <w:tc>
          <w:tcPr>
            <w:tcW w:w="1740" w:type="dxa"/>
            <w:vMerge/>
            <w:shd w:val="clear" w:color="auto" w:fill="auto"/>
            <w:vAlign w:val="center"/>
          </w:tcPr>
          <w:p w14:paraId="1B937193" w14:textId="77777777" w:rsidR="00645809" w:rsidRPr="005863A9" w:rsidRDefault="00645809" w:rsidP="00645809">
            <w:pPr>
              <w:pStyle w:val="Ttulo3"/>
              <w:keepNext w:val="0"/>
              <w:widowControl w:val="0"/>
              <w:jc w:val="center"/>
              <w:rPr>
                <w:b w:val="0"/>
                <w:bCs w:val="0"/>
                <w:sz w:val="22"/>
                <w:szCs w:val="22"/>
              </w:rPr>
            </w:pPr>
          </w:p>
        </w:tc>
        <w:tc>
          <w:tcPr>
            <w:tcW w:w="6661" w:type="dxa"/>
            <w:shd w:val="clear" w:color="auto" w:fill="auto"/>
          </w:tcPr>
          <w:p w14:paraId="0278E28E" w14:textId="77777777" w:rsidR="00645809" w:rsidRPr="005863A9" w:rsidRDefault="00645809" w:rsidP="00645809">
            <w:pPr>
              <w:numPr>
                <w:ilvl w:val="0"/>
                <w:numId w:val="46"/>
              </w:numPr>
              <w:ind w:left="613" w:hanging="284"/>
              <w:jc w:val="both"/>
              <w:rPr>
                <w:rFonts w:eastAsia="Calibri"/>
                <w:b/>
                <w:bCs/>
                <w:sz w:val="22"/>
                <w:szCs w:val="22"/>
                <w:lang w:eastAsia="en-US"/>
              </w:rPr>
            </w:pPr>
            <w:r w:rsidRPr="005863A9">
              <w:rPr>
                <w:sz w:val="22"/>
                <w:szCs w:val="22"/>
              </w:rPr>
              <w:t>Otras contingencias crediticias.</w:t>
            </w:r>
          </w:p>
        </w:tc>
        <w:tc>
          <w:tcPr>
            <w:tcW w:w="1097" w:type="dxa"/>
            <w:shd w:val="clear" w:color="auto" w:fill="auto"/>
            <w:vAlign w:val="center"/>
          </w:tcPr>
          <w:p w14:paraId="7298265E" w14:textId="77777777" w:rsidR="00645809" w:rsidRPr="005863A9" w:rsidRDefault="00645809" w:rsidP="00645809">
            <w:pPr>
              <w:rPr>
                <w:sz w:val="22"/>
                <w:szCs w:val="22"/>
              </w:rPr>
            </w:pPr>
            <w:r w:rsidRPr="005863A9">
              <w:rPr>
                <w:sz w:val="22"/>
                <w:szCs w:val="22"/>
              </w:rPr>
              <w:t>5%</w:t>
            </w:r>
          </w:p>
        </w:tc>
      </w:tr>
      <w:tr w:rsidR="00645809" w:rsidRPr="005863A9" w14:paraId="4D49C287" w14:textId="77777777" w:rsidTr="00141D8C">
        <w:tc>
          <w:tcPr>
            <w:tcW w:w="1740" w:type="dxa"/>
            <w:vMerge w:val="restart"/>
            <w:shd w:val="clear" w:color="auto" w:fill="auto"/>
            <w:vAlign w:val="center"/>
          </w:tcPr>
          <w:p w14:paraId="1F438A2F" w14:textId="77777777" w:rsidR="00645809" w:rsidRPr="005863A9" w:rsidRDefault="00645809" w:rsidP="00645809">
            <w:pPr>
              <w:pStyle w:val="Ttulo3"/>
              <w:keepNext w:val="0"/>
              <w:widowControl w:val="0"/>
              <w:jc w:val="center"/>
              <w:rPr>
                <w:b w:val="0"/>
                <w:bCs w:val="0"/>
                <w:color w:val="FF0000"/>
                <w:sz w:val="22"/>
                <w:szCs w:val="22"/>
              </w:rPr>
            </w:pPr>
            <w:r w:rsidRPr="005863A9">
              <w:rPr>
                <w:b w:val="0"/>
                <w:bCs w:val="0"/>
                <w:sz w:val="22"/>
                <w:szCs w:val="22"/>
              </w:rPr>
              <w:t>d)</w:t>
            </w:r>
          </w:p>
        </w:tc>
        <w:tc>
          <w:tcPr>
            <w:tcW w:w="6661" w:type="dxa"/>
            <w:shd w:val="clear" w:color="auto" w:fill="auto"/>
          </w:tcPr>
          <w:p w14:paraId="7D18FC0C" w14:textId="77777777" w:rsidR="00645809" w:rsidRPr="005863A9" w:rsidRDefault="00645809" w:rsidP="00645809">
            <w:pPr>
              <w:jc w:val="both"/>
              <w:rPr>
                <w:rFonts w:eastAsia="Calibri"/>
                <w:sz w:val="22"/>
                <w:szCs w:val="22"/>
                <w:lang w:eastAsia="en-US"/>
              </w:rPr>
            </w:pPr>
            <w:r w:rsidRPr="005863A9">
              <w:rPr>
                <w:rFonts w:eastAsia="Calibri"/>
                <w:sz w:val="22"/>
                <w:szCs w:val="22"/>
                <w:lang w:eastAsia="en-US"/>
              </w:rPr>
              <w:t>Obligaciones no contractuales:</w:t>
            </w:r>
          </w:p>
        </w:tc>
        <w:tc>
          <w:tcPr>
            <w:tcW w:w="1097" w:type="dxa"/>
            <w:shd w:val="clear" w:color="auto" w:fill="auto"/>
            <w:vAlign w:val="center"/>
          </w:tcPr>
          <w:p w14:paraId="428A436F" w14:textId="77777777" w:rsidR="00645809" w:rsidRPr="005863A9" w:rsidRDefault="00645809" w:rsidP="00645809">
            <w:pPr>
              <w:rPr>
                <w:sz w:val="22"/>
                <w:szCs w:val="22"/>
              </w:rPr>
            </w:pPr>
          </w:p>
        </w:tc>
      </w:tr>
      <w:tr w:rsidR="00645809" w:rsidRPr="005863A9" w14:paraId="1854D613" w14:textId="77777777" w:rsidTr="00141D8C">
        <w:tc>
          <w:tcPr>
            <w:tcW w:w="1740" w:type="dxa"/>
            <w:vMerge/>
            <w:shd w:val="clear" w:color="auto" w:fill="auto"/>
            <w:vAlign w:val="center"/>
          </w:tcPr>
          <w:p w14:paraId="21B8A0A4" w14:textId="77777777" w:rsidR="00645809" w:rsidRPr="005863A9" w:rsidRDefault="00645809" w:rsidP="00645809">
            <w:pPr>
              <w:pStyle w:val="Ttulo3"/>
              <w:keepNext w:val="0"/>
              <w:widowControl w:val="0"/>
              <w:jc w:val="center"/>
              <w:rPr>
                <w:b w:val="0"/>
                <w:bCs w:val="0"/>
                <w:color w:val="FF0000"/>
                <w:sz w:val="22"/>
                <w:szCs w:val="22"/>
              </w:rPr>
            </w:pPr>
          </w:p>
        </w:tc>
        <w:tc>
          <w:tcPr>
            <w:tcW w:w="6661" w:type="dxa"/>
            <w:shd w:val="clear" w:color="auto" w:fill="auto"/>
          </w:tcPr>
          <w:p w14:paraId="42F78720" w14:textId="77777777" w:rsidR="00645809" w:rsidRPr="005863A9" w:rsidRDefault="00645809" w:rsidP="00645809">
            <w:pPr>
              <w:numPr>
                <w:ilvl w:val="0"/>
                <w:numId w:val="47"/>
              </w:numPr>
              <w:ind w:left="613" w:hanging="284"/>
              <w:jc w:val="both"/>
              <w:rPr>
                <w:rFonts w:eastAsia="Calibri"/>
                <w:sz w:val="22"/>
                <w:szCs w:val="22"/>
                <w:lang w:eastAsia="en-US"/>
              </w:rPr>
            </w:pPr>
            <w:r w:rsidRPr="005863A9">
              <w:rPr>
                <w:rFonts w:eastAsia="Calibri"/>
                <w:sz w:val="22"/>
                <w:szCs w:val="22"/>
                <w:lang w:eastAsia="en-US"/>
              </w:rPr>
              <w:t>Solicitudes de recompra de deuda emitida por la propia entidad financiera o de conductos especiales de financiamiento, vehículos de inversión en valores u otras facilidades similares de financiamiento.</w:t>
            </w:r>
          </w:p>
        </w:tc>
        <w:tc>
          <w:tcPr>
            <w:tcW w:w="1097" w:type="dxa"/>
            <w:shd w:val="clear" w:color="auto" w:fill="auto"/>
            <w:vAlign w:val="center"/>
          </w:tcPr>
          <w:p w14:paraId="2D079E68" w14:textId="77777777" w:rsidR="00645809" w:rsidRPr="005863A9" w:rsidRDefault="00645809" w:rsidP="00645809">
            <w:pPr>
              <w:rPr>
                <w:sz w:val="22"/>
                <w:szCs w:val="22"/>
              </w:rPr>
            </w:pPr>
            <w:r w:rsidRPr="005863A9">
              <w:rPr>
                <w:sz w:val="22"/>
                <w:szCs w:val="22"/>
              </w:rPr>
              <w:t>5%</w:t>
            </w:r>
          </w:p>
        </w:tc>
      </w:tr>
      <w:tr w:rsidR="00645809" w:rsidRPr="005863A9" w14:paraId="32AEBAB9" w14:textId="77777777" w:rsidTr="00141D8C">
        <w:tc>
          <w:tcPr>
            <w:tcW w:w="1740" w:type="dxa"/>
            <w:vMerge/>
            <w:shd w:val="clear" w:color="auto" w:fill="auto"/>
            <w:vAlign w:val="center"/>
          </w:tcPr>
          <w:p w14:paraId="09A545A9" w14:textId="77777777" w:rsidR="00645809" w:rsidRPr="005863A9" w:rsidRDefault="00645809" w:rsidP="00645809">
            <w:pPr>
              <w:pStyle w:val="Ttulo3"/>
              <w:keepNext w:val="0"/>
              <w:widowControl w:val="0"/>
              <w:jc w:val="center"/>
              <w:rPr>
                <w:b w:val="0"/>
                <w:bCs w:val="0"/>
                <w:color w:val="FF0000"/>
                <w:sz w:val="22"/>
                <w:szCs w:val="22"/>
              </w:rPr>
            </w:pPr>
          </w:p>
        </w:tc>
        <w:tc>
          <w:tcPr>
            <w:tcW w:w="6661" w:type="dxa"/>
            <w:shd w:val="clear" w:color="auto" w:fill="auto"/>
          </w:tcPr>
          <w:p w14:paraId="246E250F" w14:textId="77777777" w:rsidR="00645809" w:rsidRPr="005863A9" w:rsidRDefault="00645809" w:rsidP="00645809">
            <w:pPr>
              <w:numPr>
                <w:ilvl w:val="0"/>
                <w:numId w:val="47"/>
              </w:numPr>
              <w:ind w:left="613" w:hanging="284"/>
              <w:jc w:val="both"/>
              <w:rPr>
                <w:rFonts w:eastAsia="Calibri"/>
                <w:sz w:val="22"/>
                <w:szCs w:val="22"/>
                <w:lang w:eastAsia="en-US"/>
              </w:rPr>
            </w:pPr>
            <w:r w:rsidRPr="005863A9">
              <w:rPr>
                <w:rFonts w:eastAsia="Calibri"/>
                <w:sz w:val="22"/>
                <w:szCs w:val="22"/>
                <w:lang w:eastAsia="en-US"/>
              </w:rPr>
              <w:t>Productos estructurados, que los clientes prevén de fácil negociabilidad, tales como bonos a interés variable y bonos a la vista a interés variable</w:t>
            </w:r>
          </w:p>
        </w:tc>
        <w:tc>
          <w:tcPr>
            <w:tcW w:w="1097" w:type="dxa"/>
            <w:shd w:val="clear" w:color="auto" w:fill="auto"/>
            <w:vAlign w:val="center"/>
          </w:tcPr>
          <w:p w14:paraId="309080EC" w14:textId="77777777" w:rsidR="00645809" w:rsidRPr="005863A9" w:rsidRDefault="00645809" w:rsidP="00645809">
            <w:pPr>
              <w:rPr>
                <w:sz w:val="22"/>
                <w:szCs w:val="22"/>
              </w:rPr>
            </w:pPr>
            <w:r w:rsidRPr="005863A9">
              <w:rPr>
                <w:sz w:val="22"/>
                <w:szCs w:val="22"/>
              </w:rPr>
              <w:t>5%</w:t>
            </w:r>
          </w:p>
        </w:tc>
      </w:tr>
      <w:tr w:rsidR="00645809" w:rsidRPr="005863A9" w14:paraId="671A8813" w14:textId="77777777" w:rsidTr="00141D8C">
        <w:tc>
          <w:tcPr>
            <w:tcW w:w="1740" w:type="dxa"/>
            <w:vMerge/>
            <w:shd w:val="clear" w:color="auto" w:fill="auto"/>
            <w:vAlign w:val="center"/>
          </w:tcPr>
          <w:p w14:paraId="743E0EA4" w14:textId="77777777" w:rsidR="00645809" w:rsidRPr="005863A9" w:rsidRDefault="00645809" w:rsidP="00645809">
            <w:pPr>
              <w:pStyle w:val="Ttulo3"/>
              <w:keepNext w:val="0"/>
              <w:widowControl w:val="0"/>
              <w:jc w:val="center"/>
              <w:rPr>
                <w:b w:val="0"/>
                <w:bCs w:val="0"/>
                <w:color w:val="FF0000"/>
                <w:sz w:val="22"/>
                <w:szCs w:val="22"/>
              </w:rPr>
            </w:pPr>
          </w:p>
        </w:tc>
        <w:tc>
          <w:tcPr>
            <w:tcW w:w="6661" w:type="dxa"/>
            <w:shd w:val="clear" w:color="auto" w:fill="auto"/>
          </w:tcPr>
          <w:p w14:paraId="0BC495B4" w14:textId="77777777" w:rsidR="00645809" w:rsidRPr="005863A9" w:rsidRDefault="00645809" w:rsidP="00645809">
            <w:pPr>
              <w:numPr>
                <w:ilvl w:val="0"/>
                <w:numId w:val="47"/>
              </w:numPr>
              <w:ind w:left="613" w:hanging="284"/>
              <w:jc w:val="both"/>
              <w:rPr>
                <w:rFonts w:eastAsia="Calibri"/>
                <w:b/>
                <w:bCs/>
                <w:color w:val="FF0000"/>
                <w:sz w:val="22"/>
                <w:szCs w:val="22"/>
                <w:lang w:eastAsia="en-US"/>
              </w:rPr>
            </w:pPr>
            <w:r w:rsidRPr="005863A9">
              <w:rPr>
                <w:rFonts w:eastAsia="Calibri"/>
                <w:sz w:val="22"/>
                <w:szCs w:val="22"/>
                <w:lang w:eastAsia="en-US"/>
              </w:rPr>
              <w:t>Fondos administrados que se comercializan con el objetivo de mantener un valor estable.</w:t>
            </w:r>
          </w:p>
        </w:tc>
        <w:tc>
          <w:tcPr>
            <w:tcW w:w="1097" w:type="dxa"/>
            <w:shd w:val="clear" w:color="auto" w:fill="auto"/>
            <w:vAlign w:val="center"/>
          </w:tcPr>
          <w:p w14:paraId="0FAFD211" w14:textId="77777777" w:rsidR="00645809" w:rsidRPr="005863A9" w:rsidRDefault="00645809" w:rsidP="00645809">
            <w:pPr>
              <w:rPr>
                <w:color w:val="FF0000"/>
                <w:sz w:val="22"/>
                <w:szCs w:val="22"/>
              </w:rPr>
            </w:pPr>
            <w:r w:rsidRPr="005863A9">
              <w:rPr>
                <w:sz w:val="22"/>
                <w:szCs w:val="22"/>
              </w:rPr>
              <w:t>5%</w:t>
            </w:r>
          </w:p>
        </w:tc>
      </w:tr>
      <w:tr w:rsidR="00645809" w:rsidRPr="005863A9" w14:paraId="1F8F364B" w14:textId="77777777" w:rsidTr="00141D8C">
        <w:tc>
          <w:tcPr>
            <w:tcW w:w="1740" w:type="dxa"/>
            <w:vMerge/>
            <w:shd w:val="clear" w:color="auto" w:fill="auto"/>
            <w:vAlign w:val="center"/>
          </w:tcPr>
          <w:p w14:paraId="7FE3400D" w14:textId="77777777" w:rsidR="00645809" w:rsidRPr="005863A9" w:rsidRDefault="00645809" w:rsidP="00645809">
            <w:pPr>
              <w:pStyle w:val="Ttulo3"/>
              <w:keepNext w:val="0"/>
              <w:widowControl w:val="0"/>
              <w:jc w:val="center"/>
              <w:rPr>
                <w:b w:val="0"/>
                <w:bCs w:val="0"/>
                <w:color w:val="FF0000"/>
                <w:sz w:val="22"/>
                <w:szCs w:val="22"/>
              </w:rPr>
            </w:pPr>
          </w:p>
        </w:tc>
        <w:tc>
          <w:tcPr>
            <w:tcW w:w="6661" w:type="dxa"/>
            <w:shd w:val="clear" w:color="auto" w:fill="auto"/>
          </w:tcPr>
          <w:p w14:paraId="4C1D3C4A" w14:textId="77777777" w:rsidR="00645809" w:rsidRPr="005863A9" w:rsidRDefault="00645809" w:rsidP="00645809">
            <w:pPr>
              <w:numPr>
                <w:ilvl w:val="0"/>
                <w:numId w:val="47"/>
              </w:numPr>
              <w:ind w:left="613" w:hanging="284"/>
              <w:jc w:val="both"/>
              <w:rPr>
                <w:rFonts w:eastAsia="Calibri"/>
                <w:color w:val="FF0000"/>
                <w:sz w:val="22"/>
                <w:szCs w:val="22"/>
                <w:lang w:eastAsia="en-US"/>
              </w:rPr>
            </w:pPr>
            <w:r w:rsidRPr="005863A9">
              <w:rPr>
                <w:rFonts w:eastAsia="Calibri"/>
                <w:sz w:val="22"/>
                <w:szCs w:val="22"/>
                <w:lang w:eastAsia="en-US"/>
              </w:rPr>
              <w:t>Otras contingencias no clasificadas anteriormente.</w:t>
            </w:r>
            <w:r w:rsidRPr="005863A9">
              <w:rPr>
                <w:rFonts w:eastAsia="Calibri"/>
                <w:color w:val="FF0000"/>
                <w:sz w:val="22"/>
                <w:szCs w:val="22"/>
                <w:lang w:eastAsia="en-US"/>
              </w:rPr>
              <w:t xml:space="preserve"> </w:t>
            </w:r>
          </w:p>
        </w:tc>
        <w:tc>
          <w:tcPr>
            <w:tcW w:w="1097" w:type="dxa"/>
            <w:shd w:val="clear" w:color="auto" w:fill="auto"/>
            <w:vAlign w:val="center"/>
          </w:tcPr>
          <w:p w14:paraId="189ECF9B" w14:textId="77777777" w:rsidR="00645809" w:rsidRPr="005863A9" w:rsidRDefault="00645809" w:rsidP="00645809">
            <w:pPr>
              <w:rPr>
                <w:color w:val="FF0000"/>
                <w:sz w:val="22"/>
                <w:szCs w:val="22"/>
              </w:rPr>
            </w:pPr>
            <w:r w:rsidRPr="005863A9">
              <w:rPr>
                <w:sz w:val="22"/>
                <w:szCs w:val="22"/>
              </w:rPr>
              <w:t>5%</w:t>
            </w:r>
          </w:p>
        </w:tc>
      </w:tr>
      <w:tr w:rsidR="00645809" w:rsidRPr="005863A9" w14:paraId="3E5064B3" w14:textId="77777777" w:rsidTr="00141D8C">
        <w:tc>
          <w:tcPr>
            <w:tcW w:w="1740" w:type="dxa"/>
            <w:shd w:val="clear" w:color="auto" w:fill="auto"/>
            <w:vAlign w:val="center"/>
          </w:tcPr>
          <w:p w14:paraId="54228B93" w14:textId="77777777" w:rsidR="00645809" w:rsidRPr="005863A9" w:rsidRDefault="00645809" w:rsidP="00645809">
            <w:pPr>
              <w:rPr>
                <w:b/>
                <w:bCs/>
                <w:sz w:val="22"/>
                <w:szCs w:val="22"/>
              </w:rPr>
            </w:pPr>
            <w:r w:rsidRPr="005863A9">
              <w:rPr>
                <w:b/>
                <w:bCs/>
                <w:sz w:val="22"/>
                <w:szCs w:val="22"/>
              </w:rPr>
              <w:t>ARTÍCULO 14</w:t>
            </w:r>
          </w:p>
        </w:tc>
        <w:tc>
          <w:tcPr>
            <w:tcW w:w="6661" w:type="dxa"/>
            <w:shd w:val="clear" w:color="auto" w:fill="auto"/>
            <w:vAlign w:val="center"/>
          </w:tcPr>
          <w:p w14:paraId="4C51664F" w14:textId="77777777" w:rsidR="00645809" w:rsidRPr="005863A9" w:rsidRDefault="00645809" w:rsidP="00645809">
            <w:pPr>
              <w:rPr>
                <w:b/>
                <w:bCs/>
                <w:sz w:val="22"/>
                <w:szCs w:val="22"/>
              </w:rPr>
            </w:pPr>
            <w:r w:rsidRPr="005863A9">
              <w:rPr>
                <w:b/>
                <w:bCs/>
                <w:sz w:val="22"/>
                <w:szCs w:val="22"/>
              </w:rPr>
              <w:t>CATEGORÍA</w:t>
            </w:r>
          </w:p>
        </w:tc>
        <w:tc>
          <w:tcPr>
            <w:tcW w:w="1097" w:type="dxa"/>
            <w:shd w:val="clear" w:color="auto" w:fill="auto"/>
            <w:vAlign w:val="center"/>
          </w:tcPr>
          <w:p w14:paraId="69CED1B8" w14:textId="77777777" w:rsidR="00645809" w:rsidRPr="005863A9" w:rsidRDefault="00645809" w:rsidP="00645809">
            <w:pPr>
              <w:rPr>
                <w:b/>
                <w:bCs/>
                <w:sz w:val="22"/>
                <w:szCs w:val="22"/>
              </w:rPr>
            </w:pPr>
            <w:r w:rsidRPr="005863A9">
              <w:rPr>
                <w:b/>
                <w:bCs/>
                <w:sz w:val="22"/>
                <w:szCs w:val="22"/>
              </w:rPr>
              <w:t>FACTOR</w:t>
            </w:r>
          </w:p>
        </w:tc>
      </w:tr>
      <w:tr w:rsidR="00645809" w:rsidRPr="005863A9" w14:paraId="17BE9AD0" w14:textId="77777777" w:rsidTr="00141D8C">
        <w:tc>
          <w:tcPr>
            <w:tcW w:w="1740" w:type="dxa"/>
            <w:shd w:val="clear" w:color="auto" w:fill="D9E2F3"/>
            <w:vAlign w:val="center"/>
          </w:tcPr>
          <w:p w14:paraId="2D33ED3D" w14:textId="77777777" w:rsidR="00645809" w:rsidRPr="005863A9" w:rsidRDefault="00645809" w:rsidP="00645809">
            <w:pPr>
              <w:pStyle w:val="Ttulo3"/>
              <w:keepNext w:val="0"/>
              <w:widowControl w:val="0"/>
              <w:jc w:val="center"/>
              <w:rPr>
                <w:rFonts w:eastAsia="Calibri"/>
                <w:sz w:val="22"/>
                <w:szCs w:val="22"/>
                <w:lang w:eastAsia="en-US"/>
              </w:rPr>
            </w:pPr>
            <w:r w:rsidRPr="005863A9">
              <w:rPr>
                <w:rFonts w:eastAsia="Calibri"/>
                <w:sz w:val="22"/>
                <w:szCs w:val="22"/>
                <w:lang w:eastAsia="en-US"/>
              </w:rPr>
              <w:t>6.</w:t>
            </w:r>
          </w:p>
        </w:tc>
        <w:tc>
          <w:tcPr>
            <w:tcW w:w="6661" w:type="dxa"/>
            <w:shd w:val="clear" w:color="auto" w:fill="D9E2F3"/>
          </w:tcPr>
          <w:p w14:paraId="3C20F834" w14:textId="77777777" w:rsidR="00645809" w:rsidRPr="005863A9" w:rsidRDefault="00645809" w:rsidP="00645809">
            <w:pPr>
              <w:pStyle w:val="Ttulo3"/>
              <w:keepNext w:val="0"/>
              <w:widowControl w:val="0"/>
              <w:jc w:val="both"/>
              <w:rPr>
                <w:rFonts w:eastAsia="Calibri"/>
                <w:b w:val="0"/>
                <w:bCs w:val="0"/>
                <w:sz w:val="22"/>
                <w:szCs w:val="22"/>
                <w:lang w:eastAsia="en-US"/>
              </w:rPr>
            </w:pPr>
            <w:r w:rsidRPr="005863A9">
              <w:rPr>
                <w:rFonts w:eastAsia="Calibri"/>
                <w:sz w:val="22"/>
                <w:szCs w:val="22"/>
                <w:lang w:eastAsia="en-US"/>
              </w:rPr>
              <w:t>ACTIVOS Y PASIVOS INTERDEPENDIENTES.</w:t>
            </w:r>
          </w:p>
        </w:tc>
        <w:tc>
          <w:tcPr>
            <w:tcW w:w="1097" w:type="dxa"/>
            <w:shd w:val="clear" w:color="auto" w:fill="D9E2F3"/>
            <w:vAlign w:val="center"/>
          </w:tcPr>
          <w:p w14:paraId="57DEC1D3" w14:textId="77777777" w:rsidR="00645809" w:rsidRPr="005863A9" w:rsidRDefault="00645809" w:rsidP="00645809">
            <w:pPr>
              <w:rPr>
                <w:sz w:val="22"/>
                <w:szCs w:val="22"/>
              </w:rPr>
            </w:pPr>
          </w:p>
        </w:tc>
      </w:tr>
      <w:tr w:rsidR="00645809" w:rsidRPr="005863A9" w14:paraId="279AD450" w14:textId="77777777" w:rsidTr="00141D8C">
        <w:tc>
          <w:tcPr>
            <w:tcW w:w="1740" w:type="dxa"/>
            <w:shd w:val="clear" w:color="auto" w:fill="auto"/>
          </w:tcPr>
          <w:p w14:paraId="0645EB44" w14:textId="77777777" w:rsidR="00645809" w:rsidRPr="005863A9" w:rsidRDefault="00645809" w:rsidP="00645809">
            <w:pPr>
              <w:pStyle w:val="Ttulo3"/>
              <w:keepNext w:val="0"/>
              <w:widowControl w:val="0"/>
              <w:jc w:val="both"/>
              <w:rPr>
                <w:rFonts w:eastAsia="Calibri"/>
                <w:b w:val="0"/>
                <w:bCs w:val="0"/>
                <w:sz w:val="22"/>
                <w:szCs w:val="22"/>
                <w:lang w:eastAsia="en-US"/>
              </w:rPr>
            </w:pPr>
          </w:p>
        </w:tc>
        <w:tc>
          <w:tcPr>
            <w:tcW w:w="6661" w:type="dxa"/>
            <w:shd w:val="clear" w:color="auto" w:fill="auto"/>
          </w:tcPr>
          <w:p w14:paraId="435F510A" w14:textId="77777777" w:rsidR="00645809" w:rsidRPr="005863A9" w:rsidRDefault="00645809" w:rsidP="00645809">
            <w:pPr>
              <w:pStyle w:val="Ttulo3"/>
              <w:keepNext w:val="0"/>
              <w:widowControl w:val="0"/>
              <w:jc w:val="both"/>
              <w:rPr>
                <w:rFonts w:eastAsia="Calibri"/>
                <w:b w:val="0"/>
                <w:bCs w:val="0"/>
                <w:sz w:val="22"/>
                <w:szCs w:val="22"/>
                <w:lang w:eastAsia="en-US"/>
              </w:rPr>
            </w:pPr>
            <w:r w:rsidRPr="005863A9">
              <w:rPr>
                <w:rFonts w:eastAsia="Calibri"/>
                <w:b w:val="0"/>
                <w:bCs w:val="0"/>
                <w:sz w:val="22"/>
                <w:szCs w:val="22"/>
                <w:lang w:eastAsia="en-US"/>
              </w:rPr>
              <w:t xml:space="preserve">Activos y pasivos interdependientes: el pasivo no puede vencer mientras </w:t>
            </w:r>
            <w:r w:rsidRPr="005863A9">
              <w:rPr>
                <w:rFonts w:eastAsia="Calibri"/>
                <w:b w:val="0"/>
                <w:bCs w:val="0"/>
                <w:sz w:val="22"/>
                <w:szCs w:val="22"/>
                <w:lang w:eastAsia="en-US"/>
              </w:rPr>
              <w:lastRenderedPageBreak/>
              <w:t>que el activo permanezca en el balance, los flujos de pago del principal del activo sólo pueden destinarse a la cancelación del pasivo y el pasivo no puede utilizarse para financiar otros activos.</w:t>
            </w:r>
          </w:p>
          <w:p w14:paraId="3AB4D575" w14:textId="77777777" w:rsidR="00645809" w:rsidRPr="005863A9" w:rsidRDefault="00645809" w:rsidP="00645809">
            <w:pPr>
              <w:pStyle w:val="Prrafodelista"/>
              <w:numPr>
                <w:ilvl w:val="0"/>
                <w:numId w:val="45"/>
              </w:numPr>
              <w:tabs>
                <w:tab w:val="left" w:pos="190"/>
              </w:tabs>
              <w:contextualSpacing/>
              <w:jc w:val="both"/>
              <w:rPr>
                <w:sz w:val="22"/>
                <w:szCs w:val="22"/>
              </w:rPr>
            </w:pPr>
            <w:r w:rsidRPr="005863A9">
              <w:rPr>
                <w:sz w:val="22"/>
                <w:szCs w:val="22"/>
              </w:rPr>
              <w:t>Los activos y pasivos interdependientes estén claramente identificados de manera individual.</w:t>
            </w:r>
          </w:p>
          <w:p w14:paraId="466DC7C3" w14:textId="77777777" w:rsidR="00645809" w:rsidRPr="005863A9" w:rsidRDefault="00645809" w:rsidP="00645809">
            <w:pPr>
              <w:pStyle w:val="Prrafodelista"/>
              <w:numPr>
                <w:ilvl w:val="0"/>
                <w:numId w:val="45"/>
              </w:numPr>
              <w:tabs>
                <w:tab w:val="left" w:pos="190"/>
              </w:tabs>
              <w:contextualSpacing/>
              <w:jc w:val="both"/>
              <w:rPr>
                <w:sz w:val="22"/>
                <w:szCs w:val="22"/>
              </w:rPr>
            </w:pPr>
            <w:r w:rsidRPr="005863A9">
              <w:rPr>
                <w:sz w:val="22"/>
                <w:szCs w:val="22"/>
              </w:rPr>
              <w:t>Coincidan los vencimientos y los importes de principal del activo y de su pasivo interdependiente.</w:t>
            </w:r>
          </w:p>
          <w:p w14:paraId="7C957102" w14:textId="77777777" w:rsidR="00645809" w:rsidRPr="005863A9" w:rsidRDefault="00645809" w:rsidP="00645809">
            <w:pPr>
              <w:pStyle w:val="Prrafodelista"/>
              <w:numPr>
                <w:ilvl w:val="0"/>
                <w:numId w:val="45"/>
              </w:numPr>
              <w:tabs>
                <w:tab w:val="left" w:pos="190"/>
              </w:tabs>
              <w:contextualSpacing/>
              <w:jc w:val="both"/>
              <w:rPr>
                <w:sz w:val="22"/>
                <w:szCs w:val="22"/>
              </w:rPr>
            </w:pPr>
            <w:r w:rsidRPr="005863A9">
              <w:rPr>
                <w:sz w:val="22"/>
                <w:szCs w:val="22"/>
              </w:rPr>
              <w:t>La entidad financiera actúe únicamente como conducto a través del cual se canaliza el financiamiento recibido (el pasivo interdependiente) hacia el correspondiente activo interdependiente.</w:t>
            </w:r>
          </w:p>
          <w:p w14:paraId="0C1D4C85" w14:textId="77777777" w:rsidR="00645809" w:rsidRPr="005863A9" w:rsidRDefault="00645809" w:rsidP="00645809">
            <w:pPr>
              <w:pStyle w:val="Prrafodelista"/>
              <w:numPr>
                <w:ilvl w:val="0"/>
                <w:numId w:val="45"/>
              </w:numPr>
              <w:tabs>
                <w:tab w:val="left" w:pos="190"/>
              </w:tabs>
              <w:contextualSpacing/>
              <w:jc w:val="both"/>
              <w:rPr>
                <w:sz w:val="22"/>
                <w:szCs w:val="22"/>
              </w:rPr>
            </w:pPr>
            <w:r w:rsidRPr="005863A9">
              <w:rPr>
                <w:sz w:val="22"/>
                <w:szCs w:val="22"/>
              </w:rPr>
              <w:t>No coincidan las contrapartes de cada par de activos y pasivos interdependientes.</w:t>
            </w:r>
          </w:p>
        </w:tc>
        <w:tc>
          <w:tcPr>
            <w:tcW w:w="1097" w:type="dxa"/>
            <w:shd w:val="clear" w:color="auto" w:fill="auto"/>
            <w:vAlign w:val="center"/>
          </w:tcPr>
          <w:p w14:paraId="5B0D4848" w14:textId="77777777" w:rsidR="00645809" w:rsidRPr="005863A9" w:rsidRDefault="00645809" w:rsidP="00645809">
            <w:pPr>
              <w:rPr>
                <w:sz w:val="22"/>
                <w:szCs w:val="22"/>
              </w:rPr>
            </w:pPr>
            <w:r w:rsidRPr="005863A9">
              <w:rPr>
                <w:sz w:val="22"/>
                <w:szCs w:val="22"/>
              </w:rPr>
              <w:lastRenderedPageBreak/>
              <w:t>0%</w:t>
            </w:r>
          </w:p>
        </w:tc>
      </w:tr>
    </w:tbl>
    <w:p w14:paraId="79CFD8F3" w14:textId="77777777" w:rsidR="00645809" w:rsidRPr="005863A9" w:rsidRDefault="00645809" w:rsidP="00645809">
      <w:pPr>
        <w:jc w:val="both"/>
        <w:rPr>
          <w:sz w:val="22"/>
          <w:szCs w:val="22"/>
        </w:rPr>
      </w:pPr>
    </w:p>
    <w:p w14:paraId="35C2E4F4" w14:textId="13FDC021" w:rsidR="00645809" w:rsidRPr="005863A9" w:rsidRDefault="00645809" w:rsidP="00645809">
      <w:pPr>
        <w:pStyle w:val="Ttulo3"/>
        <w:keepNext w:val="0"/>
        <w:widowControl w:val="0"/>
        <w:jc w:val="both"/>
        <w:rPr>
          <w:b w:val="0"/>
          <w:bCs w:val="0"/>
          <w:sz w:val="22"/>
          <w:szCs w:val="22"/>
        </w:rPr>
      </w:pPr>
      <w:r w:rsidRPr="005863A9">
        <w:rPr>
          <w:b w:val="0"/>
          <w:bCs w:val="0"/>
          <w:sz w:val="22"/>
          <w:szCs w:val="22"/>
        </w:rPr>
        <w:t>La presente modificación al Acuerdo SUGEF 17-13 rige a partir del 1º de setiembre del 2024.”</w:t>
      </w:r>
    </w:p>
    <w:p w14:paraId="12466A19" w14:textId="77777777" w:rsidR="00A36D16" w:rsidRPr="00645809" w:rsidRDefault="00A36D16" w:rsidP="00645809">
      <w:pPr>
        <w:widowControl w:val="0"/>
        <w:jc w:val="both"/>
        <w:rPr>
          <w:sz w:val="24"/>
          <w:szCs w:val="24"/>
        </w:rPr>
      </w:pPr>
    </w:p>
    <w:p w14:paraId="32610DF6" w14:textId="215381BB" w:rsidR="00A36D16" w:rsidRPr="00645809" w:rsidRDefault="00A36D16" w:rsidP="00645809">
      <w:pPr>
        <w:widowControl w:val="0"/>
        <w:jc w:val="both"/>
        <w:rPr>
          <w:sz w:val="24"/>
          <w:szCs w:val="24"/>
        </w:rPr>
      </w:pPr>
      <w:r w:rsidRPr="00645809">
        <w:rPr>
          <w:sz w:val="24"/>
          <w:szCs w:val="24"/>
        </w:rPr>
        <w:t>Atentamente,</w:t>
      </w:r>
    </w:p>
    <w:p w14:paraId="506157C7" w14:textId="1BA4ABD7" w:rsidR="00901072" w:rsidRPr="00645809" w:rsidRDefault="00772B41" w:rsidP="00645809">
      <w:pPr>
        <w:widowControl w:val="0"/>
        <w:jc w:val="both"/>
        <w:rPr>
          <w:sz w:val="24"/>
          <w:szCs w:val="24"/>
        </w:rPr>
      </w:pPr>
      <w:r w:rsidRPr="00645809">
        <w:rPr>
          <w:noProof/>
        </w:rPr>
        <w:drawing>
          <wp:anchor distT="0" distB="0" distL="114300" distR="114300" simplePos="0" relativeHeight="251658240" behindDoc="1" locked="0" layoutInCell="1" allowOverlap="0" wp14:anchorId="68C0650A" wp14:editId="68BFAEC9">
            <wp:simplePos x="0" y="0"/>
            <wp:positionH relativeFrom="column">
              <wp:posOffset>-70485</wp:posOffset>
            </wp:positionH>
            <wp:positionV relativeFrom="paragraph">
              <wp:posOffset>57785</wp:posOffset>
            </wp:positionV>
            <wp:extent cx="2295525" cy="400050"/>
            <wp:effectExtent l="0" t="0" r="952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28CEA" w14:textId="77777777" w:rsidR="00772B41" w:rsidRPr="00645809" w:rsidRDefault="00772B41" w:rsidP="00645809">
      <w:pPr>
        <w:widowControl w:val="0"/>
        <w:jc w:val="both"/>
        <w:rPr>
          <w:sz w:val="24"/>
          <w:szCs w:val="24"/>
        </w:rPr>
      </w:pPr>
    </w:p>
    <w:p w14:paraId="41715D16" w14:textId="77777777" w:rsidR="004D6CBF" w:rsidRPr="00645809" w:rsidRDefault="004D6CBF" w:rsidP="00645809">
      <w:pPr>
        <w:widowControl w:val="0"/>
        <w:jc w:val="both"/>
        <w:rPr>
          <w:sz w:val="24"/>
          <w:szCs w:val="24"/>
        </w:rPr>
      </w:pPr>
    </w:p>
    <w:p w14:paraId="350CEF22" w14:textId="77777777" w:rsidR="00A36D16" w:rsidRPr="00645809" w:rsidRDefault="00645468" w:rsidP="00645809">
      <w:pPr>
        <w:widowControl w:val="0"/>
        <w:jc w:val="both"/>
        <w:rPr>
          <w:sz w:val="24"/>
          <w:szCs w:val="24"/>
        </w:rPr>
      </w:pPr>
      <w:r w:rsidRPr="00645809">
        <w:rPr>
          <w:sz w:val="24"/>
          <w:szCs w:val="24"/>
        </w:rPr>
        <w:t>Celia Alpízar Paniagua</w:t>
      </w:r>
    </w:p>
    <w:p w14:paraId="4C3EB288" w14:textId="77777777" w:rsidR="00A36D16" w:rsidRPr="00645809" w:rsidRDefault="00A36D16" w:rsidP="00645809">
      <w:pPr>
        <w:widowControl w:val="0"/>
        <w:rPr>
          <w:b/>
          <w:i/>
          <w:sz w:val="24"/>
          <w:szCs w:val="24"/>
        </w:rPr>
      </w:pPr>
      <w:r w:rsidRPr="00645809">
        <w:rPr>
          <w:b/>
          <w:i/>
          <w:sz w:val="24"/>
          <w:szCs w:val="24"/>
        </w:rPr>
        <w:t>Secretari</w:t>
      </w:r>
      <w:r w:rsidR="004A486B" w:rsidRPr="00645809">
        <w:rPr>
          <w:b/>
          <w:i/>
          <w:sz w:val="24"/>
          <w:szCs w:val="24"/>
        </w:rPr>
        <w:t>a</w:t>
      </w:r>
      <w:r w:rsidRPr="00645809">
        <w:rPr>
          <w:b/>
          <w:i/>
          <w:sz w:val="24"/>
          <w:szCs w:val="24"/>
        </w:rPr>
        <w:t xml:space="preserve"> </w:t>
      </w:r>
      <w:r w:rsidR="0005722B" w:rsidRPr="00645809">
        <w:rPr>
          <w:b/>
          <w:i/>
          <w:sz w:val="24"/>
          <w:szCs w:val="24"/>
        </w:rPr>
        <w:t xml:space="preserve">Interina </w:t>
      </w:r>
      <w:r w:rsidRPr="00645809">
        <w:rPr>
          <w:b/>
          <w:i/>
          <w:sz w:val="24"/>
          <w:szCs w:val="24"/>
        </w:rPr>
        <w:t>del Consejo</w:t>
      </w:r>
    </w:p>
    <w:p w14:paraId="05960EBF" w14:textId="038C3224" w:rsidR="00A36D16" w:rsidRPr="00645809" w:rsidRDefault="00A36D16" w:rsidP="00645809">
      <w:pPr>
        <w:widowControl w:val="0"/>
        <w:ind w:left="1418" w:hanging="1418"/>
        <w:jc w:val="both"/>
        <w:rPr>
          <w:sz w:val="22"/>
          <w:szCs w:val="22"/>
        </w:rPr>
      </w:pPr>
    </w:p>
    <w:sectPr w:rsidR="00A36D16" w:rsidRPr="00645809" w:rsidSect="00772B41">
      <w:headerReference w:type="even" r:id="rId19"/>
      <w:headerReference w:type="default" r:id="rId20"/>
      <w:footerReference w:type="even" r:id="rId21"/>
      <w:footerReference w:type="default" r:id="rId22"/>
      <w:headerReference w:type="first" r:id="rId23"/>
      <w:footerReference w:type="first" r:id="rId24"/>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D164" w14:textId="77777777" w:rsidR="00EC6E61" w:rsidRDefault="00EC6E61" w:rsidP="00290A93">
      <w:r>
        <w:separator/>
      </w:r>
    </w:p>
  </w:endnote>
  <w:endnote w:type="continuationSeparator" w:id="0">
    <w:p w14:paraId="491EB1AF" w14:textId="77777777" w:rsidR="00EC6E61" w:rsidRDefault="00EC6E61" w:rsidP="00290A93">
      <w:r>
        <w:continuationSeparator/>
      </w:r>
    </w:p>
  </w:endnote>
  <w:endnote w:type="continuationNotice" w:id="1">
    <w:p w14:paraId="753B8A97" w14:textId="77777777" w:rsidR="006940DD" w:rsidRDefault="00694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Arabic Typesetting"/>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3A5B" w14:textId="77777777" w:rsidR="00B2676D" w:rsidRDefault="00B267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1147" w14:textId="1A1B73A1" w:rsidR="001D0382" w:rsidRDefault="00EC6E61">
    <w:pPr>
      <w:pStyle w:val="Piedepgina"/>
      <w:jc w:val="right"/>
    </w:pPr>
    <w:r>
      <w:rPr>
        <w:noProof/>
      </w:rPr>
      <mc:AlternateContent>
        <mc:Choice Requires="wps">
          <w:drawing>
            <wp:anchor distT="0" distB="0" distL="114300" distR="114300" simplePos="0" relativeHeight="251658242" behindDoc="0" locked="0" layoutInCell="0" allowOverlap="1" wp14:anchorId="53945B1C" wp14:editId="4FCD82B0">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87ED"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45B1C"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077F87ED"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048194C2"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0314" w14:textId="77777777" w:rsidR="003F16A6" w:rsidRDefault="003F16A6">
    <w:pPr>
      <w:pStyle w:val="Piedepgina"/>
      <w:jc w:val="center"/>
    </w:pPr>
    <w:r>
      <w:fldChar w:fldCharType="begin"/>
    </w:r>
    <w:r>
      <w:instrText>PAGE   \* MERGEFORMAT</w:instrText>
    </w:r>
    <w:r>
      <w:fldChar w:fldCharType="separate"/>
    </w:r>
    <w:r>
      <w:t>2</w:t>
    </w:r>
    <w:r>
      <w:fldChar w:fldCharType="end"/>
    </w:r>
  </w:p>
  <w:p w14:paraId="3873FE31"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C083" w14:textId="77777777" w:rsidR="00EC6E61" w:rsidRDefault="00EC6E61" w:rsidP="00290A93">
      <w:r>
        <w:separator/>
      </w:r>
    </w:p>
  </w:footnote>
  <w:footnote w:type="continuationSeparator" w:id="0">
    <w:p w14:paraId="58233C00" w14:textId="77777777" w:rsidR="00EC6E61" w:rsidRDefault="00EC6E61" w:rsidP="00290A93">
      <w:r>
        <w:continuationSeparator/>
      </w:r>
    </w:p>
  </w:footnote>
  <w:footnote w:type="continuationNotice" w:id="1">
    <w:p w14:paraId="1AA7BDAC" w14:textId="77777777" w:rsidR="006940DD" w:rsidRDefault="00694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906E" w14:textId="77777777" w:rsidR="00B2676D" w:rsidRDefault="00B267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E205" w14:textId="5941D96A" w:rsidR="00D33020" w:rsidRDefault="00EC6E61">
    <w:pPr>
      <w:pStyle w:val="Encabezado"/>
    </w:pPr>
    <w:r>
      <w:rPr>
        <w:noProof/>
        <w:lang w:val="es-CR" w:eastAsia="es-CR"/>
      </w:rPr>
      <w:drawing>
        <wp:anchor distT="0" distB="0" distL="114300" distR="114300" simplePos="0" relativeHeight="251658240" behindDoc="0" locked="0" layoutInCell="1" allowOverlap="1" wp14:anchorId="1A51EA40" wp14:editId="7371366D">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57FF" w14:textId="1879AFF3" w:rsidR="001D683F" w:rsidRDefault="00EC6E61">
    <w:pPr>
      <w:pStyle w:val="Encabezado"/>
    </w:pPr>
    <w:r>
      <w:rPr>
        <w:noProof/>
      </w:rPr>
      <w:drawing>
        <wp:anchor distT="0" distB="0" distL="114300" distR="114300" simplePos="0" relativeHeight="251658241" behindDoc="0" locked="0" layoutInCell="1" allowOverlap="1" wp14:anchorId="7D783468" wp14:editId="630D8379">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E055A9"/>
    <w:multiLevelType w:val="hybridMultilevel"/>
    <w:tmpl w:val="2E085A06"/>
    <w:lvl w:ilvl="0" w:tplc="22CA2022">
      <w:start w:val="1"/>
      <w:numFmt w:val="lowerRoman"/>
      <w:lvlText w:val="%1."/>
      <w:lvlJc w:val="right"/>
      <w:pPr>
        <w:ind w:left="1068" w:hanging="360"/>
      </w:pPr>
      <w:rPr>
        <w:rFonts w:ascii="Cambria" w:hAnsi="Cambria" w:hint="default"/>
        <w:b/>
        <w:bCs/>
      </w:rPr>
    </w:lvl>
    <w:lvl w:ilvl="1" w:tplc="140A0019">
      <w:start w:val="1"/>
      <w:numFmt w:val="lowerLetter"/>
      <w:lvlText w:val="%2."/>
      <w:lvlJc w:val="left"/>
      <w:pPr>
        <w:ind w:left="1788" w:hanging="360"/>
      </w:pPr>
    </w:lvl>
    <w:lvl w:ilvl="2" w:tplc="2D7C61B6">
      <w:start w:val="1"/>
      <w:numFmt w:val="decimal"/>
      <w:lvlText w:val="%3."/>
      <w:lvlJc w:val="left"/>
      <w:pPr>
        <w:ind w:left="2688" w:hanging="360"/>
      </w:pPr>
      <w:rPr>
        <w:rFonts w:hint="default"/>
      </w:r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FCE08A4"/>
    <w:multiLevelType w:val="hybridMultilevel"/>
    <w:tmpl w:val="6FF6D1CA"/>
    <w:lvl w:ilvl="0" w:tplc="1452D276">
      <w:start w:val="1"/>
      <w:numFmt w:val="upperLetter"/>
      <w:lvlText w:val="%1)"/>
      <w:lvlJc w:val="left"/>
      <w:pPr>
        <w:ind w:left="1417" w:hanging="850"/>
      </w:pPr>
      <w:rPr>
        <w:rFonts w:hint="default"/>
        <w:b/>
      </w:rPr>
    </w:lvl>
    <w:lvl w:ilvl="1" w:tplc="E2AEB8F2">
      <w:start w:val="1"/>
      <w:numFmt w:val="lowerRoman"/>
      <w:lvlText w:val="%2."/>
      <w:lvlJc w:val="right"/>
      <w:pPr>
        <w:ind w:left="1647" w:hanging="360"/>
      </w:pPr>
      <w:rPr>
        <w:b/>
        <w:sz w:val="24"/>
        <w:szCs w:val="24"/>
      </w:r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12171D85"/>
    <w:multiLevelType w:val="hybridMultilevel"/>
    <w:tmpl w:val="67C8E94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9" w15:restartNumberingAfterBreak="0">
    <w:nsid w:val="17670DDB"/>
    <w:multiLevelType w:val="multilevel"/>
    <w:tmpl w:val="8BCA5D88"/>
    <w:lvl w:ilvl="0">
      <w:start w:val="1"/>
      <w:numFmt w:val="decimal"/>
      <w:lvlText w:val="%1."/>
      <w:lvlJc w:val="left"/>
      <w:rPr>
        <w:b/>
        <w:bCs/>
        <w:strike w:val="0"/>
        <w:color w:val="auto"/>
      </w:rPr>
    </w:lvl>
    <w:lvl w:ilvl="1">
      <w:start w:val="1"/>
      <w:numFmt w:val="decimal"/>
      <w:lvlText w:val="%1.%2."/>
      <w:lvlJc w:val="left"/>
      <w:rPr>
        <w:b/>
        <w:bCs/>
        <w:strike w:val="0"/>
        <w:color w:val="auto"/>
        <w:sz w:val="20"/>
        <w:szCs w:val="2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8D72D3"/>
    <w:multiLevelType w:val="hybridMultilevel"/>
    <w:tmpl w:val="1FC2D70A"/>
    <w:lvl w:ilvl="0" w:tplc="32CC238C">
      <w:start w:val="1"/>
      <w:numFmt w:val="lowerRoman"/>
      <w:lvlText w:val="%1)"/>
      <w:lvlJc w:val="left"/>
      <w:rPr>
        <w:rFonts w:hint="default"/>
        <w:b w:val="0"/>
        <w:strike w:val="0"/>
        <w:color w:val="auto"/>
        <w:u w:val="none"/>
      </w:rPr>
    </w:lvl>
    <w:lvl w:ilvl="1" w:tplc="140A0019" w:tentative="1">
      <w:start w:val="1"/>
      <w:numFmt w:val="lowerLetter"/>
      <w:lvlText w:val="%2."/>
      <w:lvlJc w:val="left"/>
      <w:pPr>
        <w:ind w:left="1184" w:hanging="360"/>
      </w:pPr>
    </w:lvl>
    <w:lvl w:ilvl="2" w:tplc="140A001B" w:tentative="1">
      <w:start w:val="1"/>
      <w:numFmt w:val="lowerRoman"/>
      <w:lvlText w:val="%3."/>
      <w:lvlJc w:val="right"/>
      <w:pPr>
        <w:ind w:left="1904" w:hanging="180"/>
      </w:pPr>
    </w:lvl>
    <w:lvl w:ilvl="3" w:tplc="140A000F" w:tentative="1">
      <w:start w:val="1"/>
      <w:numFmt w:val="decimal"/>
      <w:lvlText w:val="%4."/>
      <w:lvlJc w:val="left"/>
      <w:pPr>
        <w:ind w:left="2624" w:hanging="360"/>
      </w:pPr>
    </w:lvl>
    <w:lvl w:ilvl="4" w:tplc="140A0019" w:tentative="1">
      <w:start w:val="1"/>
      <w:numFmt w:val="lowerLetter"/>
      <w:lvlText w:val="%5."/>
      <w:lvlJc w:val="left"/>
      <w:pPr>
        <w:ind w:left="3344" w:hanging="360"/>
      </w:pPr>
    </w:lvl>
    <w:lvl w:ilvl="5" w:tplc="140A001B" w:tentative="1">
      <w:start w:val="1"/>
      <w:numFmt w:val="lowerRoman"/>
      <w:lvlText w:val="%6."/>
      <w:lvlJc w:val="right"/>
      <w:pPr>
        <w:ind w:left="4064" w:hanging="180"/>
      </w:pPr>
    </w:lvl>
    <w:lvl w:ilvl="6" w:tplc="140A000F" w:tentative="1">
      <w:start w:val="1"/>
      <w:numFmt w:val="decimal"/>
      <w:lvlText w:val="%7."/>
      <w:lvlJc w:val="left"/>
      <w:pPr>
        <w:ind w:left="4784" w:hanging="360"/>
      </w:pPr>
    </w:lvl>
    <w:lvl w:ilvl="7" w:tplc="140A0019" w:tentative="1">
      <w:start w:val="1"/>
      <w:numFmt w:val="lowerLetter"/>
      <w:lvlText w:val="%8."/>
      <w:lvlJc w:val="left"/>
      <w:pPr>
        <w:ind w:left="5504" w:hanging="360"/>
      </w:pPr>
    </w:lvl>
    <w:lvl w:ilvl="8" w:tplc="140A001B" w:tentative="1">
      <w:start w:val="1"/>
      <w:numFmt w:val="lowerRoman"/>
      <w:lvlText w:val="%9."/>
      <w:lvlJc w:val="right"/>
      <w:pPr>
        <w:ind w:left="6224" w:hanging="180"/>
      </w:pPr>
    </w:lvl>
  </w:abstractNum>
  <w:abstractNum w:abstractNumId="11" w15:restartNumberingAfterBreak="0">
    <w:nsid w:val="1CED72A3"/>
    <w:multiLevelType w:val="hybridMultilevel"/>
    <w:tmpl w:val="2ADA3E2E"/>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1DEF019C"/>
    <w:multiLevelType w:val="hybridMultilevel"/>
    <w:tmpl w:val="A7305772"/>
    <w:lvl w:ilvl="0" w:tplc="0409000F">
      <w:start w:val="1"/>
      <w:numFmt w:val="decimal"/>
      <w:lvlText w:val="%1."/>
      <w:lvlJc w:val="left"/>
      <w:pPr>
        <w:tabs>
          <w:tab w:val="num" w:pos="1719"/>
        </w:tabs>
        <w:ind w:left="1719" w:hanging="360"/>
      </w:pPr>
    </w:lvl>
    <w:lvl w:ilvl="1" w:tplc="32E03D88">
      <w:start w:val="1"/>
      <w:numFmt w:val="lowerLetter"/>
      <w:lvlText w:val="%2)"/>
      <w:lvlJc w:val="left"/>
      <w:pPr>
        <w:tabs>
          <w:tab w:val="num" w:pos="2799"/>
        </w:tabs>
        <w:ind w:left="2799" w:hanging="360"/>
      </w:pPr>
    </w:lvl>
    <w:lvl w:ilvl="2" w:tplc="0409001B">
      <w:start w:val="1"/>
      <w:numFmt w:val="lowerRoman"/>
      <w:lvlText w:val="%3."/>
      <w:lvlJc w:val="right"/>
      <w:pPr>
        <w:tabs>
          <w:tab w:val="num" w:pos="3519"/>
        </w:tabs>
        <w:ind w:left="3519" w:hanging="180"/>
      </w:pPr>
    </w:lvl>
    <w:lvl w:ilvl="3" w:tplc="0409000F">
      <w:start w:val="1"/>
      <w:numFmt w:val="decimal"/>
      <w:lvlText w:val="%4."/>
      <w:lvlJc w:val="left"/>
      <w:pPr>
        <w:tabs>
          <w:tab w:val="num" w:pos="4239"/>
        </w:tabs>
        <w:ind w:left="4239" w:hanging="360"/>
      </w:pPr>
    </w:lvl>
    <w:lvl w:ilvl="4" w:tplc="04090019">
      <w:start w:val="1"/>
      <w:numFmt w:val="lowerLetter"/>
      <w:lvlText w:val="%5."/>
      <w:lvlJc w:val="left"/>
      <w:pPr>
        <w:tabs>
          <w:tab w:val="num" w:pos="4959"/>
        </w:tabs>
        <w:ind w:left="4959" w:hanging="360"/>
      </w:pPr>
    </w:lvl>
    <w:lvl w:ilvl="5" w:tplc="0409001B">
      <w:start w:val="1"/>
      <w:numFmt w:val="lowerRoman"/>
      <w:lvlText w:val="%6."/>
      <w:lvlJc w:val="right"/>
      <w:pPr>
        <w:tabs>
          <w:tab w:val="num" w:pos="5679"/>
        </w:tabs>
        <w:ind w:left="5679" w:hanging="180"/>
      </w:pPr>
    </w:lvl>
    <w:lvl w:ilvl="6" w:tplc="0409000F">
      <w:start w:val="1"/>
      <w:numFmt w:val="decimal"/>
      <w:lvlText w:val="%7."/>
      <w:lvlJc w:val="left"/>
      <w:pPr>
        <w:tabs>
          <w:tab w:val="num" w:pos="6399"/>
        </w:tabs>
        <w:ind w:left="6399" w:hanging="360"/>
      </w:pPr>
    </w:lvl>
    <w:lvl w:ilvl="7" w:tplc="04090019">
      <w:start w:val="1"/>
      <w:numFmt w:val="lowerLetter"/>
      <w:lvlText w:val="%8."/>
      <w:lvlJc w:val="left"/>
      <w:pPr>
        <w:tabs>
          <w:tab w:val="num" w:pos="7119"/>
        </w:tabs>
        <w:ind w:left="7119" w:hanging="360"/>
      </w:pPr>
    </w:lvl>
    <w:lvl w:ilvl="8" w:tplc="0409001B">
      <w:start w:val="1"/>
      <w:numFmt w:val="lowerRoman"/>
      <w:lvlText w:val="%9."/>
      <w:lvlJc w:val="right"/>
      <w:pPr>
        <w:tabs>
          <w:tab w:val="num" w:pos="7839"/>
        </w:tabs>
        <w:ind w:left="7839" w:hanging="180"/>
      </w:pPr>
    </w:lvl>
  </w:abstractNum>
  <w:abstractNum w:abstractNumId="13"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4" w15:restartNumberingAfterBreak="0">
    <w:nsid w:val="29031DE4"/>
    <w:multiLevelType w:val="hybridMultilevel"/>
    <w:tmpl w:val="2D8A593A"/>
    <w:lvl w:ilvl="0" w:tplc="D354CDDC">
      <w:start w:val="1"/>
      <w:numFmt w:val="lowerLetter"/>
      <w:lvlText w:val="%1)"/>
      <w:lvlJc w:val="left"/>
      <w:pPr>
        <w:ind w:left="2628" w:hanging="360"/>
      </w:pPr>
      <w:rPr>
        <w:rFonts w:hint="default"/>
      </w:rPr>
    </w:lvl>
    <w:lvl w:ilvl="1" w:tplc="140A0019" w:tentative="1">
      <w:start w:val="1"/>
      <w:numFmt w:val="lowerLetter"/>
      <w:lvlText w:val="%2."/>
      <w:lvlJc w:val="left"/>
      <w:pPr>
        <w:ind w:left="3348" w:hanging="360"/>
      </w:pPr>
    </w:lvl>
    <w:lvl w:ilvl="2" w:tplc="140A001B" w:tentative="1">
      <w:start w:val="1"/>
      <w:numFmt w:val="lowerRoman"/>
      <w:lvlText w:val="%3."/>
      <w:lvlJc w:val="right"/>
      <w:pPr>
        <w:ind w:left="4068" w:hanging="180"/>
      </w:pPr>
    </w:lvl>
    <w:lvl w:ilvl="3" w:tplc="140A000F" w:tentative="1">
      <w:start w:val="1"/>
      <w:numFmt w:val="decimal"/>
      <w:lvlText w:val="%4."/>
      <w:lvlJc w:val="left"/>
      <w:pPr>
        <w:ind w:left="4788" w:hanging="360"/>
      </w:pPr>
    </w:lvl>
    <w:lvl w:ilvl="4" w:tplc="140A0019" w:tentative="1">
      <w:start w:val="1"/>
      <w:numFmt w:val="lowerLetter"/>
      <w:lvlText w:val="%5."/>
      <w:lvlJc w:val="left"/>
      <w:pPr>
        <w:ind w:left="5508" w:hanging="360"/>
      </w:pPr>
    </w:lvl>
    <w:lvl w:ilvl="5" w:tplc="140A001B" w:tentative="1">
      <w:start w:val="1"/>
      <w:numFmt w:val="lowerRoman"/>
      <w:lvlText w:val="%6."/>
      <w:lvlJc w:val="right"/>
      <w:pPr>
        <w:ind w:left="6228" w:hanging="180"/>
      </w:pPr>
    </w:lvl>
    <w:lvl w:ilvl="6" w:tplc="140A000F" w:tentative="1">
      <w:start w:val="1"/>
      <w:numFmt w:val="decimal"/>
      <w:lvlText w:val="%7."/>
      <w:lvlJc w:val="left"/>
      <w:pPr>
        <w:ind w:left="6948" w:hanging="360"/>
      </w:pPr>
    </w:lvl>
    <w:lvl w:ilvl="7" w:tplc="140A0019" w:tentative="1">
      <w:start w:val="1"/>
      <w:numFmt w:val="lowerLetter"/>
      <w:lvlText w:val="%8."/>
      <w:lvlJc w:val="left"/>
      <w:pPr>
        <w:ind w:left="7668" w:hanging="360"/>
      </w:pPr>
    </w:lvl>
    <w:lvl w:ilvl="8" w:tplc="140A001B" w:tentative="1">
      <w:start w:val="1"/>
      <w:numFmt w:val="lowerRoman"/>
      <w:lvlText w:val="%9."/>
      <w:lvlJc w:val="right"/>
      <w:pPr>
        <w:ind w:left="8388" w:hanging="180"/>
      </w:pPr>
    </w:lvl>
  </w:abstractNum>
  <w:abstractNum w:abstractNumId="15"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FBA2539"/>
    <w:multiLevelType w:val="hybridMultilevel"/>
    <w:tmpl w:val="92A08B46"/>
    <w:lvl w:ilvl="0" w:tplc="140A0017">
      <w:start w:val="1"/>
      <w:numFmt w:val="lowerLetter"/>
      <w:lvlText w:val="%1)"/>
      <w:lvlJc w:val="left"/>
      <w:pPr>
        <w:ind w:left="360" w:hanging="360"/>
      </w:pPr>
      <w:rPr>
        <w:rFonts w:hint="default"/>
        <w:u w:val="none"/>
      </w:rPr>
    </w:lvl>
    <w:lvl w:ilvl="1" w:tplc="140A0019">
      <w:start w:val="1"/>
      <w:numFmt w:val="lowerLetter"/>
      <w:lvlText w:val="%2."/>
      <w:lvlJc w:val="left"/>
      <w:pPr>
        <w:ind w:left="1080" w:hanging="360"/>
      </w:pPr>
    </w:lvl>
    <w:lvl w:ilvl="2" w:tplc="30E65976">
      <w:start w:val="1"/>
      <w:numFmt w:val="lowerRoman"/>
      <w:lvlText w:val="%3)"/>
      <w:lvlJc w:val="left"/>
      <w:pPr>
        <w:ind w:left="1980" w:hanging="360"/>
      </w:pPr>
      <w:rPr>
        <w:rFonts w:hint="default"/>
        <w:u w:val="none"/>
      </w:r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319B3A8A"/>
    <w:multiLevelType w:val="hybridMultilevel"/>
    <w:tmpl w:val="28D4A508"/>
    <w:lvl w:ilvl="0" w:tplc="206E92C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6B17343"/>
    <w:multiLevelType w:val="hybridMultilevel"/>
    <w:tmpl w:val="6FD47776"/>
    <w:lvl w:ilvl="0" w:tplc="3ED85904">
      <w:start w:val="1"/>
      <w:numFmt w:val="lowerRoman"/>
      <w:lvlText w:val="%1)"/>
      <w:lvlJc w:val="left"/>
      <w:pPr>
        <w:ind w:left="3267" w:hanging="720"/>
      </w:pPr>
      <w:rPr>
        <w:rFonts w:hint="default"/>
      </w:rPr>
    </w:lvl>
    <w:lvl w:ilvl="1" w:tplc="140A0019" w:tentative="1">
      <w:start w:val="1"/>
      <w:numFmt w:val="lowerLetter"/>
      <w:lvlText w:val="%2."/>
      <w:lvlJc w:val="left"/>
      <w:pPr>
        <w:ind w:left="3627" w:hanging="360"/>
      </w:pPr>
    </w:lvl>
    <w:lvl w:ilvl="2" w:tplc="140A001B" w:tentative="1">
      <w:start w:val="1"/>
      <w:numFmt w:val="lowerRoman"/>
      <w:lvlText w:val="%3."/>
      <w:lvlJc w:val="right"/>
      <w:pPr>
        <w:ind w:left="4347" w:hanging="180"/>
      </w:pPr>
    </w:lvl>
    <w:lvl w:ilvl="3" w:tplc="140A000F" w:tentative="1">
      <w:start w:val="1"/>
      <w:numFmt w:val="decimal"/>
      <w:lvlText w:val="%4."/>
      <w:lvlJc w:val="left"/>
      <w:pPr>
        <w:ind w:left="5067" w:hanging="360"/>
      </w:pPr>
    </w:lvl>
    <w:lvl w:ilvl="4" w:tplc="140A0019" w:tentative="1">
      <w:start w:val="1"/>
      <w:numFmt w:val="lowerLetter"/>
      <w:lvlText w:val="%5."/>
      <w:lvlJc w:val="left"/>
      <w:pPr>
        <w:ind w:left="5787" w:hanging="360"/>
      </w:pPr>
    </w:lvl>
    <w:lvl w:ilvl="5" w:tplc="140A001B" w:tentative="1">
      <w:start w:val="1"/>
      <w:numFmt w:val="lowerRoman"/>
      <w:lvlText w:val="%6."/>
      <w:lvlJc w:val="right"/>
      <w:pPr>
        <w:ind w:left="6507" w:hanging="180"/>
      </w:pPr>
    </w:lvl>
    <w:lvl w:ilvl="6" w:tplc="140A000F" w:tentative="1">
      <w:start w:val="1"/>
      <w:numFmt w:val="decimal"/>
      <w:lvlText w:val="%7."/>
      <w:lvlJc w:val="left"/>
      <w:pPr>
        <w:ind w:left="7227" w:hanging="360"/>
      </w:pPr>
    </w:lvl>
    <w:lvl w:ilvl="7" w:tplc="140A0019" w:tentative="1">
      <w:start w:val="1"/>
      <w:numFmt w:val="lowerLetter"/>
      <w:lvlText w:val="%8."/>
      <w:lvlJc w:val="left"/>
      <w:pPr>
        <w:ind w:left="7947" w:hanging="360"/>
      </w:pPr>
    </w:lvl>
    <w:lvl w:ilvl="8" w:tplc="140A001B" w:tentative="1">
      <w:start w:val="1"/>
      <w:numFmt w:val="lowerRoman"/>
      <w:lvlText w:val="%9."/>
      <w:lvlJc w:val="right"/>
      <w:pPr>
        <w:ind w:left="8667" w:hanging="180"/>
      </w:pPr>
    </w:lvl>
  </w:abstractNum>
  <w:abstractNum w:abstractNumId="20"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21"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C857D6B"/>
    <w:multiLevelType w:val="hybridMultilevel"/>
    <w:tmpl w:val="FCACDE3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F101C00"/>
    <w:multiLevelType w:val="multilevel"/>
    <w:tmpl w:val="1E1ED2C2"/>
    <w:styleLink w:val="Listaactual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73083D"/>
    <w:multiLevelType w:val="hybridMultilevel"/>
    <w:tmpl w:val="B9104F3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33E6545"/>
    <w:multiLevelType w:val="hybridMultilevel"/>
    <w:tmpl w:val="03C2A4B6"/>
    <w:lvl w:ilvl="0" w:tplc="676402A4">
      <w:start w:val="1"/>
      <w:numFmt w:val="upperRoman"/>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73E5C66"/>
    <w:multiLevelType w:val="multilevel"/>
    <w:tmpl w:val="28BC31BA"/>
    <w:lvl w:ilvl="0">
      <w:start w:val="1"/>
      <w:numFmt w:val="decimal"/>
      <w:lvlText w:val="%1."/>
      <w:lvlJc w:val="left"/>
      <w:rPr>
        <w:b/>
        <w:bCs/>
        <w:color w:val="auto"/>
      </w:rPr>
    </w:lvl>
    <w:lvl w:ilvl="1">
      <w:start w:val="1"/>
      <w:numFmt w:val="decimal"/>
      <w:lvlText w:val="%1.%2."/>
      <w:lvlJc w:val="left"/>
      <w:rPr>
        <w:b/>
        <w:bCs/>
        <w:color w:val="auto"/>
        <w:sz w:val="22"/>
        <w:szCs w:val="22"/>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801394"/>
    <w:multiLevelType w:val="hybridMultilevel"/>
    <w:tmpl w:val="58D8B140"/>
    <w:lvl w:ilvl="0" w:tplc="440CDF4E">
      <w:start w:val="1"/>
      <w:numFmt w:val="lowerRoman"/>
      <w:lvlText w:val="%1)"/>
      <w:lvlJc w:val="left"/>
      <w:pPr>
        <w:ind w:left="2421" w:hanging="720"/>
      </w:pPr>
      <w:rPr>
        <w:rFonts w:hint="default"/>
        <w:u w:val="none"/>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28"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A055F"/>
    <w:multiLevelType w:val="hybridMultilevel"/>
    <w:tmpl w:val="936AD960"/>
    <w:lvl w:ilvl="0" w:tplc="30E65976">
      <w:start w:val="1"/>
      <w:numFmt w:val="lowerRoman"/>
      <w:lvlText w:val="%1)"/>
      <w:lvlJc w:val="left"/>
      <w:pPr>
        <w:ind w:left="1980" w:hanging="360"/>
      </w:pPr>
      <w:rPr>
        <w:rFonts w:hint="default"/>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1"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32"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9B5484C"/>
    <w:multiLevelType w:val="hybridMultilevel"/>
    <w:tmpl w:val="843EB1C4"/>
    <w:lvl w:ilvl="0" w:tplc="63E2493A">
      <w:start w:val="1"/>
      <w:numFmt w:val="decimal"/>
      <w:lvlText w:val="%1."/>
      <w:lvlJc w:val="left"/>
      <w:pPr>
        <w:ind w:left="360" w:hanging="360"/>
      </w:pPr>
      <w:rPr>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5A0249C0"/>
    <w:multiLevelType w:val="hybridMultilevel"/>
    <w:tmpl w:val="02D63562"/>
    <w:lvl w:ilvl="0" w:tplc="ACC8124E">
      <w:start w:val="2"/>
      <w:numFmt w:val="decimal"/>
      <w:lvlText w:val="%1."/>
      <w:lvlJc w:val="left"/>
      <w:pPr>
        <w:ind w:left="268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37" w15:restartNumberingAfterBreak="0">
    <w:nsid w:val="60F302C2"/>
    <w:multiLevelType w:val="hybridMultilevel"/>
    <w:tmpl w:val="DB783214"/>
    <w:lvl w:ilvl="0" w:tplc="E2AEB8F2">
      <w:start w:val="1"/>
      <w:numFmt w:val="lowerRoman"/>
      <w:lvlText w:val="%1."/>
      <w:lvlJc w:val="right"/>
      <w:pPr>
        <w:ind w:left="1647" w:hanging="360"/>
      </w:pPr>
      <w:rPr>
        <w:b/>
        <w:sz w:val="24"/>
        <w:szCs w:val="24"/>
      </w:rPr>
    </w:lvl>
    <w:lvl w:ilvl="1" w:tplc="140A0019">
      <w:start w:val="1"/>
      <w:numFmt w:val="lowerLetter"/>
      <w:lvlText w:val="%2."/>
      <w:lvlJc w:val="left"/>
      <w:pPr>
        <w:ind w:left="1440" w:hanging="360"/>
      </w:pPr>
    </w:lvl>
    <w:lvl w:ilvl="2" w:tplc="B4E433BE">
      <w:start w:val="1"/>
      <w:numFmt w:val="decimal"/>
      <w:lvlText w:val="%3."/>
      <w:lvlJc w:val="left"/>
      <w:pPr>
        <w:ind w:left="2340" w:hanging="360"/>
      </w:pPr>
      <w:rPr>
        <w:b/>
        <w:bCs/>
        <w:sz w:val="24"/>
        <w:szCs w:val="24"/>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2AE0BB3"/>
    <w:multiLevelType w:val="hybridMultilevel"/>
    <w:tmpl w:val="04EAF9D8"/>
    <w:lvl w:ilvl="0" w:tplc="2D7C61B6">
      <w:start w:val="1"/>
      <w:numFmt w:val="decimal"/>
      <w:lvlText w:val="%1."/>
      <w:lvlJc w:val="left"/>
      <w:pPr>
        <w:ind w:left="268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065FD1"/>
    <w:multiLevelType w:val="hybridMultilevel"/>
    <w:tmpl w:val="70B89F22"/>
    <w:lvl w:ilvl="0" w:tplc="85AA4A64">
      <w:start w:val="1"/>
      <w:numFmt w:val="lowerRoman"/>
      <w:lvlText w:val="%1)"/>
      <w:lvlJc w:val="left"/>
      <w:pPr>
        <w:ind w:left="360" w:hanging="360"/>
      </w:pPr>
      <w:rPr>
        <w:rFonts w:hint="default"/>
        <w:b w:val="0"/>
        <w:bCs w:val="0"/>
        <w:u w:val="none"/>
      </w:rPr>
    </w:lvl>
    <w:lvl w:ilvl="1" w:tplc="140A0019" w:tentative="1">
      <w:start w:val="1"/>
      <w:numFmt w:val="lowerLetter"/>
      <w:lvlText w:val="%2."/>
      <w:lvlJc w:val="left"/>
      <w:pPr>
        <w:ind w:left="-180" w:hanging="360"/>
      </w:pPr>
    </w:lvl>
    <w:lvl w:ilvl="2" w:tplc="140A001B" w:tentative="1">
      <w:start w:val="1"/>
      <w:numFmt w:val="lowerRoman"/>
      <w:lvlText w:val="%3."/>
      <w:lvlJc w:val="right"/>
      <w:pPr>
        <w:ind w:left="540" w:hanging="180"/>
      </w:pPr>
    </w:lvl>
    <w:lvl w:ilvl="3" w:tplc="140A000F" w:tentative="1">
      <w:start w:val="1"/>
      <w:numFmt w:val="decimal"/>
      <w:lvlText w:val="%4."/>
      <w:lvlJc w:val="left"/>
      <w:pPr>
        <w:ind w:left="1260" w:hanging="360"/>
      </w:pPr>
    </w:lvl>
    <w:lvl w:ilvl="4" w:tplc="140A0019" w:tentative="1">
      <w:start w:val="1"/>
      <w:numFmt w:val="lowerLetter"/>
      <w:lvlText w:val="%5."/>
      <w:lvlJc w:val="left"/>
      <w:pPr>
        <w:ind w:left="1980" w:hanging="360"/>
      </w:pPr>
    </w:lvl>
    <w:lvl w:ilvl="5" w:tplc="140A001B" w:tentative="1">
      <w:start w:val="1"/>
      <w:numFmt w:val="lowerRoman"/>
      <w:lvlText w:val="%6."/>
      <w:lvlJc w:val="right"/>
      <w:pPr>
        <w:ind w:left="2700" w:hanging="180"/>
      </w:pPr>
    </w:lvl>
    <w:lvl w:ilvl="6" w:tplc="140A000F" w:tentative="1">
      <w:start w:val="1"/>
      <w:numFmt w:val="decimal"/>
      <w:lvlText w:val="%7."/>
      <w:lvlJc w:val="left"/>
      <w:pPr>
        <w:ind w:left="3420" w:hanging="360"/>
      </w:pPr>
    </w:lvl>
    <w:lvl w:ilvl="7" w:tplc="140A0019" w:tentative="1">
      <w:start w:val="1"/>
      <w:numFmt w:val="lowerLetter"/>
      <w:lvlText w:val="%8."/>
      <w:lvlJc w:val="left"/>
      <w:pPr>
        <w:ind w:left="4140" w:hanging="360"/>
      </w:pPr>
    </w:lvl>
    <w:lvl w:ilvl="8" w:tplc="140A001B" w:tentative="1">
      <w:start w:val="1"/>
      <w:numFmt w:val="lowerRoman"/>
      <w:lvlText w:val="%9."/>
      <w:lvlJc w:val="right"/>
      <w:pPr>
        <w:ind w:left="4860" w:hanging="180"/>
      </w:pPr>
    </w:lvl>
  </w:abstractNum>
  <w:abstractNum w:abstractNumId="42"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5D14CF6"/>
    <w:multiLevelType w:val="hybridMultilevel"/>
    <w:tmpl w:val="81E0D366"/>
    <w:lvl w:ilvl="0" w:tplc="AA4E0D1A">
      <w:start w:val="1"/>
      <w:numFmt w:val="lowerRoman"/>
      <w:lvlText w:val="%1)"/>
      <w:lvlJc w:val="left"/>
      <w:pPr>
        <w:ind w:left="1068" w:hanging="360"/>
      </w:pPr>
      <w:rPr>
        <w:rFonts w:hint="default"/>
        <w:b w:val="0"/>
        <w:bCs w:val="0"/>
        <w:color w:val="auto"/>
        <w:u w:val="none"/>
      </w:rPr>
    </w:lvl>
    <w:lvl w:ilvl="1" w:tplc="FFFFFFFF" w:tentative="1">
      <w:start w:val="1"/>
      <w:numFmt w:val="lowerLetter"/>
      <w:lvlText w:val="%2."/>
      <w:lvlJc w:val="left"/>
      <w:pPr>
        <w:ind w:left="528" w:hanging="360"/>
      </w:pPr>
    </w:lvl>
    <w:lvl w:ilvl="2" w:tplc="FFFFFFFF" w:tentative="1">
      <w:start w:val="1"/>
      <w:numFmt w:val="lowerRoman"/>
      <w:lvlText w:val="%3."/>
      <w:lvlJc w:val="right"/>
      <w:pPr>
        <w:ind w:left="1248" w:hanging="180"/>
      </w:pPr>
    </w:lvl>
    <w:lvl w:ilvl="3" w:tplc="FFFFFFFF" w:tentative="1">
      <w:start w:val="1"/>
      <w:numFmt w:val="decimal"/>
      <w:lvlText w:val="%4."/>
      <w:lvlJc w:val="left"/>
      <w:pPr>
        <w:ind w:left="1968" w:hanging="360"/>
      </w:pPr>
    </w:lvl>
    <w:lvl w:ilvl="4" w:tplc="FFFFFFFF" w:tentative="1">
      <w:start w:val="1"/>
      <w:numFmt w:val="lowerLetter"/>
      <w:lvlText w:val="%5."/>
      <w:lvlJc w:val="left"/>
      <w:pPr>
        <w:ind w:left="2688" w:hanging="360"/>
      </w:pPr>
    </w:lvl>
    <w:lvl w:ilvl="5" w:tplc="FFFFFFFF" w:tentative="1">
      <w:start w:val="1"/>
      <w:numFmt w:val="lowerRoman"/>
      <w:lvlText w:val="%6."/>
      <w:lvlJc w:val="right"/>
      <w:pPr>
        <w:ind w:left="3408" w:hanging="180"/>
      </w:pPr>
    </w:lvl>
    <w:lvl w:ilvl="6" w:tplc="FFFFFFFF" w:tentative="1">
      <w:start w:val="1"/>
      <w:numFmt w:val="decimal"/>
      <w:lvlText w:val="%7."/>
      <w:lvlJc w:val="left"/>
      <w:pPr>
        <w:ind w:left="4128" w:hanging="360"/>
      </w:pPr>
    </w:lvl>
    <w:lvl w:ilvl="7" w:tplc="FFFFFFFF" w:tentative="1">
      <w:start w:val="1"/>
      <w:numFmt w:val="lowerLetter"/>
      <w:lvlText w:val="%8."/>
      <w:lvlJc w:val="left"/>
      <w:pPr>
        <w:ind w:left="4848" w:hanging="360"/>
      </w:pPr>
    </w:lvl>
    <w:lvl w:ilvl="8" w:tplc="FFFFFFFF" w:tentative="1">
      <w:start w:val="1"/>
      <w:numFmt w:val="lowerRoman"/>
      <w:lvlText w:val="%9."/>
      <w:lvlJc w:val="right"/>
      <w:pPr>
        <w:ind w:left="5568" w:hanging="180"/>
      </w:pPr>
    </w:lvl>
  </w:abstractNum>
  <w:abstractNum w:abstractNumId="44"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C333BA6"/>
    <w:multiLevelType w:val="multilevel"/>
    <w:tmpl w:val="1E1ED2C2"/>
    <w:styleLink w:val="Listaactual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6C1016"/>
    <w:multiLevelType w:val="hybridMultilevel"/>
    <w:tmpl w:val="6C96123E"/>
    <w:lvl w:ilvl="0" w:tplc="30E65976">
      <w:start w:val="1"/>
      <w:numFmt w:val="lowerRoman"/>
      <w:lvlText w:val="%1)"/>
      <w:lvlJc w:val="left"/>
      <w:rPr>
        <w:rFonts w:hint="default"/>
        <w:color w:val="auto"/>
        <w:u w:val="none"/>
      </w:rPr>
    </w:lvl>
    <w:lvl w:ilvl="1" w:tplc="140A0019" w:tentative="1">
      <w:start w:val="1"/>
      <w:numFmt w:val="lowerLetter"/>
      <w:lvlText w:val="%2."/>
      <w:lvlJc w:val="left"/>
      <w:pPr>
        <w:ind w:left="1184" w:hanging="360"/>
      </w:pPr>
    </w:lvl>
    <w:lvl w:ilvl="2" w:tplc="140A001B" w:tentative="1">
      <w:start w:val="1"/>
      <w:numFmt w:val="lowerRoman"/>
      <w:lvlText w:val="%3."/>
      <w:lvlJc w:val="right"/>
      <w:pPr>
        <w:ind w:left="1904" w:hanging="180"/>
      </w:pPr>
    </w:lvl>
    <w:lvl w:ilvl="3" w:tplc="140A000F" w:tentative="1">
      <w:start w:val="1"/>
      <w:numFmt w:val="decimal"/>
      <w:lvlText w:val="%4."/>
      <w:lvlJc w:val="left"/>
      <w:pPr>
        <w:ind w:left="2624" w:hanging="360"/>
      </w:pPr>
    </w:lvl>
    <w:lvl w:ilvl="4" w:tplc="140A0019" w:tentative="1">
      <w:start w:val="1"/>
      <w:numFmt w:val="lowerLetter"/>
      <w:lvlText w:val="%5."/>
      <w:lvlJc w:val="left"/>
      <w:pPr>
        <w:ind w:left="3344" w:hanging="360"/>
      </w:pPr>
    </w:lvl>
    <w:lvl w:ilvl="5" w:tplc="140A001B" w:tentative="1">
      <w:start w:val="1"/>
      <w:numFmt w:val="lowerRoman"/>
      <w:lvlText w:val="%6."/>
      <w:lvlJc w:val="right"/>
      <w:pPr>
        <w:ind w:left="4064" w:hanging="180"/>
      </w:pPr>
    </w:lvl>
    <w:lvl w:ilvl="6" w:tplc="140A000F" w:tentative="1">
      <w:start w:val="1"/>
      <w:numFmt w:val="decimal"/>
      <w:lvlText w:val="%7."/>
      <w:lvlJc w:val="left"/>
      <w:pPr>
        <w:ind w:left="4784" w:hanging="360"/>
      </w:pPr>
    </w:lvl>
    <w:lvl w:ilvl="7" w:tplc="140A0019" w:tentative="1">
      <w:start w:val="1"/>
      <w:numFmt w:val="lowerLetter"/>
      <w:lvlText w:val="%8."/>
      <w:lvlJc w:val="left"/>
      <w:pPr>
        <w:ind w:left="5504" w:hanging="360"/>
      </w:pPr>
    </w:lvl>
    <w:lvl w:ilvl="8" w:tplc="140A001B" w:tentative="1">
      <w:start w:val="1"/>
      <w:numFmt w:val="lowerRoman"/>
      <w:lvlText w:val="%9."/>
      <w:lvlJc w:val="right"/>
      <w:pPr>
        <w:ind w:left="6224" w:hanging="180"/>
      </w:pPr>
    </w:lvl>
  </w:abstractNum>
  <w:abstractNum w:abstractNumId="47"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abstractNum w:abstractNumId="4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3464098">
    <w:abstractNumId w:val="32"/>
  </w:num>
  <w:num w:numId="2" w16cid:durableId="1308050440">
    <w:abstractNumId w:val="40"/>
  </w:num>
  <w:num w:numId="3" w16cid:durableId="575675295">
    <w:abstractNumId w:val="44"/>
  </w:num>
  <w:num w:numId="4" w16cid:durableId="1649091579">
    <w:abstractNumId w:val="15"/>
  </w:num>
  <w:num w:numId="5" w16cid:durableId="157775325">
    <w:abstractNumId w:val="21"/>
  </w:num>
  <w:num w:numId="6" w16cid:durableId="1987586151">
    <w:abstractNumId w:val="42"/>
  </w:num>
  <w:num w:numId="7" w16cid:durableId="1073894138">
    <w:abstractNumId w:val="7"/>
  </w:num>
  <w:num w:numId="8" w16cid:durableId="369377160">
    <w:abstractNumId w:val="31"/>
  </w:num>
  <w:num w:numId="9" w16cid:durableId="2139688138">
    <w:abstractNumId w:val="48"/>
  </w:num>
  <w:num w:numId="10" w16cid:durableId="1285692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0401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1409969">
    <w:abstractNumId w:val="13"/>
  </w:num>
  <w:num w:numId="13" w16cid:durableId="102113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668761">
    <w:abstractNumId w:val="28"/>
  </w:num>
  <w:num w:numId="15" w16cid:durableId="111941185">
    <w:abstractNumId w:val="0"/>
  </w:num>
  <w:num w:numId="16" w16cid:durableId="1570119758">
    <w:abstractNumId w:val="39"/>
  </w:num>
  <w:num w:numId="17" w16cid:durableId="318268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2876977">
    <w:abstractNumId w:val="8"/>
  </w:num>
  <w:num w:numId="19" w16cid:durableId="931398362">
    <w:abstractNumId w:val="30"/>
  </w:num>
  <w:num w:numId="20" w16cid:durableId="157161200">
    <w:abstractNumId w:val="33"/>
  </w:num>
  <w:num w:numId="21" w16cid:durableId="636570748">
    <w:abstractNumId w:val="36"/>
  </w:num>
  <w:num w:numId="22" w16cid:durableId="1955014866">
    <w:abstractNumId w:val="20"/>
  </w:num>
  <w:num w:numId="23" w16cid:durableId="713774567">
    <w:abstractNumId w:val="47"/>
  </w:num>
  <w:num w:numId="24" w16cid:durableId="1017006046">
    <w:abstractNumId w:val="4"/>
  </w:num>
  <w:num w:numId="25" w16cid:durableId="1341204100">
    <w:abstractNumId w:val="25"/>
  </w:num>
  <w:num w:numId="26" w16cid:durableId="1029916873">
    <w:abstractNumId w:val="5"/>
  </w:num>
  <w:num w:numId="27" w16cid:durableId="47145186">
    <w:abstractNumId w:val="37"/>
  </w:num>
  <w:num w:numId="28" w16cid:durableId="151145773">
    <w:abstractNumId w:val="26"/>
  </w:num>
  <w:num w:numId="29" w16cid:durableId="88547302">
    <w:abstractNumId w:val="46"/>
  </w:num>
  <w:num w:numId="30" w16cid:durableId="2032413625">
    <w:abstractNumId w:val="10"/>
  </w:num>
  <w:num w:numId="31" w16cid:durableId="205920757">
    <w:abstractNumId w:val="9"/>
  </w:num>
  <w:num w:numId="32" w16cid:durableId="323317297">
    <w:abstractNumId w:val="45"/>
  </w:num>
  <w:num w:numId="33" w16cid:durableId="495650517">
    <w:abstractNumId w:val="23"/>
  </w:num>
  <w:num w:numId="34" w16cid:durableId="1535731476">
    <w:abstractNumId w:val="16"/>
  </w:num>
  <w:num w:numId="35" w16cid:durableId="991760760">
    <w:abstractNumId w:val="29"/>
  </w:num>
  <w:num w:numId="36" w16cid:durableId="1759716004">
    <w:abstractNumId w:val="19"/>
  </w:num>
  <w:num w:numId="37" w16cid:durableId="748622893">
    <w:abstractNumId w:val="27"/>
  </w:num>
  <w:num w:numId="38" w16cid:durableId="1011880068">
    <w:abstractNumId w:val="14"/>
  </w:num>
  <w:num w:numId="39" w16cid:durableId="992876849">
    <w:abstractNumId w:val="3"/>
  </w:num>
  <w:num w:numId="40" w16cid:durableId="820734191">
    <w:abstractNumId w:val="38"/>
  </w:num>
  <w:num w:numId="41" w16cid:durableId="1588727363">
    <w:abstractNumId w:val="35"/>
  </w:num>
  <w:num w:numId="42" w16cid:durableId="1101219184">
    <w:abstractNumId w:val="34"/>
  </w:num>
  <w:num w:numId="43" w16cid:durableId="727343425">
    <w:abstractNumId w:val="18"/>
  </w:num>
  <w:num w:numId="44" w16cid:durableId="337661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701348">
    <w:abstractNumId w:val="24"/>
  </w:num>
  <w:num w:numId="46" w16cid:durableId="1185361069">
    <w:abstractNumId w:val="41"/>
  </w:num>
  <w:num w:numId="47" w16cid:durableId="382100741">
    <w:abstractNumId w:val="43"/>
  </w:num>
  <w:num w:numId="48" w16cid:durableId="946885499">
    <w:abstractNumId w:val="11"/>
  </w:num>
  <w:num w:numId="49" w16cid:durableId="126040978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616"/>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069"/>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10BB"/>
    <w:rsid w:val="001728AD"/>
    <w:rsid w:val="001734F5"/>
    <w:rsid w:val="00174487"/>
    <w:rsid w:val="00181B1C"/>
    <w:rsid w:val="001826CC"/>
    <w:rsid w:val="001859BC"/>
    <w:rsid w:val="00191692"/>
    <w:rsid w:val="00191C29"/>
    <w:rsid w:val="00192661"/>
    <w:rsid w:val="001930BD"/>
    <w:rsid w:val="001944C9"/>
    <w:rsid w:val="00194A10"/>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3A9"/>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01A"/>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5809"/>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0DD"/>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0DD"/>
    <w:rsid w:val="006F0854"/>
    <w:rsid w:val="006F1A34"/>
    <w:rsid w:val="006F6116"/>
    <w:rsid w:val="006F7160"/>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2B41"/>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A512A"/>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676D"/>
    <w:rsid w:val="00B276E6"/>
    <w:rsid w:val="00B27837"/>
    <w:rsid w:val="00B32AF1"/>
    <w:rsid w:val="00B3387D"/>
    <w:rsid w:val="00B33FAF"/>
    <w:rsid w:val="00B364B4"/>
    <w:rsid w:val="00B36D8A"/>
    <w:rsid w:val="00B37085"/>
    <w:rsid w:val="00B409BD"/>
    <w:rsid w:val="00B43D97"/>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76276"/>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2A0"/>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1C"/>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26D1"/>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C6E6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0705"/>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1445"/>
  <w15:chartTrackingRefBased/>
  <w15:docId w15:val="{B6DAAF82-7F6D-41A7-8AD3-4CF9D969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9"/>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645809"/>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290A93"/>
    <w:pPr>
      <w:tabs>
        <w:tab w:val="center" w:pos="4419"/>
        <w:tab w:val="right" w:pos="8838"/>
      </w:tabs>
    </w:pPr>
  </w:style>
  <w:style w:type="character" w:customStyle="1" w:styleId="PiedepginaCar">
    <w:name w:val="Pie de página Car"/>
    <w:link w:val="Piedepgina"/>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9"/>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qFormat/>
    <w:rsid w:val="004D0B3B"/>
    <w:pPr>
      <w:tabs>
        <w:tab w:val="right" w:leader="dot" w:pos="8820"/>
      </w:tabs>
    </w:pPr>
    <w:rPr>
      <w:lang w:eastAsia="en-US"/>
    </w:rPr>
  </w:style>
  <w:style w:type="paragraph" w:styleId="TDC2">
    <w:name w:val="toc 2"/>
    <w:basedOn w:val="Normal"/>
    <w:next w:val="Normal"/>
    <w:autoRedefine/>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uiPriority w:val="10"/>
    <w:qFormat/>
    <w:rsid w:val="004D0B3B"/>
    <w:pPr>
      <w:jc w:val="center"/>
    </w:pPr>
    <w:rPr>
      <w:b/>
      <w:sz w:val="32"/>
      <w:lang w:val="es-ES_tradnl"/>
    </w:rPr>
  </w:style>
  <w:style w:type="character" w:customStyle="1" w:styleId="TtuloCar">
    <w:name w:val="Título Car"/>
    <w:aliases w:val="Título2 Car1"/>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645809"/>
    <w:rPr>
      <w:rFonts w:ascii="Times New Roman" w:eastAsia="Times New Roman" w:hAnsi="Times New Roman"/>
      <w:b/>
      <w:bCs/>
      <w:sz w:val="22"/>
      <w:szCs w:val="22"/>
      <w:lang w:eastAsia="es-ES"/>
    </w:rPr>
  </w:style>
  <w:style w:type="character" w:customStyle="1" w:styleId="NormalWebCar">
    <w:name w:val="Normal (Web) Car"/>
    <w:link w:val="NormalWeb"/>
    <w:uiPriority w:val="99"/>
    <w:rsid w:val="00645809"/>
    <w:rPr>
      <w:rFonts w:ascii="Arial" w:eastAsia="Times New Roman" w:hAnsi="Arial" w:cs="Arial"/>
      <w:sz w:val="18"/>
      <w:szCs w:val="18"/>
    </w:rPr>
  </w:style>
  <w:style w:type="paragraph" w:customStyle="1" w:styleId="encabezado0">
    <w:name w:val="encabezado"/>
    <w:basedOn w:val="Normal"/>
    <w:uiPriority w:val="1"/>
    <w:qFormat/>
    <w:rsid w:val="00645809"/>
    <w:pPr>
      <w:jc w:val="both"/>
    </w:pPr>
    <w:rPr>
      <w:rFonts w:ascii="Franklin Gothic Book" w:hAnsi="Franklin Gothic Book"/>
      <w:sz w:val="22"/>
      <w:szCs w:val="24"/>
      <w:lang w:val="es-CR" w:eastAsia="en-US"/>
    </w:rPr>
  </w:style>
  <w:style w:type="paragraph" w:customStyle="1" w:styleId="Ttulo10">
    <w:name w:val="Título1"/>
    <w:basedOn w:val="Normal"/>
    <w:qFormat/>
    <w:rsid w:val="00645809"/>
    <w:pPr>
      <w:jc w:val="center"/>
    </w:pPr>
    <w:rPr>
      <w:b/>
      <w:sz w:val="32"/>
      <w:lang w:val="es-ES_tradnl"/>
    </w:rPr>
  </w:style>
  <w:style w:type="character" w:customStyle="1" w:styleId="haupttext1">
    <w:name w:val="haupttext1"/>
    <w:rsid w:val="00645809"/>
    <w:rPr>
      <w:rFonts w:ascii="Verdana" w:hAnsi="Verdana" w:hint="default"/>
      <w:sz w:val="18"/>
      <w:szCs w:val="18"/>
    </w:rPr>
  </w:style>
  <w:style w:type="paragraph" w:customStyle="1" w:styleId="Textoindependiente21">
    <w:name w:val="Texto independiente 21"/>
    <w:basedOn w:val="Normal"/>
    <w:rsid w:val="00645809"/>
    <w:pPr>
      <w:jc w:val="both"/>
    </w:pPr>
    <w:rPr>
      <w:b/>
      <w:sz w:val="24"/>
      <w:szCs w:val="24"/>
      <w:lang w:val="es-CR"/>
    </w:rPr>
  </w:style>
  <w:style w:type="character" w:customStyle="1" w:styleId="xdtextbox1">
    <w:name w:val="xdtextbox1"/>
    <w:rsid w:val="00645809"/>
    <w:rPr>
      <w:color w:val="auto"/>
      <w:bdr w:val="single" w:sz="8" w:space="1" w:color="DCDCDC" w:frame="1"/>
      <w:shd w:val="clear" w:color="auto" w:fill="FFFFFF"/>
    </w:rPr>
  </w:style>
  <w:style w:type="paragraph" w:customStyle="1" w:styleId="Estilo3">
    <w:name w:val="Estilo 3"/>
    <w:basedOn w:val="Normal"/>
    <w:rsid w:val="00645809"/>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645809"/>
    <w:rPr>
      <w:sz w:val="28"/>
      <w:szCs w:val="16"/>
      <w:lang w:val="es-ES"/>
    </w:rPr>
  </w:style>
  <w:style w:type="character" w:customStyle="1" w:styleId="TextoindependienteReglamentoCar">
    <w:name w:val="Texto independiente Reglamento Car"/>
    <w:link w:val="TextoindependienteReglamento"/>
    <w:locked/>
    <w:rsid w:val="00645809"/>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645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645809"/>
    <w:rPr>
      <w:rFonts w:ascii="Courier New" w:eastAsia="Times New Roman" w:hAnsi="Courier New" w:cs="Courier New"/>
      <w:sz w:val="29"/>
      <w:szCs w:val="29"/>
      <w:lang w:eastAsia="es-ES"/>
    </w:rPr>
  </w:style>
  <w:style w:type="paragraph" w:customStyle="1" w:styleId="domtab">
    <w:name w:val="domtab"/>
    <w:basedOn w:val="Normal"/>
    <w:rsid w:val="00645809"/>
    <w:pPr>
      <w:spacing w:before="420" w:line="225" w:lineRule="atLeast"/>
    </w:pPr>
    <w:rPr>
      <w:rFonts w:ascii="Arial" w:hAnsi="Arial" w:cs="Arial"/>
      <w:color w:val="434343"/>
      <w:sz w:val="18"/>
      <w:szCs w:val="18"/>
      <w:lang w:val="es-CR"/>
    </w:rPr>
  </w:style>
  <w:style w:type="paragraph" w:customStyle="1" w:styleId="clear">
    <w:name w:val="clear"/>
    <w:basedOn w:val="Normal"/>
    <w:rsid w:val="00645809"/>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645809"/>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645809"/>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645809"/>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645809"/>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645809"/>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645809"/>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645809"/>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645809"/>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645809"/>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645809"/>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645809"/>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645809"/>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645809"/>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645809"/>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645809"/>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645809"/>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645809"/>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645809"/>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645809"/>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645809"/>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645809"/>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645809"/>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645809"/>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645809"/>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645809"/>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645809"/>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645809"/>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645809"/>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645809"/>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645809"/>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645809"/>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645809"/>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645809"/>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645809"/>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645809"/>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645809"/>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645809"/>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645809"/>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645809"/>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645809"/>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645809"/>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645809"/>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645809"/>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645809"/>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645809"/>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645809"/>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645809"/>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645809"/>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645809"/>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645809"/>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645809"/>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645809"/>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645809"/>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645809"/>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645809"/>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645809"/>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645809"/>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645809"/>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645809"/>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645809"/>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645809"/>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645809"/>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645809"/>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645809"/>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645809"/>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645809"/>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645809"/>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645809"/>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645809"/>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645809"/>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645809"/>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645809"/>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645809"/>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645809"/>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645809"/>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645809"/>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645809"/>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645809"/>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645809"/>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645809"/>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645809"/>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645809"/>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645809"/>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645809"/>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645809"/>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645809"/>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645809"/>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645809"/>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645809"/>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645809"/>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645809"/>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645809"/>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645809"/>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645809"/>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645809"/>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645809"/>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645809"/>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645809"/>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645809"/>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645809"/>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645809"/>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645809"/>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645809"/>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645809"/>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645809"/>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645809"/>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645809"/>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645809"/>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645809"/>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645809"/>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645809"/>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645809"/>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645809"/>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645809"/>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645809"/>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645809"/>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645809"/>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645809"/>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645809"/>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645809"/>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645809"/>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645809"/>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645809"/>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645809"/>
    <w:rPr>
      <w:rFonts w:ascii="Arial" w:hAnsi="Arial" w:cs="Arial" w:hint="default"/>
      <w:color w:val="434343"/>
      <w:sz w:val="17"/>
      <w:szCs w:val="17"/>
    </w:rPr>
  </w:style>
  <w:style w:type="paragraph" w:styleId="Textonotaalfinal">
    <w:name w:val="endnote text"/>
    <w:basedOn w:val="Normal"/>
    <w:link w:val="TextonotaalfinalCar"/>
    <w:unhideWhenUsed/>
    <w:rsid w:val="00645809"/>
    <w:rPr>
      <w:rFonts w:ascii="Calibri" w:hAnsi="Calibri"/>
      <w:lang w:val="es-CR" w:eastAsia="es-CR"/>
    </w:rPr>
  </w:style>
  <w:style w:type="character" w:customStyle="1" w:styleId="TextonotaalfinalCar">
    <w:name w:val="Texto nota al final Car"/>
    <w:basedOn w:val="Fuentedeprrafopredeter"/>
    <w:link w:val="Textonotaalfinal"/>
    <w:rsid w:val="00645809"/>
    <w:rPr>
      <w:rFonts w:eastAsia="Times New Roman"/>
    </w:rPr>
  </w:style>
  <w:style w:type="character" w:styleId="Refdenotaalfinal">
    <w:name w:val="endnote reference"/>
    <w:uiPriority w:val="99"/>
    <w:unhideWhenUsed/>
    <w:rsid w:val="00645809"/>
    <w:rPr>
      <w:vertAlign w:val="superscript"/>
    </w:rPr>
  </w:style>
  <w:style w:type="character" w:customStyle="1" w:styleId="hps">
    <w:name w:val="hps"/>
    <w:rsid w:val="00645809"/>
  </w:style>
  <w:style w:type="paragraph" w:customStyle="1" w:styleId="Texto">
    <w:name w:val="Texto"/>
    <w:basedOn w:val="Normal"/>
    <w:link w:val="TextoChar"/>
    <w:qFormat/>
    <w:rsid w:val="00645809"/>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645809"/>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645809"/>
    <w:rPr>
      <w:b/>
    </w:rPr>
  </w:style>
  <w:style w:type="character" w:customStyle="1" w:styleId="NegritaChar1">
    <w:name w:val="Negrita Char1"/>
    <w:link w:val="Negrita"/>
    <w:rsid w:val="00645809"/>
    <w:rPr>
      <w:rFonts w:ascii="Franklin Gothic Book" w:eastAsia="Times New Roman" w:hAnsi="Franklin Gothic Book"/>
      <w:b/>
      <w:sz w:val="22"/>
      <w:szCs w:val="24"/>
      <w:lang w:eastAsia="en-US"/>
    </w:rPr>
  </w:style>
  <w:style w:type="paragraph" w:customStyle="1" w:styleId="TextoInformes">
    <w:name w:val="Texto Informes"/>
    <w:basedOn w:val="Normal"/>
    <w:rsid w:val="00645809"/>
    <w:pPr>
      <w:jc w:val="both"/>
    </w:pPr>
    <w:rPr>
      <w:rFonts w:ascii="Arial" w:hAnsi="Arial"/>
      <w:sz w:val="22"/>
      <w:szCs w:val="24"/>
      <w:lang w:val="es-CR"/>
    </w:rPr>
  </w:style>
  <w:style w:type="table" w:styleId="Sombreadomedio1-nfasis5">
    <w:name w:val="Medium Shading 1 Accent 5"/>
    <w:basedOn w:val="Tablanormal"/>
    <w:uiPriority w:val="63"/>
    <w:rsid w:val="00645809"/>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645809"/>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645809"/>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645809"/>
    <w:pPr>
      <w:ind w:left="283" w:hanging="283"/>
      <w:contextualSpacing/>
    </w:pPr>
    <w:rPr>
      <w:lang w:val="es-CR"/>
    </w:rPr>
  </w:style>
  <w:style w:type="paragraph" w:styleId="Lista2">
    <w:name w:val="List 2"/>
    <w:basedOn w:val="Normal"/>
    <w:uiPriority w:val="99"/>
    <w:unhideWhenUsed/>
    <w:rsid w:val="00645809"/>
    <w:pPr>
      <w:ind w:left="566" w:hanging="283"/>
      <w:contextualSpacing/>
    </w:pPr>
    <w:rPr>
      <w:lang w:val="es-CR"/>
    </w:rPr>
  </w:style>
  <w:style w:type="paragraph" w:styleId="Saludo">
    <w:name w:val="Salutation"/>
    <w:basedOn w:val="Normal"/>
    <w:next w:val="Normal"/>
    <w:link w:val="SaludoCar"/>
    <w:uiPriority w:val="99"/>
    <w:unhideWhenUsed/>
    <w:rsid w:val="00645809"/>
    <w:rPr>
      <w:lang w:val="es-CR"/>
    </w:rPr>
  </w:style>
  <w:style w:type="character" w:customStyle="1" w:styleId="SaludoCar">
    <w:name w:val="Saludo Car"/>
    <w:basedOn w:val="Fuentedeprrafopredeter"/>
    <w:link w:val="Saludo"/>
    <w:uiPriority w:val="99"/>
    <w:rsid w:val="00645809"/>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645809"/>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64580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645809"/>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645809"/>
    <w:rPr>
      <w:rFonts w:ascii="Times New Roman" w:eastAsia="Times New Roman" w:hAnsi="Times New Roman"/>
      <w:sz w:val="24"/>
      <w:lang w:val="es-ES" w:eastAsia="es-ES"/>
    </w:rPr>
  </w:style>
  <w:style w:type="paragraph" w:customStyle="1" w:styleId="Car">
    <w:name w:val="Car"/>
    <w:basedOn w:val="Normal"/>
    <w:rsid w:val="00645809"/>
    <w:pPr>
      <w:spacing w:after="160" w:line="240" w:lineRule="exact"/>
    </w:pPr>
    <w:rPr>
      <w:rFonts w:ascii="Arial" w:eastAsia="MS Mincho" w:hAnsi="Arial"/>
      <w:lang w:eastAsia="en-US"/>
    </w:rPr>
  </w:style>
  <w:style w:type="paragraph" w:customStyle="1" w:styleId="Prrafodelista2">
    <w:name w:val="Párrafo de lista2"/>
    <w:basedOn w:val="Normal"/>
    <w:qFormat/>
    <w:rsid w:val="00645809"/>
    <w:pPr>
      <w:ind w:left="720"/>
    </w:pPr>
    <w:rPr>
      <w:rFonts w:eastAsia="Calibri"/>
    </w:rPr>
  </w:style>
  <w:style w:type="character" w:customStyle="1" w:styleId="estilo11">
    <w:name w:val="estilo11"/>
    <w:rsid w:val="00645809"/>
    <w:rPr>
      <w:rFonts w:ascii="Arial" w:hAnsi="Arial" w:cs="Arial" w:hint="default"/>
      <w:sz w:val="20"/>
      <w:szCs w:val="20"/>
    </w:rPr>
  </w:style>
  <w:style w:type="paragraph" w:customStyle="1" w:styleId="Artculo">
    <w:name w:val="Artículo"/>
    <w:basedOn w:val="NormalWeb"/>
    <w:next w:val="Textoindependiente"/>
    <w:qFormat/>
    <w:rsid w:val="00645809"/>
    <w:pPr>
      <w:widowControl w:val="0"/>
      <w:numPr>
        <w:numId w:val="11"/>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645809"/>
    <w:pPr>
      <w:numPr>
        <w:numId w:val="12"/>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645809"/>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645809"/>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645809"/>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645809"/>
    <w:pPr>
      <w:spacing w:after="120"/>
      <w:jc w:val="both"/>
    </w:pPr>
    <w:rPr>
      <w:rFonts w:eastAsia="Arial Unicode MS" w:cs="Arial"/>
      <w:sz w:val="24"/>
    </w:rPr>
  </w:style>
  <w:style w:type="paragraph" w:customStyle="1" w:styleId="TextoInforme">
    <w:name w:val="Texto Informe"/>
    <w:basedOn w:val="Normal"/>
    <w:qFormat/>
    <w:rsid w:val="00645809"/>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645809"/>
    <w:rPr>
      <w:rFonts w:ascii="Tahoma" w:hAnsi="Tahoma" w:cs="Tahoma"/>
      <w:sz w:val="16"/>
      <w:szCs w:val="16"/>
      <w:lang w:val="es-CR"/>
    </w:rPr>
  </w:style>
  <w:style w:type="character" w:customStyle="1" w:styleId="MapadeldocumentoCar">
    <w:name w:val="Mapa del documento Car"/>
    <w:basedOn w:val="Fuentedeprrafopredeter"/>
    <w:link w:val="Mapadeldocumento"/>
    <w:rsid w:val="00645809"/>
    <w:rPr>
      <w:rFonts w:ascii="Tahoma" w:eastAsia="Times New Roman" w:hAnsi="Tahoma" w:cs="Tahoma"/>
      <w:sz w:val="16"/>
      <w:szCs w:val="16"/>
      <w:lang w:eastAsia="es-ES"/>
    </w:rPr>
  </w:style>
  <w:style w:type="paragraph" w:customStyle="1" w:styleId="EMPTYCELLSTYLE">
    <w:name w:val="EMPTY_CELL_STYLE"/>
    <w:qFormat/>
    <w:rsid w:val="00645809"/>
    <w:rPr>
      <w:rFonts w:ascii="Times New Roman" w:eastAsia="Times New Roman" w:hAnsi="Times New Roman"/>
      <w:sz w:val="1"/>
    </w:rPr>
  </w:style>
  <w:style w:type="paragraph" w:customStyle="1" w:styleId="piepagina0">
    <w:name w:val="piepagina"/>
    <w:basedOn w:val="Normal"/>
    <w:rsid w:val="00645809"/>
    <w:pPr>
      <w:spacing w:before="100" w:beforeAutospacing="1" w:after="100" w:afterAutospacing="1"/>
    </w:pPr>
    <w:rPr>
      <w:sz w:val="24"/>
      <w:szCs w:val="24"/>
      <w:lang w:val="es-CR" w:eastAsia="es-CR"/>
    </w:rPr>
  </w:style>
  <w:style w:type="table" w:styleId="Tablaconcuadrcula5">
    <w:name w:val="Table Grid 5"/>
    <w:basedOn w:val="Tablanormal"/>
    <w:rsid w:val="00645809"/>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645809"/>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645809"/>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645809"/>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6458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645809"/>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645809"/>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645809"/>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645809"/>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64580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645809"/>
    <w:rPr>
      <w:lang w:eastAsia="es-ES"/>
    </w:rPr>
  </w:style>
  <w:style w:type="paragraph" w:customStyle="1" w:styleId="Textodereglamento">
    <w:name w:val="Texto de reglamento"/>
    <w:basedOn w:val="Normal"/>
    <w:link w:val="TextodereglamentoChar"/>
    <w:qFormat/>
    <w:rsid w:val="00645809"/>
    <w:pPr>
      <w:spacing w:before="120"/>
      <w:jc w:val="both"/>
    </w:pPr>
    <w:rPr>
      <w:rFonts w:ascii="Calibri" w:eastAsia="Calibri" w:hAnsi="Calibri"/>
      <w:lang w:val="es-CR"/>
    </w:rPr>
  </w:style>
  <w:style w:type="paragraph" w:customStyle="1" w:styleId="incisos">
    <w:name w:val="incisos"/>
    <w:basedOn w:val="Normal"/>
    <w:qFormat/>
    <w:rsid w:val="00645809"/>
    <w:pPr>
      <w:numPr>
        <w:numId w:val="13"/>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645809"/>
    <w:rPr>
      <w:rFonts w:ascii="Times New Roman" w:eastAsia="Times New Roman" w:hAnsi="Times New Roman"/>
      <w:b/>
      <w:bCs/>
      <w:lang w:val="en-US" w:eastAsia="en-US"/>
    </w:rPr>
  </w:style>
  <w:style w:type="table" w:customStyle="1" w:styleId="Listaclara11">
    <w:name w:val="Lista clara11"/>
    <w:basedOn w:val="Tablanormal"/>
    <w:uiPriority w:val="61"/>
    <w:rsid w:val="00645809"/>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64580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458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nEncabezado">
    <w:name w:val="Supen_Encabezado"/>
    <w:next w:val="Normal"/>
    <w:link w:val="SupenEncabezadoCar"/>
    <w:autoRedefine/>
    <w:qFormat/>
    <w:rsid w:val="00645809"/>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645809"/>
    <w:rPr>
      <w:rFonts w:ascii="Times New Roman" w:hAnsi="Times New Roman"/>
      <w:sz w:val="24"/>
      <w:szCs w:val="22"/>
      <w:lang w:val="es-ES" w:eastAsia="en-US"/>
    </w:rPr>
  </w:style>
  <w:style w:type="character" w:styleId="Textodelmarcadordeposicin">
    <w:name w:val="Placeholder Text"/>
    <w:uiPriority w:val="99"/>
    <w:semiHidden/>
    <w:rsid w:val="00645809"/>
    <w:rPr>
      <w:color w:val="808080"/>
    </w:rPr>
  </w:style>
  <w:style w:type="character" w:styleId="nfasis">
    <w:name w:val="Emphasis"/>
    <w:uiPriority w:val="20"/>
    <w:qFormat/>
    <w:rsid w:val="00645809"/>
    <w:rPr>
      <w:i/>
      <w:iCs/>
    </w:rPr>
  </w:style>
  <w:style w:type="character" w:customStyle="1" w:styleId="TtuloCar1">
    <w:name w:val="Título Car1"/>
    <w:aliases w:val="Título2 Car"/>
    <w:basedOn w:val="Fuentedeprrafopredeter"/>
    <w:uiPriority w:val="10"/>
    <w:rsid w:val="00645809"/>
    <w:rPr>
      <w:rFonts w:ascii="Calibri Light" w:eastAsia="Times New Roman" w:hAnsi="Calibri Light"/>
      <w:spacing w:val="-10"/>
      <w:kern w:val="28"/>
      <w:sz w:val="56"/>
      <w:szCs w:val="56"/>
      <w:lang w:eastAsia="es-ES"/>
    </w:rPr>
  </w:style>
  <w:style w:type="character" w:customStyle="1" w:styleId="Ttulo2Car1">
    <w:name w:val="Título 2 Car1"/>
    <w:aliases w:val="CAPÍTULO Car1,Car10 Car1"/>
    <w:semiHidden/>
    <w:rsid w:val="00645809"/>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645809"/>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645809"/>
    <w:pPr>
      <w:spacing w:after="160" w:line="240" w:lineRule="exact"/>
    </w:pPr>
    <w:rPr>
      <w:rFonts w:ascii="Arial" w:eastAsia="Batang" w:hAnsi="Arial"/>
      <w:b/>
      <w:caps/>
      <w:sz w:val="16"/>
      <w:lang w:val="en-US" w:eastAsia="en-US"/>
    </w:rPr>
  </w:style>
  <w:style w:type="paragraph" w:customStyle="1" w:styleId="Char">
    <w:name w:val="Char"/>
    <w:basedOn w:val="Normal"/>
    <w:rsid w:val="00645809"/>
    <w:pPr>
      <w:spacing w:after="160" w:line="240" w:lineRule="exact"/>
    </w:pPr>
    <w:rPr>
      <w:rFonts w:ascii="Arial" w:eastAsia="MS Mincho" w:hAnsi="Arial"/>
      <w:lang w:eastAsia="en-US"/>
    </w:rPr>
  </w:style>
  <w:style w:type="paragraph" w:customStyle="1" w:styleId="p31">
    <w:name w:val="p31"/>
    <w:basedOn w:val="Normal"/>
    <w:rsid w:val="00645809"/>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645809"/>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645809"/>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645809"/>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64580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645809"/>
    <w:pPr>
      <w:spacing w:before="100" w:beforeAutospacing="1" w:after="100" w:afterAutospacing="1"/>
    </w:pPr>
    <w:rPr>
      <w:sz w:val="24"/>
      <w:szCs w:val="24"/>
    </w:rPr>
  </w:style>
  <w:style w:type="paragraph" w:customStyle="1" w:styleId="FechaCNS">
    <w:name w:val="FechaCNS"/>
    <w:basedOn w:val="Normal"/>
    <w:qFormat/>
    <w:rsid w:val="00645809"/>
    <w:pPr>
      <w:spacing w:before="360"/>
      <w:ind w:left="567" w:hanging="567"/>
      <w:jc w:val="both"/>
    </w:pPr>
    <w:rPr>
      <w:sz w:val="22"/>
      <w:szCs w:val="22"/>
    </w:rPr>
  </w:style>
  <w:style w:type="paragraph" w:customStyle="1" w:styleId="Cuadro">
    <w:name w:val="Cuadro"/>
    <w:basedOn w:val="Normal"/>
    <w:link w:val="CuadroCar"/>
    <w:qFormat/>
    <w:rsid w:val="00645809"/>
    <w:pPr>
      <w:jc w:val="center"/>
    </w:pPr>
    <w:rPr>
      <w:rFonts w:ascii="Cambria" w:eastAsia="MS Mincho" w:hAnsi="Cambria" w:cs="Tahoma"/>
      <w:b/>
      <w:sz w:val="22"/>
      <w:lang w:val="es-CR" w:eastAsia="en-US" w:bidi="en-US"/>
    </w:rPr>
  </w:style>
  <w:style w:type="character" w:customStyle="1" w:styleId="CuadroCar">
    <w:name w:val="Cuadro Car"/>
    <w:link w:val="Cuadro"/>
    <w:rsid w:val="00645809"/>
    <w:rPr>
      <w:rFonts w:ascii="Cambria" w:eastAsia="MS Mincho" w:hAnsi="Cambria" w:cs="Tahoma"/>
      <w:b/>
      <w:sz w:val="22"/>
      <w:lang w:eastAsia="en-US" w:bidi="en-US"/>
    </w:rPr>
  </w:style>
  <w:style w:type="paragraph" w:customStyle="1" w:styleId="Pa6">
    <w:name w:val="Pa6"/>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645809"/>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645809"/>
    <w:pPr>
      <w:spacing w:line="360" w:lineRule="auto"/>
      <w:jc w:val="both"/>
    </w:pPr>
    <w:rPr>
      <w:sz w:val="24"/>
      <w:lang w:val="es-ES_tradnl"/>
    </w:rPr>
  </w:style>
  <w:style w:type="character" w:customStyle="1" w:styleId="CarCar4">
    <w:name w:val="Car Car4"/>
    <w:locked/>
    <w:rsid w:val="00645809"/>
    <w:rPr>
      <w:lang w:val="es-ES" w:eastAsia="es-ES" w:bidi="ar-SA"/>
    </w:rPr>
  </w:style>
  <w:style w:type="paragraph" w:customStyle="1" w:styleId="Parrafo">
    <w:name w:val="Parrafo"/>
    <w:basedOn w:val="Normal"/>
    <w:link w:val="ParrafoChar"/>
    <w:qFormat/>
    <w:rsid w:val="00645809"/>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645809"/>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645809"/>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645809"/>
    <w:pPr>
      <w:spacing w:line="360" w:lineRule="auto"/>
      <w:jc w:val="both"/>
    </w:pPr>
    <w:rPr>
      <w:sz w:val="24"/>
      <w:lang w:val="es-ES_tradnl"/>
    </w:rPr>
  </w:style>
  <w:style w:type="paragraph" w:styleId="TtuloTDC">
    <w:name w:val="TOC Heading"/>
    <w:basedOn w:val="Ttulo1"/>
    <w:next w:val="Normal"/>
    <w:uiPriority w:val="39"/>
    <w:unhideWhenUsed/>
    <w:qFormat/>
    <w:rsid w:val="00645809"/>
    <w:pPr>
      <w:keepLines/>
      <w:spacing w:before="480"/>
      <w:jc w:val="left"/>
      <w:outlineLvl w:val="9"/>
    </w:pPr>
    <w:rPr>
      <w:rFonts w:ascii="Cambria" w:hAnsi="Cambria"/>
      <w:b/>
      <w:bCs/>
      <w:color w:val="365F91"/>
      <w:sz w:val="28"/>
      <w:szCs w:val="28"/>
      <w:lang w:val="es-CR"/>
    </w:rPr>
  </w:style>
  <w:style w:type="character" w:customStyle="1" w:styleId="i">
    <w:name w:val="i"/>
    <w:rsid w:val="00645809"/>
    <w:rPr>
      <w:i/>
      <w:iCs/>
      <w:color w:val="003399"/>
    </w:rPr>
  </w:style>
  <w:style w:type="paragraph" w:customStyle="1" w:styleId="brandcopy">
    <w:name w:val="brand_copy"/>
    <w:basedOn w:val="Normal"/>
    <w:rsid w:val="00645809"/>
    <w:pPr>
      <w:spacing w:before="120"/>
    </w:pPr>
    <w:rPr>
      <w:rFonts w:ascii="Arial" w:hAnsi="Arial" w:cs="Arial"/>
      <w:sz w:val="15"/>
      <w:szCs w:val="15"/>
      <w:lang w:val="en-US" w:eastAsia="en-US"/>
    </w:rPr>
  </w:style>
  <w:style w:type="character" w:customStyle="1" w:styleId="hw1">
    <w:name w:val="hw1"/>
    <w:rsid w:val="00645809"/>
    <w:rPr>
      <w:b/>
      <w:bCs/>
      <w:sz w:val="29"/>
      <w:szCs w:val="29"/>
    </w:rPr>
  </w:style>
  <w:style w:type="character" w:customStyle="1" w:styleId="illustration1">
    <w:name w:val="illustration1"/>
    <w:rsid w:val="00645809"/>
    <w:rPr>
      <w:i/>
      <w:iCs/>
      <w:color w:val="226699"/>
    </w:rPr>
  </w:style>
  <w:style w:type="character" w:customStyle="1" w:styleId="syn1">
    <w:name w:val="syn1"/>
    <w:rsid w:val="00645809"/>
  </w:style>
  <w:style w:type="paragraph" w:styleId="z-Principiodelformulario">
    <w:name w:val="HTML Top of Form"/>
    <w:basedOn w:val="Normal"/>
    <w:next w:val="Normal"/>
    <w:link w:val="z-PrincipiodelformularioCar"/>
    <w:hidden/>
    <w:uiPriority w:val="99"/>
    <w:semiHidden/>
    <w:unhideWhenUsed/>
    <w:rsid w:val="00645809"/>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645809"/>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645809"/>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645809"/>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645809"/>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645809"/>
    <w:pPr>
      <w:widowControl w:val="0"/>
      <w:numPr>
        <w:numId w:val="14"/>
      </w:numPr>
      <w:jc w:val="both"/>
    </w:pPr>
    <w:rPr>
      <w:b/>
      <w:sz w:val="24"/>
      <w:szCs w:val="24"/>
      <w:lang w:val="es-MX"/>
    </w:rPr>
  </w:style>
  <w:style w:type="paragraph" w:styleId="TDC3">
    <w:name w:val="toc 3"/>
    <w:basedOn w:val="Normal"/>
    <w:next w:val="Normal"/>
    <w:autoRedefine/>
    <w:unhideWhenUsed/>
    <w:rsid w:val="00645809"/>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645809"/>
    <w:pPr>
      <w:ind w:left="660"/>
    </w:pPr>
    <w:rPr>
      <w:rFonts w:ascii="Calibri" w:eastAsia="Calibri" w:hAnsi="Calibri"/>
      <w:lang w:val="es-CR" w:eastAsia="en-US"/>
    </w:rPr>
  </w:style>
  <w:style w:type="paragraph" w:styleId="TDC5">
    <w:name w:val="toc 5"/>
    <w:basedOn w:val="Normal"/>
    <w:next w:val="Normal"/>
    <w:autoRedefine/>
    <w:uiPriority w:val="39"/>
    <w:unhideWhenUsed/>
    <w:rsid w:val="00645809"/>
    <w:pPr>
      <w:ind w:left="880"/>
    </w:pPr>
    <w:rPr>
      <w:rFonts w:ascii="Calibri" w:eastAsia="Calibri" w:hAnsi="Calibri"/>
      <w:lang w:val="es-CR" w:eastAsia="en-US"/>
    </w:rPr>
  </w:style>
  <w:style w:type="paragraph" w:styleId="TDC6">
    <w:name w:val="toc 6"/>
    <w:basedOn w:val="Normal"/>
    <w:next w:val="Normal"/>
    <w:autoRedefine/>
    <w:uiPriority w:val="39"/>
    <w:unhideWhenUsed/>
    <w:rsid w:val="00645809"/>
    <w:pPr>
      <w:ind w:left="1100"/>
    </w:pPr>
    <w:rPr>
      <w:rFonts w:ascii="Calibri" w:eastAsia="Calibri" w:hAnsi="Calibri"/>
      <w:lang w:val="es-CR" w:eastAsia="en-US"/>
    </w:rPr>
  </w:style>
  <w:style w:type="paragraph" w:styleId="TDC7">
    <w:name w:val="toc 7"/>
    <w:basedOn w:val="Normal"/>
    <w:next w:val="Normal"/>
    <w:autoRedefine/>
    <w:uiPriority w:val="39"/>
    <w:unhideWhenUsed/>
    <w:rsid w:val="00645809"/>
    <w:pPr>
      <w:ind w:left="1320"/>
    </w:pPr>
    <w:rPr>
      <w:rFonts w:ascii="Calibri" w:eastAsia="Calibri" w:hAnsi="Calibri"/>
      <w:lang w:val="es-CR" w:eastAsia="en-US"/>
    </w:rPr>
  </w:style>
  <w:style w:type="paragraph" w:styleId="TDC8">
    <w:name w:val="toc 8"/>
    <w:basedOn w:val="Normal"/>
    <w:next w:val="Normal"/>
    <w:autoRedefine/>
    <w:uiPriority w:val="39"/>
    <w:unhideWhenUsed/>
    <w:rsid w:val="00645809"/>
    <w:pPr>
      <w:ind w:left="1540"/>
    </w:pPr>
    <w:rPr>
      <w:rFonts w:ascii="Calibri" w:eastAsia="Calibri" w:hAnsi="Calibri"/>
      <w:lang w:val="es-CR" w:eastAsia="en-US"/>
    </w:rPr>
  </w:style>
  <w:style w:type="paragraph" w:styleId="TDC9">
    <w:name w:val="toc 9"/>
    <w:basedOn w:val="Normal"/>
    <w:next w:val="Normal"/>
    <w:autoRedefine/>
    <w:uiPriority w:val="39"/>
    <w:unhideWhenUsed/>
    <w:rsid w:val="00645809"/>
    <w:pPr>
      <w:ind w:left="1760"/>
    </w:pPr>
    <w:rPr>
      <w:rFonts w:ascii="Calibri" w:eastAsia="Calibri" w:hAnsi="Calibri"/>
      <w:lang w:val="es-CR" w:eastAsia="en-US"/>
    </w:rPr>
  </w:style>
  <w:style w:type="paragraph" w:customStyle="1" w:styleId="Evento">
    <w:name w:val="Evento"/>
    <w:basedOn w:val="Normal"/>
    <w:uiPriority w:val="99"/>
    <w:rsid w:val="00645809"/>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645809"/>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645809"/>
    <w:rPr>
      <w:rFonts w:eastAsia="Calibri"/>
      <w:color w:val="000000"/>
      <w:sz w:val="24"/>
      <w:szCs w:val="24"/>
      <w:lang w:val="es-CR"/>
    </w:rPr>
  </w:style>
  <w:style w:type="paragraph" w:customStyle="1" w:styleId="Listavistosa-nfasis11">
    <w:name w:val="Lista vistosa - Énfasis 11"/>
    <w:basedOn w:val="Normal"/>
    <w:uiPriority w:val="34"/>
    <w:qFormat/>
    <w:rsid w:val="00645809"/>
    <w:pPr>
      <w:spacing w:after="200" w:line="276" w:lineRule="auto"/>
      <w:ind w:left="720"/>
      <w:contextualSpacing/>
    </w:pPr>
    <w:rPr>
      <w:rFonts w:ascii="Calibri" w:eastAsia="Calibri" w:hAnsi="Calibri"/>
      <w:sz w:val="22"/>
      <w:szCs w:val="22"/>
      <w:lang w:val="es-CR" w:eastAsia="en-US"/>
    </w:rPr>
  </w:style>
  <w:style w:type="character" w:customStyle="1" w:styleId="spelle">
    <w:name w:val="spelle"/>
    <w:rsid w:val="00645809"/>
  </w:style>
  <w:style w:type="table" w:customStyle="1" w:styleId="TableGrid">
    <w:name w:val="TableGrid"/>
    <w:rsid w:val="00645809"/>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645809"/>
    <w:pPr>
      <w:spacing w:line="360" w:lineRule="auto"/>
      <w:jc w:val="both"/>
    </w:pPr>
    <w:rPr>
      <w:rFonts w:ascii="Cambria" w:hAnsi="Cambria"/>
      <w:sz w:val="18"/>
      <w:szCs w:val="18"/>
      <w:lang w:val="es-CR" w:eastAsia="en-US"/>
    </w:rPr>
  </w:style>
  <w:style w:type="character" w:customStyle="1" w:styleId="CCChar">
    <w:name w:val="CC Char"/>
    <w:link w:val="CC"/>
    <w:rsid w:val="00645809"/>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645809"/>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645809"/>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645809"/>
    <w:pPr>
      <w:ind w:left="849" w:hanging="283"/>
    </w:pPr>
    <w:rPr>
      <w:sz w:val="24"/>
      <w:szCs w:val="24"/>
      <w:lang w:val="es-CR"/>
    </w:rPr>
  </w:style>
  <w:style w:type="paragraph" w:styleId="Lista4">
    <w:name w:val="List 4"/>
    <w:basedOn w:val="Normal"/>
    <w:rsid w:val="00645809"/>
    <w:pPr>
      <w:ind w:left="1132" w:hanging="283"/>
    </w:pPr>
    <w:rPr>
      <w:sz w:val="24"/>
      <w:szCs w:val="24"/>
      <w:lang w:val="es-CR"/>
    </w:rPr>
  </w:style>
  <w:style w:type="paragraph" w:styleId="Encabezadodemensaje">
    <w:name w:val="Message Header"/>
    <w:basedOn w:val="Normal"/>
    <w:link w:val="EncabezadodemensajeCar"/>
    <w:rsid w:val="006458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645809"/>
    <w:rPr>
      <w:rFonts w:ascii="Arial" w:eastAsia="Times New Roman" w:hAnsi="Arial" w:cs="Arial"/>
      <w:sz w:val="24"/>
      <w:szCs w:val="24"/>
      <w:shd w:val="pct20" w:color="auto" w:fill="auto"/>
      <w:lang w:eastAsia="es-ES"/>
    </w:rPr>
  </w:style>
  <w:style w:type="paragraph" w:styleId="Listaconvietas2">
    <w:name w:val="List Bullet 2"/>
    <w:basedOn w:val="Normal"/>
    <w:rsid w:val="00645809"/>
    <w:pPr>
      <w:numPr>
        <w:numId w:val="15"/>
      </w:numPr>
    </w:pPr>
    <w:rPr>
      <w:sz w:val="24"/>
      <w:szCs w:val="24"/>
      <w:lang w:val="es-CR"/>
    </w:rPr>
  </w:style>
  <w:style w:type="paragraph" w:styleId="Continuarlista2">
    <w:name w:val="List Continue 2"/>
    <w:basedOn w:val="Normal"/>
    <w:rsid w:val="00645809"/>
    <w:pPr>
      <w:spacing w:after="120"/>
      <w:ind w:left="566"/>
    </w:pPr>
    <w:rPr>
      <w:sz w:val="24"/>
      <w:szCs w:val="24"/>
      <w:lang w:val="es-CR"/>
    </w:rPr>
  </w:style>
  <w:style w:type="paragraph" w:styleId="Continuarlista3">
    <w:name w:val="List Continue 3"/>
    <w:basedOn w:val="Normal"/>
    <w:rsid w:val="00645809"/>
    <w:pPr>
      <w:spacing w:after="120"/>
      <w:ind w:left="849"/>
    </w:pPr>
    <w:rPr>
      <w:sz w:val="24"/>
      <w:szCs w:val="24"/>
      <w:lang w:val="es-CR"/>
    </w:rPr>
  </w:style>
  <w:style w:type="paragraph" w:styleId="Subttulo">
    <w:name w:val="Subtitle"/>
    <w:basedOn w:val="Normal"/>
    <w:link w:val="SubttuloCar"/>
    <w:uiPriority w:val="11"/>
    <w:qFormat/>
    <w:rsid w:val="00645809"/>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11"/>
    <w:rsid w:val="00645809"/>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645809"/>
    <w:pPr>
      <w:keepNext/>
      <w:widowControl/>
      <w:spacing w:before="180" w:after="60"/>
      <w:ind w:left="3232" w:hanging="3232"/>
      <w:jc w:val="left"/>
    </w:pPr>
    <w:rPr>
      <w:rFonts w:eastAsia="Times New Roman"/>
      <w:bCs/>
    </w:rPr>
  </w:style>
  <w:style w:type="character" w:customStyle="1" w:styleId="longtext">
    <w:name w:val="long_text"/>
    <w:rsid w:val="00645809"/>
  </w:style>
  <w:style w:type="table" w:styleId="Tablacontema">
    <w:name w:val="Table Theme"/>
    <w:basedOn w:val="Tablanormal"/>
    <w:rsid w:val="0064580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645809"/>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645809"/>
    <w:rPr>
      <w:rFonts w:eastAsia="Times New Roman"/>
      <w:b/>
      <w:bCs/>
      <w:sz w:val="24"/>
      <w:szCs w:val="24"/>
      <w:lang w:eastAsia="es-ES"/>
    </w:rPr>
  </w:style>
  <w:style w:type="paragraph" w:customStyle="1" w:styleId="A">
    <w:name w:val="A"/>
    <w:basedOn w:val="Estilo1Tablacontenidos"/>
    <w:next w:val="Ttulo1"/>
    <w:link w:val="ACar"/>
    <w:qFormat/>
    <w:rsid w:val="00645809"/>
  </w:style>
  <w:style w:type="character" w:customStyle="1" w:styleId="ACar">
    <w:name w:val="A Car"/>
    <w:link w:val="A"/>
    <w:rsid w:val="00645809"/>
    <w:rPr>
      <w:rFonts w:eastAsia="Times New Roman"/>
      <w:b/>
      <w:bCs/>
      <w:sz w:val="24"/>
      <w:szCs w:val="24"/>
      <w:lang w:eastAsia="es-ES"/>
    </w:rPr>
  </w:style>
  <w:style w:type="character" w:customStyle="1" w:styleId="PuestoCar1">
    <w:name w:val="Puesto Car1"/>
    <w:uiPriority w:val="10"/>
    <w:rsid w:val="00645809"/>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645809"/>
    <w:pPr>
      <w:spacing w:line="241" w:lineRule="atLeast"/>
    </w:pPr>
    <w:rPr>
      <w:rFonts w:ascii="Calibri" w:eastAsia="Calibri" w:hAnsi="Calibri" w:cs="Times New Roman"/>
      <w:color w:val="auto"/>
      <w:lang w:eastAsia="en-US"/>
    </w:rPr>
  </w:style>
  <w:style w:type="character" w:customStyle="1" w:styleId="A1">
    <w:name w:val="A1"/>
    <w:uiPriority w:val="99"/>
    <w:rsid w:val="00645809"/>
    <w:rPr>
      <w:rFonts w:cs="Calibri"/>
      <w:color w:val="000000"/>
      <w:sz w:val="28"/>
      <w:szCs w:val="28"/>
    </w:rPr>
  </w:style>
  <w:style w:type="character" w:customStyle="1" w:styleId="A0">
    <w:name w:val="A0"/>
    <w:uiPriority w:val="99"/>
    <w:rsid w:val="00645809"/>
    <w:rPr>
      <w:b/>
      <w:bCs/>
      <w:color w:val="000000"/>
      <w:sz w:val="36"/>
      <w:szCs w:val="36"/>
    </w:rPr>
  </w:style>
  <w:style w:type="character" w:customStyle="1" w:styleId="notranslate">
    <w:name w:val="notranslate"/>
    <w:rsid w:val="00645809"/>
  </w:style>
  <w:style w:type="character" w:customStyle="1" w:styleId="google-src-text1">
    <w:name w:val="google-src-text1"/>
    <w:rsid w:val="00645809"/>
    <w:rPr>
      <w:vanish/>
      <w:webHidden w:val="0"/>
      <w:specVanish w:val="0"/>
    </w:rPr>
  </w:style>
  <w:style w:type="paragraph" w:customStyle="1" w:styleId="Numeracin">
    <w:name w:val="Numeración"/>
    <w:basedOn w:val="Textodereglamento"/>
    <w:link w:val="NumeracinChar"/>
    <w:qFormat/>
    <w:rsid w:val="00645809"/>
    <w:pPr>
      <w:numPr>
        <w:numId w:val="16"/>
      </w:numPr>
    </w:pPr>
    <w:rPr>
      <w:sz w:val="22"/>
      <w:szCs w:val="22"/>
      <w:lang w:eastAsia="en-US"/>
    </w:rPr>
  </w:style>
  <w:style w:type="character" w:customStyle="1" w:styleId="NumeracinChar">
    <w:name w:val="Numeración Char"/>
    <w:link w:val="Numeracin"/>
    <w:rsid w:val="00645809"/>
    <w:rPr>
      <w:sz w:val="22"/>
      <w:szCs w:val="22"/>
      <w:lang w:eastAsia="en-US"/>
    </w:rPr>
  </w:style>
  <w:style w:type="paragraph" w:customStyle="1" w:styleId="Pa51">
    <w:name w:val="Pa5+1"/>
    <w:basedOn w:val="Normal"/>
    <w:next w:val="Normal"/>
    <w:uiPriority w:val="99"/>
    <w:rsid w:val="00645809"/>
    <w:pPr>
      <w:autoSpaceDE w:val="0"/>
      <w:autoSpaceDN w:val="0"/>
      <w:adjustRightInd w:val="0"/>
      <w:spacing w:line="201" w:lineRule="atLeast"/>
    </w:pPr>
    <w:rPr>
      <w:rFonts w:eastAsia="Calibri"/>
      <w:sz w:val="24"/>
      <w:szCs w:val="24"/>
      <w:lang w:val="es-CR" w:eastAsia="en-US"/>
    </w:rPr>
  </w:style>
  <w:style w:type="table" w:customStyle="1" w:styleId="Tablaconcuadrcula21">
    <w:name w:val="Tabla con cuadrícula21"/>
    <w:basedOn w:val="Tablanormal"/>
    <w:next w:val="Tablaconcuadrcula"/>
    <w:uiPriority w:val="59"/>
    <w:rsid w:val="0064580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645809"/>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645809"/>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645809"/>
    <w:pPr>
      <w:spacing w:line="360" w:lineRule="auto"/>
      <w:jc w:val="both"/>
    </w:pPr>
    <w:rPr>
      <w:sz w:val="24"/>
      <w:lang w:val="es-ES_tradnl"/>
    </w:rPr>
  </w:style>
  <w:style w:type="paragraph" w:customStyle="1" w:styleId="CentradoResaltado">
    <w:name w:val="Centrado Resaltado"/>
    <w:basedOn w:val="Normal"/>
    <w:link w:val="CentradoResaltadoChar"/>
    <w:uiPriority w:val="1"/>
    <w:qFormat/>
    <w:rsid w:val="00645809"/>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645809"/>
    <w:rPr>
      <w:rFonts w:ascii="Cambria" w:eastAsia="Times New Roman" w:hAnsi="Cambria"/>
      <w:b/>
      <w:sz w:val="22"/>
      <w:szCs w:val="24"/>
      <w:lang w:val="es-ES" w:eastAsia="en-US"/>
    </w:rPr>
  </w:style>
  <w:style w:type="table" w:styleId="Tablabsica1">
    <w:name w:val="Table Simple 1"/>
    <w:basedOn w:val="Tablanormal"/>
    <w:rsid w:val="00645809"/>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645809"/>
    <w:pPr>
      <w:ind w:left="708"/>
    </w:pPr>
    <w:rPr>
      <w:sz w:val="24"/>
      <w:szCs w:val="24"/>
      <w:lang w:val="es-CR"/>
    </w:rPr>
  </w:style>
  <w:style w:type="paragraph" w:customStyle="1" w:styleId="Car11">
    <w:name w:val="Car11"/>
    <w:basedOn w:val="Normal"/>
    <w:rsid w:val="00645809"/>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645809"/>
    <w:pPr>
      <w:spacing w:line="360" w:lineRule="auto"/>
      <w:jc w:val="both"/>
    </w:pPr>
    <w:rPr>
      <w:sz w:val="24"/>
      <w:lang w:val="es-ES_tradnl"/>
    </w:rPr>
  </w:style>
  <w:style w:type="paragraph" w:customStyle="1" w:styleId="Textoindependiente25">
    <w:name w:val="Texto independiente 25"/>
    <w:basedOn w:val="Normal"/>
    <w:rsid w:val="00645809"/>
    <w:pPr>
      <w:spacing w:line="360" w:lineRule="auto"/>
      <w:jc w:val="both"/>
    </w:pPr>
    <w:rPr>
      <w:sz w:val="24"/>
      <w:lang w:val="es-ES_tradnl"/>
    </w:rPr>
  </w:style>
  <w:style w:type="character" w:customStyle="1" w:styleId="tgc">
    <w:name w:val="_tgc"/>
    <w:rsid w:val="00645809"/>
  </w:style>
  <w:style w:type="paragraph" w:customStyle="1" w:styleId="Cuadrculamedia21">
    <w:name w:val="Cuadrícula media 21"/>
    <w:uiPriority w:val="1"/>
    <w:qFormat/>
    <w:rsid w:val="00645809"/>
    <w:rPr>
      <w:sz w:val="22"/>
      <w:szCs w:val="22"/>
      <w:lang w:val="es-ES" w:eastAsia="en-US"/>
    </w:rPr>
  </w:style>
  <w:style w:type="character" w:customStyle="1" w:styleId="b1">
    <w:name w:val="b1"/>
    <w:rsid w:val="00645809"/>
    <w:rPr>
      <w:color w:val="000000"/>
    </w:rPr>
  </w:style>
  <w:style w:type="paragraph" w:customStyle="1" w:styleId="j">
    <w:name w:val="j"/>
    <w:basedOn w:val="Normal"/>
    <w:rsid w:val="00645809"/>
    <w:pPr>
      <w:spacing w:after="120"/>
    </w:pPr>
    <w:rPr>
      <w:sz w:val="24"/>
      <w:szCs w:val="24"/>
      <w:lang w:val="es-CR" w:eastAsia="es-CR"/>
    </w:rPr>
  </w:style>
  <w:style w:type="character" w:customStyle="1" w:styleId="nacep">
    <w:name w:val="n_acep"/>
    <w:rsid w:val="00645809"/>
  </w:style>
  <w:style w:type="character" w:customStyle="1" w:styleId="Ninguno">
    <w:name w:val="Ninguno"/>
    <w:rsid w:val="00645809"/>
    <w:rPr>
      <w:lang w:val="es-ES_tradnl"/>
    </w:rPr>
  </w:style>
  <w:style w:type="character" w:customStyle="1" w:styleId="grame">
    <w:name w:val="grame"/>
    <w:rsid w:val="00645809"/>
  </w:style>
  <w:style w:type="paragraph" w:customStyle="1" w:styleId="Textoindependiente26">
    <w:name w:val="Texto independiente 26"/>
    <w:basedOn w:val="Normal"/>
    <w:rsid w:val="00645809"/>
    <w:pPr>
      <w:spacing w:line="360" w:lineRule="auto"/>
      <w:jc w:val="both"/>
    </w:pPr>
    <w:rPr>
      <w:sz w:val="24"/>
      <w:lang w:val="es-ES_tradnl"/>
    </w:rPr>
  </w:style>
  <w:style w:type="character" w:customStyle="1" w:styleId="textocarta">
    <w:name w:val="texto carta"/>
    <w:qFormat/>
    <w:rsid w:val="00645809"/>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645809"/>
  </w:style>
  <w:style w:type="paragraph" w:customStyle="1" w:styleId="Textoindependiente27">
    <w:name w:val="Texto independiente 27"/>
    <w:basedOn w:val="Normal"/>
    <w:rsid w:val="00645809"/>
    <w:pPr>
      <w:spacing w:line="360" w:lineRule="auto"/>
      <w:jc w:val="both"/>
    </w:pPr>
    <w:rPr>
      <w:sz w:val="24"/>
      <w:lang w:val="es-ES_tradnl"/>
    </w:rPr>
  </w:style>
  <w:style w:type="paragraph" w:styleId="Remitedesobre">
    <w:name w:val="envelope return"/>
    <w:basedOn w:val="Normal"/>
    <w:unhideWhenUsed/>
    <w:rsid w:val="00645809"/>
    <w:rPr>
      <w:rFonts w:ascii="Arial" w:hAnsi="Arial" w:cs="Arial"/>
      <w:b/>
      <w:lang w:val="es-CR"/>
    </w:rPr>
  </w:style>
  <w:style w:type="paragraph" w:customStyle="1" w:styleId="Pa3">
    <w:name w:val="Pa3"/>
    <w:basedOn w:val="Normal"/>
    <w:next w:val="Normal"/>
    <w:uiPriority w:val="99"/>
    <w:rsid w:val="00645809"/>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645809"/>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645809"/>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645809"/>
    <w:pPr>
      <w:keepNext w:val="0"/>
      <w:numPr>
        <w:numId w:val="17"/>
      </w:numPr>
      <w:jc w:val="left"/>
    </w:pPr>
    <w:rPr>
      <w:b/>
      <w:bCs/>
      <w:noProof/>
      <w:color w:val="000000"/>
      <w:szCs w:val="24"/>
      <w:u w:val="single"/>
      <w:lang w:val="es-CR" w:eastAsia="es-CR"/>
    </w:rPr>
  </w:style>
  <w:style w:type="character" w:customStyle="1" w:styleId="Estilo2Car">
    <w:name w:val="Estilo2 Car"/>
    <w:link w:val="Estilo2"/>
    <w:locked/>
    <w:rsid w:val="00645809"/>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645809"/>
    <w:pPr>
      <w:keepNext w:val="0"/>
      <w:ind w:left="360"/>
      <w:jc w:val="left"/>
    </w:pPr>
    <w:rPr>
      <w:b/>
      <w:bCs/>
      <w:noProof/>
      <w:color w:val="000000"/>
      <w:szCs w:val="24"/>
    </w:rPr>
  </w:style>
  <w:style w:type="character" w:customStyle="1" w:styleId="Estilo3Car">
    <w:name w:val="Estilo3 Car"/>
    <w:link w:val="Estilo30"/>
    <w:locked/>
    <w:rsid w:val="00645809"/>
    <w:rPr>
      <w:rFonts w:ascii="Cambria" w:eastAsia="Times New Roman" w:hAnsi="Cambria"/>
      <w:b/>
      <w:sz w:val="24"/>
      <w:szCs w:val="24"/>
      <w:lang w:eastAsia="es-ES"/>
    </w:rPr>
  </w:style>
  <w:style w:type="paragraph" w:customStyle="1" w:styleId="Estilo30">
    <w:name w:val="Estilo3"/>
    <w:basedOn w:val="Normal"/>
    <w:link w:val="Estilo3Car"/>
    <w:qFormat/>
    <w:rsid w:val="00645809"/>
    <w:pPr>
      <w:ind w:left="360"/>
      <w:jc w:val="both"/>
    </w:pPr>
    <w:rPr>
      <w:rFonts w:ascii="Cambria" w:hAnsi="Cambria"/>
      <w:b/>
      <w:sz w:val="24"/>
      <w:szCs w:val="24"/>
      <w:lang w:val="es-CR"/>
    </w:rPr>
  </w:style>
  <w:style w:type="paragraph" w:customStyle="1" w:styleId="formatolibre1">
    <w:name w:val="formatolibre1"/>
    <w:basedOn w:val="Normal"/>
    <w:rsid w:val="00645809"/>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645809"/>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645809"/>
    <w:rPr>
      <w:rFonts w:ascii="Arial" w:eastAsia="Times New Roman" w:hAnsi="Arial"/>
      <w:szCs w:val="24"/>
      <w:lang w:val="es-ES" w:eastAsia="en-US"/>
    </w:rPr>
  </w:style>
  <w:style w:type="paragraph" w:customStyle="1" w:styleId="Textoindependiente28">
    <w:name w:val="Texto independiente 28"/>
    <w:basedOn w:val="Normal"/>
    <w:rsid w:val="00645809"/>
    <w:pPr>
      <w:spacing w:line="360" w:lineRule="auto"/>
      <w:jc w:val="both"/>
    </w:pPr>
    <w:rPr>
      <w:sz w:val="24"/>
      <w:lang w:val="es-ES_tradnl"/>
    </w:rPr>
  </w:style>
  <w:style w:type="paragraph" w:customStyle="1" w:styleId="Textoindependiente29">
    <w:name w:val="Texto independiente 29"/>
    <w:basedOn w:val="Normal"/>
    <w:rsid w:val="00645809"/>
    <w:pPr>
      <w:spacing w:line="360" w:lineRule="auto"/>
      <w:jc w:val="both"/>
    </w:pPr>
    <w:rPr>
      <w:sz w:val="24"/>
      <w:lang w:val="es-ES_tradnl"/>
    </w:rPr>
  </w:style>
  <w:style w:type="paragraph" w:customStyle="1" w:styleId="Textoindependiente210">
    <w:name w:val="Texto independiente 210"/>
    <w:basedOn w:val="Normal"/>
    <w:rsid w:val="00645809"/>
    <w:pPr>
      <w:spacing w:line="360" w:lineRule="auto"/>
      <w:jc w:val="both"/>
    </w:pPr>
    <w:rPr>
      <w:sz w:val="24"/>
      <w:lang w:val="es-ES_tradnl"/>
    </w:rPr>
  </w:style>
  <w:style w:type="paragraph" w:customStyle="1" w:styleId="mce">
    <w:name w:val="mce"/>
    <w:basedOn w:val="Normal"/>
    <w:rsid w:val="00645809"/>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645809"/>
    <w:pPr>
      <w:spacing w:line="360" w:lineRule="auto"/>
      <w:jc w:val="both"/>
    </w:pPr>
    <w:rPr>
      <w:sz w:val="24"/>
      <w:lang w:val="es-ES_tradnl"/>
    </w:rPr>
  </w:style>
  <w:style w:type="character" w:customStyle="1" w:styleId="tituloprincipal1">
    <w:name w:val="tituloprincipal1"/>
    <w:rsid w:val="00645809"/>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645809"/>
    <w:pPr>
      <w:spacing w:line="360" w:lineRule="auto"/>
      <w:jc w:val="both"/>
    </w:pPr>
    <w:rPr>
      <w:sz w:val="24"/>
      <w:lang w:val="es-ES_tradnl"/>
    </w:rPr>
  </w:style>
  <w:style w:type="paragraph" w:customStyle="1" w:styleId="texto0">
    <w:name w:val="texto"/>
    <w:basedOn w:val="Normal"/>
    <w:locked/>
    <w:rsid w:val="00645809"/>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645809"/>
    <w:pPr>
      <w:jc w:val="both"/>
      <w:outlineLvl w:val="0"/>
    </w:pPr>
    <w:rPr>
      <w:rFonts w:ascii="Franklin Gothic Book" w:hAnsi="Franklin Gothic Book"/>
      <w:i/>
      <w:color w:val="000000"/>
      <w:sz w:val="22"/>
      <w:szCs w:val="24"/>
      <w:lang w:eastAsia="en-US"/>
    </w:rPr>
  </w:style>
  <w:style w:type="character" w:customStyle="1" w:styleId="italicaChar">
    <w:name w:val="italica Char"/>
    <w:link w:val="italica"/>
    <w:rsid w:val="00645809"/>
    <w:rPr>
      <w:rFonts w:ascii="Franklin Gothic Book" w:eastAsia="Times New Roman" w:hAnsi="Franklin Gothic Book"/>
      <w:i/>
      <w:color w:val="000000"/>
      <w:sz w:val="22"/>
      <w:szCs w:val="24"/>
      <w:lang w:val="es-ES" w:eastAsia="en-US"/>
    </w:rPr>
  </w:style>
  <w:style w:type="paragraph" w:customStyle="1" w:styleId="numeracion">
    <w:name w:val="numeracion"/>
    <w:basedOn w:val="Texto"/>
    <w:uiPriority w:val="1"/>
    <w:qFormat/>
    <w:rsid w:val="00645809"/>
    <w:pPr>
      <w:numPr>
        <w:numId w:val="18"/>
      </w:numPr>
      <w:ind w:left="432" w:firstLine="0"/>
    </w:pPr>
    <w:rPr>
      <w:lang w:val="es-ES"/>
    </w:rPr>
  </w:style>
  <w:style w:type="paragraph" w:customStyle="1" w:styleId="vinetas">
    <w:name w:val="vinetas"/>
    <w:basedOn w:val="numeracion"/>
    <w:uiPriority w:val="1"/>
    <w:qFormat/>
    <w:rsid w:val="00645809"/>
    <w:pPr>
      <w:numPr>
        <w:numId w:val="19"/>
      </w:numPr>
      <w:tabs>
        <w:tab w:val="num" w:pos="1719"/>
      </w:tabs>
      <w:ind w:left="792"/>
    </w:pPr>
  </w:style>
  <w:style w:type="paragraph" w:customStyle="1" w:styleId="TextoTabla">
    <w:name w:val="Texto Tabla"/>
    <w:basedOn w:val="Texto"/>
    <w:link w:val="TextoTablaChar"/>
    <w:uiPriority w:val="1"/>
    <w:qFormat/>
    <w:rsid w:val="00645809"/>
    <w:pPr>
      <w:spacing w:before="20" w:after="20"/>
    </w:pPr>
    <w:rPr>
      <w:sz w:val="20"/>
      <w:lang w:val="es-ES"/>
    </w:rPr>
  </w:style>
  <w:style w:type="character" w:customStyle="1" w:styleId="TextoTablaChar">
    <w:name w:val="Texto Tabla Char"/>
    <w:link w:val="TextoTabla"/>
    <w:uiPriority w:val="1"/>
    <w:rsid w:val="00645809"/>
    <w:rPr>
      <w:rFonts w:ascii="Franklin Gothic Book" w:eastAsia="Times New Roman" w:hAnsi="Franklin Gothic Book"/>
      <w:szCs w:val="24"/>
      <w:lang w:val="es-ES" w:eastAsia="en-US"/>
    </w:rPr>
  </w:style>
  <w:style w:type="table" w:customStyle="1" w:styleId="LightShading-Accent11">
    <w:name w:val="Light Shading - Accent 11"/>
    <w:basedOn w:val="Tablanormal"/>
    <w:uiPriority w:val="60"/>
    <w:locked/>
    <w:rsid w:val="00645809"/>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645809"/>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645809"/>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645809"/>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645809"/>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645809"/>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man" w:hAnsi="Roman"/>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Roman" w:hAnsi="Roman"/>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Roman" w:hAnsi="Roman"/>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645809"/>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645809"/>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645809"/>
    <w:rPr>
      <w:rFonts w:eastAsia="MS Mincho"/>
      <w:b/>
      <w:sz w:val="40"/>
      <w:lang w:val="es-CR"/>
    </w:rPr>
  </w:style>
  <w:style w:type="paragraph" w:customStyle="1" w:styleId="PARRAFOARTICULO">
    <w:name w:val="PARRAFO ARTICULO"/>
    <w:rsid w:val="00645809"/>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645809"/>
    <w:pPr>
      <w:overflowPunct w:val="0"/>
      <w:autoSpaceDE w:val="0"/>
      <w:autoSpaceDN w:val="0"/>
      <w:adjustRightInd w:val="0"/>
      <w:textAlignment w:val="baseline"/>
    </w:pPr>
    <w:rPr>
      <w:rFonts w:ascii="Courier New" w:hAnsi="Courier New"/>
    </w:rPr>
  </w:style>
  <w:style w:type="character" w:customStyle="1" w:styleId="TextoCar1">
    <w:name w:val="Texto Car1"/>
    <w:locked/>
    <w:rsid w:val="00645809"/>
    <w:rPr>
      <w:rFonts w:ascii="Arial" w:eastAsia="Times New Roman" w:hAnsi="Arial" w:cs="Arial"/>
      <w:sz w:val="18"/>
      <w:szCs w:val="20"/>
      <w:lang w:val="es-ES" w:eastAsia="es-ES"/>
    </w:rPr>
  </w:style>
  <w:style w:type="paragraph" w:customStyle="1" w:styleId="ROMANOS">
    <w:name w:val="ROMANOS"/>
    <w:basedOn w:val="Normal"/>
    <w:link w:val="ROMANOSCar"/>
    <w:rsid w:val="0064580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645809"/>
    <w:rPr>
      <w:rFonts w:ascii="Arial" w:eastAsia="Times New Roman" w:hAnsi="Arial" w:cs="Arial"/>
      <w:sz w:val="18"/>
      <w:szCs w:val="18"/>
      <w:lang w:val="es-ES" w:eastAsia="es-ES"/>
    </w:rPr>
  </w:style>
  <w:style w:type="paragraph" w:customStyle="1" w:styleId="Textoindependiente214">
    <w:name w:val="Texto independiente 214"/>
    <w:basedOn w:val="Normal"/>
    <w:rsid w:val="00645809"/>
    <w:pPr>
      <w:spacing w:line="360" w:lineRule="auto"/>
      <w:jc w:val="both"/>
    </w:pPr>
    <w:rPr>
      <w:sz w:val="24"/>
      <w:lang w:val="es-ES_tradnl"/>
    </w:rPr>
  </w:style>
  <w:style w:type="paragraph" w:customStyle="1" w:styleId="Textoindependiente215">
    <w:name w:val="Texto independiente 215"/>
    <w:basedOn w:val="Normal"/>
    <w:rsid w:val="00645809"/>
    <w:pPr>
      <w:spacing w:line="360" w:lineRule="auto"/>
      <w:jc w:val="both"/>
    </w:pPr>
    <w:rPr>
      <w:sz w:val="24"/>
      <w:lang w:val="es-ES_tradnl"/>
    </w:rPr>
  </w:style>
  <w:style w:type="character" w:styleId="nfasisintenso">
    <w:name w:val="Intense Emphasis"/>
    <w:uiPriority w:val="21"/>
    <w:qFormat/>
    <w:rsid w:val="00645809"/>
    <w:rPr>
      <w:b/>
      <w:bCs w:val="0"/>
      <w:i/>
      <w:iCs w:val="0"/>
      <w:sz w:val="24"/>
      <w:szCs w:val="24"/>
      <w:u w:val="single"/>
    </w:rPr>
  </w:style>
  <w:style w:type="character" w:customStyle="1" w:styleId="normaltextrun1">
    <w:name w:val="normaltextrun1"/>
    <w:rsid w:val="00645809"/>
  </w:style>
  <w:style w:type="character" w:customStyle="1" w:styleId="eop">
    <w:name w:val="eop"/>
    <w:rsid w:val="00645809"/>
  </w:style>
  <w:style w:type="paragraph" w:customStyle="1" w:styleId="Textoindependiente216">
    <w:name w:val="Texto independiente 216"/>
    <w:basedOn w:val="Normal"/>
    <w:rsid w:val="00645809"/>
    <w:pPr>
      <w:spacing w:line="360" w:lineRule="auto"/>
      <w:jc w:val="both"/>
    </w:pPr>
    <w:rPr>
      <w:sz w:val="24"/>
      <w:lang w:val="es-ES_tradnl"/>
    </w:rPr>
  </w:style>
  <w:style w:type="paragraph" w:customStyle="1" w:styleId="Textoindependiente217">
    <w:name w:val="Texto independiente 217"/>
    <w:basedOn w:val="Normal"/>
    <w:rsid w:val="00645809"/>
    <w:pPr>
      <w:spacing w:line="360" w:lineRule="auto"/>
      <w:jc w:val="both"/>
    </w:pPr>
    <w:rPr>
      <w:sz w:val="24"/>
      <w:lang w:val="es-ES_tradnl"/>
    </w:rPr>
  </w:style>
  <w:style w:type="character" w:customStyle="1" w:styleId="Num-DocParagraphChar">
    <w:name w:val="Num-Doc Paragraph Char"/>
    <w:link w:val="Num-DocParagraph"/>
    <w:uiPriority w:val="99"/>
    <w:locked/>
    <w:rsid w:val="00645809"/>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645809"/>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645809"/>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645809"/>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645809"/>
    <w:rPr>
      <w:shd w:val="clear" w:color="auto" w:fill="BFECF8"/>
    </w:rPr>
  </w:style>
  <w:style w:type="paragraph" w:customStyle="1" w:styleId="Textoindependiente218">
    <w:name w:val="Texto independiente 218"/>
    <w:basedOn w:val="Normal"/>
    <w:rsid w:val="00645809"/>
    <w:pPr>
      <w:spacing w:line="360" w:lineRule="auto"/>
      <w:jc w:val="both"/>
    </w:pPr>
    <w:rPr>
      <w:sz w:val="24"/>
      <w:lang w:val="es-ES_tradnl"/>
    </w:rPr>
  </w:style>
  <w:style w:type="paragraph" w:styleId="DireccinHTML">
    <w:name w:val="HTML Address"/>
    <w:basedOn w:val="Normal"/>
    <w:link w:val="DireccinHTMLCar"/>
    <w:rsid w:val="00645809"/>
    <w:rPr>
      <w:i/>
      <w:iCs/>
      <w:sz w:val="24"/>
      <w:szCs w:val="24"/>
      <w:lang w:val="es-CR"/>
    </w:rPr>
  </w:style>
  <w:style w:type="character" w:customStyle="1" w:styleId="DireccinHTMLCar">
    <w:name w:val="Dirección HTML Car"/>
    <w:basedOn w:val="Fuentedeprrafopredeter"/>
    <w:link w:val="DireccinHTML"/>
    <w:rsid w:val="00645809"/>
    <w:rPr>
      <w:rFonts w:ascii="Times New Roman" w:eastAsia="Times New Roman" w:hAnsi="Times New Roman"/>
      <w:i/>
      <w:iCs/>
      <w:sz w:val="24"/>
      <w:szCs w:val="24"/>
      <w:lang w:eastAsia="es-ES"/>
    </w:rPr>
  </w:style>
  <w:style w:type="paragraph" w:styleId="Lista5">
    <w:name w:val="List 5"/>
    <w:basedOn w:val="Normal"/>
    <w:rsid w:val="00645809"/>
    <w:pPr>
      <w:ind w:left="1415" w:hanging="283"/>
    </w:pPr>
    <w:rPr>
      <w:sz w:val="24"/>
      <w:szCs w:val="24"/>
      <w:lang w:val="es-CR"/>
    </w:rPr>
  </w:style>
  <w:style w:type="paragraph" w:styleId="Listaconvietas3">
    <w:name w:val="List Bullet 3"/>
    <w:basedOn w:val="Normal"/>
    <w:autoRedefine/>
    <w:rsid w:val="00645809"/>
    <w:pPr>
      <w:tabs>
        <w:tab w:val="num" w:pos="720"/>
      </w:tabs>
      <w:ind w:left="720" w:hanging="360"/>
    </w:pPr>
    <w:rPr>
      <w:sz w:val="24"/>
      <w:szCs w:val="24"/>
      <w:lang w:val="es-CR"/>
    </w:rPr>
  </w:style>
  <w:style w:type="paragraph" w:styleId="Listaconvietas4">
    <w:name w:val="List Bullet 4"/>
    <w:basedOn w:val="Normal"/>
    <w:autoRedefine/>
    <w:rsid w:val="00645809"/>
    <w:pPr>
      <w:tabs>
        <w:tab w:val="num" w:pos="720"/>
      </w:tabs>
      <w:ind w:left="720" w:hanging="360"/>
    </w:pPr>
    <w:rPr>
      <w:sz w:val="24"/>
      <w:szCs w:val="24"/>
      <w:lang w:val="es-CR"/>
    </w:rPr>
  </w:style>
  <w:style w:type="paragraph" w:styleId="Listaconvietas5">
    <w:name w:val="List Bullet 5"/>
    <w:basedOn w:val="Normal"/>
    <w:autoRedefine/>
    <w:rsid w:val="00645809"/>
    <w:pPr>
      <w:tabs>
        <w:tab w:val="num" w:pos="720"/>
      </w:tabs>
      <w:ind w:left="720" w:hanging="360"/>
    </w:pPr>
    <w:rPr>
      <w:sz w:val="24"/>
      <w:szCs w:val="24"/>
      <w:lang w:val="es-CR"/>
    </w:rPr>
  </w:style>
  <w:style w:type="paragraph" w:styleId="Listaconnmeros2">
    <w:name w:val="List Number 2"/>
    <w:basedOn w:val="Normal"/>
    <w:rsid w:val="00645809"/>
    <w:pPr>
      <w:tabs>
        <w:tab w:val="num" w:pos="360"/>
      </w:tabs>
      <w:ind w:left="360" w:hanging="360"/>
    </w:pPr>
    <w:rPr>
      <w:sz w:val="24"/>
      <w:szCs w:val="24"/>
      <w:lang w:val="es-CR"/>
    </w:rPr>
  </w:style>
  <w:style w:type="paragraph" w:styleId="Listaconnmeros3">
    <w:name w:val="List Number 3"/>
    <w:basedOn w:val="Normal"/>
    <w:rsid w:val="00645809"/>
    <w:pPr>
      <w:tabs>
        <w:tab w:val="num" w:pos="360"/>
      </w:tabs>
      <w:ind w:left="360" w:hanging="360"/>
    </w:pPr>
    <w:rPr>
      <w:sz w:val="24"/>
      <w:szCs w:val="24"/>
      <w:lang w:val="es-CR"/>
    </w:rPr>
  </w:style>
  <w:style w:type="paragraph" w:styleId="Listaconnmeros4">
    <w:name w:val="List Number 4"/>
    <w:basedOn w:val="Normal"/>
    <w:rsid w:val="00645809"/>
    <w:pPr>
      <w:tabs>
        <w:tab w:val="num" w:pos="720"/>
      </w:tabs>
      <w:ind w:left="720" w:hanging="360"/>
    </w:pPr>
    <w:rPr>
      <w:sz w:val="24"/>
      <w:szCs w:val="24"/>
      <w:lang w:val="es-CR"/>
    </w:rPr>
  </w:style>
  <w:style w:type="paragraph" w:styleId="Listaconnmeros5">
    <w:name w:val="List Number 5"/>
    <w:basedOn w:val="Normal"/>
    <w:rsid w:val="00645809"/>
    <w:pPr>
      <w:tabs>
        <w:tab w:val="num" w:pos="1065"/>
      </w:tabs>
      <w:ind w:left="1065" w:hanging="360"/>
    </w:pPr>
    <w:rPr>
      <w:sz w:val="24"/>
      <w:szCs w:val="24"/>
      <w:lang w:val="es-CR"/>
    </w:rPr>
  </w:style>
  <w:style w:type="paragraph" w:styleId="Cierre">
    <w:name w:val="Closing"/>
    <w:basedOn w:val="Normal"/>
    <w:link w:val="CierreCar"/>
    <w:rsid w:val="00645809"/>
    <w:pPr>
      <w:ind w:left="4252"/>
    </w:pPr>
    <w:rPr>
      <w:sz w:val="24"/>
      <w:szCs w:val="24"/>
      <w:lang w:val="es-CR"/>
    </w:rPr>
  </w:style>
  <w:style w:type="character" w:customStyle="1" w:styleId="CierreCar">
    <w:name w:val="Cierre Car"/>
    <w:basedOn w:val="Fuentedeprrafopredeter"/>
    <w:link w:val="Cierre"/>
    <w:rsid w:val="00645809"/>
    <w:rPr>
      <w:rFonts w:ascii="Times New Roman" w:eastAsia="Times New Roman" w:hAnsi="Times New Roman"/>
      <w:sz w:val="24"/>
      <w:szCs w:val="24"/>
      <w:lang w:eastAsia="es-ES"/>
    </w:rPr>
  </w:style>
  <w:style w:type="paragraph" w:styleId="Firma">
    <w:name w:val="Signature"/>
    <w:basedOn w:val="Normal"/>
    <w:link w:val="FirmaCar"/>
    <w:rsid w:val="00645809"/>
    <w:pPr>
      <w:ind w:left="4252"/>
    </w:pPr>
    <w:rPr>
      <w:sz w:val="24"/>
      <w:szCs w:val="24"/>
      <w:lang w:val="es-CR"/>
    </w:rPr>
  </w:style>
  <w:style w:type="character" w:customStyle="1" w:styleId="FirmaCar">
    <w:name w:val="Firma Car"/>
    <w:basedOn w:val="Fuentedeprrafopredeter"/>
    <w:link w:val="Firma"/>
    <w:rsid w:val="00645809"/>
    <w:rPr>
      <w:rFonts w:ascii="Times New Roman" w:eastAsia="Times New Roman" w:hAnsi="Times New Roman"/>
      <w:sz w:val="24"/>
      <w:szCs w:val="24"/>
      <w:lang w:eastAsia="es-ES"/>
    </w:rPr>
  </w:style>
  <w:style w:type="paragraph" w:styleId="Continuarlista">
    <w:name w:val="List Continue"/>
    <w:basedOn w:val="Normal"/>
    <w:rsid w:val="00645809"/>
    <w:pPr>
      <w:spacing w:after="120"/>
      <w:ind w:left="283"/>
    </w:pPr>
    <w:rPr>
      <w:sz w:val="24"/>
      <w:szCs w:val="24"/>
      <w:lang w:val="es-CR"/>
    </w:rPr>
  </w:style>
  <w:style w:type="paragraph" w:styleId="Continuarlista4">
    <w:name w:val="List Continue 4"/>
    <w:basedOn w:val="Normal"/>
    <w:rsid w:val="00645809"/>
    <w:pPr>
      <w:tabs>
        <w:tab w:val="num" w:pos="787"/>
      </w:tabs>
      <w:spacing w:after="120"/>
      <w:ind w:left="1132"/>
    </w:pPr>
    <w:rPr>
      <w:sz w:val="24"/>
      <w:szCs w:val="24"/>
      <w:lang w:val="es-CR"/>
    </w:rPr>
  </w:style>
  <w:style w:type="paragraph" w:styleId="Continuarlista5">
    <w:name w:val="List Continue 5"/>
    <w:basedOn w:val="Normal"/>
    <w:rsid w:val="00645809"/>
    <w:pPr>
      <w:tabs>
        <w:tab w:val="num" w:pos="720"/>
      </w:tabs>
      <w:spacing w:after="120"/>
      <w:ind w:left="1415"/>
    </w:pPr>
    <w:rPr>
      <w:sz w:val="24"/>
      <w:szCs w:val="24"/>
      <w:lang w:val="es-CR"/>
    </w:rPr>
  </w:style>
  <w:style w:type="paragraph" w:styleId="Fecha">
    <w:name w:val="Date"/>
    <w:basedOn w:val="Normal"/>
    <w:next w:val="Normal"/>
    <w:link w:val="FechaCar"/>
    <w:rsid w:val="00645809"/>
    <w:rPr>
      <w:sz w:val="24"/>
      <w:szCs w:val="24"/>
      <w:lang w:val="es-CR"/>
    </w:rPr>
  </w:style>
  <w:style w:type="character" w:customStyle="1" w:styleId="FechaCar">
    <w:name w:val="Fecha Car"/>
    <w:basedOn w:val="Fuentedeprrafopredeter"/>
    <w:link w:val="Fecha"/>
    <w:rsid w:val="00645809"/>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645809"/>
    <w:pPr>
      <w:tabs>
        <w:tab w:val="num" w:pos="720"/>
      </w:tabs>
    </w:pPr>
    <w:rPr>
      <w:sz w:val="24"/>
      <w:szCs w:val="24"/>
      <w:lang w:val="es-CR"/>
    </w:rPr>
  </w:style>
  <w:style w:type="character" w:customStyle="1" w:styleId="EncabezadodenotaCar">
    <w:name w:val="Encabezado de nota Car"/>
    <w:basedOn w:val="Fuentedeprrafopredeter"/>
    <w:link w:val="Encabezadodenota"/>
    <w:rsid w:val="00645809"/>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645809"/>
    <w:rPr>
      <w:sz w:val="24"/>
      <w:szCs w:val="24"/>
      <w:lang w:val="es-CR"/>
    </w:rPr>
  </w:style>
  <w:style w:type="character" w:customStyle="1" w:styleId="FirmadecorreoelectrnicoCar">
    <w:name w:val="Firma de correo electrónico Car"/>
    <w:basedOn w:val="Fuentedeprrafopredeter"/>
    <w:link w:val="Firmadecorreoelectrnico"/>
    <w:rsid w:val="00645809"/>
    <w:rPr>
      <w:rFonts w:ascii="Times New Roman" w:eastAsia="Times New Roman" w:hAnsi="Times New Roman"/>
      <w:sz w:val="24"/>
      <w:szCs w:val="24"/>
      <w:lang w:eastAsia="es-ES"/>
    </w:rPr>
  </w:style>
  <w:style w:type="paragraph" w:customStyle="1" w:styleId="p83">
    <w:name w:val="p83"/>
    <w:basedOn w:val="Normal"/>
    <w:rsid w:val="00645809"/>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645809"/>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645809"/>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645809"/>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645809"/>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6458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645809"/>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645809"/>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645809"/>
    <w:rPr>
      <w:rFonts w:eastAsia="Times New Roman"/>
      <w:sz w:val="22"/>
      <w:szCs w:val="24"/>
      <w:lang w:val="es-ES" w:eastAsia="en-US"/>
    </w:rPr>
  </w:style>
  <w:style w:type="character" w:customStyle="1" w:styleId="followed">
    <w:name w:val="followed"/>
    <w:rsid w:val="00645809"/>
    <w:rPr>
      <w:color w:val="7F7F7F"/>
      <w:u w:val="single"/>
    </w:rPr>
  </w:style>
  <w:style w:type="paragraph" w:customStyle="1" w:styleId="Textoindependiente219">
    <w:name w:val="Texto independiente 219"/>
    <w:basedOn w:val="Normal"/>
    <w:rsid w:val="00645809"/>
    <w:pPr>
      <w:spacing w:line="360" w:lineRule="auto"/>
      <w:jc w:val="both"/>
    </w:pPr>
    <w:rPr>
      <w:sz w:val="24"/>
      <w:lang w:val="es-ES_tradnl"/>
    </w:rPr>
  </w:style>
  <w:style w:type="paragraph" w:customStyle="1" w:styleId="CM9">
    <w:name w:val="CM9"/>
    <w:basedOn w:val="Normal"/>
    <w:next w:val="Normal"/>
    <w:uiPriority w:val="99"/>
    <w:rsid w:val="00645809"/>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645809"/>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645809"/>
    <w:pPr>
      <w:spacing w:line="360" w:lineRule="auto"/>
      <w:jc w:val="both"/>
    </w:pPr>
    <w:rPr>
      <w:sz w:val="24"/>
      <w:lang w:val="es-ES_tradnl"/>
    </w:rPr>
  </w:style>
  <w:style w:type="paragraph" w:customStyle="1" w:styleId="EncabezadoTtulo">
    <w:name w:val="Encabezado Título"/>
    <w:basedOn w:val="Normal"/>
    <w:link w:val="EncabezadoTtuloChar"/>
    <w:qFormat/>
    <w:rsid w:val="00645809"/>
    <w:pPr>
      <w:widowControl w:val="0"/>
      <w:jc w:val="center"/>
    </w:pPr>
    <w:rPr>
      <w:b/>
      <w:sz w:val="28"/>
      <w:szCs w:val="28"/>
    </w:rPr>
  </w:style>
  <w:style w:type="character" w:customStyle="1" w:styleId="EncabezadoTtuloChar">
    <w:name w:val="Encabezado Título Char"/>
    <w:link w:val="EncabezadoTtulo"/>
    <w:rsid w:val="00645809"/>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645809"/>
    <w:pPr>
      <w:spacing w:line="360" w:lineRule="auto"/>
      <w:jc w:val="both"/>
    </w:pPr>
    <w:rPr>
      <w:sz w:val="24"/>
      <w:lang w:val="es-ES_tradnl"/>
    </w:rPr>
  </w:style>
  <w:style w:type="paragraph" w:customStyle="1" w:styleId="Textoindependiente223">
    <w:name w:val="Texto independiente 223"/>
    <w:basedOn w:val="Normal"/>
    <w:rsid w:val="00645809"/>
    <w:pPr>
      <w:spacing w:line="360" w:lineRule="auto"/>
      <w:jc w:val="both"/>
    </w:pPr>
    <w:rPr>
      <w:sz w:val="24"/>
      <w:lang w:val="es-ES_tradnl"/>
    </w:rPr>
  </w:style>
  <w:style w:type="character" w:customStyle="1" w:styleId="apple-converted-space">
    <w:name w:val="apple-converted-space"/>
    <w:rsid w:val="00645809"/>
  </w:style>
  <w:style w:type="character" w:styleId="nfasissutil">
    <w:name w:val="Subtle Emphasis"/>
    <w:uiPriority w:val="19"/>
    <w:qFormat/>
    <w:rsid w:val="00645809"/>
    <w:rPr>
      <w:rFonts w:ascii="Times New Roman" w:hAnsi="Times New Roman" w:cs="Times New Roman"/>
      <w:i/>
      <w:iCs/>
      <w:color w:val="404040"/>
      <w:sz w:val="18"/>
      <w:lang w:eastAsia="es-CR"/>
    </w:rPr>
  </w:style>
  <w:style w:type="paragraph" w:customStyle="1" w:styleId="n2">
    <w:name w:val="n2"/>
    <w:basedOn w:val="Normal"/>
    <w:rsid w:val="00645809"/>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645809"/>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645809"/>
    <w:pPr>
      <w:spacing w:line="360" w:lineRule="auto"/>
      <w:jc w:val="both"/>
    </w:pPr>
    <w:rPr>
      <w:sz w:val="24"/>
      <w:lang w:val="es-ES_tradnl"/>
    </w:rPr>
  </w:style>
  <w:style w:type="paragraph" w:customStyle="1" w:styleId="Textoindependiente225">
    <w:name w:val="Texto independiente 225"/>
    <w:basedOn w:val="Normal"/>
    <w:rsid w:val="00645809"/>
    <w:pPr>
      <w:spacing w:line="360" w:lineRule="auto"/>
      <w:jc w:val="both"/>
    </w:pPr>
    <w:rPr>
      <w:sz w:val="24"/>
      <w:lang w:val="es-ES_tradnl"/>
    </w:rPr>
  </w:style>
  <w:style w:type="paragraph" w:customStyle="1" w:styleId="Compact">
    <w:name w:val="Compact"/>
    <w:basedOn w:val="Textoindependiente"/>
    <w:qFormat/>
    <w:rsid w:val="00645809"/>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645809"/>
    <w:pPr>
      <w:spacing w:before="180" w:after="180"/>
      <w:jc w:val="left"/>
    </w:pPr>
    <w:rPr>
      <w:rFonts w:ascii="Calibri" w:hAnsi="Calibri"/>
      <w:lang w:val="en-US"/>
    </w:rPr>
  </w:style>
  <w:style w:type="character" w:customStyle="1" w:styleId="example1">
    <w:name w:val="example1"/>
    <w:rsid w:val="00645809"/>
  </w:style>
  <w:style w:type="paragraph" w:customStyle="1" w:styleId="Textoindependiente226">
    <w:name w:val="Texto independiente 226"/>
    <w:basedOn w:val="Normal"/>
    <w:rsid w:val="00645809"/>
    <w:pPr>
      <w:spacing w:line="360" w:lineRule="auto"/>
      <w:jc w:val="both"/>
    </w:pPr>
    <w:rPr>
      <w:sz w:val="24"/>
      <w:lang w:val="es-ES_tradnl"/>
    </w:rPr>
  </w:style>
  <w:style w:type="character" w:customStyle="1" w:styleId="Mencinsinresolver1">
    <w:name w:val="Mención sin resolver1"/>
    <w:uiPriority w:val="99"/>
    <w:semiHidden/>
    <w:unhideWhenUsed/>
    <w:rsid w:val="00645809"/>
    <w:rPr>
      <w:color w:val="605E5C"/>
      <w:shd w:val="clear" w:color="auto" w:fill="E1DFDD"/>
    </w:rPr>
  </w:style>
  <w:style w:type="paragraph" w:customStyle="1" w:styleId="Textoindependiente227">
    <w:name w:val="Texto independiente 227"/>
    <w:basedOn w:val="Normal"/>
    <w:rsid w:val="00645809"/>
    <w:pPr>
      <w:spacing w:line="360" w:lineRule="auto"/>
      <w:jc w:val="both"/>
    </w:pPr>
    <w:rPr>
      <w:sz w:val="24"/>
      <w:lang w:val="es-ES_tradnl"/>
    </w:rPr>
  </w:style>
  <w:style w:type="paragraph" w:customStyle="1" w:styleId="Textoindependiente228">
    <w:name w:val="Texto independiente 228"/>
    <w:basedOn w:val="Normal"/>
    <w:rsid w:val="00645809"/>
    <w:pPr>
      <w:spacing w:line="360" w:lineRule="auto"/>
      <w:jc w:val="both"/>
    </w:pPr>
    <w:rPr>
      <w:sz w:val="24"/>
      <w:lang w:val="es-ES_tradnl"/>
    </w:rPr>
  </w:style>
  <w:style w:type="paragraph" w:customStyle="1" w:styleId="Textoindependiente229">
    <w:name w:val="Texto independiente 229"/>
    <w:basedOn w:val="Normal"/>
    <w:rsid w:val="00645809"/>
    <w:pPr>
      <w:spacing w:line="360" w:lineRule="auto"/>
      <w:jc w:val="both"/>
    </w:pPr>
    <w:rPr>
      <w:sz w:val="24"/>
      <w:lang w:val="es-ES_tradnl"/>
    </w:rPr>
  </w:style>
  <w:style w:type="paragraph" w:customStyle="1" w:styleId="Content">
    <w:name w:val="Content"/>
    <w:basedOn w:val="Normal"/>
    <w:link w:val="ContentChar"/>
    <w:qFormat/>
    <w:rsid w:val="00645809"/>
    <w:pPr>
      <w:spacing w:line="276" w:lineRule="auto"/>
    </w:pPr>
    <w:rPr>
      <w:rFonts w:ascii="Calibri" w:hAnsi="Calibri"/>
      <w:color w:val="44546A"/>
      <w:sz w:val="28"/>
      <w:szCs w:val="22"/>
      <w:lang w:val="en-US" w:eastAsia="en-US"/>
    </w:rPr>
  </w:style>
  <w:style w:type="character" w:customStyle="1" w:styleId="ContentChar">
    <w:name w:val="Content Char"/>
    <w:link w:val="Content"/>
    <w:rsid w:val="00645809"/>
    <w:rPr>
      <w:rFonts w:eastAsia="Times New Roman"/>
      <w:color w:val="44546A"/>
      <w:sz w:val="28"/>
      <w:szCs w:val="22"/>
      <w:lang w:val="en-US" w:eastAsia="en-US"/>
    </w:rPr>
  </w:style>
  <w:style w:type="paragraph" w:customStyle="1" w:styleId="Textoindependiente230">
    <w:name w:val="Texto independiente 230"/>
    <w:basedOn w:val="Normal"/>
    <w:rsid w:val="00645809"/>
    <w:pPr>
      <w:spacing w:line="360" w:lineRule="auto"/>
      <w:jc w:val="both"/>
    </w:pPr>
    <w:rPr>
      <w:sz w:val="24"/>
      <w:lang w:val="es-ES_tradnl"/>
    </w:rPr>
  </w:style>
  <w:style w:type="paragraph" w:customStyle="1" w:styleId="Textoindependiente231">
    <w:name w:val="Texto independiente 231"/>
    <w:basedOn w:val="Normal"/>
    <w:rsid w:val="00645809"/>
    <w:pPr>
      <w:spacing w:line="360" w:lineRule="auto"/>
      <w:jc w:val="both"/>
    </w:pPr>
    <w:rPr>
      <w:sz w:val="24"/>
      <w:lang w:val="es-ES_tradnl"/>
    </w:rPr>
  </w:style>
  <w:style w:type="paragraph" w:customStyle="1" w:styleId="Textoindependiente232">
    <w:name w:val="Texto independiente 232"/>
    <w:basedOn w:val="Normal"/>
    <w:rsid w:val="00645809"/>
    <w:pPr>
      <w:spacing w:line="360" w:lineRule="auto"/>
      <w:jc w:val="both"/>
    </w:pPr>
    <w:rPr>
      <w:sz w:val="24"/>
      <w:lang w:val="es-ES_tradnl"/>
    </w:rPr>
  </w:style>
  <w:style w:type="paragraph" w:customStyle="1" w:styleId="Textoindependiente233">
    <w:name w:val="Texto independiente 233"/>
    <w:basedOn w:val="Normal"/>
    <w:rsid w:val="00645809"/>
    <w:pPr>
      <w:spacing w:line="360" w:lineRule="auto"/>
      <w:jc w:val="both"/>
    </w:pPr>
    <w:rPr>
      <w:sz w:val="24"/>
      <w:lang w:val="es-ES_tradnl"/>
    </w:rPr>
  </w:style>
  <w:style w:type="paragraph" w:customStyle="1" w:styleId="Textoindependiente234">
    <w:name w:val="Texto independiente 234"/>
    <w:basedOn w:val="Normal"/>
    <w:rsid w:val="00645809"/>
    <w:pPr>
      <w:spacing w:line="360" w:lineRule="auto"/>
      <w:jc w:val="both"/>
    </w:pPr>
    <w:rPr>
      <w:sz w:val="24"/>
      <w:lang w:val="es-ES_tradnl"/>
    </w:rPr>
  </w:style>
  <w:style w:type="character" w:customStyle="1" w:styleId="Mencinsinresolver2">
    <w:name w:val="Mención sin resolver2"/>
    <w:uiPriority w:val="99"/>
    <w:semiHidden/>
    <w:unhideWhenUsed/>
    <w:rsid w:val="00645809"/>
    <w:rPr>
      <w:color w:val="605E5C"/>
      <w:shd w:val="clear" w:color="auto" w:fill="E1DFDD"/>
    </w:rPr>
  </w:style>
  <w:style w:type="paragraph" w:customStyle="1" w:styleId="Textoindependiente235">
    <w:name w:val="Texto independiente 235"/>
    <w:basedOn w:val="Normal"/>
    <w:rsid w:val="00645809"/>
    <w:pPr>
      <w:spacing w:line="360" w:lineRule="auto"/>
      <w:jc w:val="both"/>
    </w:pPr>
    <w:rPr>
      <w:sz w:val="24"/>
      <w:lang w:val="es-ES_tradnl"/>
    </w:rPr>
  </w:style>
  <w:style w:type="character" w:customStyle="1" w:styleId="Mencinsinresolver3">
    <w:name w:val="Mención sin resolver3"/>
    <w:uiPriority w:val="99"/>
    <w:semiHidden/>
    <w:unhideWhenUsed/>
    <w:rsid w:val="00645809"/>
    <w:rPr>
      <w:color w:val="605E5C"/>
      <w:shd w:val="clear" w:color="auto" w:fill="E1DFDD"/>
    </w:rPr>
  </w:style>
  <w:style w:type="paragraph" w:customStyle="1" w:styleId="CM3">
    <w:name w:val="CM3"/>
    <w:basedOn w:val="Default"/>
    <w:next w:val="Default"/>
    <w:uiPriority w:val="99"/>
    <w:rsid w:val="00645809"/>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645809"/>
    <w:pPr>
      <w:widowControl w:val="0"/>
    </w:pPr>
    <w:rPr>
      <w:color w:val="auto"/>
      <w:lang w:val="es-ES" w:eastAsia="es-ES"/>
    </w:rPr>
  </w:style>
  <w:style w:type="paragraph" w:customStyle="1" w:styleId="CM7">
    <w:name w:val="CM7"/>
    <w:basedOn w:val="Default"/>
    <w:next w:val="Default"/>
    <w:uiPriority w:val="99"/>
    <w:rsid w:val="00645809"/>
    <w:pPr>
      <w:widowControl w:val="0"/>
    </w:pPr>
    <w:rPr>
      <w:color w:val="auto"/>
      <w:lang w:val="es-ES" w:eastAsia="es-ES"/>
    </w:rPr>
  </w:style>
  <w:style w:type="table" w:customStyle="1" w:styleId="Correspondencia11">
    <w:name w:val="Correspondencia11"/>
    <w:basedOn w:val="Tablanormal"/>
    <w:uiPriority w:val="99"/>
    <w:qFormat/>
    <w:locked/>
    <w:rsid w:val="00645809"/>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arlett" w:hAnsi="Marlett"/>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Marlett" w:hAnsi="Marlett"/>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Marlett" w:hAnsi="Marlett"/>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645809"/>
    <w:rPr>
      <w:color w:val="4F81BD"/>
      <w:u w:val="single"/>
    </w:rPr>
  </w:style>
  <w:style w:type="paragraph" w:customStyle="1" w:styleId="Textoindependiente236">
    <w:name w:val="Texto independiente 236"/>
    <w:basedOn w:val="Normal"/>
    <w:rsid w:val="00645809"/>
    <w:pPr>
      <w:spacing w:line="360" w:lineRule="auto"/>
      <w:jc w:val="both"/>
    </w:pPr>
    <w:rPr>
      <w:sz w:val="24"/>
      <w:lang w:val="es-ES_tradnl"/>
    </w:rPr>
  </w:style>
  <w:style w:type="paragraph" w:customStyle="1" w:styleId="Textoindependiente237">
    <w:name w:val="Texto independiente 237"/>
    <w:basedOn w:val="Normal"/>
    <w:rsid w:val="00645809"/>
    <w:pPr>
      <w:spacing w:line="360" w:lineRule="auto"/>
      <w:jc w:val="both"/>
    </w:pPr>
    <w:rPr>
      <w:sz w:val="24"/>
      <w:lang w:val="es-ES_tradnl"/>
    </w:rPr>
  </w:style>
  <w:style w:type="table" w:customStyle="1" w:styleId="Cuadrculadetablaclara1">
    <w:name w:val="Cuadrícula de tabla clara1"/>
    <w:basedOn w:val="Tablanormal"/>
    <w:uiPriority w:val="40"/>
    <w:rsid w:val="00645809"/>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645809"/>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645809"/>
    <w:rPr>
      <w:color w:val="605E5C"/>
      <w:shd w:val="clear" w:color="auto" w:fill="E1DFDD"/>
    </w:rPr>
  </w:style>
  <w:style w:type="paragraph" w:customStyle="1" w:styleId="Textoindependiente238">
    <w:name w:val="Texto independiente 238"/>
    <w:basedOn w:val="Normal"/>
    <w:rsid w:val="00645809"/>
    <w:pPr>
      <w:spacing w:line="360" w:lineRule="auto"/>
      <w:jc w:val="both"/>
    </w:pPr>
    <w:rPr>
      <w:sz w:val="24"/>
      <w:lang w:val="es-ES_tradnl"/>
    </w:rPr>
  </w:style>
  <w:style w:type="paragraph" w:customStyle="1" w:styleId="Textoindependiente239">
    <w:name w:val="Texto independiente 239"/>
    <w:basedOn w:val="Normal"/>
    <w:rsid w:val="00645809"/>
    <w:pPr>
      <w:spacing w:line="360" w:lineRule="auto"/>
      <w:jc w:val="both"/>
    </w:pPr>
    <w:rPr>
      <w:sz w:val="24"/>
      <w:lang w:val="es-ES_tradnl"/>
    </w:rPr>
  </w:style>
  <w:style w:type="character" w:customStyle="1" w:styleId="Mencinsinresolver5">
    <w:name w:val="Mención sin resolver5"/>
    <w:uiPriority w:val="99"/>
    <w:semiHidden/>
    <w:unhideWhenUsed/>
    <w:rsid w:val="00645809"/>
    <w:rPr>
      <w:color w:val="605E5C"/>
      <w:shd w:val="clear" w:color="auto" w:fill="E1DFDD"/>
    </w:rPr>
  </w:style>
  <w:style w:type="table" w:styleId="Tablaconcuadrcula4-nfasis5">
    <w:name w:val="Grid Table 4 Accent 5"/>
    <w:basedOn w:val="Tablanormal"/>
    <w:uiPriority w:val="49"/>
    <w:rsid w:val="00645809"/>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645809"/>
    <w:rPr>
      <w:rFonts w:ascii="Arial" w:hAnsi="Arial" w:cs="Arial"/>
      <w:color w:val="000000"/>
      <w:sz w:val="21"/>
      <w:szCs w:val="21"/>
    </w:rPr>
  </w:style>
  <w:style w:type="paragraph" w:customStyle="1" w:styleId="Textoindependiente240">
    <w:name w:val="Texto independiente 240"/>
    <w:basedOn w:val="Normal"/>
    <w:rsid w:val="00645809"/>
    <w:pPr>
      <w:spacing w:line="360" w:lineRule="auto"/>
      <w:jc w:val="both"/>
    </w:pPr>
    <w:rPr>
      <w:sz w:val="24"/>
      <w:lang w:val="es-ES_tradnl"/>
    </w:rPr>
  </w:style>
  <w:style w:type="character" w:customStyle="1" w:styleId="Mencinsinresolver6">
    <w:name w:val="Mención sin resolver6"/>
    <w:uiPriority w:val="99"/>
    <w:semiHidden/>
    <w:unhideWhenUsed/>
    <w:rsid w:val="00645809"/>
    <w:rPr>
      <w:color w:val="605E5C"/>
      <w:shd w:val="clear" w:color="auto" w:fill="E1DFDD"/>
    </w:rPr>
  </w:style>
  <w:style w:type="paragraph" w:customStyle="1" w:styleId="Textoindependiente241">
    <w:name w:val="Texto independiente 241"/>
    <w:basedOn w:val="Normal"/>
    <w:rsid w:val="00645809"/>
    <w:pPr>
      <w:spacing w:line="360" w:lineRule="auto"/>
      <w:jc w:val="both"/>
    </w:pPr>
    <w:rPr>
      <w:sz w:val="24"/>
      <w:lang w:val="es-ES_tradnl"/>
    </w:rPr>
  </w:style>
  <w:style w:type="character" w:customStyle="1" w:styleId="Mencinsinresolver7">
    <w:name w:val="Mención sin resolver7"/>
    <w:uiPriority w:val="99"/>
    <w:semiHidden/>
    <w:unhideWhenUsed/>
    <w:rsid w:val="00645809"/>
    <w:rPr>
      <w:color w:val="605E5C"/>
      <w:shd w:val="clear" w:color="auto" w:fill="E1DFDD"/>
    </w:rPr>
  </w:style>
  <w:style w:type="table" w:styleId="Tabladelista4-nfasis1">
    <w:name w:val="List Table 4 Accent 1"/>
    <w:basedOn w:val="Tablanormal"/>
    <w:uiPriority w:val="49"/>
    <w:rsid w:val="0064580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645809"/>
    <w:pPr>
      <w:spacing w:line="360" w:lineRule="auto"/>
      <w:jc w:val="both"/>
    </w:pPr>
    <w:rPr>
      <w:sz w:val="24"/>
      <w:lang w:val="es-ES_tradnl"/>
    </w:rPr>
  </w:style>
  <w:style w:type="paragraph" w:customStyle="1" w:styleId="Textoindependiente243">
    <w:name w:val="Texto independiente 243"/>
    <w:basedOn w:val="Normal"/>
    <w:rsid w:val="00645809"/>
    <w:pPr>
      <w:spacing w:line="360" w:lineRule="auto"/>
      <w:jc w:val="both"/>
    </w:pPr>
    <w:rPr>
      <w:sz w:val="24"/>
      <w:lang w:val="es-ES_tradnl"/>
    </w:rPr>
  </w:style>
  <w:style w:type="character" w:customStyle="1" w:styleId="Mencinsinresolver8">
    <w:name w:val="Mención sin resolver8"/>
    <w:uiPriority w:val="99"/>
    <w:semiHidden/>
    <w:unhideWhenUsed/>
    <w:rsid w:val="00645809"/>
    <w:rPr>
      <w:color w:val="605E5C"/>
      <w:shd w:val="clear" w:color="auto" w:fill="E1DFDD"/>
    </w:rPr>
  </w:style>
  <w:style w:type="character" w:customStyle="1" w:styleId="A17">
    <w:name w:val="A17"/>
    <w:uiPriority w:val="99"/>
    <w:rsid w:val="00645809"/>
    <w:rPr>
      <w:rFonts w:cs="Minion Pro"/>
      <w:color w:val="000000"/>
      <w:sz w:val="21"/>
      <w:szCs w:val="21"/>
    </w:rPr>
  </w:style>
  <w:style w:type="paragraph" w:customStyle="1" w:styleId="Textoindependiente244">
    <w:name w:val="Texto independiente 244"/>
    <w:basedOn w:val="Normal"/>
    <w:rsid w:val="00645809"/>
    <w:pPr>
      <w:spacing w:line="360" w:lineRule="auto"/>
      <w:jc w:val="both"/>
    </w:pPr>
    <w:rPr>
      <w:sz w:val="24"/>
      <w:lang w:val="es-ES_tradnl"/>
    </w:rPr>
  </w:style>
  <w:style w:type="character" w:customStyle="1" w:styleId="Mencinsinresolver9">
    <w:name w:val="Mención sin resolver9"/>
    <w:uiPriority w:val="99"/>
    <w:semiHidden/>
    <w:unhideWhenUsed/>
    <w:rsid w:val="00645809"/>
    <w:rPr>
      <w:color w:val="605E5C"/>
      <w:shd w:val="clear" w:color="auto" w:fill="E1DFDD"/>
    </w:rPr>
  </w:style>
  <w:style w:type="paragraph" w:customStyle="1" w:styleId="Textoindependiente245">
    <w:name w:val="Texto independiente 245"/>
    <w:basedOn w:val="Normal"/>
    <w:rsid w:val="00645809"/>
    <w:pPr>
      <w:spacing w:line="360" w:lineRule="auto"/>
      <w:jc w:val="both"/>
    </w:pPr>
    <w:rPr>
      <w:sz w:val="24"/>
      <w:lang w:val="es-ES_tradnl"/>
    </w:rPr>
  </w:style>
  <w:style w:type="character" w:customStyle="1" w:styleId="Mencinsinresolver10">
    <w:name w:val="Mención sin resolver10"/>
    <w:uiPriority w:val="99"/>
    <w:semiHidden/>
    <w:unhideWhenUsed/>
    <w:rsid w:val="00645809"/>
    <w:rPr>
      <w:color w:val="605E5C"/>
      <w:shd w:val="clear" w:color="auto" w:fill="E1DFDD"/>
    </w:rPr>
  </w:style>
  <w:style w:type="paragraph" w:customStyle="1" w:styleId="Textoindependiente246">
    <w:name w:val="Texto independiente 246"/>
    <w:basedOn w:val="Normal"/>
    <w:rsid w:val="00645809"/>
    <w:pPr>
      <w:spacing w:line="360" w:lineRule="auto"/>
      <w:jc w:val="both"/>
    </w:pPr>
    <w:rPr>
      <w:sz w:val="24"/>
      <w:lang w:val="es-ES_tradnl"/>
    </w:rPr>
  </w:style>
  <w:style w:type="character" w:customStyle="1" w:styleId="Mencinsinresolver11">
    <w:name w:val="Mención sin resolver11"/>
    <w:uiPriority w:val="99"/>
    <w:semiHidden/>
    <w:unhideWhenUsed/>
    <w:rsid w:val="00645809"/>
    <w:rPr>
      <w:color w:val="605E5C"/>
      <w:shd w:val="clear" w:color="auto" w:fill="E1DFDD"/>
    </w:rPr>
  </w:style>
  <w:style w:type="paragraph" w:customStyle="1" w:styleId="Textoindependiente247">
    <w:name w:val="Texto independiente 247"/>
    <w:basedOn w:val="Normal"/>
    <w:rsid w:val="00645809"/>
    <w:pPr>
      <w:spacing w:line="360" w:lineRule="auto"/>
      <w:jc w:val="both"/>
    </w:pPr>
    <w:rPr>
      <w:sz w:val="24"/>
      <w:lang w:val="es-ES_tradnl"/>
    </w:rPr>
  </w:style>
  <w:style w:type="character" w:customStyle="1" w:styleId="Mencinsinresolver12">
    <w:name w:val="Mención sin resolver12"/>
    <w:uiPriority w:val="99"/>
    <w:semiHidden/>
    <w:unhideWhenUsed/>
    <w:rsid w:val="00645809"/>
    <w:rPr>
      <w:color w:val="605E5C"/>
      <w:shd w:val="clear" w:color="auto" w:fill="E1DFDD"/>
    </w:rPr>
  </w:style>
  <w:style w:type="table" w:customStyle="1" w:styleId="Tablaconcuadrcula4">
    <w:name w:val="Tabla con cuadrícula4"/>
    <w:basedOn w:val="Tablanormal"/>
    <w:next w:val="Tablaconcuadrcula"/>
    <w:uiPriority w:val="39"/>
    <w:rsid w:val="006458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809"/>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645809"/>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645809"/>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645809"/>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645809"/>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Ottawa" w:eastAsia="Times New Roman" w:hAnsi="Ottaw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Ottawa" w:eastAsia="Times New Roman" w:hAnsi="Ottaw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Ottawa" w:eastAsia="Times New Roman" w:hAnsi="Ottawa" w:cs="Times New Roman"/>
        <w:b/>
        <w:bCs/>
      </w:rPr>
    </w:tblStylePr>
    <w:tblStylePr w:type="lastCol">
      <w:rPr>
        <w:rFonts w:ascii="Ottawa" w:eastAsia="Times New Roman" w:hAnsi="Ottaw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645809"/>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645809"/>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645809"/>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645809"/>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645809"/>
    <w:rPr>
      <w:sz w:val="20"/>
      <w:szCs w:val="20"/>
    </w:rPr>
  </w:style>
  <w:style w:type="character" w:customStyle="1" w:styleId="CitaCar1">
    <w:name w:val="Cita Car1"/>
    <w:uiPriority w:val="29"/>
    <w:rsid w:val="00645809"/>
    <w:rPr>
      <w:i/>
      <w:iCs/>
      <w:color w:val="404040"/>
    </w:rPr>
  </w:style>
  <w:style w:type="character" w:styleId="Mencinsinresolver">
    <w:name w:val="Unresolved Mention"/>
    <w:uiPriority w:val="99"/>
    <w:semiHidden/>
    <w:unhideWhenUsed/>
    <w:rsid w:val="00645809"/>
    <w:rPr>
      <w:color w:val="605E5C"/>
      <w:shd w:val="clear" w:color="auto" w:fill="E1DFDD"/>
    </w:rPr>
  </w:style>
  <w:style w:type="paragraph" w:customStyle="1" w:styleId="paragraph">
    <w:name w:val="paragraph"/>
    <w:basedOn w:val="Normal"/>
    <w:rsid w:val="00645809"/>
    <w:rPr>
      <w:sz w:val="24"/>
      <w:szCs w:val="24"/>
      <w:lang w:val="es-CR" w:eastAsia="es-CR"/>
    </w:rPr>
  </w:style>
  <w:style w:type="table" w:styleId="Cuadrculaclara-nfasis5">
    <w:name w:val="Light Grid Accent 5"/>
    <w:basedOn w:val="Tablanormal"/>
    <w:uiPriority w:val="62"/>
    <w:unhideWhenUsed/>
    <w:rsid w:val="00645809"/>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BR-01T" w:eastAsia="Times New Roman" w:hAnsi="BR-01T"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BR-01T" w:eastAsia="Times New Roman" w:hAnsi="BR-01T"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BR-01T" w:eastAsia="Times New Roman" w:hAnsi="BR-01T" w:cs="Times New Roman" w:hint="default"/>
        <w:b/>
        <w:bCs/>
      </w:rPr>
    </w:tblStylePr>
    <w:tblStylePr w:type="lastCol">
      <w:rPr>
        <w:rFonts w:ascii="BR-01T" w:eastAsia="Times New Roman" w:hAnsi="BR-01T"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645809"/>
    <w:rPr>
      <w:color w:val="605E5C"/>
      <w:shd w:val="clear" w:color="auto" w:fill="E1DFDD"/>
    </w:rPr>
  </w:style>
  <w:style w:type="paragraph" w:customStyle="1" w:styleId="TituloMio">
    <w:name w:val="Titulo Mio"/>
    <w:basedOn w:val="Normal"/>
    <w:rsid w:val="00645809"/>
    <w:pPr>
      <w:jc w:val="both"/>
    </w:pPr>
    <w:rPr>
      <w:rFonts w:ascii="Tahoma" w:hAnsi="Tahoma"/>
      <w:sz w:val="24"/>
      <w:lang w:val="es-SV" w:eastAsia="en-US"/>
    </w:rPr>
  </w:style>
  <w:style w:type="paragraph" w:customStyle="1" w:styleId="1">
    <w:name w:val="1"/>
    <w:basedOn w:val="Normal"/>
    <w:next w:val="Ttulo"/>
    <w:qFormat/>
    <w:rsid w:val="00645809"/>
    <w:pPr>
      <w:jc w:val="center"/>
    </w:pPr>
    <w:rPr>
      <w:b/>
      <w:bCs/>
      <w:sz w:val="24"/>
      <w:szCs w:val="24"/>
    </w:rPr>
  </w:style>
  <w:style w:type="paragraph" w:customStyle="1" w:styleId="xl24">
    <w:name w:val="xl24"/>
    <w:basedOn w:val="Normal"/>
    <w:rsid w:val="00645809"/>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45809"/>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645809"/>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645809"/>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645809"/>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645809"/>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645809"/>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45809"/>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645809"/>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645809"/>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645809"/>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645809"/>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645809"/>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645809"/>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645809"/>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645809"/>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645809"/>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645809"/>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645809"/>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645809"/>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645809"/>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645809"/>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645809"/>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645809"/>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645809"/>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645809"/>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645809"/>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645809"/>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64580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645809"/>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6458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645809"/>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645809"/>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645809"/>
    <w:pPr>
      <w:spacing w:before="100" w:beforeAutospacing="1" w:after="100" w:afterAutospacing="1"/>
    </w:pPr>
    <w:rPr>
      <w:sz w:val="24"/>
      <w:szCs w:val="24"/>
      <w:lang w:val="es-CR" w:eastAsia="es-CR"/>
    </w:rPr>
  </w:style>
  <w:style w:type="character" w:customStyle="1" w:styleId="no-style-override-1">
    <w:name w:val="no-style-override-1"/>
    <w:rsid w:val="00645809"/>
  </w:style>
  <w:style w:type="paragraph" w:styleId="Tabladeilustraciones">
    <w:name w:val="table of figures"/>
    <w:basedOn w:val="Normal"/>
    <w:next w:val="Normal"/>
    <w:semiHidden/>
    <w:rsid w:val="00645809"/>
    <w:pPr>
      <w:ind w:left="480" w:hanging="480"/>
    </w:pPr>
    <w:rPr>
      <w:sz w:val="24"/>
      <w:szCs w:val="24"/>
    </w:rPr>
  </w:style>
  <w:style w:type="paragraph" w:styleId="ndice1">
    <w:name w:val="index 1"/>
    <w:basedOn w:val="Normal"/>
    <w:next w:val="Normal"/>
    <w:autoRedefine/>
    <w:uiPriority w:val="99"/>
    <w:semiHidden/>
    <w:rsid w:val="00645809"/>
    <w:pPr>
      <w:ind w:left="240" w:hanging="240"/>
    </w:pPr>
    <w:rPr>
      <w:sz w:val="24"/>
      <w:szCs w:val="24"/>
    </w:rPr>
  </w:style>
  <w:style w:type="paragraph" w:styleId="ndice2">
    <w:name w:val="index 2"/>
    <w:basedOn w:val="Normal"/>
    <w:next w:val="Normal"/>
    <w:autoRedefine/>
    <w:semiHidden/>
    <w:rsid w:val="00645809"/>
    <w:pPr>
      <w:ind w:left="480" w:hanging="240"/>
    </w:pPr>
    <w:rPr>
      <w:sz w:val="24"/>
      <w:szCs w:val="24"/>
    </w:rPr>
  </w:style>
  <w:style w:type="paragraph" w:styleId="ndice3">
    <w:name w:val="index 3"/>
    <w:basedOn w:val="Normal"/>
    <w:next w:val="Normal"/>
    <w:autoRedefine/>
    <w:semiHidden/>
    <w:rsid w:val="00645809"/>
    <w:pPr>
      <w:ind w:left="720" w:hanging="240"/>
    </w:pPr>
    <w:rPr>
      <w:sz w:val="24"/>
      <w:szCs w:val="24"/>
    </w:rPr>
  </w:style>
  <w:style w:type="paragraph" w:styleId="ndice4">
    <w:name w:val="index 4"/>
    <w:basedOn w:val="Normal"/>
    <w:next w:val="Normal"/>
    <w:autoRedefine/>
    <w:semiHidden/>
    <w:rsid w:val="00645809"/>
    <w:pPr>
      <w:ind w:left="960" w:hanging="240"/>
    </w:pPr>
    <w:rPr>
      <w:sz w:val="24"/>
      <w:szCs w:val="24"/>
    </w:rPr>
  </w:style>
  <w:style w:type="paragraph" w:styleId="ndice5">
    <w:name w:val="index 5"/>
    <w:basedOn w:val="Normal"/>
    <w:next w:val="Normal"/>
    <w:autoRedefine/>
    <w:semiHidden/>
    <w:rsid w:val="00645809"/>
    <w:pPr>
      <w:ind w:left="1200" w:hanging="240"/>
    </w:pPr>
    <w:rPr>
      <w:sz w:val="24"/>
      <w:szCs w:val="24"/>
    </w:rPr>
  </w:style>
  <w:style w:type="paragraph" w:styleId="ndice6">
    <w:name w:val="index 6"/>
    <w:basedOn w:val="Normal"/>
    <w:next w:val="Normal"/>
    <w:autoRedefine/>
    <w:semiHidden/>
    <w:rsid w:val="00645809"/>
    <w:pPr>
      <w:ind w:left="1440" w:hanging="240"/>
    </w:pPr>
    <w:rPr>
      <w:sz w:val="24"/>
      <w:szCs w:val="24"/>
    </w:rPr>
  </w:style>
  <w:style w:type="paragraph" w:styleId="ndice7">
    <w:name w:val="index 7"/>
    <w:basedOn w:val="Normal"/>
    <w:next w:val="Normal"/>
    <w:autoRedefine/>
    <w:semiHidden/>
    <w:rsid w:val="00645809"/>
    <w:pPr>
      <w:ind w:left="1680" w:hanging="240"/>
    </w:pPr>
    <w:rPr>
      <w:sz w:val="24"/>
      <w:szCs w:val="24"/>
    </w:rPr>
  </w:style>
  <w:style w:type="paragraph" w:styleId="ndice8">
    <w:name w:val="index 8"/>
    <w:basedOn w:val="Normal"/>
    <w:next w:val="Normal"/>
    <w:autoRedefine/>
    <w:semiHidden/>
    <w:rsid w:val="00645809"/>
    <w:pPr>
      <w:ind w:left="1920" w:hanging="240"/>
    </w:pPr>
    <w:rPr>
      <w:sz w:val="24"/>
      <w:szCs w:val="24"/>
    </w:rPr>
  </w:style>
  <w:style w:type="paragraph" w:styleId="ndice9">
    <w:name w:val="index 9"/>
    <w:basedOn w:val="Normal"/>
    <w:next w:val="Normal"/>
    <w:autoRedefine/>
    <w:semiHidden/>
    <w:rsid w:val="00645809"/>
    <w:pPr>
      <w:ind w:left="2160" w:hanging="240"/>
    </w:pPr>
    <w:rPr>
      <w:sz w:val="24"/>
      <w:szCs w:val="24"/>
    </w:rPr>
  </w:style>
  <w:style w:type="paragraph" w:styleId="Ttulodendice">
    <w:name w:val="index heading"/>
    <w:basedOn w:val="Normal"/>
    <w:next w:val="ndice1"/>
    <w:semiHidden/>
    <w:rsid w:val="00645809"/>
    <w:rPr>
      <w:sz w:val="24"/>
      <w:szCs w:val="24"/>
    </w:rPr>
  </w:style>
  <w:style w:type="paragraph" w:customStyle="1" w:styleId="EstiloMarcoConceptual">
    <w:name w:val="Estilo Marco Conceptual"/>
    <w:basedOn w:val="Ttulo1"/>
    <w:link w:val="EstiloMarcoConceptualCar"/>
    <w:qFormat/>
    <w:rsid w:val="00645809"/>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645809"/>
    <w:rPr>
      <w:rFonts w:ascii="Calibri Light" w:eastAsia="Times New Roman" w:hAnsi="Calibri Light"/>
      <w:b/>
      <w:color w:val="2E74B5"/>
      <w:sz w:val="28"/>
      <w:szCs w:val="24"/>
      <w:lang w:val="es-ES" w:eastAsia="en-US"/>
    </w:rPr>
  </w:style>
  <w:style w:type="character" w:customStyle="1" w:styleId="tlid-translation">
    <w:name w:val="tlid-translation"/>
    <w:rsid w:val="00645809"/>
  </w:style>
  <w:style w:type="table" w:styleId="Tablaconcuadrcula4-nfasis1">
    <w:name w:val="Grid Table 4 Accent 1"/>
    <w:basedOn w:val="Tablanormal"/>
    <w:uiPriority w:val="49"/>
    <w:rsid w:val="0064580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645809"/>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645809"/>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Negritacentrado">
    <w:name w:val="Negrita centrado"/>
    <w:basedOn w:val="Negrita"/>
    <w:rsid w:val="00645809"/>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645809"/>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45809"/>
    <w:rPr>
      <w:rFonts w:ascii="Franklin Gothic Book" w:hAnsi="Franklin Gothic Book"/>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tulo1SUGEF">
    <w:name w:val="Título 1 SUGEF"/>
    <w:basedOn w:val="Normal"/>
    <w:qFormat/>
    <w:rsid w:val="00645809"/>
    <w:pPr>
      <w:numPr>
        <w:numId w:val="20"/>
      </w:numPr>
    </w:pPr>
    <w:rPr>
      <w:rFonts w:ascii="Arial" w:hAnsi="Arial" w:cs="Arial"/>
      <w:b/>
      <w:sz w:val="24"/>
      <w:szCs w:val="24"/>
      <w:lang w:val="es-ES_tradnl"/>
    </w:rPr>
  </w:style>
  <w:style w:type="paragraph" w:customStyle="1" w:styleId="Ttulo2SUGEF">
    <w:name w:val="Título 2 SUGEF"/>
    <w:basedOn w:val="Normal"/>
    <w:qFormat/>
    <w:rsid w:val="00645809"/>
    <w:pPr>
      <w:numPr>
        <w:ilvl w:val="1"/>
        <w:numId w:val="20"/>
      </w:numPr>
    </w:pPr>
    <w:rPr>
      <w:rFonts w:ascii="Arial" w:hAnsi="Arial" w:cs="Arial"/>
      <w:b/>
      <w:sz w:val="22"/>
      <w:szCs w:val="24"/>
      <w:lang w:val="es-ES_tradnl"/>
    </w:rPr>
  </w:style>
  <w:style w:type="paragraph" w:customStyle="1" w:styleId="Heding3">
    <w:name w:val="Heding 3"/>
    <w:basedOn w:val="Ttulo3"/>
    <w:link w:val="Heding3Char"/>
    <w:rsid w:val="00645809"/>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645809"/>
    <w:rPr>
      <w:rFonts w:ascii="Arial" w:hAnsi="Arial" w:cs="Arial"/>
      <w:b/>
      <w:bCs/>
      <w:i/>
      <w:sz w:val="28"/>
      <w:szCs w:val="28"/>
      <w:lang w:val="es-ES" w:eastAsia="es-ES"/>
    </w:rPr>
  </w:style>
  <w:style w:type="character" w:customStyle="1" w:styleId="CarCar19">
    <w:name w:val="Car Car19"/>
    <w:rsid w:val="00645809"/>
    <w:rPr>
      <w:rFonts w:ascii="Arial" w:hAnsi="Arial" w:cs="Arial"/>
      <w:bCs/>
      <w:i/>
      <w:sz w:val="26"/>
      <w:szCs w:val="26"/>
      <w:lang w:val="es-ES" w:eastAsia="es-ES"/>
    </w:rPr>
  </w:style>
  <w:style w:type="paragraph" w:customStyle="1" w:styleId="Heading4mus">
    <w:name w:val="Heading 4 mus"/>
    <w:basedOn w:val="Ttulo3"/>
    <w:link w:val="Heading4musChar"/>
    <w:rsid w:val="00645809"/>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645809"/>
    <w:rPr>
      <w:rFonts w:ascii="Arial" w:hAnsi="Arial" w:cs="Arial"/>
      <w:b/>
      <w:bCs/>
      <w:i/>
      <w:sz w:val="28"/>
      <w:szCs w:val="28"/>
      <w:lang w:val="en-GB" w:eastAsia="es-ES"/>
    </w:rPr>
  </w:style>
  <w:style w:type="character" w:customStyle="1" w:styleId="CarCar20">
    <w:name w:val="Car Car20"/>
    <w:rsid w:val="00645809"/>
    <w:rPr>
      <w:rFonts w:ascii="Arial" w:hAnsi="Arial" w:cs="Arial"/>
      <w:bCs/>
      <w:iCs/>
      <w:sz w:val="28"/>
      <w:szCs w:val="28"/>
      <w:lang w:val="es-ES" w:eastAsia="es-ES" w:bidi="ar-SA"/>
    </w:rPr>
  </w:style>
  <w:style w:type="character" w:customStyle="1" w:styleId="CarCar17">
    <w:name w:val="Car Car17"/>
    <w:rsid w:val="00645809"/>
    <w:rPr>
      <w:rFonts w:ascii="Arial" w:hAnsi="Arial"/>
      <w:bCs/>
      <w:iCs/>
      <w:sz w:val="26"/>
      <w:szCs w:val="26"/>
      <w:lang w:val="es-ES" w:eastAsia="es-ES" w:bidi="ar-SA"/>
    </w:rPr>
  </w:style>
  <w:style w:type="character" w:customStyle="1" w:styleId="CarCar16">
    <w:name w:val="Car Car16"/>
    <w:rsid w:val="00645809"/>
    <w:rPr>
      <w:rFonts w:ascii="Arial" w:hAnsi="Arial"/>
      <w:bCs/>
      <w:i/>
      <w:sz w:val="22"/>
      <w:szCs w:val="22"/>
      <w:lang w:val="es-ES" w:eastAsia="es-ES" w:bidi="ar-SA"/>
    </w:rPr>
  </w:style>
  <w:style w:type="character" w:customStyle="1" w:styleId="CarCar15">
    <w:name w:val="Car Car15"/>
    <w:rsid w:val="00645809"/>
    <w:rPr>
      <w:rFonts w:ascii="Arial" w:hAnsi="Arial"/>
      <w:b/>
      <w:i/>
      <w:sz w:val="28"/>
      <w:lang w:val="es-ES" w:eastAsia="es-ES" w:bidi="ar-SA"/>
    </w:rPr>
  </w:style>
  <w:style w:type="character" w:customStyle="1" w:styleId="CarCar14">
    <w:name w:val="Car Car14"/>
    <w:rsid w:val="00645809"/>
    <w:rPr>
      <w:rFonts w:ascii="Arial" w:hAnsi="Arial"/>
      <w:b/>
      <w:iCs/>
      <w:sz w:val="28"/>
      <w:lang w:val="es-ES" w:eastAsia="es-ES" w:bidi="ar-SA"/>
    </w:rPr>
  </w:style>
  <w:style w:type="character" w:customStyle="1" w:styleId="CarCar13">
    <w:name w:val="Car Car13"/>
    <w:rsid w:val="00645809"/>
    <w:rPr>
      <w:rFonts w:ascii="Arial" w:hAnsi="Arial" w:cs="Arial"/>
      <w:b/>
      <w:i/>
      <w:sz w:val="22"/>
      <w:szCs w:val="22"/>
      <w:lang w:val="es-ES" w:eastAsia="es-ES" w:bidi="ar-SA"/>
    </w:rPr>
  </w:style>
  <w:style w:type="paragraph" w:customStyle="1" w:styleId="02bullet">
    <w:name w:val="02 bullet"/>
    <w:basedOn w:val="Normal"/>
    <w:rsid w:val="00645809"/>
    <w:pPr>
      <w:spacing w:after="180"/>
      <w:ind w:left="1296" w:hanging="317"/>
      <w:outlineLvl w:val="6"/>
    </w:pPr>
    <w:rPr>
      <w:rFonts w:ascii="Palatino" w:hAnsi="Palatino"/>
      <w:b/>
      <w:i/>
      <w:sz w:val="28"/>
    </w:rPr>
  </w:style>
  <w:style w:type="paragraph" w:customStyle="1" w:styleId="03dash">
    <w:name w:val="03 dash"/>
    <w:basedOn w:val="Normal"/>
    <w:rsid w:val="00645809"/>
    <w:pPr>
      <w:numPr>
        <w:numId w:val="21"/>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645809"/>
    <w:pPr>
      <w:spacing w:before="100"/>
    </w:pPr>
    <w:rPr>
      <w:rFonts w:ascii="Arial" w:hAnsi="Arial"/>
      <w:i/>
      <w:sz w:val="28"/>
    </w:rPr>
  </w:style>
  <w:style w:type="paragraph" w:customStyle="1" w:styleId="61exhbullet">
    <w:name w:val="61 exh bullet"/>
    <w:basedOn w:val="Normal"/>
    <w:rsid w:val="00645809"/>
    <w:pPr>
      <w:numPr>
        <w:numId w:val="22"/>
      </w:numPr>
      <w:tabs>
        <w:tab w:val="clear" w:pos="360"/>
      </w:tabs>
    </w:pPr>
    <w:rPr>
      <w:rFonts w:ascii="Arial" w:hAnsi="Arial"/>
      <w:b/>
      <w:i/>
      <w:sz w:val="28"/>
    </w:rPr>
  </w:style>
  <w:style w:type="paragraph" w:customStyle="1" w:styleId="Textopredeterminado">
    <w:name w:val="Texto predeterminado"/>
    <w:basedOn w:val="Normal"/>
    <w:rsid w:val="00645809"/>
    <w:pPr>
      <w:jc w:val="both"/>
    </w:pPr>
    <w:rPr>
      <w:rFonts w:ascii="Arial" w:hAnsi="Arial"/>
      <w:b/>
      <w:i/>
      <w:lang w:val="es-AR"/>
    </w:rPr>
  </w:style>
  <w:style w:type="paragraph" w:customStyle="1" w:styleId="Estndar">
    <w:name w:val="Estándar"/>
    <w:basedOn w:val="Normal"/>
    <w:rsid w:val="00645809"/>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645809"/>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645809"/>
    <w:pPr>
      <w:spacing w:before="100"/>
    </w:pPr>
    <w:rPr>
      <w:rFonts w:ascii="Arial" w:hAnsi="Arial"/>
      <w:b/>
      <w:i/>
      <w:sz w:val="28"/>
    </w:rPr>
  </w:style>
  <w:style w:type="paragraph" w:customStyle="1" w:styleId="31subtitle">
    <w:name w:val="31 subtitle"/>
    <w:basedOn w:val="Normal"/>
    <w:next w:val="Normal"/>
    <w:rsid w:val="00645809"/>
    <w:pPr>
      <w:spacing w:after="720"/>
      <w:ind w:right="3601"/>
    </w:pPr>
    <w:rPr>
      <w:rFonts w:ascii="Palatino" w:hAnsi="Palatino"/>
      <w:b/>
      <w:sz w:val="28"/>
    </w:rPr>
  </w:style>
  <w:style w:type="paragraph" w:customStyle="1" w:styleId="40address">
    <w:name w:val="40 address"/>
    <w:basedOn w:val="Normal"/>
    <w:rsid w:val="00645809"/>
    <w:pPr>
      <w:spacing w:after="180"/>
    </w:pPr>
    <w:rPr>
      <w:rFonts w:ascii="Palatino" w:hAnsi="Palatino"/>
      <w:b/>
      <w:i/>
      <w:sz w:val="28"/>
    </w:rPr>
  </w:style>
  <w:style w:type="paragraph" w:customStyle="1" w:styleId="60exhnormal">
    <w:name w:val="60 exh normal"/>
    <w:basedOn w:val="Normal"/>
    <w:rsid w:val="00645809"/>
    <w:rPr>
      <w:rFonts w:ascii="Arial" w:hAnsi="Arial"/>
      <w:b/>
      <w:i/>
      <w:sz w:val="28"/>
    </w:rPr>
  </w:style>
  <w:style w:type="paragraph" w:customStyle="1" w:styleId="a3">
    <w:name w:val="_"/>
    <w:basedOn w:val="Normal"/>
    <w:rsid w:val="00645809"/>
    <w:pPr>
      <w:widowControl w:val="0"/>
      <w:ind w:left="720" w:hanging="360"/>
    </w:pPr>
    <w:rPr>
      <w:rFonts w:ascii="Arial" w:hAnsi="Arial"/>
      <w:b/>
      <w:i/>
      <w:snapToGrid w:val="0"/>
      <w:sz w:val="28"/>
      <w:lang w:val="en-US"/>
    </w:rPr>
  </w:style>
  <w:style w:type="paragraph" w:customStyle="1" w:styleId="Headimg5mus">
    <w:name w:val="Headimg 5 mus"/>
    <w:basedOn w:val="Ttulo5"/>
    <w:rsid w:val="00645809"/>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645809"/>
    <w:rPr>
      <w:rFonts w:ascii="BdE Neue Helvetica" w:hAnsi="BdE Neue Helvetica" w:cs="Times New Roman"/>
      <w:color w:val="auto"/>
      <w:lang w:val="es-ES" w:eastAsia="es-ES"/>
    </w:rPr>
  </w:style>
  <w:style w:type="paragraph" w:customStyle="1" w:styleId="Heading2a">
    <w:name w:val="Heading 2a"/>
    <w:basedOn w:val="Ttulo2"/>
    <w:rsid w:val="00645809"/>
    <w:pPr>
      <w:spacing w:before="240" w:after="120"/>
    </w:pPr>
    <w:rPr>
      <w:rFonts w:eastAsia="Calibri"/>
      <w:b w:val="0"/>
      <w:sz w:val="20"/>
      <w:lang w:val="es-AR"/>
    </w:rPr>
  </w:style>
  <w:style w:type="paragraph" w:customStyle="1" w:styleId="ecmsonormal">
    <w:name w:val="ec_msonormal"/>
    <w:basedOn w:val="Normal"/>
    <w:rsid w:val="00645809"/>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645809"/>
    <w:pPr>
      <w:numPr>
        <w:numId w:val="23"/>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645809"/>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645809"/>
    <w:rPr>
      <w:rFonts w:ascii="Arial" w:hAnsi="Arial" w:cs="Arial"/>
      <w:b/>
      <w:bCs/>
      <w:sz w:val="26"/>
      <w:szCs w:val="26"/>
      <w:lang w:val="en-GB" w:eastAsia="es-ES" w:bidi="ar-SA"/>
    </w:rPr>
  </w:style>
  <w:style w:type="paragraph" w:customStyle="1" w:styleId="ListParagraph1">
    <w:name w:val="List Paragraph1"/>
    <w:basedOn w:val="Normal"/>
    <w:qFormat/>
    <w:rsid w:val="00645809"/>
    <w:pPr>
      <w:ind w:left="720"/>
      <w:contextualSpacing/>
    </w:pPr>
    <w:rPr>
      <w:sz w:val="24"/>
      <w:szCs w:val="24"/>
      <w:lang w:val="es-ES_tradnl"/>
    </w:rPr>
  </w:style>
  <w:style w:type="character" w:customStyle="1" w:styleId="CarCar21">
    <w:name w:val="Car Car21"/>
    <w:rsid w:val="00645809"/>
    <w:rPr>
      <w:rFonts w:ascii="Arial" w:hAnsi="Arial" w:cs="Arial"/>
      <w:bCs/>
      <w:iCs/>
      <w:sz w:val="28"/>
      <w:szCs w:val="28"/>
      <w:lang w:val="es-ES" w:eastAsia="es-ES" w:bidi="ar-SA"/>
    </w:rPr>
  </w:style>
  <w:style w:type="paragraph" w:customStyle="1" w:styleId="Ttulo3SUGEF">
    <w:name w:val="Título 3 SUGEF"/>
    <w:basedOn w:val="Ttulo2SUGEF"/>
    <w:qFormat/>
    <w:rsid w:val="00645809"/>
    <w:pPr>
      <w:numPr>
        <w:numId w:val="24"/>
      </w:numPr>
    </w:pPr>
  </w:style>
  <w:style w:type="table" w:styleId="Tablaconcuadrcula5oscura-nfasis3">
    <w:name w:val="Grid Table 5 Dark Accent 3"/>
    <w:basedOn w:val="Tablanormal"/>
    <w:uiPriority w:val="50"/>
    <w:rsid w:val="00645809"/>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645809"/>
    <w:pPr>
      <w:spacing w:before="100" w:beforeAutospacing="1" w:after="100" w:afterAutospacing="1"/>
    </w:pPr>
    <w:rPr>
      <w:sz w:val="24"/>
      <w:szCs w:val="24"/>
      <w:lang w:val="es-CR" w:eastAsia="es-CR"/>
    </w:rPr>
  </w:style>
  <w:style w:type="character" w:customStyle="1" w:styleId="bumpedfont15">
    <w:name w:val="bumpedfont15"/>
    <w:rsid w:val="00645809"/>
  </w:style>
  <w:style w:type="paragraph" w:customStyle="1" w:styleId="Heading212pt">
    <w:name w:val="Heading 2 + 12 pt"/>
    <w:aliases w:val="Bold,Not Italic,Centered"/>
    <w:basedOn w:val="Normal"/>
    <w:rsid w:val="00645809"/>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645809"/>
    <w:pPr>
      <w:keepLines/>
      <w:jc w:val="center"/>
    </w:pPr>
    <w:rPr>
      <w:rFonts w:ascii="Arial" w:hAnsi="Arial" w:cs="Arial"/>
      <w:b/>
      <w:color w:val="000000"/>
      <w:szCs w:val="32"/>
    </w:rPr>
  </w:style>
  <w:style w:type="character" w:customStyle="1" w:styleId="capitulosChar">
    <w:name w:val="capitulos Char"/>
    <w:link w:val="capitulos"/>
    <w:rsid w:val="00645809"/>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645809"/>
    <w:rPr>
      <w:rFonts w:ascii="Arial" w:hAnsi="Arial" w:cs="Arial"/>
      <w:iCs/>
      <w:szCs w:val="24"/>
      <w:lang w:val="es-CR"/>
    </w:rPr>
  </w:style>
  <w:style w:type="character" w:customStyle="1" w:styleId="ArticulosChar">
    <w:name w:val="Articulos Char"/>
    <w:link w:val="Articulos"/>
    <w:rsid w:val="00645809"/>
    <w:rPr>
      <w:rFonts w:ascii="Arial" w:eastAsia="Times New Roman" w:hAnsi="Arial" w:cs="Arial"/>
      <w:b/>
      <w:bCs/>
      <w:iCs/>
      <w:sz w:val="24"/>
      <w:szCs w:val="24"/>
      <w:lang w:eastAsia="es-ES"/>
    </w:rPr>
  </w:style>
  <w:style w:type="character" w:customStyle="1" w:styleId="jlqj4b">
    <w:name w:val="jlqj4b"/>
    <w:rsid w:val="00645809"/>
  </w:style>
  <w:style w:type="character" w:customStyle="1" w:styleId="fszzbb">
    <w:name w:val="fszzbb"/>
    <w:rsid w:val="00645809"/>
  </w:style>
  <w:style w:type="paragraph" w:customStyle="1" w:styleId="CM12">
    <w:name w:val="CM12"/>
    <w:basedOn w:val="Normal"/>
    <w:next w:val="Normal"/>
    <w:uiPriority w:val="99"/>
    <w:rsid w:val="00645809"/>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645809"/>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645809"/>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645809"/>
  </w:style>
  <w:style w:type="character" w:customStyle="1" w:styleId="gmail-m933158419893768705gmail-m19750862538626929edit-post-post-linklink-post-name">
    <w:name w:val="gmail-m_933158419893768705gmail-m19750862538626929edit-post-post-linklink-post-name"/>
    <w:rsid w:val="00645809"/>
  </w:style>
  <w:style w:type="character" w:customStyle="1" w:styleId="gmail-m933158419893768705gmail-m19750862538626929edit-post-post-linklink-suffix">
    <w:name w:val="gmail-m_933158419893768705gmail-m19750862538626929edit-post-post-linklink-suffix"/>
    <w:rsid w:val="00645809"/>
  </w:style>
  <w:style w:type="character" w:customStyle="1" w:styleId="gmail-m-1710837406969281201gmail-m19750862538626929edit-post-post-linklink-prefix">
    <w:name w:val="gmail-m_-1710837406969281201gmail-m19750862538626929edit-post-post-linklink-prefix"/>
    <w:rsid w:val="00645809"/>
  </w:style>
  <w:style w:type="character" w:customStyle="1" w:styleId="gmail-m-1710837406969281201gmail-m19750862538626929edit-post-post-linklink-post-name">
    <w:name w:val="gmail-m_-1710837406969281201gmail-m19750862538626929edit-post-post-linklink-post-name"/>
    <w:rsid w:val="00645809"/>
  </w:style>
  <w:style w:type="character" w:customStyle="1" w:styleId="gmail-m-1710837406969281201gmail-m19750862538626929edit-post-post-linklink-suffix">
    <w:name w:val="gmail-m_-1710837406969281201gmail-m19750862538626929edit-post-post-linklink-suffix"/>
    <w:rsid w:val="00645809"/>
  </w:style>
  <w:style w:type="character" w:customStyle="1" w:styleId="gmail-m-4660399009690171336gmail-m19750862538626929edit-post-post-linklink-prefix">
    <w:name w:val="gmail-m_-4660399009690171336gmail-m19750862538626929edit-post-post-linklink-prefix"/>
    <w:rsid w:val="00645809"/>
  </w:style>
  <w:style w:type="character" w:customStyle="1" w:styleId="gmail-m-4660399009690171336gmail-m19750862538626929edit-post-post-linklink-post-name">
    <w:name w:val="gmail-m_-4660399009690171336gmail-m19750862538626929edit-post-post-linklink-post-name"/>
    <w:rsid w:val="00645809"/>
  </w:style>
  <w:style w:type="character" w:customStyle="1" w:styleId="gmail-m-4660399009690171336gmail-m19750862538626929edit-post-post-linklink-suffix">
    <w:name w:val="gmail-m_-4660399009690171336gmail-m19750862538626929edit-post-post-linklink-suffix"/>
    <w:rsid w:val="00645809"/>
  </w:style>
  <w:style w:type="paragraph" w:customStyle="1" w:styleId="pa80">
    <w:name w:val="pa8"/>
    <w:basedOn w:val="Normal"/>
    <w:rsid w:val="00645809"/>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645809"/>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tulo1">
    <w:name w:val="Subtítulo1"/>
    <w:basedOn w:val="Normal"/>
    <w:next w:val="Normal"/>
    <w:uiPriority w:val="11"/>
    <w:qFormat/>
    <w:rsid w:val="00645809"/>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645809"/>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645809"/>
    <w:rPr>
      <w:rFonts w:ascii="Franklin Gothic Medium" w:eastAsia="Times New Roman" w:hAnsi="Franklin Gothic Medium"/>
      <w:color w:val="4472C4"/>
      <w:sz w:val="28"/>
      <w:szCs w:val="28"/>
    </w:rPr>
  </w:style>
  <w:style w:type="paragraph" w:styleId="Citadestacada">
    <w:name w:val="Intense Quote"/>
    <w:basedOn w:val="Normal"/>
    <w:next w:val="Normal"/>
    <w:link w:val="CitadestacadaCar"/>
    <w:uiPriority w:val="30"/>
    <w:qFormat/>
    <w:rsid w:val="00645809"/>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645809"/>
    <w:rPr>
      <w:rFonts w:ascii="Times New Roman" w:eastAsia="Times New Roman" w:hAnsi="Times New Roman"/>
      <w:i/>
      <w:iCs/>
      <w:color w:val="4472C4" w:themeColor="accent1"/>
      <w:lang w:val="es-ES" w:eastAsia="es-ES"/>
    </w:rPr>
  </w:style>
  <w:style w:type="character" w:customStyle="1" w:styleId="nfasissutil1">
    <w:name w:val="Énfasis sutil1"/>
    <w:uiPriority w:val="19"/>
    <w:qFormat/>
    <w:rsid w:val="00645809"/>
    <w:rPr>
      <w:i/>
      <w:iCs/>
      <w:color w:val="404040"/>
    </w:rPr>
  </w:style>
  <w:style w:type="character" w:customStyle="1" w:styleId="Referenciasutil1">
    <w:name w:val="Referencia sutil1"/>
    <w:uiPriority w:val="31"/>
    <w:qFormat/>
    <w:rsid w:val="00645809"/>
    <w:rPr>
      <w:smallCaps/>
      <w:color w:val="404040"/>
      <w:u w:val="single" w:color="7F7F7F"/>
    </w:rPr>
  </w:style>
  <w:style w:type="character" w:styleId="Referenciaintensa">
    <w:name w:val="Intense Reference"/>
    <w:uiPriority w:val="32"/>
    <w:qFormat/>
    <w:rsid w:val="00645809"/>
    <w:rPr>
      <w:b/>
      <w:bCs/>
      <w:smallCaps/>
      <w:spacing w:val="5"/>
      <w:u w:val="single"/>
    </w:rPr>
  </w:style>
  <w:style w:type="character" w:styleId="Ttulodellibro">
    <w:name w:val="Book Title"/>
    <w:uiPriority w:val="33"/>
    <w:qFormat/>
    <w:rsid w:val="00645809"/>
    <w:rPr>
      <w:b/>
      <w:bCs/>
      <w:smallCaps/>
    </w:rPr>
  </w:style>
  <w:style w:type="character" w:customStyle="1" w:styleId="nacep1">
    <w:name w:val="n_acep1"/>
    <w:rsid w:val="00645809"/>
    <w:rPr>
      <w:b/>
      <w:bCs/>
    </w:rPr>
  </w:style>
  <w:style w:type="paragraph" w:customStyle="1" w:styleId="pa22">
    <w:name w:val="pa22"/>
    <w:basedOn w:val="Normal"/>
    <w:rsid w:val="00645809"/>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645809"/>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645809"/>
    <w:rPr>
      <w:rFonts w:ascii="Calibri" w:eastAsia="Times New Roman" w:hAnsi="Calibri" w:cs="Times New Roman"/>
      <w:color w:val="5A5A5A"/>
      <w:spacing w:val="15"/>
      <w:sz w:val="22"/>
      <w:szCs w:val="22"/>
      <w:lang w:eastAsia="es-ES"/>
    </w:rPr>
  </w:style>
  <w:style w:type="character" w:styleId="Referenciasutil">
    <w:name w:val="Subtle Reference"/>
    <w:uiPriority w:val="31"/>
    <w:qFormat/>
    <w:rsid w:val="00645809"/>
    <w:rPr>
      <w:smallCaps/>
      <w:color w:val="5A5A5A"/>
    </w:rPr>
  </w:style>
  <w:style w:type="paragraph" w:customStyle="1" w:styleId="footnotedescription">
    <w:name w:val="footnote description"/>
    <w:next w:val="Normal"/>
    <w:link w:val="footnotedescriptionChar"/>
    <w:hidden/>
    <w:rsid w:val="00645809"/>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645809"/>
    <w:rPr>
      <w:rFonts w:ascii="Times New Roman" w:eastAsia="Times New Roman" w:hAnsi="Times New Roman"/>
      <w:i/>
      <w:color w:val="000000"/>
      <w:sz w:val="16"/>
      <w:szCs w:val="22"/>
    </w:rPr>
  </w:style>
  <w:style w:type="character" w:customStyle="1" w:styleId="footnotemark">
    <w:name w:val="footnote mark"/>
    <w:hidden/>
    <w:rsid w:val="00645809"/>
    <w:rPr>
      <w:rFonts w:ascii="Times New Roman" w:eastAsia="Times New Roman" w:hAnsi="Times New Roman" w:cs="Times New Roman"/>
      <w:i/>
      <w:color w:val="000000"/>
      <w:sz w:val="16"/>
      <w:vertAlign w:val="superscript"/>
    </w:rPr>
  </w:style>
  <w:style w:type="table" w:customStyle="1" w:styleId="TableGrid1">
    <w:name w:val="TableGrid1"/>
    <w:rsid w:val="00645809"/>
    <w:rPr>
      <w:rFonts w:eastAsia="Times New Roman"/>
      <w:sz w:val="22"/>
      <w:szCs w:val="22"/>
    </w:rPr>
    <w:tblPr>
      <w:tblCellMar>
        <w:top w:w="0" w:type="dxa"/>
        <w:left w:w="0" w:type="dxa"/>
        <w:bottom w:w="0" w:type="dxa"/>
        <w:right w:w="0" w:type="dxa"/>
      </w:tblCellMar>
    </w:tblPr>
  </w:style>
  <w:style w:type="table" w:customStyle="1" w:styleId="TableGrid0">
    <w:name w:val="Table Grid0"/>
    <w:rsid w:val="00645809"/>
    <w:rPr>
      <w:rFonts w:eastAsia="Times New Roman"/>
      <w:sz w:val="22"/>
      <w:szCs w:val="22"/>
    </w:rPr>
    <w:tblPr>
      <w:tblCellMar>
        <w:top w:w="0" w:type="dxa"/>
        <w:left w:w="0" w:type="dxa"/>
        <w:bottom w:w="0" w:type="dxa"/>
        <w:right w:w="0" w:type="dxa"/>
      </w:tblCellMar>
    </w:tblPr>
  </w:style>
  <w:style w:type="paragraph" w:customStyle="1" w:styleId="Textoindependiente2200">
    <w:name w:val="Texto independiente 2200"/>
    <w:basedOn w:val="Normal"/>
    <w:rsid w:val="00645809"/>
    <w:pPr>
      <w:spacing w:line="360" w:lineRule="auto"/>
      <w:jc w:val="both"/>
    </w:pPr>
    <w:rPr>
      <w:sz w:val="24"/>
      <w:lang w:val="es-ES_tradnl"/>
    </w:rPr>
  </w:style>
  <w:style w:type="paragraph" w:customStyle="1" w:styleId="Ttulo100">
    <w:name w:val="Título10"/>
    <w:basedOn w:val="Normal"/>
    <w:qFormat/>
    <w:rsid w:val="00645809"/>
    <w:pPr>
      <w:jc w:val="center"/>
    </w:pPr>
    <w:rPr>
      <w:b/>
      <w:sz w:val="32"/>
      <w:lang w:val="es-ES_tradnl"/>
    </w:rPr>
  </w:style>
  <w:style w:type="table" w:customStyle="1" w:styleId="TableNormal">
    <w:name w:val="Table Normal"/>
    <w:uiPriority w:val="2"/>
    <w:semiHidden/>
    <w:qFormat/>
    <w:rsid w:val="00645809"/>
    <w:pPr>
      <w:widowControl w:val="0"/>
    </w:pPr>
    <w:rPr>
      <w:sz w:val="22"/>
      <w:szCs w:val="22"/>
      <w:lang w:val="en-US" w:eastAsia="en-US"/>
    </w:rPr>
    <w:tblPr>
      <w:tblCellMar>
        <w:top w:w="0" w:type="dxa"/>
        <w:left w:w="0" w:type="dxa"/>
        <w:bottom w:w="0" w:type="dxa"/>
        <w:right w:w="0" w:type="dxa"/>
      </w:tblCellMar>
    </w:tblPr>
  </w:style>
  <w:style w:type="numbering" w:customStyle="1" w:styleId="Listaactual1">
    <w:name w:val="Lista actual1"/>
    <w:uiPriority w:val="99"/>
    <w:rsid w:val="00645809"/>
    <w:pPr>
      <w:numPr>
        <w:numId w:val="32"/>
      </w:numPr>
    </w:pPr>
  </w:style>
  <w:style w:type="numbering" w:customStyle="1" w:styleId="Listaactual2">
    <w:name w:val="Lista actual2"/>
    <w:uiPriority w:val="99"/>
    <w:rsid w:val="00645809"/>
    <w:pPr>
      <w:numPr>
        <w:numId w:val="33"/>
      </w:numPr>
    </w:pPr>
  </w:style>
  <w:style w:type="character" w:customStyle="1" w:styleId="y2iqfc">
    <w:name w:val="y2iqfc"/>
    <w:basedOn w:val="Fuentedeprrafopredeter"/>
    <w:rsid w:val="0064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hyperlink" Target="https://www.bis.org/publ/bcbs144_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s.org/publ/bcbs144_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normativaenconsulta@sugef.fi.c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normativa/Formularios%20Normativa%20en%20Consulta.asp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hSp69uh0CileHZq/e2wpNtIz/LJrm4lkP2DDWuFkSTU=</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P5drcELb+PKf5ADEWesyLfhmo8OfzvODpduQcSYRne4=</DigestValue>
    </Reference>
  </SignedInfo>
  <SignatureValue>GtiMguIYPq9CBWsFRpkYeONLjiTd+Lb9bI22hCU4x5IEX5K7Qz3fk3v0nso83LnazY8+BEDi1JRs
c8WnX5LTiSWb0ZEU8zY707wX9JY3kMkHi7s38wL0Q4iCIL1D8GasMR8zs6vXVRMkhwnnNEoeQ2Q0
gSKW2DQcFPjBu2TFMTwjM9MrAOspkgtECS2AH3An5fY2vWttDNkU4u2C5FtRJk4xUVuKjX/79GKY
h9hGypSagwuWMhMwWiR+qX+Ecy9In74D3qHmLQT+WaK1TiAwnJw/UPnc0386JrG2UYFGRrdMrEz1
/vv4JxCExAJHXoxTeBXVvJJddvzD4SYgebZMMg==</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ja4Ip7XRyiMCbK+0xLVU5I3jw3uQLSHEos9E07qM8sw=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lP3xTf7gRvyuVB6wezlO6cXi4GInVcEJF9fixW16cig=</DigestValue>
      </Reference>
      <Reference URI="/word/endnotes.xml?ContentType=application/vnd.openxmlformats-officedocument.wordprocessingml.endnotes+xml">
        <DigestMethod Algorithm="http://www.w3.org/2001/04/xmlenc#sha256"/>
        <DigestValue>/PSwiNK0oeDD22urNqR0n4ioxLtP1PZeAVuCK0QuppE=</DigestValue>
      </Reference>
      <Reference URI="/word/fontTable.xml?ContentType=application/vnd.openxmlformats-officedocument.wordprocessingml.fontTable+xml">
        <DigestMethod Algorithm="http://www.w3.org/2001/04/xmlenc#sha256"/>
        <DigestValue>wWYExJSYPKkZrLuGGqMEUBeIfgmh1fFnIOTWh0F5Owc=</DigestValue>
      </Reference>
      <Reference URI="/word/footer1.xml?ContentType=application/vnd.openxmlformats-officedocument.wordprocessingml.footer+xml">
        <DigestMethod Algorithm="http://www.w3.org/2001/04/xmlenc#sha256"/>
        <DigestValue>IHtsrU7lrqLLe7TN7p+Aeau1ON5S4TnXIkEockTzjQw=</DigestValue>
      </Reference>
      <Reference URI="/word/footer2.xml?ContentType=application/vnd.openxmlformats-officedocument.wordprocessingml.footer+xml">
        <DigestMethod Algorithm="http://www.w3.org/2001/04/xmlenc#sha256"/>
        <DigestValue>xXaSf8BFsSSMGv6b6r7zxV9ENLDxdFk7UAa4BM1jjR4=</DigestValue>
      </Reference>
      <Reference URI="/word/footer3.xml?ContentType=application/vnd.openxmlformats-officedocument.wordprocessingml.footer+xml">
        <DigestMethod Algorithm="http://www.w3.org/2001/04/xmlenc#sha256"/>
        <DigestValue>5+ZaYekb26ecrL3uHjoTAYXyT/0B5t8zOuIs4GSgKMA=</DigestValue>
      </Reference>
      <Reference URI="/word/footnotes.xml?ContentType=application/vnd.openxmlformats-officedocument.wordprocessingml.footnotes+xml">
        <DigestMethod Algorithm="http://www.w3.org/2001/04/xmlenc#sha256"/>
        <DigestValue>sp1e1gp5ifSBBBHX5Lr6R8tRtzDjN1qgnYTZxdpCZwk=</DigestValue>
      </Reference>
      <Reference URI="/word/header1.xml?ContentType=application/vnd.openxmlformats-officedocument.wordprocessingml.header+xml">
        <DigestMethod Algorithm="http://www.w3.org/2001/04/xmlenc#sha256"/>
        <DigestValue>BRdXhEc8H+bLguxsbDhnSC2UxQU+SI95Nzm3E7sNiWI=</DigestValue>
      </Reference>
      <Reference URI="/word/header2.xml?ContentType=application/vnd.openxmlformats-officedocument.wordprocessingml.header+xml">
        <DigestMethod Algorithm="http://www.w3.org/2001/04/xmlenc#sha256"/>
        <DigestValue>bk896A3URM8A/hf4A4tVy0LoHI/qmwv58A/MtQOcMjA=</DigestValue>
      </Reference>
      <Reference URI="/word/header3.xml?ContentType=application/vnd.openxmlformats-officedocument.wordprocessingml.header+xml">
        <DigestMethod Algorithm="http://www.w3.org/2001/04/xmlenc#sha256"/>
        <DigestValue>ZpUFl95XyDktMhOdQWlURaO/2ze2tK7FVR5qtH77qpg=</DigestValue>
      </Reference>
      <Reference URI="/word/media/image1.jpeg?ContentType=image/jpeg">
        <DigestMethod Algorithm="http://www.w3.org/2001/04/xmlenc#sha256"/>
        <DigestValue>ijzY2eNAYqCxyVgPPU8USYmnehAVySbjRtUchCjIsO4=</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Ws7sRWlh3MyGpXyGlnzxIvLCJm9sxTVkYZf9uOX4fxQ=</DigestValue>
      </Reference>
      <Reference URI="/word/settings.xml?ContentType=application/vnd.openxmlformats-officedocument.wordprocessingml.settings+xml">
        <DigestMethod Algorithm="http://www.w3.org/2001/04/xmlenc#sha256"/>
        <DigestValue>+oLbZJNuV5cFoRHBa8H5OOOU+Gw54Nn4r3H61ZQjbQo=</DigestValue>
      </Reference>
      <Reference URI="/word/styles.xml?ContentType=application/vnd.openxmlformats-officedocument.wordprocessingml.styles+xml">
        <DigestMethod Algorithm="http://www.w3.org/2001/04/xmlenc#sha256"/>
        <DigestValue>BQADR4x78eOduOI2+RCHYsEYdRS5Q8S0pQ/hlKJw0GI=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2023-09-05T17:27:02Z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2023-09-05T17:27:02Z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4RNphw1cV6OHIForAUpQg9KiKOWK9zxg+JYi03l1V4CBBY1bqUYDzIwMjMwOTA1MTcyNz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bC6fh5WvoyWllwlAPHU4HUaNEuE=</xd:ByKey>
                  </xd:ResponderID>
                  <xd:ProducedAt>2023-09-04T17:24:05Z</xd:ProducedAt>
                </xd:OCSPIdentifier>
                <xd:DigestAlgAndValue>
                  <DigestMethod Algorithm="http://www.w3.org/2001/04/xmlenc#sha256"/>
                  <DigestValue>niEisIDtb5JSgpMLQphXfGiXqf/hJPRDv4huDBzj6xM=</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RVWGWoHMzIyEkfmpeojbIZpvdxDrC8veIKXuG0RWMMCBBY1bqgYDzIwMjMwOTA1MTcyNz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9" ma:contentTypeDescription="Plantilla para comunicar los acuerdos tomados por la JD del BCCR" ma:contentTypeScope="" ma:versionID="88b08a390c4292beaed29fe8f1037073">
  <xsd:schema xmlns:xsd="http://www.w3.org/2001/XMLSchema" xmlns:xs="http://www.w3.org/2001/XMLSchema" xmlns:p="http://schemas.microsoft.com/office/2006/metadata/properties" xmlns:ns2="96c239bb-9668-4681-985a-a7d7030fe907" targetNamespace="http://schemas.microsoft.com/office/2006/metadata/properties" ma:root="true" ma:fieldsID="6cd1b34e998c2ca2fdc07920fa7637ab"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08-Agosto</Mes>
    <_x002d_ xmlns="96c239bb-9668-4681-985a-a7d7030fe907" xsi:nil="true"/>
    <A_x00f1_o xmlns="96c239bb-9668-4681-985a-a7d7030fe907">2023</A_x00f1_o>
    <Sesi_x00f3_n xmlns="96c239bb-9668-4681-985a-a7d7030fe907">1817</Sesi_x00f3_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2.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3.xml><?xml version="1.0" encoding="utf-8"?>
<ds:datastoreItem xmlns:ds="http://schemas.openxmlformats.org/officeDocument/2006/customXml" ds:itemID="{A26D75B6-587A-49BB-B0DA-82DBCBB4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71AF0-690D-404D-BBB3-C3BD6C0147D6}">
  <ds:schemaRef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96c239bb-9668-4681-985a-a7d7030fe907"/>
  </ds:schemaRefs>
</ds:datastoreItem>
</file>

<file path=customXml/itemProps5.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14136</Words>
  <Characters>77753</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1817-09  ADZ</dc:title>
  <dc:subject/>
  <dc:creator>HERNANDEZ MORA DAYANA</dc:creator>
  <cp:keywords/>
  <dc:description/>
  <cp:lastModifiedBy>HERNANDEZ MORA DAYANA</cp:lastModifiedBy>
  <cp:revision>3</cp:revision>
  <cp:lastPrinted>2013-01-30T22:12:00Z</cp:lastPrinted>
  <dcterms:created xsi:type="dcterms:W3CDTF">2023-09-05T16:19:00Z</dcterms:created>
  <dcterms:modified xsi:type="dcterms:W3CDTF">2023-09-05T16:20:00Z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