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CF75" w14:textId="77777777" w:rsidR="00370207" w:rsidRPr="006D2BF7" w:rsidRDefault="00370207" w:rsidP="005C6973">
      <w:pPr>
        <w:jc w:val="both"/>
        <w:rPr>
          <w:b/>
          <w:i/>
        </w:rPr>
      </w:pPr>
    </w:p>
    <w:p w14:paraId="13099293" w14:textId="77777777" w:rsidR="004D7C2C" w:rsidRPr="006D2BF7" w:rsidRDefault="004D7C2C" w:rsidP="005C6973">
      <w:pPr>
        <w:widowControl w:val="0"/>
        <w:jc w:val="both"/>
        <w:rPr>
          <w:sz w:val="24"/>
          <w:szCs w:val="24"/>
          <w:lang w:val="es-CR"/>
        </w:rPr>
      </w:pPr>
    </w:p>
    <w:p w14:paraId="7148C76C" w14:textId="4492FA5B" w:rsidR="000B3D80" w:rsidRPr="006D2BF7" w:rsidRDefault="004A2425" w:rsidP="000B3D80">
      <w:pPr>
        <w:widowControl w:val="0"/>
        <w:jc w:val="both"/>
        <w:rPr>
          <w:sz w:val="24"/>
          <w:szCs w:val="24"/>
        </w:rPr>
      </w:pPr>
      <w:r w:rsidRPr="006D2BF7">
        <w:rPr>
          <w:sz w:val="24"/>
          <w:szCs w:val="24"/>
        </w:rPr>
        <w:t>1</w:t>
      </w:r>
      <w:r w:rsidR="00AB117C">
        <w:rPr>
          <w:sz w:val="24"/>
          <w:szCs w:val="24"/>
        </w:rPr>
        <w:t>3</w:t>
      </w:r>
      <w:r w:rsidR="000B3D80" w:rsidRPr="006D2BF7">
        <w:rPr>
          <w:sz w:val="24"/>
          <w:szCs w:val="24"/>
        </w:rPr>
        <w:t xml:space="preserve"> de </w:t>
      </w:r>
      <w:r w:rsidRPr="006D2BF7">
        <w:rPr>
          <w:sz w:val="24"/>
          <w:szCs w:val="24"/>
        </w:rPr>
        <w:t xml:space="preserve">julio </w:t>
      </w:r>
      <w:r w:rsidR="00B32AF1" w:rsidRPr="006D2BF7">
        <w:rPr>
          <w:sz w:val="24"/>
          <w:szCs w:val="24"/>
        </w:rPr>
        <w:t>de</w:t>
      </w:r>
      <w:r w:rsidR="00423E7D" w:rsidRPr="006D2BF7">
        <w:rPr>
          <w:sz w:val="24"/>
          <w:szCs w:val="24"/>
        </w:rPr>
        <w:t>l</w:t>
      </w:r>
      <w:r w:rsidR="00B32AF1" w:rsidRPr="006D2BF7">
        <w:rPr>
          <w:sz w:val="24"/>
          <w:szCs w:val="24"/>
        </w:rPr>
        <w:t xml:space="preserve"> 202</w:t>
      </w:r>
      <w:r w:rsidR="00526CDD" w:rsidRPr="006D2BF7">
        <w:rPr>
          <w:sz w:val="24"/>
          <w:szCs w:val="24"/>
        </w:rPr>
        <w:t>3</w:t>
      </w:r>
    </w:p>
    <w:p w14:paraId="10177904" w14:textId="5A828770" w:rsidR="00D6438A" w:rsidRPr="006D2BF7" w:rsidRDefault="008608BA" w:rsidP="005C6973">
      <w:pPr>
        <w:ind w:left="567" w:hanging="567"/>
        <w:jc w:val="both"/>
        <w:rPr>
          <w:sz w:val="24"/>
          <w:szCs w:val="24"/>
        </w:rPr>
      </w:pPr>
      <w:r w:rsidRPr="006D2BF7">
        <w:rPr>
          <w:sz w:val="24"/>
          <w:szCs w:val="24"/>
        </w:rPr>
        <w:t>CN</w:t>
      </w:r>
      <w:r w:rsidR="006D43F1" w:rsidRPr="006D2BF7">
        <w:rPr>
          <w:sz w:val="24"/>
          <w:szCs w:val="24"/>
        </w:rPr>
        <w:t>S-</w:t>
      </w:r>
      <w:r w:rsidR="002261E0" w:rsidRPr="006D2BF7">
        <w:rPr>
          <w:sz w:val="24"/>
          <w:szCs w:val="24"/>
        </w:rPr>
        <w:t>1</w:t>
      </w:r>
      <w:r w:rsidR="00790696" w:rsidRPr="006D2BF7">
        <w:rPr>
          <w:sz w:val="24"/>
          <w:szCs w:val="24"/>
        </w:rPr>
        <w:t>8</w:t>
      </w:r>
      <w:r w:rsidR="002261E0" w:rsidRPr="006D2BF7">
        <w:rPr>
          <w:sz w:val="24"/>
          <w:szCs w:val="24"/>
        </w:rPr>
        <w:t>0</w:t>
      </w:r>
      <w:r w:rsidR="004A2425" w:rsidRPr="006D2BF7">
        <w:rPr>
          <w:sz w:val="24"/>
          <w:szCs w:val="24"/>
        </w:rPr>
        <w:t>6</w:t>
      </w:r>
      <w:r w:rsidR="005C4B63" w:rsidRPr="006D2BF7">
        <w:rPr>
          <w:sz w:val="24"/>
          <w:szCs w:val="24"/>
        </w:rPr>
        <w:t>/</w:t>
      </w:r>
      <w:r w:rsidR="004A2425" w:rsidRPr="006D2BF7">
        <w:rPr>
          <w:sz w:val="24"/>
          <w:szCs w:val="24"/>
        </w:rPr>
        <w:t>06</w:t>
      </w:r>
    </w:p>
    <w:p w14:paraId="18EF35B0" w14:textId="2DAE09BC" w:rsidR="004A2425" w:rsidRPr="006D2BF7" w:rsidRDefault="004A2425" w:rsidP="004A2425">
      <w:pPr>
        <w:ind w:left="567" w:hanging="567"/>
        <w:jc w:val="both"/>
        <w:rPr>
          <w:sz w:val="24"/>
          <w:szCs w:val="24"/>
        </w:rPr>
      </w:pPr>
      <w:r w:rsidRPr="006D2BF7">
        <w:rPr>
          <w:sz w:val="24"/>
          <w:szCs w:val="24"/>
        </w:rPr>
        <w:t>CNS-1807/07</w:t>
      </w:r>
    </w:p>
    <w:p w14:paraId="6F8A4ED0" w14:textId="77777777" w:rsidR="00D6438A" w:rsidRPr="006D2BF7" w:rsidRDefault="00D6438A" w:rsidP="005C6973">
      <w:pPr>
        <w:jc w:val="both"/>
        <w:rPr>
          <w:b/>
          <w:i/>
          <w:sz w:val="24"/>
          <w:szCs w:val="24"/>
        </w:rPr>
      </w:pPr>
    </w:p>
    <w:p w14:paraId="27FE82E4" w14:textId="77777777" w:rsidR="00B47DD0" w:rsidRPr="006D2BF7" w:rsidRDefault="00B47DD0" w:rsidP="005C6973">
      <w:pPr>
        <w:jc w:val="both"/>
        <w:rPr>
          <w:b/>
          <w:i/>
          <w:sz w:val="24"/>
          <w:szCs w:val="24"/>
        </w:rPr>
      </w:pPr>
    </w:p>
    <w:p w14:paraId="3E1A37D6" w14:textId="77777777" w:rsidR="00535023" w:rsidRPr="00823901" w:rsidRDefault="00535023" w:rsidP="00535023">
      <w:pPr>
        <w:widowControl w:val="0"/>
        <w:jc w:val="both"/>
        <w:rPr>
          <w:sz w:val="24"/>
          <w:szCs w:val="24"/>
        </w:rPr>
      </w:pPr>
      <w:r w:rsidRPr="00823901">
        <w:rPr>
          <w:sz w:val="24"/>
          <w:szCs w:val="24"/>
        </w:rPr>
        <w:t>Señores</w:t>
      </w:r>
    </w:p>
    <w:p w14:paraId="0EDCD07B" w14:textId="77777777" w:rsidR="00535023" w:rsidRPr="00823901" w:rsidRDefault="00535023" w:rsidP="00535023">
      <w:pPr>
        <w:widowControl w:val="0"/>
        <w:jc w:val="both"/>
        <w:rPr>
          <w:sz w:val="24"/>
          <w:szCs w:val="24"/>
        </w:rPr>
      </w:pPr>
      <w:r w:rsidRPr="00823901">
        <w:rPr>
          <w:sz w:val="24"/>
          <w:szCs w:val="24"/>
        </w:rPr>
        <w:t>María del Rocío Aguilar Montoya, superintendente S</w:t>
      </w:r>
      <w:r>
        <w:rPr>
          <w:sz w:val="24"/>
          <w:szCs w:val="24"/>
        </w:rPr>
        <w:t>ugef</w:t>
      </w:r>
      <w:r w:rsidRPr="00823901">
        <w:rPr>
          <w:sz w:val="24"/>
          <w:szCs w:val="24"/>
        </w:rPr>
        <w:t xml:space="preserve"> - S</w:t>
      </w:r>
      <w:r>
        <w:rPr>
          <w:sz w:val="24"/>
          <w:szCs w:val="24"/>
        </w:rPr>
        <w:t>upen</w:t>
      </w:r>
    </w:p>
    <w:p w14:paraId="4836B9F4" w14:textId="77777777" w:rsidR="00535023" w:rsidRPr="00823901" w:rsidRDefault="00535023" w:rsidP="00535023">
      <w:pPr>
        <w:widowControl w:val="0"/>
        <w:jc w:val="both"/>
        <w:rPr>
          <w:sz w:val="24"/>
          <w:szCs w:val="24"/>
        </w:rPr>
      </w:pPr>
      <w:r w:rsidRPr="00823901">
        <w:rPr>
          <w:sz w:val="24"/>
          <w:szCs w:val="24"/>
        </w:rPr>
        <w:t>Tomás Soley Pérez, superintendente</w:t>
      </w:r>
      <w:r>
        <w:rPr>
          <w:sz w:val="24"/>
          <w:szCs w:val="24"/>
        </w:rPr>
        <w:t xml:space="preserve"> Sugeval-</w:t>
      </w:r>
      <w:r w:rsidRPr="00823901">
        <w:rPr>
          <w:sz w:val="24"/>
          <w:szCs w:val="24"/>
        </w:rPr>
        <w:t xml:space="preserve"> S</w:t>
      </w:r>
      <w:r>
        <w:rPr>
          <w:sz w:val="24"/>
          <w:szCs w:val="24"/>
        </w:rPr>
        <w:t>ugese</w:t>
      </w:r>
    </w:p>
    <w:p w14:paraId="7688931D" w14:textId="77777777" w:rsidR="00535023" w:rsidRPr="009F2EE8" w:rsidRDefault="00535023" w:rsidP="00535023">
      <w:pPr>
        <w:widowControl w:val="0"/>
        <w:jc w:val="both"/>
        <w:rPr>
          <w:sz w:val="24"/>
          <w:szCs w:val="24"/>
        </w:rPr>
      </w:pPr>
    </w:p>
    <w:p w14:paraId="7080B8B1" w14:textId="77777777" w:rsidR="00535023" w:rsidRPr="000B07C0" w:rsidRDefault="00535023" w:rsidP="00535023">
      <w:pPr>
        <w:widowControl w:val="0"/>
        <w:jc w:val="both"/>
        <w:rPr>
          <w:sz w:val="24"/>
          <w:szCs w:val="24"/>
        </w:rPr>
      </w:pPr>
    </w:p>
    <w:p w14:paraId="153A5391" w14:textId="77777777" w:rsidR="00535023" w:rsidRPr="000B07C0" w:rsidRDefault="00535023" w:rsidP="00535023">
      <w:pPr>
        <w:widowControl w:val="0"/>
        <w:jc w:val="both"/>
        <w:rPr>
          <w:sz w:val="24"/>
          <w:szCs w:val="24"/>
        </w:rPr>
      </w:pPr>
      <w:r w:rsidRPr="000B07C0">
        <w:rPr>
          <w:sz w:val="24"/>
          <w:szCs w:val="24"/>
        </w:rPr>
        <w:t>Estimado</w:t>
      </w:r>
      <w:r>
        <w:rPr>
          <w:sz w:val="24"/>
          <w:szCs w:val="24"/>
        </w:rPr>
        <w:t>s</w:t>
      </w:r>
      <w:r w:rsidRPr="000B07C0">
        <w:rPr>
          <w:sz w:val="24"/>
          <w:szCs w:val="24"/>
        </w:rPr>
        <w:t xml:space="preserve"> señor</w:t>
      </w:r>
      <w:r>
        <w:rPr>
          <w:sz w:val="24"/>
          <w:szCs w:val="24"/>
        </w:rPr>
        <w:t>es</w:t>
      </w:r>
      <w:r w:rsidRPr="000B07C0">
        <w:rPr>
          <w:sz w:val="24"/>
          <w:szCs w:val="24"/>
        </w:rPr>
        <w:t>:</w:t>
      </w:r>
    </w:p>
    <w:p w14:paraId="4DF0F0A4" w14:textId="77777777" w:rsidR="00D6438A" w:rsidRPr="006D2BF7" w:rsidRDefault="00D6438A" w:rsidP="005C6973">
      <w:pPr>
        <w:jc w:val="both"/>
        <w:rPr>
          <w:b/>
          <w:i/>
          <w:sz w:val="24"/>
          <w:szCs w:val="24"/>
        </w:rPr>
      </w:pPr>
    </w:p>
    <w:p w14:paraId="2F4C9181" w14:textId="3F7BD70E" w:rsidR="000B3D80" w:rsidRPr="006D2BF7" w:rsidRDefault="000246D3" w:rsidP="000B3D80">
      <w:pPr>
        <w:widowControl w:val="0"/>
        <w:jc w:val="both"/>
        <w:rPr>
          <w:sz w:val="24"/>
          <w:szCs w:val="24"/>
        </w:rPr>
      </w:pPr>
      <w:r w:rsidRPr="006D2BF7">
        <w:rPr>
          <w:sz w:val="24"/>
          <w:szCs w:val="24"/>
        </w:rPr>
        <w:t>El Consejo Nacional de Supervisión del Sis</w:t>
      </w:r>
      <w:r w:rsidR="00542907" w:rsidRPr="006D2BF7">
        <w:rPr>
          <w:sz w:val="24"/>
          <w:szCs w:val="24"/>
        </w:rPr>
        <w:t>tema Financiero</w:t>
      </w:r>
      <w:r w:rsidR="004D6CBF" w:rsidRPr="006D2BF7">
        <w:rPr>
          <w:sz w:val="24"/>
          <w:szCs w:val="24"/>
        </w:rPr>
        <w:t>,</w:t>
      </w:r>
      <w:r w:rsidR="00542907" w:rsidRPr="006D2BF7">
        <w:rPr>
          <w:sz w:val="24"/>
          <w:szCs w:val="24"/>
        </w:rPr>
        <w:t xml:space="preserve"> en l</w:t>
      </w:r>
      <w:r w:rsidR="004A2425" w:rsidRPr="006D2BF7">
        <w:rPr>
          <w:sz w:val="24"/>
          <w:szCs w:val="24"/>
        </w:rPr>
        <w:t>os</w:t>
      </w:r>
      <w:r w:rsidR="00542907" w:rsidRPr="006D2BF7">
        <w:rPr>
          <w:sz w:val="24"/>
          <w:szCs w:val="24"/>
        </w:rPr>
        <w:t xml:space="preserve"> artículo</w:t>
      </w:r>
      <w:r w:rsidR="004A2425" w:rsidRPr="006D2BF7">
        <w:rPr>
          <w:sz w:val="24"/>
          <w:szCs w:val="24"/>
        </w:rPr>
        <w:t>s 6 y 7</w:t>
      </w:r>
      <w:r w:rsidR="006367DF" w:rsidRPr="006D2BF7">
        <w:rPr>
          <w:sz w:val="24"/>
          <w:szCs w:val="24"/>
        </w:rPr>
        <w:t xml:space="preserve"> </w:t>
      </w:r>
      <w:r w:rsidRPr="006D2BF7">
        <w:rPr>
          <w:sz w:val="24"/>
          <w:szCs w:val="24"/>
        </w:rPr>
        <w:t>de</w:t>
      </w:r>
      <w:r w:rsidR="004A2425" w:rsidRPr="006D2BF7">
        <w:rPr>
          <w:sz w:val="24"/>
          <w:szCs w:val="24"/>
        </w:rPr>
        <w:t xml:space="preserve"> </w:t>
      </w:r>
      <w:r w:rsidR="00542907" w:rsidRPr="006D2BF7">
        <w:rPr>
          <w:sz w:val="24"/>
          <w:szCs w:val="24"/>
        </w:rPr>
        <w:t>l</w:t>
      </w:r>
      <w:r w:rsidR="004A2425" w:rsidRPr="006D2BF7">
        <w:rPr>
          <w:sz w:val="24"/>
          <w:szCs w:val="24"/>
        </w:rPr>
        <w:t>as</w:t>
      </w:r>
      <w:r w:rsidR="00542907" w:rsidRPr="006D2BF7">
        <w:rPr>
          <w:sz w:val="24"/>
          <w:szCs w:val="24"/>
        </w:rPr>
        <w:t xml:space="preserve"> </w:t>
      </w:r>
      <w:r w:rsidR="00867718" w:rsidRPr="006D2BF7">
        <w:rPr>
          <w:sz w:val="24"/>
          <w:szCs w:val="24"/>
        </w:rPr>
        <w:t>acta</w:t>
      </w:r>
      <w:r w:rsidR="004A2425" w:rsidRPr="006D2BF7">
        <w:rPr>
          <w:sz w:val="24"/>
          <w:szCs w:val="24"/>
        </w:rPr>
        <w:t>s</w:t>
      </w:r>
      <w:r w:rsidR="00867718" w:rsidRPr="006D2BF7">
        <w:rPr>
          <w:sz w:val="24"/>
          <w:szCs w:val="24"/>
        </w:rPr>
        <w:t xml:space="preserve"> de la</w:t>
      </w:r>
      <w:r w:rsidR="004A2425" w:rsidRPr="006D2BF7">
        <w:rPr>
          <w:sz w:val="24"/>
          <w:szCs w:val="24"/>
        </w:rPr>
        <w:t>s</w:t>
      </w:r>
      <w:r w:rsidR="006367DF" w:rsidRPr="006D2BF7">
        <w:rPr>
          <w:sz w:val="24"/>
          <w:szCs w:val="24"/>
        </w:rPr>
        <w:t xml:space="preserve"> sesi</w:t>
      </w:r>
      <w:r w:rsidR="004A2425" w:rsidRPr="006D2BF7">
        <w:rPr>
          <w:sz w:val="24"/>
          <w:szCs w:val="24"/>
        </w:rPr>
        <w:t xml:space="preserve">ones </w:t>
      </w:r>
      <w:r w:rsidR="002261E0" w:rsidRPr="006D2BF7">
        <w:rPr>
          <w:sz w:val="24"/>
          <w:szCs w:val="24"/>
        </w:rPr>
        <w:t>1</w:t>
      </w:r>
      <w:r w:rsidR="00790696" w:rsidRPr="006D2BF7">
        <w:rPr>
          <w:sz w:val="24"/>
          <w:szCs w:val="24"/>
        </w:rPr>
        <w:t>8</w:t>
      </w:r>
      <w:r w:rsidR="002261E0" w:rsidRPr="006D2BF7">
        <w:rPr>
          <w:sz w:val="24"/>
          <w:szCs w:val="24"/>
        </w:rPr>
        <w:t>0</w:t>
      </w:r>
      <w:r w:rsidR="004A2425" w:rsidRPr="006D2BF7">
        <w:rPr>
          <w:sz w:val="24"/>
          <w:szCs w:val="24"/>
        </w:rPr>
        <w:t>6</w:t>
      </w:r>
      <w:r w:rsidR="00B32AF1" w:rsidRPr="006D2BF7">
        <w:rPr>
          <w:sz w:val="24"/>
          <w:szCs w:val="24"/>
        </w:rPr>
        <w:t>-202</w:t>
      </w:r>
      <w:r w:rsidR="00526CDD" w:rsidRPr="006D2BF7">
        <w:rPr>
          <w:sz w:val="24"/>
          <w:szCs w:val="24"/>
        </w:rPr>
        <w:t>3</w:t>
      </w:r>
      <w:r w:rsidR="004A2425" w:rsidRPr="006D2BF7">
        <w:rPr>
          <w:sz w:val="24"/>
          <w:szCs w:val="24"/>
        </w:rPr>
        <w:t xml:space="preserve"> y 1807-2023</w:t>
      </w:r>
      <w:r w:rsidR="00A7467E" w:rsidRPr="006D2BF7">
        <w:rPr>
          <w:sz w:val="24"/>
          <w:szCs w:val="24"/>
        </w:rPr>
        <w:t>,</w:t>
      </w:r>
      <w:r w:rsidR="006367DF" w:rsidRPr="006D2BF7">
        <w:rPr>
          <w:sz w:val="24"/>
          <w:szCs w:val="24"/>
        </w:rPr>
        <w:t xml:space="preserve"> </w:t>
      </w:r>
      <w:r w:rsidR="00CB07B4" w:rsidRPr="006D2BF7">
        <w:rPr>
          <w:sz w:val="24"/>
          <w:szCs w:val="24"/>
        </w:rPr>
        <w:t>celebrada</w:t>
      </w:r>
      <w:r w:rsidR="004A2425" w:rsidRPr="006D2BF7">
        <w:rPr>
          <w:sz w:val="24"/>
          <w:szCs w:val="24"/>
        </w:rPr>
        <w:t>s</w:t>
      </w:r>
      <w:r w:rsidR="00CB07B4" w:rsidRPr="006D2BF7">
        <w:rPr>
          <w:sz w:val="24"/>
          <w:szCs w:val="24"/>
        </w:rPr>
        <w:t xml:space="preserve"> el </w:t>
      </w:r>
      <w:r w:rsidR="004A2425" w:rsidRPr="006D2BF7">
        <w:rPr>
          <w:sz w:val="24"/>
          <w:szCs w:val="24"/>
        </w:rPr>
        <w:t xml:space="preserve">10 de julio </w:t>
      </w:r>
      <w:r w:rsidR="00B32AF1" w:rsidRPr="006D2BF7">
        <w:rPr>
          <w:sz w:val="24"/>
          <w:szCs w:val="24"/>
        </w:rPr>
        <w:t>de</w:t>
      </w:r>
      <w:r w:rsidR="00423E7D" w:rsidRPr="006D2BF7">
        <w:rPr>
          <w:sz w:val="24"/>
          <w:szCs w:val="24"/>
        </w:rPr>
        <w:t>l</w:t>
      </w:r>
      <w:r w:rsidR="00B32AF1" w:rsidRPr="006D2BF7">
        <w:rPr>
          <w:sz w:val="24"/>
          <w:szCs w:val="24"/>
        </w:rPr>
        <w:t xml:space="preserve"> 202</w:t>
      </w:r>
      <w:r w:rsidR="00526CDD" w:rsidRPr="006D2BF7">
        <w:rPr>
          <w:sz w:val="24"/>
          <w:szCs w:val="24"/>
        </w:rPr>
        <w:t>3</w:t>
      </w:r>
      <w:r w:rsidR="004D6CBF" w:rsidRPr="006D2BF7">
        <w:rPr>
          <w:sz w:val="24"/>
          <w:szCs w:val="24"/>
        </w:rPr>
        <w:t>,</w:t>
      </w:r>
    </w:p>
    <w:p w14:paraId="5129B5E1" w14:textId="77777777" w:rsidR="006D2BF7" w:rsidRPr="006D2BF7" w:rsidRDefault="006D2BF7" w:rsidP="006D2BF7">
      <w:pPr>
        <w:jc w:val="both"/>
        <w:rPr>
          <w:color w:val="000000" w:themeColor="text1"/>
          <w:sz w:val="24"/>
          <w:szCs w:val="24"/>
        </w:rPr>
      </w:pPr>
    </w:p>
    <w:p w14:paraId="48335952" w14:textId="77777777" w:rsidR="006D2BF7" w:rsidRPr="006D2BF7" w:rsidRDefault="006D2BF7" w:rsidP="006D2BF7">
      <w:pPr>
        <w:ind w:left="-5"/>
        <w:jc w:val="both"/>
        <w:rPr>
          <w:b/>
          <w:sz w:val="24"/>
          <w:szCs w:val="24"/>
        </w:rPr>
      </w:pPr>
      <w:r w:rsidRPr="006D2BF7">
        <w:rPr>
          <w:b/>
          <w:sz w:val="24"/>
          <w:szCs w:val="24"/>
        </w:rPr>
        <w:t xml:space="preserve">considerando que: </w:t>
      </w:r>
    </w:p>
    <w:p w14:paraId="74F67DCC" w14:textId="77777777" w:rsidR="006D2BF7" w:rsidRPr="006D2BF7" w:rsidRDefault="006D2BF7" w:rsidP="006D2BF7">
      <w:pPr>
        <w:ind w:left="-5"/>
        <w:jc w:val="both"/>
        <w:rPr>
          <w:sz w:val="24"/>
          <w:szCs w:val="24"/>
        </w:rPr>
      </w:pPr>
    </w:p>
    <w:p w14:paraId="2F44E13D" w14:textId="77777777" w:rsidR="006D2BF7" w:rsidRPr="006D2BF7" w:rsidRDefault="006D2BF7" w:rsidP="006D2BF7">
      <w:pPr>
        <w:ind w:left="426" w:hanging="426"/>
        <w:jc w:val="both"/>
        <w:rPr>
          <w:sz w:val="24"/>
          <w:szCs w:val="24"/>
        </w:rPr>
      </w:pPr>
      <w:r w:rsidRPr="006D2BF7">
        <w:rPr>
          <w:sz w:val="24"/>
          <w:szCs w:val="24"/>
        </w:rPr>
        <w:t>I.</w:t>
      </w:r>
      <w:r w:rsidRPr="006D2BF7">
        <w:rPr>
          <w:sz w:val="24"/>
          <w:szCs w:val="24"/>
        </w:rPr>
        <w:tab/>
        <w:t xml:space="preserve">El inciso 2) del artículo 361 </w:t>
      </w:r>
      <w:r w:rsidRPr="006D2BF7">
        <w:rPr>
          <w:i/>
          <w:iCs/>
          <w:sz w:val="24"/>
          <w:szCs w:val="24"/>
        </w:rPr>
        <w:t>Ley General de la Administración Pública</w:t>
      </w:r>
      <w:r w:rsidRPr="006D2BF7">
        <w:rPr>
          <w:sz w:val="24"/>
          <w:szCs w:val="24"/>
        </w:rPr>
        <w:t xml:space="preserve"> establece que se concederá a las entidades representativas de intereses de carácter general o corporativo afectados por la disposición, la oportunidad de exponer su parecer.</w:t>
      </w:r>
    </w:p>
    <w:p w14:paraId="0081AAD2" w14:textId="77777777" w:rsidR="006D2BF7" w:rsidRPr="006D2BF7" w:rsidRDefault="006D2BF7" w:rsidP="006D2BF7">
      <w:pPr>
        <w:ind w:left="426" w:hanging="426"/>
        <w:jc w:val="both"/>
        <w:rPr>
          <w:sz w:val="24"/>
          <w:szCs w:val="24"/>
        </w:rPr>
      </w:pPr>
    </w:p>
    <w:p w14:paraId="0982DC9C" w14:textId="77777777" w:rsidR="006D2BF7" w:rsidRPr="006D2BF7" w:rsidRDefault="006D2BF7" w:rsidP="006D2BF7">
      <w:pPr>
        <w:ind w:left="426" w:hanging="426"/>
        <w:jc w:val="both"/>
        <w:rPr>
          <w:sz w:val="24"/>
          <w:szCs w:val="24"/>
        </w:rPr>
      </w:pPr>
      <w:r w:rsidRPr="006D2BF7">
        <w:rPr>
          <w:sz w:val="24"/>
          <w:szCs w:val="24"/>
        </w:rPr>
        <w:t>II.</w:t>
      </w:r>
      <w:r w:rsidRPr="006D2BF7">
        <w:rPr>
          <w:sz w:val="24"/>
          <w:szCs w:val="24"/>
        </w:rPr>
        <w:tab/>
        <w:t xml:space="preserve">Se elaboró la propuesta de modificación al </w:t>
      </w:r>
      <w:r w:rsidRPr="006D2BF7">
        <w:rPr>
          <w:i/>
          <w:sz w:val="24"/>
          <w:szCs w:val="24"/>
        </w:rPr>
        <w:t>Reglamento sobre cálculo de estimaciones crediticias</w:t>
      </w:r>
      <w:r w:rsidRPr="006D2BF7">
        <w:rPr>
          <w:iCs/>
          <w:sz w:val="24"/>
          <w:szCs w:val="24"/>
        </w:rPr>
        <w:t xml:space="preserve">, Acuerdo Conassif 14-21, </w:t>
      </w:r>
      <w:r w:rsidRPr="006D2BF7">
        <w:rPr>
          <w:sz w:val="24"/>
          <w:szCs w:val="24"/>
        </w:rPr>
        <w:t>y en cumplimiento del procedimiento para la emisión y modificación de normas el mismo debe ser sometido a consulta de las entidades supervisadas, cámaras y gremios.</w:t>
      </w:r>
    </w:p>
    <w:p w14:paraId="7C56077D" w14:textId="77777777" w:rsidR="006D2BF7" w:rsidRPr="006D2BF7" w:rsidRDefault="006D2BF7" w:rsidP="006D2BF7">
      <w:pPr>
        <w:ind w:left="426" w:hanging="426"/>
        <w:jc w:val="both"/>
        <w:rPr>
          <w:sz w:val="24"/>
          <w:szCs w:val="24"/>
        </w:rPr>
      </w:pPr>
    </w:p>
    <w:p w14:paraId="0B6A424F" w14:textId="77777777" w:rsidR="006D2BF7" w:rsidRPr="006D2BF7" w:rsidRDefault="006D2BF7" w:rsidP="006D2BF7">
      <w:pPr>
        <w:ind w:left="-5"/>
        <w:jc w:val="both"/>
        <w:rPr>
          <w:b/>
          <w:sz w:val="24"/>
          <w:szCs w:val="24"/>
        </w:rPr>
      </w:pPr>
      <w:r w:rsidRPr="006D2BF7">
        <w:rPr>
          <w:b/>
          <w:sz w:val="24"/>
          <w:szCs w:val="24"/>
        </w:rPr>
        <w:t xml:space="preserve">dispuso en firme: </w:t>
      </w:r>
    </w:p>
    <w:p w14:paraId="067E7E2F" w14:textId="77777777" w:rsidR="006D2BF7" w:rsidRPr="006D2BF7" w:rsidRDefault="006D2BF7" w:rsidP="006D2BF7">
      <w:pPr>
        <w:ind w:left="-5"/>
        <w:jc w:val="both"/>
        <w:rPr>
          <w:sz w:val="24"/>
          <w:szCs w:val="24"/>
        </w:rPr>
      </w:pPr>
    </w:p>
    <w:p w14:paraId="3DBB8E5E" w14:textId="77777777" w:rsidR="006D2BF7" w:rsidRPr="006D2BF7" w:rsidRDefault="006D2BF7" w:rsidP="006D2BF7">
      <w:pPr>
        <w:jc w:val="both"/>
        <w:rPr>
          <w:sz w:val="24"/>
          <w:szCs w:val="24"/>
        </w:rPr>
      </w:pPr>
      <w:r w:rsidRPr="006D2BF7">
        <w:rPr>
          <w:sz w:val="24"/>
          <w:szCs w:val="24"/>
        </w:rPr>
        <w:t xml:space="preserve">remitir en consulta al Banco Central de Costa Rica, los bancos comerciales del Estado, Banco Popular y de Desarrollo Comunal, a los grupos y conglomerados financieros, bancos privados, empresas financieras no bancarias, Banco Hipotecario de la Vivienda, Caja de Ahorro y Préstamo de la Ande, Federación de Cooperativas de Ahorro y Crédito </w:t>
      </w:r>
      <w:proofErr w:type="spellStart"/>
      <w:r w:rsidRPr="006D2BF7">
        <w:rPr>
          <w:sz w:val="24"/>
          <w:szCs w:val="24"/>
        </w:rPr>
        <w:t>Fedeac</w:t>
      </w:r>
      <w:proofErr w:type="spellEnd"/>
      <w:r w:rsidRPr="006D2BF7">
        <w:rPr>
          <w:sz w:val="24"/>
          <w:szCs w:val="24"/>
        </w:rPr>
        <w:t xml:space="preserve"> R.L., Federación de Cooperativas de Ahorro y Crédito </w:t>
      </w:r>
      <w:proofErr w:type="spellStart"/>
      <w:r w:rsidRPr="006D2BF7">
        <w:rPr>
          <w:sz w:val="24"/>
          <w:szCs w:val="24"/>
        </w:rPr>
        <w:t>Fecoopse</w:t>
      </w:r>
      <w:proofErr w:type="spellEnd"/>
      <w:r w:rsidRPr="006D2BF7">
        <w:rPr>
          <w:sz w:val="24"/>
          <w:szCs w:val="24"/>
        </w:rPr>
        <w:t xml:space="preserve"> R.L., organizaciones cooperativas de ahorro y crédito, entidades autorizadas del Sistema Financiero Nacional para la Vivienda, Asociación Bancaria Costarricense, Cámara de Bancos e Instituciones Financieras de Costa Rica y la Federación de Mutuales de Ahorro y Préstamo de Costa Rica, la propuesta de modificación al </w:t>
      </w:r>
      <w:r w:rsidRPr="006D2BF7">
        <w:rPr>
          <w:b/>
          <w:bCs/>
          <w:i/>
          <w:iCs/>
          <w:sz w:val="24"/>
          <w:szCs w:val="24"/>
        </w:rPr>
        <w:t>Reglamento sobre el Centro de Información Crediticia</w:t>
      </w:r>
      <w:r w:rsidRPr="006D2BF7">
        <w:rPr>
          <w:b/>
          <w:bCs/>
          <w:sz w:val="24"/>
          <w:szCs w:val="24"/>
        </w:rPr>
        <w:t xml:space="preserve">, SUGEF 7-06 y el </w:t>
      </w:r>
      <w:r w:rsidRPr="006D2BF7">
        <w:rPr>
          <w:b/>
          <w:bCs/>
          <w:i/>
          <w:iCs/>
          <w:sz w:val="24"/>
          <w:szCs w:val="24"/>
        </w:rPr>
        <w:t>Reglamento del Cálculo de Estimaciones Crediticias</w:t>
      </w:r>
      <w:r w:rsidRPr="006D2BF7">
        <w:rPr>
          <w:b/>
          <w:bCs/>
          <w:sz w:val="24"/>
          <w:szCs w:val="24"/>
        </w:rPr>
        <w:t>, Acuerdo Conassif 14-21</w:t>
      </w:r>
      <w:r w:rsidRPr="006D2BF7">
        <w:rPr>
          <w:sz w:val="24"/>
          <w:szCs w:val="24"/>
        </w:rPr>
        <w:t xml:space="preserve">, en el entendido de que en un plazo máximo de </w:t>
      </w:r>
      <w:r w:rsidRPr="006D2BF7">
        <w:rPr>
          <w:b/>
          <w:bCs/>
          <w:sz w:val="24"/>
          <w:szCs w:val="24"/>
        </w:rPr>
        <w:t>quince días hábiles</w:t>
      </w:r>
      <w:r w:rsidRPr="006D2BF7">
        <w:rPr>
          <w:sz w:val="24"/>
          <w:szCs w:val="24"/>
        </w:rPr>
        <w:t xml:space="preserve">, contados a partir del día hábil siguiente del recibo de la respectiva comunicación, deberán </w:t>
      </w:r>
      <w:r w:rsidRPr="006D2BF7">
        <w:rPr>
          <w:color w:val="000000"/>
          <w:sz w:val="24"/>
          <w:szCs w:val="24"/>
          <w:lang w:eastAsia="es-CR"/>
        </w:rPr>
        <w:t>incluir los</w:t>
      </w:r>
      <w:r w:rsidRPr="006D2BF7">
        <w:rPr>
          <w:color w:val="000000"/>
          <w:sz w:val="24"/>
          <w:szCs w:val="24"/>
        </w:rPr>
        <w:t xml:space="preserve"> comentarios y observaciones </w:t>
      </w:r>
      <w:r w:rsidRPr="006D2BF7">
        <w:rPr>
          <w:color w:val="000000"/>
          <w:sz w:val="24"/>
          <w:szCs w:val="24"/>
          <w:lang w:eastAsia="es-CR"/>
        </w:rPr>
        <w:t xml:space="preserve">en el formulario que </w:t>
      </w:r>
      <w:r w:rsidRPr="006D2BF7">
        <w:rPr>
          <w:color w:val="000000"/>
          <w:sz w:val="24"/>
          <w:szCs w:val="24"/>
          <w:lang w:val="es-419" w:eastAsia="es-CR"/>
        </w:rPr>
        <w:t>está disponible</w:t>
      </w:r>
      <w:r w:rsidRPr="006D2BF7">
        <w:rPr>
          <w:color w:val="000000"/>
          <w:sz w:val="24"/>
          <w:szCs w:val="24"/>
          <w:lang w:val="es-419"/>
        </w:rPr>
        <w:t xml:space="preserve"> en el </w:t>
      </w:r>
      <w:r w:rsidRPr="006D2BF7">
        <w:rPr>
          <w:color w:val="000000"/>
          <w:sz w:val="24"/>
          <w:szCs w:val="24"/>
          <w:lang w:val="es-419" w:eastAsia="es-CR"/>
        </w:rPr>
        <w:t xml:space="preserve">apartado: </w:t>
      </w:r>
      <w:hyperlink r:id="rId12" w:history="1">
        <w:r w:rsidRPr="006D2BF7">
          <w:rPr>
            <w:rStyle w:val="Hipervnculo"/>
            <w:sz w:val="24"/>
            <w:szCs w:val="24"/>
            <w:lang w:eastAsia="es-CR"/>
          </w:rPr>
          <w:t>Formularios para remitir observaciones de normativa en consulta</w:t>
        </w:r>
      </w:hyperlink>
      <w:r w:rsidRPr="006D2BF7">
        <w:rPr>
          <w:color w:val="000000"/>
          <w:sz w:val="24"/>
          <w:szCs w:val="24"/>
          <w:lang w:eastAsia="es-CR"/>
        </w:rPr>
        <w:t>,</w:t>
      </w:r>
      <w:r w:rsidRPr="006D2BF7">
        <w:rPr>
          <w:b/>
          <w:color w:val="000000"/>
          <w:sz w:val="24"/>
          <w:szCs w:val="24"/>
        </w:rPr>
        <w:t xml:space="preserve"> </w:t>
      </w:r>
      <w:r w:rsidRPr="006D2BF7">
        <w:rPr>
          <w:color w:val="000000"/>
          <w:sz w:val="24"/>
          <w:szCs w:val="24"/>
        </w:rPr>
        <w:t>ubicado en la dirección electrónica</w:t>
      </w:r>
      <w:r w:rsidRPr="006D2BF7">
        <w:rPr>
          <w:color w:val="000000"/>
          <w:sz w:val="24"/>
          <w:szCs w:val="24"/>
          <w:lang w:eastAsia="es-CR"/>
        </w:rPr>
        <w:t xml:space="preserve"> de la página oficial de la Sugef.</w:t>
      </w:r>
      <w:r w:rsidRPr="006D2BF7">
        <w:rPr>
          <w:color w:val="000000"/>
          <w:sz w:val="24"/>
          <w:szCs w:val="24"/>
        </w:rPr>
        <w:t xml:space="preserve"> </w:t>
      </w:r>
      <w:r w:rsidRPr="006D2BF7">
        <w:rPr>
          <w:sz w:val="24"/>
          <w:szCs w:val="24"/>
        </w:rPr>
        <w:t xml:space="preserve">El formulario estará disponible hasta el término de la consulta pública. </w:t>
      </w:r>
    </w:p>
    <w:p w14:paraId="5F5175F4" w14:textId="77777777" w:rsidR="006D2BF7" w:rsidRPr="006D2BF7" w:rsidRDefault="006D2BF7" w:rsidP="006D2BF7">
      <w:pPr>
        <w:jc w:val="both"/>
        <w:rPr>
          <w:sz w:val="24"/>
          <w:szCs w:val="24"/>
        </w:rPr>
      </w:pPr>
    </w:p>
    <w:p w14:paraId="5326E842" w14:textId="77777777" w:rsidR="006D2BF7" w:rsidRPr="006D2BF7" w:rsidRDefault="006D2BF7" w:rsidP="006D2BF7">
      <w:pPr>
        <w:jc w:val="both"/>
        <w:rPr>
          <w:sz w:val="24"/>
          <w:szCs w:val="24"/>
        </w:rPr>
      </w:pPr>
      <w:r w:rsidRPr="006D2BF7">
        <w:rPr>
          <w:sz w:val="24"/>
          <w:szCs w:val="24"/>
        </w:rPr>
        <w:t xml:space="preserve">Sin detrimento de lo anterior, las entidades consultadas pueden presentar de manera consolidada sus observaciones y comentarios a través de los gremios y cámaras que les representan. Asimismo, el correo electrónico normativaenconsulta@sugef.fi.cr será utilizado </w:t>
      </w:r>
      <w:r w:rsidRPr="006D2BF7">
        <w:rPr>
          <w:b/>
          <w:bCs/>
          <w:sz w:val="24"/>
          <w:szCs w:val="24"/>
          <w:u w:val="single"/>
        </w:rPr>
        <w:t>únicamente</w:t>
      </w:r>
      <w:r w:rsidRPr="006D2BF7">
        <w:rPr>
          <w:sz w:val="24"/>
          <w:szCs w:val="24"/>
        </w:rPr>
        <w:t xml:space="preserve"> como mecanismo de notificación sobre la completitud de dicho formulario. </w:t>
      </w:r>
    </w:p>
    <w:p w14:paraId="16A904EB" w14:textId="77777777" w:rsidR="006D2BF7" w:rsidRPr="006D2BF7" w:rsidRDefault="006D2BF7" w:rsidP="006D2BF7">
      <w:pPr>
        <w:jc w:val="both"/>
        <w:rPr>
          <w:sz w:val="24"/>
          <w:szCs w:val="24"/>
        </w:rPr>
      </w:pPr>
    </w:p>
    <w:p w14:paraId="6D2E7626" w14:textId="77777777" w:rsidR="006D2BF7" w:rsidRDefault="006D2BF7" w:rsidP="006D2BF7">
      <w:pPr>
        <w:autoSpaceDE w:val="0"/>
        <w:autoSpaceDN w:val="0"/>
        <w:adjustRightInd w:val="0"/>
        <w:jc w:val="center"/>
        <w:rPr>
          <w:b/>
          <w:bCs/>
          <w:sz w:val="22"/>
          <w:szCs w:val="22"/>
          <w:lang w:val="es-ES_tradnl"/>
        </w:rPr>
      </w:pPr>
      <w:r w:rsidRPr="003D2290">
        <w:rPr>
          <w:b/>
          <w:bCs/>
          <w:sz w:val="22"/>
          <w:szCs w:val="22"/>
          <w:lang w:val="es-ES_tradnl"/>
        </w:rPr>
        <w:t>“Proyecto de Acuerdo</w:t>
      </w:r>
    </w:p>
    <w:p w14:paraId="77CE1DA6" w14:textId="77777777" w:rsidR="003D2290" w:rsidRPr="003D2290" w:rsidRDefault="003D2290" w:rsidP="006D2BF7">
      <w:pPr>
        <w:autoSpaceDE w:val="0"/>
        <w:autoSpaceDN w:val="0"/>
        <w:adjustRightInd w:val="0"/>
        <w:jc w:val="center"/>
        <w:rPr>
          <w:b/>
          <w:bCs/>
          <w:sz w:val="22"/>
          <w:szCs w:val="22"/>
          <w:lang w:val="es-ES_tradnl"/>
        </w:rPr>
      </w:pPr>
    </w:p>
    <w:p w14:paraId="2A777449" w14:textId="77777777" w:rsidR="006D2BF7" w:rsidRPr="003D2290" w:rsidRDefault="006D2BF7" w:rsidP="006D2BF7">
      <w:pPr>
        <w:autoSpaceDE w:val="0"/>
        <w:autoSpaceDN w:val="0"/>
        <w:adjustRightInd w:val="0"/>
        <w:jc w:val="center"/>
        <w:rPr>
          <w:b/>
          <w:bCs/>
          <w:i/>
          <w:sz w:val="22"/>
          <w:szCs w:val="22"/>
        </w:rPr>
      </w:pPr>
      <w:r w:rsidRPr="003D2290">
        <w:rPr>
          <w:b/>
          <w:bCs/>
          <w:sz w:val="22"/>
          <w:szCs w:val="22"/>
          <w:lang w:val="es-ES_tradnl"/>
        </w:rPr>
        <w:t xml:space="preserve">Modificación </w:t>
      </w:r>
      <w:r w:rsidRPr="003D2290">
        <w:rPr>
          <w:b/>
          <w:sz w:val="22"/>
          <w:szCs w:val="22"/>
        </w:rPr>
        <w:t xml:space="preserve">al </w:t>
      </w:r>
      <w:r w:rsidRPr="003D2290">
        <w:rPr>
          <w:b/>
          <w:bCs/>
          <w:i/>
          <w:sz w:val="22"/>
          <w:szCs w:val="22"/>
        </w:rPr>
        <w:t>Reglamento sobre cálculo de estimaciones crediticias, Acuerdo Conassif 14-21 y al Reglamento sobre el Centro de Información Crediticia, Sugef 7-06</w:t>
      </w:r>
    </w:p>
    <w:p w14:paraId="43B4DE53" w14:textId="77777777" w:rsidR="006D2BF7" w:rsidRPr="003D2290" w:rsidRDefault="006D2BF7" w:rsidP="003D2290">
      <w:pPr>
        <w:autoSpaceDE w:val="0"/>
        <w:autoSpaceDN w:val="0"/>
        <w:adjustRightInd w:val="0"/>
        <w:rPr>
          <w:b/>
          <w:i/>
          <w:sz w:val="22"/>
          <w:szCs w:val="22"/>
        </w:rPr>
      </w:pPr>
    </w:p>
    <w:p w14:paraId="0CC1ECC6" w14:textId="77777777" w:rsidR="006D2BF7" w:rsidRPr="003D2290" w:rsidRDefault="006D2BF7" w:rsidP="006D2BF7">
      <w:pPr>
        <w:jc w:val="both"/>
        <w:rPr>
          <w:b/>
          <w:sz w:val="22"/>
          <w:szCs w:val="22"/>
        </w:rPr>
      </w:pPr>
      <w:r w:rsidRPr="003D2290">
        <w:rPr>
          <w:b/>
          <w:sz w:val="22"/>
          <w:szCs w:val="22"/>
        </w:rPr>
        <w:t>considerando que:</w:t>
      </w:r>
    </w:p>
    <w:p w14:paraId="06A51A83" w14:textId="77777777" w:rsidR="006D2BF7" w:rsidRPr="003D2290" w:rsidRDefault="006D2BF7" w:rsidP="006D2BF7">
      <w:pPr>
        <w:jc w:val="both"/>
        <w:rPr>
          <w:b/>
          <w:sz w:val="22"/>
          <w:szCs w:val="22"/>
        </w:rPr>
      </w:pPr>
    </w:p>
    <w:p w14:paraId="06F6B802" w14:textId="77777777" w:rsidR="006D2BF7" w:rsidRPr="003D2290" w:rsidRDefault="006D2BF7" w:rsidP="006D2BF7">
      <w:pPr>
        <w:ind w:left="596"/>
        <w:jc w:val="center"/>
        <w:rPr>
          <w:b/>
          <w:bCs/>
          <w:sz w:val="22"/>
          <w:szCs w:val="22"/>
        </w:rPr>
      </w:pPr>
      <w:r w:rsidRPr="003D2290">
        <w:rPr>
          <w:b/>
          <w:bCs/>
          <w:sz w:val="22"/>
          <w:szCs w:val="22"/>
        </w:rPr>
        <w:t>Consideraciones legales y reglamentarias</w:t>
      </w:r>
    </w:p>
    <w:p w14:paraId="41FDE2D8" w14:textId="77777777" w:rsidR="006D2BF7" w:rsidRPr="003D2290" w:rsidRDefault="006D2BF7" w:rsidP="003D2290">
      <w:pPr>
        <w:rPr>
          <w:b/>
          <w:bCs/>
          <w:sz w:val="22"/>
          <w:szCs w:val="22"/>
        </w:rPr>
      </w:pPr>
    </w:p>
    <w:p w14:paraId="43F44233" w14:textId="77777777" w:rsidR="006D2BF7" w:rsidRPr="003D2290" w:rsidRDefault="006D2BF7" w:rsidP="006D2BF7">
      <w:pPr>
        <w:ind w:left="567" w:hanging="567"/>
        <w:jc w:val="both"/>
        <w:rPr>
          <w:sz w:val="22"/>
          <w:szCs w:val="22"/>
        </w:rPr>
      </w:pPr>
      <w:r w:rsidRPr="003D2290">
        <w:rPr>
          <w:sz w:val="22"/>
          <w:szCs w:val="22"/>
        </w:rPr>
        <w:t>I.</w:t>
      </w:r>
      <w:r w:rsidRPr="003D2290">
        <w:rPr>
          <w:sz w:val="22"/>
          <w:szCs w:val="22"/>
        </w:rPr>
        <w:tab/>
        <w:t>El inciso c), del artículo 131 de la Ley Orgánica del Banco Central de Costa Rica, Ley 7558, establece, como parte de las funciones del Superintendente General de Entidades Financieras, proponer al Consejo Nacional de Supervisión del Sistema Financiero (Conassif), para su aprobación, las normas que estime necesarias para el desarrollo de las labores de fiscalización y vigilancia. En ese sentido, el numeral vi) del inciso n) de dicho artículo, dispone que el Superintendente debe proponer al Conassif las normas para promover la estabilidad, solvencia y transparencia de las operaciones de las entidades fiscalizadas, con el fin de salvaguardar los intereses de los depositantes, los usuarios de los servicios financieros y la colectividad en general.</w:t>
      </w:r>
    </w:p>
    <w:p w14:paraId="0C9C6E2E" w14:textId="77777777" w:rsidR="006D2BF7" w:rsidRPr="003D2290" w:rsidRDefault="006D2BF7" w:rsidP="006D2BF7">
      <w:pPr>
        <w:ind w:left="567" w:hanging="567"/>
        <w:jc w:val="both"/>
        <w:rPr>
          <w:sz w:val="22"/>
          <w:szCs w:val="22"/>
        </w:rPr>
      </w:pPr>
    </w:p>
    <w:p w14:paraId="683B9168" w14:textId="77777777" w:rsidR="006D2BF7" w:rsidRPr="003D2290" w:rsidRDefault="006D2BF7" w:rsidP="006D2BF7">
      <w:pPr>
        <w:ind w:left="567" w:hanging="567"/>
        <w:jc w:val="both"/>
        <w:rPr>
          <w:sz w:val="22"/>
          <w:szCs w:val="22"/>
        </w:rPr>
      </w:pPr>
      <w:r w:rsidRPr="003D2290">
        <w:rPr>
          <w:sz w:val="22"/>
          <w:szCs w:val="22"/>
        </w:rPr>
        <w:t>II.</w:t>
      </w:r>
      <w:r w:rsidRPr="003D2290">
        <w:rPr>
          <w:sz w:val="22"/>
          <w:szCs w:val="22"/>
        </w:rPr>
        <w:tab/>
        <w:t>El inciso m), del artículo 131 de la Ley 7558, establece que el Superintendente debe recomendar al Conassif las normas generales para clasificar y calificar la cartera de créditos y los demás activos de las entidades fiscalizadas, para constituir las provisiones o reservas de saneamiento, con el fin de valorar, en forma realista, los activos de las entidades fiscalizadas y prever los riesgos de pérdidas.</w:t>
      </w:r>
    </w:p>
    <w:p w14:paraId="5046338C" w14:textId="77777777" w:rsidR="006D2BF7" w:rsidRPr="003D2290" w:rsidRDefault="006D2BF7" w:rsidP="006D2BF7">
      <w:pPr>
        <w:ind w:left="567" w:hanging="567"/>
        <w:jc w:val="both"/>
        <w:rPr>
          <w:sz w:val="22"/>
          <w:szCs w:val="22"/>
        </w:rPr>
      </w:pPr>
    </w:p>
    <w:p w14:paraId="303469DC" w14:textId="77777777" w:rsidR="006D2BF7" w:rsidRPr="003D2290" w:rsidRDefault="006D2BF7" w:rsidP="006D2BF7">
      <w:pPr>
        <w:ind w:left="567" w:hanging="567"/>
        <w:jc w:val="both"/>
        <w:rPr>
          <w:sz w:val="22"/>
          <w:szCs w:val="22"/>
        </w:rPr>
      </w:pPr>
      <w:r w:rsidRPr="003D2290">
        <w:rPr>
          <w:sz w:val="22"/>
          <w:szCs w:val="22"/>
        </w:rPr>
        <w:t>III.</w:t>
      </w:r>
      <w:r w:rsidRPr="003D2290">
        <w:rPr>
          <w:sz w:val="22"/>
          <w:szCs w:val="22"/>
        </w:rPr>
        <w:tab/>
        <w:t>El literal b) del artículo 171 de la Ley Reguladora del Mercado de Valores dispone que son funciones del Conassif aprobar las normas atinentes a la autorización, regulación, supervisión, fiscalización y vigilancia que, conforme con la ley, debe ejecutar la Superintendencia General de Entidades Financieras.</w:t>
      </w:r>
    </w:p>
    <w:p w14:paraId="65CDFB41" w14:textId="77777777" w:rsidR="006D2BF7" w:rsidRPr="003D2290" w:rsidRDefault="006D2BF7" w:rsidP="006D2BF7">
      <w:pPr>
        <w:ind w:left="567" w:hanging="567"/>
        <w:jc w:val="both"/>
        <w:rPr>
          <w:sz w:val="22"/>
          <w:szCs w:val="22"/>
        </w:rPr>
      </w:pPr>
    </w:p>
    <w:p w14:paraId="2A2CE0C1" w14:textId="77777777" w:rsidR="006D2BF7" w:rsidRPr="003D2290" w:rsidRDefault="006D2BF7" w:rsidP="006D2BF7">
      <w:pPr>
        <w:ind w:left="567" w:hanging="567"/>
        <w:jc w:val="both"/>
        <w:rPr>
          <w:sz w:val="22"/>
          <w:szCs w:val="22"/>
        </w:rPr>
      </w:pPr>
      <w:r w:rsidRPr="003D2290">
        <w:rPr>
          <w:sz w:val="22"/>
          <w:szCs w:val="22"/>
        </w:rPr>
        <w:t>IV.</w:t>
      </w:r>
      <w:r w:rsidRPr="003D2290">
        <w:rPr>
          <w:sz w:val="22"/>
          <w:szCs w:val="22"/>
        </w:rPr>
        <w:tab/>
        <w:t>Mediante los artículos 8 y 9 de las actas de las sesiones 1699-2021 y 1700-2021, celebradas el 11 y 15 de noviembre de 2021, respectivamente, el Conassif aprobó el Reglamento sobre Cálculo de Estimaciones Crediticias, Acuerdo Conassif 14-21. Con vigencia partir del 1° de enero de 2024.</w:t>
      </w:r>
    </w:p>
    <w:p w14:paraId="16B7146C" w14:textId="77777777" w:rsidR="006D2BF7" w:rsidRPr="003D2290" w:rsidRDefault="006D2BF7" w:rsidP="006D2BF7">
      <w:pPr>
        <w:ind w:left="567" w:hanging="567"/>
        <w:jc w:val="both"/>
        <w:rPr>
          <w:sz w:val="22"/>
          <w:szCs w:val="22"/>
        </w:rPr>
      </w:pPr>
    </w:p>
    <w:p w14:paraId="08973194" w14:textId="77777777" w:rsidR="006D2BF7" w:rsidRPr="003D2290" w:rsidRDefault="006D2BF7" w:rsidP="006D2BF7">
      <w:pPr>
        <w:ind w:left="567" w:hanging="567"/>
        <w:jc w:val="both"/>
        <w:rPr>
          <w:sz w:val="22"/>
          <w:szCs w:val="22"/>
        </w:rPr>
      </w:pPr>
      <w:r w:rsidRPr="003D2290">
        <w:rPr>
          <w:sz w:val="22"/>
          <w:szCs w:val="22"/>
        </w:rPr>
        <w:t>V.</w:t>
      </w:r>
      <w:r w:rsidRPr="003D2290">
        <w:rPr>
          <w:sz w:val="22"/>
          <w:szCs w:val="22"/>
        </w:rPr>
        <w:tab/>
        <w:t>Mediante artículo 9 de acta de la sesión 1162-2015, celebrada el 20 de abril del 2015, el Conassif aprobó el Reglamento del Centro de Información Crediticia, Acuerdo Sugef 7-06.</w:t>
      </w:r>
    </w:p>
    <w:p w14:paraId="2B55B30A" w14:textId="77777777" w:rsidR="006D2BF7" w:rsidRPr="003D2290" w:rsidRDefault="006D2BF7" w:rsidP="006D2BF7">
      <w:pPr>
        <w:jc w:val="both"/>
        <w:rPr>
          <w:b/>
          <w:bCs/>
          <w:sz w:val="22"/>
          <w:szCs w:val="22"/>
        </w:rPr>
      </w:pPr>
    </w:p>
    <w:p w14:paraId="11C249EC" w14:textId="77777777" w:rsidR="006D2BF7" w:rsidRPr="003D2290" w:rsidRDefault="006D2BF7" w:rsidP="006D2BF7">
      <w:pPr>
        <w:ind w:left="596"/>
        <w:jc w:val="center"/>
        <w:rPr>
          <w:b/>
          <w:bCs/>
          <w:sz w:val="22"/>
          <w:szCs w:val="22"/>
        </w:rPr>
      </w:pPr>
      <w:r w:rsidRPr="003D2290">
        <w:rPr>
          <w:b/>
          <w:bCs/>
          <w:sz w:val="22"/>
          <w:szCs w:val="22"/>
        </w:rPr>
        <w:t xml:space="preserve">Consideraciones prudenciales </w:t>
      </w:r>
    </w:p>
    <w:p w14:paraId="659A9A8E" w14:textId="77777777" w:rsidR="006D2BF7" w:rsidRPr="003D2290" w:rsidRDefault="006D2BF7" w:rsidP="006D2BF7">
      <w:pPr>
        <w:rPr>
          <w:b/>
          <w:bCs/>
          <w:sz w:val="22"/>
          <w:szCs w:val="22"/>
        </w:rPr>
      </w:pPr>
    </w:p>
    <w:p w14:paraId="77281FC9" w14:textId="77777777" w:rsidR="006D2BF7" w:rsidRPr="003D2290" w:rsidRDefault="006D2BF7" w:rsidP="006D2BF7">
      <w:pPr>
        <w:ind w:left="567" w:hanging="567"/>
        <w:jc w:val="both"/>
        <w:rPr>
          <w:sz w:val="22"/>
          <w:szCs w:val="22"/>
        </w:rPr>
      </w:pPr>
      <w:r w:rsidRPr="003D2290">
        <w:rPr>
          <w:sz w:val="22"/>
          <w:szCs w:val="22"/>
        </w:rPr>
        <w:t>VI.</w:t>
      </w:r>
      <w:r w:rsidRPr="003D2290">
        <w:rPr>
          <w:sz w:val="22"/>
          <w:szCs w:val="22"/>
        </w:rPr>
        <w:tab/>
        <w:t xml:space="preserve">El Centro de Información Crediticia (CIC) es una plataforma administrada por la Sugef, mediante la cual se pone a disposición de las entidades supervisadas por la Sugef y los deudores, información de las operaciones de crédito, así como información sobre el comportamiento de pago del deudor. Dentro de esta última categoría, el CIC incluye la información de morosidad, los motivos de liquidación de las operaciones crediticias y el puntaje y nivel de CPH. Lo anterior, </w:t>
      </w:r>
      <w:r w:rsidRPr="003D2290">
        <w:rPr>
          <w:sz w:val="22"/>
          <w:szCs w:val="22"/>
        </w:rPr>
        <w:lastRenderedPageBreak/>
        <w:t xml:space="preserve">para una ventana temporal de 4 años. La información completa sobre las operaciones crediticias y el desempeño del deudor puede ser consultada únicamente con la autorización expresa del deudor para la entidad. Existe también un conjunto de datos reducido que la regulación cataloga como información de dominio público, y que únicamente puede ser consultada por las entidades supervisadas por la Sugef sin autorización del deudor. La información obtenida con la autorización del deudor es la que provee el mejor perfil crediticio del cliente, y consecuentemente, es la que mejor apoya a los procesos de gestión y decisión crediticia. </w:t>
      </w:r>
    </w:p>
    <w:p w14:paraId="595858EE" w14:textId="77777777" w:rsidR="006D2BF7" w:rsidRPr="003D2290" w:rsidRDefault="006D2BF7" w:rsidP="006D2BF7">
      <w:pPr>
        <w:ind w:left="567" w:hanging="567"/>
        <w:jc w:val="both"/>
        <w:rPr>
          <w:sz w:val="22"/>
          <w:szCs w:val="22"/>
        </w:rPr>
      </w:pPr>
    </w:p>
    <w:p w14:paraId="2D58867E" w14:textId="77777777" w:rsidR="006D2BF7" w:rsidRPr="003D2290" w:rsidRDefault="006D2BF7" w:rsidP="006D2BF7">
      <w:pPr>
        <w:ind w:left="567" w:hanging="567"/>
        <w:jc w:val="both"/>
        <w:rPr>
          <w:sz w:val="22"/>
          <w:szCs w:val="22"/>
        </w:rPr>
      </w:pPr>
      <w:r w:rsidRPr="003D2290">
        <w:rPr>
          <w:sz w:val="22"/>
          <w:szCs w:val="22"/>
        </w:rPr>
        <w:t>VII.</w:t>
      </w:r>
      <w:r w:rsidRPr="003D2290">
        <w:rPr>
          <w:sz w:val="22"/>
          <w:szCs w:val="22"/>
        </w:rPr>
        <w:tab/>
        <w:t>Desde su implementación el CIC ha jugado un papel relevante en el desarrollo de la cultura crediticia de los costarricenses. También se ha constituido en una herramienta que ha coadyuvado a los procesos de análisis, toma y mitigación de riesgos por parte de las entidades financieras. Entre las ventajas de esta herramienta se encuentra su contribución para reducir la asimetría de la información entre el deudor y las entidades supervisadas, al proporcionar información sobre las operaciones crediticias de la persona en todas las entidades supervisadas, permitiéndoles contar con una fuente independiente y actualizada del nivel de endeudamiento y el comportamiento de pago de la persona. Los deudores responsables también se benefician de contar con un buen historial crediticio, lo cual puede considerarse como un aspecto a favor para acceder a oportunidades de crédito en el futuro.</w:t>
      </w:r>
    </w:p>
    <w:p w14:paraId="382C560F" w14:textId="77777777" w:rsidR="006D2BF7" w:rsidRPr="003D2290" w:rsidRDefault="006D2BF7" w:rsidP="006D2BF7">
      <w:pPr>
        <w:ind w:left="567" w:hanging="567"/>
        <w:jc w:val="both"/>
        <w:rPr>
          <w:sz w:val="22"/>
          <w:szCs w:val="22"/>
        </w:rPr>
      </w:pPr>
    </w:p>
    <w:p w14:paraId="17EE3F77" w14:textId="77777777" w:rsidR="006D2BF7" w:rsidRPr="003D2290" w:rsidRDefault="006D2BF7" w:rsidP="006D2BF7">
      <w:pPr>
        <w:ind w:left="567" w:hanging="567"/>
        <w:jc w:val="both"/>
        <w:rPr>
          <w:sz w:val="22"/>
          <w:szCs w:val="22"/>
        </w:rPr>
      </w:pPr>
      <w:r w:rsidRPr="003D2290">
        <w:rPr>
          <w:sz w:val="22"/>
          <w:szCs w:val="22"/>
        </w:rPr>
        <w:t>VIII.</w:t>
      </w:r>
      <w:r w:rsidRPr="003D2290">
        <w:rPr>
          <w:sz w:val="22"/>
          <w:szCs w:val="22"/>
        </w:rPr>
        <w:tab/>
        <w:t>Un deudor que no mantenga con la entidad una autorización vigente para que se consulte su historial crediticio en el CIC, no contribuye con la transparencia y apertura frente a la entidad para que esta identifique oportunamente situaciones de deterioro que se presenten en el resto del sector supervisado, tales como el aumento en la morosidad, el nivel de endeudamiento en moneda nacional y extranjera, la cancelación de operaciones por motivos como cobro judicial, dación de bienes en pago, toma de la deuda por fiadores o la determinación de incobrabilidad de operaciones. Esta opacidad frente a la situación del deudor en el CIC exacerba la incertidumbre inherente a la actividad crediticia, sobre la recuperación futura de los fondos prestados.</w:t>
      </w:r>
    </w:p>
    <w:p w14:paraId="2A056CAF" w14:textId="77777777" w:rsidR="006D2BF7" w:rsidRPr="003D2290" w:rsidRDefault="006D2BF7" w:rsidP="006D2BF7">
      <w:pPr>
        <w:ind w:left="567" w:hanging="567"/>
        <w:jc w:val="both"/>
        <w:rPr>
          <w:sz w:val="22"/>
          <w:szCs w:val="22"/>
        </w:rPr>
      </w:pPr>
    </w:p>
    <w:p w14:paraId="2D272EBF" w14:textId="77777777" w:rsidR="006D2BF7" w:rsidRPr="003D2290" w:rsidRDefault="006D2BF7" w:rsidP="006D2BF7">
      <w:pPr>
        <w:ind w:left="567" w:hanging="567"/>
        <w:jc w:val="both"/>
        <w:rPr>
          <w:sz w:val="22"/>
          <w:szCs w:val="22"/>
        </w:rPr>
      </w:pPr>
      <w:r w:rsidRPr="003D2290">
        <w:rPr>
          <w:sz w:val="22"/>
          <w:szCs w:val="22"/>
        </w:rPr>
        <w:t>IX.</w:t>
      </w:r>
      <w:r w:rsidRPr="003D2290">
        <w:rPr>
          <w:sz w:val="22"/>
          <w:szCs w:val="22"/>
        </w:rPr>
        <w:tab/>
        <w:t>Con el propósito de que el CIC continúe contribuyendo con fortalecer la cultura de pago de los deudores y la gestión de riesgo de las entidades, se considera conveniente establecer en el Acuerdo Conassif 14-21, una disposición homóloga a la que tiene el Acuerdo Sugef 1-05 vigente, en el sentido de que todo deudor que no mantenga una autorización vigente para que se consulte su información en el CIC, no podrá estar clasificado en las categorías de riesgo 1, 2 o 3. Esta disposición alcanza únicamente a las entidades supervisadas por Sugef, por estar legalmente acotado a ellas el acceso al CIC.</w:t>
      </w:r>
    </w:p>
    <w:p w14:paraId="53391F91" w14:textId="77777777" w:rsidR="006D2BF7" w:rsidRPr="003D2290" w:rsidRDefault="006D2BF7" w:rsidP="006D2BF7">
      <w:pPr>
        <w:ind w:left="567" w:hanging="567"/>
        <w:jc w:val="both"/>
        <w:rPr>
          <w:sz w:val="22"/>
          <w:szCs w:val="22"/>
        </w:rPr>
      </w:pPr>
    </w:p>
    <w:p w14:paraId="517CD0C5" w14:textId="77777777" w:rsidR="006D2BF7" w:rsidRPr="003D2290" w:rsidRDefault="006D2BF7" w:rsidP="006D2BF7">
      <w:pPr>
        <w:ind w:left="567" w:hanging="567"/>
        <w:jc w:val="both"/>
        <w:rPr>
          <w:sz w:val="22"/>
          <w:szCs w:val="22"/>
        </w:rPr>
      </w:pPr>
      <w:r w:rsidRPr="003D2290">
        <w:rPr>
          <w:sz w:val="22"/>
          <w:szCs w:val="22"/>
        </w:rPr>
        <w:t>X.</w:t>
      </w:r>
      <w:r w:rsidRPr="003D2290">
        <w:rPr>
          <w:sz w:val="22"/>
          <w:szCs w:val="22"/>
        </w:rPr>
        <w:tab/>
        <w:t xml:space="preserve">El Acuerdo Conassif 14-21 incluye en la metodología de cálculo de estimaciones crediticias, un conjunto garantías que pueden utilizarse para la mitigación del riesgo de crédito. Sin embargo, se considera esencial que la regulación establezca aspectos mínimos que las entidades deban constatar antes de reconocer estos efectos de mitigación. Dichos aspectos se enfocan hacia fortalecer la certeza sobre de cobrabilidad de la garantía, en el evento de incumplimiento de los deudores. Adicionalmente, la regulación admite las Cartas de Crédito </w:t>
      </w:r>
      <w:r w:rsidRPr="003D2290">
        <w:rPr>
          <w:i/>
          <w:iCs/>
          <w:sz w:val="22"/>
          <w:szCs w:val="22"/>
        </w:rPr>
        <w:t>Stand-by</w:t>
      </w:r>
      <w:r w:rsidRPr="003D2290">
        <w:rPr>
          <w:sz w:val="22"/>
          <w:szCs w:val="22"/>
        </w:rPr>
        <w:t xml:space="preserve"> como instrumento mitigador, sin embargo, debe establecerse el tratamiento específico para reconocer dicho efecto en el cálculo. </w:t>
      </w:r>
    </w:p>
    <w:p w14:paraId="3C620044" w14:textId="77777777" w:rsidR="006D2BF7" w:rsidRPr="003D2290" w:rsidRDefault="006D2BF7" w:rsidP="006D2BF7">
      <w:pPr>
        <w:jc w:val="both"/>
        <w:rPr>
          <w:b/>
          <w:bCs/>
          <w:sz w:val="22"/>
          <w:szCs w:val="22"/>
        </w:rPr>
      </w:pPr>
    </w:p>
    <w:p w14:paraId="16B0FD5C" w14:textId="77777777" w:rsidR="006D2BF7" w:rsidRPr="00E31A58" w:rsidRDefault="006D2BF7" w:rsidP="006D2BF7">
      <w:pPr>
        <w:jc w:val="both"/>
        <w:rPr>
          <w:b/>
          <w:sz w:val="22"/>
          <w:szCs w:val="22"/>
        </w:rPr>
      </w:pPr>
      <w:r w:rsidRPr="00E31A58">
        <w:rPr>
          <w:b/>
          <w:sz w:val="22"/>
          <w:szCs w:val="22"/>
        </w:rPr>
        <w:t>dispuso:</w:t>
      </w:r>
    </w:p>
    <w:p w14:paraId="1EF45EEE" w14:textId="77777777" w:rsidR="006D2BF7" w:rsidRPr="003D2290" w:rsidRDefault="006D2BF7" w:rsidP="006D2BF7">
      <w:pPr>
        <w:jc w:val="both"/>
        <w:rPr>
          <w:b/>
          <w:i/>
          <w:iCs/>
          <w:sz w:val="22"/>
          <w:szCs w:val="22"/>
        </w:rPr>
      </w:pPr>
    </w:p>
    <w:p w14:paraId="1FEAA642" w14:textId="77777777" w:rsidR="006D2BF7" w:rsidRPr="003D2290" w:rsidRDefault="006D2BF7" w:rsidP="006D2BF7">
      <w:pPr>
        <w:pStyle w:val="Prrafodelista"/>
        <w:widowControl w:val="0"/>
        <w:numPr>
          <w:ilvl w:val="0"/>
          <w:numId w:val="10"/>
        </w:numPr>
        <w:autoSpaceDE w:val="0"/>
        <w:autoSpaceDN w:val="0"/>
        <w:adjustRightInd w:val="0"/>
        <w:contextualSpacing/>
        <w:jc w:val="both"/>
        <w:rPr>
          <w:b/>
          <w:bCs/>
          <w:sz w:val="22"/>
          <w:szCs w:val="22"/>
        </w:rPr>
      </w:pPr>
      <w:r w:rsidRPr="003D2290">
        <w:rPr>
          <w:b/>
          <w:bCs/>
          <w:sz w:val="22"/>
          <w:szCs w:val="22"/>
        </w:rPr>
        <w:t xml:space="preserve">Modificar el </w:t>
      </w:r>
      <w:r w:rsidRPr="003D2290">
        <w:rPr>
          <w:b/>
          <w:bCs/>
          <w:i/>
          <w:iCs/>
          <w:sz w:val="22"/>
          <w:szCs w:val="22"/>
        </w:rPr>
        <w:t>Reglamento sobre Cálculo de Estimaciones Crediticias, Acuerdo CONASSIF 14-21</w:t>
      </w:r>
      <w:r w:rsidRPr="003D2290">
        <w:rPr>
          <w:b/>
          <w:bCs/>
          <w:sz w:val="22"/>
          <w:szCs w:val="22"/>
        </w:rPr>
        <w:t xml:space="preserve">, como indica a continuación: </w:t>
      </w:r>
    </w:p>
    <w:p w14:paraId="07F8E4A2" w14:textId="77777777" w:rsidR="006D2BF7" w:rsidRPr="003D2290" w:rsidRDefault="006D2BF7" w:rsidP="006D2BF7">
      <w:pPr>
        <w:jc w:val="both"/>
        <w:rPr>
          <w:rFonts w:eastAsia="Calibri"/>
          <w:sz w:val="22"/>
          <w:szCs w:val="22"/>
        </w:rPr>
      </w:pPr>
    </w:p>
    <w:p w14:paraId="7267C63B" w14:textId="77777777" w:rsidR="006D2BF7" w:rsidRPr="003D2290" w:rsidRDefault="006D2BF7" w:rsidP="006D2BF7">
      <w:pPr>
        <w:ind w:left="426" w:hanging="426"/>
        <w:jc w:val="both"/>
        <w:rPr>
          <w:rFonts w:eastAsia="Calibri"/>
          <w:b/>
          <w:bCs/>
          <w:sz w:val="22"/>
          <w:szCs w:val="22"/>
        </w:rPr>
      </w:pPr>
      <w:r w:rsidRPr="003D2290">
        <w:rPr>
          <w:rFonts w:eastAsia="Calibri"/>
          <w:b/>
          <w:bCs/>
          <w:sz w:val="22"/>
          <w:szCs w:val="22"/>
        </w:rPr>
        <w:t>1.</w:t>
      </w:r>
      <w:r w:rsidRPr="003D2290">
        <w:rPr>
          <w:rFonts w:eastAsia="Calibri"/>
          <w:b/>
          <w:bCs/>
          <w:sz w:val="22"/>
          <w:szCs w:val="22"/>
        </w:rPr>
        <w:tab/>
        <w:t>Añadir un párrafo al final del Artículo 11, Calificación de riesgo, según el siguiente texto:</w:t>
      </w:r>
    </w:p>
    <w:p w14:paraId="122CCC28" w14:textId="77777777" w:rsidR="006D2BF7" w:rsidRPr="003D2290" w:rsidRDefault="006D2BF7" w:rsidP="006D2BF7">
      <w:pPr>
        <w:ind w:left="426" w:hanging="426"/>
        <w:jc w:val="both"/>
        <w:rPr>
          <w:rFonts w:eastAsia="Calibri"/>
          <w:b/>
          <w:bCs/>
          <w:sz w:val="22"/>
          <w:szCs w:val="22"/>
        </w:rPr>
      </w:pPr>
    </w:p>
    <w:p w14:paraId="5BA0E4C9" w14:textId="77777777" w:rsidR="006D2BF7" w:rsidRPr="003D2290" w:rsidRDefault="006D2BF7" w:rsidP="006D2BF7">
      <w:pPr>
        <w:ind w:left="33"/>
        <w:rPr>
          <w:b/>
          <w:bCs/>
          <w:i/>
          <w:iCs/>
          <w:sz w:val="22"/>
          <w:szCs w:val="22"/>
        </w:rPr>
      </w:pPr>
      <w:r w:rsidRPr="003D2290">
        <w:rPr>
          <w:b/>
          <w:bCs/>
          <w:i/>
          <w:iCs/>
          <w:sz w:val="22"/>
          <w:szCs w:val="22"/>
        </w:rPr>
        <w:t>“Artículo 11. Calificación de riesgo</w:t>
      </w:r>
    </w:p>
    <w:p w14:paraId="4675CD15" w14:textId="77777777" w:rsidR="006D2BF7" w:rsidRPr="003D2290" w:rsidRDefault="006D2BF7" w:rsidP="006D2BF7">
      <w:pPr>
        <w:ind w:left="33"/>
        <w:rPr>
          <w:sz w:val="22"/>
          <w:szCs w:val="22"/>
        </w:rPr>
      </w:pPr>
      <w:r w:rsidRPr="003D2290">
        <w:rPr>
          <w:sz w:val="22"/>
          <w:szCs w:val="22"/>
        </w:rPr>
        <w:t>[…]</w:t>
      </w:r>
    </w:p>
    <w:p w14:paraId="30498535" w14:textId="77777777" w:rsidR="006D2BF7" w:rsidRPr="003D2290" w:rsidRDefault="006D2BF7" w:rsidP="006D2BF7">
      <w:pPr>
        <w:jc w:val="both"/>
        <w:rPr>
          <w:i/>
          <w:iCs/>
          <w:sz w:val="22"/>
          <w:szCs w:val="22"/>
        </w:rPr>
      </w:pPr>
      <w:r w:rsidRPr="007263CE">
        <w:rPr>
          <w:i/>
          <w:sz w:val="22"/>
          <w:szCs w:val="22"/>
        </w:rPr>
        <w:t>En el caso de las entidades supervisadas por la SUGEF, el deudor que no mantenga una autorización vigente para que se consulte su información crediticia en el Centro de Información Crediticia (CIC) de la SUGEF, deberá calificarse en la categoría de riesgo 4, u otra de mayor riesgo cuando corresponda según los criterios de calificación establecidos en este Reglamento.”</w:t>
      </w:r>
    </w:p>
    <w:p w14:paraId="0F880F49" w14:textId="77777777" w:rsidR="006D2BF7" w:rsidRPr="003D2290" w:rsidRDefault="006D2BF7" w:rsidP="006D2BF7">
      <w:pPr>
        <w:jc w:val="both"/>
        <w:rPr>
          <w:rFonts w:eastAsia="Calibri"/>
          <w:b/>
          <w:bCs/>
          <w:sz w:val="22"/>
          <w:szCs w:val="22"/>
        </w:rPr>
      </w:pPr>
    </w:p>
    <w:p w14:paraId="71BF0C81" w14:textId="77777777" w:rsidR="006D2BF7" w:rsidRPr="003D2290" w:rsidRDefault="006D2BF7" w:rsidP="006D2BF7">
      <w:pPr>
        <w:ind w:left="426" w:hanging="426"/>
        <w:jc w:val="both"/>
        <w:rPr>
          <w:rFonts w:eastAsia="Calibri"/>
          <w:b/>
          <w:bCs/>
          <w:sz w:val="22"/>
          <w:szCs w:val="22"/>
        </w:rPr>
      </w:pPr>
      <w:r w:rsidRPr="003D2290">
        <w:rPr>
          <w:rFonts w:eastAsia="Calibri"/>
          <w:b/>
          <w:bCs/>
          <w:sz w:val="22"/>
          <w:szCs w:val="22"/>
        </w:rPr>
        <w:t>2.</w:t>
      </w:r>
      <w:r w:rsidRPr="003D2290">
        <w:rPr>
          <w:rFonts w:eastAsia="Calibri"/>
          <w:b/>
          <w:bCs/>
          <w:sz w:val="22"/>
          <w:szCs w:val="22"/>
        </w:rPr>
        <w:tab/>
        <w:t>Agregar el Artículo 18 Bis, Certeza jurídica de la garantía, según el siguiente texto:</w:t>
      </w:r>
    </w:p>
    <w:p w14:paraId="494F986A" w14:textId="77777777" w:rsidR="006D2BF7" w:rsidRPr="003D2290" w:rsidRDefault="006D2BF7" w:rsidP="006D2BF7">
      <w:pPr>
        <w:ind w:left="426" w:hanging="426"/>
        <w:jc w:val="both"/>
        <w:rPr>
          <w:rFonts w:eastAsia="Calibri"/>
          <w:b/>
          <w:bCs/>
          <w:sz w:val="22"/>
          <w:szCs w:val="22"/>
        </w:rPr>
      </w:pPr>
    </w:p>
    <w:p w14:paraId="0D96F58D" w14:textId="77777777" w:rsidR="006D2BF7" w:rsidRPr="007263CE" w:rsidRDefault="006D2BF7" w:rsidP="006D2BF7">
      <w:pPr>
        <w:jc w:val="both"/>
        <w:rPr>
          <w:b/>
          <w:i/>
          <w:sz w:val="22"/>
          <w:szCs w:val="22"/>
        </w:rPr>
      </w:pPr>
      <w:r w:rsidRPr="003D2290">
        <w:rPr>
          <w:b/>
          <w:bCs/>
          <w:sz w:val="22"/>
          <w:szCs w:val="22"/>
        </w:rPr>
        <w:t>“</w:t>
      </w:r>
      <w:r w:rsidRPr="007263CE">
        <w:rPr>
          <w:b/>
          <w:i/>
          <w:sz w:val="22"/>
          <w:szCs w:val="22"/>
        </w:rPr>
        <w:t>Artículo 18 Bis. Condiciones para aplicar la mitigación de garantías</w:t>
      </w:r>
    </w:p>
    <w:p w14:paraId="7356C9EF" w14:textId="77777777" w:rsidR="006D2BF7" w:rsidRPr="007263CE" w:rsidRDefault="006D2BF7" w:rsidP="006D2BF7">
      <w:pPr>
        <w:jc w:val="both"/>
        <w:rPr>
          <w:i/>
          <w:sz w:val="22"/>
          <w:szCs w:val="22"/>
        </w:rPr>
      </w:pPr>
      <w:r w:rsidRPr="007263CE">
        <w:rPr>
          <w:i/>
          <w:sz w:val="22"/>
          <w:szCs w:val="22"/>
        </w:rPr>
        <w:t>La aplicación del efecto mitigador de las garantías en el cálculo de las estimaciones crediticias estará condicionado al cumplimiento de cada uno de los siguientes aspectos, los cuales se tendrán como mínimos para brindar certeza jurídica sobre la cobrabilidad de las garantías:</w:t>
      </w:r>
    </w:p>
    <w:p w14:paraId="7F4B3033" w14:textId="77777777" w:rsidR="002110AC" w:rsidRPr="007263CE" w:rsidRDefault="002110AC" w:rsidP="006D2BF7">
      <w:pPr>
        <w:jc w:val="both"/>
        <w:rPr>
          <w:i/>
          <w:sz w:val="22"/>
          <w:szCs w:val="22"/>
        </w:rPr>
      </w:pPr>
    </w:p>
    <w:p w14:paraId="638DBA00" w14:textId="77777777" w:rsidR="006D2BF7" w:rsidRPr="007263CE" w:rsidRDefault="006D2BF7" w:rsidP="006D2BF7">
      <w:pPr>
        <w:ind w:left="851" w:hanging="425"/>
        <w:contextualSpacing/>
        <w:jc w:val="both"/>
        <w:rPr>
          <w:i/>
          <w:sz w:val="22"/>
          <w:szCs w:val="22"/>
        </w:rPr>
      </w:pPr>
      <w:r w:rsidRPr="007263CE">
        <w:rPr>
          <w:i/>
          <w:sz w:val="22"/>
          <w:szCs w:val="22"/>
        </w:rPr>
        <w:t>a)</w:t>
      </w:r>
      <w:r w:rsidRPr="007263CE">
        <w:rPr>
          <w:i/>
          <w:sz w:val="22"/>
          <w:szCs w:val="22"/>
        </w:rPr>
        <w:tab/>
        <w:t>Para los bienes que requieran inscripción en un registro público, que la garantía esté debidamente inscrita;</w:t>
      </w:r>
    </w:p>
    <w:p w14:paraId="4F258CA8" w14:textId="77777777" w:rsidR="006D2BF7" w:rsidRPr="007263CE" w:rsidRDefault="006D2BF7" w:rsidP="006D2BF7">
      <w:pPr>
        <w:ind w:left="851" w:hanging="425"/>
        <w:contextualSpacing/>
        <w:jc w:val="both"/>
        <w:rPr>
          <w:i/>
          <w:sz w:val="22"/>
          <w:szCs w:val="22"/>
        </w:rPr>
      </w:pPr>
      <w:r w:rsidRPr="007263CE">
        <w:rPr>
          <w:i/>
          <w:sz w:val="22"/>
          <w:szCs w:val="22"/>
        </w:rPr>
        <w:t>b)</w:t>
      </w:r>
      <w:r w:rsidRPr="007263CE">
        <w:rPr>
          <w:i/>
          <w:sz w:val="22"/>
          <w:szCs w:val="22"/>
        </w:rPr>
        <w:tab/>
        <w:t xml:space="preserve">Que el mecanismo jurídico de entrega, transferencia, apropiación, adjudicación y liquidación del activo en garantía corresponda a su naturaleza y; </w:t>
      </w:r>
    </w:p>
    <w:p w14:paraId="6E91F021" w14:textId="77777777" w:rsidR="006D2BF7" w:rsidRPr="007263CE" w:rsidRDefault="006D2BF7" w:rsidP="006D2BF7">
      <w:pPr>
        <w:ind w:left="851" w:hanging="425"/>
        <w:contextualSpacing/>
        <w:jc w:val="both"/>
        <w:rPr>
          <w:i/>
          <w:sz w:val="22"/>
          <w:szCs w:val="22"/>
        </w:rPr>
      </w:pPr>
      <w:r w:rsidRPr="007263CE">
        <w:rPr>
          <w:i/>
          <w:sz w:val="22"/>
          <w:szCs w:val="22"/>
        </w:rPr>
        <w:t>c)</w:t>
      </w:r>
      <w:r w:rsidRPr="007263CE">
        <w:rPr>
          <w:i/>
          <w:sz w:val="22"/>
          <w:szCs w:val="22"/>
        </w:rPr>
        <w:tab/>
        <w:t>Que sea exigible legalmente de manera incondicional ante un evento de incumplimiento de las obligaciones crediticias.</w:t>
      </w:r>
    </w:p>
    <w:p w14:paraId="443A358C" w14:textId="77777777" w:rsidR="002110AC" w:rsidRPr="007263CE" w:rsidRDefault="002110AC" w:rsidP="006D2BF7">
      <w:pPr>
        <w:jc w:val="both"/>
        <w:rPr>
          <w:i/>
          <w:sz w:val="22"/>
          <w:szCs w:val="22"/>
        </w:rPr>
      </w:pPr>
    </w:p>
    <w:p w14:paraId="6FB61FCA" w14:textId="028505C0" w:rsidR="006D2BF7" w:rsidRPr="003D2290" w:rsidRDefault="006D2BF7" w:rsidP="006D2BF7">
      <w:pPr>
        <w:jc w:val="both"/>
        <w:rPr>
          <w:sz w:val="22"/>
          <w:szCs w:val="22"/>
        </w:rPr>
      </w:pPr>
      <w:r w:rsidRPr="007263CE">
        <w:rPr>
          <w:i/>
          <w:sz w:val="22"/>
          <w:szCs w:val="22"/>
        </w:rPr>
        <w:t>Es responsabilidad de la entidad financiera, comprobar el cumplimiento de cada uno de los aspectos anteriores, antes de aplicar el efecto de mitigación de las garantías.</w:t>
      </w:r>
      <w:r w:rsidRPr="003D2290">
        <w:rPr>
          <w:sz w:val="22"/>
          <w:szCs w:val="22"/>
        </w:rPr>
        <w:t>”</w:t>
      </w:r>
    </w:p>
    <w:p w14:paraId="38EE87B0" w14:textId="77777777" w:rsidR="006D2BF7" w:rsidRPr="003D2290" w:rsidRDefault="006D2BF7" w:rsidP="006D2BF7">
      <w:pPr>
        <w:jc w:val="both"/>
        <w:rPr>
          <w:sz w:val="22"/>
          <w:szCs w:val="22"/>
        </w:rPr>
      </w:pPr>
    </w:p>
    <w:p w14:paraId="31D835CB" w14:textId="77777777" w:rsidR="006D2BF7" w:rsidRPr="003D2290" w:rsidRDefault="006D2BF7" w:rsidP="006D2BF7">
      <w:pPr>
        <w:ind w:left="426" w:hanging="426"/>
        <w:jc w:val="both"/>
        <w:rPr>
          <w:rFonts w:eastAsia="Calibri"/>
          <w:b/>
          <w:bCs/>
          <w:sz w:val="22"/>
          <w:szCs w:val="22"/>
        </w:rPr>
      </w:pPr>
      <w:r w:rsidRPr="003D2290">
        <w:rPr>
          <w:rFonts w:eastAsia="Calibri"/>
          <w:b/>
          <w:bCs/>
          <w:sz w:val="22"/>
          <w:szCs w:val="22"/>
        </w:rPr>
        <w:t>3.</w:t>
      </w:r>
      <w:r w:rsidRPr="003D2290">
        <w:rPr>
          <w:rFonts w:eastAsia="Calibri"/>
          <w:b/>
          <w:bCs/>
          <w:sz w:val="22"/>
          <w:szCs w:val="22"/>
        </w:rPr>
        <w:tab/>
        <w:t>Agregar el inciso c) al Artículo 21, Tratamiento para Avales, de acuerdo con el siguiente texto:</w:t>
      </w:r>
    </w:p>
    <w:p w14:paraId="0FC19399" w14:textId="77777777" w:rsidR="002110AC" w:rsidRDefault="002110AC" w:rsidP="006D2BF7">
      <w:pPr>
        <w:autoSpaceDE w:val="0"/>
        <w:autoSpaceDN w:val="0"/>
        <w:adjustRightInd w:val="0"/>
        <w:rPr>
          <w:sz w:val="22"/>
          <w:szCs w:val="22"/>
        </w:rPr>
      </w:pPr>
    </w:p>
    <w:p w14:paraId="4E9471D4" w14:textId="08250871" w:rsidR="006D2BF7" w:rsidRPr="007263CE" w:rsidRDefault="006D2BF7" w:rsidP="006D2BF7">
      <w:pPr>
        <w:autoSpaceDE w:val="0"/>
        <w:autoSpaceDN w:val="0"/>
        <w:adjustRightInd w:val="0"/>
        <w:rPr>
          <w:i/>
          <w:sz w:val="22"/>
          <w:szCs w:val="22"/>
        </w:rPr>
      </w:pPr>
      <w:r w:rsidRPr="003D2290">
        <w:rPr>
          <w:sz w:val="22"/>
          <w:szCs w:val="22"/>
        </w:rPr>
        <w:t>“</w:t>
      </w:r>
      <w:r w:rsidRPr="007263CE">
        <w:rPr>
          <w:i/>
          <w:sz w:val="22"/>
          <w:szCs w:val="22"/>
        </w:rPr>
        <w:t>c) En el caso de carta de crédito Stand-By emitida por entidad financiera de primer orden, se aplica la siguiente fórmula:</w:t>
      </w:r>
    </w:p>
    <w:p w14:paraId="2FDFBDFD" w14:textId="77777777" w:rsidR="006D2BF7" w:rsidRPr="007263CE" w:rsidRDefault="006D2BF7" w:rsidP="006D2BF7">
      <w:pPr>
        <w:autoSpaceDE w:val="0"/>
        <w:autoSpaceDN w:val="0"/>
        <w:adjustRightInd w:val="0"/>
        <w:rPr>
          <w:sz w:val="22"/>
          <w:szCs w:val="22"/>
        </w:rPr>
      </w:pPr>
    </w:p>
    <w:p w14:paraId="358862EF" w14:textId="77777777" w:rsidR="006D2BF7" w:rsidRPr="007263CE" w:rsidRDefault="006D2BF7" w:rsidP="006D2BF7">
      <w:pPr>
        <w:jc w:val="center"/>
        <w:rPr>
          <w:i/>
          <w:sz w:val="22"/>
          <w:szCs w:val="22"/>
        </w:rPr>
      </w:pPr>
      <w:r w:rsidRPr="007263CE">
        <w:rPr>
          <w:b/>
          <w:i/>
          <w:sz w:val="22"/>
          <w:szCs w:val="22"/>
        </w:rPr>
        <w:t>EC_EAD</w:t>
      </w:r>
      <w:r w:rsidRPr="007263CE">
        <w:rPr>
          <w:b/>
          <w:i/>
          <w:sz w:val="22"/>
          <w:szCs w:val="22"/>
          <w:vertAlign w:val="subscript"/>
        </w:rPr>
        <w:t>STBY</w:t>
      </w:r>
      <w:r w:rsidRPr="007263CE">
        <w:rPr>
          <w:b/>
          <w:i/>
          <w:sz w:val="22"/>
          <w:szCs w:val="22"/>
        </w:rPr>
        <w:t>=TI x [ EAD</w:t>
      </w:r>
      <w:r w:rsidRPr="007263CE">
        <w:rPr>
          <w:b/>
          <w:i/>
          <w:sz w:val="22"/>
          <w:szCs w:val="22"/>
          <w:vertAlign w:val="subscript"/>
        </w:rPr>
        <w:t>R</w:t>
      </w:r>
      <w:r w:rsidRPr="007263CE">
        <w:rPr>
          <w:b/>
          <w:i/>
          <w:sz w:val="22"/>
          <w:szCs w:val="22"/>
        </w:rPr>
        <w:t xml:space="preserve"> - 90% x min</w:t>
      </w:r>
      <w:r w:rsidRPr="007263CE">
        <w:rPr>
          <w:b/>
          <w:i/>
          <w:sz w:val="22"/>
          <w:szCs w:val="22"/>
        </w:rPr>
        <w:sym w:font="Symbol" w:char="F07B"/>
      </w:r>
      <w:r w:rsidRPr="007263CE">
        <w:rPr>
          <w:b/>
          <w:i/>
          <w:sz w:val="22"/>
          <w:szCs w:val="22"/>
        </w:rPr>
        <w:t xml:space="preserve"> </w:t>
      </w:r>
      <w:proofErr w:type="gramStart"/>
      <w:r w:rsidRPr="007263CE">
        <w:rPr>
          <w:b/>
          <w:i/>
          <w:sz w:val="22"/>
          <w:szCs w:val="22"/>
        </w:rPr>
        <w:t>EAD</w:t>
      </w:r>
      <w:r w:rsidRPr="007263CE">
        <w:rPr>
          <w:b/>
          <w:i/>
          <w:sz w:val="22"/>
          <w:szCs w:val="22"/>
          <w:vertAlign w:val="subscript"/>
        </w:rPr>
        <w:t xml:space="preserve">R </w:t>
      </w:r>
      <w:r w:rsidRPr="007263CE">
        <w:rPr>
          <w:b/>
          <w:i/>
          <w:sz w:val="22"/>
          <w:szCs w:val="22"/>
        </w:rPr>
        <w:t>,</w:t>
      </w:r>
      <w:proofErr w:type="gramEnd"/>
      <w:r w:rsidRPr="007263CE">
        <w:rPr>
          <w:b/>
          <w:i/>
          <w:sz w:val="22"/>
          <w:szCs w:val="22"/>
        </w:rPr>
        <w:t xml:space="preserve"> Monto Avalado</w:t>
      </w:r>
      <w:r w:rsidRPr="007263CE">
        <w:rPr>
          <w:b/>
          <w:i/>
          <w:sz w:val="22"/>
          <w:szCs w:val="22"/>
        </w:rPr>
        <w:sym w:font="Symbol" w:char="F07D"/>
      </w:r>
      <w:r w:rsidRPr="007263CE">
        <w:rPr>
          <w:b/>
          <w:i/>
          <w:sz w:val="22"/>
          <w:szCs w:val="22"/>
        </w:rPr>
        <w:t xml:space="preserve"> + γ x [ 90% x min </w:t>
      </w:r>
      <w:r w:rsidRPr="007263CE">
        <w:rPr>
          <w:b/>
          <w:i/>
          <w:sz w:val="22"/>
          <w:szCs w:val="22"/>
        </w:rPr>
        <w:sym w:font="Symbol" w:char="F07B"/>
      </w:r>
      <w:r w:rsidRPr="007263CE">
        <w:rPr>
          <w:b/>
          <w:i/>
          <w:sz w:val="22"/>
          <w:szCs w:val="22"/>
        </w:rPr>
        <w:t xml:space="preserve"> EAD</w:t>
      </w:r>
      <w:r w:rsidRPr="007263CE">
        <w:rPr>
          <w:b/>
          <w:i/>
          <w:sz w:val="22"/>
          <w:szCs w:val="22"/>
          <w:vertAlign w:val="subscript"/>
        </w:rPr>
        <w:t xml:space="preserve">R </w:t>
      </w:r>
      <w:r w:rsidRPr="007263CE">
        <w:rPr>
          <w:b/>
          <w:i/>
          <w:sz w:val="22"/>
          <w:szCs w:val="22"/>
        </w:rPr>
        <w:t>, Monto Avalado</w:t>
      </w:r>
      <w:r w:rsidRPr="007263CE">
        <w:rPr>
          <w:b/>
          <w:i/>
          <w:sz w:val="22"/>
          <w:szCs w:val="22"/>
        </w:rPr>
        <w:sym w:font="Symbol" w:char="F07D"/>
      </w:r>
      <w:r w:rsidRPr="007263CE">
        <w:rPr>
          <w:b/>
          <w:i/>
          <w:sz w:val="22"/>
          <w:szCs w:val="22"/>
        </w:rPr>
        <w:t xml:space="preserve"> ]</w:t>
      </w:r>
    </w:p>
    <w:p w14:paraId="4C48445D" w14:textId="77777777" w:rsidR="006D2BF7" w:rsidRPr="007263CE" w:rsidRDefault="006D2BF7" w:rsidP="006D2BF7">
      <w:pPr>
        <w:jc w:val="both"/>
        <w:rPr>
          <w:i/>
          <w:sz w:val="22"/>
          <w:szCs w:val="22"/>
        </w:rPr>
      </w:pPr>
    </w:p>
    <w:p w14:paraId="0B737FF3" w14:textId="77777777" w:rsidR="006D2BF7" w:rsidRPr="007263CE" w:rsidRDefault="006D2BF7" w:rsidP="006D2BF7">
      <w:pPr>
        <w:jc w:val="both"/>
        <w:rPr>
          <w:i/>
          <w:sz w:val="22"/>
          <w:szCs w:val="22"/>
        </w:rPr>
      </w:pPr>
      <w:r w:rsidRPr="007263CE">
        <w:rPr>
          <w:i/>
          <w:sz w:val="22"/>
          <w:szCs w:val="22"/>
        </w:rPr>
        <w:t>Donde:</w:t>
      </w:r>
    </w:p>
    <w:p w14:paraId="690050C9" w14:textId="77777777" w:rsidR="006D2BF7" w:rsidRPr="007263CE" w:rsidRDefault="006D2BF7" w:rsidP="006D2BF7">
      <w:pPr>
        <w:jc w:val="both"/>
        <w:rPr>
          <w:i/>
          <w:sz w:val="22"/>
          <w:szCs w:val="22"/>
        </w:rPr>
      </w:pPr>
      <w:r w:rsidRPr="007263CE">
        <w:rPr>
          <w:b/>
          <w:i/>
          <w:sz w:val="22"/>
          <w:szCs w:val="22"/>
        </w:rPr>
        <w:t>EC_EAD</w:t>
      </w:r>
      <w:r w:rsidRPr="007263CE">
        <w:rPr>
          <w:b/>
          <w:i/>
          <w:sz w:val="22"/>
          <w:szCs w:val="22"/>
          <w:vertAlign w:val="subscript"/>
        </w:rPr>
        <w:t>STBY</w:t>
      </w:r>
      <w:r w:rsidRPr="007263CE">
        <w:rPr>
          <w:b/>
          <w:i/>
          <w:sz w:val="22"/>
          <w:szCs w:val="22"/>
        </w:rPr>
        <w:t xml:space="preserve"> </w:t>
      </w:r>
      <w:r w:rsidRPr="007263CE">
        <w:rPr>
          <w:i/>
          <w:sz w:val="22"/>
          <w:szCs w:val="22"/>
        </w:rPr>
        <w:t>= Estimación crediticia para la exposición en caso de incumplimiento considerando Cartas de Crédito Stand-by, segmentada en la parte descubierta y la parte cubierta.</w:t>
      </w:r>
    </w:p>
    <w:p w14:paraId="4C28221C" w14:textId="77777777" w:rsidR="006D2BF7" w:rsidRPr="007263CE" w:rsidRDefault="006D2BF7" w:rsidP="006D2BF7">
      <w:pPr>
        <w:jc w:val="both"/>
        <w:rPr>
          <w:i/>
          <w:sz w:val="22"/>
          <w:szCs w:val="22"/>
        </w:rPr>
      </w:pPr>
      <w:r w:rsidRPr="007263CE">
        <w:rPr>
          <w:b/>
          <w:i/>
          <w:sz w:val="22"/>
          <w:szCs w:val="22"/>
        </w:rPr>
        <w:t>EAD</w:t>
      </w:r>
      <w:r w:rsidRPr="007263CE">
        <w:rPr>
          <w:b/>
          <w:i/>
          <w:sz w:val="22"/>
          <w:szCs w:val="22"/>
          <w:vertAlign w:val="subscript"/>
        </w:rPr>
        <w:t xml:space="preserve">R </w:t>
      </w:r>
      <w:r w:rsidRPr="007263CE">
        <w:rPr>
          <w:i/>
          <w:sz w:val="22"/>
          <w:szCs w:val="22"/>
        </w:rPr>
        <w:t xml:space="preserve">= Exposición en caso de incumplimiento, regulatoria. </w:t>
      </w:r>
    </w:p>
    <w:p w14:paraId="3AB16603" w14:textId="77777777" w:rsidR="006D2BF7" w:rsidRPr="007263CE" w:rsidRDefault="006D2BF7" w:rsidP="006D2BF7">
      <w:pPr>
        <w:jc w:val="both"/>
        <w:rPr>
          <w:i/>
          <w:sz w:val="22"/>
          <w:szCs w:val="22"/>
        </w:rPr>
      </w:pPr>
      <w:r w:rsidRPr="007263CE">
        <w:rPr>
          <w:i/>
          <w:sz w:val="22"/>
          <w:szCs w:val="22"/>
        </w:rPr>
        <w:t>TI=Tasa de incumplimiento del deudor u operación.</w:t>
      </w:r>
    </w:p>
    <w:p w14:paraId="42A352C3" w14:textId="77777777" w:rsidR="006D2BF7" w:rsidRPr="007263CE" w:rsidRDefault="006D2BF7" w:rsidP="006D2BF7">
      <w:pPr>
        <w:jc w:val="both"/>
        <w:rPr>
          <w:i/>
          <w:sz w:val="22"/>
          <w:szCs w:val="22"/>
        </w:rPr>
      </w:pPr>
      <w:r w:rsidRPr="007263CE">
        <w:rPr>
          <w:b/>
          <w:i/>
          <w:sz w:val="22"/>
          <w:szCs w:val="22"/>
        </w:rPr>
        <w:t xml:space="preserve">γ </w:t>
      </w:r>
      <w:r w:rsidRPr="007263CE">
        <w:rPr>
          <w:i/>
          <w:sz w:val="22"/>
          <w:szCs w:val="22"/>
        </w:rPr>
        <w:t>= Corresponde al porcentaje indicado en las siguientes tablas.</w:t>
      </w:r>
    </w:p>
    <w:p w14:paraId="0EAADC3C" w14:textId="77777777" w:rsidR="006D2BF7" w:rsidRPr="003D2290" w:rsidRDefault="006D2BF7" w:rsidP="006D2BF7">
      <w:pPr>
        <w:jc w:val="both"/>
        <w:rPr>
          <w:sz w:val="22"/>
          <w:szCs w:val="22"/>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67"/>
        <w:gridCol w:w="1559"/>
        <w:gridCol w:w="1560"/>
        <w:gridCol w:w="1417"/>
        <w:gridCol w:w="1843"/>
      </w:tblGrid>
      <w:tr w:rsidR="006D2BF7" w:rsidRPr="003D2290" w14:paraId="138B99C9" w14:textId="77777777" w:rsidTr="002110AC">
        <w:trPr>
          <w:trHeight w:val="584"/>
        </w:trPr>
        <w:tc>
          <w:tcPr>
            <w:tcW w:w="2967" w:type="dxa"/>
            <w:shd w:val="clear" w:color="auto" w:fill="4A66AC"/>
            <w:tcMar>
              <w:top w:w="72" w:type="dxa"/>
              <w:left w:w="144" w:type="dxa"/>
              <w:bottom w:w="72" w:type="dxa"/>
              <w:right w:w="144" w:type="dxa"/>
            </w:tcMar>
            <w:hideMark/>
          </w:tcPr>
          <w:p w14:paraId="4BCF91A9" w14:textId="77777777" w:rsidR="006D2BF7" w:rsidRPr="003D2290" w:rsidRDefault="006D2BF7" w:rsidP="00DF11A6">
            <w:pPr>
              <w:jc w:val="center"/>
              <w:rPr>
                <w:color w:val="FFFFFF" w:themeColor="background1"/>
                <w:sz w:val="22"/>
                <w:szCs w:val="22"/>
              </w:rPr>
            </w:pPr>
            <w:r w:rsidRPr="003D2290">
              <w:rPr>
                <w:b/>
                <w:bCs/>
                <w:color w:val="FFFFFF" w:themeColor="background1"/>
                <w:sz w:val="22"/>
                <w:szCs w:val="22"/>
              </w:rPr>
              <w:t>Instrumento Mitigador</w:t>
            </w:r>
          </w:p>
        </w:tc>
        <w:tc>
          <w:tcPr>
            <w:tcW w:w="6379" w:type="dxa"/>
            <w:gridSpan w:val="4"/>
            <w:shd w:val="clear" w:color="auto" w:fill="4A66AC"/>
            <w:tcMar>
              <w:top w:w="72" w:type="dxa"/>
              <w:left w:w="144" w:type="dxa"/>
              <w:bottom w:w="72" w:type="dxa"/>
              <w:right w:w="144" w:type="dxa"/>
            </w:tcMar>
            <w:vAlign w:val="center"/>
            <w:hideMark/>
          </w:tcPr>
          <w:p w14:paraId="7513CC25" w14:textId="77777777" w:rsidR="006D2BF7" w:rsidRPr="003D2290" w:rsidRDefault="006D2BF7" w:rsidP="00DF11A6">
            <w:pPr>
              <w:jc w:val="center"/>
              <w:rPr>
                <w:color w:val="FFFFFF" w:themeColor="background1"/>
                <w:sz w:val="22"/>
                <w:szCs w:val="22"/>
              </w:rPr>
            </w:pPr>
            <w:r w:rsidRPr="003D2290">
              <w:rPr>
                <w:b/>
                <w:bCs/>
                <w:color w:val="FFFFFF" w:themeColor="background1"/>
                <w:sz w:val="22"/>
                <w:szCs w:val="22"/>
              </w:rPr>
              <w:t xml:space="preserve">Carta de Crédito </w:t>
            </w:r>
            <w:r w:rsidRPr="003D2290">
              <w:rPr>
                <w:b/>
                <w:bCs/>
                <w:i/>
                <w:iCs/>
                <w:color w:val="FFFFFF" w:themeColor="background1"/>
                <w:sz w:val="22"/>
                <w:szCs w:val="22"/>
              </w:rPr>
              <w:t xml:space="preserve">Stand-by </w:t>
            </w:r>
            <w:r w:rsidRPr="003D2290">
              <w:rPr>
                <w:b/>
                <w:bCs/>
                <w:color w:val="FFFFFF" w:themeColor="background1"/>
                <w:sz w:val="22"/>
                <w:szCs w:val="22"/>
              </w:rPr>
              <w:t>emitida por entidad financiera internacional</w:t>
            </w:r>
          </w:p>
        </w:tc>
      </w:tr>
      <w:tr w:rsidR="006D2BF7" w:rsidRPr="003D2290" w14:paraId="46CBC101" w14:textId="77777777" w:rsidTr="002110AC">
        <w:trPr>
          <w:trHeight w:val="584"/>
        </w:trPr>
        <w:tc>
          <w:tcPr>
            <w:tcW w:w="2967" w:type="dxa"/>
            <w:shd w:val="clear" w:color="auto" w:fill="D0D3E3"/>
            <w:tcMar>
              <w:top w:w="72" w:type="dxa"/>
              <w:left w:w="144" w:type="dxa"/>
              <w:bottom w:w="72" w:type="dxa"/>
              <w:right w:w="144" w:type="dxa"/>
            </w:tcMar>
            <w:hideMark/>
          </w:tcPr>
          <w:p w14:paraId="6D976EB0" w14:textId="77777777" w:rsidR="006D2BF7" w:rsidRPr="003D2290" w:rsidRDefault="006D2BF7" w:rsidP="00DF11A6">
            <w:pPr>
              <w:jc w:val="both"/>
              <w:rPr>
                <w:sz w:val="22"/>
                <w:szCs w:val="22"/>
              </w:rPr>
            </w:pPr>
            <w:r w:rsidRPr="003D2290">
              <w:rPr>
                <w:sz w:val="22"/>
                <w:szCs w:val="22"/>
              </w:rPr>
              <w:t>Calificación emitida por Agencia Calificadora Internacional</w:t>
            </w:r>
          </w:p>
        </w:tc>
        <w:tc>
          <w:tcPr>
            <w:tcW w:w="1559" w:type="dxa"/>
            <w:shd w:val="clear" w:color="auto" w:fill="D0D3E3"/>
            <w:tcMar>
              <w:top w:w="72" w:type="dxa"/>
              <w:left w:w="144" w:type="dxa"/>
              <w:bottom w:w="72" w:type="dxa"/>
              <w:right w:w="144" w:type="dxa"/>
            </w:tcMar>
            <w:hideMark/>
          </w:tcPr>
          <w:p w14:paraId="657E3864" w14:textId="77777777" w:rsidR="006D2BF7" w:rsidRPr="003D2290" w:rsidRDefault="006D2BF7" w:rsidP="00DF11A6">
            <w:pPr>
              <w:jc w:val="both"/>
              <w:rPr>
                <w:sz w:val="22"/>
                <w:szCs w:val="22"/>
              </w:rPr>
            </w:pPr>
            <w:r w:rsidRPr="003D2290">
              <w:rPr>
                <w:sz w:val="22"/>
                <w:szCs w:val="22"/>
                <w:lang w:val="en-US"/>
              </w:rPr>
              <w:t>AAA a BBB-</w:t>
            </w:r>
          </w:p>
        </w:tc>
        <w:tc>
          <w:tcPr>
            <w:tcW w:w="1560" w:type="dxa"/>
            <w:shd w:val="clear" w:color="auto" w:fill="D0D3E3"/>
            <w:tcMar>
              <w:top w:w="72" w:type="dxa"/>
              <w:left w:w="144" w:type="dxa"/>
              <w:bottom w:w="72" w:type="dxa"/>
              <w:right w:w="144" w:type="dxa"/>
            </w:tcMar>
            <w:hideMark/>
          </w:tcPr>
          <w:p w14:paraId="3646483E" w14:textId="77777777" w:rsidR="006D2BF7" w:rsidRPr="003D2290" w:rsidRDefault="006D2BF7" w:rsidP="00DF11A6">
            <w:pPr>
              <w:jc w:val="both"/>
              <w:rPr>
                <w:sz w:val="22"/>
                <w:szCs w:val="22"/>
              </w:rPr>
            </w:pPr>
            <w:r w:rsidRPr="003D2290">
              <w:rPr>
                <w:sz w:val="22"/>
                <w:szCs w:val="22"/>
                <w:lang w:val="en-US"/>
              </w:rPr>
              <w:t>BB+ a BB-</w:t>
            </w:r>
          </w:p>
        </w:tc>
        <w:tc>
          <w:tcPr>
            <w:tcW w:w="1417" w:type="dxa"/>
            <w:shd w:val="clear" w:color="auto" w:fill="D0D3E3"/>
            <w:tcMar>
              <w:top w:w="72" w:type="dxa"/>
              <w:left w:w="144" w:type="dxa"/>
              <w:bottom w:w="72" w:type="dxa"/>
              <w:right w:w="144" w:type="dxa"/>
            </w:tcMar>
            <w:hideMark/>
          </w:tcPr>
          <w:p w14:paraId="414E4C4A" w14:textId="77777777" w:rsidR="006D2BF7" w:rsidRPr="003D2290" w:rsidRDefault="006D2BF7" w:rsidP="00DF11A6">
            <w:pPr>
              <w:jc w:val="both"/>
              <w:rPr>
                <w:sz w:val="22"/>
                <w:szCs w:val="22"/>
              </w:rPr>
            </w:pPr>
            <w:r w:rsidRPr="003D2290">
              <w:rPr>
                <w:sz w:val="22"/>
                <w:szCs w:val="22"/>
                <w:lang w:val="en-US"/>
              </w:rPr>
              <w:t>B+ a B-</w:t>
            </w:r>
          </w:p>
        </w:tc>
        <w:tc>
          <w:tcPr>
            <w:tcW w:w="1843" w:type="dxa"/>
            <w:shd w:val="clear" w:color="auto" w:fill="D0D3E3"/>
            <w:tcMar>
              <w:top w:w="72" w:type="dxa"/>
              <w:left w:w="144" w:type="dxa"/>
              <w:bottom w:w="72" w:type="dxa"/>
              <w:right w:w="144" w:type="dxa"/>
            </w:tcMar>
            <w:hideMark/>
          </w:tcPr>
          <w:p w14:paraId="73D17D95" w14:textId="77777777" w:rsidR="006D2BF7" w:rsidRPr="003D2290" w:rsidRDefault="006D2BF7" w:rsidP="00DF11A6">
            <w:pPr>
              <w:jc w:val="both"/>
              <w:rPr>
                <w:sz w:val="22"/>
                <w:szCs w:val="22"/>
              </w:rPr>
            </w:pPr>
            <w:r w:rsidRPr="003D2290">
              <w:rPr>
                <w:sz w:val="22"/>
                <w:szCs w:val="22"/>
              </w:rPr>
              <w:t>CCC o peor, o no calificado</w:t>
            </w:r>
          </w:p>
        </w:tc>
      </w:tr>
      <w:tr w:rsidR="006D2BF7" w:rsidRPr="003D2290" w14:paraId="47AF5D31" w14:textId="77777777" w:rsidTr="002110AC">
        <w:trPr>
          <w:trHeight w:val="584"/>
        </w:trPr>
        <w:tc>
          <w:tcPr>
            <w:tcW w:w="2967" w:type="dxa"/>
            <w:shd w:val="clear" w:color="auto" w:fill="E9EAF1"/>
            <w:tcMar>
              <w:top w:w="72" w:type="dxa"/>
              <w:left w:w="144" w:type="dxa"/>
              <w:bottom w:w="72" w:type="dxa"/>
              <w:right w:w="144" w:type="dxa"/>
            </w:tcMar>
            <w:hideMark/>
          </w:tcPr>
          <w:p w14:paraId="11B81138" w14:textId="77777777" w:rsidR="006D2BF7" w:rsidRPr="003D2290" w:rsidRDefault="006D2BF7" w:rsidP="00DF11A6">
            <w:pPr>
              <w:jc w:val="both"/>
              <w:rPr>
                <w:sz w:val="22"/>
                <w:szCs w:val="22"/>
              </w:rPr>
            </w:pPr>
            <w:r w:rsidRPr="003D2290">
              <w:rPr>
                <w:sz w:val="22"/>
                <w:szCs w:val="22"/>
              </w:rPr>
              <w:lastRenderedPageBreak/>
              <w:t xml:space="preserve">Factor </w:t>
            </w:r>
            <w:r w:rsidRPr="003D2290">
              <w:rPr>
                <w:b/>
                <w:bCs/>
                <w:i/>
                <w:iCs/>
                <w:sz w:val="22"/>
                <w:szCs w:val="22"/>
              </w:rPr>
              <w:t xml:space="preserve">γ </w:t>
            </w:r>
          </w:p>
        </w:tc>
        <w:tc>
          <w:tcPr>
            <w:tcW w:w="1559" w:type="dxa"/>
            <w:shd w:val="clear" w:color="auto" w:fill="E9EAF1"/>
            <w:tcMar>
              <w:top w:w="72" w:type="dxa"/>
              <w:left w:w="144" w:type="dxa"/>
              <w:bottom w:w="72" w:type="dxa"/>
              <w:right w:w="144" w:type="dxa"/>
            </w:tcMar>
            <w:hideMark/>
          </w:tcPr>
          <w:p w14:paraId="5D793A41" w14:textId="77777777" w:rsidR="006D2BF7" w:rsidRPr="003D2290" w:rsidRDefault="006D2BF7" w:rsidP="00DF11A6">
            <w:pPr>
              <w:jc w:val="center"/>
              <w:rPr>
                <w:sz w:val="22"/>
                <w:szCs w:val="22"/>
              </w:rPr>
            </w:pPr>
            <w:r w:rsidRPr="003D2290">
              <w:rPr>
                <w:sz w:val="22"/>
                <w:szCs w:val="22"/>
                <w:lang w:val="en-US"/>
              </w:rPr>
              <w:t>0,5%</w:t>
            </w:r>
          </w:p>
        </w:tc>
        <w:tc>
          <w:tcPr>
            <w:tcW w:w="1560" w:type="dxa"/>
            <w:shd w:val="clear" w:color="auto" w:fill="E9EAF1"/>
            <w:tcMar>
              <w:top w:w="72" w:type="dxa"/>
              <w:left w:w="144" w:type="dxa"/>
              <w:bottom w:w="72" w:type="dxa"/>
              <w:right w:w="144" w:type="dxa"/>
            </w:tcMar>
            <w:hideMark/>
          </w:tcPr>
          <w:p w14:paraId="0EBCB033" w14:textId="77777777" w:rsidR="006D2BF7" w:rsidRPr="003D2290" w:rsidRDefault="006D2BF7" w:rsidP="00DF11A6">
            <w:pPr>
              <w:jc w:val="center"/>
              <w:rPr>
                <w:sz w:val="22"/>
                <w:szCs w:val="22"/>
              </w:rPr>
            </w:pPr>
            <w:r w:rsidRPr="003D2290">
              <w:rPr>
                <w:sz w:val="22"/>
                <w:szCs w:val="22"/>
                <w:lang w:val="en-US"/>
              </w:rPr>
              <w:t>5%</w:t>
            </w:r>
          </w:p>
        </w:tc>
        <w:tc>
          <w:tcPr>
            <w:tcW w:w="1417" w:type="dxa"/>
            <w:shd w:val="clear" w:color="auto" w:fill="E9EAF1"/>
            <w:tcMar>
              <w:top w:w="72" w:type="dxa"/>
              <w:left w:w="144" w:type="dxa"/>
              <w:bottom w:w="72" w:type="dxa"/>
              <w:right w:w="144" w:type="dxa"/>
            </w:tcMar>
            <w:hideMark/>
          </w:tcPr>
          <w:p w14:paraId="77C04D2C" w14:textId="77777777" w:rsidR="006D2BF7" w:rsidRPr="003D2290" w:rsidRDefault="006D2BF7" w:rsidP="00DF11A6">
            <w:pPr>
              <w:jc w:val="center"/>
              <w:rPr>
                <w:sz w:val="22"/>
                <w:szCs w:val="22"/>
              </w:rPr>
            </w:pPr>
            <w:r w:rsidRPr="003D2290">
              <w:rPr>
                <w:sz w:val="22"/>
                <w:szCs w:val="22"/>
                <w:lang w:val="en-US"/>
              </w:rPr>
              <w:t>10%</w:t>
            </w:r>
          </w:p>
        </w:tc>
        <w:tc>
          <w:tcPr>
            <w:tcW w:w="1843" w:type="dxa"/>
            <w:shd w:val="clear" w:color="auto" w:fill="E9EAF1"/>
            <w:tcMar>
              <w:top w:w="72" w:type="dxa"/>
              <w:left w:w="144" w:type="dxa"/>
              <w:bottom w:w="72" w:type="dxa"/>
              <w:right w:w="144" w:type="dxa"/>
            </w:tcMar>
            <w:hideMark/>
          </w:tcPr>
          <w:p w14:paraId="275D771D" w14:textId="77777777" w:rsidR="006D2BF7" w:rsidRPr="003D2290" w:rsidRDefault="006D2BF7" w:rsidP="00DF11A6">
            <w:pPr>
              <w:jc w:val="center"/>
              <w:rPr>
                <w:sz w:val="22"/>
                <w:szCs w:val="22"/>
              </w:rPr>
            </w:pPr>
            <w:r w:rsidRPr="003D2290">
              <w:rPr>
                <w:sz w:val="22"/>
                <w:szCs w:val="22"/>
                <w:lang w:val="en-US"/>
              </w:rPr>
              <w:t>100%</w:t>
            </w:r>
          </w:p>
        </w:tc>
      </w:tr>
    </w:tbl>
    <w:p w14:paraId="2D96E97C" w14:textId="77777777" w:rsidR="006D2BF7" w:rsidRPr="003D2290" w:rsidRDefault="006D2BF7" w:rsidP="006D2BF7">
      <w:pPr>
        <w:jc w:val="both"/>
        <w:rPr>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67"/>
        <w:gridCol w:w="1134"/>
        <w:gridCol w:w="992"/>
        <w:gridCol w:w="1134"/>
        <w:gridCol w:w="1134"/>
        <w:gridCol w:w="1634"/>
      </w:tblGrid>
      <w:tr w:rsidR="006D2BF7" w:rsidRPr="003D2290" w14:paraId="7FD8825E" w14:textId="77777777" w:rsidTr="002110AC">
        <w:trPr>
          <w:trHeight w:val="584"/>
        </w:trPr>
        <w:tc>
          <w:tcPr>
            <w:tcW w:w="2967" w:type="dxa"/>
            <w:shd w:val="clear" w:color="auto" w:fill="4A66AC"/>
            <w:tcMar>
              <w:top w:w="72" w:type="dxa"/>
              <w:left w:w="144" w:type="dxa"/>
              <w:bottom w:w="72" w:type="dxa"/>
              <w:right w:w="144" w:type="dxa"/>
            </w:tcMar>
            <w:hideMark/>
          </w:tcPr>
          <w:p w14:paraId="1187F4DE" w14:textId="77777777" w:rsidR="006D2BF7" w:rsidRPr="003D2290" w:rsidRDefault="006D2BF7" w:rsidP="00DF11A6">
            <w:pPr>
              <w:jc w:val="both"/>
              <w:rPr>
                <w:color w:val="FFFFFF" w:themeColor="background1"/>
                <w:sz w:val="22"/>
                <w:szCs w:val="22"/>
              </w:rPr>
            </w:pPr>
            <w:r w:rsidRPr="003D2290">
              <w:rPr>
                <w:b/>
                <w:bCs/>
                <w:color w:val="FFFFFF" w:themeColor="background1"/>
                <w:sz w:val="22"/>
                <w:szCs w:val="22"/>
              </w:rPr>
              <w:t>Instrumento Mitigador</w:t>
            </w:r>
          </w:p>
        </w:tc>
        <w:tc>
          <w:tcPr>
            <w:tcW w:w="6028" w:type="dxa"/>
            <w:gridSpan w:val="5"/>
            <w:shd w:val="clear" w:color="auto" w:fill="4A66AC"/>
            <w:tcMar>
              <w:top w:w="72" w:type="dxa"/>
              <w:left w:w="144" w:type="dxa"/>
              <w:bottom w:w="72" w:type="dxa"/>
              <w:right w:w="144" w:type="dxa"/>
            </w:tcMar>
            <w:vAlign w:val="center"/>
            <w:hideMark/>
          </w:tcPr>
          <w:p w14:paraId="27C9B2AE" w14:textId="77777777" w:rsidR="006D2BF7" w:rsidRPr="003D2290" w:rsidRDefault="006D2BF7" w:rsidP="00DF11A6">
            <w:pPr>
              <w:jc w:val="center"/>
              <w:rPr>
                <w:color w:val="FFFFFF" w:themeColor="background1"/>
                <w:sz w:val="22"/>
                <w:szCs w:val="22"/>
              </w:rPr>
            </w:pPr>
            <w:r w:rsidRPr="003D2290">
              <w:rPr>
                <w:b/>
                <w:bCs/>
                <w:color w:val="FFFFFF" w:themeColor="background1"/>
                <w:sz w:val="22"/>
                <w:szCs w:val="22"/>
              </w:rPr>
              <w:t>Carta de Crédito Stand-by emitida por entidad financiera supervisada por SUGEF</w:t>
            </w:r>
          </w:p>
        </w:tc>
      </w:tr>
      <w:tr w:rsidR="006D2BF7" w:rsidRPr="003D2290" w14:paraId="5D3B7BB5" w14:textId="77777777" w:rsidTr="002110AC">
        <w:trPr>
          <w:trHeight w:val="584"/>
        </w:trPr>
        <w:tc>
          <w:tcPr>
            <w:tcW w:w="2967" w:type="dxa"/>
            <w:shd w:val="clear" w:color="auto" w:fill="D0D3E3"/>
            <w:tcMar>
              <w:top w:w="72" w:type="dxa"/>
              <w:left w:w="144" w:type="dxa"/>
              <w:bottom w:w="72" w:type="dxa"/>
              <w:right w:w="144" w:type="dxa"/>
            </w:tcMar>
            <w:hideMark/>
          </w:tcPr>
          <w:p w14:paraId="300E4317" w14:textId="77777777" w:rsidR="006D2BF7" w:rsidRPr="003D2290" w:rsidRDefault="006D2BF7" w:rsidP="00DF11A6">
            <w:pPr>
              <w:jc w:val="both"/>
              <w:rPr>
                <w:sz w:val="22"/>
                <w:szCs w:val="22"/>
              </w:rPr>
            </w:pPr>
            <w:r w:rsidRPr="003D2290">
              <w:rPr>
                <w:sz w:val="22"/>
                <w:szCs w:val="22"/>
              </w:rPr>
              <w:t>Categoría de Riesgo</w:t>
            </w:r>
          </w:p>
          <w:p w14:paraId="2E309569" w14:textId="77777777" w:rsidR="006D2BF7" w:rsidRPr="003D2290" w:rsidRDefault="006D2BF7" w:rsidP="00DF11A6">
            <w:pPr>
              <w:jc w:val="both"/>
              <w:rPr>
                <w:sz w:val="22"/>
                <w:szCs w:val="22"/>
              </w:rPr>
            </w:pPr>
            <w:r w:rsidRPr="003D2290">
              <w:rPr>
                <w:sz w:val="22"/>
                <w:szCs w:val="22"/>
              </w:rPr>
              <w:t>Según criterios para Empresarial 1</w:t>
            </w:r>
          </w:p>
        </w:tc>
        <w:tc>
          <w:tcPr>
            <w:tcW w:w="1134" w:type="dxa"/>
            <w:shd w:val="clear" w:color="auto" w:fill="D0D3E3"/>
            <w:tcMar>
              <w:top w:w="72" w:type="dxa"/>
              <w:left w:w="144" w:type="dxa"/>
              <w:bottom w:w="72" w:type="dxa"/>
              <w:right w:w="144" w:type="dxa"/>
            </w:tcMar>
            <w:hideMark/>
          </w:tcPr>
          <w:p w14:paraId="18E09EA2" w14:textId="77777777" w:rsidR="006D2BF7" w:rsidRPr="003D2290" w:rsidRDefault="006D2BF7" w:rsidP="00DF11A6">
            <w:pPr>
              <w:jc w:val="center"/>
              <w:rPr>
                <w:sz w:val="22"/>
                <w:szCs w:val="22"/>
              </w:rPr>
            </w:pPr>
            <w:r w:rsidRPr="003D2290">
              <w:rPr>
                <w:sz w:val="22"/>
                <w:szCs w:val="22"/>
                <w:lang w:val="en-US"/>
              </w:rPr>
              <w:t>1</w:t>
            </w:r>
          </w:p>
        </w:tc>
        <w:tc>
          <w:tcPr>
            <w:tcW w:w="992" w:type="dxa"/>
            <w:shd w:val="clear" w:color="auto" w:fill="D0D3E3"/>
            <w:tcMar>
              <w:top w:w="72" w:type="dxa"/>
              <w:left w:w="144" w:type="dxa"/>
              <w:bottom w:w="72" w:type="dxa"/>
              <w:right w:w="144" w:type="dxa"/>
            </w:tcMar>
            <w:hideMark/>
          </w:tcPr>
          <w:p w14:paraId="7C327D3F" w14:textId="77777777" w:rsidR="006D2BF7" w:rsidRPr="003D2290" w:rsidRDefault="006D2BF7" w:rsidP="00DF11A6">
            <w:pPr>
              <w:jc w:val="center"/>
              <w:rPr>
                <w:sz w:val="22"/>
                <w:szCs w:val="22"/>
              </w:rPr>
            </w:pPr>
            <w:r w:rsidRPr="003D2290">
              <w:rPr>
                <w:sz w:val="22"/>
                <w:szCs w:val="22"/>
                <w:lang w:val="en-US"/>
              </w:rPr>
              <w:t>2</w:t>
            </w:r>
          </w:p>
        </w:tc>
        <w:tc>
          <w:tcPr>
            <w:tcW w:w="1134" w:type="dxa"/>
            <w:shd w:val="clear" w:color="auto" w:fill="D0D3E3"/>
            <w:tcMar>
              <w:top w:w="72" w:type="dxa"/>
              <w:left w:w="144" w:type="dxa"/>
              <w:bottom w:w="72" w:type="dxa"/>
              <w:right w:w="144" w:type="dxa"/>
            </w:tcMar>
            <w:hideMark/>
          </w:tcPr>
          <w:p w14:paraId="37FBD645" w14:textId="77777777" w:rsidR="006D2BF7" w:rsidRPr="003D2290" w:rsidRDefault="006D2BF7" w:rsidP="00DF11A6">
            <w:pPr>
              <w:jc w:val="center"/>
              <w:rPr>
                <w:sz w:val="22"/>
                <w:szCs w:val="22"/>
              </w:rPr>
            </w:pPr>
            <w:r w:rsidRPr="003D2290">
              <w:rPr>
                <w:sz w:val="22"/>
                <w:szCs w:val="22"/>
                <w:lang w:val="en-US"/>
              </w:rPr>
              <w:t>3</w:t>
            </w:r>
          </w:p>
        </w:tc>
        <w:tc>
          <w:tcPr>
            <w:tcW w:w="1134" w:type="dxa"/>
            <w:shd w:val="clear" w:color="auto" w:fill="D0D3E3"/>
            <w:tcMar>
              <w:top w:w="72" w:type="dxa"/>
              <w:left w:w="144" w:type="dxa"/>
              <w:bottom w:w="72" w:type="dxa"/>
              <w:right w:w="144" w:type="dxa"/>
            </w:tcMar>
            <w:hideMark/>
          </w:tcPr>
          <w:p w14:paraId="5357DC9F" w14:textId="77777777" w:rsidR="006D2BF7" w:rsidRPr="003D2290" w:rsidRDefault="006D2BF7" w:rsidP="00DF11A6">
            <w:pPr>
              <w:jc w:val="center"/>
              <w:rPr>
                <w:sz w:val="22"/>
                <w:szCs w:val="22"/>
              </w:rPr>
            </w:pPr>
            <w:r w:rsidRPr="003D2290">
              <w:rPr>
                <w:sz w:val="22"/>
                <w:szCs w:val="22"/>
                <w:lang w:val="en-US"/>
              </w:rPr>
              <w:t>4</w:t>
            </w:r>
          </w:p>
        </w:tc>
        <w:tc>
          <w:tcPr>
            <w:tcW w:w="1634" w:type="dxa"/>
            <w:shd w:val="clear" w:color="auto" w:fill="D0D3E3"/>
            <w:tcMar>
              <w:top w:w="72" w:type="dxa"/>
              <w:left w:w="144" w:type="dxa"/>
              <w:bottom w:w="72" w:type="dxa"/>
              <w:right w:w="144" w:type="dxa"/>
            </w:tcMar>
            <w:hideMark/>
          </w:tcPr>
          <w:p w14:paraId="6CB7AB82" w14:textId="77777777" w:rsidR="006D2BF7" w:rsidRPr="003D2290" w:rsidRDefault="006D2BF7" w:rsidP="00DF11A6">
            <w:pPr>
              <w:jc w:val="center"/>
              <w:rPr>
                <w:sz w:val="22"/>
                <w:szCs w:val="22"/>
              </w:rPr>
            </w:pPr>
            <w:r w:rsidRPr="003D2290">
              <w:rPr>
                <w:sz w:val="22"/>
                <w:szCs w:val="22"/>
              </w:rPr>
              <w:t>5 -8</w:t>
            </w:r>
          </w:p>
        </w:tc>
      </w:tr>
      <w:tr w:rsidR="006D2BF7" w:rsidRPr="003D2290" w14:paraId="7D7877FB" w14:textId="77777777" w:rsidTr="002110AC">
        <w:trPr>
          <w:trHeight w:val="349"/>
        </w:trPr>
        <w:tc>
          <w:tcPr>
            <w:tcW w:w="2967" w:type="dxa"/>
            <w:shd w:val="clear" w:color="auto" w:fill="E9EAF1"/>
            <w:tcMar>
              <w:top w:w="72" w:type="dxa"/>
              <w:left w:w="144" w:type="dxa"/>
              <w:bottom w:w="72" w:type="dxa"/>
              <w:right w:w="144" w:type="dxa"/>
            </w:tcMar>
            <w:hideMark/>
          </w:tcPr>
          <w:p w14:paraId="4E05B4BB" w14:textId="77777777" w:rsidR="006D2BF7" w:rsidRPr="003D2290" w:rsidRDefault="006D2BF7" w:rsidP="00DF11A6">
            <w:pPr>
              <w:jc w:val="both"/>
              <w:rPr>
                <w:sz w:val="22"/>
                <w:szCs w:val="22"/>
              </w:rPr>
            </w:pPr>
            <w:r w:rsidRPr="003D2290">
              <w:rPr>
                <w:sz w:val="22"/>
                <w:szCs w:val="22"/>
              </w:rPr>
              <w:t xml:space="preserve">Factor </w:t>
            </w:r>
            <w:r w:rsidRPr="003D2290">
              <w:rPr>
                <w:b/>
                <w:bCs/>
                <w:i/>
                <w:iCs/>
                <w:sz w:val="22"/>
                <w:szCs w:val="22"/>
              </w:rPr>
              <w:t xml:space="preserve">γ </w:t>
            </w:r>
          </w:p>
        </w:tc>
        <w:tc>
          <w:tcPr>
            <w:tcW w:w="1134" w:type="dxa"/>
            <w:shd w:val="clear" w:color="auto" w:fill="E9EAF1"/>
            <w:tcMar>
              <w:top w:w="72" w:type="dxa"/>
              <w:left w:w="144" w:type="dxa"/>
              <w:bottom w:w="72" w:type="dxa"/>
              <w:right w:w="144" w:type="dxa"/>
            </w:tcMar>
            <w:hideMark/>
          </w:tcPr>
          <w:p w14:paraId="4BF34BF0" w14:textId="77777777" w:rsidR="006D2BF7" w:rsidRPr="003D2290" w:rsidRDefault="006D2BF7" w:rsidP="00DF11A6">
            <w:pPr>
              <w:jc w:val="center"/>
              <w:rPr>
                <w:sz w:val="22"/>
                <w:szCs w:val="22"/>
              </w:rPr>
            </w:pPr>
            <w:r w:rsidRPr="003D2290">
              <w:rPr>
                <w:sz w:val="22"/>
                <w:szCs w:val="22"/>
                <w:lang w:val="en-US"/>
              </w:rPr>
              <w:t>0,5%</w:t>
            </w:r>
          </w:p>
        </w:tc>
        <w:tc>
          <w:tcPr>
            <w:tcW w:w="992" w:type="dxa"/>
            <w:shd w:val="clear" w:color="auto" w:fill="E9EAF1"/>
            <w:tcMar>
              <w:top w:w="72" w:type="dxa"/>
              <w:left w:w="144" w:type="dxa"/>
              <w:bottom w:w="72" w:type="dxa"/>
              <w:right w:w="144" w:type="dxa"/>
            </w:tcMar>
            <w:hideMark/>
          </w:tcPr>
          <w:p w14:paraId="4FB52681" w14:textId="77777777" w:rsidR="006D2BF7" w:rsidRPr="003D2290" w:rsidRDefault="006D2BF7" w:rsidP="00DF11A6">
            <w:pPr>
              <w:jc w:val="center"/>
              <w:rPr>
                <w:sz w:val="22"/>
                <w:szCs w:val="22"/>
              </w:rPr>
            </w:pPr>
            <w:r w:rsidRPr="003D2290">
              <w:rPr>
                <w:sz w:val="22"/>
                <w:szCs w:val="22"/>
                <w:lang w:val="en-US"/>
              </w:rPr>
              <w:t>2,0%</w:t>
            </w:r>
          </w:p>
        </w:tc>
        <w:tc>
          <w:tcPr>
            <w:tcW w:w="1134" w:type="dxa"/>
            <w:shd w:val="clear" w:color="auto" w:fill="E9EAF1"/>
            <w:tcMar>
              <w:top w:w="72" w:type="dxa"/>
              <w:left w:w="144" w:type="dxa"/>
              <w:bottom w:w="72" w:type="dxa"/>
              <w:right w:w="144" w:type="dxa"/>
            </w:tcMar>
            <w:hideMark/>
          </w:tcPr>
          <w:p w14:paraId="7393076A" w14:textId="77777777" w:rsidR="006D2BF7" w:rsidRPr="003D2290" w:rsidRDefault="006D2BF7" w:rsidP="00DF11A6">
            <w:pPr>
              <w:jc w:val="center"/>
              <w:rPr>
                <w:sz w:val="22"/>
                <w:szCs w:val="22"/>
              </w:rPr>
            </w:pPr>
            <w:r w:rsidRPr="003D2290">
              <w:rPr>
                <w:sz w:val="22"/>
                <w:szCs w:val="22"/>
                <w:lang w:val="en-US"/>
              </w:rPr>
              <w:t>7,5%</w:t>
            </w:r>
          </w:p>
        </w:tc>
        <w:tc>
          <w:tcPr>
            <w:tcW w:w="1134" w:type="dxa"/>
            <w:shd w:val="clear" w:color="auto" w:fill="E9EAF1"/>
            <w:tcMar>
              <w:top w:w="72" w:type="dxa"/>
              <w:left w:w="144" w:type="dxa"/>
              <w:bottom w:w="72" w:type="dxa"/>
              <w:right w:w="144" w:type="dxa"/>
            </w:tcMar>
            <w:hideMark/>
          </w:tcPr>
          <w:p w14:paraId="6A906491" w14:textId="77777777" w:rsidR="006D2BF7" w:rsidRPr="003D2290" w:rsidRDefault="006D2BF7" w:rsidP="00DF11A6">
            <w:pPr>
              <w:jc w:val="center"/>
              <w:rPr>
                <w:sz w:val="22"/>
                <w:szCs w:val="22"/>
              </w:rPr>
            </w:pPr>
            <w:r w:rsidRPr="003D2290">
              <w:rPr>
                <w:sz w:val="22"/>
                <w:szCs w:val="22"/>
                <w:lang w:val="en-US"/>
              </w:rPr>
              <w:t>15%</w:t>
            </w:r>
          </w:p>
        </w:tc>
        <w:tc>
          <w:tcPr>
            <w:tcW w:w="1634" w:type="dxa"/>
            <w:shd w:val="clear" w:color="auto" w:fill="E9EAF1"/>
            <w:tcMar>
              <w:top w:w="72" w:type="dxa"/>
              <w:left w:w="144" w:type="dxa"/>
              <w:bottom w:w="72" w:type="dxa"/>
              <w:right w:w="144" w:type="dxa"/>
            </w:tcMar>
            <w:hideMark/>
          </w:tcPr>
          <w:p w14:paraId="406F00A4" w14:textId="77777777" w:rsidR="006D2BF7" w:rsidRPr="003D2290" w:rsidRDefault="006D2BF7" w:rsidP="00DF11A6">
            <w:pPr>
              <w:jc w:val="center"/>
              <w:rPr>
                <w:sz w:val="22"/>
                <w:szCs w:val="22"/>
              </w:rPr>
            </w:pPr>
            <w:r w:rsidRPr="003D2290">
              <w:rPr>
                <w:sz w:val="22"/>
                <w:szCs w:val="22"/>
                <w:lang w:val="en-US"/>
              </w:rPr>
              <w:t>100%</w:t>
            </w:r>
          </w:p>
        </w:tc>
      </w:tr>
    </w:tbl>
    <w:p w14:paraId="119FC150" w14:textId="77777777" w:rsidR="006D2BF7" w:rsidRPr="003D2290" w:rsidRDefault="006D2BF7" w:rsidP="006D2BF7">
      <w:pPr>
        <w:jc w:val="both"/>
        <w:rPr>
          <w:sz w:val="22"/>
          <w:szCs w:val="22"/>
        </w:rPr>
      </w:pPr>
    </w:p>
    <w:p w14:paraId="38C7C78B" w14:textId="77777777" w:rsidR="006D2BF7" w:rsidRPr="003D2290" w:rsidRDefault="006D2BF7" w:rsidP="006D2BF7">
      <w:pPr>
        <w:pStyle w:val="Prrafodelista"/>
        <w:widowControl w:val="0"/>
        <w:numPr>
          <w:ilvl w:val="0"/>
          <w:numId w:val="10"/>
        </w:numPr>
        <w:autoSpaceDE w:val="0"/>
        <w:autoSpaceDN w:val="0"/>
        <w:adjustRightInd w:val="0"/>
        <w:contextualSpacing/>
        <w:jc w:val="both"/>
        <w:rPr>
          <w:b/>
          <w:bCs/>
          <w:sz w:val="22"/>
          <w:szCs w:val="22"/>
        </w:rPr>
      </w:pPr>
      <w:r w:rsidRPr="003D2290">
        <w:rPr>
          <w:b/>
          <w:bCs/>
          <w:sz w:val="22"/>
          <w:szCs w:val="22"/>
        </w:rPr>
        <w:t xml:space="preserve">Modificar el </w:t>
      </w:r>
      <w:r w:rsidRPr="003D2290">
        <w:rPr>
          <w:b/>
          <w:bCs/>
          <w:i/>
          <w:iCs/>
          <w:sz w:val="22"/>
          <w:szCs w:val="22"/>
        </w:rPr>
        <w:t>Reglamento del Centro de Información Crediticia</w:t>
      </w:r>
      <w:r w:rsidRPr="003D2290">
        <w:rPr>
          <w:b/>
          <w:bCs/>
          <w:sz w:val="22"/>
          <w:szCs w:val="22"/>
        </w:rPr>
        <w:t xml:space="preserve">, Acuerdo SUGEF 7-06, como se indica a continuación: </w:t>
      </w:r>
    </w:p>
    <w:p w14:paraId="633F0326" w14:textId="77777777" w:rsidR="006D2BF7" w:rsidRPr="003D2290" w:rsidRDefault="006D2BF7" w:rsidP="006D2BF7">
      <w:pPr>
        <w:pStyle w:val="Prrafodelista"/>
        <w:widowControl w:val="0"/>
        <w:autoSpaceDE w:val="0"/>
        <w:autoSpaceDN w:val="0"/>
        <w:adjustRightInd w:val="0"/>
        <w:ind w:left="720"/>
        <w:contextualSpacing/>
        <w:jc w:val="both"/>
        <w:rPr>
          <w:b/>
          <w:bCs/>
          <w:sz w:val="22"/>
          <w:szCs w:val="22"/>
        </w:rPr>
      </w:pPr>
    </w:p>
    <w:p w14:paraId="0368B8FA" w14:textId="77777777" w:rsidR="006D2BF7" w:rsidRPr="003D2290" w:rsidRDefault="006D2BF7" w:rsidP="006D2BF7">
      <w:pPr>
        <w:ind w:left="426" w:hanging="426"/>
        <w:jc w:val="both"/>
        <w:rPr>
          <w:rFonts w:eastAsia="Calibri"/>
          <w:b/>
          <w:bCs/>
          <w:sz w:val="22"/>
          <w:szCs w:val="22"/>
        </w:rPr>
      </w:pPr>
      <w:r w:rsidRPr="003D2290">
        <w:rPr>
          <w:rFonts w:eastAsia="Calibri"/>
          <w:b/>
          <w:bCs/>
          <w:sz w:val="22"/>
          <w:szCs w:val="22"/>
        </w:rPr>
        <w:t>1.</w:t>
      </w:r>
      <w:r w:rsidRPr="003D2290">
        <w:rPr>
          <w:rFonts w:eastAsia="Calibri"/>
          <w:b/>
          <w:bCs/>
          <w:sz w:val="22"/>
          <w:szCs w:val="22"/>
        </w:rPr>
        <w:tab/>
        <w:t>Reformar las referencias incluidas en el Anexo de acuerdo con el siguiente texto:</w:t>
      </w:r>
    </w:p>
    <w:p w14:paraId="6F100A86" w14:textId="77777777" w:rsidR="00894515" w:rsidRDefault="00894515" w:rsidP="006D2BF7">
      <w:pPr>
        <w:ind w:right="504"/>
        <w:jc w:val="both"/>
        <w:rPr>
          <w:bCs/>
          <w:sz w:val="22"/>
          <w:szCs w:val="22"/>
        </w:rPr>
      </w:pPr>
    </w:p>
    <w:p w14:paraId="638CFF13" w14:textId="6849B776" w:rsidR="006D2BF7" w:rsidRPr="003D2290" w:rsidRDefault="006D2BF7" w:rsidP="006D2BF7">
      <w:pPr>
        <w:ind w:right="504"/>
        <w:jc w:val="both"/>
        <w:rPr>
          <w:bCs/>
          <w:sz w:val="22"/>
          <w:szCs w:val="22"/>
        </w:rPr>
      </w:pPr>
      <w:r w:rsidRPr="003D2290">
        <w:rPr>
          <w:bCs/>
          <w:sz w:val="22"/>
          <w:szCs w:val="22"/>
        </w:rPr>
        <w:t>“</w:t>
      </w:r>
      <w:r w:rsidRPr="003D2290">
        <w:rPr>
          <w:bCs/>
          <w:i/>
          <w:iCs/>
          <w:sz w:val="22"/>
          <w:szCs w:val="22"/>
        </w:rPr>
        <w:t>1. Variables incluidas en el Reporte Crediticio con información de dominio público:</w:t>
      </w:r>
    </w:p>
    <w:p w14:paraId="332254D8" w14:textId="77777777" w:rsidR="006D2BF7" w:rsidRPr="003D2290" w:rsidRDefault="006D2BF7" w:rsidP="006D2BF7">
      <w:pPr>
        <w:ind w:right="504"/>
        <w:jc w:val="both"/>
        <w:rPr>
          <w:b/>
          <w:i/>
          <w:iCs/>
          <w:sz w:val="22"/>
          <w:szCs w:val="22"/>
        </w:rPr>
      </w:pPr>
    </w:p>
    <w:p w14:paraId="471DAD3F" w14:textId="38EA6558" w:rsidR="006D2BF7" w:rsidRPr="003D2290" w:rsidRDefault="006D2BF7" w:rsidP="006D2BF7">
      <w:pPr>
        <w:ind w:right="504"/>
        <w:jc w:val="both"/>
        <w:rPr>
          <w:b/>
          <w:sz w:val="22"/>
          <w:szCs w:val="22"/>
        </w:rPr>
      </w:pPr>
      <w:r w:rsidRPr="003D2290">
        <w:rPr>
          <w:b/>
          <w:i/>
          <w:iCs/>
          <w:sz w:val="22"/>
          <w:szCs w:val="22"/>
        </w:rPr>
        <w:t>Situación histórica:</w:t>
      </w:r>
      <w:r w:rsidRPr="003D2290">
        <w:rPr>
          <w:b/>
          <w:sz w:val="22"/>
          <w:szCs w:val="22"/>
        </w:rPr>
        <w:t xml:space="preserve"> </w:t>
      </w:r>
    </w:p>
    <w:p w14:paraId="588C2E5D" w14:textId="77777777" w:rsidR="006D2BF7" w:rsidRPr="003D2290" w:rsidRDefault="006D2BF7" w:rsidP="006D2BF7">
      <w:pPr>
        <w:jc w:val="both"/>
        <w:rPr>
          <w:rFonts w:eastAsia="Calibri"/>
          <w:sz w:val="22"/>
          <w:szCs w:val="22"/>
        </w:rPr>
      </w:pPr>
      <w:r w:rsidRPr="003D2290">
        <w:rPr>
          <w:bCs/>
          <w:sz w:val="22"/>
          <w:szCs w:val="22"/>
        </w:rPr>
        <w:t>[…]</w:t>
      </w:r>
    </w:p>
    <w:p w14:paraId="14DB95E1" w14:textId="77777777" w:rsidR="006D2BF7" w:rsidRPr="003D2290" w:rsidRDefault="006D2BF7" w:rsidP="006D2BF7">
      <w:pPr>
        <w:ind w:left="1134" w:right="504" w:hanging="567"/>
        <w:jc w:val="both"/>
        <w:rPr>
          <w:i/>
          <w:iCs/>
          <w:sz w:val="22"/>
          <w:szCs w:val="22"/>
        </w:rPr>
      </w:pPr>
      <w:r w:rsidRPr="003D2290">
        <w:rPr>
          <w:i/>
          <w:iCs/>
          <w:sz w:val="22"/>
          <w:szCs w:val="22"/>
        </w:rPr>
        <w:t>f.</w:t>
      </w:r>
      <w:r w:rsidRPr="003D2290">
        <w:rPr>
          <w:i/>
          <w:iCs/>
          <w:sz w:val="22"/>
          <w:szCs w:val="22"/>
        </w:rPr>
        <w:tab/>
        <w:t xml:space="preserve">Atraso máximo de la operación crediticia (ver Lineamientos Generales </w:t>
      </w:r>
      <w:r w:rsidRPr="00C52F99">
        <w:rPr>
          <w:i/>
          <w:sz w:val="22"/>
          <w:szCs w:val="22"/>
        </w:rPr>
        <w:t xml:space="preserve">del Acuerdo CONASSIF 14-21 Punto </w:t>
      </w:r>
      <w:r w:rsidRPr="003D2290">
        <w:rPr>
          <w:i/>
          <w:iCs/>
          <w:sz w:val="22"/>
          <w:szCs w:val="22"/>
        </w:rPr>
        <w:t xml:space="preserve">II).  </w:t>
      </w:r>
    </w:p>
    <w:p w14:paraId="4711A863" w14:textId="77777777" w:rsidR="006D2BF7" w:rsidRPr="003D2290" w:rsidRDefault="006D2BF7" w:rsidP="006D2BF7">
      <w:pPr>
        <w:ind w:left="1134" w:right="504" w:hanging="567"/>
        <w:jc w:val="both"/>
        <w:rPr>
          <w:i/>
          <w:iCs/>
          <w:sz w:val="22"/>
          <w:szCs w:val="22"/>
        </w:rPr>
      </w:pPr>
      <w:r w:rsidRPr="003D2290">
        <w:rPr>
          <w:i/>
          <w:iCs/>
          <w:sz w:val="22"/>
          <w:szCs w:val="22"/>
        </w:rPr>
        <w:t>g.</w:t>
      </w:r>
      <w:r w:rsidRPr="003D2290">
        <w:rPr>
          <w:i/>
          <w:iCs/>
          <w:sz w:val="22"/>
          <w:szCs w:val="22"/>
        </w:rPr>
        <w:tab/>
        <w:t xml:space="preserve">Atraso medio de la operación crediticia (ver Lineamientos Generales </w:t>
      </w:r>
      <w:r w:rsidRPr="00C52F99">
        <w:rPr>
          <w:i/>
          <w:sz w:val="22"/>
          <w:szCs w:val="22"/>
        </w:rPr>
        <w:t xml:space="preserve">Acuerdo CONASSIF 14-21 Punto </w:t>
      </w:r>
      <w:r w:rsidRPr="003D2290">
        <w:rPr>
          <w:i/>
          <w:iCs/>
          <w:sz w:val="22"/>
          <w:szCs w:val="22"/>
        </w:rPr>
        <w:t xml:space="preserve">II).  </w:t>
      </w:r>
    </w:p>
    <w:p w14:paraId="0B75BB08" w14:textId="77777777" w:rsidR="006D2BF7" w:rsidRPr="003D2290" w:rsidRDefault="006D2BF7" w:rsidP="006D2BF7">
      <w:pPr>
        <w:ind w:left="1134" w:right="504" w:hanging="567"/>
        <w:jc w:val="both"/>
        <w:rPr>
          <w:i/>
          <w:iCs/>
          <w:sz w:val="22"/>
          <w:szCs w:val="22"/>
        </w:rPr>
      </w:pPr>
      <w:r w:rsidRPr="003D2290">
        <w:rPr>
          <w:i/>
          <w:iCs/>
          <w:sz w:val="22"/>
          <w:szCs w:val="22"/>
        </w:rPr>
        <w:t>h.</w:t>
      </w:r>
      <w:r w:rsidRPr="003D2290">
        <w:rPr>
          <w:i/>
          <w:iCs/>
          <w:sz w:val="22"/>
          <w:szCs w:val="22"/>
        </w:rPr>
        <w:tab/>
        <w:t xml:space="preserve">Categoría de la operación crediticia (ver Lineamientos Generales </w:t>
      </w:r>
      <w:r w:rsidRPr="00C52F99">
        <w:rPr>
          <w:i/>
          <w:sz w:val="22"/>
          <w:szCs w:val="22"/>
        </w:rPr>
        <w:t xml:space="preserve">del Acuerdo CONASSIF 14-21 Punto </w:t>
      </w:r>
      <w:r w:rsidRPr="003D2290">
        <w:rPr>
          <w:i/>
          <w:iCs/>
          <w:sz w:val="22"/>
          <w:szCs w:val="22"/>
        </w:rPr>
        <w:t xml:space="preserve">II).  </w:t>
      </w:r>
    </w:p>
    <w:p w14:paraId="3E94C5F2" w14:textId="77777777" w:rsidR="006D2BF7" w:rsidRPr="003D2290" w:rsidRDefault="006D2BF7" w:rsidP="006D2BF7">
      <w:pPr>
        <w:ind w:left="1134" w:right="504" w:hanging="567"/>
        <w:jc w:val="both"/>
        <w:rPr>
          <w:i/>
          <w:iCs/>
          <w:sz w:val="22"/>
          <w:szCs w:val="22"/>
        </w:rPr>
      </w:pPr>
      <w:r w:rsidRPr="003D2290">
        <w:rPr>
          <w:i/>
          <w:iCs/>
          <w:sz w:val="22"/>
          <w:szCs w:val="22"/>
        </w:rPr>
        <w:t>i.</w:t>
      </w:r>
      <w:r w:rsidRPr="003D2290">
        <w:rPr>
          <w:i/>
          <w:iCs/>
          <w:sz w:val="22"/>
          <w:szCs w:val="22"/>
        </w:rPr>
        <w:tab/>
        <w:t xml:space="preserve">Categoría (ver Lineamientos Generales </w:t>
      </w:r>
      <w:r w:rsidRPr="00C52F99">
        <w:rPr>
          <w:i/>
          <w:sz w:val="22"/>
          <w:szCs w:val="22"/>
        </w:rPr>
        <w:t xml:space="preserve">del Acuerdo CONASSIF 14-21 Punto </w:t>
      </w:r>
      <w:r w:rsidRPr="003D2290">
        <w:rPr>
          <w:i/>
          <w:iCs/>
          <w:sz w:val="22"/>
          <w:szCs w:val="22"/>
        </w:rPr>
        <w:t xml:space="preserve">II).  </w:t>
      </w:r>
    </w:p>
    <w:p w14:paraId="6C7ABCEA" w14:textId="77777777" w:rsidR="006D2BF7" w:rsidRPr="003D2290" w:rsidRDefault="006D2BF7" w:rsidP="006D2BF7">
      <w:pPr>
        <w:ind w:left="1134" w:right="504" w:hanging="567"/>
        <w:jc w:val="both"/>
        <w:rPr>
          <w:i/>
          <w:iCs/>
          <w:sz w:val="22"/>
          <w:szCs w:val="22"/>
        </w:rPr>
      </w:pPr>
      <w:r w:rsidRPr="003D2290">
        <w:rPr>
          <w:i/>
          <w:iCs/>
          <w:sz w:val="22"/>
          <w:szCs w:val="22"/>
        </w:rPr>
        <w:t>j.</w:t>
      </w:r>
      <w:r w:rsidRPr="003D2290">
        <w:rPr>
          <w:i/>
          <w:iCs/>
          <w:sz w:val="22"/>
          <w:szCs w:val="22"/>
        </w:rPr>
        <w:tab/>
        <w:t xml:space="preserve">Nivel de comportamiento de pago histórico (ver Lineamientos Generales </w:t>
      </w:r>
      <w:r w:rsidRPr="00C52F99">
        <w:rPr>
          <w:i/>
          <w:sz w:val="22"/>
          <w:szCs w:val="22"/>
        </w:rPr>
        <w:t xml:space="preserve">del Acuerdo CONASSIF 14-21 Punto </w:t>
      </w:r>
      <w:r w:rsidRPr="003D2290">
        <w:rPr>
          <w:i/>
          <w:iCs/>
          <w:sz w:val="22"/>
          <w:szCs w:val="22"/>
        </w:rPr>
        <w:t xml:space="preserve">II).  </w:t>
      </w:r>
    </w:p>
    <w:p w14:paraId="3BAE3B58" w14:textId="77777777" w:rsidR="006D2BF7" w:rsidRPr="003D2290" w:rsidRDefault="006D2BF7" w:rsidP="006D2BF7">
      <w:pPr>
        <w:jc w:val="both"/>
        <w:rPr>
          <w:rFonts w:eastAsia="Calibri"/>
          <w:sz w:val="22"/>
          <w:szCs w:val="22"/>
        </w:rPr>
      </w:pPr>
      <w:r w:rsidRPr="003D2290">
        <w:rPr>
          <w:bCs/>
          <w:sz w:val="22"/>
          <w:szCs w:val="22"/>
        </w:rPr>
        <w:t>[…]”</w:t>
      </w:r>
    </w:p>
    <w:p w14:paraId="26276CD2" w14:textId="77777777" w:rsidR="006D2BF7" w:rsidRPr="003D2290" w:rsidRDefault="006D2BF7" w:rsidP="006D2BF7">
      <w:pPr>
        <w:jc w:val="both"/>
        <w:rPr>
          <w:i/>
          <w:iCs/>
          <w:sz w:val="22"/>
          <w:szCs w:val="22"/>
        </w:rPr>
      </w:pPr>
    </w:p>
    <w:p w14:paraId="51868390" w14:textId="77777777" w:rsidR="006D2BF7" w:rsidRPr="003D2290" w:rsidRDefault="006D2BF7" w:rsidP="006D2BF7">
      <w:pPr>
        <w:jc w:val="both"/>
        <w:rPr>
          <w:i/>
          <w:iCs/>
          <w:sz w:val="22"/>
          <w:szCs w:val="22"/>
        </w:rPr>
      </w:pPr>
      <w:r w:rsidRPr="003D2290">
        <w:rPr>
          <w:i/>
          <w:iCs/>
          <w:sz w:val="22"/>
          <w:szCs w:val="22"/>
        </w:rPr>
        <w:t>“2. Variables incluidas en el reporte para la entidad con autorización:</w:t>
      </w:r>
    </w:p>
    <w:p w14:paraId="30720BE5" w14:textId="77777777" w:rsidR="006D2BF7" w:rsidRPr="003D2290" w:rsidRDefault="006D2BF7" w:rsidP="006D2BF7">
      <w:pPr>
        <w:jc w:val="both"/>
        <w:rPr>
          <w:i/>
          <w:iCs/>
          <w:sz w:val="22"/>
          <w:szCs w:val="22"/>
        </w:rPr>
      </w:pPr>
      <w:r w:rsidRPr="003D2290">
        <w:rPr>
          <w:i/>
          <w:iCs/>
          <w:sz w:val="22"/>
          <w:szCs w:val="22"/>
        </w:rPr>
        <w:t>Adicionalmente a las variables incluidas en el Reporte Crediticio con información de dominio público, este reporte incluye las siguientes variables:</w:t>
      </w:r>
    </w:p>
    <w:p w14:paraId="223F2F34" w14:textId="77777777" w:rsidR="006D2BF7" w:rsidRPr="003D2290" w:rsidRDefault="006D2BF7" w:rsidP="006D2BF7">
      <w:pPr>
        <w:jc w:val="both"/>
        <w:rPr>
          <w:i/>
          <w:iCs/>
          <w:sz w:val="22"/>
          <w:szCs w:val="22"/>
        </w:rPr>
      </w:pPr>
    </w:p>
    <w:p w14:paraId="6D029DA7" w14:textId="77777777" w:rsidR="006D2BF7" w:rsidRPr="003D2290" w:rsidRDefault="006D2BF7" w:rsidP="006D2BF7">
      <w:pPr>
        <w:jc w:val="both"/>
        <w:rPr>
          <w:sz w:val="22"/>
          <w:szCs w:val="22"/>
        </w:rPr>
      </w:pPr>
      <w:r w:rsidRPr="003D2290">
        <w:rPr>
          <w:i/>
          <w:iCs/>
          <w:sz w:val="22"/>
          <w:szCs w:val="22"/>
        </w:rPr>
        <w:t>[…]</w:t>
      </w:r>
    </w:p>
    <w:p w14:paraId="5C36BB1C" w14:textId="77777777" w:rsidR="00894515" w:rsidRDefault="00894515" w:rsidP="006D2BF7">
      <w:pPr>
        <w:jc w:val="both"/>
        <w:rPr>
          <w:b/>
          <w:bCs/>
          <w:i/>
          <w:iCs/>
          <w:sz w:val="22"/>
          <w:szCs w:val="22"/>
        </w:rPr>
      </w:pPr>
    </w:p>
    <w:p w14:paraId="1866FF9D" w14:textId="55709CA8" w:rsidR="006D2BF7" w:rsidRPr="003D2290" w:rsidRDefault="006D2BF7" w:rsidP="006D2BF7">
      <w:pPr>
        <w:jc w:val="both"/>
        <w:rPr>
          <w:sz w:val="22"/>
          <w:szCs w:val="22"/>
        </w:rPr>
      </w:pPr>
      <w:r w:rsidRPr="003D2290">
        <w:rPr>
          <w:b/>
          <w:bCs/>
          <w:i/>
          <w:iCs/>
          <w:sz w:val="22"/>
          <w:szCs w:val="22"/>
        </w:rPr>
        <w:t xml:space="preserve">Situación histórica:  </w:t>
      </w:r>
    </w:p>
    <w:p w14:paraId="507820F0" w14:textId="77777777" w:rsidR="00894515" w:rsidRDefault="00894515" w:rsidP="006D2BF7">
      <w:pPr>
        <w:jc w:val="both"/>
        <w:rPr>
          <w:i/>
          <w:iCs/>
          <w:sz w:val="22"/>
          <w:szCs w:val="22"/>
        </w:rPr>
      </w:pPr>
    </w:p>
    <w:p w14:paraId="4268EBE6" w14:textId="3AB51875" w:rsidR="006D2BF7" w:rsidRPr="003D2290" w:rsidRDefault="006D2BF7" w:rsidP="006D2BF7">
      <w:pPr>
        <w:jc w:val="both"/>
        <w:rPr>
          <w:sz w:val="22"/>
          <w:szCs w:val="22"/>
        </w:rPr>
      </w:pPr>
      <w:r w:rsidRPr="003D2290">
        <w:rPr>
          <w:i/>
          <w:iCs/>
          <w:sz w:val="22"/>
          <w:szCs w:val="22"/>
        </w:rPr>
        <w:t>[…]</w:t>
      </w:r>
    </w:p>
    <w:p w14:paraId="4E2EA36E" w14:textId="77777777" w:rsidR="006D2BF7" w:rsidRPr="003D2290" w:rsidRDefault="006D2BF7" w:rsidP="006D2BF7">
      <w:pPr>
        <w:jc w:val="both"/>
        <w:rPr>
          <w:sz w:val="22"/>
          <w:szCs w:val="22"/>
        </w:rPr>
      </w:pPr>
      <w:r w:rsidRPr="003D2290">
        <w:rPr>
          <w:i/>
          <w:iCs/>
          <w:sz w:val="22"/>
          <w:szCs w:val="22"/>
        </w:rPr>
        <w:t xml:space="preserve">c. Ponderador de la operación crediticia (ver Lineamientos Generales de la 1-05, </w:t>
      </w:r>
      <w:r w:rsidRPr="00C52F99">
        <w:rPr>
          <w:i/>
          <w:sz w:val="22"/>
          <w:szCs w:val="22"/>
        </w:rPr>
        <w:t>del Acuerdo CONASSIF 14-21, Capítulo Punto II</w:t>
      </w:r>
      <w:r w:rsidRPr="003D2290">
        <w:rPr>
          <w:i/>
          <w:iCs/>
          <w:sz w:val="22"/>
          <w:szCs w:val="22"/>
        </w:rPr>
        <w:t>).”</w:t>
      </w:r>
    </w:p>
    <w:p w14:paraId="6E409ABC" w14:textId="77777777" w:rsidR="006D2BF7" w:rsidRPr="003D2290" w:rsidRDefault="006D2BF7" w:rsidP="006D2BF7">
      <w:pPr>
        <w:jc w:val="both"/>
        <w:rPr>
          <w:i/>
          <w:iCs/>
          <w:sz w:val="22"/>
          <w:szCs w:val="22"/>
        </w:rPr>
      </w:pPr>
      <w:r w:rsidRPr="003D2290">
        <w:rPr>
          <w:i/>
          <w:iCs/>
          <w:sz w:val="22"/>
          <w:szCs w:val="22"/>
        </w:rPr>
        <w:t>[…]</w:t>
      </w:r>
    </w:p>
    <w:p w14:paraId="77709A58" w14:textId="77777777" w:rsidR="00894515" w:rsidRDefault="00894515" w:rsidP="006D2BF7">
      <w:pPr>
        <w:jc w:val="both"/>
        <w:rPr>
          <w:i/>
          <w:iCs/>
          <w:sz w:val="22"/>
          <w:szCs w:val="22"/>
        </w:rPr>
      </w:pPr>
    </w:p>
    <w:p w14:paraId="3F7D0E17" w14:textId="2B946843" w:rsidR="006D2BF7" w:rsidRPr="003D2290" w:rsidRDefault="006D2BF7" w:rsidP="006D2BF7">
      <w:pPr>
        <w:jc w:val="both"/>
        <w:rPr>
          <w:sz w:val="22"/>
          <w:szCs w:val="22"/>
        </w:rPr>
      </w:pPr>
      <w:r w:rsidRPr="003D2290">
        <w:rPr>
          <w:i/>
          <w:iCs/>
          <w:sz w:val="22"/>
          <w:szCs w:val="22"/>
        </w:rPr>
        <w:t>“4. Variables de cada deudor o fiador puestas a disposición de las entidades según el Artículo 14 de este Reglamento:</w:t>
      </w:r>
    </w:p>
    <w:p w14:paraId="3B92627F" w14:textId="77777777" w:rsidR="006D2BF7" w:rsidRPr="003D2290" w:rsidRDefault="006D2BF7" w:rsidP="006D2BF7">
      <w:pPr>
        <w:jc w:val="both"/>
        <w:rPr>
          <w:sz w:val="22"/>
          <w:szCs w:val="22"/>
        </w:rPr>
      </w:pPr>
      <w:r w:rsidRPr="003D2290">
        <w:rPr>
          <w:i/>
          <w:iCs/>
          <w:sz w:val="22"/>
          <w:szCs w:val="22"/>
        </w:rPr>
        <w:t xml:space="preserve">a. Categoría (ver Lineamientos Generales </w:t>
      </w:r>
      <w:r w:rsidRPr="00C52F99">
        <w:rPr>
          <w:i/>
          <w:sz w:val="22"/>
          <w:szCs w:val="22"/>
        </w:rPr>
        <w:t>del Acuerdo CONASSIF 14-21, Capítulo Punto II</w:t>
      </w:r>
      <w:r w:rsidRPr="003D2290">
        <w:rPr>
          <w:i/>
          <w:iCs/>
          <w:sz w:val="22"/>
          <w:szCs w:val="22"/>
        </w:rPr>
        <w:t>).</w:t>
      </w:r>
    </w:p>
    <w:p w14:paraId="79D96951" w14:textId="77777777" w:rsidR="006D2BF7" w:rsidRPr="003D2290" w:rsidRDefault="006D2BF7" w:rsidP="006D2BF7">
      <w:pPr>
        <w:jc w:val="both"/>
        <w:rPr>
          <w:sz w:val="22"/>
          <w:szCs w:val="22"/>
        </w:rPr>
      </w:pPr>
      <w:r w:rsidRPr="003D2290">
        <w:rPr>
          <w:i/>
          <w:iCs/>
          <w:sz w:val="22"/>
          <w:szCs w:val="22"/>
        </w:rPr>
        <w:lastRenderedPageBreak/>
        <w:t xml:space="preserve">b. Nivel de comportamiento de pago histórico (ver Lineamientos Generales </w:t>
      </w:r>
      <w:r w:rsidRPr="00C52F99">
        <w:rPr>
          <w:i/>
          <w:sz w:val="22"/>
          <w:szCs w:val="22"/>
        </w:rPr>
        <w:t>del Acuerdo CONASSIF 14-21, Capítulo Punto II</w:t>
      </w:r>
      <w:r w:rsidRPr="003D2290">
        <w:rPr>
          <w:i/>
          <w:iCs/>
          <w:sz w:val="22"/>
          <w:szCs w:val="22"/>
        </w:rPr>
        <w:t xml:space="preserve">). </w:t>
      </w:r>
    </w:p>
    <w:p w14:paraId="24AA37B2" w14:textId="77777777" w:rsidR="006D2BF7" w:rsidRPr="003D2290" w:rsidRDefault="006D2BF7" w:rsidP="006D2BF7">
      <w:pPr>
        <w:jc w:val="both"/>
        <w:rPr>
          <w:sz w:val="22"/>
          <w:szCs w:val="22"/>
        </w:rPr>
      </w:pPr>
      <w:r w:rsidRPr="003D2290">
        <w:rPr>
          <w:i/>
          <w:iCs/>
          <w:sz w:val="22"/>
          <w:szCs w:val="22"/>
        </w:rPr>
        <w:t>c. […]</w:t>
      </w:r>
    </w:p>
    <w:p w14:paraId="31277777" w14:textId="77777777" w:rsidR="006D2BF7" w:rsidRPr="003D2290" w:rsidRDefault="006D2BF7" w:rsidP="006D2BF7">
      <w:pPr>
        <w:jc w:val="both"/>
        <w:rPr>
          <w:sz w:val="22"/>
          <w:szCs w:val="22"/>
        </w:rPr>
      </w:pPr>
      <w:r w:rsidRPr="003D2290">
        <w:rPr>
          <w:i/>
          <w:iCs/>
          <w:sz w:val="22"/>
          <w:szCs w:val="22"/>
        </w:rPr>
        <w:t xml:space="preserve">d. Existencia del requisito de autorización según el </w:t>
      </w:r>
      <w:r w:rsidRPr="00C52F99">
        <w:rPr>
          <w:i/>
          <w:sz w:val="22"/>
          <w:szCs w:val="22"/>
        </w:rPr>
        <w:t>Artículo 11 del Acuerdo CONASSIF 14-21</w:t>
      </w:r>
      <w:r w:rsidRPr="003D2290">
        <w:rPr>
          <w:i/>
          <w:iCs/>
          <w:sz w:val="22"/>
          <w:szCs w:val="22"/>
        </w:rPr>
        <w:t>”</w:t>
      </w:r>
    </w:p>
    <w:p w14:paraId="521ED4DD" w14:textId="77777777" w:rsidR="006D2BF7" w:rsidRPr="003D2290" w:rsidRDefault="006D2BF7" w:rsidP="006D2BF7">
      <w:pPr>
        <w:jc w:val="both"/>
        <w:rPr>
          <w:sz w:val="22"/>
          <w:szCs w:val="22"/>
        </w:rPr>
      </w:pPr>
    </w:p>
    <w:p w14:paraId="03D90AD0" w14:textId="77777777" w:rsidR="006D2BF7" w:rsidRPr="003D2290" w:rsidRDefault="006D2BF7" w:rsidP="006D2BF7">
      <w:pPr>
        <w:jc w:val="both"/>
        <w:rPr>
          <w:rFonts w:eastAsia="Calibri"/>
          <w:b/>
          <w:bCs/>
          <w:sz w:val="22"/>
          <w:szCs w:val="22"/>
        </w:rPr>
      </w:pPr>
      <w:r w:rsidRPr="003D2290">
        <w:rPr>
          <w:rFonts w:eastAsia="Calibri"/>
          <w:sz w:val="22"/>
          <w:szCs w:val="22"/>
        </w:rPr>
        <w:t>Rige a partir del primero de enero de 2024</w:t>
      </w:r>
      <w:r w:rsidRPr="003D2290">
        <w:rPr>
          <w:rFonts w:eastAsia="Calibri"/>
          <w:b/>
          <w:bCs/>
          <w:sz w:val="22"/>
          <w:szCs w:val="22"/>
        </w:rPr>
        <w:t>.”</w:t>
      </w:r>
    </w:p>
    <w:p w14:paraId="182024C0" w14:textId="77777777" w:rsidR="00A36D16" w:rsidRPr="006D2BF7" w:rsidRDefault="00A36D16" w:rsidP="005C6973">
      <w:pPr>
        <w:widowControl w:val="0"/>
        <w:jc w:val="both"/>
        <w:rPr>
          <w:sz w:val="24"/>
          <w:szCs w:val="24"/>
        </w:rPr>
      </w:pPr>
    </w:p>
    <w:p w14:paraId="242E935F" w14:textId="11DFA81D" w:rsidR="00A36D16" w:rsidRPr="006D2BF7" w:rsidRDefault="004A2425" w:rsidP="005C6973">
      <w:pPr>
        <w:widowControl w:val="0"/>
        <w:jc w:val="both"/>
        <w:rPr>
          <w:sz w:val="24"/>
          <w:szCs w:val="24"/>
        </w:rPr>
      </w:pPr>
      <w:r w:rsidRPr="006D2BF7">
        <w:rPr>
          <w:noProof/>
        </w:rPr>
        <w:drawing>
          <wp:anchor distT="0" distB="0" distL="114300" distR="114300" simplePos="0" relativeHeight="251658240" behindDoc="1" locked="0" layoutInCell="1" allowOverlap="0" wp14:anchorId="43D4A03D" wp14:editId="2ED08DE0">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6D2BF7">
        <w:rPr>
          <w:sz w:val="24"/>
          <w:szCs w:val="24"/>
        </w:rPr>
        <w:t>Atentamente,</w:t>
      </w:r>
    </w:p>
    <w:p w14:paraId="29D87124" w14:textId="77777777" w:rsidR="00901072" w:rsidRPr="006D2BF7" w:rsidRDefault="00901072" w:rsidP="00901072">
      <w:pPr>
        <w:widowControl w:val="0"/>
        <w:jc w:val="both"/>
        <w:rPr>
          <w:sz w:val="24"/>
          <w:szCs w:val="24"/>
        </w:rPr>
      </w:pPr>
      <w:r w:rsidRPr="006D2BF7">
        <w:rPr>
          <w:sz w:val="24"/>
          <w:szCs w:val="24"/>
        </w:rPr>
        <w:br/>
      </w:r>
    </w:p>
    <w:p w14:paraId="6F792C72" w14:textId="77777777" w:rsidR="004D6CBF" w:rsidRPr="006D2BF7" w:rsidRDefault="004D6CBF" w:rsidP="004D6CBF">
      <w:pPr>
        <w:widowControl w:val="0"/>
        <w:jc w:val="both"/>
        <w:rPr>
          <w:sz w:val="24"/>
          <w:szCs w:val="24"/>
        </w:rPr>
      </w:pPr>
    </w:p>
    <w:p w14:paraId="4F896236" w14:textId="77777777" w:rsidR="00AB117C" w:rsidRPr="00E06C3F" w:rsidRDefault="00AB117C" w:rsidP="00AB117C">
      <w:pPr>
        <w:widowControl w:val="0"/>
        <w:jc w:val="both"/>
        <w:rPr>
          <w:sz w:val="24"/>
          <w:szCs w:val="24"/>
        </w:rPr>
      </w:pPr>
      <w:r w:rsidRPr="00E06C3F">
        <w:rPr>
          <w:sz w:val="24"/>
          <w:szCs w:val="24"/>
        </w:rPr>
        <w:t>Jorge Alfredo Campos Mora</w:t>
      </w:r>
    </w:p>
    <w:p w14:paraId="648996EB" w14:textId="77777777" w:rsidR="00AB117C" w:rsidRPr="00E06C3F" w:rsidRDefault="00AB117C" w:rsidP="00AB117C">
      <w:pPr>
        <w:widowControl w:val="0"/>
        <w:rPr>
          <w:b/>
          <w:i/>
          <w:sz w:val="24"/>
          <w:szCs w:val="24"/>
        </w:rPr>
      </w:pPr>
      <w:r w:rsidRPr="00E06C3F">
        <w:rPr>
          <w:b/>
          <w:i/>
          <w:sz w:val="24"/>
          <w:szCs w:val="24"/>
        </w:rPr>
        <w:t>Secretario Interino del Consejo</w:t>
      </w:r>
    </w:p>
    <w:p w14:paraId="745E79C4" w14:textId="77777777" w:rsidR="00A36D16" w:rsidRPr="006D2BF7" w:rsidRDefault="00A36D16" w:rsidP="005C6973">
      <w:pPr>
        <w:widowControl w:val="0"/>
        <w:jc w:val="both"/>
        <w:rPr>
          <w:sz w:val="24"/>
          <w:szCs w:val="24"/>
        </w:rPr>
      </w:pPr>
    </w:p>
    <w:sectPr w:rsidR="00A36D16" w:rsidRPr="006D2BF7" w:rsidSect="001D0382">
      <w:headerReference w:type="even" r:id="rId14"/>
      <w:headerReference w:type="default" r:id="rId15"/>
      <w:footerReference w:type="even" r:id="rId16"/>
      <w:footerReference w:type="default" r:id="rId17"/>
      <w:headerReference w:type="first" r:id="rId18"/>
      <w:footerReference w:type="first" r:id="rId19"/>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E597" w14:textId="77777777" w:rsidR="00092E2C" w:rsidRDefault="00092E2C" w:rsidP="00290A93">
      <w:r>
        <w:separator/>
      </w:r>
    </w:p>
  </w:endnote>
  <w:endnote w:type="continuationSeparator" w:id="0">
    <w:p w14:paraId="04142A54" w14:textId="77777777" w:rsidR="00092E2C" w:rsidRDefault="00092E2C" w:rsidP="00290A93">
      <w:r>
        <w:continuationSeparator/>
      </w:r>
    </w:p>
  </w:endnote>
  <w:endnote w:type="continuationNotice" w:id="1">
    <w:p w14:paraId="0FE211A1" w14:textId="77777777" w:rsidR="00F5199F" w:rsidRDefault="00F51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9A75" w14:textId="77777777" w:rsidR="00C22EDB" w:rsidRDefault="00C22E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4864" w14:textId="185E3119" w:rsidR="001D0382" w:rsidRDefault="004A2425">
    <w:pPr>
      <w:pStyle w:val="Piedepgina"/>
      <w:jc w:val="right"/>
    </w:pPr>
    <w:r>
      <w:rPr>
        <w:noProof/>
      </w:rPr>
      <mc:AlternateContent>
        <mc:Choice Requires="wps">
          <w:drawing>
            <wp:anchor distT="0" distB="0" distL="114300" distR="114300" simplePos="0" relativeHeight="251658242" behindDoc="0" locked="0" layoutInCell="0" allowOverlap="1" wp14:anchorId="187F1BEB" wp14:editId="4598F790">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4EF0D"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F1BEB"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5284EF0D"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01E1E6F2"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C8B5" w14:textId="77777777" w:rsidR="003F16A6" w:rsidRDefault="003F16A6">
    <w:pPr>
      <w:pStyle w:val="Piedepgina"/>
      <w:jc w:val="center"/>
    </w:pPr>
    <w:r>
      <w:fldChar w:fldCharType="begin"/>
    </w:r>
    <w:r>
      <w:instrText>PAGE   \* MERGEFORMAT</w:instrText>
    </w:r>
    <w:r>
      <w:fldChar w:fldCharType="separate"/>
    </w:r>
    <w:r>
      <w:t>2</w:t>
    </w:r>
    <w:r>
      <w:fldChar w:fldCharType="end"/>
    </w:r>
  </w:p>
  <w:p w14:paraId="5111CE40"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EA86" w14:textId="77777777" w:rsidR="00092E2C" w:rsidRDefault="00092E2C" w:rsidP="00290A93">
      <w:r>
        <w:separator/>
      </w:r>
    </w:p>
  </w:footnote>
  <w:footnote w:type="continuationSeparator" w:id="0">
    <w:p w14:paraId="7053A21C" w14:textId="77777777" w:rsidR="00092E2C" w:rsidRDefault="00092E2C" w:rsidP="00290A93">
      <w:r>
        <w:continuationSeparator/>
      </w:r>
    </w:p>
  </w:footnote>
  <w:footnote w:type="continuationNotice" w:id="1">
    <w:p w14:paraId="17528044" w14:textId="77777777" w:rsidR="00F5199F" w:rsidRDefault="00F51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B6F1" w14:textId="77777777" w:rsidR="00C22EDB" w:rsidRDefault="00C22E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7C8F" w14:textId="5AE0D03B" w:rsidR="00D33020" w:rsidRDefault="004A2425">
    <w:pPr>
      <w:pStyle w:val="Encabezado"/>
    </w:pPr>
    <w:r>
      <w:rPr>
        <w:noProof/>
        <w:lang w:val="es-CR" w:eastAsia="es-CR"/>
      </w:rPr>
      <w:drawing>
        <wp:anchor distT="0" distB="0" distL="114300" distR="114300" simplePos="0" relativeHeight="251658240" behindDoc="0" locked="0" layoutInCell="1" allowOverlap="1" wp14:anchorId="1DFD4650" wp14:editId="06BEA587">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189" w14:textId="093CA1F3" w:rsidR="001D683F" w:rsidRDefault="004A2425">
    <w:pPr>
      <w:pStyle w:val="Encabezado"/>
    </w:pPr>
    <w:r>
      <w:rPr>
        <w:noProof/>
      </w:rPr>
      <w:drawing>
        <wp:anchor distT="0" distB="0" distL="114300" distR="114300" simplePos="0" relativeHeight="251658241" behindDoc="0" locked="0" layoutInCell="1" allowOverlap="1" wp14:anchorId="5F5ECA54" wp14:editId="6A8847F0">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101758"/>
    <w:multiLevelType w:val="hybridMultilevel"/>
    <w:tmpl w:val="1036692C"/>
    <w:lvl w:ilvl="0" w:tplc="AC3AAC78">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884409359">
    <w:abstractNumId w:val="4"/>
  </w:num>
  <w:num w:numId="2" w16cid:durableId="1603299791">
    <w:abstractNumId w:val="5"/>
  </w:num>
  <w:num w:numId="3" w16cid:durableId="1947348763">
    <w:abstractNumId w:val="7"/>
  </w:num>
  <w:num w:numId="4" w16cid:durableId="1656258197">
    <w:abstractNumId w:val="1"/>
  </w:num>
  <w:num w:numId="5" w16cid:durableId="2012759329">
    <w:abstractNumId w:val="2"/>
  </w:num>
  <w:num w:numId="6" w16cid:durableId="948973893">
    <w:abstractNumId w:val="6"/>
  </w:num>
  <w:num w:numId="7" w16cid:durableId="1360858785">
    <w:abstractNumId w:val="0"/>
  </w:num>
  <w:num w:numId="8" w16cid:durableId="1934821459">
    <w:abstractNumId w:val="3"/>
  </w:num>
  <w:num w:numId="9" w16cid:durableId="296497932">
    <w:abstractNumId w:val="9"/>
  </w:num>
  <w:num w:numId="10" w16cid:durableId="171908817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2E2C"/>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3BEC"/>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E7CEE"/>
    <w:rsid w:val="001F04C9"/>
    <w:rsid w:val="001F187F"/>
    <w:rsid w:val="001F1D92"/>
    <w:rsid w:val="001F3F5C"/>
    <w:rsid w:val="00201B60"/>
    <w:rsid w:val="00201E0C"/>
    <w:rsid w:val="002021D8"/>
    <w:rsid w:val="002033D4"/>
    <w:rsid w:val="00206D06"/>
    <w:rsid w:val="002110AC"/>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7B5"/>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290"/>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425"/>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023"/>
    <w:rsid w:val="00535244"/>
    <w:rsid w:val="0053647C"/>
    <w:rsid w:val="00536AC6"/>
    <w:rsid w:val="005377D5"/>
    <w:rsid w:val="005402B1"/>
    <w:rsid w:val="00540705"/>
    <w:rsid w:val="00542907"/>
    <w:rsid w:val="00545031"/>
    <w:rsid w:val="00545881"/>
    <w:rsid w:val="00546609"/>
    <w:rsid w:val="00552E9D"/>
    <w:rsid w:val="00560AA6"/>
    <w:rsid w:val="00560BB6"/>
    <w:rsid w:val="00562395"/>
    <w:rsid w:val="005625E1"/>
    <w:rsid w:val="005652C4"/>
    <w:rsid w:val="005661D3"/>
    <w:rsid w:val="005747BB"/>
    <w:rsid w:val="00574BCB"/>
    <w:rsid w:val="005751DB"/>
    <w:rsid w:val="00575616"/>
    <w:rsid w:val="00581440"/>
    <w:rsid w:val="005814FA"/>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957"/>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2BF7"/>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63CE"/>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27DD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4515"/>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7C"/>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2EDB"/>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2F99"/>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1A58"/>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199F"/>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DE51"/>
  <w15:chartTrackingRefBased/>
  <w15:docId w15:val="{D5FECB74-39C8-4721-AE10-83E98B0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List Paragraph"/>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1"/>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dVlVQvgBNH+vjXEb6RuMxEJiuSQSKFg+PEvLULwayMg=</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9ZB3oa+fR48CMLeHynCk7Eo/eAoH/0hqi/YVupDm7d0=</DigestValue>
    </Reference>
  </SignedInfo>
  <SignatureValue>RKuIPrXP4qucJLdBq0MCmAVMhGgmcsjP/u/gf4t2+KtJVD5FDGEX5EKtOcZBgUDZ2gMMCE6+J+Zd
LwGt8yuI60zD1kh9JuxjFawDEMoZGl28YXBoeACqxXKrnwwqjzG2Nd5Z/Qon9CE4T2W1o6CcQ6Mo
nomxSagphzZe9q80NyXFk8QyUxDpLJWUVa2HvqZPDzoGo12Mu2TyVl8ipi0d03wEY8aNY6EM/T4L
1XBTolBzQYY7uZiojXMsQQ4TfLj2tejDn3E0ILDAERiFHmE+iqxlVxmvcn9n/NOvqacC/Ae+jffy
FskdUiYdPu7NCGIN+ZNC+4v2OXrGP7d3eZQYkA==</SignatureValue>
  <KeyInfo>
    <X509Data>
      <X509Certificate>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ZZN5mdrtmNAEL0SJl7afeJOMJQhnRqIo8unTXJW6iB6U+uLbQOe27bOgTkcSgcADmbBSvneKyY1huraOn4SAuR8aotrlwR8Ih5aokMgWbYCoW4/Q3dan3QxejxKB5L7zsr4TW5F9HAolebY5EPzfLsBcZ3YnZ9C4QXenI1Mqrc5bYChEwNEJ6hHIJEKoiySBnEGgVfmj0USafTd9XudJgc9/vnuh+UrM3E+jfAjey7o/vd1HIHBNWoruCi7Taj0r46guuIcQC5NYIME/hQaU95e3W4Aj2heftukDscpPryAJEvT2BSOg6W1eg67bPbcpkXEkHhG0f/4fUKOx22HX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y2Vh6Cov5HQXODF3jok7xIEpVbUkFVGaHSS/okrpnZA=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NvIJSZlU55WPXE5Y//lpNtc3tQYZ2QzjRrPg3NWcqDA=</DigestValue>
      </Reference>
      <Reference URI="/word/endnotes.xml?ContentType=application/vnd.openxmlformats-officedocument.wordprocessingml.endnotes+xml">
        <DigestMethod Algorithm="http://www.w3.org/2001/04/xmlenc#sha256"/>
        <DigestValue>EfVvSj+bG75/6ATA2X7VI+xTtL1ErSXQEpePtVXNhvQ=</DigestValue>
      </Reference>
      <Reference URI="/word/fontTable.xml?ContentType=application/vnd.openxmlformats-officedocument.wordprocessingml.fontTable+xml">
        <DigestMethod Algorithm="http://www.w3.org/2001/04/xmlenc#sha256"/>
        <DigestValue>ZAm/q2zAwgV2hyUJ4EexSWnHEB+3XjngDIA070NrCjI=</DigestValue>
      </Reference>
      <Reference URI="/word/footer1.xml?ContentType=application/vnd.openxmlformats-officedocument.wordprocessingml.footer+xml">
        <DigestMethod Algorithm="http://www.w3.org/2001/04/xmlenc#sha256"/>
        <DigestValue>lgvvOZYTQkq4zzy7DmphvCp3zFeQR4Lx1G9k9yCLITM=</DigestValue>
      </Reference>
      <Reference URI="/word/footer2.xml?ContentType=application/vnd.openxmlformats-officedocument.wordprocessingml.footer+xml">
        <DigestMethod Algorithm="http://www.w3.org/2001/04/xmlenc#sha256"/>
        <DigestValue>Ul6tg9sWSp+sBLwInHGDm/5UXHk2LVEjT22AKigo8rk=</DigestValue>
      </Reference>
      <Reference URI="/word/footer3.xml?ContentType=application/vnd.openxmlformats-officedocument.wordprocessingml.footer+xml">
        <DigestMethod Algorithm="http://www.w3.org/2001/04/xmlenc#sha256"/>
        <DigestValue>Y+2WkM1V5+s4nVyQq9U7Qw+lWhnSZ4TFrDsLcqeZgWo=</DigestValue>
      </Reference>
      <Reference URI="/word/footnotes.xml?ContentType=application/vnd.openxmlformats-officedocument.wordprocessingml.footnotes+xml">
        <DigestMethod Algorithm="http://www.w3.org/2001/04/xmlenc#sha256"/>
        <DigestValue>Z2Av9bMpHVGkPHmGi2nfNotthDT/83ErLelSM5Dddzk=</DigestValue>
      </Reference>
      <Reference URI="/word/header1.xml?ContentType=application/vnd.openxmlformats-officedocument.wordprocessingml.header+xml">
        <DigestMethod Algorithm="http://www.w3.org/2001/04/xmlenc#sha256"/>
        <DigestValue>PkImfNIjtj0UaW7KQNnfKrVmQD5eZ2KhRr7RoE3UQlY=</DigestValue>
      </Reference>
      <Reference URI="/word/header2.xml?ContentType=application/vnd.openxmlformats-officedocument.wordprocessingml.header+xml">
        <DigestMethod Algorithm="http://www.w3.org/2001/04/xmlenc#sha256"/>
        <DigestValue>07ejJVZ1ir7ehZlVjiktS9vbzk+tmpcxvYNouYRZ0HM=</DigestValue>
      </Reference>
      <Reference URI="/word/header3.xml?ContentType=application/vnd.openxmlformats-officedocument.wordprocessingml.header+xml">
        <DigestMethod Algorithm="http://www.w3.org/2001/04/xmlenc#sha256"/>
        <DigestValue>Jww+oWW+TN9kKpAQxSYxPvsvqEbNmEnKbquIA2spyD0=</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/XAg54sn+8xkC7wEt0DRN5bQucUENfIMvpazs9/sVy0=</DigestValue>
      </Reference>
      <Reference URI="/word/settings.xml?ContentType=application/vnd.openxmlformats-officedocument.wordprocessingml.settings+xml">
        <DigestMethod Algorithm="http://www.w3.org/2001/04/xmlenc#sha256"/>
        <DigestValue>/uZCnqiwYV52kJBc3HxRvIAE55Kf9DNp1YPCJD5twog=</DigestValue>
      </Reference>
      <Reference URI="/word/styles.xml?ContentType=application/vnd.openxmlformats-officedocument.wordprocessingml.styles+xml">
        <DigestMethod Algorithm="http://www.w3.org/2001/04/xmlenc#sha256"/>
        <DigestValue>tE+jCE1pOcgYKQ8bEadoVdJUNGPL7BSNSSQkboFO8S0=</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2023-07-13T17:20:17Z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2023-07-13T17:20:17Z</xd:SigningTime>
          <xd:SigningCertificate>
            <xd:Cert>
              <xd:CertDigest>
                <DigestMethod Algorithm="http://www.w3.org/2001/04/xmlenc#sha256"/>
                <DigestValue>+ohcEzrBr/3R8u59vV9rwyEEHx/HLPi7RyBYz7fZd+c=</DigestValue>
              </xd:CertDigest>
              <xd:IssuerSerial>
                <X509IssuerName>CN=CA SINPE - PERSONA FISICA v2, OU=DIVISION SISTEMAS DE PAGO, O=BANCO CENTRAL DE COSTA RICA, C=CR, SERIALNUMBER=CPJ-4-000-004017</X509IssuerName>
                <X509SerialNumber>446019275144322480333541752720322897636022401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vIRJYjzigmKhft/dyurKZJXChNbAum/zS/rdlWQ4aMCBBVEYHcYDzIwMjMwNzEzMTcyMD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jSa/7csJtlc/YUXrM5n1TkQWKRc=</xd:ByKey>
                  </xd:ResponderID>
                  <xd:ProducedAt>2023-07-13T17:16:48Z</xd:ProducedAt>
                </xd:OCSPIdentifier>
                <xd:DigestAlgAndValue>
                  <DigestMethod Algorithm="http://www.w3.org/2001/04/xmlenc#sha256"/>
                  <DigestValue>cDxnPFabu4Herj+SEBLpcoqiP9xVHt23vgid2r8jY3k=</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</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OGmQxSFQMgw+AFEzPzeDulG8y0//z/hjopLWk11mMicCBBVEYHoYDzIwMjMwNzEzMTcyMD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8" ma:contentTypeDescription="Plantilla para comunicar los acuerdos tomados por la JD del BCCR" ma:contentTypeScope="" ma:versionID="7b3422299a68865b75e8fbd73b95499e">
  <xsd:schema xmlns:xsd="http://www.w3.org/2001/XMLSchema" xmlns:xs="http://www.w3.org/2001/XMLSchema" xmlns:p="http://schemas.microsoft.com/office/2006/metadata/properties" xmlns:ns2="96c239bb-9668-4681-985a-a7d7030fe907" targetNamespace="http://schemas.microsoft.com/office/2006/metadata/properties" ma:root="true" ma:fieldsID="23c079b5e470c52829280366df371575"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07-Julio</Mes>
    <_x002d_ xmlns="96c239bb-9668-4681-985a-a7d7030fe907" xsi:nil="true"/>
    <A_x00f1_o xmlns="96c239bb-9668-4681-985a-a7d7030fe907">2023</A_x00f1_o>
    <Sesi_x00f3_n xmlns="96c239bb-9668-4681-985a-a7d7030fe907">1807</Sesi_x00f3_n>
  </documentManagement>
</p:properties>
</file>

<file path=customXml/itemProps1.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2.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3.xml><?xml version="1.0" encoding="utf-8"?>
<ds:datastoreItem xmlns:ds="http://schemas.openxmlformats.org/officeDocument/2006/customXml" ds:itemID="{8D2E065F-031A-4920-A8D5-3BB06972A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5.xml><?xml version="1.0" encoding="utf-8"?>
<ds:datastoreItem xmlns:ds="http://schemas.openxmlformats.org/officeDocument/2006/customXml" ds:itemID="{BD33D76A-701F-4C35-B318-D0C880096997}">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96c239bb-9668-4681-985a-a7d7030fe90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2086</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1807-07 y 1806-06 ADZ</dc:title>
  <dc:subject/>
  <dc:creator>HERNANDEZ MORA DAYANA</dc:creator>
  <cp:keywords/>
  <dc:description/>
  <cp:lastModifiedBy>HERNANDEZ MORA DAYANA</cp:lastModifiedBy>
  <cp:revision>3</cp:revision>
  <cp:lastPrinted>2013-01-30T22:12:00Z</cp:lastPrinted>
  <dcterms:created xsi:type="dcterms:W3CDTF">2023-07-13T17:10:00Z</dcterms:created>
  <dcterms:modified xsi:type="dcterms:W3CDTF">2023-07-13T17:11:00Z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