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0A961" w14:textId="77777777" w:rsidR="00B943E0" w:rsidRDefault="00B943E0" w:rsidP="000B3D80">
      <w:pPr>
        <w:widowControl w:val="0"/>
        <w:jc w:val="both"/>
        <w:rPr>
          <w:sz w:val="24"/>
          <w:szCs w:val="24"/>
        </w:rPr>
      </w:pPr>
    </w:p>
    <w:p w14:paraId="498BD429" w14:textId="15EACDAA" w:rsidR="000B3D80" w:rsidRPr="00B92969" w:rsidRDefault="003657B1" w:rsidP="000B3D80">
      <w:pPr>
        <w:widowControl w:val="0"/>
        <w:jc w:val="both"/>
        <w:rPr>
          <w:sz w:val="24"/>
          <w:szCs w:val="24"/>
        </w:rPr>
      </w:pPr>
      <w:r w:rsidRPr="00B92969">
        <w:rPr>
          <w:sz w:val="24"/>
          <w:szCs w:val="24"/>
        </w:rPr>
        <w:t xml:space="preserve">24 de febrero </w:t>
      </w:r>
      <w:r w:rsidR="00B32AF1" w:rsidRPr="00B92969">
        <w:rPr>
          <w:sz w:val="24"/>
          <w:szCs w:val="24"/>
        </w:rPr>
        <w:t>de</w:t>
      </w:r>
      <w:r w:rsidR="00423E7D" w:rsidRPr="00B92969">
        <w:rPr>
          <w:sz w:val="24"/>
          <w:szCs w:val="24"/>
        </w:rPr>
        <w:t>l</w:t>
      </w:r>
      <w:r w:rsidR="00B32AF1" w:rsidRPr="00B92969">
        <w:rPr>
          <w:sz w:val="24"/>
          <w:szCs w:val="24"/>
        </w:rPr>
        <w:t xml:space="preserve"> 202</w:t>
      </w:r>
      <w:r w:rsidR="00526CDD" w:rsidRPr="00B92969">
        <w:rPr>
          <w:sz w:val="24"/>
          <w:szCs w:val="24"/>
        </w:rPr>
        <w:t>3</w:t>
      </w:r>
    </w:p>
    <w:p w14:paraId="1457068F" w14:textId="59B46024" w:rsidR="00D6438A" w:rsidRPr="00B92969" w:rsidRDefault="008608BA" w:rsidP="005C6973">
      <w:pPr>
        <w:ind w:left="567" w:hanging="567"/>
        <w:jc w:val="both"/>
        <w:rPr>
          <w:sz w:val="24"/>
          <w:szCs w:val="24"/>
        </w:rPr>
      </w:pPr>
      <w:r w:rsidRPr="00B92969">
        <w:rPr>
          <w:sz w:val="24"/>
          <w:szCs w:val="24"/>
        </w:rPr>
        <w:t>CN</w:t>
      </w:r>
      <w:r w:rsidR="006D43F1" w:rsidRPr="00B92969">
        <w:rPr>
          <w:sz w:val="24"/>
          <w:szCs w:val="24"/>
        </w:rPr>
        <w:t>S-</w:t>
      </w:r>
      <w:r w:rsidR="002261E0" w:rsidRPr="00B92969">
        <w:rPr>
          <w:sz w:val="24"/>
          <w:szCs w:val="24"/>
        </w:rPr>
        <w:t>1</w:t>
      </w:r>
      <w:r w:rsidR="004A486B" w:rsidRPr="00B92969">
        <w:rPr>
          <w:sz w:val="24"/>
          <w:szCs w:val="24"/>
        </w:rPr>
        <w:t>7</w:t>
      </w:r>
      <w:r w:rsidR="003657B1" w:rsidRPr="00B92969">
        <w:rPr>
          <w:sz w:val="24"/>
          <w:szCs w:val="24"/>
        </w:rPr>
        <w:t>85</w:t>
      </w:r>
      <w:r w:rsidR="005C4B63" w:rsidRPr="00B92969">
        <w:rPr>
          <w:sz w:val="24"/>
          <w:szCs w:val="24"/>
        </w:rPr>
        <w:t>/</w:t>
      </w:r>
      <w:r w:rsidR="003657B1" w:rsidRPr="00B92969">
        <w:rPr>
          <w:sz w:val="24"/>
          <w:szCs w:val="24"/>
        </w:rPr>
        <w:t>0</w:t>
      </w:r>
      <w:r w:rsidR="00095E0B" w:rsidRPr="00B92969">
        <w:rPr>
          <w:sz w:val="24"/>
          <w:szCs w:val="24"/>
        </w:rPr>
        <w:t>8</w:t>
      </w:r>
    </w:p>
    <w:p w14:paraId="69A3515F" w14:textId="77777777" w:rsidR="00D6438A" w:rsidRPr="00B92969" w:rsidRDefault="00D6438A" w:rsidP="005C6973">
      <w:pPr>
        <w:jc w:val="both"/>
        <w:rPr>
          <w:b/>
          <w:i/>
          <w:sz w:val="24"/>
          <w:szCs w:val="24"/>
        </w:rPr>
      </w:pPr>
    </w:p>
    <w:p w14:paraId="397596E8" w14:textId="77777777" w:rsidR="00B47DD0" w:rsidRPr="00B92969" w:rsidRDefault="00B47DD0" w:rsidP="005C6973">
      <w:pPr>
        <w:jc w:val="both"/>
        <w:rPr>
          <w:b/>
          <w:i/>
          <w:sz w:val="24"/>
          <w:szCs w:val="24"/>
        </w:rPr>
      </w:pPr>
    </w:p>
    <w:p w14:paraId="56934155" w14:textId="77777777" w:rsidR="00B943E0" w:rsidRPr="00823901" w:rsidRDefault="00B943E0" w:rsidP="00B943E0">
      <w:pPr>
        <w:widowControl w:val="0"/>
        <w:jc w:val="both"/>
        <w:rPr>
          <w:sz w:val="24"/>
          <w:szCs w:val="24"/>
        </w:rPr>
      </w:pPr>
      <w:bookmarkStart w:id="0" w:name="_Hlk103857159"/>
      <w:r w:rsidRPr="00823901">
        <w:rPr>
          <w:sz w:val="24"/>
          <w:szCs w:val="24"/>
        </w:rPr>
        <w:t>Señora</w:t>
      </w:r>
    </w:p>
    <w:p w14:paraId="6A3E2F12" w14:textId="77777777" w:rsidR="00B943E0" w:rsidRPr="00823901" w:rsidRDefault="00B943E0" w:rsidP="00B943E0">
      <w:pPr>
        <w:widowControl w:val="0"/>
        <w:jc w:val="both"/>
        <w:rPr>
          <w:sz w:val="24"/>
          <w:szCs w:val="24"/>
        </w:rPr>
      </w:pPr>
      <w:r w:rsidRPr="00823901">
        <w:rPr>
          <w:sz w:val="24"/>
          <w:szCs w:val="24"/>
        </w:rPr>
        <w:t>María del Rocío Aguilar Montoya, superintendente</w:t>
      </w:r>
    </w:p>
    <w:p w14:paraId="6EA0B388" w14:textId="77777777" w:rsidR="00B943E0" w:rsidRPr="00823901" w:rsidRDefault="00B943E0" w:rsidP="00B943E0">
      <w:pPr>
        <w:widowControl w:val="0"/>
        <w:jc w:val="both"/>
        <w:rPr>
          <w:b/>
          <w:i/>
          <w:sz w:val="24"/>
          <w:szCs w:val="24"/>
        </w:rPr>
      </w:pPr>
      <w:r w:rsidRPr="00823901">
        <w:rPr>
          <w:b/>
          <w:i/>
          <w:sz w:val="24"/>
          <w:szCs w:val="24"/>
        </w:rPr>
        <w:t>Superintendencia General de Entidades Financieras</w:t>
      </w:r>
    </w:p>
    <w:p w14:paraId="75F891B2" w14:textId="77777777" w:rsidR="00B943E0" w:rsidRPr="00823901" w:rsidRDefault="00B943E0" w:rsidP="00B943E0">
      <w:pPr>
        <w:widowControl w:val="0"/>
        <w:jc w:val="both"/>
        <w:rPr>
          <w:b/>
          <w:i/>
          <w:sz w:val="24"/>
          <w:szCs w:val="24"/>
        </w:rPr>
      </w:pPr>
    </w:p>
    <w:p w14:paraId="5BFA46E8" w14:textId="77777777" w:rsidR="00B943E0" w:rsidRPr="00823901" w:rsidRDefault="00B943E0" w:rsidP="00B943E0">
      <w:pPr>
        <w:widowControl w:val="0"/>
        <w:jc w:val="both"/>
        <w:rPr>
          <w:b/>
          <w:i/>
          <w:sz w:val="24"/>
          <w:szCs w:val="24"/>
        </w:rPr>
      </w:pPr>
    </w:p>
    <w:p w14:paraId="2B7F2C31" w14:textId="77777777" w:rsidR="00B943E0" w:rsidRPr="00823901" w:rsidRDefault="00B943E0" w:rsidP="00B943E0">
      <w:pPr>
        <w:widowControl w:val="0"/>
        <w:jc w:val="both"/>
        <w:rPr>
          <w:sz w:val="24"/>
          <w:szCs w:val="24"/>
        </w:rPr>
      </w:pPr>
      <w:r w:rsidRPr="00823901">
        <w:rPr>
          <w:sz w:val="24"/>
          <w:szCs w:val="24"/>
        </w:rPr>
        <w:t>Estimada señora:</w:t>
      </w:r>
    </w:p>
    <w:bookmarkEnd w:id="0"/>
    <w:p w14:paraId="7F59B574" w14:textId="77777777" w:rsidR="00D6438A" w:rsidRPr="00B92969" w:rsidRDefault="00D6438A" w:rsidP="005C6973">
      <w:pPr>
        <w:jc w:val="both"/>
        <w:rPr>
          <w:b/>
          <w:i/>
          <w:sz w:val="24"/>
          <w:szCs w:val="24"/>
        </w:rPr>
      </w:pPr>
    </w:p>
    <w:p w14:paraId="2F931F13" w14:textId="602207EE" w:rsidR="000B3D80" w:rsidRPr="00B92969" w:rsidRDefault="000246D3" w:rsidP="000B3D80">
      <w:pPr>
        <w:widowControl w:val="0"/>
        <w:jc w:val="both"/>
        <w:rPr>
          <w:sz w:val="24"/>
          <w:szCs w:val="24"/>
        </w:rPr>
      </w:pPr>
      <w:r w:rsidRPr="00B92969">
        <w:rPr>
          <w:sz w:val="24"/>
          <w:szCs w:val="24"/>
        </w:rPr>
        <w:t>El Consejo Nacional de Supervisión del Sis</w:t>
      </w:r>
      <w:r w:rsidR="00542907" w:rsidRPr="00B92969">
        <w:rPr>
          <w:sz w:val="24"/>
          <w:szCs w:val="24"/>
        </w:rPr>
        <w:t>tema Financiero</w:t>
      </w:r>
      <w:r w:rsidR="004D6CBF" w:rsidRPr="00B92969">
        <w:rPr>
          <w:sz w:val="24"/>
          <w:szCs w:val="24"/>
        </w:rPr>
        <w:t>,</w:t>
      </w:r>
      <w:r w:rsidR="00542907" w:rsidRPr="00B92969">
        <w:rPr>
          <w:sz w:val="24"/>
          <w:szCs w:val="24"/>
        </w:rPr>
        <w:t xml:space="preserve"> en el artículo</w:t>
      </w:r>
      <w:r w:rsidR="006367DF" w:rsidRPr="00B92969">
        <w:rPr>
          <w:sz w:val="24"/>
          <w:szCs w:val="24"/>
        </w:rPr>
        <w:t xml:space="preserve"> </w:t>
      </w:r>
      <w:r w:rsidR="00095E0B" w:rsidRPr="00B92969">
        <w:rPr>
          <w:sz w:val="24"/>
          <w:szCs w:val="24"/>
        </w:rPr>
        <w:t>8</w:t>
      </w:r>
      <w:r w:rsidR="006367DF" w:rsidRPr="00B92969">
        <w:rPr>
          <w:sz w:val="24"/>
          <w:szCs w:val="24"/>
        </w:rPr>
        <w:t xml:space="preserve"> </w:t>
      </w:r>
      <w:r w:rsidRPr="00B92969">
        <w:rPr>
          <w:sz w:val="24"/>
          <w:szCs w:val="24"/>
        </w:rPr>
        <w:t>de</w:t>
      </w:r>
      <w:r w:rsidR="00542907" w:rsidRPr="00B92969">
        <w:rPr>
          <w:sz w:val="24"/>
          <w:szCs w:val="24"/>
        </w:rPr>
        <w:t xml:space="preserve">l </w:t>
      </w:r>
      <w:r w:rsidR="00867718" w:rsidRPr="00B92969">
        <w:rPr>
          <w:sz w:val="24"/>
          <w:szCs w:val="24"/>
        </w:rPr>
        <w:t>acta de la</w:t>
      </w:r>
      <w:r w:rsidR="006367DF" w:rsidRPr="00B92969">
        <w:rPr>
          <w:sz w:val="24"/>
          <w:szCs w:val="24"/>
        </w:rPr>
        <w:t xml:space="preserve"> sesi</w:t>
      </w:r>
      <w:r w:rsidR="000E18F8" w:rsidRPr="00B92969">
        <w:rPr>
          <w:sz w:val="24"/>
          <w:szCs w:val="24"/>
        </w:rPr>
        <w:t xml:space="preserve">ón </w:t>
      </w:r>
      <w:r w:rsidR="002261E0" w:rsidRPr="00B92969">
        <w:rPr>
          <w:sz w:val="24"/>
          <w:szCs w:val="24"/>
        </w:rPr>
        <w:t>1</w:t>
      </w:r>
      <w:r w:rsidR="004A486B" w:rsidRPr="00B92969">
        <w:rPr>
          <w:sz w:val="24"/>
          <w:szCs w:val="24"/>
        </w:rPr>
        <w:t>7</w:t>
      </w:r>
      <w:r w:rsidR="003657B1" w:rsidRPr="00B92969">
        <w:rPr>
          <w:sz w:val="24"/>
          <w:szCs w:val="24"/>
        </w:rPr>
        <w:t>85</w:t>
      </w:r>
      <w:r w:rsidR="00B32AF1" w:rsidRPr="00B92969">
        <w:rPr>
          <w:sz w:val="24"/>
          <w:szCs w:val="24"/>
        </w:rPr>
        <w:t>-202</w:t>
      </w:r>
      <w:r w:rsidR="00526CDD" w:rsidRPr="00B92969">
        <w:rPr>
          <w:sz w:val="24"/>
          <w:szCs w:val="24"/>
        </w:rPr>
        <w:t>3</w:t>
      </w:r>
      <w:r w:rsidR="00A7467E" w:rsidRPr="00B92969">
        <w:rPr>
          <w:sz w:val="24"/>
          <w:szCs w:val="24"/>
        </w:rPr>
        <w:t>,</w:t>
      </w:r>
      <w:r w:rsidR="006367DF" w:rsidRPr="00B92969">
        <w:rPr>
          <w:sz w:val="24"/>
          <w:szCs w:val="24"/>
        </w:rPr>
        <w:t xml:space="preserve"> </w:t>
      </w:r>
      <w:r w:rsidR="00CB07B4" w:rsidRPr="00B92969">
        <w:rPr>
          <w:sz w:val="24"/>
          <w:szCs w:val="24"/>
        </w:rPr>
        <w:t xml:space="preserve">celebrada el </w:t>
      </w:r>
      <w:r w:rsidR="003657B1" w:rsidRPr="00B92969">
        <w:rPr>
          <w:sz w:val="24"/>
          <w:szCs w:val="24"/>
        </w:rPr>
        <w:t xml:space="preserve">20 de febrero </w:t>
      </w:r>
      <w:r w:rsidR="00B32AF1" w:rsidRPr="00B92969">
        <w:rPr>
          <w:sz w:val="24"/>
          <w:szCs w:val="24"/>
        </w:rPr>
        <w:t>de</w:t>
      </w:r>
      <w:r w:rsidR="00423E7D" w:rsidRPr="00B92969">
        <w:rPr>
          <w:sz w:val="24"/>
          <w:szCs w:val="24"/>
        </w:rPr>
        <w:t>l</w:t>
      </w:r>
      <w:r w:rsidR="00B32AF1" w:rsidRPr="00B92969">
        <w:rPr>
          <w:sz w:val="24"/>
          <w:szCs w:val="24"/>
        </w:rPr>
        <w:t xml:space="preserve"> 202</w:t>
      </w:r>
      <w:r w:rsidR="00526CDD" w:rsidRPr="00B92969">
        <w:rPr>
          <w:sz w:val="24"/>
          <w:szCs w:val="24"/>
        </w:rPr>
        <w:t>3</w:t>
      </w:r>
      <w:r w:rsidR="004D6CBF" w:rsidRPr="00B92969">
        <w:rPr>
          <w:sz w:val="24"/>
          <w:szCs w:val="24"/>
        </w:rPr>
        <w:t>,</w:t>
      </w:r>
    </w:p>
    <w:p w14:paraId="3A1BE02A" w14:textId="4971CF0B" w:rsidR="000246D3" w:rsidRPr="00B92969" w:rsidRDefault="000246D3" w:rsidP="005C6973">
      <w:pPr>
        <w:widowControl w:val="0"/>
        <w:jc w:val="both"/>
        <w:rPr>
          <w:sz w:val="24"/>
          <w:szCs w:val="24"/>
        </w:rPr>
      </w:pPr>
    </w:p>
    <w:p w14:paraId="54D57D5C" w14:textId="77777777" w:rsidR="00B72ED7" w:rsidRPr="00B92969" w:rsidRDefault="00B72ED7" w:rsidP="00B72ED7">
      <w:pPr>
        <w:ind w:left="426" w:hanging="426"/>
        <w:jc w:val="both"/>
        <w:rPr>
          <w:b/>
          <w:bCs/>
          <w:sz w:val="24"/>
          <w:szCs w:val="24"/>
        </w:rPr>
      </w:pPr>
      <w:r w:rsidRPr="00B92969">
        <w:rPr>
          <w:b/>
          <w:bCs/>
          <w:sz w:val="24"/>
          <w:szCs w:val="24"/>
        </w:rPr>
        <w:t>I.</w:t>
      </w:r>
      <w:r w:rsidRPr="00B92969">
        <w:rPr>
          <w:b/>
          <w:bCs/>
          <w:sz w:val="24"/>
          <w:szCs w:val="24"/>
        </w:rPr>
        <w:tab/>
        <w:t xml:space="preserve">En relación con el </w:t>
      </w:r>
      <w:r w:rsidRPr="00B92969">
        <w:rPr>
          <w:b/>
          <w:bCs/>
          <w:i/>
          <w:iCs/>
          <w:sz w:val="24"/>
          <w:szCs w:val="24"/>
        </w:rPr>
        <w:t xml:space="preserve">Reglamento sobre la Metodología de Identificación de Entidades de Importancia Sistémica </w:t>
      </w:r>
      <w:r w:rsidRPr="00B92969">
        <w:rPr>
          <w:b/>
          <w:bCs/>
          <w:sz w:val="24"/>
          <w:szCs w:val="24"/>
        </w:rPr>
        <w:t>(Acuerdo CONASSIF 17-23)</w:t>
      </w:r>
    </w:p>
    <w:p w14:paraId="1D37084B" w14:textId="77777777" w:rsidR="00B72ED7" w:rsidRPr="00B92969" w:rsidRDefault="00B72ED7" w:rsidP="00B72ED7">
      <w:pPr>
        <w:tabs>
          <w:tab w:val="left" w:pos="1134"/>
        </w:tabs>
        <w:jc w:val="both"/>
        <w:rPr>
          <w:sz w:val="24"/>
          <w:szCs w:val="24"/>
        </w:rPr>
      </w:pPr>
    </w:p>
    <w:p w14:paraId="6345DEDD" w14:textId="77777777" w:rsidR="00B72ED7" w:rsidRPr="00B92969" w:rsidRDefault="00B72ED7" w:rsidP="00B72ED7">
      <w:pPr>
        <w:tabs>
          <w:tab w:val="left" w:pos="1134"/>
        </w:tabs>
        <w:ind w:left="1134" w:hanging="1134"/>
        <w:jc w:val="both"/>
        <w:rPr>
          <w:b/>
          <w:bCs/>
          <w:sz w:val="24"/>
          <w:szCs w:val="24"/>
        </w:rPr>
      </w:pPr>
      <w:r w:rsidRPr="00B92969">
        <w:rPr>
          <w:b/>
          <w:bCs/>
          <w:sz w:val="24"/>
          <w:szCs w:val="24"/>
        </w:rPr>
        <w:t>considerando que:</w:t>
      </w:r>
    </w:p>
    <w:p w14:paraId="0A83B847" w14:textId="77777777" w:rsidR="00B72ED7" w:rsidRPr="00B92969" w:rsidRDefault="00B72ED7" w:rsidP="00B72ED7">
      <w:pPr>
        <w:tabs>
          <w:tab w:val="left" w:pos="1134"/>
        </w:tabs>
        <w:ind w:left="1134" w:hanging="1134"/>
        <w:jc w:val="both"/>
        <w:rPr>
          <w:b/>
          <w:bCs/>
          <w:sz w:val="24"/>
          <w:szCs w:val="24"/>
        </w:rPr>
      </w:pPr>
    </w:p>
    <w:p w14:paraId="7A413629" w14:textId="77777777" w:rsidR="00B72ED7" w:rsidRPr="00B92969" w:rsidRDefault="00B72ED7" w:rsidP="00B72ED7">
      <w:pPr>
        <w:tabs>
          <w:tab w:val="left" w:pos="1134"/>
        </w:tabs>
        <w:ind w:left="1134" w:hanging="1134"/>
        <w:jc w:val="center"/>
        <w:rPr>
          <w:b/>
          <w:bCs/>
          <w:sz w:val="24"/>
          <w:szCs w:val="24"/>
        </w:rPr>
      </w:pPr>
      <w:r w:rsidRPr="00B92969">
        <w:rPr>
          <w:b/>
          <w:bCs/>
          <w:sz w:val="24"/>
          <w:szCs w:val="24"/>
        </w:rPr>
        <w:t>Consideraciones de orden legal</w:t>
      </w:r>
    </w:p>
    <w:p w14:paraId="32C7AFD7" w14:textId="77777777" w:rsidR="00B72ED7" w:rsidRPr="00B92969" w:rsidRDefault="00B72ED7" w:rsidP="00B72ED7">
      <w:pPr>
        <w:tabs>
          <w:tab w:val="left" w:pos="1134"/>
        </w:tabs>
        <w:ind w:left="1134" w:hanging="1134"/>
        <w:jc w:val="both"/>
        <w:rPr>
          <w:b/>
          <w:bCs/>
          <w:sz w:val="24"/>
          <w:szCs w:val="24"/>
        </w:rPr>
      </w:pPr>
    </w:p>
    <w:p w14:paraId="31B1A924" w14:textId="77777777" w:rsidR="00B72ED7" w:rsidRPr="00B92969" w:rsidRDefault="00B72ED7" w:rsidP="00B72ED7">
      <w:pPr>
        <w:ind w:left="993" w:hanging="993"/>
        <w:jc w:val="both"/>
        <w:rPr>
          <w:sz w:val="24"/>
          <w:szCs w:val="24"/>
        </w:rPr>
      </w:pPr>
      <w:r w:rsidRPr="00B92969">
        <w:rPr>
          <w:b/>
          <w:bCs/>
          <w:sz w:val="24"/>
          <w:szCs w:val="24"/>
        </w:rPr>
        <w:t>I.</w:t>
      </w:r>
      <w:r w:rsidRPr="00B92969">
        <w:rPr>
          <w:sz w:val="24"/>
          <w:szCs w:val="24"/>
        </w:rPr>
        <w:tab/>
        <w:t xml:space="preserve">El literal b) del artículo 171 de la </w:t>
      </w:r>
      <w:r w:rsidRPr="00B92969">
        <w:rPr>
          <w:i/>
          <w:iCs/>
          <w:sz w:val="24"/>
          <w:szCs w:val="24"/>
        </w:rPr>
        <w:t>Ley Reguladora del Mercado de Valores</w:t>
      </w:r>
      <w:r w:rsidRPr="00B92969">
        <w:rPr>
          <w:sz w:val="24"/>
          <w:szCs w:val="24"/>
        </w:rPr>
        <w:t xml:space="preserve">, Ley 7732 dispone que son funciones del </w:t>
      </w:r>
      <w:r w:rsidRPr="00B92969">
        <w:rPr>
          <w:i/>
          <w:iCs/>
          <w:sz w:val="24"/>
          <w:szCs w:val="24"/>
        </w:rPr>
        <w:t>Consejo Nacional de Supervisión del Sistema Financiero</w:t>
      </w:r>
      <w:r w:rsidRPr="00B92969">
        <w:rPr>
          <w:sz w:val="24"/>
          <w:szCs w:val="24"/>
        </w:rPr>
        <w:t xml:space="preserve"> (CONASSIF) aprobar las normas atinentes a la autorización, regulación, supervisión, fiscalización y vigilancia que, conforme a la ley, debe ejecutar la </w:t>
      </w:r>
      <w:r w:rsidRPr="00B92969">
        <w:rPr>
          <w:i/>
          <w:iCs/>
          <w:sz w:val="24"/>
          <w:szCs w:val="24"/>
        </w:rPr>
        <w:t>Superintendencia General de Entidades Financieras</w:t>
      </w:r>
      <w:r w:rsidRPr="00B92969">
        <w:rPr>
          <w:sz w:val="24"/>
          <w:szCs w:val="24"/>
        </w:rPr>
        <w:t xml:space="preserve"> (Sugef).</w:t>
      </w:r>
    </w:p>
    <w:p w14:paraId="07B2A259" w14:textId="77777777" w:rsidR="00B72ED7" w:rsidRPr="00B92969" w:rsidRDefault="00B72ED7" w:rsidP="00B72ED7">
      <w:pPr>
        <w:ind w:left="993" w:hanging="993"/>
        <w:jc w:val="both"/>
        <w:rPr>
          <w:b/>
          <w:bCs/>
          <w:sz w:val="24"/>
          <w:szCs w:val="24"/>
        </w:rPr>
      </w:pPr>
    </w:p>
    <w:p w14:paraId="6B0AE2C2" w14:textId="77777777" w:rsidR="00B72ED7" w:rsidRPr="00B92969" w:rsidRDefault="00B72ED7" w:rsidP="00B72ED7">
      <w:pPr>
        <w:ind w:left="993" w:hanging="993"/>
        <w:jc w:val="both"/>
        <w:rPr>
          <w:sz w:val="24"/>
          <w:szCs w:val="24"/>
        </w:rPr>
      </w:pPr>
      <w:r w:rsidRPr="00B92969">
        <w:rPr>
          <w:b/>
          <w:bCs/>
          <w:sz w:val="24"/>
          <w:szCs w:val="24"/>
        </w:rPr>
        <w:t>II</w:t>
      </w:r>
      <w:r w:rsidRPr="00B92969">
        <w:rPr>
          <w:sz w:val="24"/>
          <w:szCs w:val="24"/>
        </w:rPr>
        <w:t>.</w:t>
      </w:r>
      <w:r w:rsidRPr="00B92969">
        <w:rPr>
          <w:sz w:val="24"/>
          <w:szCs w:val="24"/>
        </w:rPr>
        <w:tab/>
        <w:t xml:space="preserve">El inciso c), del artículo 131 de la </w:t>
      </w:r>
      <w:r w:rsidRPr="00B92969">
        <w:rPr>
          <w:i/>
          <w:iCs/>
          <w:sz w:val="24"/>
          <w:szCs w:val="24"/>
        </w:rPr>
        <w:t>Ley Orgánica del Banco Central de Costa Rica</w:t>
      </w:r>
      <w:r w:rsidRPr="00B92969">
        <w:rPr>
          <w:sz w:val="24"/>
          <w:szCs w:val="24"/>
        </w:rPr>
        <w:t>, Ley 7558, establece, como parte de las funciones del Superintendente General de Entidades Financieras, proponer al Conassif, para su aprobación, las normas que estime necesarias para el desarrollo de las labores de fiscalización y vigilancia.</w:t>
      </w:r>
    </w:p>
    <w:p w14:paraId="1BAA0FAF" w14:textId="77777777" w:rsidR="00B72ED7" w:rsidRPr="00B92969" w:rsidRDefault="00B72ED7" w:rsidP="00B72ED7">
      <w:pPr>
        <w:ind w:left="993" w:hanging="993"/>
        <w:jc w:val="both"/>
        <w:rPr>
          <w:b/>
          <w:bCs/>
          <w:sz w:val="24"/>
          <w:szCs w:val="24"/>
        </w:rPr>
      </w:pPr>
    </w:p>
    <w:p w14:paraId="662872EE" w14:textId="77777777" w:rsidR="00B72ED7" w:rsidRPr="00B92969" w:rsidRDefault="00B72ED7" w:rsidP="00B72ED7">
      <w:pPr>
        <w:ind w:left="993" w:hanging="993"/>
        <w:jc w:val="both"/>
        <w:rPr>
          <w:sz w:val="24"/>
          <w:szCs w:val="24"/>
        </w:rPr>
      </w:pPr>
      <w:r w:rsidRPr="00B92969">
        <w:rPr>
          <w:b/>
          <w:bCs/>
          <w:sz w:val="24"/>
          <w:szCs w:val="24"/>
        </w:rPr>
        <w:t>III.</w:t>
      </w:r>
      <w:r w:rsidRPr="00B92969">
        <w:rPr>
          <w:sz w:val="24"/>
          <w:szCs w:val="24"/>
        </w:rPr>
        <w:tab/>
        <w:t xml:space="preserve">El inciso b) del artículo 136 de la </w:t>
      </w:r>
      <w:r w:rsidRPr="00B92969">
        <w:rPr>
          <w:i/>
          <w:iCs/>
          <w:sz w:val="24"/>
          <w:szCs w:val="24"/>
        </w:rPr>
        <w:t>Ley Orgánica del Banco Central de Costa Rica</w:t>
      </w:r>
      <w:r w:rsidRPr="00B92969">
        <w:rPr>
          <w:sz w:val="24"/>
          <w:szCs w:val="24"/>
        </w:rPr>
        <w:t>, Ley 7558, establece como parte de las disposiciones para juzgar la situación económica y financiera de las entidades que, la reglamentación que dicte el Consejo deberá incluir, entre otros aspectos, requerimientos de capital adicional, cuando sea necesario para que las entidades supervisadas puedan enfrentar mayores riesgos o por su importancia sistémica.</w:t>
      </w:r>
    </w:p>
    <w:p w14:paraId="38CE03CE" w14:textId="77777777" w:rsidR="00B72ED7" w:rsidRPr="00B92969" w:rsidRDefault="00B72ED7" w:rsidP="00B72ED7">
      <w:pPr>
        <w:ind w:left="993" w:hanging="993"/>
        <w:jc w:val="both"/>
        <w:rPr>
          <w:b/>
          <w:bCs/>
          <w:sz w:val="24"/>
          <w:szCs w:val="24"/>
        </w:rPr>
      </w:pPr>
    </w:p>
    <w:p w14:paraId="5274CC87" w14:textId="77777777" w:rsidR="00B72ED7" w:rsidRPr="00B92969" w:rsidRDefault="00B72ED7" w:rsidP="00B72ED7">
      <w:pPr>
        <w:ind w:left="993" w:hanging="993"/>
        <w:jc w:val="both"/>
        <w:rPr>
          <w:sz w:val="24"/>
          <w:szCs w:val="24"/>
        </w:rPr>
      </w:pPr>
      <w:r w:rsidRPr="00B92969">
        <w:rPr>
          <w:b/>
          <w:bCs/>
          <w:sz w:val="24"/>
          <w:szCs w:val="24"/>
        </w:rPr>
        <w:t>IV.</w:t>
      </w:r>
      <w:r w:rsidRPr="00B92969">
        <w:rPr>
          <w:sz w:val="24"/>
          <w:szCs w:val="24"/>
        </w:rPr>
        <w:tab/>
        <w:t>El párrafo segundo del artículo 119 de la Ley 7558, faculta para dictar las normas generales que sean necesarias para el establecimiento de sanas prácticas bancarias, todo en salvaguarda del interés de la colectividad.</w:t>
      </w:r>
    </w:p>
    <w:p w14:paraId="65D736F3" w14:textId="77777777" w:rsidR="00B72ED7" w:rsidRPr="00B92969" w:rsidRDefault="00B72ED7" w:rsidP="00B72ED7">
      <w:pPr>
        <w:ind w:left="993" w:hanging="993"/>
        <w:jc w:val="both"/>
        <w:rPr>
          <w:b/>
          <w:bCs/>
          <w:sz w:val="24"/>
          <w:szCs w:val="24"/>
        </w:rPr>
      </w:pPr>
    </w:p>
    <w:p w14:paraId="0C63F54D" w14:textId="77777777" w:rsidR="00B72ED7" w:rsidRPr="00B92969" w:rsidRDefault="00B72ED7" w:rsidP="00B72ED7">
      <w:pPr>
        <w:ind w:left="993" w:hanging="993"/>
        <w:jc w:val="both"/>
        <w:rPr>
          <w:sz w:val="24"/>
          <w:szCs w:val="24"/>
        </w:rPr>
      </w:pPr>
      <w:r w:rsidRPr="00B92969">
        <w:rPr>
          <w:b/>
          <w:bCs/>
          <w:sz w:val="24"/>
          <w:szCs w:val="24"/>
        </w:rPr>
        <w:lastRenderedPageBreak/>
        <w:t>V</w:t>
      </w:r>
      <w:r w:rsidRPr="00B92969">
        <w:rPr>
          <w:sz w:val="24"/>
          <w:szCs w:val="24"/>
        </w:rPr>
        <w:t>.</w:t>
      </w:r>
      <w:r w:rsidRPr="00B92969">
        <w:rPr>
          <w:sz w:val="24"/>
          <w:szCs w:val="24"/>
        </w:rPr>
        <w:tab/>
        <w:t>El artículo 134 de la Ley 7558 faculta al superintendente de la Sugef a efectuar cualquier acción directa de supervisión o de vigilancia en las entidades fiscalizadas, en el momento que lo considere oportuno.</w:t>
      </w:r>
    </w:p>
    <w:p w14:paraId="71C64976" w14:textId="77777777" w:rsidR="00B72ED7" w:rsidRPr="00B92969" w:rsidRDefault="00B72ED7" w:rsidP="00B72ED7">
      <w:pPr>
        <w:tabs>
          <w:tab w:val="left" w:pos="1134"/>
        </w:tabs>
        <w:ind w:left="993" w:hanging="993"/>
        <w:jc w:val="both"/>
        <w:rPr>
          <w:b/>
          <w:bCs/>
          <w:sz w:val="24"/>
          <w:szCs w:val="24"/>
        </w:rPr>
      </w:pPr>
    </w:p>
    <w:p w14:paraId="5EFD2070" w14:textId="77777777" w:rsidR="00B72ED7" w:rsidRPr="00B92969" w:rsidRDefault="00B72ED7" w:rsidP="00896C37">
      <w:pPr>
        <w:tabs>
          <w:tab w:val="left" w:pos="1134"/>
        </w:tabs>
        <w:ind w:left="993" w:hanging="993"/>
        <w:jc w:val="center"/>
        <w:rPr>
          <w:b/>
          <w:bCs/>
          <w:sz w:val="24"/>
          <w:szCs w:val="24"/>
        </w:rPr>
      </w:pPr>
      <w:r w:rsidRPr="00B92969">
        <w:rPr>
          <w:b/>
          <w:bCs/>
          <w:sz w:val="24"/>
          <w:szCs w:val="24"/>
        </w:rPr>
        <w:t>Consideraciones de orden reglamentario</w:t>
      </w:r>
    </w:p>
    <w:p w14:paraId="2FD24A2C" w14:textId="77777777" w:rsidR="00B72ED7" w:rsidRPr="00B92969" w:rsidRDefault="00B72ED7" w:rsidP="00B72ED7">
      <w:pPr>
        <w:ind w:left="993" w:hanging="993"/>
        <w:jc w:val="both"/>
        <w:rPr>
          <w:b/>
          <w:bCs/>
          <w:sz w:val="24"/>
          <w:szCs w:val="24"/>
        </w:rPr>
      </w:pPr>
    </w:p>
    <w:p w14:paraId="31743986" w14:textId="77777777" w:rsidR="00B72ED7" w:rsidRPr="00B92969" w:rsidRDefault="00B72ED7" w:rsidP="00B72ED7">
      <w:pPr>
        <w:ind w:left="993" w:hanging="993"/>
        <w:jc w:val="both"/>
        <w:rPr>
          <w:sz w:val="24"/>
          <w:szCs w:val="24"/>
        </w:rPr>
      </w:pPr>
      <w:r w:rsidRPr="00B92969">
        <w:rPr>
          <w:b/>
          <w:bCs/>
          <w:sz w:val="24"/>
          <w:szCs w:val="24"/>
        </w:rPr>
        <w:t>VI</w:t>
      </w:r>
      <w:r w:rsidRPr="00B92969">
        <w:rPr>
          <w:sz w:val="24"/>
          <w:szCs w:val="24"/>
        </w:rPr>
        <w:t>.</w:t>
      </w:r>
      <w:r w:rsidRPr="00B92969">
        <w:rPr>
          <w:sz w:val="24"/>
          <w:szCs w:val="24"/>
        </w:rPr>
        <w:tab/>
        <w:t xml:space="preserve">Mediante el </w:t>
      </w:r>
      <w:r w:rsidRPr="00B92969">
        <w:rPr>
          <w:i/>
          <w:iCs/>
          <w:sz w:val="24"/>
          <w:szCs w:val="24"/>
        </w:rPr>
        <w:t>Reglamento sobre la suficiencia patrimonial de entidades financieras,</w:t>
      </w:r>
      <w:r w:rsidRPr="00B92969">
        <w:rPr>
          <w:sz w:val="24"/>
          <w:szCs w:val="24"/>
        </w:rPr>
        <w:t xml:space="preserve"> Acuerdo SUGEF 3-06, se establece la metodología para el cálculo del indicador de suficiencia patrimonial y del indicador de apalancamiento de las entidades financieras, los requerimientos mínimos y adicionales de capital, y los rangos cuantitativos que determinan la calificación de la entidad según su suficiencia patrimonial o solvencia.</w:t>
      </w:r>
    </w:p>
    <w:p w14:paraId="52CFA4B7" w14:textId="77777777" w:rsidR="00B72ED7" w:rsidRPr="00B92969" w:rsidRDefault="00B72ED7" w:rsidP="00B72ED7">
      <w:pPr>
        <w:ind w:left="993" w:hanging="993"/>
        <w:jc w:val="both"/>
        <w:rPr>
          <w:b/>
          <w:bCs/>
          <w:sz w:val="24"/>
          <w:szCs w:val="24"/>
        </w:rPr>
      </w:pPr>
    </w:p>
    <w:p w14:paraId="02EEF4EC" w14:textId="77777777" w:rsidR="00B72ED7" w:rsidRPr="00B92969" w:rsidRDefault="00B72ED7" w:rsidP="00B72ED7">
      <w:pPr>
        <w:ind w:left="993" w:hanging="993"/>
        <w:jc w:val="both"/>
        <w:rPr>
          <w:sz w:val="24"/>
          <w:szCs w:val="24"/>
        </w:rPr>
      </w:pPr>
      <w:r w:rsidRPr="00B92969">
        <w:rPr>
          <w:b/>
          <w:bCs/>
          <w:sz w:val="24"/>
          <w:szCs w:val="24"/>
        </w:rPr>
        <w:t>VII</w:t>
      </w:r>
      <w:r w:rsidRPr="00B92969">
        <w:rPr>
          <w:sz w:val="24"/>
          <w:szCs w:val="24"/>
        </w:rPr>
        <w:t>.</w:t>
      </w:r>
      <w:r w:rsidRPr="00B92969">
        <w:rPr>
          <w:sz w:val="24"/>
          <w:szCs w:val="24"/>
        </w:rPr>
        <w:tab/>
        <w:t>Mediante artículo 8 del acta de la sesión 1663-2021, celebrada el 17 de mayo de 2021, el CONASSIF dispuso modificar el Acuerdo SUGEF 3-06, con el objetivo de establecer una nueva estructura de capital base para las entidades supervisadas. Esa estructura responde a las mejores prácticas y a las recomendaciones emitidas por el Comité de Supervisión Bancaria de Basilea. Mediante el Anexo 6 del</w:t>
      </w:r>
      <w:r w:rsidRPr="00B92969">
        <w:rPr>
          <w:i/>
          <w:iCs/>
          <w:sz w:val="24"/>
          <w:szCs w:val="24"/>
        </w:rPr>
        <w:t xml:space="preserve"> </w:t>
      </w:r>
      <w:r w:rsidRPr="00B92969">
        <w:rPr>
          <w:sz w:val="24"/>
          <w:szCs w:val="24"/>
        </w:rPr>
        <w:t>citado acuerdo, se establece un marco metodológico para la identificación de entidades de importancia sistémica basado en los requerimientos establecidos en Basilea III sobre esta materia. Las modificaciones del Acuerdo Sugef 3-06 tienen una vigencia plena a partir del 1° de enero de 2025.</w:t>
      </w:r>
    </w:p>
    <w:p w14:paraId="2436BF8D" w14:textId="77777777" w:rsidR="00B72ED7" w:rsidRPr="00B92969" w:rsidRDefault="00B72ED7" w:rsidP="00B72ED7">
      <w:pPr>
        <w:ind w:left="993" w:hanging="993"/>
        <w:jc w:val="both"/>
        <w:rPr>
          <w:sz w:val="24"/>
          <w:szCs w:val="24"/>
        </w:rPr>
      </w:pPr>
    </w:p>
    <w:p w14:paraId="635F5871" w14:textId="77777777" w:rsidR="00B72ED7" w:rsidRPr="00B92969" w:rsidRDefault="00B72ED7" w:rsidP="00B72ED7">
      <w:pPr>
        <w:tabs>
          <w:tab w:val="left" w:pos="1134"/>
        </w:tabs>
        <w:ind w:left="993" w:hanging="993"/>
        <w:jc w:val="center"/>
        <w:rPr>
          <w:b/>
          <w:bCs/>
          <w:sz w:val="24"/>
          <w:szCs w:val="24"/>
        </w:rPr>
      </w:pPr>
      <w:r w:rsidRPr="00B92969">
        <w:rPr>
          <w:b/>
          <w:bCs/>
          <w:sz w:val="24"/>
          <w:szCs w:val="24"/>
        </w:rPr>
        <w:t>Consideraciones sobre las recomendaciones internacionales en torno a la identificación de entidades financieras de importancia sistémica</w:t>
      </w:r>
    </w:p>
    <w:p w14:paraId="5BD0DE2F" w14:textId="77777777" w:rsidR="00B72ED7" w:rsidRPr="00B92969" w:rsidRDefault="00B72ED7" w:rsidP="00B72ED7">
      <w:pPr>
        <w:tabs>
          <w:tab w:val="left" w:pos="1134"/>
        </w:tabs>
        <w:ind w:left="993" w:hanging="993"/>
        <w:jc w:val="both"/>
        <w:rPr>
          <w:b/>
          <w:bCs/>
          <w:sz w:val="24"/>
          <w:szCs w:val="24"/>
        </w:rPr>
      </w:pPr>
    </w:p>
    <w:p w14:paraId="76E8A9EE" w14:textId="77777777" w:rsidR="00B72ED7" w:rsidRPr="00B92969" w:rsidRDefault="00B72ED7" w:rsidP="00B72ED7">
      <w:pPr>
        <w:ind w:left="993" w:hanging="993"/>
        <w:jc w:val="both"/>
        <w:rPr>
          <w:sz w:val="24"/>
          <w:szCs w:val="24"/>
        </w:rPr>
      </w:pPr>
      <w:r w:rsidRPr="00B92969">
        <w:rPr>
          <w:b/>
          <w:bCs/>
          <w:sz w:val="24"/>
          <w:szCs w:val="24"/>
        </w:rPr>
        <w:t>VIII.</w:t>
      </w:r>
      <w:r w:rsidRPr="00B92969">
        <w:rPr>
          <w:b/>
          <w:bCs/>
          <w:sz w:val="24"/>
          <w:szCs w:val="24"/>
        </w:rPr>
        <w:tab/>
      </w:r>
      <w:r w:rsidRPr="00B92969">
        <w:rPr>
          <w:sz w:val="24"/>
          <w:szCs w:val="24"/>
        </w:rPr>
        <w:t>Durante la crisis financiera iniciada en 2007, las repercusiones de la quiebra o deterioro patrimonial de varias instituciones financieras globales y de gran tamaño alcanzaron a todo el sistema financiero, lo que perjudicó a su vez a la actividad económica real. Los supervisores y otras autoridades relevantes contaban con limitadas opciones para evitar que problemas de entidades individuales se propagaran y, con ello, socavaran la estabilidad financiera. Como consecuencia, la intervención a gran escala del sector público se hizo necesaria para poder restablecer la estabilidad financiera. Dados los costos financieros y económicos asociados a estas intervenciones, así como el consiguiente aumento del riesgo moral, fue preciso aplicar medidas adicionales encaminadas a reducir la probabilidad y gravedad de los problemas que nacen de la quiebra de instituciones financieras de importancia sistémica.</w:t>
      </w:r>
    </w:p>
    <w:p w14:paraId="56CC0F23" w14:textId="77777777" w:rsidR="00B72ED7" w:rsidRPr="00B92969" w:rsidRDefault="00B72ED7" w:rsidP="00B72ED7">
      <w:pPr>
        <w:ind w:left="993" w:hanging="993"/>
        <w:jc w:val="both"/>
        <w:rPr>
          <w:b/>
          <w:bCs/>
          <w:sz w:val="24"/>
          <w:szCs w:val="24"/>
        </w:rPr>
      </w:pPr>
    </w:p>
    <w:p w14:paraId="6D6D9F55" w14:textId="77777777" w:rsidR="00B72ED7" w:rsidRPr="00B92969" w:rsidRDefault="00B72ED7" w:rsidP="00B72ED7">
      <w:pPr>
        <w:ind w:left="993" w:hanging="993"/>
        <w:jc w:val="both"/>
        <w:rPr>
          <w:sz w:val="24"/>
          <w:szCs w:val="24"/>
        </w:rPr>
      </w:pPr>
      <w:r w:rsidRPr="00B92969">
        <w:rPr>
          <w:b/>
          <w:bCs/>
          <w:sz w:val="24"/>
          <w:szCs w:val="24"/>
        </w:rPr>
        <w:t>IX</w:t>
      </w:r>
      <w:r w:rsidRPr="00B92969">
        <w:rPr>
          <w:sz w:val="24"/>
          <w:szCs w:val="24"/>
        </w:rPr>
        <w:t>.</w:t>
      </w:r>
      <w:r w:rsidRPr="00B92969">
        <w:rPr>
          <w:sz w:val="24"/>
          <w:szCs w:val="24"/>
        </w:rPr>
        <w:tab/>
        <w:t xml:space="preserve">El Comité de Supervisión Bancaria de Basilea publicó en noviembre de 2011 el texto normativo sobre la metodología de evaluación de los bancos de importancia sistémica mundial y sus requisitos de absorción de pérdidas adicionales. Dicho texto fue refrendado por los líderes del G-20 en su reunión de noviembre de 2011. Los líderes del G-20 también solicitaron al Comité y al Consejo de Estabilidad Financiera </w:t>
      </w:r>
      <w:r w:rsidRPr="00B92969">
        <w:rPr>
          <w:sz w:val="24"/>
          <w:szCs w:val="24"/>
        </w:rPr>
        <w:lastRenderedPageBreak/>
        <w:t>que exploraran modalidades para ampliar sin dilación el texto normativo a los bancos de importancia sistémica local.</w:t>
      </w:r>
    </w:p>
    <w:p w14:paraId="2186761E" w14:textId="77777777" w:rsidR="00B72ED7" w:rsidRPr="00B92969" w:rsidRDefault="00B72ED7" w:rsidP="00B72ED7">
      <w:pPr>
        <w:ind w:left="993" w:hanging="993"/>
        <w:jc w:val="both"/>
        <w:rPr>
          <w:b/>
          <w:bCs/>
          <w:sz w:val="24"/>
          <w:szCs w:val="24"/>
        </w:rPr>
      </w:pPr>
    </w:p>
    <w:p w14:paraId="3E6E28A7" w14:textId="77777777" w:rsidR="00B72ED7" w:rsidRPr="00B92969" w:rsidRDefault="00B72ED7" w:rsidP="00B72ED7">
      <w:pPr>
        <w:ind w:left="993" w:hanging="993"/>
        <w:jc w:val="both"/>
        <w:rPr>
          <w:sz w:val="24"/>
          <w:szCs w:val="24"/>
        </w:rPr>
      </w:pPr>
      <w:r w:rsidRPr="00B92969">
        <w:rPr>
          <w:b/>
          <w:bCs/>
          <w:sz w:val="24"/>
          <w:szCs w:val="24"/>
        </w:rPr>
        <w:t>X.</w:t>
      </w:r>
      <w:r w:rsidRPr="00B92969">
        <w:rPr>
          <w:sz w:val="24"/>
          <w:szCs w:val="24"/>
        </w:rPr>
        <w:tab/>
        <w:t>El motivo por el que se adoptaron medidas adicionales para los bancos de importancia sistémica mundial es que éstos crean externalidades negativas (efectos secundarios adversos) a las que las actuales políticas reguladoras no responden plenamente. Al intentar maximizar sus beneficios privados, las instituciones financieras pueden tomar decisiones racionales a nivel individual que, al no tener en cuenta dichas externalidades, no son óptimas para el conjunto del sistema. Estas externalidades negativas incluyen el impacto de la quiebra o el deterioro de grandes instituciones financieras interconectadas que pueden transmitir perturbaciones por todo el sistema financiero y que, a su vez, pueden dañar la economía real. Además, los costes en forma de riesgo moral asociados al apoyo directo y a las garantías implícitas del Gobierno pueden incentivar la asunción de riesgos, reducir la disciplina del mercado, crear distorsiones para la competencia y aumentar aún más la probabilidad de episodios de tensión en el futuro. Como resultado, los costes relativos al riesgo moral se suman a los costes directos de apoyo que puedan tener que sufragar los contribuyentes.</w:t>
      </w:r>
    </w:p>
    <w:p w14:paraId="231A5AA6" w14:textId="77777777" w:rsidR="00B72ED7" w:rsidRPr="00B92969" w:rsidRDefault="00B72ED7" w:rsidP="00B72ED7">
      <w:pPr>
        <w:ind w:left="993" w:hanging="993"/>
        <w:jc w:val="both"/>
        <w:rPr>
          <w:b/>
          <w:bCs/>
          <w:sz w:val="24"/>
          <w:szCs w:val="24"/>
        </w:rPr>
      </w:pPr>
    </w:p>
    <w:p w14:paraId="45144CD3" w14:textId="77777777" w:rsidR="00B72ED7" w:rsidRPr="00B92969" w:rsidRDefault="00B72ED7" w:rsidP="00B72ED7">
      <w:pPr>
        <w:ind w:left="993" w:hanging="993"/>
        <w:jc w:val="both"/>
        <w:rPr>
          <w:sz w:val="24"/>
          <w:szCs w:val="24"/>
        </w:rPr>
      </w:pPr>
      <w:r w:rsidRPr="00B92969">
        <w:rPr>
          <w:b/>
          <w:bCs/>
          <w:sz w:val="24"/>
          <w:szCs w:val="24"/>
        </w:rPr>
        <w:t>XI.</w:t>
      </w:r>
      <w:r w:rsidRPr="00B92969">
        <w:rPr>
          <w:b/>
          <w:bCs/>
          <w:sz w:val="24"/>
          <w:szCs w:val="24"/>
        </w:rPr>
        <w:tab/>
      </w:r>
      <w:r w:rsidRPr="00B92969">
        <w:rPr>
          <w:sz w:val="24"/>
          <w:szCs w:val="24"/>
        </w:rPr>
        <w:t>El requerimiento adicional aplicado a los bancos de importancia sistémica mundial, que se superpone a los requerimientos de Basilea III aplicados a todos los bancos con actividad internacional, persigue limitar estas externalidades negativas transfronterizas sobre el sistema financiero internacional y la economía mundial que conllevan las instituciones financieras de mayor importancia sistémica mundial. Sin embargo, también pueden existir externalidades similares a escala local. Existen muchos bancos que, aun no siendo significativos a escala internacional, pueden tener importantes consecuencias para su sistema financiero y su economía local, en comparación con instituciones no sistémicas. Por analogía con el caso de los bancos de importancia sistémica mundial, se consideró adecuado buscar la manera de tratar las externalidades planteadas por los bancos de importancia sistémica local.</w:t>
      </w:r>
    </w:p>
    <w:p w14:paraId="36D40F2C" w14:textId="77777777" w:rsidR="00B72ED7" w:rsidRPr="00B92969" w:rsidRDefault="00B72ED7" w:rsidP="00B72ED7">
      <w:pPr>
        <w:ind w:left="993" w:hanging="993"/>
        <w:jc w:val="both"/>
        <w:rPr>
          <w:b/>
          <w:bCs/>
          <w:sz w:val="24"/>
          <w:szCs w:val="24"/>
        </w:rPr>
      </w:pPr>
    </w:p>
    <w:p w14:paraId="0056E0A2" w14:textId="77777777" w:rsidR="00B72ED7" w:rsidRPr="00B92969" w:rsidRDefault="00B72ED7" w:rsidP="00B72ED7">
      <w:pPr>
        <w:ind w:left="993" w:hanging="993"/>
        <w:jc w:val="both"/>
        <w:rPr>
          <w:sz w:val="24"/>
          <w:szCs w:val="24"/>
        </w:rPr>
      </w:pPr>
      <w:r w:rsidRPr="00B92969">
        <w:rPr>
          <w:b/>
          <w:bCs/>
          <w:sz w:val="24"/>
          <w:szCs w:val="24"/>
        </w:rPr>
        <w:t>XII.</w:t>
      </w:r>
      <w:r w:rsidRPr="00B92969">
        <w:rPr>
          <w:b/>
          <w:bCs/>
          <w:sz w:val="24"/>
          <w:szCs w:val="24"/>
        </w:rPr>
        <w:tab/>
      </w:r>
      <w:r w:rsidRPr="00B92969">
        <w:rPr>
          <w:sz w:val="24"/>
          <w:szCs w:val="24"/>
        </w:rPr>
        <w:t>La mejor forma de concebir un marco aplicable a entidades financieras de importancia sistémica local es centrando la atención en el impacto que el deterioro o la quiebra de las instituciones tendría para la economía local. Así, el marco se basa en la evaluación realizada por las autoridades locales, que son las mejor situadas para evaluar el impacto de esa quiebra sobre el sistema financiero local y la economía local.</w:t>
      </w:r>
    </w:p>
    <w:p w14:paraId="1FF44B92" w14:textId="77777777" w:rsidR="00B72ED7" w:rsidRPr="00B92969" w:rsidRDefault="00B72ED7" w:rsidP="00B72ED7">
      <w:pPr>
        <w:ind w:left="993" w:hanging="993"/>
        <w:jc w:val="both"/>
        <w:rPr>
          <w:b/>
          <w:bCs/>
          <w:sz w:val="24"/>
          <w:szCs w:val="24"/>
        </w:rPr>
      </w:pPr>
    </w:p>
    <w:p w14:paraId="7A03D3AA" w14:textId="77777777" w:rsidR="00B72ED7" w:rsidRPr="00B92969" w:rsidRDefault="00B72ED7" w:rsidP="00B72ED7">
      <w:pPr>
        <w:ind w:left="993" w:hanging="993"/>
        <w:jc w:val="both"/>
        <w:rPr>
          <w:sz w:val="24"/>
          <w:szCs w:val="24"/>
        </w:rPr>
      </w:pPr>
      <w:r w:rsidRPr="00B92969">
        <w:rPr>
          <w:b/>
          <w:bCs/>
          <w:sz w:val="24"/>
          <w:szCs w:val="24"/>
        </w:rPr>
        <w:t>XIII.</w:t>
      </w:r>
      <w:r w:rsidRPr="00B92969">
        <w:rPr>
          <w:b/>
          <w:bCs/>
          <w:sz w:val="24"/>
          <w:szCs w:val="24"/>
        </w:rPr>
        <w:tab/>
      </w:r>
      <w:r w:rsidRPr="00B92969">
        <w:rPr>
          <w:sz w:val="24"/>
          <w:szCs w:val="24"/>
        </w:rPr>
        <w:t>Los principios propuestos por el Comité de Supervisión Bancaria de Basilea para los bancos de importancia sistémica local permiten suficiente discrecionalidad nacional para establecer requerimientos adicionales basados en las características específicas del país y de su sector bancario local.</w:t>
      </w:r>
    </w:p>
    <w:p w14:paraId="7FDC0EC0" w14:textId="77777777" w:rsidR="00B72ED7" w:rsidRPr="00B92969" w:rsidRDefault="00B72ED7" w:rsidP="00B72ED7">
      <w:pPr>
        <w:tabs>
          <w:tab w:val="left" w:pos="1134"/>
        </w:tabs>
        <w:ind w:left="993" w:hanging="993"/>
        <w:jc w:val="both"/>
        <w:rPr>
          <w:b/>
          <w:bCs/>
          <w:sz w:val="24"/>
          <w:szCs w:val="24"/>
        </w:rPr>
      </w:pPr>
    </w:p>
    <w:p w14:paraId="382ECE77" w14:textId="77777777" w:rsidR="00B72ED7" w:rsidRPr="00B92969" w:rsidRDefault="00B72ED7" w:rsidP="00B72ED7">
      <w:pPr>
        <w:tabs>
          <w:tab w:val="left" w:pos="1134"/>
        </w:tabs>
        <w:ind w:left="993" w:hanging="993"/>
        <w:jc w:val="center"/>
        <w:rPr>
          <w:b/>
          <w:bCs/>
          <w:sz w:val="24"/>
          <w:szCs w:val="24"/>
        </w:rPr>
      </w:pPr>
      <w:r w:rsidRPr="00B92969">
        <w:rPr>
          <w:b/>
          <w:bCs/>
          <w:sz w:val="24"/>
          <w:szCs w:val="24"/>
        </w:rPr>
        <w:t>Consideraciones sobre las entidades de importancia sistémica</w:t>
      </w:r>
    </w:p>
    <w:p w14:paraId="76B388AA" w14:textId="77777777" w:rsidR="00B72ED7" w:rsidRPr="00B92969" w:rsidRDefault="00B72ED7" w:rsidP="00B72ED7">
      <w:pPr>
        <w:tabs>
          <w:tab w:val="left" w:pos="1134"/>
        </w:tabs>
        <w:ind w:left="993" w:hanging="993"/>
        <w:jc w:val="both"/>
        <w:rPr>
          <w:b/>
          <w:bCs/>
          <w:sz w:val="24"/>
          <w:szCs w:val="24"/>
        </w:rPr>
      </w:pPr>
    </w:p>
    <w:p w14:paraId="608ECF00" w14:textId="77777777" w:rsidR="00B72ED7" w:rsidRPr="00B92969" w:rsidRDefault="00B72ED7" w:rsidP="00B72ED7">
      <w:pPr>
        <w:ind w:left="993" w:hanging="993"/>
        <w:jc w:val="both"/>
        <w:rPr>
          <w:sz w:val="24"/>
          <w:szCs w:val="24"/>
        </w:rPr>
      </w:pPr>
      <w:r w:rsidRPr="00B92969">
        <w:rPr>
          <w:b/>
          <w:bCs/>
          <w:sz w:val="24"/>
          <w:szCs w:val="24"/>
        </w:rPr>
        <w:lastRenderedPageBreak/>
        <w:t>XIV.</w:t>
      </w:r>
      <w:r w:rsidRPr="00B92969">
        <w:rPr>
          <w:b/>
          <w:bCs/>
          <w:sz w:val="24"/>
          <w:szCs w:val="24"/>
        </w:rPr>
        <w:tab/>
      </w:r>
      <w:r w:rsidRPr="00B92969">
        <w:rPr>
          <w:sz w:val="24"/>
          <w:szCs w:val="24"/>
        </w:rPr>
        <w:t>Se considera que una entidad financiera tiene importancia sistémica a nivel local cuando su deterioro financiero o eventual insolvencia pueda comprometer la estabilidad del sistema financiero en su conjunto. El Comité de Supervisión Bancaria de Basilea considera que la importancia sistémica debe medirse en términos del impacto que la quiebra de un banco pueda tener en el sistema financiero y en el conjunto de la economía, y no como el riesgo de que la quiebra se produzca. En este contexto, las exigencias adicionales para estas entidades buscan acotar su impacto sistémico y reducir el riesgo moral, internalizando las potenciales externalidades negativas que su deterioro financiero o eventual insolvencia pudiesen ocasionar.</w:t>
      </w:r>
    </w:p>
    <w:p w14:paraId="61A82CE8" w14:textId="77777777" w:rsidR="00B72ED7" w:rsidRPr="00B92969" w:rsidRDefault="00B72ED7" w:rsidP="00B72ED7">
      <w:pPr>
        <w:ind w:left="993" w:hanging="993"/>
        <w:jc w:val="both"/>
        <w:rPr>
          <w:b/>
          <w:bCs/>
          <w:sz w:val="24"/>
          <w:szCs w:val="24"/>
        </w:rPr>
      </w:pPr>
    </w:p>
    <w:p w14:paraId="0BCFAE6E" w14:textId="77777777" w:rsidR="00B72ED7" w:rsidRPr="00B92969" w:rsidRDefault="00B72ED7" w:rsidP="00B72ED7">
      <w:pPr>
        <w:ind w:left="993" w:hanging="993"/>
        <w:jc w:val="both"/>
        <w:rPr>
          <w:sz w:val="24"/>
          <w:szCs w:val="24"/>
        </w:rPr>
      </w:pPr>
      <w:r w:rsidRPr="00B92969">
        <w:rPr>
          <w:b/>
          <w:bCs/>
          <w:sz w:val="24"/>
          <w:szCs w:val="24"/>
        </w:rPr>
        <w:t>XV.</w:t>
      </w:r>
      <w:r w:rsidRPr="00B92969">
        <w:rPr>
          <w:b/>
          <w:bCs/>
          <w:sz w:val="24"/>
          <w:szCs w:val="24"/>
        </w:rPr>
        <w:tab/>
      </w:r>
      <w:r w:rsidRPr="00B92969">
        <w:rPr>
          <w:sz w:val="24"/>
          <w:szCs w:val="24"/>
        </w:rPr>
        <w:t>Las exigencias adicionales para las entidades de importancia sistémica son coherentes con lo establecido por el Comité de Supervisión Bancaria de Basilea en su marco para el tratamiento de bancos sistémicamente importantes a nivel local, que incluye principios para la identificación de estos bancos y la definición de cargos adicionales de capital por este concepto.</w:t>
      </w:r>
    </w:p>
    <w:p w14:paraId="396365E3" w14:textId="77777777" w:rsidR="00B72ED7" w:rsidRPr="00B92969" w:rsidRDefault="00B72ED7" w:rsidP="00B72ED7">
      <w:pPr>
        <w:ind w:left="993" w:hanging="993"/>
        <w:jc w:val="both"/>
        <w:rPr>
          <w:b/>
          <w:bCs/>
          <w:sz w:val="24"/>
          <w:szCs w:val="24"/>
        </w:rPr>
      </w:pPr>
    </w:p>
    <w:p w14:paraId="35488A96" w14:textId="77777777" w:rsidR="00B72ED7" w:rsidRPr="00B92969" w:rsidRDefault="00B72ED7" w:rsidP="00B72ED7">
      <w:pPr>
        <w:ind w:left="993" w:hanging="993"/>
        <w:jc w:val="both"/>
        <w:rPr>
          <w:sz w:val="24"/>
          <w:szCs w:val="24"/>
        </w:rPr>
      </w:pPr>
      <w:r w:rsidRPr="00B92969">
        <w:rPr>
          <w:b/>
          <w:bCs/>
          <w:sz w:val="24"/>
          <w:szCs w:val="24"/>
        </w:rPr>
        <w:t>XVI.</w:t>
      </w:r>
      <w:r w:rsidRPr="00B92969">
        <w:rPr>
          <w:b/>
          <w:bCs/>
          <w:sz w:val="24"/>
          <w:szCs w:val="24"/>
        </w:rPr>
        <w:tab/>
      </w:r>
      <w:r w:rsidRPr="00B92969">
        <w:rPr>
          <w:sz w:val="24"/>
          <w:szCs w:val="24"/>
        </w:rPr>
        <w:t xml:space="preserve">La condición de importancia sistémica se define en función de dimensiones como el tamaño, la interconexión, la complejidad y el grado de sustitución. Desde el punto de vista macroprudencial, las herramientas regulatorias y las prácticas de supervisión se enfocan en asegurar la mayor fortaleza de estas entidades. La expectativa del supervisor es que estas entidades tengan la capacidad financiera para sobrellevar el impacto de </w:t>
      </w:r>
      <w:r w:rsidRPr="00B92969">
        <w:rPr>
          <w:i/>
          <w:iCs/>
          <w:sz w:val="24"/>
          <w:szCs w:val="24"/>
        </w:rPr>
        <w:t xml:space="preserve">shocks </w:t>
      </w:r>
      <w:r w:rsidRPr="00B92969">
        <w:rPr>
          <w:sz w:val="24"/>
          <w:szCs w:val="24"/>
        </w:rPr>
        <w:t>externos sin una afectación a su operación normal, y reducir así la probabilidad de que estas entidades sistémicas sean fuente de vulnerabilidad e inestabilidad para el resto del mercado financiero.</w:t>
      </w:r>
    </w:p>
    <w:p w14:paraId="3AF95D28" w14:textId="77777777" w:rsidR="00B72ED7" w:rsidRPr="00B92969" w:rsidRDefault="00B72ED7" w:rsidP="00B72ED7">
      <w:pPr>
        <w:tabs>
          <w:tab w:val="left" w:pos="567"/>
        </w:tabs>
        <w:ind w:left="993" w:hanging="993"/>
        <w:jc w:val="both"/>
        <w:rPr>
          <w:b/>
          <w:bCs/>
          <w:sz w:val="24"/>
          <w:szCs w:val="24"/>
        </w:rPr>
      </w:pPr>
    </w:p>
    <w:p w14:paraId="0B779802" w14:textId="77777777" w:rsidR="00B72ED7" w:rsidRPr="00B92969" w:rsidRDefault="00B72ED7" w:rsidP="00B72ED7">
      <w:pPr>
        <w:tabs>
          <w:tab w:val="left" w:pos="567"/>
        </w:tabs>
        <w:ind w:left="993" w:hanging="993"/>
        <w:jc w:val="both"/>
        <w:rPr>
          <w:b/>
          <w:bCs/>
          <w:sz w:val="24"/>
          <w:szCs w:val="24"/>
        </w:rPr>
      </w:pPr>
      <w:r w:rsidRPr="00B92969">
        <w:rPr>
          <w:b/>
          <w:bCs/>
          <w:sz w:val="24"/>
          <w:szCs w:val="24"/>
        </w:rPr>
        <w:t>Consideraciones sobre las entidades de importancia sistémica supervisadas por la SUGEF</w:t>
      </w:r>
    </w:p>
    <w:p w14:paraId="060F3B5A" w14:textId="77777777" w:rsidR="00B72ED7" w:rsidRPr="00B92969" w:rsidRDefault="00B72ED7" w:rsidP="00B72ED7">
      <w:pPr>
        <w:ind w:left="993" w:hanging="993"/>
        <w:jc w:val="both"/>
        <w:rPr>
          <w:b/>
          <w:bCs/>
          <w:sz w:val="24"/>
          <w:szCs w:val="24"/>
        </w:rPr>
      </w:pPr>
    </w:p>
    <w:p w14:paraId="1164AF22" w14:textId="77777777" w:rsidR="00B72ED7" w:rsidRPr="00B92969" w:rsidRDefault="00B72ED7" w:rsidP="00B72ED7">
      <w:pPr>
        <w:ind w:left="993" w:hanging="993"/>
        <w:jc w:val="both"/>
        <w:rPr>
          <w:sz w:val="24"/>
          <w:szCs w:val="24"/>
        </w:rPr>
      </w:pPr>
      <w:r w:rsidRPr="00B92969">
        <w:rPr>
          <w:b/>
          <w:bCs/>
          <w:sz w:val="24"/>
          <w:szCs w:val="24"/>
        </w:rPr>
        <w:t>XVII.</w:t>
      </w:r>
      <w:r w:rsidRPr="00B92969">
        <w:rPr>
          <w:b/>
          <w:bCs/>
          <w:sz w:val="24"/>
          <w:szCs w:val="24"/>
        </w:rPr>
        <w:tab/>
      </w:r>
      <w:r w:rsidRPr="00B92969">
        <w:rPr>
          <w:sz w:val="24"/>
          <w:szCs w:val="24"/>
        </w:rPr>
        <w:t xml:space="preserve">El mercado financiero costarricense se caracteriza, entre otros aspectos, por la presencia de entidades financieras de gran tamaño y elevados niveles de interconexión. El funcionamiento estable y eficiente de estas entidades incide de manera importante en el buen desempeño del mercado como un todo, por lo que desde una perspectiva macroprudencial y </w:t>
      </w:r>
      <w:proofErr w:type="spellStart"/>
      <w:r w:rsidRPr="00B92969">
        <w:rPr>
          <w:sz w:val="24"/>
          <w:szCs w:val="24"/>
        </w:rPr>
        <w:t>microprudencial</w:t>
      </w:r>
      <w:proofErr w:type="spellEnd"/>
      <w:r w:rsidRPr="00B92969">
        <w:rPr>
          <w:sz w:val="24"/>
          <w:szCs w:val="24"/>
        </w:rPr>
        <w:t>, resulta necesario dotar al supervisor de herramientas que coadyuven con su mayor fortaleza.</w:t>
      </w:r>
    </w:p>
    <w:p w14:paraId="5E9F711C" w14:textId="77777777" w:rsidR="00B72ED7" w:rsidRPr="00B92969" w:rsidRDefault="00B72ED7" w:rsidP="00B72ED7">
      <w:pPr>
        <w:ind w:left="993" w:hanging="993"/>
        <w:jc w:val="both"/>
        <w:rPr>
          <w:b/>
          <w:bCs/>
          <w:sz w:val="24"/>
          <w:szCs w:val="24"/>
        </w:rPr>
      </w:pPr>
    </w:p>
    <w:p w14:paraId="25C31D22" w14:textId="77777777" w:rsidR="00B72ED7" w:rsidRPr="00B92969" w:rsidRDefault="00B72ED7" w:rsidP="00B72ED7">
      <w:pPr>
        <w:ind w:left="993" w:hanging="993"/>
        <w:jc w:val="both"/>
        <w:rPr>
          <w:sz w:val="24"/>
          <w:szCs w:val="24"/>
        </w:rPr>
      </w:pPr>
      <w:r w:rsidRPr="00B92969">
        <w:rPr>
          <w:b/>
          <w:bCs/>
          <w:sz w:val="24"/>
          <w:szCs w:val="24"/>
        </w:rPr>
        <w:t>XVIII.</w:t>
      </w:r>
      <w:r w:rsidRPr="00B92969">
        <w:rPr>
          <w:b/>
          <w:bCs/>
          <w:sz w:val="24"/>
          <w:szCs w:val="24"/>
        </w:rPr>
        <w:tab/>
      </w:r>
      <w:r w:rsidRPr="00B92969">
        <w:rPr>
          <w:sz w:val="24"/>
          <w:szCs w:val="24"/>
        </w:rPr>
        <w:t>En función de</w:t>
      </w:r>
      <w:r w:rsidRPr="00B92969">
        <w:rPr>
          <w:sz w:val="24"/>
          <w:szCs w:val="24"/>
          <w:lang w:val="es-MX"/>
        </w:rPr>
        <w:t>l ámbito de la supervisión, control, vigilancia y capacidad normativa del Conassif y la Sugef, y</w:t>
      </w:r>
      <w:r w:rsidRPr="00B92969">
        <w:rPr>
          <w:sz w:val="24"/>
          <w:szCs w:val="24"/>
        </w:rPr>
        <w:t xml:space="preserve"> en concordancia con lo dispuesto por el Comité de Supervisión Bancaria de Basilea, contar con una metodología para la identificación de entidades financieras de importancia sistémica en el sistema financiero costarricense permitirá la regulación y asignación de exigencias adicionales para estas instituciones.</w:t>
      </w:r>
    </w:p>
    <w:p w14:paraId="494172A6" w14:textId="77777777" w:rsidR="00B72ED7" w:rsidRPr="00B92969" w:rsidRDefault="00B72ED7" w:rsidP="00B72ED7">
      <w:pPr>
        <w:ind w:left="993" w:hanging="993"/>
        <w:jc w:val="both"/>
        <w:rPr>
          <w:b/>
          <w:bCs/>
          <w:sz w:val="24"/>
          <w:szCs w:val="24"/>
        </w:rPr>
      </w:pPr>
      <w:bookmarkStart w:id="1" w:name="_Hlk119954150"/>
      <w:bookmarkStart w:id="2" w:name="_Hlk119939608"/>
    </w:p>
    <w:p w14:paraId="6ED82737" w14:textId="77777777" w:rsidR="00B72ED7" w:rsidRPr="00B92969" w:rsidRDefault="00B72ED7" w:rsidP="00B72ED7">
      <w:pPr>
        <w:ind w:left="993" w:hanging="993"/>
        <w:jc w:val="both"/>
        <w:rPr>
          <w:sz w:val="24"/>
          <w:szCs w:val="24"/>
        </w:rPr>
      </w:pPr>
      <w:r w:rsidRPr="00B92969">
        <w:rPr>
          <w:b/>
          <w:bCs/>
          <w:sz w:val="24"/>
          <w:szCs w:val="24"/>
        </w:rPr>
        <w:t>XIX.</w:t>
      </w:r>
      <w:r w:rsidRPr="00B92969">
        <w:rPr>
          <w:b/>
          <w:bCs/>
          <w:sz w:val="24"/>
          <w:szCs w:val="24"/>
        </w:rPr>
        <w:tab/>
      </w:r>
      <w:r w:rsidRPr="00B92969">
        <w:rPr>
          <w:sz w:val="24"/>
          <w:szCs w:val="24"/>
        </w:rPr>
        <w:t xml:space="preserve">El marco metodológico para la identificación de entidades de importancia sistémica incorporado en el Anexo 6 del </w:t>
      </w:r>
      <w:r w:rsidRPr="00B92969">
        <w:rPr>
          <w:i/>
          <w:iCs/>
          <w:sz w:val="24"/>
          <w:szCs w:val="24"/>
        </w:rPr>
        <w:t>Reglamento sobre la suficiencia patrimonial de entidades financieras,</w:t>
      </w:r>
      <w:r w:rsidRPr="00B92969">
        <w:rPr>
          <w:sz w:val="24"/>
          <w:szCs w:val="24"/>
        </w:rPr>
        <w:t xml:space="preserve"> Acuerdo Sugef 3-06, </w:t>
      </w:r>
      <w:bookmarkStart w:id="3" w:name="_Hlk119953904"/>
      <w:r w:rsidRPr="00B92969">
        <w:rPr>
          <w:sz w:val="24"/>
          <w:szCs w:val="24"/>
        </w:rPr>
        <w:t>particularmente, se utiliza para definir requisitos adicionales de Capital Base</w:t>
      </w:r>
      <w:bookmarkEnd w:id="3"/>
      <w:r w:rsidRPr="00B92969">
        <w:rPr>
          <w:sz w:val="24"/>
          <w:szCs w:val="24"/>
        </w:rPr>
        <w:t>.</w:t>
      </w:r>
    </w:p>
    <w:p w14:paraId="75654BCF" w14:textId="77777777" w:rsidR="00B72ED7" w:rsidRPr="00B92969" w:rsidRDefault="00B72ED7" w:rsidP="00B72ED7">
      <w:pPr>
        <w:pStyle w:val="Prrafodelista"/>
        <w:ind w:left="993" w:hanging="993"/>
        <w:jc w:val="both"/>
      </w:pPr>
    </w:p>
    <w:p w14:paraId="4A1A3484" w14:textId="77777777" w:rsidR="00B72ED7" w:rsidRPr="00B92969" w:rsidRDefault="00B72ED7" w:rsidP="00B72ED7">
      <w:pPr>
        <w:ind w:left="993" w:hanging="993"/>
        <w:jc w:val="both"/>
        <w:rPr>
          <w:sz w:val="24"/>
          <w:szCs w:val="24"/>
        </w:rPr>
      </w:pPr>
      <w:r w:rsidRPr="00B92969">
        <w:rPr>
          <w:b/>
          <w:bCs/>
          <w:sz w:val="24"/>
          <w:szCs w:val="24"/>
        </w:rPr>
        <w:t>XX.</w:t>
      </w:r>
      <w:r w:rsidRPr="00B92969">
        <w:rPr>
          <w:b/>
          <w:bCs/>
          <w:sz w:val="24"/>
          <w:szCs w:val="24"/>
        </w:rPr>
        <w:tab/>
      </w:r>
      <w:r w:rsidRPr="00B92969">
        <w:rPr>
          <w:sz w:val="24"/>
          <w:szCs w:val="24"/>
        </w:rPr>
        <w:t>Dado que el concepto de entidad de importancia sistémica se puede utilizar como parámetro o referencia para otras regulaciones y procesos de supervisión, es conveniente extraer el Anexo 6 del Acuerdo Sugef 3-06 y constituir una disposición separada y autónoma para la identificación de entidades de importancia sistémica, la cual tenga múltiples usos a futuro, los cuales, si bien no se están planteando en esta regulación, gradualmente se irán incorporando en temas de regulación, supervisión, visualización de datos y elaboración de informes, entre otros.</w:t>
      </w:r>
    </w:p>
    <w:p w14:paraId="6A5D9094" w14:textId="77777777" w:rsidR="00B72ED7" w:rsidRPr="00B92969" w:rsidRDefault="00B72ED7" w:rsidP="00B72ED7">
      <w:pPr>
        <w:pStyle w:val="Prrafodelista"/>
        <w:ind w:left="993" w:hanging="993"/>
        <w:jc w:val="both"/>
      </w:pPr>
    </w:p>
    <w:p w14:paraId="22807BCC" w14:textId="77777777" w:rsidR="00B72ED7" w:rsidRPr="00B92969" w:rsidRDefault="00B72ED7" w:rsidP="00B72ED7">
      <w:pPr>
        <w:ind w:left="993" w:hanging="993"/>
        <w:jc w:val="both"/>
        <w:rPr>
          <w:sz w:val="24"/>
          <w:szCs w:val="24"/>
        </w:rPr>
      </w:pPr>
      <w:r w:rsidRPr="00B92969">
        <w:rPr>
          <w:b/>
          <w:bCs/>
          <w:sz w:val="24"/>
          <w:szCs w:val="24"/>
        </w:rPr>
        <w:t>XXI.</w:t>
      </w:r>
      <w:r w:rsidRPr="00B92969">
        <w:rPr>
          <w:b/>
          <w:bCs/>
          <w:sz w:val="24"/>
          <w:szCs w:val="24"/>
        </w:rPr>
        <w:tab/>
      </w:r>
      <w:r w:rsidRPr="00B92969">
        <w:rPr>
          <w:sz w:val="24"/>
          <w:szCs w:val="24"/>
        </w:rPr>
        <w:t xml:space="preserve">El artículo 68 del Acuerdo Sugef 3-06 dispone que la condición de entidad de importancia sistémica será determinada conjuntamente por la Sugef y el Departamento de Estabilidad Financiera del Banco Central de Costa </w:t>
      </w:r>
      <w:proofErr w:type="gramStart"/>
      <w:r w:rsidRPr="00B92969">
        <w:rPr>
          <w:sz w:val="24"/>
          <w:szCs w:val="24"/>
        </w:rPr>
        <w:t>Rica  y</w:t>
      </w:r>
      <w:proofErr w:type="gramEnd"/>
      <w:r w:rsidRPr="00B92969">
        <w:rPr>
          <w:sz w:val="24"/>
          <w:szCs w:val="24"/>
        </w:rPr>
        <w:t xml:space="preserve"> que la Comisión de Estabilidad Financiera (CEF), podrá recomendar al Conassif incluir otras entidades a la lista de entidades de importancia sistémica determinada mediante la metodología de puntaje dispuesta en el Anexo 6.</w:t>
      </w:r>
    </w:p>
    <w:bookmarkEnd w:id="1"/>
    <w:p w14:paraId="361A0884" w14:textId="77777777" w:rsidR="00B72ED7" w:rsidRPr="00B92969" w:rsidRDefault="00B72ED7" w:rsidP="00B72ED7">
      <w:pPr>
        <w:pStyle w:val="Prrafodelista"/>
        <w:ind w:left="993" w:hanging="993"/>
        <w:jc w:val="both"/>
      </w:pPr>
    </w:p>
    <w:bookmarkEnd w:id="2"/>
    <w:p w14:paraId="1FC58DC4" w14:textId="77777777" w:rsidR="00B72ED7" w:rsidRPr="00B92969" w:rsidRDefault="00B72ED7" w:rsidP="00B72ED7">
      <w:pPr>
        <w:ind w:left="993" w:hanging="993"/>
        <w:jc w:val="both"/>
        <w:rPr>
          <w:sz w:val="24"/>
          <w:szCs w:val="24"/>
        </w:rPr>
      </w:pPr>
      <w:r w:rsidRPr="00B92969">
        <w:rPr>
          <w:b/>
          <w:bCs/>
          <w:sz w:val="24"/>
          <w:szCs w:val="24"/>
        </w:rPr>
        <w:t>XXII.</w:t>
      </w:r>
      <w:r w:rsidRPr="00B92969">
        <w:rPr>
          <w:b/>
          <w:bCs/>
          <w:sz w:val="24"/>
          <w:szCs w:val="24"/>
        </w:rPr>
        <w:tab/>
      </w:r>
      <w:r w:rsidRPr="00B92969">
        <w:rPr>
          <w:sz w:val="24"/>
          <w:szCs w:val="24"/>
        </w:rPr>
        <w:t xml:space="preserve">Mediante criterio jurídico elaborado por la División Asesoría Jurídica del Banco Central de Costa Rica (BCCR), se determinó que en el caso de </w:t>
      </w:r>
      <w:r w:rsidRPr="00B92969">
        <w:rPr>
          <w:sz w:val="24"/>
          <w:szCs w:val="24"/>
          <w:lang w:val="es-MX"/>
        </w:rPr>
        <w:t xml:space="preserve">un reglamento </w:t>
      </w:r>
      <w:r w:rsidRPr="00B92969">
        <w:rPr>
          <w:sz w:val="24"/>
          <w:szCs w:val="24"/>
        </w:rPr>
        <w:t>para la identificación de entidades financieras de importancia sistémica</w:t>
      </w:r>
      <w:r w:rsidRPr="00B92969">
        <w:rPr>
          <w:sz w:val="24"/>
          <w:szCs w:val="24"/>
          <w:lang w:val="es-MX"/>
        </w:rPr>
        <w:t xml:space="preserve"> aprobado por el Conassif para el ejercicio de sus potestades de supervisión, control, vigilancia y regulación del sistema financiero, por principio de legalidad y de jerarquía, no debe asignarle deberes o responsabilidades a una dependencia del BCCR. Por lo que, para afecto de la propuesta del nuevo reglamento, se define que la determinación de </w:t>
      </w:r>
      <w:r w:rsidRPr="00B92969">
        <w:rPr>
          <w:sz w:val="24"/>
          <w:szCs w:val="24"/>
        </w:rPr>
        <w:t xml:space="preserve">la condición de entidad de importancia sistémica es una potestad de la Sugef. </w:t>
      </w:r>
    </w:p>
    <w:p w14:paraId="78DC5B8F" w14:textId="77777777" w:rsidR="00B72ED7" w:rsidRPr="00B92969" w:rsidRDefault="00B72ED7" w:rsidP="00B72ED7">
      <w:pPr>
        <w:ind w:left="993" w:hanging="993"/>
        <w:jc w:val="both"/>
        <w:rPr>
          <w:b/>
          <w:bCs/>
          <w:sz w:val="24"/>
          <w:szCs w:val="24"/>
        </w:rPr>
      </w:pPr>
      <w:bookmarkStart w:id="4" w:name="_Hlk102479421"/>
    </w:p>
    <w:p w14:paraId="38B18877" w14:textId="77777777" w:rsidR="00B72ED7" w:rsidRPr="00B92969" w:rsidRDefault="00B72ED7" w:rsidP="00B72ED7">
      <w:pPr>
        <w:ind w:left="993" w:hanging="993"/>
        <w:jc w:val="both"/>
        <w:rPr>
          <w:sz w:val="24"/>
          <w:szCs w:val="24"/>
        </w:rPr>
      </w:pPr>
      <w:r w:rsidRPr="00B92969">
        <w:rPr>
          <w:b/>
          <w:bCs/>
          <w:sz w:val="24"/>
          <w:szCs w:val="24"/>
        </w:rPr>
        <w:t>XXIII.</w:t>
      </w:r>
      <w:r w:rsidRPr="00B92969">
        <w:rPr>
          <w:b/>
          <w:bCs/>
          <w:sz w:val="24"/>
          <w:szCs w:val="24"/>
        </w:rPr>
        <w:tab/>
      </w:r>
      <w:r w:rsidRPr="00B92969">
        <w:rPr>
          <w:sz w:val="24"/>
          <w:szCs w:val="24"/>
        </w:rPr>
        <w:t xml:space="preserve">El artículo 68 del </w:t>
      </w:r>
      <w:r w:rsidRPr="00B92969">
        <w:rPr>
          <w:i/>
          <w:iCs/>
          <w:sz w:val="24"/>
          <w:szCs w:val="24"/>
        </w:rPr>
        <w:t>Reglamento sobre la suficiencia patrimonial de entidades financieras,</w:t>
      </w:r>
      <w:r w:rsidRPr="00B92969">
        <w:rPr>
          <w:sz w:val="24"/>
          <w:szCs w:val="24"/>
        </w:rPr>
        <w:t xml:space="preserve"> Acuerdo Sugef 3-06, requiere ser modificado para aclarar que la condición de entidad de importancia sistémica será determinada por la Sugef.</w:t>
      </w:r>
    </w:p>
    <w:p w14:paraId="0DCD1F77" w14:textId="77777777" w:rsidR="00B72ED7" w:rsidRPr="00B92969" w:rsidRDefault="00B72ED7" w:rsidP="00B72ED7">
      <w:pPr>
        <w:pStyle w:val="Prrafodelista"/>
        <w:tabs>
          <w:tab w:val="left" w:pos="426"/>
        </w:tabs>
        <w:ind w:left="993" w:hanging="993"/>
        <w:jc w:val="both"/>
        <w:rPr>
          <w:b/>
          <w:bCs/>
        </w:rPr>
      </w:pPr>
    </w:p>
    <w:p w14:paraId="113CD0BB" w14:textId="77777777" w:rsidR="00B72ED7" w:rsidRPr="00B92969" w:rsidRDefault="00B72ED7" w:rsidP="00B72ED7">
      <w:pPr>
        <w:pStyle w:val="Prrafodelista"/>
        <w:tabs>
          <w:tab w:val="left" w:pos="426"/>
        </w:tabs>
        <w:ind w:left="993" w:hanging="993"/>
        <w:jc w:val="center"/>
        <w:rPr>
          <w:b/>
          <w:bCs/>
        </w:rPr>
      </w:pPr>
      <w:r w:rsidRPr="00B92969">
        <w:rPr>
          <w:b/>
          <w:bCs/>
        </w:rPr>
        <w:t>Consideraciones sobre la modificación de los ponderadores de las dimensiones del cálculo del Índice Sistémico</w:t>
      </w:r>
    </w:p>
    <w:p w14:paraId="652047C2" w14:textId="77777777" w:rsidR="00B72ED7" w:rsidRPr="00B92969" w:rsidRDefault="00B72ED7" w:rsidP="00B72ED7">
      <w:pPr>
        <w:ind w:left="993" w:hanging="993"/>
        <w:jc w:val="both"/>
        <w:rPr>
          <w:b/>
          <w:bCs/>
          <w:sz w:val="24"/>
          <w:szCs w:val="24"/>
        </w:rPr>
      </w:pPr>
    </w:p>
    <w:p w14:paraId="226DD5AA" w14:textId="77777777" w:rsidR="00B72ED7" w:rsidRPr="00B92969" w:rsidRDefault="00B72ED7" w:rsidP="00B72ED7">
      <w:pPr>
        <w:ind w:left="993" w:hanging="993"/>
        <w:jc w:val="both"/>
        <w:rPr>
          <w:iCs/>
          <w:sz w:val="24"/>
          <w:szCs w:val="24"/>
        </w:rPr>
      </w:pPr>
      <w:r w:rsidRPr="00B92969">
        <w:rPr>
          <w:b/>
          <w:bCs/>
          <w:sz w:val="24"/>
          <w:szCs w:val="24"/>
        </w:rPr>
        <w:t>XXIV.</w:t>
      </w:r>
      <w:r w:rsidRPr="00B92969">
        <w:rPr>
          <w:b/>
          <w:bCs/>
          <w:sz w:val="24"/>
          <w:szCs w:val="24"/>
        </w:rPr>
        <w:tab/>
      </w:r>
      <w:r w:rsidRPr="00B92969">
        <w:rPr>
          <w:iCs/>
          <w:sz w:val="24"/>
          <w:szCs w:val="24"/>
        </w:rPr>
        <w:t xml:space="preserve">De acuerdo con </w:t>
      </w:r>
      <w:r w:rsidRPr="00B92969">
        <w:rPr>
          <w:sz w:val="24"/>
          <w:szCs w:val="24"/>
        </w:rPr>
        <w:t>el marco metodológico para la identificación de entidades de importancia sistémica</w:t>
      </w:r>
      <w:r w:rsidRPr="00B92969">
        <w:rPr>
          <w:iCs/>
          <w:sz w:val="24"/>
          <w:szCs w:val="24"/>
        </w:rPr>
        <w:t xml:space="preserve"> dispuesto en el Anexo 6 del Acuerdo Sugef 3-06, para la construcción del índice sistémico se utiliza una ponderación del 25% para cada una de sus dimensiones. </w:t>
      </w:r>
    </w:p>
    <w:p w14:paraId="6AAA9BB8" w14:textId="77777777" w:rsidR="00B72ED7" w:rsidRPr="00B92969" w:rsidRDefault="00B72ED7" w:rsidP="00B72ED7">
      <w:pPr>
        <w:ind w:left="993" w:hanging="993"/>
        <w:jc w:val="both"/>
        <w:rPr>
          <w:b/>
          <w:bCs/>
          <w:sz w:val="24"/>
          <w:szCs w:val="24"/>
        </w:rPr>
      </w:pPr>
    </w:p>
    <w:p w14:paraId="2E24CE31" w14:textId="77777777" w:rsidR="00B72ED7" w:rsidRPr="00B92969" w:rsidRDefault="00B72ED7" w:rsidP="00B72ED7">
      <w:pPr>
        <w:ind w:left="993" w:hanging="993"/>
        <w:jc w:val="both"/>
        <w:rPr>
          <w:sz w:val="24"/>
          <w:szCs w:val="24"/>
        </w:rPr>
      </w:pPr>
      <w:r w:rsidRPr="00B92969">
        <w:rPr>
          <w:b/>
          <w:bCs/>
          <w:sz w:val="24"/>
          <w:szCs w:val="24"/>
        </w:rPr>
        <w:t>XXV.</w:t>
      </w:r>
      <w:r w:rsidRPr="00B92969">
        <w:rPr>
          <w:b/>
          <w:bCs/>
          <w:sz w:val="24"/>
          <w:szCs w:val="24"/>
        </w:rPr>
        <w:tab/>
      </w:r>
      <w:r w:rsidRPr="00B92969">
        <w:rPr>
          <w:sz w:val="24"/>
          <w:szCs w:val="24"/>
        </w:rPr>
        <w:t>Los principios propuestos por el Comité de Supervisión Bancaria de Basilea para las entidades de importancia sistémica local señalan que las autoridades nacionales deberán tener discrecionalidad para asignar la adecuada ponderación relativa a cada factor dependiendo de las circunstancias nacionales, permitiendo acomodar las características estructurales del sistema financiero local.</w:t>
      </w:r>
    </w:p>
    <w:p w14:paraId="5506FA4D" w14:textId="77777777" w:rsidR="00B72ED7" w:rsidRPr="00B92969" w:rsidRDefault="00B72ED7" w:rsidP="00B72ED7">
      <w:pPr>
        <w:ind w:left="993" w:hanging="993"/>
        <w:jc w:val="both"/>
        <w:rPr>
          <w:sz w:val="24"/>
          <w:szCs w:val="24"/>
        </w:rPr>
      </w:pPr>
    </w:p>
    <w:p w14:paraId="07BD4746" w14:textId="0A664E1E" w:rsidR="00B72ED7" w:rsidRPr="00B92969" w:rsidRDefault="00B72ED7" w:rsidP="00B72ED7">
      <w:pPr>
        <w:spacing w:line="259" w:lineRule="auto"/>
        <w:ind w:left="993" w:hanging="993"/>
        <w:jc w:val="both"/>
        <w:rPr>
          <w:sz w:val="24"/>
          <w:szCs w:val="24"/>
        </w:rPr>
      </w:pPr>
      <w:r w:rsidRPr="00B92969">
        <w:rPr>
          <w:b/>
          <w:bCs/>
          <w:sz w:val="24"/>
          <w:szCs w:val="24"/>
        </w:rPr>
        <w:t>XXVI.</w:t>
      </w:r>
      <w:r w:rsidR="00570597">
        <w:rPr>
          <w:b/>
          <w:bCs/>
          <w:sz w:val="24"/>
          <w:szCs w:val="24"/>
        </w:rPr>
        <w:tab/>
      </w:r>
      <w:r w:rsidRPr="00B92969">
        <w:rPr>
          <w:sz w:val="24"/>
          <w:szCs w:val="24"/>
        </w:rPr>
        <w:t xml:space="preserve">Entre mayor sea el tamaño de una entidad financiera más probabilidades tendrá ésta de poder perjudicar a la economía o a los mercados financieros en caso de deterioro </w:t>
      </w:r>
      <w:r w:rsidRPr="00B92969">
        <w:rPr>
          <w:sz w:val="24"/>
          <w:szCs w:val="24"/>
        </w:rPr>
        <w:lastRenderedPageBreak/>
        <w:t>o una eventual insolvencia, ya que, entre mayor sea su dimensión, será más difícil que otras entidades asuman sus actividades de forma rápida; además, podría perjudicar la confianza en el sistema financiero, por lo que, el tamaño se convierte en una medida muy relevante de la importancia sistémica. Aunado a lo anterior, podría considerarse el grado de concentración del sector financiero, ya que una quiebra en un sector financiero de tamaño mediano y muy concentrado probablemente afectaría más a la economía local que si se produjera en un sector financiero más grande pero más disperso, por lo que, considerando que en Costa Rica existe un mercado concentrado, no sería prudente otorgarles a las demás dimensiones el mismo peso que a la dimensión de tamaño.</w:t>
      </w:r>
    </w:p>
    <w:p w14:paraId="0364001B" w14:textId="77777777" w:rsidR="00B72ED7" w:rsidRPr="00B92969" w:rsidRDefault="00B72ED7" w:rsidP="00B72ED7">
      <w:pPr>
        <w:spacing w:line="259" w:lineRule="auto"/>
        <w:ind w:left="993"/>
        <w:jc w:val="both"/>
        <w:rPr>
          <w:sz w:val="24"/>
          <w:szCs w:val="24"/>
        </w:rPr>
      </w:pPr>
    </w:p>
    <w:p w14:paraId="2E64BDB6" w14:textId="2F2C2D88" w:rsidR="00B72ED7" w:rsidRPr="00B92969" w:rsidRDefault="00B72ED7" w:rsidP="00B72ED7">
      <w:pPr>
        <w:spacing w:line="259" w:lineRule="auto"/>
        <w:ind w:left="993" w:hanging="993"/>
        <w:jc w:val="both"/>
        <w:rPr>
          <w:sz w:val="24"/>
          <w:szCs w:val="24"/>
        </w:rPr>
      </w:pPr>
      <w:r w:rsidRPr="00B92969">
        <w:rPr>
          <w:b/>
          <w:bCs/>
          <w:sz w:val="24"/>
          <w:szCs w:val="24"/>
        </w:rPr>
        <w:t>XXVII.</w:t>
      </w:r>
      <w:r w:rsidR="00570597">
        <w:rPr>
          <w:b/>
          <w:bCs/>
          <w:sz w:val="24"/>
          <w:szCs w:val="24"/>
        </w:rPr>
        <w:tab/>
      </w:r>
      <w:r w:rsidRPr="00B92969">
        <w:rPr>
          <w:sz w:val="24"/>
          <w:szCs w:val="24"/>
        </w:rPr>
        <w:t>Las dimensiones de complejidad y grado de sustitución ameritan una ponderación más baja con respecto a las demás dimensiones, ya que, las entidades del sistema financiero costarricense, en general, no se involucran ampliamente en actividades complejas de derivados y de negociación.</w:t>
      </w:r>
    </w:p>
    <w:p w14:paraId="69CEC7E8" w14:textId="77777777" w:rsidR="00B72ED7" w:rsidRPr="00B92969" w:rsidRDefault="00B72ED7" w:rsidP="00B72ED7">
      <w:pPr>
        <w:jc w:val="both"/>
        <w:rPr>
          <w:b/>
          <w:bCs/>
          <w:sz w:val="24"/>
          <w:szCs w:val="24"/>
        </w:rPr>
      </w:pPr>
    </w:p>
    <w:p w14:paraId="3CD7F27D" w14:textId="77777777" w:rsidR="00B72ED7" w:rsidRPr="00B92969" w:rsidRDefault="00B72ED7" w:rsidP="00B72ED7">
      <w:pPr>
        <w:ind w:left="993" w:hanging="993"/>
        <w:jc w:val="both"/>
        <w:rPr>
          <w:iCs/>
          <w:sz w:val="24"/>
          <w:szCs w:val="24"/>
        </w:rPr>
      </w:pPr>
      <w:r w:rsidRPr="00B92969">
        <w:rPr>
          <w:b/>
          <w:bCs/>
          <w:sz w:val="24"/>
          <w:szCs w:val="24"/>
        </w:rPr>
        <w:t>XXVIII.</w:t>
      </w:r>
      <w:r w:rsidRPr="00B92969">
        <w:rPr>
          <w:b/>
          <w:bCs/>
          <w:sz w:val="24"/>
          <w:szCs w:val="24"/>
        </w:rPr>
        <w:tab/>
      </w:r>
      <w:r w:rsidRPr="00B92969">
        <w:rPr>
          <w:sz w:val="24"/>
          <w:szCs w:val="24"/>
        </w:rPr>
        <w:t xml:space="preserve">Con el propósito de que las ponderaciones aplicadas a las dimensiones </w:t>
      </w:r>
      <w:r w:rsidRPr="00B92969">
        <w:rPr>
          <w:iCs/>
          <w:sz w:val="24"/>
          <w:szCs w:val="24"/>
        </w:rPr>
        <w:t>para la construcción del índice sistémico</w:t>
      </w:r>
      <w:r w:rsidRPr="00B92969">
        <w:rPr>
          <w:sz w:val="24"/>
          <w:szCs w:val="24"/>
        </w:rPr>
        <w:t xml:space="preserve"> consideren de una forma más adecuada las características específicas del sector financiero local, se requiere modificar la ponderación del </w:t>
      </w:r>
      <w:r w:rsidRPr="00B92969">
        <w:rPr>
          <w:iCs/>
          <w:sz w:val="24"/>
          <w:szCs w:val="24"/>
        </w:rPr>
        <w:t xml:space="preserve">25% para cada dimensión y definir las siguientes ponderaciones: </w:t>
      </w:r>
    </w:p>
    <w:p w14:paraId="437E6BC5" w14:textId="77777777" w:rsidR="00B72ED7" w:rsidRPr="00B92969" w:rsidRDefault="00B72ED7" w:rsidP="00B72ED7">
      <w:pPr>
        <w:ind w:left="993" w:hanging="993"/>
        <w:jc w:val="both"/>
        <w:rPr>
          <w:iCs/>
          <w:sz w:val="24"/>
          <w:szCs w:val="24"/>
        </w:rPr>
      </w:pPr>
    </w:p>
    <w:p w14:paraId="63F92D8B" w14:textId="77777777" w:rsidR="00B72ED7" w:rsidRPr="00B92969" w:rsidRDefault="00B72ED7" w:rsidP="00B72ED7">
      <w:pPr>
        <w:pStyle w:val="NormalWeb"/>
        <w:spacing w:before="0" w:beforeAutospacing="0" w:after="0" w:afterAutospacing="0"/>
        <w:ind w:left="993"/>
        <w:jc w:val="both"/>
        <w:rPr>
          <w:rFonts w:ascii="Times New Roman" w:hAnsi="Times New Roman" w:cs="Times New Roman"/>
          <w:iCs/>
          <w:sz w:val="24"/>
          <w:szCs w:val="24"/>
          <w:lang w:val="es-ES"/>
        </w:rPr>
      </w:pPr>
      <w:bookmarkStart w:id="5" w:name="_Hlk120021334"/>
      <w:r w:rsidRPr="00B92969">
        <w:rPr>
          <w:rFonts w:ascii="Times New Roman" w:hAnsi="Times New Roman" w:cs="Times New Roman"/>
          <w:iCs/>
          <w:sz w:val="24"/>
          <w:szCs w:val="24"/>
          <w:lang w:val="es-ES"/>
        </w:rPr>
        <w:t>a)</w:t>
      </w:r>
      <w:r w:rsidRPr="00B92969">
        <w:rPr>
          <w:rFonts w:ascii="Times New Roman" w:hAnsi="Times New Roman" w:cs="Times New Roman"/>
          <w:iCs/>
          <w:sz w:val="24"/>
          <w:szCs w:val="24"/>
          <w:lang w:val="es-ES"/>
        </w:rPr>
        <w:tab/>
        <w:t>Tamaño (35%)</w:t>
      </w:r>
    </w:p>
    <w:p w14:paraId="69552A8D" w14:textId="77777777" w:rsidR="00B72ED7" w:rsidRPr="00B92969" w:rsidRDefault="00B72ED7" w:rsidP="00B72ED7">
      <w:pPr>
        <w:pStyle w:val="NormalWeb"/>
        <w:spacing w:before="0" w:beforeAutospacing="0" w:after="0" w:afterAutospacing="0"/>
        <w:ind w:left="993"/>
        <w:jc w:val="both"/>
        <w:rPr>
          <w:rFonts w:ascii="Times New Roman" w:hAnsi="Times New Roman" w:cs="Times New Roman"/>
          <w:iCs/>
          <w:sz w:val="24"/>
          <w:szCs w:val="24"/>
          <w:lang w:val="es-ES"/>
        </w:rPr>
      </w:pPr>
    </w:p>
    <w:p w14:paraId="034E4323" w14:textId="77777777" w:rsidR="00B72ED7" w:rsidRPr="00B92969" w:rsidRDefault="00B72ED7" w:rsidP="00B72ED7">
      <w:pPr>
        <w:pStyle w:val="NormalWeb"/>
        <w:spacing w:before="0" w:beforeAutospacing="0" w:after="0" w:afterAutospacing="0"/>
        <w:ind w:left="993"/>
        <w:jc w:val="both"/>
        <w:rPr>
          <w:rFonts w:ascii="Times New Roman" w:hAnsi="Times New Roman" w:cs="Times New Roman"/>
          <w:iCs/>
          <w:sz w:val="24"/>
          <w:szCs w:val="24"/>
          <w:lang w:val="es-ES"/>
        </w:rPr>
      </w:pPr>
      <w:r w:rsidRPr="00B92969">
        <w:rPr>
          <w:rFonts w:ascii="Times New Roman" w:hAnsi="Times New Roman" w:cs="Times New Roman"/>
          <w:iCs/>
          <w:sz w:val="24"/>
          <w:szCs w:val="24"/>
          <w:lang w:val="es-ES"/>
        </w:rPr>
        <w:t>b)</w:t>
      </w:r>
      <w:r w:rsidRPr="00B92969">
        <w:rPr>
          <w:rFonts w:ascii="Times New Roman" w:hAnsi="Times New Roman" w:cs="Times New Roman"/>
          <w:iCs/>
          <w:sz w:val="24"/>
          <w:szCs w:val="24"/>
          <w:lang w:val="es-ES"/>
        </w:rPr>
        <w:tab/>
        <w:t>Interconexión (25%)</w:t>
      </w:r>
    </w:p>
    <w:p w14:paraId="6C723602" w14:textId="77777777" w:rsidR="00B72ED7" w:rsidRPr="00B92969" w:rsidRDefault="00B72ED7" w:rsidP="00B72ED7">
      <w:pPr>
        <w:pStyle w:val="NormalWeb"/>
        <w:spacing w:before="0" w:beforeAutospacing="0" w:after="0" w:afterAutospacing="0"/>
        <w:ind w:left="993"/>
        <w:jc w:val="both"/>
        <w:rPr>
          <w:rFonts w:ascii="Times New Roman" w:hAnsi="Times New Roman" w:cs="Times New Roman"/>
          <w:iCs/>
          <w:sz w:val="24"/>
          <w:szCs w:val="24"/>
          <w:lang w:val="es-ES"/>
        </w:rPr>
      </w:pPr>
    </w:p>
    <w:p w14:paraId="748ECF94" w14:textId="77777777" w:rsidR="00B72ED7" w:rsidRPr="00B92969" w:rsidRDefault="00B72ED7" w:rsidP="00B72ED7">
      <w:pPr>
        <w:pStyle w:val="NormalWeb"/>
        <w:spacing w:before="0" w:beforeAutospacing="0" w:after="0" w:afterAutospacing="0"/>
        <w:ind w:left="993"/>
        <w:jc w:val="both"/>
        <w:rPr>
          <w:rFonts w:ascii="Times New Roman" w:hAnsi="Times New Roman" w:cs="Times New Roman"/>
          <w:iCs/>
          <w:sz w:val="24"/>
          <w:szCs w:val="24"/>
          <w:lang w:val="es-ES"/>
        </w:rPr>
      </w:pPr>
      <w:r w:rsidRPr="00B92969">
        <w:rPr>
          <w:rFonts w:ascii="Times New Roman" w:hAnsi="Times New Roman" w:cs="Times New Roman"/>
          <w:iCs/>
          <w:sz w:val="24"/>
          <w:szCs w:val="24"/>
          <w:lang w:val="es-ES"/>
        </w:rPr>
        <w:t>c)</w:t>
      </w:r>
      <w:r w:rsidRPr="00B92969">
        <w:rPr>
          <w:rFonts w:ascii="Times New Roman" w:hAnsi="Times New Roman" w:cs="Times New Roman"/>
          <w:iCs/>
          <w:sz w:val="24"/>
          <w:szCs w:val="24"/>
          <w:lang w:val="es-ES"/>
        </w:rPr>
        <w:tab/>
        <w:t>Sustituibilidad (20%)</w:t>
      </w:r>
    </w:p>
    <w:p w14:paraId="25BE646B" w14:textId="77777777" w:rsidR="00B72ED7" w:rsidRPr="00B92969" w:rsidRDefault="00B72ED7" w:rsidP="00B72ED7">
      <w:pPr>
        <w:pStyle w:val="NormalWeb"/>
        <w:spacing w:before="0" w:beforeAutospacing="0" w:after="0" w:afterAutospacing="0"/>
        <w:ind w:left="993"/>
        <w:jc w:val="both"/>
        <w:rPr>
          <w:rFonts w:ascii="Times New Roman" w:hAnsi="Times New Roman" w:cs="Times New Roman"/>
          <w:iCs/>
          <w:sz w:val="24"/>
          <w:szCs w:val="24"/>
          <w:lang w:val="es-ES"/>
        </w:rPr>
      </w:pPr>
    </w:p>
    <w:p w14:paraId="141F15E5" w14:textId="77777777" w:rsidR="00B72ED7" w:rsidRPr="00B92969" w:rsidRDefault="00B72ED7" w:rsidP="00B72ED7">
      <w:pPr>
        <w:pStyle w:val="NormalWeb"/>
        <w:spacing w:before="0" w:beforeAutospacing="0" w:after="0" w:afterAutospacing="0"/>
        <w:ind w:left="993"/>
        <w:jc w:val="both"/>
        <w:rPr>
          <w:rFonts w:ascii="Times New Roman" w:hAnsi="Times New Roman" w:cs="Times New Roman"/>
          <w:iCs/>
          <w:sz w:val="24"/>
          <w:szCs w:val="24"/>
          <w:lang w:val="es-ES"/>
        </w:rPr>
      </w:pPr>
      <w:r w:rsidRPr="00B92969">
        <w:rPr>
          <w:rFonts w:ascii="Times New Roman" w:hAnsi="Times New Roman" w:cs="Times New Roman"/>
          <w:iCs/>
          <w:sz w:val="24"/>
          <w:szCs w:val="24"/>
          <w:lang w:val="es-ES"/>
        </w:rPr>
        <w:t>d)</w:t>
      </w:r>
      <w:r w:rsidRPr="00B92969">
        <w:rPr>
          <w:rFonts w:ascii="Times New Roman" w:hAnsi="Times New Roman" w:cs="Times New Roman"/>
          <w:iCs/>
          <w:sz w:val="24"/>
          <w:szCs w:val="24"/>
          <w:lang w:val="es-ES"/>
        </w:rPr>
        <w:tab/>
        <w:t>Complejidad (20%)</w:t>
      </w:r>
    </w:p>
    <w:bookmarkEnd w:id="5"/>
    <w:p w14:paraId="0797AE70" w14:textId="77777777" w:rsidR="00B72ED7" w:rsidRPr="00B92969" w:rsidRDefault="00B72ED7" w:rsidP="00B72ED7">
      <w:pPr>
        <w:pStyle w:val="NormalWeb"/>
        <w:spacing w:before="0" w:beforeAutospacing="0" w:after="0" w:afterAutospacing="0"/>
        <w:ind w:left="993"/>
        <w:jc w:val="both"/>
        <w:rPr>
          <w:rFonts w:ascii="Times New Roman" w:hAnsi="Times New Roman" w:cs="Times New Roman"/>
          <w:b/>
          <w:bCs/>
          <w:sz w:val="24"/>
          <w:szCs w:val="24"/>
        </w:rPr>
      </w:pPr>
    </w:p>
    <w:p w14:paraId="610BB3A9" w14:textId="77777777" w:rsidR="00B72ED7" w:rsidRPr="00B92969" w:rsidRDefault="00B72ED7" w:rsidP="00B72ED7">
      <w:pPr>
        <w:pStyle w:val="Prrafodelista"/>
        <w:tabs>
          <w:tab w:val="left" w:pos="284"/>
        </w:tabs>
        <w:ind w:left="993" w:hanging="993"/>
        <w:jc w:val="both"/>
        <w:rPr>
          <w:b/>
          <w:bCs/>
        </w:rPr>
      </w:pPr>
      <w:r w:rsidRPr="00B92969">
        <w:rPr>
          <w:b/>
          <w:bCs/>
        </w:rPr>
        <w:t>Consideraciones sobre la modificación a los indicadores de las dimensiones del marco metodológico para la identificación de entidades de importancia sistémica</w:t>
      </w:r>
    </w:p>
    <w:p w14:paraId="0762B7AB" w14:textId="77777777" w:rsidR="00B72ED7" w:rsidRPr="00B92969" w:rsidRDefault="00B72ED7" w:rsidP="00B72ED7">
      <w:pPr>
        <w:ind w:left="993" w:hanging="993"/>
        <w:jc w:val="both"/>
        <w:rPr>
          <w:b/>
          <w:bCs/>
          <w:sz w:val="24"/>
          <w:szCs w:val="24"/>
        </w:rPr>
      </w:pPr>
      <w:bookmarkStart w:id="6" w:name="_Hlk120018411"/>
    </w:p>
    <w:p w14:paraId="712CCA79" w14:textId="77777777" w:rsidR="00B72ED7" w:rsidRPr="00B92969" w:rsidRDefault="00B72ED7" w:rsidP="00B72ED7">
      <w:pPr>
        <w:ind w:left="993" w:hanging="993"/>
        <w:jc w:val="both"/>
        <w:rPr>
          <w:sz w:val="24"/>
          <w:szCs w:val="24"/>
        </w:rPr>
      </w:pPr>
      <w:r w:rsidRPr="00B92969">
        <w:rPr>
          <w:b/>
          <w:bCs/>
          <w:sz w:val="24"/>
          <w:szCs w:val="24"/>
        </w:rPr>
        <w:t>XXIX.</w:t>
      </w:r>
      <w:r w:rsidRPr="00B92969">
        <w:rPr>
          <w:b/>
          <w:bCs/>
          <w:sz w:val="24"/>
          <w:szCs w:val="24"/>
        </w:rPr>
        <w:tab/>
      </w:r>
      <w:r w:rsidRPr="00B92969">
        <w:rPr>
          <w:sz w:val="24"/>
          <w:szCs w:val="24"/>
        </w:rPr>
        <w:t xml:space="preserve">El marco metodológico para la identificación de entidades de importancia sistémica </w:t>
      </w:r>
      <w:bookmarkEnd w:id="6"/>
      <w:r w:rsidRPr="00B92969">
        <w:rPr>
          <w:sz w:val="24"/>
          <w:szCs w:val="24"/>
        </w:rPr>
        <w:t>establece como dimensiones: el tamaño, la interconexión, la complejidad y el grado de sustitución. A su vez, cada dimensión se compone de indicadores, los cuales dentro de cada dimensión tienen el mismo peso o ponderación.</w:t>
      </w:r>
    </w:p>
    <w:p w14:paraId="5E607C5E" w14:textId="77777777" w:rsidR="00B72ED7" w:rsidRPr="00B92969" w:rsidRDefault="00B72ED7" w:rsidP="00B72ED7">
      <w:pPr>
        <w:ind w:left="993" w:hanging="993"/>
        <w:jc w:val="both"/>
        <w:rPr>
          <w:sz w:val="24"/>
          <w:szCs w:val="24"/>
        </w:rPr>
      </w:pPr>
    </w:p>
    <w:p w14:paraId="368FF818" w14:textId="53C16337" w:rsidR="00B72ED7" w:rsidRPr="00B92969" w:rsidRDefault="00B72ED7" w:rsidP="00EF5A7D">
      <w:pPr>
        <w:ind w:left="993" w:hanging="993"/>
        <w:jc w:val="both"/>
        <w:rPr>
          <w:sz w:val="24"/>
          <w:szCs w:val="24"/>
        </w:rPr>
      </w:pPr>
      <w:r w:rsidRPr="00B92969">
        <w:rPr>
          <w:b/>
          <w:bCs/>
          <w:sz w:val="24"/>
          <w:szCs w:val="24"/>
        </w:rPr>
        <w:t>XXX.</w:t>
      </w:r>
      <w:r w:rsidR="00F3418D">
        <w:rPr>
          <w:b/>
          <w:bCs/>
          <w:sz w:val="24"/>
          <w:szCs w:val="24"/>
        </w:rPr>
        <w:tab/>
      </w:r>
      <w:r w:rsidRPr="00B92969">
        <w:rPr>
          <w:sz w:val="24"/>
          <w:szCs w:val="24"/>
        </w:rPr>
        <w:t>El marco metodológico para la identificación de entidades de importancia sistémica consiste en construir un índice normalizado que se expresa con base en 10.000 para cada uno de los indicadores, según el peso que representa para cada entidad. Lo anterior, de acuerdo con la metodología dispuesta por el Comité de Supervisión Bancaria de Basilea.</w:t>
      </w:r>
    </w:p>
    <w:p w14:paraId="4C2D714E" w14:textId="77777777" w:rsidR="00B72ED7" w:rsidRPr="00B92969" w:rsidRDefault="00B72ED7" w:rsidP="00B72ED7">
      <w:pPr>
        <w:jc w:val="both"/>
        <w:rPr>
          <w:b/>
          <w:bCs/>
          <w:sz w:val="24"/>
          <w:szCs w:val="24"/>
        </w:rPr>
      </w:pPr>
    </w:p>
    <w:p w14:paraId="0660AD35" w14:textId="77777777" w:rsidR="00B72ED7" w:rsidRPr="00B92969" w:rsidRDefault="00B72ED7" w:rsidP="00B72ED7">
      <w:pPr>
        <w:ind w:left="993" w:hanging="993"/>
        <w:jc w:val="both"/>
        <w:rPr>
          <w:sz w:val="24"/>
          <w:szCs w:val="24"/>
        </w:rPr>
      </w:pPr>
      <w:r w:rsidRPr="00B92969">
        <w:rPr>
          <w:b/>
          <w:bCs/>
          <w:sz w:val="24"/>
          <w:szCs w:val="24"/>
        </w:rPr>
        <w:lastRenderedPageBreak/>
        <w:t>XXXI.</w:t>
      </w:r>
      <w:r w:rsidRPr="00B92969">
        <w:rPr>
          <w:b/>
          <w:bCs/>
          <w:sz w:val="24"/>
          <w:szCs w:val="24"/>
        </w:rPr>
        <w:tab/>
      </w:r>
      <w:r w:rsidRPr="00B92969">
        <w:rPr>
          <w:sz w:val="24"/>
          <w:szCs w:val="24"/>
        </w:rPr>
        <w:t>Se requieren las modificaciones que se indican a continuación en algunos de los indicadores que están contemplados en el Anexo 6 del Acuerdo Sugef 3-06, con el propósito de que el marco regulatorio para la identificación de entidades de importancia sistémica considere de una forma más adecuada las características específicas del sector financiero local:</w:t>
      </w:r>
    </w:p>
    <w:p w14:paraId="45E184FF" w14:textId="77777777" w:rsidR="00B72ED7" w:rsidRPr="00B92969" w:rsidRDefault="00B72ED7" w:rsidP="00B72ED7">
      <w:pPr>
        <w:ind w:left="993" w:hanging="993"/>
        <w:jc w:val="both"/>
        <w:rPr>
          <w:sz w:val="24"/>
          <w:szCs w:val="24"/>
        </w:rPr>
      </w:pPr>
    </w:p>
    <w:p w14:paraId="77B8140F" w14:textId="77777777" w:rsidR="00B72ED7" w:rsidRPr="00B92969" w:rsidRDefault="00B72ED7" w:rsidP="00B72ED7">
      <w:pPr>
        <w:pStyle w:val="Prrafodelista"/>
        <w:numPr>
          <w:ilvl w:val="0"/>
          <w:numId w:val="34"/>
        </w:numPr>
        <w:ind w:left="1418" w:hanging="425"/>
        <w:contextualSpacing/>
        <w:jc w:val="both"/>
      </w:pPr>
      <w:r w:rsidRPr="00B92969">
        <w:t>Los Activos administrados en fideicomiso se excluyen de la dimensión “complejidad”. El impacto sistémico de una entidad financiera que atraviese por dificultades o quiebre estará previsiblemente relacionado de forma directa con su complejidad en general; es decir, con la complejidad de su negocio, estructural y operativa. El coste y el tiempo necesarios para la resolución de una entidad se incrementan con su complejidad. Muchos de los fideicomisos que se administran en Costa Rica son de garantía; estos no son productos de alta complejidad. Para efectos de esta metodología de identificación de entidades de importancia sistémica, lo más conveniente es excluir este indicador.</w:t>
      </w:r>
    </w:p>
    <w:p w14:paraId="6BE67317" w14:textId="77777777" w:rsidR="00B72ED7" w:rsidRPr="00B92969" w:rsidRDefault="00B72ED7" w:rsidP="00B72ED7">
      <w:pPr>
        <w:pStyle w:val="Prrafodelista"/>
        <w:ind w:left="1418" w:hanging="425"/>
        <w:jc w:val="both"/>
      </w:pPr>
    </w:p>
    <w:p w14:paraId="02DA2C13" w14:textId="77777777" w:rsidR="00B72ED7" w:rsidRPr="00B92969" w:rsidRDefault="00B72ED7" w:rsidP="00B72ED7">
      <w:pPr>
        <w:pStyle w:val="Prrafodelista"/>
        <w:numPr>
          <w:ilvl w:val="0"/>
          <w:numId w:val="34"/>
        </w:numPr>
        <w:ind w:left="1418" w:hanging="425"/>
        <w:jc w:val="both"/>
      </w:pPr>
      <w:r w:rsidRPr="00B92969">
        <w:t xml:space="preserve">Se excluye el indicador de Suplidor de dólares en el Monex de la dimensión “sustituibilidad”. </w:t>
      </w:r>
      <w:r w:rsidRPr="00B92969">
        <w:rPr>
          <w:color w:val="000000"/>
          <w:shd w:val="clear" w:color="auto" w:fill="FFFFFF"/>
        </w:rPr>
        <w:t>El Mercado de Monedas Extranjeras (Monex) lo organiza el Banco Central de Costa Rica (BCCR) y constituye el medio por el cual sus participantes negocian entre sí operaciones de compra y de venta de divisas.</w:t>
      </w:r>
      <w:r w:rsidRPr="00B92969">
        <w:t xml:space="preserve"> En el caso de que una entidad financiera tenga un papel importante con respecto al abastecimiento de dólares a otras entidades y aquella experimente dificultades financieras, otras entidades podrían participar como suplidores de dólares; asimismo, el BCCR, en caso de considerarlo necesario, podría participar como suplidor de dólares en Monex, considerando que, como parte de la </w:t>
      </w:r>
      <w:r w:rsidRPr="00B92969">
        <w:rPr>
          <w:color w:val="000000"/>
        </w:rPr>
        <w:t xml:space="preserve">estructura de las reservas monetarias internacionales disponibles, se cuenta con un portafolio de apoyo a liquidez en dólares, cuyo objetivo es servir como un portafolio intermedio que absorba el impacto de las necesidades y excesos de liquidez no previstos. El indicador de </w:t>
      </w:r>
      <w:r w:rsidRPr="00B92969">
        <w:t xml:space="preserve">Suplidor de dólares en el Monex no es relevante desde la perspectiva </w:t>
      </w:r>
      <w:proofErr w:type="spellStart"/>
      <w:r w:rsidRPr="00B92969">
        <w:t>microprudencial</w:t>
      </w:r>
      <w:proofErr w:type="spellEnd"/>
      <w:r w:rsidRPr="00B92969">
        <w:t xml:space="preserve"> </w:t>
      </w:r>
      <w:r w:rsidRPr="00B92969">
        <w:rPr>
          <w:lang w:val="es-MX"/>
        </w:rPr>
        <w:t>para el ejercicio de las potestades de supervisión, control, vigilancia y regulación del sistema financiero.</w:t>
      </w:r>
    </w:p>
    <w:p w14:paraId="06D98BFA" w14:textId="77777777" w:rsidR="00B72ED7" w:rsidRPr="00B92969" w:rsidRDefault="00B72ED7" w:rsidP="00B72ED7">
      <w:pPr>
        <w:ind w:left="1418" w:hanging="425"/>
        <w:jc w:val="both"/>
        <w:rPr>
          <w:sz w:val="24"/>
          <w:szCs w:val="24"/>
        </w:rPr>
      </w:pPr>
    </w:p>
    <w:p w14:paraId="62DBBCB4" w14:textId="77777777" w:rsidR="00B72ED7" w:rsidRPr="00B92969" w:rsidRDefault="00B72ED7" w:rsidP="00B72ED7">
      <w:pPr>
        <w:pStyle w:val="Prrafodelista"/>
        <w:numPr>
          <w:ilvl w:val="0"/>
          <w:numId w:val="34"/>
        </w:numPr>
        <w:ind w:left="1418" w:hanging="425"/>
        <w:contextualSpacing/>
        <w:jc w:val="both"/>
      </w:pPr>
      <w:r w:rsidRPr="00B92969">
        <w:t>Se excluye el indicador de Crédito a Mipymes de la dimensión “sustituibilidad”. Dicho indicador se encuentra contemplado dentro del indicador de Cantidad de operaciones de crédito, el cual forma parte de la dimensión “complejidad”.</w:t>
      </w:r>
    </w:p>
    <w:p w14:paraId="22E32FC8" w14:textId="77777777" w:rsidR="00B72ED7" w:rsidRPr="00B92969" w:rsidRDefault="00B72ED7" w:rsidP="00B72ED7">
      <w:pPr>
        <w:pStyle w:val="Prrafodelista"/>
        <w:ind w:left="1418" w:hanging="425"/>
        <w:jc w:val="both"/>
      </w:pPr>
    </w:p>
    <w:p w14:paraId="00ACD384" w14:textId="77777777" w:rsidR="00B72ED7" w:rsidRPr="00B92969" w:rsidRDefault="00B72ED7" w:rsidP="00B72ED7">
      <w:pPr>
        <w:pStyle w:val="Prrafodelista"/>
        <w:numPr>
          <w:ilvl w:val="0"/>
          <w:numId w:val="34"/>
        </w:numPr>
        <w:ind w:left="1418" w:hanging="425"/>
        <w:jc w:val="both"/>
      </w:pPr>
      <w:r w:rsidRPr="00B92969">
        <w:t xml:space="preserve">Se excluye el indicador de Suplidor neto de liquidez en el Mercado de Dinero (MEDI), colones y dólares, de la dimensión “sustituibilidad”. </w:t>
      </w:r>
      <w:r w:rsidRPr="00B92969">
        <w:rPr>
          <w:shd w:val="clear" w:color="auto" w:fill="FFFFFF"/>
        </w:rPr>
        <w:t>La caída en el volumen del MEDI y el comportamiento en el diferencial de tasas con respecto al MIL, hacen que instituciones que históricamente han tenido una participación muy activa en MEDI, ahora satisfagan sus necesidades de liquidez de corto plazo en otros mercados, como es el caso del Mercado Integrado de Liquidez (MIL), el cual, en el transcurso del tiempo ha mostrado una importante tendencia al alza.</w:t>
      </w:r>
    </w:p>
    <w:p w14:paraId="013B29DA" w14:textId="77777777" w:rsidR="00B72ED7" w:rsidRPr="00B92969" w:rsidRDefault="00B72ED7" w:rsidP="00B72ED7">
      <w:pPr>
        <w:pStyle w:val="Prrafodelista"/>
        <w:ind w:left="1418" w:hanging="425"/>
        <w:jc w:val="both"/>
      </w:pPr>
    </w:p>
    <w:p w14:paraId="55C13AD4" w14:textId="77777777" w:rsidR="00B72ED7" w:rsidRPr="00B92969" w:rsidRDefault="00B72ED7" w:rsidP="00B72ED7">
      <w:pPr>
        <w:pStyle w:val="Prrafodelista"/>
        <w:numPr>
          <w:ilvl w:val="0"/>
          <w:numId w:val="34"/>
        </w:numPr>
        <w:ind w:left="1418" w:hanging="425"/>
        <w:jc w:val="both"/>
      </w:pPr>
      <w:r w:rsidRPr="00B92969">
        <w:lastRenderedPageBreak/>
        <w:t>Se incluye el indicador de derivados dentro de la dimensión “complejidad”. Cuanto mayor sea el número de contratos de derivados celebrados por una entidad financiera, mayor complejidad entrañarán sus actividades. Esto es especialmente cierto en el contexto de una resolución.</w:t>
      </w:r>
    </w:p>
    <w:p w14:paraId="70FAC9EA" w14:textId="77777777" w:rsidR="00B72ED7" w:rsidRPr="00B92969" w:rsidRDefault="00B72ED7" w:rsidP="00B72ED7">
      <w:pPr>
        <w:pStyle w:val="Prrafodelista"/>
        <w:ind w:left="1418" w:hanging="425"/>
        <w:jc w:val="both"/>
      </w:pPr>
    </w:p>
    <w:p w14:paraId="60210101" w14:textId="77777777" w:rsidR="00B72ED7" w:rsidRPr="00B92969" w:rsidRDefault="00B72ED7" w:rsidP="00B72ED7">
      <w:pPr>
        <w:pStyle w:val="Prrafodelista"/>
        <w:numPr>
          <w:ilvl w:val="0"/>
          <w:numId w:val="34"/>
        </w:numPr>
        <w:ind w:left="1418" w:hanging="425"/>
        <w:jc w:val="both"/>
      </w:pPr>
      <w:r w:rsidRPr="00B92969">
        <w:t>Se incluye el indicador de valor de activos mantenidos con fines de negociación y disponibles para su venta dentro de la dimensión “complejidad”. La tenencia de activos financieros para negociación y valores disponibles para la venta podría generar efectos de contagio debidos a pérdidas por valoración a precios de mercado y a la posterior venta urgente de estos valores en caso de que una entidad experimente fuertes tensiones. Esto puede a su vez reducir el precio de estos valores y forzar a otras instituciones financieras a registrar amortizaciones en sus carteras de esos mismos valores.</w:t>
      </w:r>
    </w:p>
    <w:p w14:paraId="6D306BE3" w14:textId="77777777" w:rsidR="00B72ED7" w:rsidRPr="00B92969" w:rsidRDefault="00B72ED7" w:rsidP="00B72ED7">
      <w:pPr>
        <w:ind w:left="993" w:hanging="993"/>
        <w:jc w:val="both"/>
        <w:rPr>
          <w:sz w:val="24"/>
          <w:szCs w:val="24"/>
        </w:rPr>
      </w:pPr>
    </w:p>
    <w:p w14:paraId="75A7CC36" w14:textId="77777777" w:rsidR="00B72ED7" w:rsidRPr="00B92969" w:rsidRDefault="00B72ED7" w:rsidP="00B72ED7">
      <w:pPr>
        <w:pStyle w:val="Prrafodelista"/>
        <w:tabs>
          <w:tab w:val="left" w:pos="284"/>
        </w:tabs>
        <w:ind w:left="993" w:hanging="993"/>
        <w:jc w:val="center"/>
        <w:rPr>
          <w:b/>
          <w:bCs/>
        </w:rPr>
      </w:pPr>
      <w:r w:rsidRPr="00B92969">
        <w:rPr>
          <w:b/>
          <w:bCs/>
        </w:rPr>
        <w:t>Consideraciones sobre la modificación a los rangos de puntaje</w:t>
      </w:r>
    </w:p>
    <w:p w14:paraId="4152316C" w14:textId="77777777" w:rsidR="00B72ED7" w:rsidRPr="00B92969" w:rsidRDefault="00B72ED7" w:rsidP="00B72ED7">
      <w:pPr>
        <w:pStyle w:val="Prrafodelista"/>
        <w:tabs>
          <w:tab w:val="left" w:pos="284"/>
        </w:tabs>
        <w:ind w:left="993" w:hanging="993"/>
        <w:jc w:val="both"/>
        <w:rPr>
          <w:b/>
          <w:bCs/>
        </w:rPr>
      </w:pPr>
    </w:p>
    <w:p w14:paraId="093ED52E" w14:textId="1D323950" w:rsidR="00B72ED7" w:rsidRPr="00B92969" w:rsidRDefault="00B72ED7" w:rsidP="00AD2F3E">
      <w:pPr>
        <w:ind w:left="993" w:hanging="993"/>
        <w:jc w:val="both"/>
        <w:rPr>
          <w:sz w:val="24"/>
          <w:szCs w:val="24"/>
        </w:rPr>
      </w:pPr>
      <w:r w:rsidRPr="00B92969">
        <w:rPr>
          <w:b/>
          <w:bCs/>
          <w:sz w:val="24"/>
          <w:szCs w:val="24"/>
        </w:rPr>
        <w:t>XXXII.</w:t>
      </w:r>
      <w:r w:rsidRPr="00B92969">
        <w:rPr>
          <w:b/>
          <w:bCs/>
          <w:sz w:val="24"/>
          <w:szCs w:val="24"/>
        </w:rPr>
        <w:tab/>
      </w:r>
      <w:r w:rsidRPr="00B92969">
        <w:rPr>
          <w:sz w:val="24"/>
          <w:szCs w:val="24"/>
        </w:rPr>
        <w:t xml:space="preserve">El </w:t>
      </w:r>
      <w:r w:rsidRPr="00B92969">
        <w:rPr>
          <w:i/>
          <w:iCs/>
          <w:sz w:val="24"/>
          <w:szCs w:val="24"/>
        </w:rPr>
        <w:t>Reglamento sobre la suficiencia patrimonial de entidades financieras,</w:t>
      </w:r>
      <w:r w:rsidRPr="00B92969">
        <w:rPr>
          <w:sz w:val="24"/>
          <w:szCs w:val="24"/>
        </w:rPr>
        <w:t xml:space="preserve"> Acuerdo Sugef 3-06, señala que la categoría de importancia sistémica estará determinada por el puntaje obtenido por la entidad y su ubicación en los rangos que se indican en el citado reglamento.</w:t>
      </w:r>
    </w:p>
    <w:p w14:paraId="4A84EA20" w14:textId="77777777" w:rsidR="00B72ED7" w:rsidRPr="00B92969" w:rsidRDefault="00B72ED7" w:rsidP="00B72ED7">
      <w:pPr>
        <w:ind w:left="993" w:hanging="993"/>
        <w:jc w:val="both"/>
        <w:rPr>
          <w:b/>
          <w:bCs/>
          <w:sz w:val="24"/>
          <w:szCs w:val="24"/>
        </w:rPr>
      </w:pPr>
    </w:p>
    <w:p w14:paraId="6816B21A" w14:textId="77777777" w:rsidR="00B72ED7" w:rsidRPr="00B92969" w:rsidRDefault="00B72ED7" w:rsidP="00B72ED7">
      <w:pPr>
        <w:ind w:left="993" w:hanging="993"/>
        <w:jc w:val="both"/>
        <w:rPr>
          <w:sz w:val="24"/>
          <w:szCs w:val="24"/>
        </w:rPr>
      </w:pPr>
      <w:r w:rsidRPr="00B92969">
        <w:rPr>
          <w:b/>
          <w:bCs/>
          <w:sz w:val="24"/>
          <w:szCs w:val="24"/>
        </w:rPr>
        <w:t>XXXIII.</w:t>
      </w:r>
      <w:r w:rsidRPr="00B92969">
        <w:rPr>
          <w:b/>
          <w:bCs/>
          <w:sz w:val="24"/>
          <w:szCs w:val="24"/>
        </w:rPr>
        <w:tab/>
      </w:r>
      <w:r w:rsidRPr="00B92969">
        <w:rPr>
          <w:sz w:val="24"/>
          <w:szCs w:val="24"/>
        </w:rPr>
        <w:t xml:space="preserve">El Comité de Supervisión Bancaria de Basilea indica un método de clasificación por tramos con el fin de disponer de los requerimientos adicionales de capital con los cuales sea posible la absorción de pérdidas.  </w:t>
      </w:r>
      <w:bookmarkStart w:id="7" w:name="_Hlk120019427"/>
      <w:r w:rsidRPr="00B92969">
        <w:rPr>
          <w:sz w:val="24"/>
          <w:szCs w:val="24"/>
        </w:rPr>
        <w:t xml:space="preserve">No obstante, señala que queda a la entera discreción de las jurisdicciones nacionales la opción de imponer mayores exigencias a sus bancos.  Asimismo, se debe determinar cuál es el punto de corte y los rangos para cada jurisdicción. </w:t>
      </w:r>
    </w:p>
    <w:bookmarkEnd w:id="7"/>
    <w:p w14:paraId="49BB7F8A" w14:textId="77777777" w:rsidR="00B72ED7" w:rsidRPr="00B92969" w:rsidRDefault="00B72ED7" w:rsidP="00B72ED7">
      <w:pPr>
        <w:ind w:left="993" w:hanging="993"/>
        <w:jc w:val="both"/>
        <w:rPr>
          <w:b/>
          <w:bCs/>
          <w:sz w:val="24"/>
          <w:szCs w:val="24"/>
        </w:rPr>
      </w:pPr>
    </w:p>
    <w:p w14:paraId="3918A0C8" w14:textId="77777777" w:rsidR="00B72ED7" w:rsidRPr="00B92969" w:rsidRDefault="00B72ED7" w:rsidP="00B72ED7">
      <w:pPr>
        <w:ind w:left="993" w:hanging="993"/>
        <w:jc w:val="both"/>
        <w:rPr>
          <w:sz w:val="24"/>
          <w:szCs w:val="24"/>
        </w:rPr>
      </w:pPr>
      <w:r w:rsidRPr="00B92969">
        <w:rPr>
          <w:b/>
          <w:bCs/>
          <w:sz w:val="24"/>
          <w:szCs w:val="24"/>
        </w:rPr>
        <w:t>XXXIV.</w:t>
      </w:r>
      <w:r w:rsidRPr="00B92969">
        <w:rPr>
          <w:b/>
          <w:bCs/>
          <w:sz w:val="24"/>
          <w:szCs w:val="24"/>
        </w:rPr>
        <w:tab/>
      </w:r>
      <w:r w:rsidRPr="00B92969">
        <w:rPr>
          <w:sz w:val="24"/>
          <w:szCs w:val="24"/>
        </w:rPr>
        <w:t>Con el propósito de ser coherentes con lo establecido por el Comité de Supervisión Bancaria de Basilea, los rangos de puntaje establecidos en el Acuerdo Superintendencia General de Entidades Financieras (Sugef) 3-06 requieren las modificaciones siguientes:</w:t>
      </w:r>
    </w:p>
    <w:p w14:paraId="00DCF5B9" w14:textId="77777777" w:rsidR="00B72ED7" w:rsidRPr="00B92969" w:rsidRDefault="00B72ED7" w:rsidP="00B72ED7">
      <w:pPr>
        <w:tabs>
          <w:tab w:val="left" w:pos="5188"/>
        </w:tabs>
        <w:ind w:left="993" w:hanging="993"/>
        <w:contextualSpacing/>
        <w:jc w:val="both"/>
        <w:rPr>
          <w:sz w:val="24"/>
          <w:szCs w:val="24"/>
        </w:rPr>
      </w:pPr>
    </w:p>
    <w:p w14:paraId="37CB5E40" w14:textId="77777777" w:rsidR="00B72ED7" w:rsidRPr="00B92969" w:rsidRDefault="00B72ED7" w:rsidP="00B72ED7">
      <w:pPr>
        <w:tabs>
          <w:tab w:val="left" w:pos="5188"/>
        </w:tabs>
        <w:ind w:left="1560" w:hanging="567"/>
        <w:contextualSpacing/>
        <w:jc w:val="both"/>
        <w:rPr>
          <w:sz w:val="24"/>
          <w:szCs w:val="24"/>
        </w:rPr>
      </w:pPr>
      <w:r w:rsidRPr="00B92969">
        <w:rPr>
          <w:sz w:val="24"/>
          <w:szCs w:val="24"/>
        </w:rPr>
        <w:t>a)</w:t>
      </w:r>
      <w:r w:rsidRPr="00B92969">
        <w:rPr>
          <w:sz w:val="24"/>
          <w:szCs w:val="24"/>
        </w:rPr>
        <w:tab/>
        <w:t>Se definen tres rangos de puntaje con una diferencia de 300 puntos cada uno, esto con el fin de que cada rango tenga la misma amplitud en términos de puntuación y procurar que las evaluaciones de importancia sistémica sean comparables en el tiempo y siguiendo las recomendaciones de Basilea III.</w:t>
      </w:r>
    </w:p>
    <w:p w14:paraId="0FEB7EE4" w14:textId="77777777" w:rsidR="00B72ED7" w:rsidRPr="00B92969" w:rsidRDefault="00B72ED7" w:rsidP="00B72ED7">
      <w:pPr>
        <w:pStyle w:val="Prrafodelista"/>
        <w:tabs>
          <w:tab w:val="left" w:pos="5188"/>
        </w:tabs>
        <w:ind w:left="1560" w:hanging="567"/>
        <w:jc w:val="both"/>
      </w:pPr>
    </w:p>
    <w:p w14:paraId="586FB443" w14:textId="77777777" w:rsidR="00B72ED7" w:rsidRPr="00B92969" w:rsidRDefault="00B72ED7" w:rsidP="00B72ED7">
      <w:pPr>
        <w:tabs>
          <w:tab w:val="left" w:pos="5188"/>
        </w:tabs>
        <w:ind w:left="1560" w:hanging="567"/>
        <w:contextualSpacing/>
        <w:jc w:val="both"/>
        <w:rPr>
          <w:sz w:val="24"/>
          <w:szCs w:val="24"/>
        </w:rPr>
      </w:pPr>
      <w:r w:rsidRPr="00B92969">
        <w:rPr>
          <w:sz w:val="24"/>
          <w:szCs w:val="24"/>
        </w:rPr>
        <w:t>b)</w:t>
      </w:r>
      <w:r w:rsidRPr="00B92969">
        <w:rPr>
          <w:sz w:val="24"/>
          <w:szCs w:val="24"/>
        </w:rPr>
        <w:tab/>
        <w:t>Se estableció un vacío en la parte superior para disuadir a los bancos de ganar importancia sistémica; si el tramo vacío se poblara en un futuro, se añadiría un nuevo tramo vacío al que se aplicaría un mayor nivel de absorción de pérdidas adicional. Se utilizo una metodología del impacto marginal del promedio acumulado de los participantes para definir la cantidad de entidades con condición de importancia sistémica. El punto de corte técnico, cuyo resultado arrojó 1000 puntos corresponde a un criterio experto.</w:t>
      </w:r>
    </w:p>
    <w:p w14:paraId="50635A76" w14:textId="77777777" w:rsidR="00B72ED7" w:rsidRPr="00B92969" w:rsidRDefault="00B72ED7" w:rsidP="00B72ED7">
      <w:pPr>
        <w:tabs>
          <w:tab w:val="left" w:pos="5188"/>
        </w:tabs>
        <w:ind w:left="993" w:hanging="993"/>
        <w:jc w:val="both"/>
        <w:rPr>
          <w:sz w:val="24"/>
          <w:szCs w:val="24"/>
        </w:rPr>
      </w:pPr>
    </w:p>
    <w:p w14:paraId="0E923ED5" w14:textId="77777777" w:rsidR="00B72ED7" w:rsidRPr="00B92969" w:rsidRDefault="00B72ED7" w:rsidP="00B72ED7">
      <w:pPr>
        <w:tabs>
          <w:tab w:val="left" w:pos="5188"/>
        </w:tabs>
        <w:ind w:left="993" w:hanging="993"/>
        <w:jc w:val="center"/>
        <w:rPr>
          <w:b/>
          <w:bCs/>
          <w:sz w:val="24"/>
          <w:szCs w:val="24"/>
        </w:rPr>
      </w:pPr>
      <w:r w:rsidRPr="00B92969">
        <w:rPr>
          <w:b/>
          <w:bCs/>
          <w:sz w:val="24"/>
          <w:szCs w:val="24"/>
        </w:rPr>
        <w:t>Consideraciones sobre la modificación a los requerimientos adicionales de capital en función de la condición de importancia sistémica (CIS)</w:t>
      </w:r>
    </w:p>
    <w:p w14:paraId="1B811C51" w14:textId="77777777" w:rsidR="00B72ED7" w:rsidRPr="00B92969" w:rsidRDefault="00B72ED7" w:rsidP="00B72ED7">
      <w:pPr>
        <w:tabs>
          <w:tab w:val="left" w:pos="5188"/>
        </w:tabs>
        <w:ind w:left="993" w:hanging="993"/>
        <w:jc w:val="both"/>
        <w:rPr>
          <w:sz w:val="24"/>
          <w:szCs w:val="24"/>
        </w:rPr>
      </w:pPr>
    </w:p>
    <w:p w14:paraId="432805F9" w14:textId="77777777" w:rsidR="00B72ED7" w:rsidRPr="00B92969" w:rsidRDefault="00B72ED7" w:rsidP="00B72ED7">
      <w:pPr>
        <w:ind w:left="993" w:hanging="993"/>
        <w:jc w:val="both"/>
        <w:rPr>
          <w:sz w:val="24"/>
          <w:szCs w:val="24"/>
        </w:rPr>
      </w:pPr>
      <w:r w:rsidRPr="00B92969">
        <w:rPr>
          <w:b/>
          <w:bCs/>
          <w:sz w:val="24"/>
          <w:szCs w:val="24"/>
        </w:rPr>
        <w:t>XXXV.</w:t>
      </w:r>
      <w:r w:rsidRPr="00B92969">
        <w:rPr>
          <w:b/>
          <w:bCs/>
          <w:sz w:val="24"/>
          <w:szCs w:val="24"/>
        </w:rPr>
        <w:tab/>
      </w:r>
      <w:r w:rsidRPr="00B92969">
        <w:rPr>
          <w:sz w:val="24"/>
          <w:szCs w:val="24"/>
        </w:rPr>
        <w:t xml:space="preserve">El Acuerdo Sugef 3-06 establece un requerimiento de capital adicional por importancia sistémica de entre 0,30% y 1,50% sobre los riesgos totales de la entidad, según el puntaje de importancia sistémica. Los riesgos totales estarán determinados por el denominador del indicador de suficiencia patrimonial. </w:t>
      </w:r>
    </w:p>
    <w:p w14:paraId="717A0449" w14:textId="77777777" w:rsidR="00B72ED7" w:rsidRPr="00B92969" w:rsidRDefault="00B72ED7" w:rsidP="00B72ED7">
      <w:pPr>
        <w:ind w:left="993" w:hanging="993"/>
        <w:jc w:val="both"/>
        <w:rPr>
          <w:b/>
          <w:bCs/>
          <w:sz w:val="24"/>
          <w:szCs w:val="24"/>
        </w:rPr>
      </w:pPr>
    </w:p>
    <w:p w14:paraId="710354C2" w14:textId="77777777" w:rsidR="00B72ED7" w:rsidRPr="00B92969" w:rsidRDefault="00B72ED7" w:rsidP="00B72ED7">
      <w:pPr>
        <w:ind w:left="993" w:hanging="993"/>
        <w:jc w:val="both"/>
        <w:rPr>
          <w:sz w:val="24"/>
          <w:szCs w:val="24"/>
        </w:rPr>
      </w:pPr>
      <w:r w:rsidRPr="00B92969">
        <w:rPr>
          <w:b/>
          <w:bCs/>
          <w:sz w:val="24"/>
          <w:szCs w:val="24"/>
        </w:rPr>
        <w:t>XXXVI.</w:t>
      </w:r>
      <w:r w:rsidRPr="00B92969">
        <w:rPr>
          <w:b/>
          <w:bCs/>
          <w:sz w:val="24"/>
          <w:szCs w:val="24"/>
        </w:rPr>
        <w:tab/>
      </w:r>
      <w:r w:rsidRPr="00B92969">
        <w:rPr>
          <w:sz w:val="24"/>
          <w:szCs w:val="24"/>
        </w:rPr>
        <w:t>El Comité de Supervisión Bancaria de Basilea define un requerimiento de absorción de pérdidas adicional mínimo; sin embargo, resalta que queda a discreción de las jurisdicciones nacionales la opción de imponer mayores exigencias a sus bancos.</w:t>
      </w:r>
    </w:p>
    <w:p w14:paraId="27D79A94" w14:textId="77777777" w:rsidR="00B72ED7" w:rsidRPr="00B92969" w:rsidRDefault="00B72ED7" w:rsidP="00B72ED7">
      <w:pPr>
        <w:ind w:left="993" w:hanging="993"/>
        <w:jc w:val="both"/>
        <w:rPr>
          <w:b/>
          <w:bCs/>
          <w:sz w:val="24"/>
          <w:szCs w:val="24"/>
        </w:rPr>
      </w:pPr>
      <w:bookmarkStart w:id="8" w:name="_Hlk119096013"/>
    </w:p>
    <w:p w14:paraId="1551DC3C" w14:textId="77777777" w:rsidR="00B72ED7" w:rsidRPr="00B92969" w:rsidRDefault="00B72ED7" w:rsidP="00B72ED7">
      <w:pPr>
        <w:ind w:left="993" w:hanging="1135"/>
        <w:jc w:val="both"/>
        <w:rPr>
          <w:sz w:val="24"/>
          <w:szCs w:val="24"/>
        </w:rPr>
      </w:pPr>
      <w:r w:rsidRPr="00B92969">
        <w:rPr>
          <w:b/>
          <w:bCs/>
          <w:sz w:val="24"/>
          <w:szCs w:val="24"/>
        </w:rPr>
        <w:t>XXXVII.</w:t>
      </w:r>
      <w:r w:rsidRPr="00B92969">
        <w:rPr>
          <w:b/>
          <w:bCs/>
          <w:sz w:val="24"/>
          <w:szCs w:val="24"/>
        </w:rPr>
        <w:tab/>
      </w:r>
      <w:r w:rsidRPr="00B92969">
        <w:rPr>
          <w:sz w:val="24"/>
          <w:szCs w:val="24"/>
        </w:rPr>
        <w:t>De acuerdo con la estructura de capitalización de los intermediarios financieros, se considera razonable mantener el requerimiento vigente del 1,50% en el segundo rango de puntuación y disponer un 2% en el vacío de la parte superior del rango más poblado. Los rangos en los requerimientos adicionales de capital se establecieron a razón de 0,50%, por lo que partiendo de un nivel superior del 2% el mínimo resultante fue de 0,50%.</w:t>
      </w:r>
      <w:bookmarkEnd w:id="4"/>
      <w:r w:rsidRPr="00B92969">
        <w:rPr>
          <w:sz w:val="24"/>
          <w:szCs w:val="24"/>
        </w:rPr>
        <w:t xml:space="preserve"> El requerimiento mínimo se establece con base en el criterio experto de la Sugef, a partir del corte técnico de 1000 puntos.</w:t>
      </w:r>
      <w:bookmarkEnd w:id="8"/>
    </w:p>
    <w:p w14:paraId="007AB3AE" w14:textId="77777777" w:rsidR="00B72ED7" w:rsidRPr="00B92969" w:rsidRDefault="00B72ED7" w:rsidP="00B72ED7">
      <w:pPr>
        <w:tabs>
          <w:tab w:val="left" w:pos="1134"/>
        </w:tabs>
        <w:ind w:left="993" w:hanging="993"/>
        <w:jc w:val="both"/>
        <w:rPr>
          <w:b/>
          <w:bCs/>
          <w:sz w:val="24"/>
          <w:szCs w:val="24"/>
        </w:rPr>
      </w:pPr>
    </w:p>
    <w:p w14:paraId="7E4BD16E" w14:textId="77777777" w:rsidR="00B72ED7" w:rsidRPr="00B92969" w:rsidRDefault="00B72ED7" w:rsidP="00B72ED7">
      <w:pPr>
        <w:tabs>
          <w:tab w:val="left" w:pos="1134"/>
        </w:tabs>
        <w:ind w:left="993" w:hanging="993"/>
        <w:jc w:val="center"/>
        <w:rPr>
          <w:b/>
          <w:bCs/>
          <w:sz w:val="24"/>
          <w:szCs w:val="24"/>
        </w:rPr>
      </w:pPr>
      <w:r w:rsidRPr="00B92969">
        <w:rPr>
          <w:b/>
          <w:bCs/>
          <w:sz w:val="24"/>
          <w:szCs w:val="24"/>
        </w:rPr>
        <w:t>Consideraciones de perspectiva prudencial</w:t>
      </w:r>
    </w:p>
    <w:p w14:paraId="3DAE6425" w14:textId="77777777" w:rsidR="00B72ED7" w:rsidRPr="00B92969" w:rsidRDefault="00B72ED7" w:rsidP="00B72ED7">
      <w:pPr>
        <w:tabs>
          <w:tab w:val="left" w:pos="1134"/>
        </w:tabs>
        <w:ind w:left="993" w:hanging="993"/>
        <w:jc w:val="both"/>
        <w:rPr>
          <w:b/>
          <w:bCs/>
          <w:sz w:val="24"/>
          <w:szCs w:val="24"/>
        </w:rPr>
      </w:pPr>
    </w:p>
    <w:p w14:paraId="6644B622" w14:textId="77777777" w:rsidR="00B72ED7" w:rsidRPr="00B92969" w:rsidRDefault="00B72ED7" w:rsidP="00B72ED7">
      <w:pPr>
        <w:ind w:left="993" w:hanging="1135"/>
        <w:jc w:val="both"/>
        <w:rPr>
          <w:sz w:val="24"/>
          <w:szCs w:val="24"/>
        </w:rPr>
      </w:pPr>
      <w:r w:rsidRPr="00B92969">
        <w:rPr>
          <w:b/>
          <w:bCs/>
          <w:sz w:val="24"/>
          <w:szCs w:val="24"/>
        </w:rPr>
        <w:t>XXXVIII.</w:t>
      </w:r>
      <w:r w:rsidRPr="00B92969">
        <w:rPr>
          <w:b/>
          <w:bCs/>
          <w:sz w:val="24"/>
          <w:szCs w:val="24"/>
        </w:rPr>
        <w:tab/>
      </w:r>
      <w:r w:rsidRPr="00B92969">
        <w:rPr>
          <w:sz w:val="24"/>
          <w:szCs w:val="24"/>
        </w:rPr>
        <w:t>En los últimos años se ha dado un cambio sustancial de la regulación aplicable al sector financiero para reducir la probabilidad de que se produzcan crisis en el sector financiero y el coste derivado de ellas para los contribuyentes, para lo que se ha considerado esencial aumentar la resistencia de las entidades de intermediación financiera para afrontar perturbaciones ocasionadas por tensiones financieras o económicas de cualquier tipo, mejorar la gestión de riesgos y el buen gobierno corporativo en las entidades, reforzar la transparencia y la divulgación de información de las entidades financieras.</w:t>
      </w:r>
    </w:p>
    <w:p w14:paraId="750C1642" w14:textId="77777777" w:rsidR="00B72ED7" w:rsidRPr="00B92969" w:rsidRDefault="00B72ED7" w:rsidP="00B72ED7">
      <w:pPr>
        <w:ind w:left="993" w:hanging="993"/>
        <w:jc w:val="both"/>
        <w:rPr>
          <w:sz w:val="24"/>
          <w:szCs w:val="24"/>
        </w:rPr>
      </w:pPr>
    </w:p>
    <w:p w14:paraId="6BBECEFF" w14:textId="77777777" w:rsidR="00B72ED7" w:rsidRPr="00B92969" w:rsidRDefault="00B72ED7" w:rsidP="00B72ED7">
      <w:pPr>
        <w:ind w:left="993" w:hanging="993"/>
        <w:jc w:val="both"/>
        <w:rPr>
          <w:sz w:val="24"/>
          <w:szCs w:val="24"/>
        </w:rPr>
      </w:pPr>
      <w:r w:rsidRPr="00B92969">
        <w:rPr>
          <w:b/>
          <w:bCs/>
          <w:sz w:val="24"/>
          <w:szCs w:val="24"/>
        </w:rPr>
        <w:t>XXXIX.</w:t>
      </w:r>
      <w:r w:rsidRPr="00B92969">
        <w:rPr>
          <w:b/>
          <w:bCs/>
          <w:sz w:val="24"/>
          <w:szCs w:val="24"/>
        </w:rPr>
        <w:tab/>
      </w:r>
      <w:r w:rsidRPr="00B92969">
        <w:rPr>
          <w:sz w:val="24"/>
          <w:szCs w:val="24"/>
        </w:rPr>
        <w:t>La disciplina de mercado ha sido desde siempre un objetivo primordial del Comité de Supervisión Bancaria de Basilea. Proporcionar a los mercados información significativa sobre medidas comunes de los principales riesgos es fundamental para la solidez del sistema bancario, ya que reduce la asimetría de la información y promueve la comparabilidad de los perfiles de riesgo de los bancos dentro de una misma jurisdicción y entre jurisdicciones. Por lo que, es conveniente que se publique la lista de entidades de importancia sistémica.</w:t>
      </w:r>
    </w:p>
    <w:p w14:paraId="1217F191" w14:textId="77777777" w:rsidR="00B72ED7" w:rsidRPr="00B92969" w:rsidRDefault="00B72ED7" w:rsidP="00B72ED7">
      <w:pPr>
        <w:ind w:left="993" w:hanging="993"/>
        <w:jc w:val="both"/>
        <w:rPr>
          <w:b/>
          <w:bCs/>
          <w:sz w:val="24"/>
          <w:szCs w:val="24"/>
        </w:rPr>
      </w:pPr>
    </w:p>
    <w:p w14:paraId="3B9B14ED" w14:textId="77777777" w:rsidR="00B72ED7" w:rsidRPr="00B92969" w:rsidRDefault="00B72ED7" w:rsidP="00B72ED7">
      <w:pPr>
        <w:ind w:left="993" w:hanging="709"/>
        <w:jc w:val="both"/>
        <w:rPr>
          <w:sz w:val="24"/>
          <w:szCs w:val="24"/>
        </w:rPr>
      </w:pPr>
      <w:r w:rsidRPr="00B92969">
        <w:rPr>
          <w:b/>
          <w:bCs/>
          <w:sz w:val="24"/>
          <w:szCs w:val="24"/>
        </w:rPr>
        <w:t>XL.</w:t>
      </w:r>
      <w:r w:rsidRPr="00B92969">
        <w:rPr>
          <w:b/>
          <w:bCs/>
          <w:sz w:val="24"/>
          <w:szCs w:val="24"/>
        </w:rPr>
        <w:tab/>
      </w:r>
      <w:r w:rsidRPr="00B92969">
        <w:rPr>
          <w:sz w:val="24"/>
          <w:szCs w:val="24"/>
        </w:rPr>
        <w:t xml:space="preserve">Con el fin de crear los incentivos adecuados para que las entidades financieras traten de reducir el riesgo sistémico que plantean al sistema financiero nacional, es conveniente que la metodología para la identificación de entidades de importancia sistémica se defina con claridad y que se comunique a las entidades su condición de importancia sistémica; asimismo, </w:t>
      </w:r>
      <w:bookmarkStart w:id="9" w:name="_Hlk126796012"/>
      <w:r w:rsidRPr="00B92969">
        <w:rPr>
          <w:sz w:val="24"/>
          <w:szCs w:val="24"/>
        </w:rPr>
        <w:t xml:space="preserve">es conveniente publicar la lista de las entidades de </w:t>
      </w:r>
      <w:r w:rsidRPr="00B92969">
        <w:rPr>
          <w:sz w:val="24"/>
          <w:szCs w:val="24"/>
        </w:rPr>
        <w:lastRenderedPageBreak/>
        <w:t>importancia sistémica. Adoptando estas medidas, se pretende garantizar que las entidades sean capaces de entender cómo sus actuaciones pueden afectar la puntuación en materia de importancia sistémica, además, se refuerza la disciplina de mercado y contribuye a un entorno bancario seguro y sólido.</w:t>
      </w:r>
    </w:p>
    <w:bookmarkEnd w:id="9"/>
    <w:p w14:paraId="477EAC5A" w14:textId="77777777" w:rsidR="00B72ED7" w:rsidRPr="00B92969" w:rsidRDefault="00B72ED7" w:rsidP="00B72ED7">
      <w:pPr>
        <w:jc w:val="both"/>
        <w:rPr>
          <w:i/>
          <w:iCs/>
          <w:sz w:val="24"/>
          <w:szCs w:val="24"/>
        </w:rPr>
      </w:pPr>
    </w:p>
    <w:p w14:paraId="61A6D3E2" w14:textId="388E30F4" w:rsidR="00B72ED7" w:rsidRPr="00B92969" w:rsidRDefault="00B72ED7" w:rsidP="00B72ED7">
      <w:pPr>
        <w:ind w:left="993" w:hanging="851"/>
        <w:jc w:val="both"/>
        <w:rPr>
          <w:sz w:val="24"/>
          <w:szCs w:val="24"/>
        </w:rPr>
      </w:pPr>
      <w:r w:rsidRPr="00B92969">
        <w:rPr>
          <w:b/>
          <w:bCs/>
          <w:sz w:val="24"/>
          <w:szCs w:val="24"/>
        </w:rPr>
        <w:t>XLI.</w:t>
      </w:r>
      <w:r w:rsidR="00042126">
        <w:rPr>
          <w:b/>
          <w:bCs/>
          <w:sz w:val="24"/>
          <w:szCs w:val="24"/>
        </w:rPr>
        <w:tab/>
      </w:r>
      <w:r w:rsidRPr="00B92969">
        <w:rPr>
          <w:sz w:val="24"/>
          <w:szCs w:val="24"/>
        </w:rPr>
        <w:t xml:space="preserve">Es conveniente que la superintendencia suministre a las entidades financieras </w:t>
      </w:r>
      <w:bookmarkStart w:id="10" w:name="_Hlk126795891"/>
      <w:r w:rsidRPr="00B92969">
        <w:rPr>
          <w:sz w:val="24"/>
          <w:szCs w:val="24"/>
        </w:rPr>
        <w:t xml:space="preserve">los datos promedios agregados de los últimos doce meses de las variables utilizadas para la determinación de la condición de entidad de importancia sistémica, con el fin de que puedan monitorear, de forma prospectiva, la evolución de su índice de importancia sistémica. </w:t>
      </w:r>
    </w:p>
    <w:bookmarkEnd w:id="10"/>
    <w:p w14:paraId="581B611D" w14:textId="77777777" w:rsidR="00B72ED7" w:rsidRPr="00B92969" w:rsidRDefault="00B72ED7" w:rsidP="00B72ED7">
      <w:pPr>
        <w:jc w:val="both"/>
        <w:rPr>
          <w:b/>
          <w:bCs/>
          <w:sz w:val="24"/>
          <w:szCs w:val="24"/>
        </w:rPr>
      </w:pPr>
    </w:p>
    <w:p w14:paraId="2D697179" w14:textId="77777777" w:rsidR="00B72ED7" w:rsidRPr="00B92969" w:rsidRDefault="00B72ED7" w:rsidP="00B72ED7">
      <w:pPr>
        <w:ind w:left="993" w:hanging="851"/>
        <w:jc w:val="both"/>
        <w:rPr>
          <w:sz w:val="24"/>
          <w:szCs w:val="24"/>
        </w:rPr>
      </w:pPr>
      <w:r w:rsidRPr="00B92969">
        <w:rPr>
          <w:b/>
          <w:bCs/>
          <w:sz w:val="24"/>
          <w:szCs w:val="24"/>
        </w:rPr>
        <w:t>XLII.</w:t>
      </w:r>
      <w:r w:rsidRPr="00B92969">
        <w:rPr>
          <w:b/>
          <w:bCs/>
          <w:sz w:val="24"/>
          <w:szCs w:val="24"/>
        </w:rPr>
        <w:tab/>
      </w:r>
      <w:r w:rsidRPr="00B92969">
        <w:rPr>
          <w:sz w:val="24"/>
          <w:szCs w:val="24"/>
        </w:rPr>
        <w:t>El Índice de Importancia Sistémica de cada entidad también es de utilidad para la Sugef en el establecimiento de otras categorías o clasificaciones de las entidades; aquellas tendrán múltiples usos a futuro en la regulación o esquemas de supervisión basada en riesgos, los cuales, si bien, no se están planteado en esta regulación, gradualmente se irán incorporando en temas de regulación, supervisión, visualización de datos y elaboración de informes, entre otros.</w:t>
      </w:r>
    </w:p>
    <w:p w14:paraId="413303ED" w14:textId="77777777" w:rsidR="00B72ED7" w:rsidRPr="00B92969" w:rsidRDefault="00B72ED7" w:rsidP="00B72ED7">
      <w:pPr>
        <w:pStyle w:val="Prrafodelista"/>
        <w:tabs>
          <w:tab w:val="left" w:pos="1134"/>
        </w:tabs>
        <w:ind w:left="993" w:hanging="993"/>
        <w:jc w:val="both"/>
        <w:rPr>
          <w:b/>
          <w:bCs/>
          <w:color w:val="000000" w:themeColor="text1"/>
        </w:rPr>
      </w:pPr>
    </w:p>
    <w:p w14:paraId="5D2A7430" w14:textId="77777777" w:rsidR="00B72ED7" w:rsidRPr="00B92969" w:rsidRDefault="00B72ED7" w:rsidP="00B72ED7">
      <w:pPr>
        <w:pStyle w:val="Prrafodelista"/>
        <w:tabs>
          <w:tab w:val="left" w:pos="1134"/>
        </w:tabs>
        <w:ind w:left="993" w:hanging="993"/>
        <w:jc w:val="center"/>
        <w:rPr>
          <w:b/>
          <w:bCs/>
          <w:color w:val="000000" w:themeColor="text1"/>
        </w:rPr>
      </w:pPr>
      <w:r w:rsidRPr="00B92969">
        <w:rPr>
          <w:b/>
          <w:bCs/>
          <w:color w:val="000000" w:themeColor="text1"/>
        </w:rPr>
        <w:t>Consideraciones sectoriales sobre las entidades de importancia sistémica supervisadas por las Superintendencias</w:t>
      </w:r>
    </w:p>
    <w:p w14:paraId="40B82E27" w14:textId="77777777" w:rsidR="00B72ED7" w:rsidRPr="00B92969" w:rsidRDefault="00B72ED7" w:rsidP="00B72ED7">
      <w:pPr>
        <w:pStyle w:val="Prrafodelista"/>
        <w:tabs>
          <w:tab w:val="left" w:pos="1134"/>
        </w:tabs>
        <w:ind w:left="993" w:hanging="993"/>
        <w:jc w:val="both"/>
        <w:rPr>
          <w:b/>
          <w:bCs/>
          <w:color w:val="000000" w:themeColor="text1"/>
        </w:rPr>
      </w:pPr>
    </w:p>
    <w:p w14:paraId="74CF6A67" w14:textId="77777777" w:rsidR="00B72ED7" w:rsidRPr="00B92969" w:rsidRDefault="00B72ED7" w:rsidP="00B72ED7">
      <w:pPr>
        <w:ind w:left="993" w:hanging="993"/>
        <w:jc w:val="both"/>
        <w:rPr>
          <w:color w:val="000000" w:themeColor="text1"/>
          <w:sz w:val="24"/>
          <w:szCs w:val="24"/>
        </w:rPr>
      </w:pPr>
      <w:r w:rsidRPr="00B92969">
        <w:rPr>
          <w:b/>
          <w:bCs/>
          <w:sz w:val="24"/>
          <w:szCs w:val="24"/>
        </w:rPr>
        <w:t>XLIII.</w:t>
      </w:r>
      <w:r w:rsidRPr="00B92969">
        <w:rPr>
          <w:b/>
          <w:bCs/>
          <w:sz w:val="24"/>
          <w:szCs w:val="24"/>
        </w:rPr>
        <w:tab/>
      </w:r>
      <w:r w:rsidRPr="00B92969">
        <w:rPr>
          <w:sz w:val="24"/>
          <w:szCs w:val="24"/>
        </w:rPr>
        <w:t>El</w:t>
      </w:r>
      <w:r w:rsidRPr="00B92969">
        <w:rPr>
          <w:color w:val="000000" w:themeColor="text1"/>
          <w:sz w:val="24"/>
          <w:szCs w:val="24"/>
        </w:rPr>
        <w:t xml:space="preserve"> presente acuerdo incluye la metodología para la determinación de entidades de importancia sistémica supervisadas por la Sugef. Conforme las otras superintendencias consideren pertinente, dadas las características de sus respectivos sectores supervisados, el desarrollo de metodologías para la identificación de entidades de importancia sistémica sujetas a su supervisión, podrán ser incorporadas dentro de este marco regulatorio.</w:t>
      </w:r>
    </w:p>
    <w:p w14:paraId="5431E242" w14:textId="77777777" w:rsidR="00B72ED7" w:rsidRPr="00B92969" w:rsidRDefault="00B72ED7" w:rsidP="00B72ED7">
      <w:pPr>
        <w:tabs>
          <w:tab w:val="left" w:pos="1134"/>
        </w:tabs>
        <w:jc w:val="both"/>
        <w:rPr>
          <w:b/>
          <w:bCs/>
          <w:sz w:val="24"/>
          <w:szCs w:val="24"/>
        </w:rPr>
      </w:pPr>
    </w:p>
    <w:p w14:paraId="18C1ED19" w14:textId="77777777" w:rsidR="00B72ED7" w:rsidRPr="00B92969" w:rsidRDefault="00B72ED7" w:rsidP="00B72ED7">
      <w:pPr>
        <w:tabs>
          <w:tab w:val="left" w:pos="1134"/>
        </w:tabs>
        <w:ind w:left="993" w:hanging="993"/>
        <w:jc w:val="center"/>
        <w:rPr>
          <w:b/>
          <w:bCs/>
          <w:sz w:val="24"/>
          <w:szCs w:val="24"/>
        </w:rPr>
      </w:pPr>
      <w:r w:rsidRPr="00B92969">
        <w:rPr>
          <w:b/>
          <w:bCs/>
          <w:sz w:val="24"/>
          <w:szCs w:val="24"/>
        </w:rPr>
        <w:t>Consideraciones de costo-beneficio</w:t>
      </w:r>
    </w:p>
    <w:p w14:paraId="62B199DE" w14:textId="77777777" w:rsidR="00B72ED7" w:rsidRPr="00B92969" w:rsidRDefault="00B72ED7" w:rsidP="00B72ED7">
      <w:pPr>
        <w:tabs>
          <w:tab w:val="left" w:pos="1134"/>
        </w:tabs>
        <w:ind w:left="993" w:hanging="993"/>
        <w:jc w:val="both"/>
        <w:rPr>
          <w:b/>
          <w:bCs/>
          <w:sz w:val="24"/>
          <w:szCs w:val="24"/>
        </w:rPr>
      </w:pPr>
    </w:p>
    <w:p w14:paraId="5268C5EB" w14:textId="77777777" w:rsidR="00B72ED7" w:rsidRPr="00B92969" w:rsidRDefault="00B72ED7" w:rsidP="00B72ED7">
      <w:pPr>
        <w:ind w:left="993" w:hanging="993"/>
        <w:jc w:val="both"/>
        <w:rPr>
          <w:sz w:val="24"/>
          <w:szCs w:val="24"/>
        </w:rPr>
      </w:pPr>
      <w:r w:rsidRPr="00B92969">
        <w:rPr>
          <w:b/>
          <w:bCs/>
          <w:sz w:val="24"/>
          <w:szCs w:val="24"/>
        </w:rPr>
        <w:t>XLIV.</w:t>
      </w:r>
      <w:r w:rsidRPr="00B92969">
        <w:rPr>
          <w:b/>
          <w:bCs/>
          <w:sz w:val="24"/>
          <w:szCs w:val="24"/>
        </w:rPr>
        <w:tab/>
      </w:r>
      <w:r w:rsidRPr="00B92969">
        <w:rPr>
          <w:sz w:val="24"/>
          <w:szCs w:val="24"/>
        </w:rPr>
        <w:t xml:space="preserve">La Evaluación Costo-Beneficio de la regulación se realiza de conformidad con lo establecido en los artículos 1 y 12 de la </w:t>
      </w:r>
      <w:r w:rsidRPr="00B92969">
        <w:rPr>
          <w:i/>
          <w:iCs/>
          <w:sz w:val="24"/>
          <w:szCs w:val="24"/>
        </w:rPr>
        <w:t>Ley Protección al ciudadano del exceso de requisitos y trámites administrativos</w:t>
      </w:r>
      <w:r w:rsidRPr="00B92969">
        <w:rPr>
          <w:sz w:val="24"/>
          <w:szCs w:val="24"/>
        </w:rPr>
        <w:t xml:space="preserve">, Ley 8220 y en los artículos 12, 12bis, 13, 13 bis y 56 al 60bis del </w:t>
      </w:r>
      <w:r w:rsidRPr="00B92969">
        <w:rPr>
          <w:i/>
          <w:iCs/>
          <w:sz w:val="24"/>
          <w:szCs w:val="24"/>
        </w:rPr>
        <w:t>Reglamento a la Ley de Protección al Ciudadano del Exceso de Requisitos y Trámites Administrativos</w:t>
      </w:r>
      <w:r w:rsidRPr="00B92969">
        <w:rPr>
          <w:sz w:val="24"/>
          <w:szCs w:val="24"/>
        </w:rPr>
        <w:t>, 37045-MP-MEIC. Dicha regulación indica que la Administración Pública debe realizar un análisis de impacto regulatorio mediante una evaluación costo-beneficio antes de emitir cualquier nueva regulación o reformar las existentes, cuando establezcan trámites, requisitos y procedimientos que deba cumplir el administrado ante la Administración. De dicho análisis se determinó que la regulación no establece ni modifica trámites, requisitos o procedimientos que el administrado deba cumplir ante la Administración Central.</w:t>
      </w:r>
    </w:p>
    <w:p w14:paraId="187DB445" w14:textId="77777777" w:rsidR="00B72ED7" w:rsidRPr="00B92969" w:rsidRDefault="00B72ED7" w:rsidP="00B72ED7">
      <w:pPr>
        <w:ind w:left="993" w:hanging="993"/>
        <w:jc w:val="both"/>
        <w:rPr>
          <w:sz w:val="24"/>
          <w:szCs w:val="24"/>
        </w:rPr>
      </w:pPr>
    </w:p>
    <w:p w14:paraId="29798420" w14:textId="77777777" w:rsidR="00B72ED7" w:rsidRPr="00B92969" w:rsidRDefault="00B72ED7" w:rsidP="00B72ED7">
      <w:pPr>
        <w:tabs>
          <w:tab w:val="left" w:pos="1134"/>
        </w:tabs>
        <w:ind w:left="993" w:hanging="993"/>
        <w:jc w:val="center"/>
        <w:rPr>
          <w:b/>
          <w:bCs/>
          <w:sz w:val="24"/>
          <w:szCs w:val="24"/>
        </w:rPr>
      </w:pPr>
      <w:r w:rsidRPr="00B92969">
        <w:rPr>
          <w:b/>
          <w:bCs/>
          <w:sz w:val="24"/>
          <w:szCs w:val="24"/>
        </w:rPr>
        <w:t>Otras consideraciones</w:t>
      </w:r>
    </w:p>
    <w:p w14:paraId="35CE76EC" w14:textId="77777777" w:rsidR="00B72ED7" w:rsidRPr="00B92969" w:rsidRDefault="00B72ED7" w:rsidP="00B72ED7">
      <w:pPr>
        <w:jc w:val="both"/>
        <w:rPr>
          <w:sz w:val="24"/>
          <w:szCs w:val="24"/>
        </w:rPr>
      </w:pPr>
    </w:p>
    <w:p w14:paraId="4CB51785" w14:textId="750677DF" w:rsidR="00B72ED7" w:rsidRPr="00B92969" w:rsidRDefault="00B72ED7" w:rsidP="00B72ED7">
      <w:pPr>
        <w:widowControl w:val="0"/>
        <w:ind w:left="993" w:hanging="1276"/>
        <w:contextualSpacing/>
        <w:jc w:val="both"/>
        <w:rPr>
          <w:sz w:val="24"/>
          <w:szCs w:val="24"/>
          <w:lang w:eastAsia="es-CR"/>
        </w:rPr>
      </w:pPr>
      <w:r w:rsidRPr="00B92969">
        <w:rPr>
          <w:b/>
          <w:bCs/>
          <w:sz w:val="24"/>
          <w:szCs w:val="24"/>
        </w:rPr>
        <w:t>XLV.</w:t>
      </w:r>
      <w:r w:rsidR="00E8143C">
        <w:rPr>
          <w:b/>
          <w:bCs/>
          <w:sz w:val="24"/>
          <w:szCs w:val="24"/>
        </w:rPr>
        <w:tab/>
      </w:r>
      <w:r w:rsidRPr="00B92969">
        <w:rPr>
          <w:sz w:val="24"/>
          <w:szCs w:val="24"/>
        </w:rPr>
        <w:t>Mediante</w:t>
      </w:r>
      <w:r w:rsidRPr="00B92969">
        <w:rPr>
          <w:b/>
          <w:bCs/>
          <w:sz w:val="24"/>
          <w:szCs w:val="24"/>
        </w:rPr>
        <w:t xml:space="preserve"> </w:t>
      </w:r>
      <w:r w:rsidRPr="00B92969">
        <w:rPr>
          <w:sz w:val="24"/>
          <w:szCs w:val="24"/>
        </w:rPr>
        <w:t xml:space="preserve">artículo 6 del acta de la sesión 1773-2022, celebrada el 6 de diciembre del </w:t>
      </w:r>
      <w:r w:rsidRPr="00B92969">
        <w:rPr>
          <w:sz w:val="24"/>
          <w:szCs w:val="24"/>
        </w:rPr>
        <w:lastRenderedPageBreak/>
        <w:t xml:space="preserve">2022, el Conassif remitió a consulta pública la propuesta de </w:t>
      </w:r>
      <w:r w:rsidRPr="00B92969">
        <w:rPr>
          <w:i/>
          <w:iCs/>
          <w:sz w:val="24"/>
          <w:szCs w:val="24"/>
        </w:rPr>
        <w:t>Reglamento sobre la Metodología de Identificación de Entidades de Importancia Sistémica</w:t>
      </w:r>
      <w:r w:rsidRPr="00B92969">
        <w:rPr>
          <w:sz w:val="24"/>
          <w:szCs w:val="24"/>
        </w:rPr>
        <w:t>, en el entendido que, a más tardar el 6 de enero de 2023, las entidades del Sistema Financiero Nacional podían enviar al Despacho de la superintendente general de entidades financieras sus comentarios y observaciones.</w:t>
      </w:r>
    </w:p>
    <w:p w14:paraId="5A5436B6" w14:textId="77777777" w:rsidR="00B72ED7" w:rsidRPr="00B92969" w:rsidRDefault="00B72ED7" w:rsidP="00E47AE6">
      <w:pPr>
        <w:tabs>
          <w:tab w:val="left" w:pos="709"/>
          <w:tab w:val="left" w:pos="2268"/>
        </w:tabs>
        <w:ind w:left="851" w:hanging="851"/>
        <w:jc w:val="both"/>
        <w:rPr>
          <w:b/>
          <w:bCs/>
          <w:sz w:val="24"/>
          <w:szCs w:val="24"/>
        </w:rPr>
      </w:pPr>
    </w:p>
    <w:p w14:paraId="6BC3C572" w14:textId="77777777" w:rsidR="00B72ED7" w:rsidRPr="00B92969" w:rsidRDefault="00B72ED7" w:rsidP="00B72ED7">
      <w:pPr>
        <w:pStyle w:val="Prrafodelista"/>
        <w:ind w:left="0"/>
        <w:jc w:val="both"/>
        <w:rPr>
          <w:b/>
          <w:bCs/>
        </w:rPr>
      </w:pPr>
      <w:r w:rsidRPr="00B92969">
        <w:rPr>
          <w:b/>
          <w:bCs/>
        </w:rPr>
        <w:t>dispuso en firme:</w:t>
      </w:r>
    </w:p>
    <w:p w14:paraId="507AA4BE" w14:textId="77777777" w:rsidR="00B72ED7" w:rsidRPr="00B92969" w:rsidRDefault="00B72ED7" w:rsidP="00B72ED7">
      <w:pPr>
        <w:pStyle w:val="Prrafodelista"/>
        <w:ind w:left="0"/>
        <w:jc w:val="both"/>
        <w:rPr>
          <w:b/>
          <w:bCs/>
        </w:rPr>
      </w:pPr>
    </w:p>
    <w:p w14:paraId="0C0EF075" w14:textId="77777777" w:rsidR="00B72ED7" w:rsidRPr="00B92969" w:rsidRDefault="00B72ED7" w:rsidP="00B72ED7">
      <w:pPr>
        <w:widowControl w:val="0"/>
        <w:jc w:val="both"/>
        <w:rPr>
          <w:sz w:val="24"/>
          <w:szCs w:val="24"/>
        </w:rPr>
      </w:pPr>
      <w:r w:rsidRPr="00B92969">
        <w:rPr>
          <w:sz w:val="24"/>
          <w:szCs w:val="24"/>
        </w:rPr>
        <w:t xml:space="preserve">aprobar el </w:t>
      </w:r>
      <w:r w:rsidRPr="00B92969">
        <w:rPr>
          <w:i/>
          <w:iCs/>
          <w:sz w:val="24"/>
          <w:szCs w:val="24"/>
        </w:rPr>
        <w:t>Reglamento sobre la Metodología de Identificación de Entidades de Importancia Sistémica</w:t>
      </w:r>
      <w:r w:rsidRPr="00B92969">
        <w:rPr>
          <w:sz w:val="24"/>
          <w:szCs w:val="24"/>
        </w:rPr>
        <w:t>, de conformidad con el siguiente texto:</w:t>
      </w:r>
    </w:p>
    <w:p w14:paraId="342B6D68" w14:textId="77777777" w:rsidR="00B72ED7" w:rsidRPr="00B92969" w:rsidRDefault="00B72ED7" w:rsidP="00447B8E">
      <w:pPr>
        <w:widowControl w:val="0"/>
        <w:jc w:val="both"/>
        <w:rPr>
          <w:b/>
          <w:sz w:val="24"/>
          <w:szCs w:val="24"/>
          <w:highlight w:val="green"/>
        </w:rPr>
      </w:pPr>
    </w:p>
    <w:p w14:paraId="0110EB67" w14:textId="77777777" w:rsidR="00B72ED7" w:rsidRPr="00B92969" w:rsidRDefault="00B72ED7" w:rsidP="00B72ED7">
      <w:pPr>
        <w:pStyle w:val="Ttulo1"/>
        <w:jc w:val="center"/>
        <w:rPr>
          <w:b/>
          <w:bCs/>
          <w:i/>
          <w:iCs/>
          <w:szCs w:val="24"/>
        </w:rPr>
      </w:pPr>
      <w:bookmarkStart w:id="11" w:name="_Toc128042078"/>
      <w:r w:rsidRPr="00B92969">
        <w:rPr>
          <w:b/>
          <w:bCs/>
          <w:i/>
          <w:iCs/>
          <w:szCs w:val="24"/>
        </w:rPr>
        <w:t>CAPÍTULO I</w:t>
      </w:r>
      <w:bookmarkEnd w:id="11"/>
    </w:p>
    <w:p w14:paraId="01237FE0" w14:textId="77777777" w:rsidR="00B72ED7" w:rsidRPr="00B92969" w:rsidRDefault="00B72ED7" w:rsidP="00B72ED7">
      <w:pPr>
        <w:widowControl w:val="0"/>
        <w:jc w:val="center"/>
        <w:rPr>
          <w:b/>
          <w:bCs/>
          <w:i/>
          <w:iCs/>
          <w:sz w:val="24"/>
          <w:szCs w:val="24"/>
        </w:rPr>
      </w:pPr>
    </w:p>
    <w:p w14:paraId="49ED635B" w14:textId="77777777" w:rsidR="00B72ED7" w:rsidRPr="00B92969" w:rsidRDefault="00B72ED7" w:rsidP="00B72ED7">
      <w:pPr>
        <w:pStyle w:val="Ttulo2"/>
        <w:jc w:val="center"/>
        <w:rPr>
          <w:b w:val="0"/>
          <w:bCs/>
          <w:i/>
          <w:iCs/>
          <w:sz w:val="24"/>
          <w:szCs w:val="24"/>
        </w:rPr>
      </w:pPr>
      <w:bookmarkStart w:id="12" w:name="_Toc128042079"/>
      <w:r w:rsidRPr="00B92969">
        <w:rPr>
          <w:sz w:val="24"/>
          <w:szCs w:val="24"/>
        </w:rPr>
        <w:t>DISPOSICIONES GENERALES</w:t>
      </w:r>
      <w:bookmarkEnd w:id="12"/>
    </w:p>
    <w:p w14:paraId="33097B21" w14:textId="77777777" w:rsidR="00B72ED7" w:rsidRPr="00B92969" w:rsidRDefault="00B72ED7" w:rsidP="00B72ED7">
      <w:pPr>
        <w:pStyle w:val="Ttulo2"/>
        <w:jc w:val="center"/>
        <w:rPr>
          <w:b w:val="0"/>
          <w:bCs/>
          <w:i/>
          <w:iCs/>
          <w:sz w:val="24"/>
          <w:szCs w:val="24"/>
        </w:rPr>
      </w:pPr>
    </w:p>
    <w:p w14:paraId="0DC55CC9" w14:textId="77777777" w:rsidR="00B72ED7" w:rsidRPr="00B92969" w:rsidRDefault="00B72ED7" w:rsidP="00B72ED7">
      <w:pPr>
        <w:pStyle w:val="Ttulo3"/>
        <w:rPr>
          <w:b w:val="0"/>
          <w:bCs w:val="0"/>
          <w:i/>
          <w:iCs/>
          <w:szCs w:val="24"/>
        </w:rPr>
      </w:pPr>
      <w:bookmarkStart w:id="13" w:name="_Toc128042080"/>
      <w:r w:rsidRPr="00B92969">
        <w:rPr>
          <w:i/>
          <w:iCs/>
          <w:szCs w:val="24"/>
        </w:rPr>
        <w:t>Artículo 1. Objetivo</w:t>
      </w:r>
      <w:bookmarkEnd w:id="13"/>
    </w:p>
    <w:p w14:paraId="67853C8C" w14:textId="77777777" w:rsidR="00B72ED7" w:rsidRPr="00B92969" w:rsidRDefault="00B72ED7" w:rsidP="00B72ED7">
      <w:pPr>
        <w:widowControl w:val="0"/>
        <w:jc w:val="both"/>
        <w:rPr>
          <w:i/>
          <w:iCs/>
          <w:sz w:val="24"/>
          <w:szCs w:val="24"/>
        </w:rPr>
      </w:pPr>
      <w:r w:rsidRPr="00B92969">
        <w:rPr>
          <w:i/>
          <w:iCs/>
          <w:sz w:val="24"/>
          <w:szCs w:val="24"/>
        </w:rPr>
        <w:t>Este reglamento tiene como finalidad establecer la metodología para determinar la condición de importancia sistémica de entidades supervisadas, mediante la combinación de un conjunto de dimensiones que cuantifican el impacto potencial de la salida de una entidad en términos de la posibilidad de transmitir perturbaciones al sistema financiero y de dañar la economía real.</w:t>
      </w:r>
    </w:p>
    <w:p w14:paraId="7D70A32B" w14:textId="77777777" w:rsidR="00B72ED7" w:rsidRPr="00B92969" w:rsidRDefault="00B72ED7" w:rsidP="00B72ED7">
      <w:pPr>
        <w:pStyle w:val="Ttulo3"/>
        <w:rPr>
          <w:i/>
          <w:iCs/>
          <w:szCs w:val="24"/>
        </w:rPr>
      </w:pPr>
    </w:p>
    <w:p w14:paraId="6530A06E" w14:textId="77777777" w:rsidR="00B72ED7" w:rsidRPr="00B92969" w:rsidRDefault="00B72ED7" w:rsidP="00B72ED7">
      <w:pPr>
        <w:pStyle w:val="Ttulo3"/>
        <w:rPr>
          <w:b w:val="0"/>
          <w:bCs w:val="0"/>
          <w:i/>
          <w:iCs/>
          <w:szCs w:val="24"/>
        </w:rPr>
      </w:pPr>
      <w:bookmarkStart w:id="14" w:name="_Toc128042081"/>
      <w:r w:rsidRPr="00B92969">
        <w:rPr>
          <w:i/>
          <w:iCs/>
          <w:szCs w:val="24"/>
        </w:rPr>
        <w:t>Artículo 2. Alcance</w:t>
      </w:r>
      <w:bookmarkEnd w:id="14"/>
    </w:p>
    <w:p w14:paraId="158786E3" w14:textId="77777777" w:rsidR="00B72ED7" w:rsidRPr="00B92969" w:rsidRDefault="00B72ED7" w:rsidP="00B72ED7">
      <w:pPr>
        <w:widowControl w:val="0"/>
        <w:jc w:val="both"/>
        <w:rPr>
          <w:i/>
          <w:iCs/>
          <w:sz w:val="24"/>
          <w:szCs w:val="24"/>
        </w:rPr>
      </w:pPr>
      <w:r w:rsidRPr="00B92969">
        <w:rPr>
          <w:i/>
          <w:iCs/>
          <w:sz w:val="24"/>
          <w:szCs w:val="24"/>
        </w:rPr>
        <w:t xml:space="preserve">La metodología establecida en este reglamento es aplicable a las entidades supervisadas por SUGEF. </w:t>
      </w:r>
    </w:p>
    <w:p w14:paraId="0B4E6DA9" w14:textId="77777777" w:rsidR="00B72ED7" w:rsidRPr="00B92969" w:rsidRDefault="00B72ED7" w:rsidP="00B72ED7">
      <w:pPr>
        <w:widowControl w:val="0"/>
        <w:jc w:val="both"/>
        <w:rPr>
          <w:i/>
          <w:iCs/>
          <w:color w:val="000000" w:themeColor="text1"/>
          <w:sz w:val="24"/>
          <w:szCs w:val="24"/>
        </w:rPr>
      </w:pPr>
    </w:p>
    <w:p w14:paraId="5AD1B2E7" w14:textId="77777777" w:rsidR="00B72ED7" w:rsidRPr="00B92969" w:rsidRDefault="00B72ED7" w:rsidP="00B72ED7">
      <w:pPr>
        <w:widowControl w:val="0"/>
        <w:jc w:val="both"/>
        <w:rPr>
          <w:i/>
          <w:iCs/>
          <w:color w:val="000000" w:themeColor="text1"/>
          <w:sz w:val="24"/>
          <w:szCs w:val="24"/>
        </w:rPr>
      </w:pPr>
      <w:r w:rsidRPr="00B92969">
        <w:rPr>
          <w:i/>
          <w:iCs/>
          <w:color w:val="000000" w:themeColor="text1"/>
          <w:sz w:val="24"/>
          <w:szCs w:val="24"/>
        </w:rPr>
        <w:t>La condición de entidad de importancia sistémica definida mediante la metodología establecida en este reglamento aplicará para todos los usos que establezcan las normas o disposiciones de las entidades financieras supervisadas y que hagan referencia a esta condición.</w:t>
      </w:r>
    </w:p>
    <w:p w14:paraId="39C91ED6" w14:textId="77777777" w:rsidR="00B72ED7" w:rsidRPr="00B92969" w:rsidRDefault="00B72ED7" w:rsidP="00B72ED7">
      <w:pPr>
        <w:widowControl w:val="0"/>
        <w:jc w:val="center"/>
        <w:rPr>
          <w:b/>
          <w:bCs/>
          <w:i/>
          <w:iCs/>
          <w:sz w:val="24"/>
          <w:szCs w:val="24"/>
        </w:rPr>
      </w:pPr>
    </w:p>
    <w:p w14:paraId="73B0C630" w14:textId="77777777" w:rsidR="00B72ED7" w:rsidRPr="00B92969" w:rsidRDefault="00B72ED7" w:rsidP="00B72ED7">
      <w:pPr>
        <w:pStyle w:val="Ttulo1"/>
        <w:jc w:val="center"/>
        <w:rPr>
          <w:b/>
          <w:bCs/>
          <w:i/>
          <w:iCs/>
          <w:szCs w:val="24"/>
        </w:rPr>
      </w:pPr>
      <w:bookmarkStart w:id="15" w:name="_Toc128042082"/>
      <w:r w:rsidRPr="00B92969">
        <w:rPr>
          <w:b/>
          <w:bCs/>
          <w:i/>
          <w:iCs/>
          <w:szCs w:val="24"/>
        </w:rPr>
        <w:t>CAPÍTULO II</w:t>
      </w:r>
      <w:bookmarkEnd w:id="15"/>
    </w:p>
    <w:p w14:paraId="5FB02675" w14:textId="77777777" w:rsidR="00B72ED7" w:rsidRPr="00B92969" w:rsidRDefault="00B72ED7" w:rsidP="00B72ED7">
      <w:pPr>
        <w:widowControl w:val="0"/>
        <w:jc w:val="center"/>
        <w:rPr>
          <w:b/>
          <w:bCs/>
          <w:i/>
          <w:iCs/>
          <w:sz w:val="24"/>
          <w:szCs w:val="24"/>
        </w:rPr>
      </w:pPr>
    </w:p>
    <w:p w14:paraId="03C03CA3" w14:textId="77777777" w:rsidR="00B72ED7" w:rsidRPr="00B92969" w:rsidRDefault="00B72ED7" w:rsidP="00B72ED7">
      <w:pPr>
        <w:pStyle w:val="Ttulo2"/>
        <w:jc w:val="center"/>
        <w:rPr>
          <w:b w:val="0"/>
          <w:bCs/>
          <w:i/>
          <w:iCs/>
          <w:sz w:val="24"/>
          <w:szCs w:val="24"/>
        </w:rPr>
      </w:pPr>
      <w:bookmarkStart w:id="16" w:name="_Toc128042083"/>
      <w:r w:rsidRPr="00B92969">
        <w:rPr>
          <w:sz w:val="24"/>
          <w:szCs w:val="24"/>
        </w:rPr>
        <w:t>DISPOSICIONES SOBRE LA METODOLOGÍA DE IDENTIFICACIÓN DE ENTIDADES DE IMPORTANCIA SISTÉMICA SUPERVISADAS POR LA SUGEF</w:t>
      </w:r>
      <w:bookmarkEnd w:id="16"/>
    </w:p>
    <w:p w14:paraId="00E2DC6F" w14:textId="77777777" w:rsidR="00B72ED7" w:rsidRPr="00B92969" w:rsidRDefault="00B72ED7" w:rsidP="00B72ED7">
      <w:pPr>
        <w:widowControl w:val="0"/>
        <w:jc w:val="both"/>
        <w:rPr>
          <w:i/>
          <w:iCs/>
          <w:sz w:val="24"/>
          <w:szCs w:val="24"/>
        </w:rPr>
      </w:pPr>
    </w:p>
    <w:p w14:paraId="1A2F500A" w14:textId="77777777" w:rsidR="00B72ED7" w:rsidRPr="00B92969" w:rsidRDefault="00B72ED7" w:rsidP="00B72ED7">
      <w:pPr>
        <w:pStyle w:val="Ttulo3"/>
        <w:rPr>
          <w:b w:val="0"/>
          <w:bCs w:val="0"/>
          <w:i/>
          <w:iCs/>
          <w:szCs w:val="24"/>
        </w:rPr>
      </w:pPr>
      <w:bookmarkStart w:id="17" w:name="_Toc128042084"/>
      <w:r w:rsidRPr="00B92969">
        <w:rPr>
          <w:i/>
          <w:iCs/>
          <w:szCs w:val="24"/>
        </w:rPr>
        <w:t>Artículo 3. Dimensiones</w:t>
      </w:r>
      <w:bookmarkEnd w:id="17"/>
    </w:p>
    <w:p w14:paraId="241E4E93" w14:textId="77777777" w:rsidR="00B72ED7" w:rsidRPr="00B92969" w:rsidRDefault="00B72ED7" w:rsidP="00B72ED7">
      <w:pPr>
        <w:widowControl w:val="0"/>
        <w:jc w:val="both"/>
        <w:rPr>
          <w:i/>
          <w:iCs/>
          <w:sz w:val="24"/>
          <w:szCs w:val="24"/>
        </w:rPr>
      </w:pPr>
      <w:r w:rsidRPr="00B92969">
        <w:rPr>
          <w:i/>
          <w:iCs/>
          <w:sz w:val="24"/>
          <w:szCs w:val="24"/>
        </w:rPr>
        <w:t>Para la identificación de entidades de importancia sistémica se consideran las siguientes dimensiones:</w:t>
      </w:r>
    </w:p>
    <w:p w14:paraId="39B9328F" w14:textId="77777777" w:rsidR="00B72ED7" w:rsidRPr="00B92969" w:rsidRDefault="00B72ED7" w:rsidP="00B72ED7">
      <w:pPr>
        <w:widowControl w:val="0"/>
        <w:jc w:val="both"/>
        <w:rPr>
          <w:i/>
          <w:iCs/>
          <w:sz w:val="24"/>
          <w:szCs w:val="24"/>
        </w:rPr>
      </w:pPr>
    </w:p>
    <w:p w14:paraId="10D56F48" w14:textId="77777777" w:rsidR="00B72ED7" w:rsidRPr="00B92969" w:rsidRDefault="00B72ED7" w:rsidP="00B72ED7">
      <w:pPr>
        <w:widowControl w:val="0"/>
        <w:ind w:left="426" w:hanging="426"/>
        <w:contextualSpacing/>
        <w:jc w:val="both"/>
        <w:rPr>
          <w:i/>
          <w:iCs/>
          <w:sz w:val="24"/>
          <w:szCs w:val="24"/>
        </w:rPr>
      </w:pPr>
      <w:r w:rsidRPr="00B92969">
        <w:rPr>
          <w:i/>
          <w:iCs/>
          <w:sz w:val="24"/>
          <w:szCs w:val="24"/>
        </w:rPr>
        <w:t>1.</w:t>
      </w:r>
      <w:r w:rsidRPr="00B92969">
        <w:rPr>
          <w:i/>
          <w:iCs/>
          <w:sz w:val="24"/>
          <w:szCs w:val="24"/>
        </w:rPr>
        <w:tab/>
        <w:t>tamaño;</w:t>
      </w:r>
    </w:p>
    <w:p w14:paraId="671AD859" w14:textId="77777777" w:rsidR="00B72ED7" w:rsidRPr="00B92969" w:rsidRDefault="00B72ED7" w:rsidP="00B72ED7">
      <w:pPr>
        <w:widowControl w:val="0"/>
        <w:ind w:left="426" w:hanging="426"/>
        <w:contextualSpacing/>
        <w:jc w:val="both"/>
        <w:rPr>
          <w:i/>
          <w:iCs/>
          <w:sz w:val="24"/>
          <w:szCs w:val="24"/>
        </w:rPr>
      </w:pPr>
      <w:r w:rsidRPr="00B92969">
        <w:rPr>
          <w:i/>
          <w:iCs/>
          <w:sz w:val="24"/>
          <w:szCs w:val="24"/>
        </w:rPr>
        <w:t>2.</w:t>
      </w:r>
      <w:r w:rsidRPr="00B92969">
        <w:rPr>
          <w:i/>
          <w:iCs/>
          <w:sz w:val="24"/>
          <w:szCs w:val="24"/>
        </w:rPr>
        <w:tab/>
        <w:t xml:space="preserve">interconexión; </w:t>
      </w:r>
    </w:p>
    <w:p w14:paraId="0BEABB35" w14:textId="77777777" w:rsidR="00B72ED7" w:rsidRPr="00B92969" w:rsidRDefault="00B72ED7" w:rsidP="00B72ED7">
      <w:pPr>
        <w:widowControl w:val="0"/>
        <w:ind w:left="426" w:hanging="426"/>
        <w:contextualSpacing/>
        <w:jc w:val="both"/>
        <w:rPr>
          <w:i/>
          <w:iCs/>
          <w:sz w:val="24"/>
          <w:szCs w:val="24"/>
        </w:rPr>
      </w:pPr>
      <w:r w:rsidRPr="00B92969">
        <w:rPr>
          <w:i/>
          <w:iCs/>
          <w:sz w:val="24"/>
          <w:szCs w:val="24"/>
        </w:rPr>
        <w:t>3.</w:t>
      </w:r>
      <w:r w:rsidRPr="00B92969">
        <w:rPr>
          <w:i/>
          <w:iCs/>
          <w:sz w:val="24"/>
          <w:szCs w:val="24"/>
        </w:rPr>
        <w:tab/>
        <w:t xml:space="preserve">complejidad, y </w:t>
      </w:r>
    </w:p>
    <w:p w14:paraId="471C90CF" w14:textId="77777777" w:rsidR="00B72ED7" w:rsidRPr="00B92969" w:rsidRDefault="00B72ED7" w:rsidP="00B72ED7">
      <w:pPr>
        <w:widowControl w:val="0"/>
        <w:ind w:left="426" w:hanging="426"/>
        <w:contextualSpacing/>
        <w:jc w:val="both"/>
        <w:rPr>
          <w:i/>
          <w:iCs/>
          <w:sz w:val="24"/>
          <w:szCs w:val="24"/>
        </w:rPr>
      </w:pPr>
      <w:r w:rsidRPr="00B92969">
        <w:rPr>
          <w:i/>
          <w:iCs/>
          <w:sz w:val="24"/>
          <w:szCs w:val="24"/>
        </w:rPr>
        <w:t>4.</w:t>
      </w:r>
      <w:r w:rsidRPr="00B92969">
        <w:rPr>
          <w:i/>
          <w:iCs/>
          <w:sz w:val="24"/>
          <w:szCs w:val="24"/>
        </w:rPr>
        <w:tab/>
        <w:t xml:space="preserve">grado de sustitución. </w:t>
      </w:r>
    </w:p>
    <w:p w14:paraId="2DEC23A7" w14:textId="77777777" w:rsidR="00B72ED7" w:rsidRPr="00B92969" w:rsidRDefault="00B72ED7" w:rsidP="00B72ED7">
      <w:pPr>
        <w:widowControl w:val="0"/>
        <w:jc w:val="both"/>
        <w:rPr>
          <w:i/>
          <w:iCs/>
          <w:sz w:val="24"/>
          <w:szCs w:val="24"/>
        </w:rPr>
      </w:pPr>
    </w:p>
    <w:p w14:paraId="572077F6" w14:textId="77777777" w:rsidR="00B72ED7" w:rsidRPr="00B92969" w:rsidRDefault="00B72ED7" w:rsidP="00B72ED7">
      <w:pPr>
        <w:widowControl w:val="0"/>
        <w:jc w:val="both"/>
        <w:rPr>
          <w:i/>
          <w:iCs/>
          <w:sz w:val="24"/>
          <w:szCs w:val="24"/>
        </w:rPr>
      </w:pPr>
      <w:r w:rsidRPr="00B92969">
        <w:rPr>
          <w:i/>
          <w:iCs/>
          <w:sz w:val="24"/>
          <w:szCs w:val="24"/>
        </w:rPr>
        <w:lastRenderedPageBreak/>
        <w:t xml:space="preserve">Cada dimensión se compone de indicadores, los cuales se definen a continuación. </w:t>
      </w:r>
    </w:p>
    <w:p w14:paraId="13A6FE59" w14:textId="77777777" w:rsidR="00B72ED7" w:rsidRPr="00B92969" w:rsidRDefault="00B72ED7" w:rsidP="00B72ED7">
      <w:pPr>
        <w:widowControl w:val="0"/>
        <w:jc w:val="both"/>
        <w:rPr>
          <w:i/>
          <w:iCs/>
          <w:sz w:val="24"/>
          <w:szCs w:val="24"/>
        </w:rPr>
      </w:pPr>
    </w:p>
    <w:p w14:paraId="087857FB" w14:textId="77777777" w:rsidR="00B72ED7" w:rsidRPr="00B92969" w:rsidRDefault="00B72ED7" w:rsidP="00B72ED7">
      <w:pPr>
        <w:widowControl w:val="0"/>
        <w:jc w:val="both"/>
        <w:rPr>
          <w:i/>
          <w:iCs/>
          <w:sz w:val="24"/>
          <w:szCs w:val="24"/>
        </w:rPr>
      </w:pPr>
      <w:r w:rsidRPr="00B92969">
        <w:rPr>
          <w:i/>
          <w:iCs/>
          <w:sz w:val="24"/>
          <w:szCs w:val="24"/>
        </w:rPr>
        <w:t>Los resultados de cada indicador se expresan en base 10.000 como valor total.</w:t>
      </w:r>
    </w:p>
    <w:p w14:paraId="0BD3DBC7" w14:textId="77777777" w:rsidR="00B72ED7" w:rsidRPr="00B92969" w:rsidRDefault="00B72ED7" w:rsidP="00B72ED7">
      <w:pPr>
        <w:widowControl w:val="0"/>
        <w:jc w:val="both"/>
        <w:rPr>
          <w:i/>
          <w:iCs/>
          <w:sz w:val="24"/>
          <w:szCs w:val="24"/>
        </w:rPr>
      </w:pPr>
    </w:p>
    <w:p w14:paraId="59A31F7B" w14:textId="77777777" w:rsidR="00B72ED7" w:rsidRPr="00B92969" w:rsidRDefault="00B72ED7" w:rsidP="00B72ED7">
      <w:pPr>
        <w:widowControl w:val="0"/>
        <w:jc w:val="both"/>
        <w:rPr>
          <w:i/>
          <w:iCs/>
          <w:sz w:val="24"/>
          <w:szCs w:val="24"/>
        </w:rPr>
      </w:pPr>
      <w:r w:rsidRPr="00B92969">
        <w:rPr>
          <w:i/>
          <w:iCs/>
          <w:sz w:val="24"/>
          <w:szCs w:val="24"/>
        </w:rPr>
        <w:t>La metodología se aplica a cada una de las entidades supervisadas por la SUGEF, sin agrupaciones de ningún tipo.</w:t>
      </w:r>
    </w:p>
    <w:p w14:paraId="61FBA8BE" w14:textId="77777777" w:rsidR="00B72ED7" w:rsidRPr="00B92969" w:rsidRDefault="00B72ED7" w:rsidP="00B72ED7">
      <w:pPr>
        <w:pStyle w:val="Ttulo3"/>
        <w:rPr>
          <w:b w:val="0"/>
          <w:bCs w:val="0"/>
          <w:i/>
          <w:iCs/>
          <w:szCs w:val="24"/>
        </w:rPr>
      </w:pPr>
    </w:p>
    <w:p w14:paraId="0E8572EB" w14:textId="77777777" w:rsidR="00B72ED7" w:rsidRPr="00B92969" w:rsidRDefault="00B72ED7" w:rsidP="00B72ED7">
      <w:pPr>
        <w:pStyle w:val="Ttulo3"/>
        <w:rPr>
          <w:b w:val="0"/>
          <w:bCs w:val="0"/>
          <w:i/>
          <w:iCs/>
          <w:szCs w:val="24"/>
        </w:rPr>
      </w:pPr>
      <w:bookmarkStart w:id="18" w:name="_Toc128042085"/>
      <w:r w:rsidRPr="00B92969">
        <w:rPr>
          <w:i/>
          <w:iCs/>
          <w:szCs w:val="24"/>
        </w:rPr>
        <w:t>Artículo 4. Indicadores</w:t>
      </w:r>
      <w:bookmarkEnd w:id="18"/>
    </w:p>
    <w:p w14:paraId="30965872" w14:textId="77777777" w:rsidR="00B72ED7" w:rsidRPr="00B92969" w:rsidRDefault="00B72ED7" w:rsidP="00B72ED7">
      <w:pPr>
        <w:widowControl w:val="0"/>
        <w:jc w:val="both"/>
        <w:rPr>
          <w:i/>
          <w:iCs/>
          <w:sz w:val="24"/>
          <w:szCs w:val="24"/>
        </w:rPr>
      </w:pPr>
      <w:r w:rsidRPr="00B92969">
        <w:rPr>
          <w:i/>
          <w:iCs/>
          <w:sz w:val="24"/>
          <w:szCs w:val="24"/>
        </w:rPr>
        <w:t>Para cada una de las dimensiones indicadas, se establecen los siguientes indicadores:</w:t>
      </w:r>
    </w:p>
    <w:p w14:paraId="12CBD44D" w14:textId="77777777" w:rsidR="00B72ED7" w:rsidRPr="00B92969" w:rsidRDefault="00B72ED7" w:rsidP="00B72ED7">
      <w:pPr>
        <w:widowControl w:val="0"/>
        <w:jc w:val="both"/>
        <w:rPr>
          <w:i/>
          <w:iCs/>
          <w:sz w:val="24"/>
          <w:szCs w:val="24"/>
        </w:rPr>
      </w:pPr>
    </w:p>
    <w:p w14:paraId="309C3B01" w14:textId="77777777" w:rsidR="00B72ED7" w:rsidRPr="00B92969" w:rsidRDefault="00B72ED7" w:rsidP="00B72ED7">
      <w:pPr>
        <w:pStyle w:val="Prrafodelista"/>
        <w:numPr>
          <w:ilvl w:val="0"/>
          <w:numId w:val="35"/>
        </w:numPr>
        <w:ind w:left="567" w:hanging="567"/>
        <w:contextualSpacing/>
        <w:jc w:val="both"/>
        <w:rPr>
          <w:b/>
          <w:bCs/>
          <w:i/>
          <w:iCs/>
        </w:rPr>
      </w:pPr>
      <w:r w:rsidRPr="00B92969">
        <w:rPr>
          <w:b/>
          <w:bCs/>
          <w:i/>
          <w:iCs/>
        </w:rPr>
        <w:t>Tamaño</w:t>
      </w:r>
    </w:p>
    <w:p w14:paraId="74907591" w14:textId="77777777" w:rsidR="00B72ED7" w:rsidRPr="00B92969" w:rsidRDefault="00B72ED7" w:rsidP="00B72ED7">
      <w:pPr>
        <w:jc w:val="both"/>
        <w:rPr>
          <w:i/>
          <w:iCs/>
          <w:sz w:val="24"/>
          <w:szCs w:val="24"/>
        </w:rPr>
      </w:pPr>
      <w:r w:rsidRPr="00B92969">
        <w:rPr>
          <w:i/>
          <w:iCs/>
          <w:sz w:val="24"/>
          <w:szCs w:val="24"/>
        </w:rPr>
        <w:t>La dimensión ‘Tamaño’ se mide en función del monto de los activos totales de cada entidad supervisada, dividido entre el total de activos de las entidades supervisadas, para el promedio de los últimos 12 meses respecto a la fecha de la medición.</w:t>
      </w:r>
    </w:p>
    <w:p w14:paraId="64FB4491" w14:textId="77777777" w:rsidR="00B72ED7" w:rsidRPr="00B92969" w:rsidRDefault="00B72ED7" w:rsidP="00B72ED7">
      <w:pPr>
        <w:pStyle w:val="Prrafodelista"/>
        <w:numPr>
          <w:ilvl w:val="0"/>
          <w:numId w:val="35"/>
        </w:numPr>
        <w:ind w:left="567" w:hanging="567"/>
        <w:contextualSpacing/>
        <w:jc w:val="both"/>
        <w:rPr>
          <w:b/>
          <w:bCs/>
          <w:i/>
          <w:iCs/>
        </w:rPr>
      </w:pPr>
      <w:r w:rsidRPr="00B92969">
        <w:rPr>
          <w:b/>
          <w:bCs/>
          <w:i/>
          <w:iCs/>
        </w:rPr>
        <w:t>Interconexión</w:t>
      </w:r>
    </w:p>
    <w:p w14:paraId="1682697C" w14:textId="77777777" w:rsidR="00B72ED7" w:rsidRPr="00B92969" w:rsidRDefault="00B72ED7" w:rsidP="00B72ED7">
      <w:pPr>
        <w:jc w:val="both"/>
        <w:rPr>
          <w:i/>
          <w:iCs/>
          <w:sz w:val="24"/>
          <w:szCs w:val="24"/>
        </w:rPr>
      </w:pPr>
      <w:r w:rsidRPr="00B92969">
        <w:rPr>
          <w:i/>
          <w:iCs/>
          <w:sz w:val="24"/>
          <w:szCs w:val="24"/>
        </w:rPr>
        <w:t>La dimensión ‘Interconexión’ se mide en función de los siguientes indicadores:</w:t>
      </w:r>
    </w:p>
    <w:p w14:paraId="241588B9" w14:textId="77777777" w:rsidR="00B72ED7" w:rsidRPr="00B92969" w:rsidRDefault="00B72ED7" w:rsidP="00B72ED7">
      <w:pPr>
        <w:pStyle w:val="Prrafodelista"/>
        <w:numPr>
          <w:ilvl w:val="0"/>
          <w:numId w:val="36"/>
        </w:numPr>
        <w:ind w:left="993" w:hanging="426"/>
        <w:contextualSpacing/>
        <w:jc w:val="both"/>
        <w:rPr>
          <w:i/>
          <w:iCs/>
        </w:rPr>
      </w:pPr>
      <w:r w:rsidRPr="00B92969">
        <w:rPr>
          <w:i/>
          <w:iCs/>
        </w:rPr>
        <w:t>Saldos de activo interbancario: financiamiento.</w:t>
      </w:r>
    </w:p>
    <w:p w14:paraId="692AF067" w14:textId="77777777" w:rsidR="00B72ED7" w:rsidRPr="00B92969" w:rsidRDefault="00B72ED7" w:rsidP="00B72ED7">
      <w:pPr>
        <w:pStyle w:val="Prrafodelista"/>
        <w:numPr>
          <w:ilvl w:val="0"/>
          <w:numId w:val="36"/>
        </w:numPr>
        <w:ind w:left="993" w:hanging="426"/>
        <w:jc w:val="both"/>
        <w:rPr>
          <w:i/>
          <w:iCs/>
        </w:rPr>
      </w:pPr>
      <w:r w:rsidRPr="00B92969">
        <w:rPr>
          <w:i/>
          <w:iCs/>
        </w:rPr>
        <w:t>Saldos de pasivo interbancario: captaciones a la vista y a plazo.</w:t>
      </w:r>
    </w:p>
    <w:p w14:paraId="2F559F66" w14:textId="77777777" w:rsidR="00B72ED7" w:rsidRPr="00B92969" w:rsidRDefault="00B72ED7" w:rsidP="00B72ED7">
      <w:pPr>
        <w:jc w:val="both"/>
        <w:rPr>
          <w:i/>
          <w:iCs/>
          <w:sz w:val="24"/>
          <w:szCs w:val="24"/>
        </w:rPr>
      </w:pPr>
    </w:p>
    <w:p w14:paraId="02D0C8D3" w14:textId="77777777" w:rsidR="00B72ED7" w:rsidRPr="00B92969" w:rsidRDefault="00B72ED7" w:rsidP="00B72ED7">
      <w:pPr>
        <w:jc w:val="both"/>
        <w:rPr>
          <w:i/>
          <w:iCs/>
          <w:sz w:val="24"/>
          <w:szCs w:val="24"/>
        </w:rPr>
      </w:pPr>
      <w:r w:rsidRPr="00B92969">
        <w:rPr>
          <w:i/>
          <w:iCs/>
          <w:sz w:val="24"/>
          <w:szCs w:val="24"/>
        </w:rPr>
        <w:t>El primer indicador busca recoger la importancia de cada entidad como suplidora de financiamiento a otras entidades supervisadas y el segundo indicador busca recoger la importancia de cada entidad como receptora de depósitos desde el resto de las entidades supervisadas.</w:t>
      </w:r>
    </w:p>
    <w:p w14:paraId="1EB5060B" w14:textId="77777777" w:rsidR="00B72ED7" w:rsidRPr="00B92969" w:rsidRDefault="00B72ED7" w:rsidP="00B72ED7">
      <w:pPr>
        <w:jc w:val="both"/>
        <w:rPr>
          <w:i/>
          <w:iCs/>
          <w:sz w:val="24"/>
          <w:szCs w:val="24"/>
        </w:rPr>
      </w:pPr>
    </w:p>
    <w:p w14:paraId="21B5A11A" w14:textId="77777777" w:rsidR="00B72ED7" w:rsidRPr="00B92969" w:rsidRDefault="00B72ED7" w:rsidP="00B72ED7">
      <w:pPr>
        <w:jc w:val="both"/>
        <w:rPr>
          <w:i/>
          <w:iCs/>
          <w:sz w:val="24"/>
          <w:szCs w:val="24"/>
        </w:rPr>
      </w:pPr>
      <w:r w:rsidRPr="00B92969">
        <w:rPr>
          <w:i/>
          <w:iCs/>
          <w:sz w:val="24"/>
          <w:szCs w:val="24"/>
        </w:rPr>
        <w:t>Con esta dimensión se pretende estimar el impacto que la salida de una entidad pueda ocasionar a otra entidad supervisada, y que puede convertirse en un problema sistémico.</w:t>
      </w:r>
    </w:p>
    <w:p w14:paraId="4FF22967" w14:textId="77777777" w:rsidR="00B72ED7" w:rsidRPr="00B92969" w:rsidRDefault="00B72ED7" w:rsidP="00B72ED7">
      <w:pPr>
        <w:jc w:val="both"/>
        <w:rPr>
          <w:i/>
          <w:iCs/>
          <w:sz w:val="24"/>
          <w:szCs w:val="24"/>
        </w:rPr>
      </w:pPr>
    </w:p>
    <w:p w14:paraId="182B2EC9" w14:textId="77777777" w:rsidR="00B72ED7" w:rsidRPr="00B92969" w:rsidRDefault="00B72ED7" w:rsidP="00B72ED7">
      <w:pPr>
        <w:jc w:val="both"/>
        <w:rPr>
          <w:i/>
          <w:iCs/>
          <w:sz w:val="24"/>
          <w:szCs w:val="24"/>
        </w:rPr>
      </w:pPr>
      <w:r w:rsidRPr="00B92969">
        <w:rPr>
          <w:i/>
          <w:iCs/>
          <w:sz w:val="24"/>
          <w:szCs w:val="24"/>
        </w:rPr>
        <w:t>La medición se hace con base en el saldo promedio de los últimos 12 meses respecto a la fecha de la medición.</w:t>
      </w:r>
    </w:p>
    <w:p w14:paraId="4BAE8ABE" w14:textId="77777777" w:rsidR="00B72ED7" w:rsidRPr="00B92969" w:rsidRDefault="00B72ED7" w:rsidP="00B72ED7">
      <w:pPr>
        <w:jc w:val="both"/>
        <w:rPr>
          <w:i/>
          <w:iCs/>
          <w:sz w:val="24"/>
          <w:szCs w:val="24"/>
        </w:rPr>
      </w:pPr>
    </w:p>
    <w:p w14:paraId="020D7DEF" w14:textId="77777777" w:rsidR="00B72ED7" w:rsidRPr="00B92969" w:rsidRDefault="00B72ED7" w:rsidP="00B72ED7">
      <w:pPr>
        <w:pStyle w:val="Prrafodelista"/>
        <w:numPr>
          <w:ilvl w:val="0"/>
          <w:numId w:val="35"/>
        </w:numPr>
        <w:ind w:left="567" w:hanging="567"/>
        <w:contextualSpacing/>
        <w:jc w:val="both"/>
        <w:rPr>
          <w:b/>
          <w:bCs/>
          <w:i/>
          <w:iCs/>
        </w:rPr>
      </w:pPr>
      <w:r w:rsidRPr="00B92969">
        <w:rPr>
          <w:b/>
          <w:bCs/>
          <w:i/>
          <w:iCs/>
        </w:rPr>
        <w:t xml:space="preserve">Complejidad </w:t>
      </w:r>
    </w:p>
    <w:p w14:paraId="5AA4E44F" w14:textId="77777777" w:rsidR="00B72ED7" w:rsidRPr="00B92969" w:rsidRDefault="00B72ED7" w:rsidP="00B72ED7">
      <w:pPr>
        <w:jc w:val="both"/>
        <w:rPr>
          <w:i/>
          <w:iCs/>
          <w:sz w:val="24"/>
          <w:szCs w:val="24"/>
        </w:rPr>
      </w:pPr>
      <w:r w:rsidRPr="00B92969">
        <w:rPr>
          <w:i/>
          <w:iCs/>
          <w:sz w:val="24"/>
          <w:szCs w:val="24"/>
        </w:rPr>
        <w:t>La dimensión ‘Complejidad’ se mide en función de los siguientes indicadores:</w:t>
      </w:r>
    </w:p>
    <w:p w14:paraId="02D7842C" w14:textId="77777777" w:rsidR="00B72ED7" w:rsidRPr="00B92969" w:rsidRDefault="00B72ED7" w:rsidP="00B72ED7">
      <w:pPr>
        <w:jc w:val="both"/>
        <w:rPr>
          <w:i/>
          <w:iCs/>
          <w:sz w:val="24"/>
          <w:szCs w:val="24"/>
        </w:rPr>
      </w:pPr>
    </w:p>
    <w:p w14:paraId="20F62B75" w14:textId="77777777" w:rsidR="00B72ED7" w:rsidRPr="00B92969" w:rsidRDefault="00B72ED7" w:rsidP="00B72ED7">
      <w:pPr>
        <w:pStyle w:val="Prrafodelista"/>
        <w:numPr>
          <w:ilvl w:val="0"/>
          <w:numId w:val="37"/>
        </w:numPr>
        <w:ind w:left="1134" w:hanging="567"/>
        <w:contextualSpacing/>
        <w:jc w:val="both"/>
        <w:rPr>
          <w:i/>
          <w:iCs/>
        </w:rPr>
      </w:pPr>
      <w:r w:rsidRPr="00B92969">
        <w:rPr>
          <w:i/>
          <w:iCs/>
        </w:rPr>
        <w:t>Presencia geográfica, medido como la cantidad de oficinas, según el último dato disponible.</w:t>
      </w:r>
    </w:p>
    <w:p w14:paraId="1EEDE613" w14:textId="77777777" w:rsidR="00B72ED7" w:rsidRPr="00B92969" w:rsidRDefault="00B72ED7" w:rsidP="00B72ED7">
      <w:pPr>
        <w:pStyle w:val="Prrafodelista"/>
        <w:numPr>
          <w:ilvl w:val="0"/>
          <w:numId w:val="37"/>
        </w:numPr>
        <w:ind w:left="1134" w:hanging="567"/>
        <w:jc w:val="both"/>
        <w:rPr>
          <w:i/>
          <w:iCs/>
        </w:rPr>
      </w:pPr>
      <w:r w:rsidRPr="00B92969">
        <w:rPr>
          <w:i/>
          <w:iCs/>
        </w:rPr>
        <w:t xml:space="preserve">Cantidad de operaciones de crédito, medido como el promedio de los últimos 12 meses respecto a la fecha de la medición. </w:t>
      </w:r>
    </w:p>
    <w:p w14:paraId="27A024B8" w14:textId="77777777" w:rsidR="00B72ED7" w:rsidRPr="00B92969" w:rsidRDefault="00B72ED7" w:rsidP="00B72ED7">
      <w:pPr>
        <w:pStyle w:val="Prrafodelista"/>
        <w:numPr>
          <w:ilvl w:val="0"/>
          <w:numId w:val="37"/>
        </w:numPr>
        <w:ind w:left="1134" w:hanging="567"/>
        <w:jc w:val="both"/>
        <w:rPr>
          <w:i/>
          <w:iCs/>
        </w:rPr>
      </w:pPr>
      <w:r w:rsidRPr="00B92969">
        <w:rPr>
          <w:i/>
          <w:iCs/>
        </w:rPr>
        <w:t>Cantidad de operaciones de depósito, medido como el promedio de los últimos 12 meses respecto a la fecha de la medición.</w:t>
      </w:r>
    </w:p>
    <w:p w14:paraId="45AD7B10" w14:textId="77777777" w:rsidR="00B72ED7" w:rsidRPr="00B92969" w:rsidRDefault="00B72ED7" w:rsidP="00B72ED7">
      <w:pPr>
        <w:pStyle w:val="Prrafodelista"/>
        <w:numPr>
          <w:ilvl w:val="0"/>
          <w:numId w:val="37"/>
        </w:numPr>
        <w:ind w:left="1134" w:hanging="567"/>
        <w:jc w:val="both"/>
        <w:rPr>
          <w:i/>
          <w:iCs/>
        </w:rPr>
      </w:pPr>
      <w:r w:rsidRPr="00B92969">
        <w:rPr>
          <w:i/>
          <w:iCs/>
        </w:rPr>
        <w:t>Derivados, medido como el saldo total promedio de los últimos 12 meses respecto a la fecha de la medición.</w:t>
      </w:r>
    </w:p>
    <w:p w14:paraId="2B56F4F2" w14:textId="77777777" w:rsidR="00B72ED7" w:rsidRPr="00B92969" w:rsidRDefault="00B72ED7" w:rsidP="00B72ED7">
      <w:pPr>
        <w:pStyle w:val="Prrafodelista"/>
        <w:numPr>
          <w:ilvl w:val="0"/>
          <w:numId w:val="37"/>
        </w:numPr>
        <w:ind w:left="1134" w:hanging="567"/>
        <w:jc w:val="both"/>
        <w:rPr>
          <w:i/>
          <w:iCs/>
        </w:rPr>
      </w:pPr>
      <w:r w:rsidRPr="00B92969">
        <w:rPr>
          <w:i/>
          <w:iCs/>
        </w:rPr>
        <w:t>Valor de activos mantenidos con fines de negociación y disponibles para su venta, medido como el saldo total promedio de los últimos 12 meses respecto a la fecha de la medición.</w:t>
      </w:r>
    </w:p>
    <w:p w14:paraId="41FFC37A" w14:textId="77777777" w:rsidR="00B72ED7" w:rsidRPr="00B92969" w:rsidRDefault="00B72ED7" w:rsidP="00B72ED7">
      <w:pPr>
        <w:jc w:val="both"/>
        <w:rPr>
          <w:i/>
          <w:iCs/>
          <w:sz w:val="24"/>
          <w:szCs w:val="24"/>
        </w:rPr>
      </w:pPr>
    </w:p>
    <w:p w14:paraId="0BFAF7D0" w14:textId="77777777" w:rsidR="00B72ED7" w:rsidRPr="00B92969" w:rsidRDefault="00B72ED7" w:rsidP="00B72ED7">
      <w:pPr>
        <w:jc w:val="both"/>
        <w:rPr>
          <w:i/>
          <w:iCs/>
          <w:sz w:val="24"/>
          <w:szCs w:val="24"/>
        </w:rPr>
      </w:pPr>
      <w:r w:rsidRPr="00B92969">
        <w:rPr>
          <w:i/>
          <w:iCs/>
          <w:sz w:val="24"/>
          <w:szCs w:val="24"/>
        </w:rPr>
        <w:lastRenderedPageBreak/>
        <w:t>Esta dimensión busca medir qué tan complejo, con respecto al resto de entidades supervisadas, podría resultar la eventual salida de una entidad, dada la cantidad de operaciones que administra, la presencia geográfica en el territorio nacional y el volumen de activos o negocios que no son propiamente de intermediación financiera.</w:t>
      </w:r>
    </w:p>
    <w:p w14:paraId="3601ADE5" w14:textId="77777777" w:rsidR="00B72ED7" w:rsidRPr="00B92969" w:rsidRDefault="00B72ED7" w:rsidP="00B72ED7">
      <w:pPr>
        <w:jc w:val="both"/>
        <w:rPr>
          <w:i/>
          <w:iCs/>
          <w:sz w:val="24"/>
          <w:szCs w:val="24"/>
        </w:rPr>
      </w:pPr>
    </w:p>
    <w:p w14:paraId="79790108" w14:textId="77777777" w:rsidR="00B72ED7" w:rsidRPr="00B92969" w:rsidRDefault="00B72ED7" w:rsidP="00B72ED7">
      <w:pPr>
        <w:pStyle w:val="Prrafodelista"/>
        <w:numPr>
          <w:ilvl w:val="0"/>
          <w:numId w:val="35"/>
        </w:numPr>
        <w:ind w:left="567" w:hanging="567"/>
        <w:contextualSpacing/>
        <w:jc w:val="both"/>
        <w:rPr>
          <w:b/>
          <w:bCs/>
          <w:i/>
          <w:iCs/>
        </w:rPr>
      </w:pPr>
      <w:r w:rsidRPr="00B92969">
        <w:rPr>
          <w:b/>
          <w:bCs/>
          <w:i/>
          <w:iCs/>
        </w:rPr>
        <w:t>Grado de sustitución</w:t>
      </w:r>
    </w:p>
    <w:p w14:paraId="32297DC1" w14:textId="77777777" w:rsidR="00B72ED7" w:rsidRPr="00B92969" w:rsidRDefault="00B72ED7" w:rsidP="00B72ED7">
      <w:pPr>
        <w:jc w:val="both"/>
        <w:rPr>
          <w:i/>
          <w:iCs/>
          <w:sz w:val="24"/>
          <w:szCs w:val="24"/>
        </w:rPr>
      </w:pPr>
      <w:r w:rsidRPr="00B92969">
        <w:rPr>
          <w:i/>
          <w:iCs/>
          <w:sz w:val="24"/>
          <w:szCs w:val="24"/>
        </w:rPr>
        <w:t>La dimensión ‘Grado de sustitución’ se mide en función de los siguientes indicadores:</w:t>
      </w:r>
    </w:p>
    <w:p w14:paraId="7CCA13AD" w14:textId="77777777" w:rsidR="00B72ED7" w:rsidRPr="00B92969" w:rsidRDefault="00B72ED7" w:rsidP="00B72ED7">
      <w:pPr>
        <w:pStyle w:val="Prrafodelista"/>
        <w:numPr>
          <w:ilvl w:val="0"/>
          <w:numId w:val="38"/>
        </w:numPr>
        <w:ind w:left="1134" w:hanging="567"/>
        <w:contextualSpacing/>
        <w:jc w:val="both"/>
        <w:rPr>
          <w:i/>
          <w:iCs/>
        </w:rPr>
      </w:pPr>
      <w:r w:rsidRPr="00B92969">
        <w:rPr>
          <w:i/>
          <w:iCs/>
        </w:rPr>
        <w:t>Suplidor neto de liquidez en el Mercado Integrado de Liquidez (MIL), en colones, medido como el promedio de los últimos 12 meses respecto de la fecha de la evaluación.</w:t>
      </w:r>
    </w:p>
    <w:p w14:paraId="6F61C762" w14:textId="77777777" w:rsidR="00B72ED7" w:rsidRPr="00B92969" w:rsidRDefault="00B72ED7" w:rsidP="00B72ED7">
      <w:pPr>
        <w:pStyle w:val="Prrafodelista"/>
        <w:numPr>
          <w:ilvl w:val="0"/>
          <w:numId w:val="38"/>
        </w:numPr>
        <w:ind w:left="1134" w:hanging="567"/>
        <w:jc w:val="both"/>
        <w:rPr>
          <w:i/>
          <w:iCs/>
        </w:rPr>
      </w:pPr>
      <w:r w:rsidRPr="00B92969">
        <w:rPr>
          <w:i/>
          <w:iCs/>
        </w:rPr>
        <w:t>Suplidor neto de liquidez en el MIL, en dólares, medido como el promedio de los últimos 12 meses respecto de la fecha de la evaluación.</w:t>
      </w:r>
    </w:p>
    <w:p w14:paraId="152AFE67" w14:textId="77777777" w:rsidR="00B72ED7" w:rsidRPr="00B92969" w:rsidRDefault="00B72ED7" w:rsidP="00B72ED7">
      <w:pPr>
        <w:pStyle w:val="Prrafodelista"/>
        <w:numPr>
          <w:ilvl w:val="0"/>
          <w:numId w:val="38"/>
        </w:numPr>
        <w:ind w:left="1134" w:hanging="567"/>
        <w:jc w:val="both"/>
        <w:rPr>
          <w:i/>
          <w:iCs/>
        </w:rPr>
      </w:pPr>
      <w:r w:rsidRPr="00B92969">
        <w:rPr>
          <w:i/>
          <w:iCs/>
        </w:rPr>
        <w:t>Custodia de instrumentos financieros denominados en colones y dólares, medido como el saldo promedio de los últimos 12 meses respecto de la fecha de la evaluación.</w:t>
      </w:r>
    </w:p>
    <w:p w14:paraId="2D6E7C60" w14:textId="77777777" w:rsidR="00B72ED7" w:rsidRPr="00B92969" w:rsidRDefault="00B72ED7" w:rsidP="00B72ED7">
      <w:pPr>
        <w:pStyle w:val="Prrafodelista"/>
        <w:numPr>
          <w:ilvl w:val="0"/>
          <w:numId w:val="38"/>
        </w:numPr>
        <w:ind w:left="1134" w:hanging="567"/>
        <w:jc w:val="both"/>
        <w:rPr>
          <w:i/>
          <w:iCs/>
        </w:rPr>
      </w:pPr>
      <w:r w:rsidRPr="00B92969">
        <w:rPr>
          <w:i/>
          <w:iCs/>
        </w:rPr>
        <w:t>Participación en el Sistema Nacional de Pagos Electrónicos (SINPE), medido como el monto promedio de los últimos 12 meses respecto de la fecha de la evaluación.</w:t>
      </w:r>
    </w:p>
    <w:p w14:paraId="02A6493E" w14:textId="77777777" w:rsidR="00B72ED7" w:rsidRPr="00B92969" w:rsidRDefault="00B72ED7" w:rsidP="00B72ED7">
      <w:pPr>
        <w:pStyle w:val="Prrafodelista"/>
        <w:numPr>
          <w:ilvl w:val="0"/>
          <w:numId w:val="38"/>
        </w:numPr>
        <w:ind w:left="1134" w:hanging="567"/>
        <w:jc w:val="both"/>
        <w:rPr>
          <w:i/>
          <w:iCs/>
        </w:rPr>
      </w:pPr>
      <w:r w:rsidRPr="00B92969">
        <w:rPr>
          <w:i/>
          <w:iCs/>
        </w:rPr>
        <w:t>Participación en el Sistema Nacional de Pagos Electrónicos (SINPE), medido como la cantidad de operaciones promedio de los últimos 12 meses respecto de la fecha de la evaluación.</w:t>
      </w:r>
    </w:p>
    <w:p w14:paraId="4054853F" w14:textId="77777777" w:rsidR="00B72ED7" w:rsidRPr="00B92969" w:rsidRDefault="00B72ED7" w:rsidP="00B72ED7">
      <w:pPr>
        <w:pStyle w:val="Prrafodelista"/>
        <w:jc w:val="both"/>
        <w:rPr>
          <w:i/>
          <w:iCs/>
        </w:rPr>
      </w:pPr>
    </w:p>
    <w:p w14:paraId="0588A4CC" w14:textId="77777777" w:rsidR="00B72ED7" w:rsidRPr="00B92969" w:rsidRDefault="00B72ED7" w:rsidP="00B72ED7">
      <w:pPr>
        <w:jc w:val="both"/>
        <w:rPr>
          <w:i/>
          <w:iCs/>
          <w:sz w:val="24"/>
          <w:szCs w:val="24"/>
        </w:rPr>
      </w:pPr>
      <w:r w:rsidRPr="00B92969">
        <w:rPr>
          <w:i/>
          <w:iCs/>
          <w:sz w:val="24"/>
          <w:szCs w:val="24"/>
        </w:rPr>
        <w:t>Los indicadores de esta dimensión intentan valorar el impacto que tendría la salida de una entidad supervisada, en la prestación de algún servicio o producto.</w:t>
      </w:r>
    </w:p>
    <w:p w14:paraId="6626E798" w14:textId="77777777" w:rsidR="00B72ED7" w:rsidRPr="00B92969" w:rsidRDefault="00B72ED7" w:rsidP="00B72ED7">
      <w:pPr>
        <w:pStyle w:val="Ttulo3"/>
        <w:rPr>
          <w:b w:val="0"/>
          <w:bCs w:val="0"/>
          <w:i/>
          <w:iCs/>
          <w:szCs w:val="24"/>
        </w:rPr>
      </w:pPr>
    </w:p>
    <w:p w14:paraId="7D8FA8FA" w14:textId="77777777" w:rsidR="00B72ED7" w:rsidRPr="00B92969" w:rsidRDefault="00B72ED7" w:rsidP="00B72ED7">
      <w:pPr>
        <w:pStyle w:val="Ttulo3"/>
        <w:rPr>
          <w:b w:val="0"/>
          <w:bCs w:val="0"/>
          <w:i/>
          <w:iCs/>
          <w:szCs w:val="24"/>
        </w:rPr>
      </w:pPr>
      <w:bookmarkStart w:id="19" w:name="_Toc128042086"/>
      <w:r w:rsidRPr="00B92969">
        <w:rPr>
          <w:i/>
          <w:iCs/>
          <w:szCs w:val="24"/>
        </w:rPr>
        <w:t>Artículo 5. Pesos de las dimensiones e indicadores para el cálculo del Índice Sistémico</w:t>
      </w:r>
      <w:bookmarkEnd w:id="19"/>
    </w:p>
    <w:p w14:paraId="0B527B34" w14:textId="77777777" w:rsidR="00B72ED7" w:rsidRPr="00B92969" w:rsidRDefault="00B72ED7" w:rsidP="00B72ED7">
      <w:pPr>
        <w:widowControl w:val="0"/>
        <w:tabs>
          <w:tab w:val="left" w:pos="6060"/>
          <w:tab w:val="right" w:pos="8838"/>
        </w:tabs>
        <w:jc w:val="both"/>
        <w:rPr>
          <w:i/>
          <w:iCs/>
          <w:sz w:val="24"/>
          <w:szCs w:val="24"/>
        </w:rPr>
      </w:pPr>
      <w:r w:rsidRPr="00B92969">
        <w:rPr>
          <w:i/>
          <w:iCs/>
          <w:sz w:val="24"/>
          <w:szCs w:val="24"/>
        </w:rPr>
        <w:t xml:space="preserve">La siguiente tabla muestra cada una de las dimensiones para la identificación de entidades de importancia sistémica, así como el indicador y el peso correspondiente. </w:t>
      </w:r>
    </w:p>
    <w:p w14:paraId="764D4172" w14:textId="77777777" w:rsidR="00B72ED7" w:rsidRPr="00B92969" w:rsidRDefault="00B72ED7" w:rsidP="00B72ED7">
      <w:pPr>
        <w:widowControl w:val="0"/>
        <w:tabs>
          <w:tab w:val="left" w:pos="6060"/>
          <w:tab w:val="right" w:pos="8838"/>
        </w:tabs>
        <w:jc w:val="both"/>
        <w:rPr>
          <w:i/>
          <w:iCs/>
          <w:sz w:val="24"/>
          <w:szCs w:val="24"/>
        </w:rPr>
      </w:pPr>
    </w:p>
    <w:p w14:paraId="0CD49E2A" w14:textId="77777777" w:rsidR="00B72ED7" w:rsidRPr="00B92969" w:rsidRDefault="00B72ED7" w:rsidP="00B72ED7">
      <w:pPr>
        <w:tabs>
          <w:tab w:val="left" w:pos="5188"/>
        </w:tabs>
        <w:jc w:val="both"/>
        <w:rPr>
          <w:i/>
          <w:iCs/>
          <w:sz w:val="24"/>
          <w:szCs w:val="24"/>
        </w:rPr>
      </w:pPr>
      <w:r w:rsidRPr="00B92969">
        <w:rPr>
          <w:i/>
          <w:iCs/>
          <w:sz w:val="24"/>
          <w:szCs w:val="24"/>
        </w:rPr>
        <w:t xml:space="preserve">Dependiendo del número de indicadores en cada dimensión, se reparte en forma equitativa el ponderador respectivo. </w:t>
      </w:r>
    </w:p>
    <w:p w14:paraId="53C46C86" w14:textId="77777777" w:rsidR="00B72ED7" w:rsidRPr="00B92969" w:rsidRDefault="00B72ED7" w:rsidP="00B72ED7">
      <w:pPr>
        <w:tabs>
          <w:tab w:val="left" w:pos="5188"/>
        </w:tabs>
        <w:jc w:val="both"/>
        <w:rPr>
          <w:i/>
          <w:iCs/>
          <w:sz w:val="24"/>
          <w:szCs w:val="24"/>
        </w:rPr>
      </w:pP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79"/>
        <w:gridCol w:w="4958"/>
        <w:gridCol w:w="1133"/>
      </w:tblGrid>
      <w:tr w:rsidR="00B72ED7" w:rsidRPr="00B92969" w14:paraId="4F09AE8F" w14:textId="77777777" w:rsidTr="00C42CD8">
        <w:trPr>
          <w:trHeight w:val="300"/>
          <w:jc w:val="center"/>
        </w:trPr>
        <w:tc>
          <w:tcPr>
            <w:tcW w:w="1980" w:type="dxa"/>
            <w:tcBorders>
              <w:top w:val="single" w:sz="4" w:space="0" w:color="auto"/>
              <w:left w:val="single" w:sz="4" w:space="0" w:color="auto"/>
              <w:bottom w:val="single" w:sz="4" w:space="0" w:color="auto"/>
              <w:right w:val="single" w:sz="4" w:space="0" w:color="auto"/>
            </w:tcBorders>
            <w:shd w:val="clear" w:color="auto" w:fill="1F3864" w:themeFill="accent1" w:themeFillShade="80"/>
            <w:noWrap/>
            <w:vAlign w:val="center"/>
            <w:hideMark/>
          </w:tcPr>
          <w:p w14:paraId="31844485" w14:textId="77777777" w:rsidR="00B72ED7" w:rsidRPr="00B92969" w:rsidRDefault="00B72ED7" w:rsidP="00C42CD8">
            <w:pPr>
              <w:widowControl w:val="0"/>
              <w:rPr>
                <w:b/>
                <w:bCs/>
                <w:i/>
                <w:iCs/>
                <w:sz w:val="24"/>
                <w:szCs w:val="24"/>
              </w:rPr>
            </w:pPr>
            <w:bookmarkStart w:id="20" w:name="_Hlk117879050"/>
            <w:r w:rsidRPr="00B92969">
              <w:rPr>
                <w:b/>
                <w:bCs/>
                <w:i/>
                <w:iCs/>
                <w:sz w:val="24"/>
                <w:szCs w:val="24"/>
              </w:rPr>
              <w:t>Dimensión</w:t>
            </w:r>
          </w:p>
        </w:tc>
        <w:tc>
          <w:tcPr>
            <w:tcW w:w="4961" w:type="dxa"/>
            <w:tcBorders>
              <w:top w:val="single" w:sz="4" w:space="0" w:color="auto"/>
              <w:left w:val="single" w:sz="4" w:space="0" w:color="auto"/>
              <w:bottom w:val="single" w:sz="4" w:space="0" w:color="auto"/>
              <w:right w:val="single" w:sz="4" w:space="0" w:color="auto"/>
            </w:tcBorders>
            <w:shd w:val="clear" w:color="auto" w:fill="1F3864" w:themeFill="accent1" w:themeFillShade="80"/>
            <w:noWrap/>
            <w:vAlign w:val="center"/>
            <w:hideMark/>
          </w:tcPr>
          <w:p w14:paraId="3A45751D" w14:textId="77777777" w:rsidR="00B72ED7" w:rsidRPr="00B92969" w:rsidRDefault="00B72ED7" w:rsidP="00C42CD8">
            <w:pPr>
              <w:widowControl w:val="0"/>
              <w:rPr>
                <w:b/>
                <w:bCs/>
                <w:i/>
                <w:iCs/>
                <w:sz w:val="24"/>
                <w:szCs w:val="24"/>
              </w:rPr>
            </w:pPr>
            <w:r w:rsidRPr="00B92969">
              <w:rPr>
                <w:b/>
                <w:bCs/>
                <w:i/>
                <w:iCs/>
                <w:sz w:val="24"/>
                <w:szCs w:val="24"/>
              </w:rPr>
              <w:t>Indicador</w:t>
            </w:r>
          </w:p>
        </w:tc>
        <w:tc>
          <w:tcPr>
            <w:tcW w:w="1134" w:type="dxa"/>
            <w:tcBorders>
              <w:top w:val="single" w:sz="4" w:space="0" w:color="auto"/>
              <w:left w:val="single" w:sz="4" w:space="0" w:color="auto"/>
              <w:bottom w:val="single" w:sz="4" w:space="0" w:color="auto"/>
              <w:right w:val="single" w:sz="4" w:space="0" w:color="auto"/>
            </w:tcBorders>
            <w:shd w:val="clear" w:color="auto" w:fill="1F3864" w:themeFill="accent1" w:themeFillShade="80"/>
            <w:noWrap/>
            <w:vAlign w:val="center"/>
            <w:hideMark/>
          </w:tcPr>
          <w:p w14:paraId="15AAA85D" w14:textId="77777777" w:rsidR="00B72ED7" w:rsidRPr="00B92969" w:rsidRDefault="00B72ED7" w:rsidP="00C42CD8">
            <w:pPr>
              <w:widowControl w:val="0"/>
              <w:rPr>
                <w:b/>
                <w:bCs/>
                <w:i/>
                <w:iCs/>
                <w:sz w:val="24"/>
                <w:szCs w:val="24"/>
              </w:rPr>
            </w:pPr>
            <w:r w:rsidRPr="00B92969">
              <w:rPr>
                <w:b/>
                <w:bCs/>
                <w:i/>
                <w:iCs/>
                <w:sz w:val="24"/>
                <w:szCs w:val="24"/>
              </w:rPr>
              <w:t>Peso del indicador</w:t>
            </w:r>
          </w:p>
        </w:tc>
      </w:tr>
      <w:tr w:rsidR="00B72ED7" w:rsidRPr="00B92969" w14:paraId="00A619A3" w14:textId="77777777" w:rsidTr="00C42CD8">
        <w:trPr>
          <w:trHeight w:val="300"/>
          <w:jc w:val="center"/>
        </w:trPr>
        <w:tc>
          <w:tcPr>
            <w:tcW w:w="1980" w:type="dxa"/>
            <w:tcBorders>
              <w:top w:val="single" w:sz="4" w:space="0" w:color="auto"/>
              <w:left w:val="single" w:sz="4" w:space="0" w:color="auto"/>
              <w:bottom w:val="single" w:sz="4" w:space="0" w:color="auto"/>
              <w:right w:val="single" w:sz="4" w:space="0" w:color="auto"/>
            </w:tcBorders>
            <w:noWrap/>
            <w:vAlign w:val="center"/>
            <w:hideMark/>
          </w:tcPr>
          <w:p w14:paraId="417A7552" w14:textId="77777777" w:rsidR="00B72ED7" w:rsidRPr="00B92969" w:rsidRDefault="00B72ED7" w:rsidP="00C42CD8">
            <w:pPr>
              <w:widowControl w:val="0"/>
              <w:jc w:val="both"/>
              <w:rPr>
                <w:i/>
                <w:iCs/>
                <w:sz w:val="24"/>
                <w:szCs w:val="24"/>
              </w:rPr>
            </w:pPr>
            <w:r w:rsidRPr="00B92969">
              <w:rPr>
                <w:i/>
                <w:iCs/>
                <w:sz w:val="24"/>
                <w:szCs w:val="24"/>
              </w:rPr>
              <w:t>Tamaño (35%)</w:t>
            </w:r>
          </w:p>
        </w:tc>
        <w:tc>
          <w:tcPr>
            <w:tcW w:w="4961" w:type="dxa"/>
            <w:tcBorders>
              <w:top w:val="single" w:sz="4" w:space="0" w:color="auto"/>
              <w:left w:val="single" w:sz="4" w:space="0" w:color="auto"/>
              <w:bottom w:val="single" w:sz="4" w:space="0" w:color="auto"/>
              <w:right w:val="single" w:sz="4" w:space="0" w:color="auto"/>
            </w:tcBorders>
            <w:noWrap/>
            <w:hideMark/>
          </w:tcPr>
          <w:p w14:paraId="11F3AEAC" w14:textId="77777777" w:rsidR="00B72ED7" w:rsidRPr="00B92969" w:rsidRDefault="00B72ED7" w:rsidP="00C42CD8">
            <w:pPr>
              <w:widowControl w:val="0"/>
              <w:jc w:val="both"/>
              <w:rPr>
                <w:i/>
                <w:iCs/>
                <w:sz w:val="24"/>
                <w:szCs w:val="24"/>
              </w:rPr>
            </w:pPr>
            <w:r w:rsidRPr="00B92969">
              <w:rPr>
                <w:i/>
                <w:iCs/>
                <w:sz w:val="24"/>
                <w:szCs w:val="24"/>
              </w:rPr>
              <w:t>Activos totales de entidad / activos totales de entidades supervisadas</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C80B4D4" w14:textId="77777777" w:rsidR="00B72ED7" w:rsidRPr="00B92969" w:rsidRDefault="00B72ED7" w:rsidP="00C42CD8">
            <w:pPr>
              <w:widowControl w:val="0"/>
              <w:rPr>
                <w:i/>
                <w:iCs/>
                <w:sz w:val="24"/>
                <w:szCs w:val="24"/>
              </w:rPr>
            </w:pPr>
            <w:r w:rsidRPr="00B92969">
              <w:rPr>
                <w:i/>
                <w:iCs/>
                <w:sz w:val="24"/>
                <w:szCs w:val="24"/>
              </w:rPr>
              <w:t>35,0%</w:t>
            </w:r>
          </w:p>
        </w:tc>
      </w:tr>
      <w:tr w:rsidR="00B72ED7" w:rsidRPr="00B92969" w14:paraId="24A00C9F" w14:textId="77777777" w:rsidTr="00C42CD8">
        <w:trPr>
          <w:trHeight w:val="300"/>
          <w:jc w:val="center"/>
        </w:trPr>
        <w:tc>
          <w:tcPr>
            <w:tcW w:w="1980" w:type="dxa"/>
            <w:vMerge w:val="restart"/>
            <w:tcBorders>
              <w:top w:val="single" w:sz="4" w:space="0" w:color="auto"/>
              <w:left w:val="single" w:sz="4" w:space="0" w:color="auto"/>
              <w:bottom w:val="single" w:sz="4" w:space="0" w:color="auto"/>
              <w:right w:val="single" w:sz="4" w:space="0" w:color="auto"/>
            </w:tcBorders>
            <w:noWrap/>
            <w:vAlign w:val="center"/>
            <w:hideMark/>
          </w:tcPr>
          <w:p w14:paraId="7F3235E9" w14:textId="77777777" w:rsidR="00B72ED7" w:rsidRPr="00B92969" w:rsidRDefault="00B72ED7" w:rsidP="00C42CD8">
            <w:pPr>
              <w:widowControl w:val="0"/>
              <w:jc w:val="both"/>
              <w:rPr>
                <w:i/>
                <w:iCs/>
                <w:sz w:val="24"/>
                <w:szCs w:val="24"/>
              </w:rPr>
            </w:pPr>
            <w:r w:rsidRPr="00B92969">
              <w:rPr>
                <w:i/>
                <w:iCs/>
                <w:sz w:val="24"/>
                <w:szCs w:val="24"/>
              </w:rPr>
              <w:t>Interconexión (25%)</w:t>
            </w:r>
          </w:p>
        </w:tc>
        <w:tc>
          <w:tcPr>
            <w:tcW w:w="4961" w:type="dxa"/>
            <w:tcBorders>
              <w:top w:val="single" w:sz="4" w:space="0" w:color="auto"/>
              <w:left w:val="single" w:sz="4" w:space="0" w:color="auto"/>
              <w:bottom w:val="single" w:sz="4" w:space="0" w:color="auto"/>
              <w:right w:val="single" w:sz="4" w:space="0" w:color="auto"/>
            </w:tcBorders>
            <w:noWrap/>
            <w:hideMark/>
          </w:tcPr>
          <w:p w14:paraId="444B3896" w14:textId="77777777" w:rsidR="00B72ED7" w:rsidRPr="00B92969" w:rsidRDefault="00B72ED7" w:rsidP="00C42CD8">
            <w:pPr>
              <w:widowControl w:val="0"/>
              <w:jc w:val="both"/>
              <w:rPr>
                <w:i/>
                <w:iCs/>
                <w:sz w:val="24"/>
                <w:szCs w:val="24"/>
              </w:rPr>
            </w:pPr>
            <w:r w:rsidRPr="00B92969">
              <w:rPr>
                <w:i/>
                <w:iCs/>
                <w:sz w:val="24"/>
                <w:szCs w:val="24"/>
              </w:rPr>
              <w:t>Saldos de pasivo interbancario</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4C6AB23" w14:textId="77777777" w:rsidR="00B72ED7" w:rsidRPr="00B92969" w:rsidRDefault="00B72ED7" w:rsidP="00C42CD8">
            <w:pPr>
              <w:widowControl w:val="0"/>
              <w:rPr>
                <w:i/>
                <w:iCs/>
                <w:sz w:val="24"/>
                <w:szCs w:val="24"/>
              </w:rPr>
            </w:pPr>
            <w:r w:rsidRPr="00B92969">
              <w:rPr>
                <w:i/>
                <w:iCs/>
                <w:sz w:val="24"/>
                <w:szCs w:val="24"/>
              </w:rPr>
              <w:t>12,5%</w:t>
            </w:r>
          </w:p>
        </w:tc>
      </w:tr>
      <w:tr w:rsidR="00B72ED7" w:rsidRPr="00B92969" w14:paraId="3039BD32" w14:textId="77777777" w:rsidTr="00C42CD8">
        <w:trPr>
          <w:trHeight w:val="300"/>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2B10FE5D" w14:textId="77777777" w:rsidR="00B72ED7" w:rsidRPr="00B92969" w:rsidRDefault="00B72ED7" w:rsidP="00C42CD8">
            <w:pPr>
              <w:rPr>
                <w:i/>
                <w:iCs/>
                <w:sz w:val="24"/>
                <w:szCs w:val="24"/>
              </w:rPr>
            </w:pPr>
          </w:p>
        </w:tc>
        <w:tc>
          <w:tcPr>
            <w:tcW w:w="4961" w:type="dxa"/>
            <w:tcBorders>
              <w:top w:val="single" w:sz="4" w:space="0" w:color="auto"/>
              <w:left w:val="single" w:sz="4" w:space="0" w:color="auto"/>
              <w:bottom w:val="single" w:sz="4" w:space="0" w:color="auto"/>
              <w:right w:val="single" w:sz="4" w:space="0" w:color="auto"/>
            </w:tcBorders>
            <w:noWrap/>
            <w:hideMark/>
          </w:tcPr>
          <w:p w14:paraId="45FAFE04" w14:textId="77777777" w:rsidR="00B72ED7" w:rsidRPr="00B92969" w:rsidRDefault="00B72ED7" w:rsidP="00C42CD8">
            <w:pPr>
              <w:widowControl w:val="0"/>
              <w:jc w:val="both"/>
              <w:rPr>
                <w:i/>
                <w:iCs/>
                <w:sz w:val="24"/>
                <w:szCs w:val="24"/>
              </w:rPr>
            </w:pPr>
            <w:r w:rsidRPr="00B92969">
              <w:rPr>
                <w:i/>
                <w:iCs/>
                <w:sz w:val="24"/>
                <w:szCs w:val="24"/>
              </w:rPr>
              <w:t>Saldos de activo interbancario</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8EFBD30" w14:textId="77777777" w:rsidR="00B72ED7" w:rsidRPr="00B92969" w:rsidRDefault="00B72ED7" w:rsidP="00C42CD8">
            <w:pPr>
              <w:widowControl w:val="0"/>
              <w:rPr>
                <w:i/>
                <w:iCs/>
                <w:sz w:val="24"/>
                <w:szCs w:val="24"/>
              </w:rPr>
            </w:pPr>
            <w:r w:rsidRPr="00B92969">
              <w:rPr>
                <w:i/>
                <w:iCs/>
                <w:sz w:val="24"/>
                <w:szCs w:val="24"/>
              </w:rPr>
              <w:t>12,5%</w:t>
            </w:r>
          </w:p>
        </w:tc>
      </w:tr>
      <w:tr w:rsidR="00B72ED7" w:rsidRPr="00B92969" w14:paraId="201D2AA6" w14:textId="77777777" w:rsidTr="00C42CD8">
        <w:trPr>
          <w:trHeight w:val="300"/>
          <w:jc w:val="center"/>
        </w:trPr>
        <w:tc>
          <w:tcPr>
            <w:tcW w:w="1980" w:type="dxa"/>
            <w:vMerge w:val="restart"/>
            <w:tcBorders>
              <w:top w:val="single" w:sz="4" w:space="0" w:color="auto"/>
              <w:left w:val="single" w:sz="4" w:space="0" w:color="auto"/>
              <w:bottom w:val="single" w:sz="4" w:space="0" w:color="auto"/>
              <w:right w:val="single" w:sz="4" w:space="0" w:color="auto"/>
            </w:tcBorders>
            <w:noWrap/>
            <w:vAlign w:val="center"/>
            <w:hideMark/>
          </w:tcPr>
          <w:p w14:paraId="321BEA14" w14:textId="77777777" w:rsidR="00B72ED7" w:rsidRPr="00B92969" w:rsidRDefault="00B72ED7" w:rsidP="00C42CD8">
            <w:pPr>
              <w:widowControl w:val="0"/>
              <w:jc w:val="both"/>
              <w:rPr>
                <w:i/>
                <w:iCs/>
                <w:sz w:val="24"/>
                <w:szCs w:val="24"/>
              </w:rPr>
            </w:pPr>
            <w:r w:rsidRPr="00B92969">
              <w:rPr>
                <w:i/>
                <w:iCs/>
                <w:sz w:val="24"/>
                <w:szCs w:val="24"/>
              </w:rPr>
              <w:t>Complejidad (20%)</w:t>
            </w:r>
          </w:p>
        </w:tc>
        <w:tc>
          <w:tcPr>
            <w:tcW w:w="4961" w:type="dxa"/>
            <w:tcBorders>
              <w:top w:val="single" w:sz="4" w:space="0" w:color="auto"/>
              <w:left w:val="single" w:sz="4" w:space="0" w:color="auto"/>
              <w:bottom w:val="single" w:sz="4" w:space="0" w:color="auto"/>
              <w:right w:val="single" w:sz="4" w:space="0" w:color="auto"/>
            </w:tcBorders>
            <w:noWrap/>
            <w:hideMark/>
          </w:tcPr>
          <w:p w14:paraId="73EFBC9B" w14:textId="77777777" w:rsidR="00B72ED7" w:rsidRPr="00B92969" w:rsidRDefault="00B72ED7" w:rsidP="00C42CD8">
            <w:pPr>
              <w:widowControl w:val="0"/>
              <w:tabs>
                <w:tab w:val="right" w:pos="4821"/>
              </w:tabs>
              <w:jc w:val="both"/>
              <w:rPr>
                <w:i/>
                <w:iCs/>
                <w:sz w:val="24"/>
                <w:szCs w:val="24"/>
              </w:rPr>
            </w:pPr>
            <w:r w:rsidRPr="00B92969">
              <w:rPr>
                <w:i/>
                <w:iCs/>
                <w:sz w:val="24"/>
                <w:szCs w:val="24"/>
              </w:rPr>
              <w:t>Presencia geográfica</w:t>
            </w:r>
            <w:r w:rsidRPr="00B92969">
              <w:rPr>
                <w:i/>
                <w:iCs/>
                <w:sz w:val="24"/>
                <w:szCs w:val="24"/>
              </w:rPr>
              <w:tab/>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F23811E" w14:textId="77777777" w:rsidR="00B72ED7" w:rsidRPr="00B92969" w:rsidRDefault="00B72ED7" w:rsidP="00C42CD8">
            <w:pPr>
              <w:widowControl w:val="0"/>
              <w:rPr>
                <w:i/>
                <w:iCs/>
                <w:sz w:val="24"/>
                <w:szCs w:val="24"/>
              </w:rPr>
            </w:pPr>
            <w:r w:rsidRPr="00B92969">
              <w:rPr>
                <w:i/>
                <w:iCs/>
                <w:sz w:val="24"/>
                <w:szCs w:val="24"/>
              </w:rPr>
              <w:t>4%</w:t>
            </w:r>
          </w:p>
        </w:tc>
      </w:tr>
      <w:tr w:rsidR="00B72ED7" w:rsidRPr="00B92969" w14:paraId="11EFB664" w14:textId="77777777" w:rsidTr="00C42CD8">
        <w:trPr>
          <w:trHeight w:val="300"/>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19F9F87A" w14:textId="77777777" w:rsidR="00B72ED7" w:rsidRPr="00B92969" w:rsidRDefault="00B72ED7" w:rsidP="00C42CD8">
            <w:pPr>
              <w:rPr>
                <w:i/>
                <w:iCs/>
                <w:sz w:val="24"/>
                <w:szCs w:val="24"/>
              </w:rPr>
            </w:pPr>
          </w:p>
        </w:tc>
        <w:tc>
          <w:tcPr>
            <w:tcW w:w="4961" w:type="dxa"/>
            <w:tcBorders>
              <w:top w:val="single" w:sz="4" w:space="0" w:color="auto"/>
              <w:left w:val="single" w:sz="4" w:space="0" w:color="auto"/>
              <w:bottom w:val="single" w:sz="4" w:space="0" w:color="auto"/>
              <w:right w:val="single" w:sz="4" w:space="0" w:color="auto"/>
            </w:tcBorders>
            <w:noWrap/>
            <w:hideMark/>
          </w:tcPr>
          <w:p w14:paraId="25BE0F74" w14:textId="77777777" w:rsidR="00B72ED7" w:rsidRPr="00B92969" w:rsidRDefault="00B72ED7" w:rsidP="00C42CD8">
            <w:pPr>
              <w:widowControl w:val="0"/>
              <w:jc w:val="both"/>
              <w:rPr>
                <w:i/>
                <w:iCs/>
                <w:sz w:val="24"/>
                <w:szCs w:val="24"/>
              </w:rPr>
            </w:pPr>
            <w:r w:rsidRPr="00B92969">
              <w:rPr>
                <w:i/>
                <w:iCs/>
                <w:sz w:val="24"/>
                <w:szCs w:val="24"/>
              </w:rPr>
              <w:t>Cantidad de operaciones de crédito</w:t>
            </w:r>
          </w:p>
        </w:tc>
        <w:tc>
          <w:tcPr>
            <w:tcW w:w="1134" w:type="dxa"/>
            <w:tcBorders>
              <w:top w:val="single" w:sz="4" w:space="0" w:color="auto"/>
              <w:left w:val="single" w:sz="4" w:space="0" w:color="auto"/>
              <w:bottom w:val="single" w:sz="4" w:space="0" w:color="auto"/>
              <w:right w:val="single" w:sz="4" w:space="0" w:color="auto"/>
            </w:tcBorders>
            <w:noWrap/>
            <w:hideMark/>
          </w:tcPr>
          <w:p w14:paraId="07639249" w14:textId="77777777" w:rsidR="00B72ED7" w:rsidRPr="00B92969" w:rsidRDefault="00B72ED7" w:rsidP="00C42CD8">
            <w:pPr>
              <w:widowControl w:val="0"/>
              <w:rPr>
                <w:i/>
                <w:iCs/>
                <w:sz w:val="24"/>
                <w:szCs w:val="24"/>
              </w:rPr>
            </w:pPr>
            <w:r w:rsidRPr="00B92969">
              <w:rPr>
                <w:i/>
                <w:iCs/>
                <w:sz w:val="24"/>
                <w:szCs w:val="24"/>
              </w:rPr>
              <w:t>4%</w:t>
            </w:r>
          </w:p>
        </w:tc>
      </w:tr>
      <w:tr w:rsidR="00B72ED7" w:rsidRPr="00B92969" w14:paraId="41C12E36" w14:textId="77777777" w:rsidTr="00C42CD8">
        <w:trPr>
          <w:trHeight w:val="300"/>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3434D2D3" w14:textId="77777777" w:rsidR="00B72ED7" w:rsidRPr="00B92969" w:rsidRDefault="00B72ED7" w:rsidP="00C42CD8">
            <w:pPr>
              <w:rPr>
                <w:i/>
                <w:iCs/>
                <w:sz w:val="24"/>
                <w:szCs w:val="24"/>
              </w:rPr>
            </w:pPr>
          </w:p>
        </w:tc>
        <w:tc>
          <w:tcPr>
            <w:tcW w:w="4961" w:type="dxa"/>
            <w:tcBorders>
              <w:top w:val="single" w:sz="4" w:space="0" w:color="auto"/>
              <w:left w:val="single" w:sz="4" w:space="0" w:color="auto"/>
              <w:bottom w:val="single" w:sz="4" w:space="0" w:color="auto"/>
              <w:right w:val="single" w:sz="4" w:space="0" w:color="auto"/>
            </w:tcBorders>
            <w:noWrap/>
            <w:hideMark/>
          </w:tcPr>
          <w:p w14:paraId="6988C0D7" w14:textId="77777777" w:rsidR="00B72ED7" w:rsidRPr="00B92969" w:rsidRDefault="00B72ED7" w:rsidP="00C42CD8">
            <w:pPr>
              <w:widowControl w:val="0"/>
              <w:jc w:val="both"/>
              <w:rPr>
                <w:i/>
                <w:iCs/>
                <w:sz w:val="24"/>
                <w:szCs w:val="24"/>
              </w:rPr>
            </w:pPr>
            <w:r w:rsidRPr="00B92969">
              <w:rPr>
                <w:i/>
                <w:iCs/>
                <w:sz w:val="24"/>
                <w:szCs w:val="24"/>
              </w:rPr>
              <w:t>Cantidad de operaciones de depósito</w:t>
            </w:r>
          </w:p>
        </w:tc>
        <w:tc>
          <w:tcPr>
            <w:tcW w:w="1134" w:type="dxa"/>
            <w:tcBorders>
              <w:top w:val="single" w:sz="4" w:space="0" w:color="auto"/>
              <w:left w:val="single" w:sz="4" w:space="0" w:color="auto"/>
              <w:bottom w:val="single" w:sz="4" w:space="0" w:color="auto"/>
              <w:right w:val="single" w:sz="4" w:space="0" w:color="auto"/>
            </w:tcBorders>
            <w:noWrap/>
            <w:hideMark/>
          </w:tcPr>
          <w:p w14:paraId="3E5AF04A" w14:textId="77777777" w:rsidR="00B72ED7" w:rsidRPr="00B92969" w:rsidRDefault="00B72ED7" w:rsidP="00C42CD8">
            <w:pPr>
              <w:widowControl w:val="0"/>
              <w:rPr>
                <w:i/>
                <w:iCs/>
                <w:sz w:val="24"/>
                <w:szCs w:val="24"/>
              </w:rPr>
            </w:pPr>
            <w:r w:rsidRPr="00B92969">
              <w:rPr>
                <w:i/>
                <w:iCs/>
                <w:sz w:val="24"/>
                <w:szCs w:val="24"/>
              </w:rPr>
              <w:t>4%</w:t>
            </w:r>
          </w:p>
        </w:tc>
      </w:tr>
      <w:tr w:rsidR="00B72ED7" w:rsidRPr="00B92969" w14:paraId="77E1E326" w14:textId="77777777" w:rsidTr="00C42CD8">
        <w:trPr>
          <w:trHeight w:val="300"/>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2B16939A" w14:textId="77777777" w:rsidR="00B72ED7" w:rsidRPr="00B92969" w:rsidRDefault="00B72ED7" w:rsidP="00C42CD8">
            <w:pPr>
              <w:rPr>
                <w:i/>
                <w:iCs/>
                <w:sz w:val="24"/>
                <w:szCs w:val="24"/>
              </w:rPr>
            </w:pPr>
          </w:p>
        </w:tc>
        <w:tc>
          <w:tcPr>
            <w:tcW w:w="4961" w:type="dxa"/>
            <w:tcBorders>
              <w:top w:val="single" w:sz="4" w:space="0" w:color="auto"/>
              <w:left w:val="single" w:sz="4" w:space="0" w:color="auto"/>
              <w:bottom w:val="single" w:sz="4" w:space="0" w:color="auto"/>
              <w:right w:val="single" w:sz="4" w:space="0" w:color="auto"/>
            </w:tcBorders>
            <w:noWrap/>
            <w:hideMark/>
          </w:tcPr>
          <w:p w14:paraId="1C294773" w14:textId="77777777" w:rsidR="00B72ED7" w:rsidRPr="00B92969" w:rsidRDefault="00B72ED7" w:rsidP="00C42CD8">
            <w:pPr>
              <w:widowControl w:val="0"/>
              <w:jc w:val="both"/>
              <w:rPr>
                <w:i/>
                <w:iCs/>
                <w:sz w:val="24"/>
                <w:szCs w:val="24"/>
              </w:rPr>
            </w:pPr>
            <w:r w:rsidRPr="00B92969">
              <w:rPr>
                <w:i/>
                <w:iCs/>
                <w:sz w:val="24"/>
                <w:szCs w:val="24"/>
              </w:rPr>
              <w:t>Derivados</w:t>
            </w:r>
          </w:p>
        </w:tc>
        <w:tc>
          <w:tcPr>
            <w:tcW w:w="1134" w:type="dxa"/>
            <w:tcBorders>
              <w:top w:val="single" w:sz="4" w:space="0" w:color="auto"/>
              <w:left w:val="single" w:sz="4" w:space="0" w:color="auto"/>
              <w:bottom w:val="single" w:sz="4" w:space="0" w:color="auto"/>
              <w:right w:val="single" w:sz="4" w:space="0" w:color="auto"/>
            </w:tcBorders>
            <w:noWrap/>
            <w:hideMark/>
          </w:tcPr>
          <w:p w14:paraId="76A6CBB5" w14:textId="77777777" w:rsidR="00B72ED7" w:rsidRPr="00B92969" w:rsidRDefault="00B72ED7" w:rsidP="00C42CD8">
            <w:pPr>
              <w:widowControl w:val="0"/>
              <w:rPr>
                <w:i/>
                <w:iCs/>
                <w:sz w:val="24"/>
                <w:szCs w:val="24"/>
              </w:rPr>
            </w:pPr>
            <w:r w:rsidRPr="00B92969">
              <w:rPr>
                <w:i/>
                <w:iCs/>
                <w:sz w:val="24"/>
                <w:szCs w:val="24"/>
              </w:rPr>
              <w:t>4%</w:t>
            </w:r>
          </w:p>
        </w:tc>
      </w:tr>
      <w:tr w:rsidR="00B72ED7" w:rsidRPr="00B92969" w14:paraId="1651BEA1" w14:textId="77777777" w:rsidTr="00C42CD8">
        <w:trPr>
          <w:trHeight w:val="300"/>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2FD42782" w14:textId="77777777" w:rsidR="00B72ED7" w:rsidRPr="00B92969" w:rsidRDefault="00B72ED7" w:rsidP="00C42CD8">
            <w:pPr>
              <w:rPr>
                <w:i/>
                <w:iCs/>
                <w:sz w:val="24"/>
                <w:szCs w:val="24"/>
              </w:rPr>
            </w:pPr>
          </w:p>
        </w:tc>
        <w:tc>
          <w:tcPr>
            <w:tcW w:w="4961" w:type="dxa"/>
            <w:tcBorders>
              <w:top w:val="single" w:sz="4" w:space="0" w:color="auto"/>
              <w:left w:val="single" w:sz="4" w:space="0" w:color="auto"/>
              <w:bottom w:val="single" w:sz="4" w:space="0" w:color="auto"/>
              <w:right w:val="single" w:sz="4" w:space="0" w:color="auto"/>
            </w:tcBorders>
            <w:noWrap/>
            <w:hideMark/>
          </w:tcPr>
          <w:p w14:paraId="78FC860F" w14:textId="77777777" w:rsidR="00B72ED7" w:rsidRPr="00B92969" w:rsidRDefault="00B72ED7" w:rsidP="00C42CD8">
            <w:pPr>
              <w:widowControl w:val="0"/>
              <w:jc w:val="both"/>
              <w:rPr>
                <w:i/>
                <w:iCs/>
                <w:sz w:val="24"/>
                <w:szCs w:val="24"/>
              </w:rPr>
            </w:pPr>
            <w:r w:rsidRPr="00B92969">
              <w:rPr>
                <w:i/>
                <w:iCs/>
                <w:sz w:val="24"/>
                <w:szCs w:val="24"/>
              </w:rPr>
              <w:t>Valor de activos mantenidos con fines de negociación y disponibles para su venta</w:t>
            </w:r>
          </w:p>
        </w:tc>
        <w:tc>
          <w:tcPr>
            <w:tcW w:w="1134" w:type="dxa"/>
            <w:tcBorders>
              <w:top w:val="single" w:sz="4" w:space="0" w:color="auto"/>
              <w:left w:val="single" w:sz="4" w:space="0" w:color="auto"/>
              <w:bottom w:val="single" w:sz="4" w:space="0" w:color="auto"/>
              <w:right w:val="single" w:sz="4" w:space="0" w:color="auto"/>
            </w:tcBorders>
            <w:noWrap/>
            <w:hideMark/>
          </w:tcPr>
          <w:p w14:paraId="0AAFD381" w14:textId="77777777" w:rsidR="00B72ED7" w:rsidRPr="00B92969" w:rsidRDefault="00B72ED7" w:rsidP="00C42CD8">
            <w:pPr>
              <w:widowControl w:val="0"/>
              <w:rPr>
                <w:i/>
                <w:iCs/>
                <w:sz w:val="24"/>
                <w:szCs w:val="24"/>
              </w:rPr>
            </w:pPr>
            <w:r w:rsidRPr="00B92969">
              <w:rPr>
                <w:i/>
                <w:iCs/>
                <w:sz w:val="24"/>
                <w:szCs w:val="24"/>
              </w:rPr>
              <w:t>4%</w:t>
            </w:r>
          </w:p>
        </w:tc>
      </w:tr>
      <w:tr w:rsidR="00B72ED7" w:rsidRPr="00B92969" w14:paraId="3D1C1500" w14:textId="77777777" w:rsidTr="00C42CD8">
        <w:trPr>
          <w:trHeight w:val="300"/>
          <w:jc w:val="center"/>
        </w:trPr>
        <w:tc>
          <w:tcPr>
            <w:tcW w:w="1980" w:type="dxa"/>
            <w:vMerge w:val="restart"/>
            <w:tcBorders>
              <w:top w:val="single" w:sz="4" w:space="0" w:color="auto"/>
              <w:left w:val="single" w:sz="4" w:space="0" w:color="auto"/>
              <w:bottom w:val="single" w:sz="4" w:space="0" w:color="auto"/>
              <w:right w:val="single" w:sz="4" w:space="0" w:color="auto"/>
            </w:tcBorders>
            <w:noWrap/>
            <w:vAlign w:val="center"/>
            <w:hideMark/>
          </w:tcPr>
          <w:p w14:paraId="590AD3E5" w14:textId="77777777" w:rsidR="00B72ED7" w:rsidRPr="00B92969" w:rsidRDefault="00B72ED7" w:rsidP="00C42CD8">
            <w:pPr>
              <w:widowControl w:val="0"/>
              <w:rPr>
                <w:i/>
                <w:iCs/>
                <w:sz w:val="24"/>
                <w:szCs w:val="24"/>
              </w:rPr>
            </w:pPr>
            <w:r w:rsidRPr="00B92969">
              <w:rPr>
                <w:i/>
                <w:iCs/>
                <w:sz w:val="24"/>
                <w:szCs w:val="24"/>
              </w:rPr>
              <w:t xml:space="preserve">Grado de </w:t>
            </w:r>
            <w:r w:rsidRPr="00B92969">
              <w:rPr>
                <w:i/>
                <w:iCs/>
                <w:sz w:val="24"/>
                <w:szCs w:val="24"/>
              </w:rPr>
              <w:lastRenderedPageBreak/>
              <w:t>sustitución (20%)</w:t>
            </w:r>
          </w:p>
        </w:tc>
        <w:tc>
          <w:tcPr>
            <w:tcW w:w="4961" w:type="dxa"/>
            <w:tcBorders>
              <w:top w:val="single" w:sz="4" w:space="0" w:color="auto"/>
              <w:left w:val="single" w:sz="4" w:space="0" w:color="auto"/>
              <w:bottom w:val="single" w:sz="4" w:space="0" w:color="auto"/>
              <w:right w:val="single" w:sz="4" w:space="0" w:color="auto"/>
            </w:tcBorders>
            <w:noWrap/>
            <w:hideMark/>
          </w:tcPr>
          <w:p w14:paraId="0F6FD4E2" w14:textId="77777777" w:rsidR="00B72ED7" w:rsidRPr="00B92969" w:rsidRDefault="00B72ED7" w:rsidP="00C42CD8">
            <w:pPr>
              <w:widowControl w:val="0"/>
              <w:jc w:val="both"/>
              <w:rPr>
                <w:i/>
                <w:iCs/>
                <w:sz w:val="24"/>
                <w:szCs w:val="24"/>
              </w:rPr>
            </w:pPr>
            <w:r w:rsidRPr="00B92969">
              <w:rPr>
                <w:i/>
                <w:iCs/>
                <w:sz w:val="24"/>
                <w:szCs w:val="24"/>
              </w:rPr>
              <w:lastRenderedPageBreak/>
              <w:t xml:space="preserve">Suplidor neto de liquidez en </w:t>
            </w:r>
            <w:proofErr w:type="gramStart"/>
            <w:r w:rsidRPr="00B92969">
              <w:rPr>
                <w:i/>
                <w:iCs/>
                <w:sz w:val="24"/>
                <w:szCs w:val="24"/>
              </w:rPr>
              <w:t>MIL(</w:t>
            </w:r>
            <w:proofErr w:type="gramEnd"/>
            <w:r w:rsidRPr="00B92969">
              <w:rPr>
                <w:i/>
                <w:iCs/>
                <w:sz w:val="24"/>
                <w:szCs w:val="24"/>
              </w:rPr>
              <w:t>colones)</w:t>
            </w:r>
          </w:p>
        </w:tc>
        <w:tc>
          <w:tcPr>
            <w:tcW w:w="1134" w:type="dxa"/>
            <w:tcBorders>
              <w:top w:val="single" w:sz="4" w:space="0" w:color="auto"/>
              <w:left w:val="single" w:sz="4" w:space="0" w:color="auto"/>
              <w:bottom w:val="single" w:sz="4" w:space="0" w:color="auto"/>
              <w:right w:val="single" w:sz="4" w:space="0" w:color="auto"/>
            </w:tcBorders>
            <w:noWrap/>
            <w:hideMark/>
          </w:tcPr>
          <w:p w14:paraId="504689AA" w14:textId="77777777" w:rsidR="00B72ED7" w:rsidRPr="00B92969" w:rsidRDefault="00B72ED7" w:rsidP="00C42CD8">
            <w:pPr>
              <w:widowControl w:val="0"/>
              <w:rPr>
                <w:i/>
                <w:iCs/>
                <w:sz w:val="24"/>
                <w:szCs w:val="24"/>
              </w:rPr>
            </w:pPr>
            <w:r w:rsidRPr="00B92969">
              <w:rPr>
                <w:i/>
                <w:iCs/>
                <w:sz w:val="24"/>
                <w:szCs w:val="24"/>
              </w:rPr>
              <w:t>4%</w:t>
            </w:r>
          </w:p>
        </w:tc>
      </w:tr>
      <w:tr w:rsidR="00B72ED7" w:rsidRPr="00B92969" w14:paraId="4BA470C4" w14:textId="77777777" w:rsidTr="00C42CD8">
        <w:trPr>
          <w:trHeight w:val="300"/>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795E7D75" w14:textId="77777777" w:rsidR="00B72ED7" w:rsidRPr="00B92969" w:rsidRDefault="00B72ED7" w:rsidP="00C42CD8">
            <w:pPr>
              <w:rPr>
                <w:i/>
                <w:iCs/>
                <w:sz w:val="24"/>
                <w:szCs w:val="24"/>
              </w:rPr>
            </w:pPr>
          </w:p>
        </w:tc>
        <w:tc>
          <w:tcPr>
            <w:tcW w:w="4961" w:type="dxa"/>
            <w:tcBorders>
              <w:top w:val="single" w:sz="4" w:space="0" w:color="auto"/>
              <w:left w:val="single" w:sz="4" w:space="0" w:color="auto"/>
              <w:bottom w:val="single" w:sz="4" w:space="0" w:color="auto"/>
              <w:right w:val="single" w:sz="4" w:space="0" w:color="auto"/>
            </w:tcBorders>
            <w:noWrap/>
            <w:hideMark/>
          </w:tcPr>
          <w:p w14:paraId="38FFF740" w14:textId="77777777" w:rsidR="00B72ED7" w:rsidRPr="00B92969" w:rsidRDefault="00B72ED7" w:rsidP="00C42CD8">
            <w:pPr>
              <w:widowControl w:val="0"/>
              <w:jc w:val="both"/>
              <w:rPr>
                <w:i/>
                <w:iCs/>
                <w:sz w:val="24"/>
                <w:szCs w:val="24"/>
              </w:rPr>
            </w:pPr>
            <w:r w:rsidRPr="00B92969">
              <w:rPr>
                <w:i/>
                <w:iCs/>
                <w:sz w:val="24"/>
                <w:szCs w:val="24"/>
              </w:rPr>
              <w:t xml:space="preserve">Suplidor neto de liquidez en </w:t>
            </w:r>
            <w:proofErr w:type="gramStart"/>
            <w:r w:rsidRPr="00B92969">
              <w:rPr>
                <w:i/>
                <w:iCs/>
                <w:sz w:val="24"/>
                <w:szCs w:val="24"/>
              </w:rPr>
              <w:t>MIL(</w:t>
            </w:r>
            <w:proofErr w:type="gramEnd"/>
            <w:r w:rsidRPr="00B92969">
              <w:rPr>
                <w:i/>
                <w:iCs/>
                <w:sz w:val="24"/>
                <w:szCs w:val="24"/>
              </w:rPr>
              <w:t>dólares)</w:t>
            </w:r>
          </w:p>
        </w:tc>
        <w:tc>
          <w:tcPr>
            <w:tcW w:w="1134" w:type="dxa"/>
            <w:tcBorders>
              <w:top w:val="single" w:sz="4" w:space="0" w:color="auto"/>
              <w:left w:val="single" w:sz="4" w:space="0" w:color="auto"/>
              <w:bottom w:val="single" w:sz="4" w:space="0" w:color="auto"/>
              <w:right w:val="single" w:sz="4" w:space="0" w:color="auto"/>
            </w:tcBorders>
            <w:noWrap/>
            <w:hideMark/>
          </w:tcPr>
          <w:p w14:paraId="4EBD34EE" w14:textId="77777777" w:rsidR="00B72ED7" w:rsidRPr="00B92969" w:rsidRDefault="00B72ED7" w:rsidP="00C42CD8">
            <w:pPr>
              <w:widowControl w:val="0"/>
              <w:rPr>
                <w:i/>
                <w:iCs/>
                <w:sz w:val="24"/>
                <w:szCs w:val="24"/>
              </w:rPr>
            </w:pPr>
            <w:r w:rsidRPr="00B92969">
              <w:rPr>
                <w:i/>
                <w:iCs/>
                <w:sz w:val="24"/>
                <w:szCs w:val="24"/>
              </w:rPr>
              <w:t>4%</w:t>
            </w:r>
          </w:p>
        </w:tc>
      </w:tr>
      <w:tr w:rsidR="00B72ED7" w:rsidRPr="00B92969" w14:paraId="5CA940FF" w14:textId="77777777" w:rsidTr="00C42CD8">
        <w:trPr>
          <w:trHeight w:val="300"/>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7E86F507" w14:textId="77777777" w:rsidR="00B72ED7" w:rsidRPr="00B92969" w:rsidRDefault="00B72ED7" w:rsidP="00C42CD8">
            <w:pPr>
              <w:rPr>
                <w:i/>
                <w:iCs/>
                <w:sz w:val="24"/>
                <w:szCs w:val="24"/>
              </w:rPr>
            </w:pPr>
          </w:p>
        </w:tc>
        <w:tc>
          <w:tcPr>
            <w:tcW w:w="4961" w:type="dxa"/>
            <w:tcBorders>
              <w:top w:val="single" w:sz="4" w:space="0" w:color="auto"/>
              <w:left w:val="single" w:sz="4" w:space="0" w:color="auto"/>
              <w:bottom w:val="single" w:sz="4" w:space="0" w:color="auto"/>
              <w:right w:val="single" w:sz="4" w:space="0" w:color="auto"/>
            </w:tcBorders>
            <w:noWrap/>
            <w:hideMark/>
          </w:tcPr>
          <w:p w14:paraId="1A7307FA" w14:textId="77777777" w:rsidR="00B72ED7" w:rsidRPr="00B92969" w:rsidRDefault="00B72ED7" w:rsidP="00C42CD8">
            <w:pPr>
              <w:widowControl w:val="0"/>
              <w:jc w:val="both"/>
              <w:rPr>
                <w:i/>
                <w:iCs/>
                <w:sz w:val="24"/>
                <w:szCs w:val="24"/>
              </w:rPr>
            </w:pPr>
            <w:r w:rsidRPr="00B92969">
              <w:rPr>
                <w:i/>
                <w:iCs/>
                <w:sz w:val="24"/>
                <w:szCs w:val="24"/>
              </w:rPr>
              <w:t>Actividad de custodia</w:t>
            </w:r>
          </w:p>
        </w:tc>
        <w:tc>
          <w:tcPr>
            <w:tcW w:w="1134" w:type="dxa"/>
            <w:tcBorders>
              <w:top w:val="single" w:sz="4" w:space="0" w:color="auto"/>
              <w:left w:val="single" w:sz="4" w:space="0" w:color="auto"/>
              <w:bottom w:val="single" w:sz="4" w:space="0" w:color="auto"/>
              <w:right w:val="single" w:sz="4" w:space="0" w:color="auto"/>
            </w:tcBorders>
            <w:noWrap/>
            <w:hideMark/>
          </w:tcPr>
          <w:p w14:paraId="4A05D42B" w14:textId="77777777" w:rsidR="00B72ED7" w:rsidRPr="00B92969" w:rsidRDefault="00B72ED7" w:rsidP="00C42CD8">
            <w:pPr>
              <w:widowControl w:val="0"/>
              <w:rPr>
                <w:i/>
                <w:iCs/>
                <w:sz w:val="24"/>
                <w:szCs w:val="24"/>
              </w:rPr>
            </w:pPr>
            <w:r w:rsidRPr="00B92969">
              <w:rPr>
                <w:i/>
                <w:iCs/>
                <w:sz w:val="24"/>
                <w:szCs w:val="24"/>
              </w:rPr>
              <w:t>4%</w:t>
            </w:r>
          </w:p>
        </w:tc>
      </w:tr>
      <w:tr w:rsidR="00B72ED7" w:rsidRPr="00B92969" w14:paraId="200449D2" w14:textId="77777777" w:rsidTr="00C42CD8">
        <w:trPr>
          <w:trHeight w:val="300"/>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642F6C7F" w14:textId="77777777" w:rsidR="00B72ED7" w:rsidRPr="00B92969" w:rsidRDefault="00B72ED7" w:rsidP="00C42CD8">
            <w:pPr>
              <w:rPr>
                <w:i/>
                <w:iCs/>
                <w:sz w:val="24"/>
                <w:szCs w:val="24"/>
              </w:rPr>
            </w:pPr>
          </w:p>
        </w:tc>
        <w:tc>
          <w:tcPr>
            <w:tcW w:w="4961" w:type="dxa"/>
            <w:tcBorders>
              <w:top w:val="single" w:sz="4" w:space="0" w:color="auto"/>
              <w:left w:val="single" w:sz="4" w:space="0" w:color="auto"/>
              <w:bottom w:val="single" w:sz="4" w:space="0" w:color="auto"/>
              <w:right w:val="single" w:sz="4" w:space="0" w:color="auto"/>
            </w:tcBorders>
            <w:noWrap/>
            <w:hideMark/>
          </w:tcPr>
          <w:p w14:paraId="0A6239A1" w14:textId="77777777" w:rsidR="00B72ED7" w:rsidRPr="00B92969" w:rsidRDefault="00B72ED7" w:rsidP="00C42CD8">
            <w:pPr>
              <w:widowControl w:val="0"/>
              <w:jc w:val="both"/>
              <w:rPr>
                <w:i/>
                <w:iCs/>
                <w:sz w:val="24"/>
                <w:szCs w:val="24"/>
              </w:rPr>
            </w:pPr>
            <w:r w:rsidRPr="00B92969">
              <w:rPr>
                <w:i/>
                <w:iCs/>
                <w:sz w:val="24"/>
                <w:szCs w:val="24"/>
              </w:rPr>
              <w:t>Participación en SINPE (monto)</w:t>
            </w:r>
          </w:p>
        </w:tc>
        <w:tc>
          <w:tcPr>
            <w:tcW w:w="1134" w:type="dxa"/>
            <w:tcBorders>
              <w:top w:val="single" w:sz="4" w:space="0" w:color="auto"/>
              <w:left w:val="single" w:sz="4" w:space="0" w:color="auto"/>
              <w:bottom w:val="single" w:sz="4" w:space="0" w:color="auto"/>
              <w:right w:val="single" w:sz="4" w:space="0" w:color="auto"/>
            </w:tcBorders>
            <w:noWrap/>
            <w:hideMark/>
          </w:tcPr>
          <w:p w14:paraId="754981C5" w14:textId="77777777" w:rsidR="00B72ED7" w:rsidRPr="00B92969" w:rsidRDefault="00B72ED7" w:rsidP="00C42CD8">
            <w:pPr>
              <w:widowControl w:val="0"/>
              <w:rPr>
                <w:i/>
                <w:iCs/>
                <w:sz w:val="24"/>
                <w:szCs w:val="24"/>
              </w:rPr>
            </w:pPr>
            <w:r w:rsidRPr="00B92969">
              <w:rPr>
                <w:i/>
                <w:iCs/>
                <w:sz w:val="24"/>
                <w:szCs w:val="24"/>
              </w:rPr>
              <w:t>4%</w:t>
            </w:r>
          </w:p>
        </w:tc>
      </w:tr>
      <w:tr w:rsidR="00B72ED7" w:rsidRPr="00B92969" w14:paraId="2226AF10" w14:textId="77777777" w:rsidTr="00C42CD8">
        <w:trPr>
          <w:trHeight w:val="300"/>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5F90BC74" w14:textId="77777777" w:rsidR="00B72ED7" w:rsidRPr="00B92969" w:rsidRDefault="00B72ED7" w:rsidP="00C42CD8">
            <w:pPr>
              <w:rPr>
                <w:i/>
                <w:iCs/>
                <w:sz w:val="24"/>
                <w:szCs w:val="24"/>
              </w:rPr>
            </w:pPr>
          </w:p>
        </w:tc>
        <w:tc>
          <w:tcPr>
            <w:tcW w:w="4961" w:type="dxa"/>
            <w:tcBorders>
              <w:top w:val="single" w:sz="4" w:space="0" w:color="auto"/>
              <w:left w:val="single" w:sz="4" w:space="0" w:color="auto"/>
              <w:bottom w:val="single" w:sz="4" w:space="0" w:color="auto"/>
              <w:right w:val="single" w:sz="4" w:space="0" w:color="auto"/>
            </w:tcBorders>
            <w:noWrap/>
            <w:hideMark/>
          </w:tcPr>
          <w:p w14:paraId="4E9A8CB3" w14:textId="77777777" w:rsidR="00B72ED7" w:rsidRPr="00B92969" w:rsidRDefault="00B72ED7" w:rsidP="00C42CD8">
            <w:pPr>
              <w:widowControl w:val="0"/>
              <w:jc w:val="both"/>
              <w:rPr>
                <w:i/>
                <w:iCs/>
                <w:sz w:val="24"/>
                <w:szCs w:val="24"/>
              </w:rPr>
            </w:pPr>
            <w:r w:rsidRPr="00B92969">
              <w:rPr>
                <w:i/>
                <w:iCs/>
                <w:sz w:val="24"/>
                <w:szCs w:val="24"/>
              </w:rPr>
              <w:t>Participación en SINPE (operaciones)</w:t>
            </w:r>
          </w:p>
        </w:tc>
        <w:tc>
          <w:tcPr>
            <w:tcW w:w="1134" w:type="dxa"/>
            <w:tcBorders>
              <w:top w:val="single" w:sz="4" w:space="0" w:color="auto"/>
              <w:left w:val="single" w:sz="4" w:space="0" w:color="auto"/>
              <w:bottom w:val="single" w:sz="4" w:space="0" w:color="auto"/>
              <w:right w:val="single" w:sz="4" w:space="0" w:color="auto"/>
            </w:tcBorders>
            <w:noWrap/>
            <w:hideMark/>
          </w:tcPr>
          <w:p w14:paraId="1A1491B6" w14:textId="77777777" w:rsidR="00B72ED7" w:rsidRPr="00B92969" w:rsidRDefault="00B72ED7" w:rsidP="00C42CD8">
            <w:pPr>
              <w:widowControl w:val="0"/>
              <w:rPr>
                <w:i/>
                <w:iCs/>
                <w:sz w:val="24"/>
                <w:szCs w:val="24"/>
              </w:rPr>
            </w:pPr>
            <w:r w:rsidRPr="00B92969">
              <w:rPr>
                <w:i/>
                <w:iCs/>
                <w:sz w:val="24"/>
                <w:szCs w:val="24"/>
              </w:rPr>
              <w:t>4%</w:t>
            </w:r>
          </w:p>
        </w:tc>
      </w:tr>
      <w:tr w:rsidR="00B72ED7" w:rsidRPr="00B92969" w14:paraId="5AE8897D" w14:textId="77777777" w:rsidTr="00C42CD8">
        <w:trPr>
          <w:trHeight w:val="300"/>
          <w:jc w:val="center"/>
        </w:trPr>
        <w:tc>
          <w:tcPr>
            <w:tcW w:w="1980" w:type="dxa"/>
            <w:tcBorders>
              <w:top w:val="single" w:sz="4" w:space="0" w:color="auto"/>
              <w:left w:val="single" w:sz="4" w:space="0" w:color="auto"/>
              <w:bottom w:val="single" w:sz="4" w:space="0" w:color="auto"/>
              <w:right w:val="single" w:sz="4" w:space="0" w:color="auto"/>
            </w:tcBorders>
            <w:noWrap/>
            <w:hideMark/>
          </w:tcPr>
          <w:p w14:paraId="4116B847" w14:textId="77777777" w:rsidR="00B72ED7" w:rsidRPr="00B92969" w:rsidRDefault="00B72ED7" w:rsidP="00C42CD8">
            <w:pPr>
              <w:rPr>
                <w:i/>
                <w:iCs/>
                <w:sz w:val="24"/>
                <w:szCs w:val="24"/>
              </w:rPr>
            </w:pPr>
          </w:p>
        </w:tc>
        <w:tc>
          <w:tcPr>
            <w:tcW w:w="4961" w:type="dxa"/>
            <w:tcBorders>
              <w:top w:val="single" w:sz="4" w:space="0" w:color="auto"/>
              <w:left w:val="single" w:sz="4" w:space="0" w:color="auto"/>
              <w:bottom w:val="single" w:sz="4" w:space="0" w:color="auto"/>
              <w:right w:val="single" w:sz="4" w:space="0" w:color="auto"/>
            </w:tcBorders>
            <w:noWrap/>
            <w:hideMark/>
          </w:tcPr>
          <w:p w14:paraId="1FA84FDD" w14:textId="77777777" w:rsidR="00B72ED7" w:rsidRPr="00B92969" w:rsidRDefault="00B72ED7" w:rsidP="00C42CD8">
            <w:pPr>
              <w:rPr>
                <w:rFonts w:eastAsia="Calibri"/>
                <w:sz w:val="24"/>
                <w:szCs w:val="24"/>
                <w:lang w:eastAsia="es-CR"/>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70CA37C" w14:textId="77777777" w:rsidR="00B72ED7" w:rsidRPr="00B92969" w:rsidRDefault="00B72ED7" w:rsidP="00C42CD8">
            <w:pPr>
              <w:widowControl w:val="0"/>
              <w:rPr>
                <w:i/>
                <w:iCs/>
                <w:sz w:val="24"/>
                <w:szCs w:val="24"/>
              </w:rPr>
            </w:pPr>
            <w:r w:rsidRPr="00B92969">
              <w:rPr>
                <w:i/>
                <w:iCs/>
                <w:sz w:val="24"/>
                <w:szCs w:val="24"/>
              </w:rPr>
              <w:t>100,0%</w:t>
            </w:r>
          </w:p>
        </w:tc>
      </w:tr>
      <w:bookmarkEnd w:id="20"/>
    </w:tbl>
    <w:p w14:paraId="25EF5827" w14:textId="77777777" w:rsidR="00B72ED7" w:rsidRPr="00B92969" w:rsidRDefault="00B72ED7" w:rsidP="00B72ED7">
      <w:pPr>
        <w:tabs>
          <w:tab w:val="left" w:pos="5188"/>
        </w:tabs>
        <w:jc w:val="both"/>
        <w:rPr>
          <w:i/>
          <w:iCs/>
          <w:sz w:val="24"/>
          <w:szCs w:val="24"/>
        </w:rPr>
      </w:pPr>
    </w:p>
    <w:p w14:paraId="6A159E8A" w14:textId="77777777" w:rsidR="00B72ED7" w:rsidRPr="00B92969" w:rsidRDefault="00B72ED7" w:rsidP="00B72ED7">
      <w:pPr>
        <w:pStyle w:val="Ttulo3"/>
        <w:rPr>
          <w:b w:val="0"/>
          <w:bCs w:val="0"/>
          <w:i/>
          <w:iCs/>
          <w:szCs w:val="24"/>
        </w:rPr>
      </w:pPr>
      <w:bookmarkStart w:id="21" w:name="_Toc128042087"/>
      <w:r w:rsidRPr="00B92969">
        <w:rPr>
          <w:i/>
          <w:iCs/>
          <w:szCs w:val="24"/>
        </w:rPr>
        <w:t>Artículo 6. Determinación de la condición de entidad de importancia sistémica</w:t>
      </w:r>
      <w:bookmarkEnd w:id="21"/>
    </w:p>
    <w:p w14:paraId="5A70142F" w14:textId="77777777" w:rsidR="00B72ED7" w:rsidRPr="00B92969" w:rsidRDefault="00B72ED7" w:rsidP="00B72ED7">
      <w:pPr>
        <w:jc w:val="both"/>
        <w:rPr>
          <w:i/>
          <w:iCs/>
          <w:sz w:val="24"/>
          <w:szCs w:val="24"/>
        </w:rPr>
      </w:pPr>
      <w:bookmarkStart w:id="22" w:name="_Hlk102479517"/>
      <w:r w:rsidRPr="00B92969">
        <w:rPr>
          <w:i/>
          <w:iCs/>
          <w:sz w:val="24"/>
          <w:szCs w:val="24"/>
        </w:rPr>
        <w:t xml:space="preserve">La condición de entidad de importancia sistémica será determinada por la SUGEF mediante la aplicación de la metodología de puntaje dispuesta en este reglamento. </w:t>
      </w:r>
    </w:p>
    <w:p w14:paraId="18C3392D" w14:textId="77777777" w:rsidR="00B72ED7" w:rsidRPr="00B92969" w:rsidRDefault="00B72ED7" w:rsidP="00B72ED7">
      <w:pPr>
        <w:jc w:val="both"/>
        <w:rPr>
          <w:i/>
          <w:iCs/>
          <w:sz w:val="24"/>
          <w:szCs w:val="24"/>
        </w:rPr>
      </w:pPr>
    </w:p>
    <w:p w14:paraId="14752E9E" w14:textId="77777777" w:rsidR="00B72ED7" w:rsidRPr="00B92969" w:rsidRDefault="00B72ED7" w:rsidP="00B72ED7">
      <w:pPr>
        <w:jc w:val="both"/>
        <w:rPr>
          <w:i/>
          <w:iCs/>
          <w:sz w:val="24"/>
          <w:szCs w:val="24"/>
        </w:rPr>
      </w:pPr>
      <w:r w:rsidRPr="00B92969">
        <w:rPr>
          <w:i/>
          <w:iCs/>
          <w:sz w:val="24"/>
          <w:szCs w:val="24"/>
        </w:rPr>
        <w:t xml:space="preserve">La categoría de importancia sistémica estará determinada por el puntaje obtenido por la entidad en el índice de importancia sistémica y su ubicación en los rangos </w:t>
      </w:r>
      <w:bookmarkEnd w:id="22"/>
      <w:r w:rsidRPr="00B92969">
        <w:rPr>
          <w:i/>
          <w:iCs/>
          <w:sz w:val="24"/>
          <w:szCs w:val="24"/>
        </w:rPr>
        <w:t>que se indican a continuación:</w:t>
      </w:r>
    </w:p>
    <w:p w14:paraId="6E8A30DF" w14:textId="77777777" w:rsidR="00B72ED7" w:rsidRPr="00B92969" w:rsidRDefault="00B72ED7" w:rsidP="00B72ED7">
      <w:pPr>
        <w:jc w:val="both"/>
        <w:rPr>
          <w:i/>
          <w:iCs/>
          <w:sz w:val="24"/>
          <w:szCs w:val="24"/>
        </w:rPr>
      </w:pPr>
    </w:p>
    <w:tbl>
      <w:tblPr>
        <w:tblW w:w="7935" w:type="dxa"/>
        <w:jc w:val="center"/>
        <w:tblLayout w:type="fixed"/>
        <w:tblCellMar>
          <w:left w:w="0" w:type="dxa"/>
          <w:right w:w="0" w:type="dxa"/>
        </w:tblCellMar>
        <w:tblLook w:val="04A0" w:firstRow="1" w:lastRow="0" w:firstColumn="1" w:lastColumn="0" w:noHBand="0" w:noVBand="1"/>
      </w:tblPr>
      <w:tblGrid>
        <w:gridCol w:w="3965"/>
        <w:gridCol w:w="3970"/>
      </w:tblGrid>
      <w:tr w:rsidR="00B72ED7" w:rsidRPr="00B92969" w14:paraId="33D24435" w14:textId="77777777" w:rsidTr="00C42CD8">
        <w:trPr>
          <w:jc w:val="center"/>
        </w:trPr>
        <w:tc>
          <w:tcPr>
            <w:tcW w:w="3965" w:type="dxa"/>
            <w:tcBorders>
              <w:top w:val="single" w:sz="4" w:space="0" w:color="auto"/>
              <w:left w:val="single" w:sz="4" w:space="0" w:color="auto"/>
              <w:bottom w:val="single" w:sz="4" w:space="0" w:color="auto"/>
              <w:right w:val="single" w:sz="4" w:space="0" w:color="auto"/>
            </w:tcBorders>
            <w:shd w:val="clear" w:color="auto" w:fill="1F3864" w:themeFill="accent1" w:themeFillShade="80"/>
            <w:tcMar>
              <w:top w:w="0" w:type="dxa"/>
              <w:left w:w="108" w:type="dxa"/>
              <w:bottom w:w="0" w:type="dxa"/>
              <w:right w:w="108" w:type="dxa"/>
            </w:tcMar>
            <w:vAlign w:val="center"/>
            <w:hideMark/>
          </w:tcPr>
          <w:p w14:paraId="4681D42C" w14:textId="77777777" w:rsidR="00B72ED7" w:rsidRPr="00B92969" w:rsidRDefault="00B72ED7" w:rsidP="00C42CD8">
            <w:pPr>
              <w:widowControl w:val="0"/>
              <w:rPr>
                <w:b/>
                <w:bCs/>
                <w:i/>
                <w:iCs/>
                <w:sz w:val="24"/>
                <w:szCs w:val="24"/>
              </w:rPr>
            </w:pPr>
            <w:bookmarkStart w:id="23" w:name="_Hlk127869919"/>
            <w:r w:rsidRPr="00B92969">
              <w:rPr>
                <w:b/>
                <w:bCs/>
                <w:i/>
                <w:iCs/>
                <w:sz w:val="24"/>
                <w:szCs w:val="24"/>
              </w:rPr>
              <w:t>Categoría de Importancia Sistémica</w:t>
            </w:r>
          </w:p>
        </w:tc>
        <w:tc>
          <w:tcPr>
            <w:tcW w:w="3970"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7DB56AE1" w14:textId="77777777" w:rsidR="00B72ED7" w:rsidRPr="00B92969" w:rsidRDefault="00B72ED7" w:rsidP="00C42CD8">
            <w:pPr>
              <w:widowControl w:val="0"/>
              <w:jc w:val="center"/>
              <w:rPr>
                <w:b/>
                <w:bCs/>
                <w:i/>
                <w:iCs/>
                <w:color w:val="FFFFFF" w:themeColor="background1"/>
                <w:sz w:val="24"/>
                <w:szCs w:val="24"/>
              </w:rPr>
            </w:pPr>
            <w:r w:rsidRPr="00B92969">
              <w:rPr>
                <w:b/>
                <w:bCs/>
                <w:i/>
                <w:iCs/>
                <w:sz w:val="24"/>
                <w:szCs w:val="24"/>
              </w:rPr>
              <w:t>Rangos de puntaje del índice sistémico</w:t>
            </w:r>
          </w:p>
        </w:tc>
      </w:tr>
      <w:tr w:rsidR="00B72ED7" w:rsidRPr="00B92969" w14:paraId="68069116" w14:textId="77777777" w:rsidTr="00C42CD8">
        <w:trPr>
          <w:jc w:val="center"/>
        </w:trPr>
        <w:tc>
          <w:tcPr>
            <w:tcW w:w="39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8F7282" w14:textId="77777777" w:rsidR="00B72ED7" w:rsidRPr="00B92969" w:rsidRDefault="00B72ED7" w:rsidP="00C42CD8">
            <w:pPr>
              <w:widowControl w:val="0"/>
              <w:jc w:val="center"/>
              <w:rPr>
                <w:b/>
                <w:bCs/>
                <w:i/>
                <w:iCs/>
                <w:sz w:val="24"/>
                <w:szCs w:val="24"/>
              </w:rPr>
            </w:pPr>
            <w:bookmarkStart w:id="24" w:name="_Hlk69475504"/>
            <w:r w:rsidRPr="00B92969">
              <w:rPr>
                <w:b/>
                <w:bCs/>
                <w:i/>
                <w:iCs/>
                <w:sz w:val="24"/>
                <w:szCs w:val="24"/>
              </w:rPr>
              <w:t>1</w:t>
            </w:r>
          </w:p>
        </w:tc>
        <w:tc>
          <w:tcPr>
            <w:tcW w:w="3970" w:type="dxa"/>
            <w:tcBorders>
              <w:top w:val="single" w:sz="4" w:space="0" w:color="auto"/>
              <w:left w:val="single" w:sz="4" w:space="0" w:color="auto"/>
              <w:bottom w:val="single" w:sz="4" w:space="0" w:color="auto"/>
              <w:right w:val="single" w:sz="4" w:space="0" w:color="auto"/>
            </w:tcBorders>
          </w:tcPr>
          <w:p w14:paraId="2E28A31E" w14:textId="77777777" w:rsidR="00B72ED7" w:rsidRPr="00B92969" w:rsidRDefault="00B72ED7" w:rsidP="00C42CD8">
            <w:pPr>
              <w:widowControl w:val="0"/>
              <w:rPr>
                <w:bCs/>
                <w:i/>
                <w:iCs/>
                <w:sz w:val="24"/>
                <w:szCs w:val="24"/>
              </w:rPr>
            </w:pPr>
            <w:r w:rsidRPr="00B92969">
              <w:rPr>
                <w:bCs/>
                <w:i/>
                <w:iCs/>
                <w:sz w:val="24"/>
                <w:szCs w:val="24"/>
              </w:rPr>
              <w:t>Mayor a 1900</w:t>
            </w:r>
          </w:p>
        </w:tc>
      </w:tr>
      <w:tr w:rsidR="00B72ED7" w:rsidRPr="00B92969" w14:paraId="0EBE55F2" w14:textId="77777777" w:rsidTr="00C42CD8">
        <w:trPr>
          <w:jc w:val="center"/>
        </w:trPr>
        <w:tc>
          <w:tcPr>
            <w:tcW w:w="39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F8D501" w14:textId="77777777" w:rsidR="00B72ED7" w:rsidRPr="00B92969" w:rsidRDefault="00B72ED7" w:rsidP="00C42CD8">
            <w:pPr>
              <w:widowControl w:val="0"/>
              <w:jc w:val="center"/>
              <w:rPr>
                <w:b/>
                <w:bCs/>
                <w:i/>
                <w:iCs/>
                <w:sz w:val="24"/>
                <w:szCs w:val="24"/>
              </w:rPr>
            </w:pPr>
            <w:r w:rsidRPr="00B92969">
              <w:rPr>
                <w:b/>
                <w:bCs/>
                <w:i/>
                <w:iCs/>
                <w:sz w:val="24"/>
                <w:szCs w:val="24"/>
              </w:rPr>
              <w:t xml:space="preserve">2 </w:t>
            </w:r>
          </w:p>
        </w:tc>
        <w:tc>
          <w:tcPr>
            <w:tcW w:w="3970" w:type="dxa"/>
            <w:tcBorders>
              <w:top w:val="single" w:sz="4" w:space="0" w:color="auto"/>
              <w:left w:val="single" w:sz="4" w:space="0" w:color="auto"/>
              <w:bottom w:val="single" w:sz="4" w:space="0" w:color="auto"/>
              <w:right w:val="single" w:sz="4" w:space="0" w:color="auto"/>
            </w:tcBorders>
          </w:tcPr>
          <w:p w14:paraId="0B10634E" w14:textId="77777777" w:rsidR="00B72ED7" w:rsidRPr="00B92969" w:rsidRDefault="00B72ED7" w:rsidP="00C42CD8">
            <w:pPr>
              <w:widowControl w:val="0"/>
              <w:rPr>
                <w:bCs/>
                <w:i/>
                <w:iCs/>
                <w:sz w:val="24"/>
                <w:szCs w:val="24"/>
              </w:rPr>
            </w:pPr>
            <w:r w:rsidRPr="00B92969">
              <w:rPr>
                <w:bCs/>
                <w:i/>
                <w:iCs/>
                <w:sz w:val="24"/>
                <w:szCs w:val="24"/>
              </w:rPr>
              <w:t>Mayor a 1600 y menor o igual a 1900</w:t>
            </w:r>
          </w:p>
        </w:tc>
      </w:tr>
      <w:tr w:rsidR="00B72ED7" w:rsidRPr="00B92969" w14:paraId="19E7247C" w14:textId="77777777" w:rsidTr="00C42CD8">
        <w:trPr>
          <w:jc w:val="center"/>
        </w:trPr>
        <w:tc>
          <w:tcPr>
            <w:tcW w:w="39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F3D7A4" w14:textId="77777777" w:rsidR="00B72ED7" w:rsidRPr="00B92969" w:rsidRDefault="00B72ED7" w:rsidP="00C42CD8">
            <w:pPr>
              <w:widowControl w:val="0"/>
              <w:jc w:val="center"/>
              <w:rPr>
                <w:b/>
                <w:bCs/>
                <w:i/>
                <w:iCs/>
                <w:sz w:val="24"/>
                <w:szCs w:val="24"/>
              </w:rPr>
            </w:pPr>
            <w:r w:rsidRPr="00B92969">
              <w:rPr>
                <w:b/>
                <w:bCs/>
                <w:i/>
                <w:iCs/>
                <w:sz w:val="24"/>
                <w:szCs w:val="24"/>
              </w:rPr>
              <w:t>3</w:t>
            </w:r>
          </w:p>
        </w:tc>
        <w:tc>
          <w:tcPr>
            <w:tcW w:w="3970" w:type="dxa"/>
            <w:tcBorders>
              <w:top w:val="single" w:sz="4" w:space="0" w:color="auto"/>
              <w:left w:val="single" w:sz="4" w:space="0" w:color="auto"/>
              <w:bottom w:val="single" w:sz="4" w:space="0" w:color="auto"/>
              <w:right w:val="single" w:sz="4" w:space="0" w:color="auto"/>
            </w:tcBorders>
          </w:tcPr>
          <w:p w14:paraId="43A4874B" w14:textId="77777777" w:rsidR="00B72ED7" w:rsidRPr="00B92969" w:rsidRDefault="00B72ED7" w:rsidP="00C42CD8">
            <w:pPr>
              <w:widowControl w:val="0"/>
              <w:rPr>
                <w:bCs/>
                <w:i/>
                <w:iCs/>
                <w:sz w:val="24"/>
                <w:szCs w:val="24"/>
              </w:rPr>
            </w:pPr>
            <w:r w:rsidRPr="00B92969">
              <w:rPr>
                <w:bCs/>
                <w:i/>
                <w:iCs/>
                <w:sz w:val="24"/>
                <w:szCs w:val="24"/>
              </w:rPr>
              <w:t>Mayor a 1300 y menor o igual a 1600</w:t>
            </w:r>
          </w:p>
        </w:tc>
      </w:tr>
      <w:tr w:rsidR="00B72ED7" w:rsidRPr="00B92969" w14:paraId="73FE1C84" w14:textId="77777777" w:rsidTr="00C42CD8">
        <w:trPr>
          <w:jc w:val="center"/>
        </w:trPr>
        <w:tc>
          <w:tcPr>
            <w:tcW w:w="39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6F7386" w14:textId="77777777" w:rsidR="00B72ED7" w:rsidRPr="00B92969" w:rsidRDefault="00B72ED7" w:rsidP="00C42CD8">
            <w:pPr>
              <w:widowControl w:val="0"/>
              <w:jc w:val="center"/>
              <w:rPr>
                <w:b/>
                <w:bCs/>
                <w:i/>
                <w:iCs/>
                <w:sz w:val="24"/>
                <w:szCs w:val="24"/>
              </w:rPr>
            </w:pPr>
            <w:r w:rsidRPr="00B92969">
              <w:rPr>
                <w:b/>
                <w:bCs/>
                <w:i/>
                <w:iCs/>
                <w:sz w:val="24"/>
                <w:szCs w:val="24"/>
              </w:rPr>
              <w:t>4</w:t>
            </w:r>
          </w:p>
        </w:tc>
        <w:tc>
          <w:tcPr>
            <w:tcW w:w="3970" w:type="dxa"/>
            <w:tcBorders>
              <w:top w:val="single" w:sz="4" w:space="0" w:color="auto"/>
              <w:left w:val="single" w:sz="4" w:space="0" w:color="auto"/>
              <w:bottom w:val="single" w:sz="4" w:space="0" w:color="auto"/>
              <w:right w:val="single" w:sz="4" w:space="0" w:color="auto"/>
            </w:tcBorders>
          </w:tcPr>
          <w:p w14:paraId="75AFCAA5" w14:textId="77777777" w:rsidR="00B72ED7" w:rsidRPr="00B92969" w:rsidRDefault="00B72ED7" w:rsidP="00C42CD8">
            <w:pPr>
              <w:widowControl w:val="0"/>
              <w:rPr>
                <w:bCs/>
                <w:i/>
                <w:iCs/>
                <w:sz w:val="24"/>
                <w:szCs w:val="24"/>
              </w:rPr>
            </w:pPr>
            <w:r w:rsidRPr="00B92969">
              <w:rPr>
                <w:bCs/>
                <w:i/>
                <w:iCs/>
                <w:sz w:val="24"/>
                <w:szCs w:val="24"/>
              </w:rPr>
              <w:t>Mayor a 1000 y menor o igual a 1300</w:t>
            </w:r>
          </w:p>
        </w:tc>
      </w:tr>
    </w:tbl>
    <w:p w14:paraId="7698E877" w14:textId="77777777" w:rsidR="00B72ED7" w:rsidRPr="00B92969" w:rsidRDefault="00B72ED7" w:rsidP="00B72ED7">
      <w:pPr>
        <w:jc w:val="both"/>
        <w:rPr>
          <w:i/>
          <w:iCs/>
          <w:sz w:val="24"/>
          <w:szCs w:val="24"/>
        </w:rPr>
      </w:pPr>
      <w:bookmarkStart w:id="25" w:name="_Hlk105582234"/>
      <w:bookmarkEnd w:id="23"/>
      <w:bookmarkEnd w:id="24"/>
    </w:p>
    <w:p w14:paraId="631B0873" w14:textId="77777777" w:rsidR="00B72ED7" w:rsidRPr="00B92969" w:rsidRDefault="00B72ED7" w:rsidP="00B72ED7">
      <w:pPr>
        <w:jc w:val="both"/>
        <w:rPr>
          <w:i/>
          <w:iCs/>
          <w:sz w:val="24"/>
          <w:szCs w:val="24"/>
        </w:rPr>
      </w:pPr>
      <w:r w:rsidRPr="00B92969">
        <w:rPr>
          <w:i/>
          <w:iCs/>
          <w:sz w:val="24"/>
          <w:szCs w:val="24"/>
        </w:rPr>
        <w:t>La SUGEF evaluará si en función de las puntuaciones de cualquiera de las dimensiones se deben incluir más entidades en la lista determinada mediante la metodología de puntaje dispuesta en este reglamento</w:t>
      </w:r>
      <w:bookmarkEnd w:id="25"/>
      <w:r w:rsidRPr="00B92969">
        <w:rPr>
          <w:i/>
          <w:iCs/>
          <w:sz w:val="24"/>
          <w:szCs w:val="24"/>
        </w:rPr>
        <w:t>. La adición estará justificada mediante resolución razonada, con base en consideraciones prudenciales que podrán fundamentarse mediante indicadores, herramientas o valoraciones cualitativas.</w:t>
      </w:r>
    </w:p>
    <w:p w14:paraId="1F202149" w14:textId="77777777" w:rsidR="00B72ED7" w:rsidRPr="00B92969" w:rsidRDefault="00B72ED7" w:rsidP="00B72ED7">
      <w:pPr>
        <w:jc w:val="both"/>
        <w:rPr>
          <w:i/>
          <w:iCs/>
          <w:sz w:val="24"/>
          <w:szCs w:val="24"/>
        </w:rPr>
      </w:pPr>
    </w:p>
    <w:p w14:paraId="2EA9AA83" w14:textId="77777777" w:rsidR="00B72ED7" w:rsidRPr="00B92969" w:rsidRDefault="00B72ED7" w:rsidP="00B72ED7">
      <w:pPr>
        <w:pStyle w:val="Ttulo3"/>
        <w:rPr>
          <w:b w:val="0"/>
          <w:bCs w:val="0"/>
          <w:i/>
          <w:iCs/>
          <w:szCs w:val="24"/>
        </w:rPr>
      </w:pPr>
      <w:bookmarkStart w:id="26" w:name="_Toc128042088"/>
      <w:r w:rsidRPr="00B92969">
        <w:rPr>
          <w:i/>
          <w:iCs/>
          <w:szCs w:val="24"/>
        </w:rPr>
        <w:t>Artículo 7. Lista de entidades y puntaje</w:t>
      </w:r>
      <w:bookmarkEnd w:id="26"/>
    </w:p>
    <w:p w14:paraId="3DFF37E2" w14:textId="77777777" w:rsidR="00B72ED7" w:rsidRPr="00B92969" w:rsidRDefault="00B72ED7" w:rsidP="00B72ED7">
      <w:pPr>
        <w:jc w:val="both"/>
        <w:rPr>
          <w:i/>
          <w:iCs/>
          <w:sz w:val="24"/>
          <w:szCs w:val="24"/>
        </w:rPr>
      </w:pPr>
      <w:r w:rsidRPr="00B92969">
        <w:rPr>
          <w:i/>
          <w:iCs/>
          <w:sz w:val="24"/>
          <w:szCs w:val="24"/>
        </w:rPr>
        <w:t>La aplicación de la metodología resulta en una lista de entidades de importancia sistémica, ordenada de mayor a menor puntaje, tal como se indica a continuación:</w:t>
      </w:r>
    </w:p>
    <w:p w14:paraId="030FC035" w14:textId="77777777" w:rsidR="00B72ED7" w:rsidRPr="00B92969" w:rsidRDefault="00B72ED7" w:rsidP="00B72ED7">
      <w:pPr>
        <w:jc w:val="both"/>
        <w:rPr>
          <w:i/>
          <w:iCs/>
          <w:sz w:val="24"/>
          <w:szCs w:val="24"/>
        </w:rPr>
      </w:pPr>
    </w:p>
    <w:tbl>
      <w:tblPr>
        <w:tblW w:w="5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38"/>
        <w:gridCol w:w="1843"/>
        <w:gridCol w:w="1417"/>
      </w:tblGrid>
      <w:tr w:rsidR="00B72ED7" w:rsidRPr="00B92969" w14:paraId="786BBD0F" w14:textId="77777777" w:rsidTr="00C42CD8">
        <w:trPr>
          <w:jc w:val="center"/>
        </w:trPr>
        <w:tc>
          <w:tcPr>
            <w:tcW w:w="1838" w:type="dxa"/>
            <w:tcBorders>
              <w:top w:val="single" w:sz="4" w:space="0" w:color="auto"/>
              <w:left w:val="single" w:sz="4" w:space="0" w:color="auto"/>
              <w:bottom w:val="single" w:sz="4" w:space="0" w:color="auto"/>
              <w:right w:val="single" w:sz="4" w:space="0" w:color="auto"/>
            </w:tcBorders>
            <w:shd w:val="clear" w:color="auto" w:fill="1F3864" w:themeFill="accent1" w:themeFillShade="80"/>
            <w:hideMark/>
          </w:tcPr>
          <w:p w14:paraId="0E4D6256" w14:textId="77777777" w:rsidR="00B72ED7" w:rsidRPr="00B92969" w:rsidRDefault="00B72ED7" w:rsidP="00C42CD8">
            <w:pPr>
              <w:rPr>
                <w:i/>
                <w:iCs/>
                <w:sz w:val="24"/>
                <w:szCs w:val="24"/>
              </w:rPr>
            </w:pPr>
            <w:r w:rsidRPr="00B92969">
              <w:rPr>
                <w:i/>
                <w:iCs/>
                <w:sz w:val="24"/>
                <w:szCs w:val="24"/>
              </w:rPr>
              <w:t>Posición según importancia sistémica</w:t>
            </w:r>
          </w:p>
        </w:tc>
        <w:tc>
          <w:tcPr>
            <w:tcW w:w="1843" w:type="dxa"/>
            <w:tcBorders>
              <w:top w:val="single" w:sz="4" w:space="0" w:color="auto"/>
              <w:left w:val="single" w:sz="4" w:space="0" w:color="auto"/>
              <w:bottom w:val="single" w:sz="4" w:space="0" w:color="auto"/>
              <w:right w:val="single" w:sz="4" w:space="0" w:color="auto"/>
            </w:tcBorders>
            <w:shd w:val="clear" w:color="auto" w:fill="1F3864" w:themeFill="accent1" w:themeFillShade="80"/>
            <w:hideMark/>
          </w:tcPr>
          <w:p w14:paraId="49C22FBF" w14:textId="77777777" w:rsidR="00B72ED7" w:rsidRPr="00B92969" w:rsidRDefault="00B72ED7" w:rsidP="00C42CD8">
            <w:pPr>
              <w:rPr>
                <w:i/>
                <w:iCs/>
                <w:sz w:val="24"/>
                <w:szCs w:val="24"/>
              </w:rPr>
            </w:pPr>
            <w:r w:rsidRPr="00B92969">
              <w:rPr>
                <w:i/>
                <w:iCs/>
                <w:sz w:val="24"/>
                <w:szCs w:val="24"/>
              </w:rPr>
              <w:t>Entidad</w:t>
            </w:r>
          </w:p>
        </w:tc>
        <w:tc>
          <w:tcPr>
            <w:tcW w:w="1417" w:type="dxa"/>
            <w:tcBorders>
              <w:top w:val="single" w:sz="4" w:space="0" w:color="auto"/>
              <w:left w:val="single" w:sz="4" w:space="0" w:color="auto"/>
              <w:bottom w:val="single" w:sz="4" w:space="0" w:color="auto"/>
              <w:right w:val="single" w:sz="4" w:space="0" w:color="auto"/>
            </w:tcBorders>
            <w:shd w:val="clear" w:color="auto" w:fill="1F3864" w:themeFill="accent1" w:themeFillShade="80"/>
            <w:tcMar>
              <w:top w:w="0" w:type="dxa"/>
              <w:left w:w="108" w:type="dxa"/>
              <w:bottom w:w="0" w:type="dxa"/>
              <w:right w:w="108" w:type="dxa"/>
            </w:tcMar>
            <w:hideMark/>
          </w:tcPr>
          <w:p w14:paraId="39AE8D33" w14:textId="77777777" w:rsidR="00B72ED7" w:rsidRPr="00B92969" w:rsidRDefault="00B72ED7" w:rsidP="00C42CD8">
            <w:pPr>
              <w:rPr>
                <w:i/>
                <w:iCs/>
                <w:sz w:val="24"/>
                <w:szCs w:val="24"/>
              </w:rPr>
            </w:pPr>
            <w:r w:rsidRPr="00B92969">
              <w:rPr>
                <w:i/>
                <w:iCs/>
                <w:sz w:val="24"/>
                <w:szCs w:val="24"/>
              </w:rPr>
              <w:t>Puntaje</w:t>
            </w:r>
          </w:p>
        </w:tc>
      </w:tr>
      <w:tr w:rsidR="00B72ED7" w:rsidRPr="00B92969" w14:paraId="06189845" w14:textId="77777777" w:rsidTr="00C42CD8">
        <w:trPr>
          <w:jc w:val="center"/>
        </w:trPr>
        <w:tc>
          <w:tcPr>
            <w:tcW w:w="1838" w:type="dxa"/>
            <w:tcBorders>
              <w:top w:val="single" w:sz="4" w:space="0" w:color="auto"/>
              <w:left w:val="single" w:sz="4" w:space="0" w:color="auto"/>
              <w:bottom w:val="single" w:sz="4" w:space="0" w:color="auto"/>
              <w:right w:val="single" w:sz="4" w:space="0" w:color="auto"/>
            </w:tcBorders>
            <w:hideMark/>
          </w:tcPr>
          <w:p w14:paraId="5840D8FE" w14:textId="77777777" w:rsidR="00B72ED7" w:rsidRPr="00B92969" w:rsidRDefault="00B72ED7" w:rsidP="00C42CD8">
            <w:pPr>
              <w:jc w:val="both"/>
              <w:rPr>
                <w:i/>
                <w:iCs/>
                <w:sz w:val="24"/>
                <w:szCs w:val="24"/>
              </w:rPr>
            </w:pPr>
            <w:r w:rsidRPr="00B92969">
              <w:rPr>
                <w:i/>
                <w:iCs/>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4AD15B85" w14:textId="77777777" w:rsidR="00B72ED7" w:rsidRPr="00B92969" w:rsidRDefault="00B72ED7" w:rsidP="00C42CD8">
            <w:pPr>
              <w:jc w:val="both"/>
              <w:rPr>
                <w:i/>
                <w:iCs/>
                <w:sz w:val="24"/>
                <w:szCs w:val="24"/>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0CF96" w14:textId="77777777" w:rsidR="00B72ED7" w:rsidRPr="00B92969" w:rsidRDefault="00B72ED7" w:rsidP="00C42CD8">
            <w:pPr>
              <w:jc w:val="both"/>
              <w:rPr>
                <w:i/>
                <w:iCs/>
                <w:sz w:val="24"/>
                <w:szCs w:val="24"/>
              </w:rPr>
            </w:pPr>
          </w:p>
        </w:tc>
      </w:tr>
      <w:tr w:rsidR="00B72ED7" w:rsidRPr="00B92969" w14:paraId="5FEEFF5B" w14:textId="77777777" w:rsidTr="00C42CD8">
        <w:trPr>
          <w:jc w:val="center"/>
        </w:trPr>
        <w:tc>
          <w:tcPr>
            <w:tcW w:w="1838" w:type="dxa"/>
            <w:tcBorders>
              <w:top w:val="single" w:sz="4" w:space="0" w:color="auto"/>
              <w:left w:val="single" w:sz="4" w:space="0" w:color="auto"/>
              <w:bottom w:val="single" w:sz="4" w:space="0" w:color="auto"/>
              <w:right w:val="single" w:sz="4" w:space="0" w:color="auto"/>
            </w:tcBorders>
            <w:hideMark/>
          </w:tcPr>
          <w:p w14:paraId="78963C52" w14:textId="77777777" w:rsidR="00B72ED7" w:rsidRPr="00B92969" w:rsidRDefault="00B72ED7" w:rsidP="00C42CD8">
            <w:pPr>
              <w:jc w:val="both"/>
              <w:rPr>
                <w:i/>
                <w:iCs/>
                <w:sz w:val="24"/>
                <w:szCs w:val="24"/>
              </w:rPr>
            </w:pPr>
            <w:r w:rsidRPr="00B92969">
              <w:rPr>
                <w:i/>
                <w:iCs/>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36950AE7" w14:textId="77777777" w:rsidR="00B72ED7" w:rsidRPr="00B92969" w:rsidRDefault="00B72ED7" w:rsidP="00C42CD8">
            <w:pPr>
              <w:jc w:val="both"/>
              <w:rPr>
                <w:i/>
                <w:iCs/>
                <w:sz w:val="24"/>
                <w:szCs w:val="24"/>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0162A" w14:textId="77777777" w:rsidR="00B72ED7" w:rsidRPr="00B92969" w:rsidRDefault="00B72ED7" w:rsidP="00C42CD8">
            <w:pPr>
              <w:jc w:val="both"/>
              <w:rPr>
                <w:i/>
                <w:iCs/>
                <w:sz w:val="24"/>
                <w:szCs w:val="24"/>
              </w:rPr>
            </w:pPr>
          </w:p>
        </w:tc>
      </w:tr>
      <w:tr w:rsidR="00B72ED7" w:rsidRPr="00B92969" w14:paraId="179DBA1A" w14:textId="77777777" w:rsidTr="00C42CD8">
        <w:trPr>
          <w:jc w:val="center"/>
        </w:trPr>
        <w:tc>
          <w:tcPr>
            <w:tcW w:w="1838" w:type="dxa"/>
            <w:tcBorders>
              <w:top w:val="single" w:sz="4" w:space="0" w:color="auto"/>
              <w:left w:val="single" w:sz="4" w:space="0" w:color="auto"/>
              <w:bottom w:val="single" w:sz="4" w:space="0" w:color="auto"/>
              <w:right w:val="single" w:sz="4" w:space="0" w:color="auto"/>
            </w:tcBorders>
            <w:hideMark/>
          </w:tcPr>
          <w:p w14:paraId="6EC72571" w14:textId="77777777" w:rsidR="00B72ED7" w:rsidRPr="00B92969" w:rsidRDefault="00B72ED7" w:rsidP="00C42CD8">
            <w:pPr>
              <w:jc w:val="both"/>
              <w:rPr>
                <w:i/>
                <w:iCs/>
                <w:sz w:val="24"/>
                <w:szCs w:val="24"/>
              </w:rPr>
            </w:pPr>
            <w:r w:rsidRPr="00B92969">
              <w:rPr>
                <w:i/>
                <w:iCs/>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68F442A7" w14:textId="77777777" w:rsidR="00B72ED7" w:rsidRPr="00B92969" w:rsidRDefault="00B72ED7" w:rsidP="00C42CD8">
            <w:pPr>
              <w:jc w:val="both"/>
              <w:rPr>
                <w:i/>
                <w:iCs/>
                <w:sz w:val="24"/>
                <w:szCs w:val="24"/>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E025E" w14:textId="77777777" w:rsidR="00B72ED7" w:rsidRPr="00B92969" w:rsidRDefault="00B72ED7" w:rsidP="00C42CD8">
            <w:pPr>
              <w:jc w:val="both"/>
              <w:rPr>
                <w:i/>
                <w:iCs/>
                <w:sz w:val="24"/>
                <w:szCs w:val="24"/>
              </w:rPr>
            </w:pPr>
          </w:p>
        </w:tc>
      </w:tr>
      <w:tr w:rsidR="00B72ED7" w:rsidRPr="00B92969" w14:paraId="653E61FC" w14:textId="77777777" w:rsidTr="00C42CD8">
        <w:trPr>
          <w:jc w:val="center"/>
        </w:trPr>
        <w:tc>
          <w:tcPr>
            <w:tcW w:w="1838" w:type="dxa"/>
            <w:tcBorders>
              <w:top w:val="single" w:sz="4" w:space="0" w:color="auto"/>
              <w:left w:val="single" w:sz="4" w:space="0" w:color="auto"/>
              <w:bottom w:val="single" w:sz="4" w:space="0" w:color="auto"/>
              <w:right w:val="single" w:sz="4" w:space="0" w:color="auto"/>
            </w:tcBorders>
            <w:hideMark/>
          </w:tcPr>
          <w:p w14:paraId="18F924EE" w14:textId="77777777" w:rsidR="00B72ED7" w:rsidRPr="00B92969" w:rsidRDefault="00B72ED7" w:rsidP="00C42CD8">
            <w:pPr>
              <w:jc w:val="both"/>
              <w:rPr>
                <w:i/>
                <w:iCs/>
                <w:sz w:val="24"/>
                <w:szCs w:val="24"/>
              </w:rPr>
            </w:pPr>
            <w:r w:rsidRPr="00B92969">
              <w:rPr>
                <w:i/>
                <w:iCs/>
                <w:sz w:val="24"/>
                <w:szCs w:val="24"/>
              </w:rPr>
              <w:t>N</w:t>
            </w:r>
          </w:p>
        </w:tc>
        <w:tc>
          <w:tcPr>
            <w:tcW w:w="1843" w:type="dxa"/>
            <w:tcBorders>
              <w:top w:val="single" w:sz="4" w:space="0" w:color="auto"/>
              <w:left w:val="single" w:sz="4" w:space="0" w:color="auto"/>
              <w:bottom w:val="single" w:sz="4" w:space="0" w:color="auto"/>
              <w:right w:val="single" w:sz="4" w:space="0" w:color="auto"/>
            </w:tcBorders>
          </w:tcPr>
          <w:p w14:paraId="290A7BC1" w14:textId="77777777" w:rsidR="00B72ED7" w:rsidRPr="00B92969" w:rsidRDefault="00B72ED7" w:rsidP="00C42CD8">
            <w:pPr>
              <w:jc w:val="both"/>
              <w:rPr>
                <w:i/>
                <w:iCs/>
                <w:sz w:val="24"/>
                <w:szCs w:val="24"/>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A64EC" w14:textId="77777777" w:rsidR="00B72ED7" w:rsidRPr="00B92969" w:rsidRDefault="00B72ED7" w:rsidP="00C42CD8">
            <w:pPr>
              <w:jc w:val="both"/>
              <w:rPr>
                <w:i/>
                <w:iCs/>
                <w:sz w:val="24"/>
                <w:szCs w:val="24"/>
              </w:rPr>
            </w:pPr>
          </w:p>
        </w:tc>
      </w:tr>
    </w:tbl>
    <w:p w14:paraId="700118F9" w14:textId="77777777" w:rsidR="00B72ED7" w:rsidRPr="00B92969" w:rsidRDefault="00B72ED7" w:rsidP="00B72ED7">
      <w:pPr>
        <w:jc w:val="both"/>
        <w:rPr>
          <w:i/>
          <w:iCs/>
          <w:sz w:val="24"/>
          <w:szCs w:val="24"/>
        </w:rPr>
      </w:pPr>
    </w:p>
    <w:p w14:paraId="7527ECEF" w14:textId="77777777" w:rsidR="00B72ED7" w:rsidRPr="00B92969" w:rsidRDefault="00B72ED7" w:rsidP="00B72ED7">
      <w:pPr>
        <w:jc w:val="both"/>
        <w:rPr>
          <w:i/>
          <w:iCs/>
          <w:sz w:val="24"/>
          <w:szCs w:val="24"/>
        </w:rPr>
      </w:pPr>
      <w:r w:rsidRPr="00B92969">
        <w:rPr>
          <w:i/>
          <w:iCs/>
          <w:sz w:val="24"/>
          <w:szCs w:val="24"/>
        </w:rPr>
        <w:t>La SUGEF publicará en su sitio web la lista de entidades de importancia sistémica y mantendrá actualizada dicha publicación conforme se presenten cambios.</w:t>
      </w:r>
    </w:p>
    <w:p w14:paraId="17B97CFF" w14:textId="77777777" w:rsidR="00B72ED7" w:rsidRPr="00B92969" w:rsidRDefault="00B72ED7" w:rsidP="00B72ED7">
      <w:pPr>
        <w:rPr>
          <w:sz w:val="24"/>
          <w:szCs w:val="24"/>
        </w:rPr>
      </w:pPr>
    </w:p>
    <w:p w14:paraId="41FCF2F7" w14:textId="77777777" w:rsidR="00B72ED7" w:rsidRPr="00B92969" w:rsidRDefault="00B72ED7" w:rsidP="00B72ED7">
      <w:pPr>
        <w:pStyle w:val="Ttulo3"/>
        <w:rPr>
          <w:b w:val="0"/>
          <w:bCs w:val="0"/>
          <w:i/>
          <w:iCs/>
          <w:szCs w:val="24"/>
        </w:rPr>
      </w:pPr>
      <w:bookmarkStart w:id="27" w:name="_Toc128042089"/>
      <w:r w:rsidRPr="00B92969">
        <w:rPr>
          <w:i/>
          <w:iCs/>
          <w:szCs w:val="24"/>
        </w:rPr>
        <w:t>Artículo 8. Comunicación de la condición de importancia sistémica</w:t>
      </w:r>
      <w:bookmarkEnd w:id="27"/>
    </w:p>
    <w:p w14:paraId="2001CDA4" w14:textId="77777777" w:rsidR="00B72ED7" w:rsidRPr="00B92969" w:rsidRDefault="00B72ED7" w:rsidP="00B72ED7">
      <w:pPr>
        <w:widowControl w:val="0"/>
        <w:jc w:val="both"/>
        <w:rPr>
          <w:i/>
          <w:iCs/>
          <w:sz w:val="24"/>
          <w:szCs w:val="24"/>
        </w:rPr>
      </w:pPr>
      <w:r w:rsidRPr="00B92969">
        <w:rPr>
          <w:i/>
          <w:iCs/>
          <w:sz w:val="24"/>
          <w:szCs w:val="24"/>
        </w:rPr>
        <w:t>La Superintendencia comunicará a las entidades que corresponda, su condición de importancia sistémica.</w:t>
      </w:r>
    </w:p>
    <w:p w14:paraId="003AD33D" w14:textId="77777777" w:rsidR="00B72ED7" w:rsidRPr="00B92969" w:rsidRDefault="00B72ED7" w:rsidP="00B72ED7">
      <w:pPr>
        <w:rPr>
          <w:sz w:val="24"/>
          <w:szCs w:val="24"/>
        </w:rPr>
      </w:pPr>
    </w:p>
    <w:p w14:paraId="6BC689A6" w14:textId="77777777" w:rsidR="00B72ED7" w:rsidRPr="00B92969" w:rsidRDefault="00B72ED7" w:rsidP="00B72ED7">
      <w:pPr>
        <w:pStyle w:val="Ttulo3"/>
        <w:rPr>
          <w:b w:val="0"/>
          <w:bCs w:val="0"/>
          <w:i/>
          <w:iCs/>
          <w:szCs w:val="24"/>
        </w:rPr>
      </w:pPr>
      <w:bookmarkStart w:id="28" w:name="_Toc128042090"/>
      <w:r w:rsidRPr="00B92969">
        <w:rPr>
          <w:i/>
          <w:iCs/>
          <w:szCs w:val="24"/>
        </w:rPr>
        <w:t>Artículo 9. Evaluaciones periódicas de la importancia sistémica de las entidades financieras</w:t>
      </w:r>
      <w:bookmarkEnd w:id="28"/>
    </w:p>
    <w:p w14:paraId="3A9B91E1" w14:textId="77777777" w:rsidR="00B72ED7" w:rsidRPr="00B92969" w:rsidRDefault="00B72ED7" w:rsidP="00B72ED7">
      <w:pPr>
        <w:widowControl w:val="0"/>
        <w:jc w:val="both"/>
        <w:rPr>
          <w:i/>
          <w:iCs/>
          <w:sz w:val="24"/>
          <w:szCs w:val="24"/>
        </w:rPr>
      </w:pPr>
      <w:r w:rsidRPr="00B92969">
        <w:rPr>
          <w:i/>
          <w:iCs/>
          <w:sz w:val="24"/>
          <w:szCs w:val="24"/>
        </w:rPr>
        <w:t>La condición de importancia sistémica se actualizará al menos una vez cada tres años.</w:t>
      </w:r>
    </w:p>
    <w:p w14:paraId="7D382E3D" w14:textId="77777777" w:rsidR="00B72ED7" w:rsidRPr="00B92969" w:rsidRDefault="00B72ED7" w:rsidP="00B72ED7">
      <w:pPr>
        <w:widowControl w:val="0"/>
        <w:jc w:val="both"/>
        <w:rPr>
          <w:i/>
          <w:iCs/>
          <w:sz w:val="24"/>
          <w:szCs w:val="24"/>
        </w:rPr>
      </w:pPr>
    </w:p>
    <w:p w14:paraId="6F52E1A1" w14:textId="77777777" w:rsidR="00B72ED7" w:rsidRPr="00B92969" w:rsidRDefault="00B72ED7" w:rsidP="00B72ED7">
      <w:pPr>
        <w:widowControl w:val="0"/>
        <w:jc w:val="both"/>
        <w:rPr>
          <w:i/>
          <w:iCs/>
          <w:sz w:val="24"/>
          <w:szCs w:val="24"/>
        </w:rPr>
      </w:pPr>
      <w:r w:rsidRPr="00B92969">
        <w:rPr>
          <w:i/>
          <w:iCs/>
          <w:sz w:val="24"/>
          <w:szCs w:val="24"/>
        </w:rPr>
        <w:t>La SUGEF verificará la condición de importancia sistémica de las entidades cuando a su criterio hayan ocurrido cambios estructurales significativos en el sistema financiero que impliquen una revisión.</w:t>
      </w:r>
    </w:p>
    <w:p w14:paraId="59A6C6E9" w14:textId="77777777" w:rsidR="00B72ED7" w:rsidRPr="00B92969" w:rsidRDefault="00B72ED7" w:rsidP="00B72ED7">
      <w:pPr>
        <w:jc w:val="both"/>
        <w:rPr>
          <w:b/>
          <w:bCs/>
          <w:i/>
          <w:iCs/>
          <w:sz w:val="24"/>
          <w:szCs w:val="24"/>
        </w:rPr>
      </w:pPr>
    </w:p>
    <w:p w14:paraId="6E29C85C" w14:textId="77777777" w:rsidR="00B72ED7" w:rsidRPr="00B92969" w:rsidRDefault="00B72ED7" w:rsidP="00B72ED7">
      <w:pPr>
        <w:pStyle w:val="Ttulo3"/>
        <w:rPr>
          <w:b w:val="0"/>
          <w:bCs w:val="0"/>
          <w:i/>
          <w:iCs/>
          <w:szCs w:val="24"/>
        </w:rPr>
      </w:pPr>
      <w:bookmarkStart w:id="29" w:name="_Toc128042091"/>
      <w:r w:rsidRPr="00B92969">
        <w:rPr>
          <w:i/>
          <w:iCs/>
          <w:szCs w:val="24"/>
        </w:rPr>
        <w:t>Artículo 10. Usos alternativos del índice sistémico</w:t>
      </w:r>
      <w:bookmarkEnd w:id="29"/>
      <w:r w:rsidRPr="00B92969">
        <w:rPr>
          <w:i/>
          <w:iCs/>
          <w:szCs w:val="24"/>
        </w:rPr>
        <w:t xml:space="preserve"> </w:t>
      </w:r>
    </w:p>
    <w:p w14:paraId="53F86AF4" w14:textId="77777777" w:rsidR="00B72ED7" w:rsidRPr="00B92969" w:rsidRDefault="00B72ED7" w:rsidP="00B72ED7">
      <w:pPr>
        <w:jc w:val="both"/>
        <w:rPr>
          <w:i/>
          <w:iCs/>
          <w:sz w:val="24"/>
          <w:szCs w:val="24"/>
        </w:rPr>
      </w:pPr>
      <w:r w:rsidRPr="00B92969">
        <w:rPr>
          <w:i/>
          <w:iCs/>
          <w:sz w:val="24"/>
          <w:szCs w:val="24"/>
        </w:rPr>
        <w:t>La SUGEF podrá utilizar el índice sistémico de cada entidad para el establecimiento de categorías o clasificaciones distintas a la condición de importancia sistémica, las cuales tengan diferentes usos en la regulación y en los esquemas de supervisión basada en riesgos de las entidades.</w:t>
      </w:r>
    </w:p>
    <w:p w14:paraId="3FB3D2F9" w14:textId="77777777" w:rsidR="00B72ED7" w:rsidRPr="00B92969" w:rsidRDefault="00B72ED7" w:rsidP="00B72ED7">
      <w:pPr>
        <w:jc w:val="both"/>
        <w:rPr>
          <w:sz w:val="24"/>
          <w:szCs w:val="24"/>
        </w:rPr>
      </w:pPr>
    </w:p>
    <w:p w14:paraId="70B1659C" w14:textId="77777777" w:rsidR="00B72ED7" w:rsidRPr="00B92969" w:rsidRDefault="00B72ED7" w:rsidP="00B72ED7">
      <w:pPr>
        <w:pStyle w:val="Ttulo2"/>
        <w:jc w:val="center"/>
        <w:rPr>
          <w:b w:val="0"/>
          <w:bCs/>
          <w:i/>
          <w:iCs/>
          <w:sz w:val="24"/>
          <w:szCs w:val="24"/>
        </w:rPr>
      </w:pPr>
      <w:bookmarkStart w:id="30" w:name="_Toc128042092"/>
      <w:r w:rsidRPr="00B92969">
        <w:rPr>
          <w:sz w:val="24"/>
          <w:szCs w:val="24"/>
        </w:rPr>
        <w:t>DISPOSICIONES ADICIONALES</w:t>
      </w:r>
      <w:bookmarkEnd w:id="30"/>
    </w:p>
    <w:p w14:paraId="26CFE621" w14:textId="77777777" w:rsidR="00B72ED7" w:rsidRPr="00B92969" w:rsidRDefault="00B72ED7" w:rsidP="00B72ED7">
      <w:pPr>
        <w:tabs>
          <w:tab w:val="left" w:pos="426"/>
        </w:tabs>
        <w:jc w:val="both"/>
        <w:rPr>
          <w:i/>
          <w:iCs/>
          <w:sz w:val="24"/>
          <w:szCs w:val="24"/>
        </w:rPr>
      </w:pPr>
    </w:p>
    <w:p w14:paraId="10BC3916" w14:textId="77777777" w:rsidR="00B72ED7" w:rsidRPr="00B92969" w:rsidRDefault="00B72ED7" w:rsidP="00B72ED7">
      <w:pPr>
        <w:pStyle w:val="Ttulo3"/>
        <w:rPr>
          <w:b w:val="0"/>
          <w:bCs w:val="0"/>
          <w:i/>
          <w:iCs/>
          <w:szCs w:val="24"/>
        </w:rPr>
      </w:pPr>
      <w:bookmarkStart w:id="31" w:name="_Toc128042093"/>
      <w:r w:rsidRPr="00B92969">
        <w:rPr>
          <w:i/>
          <w:iCs/>
          <w:szCs w:val="24"/>
        </w:rPr>
        <w:t>Disposición adicional primera</w:t>
      </w:r>
      <w:bookmarkEnd w:id="31"/>
    </w:p>
    <w:p w14:paraId="1FE6C435" w14:textId="77777777" w:rsidR="00B72ED7" w:rsidRPr="00B92969" w:rsidRDefault="00B72ED7" w:rsidP="00B72ED7">
      <w:pPr>
        <w:jc w:val="both"/>
        <w:rPr>
          <w:i/>
          <w:iCs/>
          <w:color w:val="000000" w:themeColor="text1"/>
          <w:sz w:val="24"/>
          <w:szCs w:val="24"/>
        </w:rPr>
      </w:pPr>
      <w:r w:rsidRPr="00B92969">
        <w:rPr>
          <w:i/>
          <w:iCs/>
          <w:color w:val="000000" w:themeColor="text1"/>
          <w:sz w:val="24"/>
          <w:szCs w:val="24"/>
        </w:rPr>
        <w:t xml:space="preserve">La SUGEF comunicará a las entidades de importancia sistémica cualquier cambio en su condición, dentro del plazo de diez días hábiles contados a partir de la publicación del presente reglamento en el diario oficial La Gaceta. </w:t>
      </w:r>
    </w:p>
    <w:p w14:paraId="7301D61B" w14:textId="77777777" w:rsidR="00B72ED7" w:rsidRPr="00B92969" w:rsidRDefault="00B72ED7" w:rsidP="00B72ED7">
      <w:pPr>
        <w:jc w:val="both"/>
        <w:rPr>
          <w:sz w:val="24"/>
          <w:szCs w:val="24"/>
        </w:rPr>
      </w:pPr>
    </w:p>
    <w:p w14:paraId="287FB422" w14:textId="77777777" w:rsidR="00B72ED7" w:rsidRPr="00B92969" w:rsidRDefault="00B72ED7" w:rsidP="00B72ED7">
      <w:pPr>
        <w:pStyle w:val="Ttulo3"/>
        <w:rPr>
          <w:b w:val="0"/>
          <w:bCs w:val="0"/>
          <w:i/>
          <w:iCs/>
          <w:szCs w:val="24"/>
        </w:rPr>
      </w:pPr>
      <w:bookmarkStart w:id="32" w:name="_Toc128042094"/>
      <w:r w:rsidRPr="00B92969">
        <w:rPr>
          <w:i/>
          <w:iCs/>
          <w:szCs w:val="24"/>
        </w:rPr>
        <w:t>Disposición adicional segunda</w:t>
      </w:r>
      <w:bookmarkEnd w:id="32"/>
    </w:p>
    <w:p w14:paraId="462E4C9A" w14:textId="77777777" w:rsidR="00B72ED7" w:rsidRPr="00B92969" w:rsidRDefault="00B72ED7" w:rsidP="00B72ED7">
      <w:pPr>
        <w:jc w:val="both"/>
        <w:rPr>
          <w:i/>
          <w:iCs/>
          <w:sz w:val="24"/>
          <w:szCs w:val="24"/>
        </w:rPr>
      </w:pPr>
      <w:r w:rsidRPr="00B92969">
        <w:rPr>
          <w:i/>
          <w:iCs/>
          <w:sz w:val="24"/>
          <w:szCs w:val="24"/>
        </w:rPr>
        <w:t xml:space="preserve">La SUGEF publicará, en su sitio web, los datos promedios agregados de los últimos doce meses de las variables utilizadas para la determinación de la condición de entidad de importancia sistémica, con el fin de que las entidades puedan monitorear, de forma prospectiva, la evolución de su índice de importancia sistémica. </w:t>
      </w:r>
    </w:p>
    <w:p w14:paraId="793D7806" w14:textId="77777777" w:rsidR="00B72ED7" w:rsidRPr="00B92969" w:rsidRDefault="00B72ED7" w:rsidP="00B72ED7">
      <w:pPr>
        <w:jc w:val="both"/>
        <w:rPr>
          <w:i/>
          <w:iCs/>
          <w:sz w:val="24"/>
          <w:szCs w:val="24"/>
          <w:highlight w:val="yellow"/>
        </w:rPr>
      </w:pPr>
    </w:p>
    <w:p w14:paraId="46327457" w14:textId="77777777" w:rsidR="00B72ED7" w:rsidRPr="00B92969" w:rsidRDefault="00B72ED7" w:rsidP="00B72ED7">
      <w:pPr>
        <w:jc w:val="both"/>
        <w:rPr>
          <w:i/>
          <w:iCs/>
          <w:sz w:val="24"/>
          <w:szCs w:val="24"/>
        </w:rPr>
      </w:pPr>
      <w:r w:rsidRPr="00B92969">
        <w:rPr>
          <w:i/>
          <w:iCs/>
          <w:sz w:val="24"/>
          <w:szCs w:val="24"/>
        </w:rPr>
        <w:t>La publicación se realizará al cierre de los meses de marzo, junio, septiembre y diciembre de cada año, a más tardar, al vigésimo día hábil del mes siguiente según corresponda.</w:t>
      </w:r>
    </w:p>
    <w:p w14:paraId="18A618AE" w14:textId="77777777" w:rsidR="00B72ED7" w:rsidRPr="00B92969" w:rsidRDefault="00B72ED7" w:rsidP="00B72ED7">
      <w:pPr>
        <w:jc w:val="both"/>
        <w:rPr>
          <w:i/>
          <w:iCs/>
          <w:sz w:val="24"/>
          <w:szCs w:val="24"/>
        </w:rPr>
      </w:pPr>
    </w:p>
    <w:p w14:paraId="370D9458" w14:textId="77777777" w:rsidR="00B72ED7" w:rsidRPr="00B92969" w:rsidRDefault="00B72ED7" w:rsidP="00B72ED7">
      <w:pPr>
        <w:jc w:val="both"/>
        <w:rPr>
          <w:i/>
          <w:iCs/>
          <w:sz w:val="24"/>
          <w:szCs w:val="24"/>
        </w:rPr>
      </w:pPr>
      <w:r w:rsidRPr="00B92969">
        <w:rPr>
          <w:i/>
          <w:iCs/>
          <w:sz w:val="24"/>
          <w:szCs w:val="24"/>
        </w:rPr>
        <w:t>La primera publicación de los datos promedios agregados de las variables se realizará con corte al 31 de diciembre del 2022.</w:t>
      </w:r>
    </w:p>
    <w:p w14:paraId="1F00B23D" w14:textId="77777777" w:rsidR="00B72ED7" w:rsidRPr="00B92969" w:rsidRDefault="00B72ED7" w:rsidP="00B72ED7">
      <w:pPr>
        <w:jc w:val="both"/>
        <w:rPr>
          <w:i/>
          <w:iCs/>
          <w:sz w:val="24"/>
          <w:szCs w:val="24"/>
        </w:rPr>
      </w:pPr>
    </w:p>
    <w:p w14:paraId="78C27F76" w14:textId="77777777" w:rsidR="00B72ED7" w:rsidRPr="00B92969" w:rsidRDefault="00B72ED7" w:rsidP="00B72ED7">
      <w:pPr>
        <w:pStyle w:val="Ttulo3"/>
        <w:rPr>
          <w:b w:val="0"/>
          <w:bCs w:val="0"/>
          <w:i/>
          <w:iCs/>
          <w:szCs w:val="24"/>
        </w:rPr>
      </w:pPr>
      <w:bookmarkStart w:id="33" w:name="_Toc128042095"/>
      <w:r w:rsidRPr="00B92969">
        <w:rPr>
          <w:i/>
          <w:iCs/>
          <w:szCs w:val="24"/>
        </w:rPr>
        <w:t>Disposición adicional tercera</w:t>
      </w:r>
      <w:bookmarkEnd w:id="33"/>
    </w:p>
    <w:p w14:paraId="58A0BFA3" w14:textId="77777777" w:rsidR="00B72ED7" w:rsidRPr="00B92969" w:rsidRDefault="00B72ED7" w:rsidP="00B72ED7">
      <w:pPr>
        <w:jc w:val="both"/>
        <w:rPr>
          <w:i/>
          <w:iCs/>
          <w:sz w:val="24"/>
          <w:szCs w:val="24"/>
        </w:rPr>
      </w:pPr>
      <w:r w:rsidRPr="00B92969">
        <w:rPr>
          <w:i/>
          <w:iCs/>
          <w:sz w:val="24"/>
          <w:szCs w:val="24"/>
        </w:rPr>
        <w:t>La SUGEF realizará la primera publicación de la lista de entidades de importancia sistémica en el transcurso del mes siguiente de la publicación del presente reglamento en el diario oficial La Gaceta.</w:t>
      </w:r>
    </w:p>
    <w:p w14:paraId="29E4AE1A" w14:textId="77777777" w:rsidR="00B72ED7" w:rsidRPr="00B92969" w:rsidRDefault="00B72ED7" w:rsidP="00B72ED7">
      <w:pPr>
        <w:tabs>
          <w:tab w:val="left" w:pos="426"/>
        </w:tabs>
        <w:jc w:val="both"/>
        <w:rPr>
          <w:i/>
          <w:iCs/>
          <w:sz w:val="24"/>
          <w:szCs w:val="24"/>
        </w:rPr>
      </w:pPr>
    </w:p>
    <w:p w14:paraId="44F7E5C6" w14:textId="77777777" w:rsidR="00B72ED7" w:rsidRPr="00B92969" w:rsidRDefault="00B72ED7" w:rsidP="00B72ED7">
      <w:pPr>
        <w:jc w:val="both"/>
        <w:rPr>
          <w:i/>
          <w:iCs/>
          <w:sz w:val="24"/>
          <w:szCs w:val="24"/>
        </w:rPr>
      </w:pPr>
      <w:r w:rsidRPr="00B92969">
        <w:rPr>
          <w:i/>
          <w:iCs/>
          <w:sz w:val="24"/>
          <w:szCs w:val="24"/>
        </w:rPr>
        <w:t>Rige a partir de su publicación en el diario oficial La Gaceta.”</w:t>
      </w:r>
    </w:p>
    <w:p w14:paraId="7536BDF5" w14:textId="77777777" w:rsidR="00B72ED7" w:rsidRPr="00B92969" w:rsidRDefault="00B72ED7" w:rsidP="00B72ED7">
      <w:pPr>
        <w:jc w:val="both"/>
        <w:rPr>
          <w:i/>
          <w:iCs/>
          <w:sz w:val="24"/>
          <w:szCs w:val="24"/>
        </w:rPr>
      </w:pPr>
    </w:p>
    <w:p w14:paraId="502268D3" w14:textId="77777777" w:rsidR="00B72ED7" w:rsidRPr="00B92969" w:rsidRDefault="00B72ED7" w:rsidP="00B72ED7">
      <w:pPr>
        <w:widowControl w:val="0"/>
        <w:ind w:left="426" w:hanging="567"/>
        <w:jc w:val="both"/>
        <w:rPr>
          <w:b/>
          <w:bCs/>
          <w:sz w:val="24"/>
          <w:szCs w:val="24"/>
        </w:rPr>
      </w:pPr>
      <w:r w:rsidRPr="00B92969">
        <w:rPr>
          <w:b/>
          <w:bCs/>
          <w:sz w:val="24"/>
          <w:szCs w:val="24"/>
        </w:rPr>
        <w:t>II.</w:t>
      </w:r>
      <w:r w:rsidRPr="00B92969">
        <w:rPr>
          <w:b/>
          <w:bCs/>
          <w:sz w:val="24"/>
          <w:szCs w:val="24"/>
        </w:rPr>
        <w:tab/>
        <w:t xml:space="preserve">En lo atinente al Acuerdo SUGEF 3-06, </w:t>
      </w:r>
      <w:r w:rsidRPr="00B92969">
        <w:rPr>
          <w:b/>
          <w:bCs/>
          <w:i/>
          <w:iCs/>
          <w:sz w:val="24"/>
          <w:szCs w:val="24"/>
        </w:rPr>
        <w:t>Reglamento sobre la suficiencia patrimonial de entidades financieras (</w:t>
      </w:r>
      <w:r w:rsidRPr="00B92969">
        <w:rPr>
          <w:b/>
          <w:bCs/>
          <w:sz w:val="24"/>
          <w:szCs w:val="24"/>
        </w:rPr>
        <w:t xml:space="preserve">Modificación con </w:t>
      </w:r>
      <w:proofErr w:type="gramStart"/>
      <w:r w:rsidRPr="00B92969">
        <w:rPr>
          <w:b/>
          <w:bCs/>
          <w:sz w:val="24"/>
          <w:szCs w:val="24"/>
        </w:rPr>
        <w:t>entrada en vigencia</w:t>
      </w:r>
      <w:proofErr w:type="gramEnd"/>
      <w:r w:rsidRPr="00B92969">
        <w:rPr>
          <w:b/>
          <w:bCs/>
          <w:sz w:val="24"/>
          <w:szCs w:val="24"/>
        </w:rPr>
        <w:t xml:space="preserve"> en 2025):</w:t>
      </w:r>
    </w:p>
    <w:p w14:paraId="531C3434" w14:textId="77777777" w:rsidR="00B72ED7" w:rsidRPr="00B92969" w:rsidRDefault="00B72ED7" w:rsidP="00B72ED7">
      <w:pPr>
        <w:widowControl w:val="0"/>
        <w:ind w:left="426" w:hanging="567"/>
        <w:jc w:val="both"/>
        <w:rPr>
          <w:b/>
          <w:bCs/>
          <w:sz w:val="24"/>
          <w:szCs w:val="24"/>
        </w:rPr>
      </w:pPr>
    </w:p>
    <w:p w14:paraId="7C0B88A7" w14:textId="77777777" w:rsidR="00B72ED7" w:rsidRPr="00B92969" w:rsidRDefault="00B72ED7" w:rsidP="00B72ED7">
      <w:pPr>
        <w:widowControl w:val="0"/>
        <w:ind w:left="426" w:hanging="567"/>
        <w:jc w:val="both"/>
        <w:rPr>
          <w:b/>
          <w:bCs/>
          <w:sz w:val="24"/>
          <w:szCs w:val="24"/>
        </w:rPr>
      </w:pPr>
      <w:r w:rsidRPr="00B92969">
        <w:rPr>
          <w:b/>
          <w:bCs/>
          <w:sz w:val="24"/>
          <w:szCs w:val="24"/>
        </w:rPr>
        <w:t>resolvió en firme:</w:t>
      </w:r>
    </w:p>
    <w:p w14:paraId="61865FBC" w14:textId="77777777" w:rsidR="00B72ED7" w:rsidRPr="00B92969" w:rsidRDefault="00B72ED7" w:rsidP="00B72ED7">
      <w:pPr>
        <w:widowControl w:val="0"/>
        <w:ind w:left="426" w:hanging="426"/>
        <w:jc w:val="both"/>
        <w:rPr>
          <w:sz w:val="24"/>
          <w:szCs w:val="24"/>
        </w:rPr>
      </w:pPr>
    </w:p>
    <w:p w14:paraId="7B138CE1" w14:textId="77777777" w:rsidR="00B72ED7" w:rsidRPr="00B92969" w:rsidRDefault="00B72ED7" w:rsidP="00B72ED7">
      <w:pPr>
        <w:widowControl w:val="0"/>
        <w:ind w:left="426" w:hanging="426"/>
        <w:jc w:val="both"/>
        <w:rPr>
          <w:sz w:val="24"/>
          <w:szCs w:val="24"/>
        </w:rPr>
      </w:pPr>
      <w:r w:rsidRPr="00B92969">
        <w:rPr>
          <w:sz w:val="24"/>
          <w:szCs w:val="24"/>
        </w:rPr>
        <w:t>1.</w:t>
      </w:r>
      <w:r w:rsidRPr="00B92969">
        <w:rPr>
          <w:sz w:val="24"/>
          <w:szCs w:val="24"/>
        </w:rPr>
        <w:tab/>
        <w:t xml:space="preserve">Modificar el </w:t>
      </w:r>
      <w:r w:rsidRPr="00B92969">
        <w:rPr>
          <w:i/>
          <w:iCs/>
          <w:sz w:val="24"/>
          <w:szCs w:val="24"/>
        </w:rPr>
        <w:t>Artículo 68 Determinación de la condición de entidad de importancia sistémica</w:t>
      </w:r>
      <w:r w:rsidRPr="00B92969">
        <w:rPr>
          <w:sz w:val="24"/>
          <w:szCs w:val="24"/>
        </w:rPr>
        <w:t>, de conformidad con el siguiente texto:</w:t>
      </w:r>
    </w:p>
    <w:p w14:paraId="38108EEC" w14:textId="77777777" w:rsidR="00B72ED7" w:rsidRPr="00B92969" w:rsidRDefault="00B72ED7" w:rsidP="00B72ED7">
      <w:pPr>
        <w:widowControl w:val="0"/>
        <w:ind w:left="851" w:right="425"/>
        <w:jc w:val="both"/>
        <w:rPr>
          <w:sz w:val="24"/>
          <w:szCs w:val="24"/>
        </w:rPr>
      </w:pPr>
    </w:p>
    <w:p w14:paraId="6E47BEE3" w14:textId="77777777" w:rsidR="00B72ED7" w:rsidRPr="007846FB" w:rsidRDefault="00B72ED7" w:rsidP="00B72ED7">
      <w:pPr>
        <w:widowControl w:val="0"/>
        <w:ind w:left="851" w:right="425"/>
        <w:jc w:val="both"/>
        <w:rPr>
          <w:b/>
          <w:bCs/>
          <w:i/>
          <w:iCs/>
          <w:sz w:val="22"/>
          <w:szCs w:val="22"/>
        </w:rPr>
      </w:pPr>
      <w:r w:rsidRPr="007846FB">
        <w:rPr>
          <w:b/>
          <w:bCs/>
          <w:i/>
          <w:iCs/>
          <w:sz w:val="22"/>
          <w:szCs w:val="22"/>
        </w:rPr>
        <w:t>“Artículo 68. Determinación de la condición de entidad de importancia sistémica</w:t>
      </w:r>
    </w:p>
    <w:p w14:paraId="5172EB6C" w14:textId="77777777" w:rsidR="00B72ED7" w:rsidRPr="007846FB" w:rsidRDefault="00B72ED7" w:rsidP="00B72ED7">
      <w:pPr>
        <w:widowControl w:val="0"/>
        <w:ind w:left="851" w:right="425"/>
        <w:jc w:val="both"/>
        <w:rPr>
          <w:b/>
          <w:bCs/>
          <w:i/>
          <w:iCs/>
          <w:sz w:val="22"/>
          <w:szCs w:val="22"/>
        </w:rPr>
      </w:pPr>
    </w:p>
    <w:p w14:paraId="40BE69DF" w14:textId="77777777" w:rsidR="00B72ED7" w:rsidRPr="007846FB" w:rsidRDefault="00B72ED7" w:rsidP="00B72ED7">
      <w:pPr>
        <w:ind w:left="851" w:right="425"/>
        <w:jc w:val="both"/>
        <w:rPr>
          <w:i/>
          <w:iCs/>
          <w:sz w:val="22"/>
          <w:szCs w:val="22"/>
        </w:rPr>
      </w:pPr>
      <w:r w:rsidRPr="007846FB">
        <w:rPr>
          <w:i/>
          <w:iCs/>
          <w:sz w:val="22"/>
          <w:szCs w:val="22"/>
        </w:rPr>
        <w:t xml:space="preserve">La condición de entidad de importancia sistémica será determinada por la SUGEF mediante la aplicación de la metodología de puntaje dispuesta en el </w:t>
      </w:r>
      <w:bookmarkStart w:id="34" w:name="_Hlk114222417"/>
      <w:r w:rsidRPr="007846FB">
        <w:rPr>
          <w:i/>
          <w:iCs/>
          <w:sz w:val="22"/>
          <w:szCs w:val="22"/>
        </w:rPr>
        <w:t>Reglamento sobre la Metodología de Identificación de Entidades de Importancia Sistémica.</w:t>
      </w:r>
      <w:bookmarkEnd w:id="34"/>
    </w:p>
    <w:p w14:paraId="63F06F78" w14:textId="77777777" w:rsidR="00B72ED7" w:rsidRPr="007846FB" w:rsidRDefault="00B72ED7" w:rsidP="00B72ED7">
      <w:pPr>
        <w:ind w:left="851" w:right="425"/>
        <w:jc w:val="both"/>
        <w:rPr>
          <w:i/>
          <w:iCs/>
          <w:sz w:val="22"/>
          <w:szCs w:val="22"/>
        </w:rPr>
      </w:pPr>
      <w:bookmarkStart w:id="35" w:name="_Hlk121297930"/>
      <w:r w:rsidRPr="007846FB">
        <w:rPr>
          <w:i/>
          <w:iCs/>
          <w:sz w:val="22"/>
          <w:szCs w:val="22"/>
        </w:rPr>
        <w:t>La exigencia del cumplimiento del requerimiento adicional de capital por importancia sistémica (CIS) será efectiva a partir del cierre del tercer mes contado a partir del mes de comunicación a la entidad sobre su condición de importancia sistémica o sobre cambios en dicha condición.”</w:t>
      </w:r>
    </w:p>
    <w:p w14:paraId="19F1382C" w14:textId="77777777" w:rsidR="00B72ED7" w:rsidRPr="00B92969" w:rsidRDefault="00B72ED7" w:rsidP="00B72ED7">
      <w:pPr>
        <w:ind w:left="426"/>
        <w:jc w:val="both"/>
        <w:rPr>
          <w:i/>
          <w:iCs/>
          <w:sz w:val="24"/>
          <w:szCs w:val="24"/>
        </w:rPr>
      </w:pPr>
    </w:p>
    <w:bookmarkEnd w:id="35"/>
    <w:p w14:paraId="5604A0D6" w14:textId="77777777" w:rsidR="00B72ED7" w:rsidRPr="00B92969" w:rsidRDefault="00B72ED7" w:rsidP="00B72ED7">
      <w:pPr>
        <w:ind w:left="426" w:hanging="426"/>
        <w:jc w:val="both"/>
        <w:rPr>
          <w:sz w:val="24"/>
          <w:szCs w:val="24"/>
        </w:rPr>
      </w:pPr>
      <w:r w:rsidRPr="00B92969">
        <w:rPr>
          <w:sz w:val="24"/>
          <w:szCs w:val="24"/>
        </w:rPr>
        <w:t>2.</w:t>
      </w:r>
      <w:r w:rsidRPr="00B92969">
        <w:rPr>
          <w:sz w:val="24"/>
          <w:szCs w:val="24"/>
        </w:rPr>
        <w:tab/>
        <w:t xml:space="preserve">Modificar la tabla del </w:t>
      </w:r>
      <w:r w:rsidRPr="00B92969">
        <w:rPr>
          <w:i/>
          <w:iCs/>
          <w:sz w:val="24"/>
          <w:szCs w:val="24"/>
        </w:rPr>
        <w:t>Artículo 69 Requerimientos adicionales de capital en función de la condición de importancia sistémica (CIS),</w:t>
      </w:r>
      <w:r w:rsidRPr="00B92969">
        <w:rPr>
          <w:sz w:val="24"/>
          <w:szCs w:val="24"/>
        </w:rPr>
        <w:t xml:space="preserve"> de conformidad con el siguiente texto:</w:t>
      </w:r>
    </w:p>
    <w:p w14:paraId="0A9B1C12" w14:textId="77777777" w:rsidR="00B72ED7" w:rsidRPr="00B92969" w:rsidRDefault="00B72ED7" w:rsidP="00B72ED7">
      <w:pPr>
        <w:ind w:left="426"/>
        <w:jc w:val="both"/>
        <w:rPr>
          <w:sz w:val="24"/>
          <w:szCs w:val="24"/>
        </w:rPr>
      </w:pPr>
    </w:p>
    <w:p w14:paraId="7B908859" w14:textId="77777777" w:rsidR="00B72ED7" w:rsidRPr="00B92969" w:rsidRDefault="00B72ED7" w:rsidP="00B72ED7">
      <w:pPr>
        <w:widowControl w:val="0"/>
        <w:ind w:left="851" w:right="425"/>
        <w:jc w:val="both"/>
        <w:rPr>
          <w:b/>
          <w:bCs/>
          <w:i/>
          <w:iCs/>
          <w:sz w:val="24"/>
          <w:szCs w:val="24"/>
        </w:rPr>
      </w:pPr>
      <w:r w:rsidRPr="00B92969">
        <w:rPr>
          <w:b/>
          <w:bCs/>
          <w:i/>
          <w:iCs/>
          <w:sz w:val="24"/>
          <w:szCs w:val="24"/>
        </w:rPr>
        <w:t>“Artículo 69. Requerimientos adicionales de capital en función de la condición de importancia sistémica (CIS)</w:t>
      </w:r>
    </w:p>
    <w:p w14:paraId="72CBA5CE" w14:textId="77777777" w:rsidR="00B72ED7" w:rsidRPr="00B92969" w:rsidRDefault="00B72ED7" w:rsidP="00B72ED7">
      <w:pPr>
        <w:ind w:left="426" w:right="425" w:firstLine="425"/>
        <w:jc w:val="both"/>
        <w:rPr>
          <w:i/>
          <w:iCs/>
          <w:sz w:val="24"/>
          <w:szCs w:val="24"/>
        </w:rPr>
      </w:pPr>
    </w:p>
    <w:p w14:paraId="09A4CA33" w14:textId="77777777" w:rsidR="00B72ED7" w:rsidRPr="00B92969" w:rsidRDefault="00B72ED7" w:rsidP="00B72ED7">
      <w:pPr>
        <w:ind w:left="426" w:right="425" w:firstLine="425"/>
        <w:jc w:val="both"/>
        <w:rPr>
          <w:i/>
          <w:iCs/>
          <w:sz w:val="24"/>
          <w:szCs w:val="24"/>
        </w:rPr>
      </w:pPr>
      <w:r w:rsidRPr="00B92969">
        <w:rPr>
          <w:i/>
          <w:iCs/>
          <w:sz w:val="24"/>
          <w:szCs w:val="24"/>
        </w:rPr>
        <w:t>[…]</w:t>
      </w:r>
    </w:p>
    <w:p w14:paraId="11EDAB78" w14:textId="77777777" w:rsidR="00B72ED7" w:rsidRPr="00B92969" w:rsidRDefault="00B72ED7" w:rsidP="00B72ED7">
      <w:pPr>
        <w:ind w:left="426" w:right="425" w:firstLine="425"/>
        <w:jc w:val="both"/>
        <w:rPr>
          <w:i/>
          <w:iCs/>
          <w:sz w:val="24"/>
          <w:szCs w:val="24"/>
        </w:rPr>
      </w:pPr>
    </w:p>
    <w:tbl>
      <w:tblPr>
        <w:tblW w:w="4184" w:type="pct"/>
        <w:jc w:val="center"/>
        <w:tblCellMar>
          <w:left w:w="0" w:type="dxa"/>
          <w:right w:w="0" w:type="dxa"/>
        </w:tblCellMar>
        <w:tblLook w:val="04A0" w:firstRow="1" w:lastRow="0" w:firstColumn="1" w:lastColumn="0" w:noHBand="0" w:noVBand="1"/>
      </w:tblPr>
      <w:tblGrid>
        <w:gridCol w:w="2026"/>
        <w:gridCol w:w="2965"/>
        <w:gridCol w:w="2592"/>
      </w:tblGrid>
      <w:tr w:rsidR="00B72ED7" w:rsidRPr="007846FB" w14:paraId="3BFC5AEE" w14:textId="77777777" w:rsidTr="00C42CD8">
        <w:trPr>
          <w:trHeight w:val="477"/>
          <w:jc w:val="center"/>
        </w:trPr>
        <w:tc>
          <w:tcPr>
            <w:tcW w:w="1336" w:type="pct"/>
            <w:tcBorders>
              <w:top w:val="single" w:sz="4" w:space="0" w:color="auto"/>
              <w:left w:val="single" w:sz="4" w:space="0" w:color="auto"/>
              <w:bottom w:val="single" w:sz="4" w:space="0" w:color="auto"/>
              <w:right w:val="single" w:sz="4" w:space="0" w:color="auto"/>
            </w:tcBorders>
            <w:shd w:val="clear" w:color="auto" w:fill="1F3864" w:themeFill="accent1" w:themeFillShade="80"/>
            <w:tcMar>
              <w:top w:w="0" w:type="dxa"/>
              <w:left w:w="108" w:type="dxa"/>
              <w:bottom w:w="0" w:type="dxa"/>
              <w:right w:w="108" w:type="dxa"/>
            </w:tcMar>
            <w:vAlign w:val="center"/>
            <w:hideMark/>
          </w:tcPr>
          <w:p w14:paraId="65D7E31F" w14:textId="77777777" w:rsidR="00B72ED7" w:rsidRPr="007846FB" w:rsidRDefault="00B72ED7" w:rsidP="00C42CD8">
            <w:pPr>
              <w:widowControl w:val="0"/>
              <w:ind w:right="425"/>
              <w:jc w:val="center"/>
              <w:rPr>
                <w:b/>
                <w:bCs/>
                <w:i/>
                <w:iCs/>
                <w:sz w:val="22"/>
                <w:szCs w:val="22"/>
              </w:rPr>
            </w:pPr>
            <w:bookmarkStart w:id="36" w:name="_Hlk127869603"/>
            <w:r w:rsidRPr="007846FB">
              <w:rPr>
                <w:b/>
                <w:bCs/>
                <w:i/>
                <w:iCs/>
                <w:sz w:val="22"/>
                <w:szCs w:val="22"/>
              </w:rPr>
              <w:t>Categoría de Importancia Sistémica</w:t>
            </w:r>
          </w:p>
        </w:tc>
        <w:tc>
          <w:tcPr>
            <w:tcW w:w="1955" w:type="pct"/>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263115DF" w14:textId="77777777" w:rsidR="00B72ED7" w:rsidRPr="007846FB" w:rsidRDefault="00B72ED7" w:rsidP="00C42CD8">
            <w:pPr>
              <w:widowControl w:val="0"/>
              <w:ind w:right="425"/>
              <w:jc w:val="center"/>
              <w:rPr>
                <w:b/>
                <w:bCs/>
                <w:i/>
                <w:iCs/>
                <w:sz w:val="22"/>
                <w:szCs w:val="22"/>
              </w:rPr>
            </w:pPr>
            <w:r w:rsidRPr="007846FB">
              <w:rPr>
                <w:b/>
                <w:bCs/>
                <w:i/>
                <w:iCs/>
                <w:sz w:val="22"/>
                <w:szCs w:val="22"/>
              </w:rPr>
              <w:t>Rangos de puntaje</w:t>
            </w:r>
          </w:p>
        </w:tc>
        <w:tc>
          <w:tcPr>
            <w:tcW w:w="1709" w:type="pct"/>
            <w:tcBorders>
              <w:top w:val="single" w:sz="4" w:space="0" w:color="auto"/>
              <w:left w:val="single" w:sz="4" w:space="0" w:color="auto"/>
              <w:bottom w:val="single" w:sz="4" w:space="0" w:color="auto"/>
              <w:right w:val="single" w:sz="4" w:space="0" w:color="auto"/>
            </w:tcBorders>
            <w:shd w:val="clear" w:color="auto" w:fill="1F3864" w:themeFill="accent1" w:themeFillShade="80"/>
            <w:tcMar>
              <w:top w:w="0" w:type="dxa"/>
              <w:left w:w="108" w:type="dxa"/>
              <w:bottom w:w="0" w:type="dxa"/>
              <w:right w:w="108" w:type="dxa"/>
            </w:tcMar>
            <w:vAlign w:val="center"/>
            <w:hideMark/>
          </w:tcPr>
          <w:p w14:paraId="4420DE48" w14:textId="77777777" w:rsidR="00B72ED7" w:rsidRPr="007846FB" w:rsidRDefault="00B72ED7" w:rsidP="00C42CD8">
            <w:pPr>
              <w:widowControl w:val="0"/>
              <w:ind w:right="425"/>
              <w:jc w:val="center"/>
              <w:rPr>
                <w:b/>
                <w:bCs/>
                <w:i/>
                <w:iCs/>
                <w:sz w:val="22"/>
                <w:szCs w:val="22"/>
              </w:rPr>
            </w:pPr>
            <w:r w:rsidRPr="007846FB">
              <w:rPr>
                <w:b/>
                <w:bCs/>
                <w:i/>
                <w:iCs/>
                <w:sz w:val="22"/>
                <w:szCs w:val="22"/>
              </w:rPr>
              <w:t>Requerimientos adicionales por CIS</w:t>
            </w:r>
          </w:p>
        </w:tc>
      </w:tr>
      <w:tr w:rsidR="00B72ED7" w:rsidRPr="007846FB" w14:paraId="1C707247" w14:textId="77777777" w:rsidTr="00C42CD8">
        <w:trPr>
          <w:trHeight w:val="252"/>
          <w:jc w:val="center"/>
        </w:trPr>
        <w:tc>
          <w:tcPr>
            <w:tcW w:w="1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393014" w14:textId="77777777" w:rsidR="00B72ED7" w:rsidRPr="007846FB" w:rsidRDefault="00B72ED7" w:rsidP="00C42CD8">
            <w:pPr>
              <w:widowControl w:val="0"/>
              <w:ind w:right="425"/>
              <w:jc w:val="center"/>
              <w:rPr>
                <w:b/>
                <w:bCs/>
                <w:i/>
                <w:iCs/>
                <w:sz w:val="22"/>
                <w:szCs w:val="22"/>
              </w:rPr>
            </w:pPr>
            <w:r w:rsidRPr="007846FB">
              <w:rPr>
                <w:b/>
                <w:bCs/>
                <w:i/>
                <w:iCs/>
                <w:sz w:val="22"/>
                <w:szCs w:val="22"/>
              </w:rPr>
              <w:t>1</w:t>
            </w:r>
          </w:p>
        </w:tc>
        <w:tc>
          <w:tcPr>
            <w:tcW w:w="1955" w:type="pct"/>
            <w:tcBorders>
              <w:top w:val="single" w:sz="4" w:space="0" w:color="auto"/>
              <w:left w:val="single" w:sz="4" w:space="0" w:color="auto"/>
              <w:bottom w:val="single" w:sz="4" w:space="0" w:color="auto"/>
              <w:right w:val="single" w:sz="4" w:space="0" w:color="auto"/>
            </w:tcBorders>
          </w:tcPr>
          <w:p w14:paraId="3BF66461" w14:textId="77777777" w:rsidR="00B72ED7" w:rsidRPr="007846FB" w:rsidRDefault="00B72ED7" w:rsidP="00C42CD8">
            <w:pPr>
              <w:widowControl w:val="0"/>
              <w:ind w:left="148" w:right="425"/>
              <w:rPr>
                <w:b/>
                <w:bCs/>
                <w:i/>
                <w:iCs/>
                <w:sz w:val="22"/>
                <w:szCs w:val="22"/>
              </w:rPr>
            </w:pPr>
            <w:r w:rsidRPr="007846FB">
              <w:rPr>
                <w:bCs/>
                <w:i/>
                <w:iCs/>
                <w:sz w:val="22"/>
                <w:szCs w:val="22"/>
              </w:rPr>
              <w:t>Mayor a 1900</w:t>
            </w:r>
          </w:p>
        </w:tc>
        <w:tc>
          <w:tcPr>
            <w:tcW w:w="17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5B367" w14:textId="77777777" w:rsidR="00B72ED7" w:rsidRPr="007846FB" w:rsidRDefault="00B72ED7" w:rsidP="00C42CD8">
            <w:pPr>
              <w:widowControl w:val="0"/>
              <w:ind w:right="425"/>
              <w:jc w:val="center"/>
              <w:rPr>
                <w:b/>
                <w:bCs/>
                <w:i/>
                <w:iCs/>
                <w:sz w:val="22"/>
                <w:szCs w:val="22"/>
              </w:rPr>
            </w:pPr>
            <w:r w:rsidRPr="007846FB">
              <w:rPr>
                <w:b/>
                <w:bCs/>
                <w:i/>
                <w:iCs/>
                <w:sz w:val="22"/>
                <w:szCs w:val="22"/>
              </w:rPr>
              <w:t>2%</w:t>
            </w:r>
          </w:p>
        </w:tc>
      </w:tr>
      <w:tr w:rsidR="00B72ED7" w:rsidRPr="007846FB" w14:paraId="261AA44F" w14:textId="77777777" w:rsidTr="00C42CD8">
        <w:trPr>
          <w:trHeight w:val="238"/>
          <w:jc w:val="center"/>
        </w:trPr>
        <w:tc>
          <w:tcPr>
            <w:tcW w:w="1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DCCB03" w14:textId="77777777" w:rsidR="00B72ED7" w:rsidRPr="007846FB" w:rsidRDefault="00B72ED7" w:rsidP="00C42CD8">
            <w:pPr>
              <w:widowControl w:val="0"/>
              <w:ind w:right="425"/>
              <w:jc w:val="center"/>
              <w:rPr>
                <w:b/>
                <w:bCs/>
                <w:i/>
                <w:iCs/>
                <w:sz w:val="22"/>
                <w:szCs w:val="22"/>
              </w:rPr>
            </w:pPr>
            <w:r w:rsidRPr="007846FB">
              <w:rPr>
                <w:b/>
                <w:bCs/>
                <w:i/>
                <w:iCs/>
                <w:sz w:val="22"/>
                <w:szCs w:val="22"/>
              </w:rPr>
              <w:t>2</w:t>
            </w:r>
          </w:p>
        </w:tc>
        <w:tc>
          <w:tcPr>
            <w:tcW w:w="1955" w:type="pct"/>
            <w:tcBorders>
              <w:top w:val="single" w:sz="4" w:space="0" w:color="auto"/>
              <w:left w:val="single" w:sz="4" w:space="0" w:color="auto"/>
              <w:bottom w:val="single" w:sz="4" w:space="0" w:color="auto"/>
              <w:right w:val="single" w:sz="4" w:space="0" w:color="auto"/>
            </w:tcBorders>
          </w:tcPr>
          <w:p w14:paraId="5164F4ED" w14:textId="77777777" w:rsidR="00B72ED7" w:rsidRPr="007846FB" w:rsidRDefault="00B72ED7" w:rsidP="00C42CD8">
            <w:pPr>
              <w:widowControl w:val="0"/>
              <w:ind w:left="148" w:right="425"/>
              <w:rPr>
                <w:b/>
                <w:bCs/>
                <w:i/>
                <w:iCs/>
                <w:sz w:val="22"/>
                <w:szCs w:val="22"/>
              </w:rPr>
            </w:pPr>
            <w:r w:rsidRPr="007846FB">
              <w:rPr>
                <w:bCs/>
                <w:i/>
                <w:iCs/>
                <w:sz w:val="22"/>
                <w:szCs w:val="22"/>
              </w:rPr>
              <w:t>Mayor a 1600 y menor o igual a 1900</w:t>
            </w:r>
          </w:p>
        </w:tc>
        <w:tc>
          <w:tcPr>
            <w:tcW w:w="17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502D6" w14:textId="77777777" w:rsidR="00B72ED7" w:rsidRPr="007846FB" w:rsidRDefault="00B72ED7" w:rsidP="00C42CD8">
            <w:pPr>
              <w:widowControl w:val="0"/>
              <w:ind w:right="425"/>
              <w:jc w:val="center"/>
              <w:rPr>
                <w:b/>
                <w:bCs/>
                <w:i/>
                <w:iCs/>
                <w:sz w:val="22"/>
                <w:szCs w:val="22"/>
              </w:rPr>
            </w:pPr>
            <w:r w:rsidRPr="007846FB">
              <w:rPr>
                <w:b/>
                <w:bCs/>
                <w:i/>
                <w:iCs/>
                <w:sz w:val="22"/>
                <w:szCs w:val="22"/>
              </w:rPr>
              <w:t>1,50%</w:t>
            </w:r>
          </w:p>
        </w:tc>
      </w:tr>
      <w:tr w:rsidR="00B72ED7" w:rsidRPr="007846FB" w14:paraId="79262311" w14:textId="77777777" w:rsidTr="00C42CD8">
        <w:trPr>
          <w:trHeight w:val="238"/>
          <w:jc w:val="center"/>
        </w:trPr>
        <w:tc>
          <w:tcPr>
            <w:tcW w:w="1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1E38FF" w14:textId="77777777" w:rsidR="00B72ED7" w:rsidRPr="007846FB" w:rsidRDefault="00B72ED7" w:rsidP="00C42CD8">
            <w:pPr>
              <w:widowControl w:val="0"/>
              <w:ind w:right="425"/>
              <w:jc w:val="center"/>
              <w:rPr>
                <w:b/>
                <w:bCs/>
                <w:i/>
                <w:iCs/>
                <w:sz w:val="22"/>
                <w:szCs w:val="22"/>
              </w:rPr>
            </w:pPr>
            <w:r w:rsidRPr="007846FB">
              <w:rPr>
                <w:b/>
                <w:bCs/>
                <w:i/>
                <w:iCs/>
                <w:sz w:val="22"/>
                <w:szCs w:val="22"/>
              </w:rPr>
              <w:t>3</w:t>
            </w:r>
          </w:p>
        </w:tc>
        <w:tc>
          <w:tcPr>
            <w:tcW w:w="1955" w:type="pct"/>
            <w:tcBorders>
              <w:top w:val="single" w:sz="4" w:space="0" w:color="auto"/>
              <w:left w:val="single" w:sz="4" w:space="0" w:color="auto"/>
              <w:bottom w:val="single" w:sz="4" w:space="0" w:color="auto"/>
              <w:right w:val="single" w:sz="4" w:space="0" w:color="auto"/>
            </w:tcBorders>
          </w:tcPr>
          <w:p w14:paraId="0D7D87B9" w14:textId="77777777" w:rsidR="00B72ED7" w:rsidRPr="007846FB" w:rsidRDefault="00B72ED7" w:rsidP="00C42CD8">
            <w:pPr>
              <w:widowControl w:val="0"/>
              <w:ind w:left="148" w:right="425"/>
              <w:rPr>
                <w:b/>
                <w:bCs/>
                <w:i/>
                <w:iCs/>
                <w:sz w:val="22"/>
                <w:szCs w:val="22"/>
              </w:rPr>
            </w:pPr>
            <w:r w:rsidRPr="007846FB">
              <w:rPr>
                <w:bCs/>
                <w:i/>
                <w:iCs/>
                <w:sz w:val="22"/>
                <w:szCs w:val="22"/>
              </w:rPr>
              <w:t>Mayor a 1300 y menor o igual a 1600</w:t>
            </w:r>
          </w:p>
        </w:tc>
        <w:tc>
          <w:tcPr>
            <w:tcW w:w="17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C8C11" w14:textId="77777777" w:rsidR="00B72ED7" w:rsidRPr="007846FB" w:rsidRDefault="00B72ED7" w:rsidP="00C42CD8">
            <w:pPr>
              <w:widowControl w:val="0"/>
              <w:ind w:right="425"/>
              <w:jc w:val="center"/>
              <w:rPr>
                <w:b/>
                <w:bCs/>
                <w:i/>
                <w:iCs/>
                <w:sz w:val="22"/>
                <w:szCs w:val="22"/>
              </w:rPr>
            </w:pPr>
            <w:r w:rsidRPr="007846FB">
              <w:rPr>
                <w:b/>
                <w:bCs/>
                <w:i/>
                <w:iCs/>
                <w:sz w:val="22"/>
                <w:szCs w:val="22"/>
              </w:rPr>
              <w:t>1%</w:t>
            </w:r>
          </w:p>
        </w:tc>
      </w:tr>
      <w:tr w:rsidR="00B72ED7" w:rsidRPr="007846FB" w14:paraId="4C6AC675" w14:textId="77777777" w:rsidTr="00C42CD8">
        <w:trPr>
          <w:trHeight w:val="225"/>
          <w:jc w:val="center"/>
        </w:trPr>
        <w:tc>
          <w:tcPr>
            <w:tcW w:w="1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1C3A89" w14:textId="77777777" w:rsidR="00B72ED7" w:rsidRPr="007846FB" w:rsidRDefault="00B72ED7" w:rsidP="00C42CD8">
            <w:pPr>
              <w:widowControl w:val="0"/>
              <w:ind w:right="425"/>
              <w:jc w:val="center"/>
              <w:rPr>
                <w:b/>
                <w:bCs/>
                <w:i/>
                <w:iCs/>
                <w:sz w:val="22"/>
                <w:szCs w:val="22"/>
              </w:rPr>
            </w:pPr>
            <w:r w:rsidRPr="007846FB">
              <w:rPr>
                <w:b/>
                <w:bCs/>
                <w:i/>
                <w:iCs/>
                <w:sz w:val="22"/>
                <w:szCs w:val="22"/>
              </w:rPr>
              <w:t>4</w:t>
            </w:r>
          </w:p>
        </w:tc>
        <w:tc>
          <w:tcPr>
            <w:tcW w:w="1955" w:type="pct"/>
            <w:tcBorders>
              <w:top w:val="single" w:sz="4" w:space="0" w:color="auto"/>
              <w:left w:val="single" w:sz="4" w:space="0" w:color="auto"/>
              <w:bottom w:val="single" w:sz="4" w:space="0" w:color="auto"/>
              <w:right w:val="single" w:sz="4" w:space="0" w:color="auto"/>
            </w:tcBorders>
          </w:tcPr>
          <w:p w14:paraId="20FE813F" w14:textId="77777777" w:rsidR="00B72ED7" w:rsidRPr="007846FB" w:rsidRDefault="00B72ED7" w:rsidP="00C42CD8">
            <w:pPr>
              <w:widowControl w:val="0"/>
              <w:ind w:left="148" w:right="425"/>
              <w:rPr>
                <w:b/>
                <w:bCs/>
                <w:i/>
                <w:iCs/>
                <w:sz w:val="22"/>
                <w:szCs w:val="22"/>
              </w:rPr>
            </w:pPr>
            <w:r w:rsidRPr="007846FB">
              <w:rPr>
                <w:bCs/>
                <w:i/>
                <w:iCs/>
                <w:sz w:val="22"/>
                <w:szCs w:val="22"/>
              </w:rPr>
              <w:t>Mayor a 1000 y menor o igual a 1300</w:t>
            </w:r>
          </w:p>
        </w:tc>
        <w:tc>
          <w:tcPr>
            <w:tcW w:w="17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121CE" w14:textId="77777777" w:rsidR="00B72ED7" w:rsidRPr="007846FB" w:rsidRDefault="00B72ED7" w:rsidP="00C42CD8">
            <w:pPr>
              <w:widowControl w:val="0"/>
              <w:ind w:right="425"/>
              <w:jc w:val="center"/>
              <w:rPr>
                <w:b/>
                <w:bCs/>
                <w:i/>
                <w:iCs/>
                <w:sz w:val="22"/>
                <w:szCs w:val="22"/>
              </w:rPr>
            </w:pPr>
            <w:r w:rsidRPr="007846FB">
              <w:rPr>
                <w:b/>
                <w:bCs/>
                <w:i/>
                <w:iCs/>
                <w:sz w:val="22"/>
                <w:szCs w:val="22"/>
              </w:rPr>
              <w:t>0,50%</w:t>
            </w:r>
          </w:p>
        </w:tc>
      </w:tr>
      <w:bookmarkEnd w:id="36"/>
    </w:tbl>
    <w:p w14:paraId="374C628D" w14:textId="77777777" w:rsidR="00B72ED7" w:rsidRPr="00B92969" w:rsidRDefault="00B72ED7" w:rsidP="00B72ED7">
      <w:pPr>
        <w:widowControl w:val="0"/>
        <w:ind w:right="425"/>
        <w:jc w:val="both"/>
        <w:rPr>
          <w:b/>
          <w:bCs/>
          <w:i/>
          <w:iCs/>
          <w:sz w:val="24"/>
          <w:szCs w:val="24"/>
        </w:rPr>
      </w:pPr>
    </w:p>
    <w:p w14:paraId="086D9238" w14:textId="77777777" w:rsidR="00B72ED7" w:rsidRPr="00B92969" w:rsidRDefault="00B72ED7" w:rsidP="00B72ED7">
      <w:pPr>
        <w:ind w:left="851"/>
        <w:jc w:val="both"/>
        <w:rPr>
          <w:i/>
          <w:iCs/>
          <w:sz w:val="24"/>
          <w:szCs w:val="24"/>
        </w:rPr>
      </w:pPr>
      <w:r w:rsidRPr="00B92969">
        <w:rPr>
          <w:i/>
          <w:iCs/>
          <w:sz w:val="24"/>
          <w:szCs w:val="24"/>
        </w:rPr>
        <w:t>[…]”</w:t>
      </w:r>
    </w:p>
    <w:p w14:paraId="6E8F1D65" w14:textId="77777777" w:rsidR="00B72ED7" w:rsidRPr="00B92969" w:rsidRDefault="00B72ED7" w:rsidP="00B72ED7">
      <w:pPr>
        <w:ind w:left="567" w:hanging="567"/>
        <w:jc w:val="both"/>
        <w:rPr>
          <w:i/>
          <w:iCs/>
          <w:sz w:val="24"/>
          <w:szCs w:val="24"/>
        </w:rPr>
      </w:pPr>
    </w:p>
    <w:p w14:paraId="0367AE98" w14:textId="77777777" w:rsidR="00B72ED7" w:rsidRPr="00B92969" w:rsidRDefault="00B72ED7" w:rsidP="00B72ED7">
      <w:pPr>
        <w:ind w:left="426" w:hanging="426"/>
        <w:jc w:val="both"/>
        <w:rPr>
          <w:sz w:val="24"/>
          <w:szCs w:val="24"/>
        </w:rPr>
      </w:pPr>
      <w:r w:rsidRPr="00B92969">
        <w:rPr>
          <w:sz w:val="24"/>
          <w:szCs w:val="24"/>
        </w:rPr>
        <w:t>3.</w:t>
      </w:r>
      <w:r w:rsidRPr="00B92969">
        <w:rPr>
          <w:sz w:val="24"/>
          <w:szCs w:val="24"/>
        </w:rPr>
        <w:tab/>
        <w:t>Modificar la tabla del inciso 9 del Transitorio XVII. Gradualidad en la aplicación de otros efectos regulatorios, de conformidad con el siguiente texto:</w:t>
      </w:r>
    </w:p>
    <w:p w14:paraId="3BA1BD48" w14:textId="77777777" w:rsidR="00B72ED7" w:rsidRPr="00B92969" w:rsidRDefault="00B72ED7" w:rsidP="00B72ED7">
      <w:pPr>
        <w:ind w:left="567" w:hanging="567"/>
        <w:jc w:val="both"/>
        <w:rPr>
          <w:sz w:val="24"/>
          <w:szCs w:val="24"/>
        </w:rPr>
      </w:pPr>
    </w:p>
    <w:p w14:paraId="46E7589C" w14:textId="77777777" w:rsidR="00B72ED7" w:rsidRPr="00B92969" w:rsidRDefault="00B72ED7" w:rsidP="00B72ED7">
      <w:pPr>
        <w:ind w:left="851" w:right="425"/>
        <w:jc w:val="both"/>
        <w:rPr>
          <w:b/>
          <w:i/>
          <w:sz w:val="24"/>
          <w:szCs w:val="24"/>
        </w:rPr>
      </w:pPr>
      <w:r w:rsidRPr="00B92969">
        <w:rPr>
          <w:b/>
          <w:i/>
          <w:sz w:val="24"/>
          <w:szCs w:val="24"/>
        </w:rPr>
        <w:t>“9. Porcentajes de gradualidad para aplicar el requerimiento adicional de capital por importancia sistémica.</w:t>
      </w:r>
    </w:p>
    <w:p w14:paraId="343F3044" w14:textId="77777777" w:rsidR="00B72ED7" w:rsidRPr="00B92969" w:rsidRDefault="00B72ED7" w:rsidP="00B72ED7">
      <w:pPr>
        <w:ind w:left="426" w:right="425" w:hanging="993"/>
        <w:jc w:val="both"/>
        <w:rPr>
          <w:i/>
          <w:iCs/>
          <w:sz w:val="24"/>
          <w:szCs w:val="24"/>
        </w:rPr>
      </w:pPr>
    </w:p>
    <w:tbl>
      <w:tblPr>
        <w:tblW w:w="822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5527"/>
      </w:tblGrid>
      <w:tr w:rsidR="00B72ED7" w:rsidRPr="007846FB" w14:paraId="4848E373" w14:textId="77777777" w:rsidTr="00C42CD8">
        <w:tc>
          <w:tcPr>
            <w:tcW w:w="2693"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772B6123" w14:textId="77777777" w:rsidR="00B72ED7" w:rsidRPr="007846FB" w:rsidRDefault="00B72ED7" w:rsidP="00C42CD8">
            <w:pPr>
              <w:widowControl w:val="0"/>
              <w:ind w:right="425"/>
              <w:jc w:val="center"/>
              <w:rPr>
                <w:b/>
                <w:bCs/>
                <w:i/>
                <w:iCs/>
                <w:sz w:val="22"/>
                <w:szCs w:val="22"/>
              </w:rPr>
            </w:pPr>
            <w:bookmarkStart w:id="37" w:name="_Hlk127869291"/>
            <w:r w:rsidRPr="007846FB">
              <w:rPr>
                <w:b/>
                <w:bCs/>
                <w:i/>
                <w:iCs/>
                <w:sz w:val="22"/>
                <w:szCs w:val="22"/>
              </w:rPr>
              <w:t>Efecto regulatorio</w:t>
            </w:r>
          </w:p>
          <w:p w14:paraId="563A8402" w14:textId="77777777" w:rsidR="00B72ED7" w:rsidRPr="007846FB" w:rsidRDefault="00B72ED7" w:rsidP="00C42CD8">
            <w:pPr>
              <w:widowControl w:val="0"/>
              <w:ind w:right="425"/>
              <w:jc w:val="center"/>
              <w:rPr>
                <w:b/>
                <w:bCs/>
                <w:i/>
                <w:iCs/>
                <w:sz w:val="22"/>
                <w:szCs w:val="22"/>
              </w:rPr>
            </w:pPr>
            <w:r w:rsidRPr="007846FB">
              <w:rPr>
                <w:b/>
                <w:bCs/>
                <w:i/>
                <w:iCs/>
                <w:sz w:val="22"/>
                <w:szCs w:val="22"/>
              </w:rPr>
              <w:t>(Entidades de Importancia Sistémica)</w:t>
            </w:r>
          </w:p>
        </w:tc>
        <w:tc>
          <w:tcPr>
            <w:tcW w:w="5528" w:type="dxa"/>
            <w:tcBorders>
              <w:top w:val="single" w:sz="4" w:space="0" w:color="auto"/>
              <w:left w:val="single" w:sz="4" w:space="0" w:color="auto"/>
              <w:bottom w:val="single" w:sz="4" w:space="0" w:color="auto"/>
              <w:right w:val="single" w:sz="4" w:space="0" w:color="auto"/>
            </w:tcBorders>
            <w:shd w:val="clear" w:color="auto" w:fill="1F3864" w:themeFill="accent1" w:themeFillShade="80"/>
            <w:hideMark/>
          </w:tcPr>
          <w:p w14:paraId="1DE72A27" w14:textId="77777777" w:rsidR="00B72ED7" w:rsidRPr="007846FB" w:rsidRDefault="00B72ED7" w:rsidP="00C42CD8">
            <w:pPr>
              <w:widowControl w:val="0"/>
              <w:ind w:right="425"/>
              <w:jc w:val="both"/>
              <w:rPr>
                <w:b/>
                <w:bCs/>
                <w:i/>
                <w:iCs/>
                <w:sz w:val="22"/>
                <w:szCs w:val="22"/>
              </w:rPr>
            </w:pPr>
            <w:r w:rsidRPr="007846FB">
              <w:rPr>
                <w:b/>
                <w:bCs/>
                <w:i/>
                <w:iCs/>
                <w:sz w:val="22"/>
                <w:szCs w:val="22"/>
              </w:rPr>
              <w:t>Porcentajes de gradualidad para aplicar el requerimiento adicional de capital por importancia sistémica. Aplican los mismos porcentajes de gradualidad independientemente de la categoría de importancia sistémica de la entidad.</w:t>
            </w:r>
          </w:p>
        </w:tc>
      </w:tr>
      <w:tr w:rsidR="00B72ED7" w:rsidRPr="007846FB" w14:paraId="5F65ED6E" w14:textId="77777777" w:rsidTr="00C42CD8">
        <w:tc>
          <w:tcPr>
            <w:tcW w:w="2693" w:type="dxa"/>
            <w:tcBorders>
              <w:top w:val="single" w:sz="4" w:space="0" w:color="auto"/>
              <w:left w:val="single" w:sz="4" w:space="0" w:color="auto"/>
              <w:bottom w:val="single" w:sz="4" w:space="0" w:color="auto"/>
              <w:right w:val="single" w:sz="4" w:space="0" w:color="auto"/>
            </w:tcBorders>
            <w:hideMark/>
          </w:tcPr>
          <w:p w14:paraId="2F4A7EFB" w14:textId="77777777" w:rsidR="00B72ED7" w:rsidRPr="007846FB" w:rsidRDefault="00B72ED7" w:rsidP="00C42CD8">
            <w:pPr>
              <w:widowControl w:val="0"/>
              <w:ind w:right="177"/>
              <w:jc w:val="both"/>
              <w:rPr>
                <w:i/>
                <w:iCs/>
                <w:sz w:val="22"/>
                <w:szCs w:val="22"/>
              </w:rPr>
            </w:pPr>
            <w:r w:rsidRPr="007846FB">
              <w:rPr>
                <w:i/>
                <w:iCs/>
                <w:sz w:val="22"/>
                <w:szCs w:val="22"/>
              </w:rPr>
              <w:t xml:space="preserve">Requerimiento adicional </w:t>
            </w:r>
            <w:r w:rsidRPr="007846FB">
              <w:rPr>
                <w:i/>
                <w:iCs/>
                <w:sz w:val="22"/>
                <w:szCs w:val="22"/>
              </w:rPr>
              <w:lastRenderedPageBreak/>
              <w:t>de capital por importancia sistémica:</w:t>
            </w:r>
          </w:p>
          <w:p w14:paraId="57F6329B" w14:textId="77777777" w:rsidR="00B72ED7" w:rsidRPr="007846FB" w:rsidRDefault="00B72ED7" w:rsidP="00C42CD8">
            <w:pPr>
              <w:widowControl w:val="0"/>
              <w:ind w:right="177"/>
              <w:jc w:val="both"/>
              <w:rPr>
                <w:i/>
                <w:iCs/>
                <w:sz w:val="22"/>
                <w:szCs w:val="22"/>
              </w:rPr>
            </w:pPr>
            <w:r w:rsidRPr="007846FB">
              <w:rPr>
                <w:i/>
                <w:iCs/>
                <w:sz w:val="22"/>
                <w:szCs w:val="22"/>
              </w:rPr>
              <w:t>Categoría 1: 2%</w:t>
            </w:r>
          </w:p>
          <w:p w14:paraId="1B0052D5" w14:textId="77777777" w:rsidR="00B72ED7" w:rsidRPr="007846FB" w:rsidRDefault="00B72ED7" w:rsidP="00C42CD8">
            <w:pPr>
              <w:widowControl w:val="0"/>
              <w:ind w:right="177"/>
              <w:jc w:val="both"/>
              <w:rPr>
                <w:i/>
                <w:iCs/>
                <w:sz w:val="22"/>
                <w:szCs w:val="22"/>
              </w:rPr>
            </w:pPr>
            <w:r w:rsidRPr="007846FB">
              <w:rPr>
                <w:i/>
                <w:iCs/>
                <w:sz w:val="22"/>
                <w:szCs w:val="22"/>
              </w:rPr>
              <w:t>Categoría 2: 1,50%</w:t>
            </w:r>
          </w:p>
          <w:p w14:paraId="767665C8" w14:textId="77777777" w:rsidR="00B72ED7" w:rsidRPr="007846FB" w:rsidRDefault="00B72ED7" w:rsidP="00C42CD8">
            <w:pPr>
              <w:widowControl w:val="0"/>
              <w:ind w:right="177"/>
              <w:jc w:val="both"/>
              <w:rPr>
                <w:i/>
                <w:iCs/>
                <w:sz w:val="22"/>
                <w:szCs w:val="22"/>
              </w:rPr>
            </w:pPr>
            <w:r w:rsidRPr="007846FB">
              <w:rPr>
                <w:i/>
                <w:iCs/>
                <w:sz w:val="22"/>
                <w:szCs w:val="22"/>
              </w:rPr>
              <w:t>Categoría 3: 1%</w:t>
            </w:r>
          </w:p>
          <w:p w14:paraId="372B9089" w14:textId="77777777" w:rsidR="00B72ED7" w:rsidRPr="007846FB" w:rsidRDefault="00B72ED7" w:rsidP="00C42CD8">
            <w:pPr>
              <w:widowControl w:val="0"/>
              <w:ind w:right="177"/>
              <w:jc w:val="both"/>
              <w:rPr>
                <w:i/>
                <w:iCs/>
                <w:sz w:val="22"/>
                <w:szCs w:val="22"/>
              </w:rPr>
            </w:pPr>
            <w:r w:rsidRPr="007846FB">
              <w:rPr>
                <w:i/>
                <w:iCs/>
                <w:sz w:val="22"/>
                <w:szCs w:val="22"/>
              </w:rPr>
              <w:t>Categoría 4: 0,50%</w:t>
            </w:r>
          </w:p>
        </w:tc>
        <w:tc>
          <w:tcPr>
            <w:tcW w:w="5528" w:type="dxa"/>
            <w:tcBorders>
              <w:top w:val="single" w:sz="4" w:space="0" w:color="auto"/>
              <w:left w:val="single" w:sz="4" w:space="0" w:color="auto"/>
              <w:bottom w:val="single" w:sz="4" w:space="0" w:color="auto"/>
              <w:right w:val="single" w:sz="4" w:space="0" w:color="auto"/>
            </w:tcBorders>
            <w:hideMark/>
          </w:tcPr>
          <w:p w14:paraId="1D549A62" w14:textId="77777777" w:rsidR="00B72ED7" w:rsidRPr="007846FB" w:rsidRDefault="00B72ED7" w:rsidP="00C42CD8">
            <w:pPr>
              <w:widowControl w:val="0"/>
              <w:ind w:right="425"/>
              <w:jc w:val="both"/>
              <w:rPr>
                <w:i/>
                <w:iCs/>
                <w:sz w:val="22"/>
                <w:szCs w:val="22"/>
              </w:rPr>
            </w:pPr>
            <w:r w:rsidRPr="007846FB">
              <w:rPr>
                <w:i/>
                <w:iCs/>
                <w:sz w:val="22"/>
                <w:szCs w:val="22"/>
              </w:rPr>
              <w:lastRenderedPageBreak/>
              <w:t>A partir de la publicación en el Diario Oficial: 0%</w:t>
            </w:r>
          </w:p>
          <w:p w14:paraId="51B3676F" w14:textId="77777777" w:rsidR="00B72ED7" w:rsidRPr="007846FB" w:rsidRDefault="00B72ED7" w:rsidP="00C42CD8">
            <w:pPr>
              <w:widowControl w:val="0"/>
              <w:ind w:right="425"/>
              <w:jc w:val="both"/>
              <w:rPr>
                <w:i/>
                <w:iCs/>
                <w:sz w:val="22"/>
                <w:szCs w:val="22"/>
              </w:rPr>
            </w:pPr>
            <w:r w:rsidRPr="007846FB">
              <w:rPr>
                <w:i/>
                <w:iCs/>
                <w:sz w:val="22"/>
                <w:szCs w:val="22"/>
              </w:rPr>
              <w:lastRenderedPageBreak/>
              <w:t>A partir del primero de enero de 2022: 25% (Para informes de impacto)</w:t>
            </w:r>
          </w:p>
          <w:p w14:paraId="6A93F240" w14:textId="77777777" w:rsidR="00B72ED7" w:rsidRPr="007846FB" w:rsidRDefault="00B72ED7" w:rsidP="00C42CD8">
            <w:pPr>
              <w:widowControl w:val="0"/>
              <w:ind w:right="425"/>
              <w:jc w:val="both"/>
              <w:rPr>
                <w:i/>
                <w:iCs/>
                <w:sz w:val="22"/>
                <w:szCs w:val="22"/>
              </w:rPr>
            </w:pPr>
            <w:r w:rsidRPr="007846FB">
              <w:rPr>
                <w:i/>
                <w:iCs/>
                <w:sz w:val="22"/>
                <w:szCs w:val="22"/>
              </w:rPr>
              <w:t>A partir del primero de enero de 2023: 50% (Para informes de impacto)</w:t>
            </w:r>
          </w:p>
          <w:p w14:paraId="48C174CA" w14:textId="77777777" w:rsidR="00B72ED7" w:rsidRPr="007846FB" w:rsidRDefault="00B72ED7" w:rsidP="00C42CD8">
            <w:pPr>
              <w:widowControl w:val="0"/>
              <w:ind w:right="425"/>
              <w:jc w:val="both"/>
              <w:rPr>
                <w:i/>
                <w:iCs/>
                <w:sz w:val="22"/>
                <w:szCs w:val="22"/>
              </w:rPr>
            </w:pPr>
            <w:r w:rsidRPr="007846FB">
              <w:rPr>
                <w:i/>
                <w:iCs/>
                <w:sz w:val="22"/>
                <w:szCs w:val="22"/>
              </w:rPr>
              <w:t>A partir del primero de enero de 2024: 75% (Para informes de impacto)</w:t>
            </w:r>
          </w:p>
          <w:p w14:paraId="40AA46AB" w14:textId="77777777" w:rsidR="00B72ED7" w:rsidRPr="007846FB" w:rsidRDefault="00B72ED7" w:rsidP="00C42CD8">
            <w:pPr>
              <w:widowControl w:val="0"/>
              <w:ind w:right="425"/>
              <w:jc w:val="both"/>
              <w:rPr>
                <w:i/>
                <w:iCs/>
                <w:sz w:val="22"/>
                <w:szCs w:val="22"/>
              </w:rPr>
            </w:pPr>
            <w:r w:rsidRPr="007846FB">
              <w:rPr>
                <w:i/>
                <w:iCs/>
                <w:sz w:val="22"/>
                <w:szCs w:val="22"/>
              </w:rPr>
              <w:t>A partir del primero de enero de 2025: 100% (A partir de vigencia efectiva)</w:t>
            </w:r>
          </w:p>
        </w:tc>
      </w:tr>
    </w:tbl>
    <w:bookmarkEnd w:id="37"/>
    <w:p w14:paraId="64527099" w14:textId="77777777" w:rsidR="00B72ED7" w:rsidRPr="00B92969" w:rsidRDefault="00B72ED7" w:rsidP="00B72ED7">
      <w:pPr>
        <w:ind w:right="425"/>
        <w:jc w:val="right"/>
        <w:rPr>
          <w:i/>
          <w:iCs/>
          <w:sz w:val="24"/>
          <w:szCs w:val="24"/>
        </w:rPr>
      </w:pPr>
      <w:r w:rsidRPr="00B92969">
        <w:rPr>
          <w:i/>
          <w:iCs/>
          <w:sz w:val="24"/>
          <w:szCs w:val="24"/>
        </w:rPr>
        <w:lastRenderedPageBreak/>
        <w:t>”</w:t>
      </w:r>
    </w:p>
    <w:p w14:paraId="49B67D0A" w14:textId="77777777" w:rsidR="00B72ED7" w:rsidRPr="00B92969" w:rsidRDefault="00B72ED7" w:rsidP="00B72ED7">
      <w:pPr>
        <w:ind w:left="426" w:hanging="426"/>
        <w:jc w:val="both"/>
        <w:rPr>
          <w:sz w:val="24"/>
          <w:szCs w:val="24"/>
        </w:rPr>
      </w:pPr>
      <w:r w:rsidRPr="00B92969">
        <w:rPr>
          <w:sz w:val="24"/>
          <w:szCs w:val="24"/>
        </w:rPr>
        <w:t>4.</w:t>
      </w:r>
      <w:r w:rsidRPr="00B92969">
        <w:rPr>
          <w:sz w:val="24"/>
          <w:szCs w:val="24"/>
        </w:rPr>
        <w:tab/>
        <w:t>Modificar la tabla del inciso 10 del Transitorio XVII. Gradualidad en la aplicación de otros efectos regulatorios, de conformidad con el siguiente texto:</w:t>
      </w:r>
    </w:p>
    <w:p w14:paraId="78E7D234" w14:textId="77777777" w:rsidR="00B72ED7" w:rsidRPr="00B92969" w:rsidRDefault="00B72ED7" w:rsidP="00B72ED7">
      <w:pPr>
        <w:ind w:left="426" w:hanging="426"/>
        <w:jc w:val="both"/>
        <w:rPr>
          <w:sz w:val="24"/>
          <w:szCs w:val="24"/>
        </w:rPr>
      </w:pPr>
    </w:p>
    <w:p w14:paraId="70781278" w14:textId="77777777" w:rsidR="00B72ED7" w:rsidRPr="00B92969" w:rsidRDefault="00B72ED7" w:rsidP="00B72ED7">
      <w:pPr>
        <w:ind w:left="851" w:right="425"/>
        <w:jc w:val="both"/>
        <w:rPr>
          <w:b/>
          <w:i/>
          <w:sz w:val="24"/>
          <w:szCs w:val="24"/>
        </w:rPr>
      </w:pPr>
      <w:r w:rsidRPr="00B92969">
        <w:rPr>
          <w:b/>
          <w:i/>
          <w:sz w:val="24"/>
          <w:szCs w:val="24"/>
        </w:rPr>
        <w:t>“10. Porcentajes de gradualidad para aplicar conjuntamente el requerimiento adicional de capital total por conservación y por importancia sistémica.</w:t>
      </w:r>
    </w:p>
    <w:p w14:paraId="49696FEB" w14:textId="77777777" w:rsidR="00B72ED7" w:rsidRPr="00B92969" w:rsidRDefault="00B72ED7" w:rsidP="00B72ED7">
      <w:pPr>
        <w:ind w:left="426" w:hanging="1277"/>
        <w:jc w:val="both"/>
        <w:rPr>
          <w:i/>
          <w:iCs/>
          <w:sz w:val="24"/>
          <w:szCs w:val="24"/>
        </w:rPr>
      </w:pPr>
    </w:p>
    <w:tbl>
      <w:tblPr>
        <w:tblW w:w="822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5527"/>
      </w:tblGrid>
      <w:tr w:rsidR="00B72ED7" w:rsidRPr="007846FB" w14:paraId="37AC0671" w14:textId="77777777" w:rsidTr="00C42CD8">
        <w:tc>
          <w:tcPr>
            <w:tcW w:w="2693" w:type="dxa"/>
            <w:tcBorders>
              <w:top w:val="single" w:sz="4" w:space="0" w:color="auto"/>
              <w:left w:val="single" w:sz="4" w:space="0" w:color="auto"/>
              <w:bottom w:val="single" w:sz="4" w:space="0" w:color="auto"/>
              <w:right w:val="single" w:sz="4" w:space="0" w:color="auto"/>
            </w:tcBorders>
            <w:shd w:val="clear" w:color="auto" w:fill="1F3864" w:themeFill="accent1" w:themeFillShade="80"/>
            <w:hideMark/>
          </w:tcPr>
          <w:p w14:paraId="6CF75A9E" w14:textId="77777777" w:rsidR="00B72ED7" w:rsidRPr="007846FB" w:rsidRDefault="00B72ED7" w:rsidP="00C42CD8">
            <w:pPr>
              <w:widowControl w:val="0"/>
              <w:jc w:val="both"/>
              <w:rPr>
                <w:b/>
                <w:bCs/>
                <w:i/>
                <w:iCs/>
                <w:sz w:val="22"/>
                <w:szCs w:val="22"/>
              </w:rPr>
            </w:pPr>
            <w:r w:rsidRPr="007846FB">
              <w:rPr>
                <w:b/>
                <w:bCs/>
                <w:i/>
                <w:iCs/>
                <w:sz w:val="22"/>
                <w:szCs w:val="22"/>
              </w:rPr>
              <w:t>Efecto regulatorio</w:t>
            </w:r>
          </w:p>
          <w:p w14:paraId="685C4DD7" w14:textId="77777777" w:rsidR="00B72ED7" w:rsidRPr="007846FB" w:rsidRDefault="00B72ED7" w:rsidP="00C42CD8">
            <w:pPr>
              <w:widowControl w:val="0"/>
              <w:jc w:val="both"/>
              <w:rPr>
                <w:b/>
                <w:bCs/>
                <w:i/>
                <w:iCs/>
                <w:sz w:val="22"/>
                <w:szCs w:val="22"/>
              </w:rPr>
            </w:pPr>
            <w:r w:rsidRPr="007846FB">
              <w:rPr>
                <w:b/>
                <w:bCs/>
                <w:i/>
                <w:iCs/>
                <w:sz w:val="22"/>
                <w:szCs w:val="22"/>
              </w:rPr>
              <w:t>(Efecto combinado de los dos cuadros anteriores, para entidades de importancia sistémica)</w:t>
            </w:r>
          </w:p>
        </w:tc>
        <w:tc>
          <w:tcPr>
            <w:tcW w:w="5528"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3823276B" w14:textId="77777777" w:rsidR="00B72ED7" w:rsidRPr="007846FB" w:rsidRDefault="00B72ED7" w:rsidP="00C42CD8">
            <w:pPr>
              <w:widowControl w:val="0"/>
              <w:jc w:val="both"/>
              <w:rPr>
                <w:b/>
                <w:bCs/>
                <w:i/>
                <w:iCs/>
                <w:sz w:val="22"/>
                <w:szCs w:val="22"/>
              </w:rPr>
            </w:pPr>
            <w:r w:rsidRPr="007846FB">
              <w:rPr>
                <w:b/>
                <w:bCs/>
                <w:i/>
                <w:iCs/>
                <w:sz w:val="22"/>
                <w:szCs w:val="22"/>
              </w:rPr>
              <w:t>Porcentajes de gradualidad para aplicar conjuntamente el requerimiento adicional de capital total por conservación y por importancia sistémica. Aplican los mismos porcentajes de gradualidad independientemente de la categoría de importancia sistémica de la entidad.</w:t>
            </w:r>
          </w:p>
        </w:tc>
      </w:tr>
      <w:tr w:rsidR="00B72ED7" w:rsidRPr="007846FB" w14:paraId="1F88AE65" w14:textId="77777777" w:rsidTr="00C42CD8">
        <w:tc>
          <w:tcPr>
            <w:tcW w:w="2693" w:type="dxa"/>
            <w:tcBorders>
              <w:top w:val="single" w:sz="4" w:space="0" w:color="auto"/>
              <w:left w:val="single" w:sz="4" w:space="0" w:color="auto"/>
              <w:bottom w:val="single" w:sz="4" w:space="0" w:color="auto"/>
              <w:right w:val="single" w:sz="4" w:space="0" w:color="auto"/>
            </w:tcBorders>
            <w:hideMark/>
          </w:tcPr>
          <w:p w14:paraId="5D7FFD55" w14:textId="77777777" w:rsidR="00B72ED7" w:rsidRPr="007846FB" w:rsidRDefault="00B72ED7" w:rsidP="00C42CD8">
            <w:pPr>
              <w:widowControl w:val="0"/>
              <w:jc w:val="both"/>
              <w:rPr>
                <w:i/>
                <w:iCs/>
                <w:sz w:val="22"/>
                <w:szCs w:val="22"/>
              </w:rPr>
            </w:pPr>
            <w:r w:rsidRPr="007846FB">
              <w:rPr>
                <w:i/>
                <w:iCs/>
                <w:sz w:val="22"/>
                <w:szCs w:val="22"/>
              </w:rPr>
              <w:t>Requerimiento adicional de capital total por conservación y por importancia sistémica:</w:t>
            </w:r>
          </w:p>
          <w:p w14:paraId="12268F62" w14:textId="77777777" w:rsidR="00B72ED7" w:rsidRPr="007846FB" w:rsidRDefault="00B72ED7" w:rsidP="00C42CD8">
            <w:pPr>
              <w:widowControl w:val="0"/>
              <w:jc w:val="both"/>
              <w:rPr>
                <w:i/>
                <w:iCs/>
                <w:sz w:val="22"/>
                <w:szCs w:val="22"/>
              </w:rPr>
            </w:pPr>
            <w:bookmarkStart w:id="38" w:name="_Hlk127866350"/>
            <w:r w:rsidRPr="007846FB">
              <w:rPr>
                <w:i/>
                <w:iCs/>
                <w:sz w:val="22"/>
                <w:szCs w:val="22"/>
              </w:rPr>
              <w:t>Categoría 1: 4,50%</w:t>
            </w:r>
          </w:p>
          <w:p w14:paraId="6C574C7C" w14:textId="77777777" w:rsidR="00B72ED7" w:rsidRPr="007846FB" w:rsidRDefault="00B72ED7" w:rsidP="00C42CD8">
            <w:pPr>
              <w:widowControl w:val="0"/>
              <w:jc w:val="both"/>
              <w:rPr>
                <w:i/>
                <w:iCs/>
                <w:sz w:val="22"/>
                <w:szCs w:val="22"/>
              </w:rPr>
            </w:pPr>
            <w:r w:rsidRPr="007846FB">
              <w:rPr>
                <w:i/>
                <w:iCs/>
                <w:sz w:val="22"/>
                <w:szCs w:val="22"/>
              </w:rPr>
              <w:t>Categoría 2: 4%</w:t>
            </w:r>
          </w:p>
          <w:p w14:paraId="6C1E1F7D" w14:textId="77777777" w:rsidR="00B72ED7" w:rsidRPr="007846FB" w:rsidRDefault="00B72ED7" w:rsidP="00C42CD8">
            <w:pPr>
              <w:widowControl w:val="0"/>
              <w:jc w:val="both"/>
              <w:rPr>
                <w:i/>
                <w:iCs/>
                <w:sz w:val="22"/>
                <w:szCs w:val="22"/>
              </w:rPr>
            </w:pPr>
            <w:r w:rsidRPr="007846FB">
              <w:rPr>
                <w:i/>
                <w:iCs/>
                <w:sz w:val="22"/>
                <w:szCs w:val="22"/>
              </w:rPr>
              <w:t>Categoría 3: 3,50%</w:t>
            </w:r>
          </w:p>
          <w:p w14:paraId="5AAAF4B8" w14:textId="77777777" w:rsidR="00B72ED7" w:rsidRPr="007846FB" w:rsidRDefault="00B72ED7" w:rsidP="00C42CD8">
            <w:pPr>
              <w:widowControl w:val="0"/>
              <w:jc w:val="both"/>
              <w:rPr>
                <w:i/>
                <w:iCs/>
                <w:sz w:val="22"/>
                <w:szCs w:val="22"/>
              </w:rPr>
            </w:pPr>
            <w:r w:rsidRPr="007846FB">
              <w:rPr>
                <w:i/>
                <w:iCs/>
                <w:sz w:val="22"/>
                <w:szCs w:val="22"/>
              </w:rPr>
              <w:t>Categoría 4: 3%</w:t>
            </w:r>
            <w:bookmarkEnd w:id="38"/>
          </w:p>
        </w:tc>
        <w:tc>
          <w:tcPr>
            <w:tcW w:w="5528" w:type="dxa"/>
            <w:tcBorders>
              <w:top w:val="single" w:sz="4" w:space="0" w:color="auto"/>
              <w:left w:val="single" w:sz="4" w:space="0" w:color="auto"/>
              <w:bottom w:val="single" w:sz="4" w:space="0" w:color="auto"/>
              <w:right w:val="single" w:sz="4" w:space="0" w:color="auto"/>
            </w:tcBorders>
            <w:hideMark/>
          </w:tcPr>
          <w:p w14:paraId="6B7B2FDA" w14:textId="77777777" w:rsidR="00B72ED7" w:rsidRPr="007846FB" w:rsidRDefault="00B72ED7" w:rsidP="00C42CD8">
            <w:pPr>
              <w:widowControl w:val="0"/>
              <w:jc w:val="both"/>
              <w:rPr>
                <w:i/>
                <w:iCs/>
                <w:sz w:val="22"/>
                <w:szCs w:val="22"/>
              </w:rPr>
            </w:pPr>
            <w:r w:rsidRPr="007846FB">
              <w:rPr>
                <w:i/>
                <w:iCs/>
                <w:sz w:val="22"/>
                <w:szCs w:val="22"/>
              </w:rPr>
              <w:t>A partir de la publicación en el Diario Oficial: 0%</w:t>
            </w:r>
          </w:p>
          <w:p w14:paraId="6FE7A572" w14:textId="77777777" w:rsidR="00B72ED7" w:rsidRPr="007846FB" w:rsidRDefault="00B72ED7" w:rsidP="00C42CD8">
            <w:pPr>
              <w:widowControl w:val="0"/>
              <w:jc w:val="both"/>
              <w:rPr>
                <w:i/>
                <w:iCs/>
                <w:sz w:val="22"/>
                <w:szCs w:val="22"/>
              </w:rPr>
            </w:pPr>
            <w:r w:rsidRPr="007846FB">
              <w:rPr>
                <w:i/>
                <w:iCs/>
                <w:sz w:val="22"/>
                <w:szCs w:val="22"/>
              </w:rPr>
              <w:t>A partir del primero de enero de 2022: 25% (Para informes de impacto)</w:t>
            </w:r>
          </w:p>
          <w:p w14:paraId="24C2EBF2" w14:textId="77777777" w:rsidR="00B72ED7" w:rsidRPr="007846FB" w:rsidRDefault="00B72ED7" w:rsidP="00C42CD8">
            <w:pPr>
              <w:widowControl w:val="0"/>
              <w:jc w:val="both"/>
              <w:rPr>
                <w:i/>
                <w:iCs/>
                <w:sz w:val="22"/>
                <w:szCs w:val="22"/>
              </w:rPr>
            </w:pPr>
            <w:r w:rsidRPr="007846FB">
              <w:rPr>
                <w:i/>
                <w:iCs/>
                <w:sz w:val="22"/>
                <w:szCs w:val="22"/>
              </w:rPr>
              <w:t>A partir del primero de enero de 2023: 50% (Para informes de impacto)</w:t>
            </w:r>
          </w:p>
          <w:p w14:paraId="64E25B2F" w14:textId="77777777" w:rsidR="00B72ED7" w:rsidRPr="007846FB" w:rsidRDefault="00B72ED7" w:rsidP="00C42CD8">
            <w:pPr>
              <w:widowControl w:val="0"/>
              <w:jc w:val="both"/>
              <w:rPr>
                <w:i/>
                <w:iCs/>
                <w:sz w:val="22"/>
                <w:szCs w:val="22"/>
              </w:rPr>
            </w:pPr>
            <w:r w:rsidRPr="007846FB">
              <w:rPr>
                <w:i/>
                <w:iCs/>
                <w:sz w:val="22"/>
                <w:szCs w:val="22"/>
              </w:rPr>
              <w:t>A partir del primero de enero de 2024: 75% (Para informes de impacto)</w:t>
            </w:r>
          </w:p>
          <w:p w14:paraId="5AD103B9" w14:textId="77777777" w:rsidR="00B72ED7" w:rsidRPr="007846FB" w:rsidRDefault="00B72ED7" w:rsidP="00C42CD8">
            <w:pPr>
              <w:widowControl w:val="0"/>
              <w:jc w:val="both"/>
              <w:rPr>
                <w:i/>
                <w:iCs/>
                <w:sz w:val="22"/>
                <w:szCs w:val="22"/>
              </w:rPr>
            </w:pPr>
            <w:r w:rsidRPr="007846FB">
              <w:rPr>
                <w:i/>
                <w:iCs/>
                <w:sz w:val="22"/>
                <w:szCs w:val="22"/>
              </w:rPr>
              <w:t>A partir del primero de enero de 2025: 100% (A partir de vigencia efectiva)</w:t>
            </w:r>
          </w:p>
        </w:tc>
      </w:tr>
      <w:tr w:rsidR="00B72ED7" w:rsidRPr="007846FB" w14:paraId="0ACD0DFE" w14:textId="77777777" w:rsidTr="00C42CD8">
        <w:tc>
          <w:tcPr>
            <w:tcW w:w="2693" w:type="dxa"/>
            <w:tcBorders>
              <w:top w:val="single" w:sz="4" w:space="0" w:color="auto"/>
              <w:left w:val="single" w:sz="4" w:space="0" w:color="auto"/>
              <w:bottom w:val="single" w:sz="4" w:space="0" w:color="auto"/>
              <w:right w:val="single" w:sz="4" w:space="0" w:color="auto"/>
            </w:tcBorders>
          </w:tcPr>
          <w:p w14:paraId="59971887" w14:textId="77777777" w:rsidR="00B72ED7" w:rsidRPr="007846FB" w:rsidRDefault="00B72ED7" w:rsidP="00C42CD8">
            <w:pPr>
              <w:widowControl w:val="0"/>
              <w:jc w:val="both"/>
              <w:rPr>
                <w:i/>
                <w:iCs/>
                <w:sz w:val="22"/>
                <w:szCs w:val="22"/>
              </w:rPr>
            </w:pPr>
          </w:p>
        </w:tc>
        <w:tc>
          <w:tcPr>
            <w:tcW w:w="5528" w:type="dxa"/>
            <w:tcBorders>
              <w:top w:val="single" w:sz="4" w:space="0" w:color="auto"/>
              <w:left w:val="single" w:sz="4" w:space="0" w:color="auto"/>
              <w:bottom w:val="single" w:sz="4" w:space="0" w:color="auto"/>
              <w:right w:val="single" w:sz="4" w:space="0" w:color="auto"/>
            </w:tcBorders>
          </w:tcPr>
          <w:p w14:paraId="1494E9F5" w14:textId="77777777" w:rsidR="00B72ED7" w:rsidRPr="007846FB" w:rsidRDefault="00B72ED7" w:rsidP="00C42CD8">
            <w:pPr>
              <w:widowControl w:val="0"/>
              <w:jc w:val="both"/>
              <w:rPr>
                <w:bCs/>
                <w:i/>
                <w:iCs/>
                <w:sz w:val="22"/>
                <w:szCs w:val="22"/>
              </w:rPr>
            </w:pPr>
            <w:r w:rsidRPr="007846FB">
              <w:rPr>
                <w:i/>
                <w:iCs/>
                <w:sz w:val="22"/>
                <w:szCs w:val="22"/>
              </w:rPr>
              <w:t>Durante esta gradualidad los tramos del CCN1 que determinarán los porcentajes de restricción y prohibición se determinarán multiplicando los porcentajes que definen los rangos que se indican a continuación por el porcentaje de gradualidad que corresponda, y sumando 6.5% al resultado obtenido.</w:t>
            </w:r>
          </w:p>
          <w:p w14:paraId="2FE01999" w14:textId="77777777" w:rsidR="00B72ED7" w:rsidRPr="007846FB" w:rsidRDefault="00B72ED7" w:rsidP="00C42CD8">
            <w:pPr>
              <w:widowControl w:val="0"/>
              <w:jc w:val="both"/>
              <w:rPr>
                <w:bCs/>
                <w:i/>
                <w:iCs/>
                <w:sz w:val="22"/>
                <w:szCs w:val="22"/>
              </w:rPr>
            </w:pPr>
          </w:p>
          <w:tbl>
            <w:tblPr>
              <w:tblW w:w="5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9"/>
              <w:gridCol w:w="991"/>
              <w:gridCol w:w="991"/>
              <w:gridCol w:w="850"/>
              <w:gridCol w:w="1274"/>
            </w:tblGrid>
            <w:tr w:rsidR="00B72ED7" w:rsidRPr="007846FB" w14:paraId="73155AAF" w14:textId="77777777" w:rsidTr="00C42CD8">
              <w:trPr>
                <w:trHeight w:val="289"/>
              </w:trPr>
              <w:tc>
                <w:tcPr>
                  <w:tcW w:w="5265" w:type="dxa"/>
                  <w:gridSpan w:val="5"/>
                  <w:tcBorders>
                    <w:top w:val="single" w:sz="4" w:space="0" w:color="auto"/>
                    <w:left w:val="single" w:sz="4" w:space="0" w:color="auto"/>
                    <w:bottom w:val="single" w:sz="4" w:space="0" w:color="auto"/>
                    <w:right w:val="single" w:sz="4" w:space="0" w:color="auto"/>
                  </w:tcBorders>
                  <w:noWrap/>
                  <w:hideMark/>
                </w:tcPr>
                <w:p w14:paraId="4342C1E6" w14:textId="77777777" w:rsidR="00B72ED7" w:rsidRPr="007846FB" w:rsidRDefault="00B72ED7" w:rsidP="00C42CD8">
                  <w:pPr>
                    <w:widowControl w:val="0"/>
                    <w:rPr>
                      <w:bCs/>
                      <w:i/>
                      <w:iCs/>
                      <w:sz w:val="22"/>
                      <w:szCs w:val="22"/>
                    </w:rPr>
                  </w:pPr>
                  <w:r w:rsidRPr="007846FB">
                    <w:rPr>
                      <w:bCs/>
                      <w:i/>
                      <w:iCs/>
                      <w:sz w:val="22"/>
                      <w:szCs w:val="22"/>
                    </w:rPr>
                    <w:t>Tramos para el requerimiento de capital conjunto de conservación y de importancia sistémica, según categoría de importancia sistémica</w:t>
                  </w:r>
                </w:p>
              </w:tc>
            </w:tr>
            <w:tr w:rsidR="00B72ED7" w:rsidRPr="007846FB" w14:paraId="3D654EDB" w14:textId="77777777" w:rsidTr="00C42CD8">
              <w:trPr>
                <w:trHeight w:val="289"/>
              </w:trPr>
              <w:tc>
                <w:tcPr>
                  <w:tcW w:w="1159" w:type="dxa"/>
                  <w:tcBorders>
                    <w:top w:val="single" w:sz="4" w:space="0" w:color="auto"/>
                    <w:left w:val="single" w:sz="4" w:space="0" w:color="auto"/>
                    <w:bottom w:val="single" w:sz="4" w:space="0" w:color="auto"/>
                    <w:right w:val="single" w:sz="4" w:space="0" w:color="auto"/>
                  </w:tcBorders>
                  <w:noWrap/>
                  <w:hideMark/>
                </w:tcPr>
                <w:p w14:paraId="1544EC61" w14:textId="77777777" w:rsidR="00B72ED7" w:rsidRPr="007846FB" w:rsidRDefault="00B72ED7" w:rsidP="00C42CD8">
                  <w:pPr>
                    <w:widowControl w:val="0"/>
                    <w:rPr>
                      <w:bCs/>
                      <w:i/>
                      <w:iCs/>
                      <w:sz w:val="22"/>
                      <w:szCs w:val="22"/>
                    </w:rPr>
                  </w:pPr>
                  <w:r w:rsidRPr="007846FB">
                    <w:rPr>
                      <w:bCs/>
                      <w:i/>
                      <w:iCs/>
                      <w:sz w:val="22"/>
                      <w:szCs w:val="22"/>
                    </w:rPr>
                    <w:t>Porcentaje de restricción y prohibición</w:t>
                  </w:r>
                </w:p>
              </w:tc>
              <w:tc>
                <w:tcPr>
                  <w:tcW w:w="991" w:type="dxa"/>
                  <w:tcBorders>
                    <w:top w:val="single" w:sz="4" w:space="0" w:color="auto"/>
                    <w:left w:val="single" w:sz="4" w:space="0" w:color="auto"/>
                    <w:bottom w:val="single" w:sz="4" w:space="0" w:color="auto"/>
                    <w:right w:val="single" w:sz="4" w:space="0" w:color="auto"/>
                  </w:tcBorders>
                  <w:noWrap/>
                  <w:vAlign w:val="center"/>
                  <w:hideMark/>
                </w:tcPr>
                <w:p w14:paraId="102D0202" w14:textId="77777777" w:rsidR="00B72ED7" w:rsidRPr="007846FB" w:rsidRDefault="00B72ED7" w:rsidP="00C42CD8">
                  <w:pPr>
                    <w:widowControl w:val="0"/>
                    <w:jc w:val="center"/>
                    <w:rPr>
                      <w:bCs/>
                      <w:i/>
                      <w:iCs/>
                      <w:sz w:val="22"/>
                      <w:szCs w:val="22"/>
                    </w:rPr>
                  </w:pPr>
                  <w:r w:rsidRPr="007846FB">
                    <w:rPr>
                      <w:bCs/>
                      <w:i/>
                      <w:iCs/>
                      <w:sz w:val="22"/>
                      <w:szCs w:val="22"/>
                    </w:rPr>
                    <w:t>1</w:t>
                  </w:r>
                </w:p>
              </w:tc>
              <w:tc>
                <w:tcPr>
                  <w:tcW w:w="991" w:type="dxa"/>
                  <w:tcBorders>
                    <w:top w:val="single" w:sz="4" w:space="0" w:color="auto"/>
                    <w:left w:val="single" w:sz="4" w:space="0" w:color="auto"/>
                    <w:bottom w:val="single" w:sz="4" w:space="0" w:color="auto"/>
                    <w:right w:val="single" w:sz="4" w:space="0" w:color="auto"/>
                  </w:tcBorders>
                  <w:noWrap/>
                  <w:vAlign w:val="center"/>
                  <w:hideMark/>
                </w:tcPr>
                <w:p w14:paraId="29B2C61E" w14:textId="77777777" w:rsidR="00B72ED7" w:rsidRPr="007846FB" w:rsidRDefault="00B72ED7" w:rsidP="00C42CD8">
                  <w:pPr>
                    <w:widowControl w:val="0"/>
                    <w:jc w:val="center"/>
                    <w:rPr>
                      <w:bCs/>
                      <w:i/>
                      <w:iCs/>
                      <w:sz w:val="22"/>
                      <w:szCs w:val="22"/>
                    </w:rPr>
                  </w:pPr>
                  <w:r w:rsidRPr="007846FB">
                    <w:rPr>
                      <w:bCs/>
                      <w:i/>
                      <w:iCs/>
                      <w:sz w:val="22"/>
                      <w:szCs w:val="22"/>
                    </w:rPr>
                    <w:t>2</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A673A00" w14:textId="77777777" w:rsidR="00B72ED7" w:rsidRPr="007846FB" w:rsidRDefault="00B72ED7" w:rsidP="00C42CD8">
                  <w:pPr>
                    <w:widowControl w:val="0"/>
                    <w:jc w:val="center"/>
                    <w:rPr>
                      <w:bCs/>
                      <w:i/>
                      <w:iCs/>
                      <w:sz w:val="22"/>
                      <w:szCs w:val="22"/>
                    </w:rPr>
                  </w:pPr>
                  <w:r w:rsidRPr="007846FB">
                    <w:rPr>
                      <w:bCs/>
                      <w:i/>
                      <w:iCs/>
                      <w:sz w:val="22"/>
                      <w:szCs w:val="22"/>
                    </w:rPr>
                    <w:t>3</w:t>
                  </w:r>
                </w:p>
              </w:tc>
              <w:tc>
                <w:tcPr>
                  <w:tcW w:w="1274" w:type="dxa"/>
                  <w:tcBorders>
                    <w:top w:val="single" w:sz="4" w:space="0" w:color="auto"/>
                    <w:left w:val="single" w:sz="4" w:space="0" w:color="auto"/>
                    <w:bottom w:val="single" w:sz="4" w:space="0" w:color="auto"/>
                    <w:right w:val="single" w:sz="4" w:space="0" w:color="auto"/>
                  </w:tcBorders>
                  <w:noWrap/>
                  <w:vAlign w:val="center"/>
                  <w:hideMark/>
                </w:tcPr>
                <w:p w14:paraId="7528E851" w14:textId="77777777" w:rsidR="00B72ED7" w:rsidRPr="007846FB" w:rsidRDefault="00B72ED7" w:rsidP="00C42CD8">
                  <w:pPr>
                    <w:widowControl w:val="0"/>
                    <w:jc w:val="center"/>
                    <w:rPr>
                      <w:bCs/>
                      <w:i/>
                      <w:iCs/>
                      <w:sz w:val="22"/>
                      <w:szCs w:val="22"/>
                    </w:rPr>
                  </w:pPr>
                  <w:r w:rsidRPr="007846FB">
                    <w:rPr>
                      <w:bCs/>
                      <w:i/>
                      <w:iCs/>
                      <w:sz w:val="22"/>
                      <w:szCs w:val="22"/>
                    </w:rPr>
                    <w:t>4</w:t>
                  </w:r>
                </w:p>
              </w:tc>
            </w:tr>
            <w:tr w:rsidR="00B72ED7" w:rsidRPr="007846FB" w14:paraId="66F783EF" w14:textId="77777777" w:rsidTr="00C42CD8">
              <w:trPr>
                <w:trHeight w:val="501"/>
              </w:trPr>
              <w:tc>
                <w:tcPr>
                  <w:tcW w:w="1159" w:type="dxa"/>
                  <w:tcBorders>
                    <w:top w:val="single" w:sz="4" w:space="0" w:color="auto"/>
                    <w:left w:val="single" w:sz="4" w:space="0" w:color="auto"/>
                    <w:bottom w:val="single" w:sz="4" w:space="0" w:color="auto"/>
                    <w:right w:val="single" w:sz="4" w:space="0" w:color="auto"/>
                  </w:tcBorders>
                  <w:noWrap/>
                  <w:hideMark/>
                </w:tcPr>
                <w:p w14:paraId="728F02E5" w14:textId="77777777" w:rsidR="00B72ED7" w:rsidRPr="007846FB" w:rsidRDefault="00B72ED7" w:rsidP="00C42CD8">
                  <w:pPr>
                    <w:widowControl w:val="0"/>
                    <w:rPr>
                      <w:bCs/>
                      <w:i/>
                      <w:iCs/>
                      <w:sz w:val="22"/>
                      <w:szCs w:val="22"/>
                    </w:rPr>
                  </w:pPr>
                  <w:r w:rsidRPr="007846FB">
                    <w:rPr>
                      <w:bCs/>
                      <w:i/>
                      <w:iCs/>
                      <w:sz w:val="22"/>
                      <w:szCs w:val="22"/>
                    </w:rPr>
                    <w:t>100%</w:t>
                  </w:r>
                </w:p>
              </w:tc>
              <w:tc>
                <w:tcPr>
                  <w:tcW w:w="991" w:type="dxa"/>
                  <w:tcBorders>
                    <w:top w:val="single" w:sz="4" w:space="0" w:color="auto"/>
                    <w:left w:val="single" w:sz="4" w:space="0" w:color="auto"/>
                    <w:bottom w:val="single" w:sz="4" w:space="0" w:color="auto"/>
                    <w:right w:val="single" w:sz="4" w:space="0" w:color="auto"/>
                  </w:tcBorders>
                  <w:noWrap/>
                </w:tcPr>
                <w:p w14:paraId="736EF523" w14:textId="77777777" w:rsidR="00B72ED7" w:rsidRPr="007846FB" w:rsidRDefault="00B72ED7" w:rsidP="00C42CD8">
                  <w:pPr>
                    <w:widowControl w:val="0"/>
                    <w:rPr>
                      <w:bCs/>
                      <w:i/>
                      <w:iCs/>
                      <w:sz w:val="22"/>
                      <w:szCs w:val="22"/>
                    </w:rPr>
                  </w:pPr>
                  <w:r w:rsidRPr="007846FB">
                    <w:rPr>
                      <w:bCs/>
                      <w:i/>
                      <w:iCs/>
                      <w:sz w:val="22"/>
                      <w:szCs w:val="22"/>
                    </w:rPr>
                    <w:t xml:space="preserve">Mayor a 0% y menor a </w:t>
                  </w:r>
                  <w:r w:rsidRPr="007846FB">
                    <w:rPr>
                      <w:bCs/>
                      <w:i/>
                      <w:iCs/>
                      <w:sz w:val="22"/>
                      <w:szCs w:val="22"/>
                    </w:rPr>
                    <w:lastRenderedPageBreak/>
                    <w:t>1,125%</w:t>
                  </w:r>
                </w:p>
              </w:tc>
              <w:tc>
                <w:tcPr>
                  <w:tcW w:w="991" w:type="dxa"/>
                  <w:tcBorders>
                    <w:top w:val="single" w:sz="4" w:space="0" w:color="auto"/>
                    <w:left w:val="single" w:sz="4" w:space="0" w:color="auto"/>
                    <w:bottom w:val="single" w:sz="4" w:space="0" w:color="auto"/>
                    <w:right w:val="single" w:sz="4" w:space="0" w:color="auto"/>
                  </w:tcBorders>
                  <w:noWrap/>
                </w:tcPr>
                <w:p w14:paraId="02BF39ED" w14:textId="77777777" w:rsidR="00B72ED7" w:rsidRPr="007846FB" w:rsidRDefault="00B72ED7" w:rsidP="00C42CD8">
                  <w:pPr>
                    <w:widowControl w:val="0"/>
                    <w:rPr>
                      <w:bCs/>
                      <w:i/>
                      <w:iCs/>
                      <w:sz w:val="22"/>
                      <w:szCs w:val="22"/>
                    </w:rPr>
                  </w:pPr>
                  <w:r w:rsidRPr="007846FB">
                    <w:rPr>
                      <w:bCs/>
                      <w:i/>
                      <w:iCs/>
                      <w:sz w:val="22"/>
                      <w:szCs w:val="22"/>
                    </w:rPr>
                    <w:lastRenderedPageBreak/>
                    <w:t xml:space="preserve">Mayor a 0% y menor a </w:t>
                  </w:r>
                  <w:r w:rsidRPr="007846FB">
                    <w:rPr>
                      <w:bCs/>
                      <w:i/>
                      <w:iCs/>
                      <w:sz w:val="22"/>
                      <w:szCs w:val="22"/>
                    </w:rPr>
                    <w:lastRenderedPageBreak/>
                    <w:t>1,00%</w:t>
                  </w:r>
                </w:p>
              </w:tc>
              <w:tc>
                <w:tcPr>
                  <w:tcW w:w="850" w:type="dxa"/>
                  <w:tcBorders>
                    <w:top w:val="single" w:sz="4" w:space="0" w:color="auto"/>
                    <w:left w:val="single" w:sz="4" w:space="0" w:color="auto"/>
                    <w:bottom w:val="single" w:sz="4" w:space="0" w:color="auto"/>
                    <w:right w:val="single" w:sz="4" w:space="0" w:color="auto"/>
                  </w:tcBorders>
                  <w:noWrap/>
                </w:tcPr>
                <w:p w14:paraId="7D1DF676" w14:textId="77777777" w:rsidR="00B72ED7" w:rsidRPr="007846FB" w:rsidRDefault="00B72ED7" w:rsidP="00C42CD8">
                  <w:pPr>
                    <w:widowControl w:val="0"/>
                    <w:rPr>
                      <w:bCs/>
                      <w:i/>
                      <w:iCs/>
                      <w:sz w:val="22"/>
                      <w:szCs w:val="22"/>
                    </w:rPr>
                  </w:pPr>
                  <w:r w:rsidRPr="007846FB">
                    <w:rPr>
                      <w:bCs/>
                      <w:i/>
                      <w:iCs/>
                      <w:sz w:val="22"/>
                      <w:szCs w:val="22"/>
                    </w:rPr>
                    <w:lastRenderedPageBreak/>
                    <w:t xml:space="preserve">Mayor a 0% y menor </w:t>
                  </w:r>
                  <w:r w:rsidRPr="007846FB">
                    <w:rPr>
                      <w:bCs/>
                      <w:i/>
                      <w:iCs/>
                      <w:sz w:val="22"/>
                      <w:szCs w:val="22"/>
                    </w:rPr>
                    <w:lastRenderedPageBreak/>
                    <w:t>a 0,875%</w:t>
                  </w:r>
                </w:p>
              </w:tc>
              <w:tc>
                <w:tcPr>
                  <w:tcW w:w="1274" w:type="dxa"/>
                  <w:tcBorders>
                    <w:top w:val="single" w:sz="4" w:space="0" w:color="auto"/>
                    <w:left w:val="single" w:sz="4" w:space="0" w:color="auto"/>
                    <w:bottom w:val="single" w:sz="4" w:space="0" w:color="auto"/>
                    <w:right w:val="single" w:sz="4" w:space="0" w:color="auto"/>
                  </w:tcBorders>
                  <w:noWrap/>
                </w:tcPr>
                <w:p w14:paraId="01850402" w14:textId="77777777" w:rsidR="00B72ED7" w:rsidRPr="007846FB" w:rsidRDefault="00B72ED7" w:rsidP="00C42CD8">
                  <w:pPr>
                    <w:widowControl w:val="0"/>
                    <w:rPr>
                      <w:bCs/>
                      <w:i/>
                      <w:iCs/>
                      <w:sz w:val="22"/>
                      <w:szCs w:val="22"/>
                    </w:rPr>
                  </w:pPr>
                  <w:r w:rsidRPr="007846FB">
                    <w:rPr>
                      <w:bCs/>
                      <w:i/>
                      <w:iCs/>
                      <w:sz w:val="22"/>
                      <w:szCs w:val="22"/>
                    </w:rPr>
                    <w:lastRenderedPageBreak/>
                    <w:t xml:space="preserve">Mayor a 0% y menor o </w:t>
                  </w:r>
                  <w:r w:rsidRPr="007846FB">
                    <w:rPr>
                      <w:bCs/>
                      <w:i/>
                      <w:iCs/>
                      <w:sz w:val="22"/>
                      <w:szCs w:val="22"/>
                    </w:rPr>
                    <w:lastRenderedPageBreak/>
                    <w:t>igual a 0,75%</w:t>
                  </w:r>
                </w:p>
              </w:tc>
            </w:tr>
            <w:tr w:rsidR="00B72ED7" w:rsidRPr="007846FB" w14:paraId="0491F938" w14:textId="77777777" w:rsidTr="00C42CD8">
              <w:trPr>
                <w:trHeight w:val="580"/>
              </w:trPr>
              <w:tc>
                <w:tcPr>
                  <w:tcW w:w="1159" w:type="dxa"/>
                  <w:tcBorders>
                    <w:top w:val="single" w:sz="4" w:space="0" w:color="auto"/>
                    <w:left w:val="single" w:sz="4" w:space="0" w:color="auto"/>
                    <w:bottom w:val="single" w:sz="4" w:space="0" w:color="auto"/>
                    <w:right w:val="single" w:sz="4" w:space="0" w:color="auto"/>
                  </w:tcBorders>
                  <w:noWrap/>
                  <w:hideMark/>
                </w:tcPr>
                <w:p w14:paraId="408D6568" w14:textId="77777777" w:rsidR="00B72ED7" w:rsidRPr="007846FB" w:rsidRDefault="00B72ED7" w:rsidP="00C42CD8">
                  <w:pPr>
                    <w:widowControl w:val="0"/>
                    <w:rPr>
                      <w:bCs/>
                      <w:i/>
                      <w:iCs/>
                      <w:sz w:val="22"/>
                      <w:szCs w:val="22"/>
                    </w:rPr>
                  </w:pPr>
                  <w:r w:rsidRPr="007846FB">
                    <w:rPr>
                      <w:bCs/>
                      <w:i/>
                      <w:iCs/>
                      <w:sz w:val="22"/>
                      <w:szCs w:val="22"/>
                    </w:rPr>
                    <w:lastRenderedPageBreak/>
                    <w:t>80%</w:t>
                  </w:r>
                </w:p>
              </w:tc>
              <w:tc>
                <w:tcPr>
                  <w:tcW w:w="991" w:type="dxa"/>
                  <w:tcBorders>
                    <w:top w:val="single" w:sz="4" w:space="0" w:color="auto"/>
                    <w:left w:val="single" w:sz="4" w:space="0" w:color="auto"/>
                    <w:bottom w:val="single" w:sz="4" w:space="0" w:color="auto"/>
                    <w:right w:val="single" w:sz="4" w:space="0" w:color="auto"/>
                  </w:tcBorders>
                  <w:noWrap/>
                </w:tcPr>
                <w:p w14:paraId="0B781635" w14:textId="77777777" w:rsidR="00B72ED7" w:rsidRPr="007846FB" w:rsidRDefault="00B72ED7" w:rsidP="00C42CD8">
                  <w:pPr>
                    <w:widowControl w:val="0"/>
                    <w:rPr>
                      <w:bCs/>
                      <w:i/>
                      <w:iCs/>
                      <w:sz w:val="22"/>
                      <w:szCs w:val="22"/>
                    </w:rPr>
                  </w:pPr>
                  <w:r w:rsidRPr="007846FB">
                    <w:rPr>
                      <w:bCs/>
                      <w:i/>
                      <w:iCs/>
                      <w:sz w:val="22"/>
                      <w:szCs w:val="22"/>
                    </w:rPr>
                    <w:t>Mayor a 1,125% y menor o igual a 2,25%</w:t>
                  </w:r>
                </w:p>
              </w:tc>
              <w:tc>
                <w:tcPr>
                  <w:tcW w:w="991" w:type="dxa"/>
                  <w:tcBorders>
                    <w:top w:val="single" w:sz="4" w:space="0" w:color="auto"/>
                    <w:left w:val="single" w:sz="4" w:space="0" w:color="auto"/>
                    <w:bottom w:val="single" w:sz="4" w:space="0" w:color="auto"/>
                    <w:right w:val="single" w:sz="4" w:space="0" w:color="auto"/>
                  </w:tcBorders>
                  <w:noWrap/>
                </w:tcPr>
                <w:p w14:paraId="18F8B76A" w14:textId="77777777" w:rsidR="00B72ED7" w:rsidRPr="007846FB" w:rsidRDefault="00B72ED7" w:rsidP="00C42CD8">
                  <w:pPr>
                    <w:widowControl w:val="0"/>
                    <w:rPr>
                      <w:bCs/>
                      <w:i/>
                      <w:iCs/>
                      <w:sz w:val="22"/>
                      <w:szCs w:val="22"/>
                    </w:rPr>
                  </w:pPr>
                  <w:r w:rsidRPr="007846FB">
                    <w:rPr>
                      <w:bCs/>
                      <w:i/>
                      <w:iCs/>
                      <w:sz w:val="22"/>
                      <w:szCs w:val="22"/>
                    </w:rPr>
                    <w:t>Mayor a 1,00% y menor o igual a 2,00%</w:t>
                  </w:r>
                </w:p>
              </w:tc>
              <w:tc>
                <w:tcPr>
                  <w:tcW w:w="850" w:type="dxa"/>
                  <w:tcBorders>
                    <w:top w:val="single" w:sz="4" w:space="0" w:color="auto"/>
                    <w:left w:val="single" w:sz="4" w:space="0" w:color="auto"/>
                    <w:bottom w:val="single" w:sz="4" w:space="0" w:color="auto"/>
                    <w:right w:val="single" w:sz="4" w:space="0" w:color="auto"/>
                  </w:tcBorders>
                  <w:noWrap/>
                </w:tcPr>
                <w:p w14:paraId="18A10DEA" w14:textId="77777777" w:rsidR="00B72ED7" w:rsidRPr="007846FB" w:rsidRDefault="00B72ED7" w:rsidP="00C42CD8">
                  <w:pPr>
                    <w:widowControl w:val="0"/>
                    <w:rPr>
                      <w:bCs/>
                      <w:i/>
                      <w:iCs/>
                      <w:sz w:val="22"/>
                      <w:szCs w:val="22"/>
                    </w:rPr>
                  </w:pPr>
                  <w:r w:rsidRPr="007846FB">
                    <w:rPr>
                      <w:bCs/>
                      <w:i/>
                      <w:iCs/>
                      <w:sz w:val="22"/>
                      <w:szCs w:val="22"/>
                    </w:rPr>
                    <w:t>Mayor a 0,875% y menor o igual a 1,75%</w:t>
                  </w:r>
                </w:p>
              </w:tc>
              <w:tc>
                <w:tcPr>
                  <w:tcW w:w="1274" w:type="dxa"/>
                  <w:tcBorders>
                    <w:top w:val="single" w:sz="4" w:space="0" w:color="auto"/>
                    <w:left w:val="single" w:sz="4" w:space="0" w:color="auto"/>
                    <w:bottom w:val="single" w:sz="4" w:space="0" w:color="auto"/>
                    <w:right w:val="single" w:sz="4" w:space="0" w:color="auto"/>
                  </w:tcBorders>
                  <w:noWrap/>
                </w:tcPr>
                <w:p w14:paraId="759F8A85" w14:textId="77777777" w:rsidR="00B72ED7" w:rsidRPr="007846FB" w:rsidRDefault="00B72ED7" w:rsidP="00C42CD8">
                  <w:pPr>
                    <w:widowControl w:val="0"/>
                    <w:rPr>
                      <w:bCs/>
                      <w:i/>
                      <w:iCs/>
                      <w:sz w:val="22"/>
                      <w:szCs w:val="22"/>
                    </w:rPr>
                  </w:pPr>
                  <w:r w:rsidRPr="007846FB">
                    <w:rPr>
                      <w:bCs/>
                      <w:i/>
                      <w:iCs/>
                      <w:sz w:val="22"/>
                      <w:szCs w:val="22"/>
                    </w:rPr>
                    <w:t>Mayor a 0,75% y menor o igual a 1,50%</w:t>
                  </w:r>
                </w:p>
              </w:tc>
            </w:tr>
            <w:tr w:rsidR="00B72ED7" w:rsidRPr="007846FB" w14:paraId="39BB2EF8" w14:textId="77777777" w:rsidTr="00C42CD8">
              <w:trPr>
                <w:trHeight w:val="580"/>
              </w:trPr>
              <w:tc>
                <w:tcPr>
                  <w:tcW w:w="1159" w:type="dxa"/>
                  <w:tcBorders>
                    <w:top w:val="single" w:sz="4" w:space="0" w:color="auto"/>
                    <w:left w:val="single" w:sz="4" w:space="0" w:color="auto"/>
                    <w:bottom w:val="single" w:sz="4" w:space="0" w:color="auto"/>
                    <w:right w:val="single" w:sz="4" w:space="0" w:color="auto"/>
                  </w:tcBorders>
                  <w:noWrap/>
                  <w:hideMark/>
                </w:tcPr>
                <w:p w14:paraId="6F129835" w14:textId="77777777" w:rsidR="00B72ED7" w:rsidRPr="007846FB" w:rsidRDefault="00B72ED7" w:rsidP="00C42CD8">
                  <w:pPr>
                    <w:widowControl w:val="0"/>
                    <w:rPr>
                      <w:bCs/>
                      <w:i/>
                      <w:iCs/>
                      <w:sz w:val="22"/>
                      <w:szCs w:val="22"/>
                    </w:rPr>
                  </w:pPr>
                  <w:r w:rsidRPr="007846FB">
                    <w:rPr>
                      <w:bCs/>
                      <w:i/>
                      <w:iCs/>
                      <w:sz w:val="22"/>
                      <w:szCs w:val="22"/>
                    </w:rPr>
                    <w:t>60%</w:t>
                  </w:r>
                </w:p>
              </w:tc>
              <w:tc>
                <w:tcPr>
                  <w:tcW w:w="991" w:type="dxa"/>
                  <w:tcBorders>
                    <w:top w:val="single" w:sz="4" w:space="0" w:color="auto"/>
                    <w:left w:val="single" w:sz="4" w:space="0" w:color="auto"/>
                    <w:bottom w:val="single" w:sz="4" w:space="0" w:color="auto"/>
                    <w:right w:val="single" w:sz="4" w:space="0" w:color="auto"/>
                  </w:tcBorders>
                  <w:noWrap/>
                </w:tcPr>
                <w:p w14:paraId="3766124E" w14:textId="77777777" w:rsidR="00B72ED7" w:rsidRPr="007846FB" w:rsidRDefault="00B72ED7" w:rsidP="00C42CD8">
                  <w:pPr>
                    <w:widowControl w:val="0"/>
                    <w:rPr>
                      <w:bCs/>
                      <w:i/>
                      <w:iCs/>
                      <w:sz w:val="22"/>
                      <w:szCs w:val="22"/>
                    </w:rPr>
                  </w:pPr>
                  <w:r w:rsidRPr="007846FB">
                    <w:rPr>
                      <w:bCs/>
                      <w:i/>
                      <w:iCs/>
                      <w:sz w:val="22"/>
                      <w:szCs w:val="22"/>
                    </w:rPr>
                    <w:t>Mayor a 2,25% y menor o igual a 3,375%</w:t>
                  </w:r>
                </w:p>
              </w:tc>
              <w:tc>
                <w:tcPr>
                  <w:tcW w:w="991" w:type="dxa"/>
                  <w:tcBorders>
                    <w:top w:val="single" w:sz="4" w:space="0" w:color="auto"/>
                    <w:left w:val="single" w:sz="4" w:space="0" w:color="auto"/>
                    <w:bottom w:val="single" w:sz="4" w:space="0" w:color="auto"/>
                    <w:right w:val="single" w:sz="4" w:space="0" w:color="auto"/>
                  </w:tcBorders>
                  <w:noWrap/>
                </w:tcPr>
                <w:p w14:paraId="61D90749" w14:textId="77777777" w:rsidR="00B72ED7" w:rsidRPr="007846FB" w:rsidRDefault="00B72ED7" w:rsidP="00C42CD8">
                  <w:pPr>
                    <w:widowControl w:val="0"/>
                    <w:rPr>
                      <w:bCs/>
                      <w:i/>
                      <w:iCs/>
                      <w:sz w:val="22"/>
                      <w:szCs w:val="22"/>
                    </w:rPr>
                  </w:pPr>
                  <w:r w:rsidRPr="007846FB">
                    <w:rPr>
                      <w:bCs/>
                      <w:i/>
                      <w:iCs/>
                      <w:sz w:val="22"/>
                      <w:szCs w:val="22"/>
                    </w:rPr>
                    <w:t>Mayor a 2,00% y menor o igual a 3,00%</w:t>
                  </w:r>
                </w:p>
              </w:tc>
              <w:tc>
                <w:tcPr>
                  <w:tcW w:w="850" w:type="dxa"/>
                  <w:tcBorders>
                    <w:top w:val="single" w:sz="4" w:space="0" w:color="auto"/>
                    <w:left w:val="single" w:sz="4" w:space="0" w:color="auto"/>
                    <w:bottom w:val="single" w:sz="4" w:space="0" w:color="auto"/>
                    <w:right w:val="single" w:sz="4" w:space="0" w:color="auto"/>
                  </w:tcBorders>
                  <w:noWrap/>
                </w:tcPr>
                <w:p w14:paraId="5DF96A43" w14:textId="77777777" w:rsidR="00B72ED7" w:rsidRPr="007846FB" w:rsidRDefault="00B72ED7" w:rsidP="00C42CD8">
                  <w:pPr>
                    <w:widowControl w:val="0"/>
                    <w:rPr>
                      <w:bCs/>
                      <w:i/>
                      <w:iCs/>
                      <w:sz w:val="22"/>
                      <w:szCs w:val="22"/>
                    </w:rPr>
                  </w:pPr>
                  <w:r w:rsidRPr="007846FB">
                    <w:rPr>
                      <w:bCs/>
                      <w:i/>
                      <w:iCs/>
                      <w:sz w:val="22"/>
                      <w:szCs w:val="22"/>
                    </w:rPr>
                    <w:t>Mayor a 1,75% y menor o igual a 2,625%</w:t>
                  </w:r>
                </w:p>
              </w:tc>
              <w:tc>
                <w:tcPr>
                  <w:tcW w:w="1274" w:type="dxa"/>
                  <w:tcBorders>
                    <w:top w:val="single" w:sz="4" w:space="0" w:color="auto"/>
                    <w:left w:val="single" w:sz="4" w:space="0" w:color="auto"/>
                    <w:bottom w:val="single" w:sz="4" w:space="0" w:color="auto"/>
                    <w:right w:val="single" w:sz="4" w:space="0" w:color="auto"/>
                  </w:tcBorders>
                  <w:noWrap/>
                </w:tcPr>
                <w:p w14:paraId="446E7803" w14:textId="77777777" w:rsidR="00B72ED7" w:rsidRPr="007846FB" w:rsidRDefault="00B72ED7" w:rsidP="00C42CD8">
                  <w:pPr>
                    <w:widowControl w:val="0"/>
                    <w:rPr>
                      <w:bCs/>
                      <w:i/>
                      <w:iCs/>
                      <w:sz w:val="22"/>
                      <w:szCs w:val="22"/>
                    </w:rPr>
                  </w:pPr>
                  <w:r w:rsidRPr="007846FB">
                    <w:rPr>
                      <w:bCs/>
                      <w:i/>
                      <w:iCs/>
                      <w:sz w:val="22"/>
                      <w:szCs w:val="22"/>
                    </w:rPr>
                    <w:t xml:space="preserve">Mayor a 1,50% y menor o igual a </w:t>
                  </w:r>
                </w:p>
                <w:p w14:paraId="5CFEE59A" w14:textId="77777777" w:rsidR="00B72ED7" w:rsidRPr="007846FB" w:rsidRDefault="00B72ED7" w:rsidP="00C42CD8">
                  <w:pPr>
                    <w:widowControl w:val="0"/>
                    <w:rPr>
                      <w:bCs/>
                      <w:i/>
                      <w:iCs/>
                      <w:sz w:val="22"/>
                      <w:szCs w:val="22"/>
                    </w:rPr>
                  </w:pPr>
                  <w:r w:rsidRPr="007846FB">
                    <w:rPr>
                      <w:bCs/>
                      <w:i/>
                      <w:iCs/>
                      <w:sz w:val="22"/>
                      <w:szCs w:val="22"/>
                    </w:rPr>
                    <w:t>2,25%</w:t>
                  </w:r>
                </w:p>
              </w:tc>
            </w:tr>
            <w:tr w:rsidR="00B72ED7" w:rsidRPr="007846FB" w14:paraId="3F83A249" w14:textId="77777777" w:rsidTr="00C42CD8">
              <w:trPr>
                <w:trHeight w:val="580"/>
              </w:trPr>
              <w:tc>
                <w:tcPr>
                  <w:tcW w:w="1159" w:type="dxa"/>
                  <w:tcBorders>
                    <w:top w:val="single" w:sz="4" w:space="0" w:color="auto"/>
                    <w:left w:val="single" w:sz="4" w:space="0" w:color="auto"/>
                    <w:bottom w:val="single" w:sz="4" w:space="0" w:color="auto"/>
                    <w:right w:val="single" w:sz="4" w:space="0" w:color="auto"/>
                  </w:tcBorders>
                  <w:noWrap/>
                  <w:hideMark/>
                </w:tcPr>
                <w:p w14:paraId="5D05BAC1" w14:textId="77777777" w:rsidR="00B72ED7" w:rsidRPr="007846FB" w:rsidRDefault="00B72ED7" w:rsidP="00C42CD8">
                  <w:pPr>
                    <w:widowControl w:val="0"/>
                    <w:rPr>
                      <w:bCs/>
                      <w:i/>
                      <w:iCs/>
                      <w:sz w:val="22"/>
                      <w:szCs w:val="22"/>
                    </w:rPr>
                  </w:pPr>
                  <w:r w:rsidRPr="007846FB">
                    <w:rPr>
                      <w:bCs/>
                      <w:i/>
                      <w:iCs/>
                      <w:sz w:val="22"/>
                      <w:szCs w:val="22"/>
                    </w:rPr>
                    <w:t>40%</w:t>
                  </w:r>
                </w:p>
              </w:tc>
              <w:tc>
                <w:tcPr>
                  <w:tcW w:w="991" w:type="dxa"/>
                  <w:tcBorders>
                    <w:top w:val="single" w:sz="4" w:space="0" w:color="auto"/>
                    <w:left w:val="single" w:sz="4" w:space="0" w:color="auto"/>
                    <w:bottom w:val="single" w:sz="4" w:space="0" w:color="auto"/>
                    <w:right w:val="single" w:sz="4" w:space="0" w:color="auto"/>
                  </w:tcBorders>
                  <w:noWrap/>
                </w:tcPr>
                <w:p w14:paraId="3FDA7613" w14:textId="77777777" w:rsidR="00B72ED7" w:rsidRPr="007846FB" w:rsidRDefault="00B72ED7" w:rsidP="00C42CD8">
                  <w:pPr>
                    <w:widowControl w:val="0"/>
                    <w:rPr>
                      <w:bCs/>
                      <w:i/>
                      <w:iCs/>
                      <w:sz w:val="22"/>
                      <w:szCs w:val="22"/>
                    </w:rPr>
                  </w:pPr>
                  <w:r w:rsidRPr="007846FB">
                    <w:rPr>
                      <w:bCs/>
                      <w:i/>
                      <w:iCs/>
                      <w:sz w:val="22"/>
                      <w:szCs w:val="22"/>
                    </w:rPr>
                    <w:t>Mayor a 3,375% y menor o igual a 4,50%</w:t>
                  </w:r>
                </w:p>
              </w:tc>
              <w:tc>
                <w:tcPr>
                  <w:tcW w:w="991" w:type="dxa"/>
                  <w:tcBorders>
                    <w:top w:val="single" w:sz="4" w:space="0" w:color="auto"/>
                    <w:left w:val="single" w:sz="4" w:space="0" w:color="auto"/>
                    <w:bottom w:val="single" w:sz="4" w:space="0" w:color="auto"/>
                    <w:right w:val="single" w:sz="4" w:space="0" w:color="auto"/>
                  </w:tcBorders>
                  <w:noWrap/>
                </w:tcPr>
                <w:p w14:paraId="3AF08953" w14:textId="77777777" w:rsidR="00B72ED7" w:rsidRPr="007846FB" w:rsidRDefault="00B72ED7" w:rsidP="00C42CD8">
                  <w:pPr>
                    <w:widowControl w:val="0"/>
                    <w:rPr>
                      <w:bCs/>
                      <w:i/>
                      <w:iCs/>
                      <w:sz w:val="22"/>
                      <w:szCs w:val="22"/>
                    </w:rPr>
                  </w:pPr>
                  <w:r w:rsidRPr="007846FB">
                    <w:rPr>
                      <w:bCs/>
                      <w:i/>
                      <w:iCs/>
                      <w:sz w:val="22"/>
                      <w:szCs w:val="22"/>
                    </w:rPr>
                    <w:t>Mayor a 3,00% y menor o igual a 4,00%</w:t>
                  </w:r>
                </w:p>
              </w:tc>
              <w:tc>
                <w:tcPr>
                  <w:tcW w:w="850" w:type="dxa"/>
                  <w:tcBorders>
                    <w:top w:val="single" w:sz="4" w:space="0" w:color="auto"/>
                    <w:left w:val="single" w:sz="4" w:space="0" w:color="auto"/>
                    <w:bottom w:val="single" w:sz="4" w:space="0" w:color="auto"/>
                    <w:right w:val="single" w:sz="4" w:space="0" w:color="auto"/>
                  </w:tcBorders>
                  <w:noWrap/>
                </w:tcPr>
                <w:p w14:paraId="38D10780" w14:textId="77777777" w:rsidR="00B72ED7" w:rsidRPr="007846FB" w:rsidRDefault="00B72ED7" w:rsidP="00C42CD8">
                  <w:pPr>
                    <w:widowControl w:val="0"/>
                    <w:rPr>
                      <w:bCs/>
                      <w:i/>
                      <w:iCs/>
                      <w:sz w:val="22"/>
                      <w:szCs w:val="22"/>
                    </w:rPr>
                  </w:pPr>
                  <w:r w:rsidRPr="007846FB">
                    <w:rPr>
                      <w:bCs/>
                      <w:i/>
                      <w:iCs/>
                      <w:sz w:val="22"/>
                      <w:szCs w:val="22"/>
                    </w:rPr>
                    <w:t>Mayor a 2,625% y menor o igual a 3,50%</w:t>
                  </w:r>
                </w:p>
              </w:tc>
              <w:tc>
                <w:tcPr>
                  <w:tcW w:w="1274" w:type="dxa"/>
                  <w:tcBorders>
                    <w:top w:val="single" w:sz="4" w:space="0" w:color="auto"/>
                    <w:left w:val="single" w:sz="4" w:space="0" w:color="auto"/>
                    <w:bottom w:val="single" w:sz="4" w:space="0" w:color="auto"/>
                    <w:right w:val="single" w:sz="4" w:space="0" w:color="auto"/>
                  </w:tcBorders>
                  <w:noWrap/>
                </w:tcPr>
                <w:p w14:paraId="461984E1" w14:textId="77777777" w:rsidR="00B72ED7" w:rsidRPr="007846FB" w:rsidRDefault="00B72ED7" w:rsidP="00C42CD8">
                  <w:pPr>
                    <w:widowControl w:val="0"/>
                    <w:rPr>
                      <w:bCs/>
                      <w:i/>
                      <w:iCs/>
                      <w:strike/>
                      <w:sz w:val="22"/>
                      <w:szCs w:val="22"/>
                    </w:rPr>
                  </w:pPr>
                  <w:r w:rsidRPr="007846FB">
                    <w:rPr>
                      <w:bCs/>
                      <w:i/>
                      <w:iCs/>
                      <w:sz w:val="22"/>
                      <w:szCs w:val="22"/>
                    </w:rPr>
                    <w:t xml:space="preserve">Mayor a 2,25% y menor o igual a </w:t>
                  </w:r>
                </w:p>
                <w:p w14:paraId="5C0B7B3C" w14:textId="77777777" w:rsidR="00B72ED7" w:rsidRPr="007846FB" w:rsidRDefault="00B72ED7" w:rsidP="00C42CD8">
                  <w:pPr>
                    <w:widowControl w:val="0"/>
                    <w:rPr>
                      <w:bCs/>
                      <w:i/>
                      <w:iCs/>
                      <w:sz w:val="22"/>
                      <w:szCs w:val="22"/>
                    </w:rPr>
                  </w:pPr>
                  <w:r w:rsidRPr="007846FB">
                    <w:rPr>
                      <w:bCs/>
                      <w:i/>
                      <w:iCs/>
                      <w:sz w:val="22"/>
                      <w:szCs w:val="22"/>
                    </w:rPr>
                    <w:t>3,00%</w:t>
                  </w:r>
                </w:p>
              </w:tc>
            </w:tr>
            <w:tr w:rsidR="00B72ED7" w:rsidRPr="007846FB" w14:paraId="445EC668" w14:textId="77777777" w:rsidTr="00C42CD8">
              <w:trPr>
                <w:trHeight w:val="580"/>
              </w:trPr>
              <w:tc>
                <w:tcPr>
                  <w:tcW w:w="1159" w:type="dxa"/>
                  <w:tcBorders>
                    <w:top w:val="single" w:sz="4" w:space="0" w:color="auto"/>
                    <w:left w:val="single" w:sz="4" w:space="0" w:color="auto"/>
                    <w:bottom w:val="single" w:sz="4" w:space="0" w:color="auto"/>
                    <w:right w:val="single" w:sz="4" w:space="0" w:color="auto"/>
                  </w:tcBorders>
                  <w:noWrap/>
                  <w:hideMark/>
                </w:tcPr>
                <w:p w14:paraId="37F59D2B" w14:textId="77777777" w:rsidR="00B72ED7" w:rsidRPr="007846FB" w:rsidRDefault="00B72ED7" w:rsidP="00C42CD8">
                  <w:pPr>
                    <w:widowControl w:val="0"/>
                    <w:rPr>
                      <w:bCs/>
                      <w:i/>
                      <w:iCs/>
                      <w:sz w:val="22"/>
                      <w:szCs w:val="22"/>
                    </w:rPr>
                  </w:pPr>
                  <w:r w:rsidRPr="007846FB">
                    <w:rPr>
                      <w:bCs/>
                      <w:i/>
                      <w:iCs/>
                      <w:sz w:val="22"/>
                      <w:szCs w:val="22"/>
                    </w:rPr>
                    <w:t>0%</w:t>
                  </w:r>
                </w:p>
              </w:tc>
              <w:tc>
                <w:tcPr>
                  <w:tcW w:w="991" w:type="dxa"/>
                  <w:tcBorders>
                    <w:top w:val="single" w:sz="4" w:space="0" w:color="auto"/>
                    <w:left w:val="single" w:sz="4" w:space="0" w:color="auto"/>
                    <w:bottom w:val="single" w:sz="4" w:space="0" w:color="auto"/>
                    <w:right w:val="single" w:sz="4" w:space="0" w:color="auto"/>
                  </w:tcBorders>
                  <w:noWrap/>
                </w:tcPr>
                <w:p w14:paraId="649B3B82" w14:textId="77777777" w:rsidR="00B72ED7" w:rsidRPr="007846FB" w:rsidRDefault="00B72ED7" w:rsidP="00C42CD8">
                  <w:pPr>
                    <w:widowControl w:val="0"/>
                    <w:rPr>
                      <w:bCs/>
                      <w:i/>
                      <w:iCs/>
                      <w:sz w:val="22"/>
                      <w:szCs w:val="22"/>
                    </w:rPr>
                  </w:pPr>
                  <w:r w:rsidRPr="007846FB">
                    <w:rPr>
                      <w:bCs/>
                      <w:i/>
                      <w:iCs/>
                      <w:sz w:val="22"/>
                      <w:szCs w:val="22"/>
                    </w:rPr>
                    <w:t>Mayor a 4,50%</w:t>
                  </w:r>
                </w:p>
              </w:tc>
              <w:tc>
                <w:tcPr>
                  <w:tcW w:w="991" w:type="dxa"/>
                  <w:tcBorders>
                    <w:top w:val="single" w:sz="4" w:space="0" w:color="auto"/>
                    <w:left w:val="single" w:sz="4" w:space="0" w:color="auto"/>
                    <w:bottom w:val="single" w:sz="4" w:space="0" w:color="auto"/>
                    <w:right w:val="single" w:sz="4" w:space="0" w:color="auto"/>
                  </w:tcBorders>
                  <w:noWrap/>
                </w:tcPr>
                <w:p w14:paraId="3246CF9B" w14:textId="77777777" w:rsidR="00B72ED7" w:rsidRPr="007846FB" w:rsidRDefault="00B72ED7" w:rsidP="00C42CD8">
                  <w:pPr>
                    <w:widowControl w:val="0"/>
                    <w:rPr>
                      <w:bCs/>
                      <w:i/>
                      <w:iCs/>
                      <w:sz w:val="22"/>
                      <w:szCs w:val="22"/>
                    </w:rPr>
                  </w:pPr>
                  <w:r w:rsidRPr="007846FB">
                    <w:rPr>
                      <w:bCs/>
                      <w:i/>
                      <w:iCs/>
                      <w:sz w:val="22"/>
                      <w:szCs w:val="22"/>
                    </w:rPr>
                    <w:t>Mayor a 4,00%</w:t>
                  </w:r>
                </w:p>
              </w:tc>
              <w:tc>
                <w:tcPr>
                  <w:tcW w:w="850" w:type="dxa"/>
                  <w:tcBorders>
                    <w:top w:val="single" w:sz="4" w:space="0" w:color="auto"/>
                    <w:left w:val="single" w:sz="4" w:space="0" w:color="auto"/>
                    <w:bottom w:val="single" w:sz="4" w:space="0" w:color="auto"/>
                    <w:right w:val="single" w:sz="4" w:space="0" w:color="auto"/>
                  </w:tcBorders>
                  <w:noWrap/>
                </w:tcPr>
                <w:p w14:paraId="61973DEE" w14:textId="77777777" w:rsidR="00B72ED7" w:rsidRPr="007846FB" w:rsidRDefault="00B72ED7" w:rsidP="00C42CD8">
                  <w:pPr>
                    <w:widowControl w:val="0"/>
                    <w:rPr>
                      <w:bCs/>
                      <w:i/>
                      <w:iCs/>
                      <w:sz w:val="22"/>
                      <w:szCs w:val="22"/>
                    </w:rPr>
                  </w:pPr>
                  <w:r w:rsidRPr="007846FB">
                    <w:rPr>
                      <w:bCs/>
                      <w:i/>
                      <w:iCs/>
                      <w:sz w:val="22"/>
                      <w:szCs w:val="22"/>
                    </w:rPr>
                    <w:t>Mayor a 3,50%</w:t>
                  </w:r>
                </w:p>
              </w:tc>
              <w:tc>
                <w:tcPr>
                  <w:tcW w:w="1274" w:type="dxa"/>
                  <w:tcBorders>
                    <w:top w:val="single" w:sz="4" w:space="0" w:color="auto"/>
                    <w:left w:val="single" w:sz="4" w:space="0" w:color="auto"/>
                    <w:bottom w:val="single" w:sz="4" w:space="0" w:color="auto"/>
                    <w:right w:val="single" w:sz="4" w:space="0" w:color="auto"/>
                  </w:tcBorders>
                  <w:noWrap/>
                </w:tcPr>
                <w:p w14:paraId="022FBE63" w14:textId="77777777" w:rsidR="00B72ED7" w:rsidRPr="007846FB" w:rsidRDefault="00B72ED7" w:rsidP="00C42CD8">
                  <w:pPr>
                    <w:widowControl w:val="0"/>
                    <w:rPr>
                      <w:bCs/>
                      <w:i/>
                      <w:iCs/>
                      <w:sz w:val="22"/>
                      <w:szCs w:val="22"/>
                    </w:rPr>
                  </w:pPr>
                  <w:r w:rsidRPr="007846FB">
                    <w:rPr>
                      <w:bCs/>
                      <w:i/>
                      <w:iCs/>
                      <w:sz w:val="22"/>
                      <w:szCs w:val="22"/>
                    </w:rPr>
                    <w:t xml:space="preserve">Mayor a </w:t>
                  </w:r>
                </w:p>
                <w:p w14:paraId="7CA79728" w14:textId="77777777" w:rsidR="00B72ED7" w:rsidRPr="007846FB" w:rsidRDefault="00B72ED7" w:rsidP="00C42CD8">
                  <w:pPr>
                    <w:widowControl w:val="0"/>
                    <w:rPr>
                      <w:bCs/>
                      <w:i/>
                      <w:iCs/>
                      <w:sz w:val="22"/>
                      <w:szCs w:val="22"/>
                    </w:rPr>
                  </w:pPr>
                  <w:r w:rsidRPr="007846FB">
                    <w:rPr>
                      <w:bCs/>
                      <w:i/>
                      <w:iCs/>
                      <w:sz w:val="22"/>
                      <w:szCs w:val="22"/>
                    </w:rPr>
                    <w:t>3,00%</w:t>
                  </w:r>
                </w:p>
              </w:tc>
            </w:tr>
          </w:tbl>
          <w:p w14:paraId="02EE4B58" w14:textId="77777777" w:rsidR="00B72ED7" w:rsidRPr="007846FB" w:rsidRDefault="00B72ED7" w:rsidP="00C42CD8">
            <w:pPr>
              <w:widowControl w:val="0"/>
              <w:jc w:val="both"/>
              <w:rPr>
                <w:i/>
                <w:iCs/>
                <w:sz w:val="22"/>
                <w:szCs w:val="22"/>
              </w:rPr>
            </w:pPr>
          </w:p>
        </w:tc>
      </w:tr>
    </w:tbl>
    <w:p w14:paraId="779E8464" w14:textId="77777777" w:rsidR="00B72ED7" w:rsidRPr="00B92969" w:rsidRDefault="00B72ED7" w:rsidP="00B72ED7">
      <w:pPr>
        <w:rPr>
          <w:sz w:val="24"/>
          <w:szCs w:val="24"/>
        </w:rPr>
      </w:pPr>
    </w:p>
    <w:p w14:paraId="1749ED3A" w14:textId="77777777" w:rsidR="00B72ED7" w:rsidRPr="00B92969" w:rsidRDefault="00B72ED7" w:rsidP="00B72ED7">
      <w:pPr>
        <w:pStyle w:val="Prrafodelista"/>
        <w:widowControl w:val="0"/>
        <w:numPr>
          <w:ilvl w:val="0"/>
          <w:numId w:val="35"/>
        </w:numPr>
        <w:ind w:left="426" w:hanging="426"/>
        <w:jc w:val="both"/>
        <w:rPr>
          <w:i/>
          <w:iCs/>
        </w:rPr>
      </w:pPr>
      <w:r w:rsidRPr="00B92969">
        <w:t xml:space="preserve">Derogar el Anexo 6 </w:t>
      </w:r>
      <w:r w:rsidRPr="00B92969">
        <w:rPr>
          <w:i/>
          <w:iCs/>
        </w:rPr>
        <w:t>Metodología de puntajes para la identificación de entidades de importancia sistémica.</w:t>
      </w:r>
    </w:p>
    <w:p w14:paraId="0A1E8CD6" w14:textId="77777777" w:rsidR="00B72ED7" w:rsidRPr="00B92969" w:rsidRDefault="00B72ED7" w:rsidP="00B72ED7">
      <w:pPr>
        <w:widowControl w:val="0"/>
        <w:ind w:left="360"/>
        <w:jc w:val="both"/>
        <w:rPr>
          <w:rFonts w:eastAsia="Calibri"/>
          <w:sz w:val="24"/>
          <w:szCs w:val="24"/>
        </w:rPr>
      </w:pPr>
    </w:p>
    <w:p w14:paraId="510D9B26" w14:textId="77777777" w:rsidR="00B72ED7" w:rsidRPr="00B92969" w:rsidRDefault="00B72ED7" w:rsidP="00B72ED7">
      <w:pPr>
        <w:pStyle w:val="Prrafodelista"/>
        <w:widowControl w:val="0"/>
        <w:jc w:val="both"/>
      </w:pPr>
      <w:r w:rsidRPr="00B92969">
        <w:t>Rige a partir de su publicación en el diario oficial La Gaceta”.</w:t>
      </w:r>
    </w:p>
    <w:p w14:paraId="7C121987" w14:textId="77777777" w:rsidR="00A36D16" w:rsidRPr="00B92969" w:rsidRDefault="00A36D16" w:rsidP="005C6973">
      <w:pPr>
        <w:widowControl w:val="0"/>
        <w:jc w:val="both"/>
        <w:rPr>
          <w:sz w:val="24"/>
          <w:szCs w:val="24"/>
        </w:rPr>
      </w:pPr>
    </w:p>
    <w:p w14:paraId="5D6A4DFF" w14:textId="673D7576" w:rsidR="00A36D16" w:rsidRPr="00B92969" w:rsidRDefault="003657B1" w:rsidP="005C6973">
      <w:pPr>
        <w:widowControl w:val="0"/>
        <w:jc w:val="both"/>
        <w:rPr>
          <w:sz w:val="24"/>
          <w:szCs w:val="24"/>
        </w:rPr>
      </w:pPr>
      <w:r w:rsidRPr="00B92969">
        <w:rPr>
          <w:noProof/>
          <w:sz w:val="24"/>
          <w:szCs w:val="24"/>
        </w:rPr>
        <w:drawing>
          <wp:anchor distT="0" distB="0" distL="114300" distR="114300" simplePos="0" relativeHeight="251657728" behindDoc="1" locked="0" layoutInCell="1" allowOverlap="0" wp14:anchorId="08158869" wp14:editId="31A021CD">
            <wp:simplePos x="0" y="0"/>
            <wp:positionH relativeFrom="column">
              <wp:posOffset>-80010</wp:posOffset>
            </wp:positionH>
            <wp:positionV relativeFrom="paragraph">
              <wp:posOffset>194945</wp:posOffset>
            </wp:positionV>
            <wp:extent cx="2295525" cy="400050"/>
            <wp:effectExtent l="0" t="0" r="0"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l="5118"/>
                    <a:stretch>
                      <a:fillRect/>
                    </a:stretch>
                  </pic:blipFill>
                  <pic:spPr bwMode="auto">
                    <a:xfrm>
                      <a:off x="0" y="0"/>
                      <a:ext cx="22955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6D16" w:rsidRPr="00B92969">
        <w:rPr>
          <w:sz w:val="24"/>
          <w:szCs w:val="24"/>
        </w:rPr>
        <w:t>Atentamente,</w:t>
      </w:r>
    </w:p>
    <w:p w14:paraId="523F1683" w14:textId="77777777" w:rsidR="00901072" w:rsidRPr="00B92969" w:rsidRDefault="00901072" w:rsidP="00901072">
      <w:pPr>
        <w:widowControl w:val="0"/>
        <w:jc w:val="both"/>
        <w:rPr>
          <w:sz w:val="24"/>
          <w:szCs w:val="24"/>
        </w:rPr>
      </w:pPr>
      <w:r w:rsidRPr="00B92969">
        <w:rPr>
          <w:sz w:val="24"/>
          <w:szCs w:val="24"/>
        </w:rPr>
        <w:br/>
      </w:r>
    </w:p>
    <w:p w14:paraId="594F887D" w14:textId="77777777" w:rsidR="004D6CBF" w:rsidRPr="00B92969" w:rsidRDefault="004D6CBF" w:rsidP="004D6CBF">
      <w:pPr>
        <w:widowControl w:val="0"/>
        <w:jc w:val="both"/>
        <w:rPr>
          <w:sz w:val="24"/>
          <w:szCs w:val="24"/>
        </w:rPr>
      </w:pPr>
    </w:p>
    <w:p w14:paraId="5B3408A3" w14:textId="77777777" w:rsidR="00A36D16" w:rsidRPr="00B92969" w:rsidRDefault="00645468" w:rsidP="004D6CBF">
      <w:pPr>
        <w:widowControl w:val="0"/>
        <w:jc w:val="both"/>
        <w:rPr>
          <w:sz w:val="24"/>
          <w:szCs w:val="24"/>
        </w:rPr>
      </w:pPr>
      <w:r w:rsidRPr="00B92969">
        <w:rPr>
          <w:sz w:val="24"/>
          <w:szCs w:val="24"/>
        </w:rPr>
        <w:t>Celia Alpízar Paniagua</w:t>
      </w:r>
    </w:p>
    <w:p w14:paraId="763C3E43" w14:textId="77777777" w:rsidR="00A36D16" w:rsidRPr="00B92969" w:rsidRDefault="00A36D16" w:rsidP="003510A8">
      <w:pPr>
        <w:widowControl w:val="0"/>
        <w:rPr>
          <w:b/>
          <w:i/>
          <w:sz w:val="24"/>
          <w:szCs w:val="24"/>
        </w:rPr>
      </w:pPr>
      <w:r w:rsidRPr="00B92969">
        <w:rPr>
          <w:b/>
          <w:i/>
          <w:sz w:val="24"/>
          <w:szCs w:val="24"/>
        </w:rPr>
        <w:t>Secretari</w:t>
      </w:r>
      <w:r w:rsidR="004A486B" w:rsidRPr="00B92969">
        <w:rPr>
          <w:b/>
          <w:i/>
          <w:sz w:val="24"/>
          <w:szCs w:val="24"/>
        </w:rPr>
        <w:t>a</w:t>
      </w:r>
      <w:r w:rsidRPr="00B92969">
        <w:rPr>
          <w:b/>
          <w:i/>
          <w:sz w:val="24"/>
          <w:szCs w:val="24"/>
        </w:rPr>
        <w:t xml:space="preserve"> </w:t>
      </w:r>
      <w:r w:rsidR="0005722B" w:rsidRPr="00B92969">
        <w:rPr>
          <w:b/>
          <w:i/>
          <w:sz w:val="24"/>
          <w:szCs w:val="24"/>
        </w:rPr>
        <w:t xml:space="preserve">Interina </w:t>
      </w:r>
      <w:r w:rsidRPr="00B92969">
        <w:rPr>
          <w:b/>
          <w:i/>
          <w:sz w:val="24"/>
          <w:szCs w:val="24"/>
        </w:rPr>
        <w:t>del Consejo</w:t>
      </w:r>
    </w:p>
    <w:p w14:paraId="002D8382" w14:textId="77777777" w:rsidR="00A36D16" w:rsidRPr="007846FB" w:rsidRDefault="00A36D16" w:rsidP="005C6973">
      <w:pPr>
        <w:widowControl w:val="0"/>
        <w:jc w:val="both"/>
        <w:rPr>
          <w:sz w:val="16"/>
          <w:szCs w:val="16"/>
        </w:rPr>
      </w:pPr>
    </w:p>
    <w:sectPr w:rsidR="00A36D16" w:rsidRPr="007846FB" w:rsidSect="001D0382">
      <w:headerReference w:type="even" r:id="rId13"/>
      <w:headerReference w:type="default" r:id="rId14"/>
      <w:footerReference w:type="even" r:id="rId15"/>
      <w:footerReference w:type="default" r:id="rId16"/>
      <w:headerReference w:type="first" r:id="rId17"/>
      <w:footerReference w:type="first" r:id="rId18"/>
      <w:pgSz w:w="12240" w:h="15840"/>
      <w:pgMar w:top="1812"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858BB" w14:textId="77777777" w:rsidR="003657B1" w:rsidRDefault="003657B1" w:rsidP="00290A93">
      <w:r>
        <w:separator/>
      </w:r>
    </w:p>
  </w:endnote>
  <w:endnote w:type="continuationSeparator" w:id="0">
    <w:p w14:paraId="71A90AA2" w14:textId="77777777" w:rsidR="003657B1" w:rsidRDefault="003657B1" w:rsidP="00290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onet">
    <w:altName w:val="Mistral"/>
    <w:charset w:val="00"/>
    <w:family w:val="script"/>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BR-01T">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oman">
    <w:panose1 w:val="00000000000000000000"/>
    <w:charset w:val="FF"/>
    <w:family w:val="roman"/>
    <w:notTrueType/>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800D" w14:textId="77777777" w:rsidR="00BB320E" w:rsidRDefault="00BB320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03E01" w14:textId="1E9514A0" w:rsidR="001D0382" w:rsidRDefault="003657B1">
    <w:pPr>
      <w:pStyle w:val="Piedepgina"/>
      <w:jc w:val="right"/>
    </w:pPr>
    <w:r>
      <w:rPr>
        <w:noProof/>
      </w:rPr>
      <mc:AlternateContent>
        <mc:Choice Requires="wps">
          <w:drawing>
            <wp:anchor distT="0" distB="0" distL="114300" distR="114300" simplePos="0" relativeHeight="251658752" behindDoc="0" locked="0" layoutInCell="0" allowOverlap="1" wp14:anchorId="7B3F7894" wp14:editId="2ECD8C88">
              <wp:simplePos x="0" y="0"/>
              <wp:positionH relativeFrom="page">
                <wp:posOffset>0</wp:posOffset>
              </wp:positionH>
              <wp:positionV relativeFrom="page">
                <wp:posOffset>9594215</wp:posOffset>
              </wp:positionV>
              <wp:extent cx="7772400" cy="273685"/>
              <wp:effectExtent l="0" t="2540" r="0" b="0"/>
              <wp:wrapNone/>
              <wp:docPr id="1" name="MSIPCM72a044bb812d96518f8bb8cf" descr="{&quot;HashCode&quot;:1186230005,&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C7A16" w14:textId="77777777" w:rsidR="00526CDD" w:rsidRPr="00526CDD" w:rsidRDefault="00526CDD" w:rsidP="00526CDD">
                          <w:pPr>
                            <w:jc w:val="center"/>
                            <w:rPr>
                              <w:rFonts w:ascii="Calibri" w:hAnsi="Calibri" w:cs="Calibri"/>
                              <w:color w:val="000000"/>
                            </w:rPr>
                          </w:pPr>
                          <w:r w:rsidRPr="00526CDD">
                            <w:rPr>
                              <w:rFonts w:ascii="Calibri" w:hAnsi="Calibri" w:cs="Calibri"/>
                              <w:color w:val="000000"/>
                            </w:rPr>
                            <w:t>Uso Interno</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F7894" id="_x0000_t202" coordsize="21600,21600" o:spt="202" path="m,l,21600r21600,l21600,xe">
              <v:stroke joinstyle="miter"/>
              <v:path gradientshapeok="t" o:connecttype="rect"/>
            </v:shapetype>
            <v:shape id="MSIPCM72a044bb812d96518f8bb8cf" o:spid="_x0000_s1026" type="#_x0000_t202" alt="{&quot;HashCode&quot;:1186230005,&quot;Height&quot;:792.0,&quot;Width&quot;:612.0,&quot;Placement&quot;:&quot;Footer&quot;,&quot;Index&quot;:&quot;Primary&quot;,&quot;Section&quot;:1,&quot;Top&quot;:0.0,&quot;Left&quot;:0.0}" style="position:absolute;left:0;text-align:left;margin-left:0;margin-top:755.45pt;width:612pt;height:21.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" o:allowincell="f" filled="f" stroked="f">
              <v:textbox inset=",0,,0">
                <w:txbxContent>
                  <w:p w14:paraId="56EC7A16" w14:textId="77777777" w:rsidR="00526CDD" w:rsidRPr="00526CDD" w:rsidRDefault="00526CDD" w:rsidP="00526CDD">
                    <w:pPr>
                      <w:jc w:val="center"/>
                      <w:rPr>
                        <w:rFonts w:ascii="Calibri" w:hAnsi="Calibri" w:cs="Calibri"/>
                        <w:color w:val="000000"/>
                      </w:rPr>
                    </w:pPr>
                    <w:r w:rsidRPr="00526CDD">
                      <w:rPr>
                        <w:rFonts w:ascii="Calibri" w:hAnsi="Calibri" w:cs="Calibri"/>
                        <w:color w:val="000000"/>
                      </w:rPr>
                      <w:t>Uso Interno</w:t>
                    </w:r>
                  </w:p>
                </w:txbxContent>
              </v:textbox>
              <w10:wrap anchorx="page" anchory="page"/>
            </v:shape>
          </w:pict>
        </mc:Fallback>
      </mc:AlternateContent>
    </w:r>
    <w:r w:rsidR="001D0382">
      <w:fldChar w:fldCharType="begin"/>
    </w:r>
    <w:r w:rsidR="001D0382">
      <w:instrText>PAGE   \* MERGEFORMAT</w:instrText>
    </w:r>
    <w:r w:rsidR="001D0382">
      <w:fldChar w:fldCharType="separate"/>
    </w:r>
    <w:r w:rsidR="001D0382">
      <w:t>2</w:t>
    </w:r>
    <w:r w:rsidR="001D0382">
      <w:fldChar w:fldCharType="end"/>
    </w:r>
  </w:p>
  <w:p w14:paraId="40A76396" w14:textId="77777777" w:rsidR="003F16A6" w:rsidRDefault="003F16A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5FE8C" w14:textId="77777777" w:rsidR="003F16A6" w:rsidRDefault="003F16A6">
    <w:pPr>
      <w:pStyle w:val="Piedepgina"/>
      <w:jc w:val="center"/>
    </w:pPr>
    <w:r>
      <w:fldChar w:fldCharType="begin"/>
    </w:r>
    <w:r>
      <w:instrText>PAGE   \* MERGEFORMAT</w:instrText>
    </w:r>
    <w:r>
      <w:fldChar w:fldCharType="separate"/>
    </w:r>
    <w:r>
      <w:t>2</w:t>
    </w:r>
    <w:r>
      <w:fldChar w:fldCharType="end"/>
    </w:r>
  </w:p>
  <w:p w14:paraId="70130E42" w14:textId="77777777" w:rsidR="001D683F" w:rsidRDefault="001D68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ED97E" w14:textId="77777777" w:rsidR="003657B1" w:rsidRDefault="003657B1" w:rsidP="00290A93">
      <w:r>
        <w:separator/>
      </w:r>
    </w:p>
  </w:footnote>
  <w:footnote w:type="continuationSeparator" w:id="0">
    <w:p w14:paraId="57BD92FB" w14:textId="77777777" w:rsidR="003657B1" w:rsidRDefault="003657B1" w:rsidP="00290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A4436" w14:textId="77777777" w:rsidR="00BB320E" w:rsidRDefault="00BB320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AA30B" w14:textId="104B989B" w:rsidR="00D33020" w:rsidRDefault="003657B1">
    <w:pPr>
      <w:pStyle w:val="Encabezado"/>
    </w:pPr>
    <w:r>
      <w:rPr>
        <w:noProof/>
        <w:lang w:val="es-CR" w:eastAsia="es-CR"/>
      </w:rPr>
      <w:drawing>
        <wp:anchor distT="0" distB="0" distL="114300" distR="114300" simplePos="0" relativeHeight="251656704" behindDoc="0" locked="0" layoutInCell="1" allowOverlap="1" wp14:anchorId="35759770" wp14:editId="1BC93038">
          <wp:simplePos x="0" y="0"/>
          <wp:positionH relativeFrom="column">
            <wp:posOffset>-8255</wp:posOffset>
          </wp:positionH>
          <wp:positionV relativeFrom="paragraph">
            <wp:posOffset>-15875</wp:posOffset>
          </wp:positionV>
          <wp:extent cx="4750435" cy="51054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0435" cy="510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A3637" w14:textId="7D3C51AF" w:rsidR="001D683F" w:rsidRDefault="003657B1">
    <w:pPr>
      <w:pStyle w:val="Encabezado"/>
    </w:pPr>
    <w:r>
      <w:rPr>
        <w:noProof/>
      </w:rPr>
      <w:drawing>
        <wp:anchor distT="0" distB="0" distL="114300" distR="114300" simplePos="0" relativeHeight="251657728" behindDoc="0" locked="0" layoutInCell="1" allowOverlap="1" wp14:anchorId="4D01BE40" wp14:editId="2809061D">
          <wp:simplePos x="0" y="0"/>
          <wp:positionH relativeFrom="column">
            <wp:posOffset>-423545</wp:posOffset>
          </wp:positionH>
          <wp:positionV relativeFrom="paragraph">
            <wp:posOffset>-104775</wp:posOffset>
          </wp:positionV>
          <wp:extent cx="4750435" cy="510540"/>
          <wp:effectExtent l="0" t="0" r="0"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0435" cy="510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CAB"/>
    <w:multiLevelType w:val="hybridMultilevel"/>
    <w:tmpl w:val="F442382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140A0017">
      <w:start w:val="1"/>
      <w:numFmt w:val="lowerLetter"/>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627BA"/>
    <w:multiLevelType w:val="hybridMultilevel"/>
    <w:tmpl w:val="63203FEC"/>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 w15:restartNumberingAfterBreak="0">
    <w:nsid w:val="03186940"/>
    <w:multiLevelType w:val="hybridMultilevel"/>
    <w:tmpl w:val="107825BC"/>
    <w:lvl w:ilvl="0" w:tplc="FFFFFFFF">
      <w:start w:val="1"/>
      <w:numFmt w:val="lowerRoman"/>
      <w:lvlText w:val="%1)"/>
      <w:lvlJc w:val="left"/>
      <w:pPr>
        <w:ind w:left="1287" w:hanging="360"/>
      </w:pPr>
      <w:rPr>
        <w:rFonts w:hint="default"/>
        <w:color w:val="auto"/>
        <w:u w:val="none"/>
      </w:rPr>
    </w:lvl>
    <w:lvl w:ilvl="1" w:tplc="DCF2CE94">
      <w:start w:val="1"/>
      <w:numFmt w:val="lowerRoman"/>
      <w:lvlText w:val="%2)"/>
      <w:lvlJc w:val="left"/>
      <w:pPr>
        <w:ind w:left="2007" w:hanging="360"/>
      </w:pPr>
      <w:rPr>
        <w:rFonts w:hint="default"/>
        <w:color w:val="auto"/>
        <w:u w:val="none"/>
      </w:r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 w15:restartNumberingAfterBreak="0">
    <w:nsid w:val="08BD6D28"/>
    <w:multiLevelType w:val="hybridMultilevel"/>
    <w:tmpl w:val="F2E497B2"/>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E9931D3"/>
    <w:multiLevelType w:val="hybridMultilevel"/>
    <w:tmpl w:val="6958B974"/>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3943ABD"/>
    <w:multiLevelType w:val="hybridMultilevel"/>
    <w:tmpl w:val="25AA46C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140A0017">
      <w:start w:val="1"/>
      <w:numFmt w:val="lowerLetter"/>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0956D7"/>
    <w:multiLevelType w:val="hybridMultilevel"/>
    <w:tmpl w:val="45DC66D6"/>
    <w:lvl w:ilvl="0" w:tplc="2DC2C11C">
      <w:start w:val="1"/>
      <w:numFmt w:val="lowerLetter"/>
      <w:lvlText w:val="%1)"/>
      <w:lvlJc w:val="left"/>
      <w:pPr>
        <w:ind w:left="1065" w:hanging="705"/>
      </w:pPr>
      <w:rPr>
        <w:rFonts w:ascii="Cambria" w:hAnsi="Cambria" w:cs="Times New Roman" w:hint="default"/>
        <w:sz w:val="24"/>
      </w:rPr>
    </w:lvl>
    <w:lvl w:ilvl="1" w:tplc="140A001B">
      <w:start w:val="1"/>
      <w:numFmt w:val="lowerRoman"/>
      <w:lvlText w:val="%2."/>
      <w:lvlJc w:val="righ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4A24BE1"/>
    <w:multiLevelType w:val="hybridMultilevel"/>
    <w:tmpl w:val="7590997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140A0017">
      <w:start w:val="1"/>
      <w:numFmt w:val="lowerLetter"/>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442111"/>
    <w:multiLevelType w:val="hybridMultilevel"/>
    <w:tmpl w:val="919E001C"/>
    <w:lvl w:ilvl="0" w:tplc="FFFFFFFF">
      <w:start w:val="1"/>
      <w:numFmt w:val="lowerLetter"/>
      <w:lvlText w:val="%1)"/>
      <w:lvlJc w:val="right"/>
      <w:pPr>
        <w:ind w:left="720" w:hanging="360"/>
      </w:pPr>
      <w:rPr>
        <w:rFonts w:hint="default"/>
      </w:rPr>
    </w:lvl>
    <w:lvl w:ilvl="1" w:tplc="FFFFFFFF" w:tentative="1">
      <w:start w:val="1"/>
      <w:numFmt w:val="lowerLetter"/>
      <w:lvlText w:val="%2."/>
      <w:lvlJc w:val="left"/>
      <w:pPr>
        <w:ind w:left="1440" w:hanging="360"/>
      </w:pPr>
    </w:lvl>
    <w:lvl w:ilvl="2" w:tplc="F136555E">
      <w:start w:val="1"/>
      <w:numFmt w:val="lowerLetter"/>
      <w:lvlText w:val="%3)"/>
      <w:lvlJc w:val="lef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D2C5980"/>
    <w:multiLevelType w:val="hybridMultilevel"/>
    <w:tmpl w:val="76C000DA"/>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D614AAB"/>
    <w:multiLevelType w:val="hybridMultilevel"/>
    <w:tmpl w:val="7CFAFE3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140A0017">
      <w:start w:val="1"/>
      <w:numFmt w:val="lowerLetter"/>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C7049E"/>
    <w:multiLevelType w:val="hybridMultilevel"/>
    <w:tmpl w:val="88046C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70DAD164">
      <w:start w:val="1"/>
      <w:numFmt w:val="lowerLetter"/>
      <w:lvlText w:val="%3)"/>
      <w:lvlJc w:val="lef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5E6974"/>
    <w:multiLevelType w:val="hybridMultilevel"/>
    <w:tmpl w:val="30C6A130"/>
    <w:lvl w:ilvl="0" w:tplc="FFFFFFFF">
      <w:start w:val="1"/>
      <w:numFmt w:val="lowerLetter"/>
      <w:lvlText w:val="%1)"/>
      <w:lvlJc w:val="right"/>
      <w:pPr>
        <w:ind w:left="720" w:hanging="360"/>
      </w:pPr>
      <w:rPr>
        <w:rFonts w:hint="default"/>
      </w:rPr>
    </w:lvl>
    <w:lvl w:ilvl="1" w:tplc="FFFFFFFF" w:tentative="1">
      <w:start w:val="1"/>
      <w:numFmt w:val="lowerLetter"/>
      <w:lvlText w:val="%2."/>
      <w:lvlJc w:val="left"/>
      <w:pPr>
        <w:ind w:left="1440" w:hanging="360"/>
      </w:pPr>
    </w:lvl>
    <w:lvl w:ilvl="2" w:tplc="69B237A6">
      <w:start w:val="1"/>
      <w:numFmt w:val="lowerLetter"/>
      <w:lvlText w:val="%3)"/>
      <w:lvlJc w:val="lef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B9235E3"/>
    <w:multiLevelType w:val="hybridMultilevel"/>
    <w:tmpl w:val="1F0C85F4"/>
    <w:lvl w:ilvl="0" w:tplc="0D781B18">
      <w:start w:val="1"/>
      <w:numFmt w:val="upperLetter"/>
      <w:lvlText w:val="%1."/>
      <w:lvlJc w:val="left"/>
      <w:pPr>
        <w:ind w:left="1065" w:hanging="705"/>
      </w:pPr>
      <w:rPr>
        <w:rFonts w:hint="default"/>
      </w:rPr>
    </w:lvl>
    <w:lvl w:ilvl="1" w:tplc="0C0A001B">
      <w:start w:val="1"/>
      <w:numFmt w:val="lowerRoman"/>
      <w:lvlText w:val="%2."/>
      <w:lvlJc w:val="right"/>
      <w:pPr>
        <w:ind w:left="1440" w:hanging="360"/>
      </w:pPr>
    </w:lvl>
    <w:lvl w:ilvl="2" w:tplc="7B644D34">
      <w:start w:val="2"/>
      <w:numFmt w:val="bullet"/>
      <w:lvlText w:val="-"/>
      <w:lvlJc w:val="left"/>
      <w:pPr>
        <w:ind w:left="2340" w:hanging="360"/>
      </w:pPr>
      <w:rPr>
        <w:rFonts w:ascii="Courier New" w:eastAsia="Times New Roman" w:hAnsi="Courier New" w:cs="Courier New"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066712D"/>
    <w:multiLevelType w:val="hybridMultilevel"/>
    <w:tmpl w:val="013CC1C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A25C51A0">
      <w:start w:val="1"/>
      <w:numFmt w:val="lowerLetter"/>
      <w:lvlText w:val="%3)"/>
      <w:lvlJc w:val="lef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13E417A"/>
    <w:multiLevelType w:val="hybridMultilevel"/>
    <w:tmpl w:val="11AEB05C"/>
    <w:lvl w:ilvl="0" w:tplc="DCF2CE94">
      <w:start w:val="1"/>
      <w:numFmt w:val="lowerRoman"/>
      <w:lvlText w:val="%1)"/>
      <w:lvlJc w:val="left"/>
      <w:pPr>
        <w:ind w:left="720" w:hanging="360"/>
      </w:pPr>
      <w:rPr>
        <w:rFonts w:hint="default"/>
        <w:color w:val="auto"/>
        <w:u w:val="none"/>
      </w:rPr>
    </w:lvl>
    <w:lvl w:ilvl="1" w:tplc="4F3C1D52">
      <w:start w:val="1"/>
      <w:numFmt w:val="lowerRoman"/>
      <w:lvlText w:val="%2)"/>
      <w:lvlJc w:val="right"/>
      <w:pPr>
        <w:ind w:left="1440" w:hanging="360"/>
      </w:pPr>
      <w:rPr>
        <w:rFonts w:hint="default"/>
      </w:r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359717D2"/>
    <w:multiLevelType w:val="hybridMultilevel"/>
    <w:tmpl w:val="A9800D00"/>
    <w:lvl w:ilvl="0" w:tplc="140A0017">
      <w:start w:val="1"/>
      <w:numFmt w:val="lowerLetter"/>
      <w:lvlText w:val="%1)"/>
      <w:lvlJc w:val="left"/>
      <w:pPr>
        <w:ind w:left="720" w:hanging="360"/>
      </w:pPr>
    </w:lvl>
    <w:lvl w:ilvl="1" w:tplc="F78AEDE4">
      <w:start w:val="1"/>
      <w:numFmt w:val="lowerRoman"/>
      <w:lvlText w:val="%2."/>
      <w:lvlJc w:val="left"/>
      <w:pPr>
        <w:ind w:left="1800" w:hanging="720"/>
      </w:pPr>
      <w:rPr>
        <w:rFonts w:hint="default"/>
      </w:rPr>
    </w:lvl>
    <w:lvl w:ilvl="2" w:tplc="169CBFEC">
      <w:start w:val="1"/>
      <w:numFmt w:val="lowerLetter"/>
      <w:lvlText w:val="%3."/>
      <w:lvlJc w:val="left"/>
      <w:pPr>
        <w:ind w:left="2550" w:hanging="570"/>
      </w:pPr>
      <w:rPr>
        <w:rFonts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382A6DCC"/>
    <w:multiLevelType w:val="hybridMultilevel"/>
    <w:tmpl w:val="0D8AC5F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140A0017">
      <w:start w:val="1"/>
      <w:numFmt w:val="lowerLetter"/>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8CF1090"/>
    <w:multiLevelType w:val="hybridMultilevel"/>
    <w:tmpl w:val="3AF095DC"/>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3EC6A616">
      <w:start w:val="1"/>
      <w:numFmt w:val="lowerLetter"/>
      <w:lvlText w:val="%3)"/>
      <w:lvlJc w:val="left"/>
      <w:pPr>
        <w:ind w:left="2160" w:hanging="180"/>
      </w:pPr>
      <w:rPr>
        <w:rFonts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3A1E4AB2"/>
    <w:multiLevelType w:val="hybridMultilevel"/>
    <w:tmpl w:val="6E2036CA"/>
    <w:lvl w:ilvl="0" w:tplc="6BF61678">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3BA20841"/>
    <w:multiLevelType w:val="hybridMultilevel"/>
    <w:tmpl w:val="B28AE69E"/>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4842603E"/>
    <w:multiLevelType w:val="hybridMultilevel"/>
    <w:tmpl w:val="845EA60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BF2446E0">
      <w:start w:val="1"/>
      <w:numFmt w:val="lowerLetter"/>
      <w:lvlText w:val="%3)"/>
      <w:lvlJc w:val="lef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C1745D7"/>
    <w:multiLevelType w:val="hybridMultilevel"/>
    <w:tmpl w:val="E270A3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C16CE294">
      <w:start w:val="1"/>
      <w:numFmt w:val="lowerLetter"/>
      <w:lvlText w:val="%3)"/>
      <w:lvlJc w:val="lef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C5E7166"/>
    <w:multiLevelType w:val="hybridMultilevel"/>
    <w:tmpl w:val="C5A24C42"/>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F043CA4">
      <w:start w:val="1"/>
      <w:numFmt w:val="lowerLetter"/>
      <w:lvlText w:val="%3)"/>
      <w:lvlJc w:val="left"/>
      <w:pPr>
        <w:ind w:left="2160" w:hanging="180"/>
      </w:pPr>
      <w:rPr>
        <w:rFonts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52B53A37"/>
    <w:multiLevelType w:val="hybridMultilevel"/>
    <w:tmpl w:val="BA04CD0A"/>
    <w:lvl w:ilvl="0" w:tplc="4FFE30AC">
      <w:start w:val="1"/>
      <w:numFmt w:val="lowerRoman"/>
      <w:lvlText w:val="%1."/>
      <w:lvlJc w:val="left"/>
      <w:pPr>
        <w:ind w:left="2139" w:hanging="720"/>
      </w:pPr>
      <w:rPr>
        <w:rFonts w:hint="default"/>
      </w:rPr>
    </w:lvl>
    <w:lvl w:ilvl="1" w:tplc="140A0019" w:tentative="1">
      <w:start w:val="1"/>
      <w:numFmt w:val="lowerLetter"/>
      <w:lvlText w:val="%2."/>
      <w:lvlJc w:val="left"/>
      <w:pPr>
        <w:ind w:left="2499" w:hanging="360"/>
      </w:pPr>
    </w:lvl>
    <w:lvl w:ilvl="2" w:tplc="140A001B" w:tentative="1">
      <w:start w:val="1"/>
      <w:numFmt w:val="lowerRoman"/>
      <w:lvlText w:val="%3."/>
      <w:lvlJc w:val="right"/>
      <w:pPr>
        <w:ind w:left="3219" w:hanging="180"/>
      </w:pPr>
    </w:lvl>
    <w:lvl w:ilvl="3" w:tplc="140A000F" w:tentative="1">
      <w:start w:val="1"/>
      <w:numFmt w:val="decimal"/>
      <w:lvlText w:val="%4."/>
      <w:lvlJc w:val="left"/>
      <w:pPr>
        <w:ind w:left="3939" w:hanging="360"/>
      </w:pPr>
    </w:lvl>
    <w:lvl w:ilvl="4" w:tplc="140A0019" w:tentative="1">
      <w:start w:val="1"/>
      <w:numFmt w:val="lowerLetter"/>
      <w:lvlText w:val="%5."/>
      <w:lvlJc w:val="left"/>
      <w:pPr>
        <w:ind w:left="4659" w:hanging="360"/>
      </w:pPr>
    </w:lvl>
    <w:lvl w:ilvl="5" w:tplc="140A001B" w:tentative="1">
      <w:start w:val="1"/>
      <w:numFmt w:val="lowerRoman"/>
      <w:lvlText w:val="%6."/>
      <w:lvlJc w:val="right"/>
      <w:pPr>
        <w:ind w:left="5379" w:hanging="180"/>
      </w:pPr>
    </w:lvl>
    <w:lvl w:ilvl="6" w:tplc="140A000F" w:tentative="1">
      <w:start w:val="1"/>
      <w:numFmt w:val="decimal"/>
      <w:lvlText w:val="%7."/>
      <w:lvlJc w:val="left"/>
      <w:pPr>
        <w:ind w:left="6099" w:hanging="360"/>
      </w:pPr>
    </w:lvl>
    <w:lvl w:ilvl="7" w:tplc="140A0019" w:tentative="1">
      <w:start w:val="1"/>
      <w:numFmt w:val="lowerLetter"/>
      <w:lvlText w:val="%8."/>
      <w:lvlJc w:val="left"/>
      <w:pPr>
        <w:ind w:left="6819" w:hanging="360"/>
      </w:pPr>
    </w:lvl>
    <w:lvl w:ilvl="8" w:tplc="140A001B" w:tentative="1">
      <w:start w:val="1"/>
      <w:numFmt w:val="lowerRoman"/>
      <w:lvlText w:val="%9."/>
      <w:lvlJc w:val="right"/>
      <w:pPr>
        <w:ind w:left="7539" w:hanging="180"/>
      </w:pPr>
    </w:lvl>
  </w:abstractNum>
  <w:abstractNum w:abstractNumId="25" w15:restartNumberingAfterBreak="0">
    <w:nsid w:val="561B1E44"/>
    <w:multiLevelType w:val="hybridMultilevel"/>
    <w:tmpl w:val="3AC050AA"/>
    <w:lvl w:ilvl="0" w:tplc="7026E906">
      <w:start w:val="1"/>
      <w:numFmt w:val="decimal"/>
      <w:pStyle w:val="Listaconnmeros"/>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58434563"/>
    <w:multiLevelType w:val="hybridMultilevel"/>
    <w:tmpl w:val="78BAF274"/>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7" w15:restartNumberingAfterBreak="0">
    <w:nsid w:val="5FE04DD2"/>
    <w:multiLevelType w:val="hybridMultilevel"/>
    <w:tmpl w:val="353E0FB6"/>
    <w:lvl w:ilvl="0" w:tplc="407E71AE">
      <w:start w:val="1"/>
      <w:numFmt w:val="lowerLetter"/>
      <w:lvlText w:val="%1)"/>
      <w:lvlJc w:val="left"/>
      <w:pPr>
        <w:ind w:left="720" w:hanging="360"/>
      </w:pPr>
      <w:rPr>
        <w:b/>
        <w:bCs/>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61EB5136"/>
    <w:multiLevelType w:val="hybridMultilevel"/>
    <w:tmpl w:val="8DA6A6B4"/>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9" w15:restartNumberingAfterBreak="0">
    <w:nsid w:val="64BF4925"/>
    <w:multiLevelType w:val="hybridMultilevel"/>
    <w:tmpl w:val="96BC1F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C6243C"/>
    <w:multiLevelType w:val="hybridMultilevel"/>
    <w:tmpl w:val="DDC0C034"/>
    <w:lvl w:ilvl="0" w:tplc="042AFDF2">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665D3E04"/>
    <w:multiLevelType w:val="hybridMultilevel"/>
    <w:tmpl w:val="B34E5BC0"/>
    <w:lvl w:ilvl="0" w:tplc="1E3E73F6">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6A714D06"/>
    <w:multiLevelType w:val="hybridMultilevel"/>
    <w:tmpl w:val="ECF4F8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BB66B73"/>
    <w:multiLevelType w:val="hybridMultilevel"/>
    <w:tmpl w:val="D97C1980"/>
    <w:lvl w:ilvl="0" w:tplc="140A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77287DC4"/>
    <w:multiLevelType w:val="hybridMultilevel"/>
    <w:tmpl w:val="2B7A3452"/>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5" w15:restartNumberingAfterBreak="0">
    <w:nsid w:val="7C940159"/>
    <w:multiLevelType w:val="hybridMultilevel"/>
    <w:tmpl w:val="D102C38A"/>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7D0451EC"/>
    <w:multiLevelType w:val="hybridMultilevel"/>
    <w:tmpl w:val="162E5676"/>
    <w:lvl w:ilvl="0" w:tplc="140A0001">
      <w:start w:val="1"/>
      <w:numFmt w:val="bullet"/>
      <w:lvlText w:val=""/>
      <w:lvlJc w:val="left"/>
      <w:pPr>
        <w:ind w:left="1146" w:hanging="720"/>
      </w:pPr>
      <w:rPr>
        <w:rFonts w:ascii="Symbol" w:hAnsi="Symbol"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37" w15:restartNumberingAfterBreak="0">
    <w:nsid w:val="7D8D5306"/>
    <w:multiLevelType w:val="hybridMultilevel"/>
    <w:tmpl w:val="95404EB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62548742">
      <w:start w:val="1"/>
      <w:numFmt w:val="lowerLetter"/>
      <w:lvlText w:val="%3)"/>
      <w:lvlJc w:val="lef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5"/>
  </w:num>
  <w:num w:numId="2">
    <w:abstractNumId w:val="29"/>
  </w:num>
  <w:num w:numId="3">
    <w:abstractNumId w:val="32"/>
  </w:num>
  <w:num w:numId="4">
    <w:abstractNumId w:val="13"/>
  </w:num>
  <w:num w:numId="5">
    <w:abstractNumId w:val="19"/>
  </w:num>
  <w:num w:numId="6">
    <w:abstractNumId w:val="30"/>
  </w:num>
  <w:num w:numId="7">
    <w:abstractNumId w:val="6"/>
  </w:num>
  <w:num w:numId="8">
    <w:abstractNumId w:val="24"/>
  </w:num>
  <w:num w:numId="9">
    <w:abstractNumId w:val="36"/>
  </w:num>
  <w:num w:numId="10">
    <w:abstractNumId w:val="31"/>
  </w:num>
  <w:num w:numId="11">
    <w:abstractNumId w:val="4"/>
  </w:num>
  <w:num w:numId="12">
    <w:abstractNumId w:val="27"/>
  </w:num>
  <w:num w:numId="13">
    <w:abstractNumId w:val="20"/>
  </w:num>
  <w:num w:numId="14">
    <w:abstractNumId w:val="3"/>
  </w:num>
  <w:num w:numId="15">
    <w:abstractNumId w:val="35"/>
  </w:num>
  <w:num w:numId="16">
    <w:abstractNumId w:val="9"/>
  </w:num>
  <w:num w:numId="17">
    <w:abstractNumId w:val="16"/>
  </w:num>
  <w:num w:numId="18">
    <w:abstractNumId w:val="2"/>
  </w:num>
  <w:num w:numId="19">
    <w:abstractNumId w:val="5"/>
  </w:num>
  <w:num w:numId="20">
    <w:abstractNumId w:val="10"/>
  </w:num>
  <w:num w:numId="21">
    <w:abstractNumId w:val="17"/>
  </w:num>
  <w:num w:numId="22">
    <w:abstractNumId w:val="0"/>
  </w:num>
  <w:num w:numId="23">
    <w:abstractNumId w:val="7"/>
  </w:num>
  <w:num w:numId="24">
    <w:abstractNumId w:val="23"/>
  </w:num>
  <w:num w:numId="25">
    <w:abstractNumId w:val="18"/>
  </w:num>
  <w:num w:numId="26">
    <w:abstractNumId w:val="14"/>
  </w:num>
  <w:num w:numId="27">
    <w:abstractNumId w:val="15"/>
  </w:num>
  <w:num w:numId="28">
    <w:abstractNumId w:val="8"/>
  </w:num>
  <w:num w:numId="29">
    <w:abstractNumId w:val="21"/>
  </w:num>
  <w:num w:numId="30">
    <w:abstractNumId w:val="12"/>
  </w:num>
  <w:num w:numId="31">
    <w:abstractNumId w:val="11"/>
  </w:num>
  <w:num w:numId="32">
    <w:abstractNumId w:val="37"/>
  </w:num>
  <w:num w:numId="33">
    <w:abstractNumId w:val="22"/>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A93"/>
    <w:rsid w:val="00001F07"/>
    <w:rsid w:val="00002DD0"/>
    <w:rsid w:val="00003F70"/>
    <w:rsid w:val="00004CF9"/>
    <w:rsid w:val="00007E89"/>
    <w:rsid w:val="00010980"/>
    <w:rsid w:val="00014E33"/>
    <w:rsid w:val="00017364"/>
    <w:rsid w:val="000219AD"/>
    <w:rsid w:val="00021C63"/>
    <w:rsid w:val="0002439A"/>
    <w:rsid w:val="000246D3"/>
    <w:rsid w:val="00025CFD"/>
    <w:rsid w:val="000316EA"/>
    <w:rsid w:val="00033232"/>
    <w:rsid w:val="00034565"/>
    <w:rsid w:val="00042126"/>
    <w:rsid w:val="0004418E"/>
    <w:rsid w:val="00044B4C"/>
    <w:rsid w:val="000474DE"/>
    <w:rsid w:val="000474E7"/>
    <w:rsid w:val="0005129D"/>
    <w:rsid w:val="00051CAE"/>
    <w:rsid w:val="0005579D"/>
    <w:rsid w:val="0005722B"/>
    <w:rsid w:val="00057E08"/>
    <w:rsid w:val="000642A5"/>
    <w:rsid w:val="00065058"/>
    <w:rsid w:val="00066413"/>
    <w:rsid w:val="00071CE5"/>
    <w:rsid w:val="00073BE3"/>
    <w:rsid w:val="000747C4"/>
    <w:rsid w:val="000770A8"/>
    <w:rsid w:val="00085D4E"/>
    <w:rsid w:val="00086130"/>
    <w:rsid w:val="00086DD5"/>
    <w:rsid w:val="000900A2"/>
    <w:rsid w:val="00091091"/>
    <w:rsid w:val="00091D6D"/>
    <w:rsid w:val="000936B0"/>
    <w:rsid w:val="00094091"/>
    <w:rsid w:val="00095B79"/>
    <w:rsid w:val="00095E0B"/>
    <w:rsid w:val="000A0034"/>
    <w:rsid w:val="000A1B48"/>
    <w:rsid w:val="000A1C6B"/>
    <w:rsid w:val="000A63A7"/>
    <w:rsid w:val="000A6474"/>
    <w:rsid w:val="000B03FB"/>
    <w:rsid w:val="000B3D80"/>
    <w:rsid w:val="000B5E64"/>
    <w:rsid w:val="000B70FC"/>
    <w:rsid w:val="000C24EC"/>
    <w:rsid w:val="000C4712"/>
    <w:rsid w:val="000C4918"/>
    <w:rsid w:val="000C6280"/>
    <w:rsid w:val="000C6455"/>
    <w:rsid w:val="000C6754"/>
    <w:rsid w:val="000C782F"/>
    <w:rsid w:val="000C7AB3"/>
    <w:rsid w:val="000C7B97"/>
    <w:rsid w:val="000D127C"/>
    <w:rsid w:val="000D6775"/>
    <w:rsid w:val="000D6F45"/>
    <w:rsid w:val="000D7CDB"/>
    <w:rsid w:val="000E0D82"/>
    <w:rsid w:val="000E141A"/>
    <w:rsid w:val="000E18F8"/>
    <w:rsid w:val="000E408E"/>
    <w:rsid w:val="000E40C9"/>
    <w:rsid w:val="000E68CE"/>
    <w:rsid w:val="000F3343"/>
    <w:rsid w:val="000F5013"/>
    <w:rsid w:val="000F78F6"/>
    <w:rsid w:val="0010096D"/>
    <w:rsid w:val="0010567E"/>
    <w:rsid w:val="001141CF"/>
    <w:rsid w:val="0011588F"/>
    <w:rsid w:val="00115EB1"/>
    <w:rsid w:val="00117BB7"/>
    <w:rsid w:val="00120124"/>
    <w:rsid w:val="00122CCE"/>
    <w:rsid w:val="00123B6F"/>
    <w:rsid w:val="0013144C"/>
    <w:rsid w:val="001354EF"/>
    <w:rsid w:val="00136319"/>
    <w:rsid w:val="00136386"/>
    <w:rsid w:val="001365A9"/>
    <w:rsid w:val="001369A7"/>
    <w:rsid w:val="00144DC8"/>
    <w:rsid w:val="001464FA"/>
    <w:rsid w:val="00151C33"/>
    <w:rsid w:val="00151EF2"/>
    <w:rsid w:val="00151F6C"/>
    <w:rsid w:val="001550C2"/>
    <w:rsid w:val="001554AB"/>
    <w:rsid w:val="00156CE4"/>
    <w:rsid w:val="00156FB0"/>
    <w:rsid w:val="00157A7A"/>
    <w:rsid w:val="00157FDD"/>
    <w:rsid w:val="00161363"/>
    <w:rsid w:val="00162ECC"/>
    <w:rsid w:val="00166B18"/>
    <w:rsid w:val="00167A4A"/>
    <w:rsid w:val="001728AD"/>
    <w:rsid w:val="001734F5"/>
    <w:rsid w:val="00174487"/>
    <w:rsid w:val="00181B1C"/>
    <w:rsid w:val="001826CC"/>
    <w:rsid w:val="001859BC"/>
    <w:rsid w:val="00191692"/>
    <w:rsid w:val="00191C29"/>
    <w:rsid w:val="00192661"/>
    <w:rsid w:val="001930BD"/>
    <w:rsid w:val="001944C9"/>
    <w:rsid w:val="001951B5"/>
    <w:rsid w:val="001963C5"/>
    <w:rsid w:val="00197E5D"/>
    <w:rsid w:val="001A1AE5"/>
    <w:rsid w:val="001A2930"/>
    <w:rsid w:val="001A3312"/>
    <w:rsid w:val="001A3BC6"/>
    <w:rsid w:val="001A4A9B"/>
    <w:rsid w:val="001A570E"/>
    <w:rsid w:val="001A7088"/>
    <w:rsid w:val="001A77EB"/>
    <w:rsid w:val="001B0B6C"/>
    <w:rsid w:val="001B1501"/>
    <w:rsid w:val="001B2D2B"/>
    <w:rsid w:val="001B318F"/>
    <w:rsid w:val="001B48F5"/>
    <w:rsid w:val="001B49BB"/>
    <w:rsid w:val="001B6F0F"/>
    <w:rsid w:val="001C7EDE"/>
    <w:rsid w:val="001D0382"/>
    <w:rsid w:val="001D2F64"/>
    <w:rsid w:val="001D3296"/>
    <w:rsid w:val="001D683F"/>
    <w:rsid w:val="001D7998"/>
    <w:rsid w:val="001E3BA6"/>
    <w:rsid w:val="001E4BAA"/>
    <w:rsid w:val="001E4FE7"/>
    <w:rsid w:val="001E5104"/>
    <w:rsid w:val="001E5831"/>
    <w:rsid w:val="001E7A64"/>
    <w:rsid w:val="001F04C9"/>
    <w:rsid w:val="001F187F"/>
    <w:rsid w:val="001F1D92"/>
    <w:rsid w:val="001F3F5C"/>
    <w:rsid w:val="00201B60"/>
    <w:rsid w:val="00201E0C"/>
    <w:rsid w:val="002021D8"/>
    <w:rsid w:val="002033D4"/>
    <w:rsid w:val="00206D06"/>
    <w:rsid w:val="00215770"/>
    <w:rsid w:val="00216AC6"/>
    <w:rsid w:val="00216FEA"/>
    <w:rsid w:val="00224F93"/>
    <w:rsid w:val="002261E0"/>
    <w:rsid w:val="002323F4"/>
    <w:rsid w:val="002340E7"/>
    <w:rsid w:val="00234373"/>
    <w:rsid w:val="00240132"/>
    <w:rsid w:val="00240B66"/>
    <w:rsid w:val="00242C4B"/>
    <w:rsid w:val="00242D16"/>
    <w:rsid w:val="00245F3E"/>
    <w:rsid w:val="00251960"/>
    <w:rsid w:val="002526DB"/>
    <w:rsid w:val="00252C38"/>
    <w:rsid w:val="002539D6"/>
    <w:rsid w:val="00262C58"/>
    <w:rsid w:val="002633E2"/>
    <w:rsid w:val="0026542C"/>
    <w:rsid w:val="002664B6"/>
    <w:rsid w:val="0027219C"/>
    <w:rsid w:val="002746FA"/>
    <w:rsid w:val="0027633C"/>
    <w:rsid w:val="00276D74"/>
    <w:rsid w:val="00280B4B"/>
    <w:rsid w:val="00282205"/>
    <w:rsid w:val="00282DB5"/>
    <w:rsid w:val="00283E1E"/>
    <w:rsid w:val="00290803"/>
    <w:rsid w:val="00290A93"/>
    <w:rsid w:val="00291E8B"/>
    <w:rsid w:val="00294C7E"/>
    <w:rsid w:val="002971C2"/>
    <w:rsid w:val="002A097B"/>
    <w:rsid w:val="002A187C"/>
    <w:rsid w:val="002A237B"/>
    <w:rsid w:val="002A470C"/>
    <w:rsid w:val="002A5131"/>
    <w:rsid w:val="002A5E69"/>
    <w:rsid w:val="002A6D44"/>
    <w:rsid w:val="002B09DE"/>
    <w:rsid w:val="002B24E5"/>
    <w:rsid w:val="002B3DA2"/>
    <w:rsid w:val="002B43B7"/>
    <w:rsid w:val="002B52E4"/>
    <w:rsid w:val="002B5B3E"/>
    <w:rsid w:val="002C13C1"/>
    <w:rsid w:val="002C2AAB"/>
    <w:rsid w:val="002C2F98"/>
    <w:rsid w:val="002C443C"/>
    <w:rsid w:val="002C6BD8"/>
    <w:rsid w:val="002D09EA"/>
    <w:rsid w:val="002D103D"/>
    <w:rsid w:val="002D4181"/>
    <w:rsid w:val="002D55D1"/>
    <w:rsid w:val="002E14FE"/>
    <w:rsid w:val="002E21B1"/>
    <w:rsid w:val="002E22DE"/>
    <w:rsid w:val="002E44B3"/>
    <w:rsid w:val="002E7DD4"/>
    <w:rsid w:val="002F3573"/>
    <w:rsid w:val="002F4A53"/>
    <w:rsid w:val="002F4EA5"/>
    <w:rsid w:val="002F526C"/>
    <w:rsid w:val="002F75F0"/>
    <w:rsid w:val="00304CB8"/>
    <w:rsid w:val="00305B79"/>
    <w:rsid w:val="00306733"/>
    <w:rsid w:val="00307EAA"/>
    <w:rsid w:val="00314438"/>
    <w:rsid w:val="003200D8"/>
    <w:rsid w:val="003253EA"/>
    <w:rsid w:val="00326670"/>
    <w:rsid w:val="00326F27"/>
    <w:rsid w:val="0033213C"/>
    <w:rsid w:val="00334BEC"/>
    <w:rsid w:val="00336339"/>
    <w:rsid w:val="003418C1"/>
    <w:rsid w:val="00341955"/>
    <w:rsid w:val="003464C0"/>
    <w:rsid w:val="0034727B"/>
    <w:rsid w:val="00350DA3"/>
    <w:rsid w:val="00350DCE"/>
    <w:rsid w:val="003510A8"/>
    <w:rsid w:val="00360F26"/>
    <w:rsid w:val="003657B1"/>
    <w:rsid w:val="00366355"/>
    <w:rsid w:val="003673FA"/>
    <w:rsid w:val="00370207"/>
    <w:rsid w:val="00370CDF"/>
    <w:rsid w:val="00371011"/>
    <w:rsid w:val="0037117E"/>
    <w:rsid w:val="00372010"/>
    <w:rsid w:val="0037257E"/>
    <w:rsid w:val="003737A5"/>
    <w:rsid w:val="0037420C"/>
    <w:rsid w:val="0038143A"/>
    <w:rsid w:val="00381A14"/>
    <w:rsid w:val="00383C0C"/>
    <w:rsid w:val="0038579F"/>
    <w:rsid w:val="003905C9"/>
    <w:rsid w:val="003946DA"/>
    <w:rsid w:val="00395227"/>
    <w:rsid w:val="00396033"/>
    <w:rsid w:val="003965E9"/>
    <w:rsid w:val="00396BC0"/>
    <w:rsid w:val="003A2A93"/>
    <w:rsid w:val="003A46CC"/>
    <w:rsid w:val="003A61C1"/>
    <w:rsid w:val="003A6CBD"/>
    <w:rsid w:val="003B076C"/>
    <w:rsid w:val="003B0F7D"/>
    <w:rsid w:val="003B48F4"/>
    <w:rsid w:val="003B50B2"/>
    <w:rsid w:val="003B6CFC"/>
    <w:rsid w:val="003B6FB3"/>
    <w:rsid w:val="003B7EF6"/>
    <w:rsid w:val="003C0269"/>
    <w:rsid w:val="003C039E"/>
    <w:rsid w:val="003C2994"/>
    <w:rsid w:val="003C5D1E"/>
    <w:rsid w:val="003C6682"/>
    <w:rsid w:val="003C6EC5"/>
    <w:rsid w:val="003D2F9A"/>
    <w:rsid w:val="003D5938"/>
    <w:rsid w:val="003E0F58"/>
    <w:rsid w:val="003E22F7"/>
    <w:rsid w:val="003E24CE"/>
    <w:rsid w:val="003E507C"/>
    <w:rsid w:val="003E631E"/>
    <w:rsid w:val="003E7B93"/>
    <w:rsid w:val="003F16A6"/>
    <w:rsid w:val="003F1E3A"/>
    <w:rsid w:val="003F39CD"/>
    <w:rsid w:val="003F3E4C"/>
    <w:rsid w:val="003F4788"/>
    <w:rsid w:val="003F553B"/>
    <w:rsid w:val="003F5A1C"/>
    <w:rsid w:val="003F5CFB"/>
    <w:rsid w:val="003F62CA"/>
    <w:rsid w:val="003F64B1"/>
    <w:rsid w:val="003F7295"/>
    <w:rsid w:val="003F7AC5"/>
    <w:rsid w:val="003F7E55"/>
    <w:rsid w:val="0040086B"/>
    <w:rsid w:val="004017C0"/>
    <w:rsid w:val="004066D4"/>
    <w:rsid w:val="0041199F"/>
    <w:rsid w:val="004123DD"/>
    <w:rsid w:val="0041325F"/>
    <w:rsid w:val="00413FF2"/>
    <w:rsid w:val="004158B7"/>
    <w:rsid w:val="00416E63"/>
    <w:rsid w:val="004170AD"/>
    <w:rsid w:val="00417778"/>
    <w:rsid w:val="0042132B"/>
    <w:rsid w:val="00421582"/>
    <w:rsid w:val="00423E0B"/>
    <w:rsid w:val="00423E7D"/>
    <w:rsid w:val="0042682A"/>
    <w:rsid w:val="004279BF"/>
    <w:rsid w:val="004303A3"/>
    <w:rsid w:val="0043176A"/>
    <w:rsid w:val="00433E4C"/>
    <w:rsid w:val="004355D1"/>
    <w:rsid w:val="004404BD"/>
    <w:rsid w:val="004405A9"/>
    <w:rsid w:val="004407B6"/>
    <w:rsid w:val="00440A9D"/>
    <w:rsid w:val="00442F1C"/>
    <w:rsid w:val="004462B3"/>
    <w:rsid w:val="00446437"/>
    <w:rsid w:val="004472F7"/>
    <w:rsid w:val="00447B8E"/>
    <w:rsid w:val="00447F2E"/>
    <w:rsid w:val="004506DA"/>
    <w:rsid w:val="0045175C"/>
    <w:rsid w:val="00451DCD"/>
    <w:rsid w:val="0045310A"/>
    <w:rsid w:val="00456E18"/>
    <w:rsid w:val="00460192"/>
    <w:rsid w:val="004611A7"/>
    <w:rsid w:val="0046245F"/>
    <w:rsid w:val="004631DC"/>
    <w:rsid w:val="00464824"/>
    <w:rsid w:val="004654DA"/>
    <w:rsid w:val="00471B41"/>
    <w:rsid w:val="00472A23"/>
    <w:rsid w:val="00473500"/>
    <w:rsid w:val="00480DC0"/>
    <w:rsid w:val="00483D7F"/>
    <w:rsid w:val="0048424C"/>
    <w:rsid w:val="0048469A"/>
    <w:rsid w:val="00485AF3"/>
    <w:rsid w:val="00485CC9"/>
    <w:rsid w:val="00486FE5"/>
    <w:rsid w:val="00491A33"/>
    <w:rsid w:val="00492A7A"/>
    <w:rsid w:val="00497489"/>
    <w:rsid w:val="004974DC"/>
    <w:rsid w:val="004A0B67"/>
    <w:rsid w:val="004A156F"/>
    <w:rsid w:val="004A26B1"/>
    <w:rsid w:val="004A2C5F"/>
    <w:rsid w:val="004A3264"/>
    <w:rsid w:val="004A3558"/>
    <w:rsid w:val="004A486B"/>
    <w:rsid w:val="004A6C90"/>
    <w:rsid w:val="004B205C"/>
    <w:rsid w:val="004B381A"/>
    <w:rsid w:val="004B408B"/>
    <w:rsid w:val="004B42DE"/>
    <w:rsid w:val="004B7770"/>
    <w:rsid w:val="004B7E43"/>
    <w:rsid w:val="004C082D"/>
    <w:rsid w:val="004C0BC0"/>
    <w:rsid w:val="004C1A01"/>
    <w:rsid w:val="004C4D1D"/>
    <w:rsid w:val="004C53E9"/>
    <w:rsid w:val="004C5591"/>
    <w:rsid w:val="004C6C9E"/>
    <w:rsid w:val="004D0B3B"/>
    <w:rsid w:val="004D0CF0"/>
    <w:rsid w:val="004D1AAF"/>
    <w:rsid w:val="004D2627"/>
    <w:rsid w:val="004D27F0"/>
    <w:rsid w:val="004D3C68"/>
    <w:rsid w:val="004D6CBF"/>
    <w:rsid w:val="004D6D28"/>
    <w:rsid w:val="004D7C2C"/>
    <w:rsid w:val="004E04A7"/>
    <w:rsid w:val="004E1861"/>
    <w:rsid w:val="004E1936"/>
    <w:rsid w:val="004E1D50"/>
    <w:rsid w:val="004E292D"/>
    <w:rsid w:val="004E4308"/>
    <w:rsid w:val="004E4DA4"/>
    <w:rsid w:val="004E6390"/>
    <w:rsid w:val="004E6F5B"/>
    <w:rsid w:val="004F3FFF"/>
    <w:rsid w:val="005004F5"/>
    <w:rsid w:val="00501926"/>
    <w:rsid w:val="0050279B"/>
    <w:rsid w:val="00506331"/>
    <w:rsid w:val="00506E1B"/>
    <w:rsid w:val="005136A6"/>
    <w:rsid w:val="005139BD"/>
    <w:rsid w:val="00514D76"/>
    <w:rsid w:val="00517A97"/>
    <w:rsid w:val="0052186F"/>
    <w:rsid w:val="00521B15"/>
    <w:rsid w:val="005245E7"/>
    <w:rsid w:val="00525F51"/>
    <w:rsid w:val="00526CDD"/>
    <w:rsid w:val="0052738C"/>
    <w:rsid w:val="00527930"/>
    <w:rsid w:val="005325E7"/>
    <w:rsid w:val="0053294F"/>
    <w:rsid w:val="00532E35"/>
    <w:rsid w:val="00533AA0"/>
    <w:rsid w:val="00535244"/>
    <w:rsid w:val="0053647C"/>
    <w:rsid w:val="00536AC6"/>
    <w:rsid w:val="005377D5"/>
    <w:rsid w:val="005402B1"/>
    <w:rsid w:val="00540705"/>
    <w:rsid w:val="00542907"/>
    <w:rsid w:val="00545031"/>
    <w:rsid w:val="00545881"/>
    <w:rsid w:val="00546609"/>
    <w:rsid w:val="00552E9D"/>
    <w:rsid w:val="00560BB6"/>
    <w:rsid w:val="005613A6"/>
    <w:rsid w:val="00562395"/>
    <w:rsid w:val="005625E1"/>
    <w:rsid w:val="005652C4"/>
    <w:rsid w:val="005661D3"/>
    <w:rsid w:val="00570597"/>
    <w:rsid w:val="005747BB"/>
    <w:rsid w:val="00574BCB"/>
    <w:rsid w:val="005751DB"/>
    <w:rsid w:val="00575616"/>
    <w:rsid w:val="00581440"/>
    <w:rsid w:val="0058156C"/>
    <w:rsid w:val="0058671F"/>
    <w:rsid w:val="00586A00"/>
    <w:rsid w:val="00587CCB"/>
    <w:rsid w:val="00590254"/>
    <w:rsid w:val="0059077D"/>
    <w:rsid w:val="00591A87"/>
    <w:rsid w:val="0059378E"/>
    <w:rsid w:val="0059427A"/>
    <w:rsid w:val="00596788"/>
    <w:rsid w:val="00596B87"/>
    <w:rsid w:val="005A21FC"/>
    <w:rsid w:val="005A3DD0"/>
    <w:rsid w:val="005A4344"/>
    <w:rsid w:val="005A64BF"/>
    <w:rsid w:val="005A6650"/>
    <w:rsid w:val="005A745B"/>
    <w:rsid w:val="005A7B1D"/>
    <w:rsid w:val="005A7DFA"/>
    <w:rsid w:val="005B0D56"/>
    <w:rsid w:val="005B2B70"/>
    <w:rsid w:val="005B511B"/>
    <w:rsid w:val="005B51FD"/>
    <w:rsid w:val="005B64B8"/>
    <w:rsid w:val="005B6B76"/>
    <w:rsid w:val="005B7CEA"/>
    <w:rsid w:val="005C33BD"/>
    <w:rsid w:val="005C38D1"/>
    <w:rsid w:val="005C4442"/>
    <w:rsid w:val="005C4B63"/>
    <w:rsid w:val="005C6504"/>
    <w:rsid w:val="005C6973"/>
    <w:rsid w:val="005C7FE7"/>
    <w:rsid w:val="005D1F3F"/>
    <w:rsid w:val="005D23C5"/>
    <w:rsid w:val="005E28F8"/>
    <w:rsid w:val="005E3F0A"/>
    <w:rsid w:val="005E4DC0"/>
    <w:rsid w:val="005E51A2"/>
    <w:rsid w:val="005E53A6"/>
    <w:rsid w:val="005E6A94"/>
    <w:rsid w:val="005E6FD2"/>
    <w:rsid w:val="005E7AEB"/>
    <w:rsid w:val="005F06C2"/>
    <w:rsid w:val="005F28B4"/>
    <w:rsid w:val="005F363E"/>
    <w:rsid w:val="005F4865"/>
    <w:rsid w:val="005F61B4"/>
    <w:rsid w:val="00604457"/>
    <w:rsid w:val="00604649"/>
    <w:rsid w:val="00606B98"/>
    <w:rsid w:val="00612BFC"/>
    <w:rsid w:val="006138B8"/>
    <w:rsid w:val="006145F4"/>
    <w:rsid w:val="00614B22"/>
    <w:rsid w:val="00615A77"/>
    <w:rsid w:val="00616715"/>
    <w:rsid w:val="0061783A"/>
    <w:rsid w:val="00617A4E"/>
    <w:rsid w:val="00617BC4"/>
    <w:rsid w:val="006203F2"/>
    <w:rsid w:val="0062069D"/>
    <w:rsid w:val="00620F86"/>
    <w:rsid w:val="006229B9"/>
    <w:rsid w:val="00622E76"/>
    <w:rsid w:val="00622FA4"/>
    <w:rsid w:val="0062379A"/>
    <w:rsid w:val="00624890"/>
    <w:rsid w:val="00624BD1"/>
    <w:rsid w:val="00624DAA"/>
    <w:rsid w:val="006268F7"/>
    <w:rsid w:val="00627216"/>
    <w:rsid w:val="00631F18"/>
    <w:rsid w:val="006320E3"/>
    <w:rsid w:val="00632198"/>
    <w:rsid w:val="00635081"/>
    <w:rsid w:val="006367DF"/>
    <w:rsid w:val="00636C30"/>
    <w:rsid w:val="00637A13"/>
    <w:rsid w:val="00637CBD"/>
    <w:rsid w:val="006415F7"/>
    <w:rsid w:val="006441BE"/>
    <w:rsid w:val="00645468"/>
    <w:rsid w:val="0064749E"/>
    <w:rsid w:val="0065185E"/>
    <w:rsid w:val="006518D5"/>
    <w:rsid w:val="006526EF"/>
    <w:rsid w:val="00653450"/>
    <w:rsid w:val="006543C8"/>
    <w:rsid w:val="00657B18"/>
    <w:rsid w:val="00660705"/>
    <w:rsid w:val="00661E60"/>
    <w:rsid w:val="006636EB"/>
    <w:rsid w:val="00664C14"/>
    <w:rsid w:val="006651BE"/>
    <w:rsid w:val="006652DA"/>
    <w:rsid w:val="00676D48"/>
    <w:rsid w:val="00677BC2"/>
    <w:rsid w:val="00681422"/>
    <w:rsid w:val="006830DE"/>
    <w:rsid w:val="006837A8"/>
    <w:rsid w:val="006850F3"/>
    <w:rsid w:val="006876C8"/>
    <w:rsid w:val="006878A1"/>
    <w:rsid w:val="00687A7A"/>
    <w:rsid w:val="00690617"/>
    <w:rsid w:val="00694571"/>
    <w:rsid w:val="006972F8"/>
    <w:rsid w:val="006A332D"/>
    <w:rsid w:val="006A3CC1"/>
    <w:rsid w:val="006A76B2"/>
    <w:rsid w:val="006B08AC"/>
    <w:rsid w:val="006B1083"/>
    <w:rsid w:val="006B193A"/>
    <w:rsid w:val="006B1C57"/>
    <w:rsid w:val="006B2F8F"/>
    <w:rsid w:val="006B33D0"/>
    <w:rsid w:val="006B3B5A"/>
    <w:rsid w:val="006B4DBC"/>
    <w:rsid w:val="006B5BD5"/>
    <w:rsid w:val="006C06C7"/>
    <w:rsid w:val="006C1733"/>
    <w:rsid w:val="006C364A"/>
    <w:rsid w:val="006C3AF0"/>
    <w:rsid w:val="006C5E0C"/>
    <w:rsid w:val="006C6C50"/>
    <w:rsid w:val="006C7C64"/>
    <w:rsid w:val="006D0E64"/>
    <w:rsid w:val="006D15D9"/>
    <w:rsid w:val="006D2528"/>
    <w:rsid w:val="006D43F1"/>
    <w:rsid w:val="006D508D"/>
    <w:rsid w:val="006D527A"/>
    <w:rsid w:val="006D5A6C"/>
    <w:rsid w:val="006D5B74"/>
    <w:rsid w:val="006D7B9F"/>
    <w:rsid w:val="006E0571"/>
    <w:rsid w:val="006E3FDC"/>
    <w:rsid w:val="006E54B9"/>
    <w:rsid w:val="006E6A56"/>
    <w:rsid w:val="006E71A7"/>
    <w:rsid w:val="006F0854"/>
    <w:rsid w:val="006F1A34"/>
    <w:rsid w:val="006F6116"/>
    <w:rsid w:val="0070000F"/>
    <w:rsid w:val="007030B4"/>
    <w:rsid w:val="007042A8"/>
    <w:rsid w:val="007047A6"/>
    <w:rsid w:val="007069F9"/>
    <w:rsid w:val="00710127"/>
    <w:rsid w:val="0071214E"/>
    <w:rsid w:val="00715DE0"/>
    <w:rsid w:val="00720277"/>
    <w:rsid w:val="0072251F"/>
    <w:rsid w:val="007240DA"/>
    <w:rsid w:val="007259E3"/>
    <w:rsid w:val="007275E2"/>
    <w:rsid w:val="0073056B"/>
    <w:rsid w:val="007305FF"/>
    <w:rsid w:val="0073094E"/>
    <w:rsid w:val="00735EB7"/>
    <w:rsid w:val="007375AC"/>
    <w:rsid w:val="007377B4"/>
    <w:rsid w:val="0074683D"/>
    <w:rsid w:val="00746F43"/>
    <w:rsid w:val="007528D4"/>
    <w:rsid w:val="00753345"/>
    <w:rsid w:val="00753ECA"/>
    <w:rsid w:val="007547B4"/>
    <w:rsid w:val="007555DF"/>
    <w:rsid w:val="00755868"/>
    <w:rsid w:val="0075753D"/>
    <w:rsid w:val="007649B5"/>
    <w:rsid w:val="007649C7"/>
    <w:rsid w:val="00764FE7"/>
    <w:rsid w:val="007664C0"/>
    <w:rsid w:val="00770167"/>
    <w:rsid w:val="0077602B"/>
    <w:rsid w:val="00776D00"/>
    <w:rsid w:val="0078084E"/>
    <w:rsid w:val="00781D06"/>
    <w:rsid w:val="00784044"/>
    <w:rsid w:val="00784620"/>
    <w:rsid w:val="007846FB"/>
    <w:rsid w:val="00784E04"/>
    <w:rsid w:val="0078582A"/>
    <w:rsid w:val="00787E4D"/>
    <w:rsid w:val="00793CDF"/>
    <w:rsid w:val="00796CD4"/>
    <w:rsid w:val="00797B5B"/>
    <w:rsid w:val="00797B7A"/>
    <w:rsid w:val="007A0159"/>
    <w:rsid w:val="007A246B"/>
    <w:rsid w:val="007A5AA5"/>
    <w:rsid w:val="007A5D9F"/>
    <w:rsid w:val="007A6005"/>
    <w:rsid w:val="007A7E4D"/>
    <w:rsid w:val="007B17AD"/>
    <w:rsid w:val="007B30FC"/>
    <w:rsid w:val="007B67CD"/>
    <w:rsid w:val="007B6A72"/>
    <w:rsid w:val="007C204E"/>
    <w:rsid w:val="007C30F2"/>
    <w:rsid w:val="007C3F60"/>
    <w:rsid w:val="007C5478"/>
    <w:rsid w:val="007C55F8"/>
    <w:rsid w:val="007D06FF"/>
    <w:rsid w:val="007D0C57"/>
    <w:rsid w:val="007D2ABE"/>
    <w:rsid w:val="007D3868"/>
    <w:rsid w:val="007D5A8D"/>
    <w:rsid w:val="007D6085"/>
    <w:rsid w:val="007E1A9C"/>
    <w:rsid w:val="007E1BC4"/>
    <w:rsid w:val="007E2598"/>
    <w:rsid w:val="007E26BF"/>
    <w:rsid w:val="007E2F03"/>
    <w:rsid w:val="007E3ADA"/>
    <w:rsid w:val="007E6625"/>
    <w:rsid w:val="007F09A0"/>
    <w:rsid w:val="007F0AED"/>
    <w:rsid w:val="007F6930"/>
    <w:rsid w:val="00800870"/>
    <w:rsid w:val="00800DAF"/>
    <w:rsid w:val="008018DE"/>
    <w:rsid w:val="00801B75"/>
    <w:rsid w:val="00802132"/>
    <w:rsid w:val="008035EB"/>
    <w:rsid w:val="008045CF"/>
    <w:rsid w:val="00805639"/>
    <w:rsid w:val="008076CC"/>
    <w:rsid w:val="00807E44"/>
    <w:rsid w:val="008102F6"/>
    <w:rsid w:val="008125AD"/>
    <w:rsid w:val="0081325E"/>
    <w:rsid w:val="00813A0C"/>
    <w:rsid w:val="008179D1"/>
    <w:rsid w:val="00821AC0"/>
    <w:rsid w:val="008264F2"/>
    <w:rsid w:val="0082785F"/>
    <w:rsid w:val="008329D9"/>
    <w:rsid w:val="00833454"/>
    <w:rsid w:val="008348F2"/>
    <w:rsid w:val="00836C1D"/>
    <w:rsid w:val="00836D76"/>
    <w:rsid w:val="008371CE"/>
    <w:rsid w:val="00840D3F"/>
    <w:rsid w:val="00842037"/>
    <w:rsid w:val="0084212E"/>
    <w:rsid w:val="008423BB"/>
    <w:rsid w:val="008424E2"/>
    <w:rsid w:val="00842E15"/>
    <w:rsid w:val="008460F3"/>
    <w:rsid w:val="008478C4"/>
    <w:rsid w:val="00850D23"/>
    <w:rsid w:val="00851149"/>
    <w:rsid w:val="00851CA9"/>
    <w:rsid w:val="00852A23"/>
    <w:rsid w:val="00852AA5"/>
    <w:rsid w:val="00854AD4"/>
    <w:rsid w:val="008562C1"/>
    <w:rsid w:val="00856833"/>
    <w:rsid w:val="00856FDE"/>
    <w:rsid w:val="00857C7A"/>
    <w:rsid w:val="008608BA"/>
    <w:rsid w:val="00860C85"/>
    <w:rsid w:val="00861406"/>
    <w:rsid w:val="008638F2"/>
    <w:rsid w:val="00865BFB"/>
    <w:rsid w:val="00867628"/>
    <w:rsid w:val="00867718"/>
    <w:rsid w:val="00871526"/>
    <w:rsid w:val="00872F3E"/>
    <w:rsid w:val="00876E9D"/>
    <w:rsid w:val="00881290"/>
    <w:rsid w:val="0088138A"/>
    <w:rsid w:val="00882867"/>
    <w:rsid w:val="0088311A"/>
    <w:rsid w:val="00885C16"/>
    <w:rsid w:val="0088648F"/>
    <w:rsid w:val="008912DE"/>
    <w:rsid w:val="0089274E"/>
    <w:rsid w:val="0089361A"/>
    <w:rsid w:val="00896529"/>
    <w:rsid w:val="00896C37"/>
    <w:rsid w:val="00896D20"/>
    <w:rsid w:val="00897470"/>
    <w:rsid w:val="008A35C9"/>
    <w:rsid w:val="008A5524"/>
    <w:rsid w:val="008A7737"/>
    <w:rsid w:val="008A7DF4"/>
    <w:rsid w:val="008B0BC2"/>
    <w:rsid w:val="008B1258"/>
    <w:rsid w:val="008B48E3"/>
    <w:rsid w:val="008B4986"/>
    <w:rsid w:val="008B66E6"/>
    <w:rsid w:val="008C274C"/>
    <w:rsid w:val="008C2AC6"/>
    <w:rsid w:val="008C3996"/>
    <w:rsid w:val="008C6266"/>
    <w:rsid w:val="008C791E"/>
    <w:rsid w:val="008D02DF"/>
    <w:rsid w:val="008D0F33"/>
    <w:rsid w:val="008D3E24"/>
    <w:rsid w:val="008D4679"/>
    <w:rsid w:val="008D49A9"/>
    <w:rsid w:val="008E1F82"/>
    <w:rsid w:val="008E30D9"/>
    <w:rsid w:val="008E79EC"/>
    <w:rsid w:val="008F0075"/>
    <w:rsid w:val="008F1BDD"/>
    <w:rsid w:val="008F24AA"/>
    <w:rsid w:val="008F2B09"/>
    <w:rsid w:val="008F3793"/>
    <w:rsid w:val="008F6991"/>
    <w:rsid w:val="00901072"/>
    <w:rsid w:val="00902A35"/>
    <w:rsid w:val="00903BE1"/>
    <w:rsid w:val="00904B4E"/>
    <w:rsid w:val="00906983"/>
    <w:rsid w:val="009106AF"/>
    <w:rsid w:val="009122AD"/>
    <w:rsid w:val="0091411A"/>
    <w:rsid w:val="00916168"/>
    <w:rsid w:val="00920844"/>
    <w:rsid w:val="0092217E"/>
    <w:rsid w:val="009224CA"/>
    <w:rsid w:val="00925BE9"/>
    <w:rsid w:val="00925C47"/>
    <w:rsid w:val="0093270D"/>
    <w:rsid w:val="00932734"/>
    <w:rsid w:val="00933B81"/>
    <w:rsid w:val="00933E03"/>
    <w:rsid w:val="0093669A"/>
    <w:rsid w:val="00941577"/>
    <w:rsid w:val="0094458D"/>
    <w:rsid w:val="009457E8"/>
    <w:rsid w:val="00945AA4"/>
    <w:rsid w:val="00946586"/>
    <w:rsid w:val="009474FA"/>
    <w:rsid w:val="0095259E"/>
    <w:rsid w:val="0095450A"/>
    <w:rsid w:val="00961547"/>
    <w:rsid w:val="0096402C"/>
    <w:rsid w:val="009648B3"/>
    <w:rsid w:val="00967896"/>
    <w:rsid w:val="00972BE2"/>
    <w:rsid w:val="00974E40"/>
    <w:rsid w:val="0097535F"/>
    <w:rsid w:val="00980314"/>
    <w:rsid w:val="00980F0E"/>
    <w:rsid w:val="0098549D"/>
    <w:rsid w:val="009863AE"/>
    <w:rsid w:val="00986BEC"/>
    <w:rsid w:val="00987360"/>
    <w:rsid w:val="009906AC"/>
    <w:rsid w:val="00991B6A"/>
    <w:rsid w:val="0099202E"/>
    <w:rsid w:val="00992689"/>
    <w:rsid w:val="0099372C"/>
    <w:rsid w:val="00995EE6"/>
    <w:rsid w:val="00996359"/>
    <w:rsid w:val="009A082A"/>
    <w:rsid w:val="009A10E2"/>
    <w:rsid w:val="009A1172"/>
    <w:rsid w:val="009A1203"/>
    <w:rsid w:val="009A1B61"/>
    <w:rsid w:val="009A3C2B"/>
    <w:rsid w:val="009A516F"/>
    <w:rsid w:val="009A56C4"/>
    <w:rsid w:val="009B0677"/>
    <w:rsid w:val="009B0821"/>
    <w:rsid w:val="009B10B6"/>
    <w:rsid w:val="009B3C14"/>
    <w:rsid w:val="009B476C"/>
    <w:rsid w:val="009B78C1"/>
    <w:rsid w:val="009B7BA1"/>
    <w:rsid w:val="009C0B8A"/>
    <w:rsid w:val="009C23DA"/>
    <w:rsid w:val="009C2A0F"/>
    <w:rsid w:val="009C4A13"/>
    <w:rsid w:val="009C6425"/>
    <w:rsid w:val="009C7221"/>
    <w:rsid w:val="009D0C34"/>
    <w:rsid w:val="009D1998"/>
    <w:rsid w:val="009D1E29"/>
    <w:rsid w:val="009D3A34"/>
    <w:rsid w:val="009D4235"/>
    <w:rsid w:val="009D4BB5"/>
    <w:rsid w:val="009D5D1E"/>
    <w:rsid w:val="009D5F1F"/>
    <w:rsid w:val="009D7606"/>
    <w:rsid w:val="009E05EB"/>
    <w:rsid w:val="009E7D88"/>
    <w:rsid w:val="009F10AF"/>
    <w:rsid w:val="009F436D"/>
    <w:rsid w:val="009F4F57"/>
    <w:rsid w:val="009F5B44"/>
    <w:rsid w:val="009F6D82"/>
    <w:rsid w:val="009F6E4E"/>
    <w:rsid w:val="00A02756"/>
    <w:rsid w:val="00A04AE1"/>
    <w:rsid w:val="00A110D4"/>
    <w:rsid w:val="00A12A7F"/>
    <w:rsid w:val="00A16878"/>
    <w:rsid w:val="00A16FD3"/>
    <w:rsid w:val="00A175DC"/>
    <w:rsid w:val="00A17B57"/>
    <w:rsid w:val="00A17E55"/>
    <w:rsid w:val="00A2047E"/>
    <w:rsid w:val="00A20BAE"/>
    <w:rsid w:val="00A21BB0"/>
    <w:rsid w:val="00A21D22"/>
    <w:rsid w:val="00A22C1A"/>
    <w:rsid w:val="00A270C7"/>
    <w:rsid w:val="00A2794F"/>
    <w:rsid w:val="00A36D16"/>
    <w:rsid w:val="00A400C2"/>
    <w:rsid w:val="00A42771"/>
    <w:rsid w:val="00A44C67"/>
    <w:rsid w:val="00A450AA"/>
    <w:rsid w:val="00A45740"/>
    <w:rsid w:val="00A466B6"/>
    <w:rsid w:val="00A47CE2"/>
    <w:rsid w:val="00A47F75"/>
    <w:rsid w:val="00A505BA"/>
    <w:rsid w:val="00A52237"/>
    <w:rsid w:val="00A53087"/>
    <w:rsid w:val="00A54131"/>
    <w:rsid w:val="00A56F68"/>
    <w:rsid w:val="00A57FBE"/>
    <w:rsid w:val="00A57FEB"/>
    <w:rsid w:val="00A60008"/>
    <w:rsid w:val="00A60643"/>
    <w:rsid w:val="00A60BA2"/>
    <w:rsid w:val="00A60E04"/>
    <w:rsid w:val="00A633AB"/>
    <w:rsid w:val="00A65063"/>
    <w:rsid w:val="00A66358"/>
    <w:rsid w:val="00A71594"/>
    <w:rsid w:val="00A71DA6"/>
    <w:rsid w:val="00A73781"/>
    <w:rsid w:val="00A7467E"/>
    <w:rsid w:val="00A7693C"/>
    <w:rsid w:val="00A8070A"/>
    <w:rsid w:val="00A80898"/>
    <w:rsid w:val="00A81CC2"/>
    <w:rsid w:val="00A82047"/>
    <w:rsid w:val="00A828EA"/>
    <w:rsid w:val="00A82B85"/>
    <w:rsid w:val="00A8506A"/>
    <w:rsid w:val="00A86460"/>
    <w:rsid w:val="00A91907"/>
    <w:rsid w:val="00A9495A"/>
    <w:rsid w:val="00A955E1"/>
    <w:rsid w:val="00A973BF"/>
    <w:rsid w:val="00AA03D3"/>
    <w:rsid w:val="00AB0C5B"/>
    <w:rsid w:val="00AB11B2"/>
    <w:rsid w:val="00AB452E"/>
    <w:rsid w:val="00AB4DE8"/>
    <w:rsid w:val="00AB5C47"/>
    <w:rsid w:val="00AB5F06"/>
    <w:rsid w:val="00AC17F3"/>
    <w:rsid w:val="00AC195B"/>
    <w:rsid w:val="00AC438A"/>
    <w:rsid w:val="00AC63E3"/>
    <w:rsid w:val="00AC7F4E"/>
    <w:rsid w:val="00AD2F3E"/>
    <w:rsid w:val="00AD329C"/>
    <w:rsid w:val="00AD5FA5"/>
    <w:rsid w:val="00AD5FAB"/>
    <w:rsid w:val="00AE0283"/>
    <w:rsid w:val="00AE096A"/>
    <w:rsid w:val="00AE0C49"/>
    <w:rsid w:val="00AE32AC"/>
    <w:rsid w:val="00AE4283"/>
    <w:rsid w:val="00AE5FBA"/>
    <w:rsid w:val="00AE76BC"/>
    <w:rsid w:val="00AF3722"/>
    <w:rsid w:val="00B00059"/>
    <w:rsid w:val="00B01EA9"/>
    <w:rsid w:val="00B06CAB"/>
    <w:rsid w:val="00B1051A"/>
    <w:rsid w:val="00B13617"/>
    <w:rsid w:val="00B14C8F"/>
    <w:rsid w:val="00B14FE4"/>
    <w:rsid w:val="00B16589"/>
    <w:rsid w:val="00B22CA6"/>
    <w:rsid w:val="00B22E7A"/>
    <w:rsid w:val="00B276E6"/>
    <w:rsid w:val="00B27837"/>
    <w:rsid w:val="00B32AF1"/>
    <w:rsid w:val="00B3387D"/>
    <w:rsid w:val="00B33FAF"/>
    <w:rsid w:val="00B364B4"/>
    <w:rsid w:val="00B36D8A"/>
    <w:rsid w:val="00B37085"/>
    <w:rsid w:val="00B409BD"/>
    <w:rsid w:val="00B443F4"/>
    <w:rsid w:val="00B44E32"/>
    <w:rsid w:val="00B45194"/>
    <w:rsid w:val="00B45F61"/>
    <w:rsid w:val="00B46AEF"/>
    <w:rsid w:val="00B46E9E"/>
    <w:rsid w:val="00B47D5E"/>
    <w:rsid w:val="00B47DD0"/>
    <w:rsid w:val="00B5090E"/>
    <w:rsid w:val="00B51B65"/>
    <w:rsid w:val="00B53C1B"/>
    <w:rsid w:val="00B54D48"/>
    <w:rsid w:val="00B5736A"/>
    <w:rsid w:val="00B57686"/>
    <w:rsid w:val="00B57987"/>
    <w:rsid w:val="00B606BB"/>
    <w:rsid w:val="00B60FC5"/>
    <w:rsid w:val="00B63ABE"/>
    <w:rsid w:val="00B64142"/>
    <w:rsid w:val="00B65B20"/>
    <w:rsid w:val="00B702F0"/>
    <w:rsid w:val="00B71846"/>
    <w:rsid w:val="00B71ADF"/>
    <w:rsid w:val="00B72392"/>
    <w:rsid w:val="00B72703"/>
    <w:rsid w:val="00B72ED7"/>
    <w:rsid w:val="00B72EF2"/>
    <w:rsid w:val="00B7407C"/>
    <w:rsid w:val="00B747BD"/>
    <w:rsid w:val="00B80266"/>
    <w:rsid w:val="00B80C7E"/>
    <w:rsid w:val="00B833FF"/>
    <w:rsid w:val="00B86082"/>
    <w:rsid w:val="00B8691A"/>
    <w:rsid w:val="00B90AC0"/>
    <w:rsid w:val="00B90DC9"/>
    <w:rsid w:val="00B92969"/>
    <w:rsid w:val="00B943E0"/>
    <w:rsid w:val="00B94937"/>
    <w:rsid w:val="00B960AB"/>
    <w:rsid w:val="00B96A60"/>
    <w:rsid w:val="00B97D9C"/>
    <w:rsid w:val="00BA144C"/>
    <w:rsid w:val="00BA154D"/>
    <w:rsid w:val="00BA1715"/>
    <w:rsid w:val="00BA36EA"/>
    <w:rsid w:val="00BA5856"/>
    <w:rsid w:val="00BA609E"/>
    <w:rsid w:val="00BA723E"/>
    <w:rsid w:val="00BA7DB9"/>
    <w:rsid w:val="00BB30D4"/>
    <w:rsid w:val="00BB320E"/>
    <w:rsid w:val="00BB679E"/>
    <w:rsid w:val="00BB7D5B"/>
    <w:rsid w:val="00BD2966"/>
    <w:rsid w:val="00BD2C53"/>
    <w:rsid w:val="00BD307A"/>
    <w:rsid w:val="00BD54F1"/>
    <w:rsid w:val="00BD5D1C"/>
    <w:rsid w:val="00BD5D46"/>
    <w:rsid w:val="00BE284B"/>
    <w:rsid w:val="00BE2EAA"/>
    <w:rsid w:val="00BE648E"/>
    <w:rsid w:val="00BE7F59"/>
    <w:rsid w:val="00BF303D"/>
    <w:rsid w:val="00BF56D4"/>
    <w:rsid w:val="00BF689D"/>
    <w:rsid w:val="00BF6FDA"/>
    <w:rsid w:val="00BF71F6"/>
    <w:rsid w:val="00C018BE"/>
    <w:rsid w:val="00C01D3F"/>
    <w:rsid w:val="00C0221B"/>
    <w:rsid w:val="00C0465A"/>
    <w:rsid w:val="00C14544"/>
    <w:rsid w:val="00C15500"/>
    <w:rsid w:val="00C17AAE"/>
    <w:rsid w:val="00C20114"/>
    <w:rsid w:val="00C21E64"/>
    <w:rsid w:val="00C2383B"/>
    <w:rsid w:val="00C2417E"/>
    <w:rsid w:val="00C24429"/>
    <w:rsid w:val="00C33D7E"/>
    <w:rsid w:val="00C35AAA"/>
    <w:rsid w:val="00C36049"/>
    <w:rsid w:val="00C37763"/>
    <w:rsid w:val="00C37CF2"/>
    <w:rsid w:val="00C42EA7"/>
    <w:rsid w:val="00C46FB0"/>
    <w:rsid w:val="00C5092F"/>
    <w:rsid w:val="00C51B3B"/>
    <w:rsid w:val="00C51D96"/>
    <w:rsid w:val="00C5255A"/>
    <w:rsid w:val="00C52B96"/>
    <w:rsid w:val="00C5446D"/>
    <w:rsid w:val="00C55801"/>
    <w:rsid w:val="00C5798C"/>
    <w:rsid w:val="00C61A0E"/>
    <w:rsid w:val="00C61C85"/>
    <w:rsid w:val="00C62CD6"/>
    <w:rsid w:val="00C63084"/>
    <w:rsid w:val="00C63B22"/>
    <w:rsid w:val="00C6629E"/>
    <w:rsid w:val="00C70743"/>
    <w:rsid w:val="00C7285D"/>
    <w:rsid w:val="00C76028"/>
    <w:rsid w:val="00C775CC"/>
    <w:rsid w:val="00C77BD1"/>
    <w:rsid w:val="00C82977"/>
    <w:rsid w:val="00C82CF2"/>
    <w:rsid w:val="00C8470C"/>
    <w:rsid w:val="00C85B21"/>
    <w:rsid w:val="00C873F9"/>
    <w:rsid w:val="00C908AA"/>
    <w:rsid w:val="00C944C7"/>
    <w:rsid w:val="00C97D98"/>
    <w:rsid w:val="00CB07B4"/>
    <w:rsid w:val="00CB0EA1"/>
    <w:rsid w:val="00CB11E4"/>
    <w:rsid w:val="00CB1D7C"/>
    <w:rsid w:val="00CB2ACA"/>
    <w:rsid w:val="00CB3930"/>
    <w:rsid w:val="00CB5B34"/>
    <w:rsid w:val="00CB6CCE"/>
    <w:rsid w:val="00CB6DF2"/>
    <w:rsid w:val="00CC0313"/>
    <w:rsid w:val="00CC13B1"/>
    <w:rsid w:val="00CC24B6"/>
    <w:rsid w:val="00CC2778"/>
    <w:rsid w:val="00CC4916"/>
    <w:rsid w:val="00CC7069"/>
    <w:rsid w:val="00CD089A"/>
    <w:rsid w:val="00CD135B"/>
    <w:rsid w:val="00CD1A1B"/>
    <w:rsid w:val="00CD3821"/>
    <w:rsid w:val="00CD3E1B"/>
    <w:rsid w:val="00CD62D8"/>
    <w:rsid w:val="00CD6D82"/>
    <w:rsid w:val="00CE0439"/>
    <w:rsid w:val="00CE4686"/>
    <w:rsid w:val="00CE46BE"/>
    <w:rsid w:val="00CE4F45"/>
    <w:rsid w:val="00CE55F0"/>
    <w:rsid w:val="00CE6DA9"/>
    <w:rsid w:val="00CE765B"/>
    <w:rsid w:val="00CE7D7C"/>
    <w:rsid w:val="00CE7EE0"/>
    <w:rsid w:val="00CF242E"/>
    <w:rsid w:val="00CF2616"/>
    <w:rsid w:val="00CF2F9E"/>
    <w:rsid w:val="00CF32B9"/>
    <w:rsid w:val="00CF33EC"/>
    <w:rsid w:val="00CF5F64"/>
    <w:rsid w:val="00D00043"/>
    <w:rsid w:val="00D001C3"/>
    <w:rsid w:val="00D01864"/>
    <w:rsid w:val="00D03907"/>
    <w:rsid w:val="00D05857"/>
    <w:rsid w:val="00D0589B"/>
    <w:rsid w:val="00D116A6"/>
    <w:rsid w:val="00D1534C"/>
    <w:rsid w:val="00D15C57"/>
    <w:rsid w:val="00D16618"/>
    <w:rsid w:val="00D1799E"/>
    <w:rsid w:val="00D201EA"/>
    <w:rsid w:val="00D20C6B"/>
    <w:rsid w:val="00D21B9B"/>
    <w:rsid w:val="00D23863"/>
    <w:rsid w:val="00D23C39"/>
    <w:rsid w:val="00D23D14"/>
    <w:rsid w:val="00D2649E"/>
    <w:rsid w:val="00D317FD"/>
    <w:rsid w:val="00D33020"/>
    <w:rsid w:val="00D34AC4"/>
    <w:rsid w:val="00D34F74"/>
    <w:rsid w:val="00D36BA2"/>
    <w:rsid w:val="00D370A6"/>
    <w:rsid w:val="00D373E7"/>
    <w:rsid w:val="00D37F6E"/>
    <w:rsid w:val="00D402E3"/>
    <w:rsid w:val="00D43ACC"/>
    <w:rsid w:val="00D44006"/>
    <w:rsid w:val="00D452CA"/>
    <w:rsid w:val="00D47728"/>
    <w:rsid w:val="00D477D5"/>
    <w:rsid w:val="00D51DCB"/>
    <w:rsid w:val="00D539D1"/>
    <w:rsid w:val="00D5610F"/>
    <w:rsid w:val="00D56D17"/>
    <w:rsid w:val="00D56F0B"/>
    <w:rsid w:val="00D6214D"/>
    <w:rsid w:val="00D6438A"/>
    <w:rsid w:val="00D65448"/>
    <w:rsid w:val="00D72E9E"/>
    <w:rsid w:val="00D734EC"/>
    <w:rsid w:val="00D74098"/>
    <w:rsid w:val="00D7495B"/>
    <w:rsid w:val="00D753D6"/>
    <w:rsid w:val="00D775AF"/>
    <w:rsid w:val="00D77CF1"/>
    <w:rsid w:val="00D810BB"/>
    <w:rsid w:val="00D826AE"/>
    <w:rsid w:val="00D82781"/>
    <w:rsid w:val="00D845CA"/>
    <w:rsid w:val="00D86E59"/>
    <w:rsid w:val="00D9179B"/>
    <w:rsid w:val="00D91DE9"/>
    <w:rsid w:val="00D945FE"/>
    <w:rsid w:val="00D97DF9"/>
    <w:rsid w:val="00DA0FF1"/>
    <w:rsid w:val="00DA2EB1"/>
    <w:rsid w:val="00DA3322"/>
    <w:rsid w:val="00DA3B4D"/>
    <w:rsid w:val="00DB0657"/>
    <w:rsid w:val="00DB267F"/>
    <w:rsid w:val="00DB3A16"/>
    <w:rsid w:val="00DB7659"/>
    <w:rsid w:val="00DC061C"/>
    <w:rsid w:val="00DC4D05"/>
    <w:rsid w:val="00DC6253"/>
    <w:rsid w:val="00DC6C44"/>
    <w:rsid w:val="00DC6D11"/>
    <w:rsid w:val="00DC6D6D"/>
    <w:rsid w:val="00DC76D9"/>
    <w:rsid w:val="00DD0425"/>
    <w:rsid w:val="00DD079D"/>
    <w:rsid w:val="00DD1B18"/>
    <w:rsid w:val="00DD3880"/>
    <w:rsid w:val="00DD4278"/>
    <w:rsid w:val="00DD473A"/>
    <w:rsid w:val="00DD4D2C"/>
    <w:rsid w:val="00DD4FE0"/>
    <w:rsid w:val="00DD7CE4"/>
    <w:rsid w:val="00DE5DD9"/>
    <w:rsid w:val="00DE6207"/>
    <w:rsid w:val="00DE76D7"/>
    <w:rsid w:val="00DF01E5"/>
    <w:rsid w:val="00DF5D1E"/>
    <w:rsid w:val="00DF60C4"/>
    <w:rsid w:val="00DF7ABB"/>
    <w:rsid w:val="00E01B80"/>
    <w:rsid w:val="00E02152"/>
    <w:rsid w:val="00E023AF"/>
    <w:rsid w:val="00E03CE7"/>
    <w:rsid w:val="00E04E82"/>
    <w:rsid w:val="00E052EB"/>
    <w:rsid w:val="00E05E0B"/>
    <w:rsid w:val="00E06C2A"/>
    <w:rsid w:val="00E106F6"/>
    <w:rsid w:val="00E11304"/>
    <w:rsid w:val="00E12B45"/>
    <w:rsid w:val="00E13751"/>
    <w:rsid w:val="00E13D9B"/>
    <w:rsid w:val="00E14E7B"/>
    <w:rsid w:val="00E17027"/>
    <w:rsid w:val="00E17655"/>
    <w:rsid w:val="00E176A1"/>
    <w:rsid w:val="00E24A40"/>
    <w:rsid w:val="00E25275"/>
    <w:rsid w:val="00E2581B"/>
    <w:rsid w:val="00E25978"/>
    <w:rsid w:val="00E26A40"/>
    <w:rsid w:val="00E26EC0"/>
    <w:rsid w:val="00E27F57"/>
    <w:rsid w:val="00E33226"/>
    <w:rsid w:val="00E34B95"/>
    <w:rsid w:val="00E36C10"/>
    <w:rsid w:val="00E36DBC"/>
    <w:rsid w:val="00E41B64"/>
    <w:rsid w:val="00E421B7"/>
    <w:rsid w:val="00E440FC"/>
    <w:rsid w:val="00E46E5C"/>
    <w:rsid w:val="00E47216"/>
    <w:rsid w:val="00E47AE6"/>
    <w:rsid w:val="00E53AD6"/>
    <w:rsid w:val="00E54632"/>
    <w:rsid w:val="00E55A75"/>
    <w:rsid w:val="00E561E1"/>
    <w:rsid w:val="00E57ACB"/>
    <w:rsid w:val="00E60F09"/>
    <w:rsid w:val="00E63C6C"/>
    <w:rsid w:val="00E6762D"/>
    <w:rsid w:val="00E67699"/>
    <w:rsid w:val="00E704A2"/>
    <w:rsid w:val="00E72465"/>
    <w:rsid w:val="00E76ABF"/>
    <w:rsid w:val="00E8143C"/>
    <w:rsid w:val="00E84011"/>
    <w:rsid w:val="00E86AC8"/>
    <w:rsid w:val="00E871DB"/>
    <w:rsid w:val="00E87BD8"/>
    <w:rsid w:val="00E91E23"/>
    <w:rsid w:val="00E93B5A"/>
    <w:rsid w:val="00E94E64"/>
    <w:rsid w:val="00E960C6"/>
    <w:rsid w:val="00EA528C"/>
    <w:rsid w:val="00EA6D6B"/>
    <w:rsid w:val="00EA7BDD"/>
    <w:rsid w:val="00EB0883"/>
    <w:rsid w:val="00EB1547"/>
    <w:rsid w:val="00EB4636"/>
    <w:rsid w:val="00EB4821"/>
    <w:rsid w:val="00EB74FC"/>
    <w:rsid w:val="00EC004A"/>
    <w:rsid w:val="00EC0BF3"/>
    <w:rsid w:val="00EC2160"/>
    <w:rsid w:val="00EC432B"/>
    <w:rsid w:val="00EC5200"/>
    <w:rsid w:val="00EC63F1"/>
    <w:rsid w:val="00ED30B0"/>
    <w:rsid w:val="00ED37DA"/>
    <w:rsid w:val="00ED7927"/>
    <w:rsid w:val="00EE1061"/>
    <w:rsid w:val="00EE2240"/>
    <w:rsid w:val="00EE2F75"/>
    <w:rsid w:val="00EE4235"/>
    <w:rsid w:val="00EF5089"/>
    <w:rsid w:val="00EF5A7D"/>
    <w:rsid w:val="00F0151E"/>
    <w:rsid w:val="00F03011"/>
    <w:rsid w:val="00F03FF8"/>
    <w:rsid w:val="00F04814"/>
    <w:rsid w:val="00F04866"/>
    <w:rsid w:val="00F06822"/>
    <w:rsid w:val="00F14128"/>
    <w:rsid w:val="00F15A55"/>
    <w:rsid w:val="00F16C1A"/>
    <w:rsid w:val="00F22155"/>
    <w:rsid w:val="00F231B7"/>
    <w:rsid w:val="00F3071E"/>
    <w:rsid w:val="00F3165D"/>
    <w:rsid w:val="00F3209C"/>
    <w:rsid w:val="00F32595"/>
    <w:rsid w:val="00F3418D"/>
    <w:rsid w:val="00F35DCF"/>
    <w:rsid w:val="00F40A14"/>
    <w:rsid w:val="00F410D9"/>
    <w:rsid w:val="00F433B8"/>
    <w:rsid w:val="00F44704"/>
    <w:rsid w:val="00F449ED"/>
    <w:rsid w:val="00F456F4"/>
    <w:rsid w:val="00F46F83"/>
    <w:rsid w:val="00F47818"/>
    <w:rsid w:val="00F50120"/>
    <w:rsid w:val="00F51644"/>
    <w:rsid w:val="00F53D07"/>
    <w:rsid w:val="00F56B82"/>
    <w:rsid w:val="00F65513"/>
    <w:rsid w:val="00F67D94"/>
    <w:rsid w:val="00F70E1A"/>
    <w:rsid w:val="00F729AB"/>
    <w:rsid w:val="00F737D5"/>
    <w:rsid w:val="00F748A3"/>
    <w:rsid w:val="00F74901"/>
    <w:rsid w:val="00F7576B"/>
    <w:rsid w:val="00F77E7F"/>
    <w:rsid w:val="00F80596"/>
    <w:rsid w:val="00F80F97"/>
    <w:rsid w:val="00F82402"/>
    <w:rsid w:val="00F84CD2"/>
    <w:rsid w:val="00F90857"/>
    <w:rsid w:val="00F91F5D"/>
    <w:rsid w:val="00F92AC0"/>
    <w:rsid w:val="00F956E7"/>
    <w:rsid w:val="00F95E20"/>
    <w:rsid w:val="00F96071"/>
    <w:rsid w:val="00F962D0"/>
    <w:rsid w:val="00FA022D"/>
    <w:rsid w:val="00FA3596"/>
    <w:rsid w:val="00FA3D52"/>
    <w:rsid w:val="00FA4182"/>
    <w:rsid w:val="00FA643A"/>
    <w:rsid w:val="00FC097B"/>
    <w:rsid w:val="00FC1C71"/>
    <w:rsid w:val="00FC2839"/>
    <w:rsid w:val="00FC2A33"/>
    <w:rsid w:val="00FC31E5"/>
    <w:rsid w:val="00FC3E96"/>
    <w:rsid w:val="00FC4F74"/>
    <w:rsid w:val="00FC5F6D"/>
    <w:rsid w:val="00FC6E30"/>
    <w:rsid w:val="00FC729B"/>
    <w:rsid w:val="00FD191D"/>
    <w:rsid w:val="00FD20B1"/>
    <w:rsid w:val="00FD2C56"/>
    <w:rsid w:val="00FD684B"/>
    <w:rsid w:val="00FE041B"/>
    <w:rsid w:val="00FE1A2D"/>
    <w:rsid w:val="00FE1B8D"/>
    <w:rsid w:val="00FE1D69"/>
    <w:rsid w:val="00FE2FE2"/>
    <w:rsid w:val="00FE5633"/>
    <w:rsid w:val="00FE788D"/>
    <w:rsid w:val="00FF1068"/>
    <w:rsid w:val="00FF3824"/>
    <w:rsid w:val="00FF462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D703C"/>
  <w15:chartTrackingRefBased/>
  <w15:docId w15:val="{B555F3F2-12FC-47CB-B992-C46DFA104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18E"/>
    <w:rPr>
      <w:rFonts w:ascii="Times New Roman" w:eastAsia="Times New Roman" w:hAnsi="Times New Roman"/>
      <w:lang w:val="es-ES" w:eastAsia="es-ES"/>
    </w:rPr>
  </w:style>
  <w:style w:type="paragraph" w:styleId="Ttulo1">
    <w:name w:val="heading 1"/>
    <w:basedOn w:val="Normal"/>
    <w:next w:val="Normal"/>
    <w:link w:val="Ttulo1Car"/>
    <w:uiPriority w:val="99"/>
    <w:qFormat/>
    <w:rsid w:val="004D0B3B"/>
    <w:pPr>
      <w:keepNext/>
      <w:jc w:val="both"/>
      <w:outlineLvl w:val="0"/>
    </w:pPr>
    <w:rPr>
      <w:sz w:val="24"/>
    </w:rPr>
  </w:style>
  <w:style w:type="paragraph" w:styleId="Ttulo2">
    <w:name w:val="heading 2"/>
    <w:aliases w:val="CAPÍTULO,Car10"/>
    <w:basedOn w:val="Normal"/>
    <w:next w:val="Normal"/>
    <w:link w:val="Ttulo2Car"/>
    <w:qFormat/>
    <w:rsid w:val="004D0B3B"/>
    <w:pPr>
      <w:keepNext/>
      <w:jc w:val="both"/>
      <w:outlineLvl w:val="1"/>
    </w:pPr>
    <w:rPr>
      <w:b/>
      <w:sz w:val="28"/>
    </w:rPr>
  </w:style>
  <w:style w:type="paragraph" w:styleId="Ttulo3">
    <w:name w:val="heading 3"/>
    <w:basedOn w:val="Normal"/>
    <w:next w:val="Normal"/>
    <w:link w:val="Ttulo3Car"/>
    <w:uiPriority w:val="99"/>
    <w:qFormat/>
    <w:rsid w:val="004D0B3B"/>
    <w:pPr>
      <w:keepNext/>
      <w:outlineLvl w:val="2"/>
    </w:pPr>
    <w:rPr>
      <w:b/>
      <w:bCs/>
      <w:sz w:val="24"/>
    </w:rPr>
  </w:style>
  <w:style w:type="paragraph" w:styleId="Ttulo4">
    <w:name w:val="heading 4"/>
    <w:basedOn w:val="Normal"/>
    <w:next w:val="Normal"/>
    <w:link w:val="Ttulo4Car"/>
    <w:uiPriority w:val="99"/>
    <w:qFormat/>
    <w:rsid w:val="004D0B3B"/>
    <w:pPr>
      <w:keepNext/>
      <w:jc w:val="center"/>
      <w:outlineLvl w:val="3"/>
    </w:pPr>
    <w:rPr>
      <w:rFonts w:ascii="Coronet" w:hAnsi="Coronet"/>
      <w:sz w:val="42"/>
      <w:lang w:val="es-CR"/>
    </w:rPr>
  </w:style>
  <w:style w:type="paragraph" w:styleId="Ttulo5">
    <w:name w:val="heading 5"/>
    <w:basedOn w:val="Normal"/>
    <w:next w:val="Normal"/>
    <w:link w:val="Ttulo5Car"/>
    <w:uiPriority w:val="99"/>
    <w:qFormat/>
    <w:rsid w:val="004D0B3B"/>
    <w:pPr>
      <w:keepNext/>
      <w:widowControl w:val="0"/>
      <w:ind w:firstLine="426"/>
      <w:jc w:val="both"/>
      <w:outlineLvl w:val="4"/>
    </w:pPr>
    <w:rPr>
      <w:b/>
      <w:bCs/>
      <w:i/>
      <w:iCs/>
      <w:lang w:val="es-CR"/>
    </w:rPr>
  </w:style>
  <w:style w:type="paragraph" w:styleId="Ttulo7">
    <w:name w:val="heading 7"/>
    <w:basedOn w:val="Normal"/>
    <w:next w:val="Normal"/>
    <w:link w:val="Ttulo7Car"/>
    <w:uiPriority w:val="99"/>
    <w:qFormat/>
    <w:rsid w:val="004D0B3B"/>
    <w:pPr>
      <w:keepNext/>
      <w:tabs>
        <w:tab w:val="num" w:pos="1296"/>
      </w:tabs>
      <w:ind w:left="1296" w:hanging="1296"/>
      <w:outlineLvl w:val="6"/>
    </w:pPr>
    <w:rPr>
      <w:sz w:val="28"/>
    </w:rPr>
  </w:style>
  <w:style w:type="paragraph" w:styleId="Ttulo8">
    <w:name w:val="heading 8"/>
    <w:basedOn w:val="Normal"/>
    <w:next w:val="Normal"/>
    <w:link w:val="Ttulo8Car"/>
    <w:uiPriority w:val="99"/>
    <w:qFormat/>
    <w:rsid w:val="004D0B3B"/>
    <w:pPr>
      <w:keepNext/>
      <w:tabs>
        <w:tab w:val="num" w:pos="1440"/>
      </w:tabs>
      <w:ind w:left="1440" w:hanging="1440"/>
      <w:outlineLvl w:val="7"/>
    </w:pPr>
    <w:rPr>
      <w:rFonts w:ascii="Arial" w:hAnsi="Arial" w:cs="Arial"/>
      <w:b/>
      <w:bCs/>
      <w:color w:val="99CC00"/>
    </w:rPr>
  </w:style>
  <w:style w:type="paragraph" w:styleId="Ttulo9">
    <w:name w:val="heading 9"/>
    <w:basedOn w:val="Normal"/>
    <w:next w:val="Normal"/>
    <w:link w:val="Ttulo9Car"/>
    <w:uiPriority w:val="99"/>
    <w:qFormat/>
    <w:rsid w:val="004D0B3B"/>
    <w:pPr>
      <w:keepNext/>
      <w:tabs>
        <w:tab w:val="num" w:pos="1584"/>
      </w:tabs>
      <w:ind w:left="1584" w:hanging="1584"/>
      <w:jc w:val="both"/>
      <w:outlineLvl w:val="8"/>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0A93"/>
    <w:pPr>
      <w:tabs>
        <w:tab w:val="center" w:pos="4419"/>
        <w:tab w:val="right" w:pos="8838"/>
      </w:tabs>
    </w:pPr>
  </w:style>
  <w:style w:type="character" w:customStyle="1" w:styleId="EncabezadoCar">
    <w:name w:val="Encabezado Car"/>
    <w:link w:val="Encabezado"/>
    <w:uiPriority w:val="99"/>
    <w:rsid w:val="00290A9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290A93"/>
    <w:pPr>
      <w:tabs>
        <w:tab w:val="center" w:pos="4419"/>
        <w:tab w:val="right" w:pos="8838"/>
      </w:tabs>
    </w:pPr>
  </w:style>
  <w:style w:type="character" w:customStyle="1" w:styleId="PiedepginaCar">
    <w:name w:val="Pie de página Car"/>
    <w:link w:val="Piedepgina"/>
    <w:uiPriority w:val="99"/>
    <w:rsid w:val="00290A93"/>
    <w:rPr>
      <w:rFonts w:ascii="Times New Roman" w:eastAsia="Times New Roman" w:hAnsi="Times New Roman" w:cs="Times New Roman"/>
      <w:sz w:val="20"/>
      <w:szCs w:val="20"/>
      <w:lang w:val="es-ES" w:eastAsia="es-ES"/>
    </w:rPr>
  </w:style>
  <w:style w:type="paragraph" w:styleId="NormalWeb">
    <w:name w:val="Normal (Web)"/>
    <w:basedOn w:val="Normal"/>
    <w:link w:val="NormalWebCar"/>
    <w:uiPriority w:val="99"/>
    <w:unhideWhenUsed/>
    <w:rsid w:val="00AC438A"/>
    <w:pPr>
      <w:spacing w:before="100" w:beforeAutospacing="1" w:after="100" w:afterAutospacing="1"/>
    </w:pPr>
    <w:rPr>
      <w:rFonts w:ascii="Arial" w:hAnsi="Arial" w:cs="Arial"/>
      <w:sz w:val="18"/>
      <w:szCs w:val="18"/>
      <w:lang w:val="es-CR" w:eastAsia="es-CR"/>
    </w:rPr>
  </w:style>
  <w:style w:type="character" w:styleId="Textoennegrita">
    <w:name w:val="Strong"/>
    <w:uiPriority w:val="99"/>
    <w:qFormat/>
    <w:rsid w:val="00AC438A"/>
    <w:rPr>
      <w:b/>
      <w:bCs/>
    </w:rPr>
  </w:style>
  <w:style w:type="paragraph" w:styleId="Textodeglobo">
    <w:name w:val="Balloon Text"/>
    <w:basedOn w:val="Normal"/>
    <w:link w:val="TextodegloboCar"/>
    <w:uiPriority w:val="99"/>
    <w:semiHidden/>
    <w:unhideWhenUsed/>
    <w:rsid w:val="00BD5D1C"/>
    <w:rPr>
      <w:rFonts w:ascii="Tahoma" w:hAnsi="Tahoma" w:cs="Tahoma"/>
      <w:sz w:val="16"/>
      <w:szCs w:val="16"/>
    </w:rPr>
  </w:style>
  <w:style w:type="character" w:customStyle="1" w:styleId="TextodegloboCar">
    <w:name w:val="Texto de globo Car"/>
    <w:link w:val="Textodeglobo"/>
    <w:uiPriority w:val="99"/>
    <w:semiHidden/>
    <w:rsid w:val="00BD5D1C"/>
    <w:rPr>
      <w:rFonts w:ascii="Tahoma" w:eastAsia="Times New Roman" w:hAnsi="Tahoma" w:cs="Tahoma"/>
      <w:sz w:val="16"/>
      <w:szCs w:val="16"/>
      <w:lang w:val="es-ES" w:eastAsia="es-ES"/>
    </w:rPr>
  </w:style>
  <w:style w:type="character" w:styleId="Hipervnculo">
    <w:name w:val="Hyperlink"/>
    <w:uiPriority w:val="99"/>
    <w:qFormat/>
    <w:rsid w:val="00EB74FC"/>
    <w:rPr>
      <w:color w:val="0000FF"/>
      <w:u w:val="single"/>
    </w:rPr>
  </w:style>
  <w:style w:type="paragraph" w:styleId="Prrafodelista">
    <w:name w:val="List Paragraph"/>
    <w:aliases w:val="Informe,Con viñetas,Normal con viñetas,3,Use Case List Paragraph,Bullet 1,titulo 3,figuras y gráficos,Viñetas,Bulletr List Paragraph,List Paragraph 1,Numbered List Paragraph,Main numbered paragraph,Bullets,List Paragraph (numbered (a))"/>
    <w:basedOn w:val="Normal"/>
    <w:link w:val="PrrafodelistaCar"/>
    <w:uiPriority w:val="1"/>
    <w:qFormat/>
    <w:rsid w:val="00DE76D7"/>
    <w:pPr>
      <w:ind w:left="708"/>
    </w:pPr>
    <w:rPr>
      <w:sz w:val="24"/>
      <w:szCs w:val="24"/>
    </w:rPr>
  </w:style>
  <w:style w:type="paragraph" w:styleId="Textoindependiente">
    <w:name w:val="Body Text"/>
    <w:basedOn w:val="Normal"/>
    <w:link w:val="TextoindependienteCar"/>
    <w:uiPriority w:val="99"/>
    <w:unhideWhenUsed/>
    <w:rsid w:val="005B511B"/>
    <w:pPr>
      <w:spacing w:after="120"/>
      <w:jc w:val="both"/>
    </w:pPr>
    <w:rPr>
      <w:rFonts w:eastAsia="Calibri"/>
      <w:sz w:val="24"/>
      <w:szCs w:val="24"/>
      <w:lang w:eastAsia="en-US"/>
    </w:rPr>
  </w:style>
  <w:style w:type="character" w:customStyle="1" w:styleId="TextoindependienteCar">
    <w:name w:val="Texto independiente Car"/>
    <w:link w:val="Textoindependiente"/>
    <w:uiPriority w:val="99"/>
    <w:rsid w:val="005B511B"/>
    <w:rPr>
      <w:rFonts w:ascii="Times New Roman" w:eastAsia="Calibri" w:hAnsi="Times New Roman" w:cs="Times New Roman"/>
      <w:sz w:val="24"/>
      <w:szCs w:val="24"/>
      <w:lang w:val="es-ES"/>
    </w:rPr>
  </w:style>
  <w:style w:type="table" w:customStyle="1" w:styleId="Listaclara1">
    <w:name w:val="Lista clara1"/>
    <w:basedOn w:val="Tablanormal"/>
    <w:uiPriority w:val="61"/>
    <w:rsid w:val="003253EA"/>
    <w:pPr>
      <w:jc w:val="both"/>
    </w:pPr>
    <w:rPr>
      <w:rFonts w:eastAsia="Times New Roman"/>
      <w:lang w:val="en-US" w:eastAsia="en-US"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inespaciado">
    <w:name w:val="No Spacing"/>
    <w:link w:val="SinespaciadoCar"/>
    <w:uiPriority w:val="1"/>
    <w:qFormat/>
    <w:rsid w:val="00E871DB"/>
    <w:rPr>
      <w:sz w:val="22"/>
      <w:szCs w:val="22"/>
      <w:lang w:val="en-US" w:eastAsia="en-US"/>
    </w:rPr>
  </w:style>
  <w:style w:type="paragraph" w:styleId="Sangra2detindependiente">
    <w:name w:val="Body Text Indent 2"/>
    <w:basedOn w:val="Normal"/>
    <w:link w:val="Sangra2detindependienteCar"/>
    <w:uiPriority w:val="99"/>
    <w:unhideWhenUsed/>
    <w:rsid w:val="001E4BAA"/>
    <w:pPr>
      <w:spacing w:after="120" w:line="480" w:lineRule="auto"/>
      <w:ind w:left="283"/>
    </w:pPr>
  </w:style>
  <w:style w:type="character" w:customStyle="1" w:styleId="Sangra2detindependienteCar">
    <w:name w:val="Sangría 2 de t. independiente Car"/>
    <w:link w:val="Sangra2detindependiente"/>
    <w:uiPriority w:val="99"/>
    <w:rsid w:val="001E4BAA"/>
    <w:rPr>
      <w:rFonts w:ascii="Times New Roman" w:eastAsia="Times New Roman" w:hAnsi="Times New Roman"/>
      <w:lang w:val="es-ES" w:eastAsia="es-ES"/>
    </w:rPr>
  </w:style>
  <w:style w:type="paragraph" w:customStyle="1" w:styleId="Piepagina">
    <w:name w:val="Pie pagina"/>
    <w:basedOn w:val="Normal"/>
    <w:link w:val="PiepaginaChar"/>
    <w:uiPriority w:val="1"/>
    <w:qFormat/>
    <w:rsid w:val="002E22DE"/>
    <w:pPr>
      <w:jc w:val="both"/>
    </w:pPr>
    <w:rPr>
      <w:rFonts w:ascii="Franklin Gothic Book" w:hAnsi="Franklin Gothic Book"/>
      <w:color w:val="004990"/>
      <w:sz w:val="16"/>
      <w:szCs w:val="16"/>
      <w:lang w:eastAsia="en-US"/>
    </w:rPr>
  </w:style>
  <w:style w:type="character" w:customStyle="1" w:styleId="PiepaginaChar">
    <w:name w:val="Pie pagina Char"/>
    <w:link w:val="Piepagina"/>
    <w:uiPriority w:val="1"/>
    <w:rsid w:val="002E22DE"/>
    <w:rPr>
      <w:rFonts w:ascii="Franklin Gothic Book" w:eastAsia="Times New Roman" w:hAnsi="Franklin Gothic Book"/>
      <w:color w:val="004990"/>
      <w:sz w:val="16"/>
      <w:szCs w:val="16"/>
      <w:lang w:val="es-ES" w:eastAsia="en-US"/>
    </w:rPr>
  </w:style>
  <w:style w:type="character" w:customStyle="1" w:styleId="Ttulo1Car">
    <w:name w:val="Título 1 Car"/>
    <w:link w:val="Ttulo1"/>
    <w:uiPriority w:val="99"/>
    <w:rsid w:val="004D0B3B"/>
    <w:rPr>
      <w:rFonts w:ascii="Times New Roman" w:eastAsia="Times New Roman" w:hAnsi="Times New Roman"/>
      <w:sz w:val="24"/>
      <w:lang w:val="es-ES" w:eastAsia="es-ES"/>
    </w:rPr>
  </w:style>
  <w:style w:type="character" w:customStyle="1" w:styleId="Ttulo2Car">
    <w:name w:val="Título 2 Car"/>
    <w:aliases w:val="CAPÍTULO Car,Car10 Car"/>
    <w:link w:val="Ttulo2"/>
    <w:rsid w:val="004D0B3B"/>
    <w:rPr>
      <w:rFonts w:ascii="Times New Roman" w:eastAsia="Times New Roman" w:hAnsi="Times New Roman"/>
      <w:b/>
      <w:sz w:val="28"/>
      <w:lang w:val="es-ES" w:eastAsia="es-ES"/>
    </w:rPr>
  </w:style>
  <w:style w:type="character" w:customStyle="1" w:styleId="Ttulo3Car">
    <w:name w:val="Título 3 Car"/>
    <w:link w:val="Ttulo3"/>
    <w:uiPriority w:val="99"/>
    <w:rsid w:val="004D0B3B"/>
    <w:rPr>
      <w:rFonts w:ascii="Times New Roman" w:eastAsia="Times New Roman" w:hAnsi="Times New Roman"/>
      <w:b/>
      <w:bCs/>
      <w:sz w:val="24"/>
      <w:lang w:val="es-ES" w:eastAsia="es-ES"/>
    </w:rPr>
  </w:style>
  <w:style w:type="character" w:customStyle="1" w:styleId="Ttulo4Car">
    <w:name w:val="Título 4 Car"/>
    <w:link w:val="Ttulo4"/>
    <w:uiPriority w:val="99"/>
    <w:rsid w:val="004D0B3B"/>
    <w:rPr>
      <w:rFonts w:ascii="Coronet" w:eastAsia="Times New Roman" w:hAnsi="Coronet"/>
      <w:sz w:val="42"/>
      <w:lang w:eastAsia="es-ES"/>
    </w:rPr>
  </w:style>
  <w:style w:type="character" w:customStyle="1" w:styleId="Ttulo5Car">
    <w:name w:val="Título 5 Car"/>
    <w:link w:val="Ttulo5"/>
    <w:uiPriority w:val="99"/>
    <w:rsid w:val="004D0B3B"/>
    <w:rPr>
      <w:rFonts w:ascii="Times New Roman" w:eastAsia="Times New Roman" w:hAnsi="Times New Roman"/>
      <w:b/>
      <w:bCs/>
      <w:i/>
      <w:iCs/>
      <w:lang w:eastAsia="es-ES"/>
    </w:rPr>
  </w:style>
  <w:style w:type="character" w:customStyle="1" w:styleId="Ttulo7Car">
    <w:name w:val="Título 7 Car"/>
    <w:link w:val="Ttulo7"/>
    <w:uiPriority w:val="99"/>
    <w:rsid w:val="004D0B3B"/>
    <w:rPr>
      <w:rFonts w:ascii="Times New Roman" w:eastAsia="Times New Roman" w:hAnsi="Times New Roman"/>
      <w:sz w:val="28"/>
      <w:lang w:val="es-ES" w:eastAsia="es-ES"/>
    </w:rPr>
  </w:style>
  <w:style w:type="character" w:customStyle="1" w:styleId="Ttulo8Car">
    <w:name w:val="Título 8 Car"/>
    <w:link w:val="Ttulo8"/>
    <w:uiPriority w:val="99"/>
    <w:rsid w:val="004D0B3B"/>
    <w:rPr>
      <w:rFonts w:ascii="Arial" w:eastAsia="Times New Roman" w:hAnsi="Arial" w:cs="Arial"/>
      <w:b/>
      <w:bCs/>
      <w:color w:val="99CC00"/>
      <w:lang w:val="es-ES" w:eastAsia="es-ES"/>
    </w:rPr>
  </w:style>
  <w:style w:type="character" w:customStyle="1" w:styleId="Ttulo9Car">
    <w:name w:val="Título 9 Car"/>
    <w:link w:val="Ttulo9"/>
    <w:uiPriority w:val="99"/>
    <w:rsid w:val="004D0B3B"/>
    <w:rPr>
      <w:rFonts w:ascii="Arial" w:eastAsia="Times New Roman" w:hAnsi="Arial"/>
      <w:b/>
      <w:bCs/>
      <w:lang w:val="es-ES" w:eastAsia="es-ES"/>
    </w:rPr>
  </w:style>
  <w:style w:type="paragraph" w:styleId="Sangradetextonormal">
    <w:name w:val="Body Text Indent"/>
    <w:aliases w:val="Sangría de t. independiente"/>
    <w:basedOn w:val="Normal"/>
    <w:link w:val="SangradetextonormalCar"/>
    <w:uiPriority w:val="99"/>
    <w:rsid w:val="004D0B3B"/>
    <w:pPr>
      <w:spacing w:line="360" w:lineRule="auto"/>
      <w:ind w:left="708" w:hanging="707"/>
      <w:jc w:val="both"/>
    </w:pPr>
    <w:rPr>
      <w:sz w:val="24"/>
    </w:rPr>
  </w:style>
  <w:style w:type="character" w:customStyle="1" w:styleId="SangradetextonormalCar">
    <w:name w:val="Sangría de texto normal Car"/>
    <w:aliases w:val="Sangría de t. independiente Car"/>
    <w:link w:val="Sangradetextonormal"/>
    <w:uiPriority w:val="99"/>
    <w:rsid w:val="004D0B3B"/>
    <w:rPr>
      <w:rFonts w:ascii="Times New Roman" w:eastAsia="Times New Roman" w:hAnsi="Times New Roman"/>
      <w:sz w:val="24"/>
      <w:lang w:val="es-ES" w:eastAsia="es-ES"/>
    </w:rPr>
  </w:style>
  <w:style w:type="character" w:styleId="Nmerodepgina">
    <w:name w:val="page number"/>
    <w:rsid w:val="004D0B3B"/>
  </w:style>
  <w:style w:type="paragraph" w:styleId="Textoindependiente2">
    <w:name w:val="Body Text 2"/>
    <w:basedOn w:val="Normal"/>
    <w:link w:val="Textoindependiente2Car"/>
    <w:uiPriority w:val="99"/>
    <w:rsid w:val="004D0B3B"/>
    <w:pPr>
      <w:spacing w:after="120" w:line="480" w:lineRule="auto"/>
    </w:pPr>
  </w:style>
  <w:style w:type="character" w:customStyle="1" w:styleId="Textoindependiente2Car">
    <w:name w:val="Texto independiente 2 Car"/>
    <w:link w:val="Textoindependiente2"/>
    <w:uiPriority w:val="99"/>
    <w:rsid w:val="004D0B3B"/>
    <w:rPr>
      <w:rFonts w:ascii="Times New Roman" w:eastAsia="Times New Roman" w:hAnsi="Times New Roman"/>
      <w:lang w:val="es-ES" w:eastAsia="es-ES"/>
    </w:rPr>
  </w:style>
  <w:style w:type="character" w:customStyle="1" w:styleId="SinespaciadoCar">
    <w:name w:val="Sin espaciado Car"/>
    <w:link w:val="Sinespaciado"/>
    <w:uiPriority w:val="1"/>
    <w:locked/>
    <w:rsid w:val="004D0B3B"/>
    <w:rPr>
      <w:sz w:val="22"/>
      <w:szCs w:val="22"/>
      <w:lang w:val="en-US" w:eastAsia="en-US"/>
    </w:rPr>
  </w:style>
  <w:style w:type="paragraph" w:styleId="Listaconnmeros">
    <w:name w:val="List Number"/>
    <w:basedOn w:val="Normal"/>
    <w:semiHidden/>
    <w:unhideWhenUsed/>
    <w:rsid w:val="004D0B3B"/>
    <w:pPr>
      <w:numPr>
        <w:numId w:val="1"/>
      </w:numPr>
      <w:contextualSpacing/>
    </w:pPr>
    <w:rPr>
      <w:lang w:val="en-US" w:eastAsia="en-US"/>
    </w:rPr>
  </w:style>
  <w:style w:type="character" w:customStyle="1" w:styleId="PrrafodelistaCar">
    <w:name w:val="Párrafo de lista Car"/>
    <w:aliases w:val="Informe Car,Con viñetas Car,Normal con viñetas Car,3 Car,Use Case List Paragraph Car,Bullet 1 Car,titulo 3 Car,figuras y gráficos Car,Viñetas Car,Bulletr List Paragraph Car,List Paragraph 1 Car,Numbered List Paragraph Car,Titulo 2 Car"/>
    <w:link w:val="Prrafodelista"/>
    <w:uiPriority w:val="1"/>
    <w:qFormat/>
    <w:locked/>
    <w:rsid w:val="004D0B3B"/>
    <w:rPr>
      <w:rFonts w:ascii="Times New Roman" w:eastAsia="Times New Roman" w:hAnsi="Times New Roman"/>
      <w:sz w:val="24"/>
      <w:szCs w:val="24"/>
      <w:lang w:val="es-ES" w:eastAsia="es-ES"/>
    </w:rPr>
  </w:style>
  <w:style w:type="paragraph" w:customStyle="1" w:styleId="p4">
    <w:name w:val="p4"/>
    <w:basedOn w:val="Normal"/>
    <w:rsid w:val="004D0B3B"/>
    <w:pPr>
      <w:tabs>
        <w:tab w:val="left" w:pos="720"/>
      </w:tabs>
      <w:overflowPunct w:val="0"/>
      <w:autoSpaceDE w:val="0"/>
      <w:autoSpaceDN w:val="0"/>
      <w:adjustRightInd w:val="0"/>
      <w:spacing w:line="280" w:lineRule="auto"/>
      <w:jc w:val="both"/>
      <w:textAlignment w:val="baseline"/>
    </w:pPr>
    <w:rPr>
      <w:rFonts w:ascii="Arial" w:hAnsi="Arial"/>
      <w:sz w:val="24"/>
      <w:lang w:val="es-ES_tradnl"/>
    </w:rPr>
  </w:style>
  <w:style w:type="character" w:styleId="Nmerodelnea">
    <w:name w:val="line number"/>
    <w:uiPriority w:val="99"/>
    <w:rsid w:val="004D0B3B"/>
  </w:style>
  <w:style w:type="character" w:customStyle="1" w:styleId="A2">
    <w:name w:val="A2"/>
    <w:uiPriority w:val="99"/>
    <w:rsid w:val="004D0B3B"/>
    <w:rPr>
      <w:b/>
      <w:bCs/>
      <w:color w:val="000000"/>
    </w:rPr>
  </w:style>
  <w:style w:type="paragraph" w:customStyle="1" w:styleId="CM14">
    <w:name w:val="CM14"/>
    <w:basedOn w:val="Normal"/>
    <w:next w:val="Normal"/>
    <w:uiPriority w:val="99"/>
    <w:rsid w:val="004D0B3B"/>
    <w:pPr>
      <w:widowControl w:val="0"/>
      <w:autoSpaceDE w:val="0"/>
      <w:autoSpaceDN w:val="0"/>
      <w:adjustRightInd w:val="0"/>
      <w:spacing w:after="145"/>
    </w:pPr>
    <w:rPr>
      <w:sz w:val="24"/>
      <w:szCs w:val="24"/>
      <w:lang w:val="es-CR" w:eastAsia="es-CR"/>
    </w:rPr>
  </w:style>
  <w:style w:type="paragraph" w:customStyle="1" w:styleId="CM10">
    <w:name w:val="CM10"/>
    <w:basedOn w:val="Normal"/>
    <w:next w:val="Normal"/>
    <w:uiPriority w:val="99"/>
    <w:rsid w:val="004D0B3B"/>
    <w:pPr>
      <w:widowControl w:val="0"/>
      <w:autoSpaceDE w:val="0"/>
      <w:autoSpaceDN w:val="0"/>
      <w:adjustRightInd w:val="0"/>
      <w:spacing w:line="231" w:lineRule="atLeast"/>
    </w:pPr>
    <w:rPr>
      <w:sz w:val="24"/>
      <w:szCs w:val="24"/>
      <w:lang w:val="es-CR" w:eastAsia="es-CR"/>
    </w:rPr>
  </w:style>
  <w:style w:type="character" w:customStyle="1" w:styleId="TextonotapieCar">
    <w:name w:val="Texto nota pie Car"/>
    <w:aliases w:val="Car1 Car,Footnote Text Char2 Car,Footnote Text Char1 Char1 Car,Footnote Text Char Char Char Car,Footnote Text Char1 Char Char Char Car,Footnote Text Char Char Char Char Char Car,Footnote Text Char1 Char Char Char Char Char Car,fn Car"/>
    <w:link w:val="Textonotapie"/>
    <w:uiPriority w:val="99"/>
    <w:rsid w:val="004D0B3B"/>
    <w:rPr>
      <w:lang w:eastAsia="es-ES"/>
    </w:rPr>
  </w:style>
  <w:style w:type="paragraph" w:styleId="Textonotapie">
    <w:name w:val="footnote text"/>
    <w:aliases w:val="Car1,Footnote Text Char2,Footnote Text Char1 Char1,Footnote Text Char Char Char,Footnote Text Char1 Char Char Char,Footnote Text Char Char Char Char Char,Footnote Text Char1 Char Char Char Char Char,Footnote Text Char,fn,single space,foot"/>
    <w:basedOn w:val="Normal"/>
    <w:link w:val="TextonotapieCar"/>
    <w:uiPriority w:val="99"/>
    <w:rsid w:val="004D0B3B"/>
    <w:rPr>
      <w:rFonts w:ascii="Calibri" w:eastAsia="Calibri" w:hAnsi="Calibri"/>
      <w:lang w:val="es-CR"/>
    </w:rPr>
  </w:style>
  <w:style w:type="character" w:customStyle="1" w:styleId="TextonotapieCar1">
    <w:name w:val="Texto nota pie Car1"/>
    <w:rsid w:val="004D0B3B"/>
    <w:rPr>
      <w:rFonts w:ascii="Times New Roman" w:eastAsia="Times New Roman" w:hAnsi="Times New Roman"/>
      <w:lang w:val="es-ES" w:eastAsia="es-ES"/>
    </w:rPr>
  </w:style>
  <w:style w:type="character" w:styleId="Refdenotaalpie">
    <w:name w:val="footnote reference"/>
    <w:aliases w:val="Ref,de nota al pie,FC,ftref,referencia nota al pie,16 Point,Superscript 6 Point,BVI fnr,Footnote Reference Number,Footnote Reference_LVL6,Footnote Reference_LVL61,Footnote Reference_LVL62,Footnote Reference_LVL63,fr,Char Char1,titulo"/>
    <w:uiPriority w:val="99"/>
    <w:qFormat/>
    <w:rsid w:val="004D0B3B"/>
    <w:rPr>
      <w:vertAlign w:val="superscript"/>
    </w:rPr>
  </w:style>
  <w:style w:type="table" w:customStyle="1" w:styleId="Tablaconcuadrcula1">
    <w:name w:val="Tabla con cuadrícula1"/>
    <w:basedOn w:val="Tablanormal"/>
    <w:next w:val="Tablaconcuadrcula"/>
    <w:uiPriority w:val="59"/>
    <w:rsid w:val="004D0B3B"/>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99"/>
    <w:rsid w:val="004D0B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0B3B"/>
    <w:pPr>
      <w:autoSpaceDE w:val="0"/>
      <w:autoSpaceDN w:val="0"/>
      <w:adjustRightInd w:val="0"/>
    </w:pPr>
    <w:rPr>
      <w:rFonts w:ascii="Arial" w:eastAsia="Times New Roman" w:hAnsi="Arial" w:cs="Arial"/>
      <w:color w:val="000000"/>
      <w:sz w:val="24"/>
      <w:szCs w:val="24"/>
    </w:rPr>
  </w:style>
  <w:style w:type="paragraph" w:styleId="Textocomentario">
    <w:name w:val="annotation text"/>
    <w:basedOn w:val="Normal"/>
    <w:link w:val="TextocomentarioCar"/>
    <w:uiPriority w:val="99"/>
    <w:rsid w:val="004D0B3B"/>
  </w:style>
  <w:style w:type="character" w:customStyle="1" w:styleId="TextocomentarioCar">
    <w:name w:val="Texto comentario Car"/>
    <w:link w:val="Textocomentario"/>
    <w:uiPriority w:val="99"/>
    <w:rsid w:val="004D0B3B"/>
    <w:rPr>
      <w:rFonts w:ascii="Times New Roman" w:eastAsia="Times New Roman" w:hAnsi="Times New Roman"/>
      <w:lang w:val="es-ES" w:eastAsia="es-ES"/>
    </w:rPr>
  </w:style>
  <w:style w:type="paragraph" w:styleId="Textoindependiente3">
    <w:name w:val="Body Text 3"/>
    <w:basedOn w:val="Normal"/>
    <w:link w:val="Textoindependiente3Car"/>
    <w:uiPriority w:val="99"/>
    <w:rsid w:val="004D0B3B"/>
    <w:pPr>
      <w:widowControl w:val="0"/>
      <w:jc w:val="both"/>
    </w:pPr>
    <w:rPr>
      <w:sz w:val="25"/>
      <w:lang w:val="es-CR"/>
    </w:rPr>
  </w:style>
  <w:style w:type="character" w:customStyle="1" w:styleId="Textoindependiente3Car">
    <w:name w:val="Texto independiente 3 Car"/>
    <w:link w:val="Textoindependiente3"/>
    <w:uiPriority w:val="99"/>
    <w:rsid w:val="004D0B3B"/>
    <w:rPr>
      <w:rFonts w:ascii="Times New Roman" w:eastAsia="Times New Roman" w:hAnsi="Times New Roman"/>
      <w:sz w:val="25"/>
      <w:lang w:eastAsia="es-ES"/>
    </w:rPr>
  </w:style>
  <w:style w:type="paragraph" w:styleId="Sangra3detindependiente">
    <w:name w:val="Body Text Indent 3"/>
    <w:basedOn w:val="Normal"/>
    <w:link w:val="Sangra3detindependienteCar"/>
    <w:uiPriority w:val="99"/>
    <w:rsid w:val="004D0B3B"/>
    <w:pPr>
      <w:widowControl w:val="0"/>
      <w:ind w:left="709" w:hanging="709"/>
      <w:jc w:val="both"/>
    </w:pPr>
    <w:rPr>
      <w:sz w:val="19"/>
      <w:lang w:val="es-CR"/>
    </w:rPr>
  </w:style>
  <w:style w:type="character" w:customStyle="1" w:styleId="Sangra3detindependienteCar">
    <w:name w:val="Sangría 3 de t. independiente Car"/>
    <w:link w:val="Sangra3detindependiente"/>
    <w:uiPriority w:val="99"/>
    <w:rsid w:val="004D0B3B"/>
    <w:rPr>
      <w:rFonts w:ascii="Times New Roman" w:eastAsia="Times New Roman" w:hAnsi="Times New Roman"/>
      <w:sz w:val="19"/>
      <w:lang w:eastAsia="es-ES"/>
    </w:rPr>
  </w:style>
  <w:style w:type="paragraph" w:customStyle="1" w:styleId="CNV">
    <w:name w:val="CNV"/>
    <w:basedOn w:val="Normal"/>
    <w:uiPriority w:val="99"/>
    <w:rsid w:val="004D0B3B"/>
    <w:pPr>
      <w:jc w:val="both"/>
    </w:pPr>
    <w:rPr>
      <w:rFonts w:ascii="BR-01T" w:hAnsi="BR-01T"/>
      <w:sz w:val="24"/>
      <w:lang w:val="es-ES_tradnl"/>
    </w:rPr>
  </w:style>
  <w:style w:type="paragraph" w:customStyle="1" w:styleId="Epgrafe">
    <w:name w:val="Epígrafe"/>
    <w:basedOn w:val="Normal"/>
    <w:next w:val="Normal"/>
    <w:qFormat/>
    <w:rsid w:val="004D0B3B"/>
    <w:pPr>
      <w:ind w:left="284"/>
      <w:jc w:val="right"/>
    </w:pPr>
    <w:rPr>
      <w:i/>
      <w:sz w:val="24"/>
      <w:lang w:val="es-ES_tradnl"/>
    </w:rPr>
  </w:style>
  <w:style w:type="paragraph" w:styleId="Textodebloque">
    <w:name w:val="Block Text"/>
    <w:basedOn w:val="Normal"/>
    <w:uiPriority w:val="99"/>
    <w:rsid w:val="004D0B3B"/>
    <w:pPr>
      <w:widowControl w:val="0"/>
      <w:ind w:left="1134" w:right="618"/>
      <w:jc w:val="both"/>
    </w:pPr>
    <w:rPr>
      <w:i/>
      <w:sz w:val="22"/>
      <w:lang w:val="es-CR"/>
    </w:rPr>
  </w:style>
  <w:style w:type="paragraph" w:customStyle="1" w:styleId="BodyText21">
    <w:name w:val="Body Text 21"/>
    <w:basedOn w:val="Normal"/>
    <w:uiPriority w:val="99"/>
    <w:rsid w:val="004D0B3B"/>
    <w:pPr>
      <w:widowControl w:val="0"/>
      <w:jc w:val="both"/>
    </w:pPr>
    <w:rPr>
      <w:sz w:val="24"/>
      <w:lang w:val="es-CR"/>
    </w:rPr>
  </w:style>
  <w:style w:type="character" w:styleId="Refdecomentario">
    <w:name w:val="annotation reference"/>
    <w:uiPriority w:val="99"/>
    <w:rsid w:val="004D0B3B"/>
    <w:rPr>
      <w:sz w:val="16"/>
      <w:szCs w:val="16"/>
    </w:rPr>
  </w:style>
  <w:style w:type="paragraph" w:styleId="Asuntodelcomentario">
    <w:name w:val="annotation subject"/>
    <w:basedOn w:val="Textocomentario"/>
    <w:next w:val="Textocomentario"/>
    <w:link w:val="AsuntodelcomentarioCar"/>
    <w:uiPriority w:val="99"/>
    <w:rsid w:val="004D0B3B"/>
    <w:rPr>
      <w:b/>
      <w:bCs/>
      <w:lang w:val="es-CR"/>
    </w:rPr>
  </w:style>
  <w:style w:type="character" w:customStyle="1" w:styleId="AsuntodelcomentarioCar">
    <w:name w:val="Asunto del comentario Car"/>
    <w:link w:val="Asuntodelcomentario"/>
    <w:uiPriority w:val="99"/>
    <w:rsid w:val="004D0B3B"/>
    <w:rPr>
      <w:rFonts w:ascii="Times New Roman" w:eastAsia="Times New Roman" w:hAnsi="Times New Roman"/>
      <w:b/>
      <w:bCs/>
      <w:lang w:val="es-ES" w:eastAsia="es-ES"/>
    </w:rPr>
  </w:style>
  <w:style w:type="paragraph" w:styleId="Listaconvietas">
    <w:name w:val="List Bullet"/>
    <w:basedOn w:val="Normal"/>
    <w:autoRedefine/>
    <w:uiPriority w:val="99"/>
    <w:rsid w:val="004D0B3B"/>
    <w:pPr>
      <w:tabs>
        <w:tab w:val="num" w:pos="360"/>
      </w:tabs>
      <w:ind w:left="360" w:hanging="360"/>
    </w:pPr>
    <w:rPr>
      <w:sz w:val="24"/>
      <w:szCs w:val="24"/>
    </w:rPr>
  </w:style>
  <w:style w:type="paragraph" w:customStyle="1" w:styleId="xl40">
    <w:name w:val="xl40"/>
    <w:basedOn w:val="Normal"/>
    <w:uiPriority w:val="99"/>
    <w:rsid w:val="004D0B3B"/>
    <w:pPr>
      <w:spacing w:before="100" w:beforeAutospacing="1" w:after="100" w:afterAutospacing="1"/>
      <w:jc w:val="center"/>
      <w:textAlignment w:val="center"/>
    </w:pPr>
    <w:rPr>
      <w:rFonts w:eastAsia="Arial Unicode MS"/>
      <w:b/>
      <w:bCs/>
      <w:sz w:val="24"/>
      <w:szCs w:val="24"/>
    </w:rPr>
  </w:style>
  <w:style w:type="paragraph" w:customStyle="1" w:styleId="xl28">
    <w:name w:val="xl28"/>
    <w:basedOn w:val="Normal"/>
    <w:uiPriority w:val="99"/>
    <w:rsid w:val="004D0B3B"/>
    <w:pPr>
      <w:spacing w:before="100" w:beforeAutospacing="1" w:after="100" w:afterAutospacing="1"/>
      <w:textAlignment w:val="center"/>
    </w:pPr>
    <w:rPr>
      <w:rFonts w:ascii="Arial" w:eastAsia="Arial Unicode MS" w:hAnsi="Arial" w:cs="Arial"/>
      <w:sz w:val="18"/>
      <w:szCs w:val="18"/>
    </w:rPr>
  </w:style>
  <w:style w:type="paragraph" w:customStyle="1" w:styleId="xl27">
    <w:name w:val="xl27"/>
    <w:basedOn w:val="Normal"/>
    <w:uiPriority w:val="99"/>
    <w:rsid w:val="004D0B3B"/>
    <w:pPr>
      <w:spacing w:before="100" w:beforeAutospacing="1" w:after="100" w:afterAutospacing="1"/>
      <w:textAlignment w:val="center"/>
    </w:pPr>
    <w:rPr>
      <w:rFonts w:ascii="Arial" w:eastAsia="Arial Unicode MS" w:hAnsi="Arial" w:cs="Arial"/>
      <w:sz w:val="16"/>
      <w:szCs w:val="16"/>
    </w:rPr>
  </w:style>
  <w:style w:type="paragraph" w:customStyle="1" w:styleId="xl26">
    <w:name w:val="xl26"/>
    <w:basedOn w:val="Normal"/>
    <w:uiPriority w:val="99"/>
    <w:rsid w:val="004D0B3B"/>
    <w:pPr>
      <w:spacing w:before="100" w:beforeAutospacing="1" w:after="100" w:afterAutospacing="1"/>
      <w:textAlignment w:val="center"/>
    </w:pPr>
    <w:rPr>
      <w:rFonts w:ascii="Arial" w:eastAsia="Arial Unicode MS" w:hAnsi="Arial" w:cs="Arial"/>
      <w:b/>
      <w:bCs/>
      <w:sz w:val="18"/>
      <w:szCs w:val="18"/>
    </w:rPr>
  </w:style>
  <w:style w:type="paragraph" w:styleId="TDC1">
    <w:name w:val="toc 1"/>
    <w:basedOn w:val="Normal"/>
    <w:next w:val="Normal"/>
    <w:autoRedefine/>
    <w:uiPriority w:val="99"/>
    <w:rsid w:val="004D0B3B"/>
    <w:pPr>
      <w:tabs>
        <w:tab w:val="right" w:leader="dot" w:pos="8820"/>
      </w:tabs>
    </w:pPr>
    <w:rPr>
      <w:lang w:eastAsia="en-US"/>
    </w:rPr>
  </w:style>
  <w:style w:type="paragraph" w:styleId="TDC2">
    <w:name w:val="toc 2"/>
    <w:basedOn w:val="Normal"/>
    <w:next w:val="Normal"/>
    <w:autoRedefine/>
    <w:uiPriority w:val="99"/>
    <w:rsid w:val="004D0B3B"/>
    <w:pPr>
      <w:tabs>
        <w:tab w:val="left" w:pos="720"/>
        <w:tab w:val="right" w:leader="dot" w:pos="8820"/>
      </w:tabs>
      <w:ind w:left="200"/>
    </w:pPr>
    <w:rPr>
      <w:lang w:eastAsia="en-US"/>
    </w:rPr>
  </w:style>
  <w:style w:type="paragraph" w:customStyle="1" w:styleId="Tcnico">
    <w:name w:val="Técnico"/>
    <w:basedOn w:val="Normal"/>
    <w:uiPriority w:val="99"/>
    <w:rsid w:val="004D0B3B"/>
    <w:pPr>
      <w:autoSpaceDE w:val="0"/>
      <w:autoSpaceDN w:val="0"/>
      <w:ind w:left="3544" w:hanging="2126"/>
      <w:jc w:val="both"/>
    </w:pPr>
    <w:rPr>
      <w:rFonts w:ascii="Roman" w:hAnsi="Roman"/>
      <w:b/>
      <w:bCs/>
      <w:sz w:val="24"/>
      <w:szCs w:val="22"/>
      <w:lang w:val="es-ES_tradnl"/>
    </w:rPr>
  </w:style>
  <w:style w:type="paragraph" w:styleId="Ttulo">
    <w:name w:val="Title"/>
    <w:basedOn w:val="Normal"/>
    <w:link w:val="TtuloCar"/>
    <w:uiPriority w:val="99"/>
    <w:qFormat/>
    <w:rsid w:val="004D0B3B"/>
    <w:pPr>
      <w:jc w:val="center"/>
    </w:pPr>
    <w:rPr>
      <w:b/>
      <w:sz w:val="32"/>
      <w:lang w:val="es-ES_tradnl"/>
    </w:rPr>
  </w:style>
  <w:style w:type="character" w:customStyle="1" w:styleId="TtuloCar">
    <w:name w:val="Título Car"/>
    <w:link w:val="Ttulo"/>
    <w:uiPriority w:val="99"/>
    <w:rsid w:val="004D0B3B"/>
    <w:rPr>
      <w:rFonts w:ascii="Times New Roman" w:eastAsia="Times New Roman" w:hAnsi="Times New Roman"/>
      <w:b/>
      <w:sz w:val="32"/>
      <w:lang w:val="es-ES_tradnl" w:eastAsia="es-ES"/>
    </w:rPr>
  </w:style>
  <w:style w:type="paragraph" w:customStyle="1" w:styleId="p2">
    <w:name w:val="p2"/>
    <w:basedOn w:val="Normal"/>
    <w:uiPriority w:val="99"/>
    <w:rsid w:val="004D0B3B"/>
    <w:pPr>
      <w:widowControl w:val="0"/>
      <w:tabs>
        <w:tab w:val="left" w:pos="720"/>
      </w:tabs>
      <w:spacing w:line="320" w:lineRule="atLeast"/>
      <w:jc w:val="both"/>
    </w:pPr>
    <w:rPr>
      <w:sz w:val="24"/>
    </w:rPr>
  </w:style>
  <w:style w:type="character" w:styleId="Hipervnculovisitado">
    <w:name w:val="FollowedHyperlink"/>
    <w:uiPriority w:val="99"/>
    <w:rsid w:val="004D0B3B"/>
    <w:rPr>
      <w:rFonts w:cs="Times New Roman"/>
      <w:color w:val="800080"/>
      <w:u w:val="single"/>
    </w:rPr>
  </w:style>
  <w:style w:type="paragraph" w:customStyle="1" w:styleId="NORMAL2">
    <w:name w:val="NORMAL2"/>
    <w:basedOn w:val="Normal"/>
    <w:autoRedefine/>
    <w:uiPriority w:val="99"/>
    <w:rsid w:val="004D0B3B"/>
    <w:pPr>
      <w:autoSpaceDE w:val="0"/>
      <w:autoSpaceDN w:val="0"/>
      <w:jc w:val="both"/>
    </w:pPr>
    <w:rPr>
      <w:rFonts w:ascii="Arial" w:hAnsi="Arial" w:cs="Arial"/>
      <w:b/>
      <w:bCs/>
      <w:sz w:val="24"/>
      <w:szCs w:val="22"/>
      <w:lang w:val="es-ES_tradnl"/>
    </w:rPr>
  </w:style>
  <w:style w:type="paragraph" w:customStyle="1" w:styleId="CharCharCarCar">
    <w:name w:val="Char Char Car Car"/>
    <w:basedOn w:val="Normal"/>
    <w:uiPriority w:val="99"/>
    <w:rsid w:val="004D0B3B"/>
    <w:pPr>
      <w:spacing w:after="160" w:line="240" w:lineRule="exact"/>
    </w:pPr>
    <w:rPr>
      <w:rFonts w:ascii="Arial" w:eastAsia="MS Mincho" w:hAnsi="Arial"/>
      <w:lang w:eastAsia="en-US"/>
    </w:rPr>
  </w:style>
  <w:style w:type="paragraph" w:customStyle="1" w:styleId="Prrafodelista1">
    <w:name w:val="Párrafo de lista1"/>
    <w:basedOn w:val="Normal"/>
    <w:uiPriority w:val="99"/>
    <w:rsid w:val="004D0B3B"/>
    <w:pPr>
      <w:ind w:left="720"/>
      <w:contextualSpacing/>
    </w:pPr>
    <w:rPr>
      <w:sz w:val="24"/>
      <w:szCs w:val="24"/>
    </w:rPr>
  </w:style>
  <w:style w:type="paragraph" w:styleId="Textosinformato">
    <w:name w:val="Plain Text"/>
    <w:basedOn w:val="Normal"/>
    <w:link w:val="TextosinformatoCar"/>
    <w:uiPriority w:val="99"/>
    <w:unhideWhenUsed/>
    <w:rsid w:val="004D0B3B"/>
    <w:rPr>
      <w:rFonts w:ascii="Consolas" w:eastAsia="Calibri" w:hAnsi="Consolas"/>
      <w:sz w:val="21"/>
      <w:szCs w:val="21"/>
      <w:lang w:val="x-none" w:eastAsia="en-US"/>
    </w:rPr>
  </w:style>
  <w:style w:type="character" w:customStyle="1" w:styleId="TextosinformatoCar">
    <w:name w:val="Texto sin formato Car"/>
    <w:link w:val="Textosinformato"/>
    <w:uiPriority w:val="99"/>
    <w:rsid w:val="004D0B3B"/>
    <w:rPr>
      <w:rFonts w:ascii="Consolas" w:hAnsi="Consolas"/>
      <w:sz w:val="21"/>
      <w:szCs w:val="21"/>
      <w:lang w:val="x-none" w:eastAsia="en-US"/>
    </w:rPr>
  </w:style>
  <w:style w:type="paragraph" w:styleId="Revisin">
    <w:name w:val="Revision"/>
    <w:hidden/>
    <w:uiPriority w:val="99"/>
    <w:semiHidden/>
    <w:rsid w:val="004D0B3B"/>
    <w:rPr>
      <w:sz w:val="22"/>
      <w:szCs w:val="22"/>
      <w:lang w:eastAsia="en-US"/>
    </w:rPr>
  </w:style>
  <w:style w:type="character" w:customStyle="1" w:styleId="NormalWebCar">
    <w:name w:val="Normal (Web) Car"/>
    <w:link w:val="NormalWeb"/>
    <w:uiPriority w:val="99"/>
    <w:locked/>
    <w:rsid w:val="00B72ED7"/>
    <w:rPr>
      <w:rFonts w:ascii="Arial" w:eastAsia="Times New Roman"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8729">
      <w:bodyDiv w:val="1"/>
      <w:marLeft w:val="0"/>
      <w:marRight w:val="0"/>
      <w:marTop w:val="0"/>
      <w:marBottom w:val="0"/>
      <w:divBdr>
        <w:top w:val="none" w:sz="0" w:space="0" w:color="auto"/>
        <w:left w:val="none" w:sz="0" w:space="0" w:color="auto"/>
        <w:bottom w:val="none" w:sz="0" w:space="0" w:color="auto"/>
        <w:right w:val="none" w:sz="0" w:space="0" w:color="auto"/>
      </w:divBdr>
    </w:div>
    <w:div w:id="583077379">
      <w:bodyDiv w:val="1"/>
      <w:marLeft w:val="0"/>
      <w:marRight w:val="0"/>
      <w:marTop w:val="0"/>
      <w:marBottom w:val="0"/>
      <w:divBdr>
        <w:top w:val="none" w:sz="0" w:space="0" w:color="auto"/>
        <w:left w:val="none" w:sz="0" w:space="0" w:color="auto"/>
        <w:bottom w:val="none" w:sz="0" w:space="0" w:color="auto"/>
        <w:right w:val="none" w:sz="0" w:space="0" w:color="auto"/>
      </w:divBdr>
    </w:div>
    <w:div w:id="809173982">
      <w:bodyDiv w:val="1"/>
      <w:marLeft w:val="0"/>
      <w:marRight w:val="0"/>
      <w:marTop w:val="0"/>
      <w:marBottom w:val="0"/>
      <w:divBdr>
        <w:top w:val="none" w:sz="0" w:space="0" w:color="auto"/>
        <w:left w:val="none" w:sz="0" w:space="0" w:color="auto"/>
        <w:bottom w:val="none" w:sz="0" w:space="0" w:color="auto"/>
        <w:right w:val="none" w:sz="0" w:space="0" w:color="auto"/>
      </w:divBdr>
    </w:div>
    <w:div w:id="827748491">
      <w:bodyDiv w:val="1"/>
      <w:marLeft w:val="0"/>
      <w:marRight w:val="0"/>
      <w:marTop w:val="0"/>
      <w:marBottom w:val="0"/>
      <w:divBdr>
        <w:top w:val="none" w:sz="0" w:space="0" w:color="auto"/>
        <w:left w:val="none" w:sz="0" w:space="0" w:color="auto"/>
        <w:bottom w:val="none" w:sz="0" w:space="0" w:color="auto"/>
        <w:right w:val="none" w:sz="0" w:space="0" w:color="auto"/>
      </w:divBdr>
    </w:div>
    <w:div w:id="20761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jgEmPvPxgarzyjF0HemzecH+md9T3DzSAQj+6Pt6AFM=</DigestValue>
    </Reference>
    <Reference Type="http://www.w3.org/2000/09/xmldsig#Object" URI="#idOfficeObject">
      <DigestMethod Algorithm="http://www.w3.org/2001/04/xmlenc#sha256"/>
      <DigestValue>RN4OIMZdG7GvzSIcLmtKh9h2UUxvXERMvWDDoz9PVi4=</DigestValue>
    </Reference>
    <Reference Type="http://uri.etsi.org/01903#SignedProperties" URI="#idSignedProperties">
      <Transforms>
        <Transform Algorithm="http://www.w3.org/TR/2001/REC-xml-c14n-20010315"/>
      </Transforms>
      <DigestMethod Algorithm="http://www.w3.org/2001/04/xmlenc#sha256"/>
      <DigestValue>nbYJQVvCDPXiIhb97C+ItAnROA6rUmCc1ae4G5WTH8w=</DigestValue>
    </Reference>
  </SignedInfo>
  <SignatureValue>mEts+CM9aTali2aJ9geRQEDDlGVtMqCEgWYw5hh7qgHQjKb6ycG1OnamYxMJwFAe/ZwShACpThOe
ww8uOOYWNnlKsu5PLuvpogeKX0C2/Z9Cyp5apMKQFJrbO/893m570tNIOENjS5HEpcEwzfY47pH2
9Jh3E/yluBc61ZxtRa3/ymvAxhHTc4H5DfoDcZlpxuYqB4P5BEJFoH4lrUDOZoyKesO0vMwgJhk4
zT6MfR31jSgXrIwQA+vsKWhdki9YV+j7IqYWeWEVtSypNnXGj7HHud18UVyW+qjijNS4smlDgW3D
/y6Q1EE4jNQuy2tHv5mMm1PPZVszDByAjdLmIQ==</SignatureValue>
  <KeyInfo>
    <X509Data>
      <X509Certificate>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GT2u3IYldLH4hi+yD2A36fg4sUJVGFgVxC2N7r5bsWw1GLpQUUzs6gzzfl3h73KO8jYWZgdeGETsFoXRPGUNMHtG3EtLSuVAJ7kpqmnky4pEWP+tNY9GuMVPSwDdEC8ya1/0wnh0CdUoZo9oOhRMZ+ecsFZZV24SdDKoXe51yoCL/h7Bf2k29M5hQFgZD9YxWSflIxYytvo/1KIXqKkRwDfCCYnOOoBrX2hIPUP/pzXRlPJZc4ZrKiPg9RO1XC0Val6OhAqmuxTCh737vSEOGzCU0Wp6n2JmBgCNHkpE748Bw/yLg7SKcPz7p5/Nv9RNtOk+Qo7vEP68tMOqngX6ck=</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GalI1rX1h8HbD2MU+ZJHCF6V7tWRj5bCPOmOsoHyd0A=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Pnj5XsRhdgF7uR+rJJZe77a5InmO8dwjV/watFSBFx4=</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Pnj5XsRhdgF7uR+rJJZe77a5InmO8dwjV/watFSBFx4=</DigestValue>
      </Reference>
      <Reference URI="/word/document.xml?ContentType=application/vnd.openxmlformats-officedocument.wordprocessingml.document.main+xml">
        <DigestMethod Algorithm="http://www.w3.org/2001/04/xmlenc#sha256"/>
        <DigestValue>MDqCs8vCGRd7D2rlLbYu72YgJsXD4IZEPIGo+/eTZqg=</DigestValue>
      </Reference>
      <Reference URI="/word/endnotes.xml?ContentType=application/vnd.openxmlformats-officedocument.wordprocessingml.endnotes+xml">
        <DigestMethod Algorithm="http://www.w3.org/2001/04/xmlenc#sha256"/>
        <DigestValue>q94Vh8yiZCdSCPCh/WFiOg85P+U+2FWpRfyWHi9Qmag=</DigestValue>
      </Reference>
      <Reference URI="/word/fontTable.xml?ContentType=application/vnd.openxmlformats-officedocument.wordprocessingml.fontTable+xml">
        <DigestMethod Algorithm="http://www.w3.org/2001/04/xmlenc#sha256"/>
        <DigestValue>aCs3xwZcwrIoSoSSuQg6Jh7fxz4vqqIJGsc6A5GPDVs=</DigestValue>
      </Reference>
      <Reference URI="/word/footer1.xml?ContentType=application/vnd.openxmlformats-officedocument.wordprocessingml.footer+xml">
        <DigestMethod Algorithm="http://www.w3.org/2001/04/xmlenc#sha256"/>
        <DigestValue>nFbnZgtjbkIHqzgl1A5mORyPi0MRjfD1UW/f2HgQsow=</DigestValue>
      </Reference>
      <Reference URI="/word/footer2.xml?ContentType=application/vnd.openxmlformats-officedocument.wordprocessingml.footer+xml">
        <DigestMethod Algorithm="http://www.w3.org/2001/04/xmlenc#sha256"/>
        <DigestValue>Sgf6hiqoOpZI2u4xwzZ0VlTK5Wky10zacnKQvyz7+yM=</DigestValue>
      </Reference>
      <Reference URI="/word/footer3.xml?ContentType=application/vnd.openxmlformats-officedocument.wordprocessingml.footer+xml">
        <DigestMethod Algorithm="http://www.w3.org/2001/04/xmlenc#sha256"/>
        <DigestValue>hPiEM/rC0/LMEMYOEU5l4TrESNO5isO4kQkp684Csqw=</DigestValue>
      </Reference>
      <Reference URI="/word/footnotes.xml?ContentType=application/vnd.openxmlformats-officedocument.wordprocessingml.footnotes+xml">
        <DigestMethod Algorithm="http://www.w3.org/2001/04/xmlenc#sha256"/>
        <DigestValue>9ZdhgDCmJyCDYMXnp7UAr1A2F2rfHY9odSRk8xIwuic=</DigestValue>
      </Reference>
      <Reference URI="/word/header1.xml?ContentType=application/vnd.openxmlformats-officedocument.wordprocessingml.header+xml">
        <DigestMethod Algorithm="http://www.w3.org/2001/04/xmlenc#sha256"/>
        <DigestValue>mmLosbcwvOtLiNbNrooTVifpam3RFwH3CHaWvVTWUWc=</DigestValue>
      </Reference>
      <Reference URI="/word/header2.xml?ContentType=application/vnd.openxmlformats-officedocument.wordprocessingml.header+xml">
        <DigestMethod Algorithm="http://www.w3.org/2001/04/xmlenc#sha256"/>
        <DigestValue>5IszMomJa6ENbS7CduEaG8BAqT/n14//2P+wVsuosbg=</DigestValue>
      </Reference>
      <Reference URI="/word/header3.xml?ContentType=application/vnd.openxmlformats-officedocument.wordprocessingml.header+xml">
        <DigestMethod Algorithm="http://www.w3.org/2001/04/xmlenc#sha256"/>
        <DigestValue>dVNruudKH5r7WPTl2rzr+yDqd9w1pqq9CpJh0iYmmTU=</DigestValue>
      </Reference>
      <Reference URI="/word/media/image1.jpeg?ContentType=image/jpeg">
        <DigestMethod Algorithm="http://www.w3.org/2001/04/xmlenc#sha256"/>
        <DigestValue>ZXjuZ3zB0+z18XIrPbhYf1rfidEzDtaheIy//dbr6Ps=</DigestValue>
      </Reference>
      <Reference URI="/word/media/image2.emf?ContentType=image/x-emf">
        <DigestMethod Algorithm="http://www.w3.org/2001/04/xmlenc#sha256"/>
        <DigestValue>6D9fsnsTUIQVb1moA3vonYu3AAHKfuvQ1QJ7V/PvmYM=</DigestValue>
      </Reference>
      <Reference URI="/word/numbering.xml?ContentType=application/vnd.openxmlformats-officedocument.wordprocessingml.numbering+xml">
        <DigestMethod Algorithm="http://www.w3.org/2001/04/xmlenc#sha256"/>
        <DigestValue>MnXWFKgA4N7+clUmNUwyewJl3amRPdM8WcVZ/XJXS9I=</DigestValue>
      </Reference>
      <Reference URI="/word/settings.xml?ContentType=application/vnd.openxmlformats-officedocument.wordprocessingml.settings+xml">
        <DigestMethod Algorithm="http://www.w3.org/2001/04/xmlenc#sha256"/>
        <DigestValue>QN/GxTEy2Odzv+h1C8KuEocHZhDM36RH7hg1NjWL46o=</DigestValue>
      </Reference>
      <Reference URI="/word/styles.xml?ContentType=application/vnd.openxmlformats-officedocument.wordprocessingml.styles+xml">
        <DigestMethod Algorithm="http://www.w3.org/2001/04/xmlenc#sha256"/>
        <DigestValue>POLbHipcF886ymc+ouybTfll+f3eVCejuHF2P6ZUGnw=</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VL7Hb4oBA6FdZPu4bjrp7bJLgwGwx3aPT6qw3KZQOMA=</DigestValue>
      </Reference>
    </Manifest>
    <SignatureProperties>
      <SignatureProperty Id="idSignatureTime" Target="#idPackageSignature">
        <mdssi:SignatureTime xmlns:mdssi="http://schemas.openxmlformats.org/package/2006/digital-signature">
          <mdssi:Format>YYYY-MM-DDThh:mm:ssTZD</mdssi:Format>
          <mdssi:Value>2023-02-25T00:24:40Z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16.0.14931/23</OfficeVersion>
          <ApplicationVersion>16.0.14931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2023-02-25T00:24:40Z</xd:SigningTime>
          <xd:SigningCertificate>
            <xd:Cert>
              <xd:CertDigest>
                <DigestMethod Algorithm="http://www.w3.org/2001/04/xmlenc#sha256"/>
                <DigestValue>tvltnmUoOoYNCpYN/JVDvOnLF+x9Ha4IJ8GDRqL4zVM=</DigestValue>
              </xd:CertDigest>
              <xd:IssuerSerial>
                <X509IssuerName>CN=CA SINPE - PERSONA FISICA v2, OU=DIVISION SISTEMAS DE PAGO, O=BANCO CENTRAL DE COSTA RICA, C=CR, SERIALNUMBER=CPJ-4-000-004017</X509IssuerName>
                <X509SerialNumber>446019314957802235686068893079447094124410485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lF2dkt7eq84YfLP6WEO4g+8E4luM7pzJ+D5OfkeHYDsCBBLy0dEYDzIwMjMwMjI1MDAyNDQ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</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</xd:EncapsulatedCRLValue>
                <xd:EncapsulatedCRLValue>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Yaza51gWHTOO5zJltoBpwZJYC+A=</xd:ByKey>
                  </xd:ResponderID>
                  <xd:ProducedAt>2023-02-25T00:24:04Z</xd:ProducedAt>
                </xd:OCSPIdentifier>
                <xd:DigestAlgAndValue>
                  <DigestMethod Algorithm="http://www.w3.org/2001/04/xmlenc#sha256"/>
                  <DigestValue>vb2QzL3CO+HiGxCb3YE4zLlwgr7pG2RCGkyeG/DXIhE=</DigestValue>
                </xd:DigestAlgAndValue>
              </xd:OCSPRef>
            </xd:OCSPRefs>
            <xd:CRLRefs>
              <xd:CRLRef>
                <xd:DigestAlgAndValue>
                  <DigestMethod Algorithm="http://www.w3.org/2001/04/xmlenc#sha256"/>
                  <DigestValue>mGLnbBnp7xLkfKSxtk/Wer/J/dvI9mQslT7yzxsbTfE=</DigestValue>
                </xd:DigestAlgAndValue>
                <xd:CRLIdentifier>
                  <xd:Issuer>CN=CA POLITICA PERSONA FISICA - COSTA RICA v2, OU=DCFD, O=MICITT, C=CR, SERIALNUMBER=CPJ-2-100-098311</xd:Issuer>
                  <xd:IssueTime>2023-01-14T21:56:11Z</xd:IssueTime>
                </xd:CRLIdentifier>
              </xd:CRLRef>
              <xd:CRLRef>
                <xd:DigestAlgAndValue>
                  <DigestMethod Algorithm="http://www.w3.org/2001/04/xmlenc#sha256"/>
                  <DigestValue>Cg2TFKB8CSBvhyCuuqMQ1Q/avwiRU1ufshdAKZF6fYA=</DigestValue>
                </xd:DigestAlgAndValue>
                <xd:CRLIdentifier>
                  <xd:Issuer>CN=CA RAIZ NACIONAL - COSTA RICA v2, C=CR, O=MICITT, OU=DCFD, SERIALNUMBER=CPJ-2-100-098311</xd:Issuer>
                  <xd:IssueTime>2022-12-09T20:08:49Z</xd:IssueTime>
                </xd:CRLIdentifier>
              </xd:CRLRef>
            </xd:CRLRefs>
          </xd:CompleteRevocationRefs>
          <xd:RevocationValues>
            <xd:OCSPValues>
              <xd:EncapsulatedOCSPValue>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</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</xd:EncapsulatedCRLValue>
              <xd:EncapsulatedCRLValue>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tSQ737cPuy79OW1OFd0Fb3nJqtKpjU9afY+uuLhyD2ECBBLy0dIYDzIwMjMwMjI1MDAyNDQ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</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Estado xmlns="96c239bb-9668-4681-985a-a7d7030fe907">En proceso</Estado>
    <Instituci_x00f3_n xmlns="96c239bb-9668-4681-985a-a7d7030fe907">Conassif</Instituci_x00f3_n>
    <Mes xmlns="96c239bb-9668-4681-985a-a7d7030fe907">02-Febrero</Mes>
    <_x002d_ xmlns="96c239bb-9668-4681-985a-a7d7030fe907" xsi:nil="true"/>
    <A_x00f1_o xmlns="96c239bb-9668-4681-985a-a7d7030fe907">2023</A_x00f1_o>
    <Sesi_x00f3_n xmlns="96c239bb-9668-4681-985a-a7d7030fe907">1785</Sesi_x00f3_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Comunicación Acuerdo BCCR" ma:contentTypeID="0x0101008A2E0295431CB54A933AC477DC2BC7AF00A2A5AC1694757C44B8474694E4442E22" ma:contentTypeVersion="18" ma:contentTypeDescription="Plantilla para comunicar los acuerdos tomados por la JD del BCCR" ma:contentTypeScope="" ma:versionID="7b3422299a68865b75e8fbd73b95499e">
  <xsd:schema xmlns:xsd="http://www.w3.org/2001/XMLSchema" xmlns:xs="http://www.w3.org/2001/XMLSchema" xmlns:p="http://schemas.microsoft.com/office/2006/metadata/properties" xmlns:ns2="96c239bb-9668-4681-985a-a7d7030fe907" targetNamespace="http://schemas.microsoft.com/office/2006/metadata/properties" ma:root="true" ma:fieldsID="23c079b5e470c52829280366df371575" ns2:_="">
    <xsd:import namespace="96c239bb-9668-4681-985a-a7d7030fe907"/>
    <xsd:element name="properties">
      <xsd:complexType>
        <xsd:sequence>
          <xsd:element name="documentManagement">
            <xsd:complexType>
              <xsd:all>
                <xsd:element ref="ns2:A_x00f1_o" minOccurs="0"/>
                <xsd:element ref="ns2:Estado" minOccurs="0"/>
                <xsd:element ref="ns2:Instituci_x00f3_n" minOccurs="0"/>
                <xsd:element ref="ns2:Mes" minOccurs="0"/>
                <xsd:element ref="ns2:Sesi_x00f3_n" minOccurs="0"/>
                <xsd:element ref="ns2:_x002d_"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239bb-9668-4681-985a-a7d7030fe907" elementFormDefault="qualified">
    <xsd:import namespace="http://schemas.microsoft.com/office/2006/documentManagement/types"/>
    <xsd:import namespace="http://schemas.microsoft.com/office/infopath/2007/PartnerControls"/>
    <xsd:element name="A_x00f1_o" ma:index="4" nillable="true" ma:displayName="Año" ma:default="2023" ma:format="Dropdown" ma:indexed="true" ma:internalName="A_x00f1_o" ma:readOnly="false">
      <xsd:simpleType>
        <xsd:restriction base="dms:Choice">
          <xsd:enumeration value="2020"/>
          <xsd:enumeration value="2021"/>
          <xsd:enumeration value="2022"/>
          <xsd:enumeration value="2023"/>
          <xsd:enumeration value="2024"/>
          <xsd:enumeration value="2025"/>
        </xsd:restriction>
      </xsd:simpleType>
    </xsd:element>
    <xsd:element name="Estado" ma:index="5" nillable="true" ma:displayName="Estado" ma:default="En proceso" ma:format="Dropdown" ma:internalName="Estado" ma:readOnly="false">
      <xsd:simpleType>
        <xsd:restriction base="dms:Choice">
          <xsd:enumeration value="En proceso"/>
          <xsd:enumeration value="Aprobado"/>
          <xsd:enumeration value="Comunicado"/>
        </xsd:restriction>
      </xsd:simpleType>
    </xsd:element>
    <xsd:element name="Instituci_x00f3_n" ma:index="6" nillable="true" ma:displayName="Origen" ma:format="Dropdown" ma:indexed="true" ma:internalName="Instituci_x00f3_n" ma:readOnly="false">
      <xsd:simpleType>
        <xsd:restriction base="dms:Choice">
          <xsd:enumeration value="BCCR"/>
          <xsd:enumeration value="Conassif"/>
          <xsd:enumeration value="Comité de Auditoría"/>
          <xsd:enumeration value="Presidencia / Gerencia"/>
          <xsd:enumeration value="Rpost"/>
          <xsd:enumeration value="CONIP"/>
          <xsd:enumeration value="Comité de Riesgos"/>
          <xsd:enumeration value="Comisión Estabilidad Financiera"/>
          <xsd:enumeration value="Seguimiento"/>
        </xsd:restriction>
      </xsd:simpleType>
    </xsd:element>
    <xsd:element name="Mes" ma:index="7" nillable="true" ma:displayName="Mes" ma:format="Dropdown" ma:internalName="Mes" ma:readOnly="false">
      <xsd:simpleType>
        <xsd:restriction base="dms:Choice">
          <xsd:enumeration value="01-Enero"/>
          <xsd:enumeration value="02-Febrero"/>
          <xsd:enumeration value="03-Marzo"/>
          <xsd:enumeration value="04-Abril"/>
          <xsd:enumeration value="05-Mayo"/>
          <xsd:enumeration value="06-Junio"/>
          <xsd:enumeration value="07-Julio"/>
          <xsd:enumeration value="08-Agosto"/>
          <xsd:enumeration value="09-Setiembre"/>
          <xsd:enumeration value="10-Octubre"/>
          <xsd:enumeration value="11-Noviembre"/>
          <xsd:enumeration value="12-Diciembre"/>
        </xsd:restriction>
      </xsd:simpleType>
    </xsd:element>
    <xsd:element name="Sesi_x00f3_n" ma:index="8" nillable="true" ma:displayName="Sesión" ma:indexed="true" ma:internalName="Sesi_x00f3_n" ma:readOnly="false">
      <xsd:simpleType>
        <xsd:restriction base="dms:Text">
          <xsd:maxLength value="255"/>
        </xsd:restriction>
      </xsd:simpleType>
    </xsd:element>
    <xsd:element name="_x002d_" ma:index="9" nillable="true" ma:displayName="-" ma:internalName="_x002d_"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Tipo de contenido"/>
        <xsd:element ref="dc:title" minOccurs="0" maxOccurs="1" ma:index="2"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E1452F-9FFB-4746-A0BF-304C2A4817F7}">
  <ds:schemaRefs>
    <ds:schemaRef ds:uri="http://schemas.microsoft.com/sharepoint/v3/contenttype/forms"/>
  </ds:schemaRefs>
</ds:datastoreItem>
</file>

<file path=customXml/itemProps2.xml><?xml version="1.0" encoding="utf-8"?>
<ds:datastoreItem xmlns:ds="http://schemas.openxmlformats.org/officeDocument/2006/customXml" ds:itemID="{F76C7605-57A1-4833-A94C-F60B12ABF874}">
  <ds:schemaRefs>
    <ds:schemaRef ds:uri="http://schemas.microsoft.com/office/2006/metadata/longProperties"/>
  </ds:schemaRefs>
</ds:datastoreItem>
</file>

<file path=customXml/itemProps3.xml><?xml version="1.0" encoding="utf-8"?>
<ds:datastoreItem xmlns:ds="http://schemas.openxmlformats.org/officeDocument/2006/customXml" ds:itemID="{184C6149-DB00-4C20-A9F6-F4D716A5255B}">
  <ds:schemaRefs>
    <ds:schemaRef ds:uri="http://purl.org/dc/elements/1.1/"/>
    <ds:schemaRef ds:uri="http://schemas.microsoft.com/office/2006/documentManagement/types"/>
    <ds:schemaRef ds:uri="http://schemas.microsoft.com/office/infopath/2007/PartnerControls"/>
    <ds:schemaRef ds:uri="96c239bb-9668-4681-985a-a7d7030fe907"/>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997D063-583C-4B97-86D5-11841062F452}">
  <ds:schemaRefs>
    <ds:schemaRef ds:uri="http://schemas.openxmlformats.org/officeDocument/2006/bibliography"/>
  </ds:schemaRefs>
</ds:datastoreItem>
</file>

<file path=customXml/itemProps5.xml><?xml version="1.0" encoding="utf-8"?>
<ds:datastoreItem xmlns:ds="http://schemas.openxmlformats.org/officeDocument/2006/customXml" ds:itemID="{8D2E065F-031A-4920-A8D5-3BB06972A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c239bb-9668-4681-985a-a7d7030fe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6486</Words>
  <Characters>35678</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42080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1785-09 ADZ</dc:title>
  <dc:subject/>
  <dc:creator>HERNANDEZ MORA DAYANA</dc:creator>
  <cp:keywords/>
  <dc:description/>
  <cp:lastModifiedBy>HERNANDEZ MORA DAYANA</cp:lastModifiedBy>
  <cp:revision>3</cp:revision>
  <cp:lastPrinted>2013-01-30T22:12:00Z</cp:lastPrinted>
  <dcterms:created xsi:type="dcterms:W3CDTF">2023-02-24T23:39:00Z</dcterms:created>
  <dcterms:modified xsi:type="dcterms:W3CDTF">2023-02-24T23:40:00Z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tado">
    <vt:lpwstr>En proceso</vt:lpwstr>
  </property>
  <property fmtid="{D5CDD505-2E9C-101B-9397-08002B2CF9AE}" pid="3" name="Institución">
    <vt:lpwstr/>
  </property>
  <property fmtid="{D5CDD505-2E9C-101B-9397-08002B2CF9AE}" pid="4" name="Sesión">
    <vt:lpwstr/>
  </property>
  <property fmtid="{D5CDD505-2E9C-101B-9397-08002B2CF9AE}" pid="5" name="Año">
    <vt:lpwstr/>
  </property>
  <property fmtid="{D5CDD505-2E9C-101B-9397-08002B2CF9AE}" pid="6" name="Mes">
    <vt:lpwstr/>
  </property>
  <property fmtid="{D5CDD505-2E9C-101B-9397-08002B2CF9AE}" pid="7" name="-">
    <vt:lpwstr/>
  </property>
  <property fmtid="{D5CDD505-2E9C-101B-9397-08002B2CF9AE}" pid="8" name="MSIP_Label_b8b4be34-365a-4a68-b9fb-75c1b6874315_Enabled">
    <vt:lpwstr>true</vt:lpwstr>
  </property>
  <property fmtid="{D5CDD505-2E9C-101B-9397-08002B2CF9AE}" pid="9" name="MSIP_Label_b8b4be34-365a-4a68-b9fb-75c1b6874315_SetDate">
    <vt:lpwstr>2023-01-03T16:15:52Z</vt:lpwstr>
  </property>
  <property fmtid="{D5CDD505-2E9C-101B-9397-08002B2CF9AE}" pid="10" name="MSIP_Label_b8b4be34-365a-4a68-b9fb-75c1b6874315_Method">
    <vt:lpwstr>Standard</vt:lpwstr>
  </property>
  <property fmtid="{D5CDD505-2E9C-101B-9397-08002B2CF9AE}" pid="11" name="MSIP_Label_b8b4be34-365a-4a68-b9fb-75c1b6874315_Name">
    <vt:lpwstr>b8b4be34-365a-4a68-b9fb-75c1b6874315</vt:lpwstr>
  </property>
  <property fmtid="{D5CDD505-2E9C-101B-9397-08002B2CF9AE}" pid="12" name="MSIP_Label_b8b4be34-365a-4a68-b9fb-75c1b6874315_SiteId">
    <vt:lpwstr>618d0a45-25a6-4618-9f80-8f70a435ee52</vt:lpwstr>
  </property>
  <property fmtid="{D5CDD505-2E9C-101B-9397-08002B2CF9AE}" pid="13" name="MSIP_Label_b8b4be34-365a-4a68-b9fb-75c1b6874315_ActionId">
    <vt:lpwstr>0261b0b6-3ff3-4ca4-a7e1-0000cbb66bde</vt:lpwstr>
  </property>
  <property fmtid="{D5CDD505-2E9C-101B-9397-08002B2CF9AE}" pid="14" name="MSIP_Label_b8b4be34-365a-4a68-b9fb-75c1b6874315_ContentBits">
    <vt:lpwstr>2</vt:lpwstr>
  </property>
  <property fmtid="{D5CDD505-2E9C-101B-9397-08002B2CF9AE}" pid="15" name="ContentTypeId">
    <vt:lpwstr>0x0101008A2E0295431CB54A933AC477DC2BC7AF00A2A5AC1694757C44B8474694E4442E22</vt:lpwstr>
  </property>
</Properties>
</file>