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3BF7A" w14:textId="77777777" w:rsidR="00370207" w:rsidRPr="009F5DDF" w:rsidRDefault="00370207" w:rsidP="009F5DDF">
      <w:pPr>
        <w:jc w:val="both"/>
        <w:rPr>
          <w:b/>
          <w:i/>
          <w:sz w:val="24"/>
          <w:szCs w:val="24"/>
        </w:rPr>
      </w:pPr>
    </w:p>
    <w:p w14:paraId="07E58982" w14:textId="77777777" w:rsidR="004D7C2C" w:rsidRPr="009F5DDF" w:rsidRDefault="004D7C2C" w:rsidP="009F5DDF">
      <w:pPr>
        <w:widowControl w:val="0"/>
        <w:jc w:val="both"/>
        <w:rPr>
          <w:sz w:val="24"/>
          <w:szCs w:val="24"/>
          <w:lang w:val="es-CR"/>
        </w:rPr>
      </w:pPr>
    </w:p>
    <w:p w14:paraId="0BD90012" w14:textId="04DFF0AE" w:rsidR="000B3D80" w:rsidRPr="00F374D8" w:rsidRDefault="00F374D8" w:rsidP="009F5DDF">
      <w:pPr>
        <w:widowControl w:val="0"/>
        <w:jc w:val="both"/>
        <w:rPr>
          <w:sz w:val="24"/>
          <w:szCs w:val="24"/>
        </w:rPr>
      </w:pPr>
      <w:r w:rsidRPr="00F374D8">
        <w:rPr>
          <w:sz w:val="24"/>
          <w:szCs w:val="24"/>
        </w:rPr>
        <w:t>20</w:t>
      </w:r>
      <w:r w:rsidR="000B3D80" w:rsidRPr="00F374D8">
        <w:rPr>
          <w:sz w:val="24"/>
          <w:szCs w:val="24"/>
        </w:rPr>
        <w:t xml:space="preserve"> de </w:t>
      </w:r>
      <w:r w:rsidRPr="00F374D8">
        <w:rPr>
          <w:sz w:val="24"/>
          <w:szCs w:val="24"/>
        </w:rPr>
        <w:t xml:space="preserve">diciembre </w:t>
      </w:r>
      <w:r w:rsidR="00B32AF1" w:rsidRPr="00F374D8">
        <w:rPr>
          <w:sz w:val="24"/>
          <w:szCs w:val="24"/>
        </w:rPr>
        <w:t>de</w:t>
      </w:r>
      <w:r w:rsidR="00423E7D" w:rsidRPr="00F374D8">
        <w:rPr>
          <w:sz w:val="24"/>
          <w:szCs w:val="24"/>
        </w:rPr>
        <w:t>l</w:t>
      </w:r>
      <w:r w:rsidR="00B32AF1" w:rsidRPr="00F374D8">
        <w:rPr>
          <w:sz w:val="24"/>
          <w:szCs w:val="24"/>
        </w:rPr>
        <w:t xml:space="preserve"> 202</w:t>
      </w:r>
      <w:r w:rsidR="00980314" w:rsidRPr="00F374D8">
        <w:rPr>
          <w:sz w:val="24"/>
          <w:szCs w:val="24"/>
        </w:rPr>
        <w:t>2</w:t>
      </w:r>
    </w:p>
    <w:p w14:paraId="1EE45CBA" w14:textId="5F754568" w:rsidR="00D6438A" w:rsidRPr="00F374D8" w:rsidRDefault="008608BA" w:rsidP="009F5DDF">
      <w:pPr>
        <w:ind w:left="567" w:hanging="567"/>
        <w:jc w:val="both"/>
        <w:rPr>
          <w:sz w:val="24"/>
          <w:szCs w:val="24"/>
        </w:rPr>
      </w:pPr>
      <w:r w:rsidRPr="00F374D8">
        <w:rPr>
          <w:sz w:val="24"/>
          <w:szCs w:val="24"/>
        </w:rPr>
        <w:t>CN</w:t>
      </w:r>
      <w:r w:rsidR="006D43F1" w:rsidRPr="00F374D8">
        <w:rPr>
          <w:sz w:val="24"/>
          <w:szCs w:val="24"/>
        </w:rPr>
        <w:t>S-</w:t>
      </w:r>
      <w:r w:rsidR="002261E0" w:rsidRPr="00F374D8">
        <w:rPr>
          <w:sz w:val="24"/>
          <w:szCs w:val="24"/>
        </w:rPr>
        <w:t>1</w:t>
      </w:r>
      <w:r w:rsidR="004A486B" w:rsidRPr="00F374D8">
        <w:rPr>
          <w:sz w:val="24"/>
          <w:szCs w:val="24"/>
        </w:rPr>
        <w:t>7</w:t>
      </w:r>
      <w:r w:rsidR="00F374D8" w:rsidRPr="00F374D8">
        <w:rPr>
          <w:sz w:val="24"/>
          <w:szCs w:val="24"/>
        </w:rPr>
        <w:t>76</w:t>
      </w:r>
      <w:r w:rsidR="005C4B63" w:rsidRPr="00F374D8">
        <w:rPr>
          <w:sz w:val="24"/>
          <w:szCs w:val="24"/>
        </w:rPr>
        <w:t>/</w:t>
      </w:r>
      <w:r w:rsidR="00F374D8" w:rsidRPr="00F374D8">
        <w:rPr>
          <w:sz w:val="24"/>
          <w:szCs w:val="24"/>
        </w:rPr>
        <w:t>13</w:t>
      </w:r>
    </w:p>
    <w:p w14:paraId="39C60929" w14:textId="77777777" w:rsidR="00D6438A" w:rsidRPr="00F374D8" w:rsidRDefault="00D6438A" w:rsidP="009F5DDF">
      <w:pPr>
        <w:jc w:val="both"/>
        <w:rPr>
          <w:b/>
          <w:i/>
          <w:sz w:val="24"/>
          <w:szCs w:val="24"/>
        </w:rPr>
      </w:pPr>
    </w:p>
    <w:p w14:paraId="7D5A4F92" w14:textId="77777777" w:rsidR="00B47DD0" w:rsidRPr="00F374D8" w:rsidRDefault="00B47DD0" w:rsidP="009F5DDF">
      <w:pPr>
        <w:jc w:val="both"/>
        <w:rPr>
          <w:b/>
          <w:i/>
          <w:sz w:val="24"/>
          <w:szCs w:val="24"/>
        </w:rPr>
      </w:pPr>
    </w:p>
    <w:p w14:paraId="0CAB808A" w14:textId="77777777" w:rsidR="00D6438A" w:rsidRPr="00F374D8" w:rsidRDefault="004355D1" w:rsidP="009F5DDF">
      <w:pPr>
        <w:widowControl w:val="0"/>
        <w:jc w:val="both"/>
        <w:rPr>
          <w:sz w:val="24"/>
          <w:szCs w:val="24"/>
        </w:rPr>
      </w:pPr>
      <w:r w:rsidRPr="00F374D8">
        <w:rPr>
          <w:sz w:val="24"/>
          <w:szCs w:val="24"/>
        </w:rPr>
        <w:t>Señor</w:t>
      </w:r>
    </w:p>
    <w:p w14:paraId="2A6EE236" w14:textId="77777777" w:rsidR="00D6438A" w:rsidRPr="00F374D8" w:rsidRDefault="00FC2839" w:rsidP="009F5DDF">
      <w:pPr>
        <w:widowControl w:val="0"/>
        <w:jc w:val="both"/>
        <w:rPr>
          <w:b/>
          <w:i/>
          <w:sz w:val="24"/>
          <w:szCs w:val="24"/>
        </w:rPr>
      </w:pPr>
      <w:r w:rsidRPr="00F374D8">
        <w:rPr>
          <w:sz w:val="24"/>
          <w:szCs w:val="24"/>
        </w:rPr>
        <w:t>Alberto Dent Zeledón</w:t>
      </w:r>
      <w:r w:rsidR="00D6438A" w:rsidRPr="00F374D8">
        <w:rPr>
          <w:sz w:val="24"/>
          <w:szCs w:val="24"/>
        </w:rPr>
        <w:t xml:space="preserve">, </w:t>
      </w:r>
      <w:r w:rsidR="00D6438A" w:rsidRPr="00F374D8">
        <w:rPr>
          <w:i/>
          <w:sz w:val="24"/>
          <w:szCs w:val="24"/>
        </w:rPr>
        <w:t>Presidente</w:t>
      </w:r>
    </w:p>
    <w:p w14:paraId="7AE8EE4E" w14:textId="77777777" w:rsidR="00D6438A" w:rsidRPr="00F374D8" w:rsidRDefault="00D6438A" w:rsidP="009F5DDF">
      <w:pPr>
        <w:widowControl w:val="0"/>
        <w:jc w:val="both"/>
        <w:rPr>
          <w:b/>
          <w:i/>
          <w:sz w:val="24"/>
          <w:szCs w:val="24"/>
        </w:rPr>
      </w:pPr>
      <w:r w:rsidRPr="00F374D8">
        <w:rPr>
          <w:b/>
          <w:i/>
          <w:sz w:val="24"/>
          <w:szCs w:val="24"/>
        </w:rPr>
        <w:t>C</w:t>
      </w:r>
      <w:r w:rsidR="00E421B7" w:rsidRPr="00F374D8">
        <w:rPr>
          <w:b/>
          <w:i/>
          <w:sz w:val="24"/>
          <w:szCs w:val="24"/>
        </w:rPr>
        <w:t>onsejo Nacional de Supervisión del Sistema Financiero</w:t>
      </w:r>
    </w:p>
    <w:p w14:paraId="550B2B7C" w14:textId="77777777" w:rsidR="00350DA3" w:rsidRPr="00F374D8" w:rsidRDefault="00350DA3" w:rsidP="009F5DDF">
      <w:pPr>
        <w:jc w:val="both"/>
        <w:rPr>
          <w:b/>
          <w:i/>
          <w:sz w:val="24"/>
          <w:szCs w:val="24"/>
        </w:rPr>
      </w:pPr>
    </w:p>
    <w:p w14:paraId="28900559" w14:textId="77777777" w:rsidR="00423E7D" w:rsidRPr="00F374D8" w:rsidRDefault="00423E7D" w:rsidP="009F5DDF">
      <w:pPr>
        <w:jc w:val="both"/>
        <w:rPr>
          <w:b/>
          <w:i/>
          <w:sz w:val="24"/>
          <w:szCs w:val="24"/>
        </w:rPr>
      </w:pPr>
    </w:p>
    <w:p w14:paraId="3829DDE1" w14:textId="77777777" w:rsidR="00D6438A" w:rsidRPr="00F374D8" w:rsidRDefault="00D6438A" w:rsidP="009F5DDF">
      <w:pPr>
        <w:widowControl w:val="0"/>
        <w:jc w:val="both"/>
        <w:rPr>
          <w:sz w:val="24"/>
          <w:szCs w:val="24"/>
        </w:rPr>
      </w:pPr>
      <w:r w:rsidRPr="00F374D8">
        <w:rPr>
          <w:sz w:val="24"/>
          <w:szCs w:val="24"/>
        </w:rPr>
        <w:t>Estimado señor:</w:t>
      </w:r>
    </w:p>
    <w:p w14:paraId="3931E392" w14:textId="77777777" w:rsidR="00D6438A" w:rsidRPr="00F374D8" w:rsidRDefault="00D6438A" w:rsidP="009F5DDF">
      <w:pPr>
        <w:jc w:val="both"/>
        <w:rPr>
          <w:b/>
          <w:i/>
          <w:sz w:val="24"/>
          <w:szCs w:val="24"/>
        </w:rPr>
      </w:pPr>
    </w:p>
    <w:p w14:paraId="49F421EB" w14:textId="50770AB8" w:rsidR="000B3D80" w:rsidRPr="009F5DDF" w:rsidRDefault="000246D3" w:rsidP="009F5DDF">
      <w:pPr>
        <w:widowControl w:val="0"/>
        <w:jc w:val="both"/>
        <w:rPr>
          <w:sz w:val="24"/>
          <w:szCs w:val="24"/>
        </w:rPr>
      </w:pPr>
      <w:r w:rsidRPr="00F374D8">
        <w:rPr>
          <w:sz w:val="24"/>
          <w:szCs w:val="24"/>
        </w:rPr>
        <w:t>El Consejo Nacional de Supervisión del Sis</w:t>
      </w:r>
      <w:r w:rsidR="00542907" w:rsidRPr="00F374D8">
        <w:rPr>
          <w:sz w:val="24"/>
          <w:szCs w:val="24"/>
        </w:rPr>
        <w:t>tema Financiero</w:t>
      </w:r>
      <w:r w:rsidR="004D6CBF" w:rsidRPr="00F374D8">
        <w:rPr>
          <w:sz w:val="24"/>
          <w:szCs w:val="24"/>
        </w:rPr>
        <w:t>,</w:t>
      </w:r>
      <w:r w:rsidR="00542907" w:rsidRPr="00F374D8">
        <w:rPr>
          <w:sz w:val="24"/>
          <w:szCs w:val="24"/>
        </w:rPr>
        <w:t xml:space="preserve"> en el artículo</w:t>
      </w:r>
      <w:r w:rsidR="006367DF" w:rsidRPr="00F374D8">
        <w:rPr>
          <w:sz w:val="24"/>
          <w:szCs w:val="24"/>
        </w:rPr>
        <w:t xml:space="preserve"> </w:t>
      </w:r>
      <w:r w:rsidR="00F374D8" w:rsidRPr="00F374D8">
        <w:rPr>
          <w:sz w:val="24"/>
          <w:szCs w:val="24"/>
        </w:rPr>
        <w:t>13</w:t>
      </w:r>
      <w:r w:rsidR="006367DF" w:rsidRPr="00F374D8">
        <w:rPr>
          <w:sz w:val="24"/>
          <w:szCs w:val="24"/>
        </w:rPr>
        <w:t xml:space="preserve"> </w:t>
      </w:r>
      <w:r w:rsidRPr="00F374D8">
        <w:rPr>
          <w:sz w:val="24"/>
          <w:szCs w:val="24"/>
        </w:rPr>
        <w:t>de</w:t>
      </w:r>
      <w:r w:rsidR="00542907" w:rsidRPr="00F374D8">
        <w:rPr>
          <w:sz w:val="24"/>
          <w:szCs w:val="24"/>
        </w:rPr>
        <w:t xml:space="preserve">l </w:t>
      </w:r>
      <w:r w:rsidR="00867718" w:rsidRPr="00F374D8">
        <w:rPr>
          <w:sz w:val="24"/>
          <w:szCs w:val="24"/>
        </w:rPr>
        <w:t>acta de la</w:t>
      </w:r>
      <w:r w:rsidR="006367DF" w:rsidRPr="00F374D8">
        <w:rPr>
          <w:sz w:val="24"/>
          <w:szCs w:val="24"/>
        </w:rPr>
        <w:t xml:space="preserve"> sesi</w:t>
      </w:r>
      <w:r w:rsidR="000E18F8" w:rsidRPr="00F374D8">
        <w:rPr>
          <w:sz w:val="24"/>
          <w:szCs w:val="24"/>
        </w:rPr>
        <w:t xml:space="preserve">ón </w:t>
      </w:r>
      <w:r w:rsidR="002261E0" w:rsidRPr="00F374D8">
        <w:rPr>
          <w:sz w:val="24"/>
          <w:szCs w:val="24"/>
        </w:rPr>
        <w:t>1</w:t>
      </w:r>
      <w:r w:rsidR="004A486B" w:rsidRPr="00F374D8">
        <w:rPr>
          <w:sz w:val="24"/>
          <w:szCs w:val="24"/>
        </w:rPr>
        <w:t>7</w:t>
      </w:r>
      <w:r w:rsidR="00F374D8" w:rsidRPr="00F374D8">
        <w:rPr>
          <w:sz w:val="24"/>
          <w:szCs w:val="24"/>
        </w:rPr>
        <w:t>76</w:t>
      </w:r>
      <w:r w:rsidR="00B32AF1" w:rsidRPr="00F374D8">
        <w:rPr>
          <w:sz w:val="24"/>
          <w:szCs w:val="24"/>
        </w:rPr>
        <w:t>-202</w:t>
      </w:r>
      <w:r w:rsidR="00980314" w:rsidRPr="00F374D8">
        <w:rPr>
          <w:sz w:val="24"/>
          <w:szCs w:val="24"/>
        </w:rPr>
        <w:t>2</w:t>
      </w:r>
      <w:r w:rsidR="00A7467E" w:rsidRPr="00F374D8">
        <w:rPr>
          <w:sz w:val="24"/>
          <w:szCs w:val="24"/>
        </w:rPr>
        <w:t>,</w:t>
      </w:r>
      <w:r w:rsidR="006367DF" w:rsidRPr="00F374D8">
        <w:rPr>
          <w:sz w:val="24"/>
          <w:szCs w:val="24"/>
        </w:rPr>
        <w:t xml:space="preserve"> </w:t>
      </w:r>
      <w:r w:rsidR="00CB07B4" w:rsidRPr="00F374D8">
        <w:rPr>
          <w:sz w:val="24"/>
          <w:szCs w:val="24"/>
        </w:rPr>
        <w:t xml:space="preserve">celebrada el </w:t>
      </w:r>
      <w:r w:rsidR="00F374D8" w:rsidRPr="00F374D8">
        <w:rPr>
          <w:sz w:val="24"/>
          <w:szCs w:val="24"/>
        </w:rPr>
        <w:t xml:space="preserve">19 de diciembre </w:t>
      </w:r>
      <w:r w:rsidR="00B32AF1" w:rsidRPr="00F374D8">
        <w:rPr>
          <w:sz w:val="24"/>
          <w:szCs w:val="24"/>
        </w:rPr>
        <w:t>de</w:t>
      </w:r>
      <w:r w:rsidR="00423E7D" w:rsidRPr="00F374D8">
        <w:rPr>
          <w:sz w:val="24"/>
          <w:szCs w:val="24"/>
        </w:rPr>
        <w:t>l</w:t>
      </w:r>
      <w:r w:rsidR="00B32AF1" w:rsidRPr="00F374D8">
        <w:rPr>
          <w:sz w:val="24"/>
          <w:szCs w:val="24"/>
        </w:rPr>
        <w:t xml:space="preserve"> 202</w:t>
      </w:r>
      <w:r w:rsidR="00980314" w:rsidRPr="00F374D8">
        <w:rPr>
          <w:sz w:val="24"/>
          <w:szCs w:val="24"/>
        </w:rPr>
        <w:t>2</w:t>
      </w:r>
      <w:r w:rsidR="004D6CBF" w:rsidRPr="00F374D8">
        <w:rPr>
          <w:sz w:val="24"/>
          <w:szCs w:val="24"/>
        </w:rPr>
        <w:t>,</w:t>
      </w:r>
    </w:p>
    <w:p w14:paraId="62D0CEB1" w14:textId="77777777" w:rsidR="009F5DDF" w:rsidRPr="009F5DDF" w:rsidRDefault="009F5DDF" w:rsidP="009F5DDF">
      <w:pPr>
        <w:widowControl w:val="0"/>
        <w:ind w:left="426" w:hanging="426"/>
        <w:jc w:val="both"/>
        <w:rPr>
          <w:color w:val="000000"/>
          <w:sz w:val="24"/>
          <w:szCs w:val="24"/>
          <w:highlight w:val="yellow"/>
        </w:rPr>
      </w:pPr>
    </w:p>
    <w:p w14:paraId="7F964F76" w14:textId="77777777" w:rsidR="009F5DDF" w:rsidRPr="009F5DDF" w:rsidRDefault="009F5DDF" w:rsidP="009F5DDF">
      <w:pPr>
        <w:contextualSpacing/>
        <w:rPr>
          <w:b/>
          <w:sz w:val="24"/>
          <w:szCs w:val="24"/>
        </w:rPr>
      </w:pPr>
      <w:r w:rsidRPr="009F5DDF">
        <w:rPr>
          <w:b/>
          <w:sz w:val="24"/>
          <w:szCs w:val="24"/>
        </w:rPr>
        <w:t>considerando que:</w:t>
      </w:r>
    </w:p>
    <w:p w14:paraId="4473690A" w14:textId="77777777" w:rsidR="009F5DDF" w:rsidRPr="009F5DDF" w:rsidRDefault="009F5DDF" w:rsidP="009F5DDF">
      <w:pPr>
        <w:ind w:right="6"/>
        <w:contextualSpacing/>
        <w:jc w:val="both"/>
        <w:rPr>
          <w:b/>
          <w:sz w:val="24"/>
          <w:szCs w:val="24"/>
        </w:rPr>
      </w:pPr>
    </w:p>
    <w:p w14:paraId="1A917230" w14:textId="77777777" w:rsidR="009F5DDF" w:rsidRPr="009F5DDF" w:rsidRDefault="009F5DDF" w:rsidP="009F5DDF">
      <w:pPr>
        <w:widowControl w:val="0"/>
        <w:jc w:val="both"/>
        <w:rPr>
          <w:b/>
          <w:bCs/>
          <w:color w:val="000000"/>
          <w:sz w:val="24"/>
          <w:szCs w:val="24"/>
          <w:lang w:eastAsia="es-CR"/>
        </w:rPr>
      </w:pPr>
      <w:r w:rsidRPr="009F5DDF">
        <w:rPr>
          <w:b/>
          <w:bCs/>
          <w:color w:val="000000"/>
          <w:sz w:val="24"/>
          <w:szCs w:val="24"/>
          <w:lang w:eastAsia="es-CR"/>
        </w:rPr>
        <w:t>I.</w:t>
      </w:r>
      <w:r w:rsidRPr="009F5DDF">
        <w:rPr>
          <w:b/>
          <w:bCs/>
          <w:color w:val="000000"/>
          <w:sz w:val="24"/>
          <w:szCs w:val="24"/>
          <w:lang w:eastAsia="es-CR"/>
        </w:rPr>
        <w:tab/>
        <w:t>Consideraciones de orden legal y reglamentario</w:t>
      </w:r>
    </w:p>
    <w:p w14:paraId="58D64ED6" w14:textId="77777777" w:rsidR="009F5DDF" w:rsidRPr="009F5DDF" w:rsidRDefault="009F5DDF" w:rsidP="009F5DDF">
      <w:pPr>
        <w:widowControl w:val="0"/>
        <w:jc w:val="both"/>
        <w:rPr>
          <w:color w:val="000000"/>
          <w:sz w:val="24"/>
          <w:szCs w:val="24"/>
          <w:lang w:eastAsia="es-CR"/>
        </w:rPr>
      </w:pPr>
    </w:p>
    <w:p w14:paraId="309B58CF" w14:textId="01E3246B" w:rsidR="009F5DDF" w:rsidRPr="009F5DDF" w:rsidRDefault="009F5DDF" w:rsidP="009F5DDF">
      <w:pPr>
        <w:widowControl w:val="0"/>
        <w:ind w:left="426" w:hanging="426"/>
        <w:jc w:val="both"/>
        <w:rPr>
          <w:color w:val="000000"/>
          <w:sz w:val="24"/>
          <w:szCs w:val="24"/>
          <w:lang w:eastAsia="es-CR"/>
        </w:rPr>
      </w:pPr>
      <w:r w:rsidRPr="009F5DDF">
        <w:rPr>
          <w:color w:val="000000"/>
          <w:sz w:val="24"/>
          <w:szCs w:val="24"/>
          <w:lang w:eastAsia="es-CR"/>
        </w:rPr>
        <w:t>A.</w:t>
      </w:r>
      <w:r w:rsidRPr="009F5DDF">
        <w:rPr>
          <w:color w:val="000000"/>
          <w:sz w:val="24"/>
          <w:szCs w:val="24"/>
          <w:lang w:eastAsia="es-CR"/>
        </w:rPr>
        <w:tab/>
        <w:t xml:space="preserve">El literal b, del artículo 171 de la </w:t>
      </w:r>
      <w:r w:rsidRPr="009F5DDF">
        <w:rPr>
          <w:i/>
          <w:iCs/>
          <w:color w:val="000000"/>
          <w:sz w:val="24"/>
          <w:szCs w:val="24"/>
          <w:lang w:eastAsia="es-CR"/>
        </w:rPr>
        <w:t>Ley Reguladora del Mercado de Valores</w:t>
      </w:r>
      <w:r w:rsidRPr="009F5DDF">
        <w:rPr>
          <w:color w:val="000000"/>
          <w:sz w:val="24"/>
          <w:szCs w:val="24"/>
          <w:lang w:eastAsia="es-CR"/>
        </w:rPr>
        <w:t>, Ley 7732, faculta al Consejo Nacional de Supervisión del Sistema Financiero (Conassif) a aprobar las normas atinentes a la autorización, regulación, supervisión, fiscalización y vigilancia que, conforme a la ley, debe ejecutar la Superintendencia General de Entidades Financieras (Sugef).</w:t>
      </w:r>
    </w:p>
    <w:p w14:paraId="52AADAB5" w14:textId="77777777" w:rsidR="009F5DDF" w:rsidRPr="009F5DDF" w:rsidRDefault="009F5DDF" w:rsidP="009F5DDF">
      <w:pPr>
        <w:pStyle w:val="Prrafodelista"/>
        <w:widowControl w:val="0"/>
        <w:ind w:left="426" w:hanging="426"/>
        <w:jc w:val="both"/>
        <w:rPr>
          <w:color w:val="000000"/>
          <w:lang w:eastAsia="es-CR"/>
        </w:rPr>
      </w:pPr>
    </w:p>
    <w:p w14:paraId="7F9545F7" w14:textId="77777777" w:rsidR="009F5DDF" w:rsidRPr="009F5DDF" w:rsidRDefault="009F5DDF" w:rsidP="009F5DDF">
      <w:pPr>
        <w:widowControl w:val="0"/>
        <w:ind w:left="426" w:hanging="426"/>
        <w:jc w:val="both"/>
        <w:rPr>
          <w:color w:val="000000"/>
          <w:sz w:val="24"/>
          <w:szCs w:val="24"/>
          <w:lang w:eastAsia="es-CR"/>
        </w:rPr>
      </w:pPr>
      <w:r w:rsidRPr="009F5DDF">
        <w:rPr>
          <w:color w:val="000000"/>
          <w:sz w:val="24"/>
          <w:szCs w:val="24"/>
          <w:lang w:eastAsia="es-CR"/>
        </w:rPr>
        <w:t>B.</w:t>
      </w:r>
      <w:r w:rsidRPr="009F5DDF">
        <w:rPr>
          <w:color w:val="000000"/>
          <w:sz w:val="24"/>
          <w:szCs w:val="24"/>
          <w:lang w:eastAsia="es-CR"/>
        </w:rPr>
        <w:tab/>
        <w:t xml:space="preserve">El literal c, del artículo 131 de la </w:t>
      </w:r>
      <w:r w:rsidRPr="009F5DDF">
        <w:rPr>
          <w:i/>
          <w:iCs/>
          <w:color w:val="000000"/>
          <w:sz w:val="24"/>
          <w:szCs w:val="24"/>
          <w:lang w:eastAsia="es-CR"/>
        </w:rPr>
        <w:t>Ley Orgánica del Banco Central de Costa Rica</w:t>
      </w:r>
      <w:r w:rsidRPr="009F5DDF">
        <w:rPr>
          <w:color w:val="000000"/>
          <w:sz w:val="24"/>
          <w:szCs w:val="24"/>
          <w:lang w:eastAsia="es-CR"/>
        </w:rPr>
        <w:t>, Ley 7558, establece, como parte de las funciones del Superintendente General de Entidades Financieras, proponer al Conassif, para su aprobación, las normas que estime necesarias para el desarrollo de las labores de fiscalización y vigilancia.</w:t>
      </w:r>
    </w:p>
    <w:p w14:paraId="1CAA0A5F" w14:textId="77777777" w:rsidR="009F5DDF" w:rsidRPr="009F5DDF" w:rsidRDefault="009F5DDF" w:rsidP="009F5DDF">
      <w:pPr>
        <w:pStyle w:val="Prrafodelista"/>
        <w:widowControl w:val="0"/>
        <w:ind w:left="426" w:hanging="426"/>
        <w:rPr>
          <w:color w:val="000000"/>
          <w:lang w:eastAsia="es-CR"/>
        </w:rPr>
      </w:pPr>
    </w:p>
    <w:p w14:paraId="425C98E2" w14:textId="77777777" w:rsidR="009F5DDF" w:rsidRPr="009F5DDF" w:rsidRDefault="009F5DDF" w:rsidP="009F5DDF">
      <w:pPr>
        <w:widowControl w:val="0"/>
        <w:ind w:left="426" w:hanging="426"/>
        <w:jc w:val="both"/>
        <w:rPr>
          <w:color w:val="000000"/>
          <w:sz w:val="24"/>
          <w:szCs w:val="24"/>
          <w:lang w:eastAsia="es-CR"/>
        </w:rPr>
      </w:pPr>
      <w:r w:rsidRPr="009F5DDF">
        <w:rPr>
          <w:color w:val="000000"/>
          <w:sz w:val="24"/>
          <w:szCs w:val="24"/>
          <w:lang w:eastAsia="es-CR"/>
        </w:rPr>
        <w:t>C.</w:t>
      </w:r>
      <w:r w:rsidRPr="009F5DDF">
        <w:rPr>
          <w:color w:val="000000"/>
          <w:sz w:val="24"/>
          <w:szCs w:val="24"/>
          <w:lang w:eastAsia="es-CR"/>
        </w:rPr>
        <w:tab/>
        <w:t xml:space="preserve">El artículo 135.- de la </w:t>
      </w:r>
      <w:r w:rsidRPr="009F5DDF">
        <w:rPr>
          <w:i/>
          <w:iCs/>
          <w:color w:val="000000"/>
          <w:sz w:val="24"/>
          <w:szCs w:val="24"/>
          <w:lang w:eastAsia="es-CR"/>
        </w:rPr>
        <w:t>Ley Orgánica del Banco Central de Costa Rica</w:t>
      </w:r>
      <w:r w:rsidRPr="009F5DDF">
        <w:rPr>
          <w:color w:val="000000"/>
          <w:sz w:val="24"/>
          <w:szCs w:val="24"/>
          <w:lang w:eastAsia="es-CR"/>
        </w:rPr>
        <w:t>, Ley 7558, dispone que el Conassif establecerá los límites de las operaciones activas, directas o indirectas, que los intermediarios financieros podrán realizar con cada persona natural o jurídica, en cada una de las modalidades de sus operaciones y en el conjunto de todas ellas. Además, dispone que las operaciones activas, directas e indirectas, realizadas con grupos de interés económico deben computarse dentro de los límites establecidos, según lo que establece este artículo. Para estos efectos, dispone que el Conassif definirá, mediante reglamento, el concepto de grupo de interés económico y establecerá sus regulaciones. Además, dispone que se exceptúan del límite máximo establecido, las operaciones y las inversiones que realicen los intermediarios financieros en el Banco Central, el Ministerio de Hacienda y en deuda soberana de países con calificación de grado de inversión igual o superior a AA. Por último, dispone el límite máximo para el total de financiamiento a empresas o a grupos de interés económico vinculados por propiedad o gestión a la entidad financiera, también según los criterios que el reglamento defina.</w:t>
      </w:r>
    </w:p>
    <w:p w14:paraId="7561DCAE" w14:textId="77777777" w:rsidR="009F5DDF" w:rsidRPr="009F5DDF" w:rsidRDefault="009F5DDF" w:rsidP="009F5DDF">
      <w:pPr>
        <w:pStyle w:val="Prrafodelista"/>
        <w:widowControl w:val="0"/>
        <w:ind w:left="0"/>
        <w:jc w:val="both"/>
        <w:rPr>
          <w:color w:val="000000"/>
          <w:lang w:eastAsia="es-CR"/>
        </w:rPr>
      </w:pPr>
    </w:p>
    <w:p w14:paraId="465C0376" w14:textId="77777777" w:rsidR="009F5DDF" w:rsidRPr="009F5DDF" w:rsidRDefault="009F5DDF" w:rsidP="009F5DDF">
      <w:pPr>
        <w:widowControl w:val="0"/>
        <w:ind w:left="426" w:hanging="426"/>
        <w:jc w:val="both"/>
        <w:rPr>
          <w:color w:val="000000"/>
          <w:sz w:val="24"/>
          <w:szCs w:val="24"/>
          <w:lang w:eastAsia="es-CR"/>
        </w:rPr>
      </w:pPr>
      <w:r w:rsidRPr="009F5DDF">
        <w:rPr>
          <w:color w:val="000000"/>
          <w:sz w:val="24"/>
          <w:szCs w:val="24"/>
          <w:lang w:eastAsia="es-CR"/>
        </w:rPr>
        <w:t>D.</w:t>
      </w:r>
      <w:r w:rsidRPr="009F5DDF">
        <w:rPr>
          <w:color w:val="000000"/>
          <w:sz w:val="24"/>
          <w:szCs w:val="24"/>
          <w:lang w:eastAsia="es-CR"/>
        </w:rPr>
        <w:tab/>
        <w:t xml:space="preserve">En el caso particular de los bancos comerciales del Estado, la </w:t>
      </w:r>
      <w:r w:rsidRPr="009F5DDF">
        <w:rPr>
          <w:i/>
          <w:iCs/>
          <w:color w:val="000000"/>
          <w:sz w:val="24"/>
          <w:szCs w:val="24"/>
          <w:lang w:eastAsia="es-CR"/>
        </w:rPr>
        <w:t>Ley Orgánica del Sistema Bancario Nacional</w:t>
      </w:r>
      <w:r w:rsidRPr="009F5DDF">
        <w:rPr>
          <w:color w:val="000000"/>
          <w:sz w:val="24"/>
          <w:szCs w:val="24"/>
          <w:lang w:eastAsia="es-CR"/>
        </w:rPr>
        <w:t>, Ley 1644, Artículo 117 les prohíbe efectuar operaciones activas directas o indirectas con:</w:t>
      </w:r>
    </w:p>
    <w:p w14:paraId="52FD9045" w14:textId="77777777" w:rsidR="009F5DDF" w:rsidRPr="009F5DDF" w:rsidRDefault="009F5DDF" w:rsidP="009F5DDF">
      <w:pPr>
        <w:pStyle w:val="Prrafodelista"/>
        <w:widowControl w:val="0"/>
        <w:ind w:left="0"/>
        <w:rPr>
          <w:color w:val="000000"/>
          <w:lang w:eastAsia="es-CR"/>
        </w:rPr>
      </w:pPr>
    </w:p>
    <w:p w14:paraId="64948F11" w14:textId="77777777" w:rsidR="009F5DDF" w:rsidRPr="009F5DDF" w:rsidRDefault="009F5DDF" w:rsidP="009F5DDF">
      <w:pPr>
        <w:widowControl w:val="0"/>
        <w:ind w:left="851" w:hanging="425"/>
        <w:jc w:val="both"/>
        <w:rPr>
          <w:color w:val="000000"/>
          <w:sz w:val="24"/>
          <w:szCs w:val="24"/>
          <w:lang w:eastAsia="es-CR"/>
        </w:rPr>
      </w:pPr>
      <w:r w:rsidRPr="009F5DDF">
        <w:rPr>
          <w:color w:val="000000"/>
          <w:sz w:val="24"/>
          <w:szCs w:val="24"/>
          <w:lang w:eastAsia="es-CR"/>
        </w:rPr>
        <w:t>i.</w:t>
      </w:r>
      <w:r w:rsidRPr="009F5DDF">
        <w:rPr>
          <w:color w:val="000000"/>
          <w:sz w:val="24"/>
          <w:szCs w:val="24"/>
          <w:lang w:eastAsia="es-CR"/>
        </w:rPr>
        <w:tab/>
        <w:t xml:space="preserve">Los miembros de su propia junta directiva y sus ascendientes, descendientes, cónyuges y demás parientes por consanguinidad o afinidad, hasta el segundo grado inclusive. </w:t>
      </w:r>
    </w:p>
    <w:p w14:paraId="32415D83" w14:textId="77777777" w:rsidR="009F5DDF" w:rsidRPr="009F5DDF" w:rsidRDefault="009F5DDF" w:rsidP="009F5DDF">
      <w:pPr>
        <w:widowControl w:val="0"/>
        <w:ind w:left="851" w:hanging="425"/>
        <w:jc w:val="both"/>
        <w:rPr>
          <w:color w:val="000000"/>
          <w:sz w:val="24"/>
          <w:szCs w:val="24"/>
          <w:lang w:eastAsia="es-CR"/>
        </w:rPr>
      </w:pPr>
    </w:p>
    <w:p w14:paraId="10AD385E" w14:textId="77777777" w:rsidR="009F5DDF" w:rsidRPr="009F5DDF" w:rsidRDefault="009F5DDF" w:rsidP="009F5DDF">
      <w:pPr>
        <w:widowControl w:val="0"/>
        <w:ind w:left="851" w:hanging="425"/>
        <w:jc w:val="both"/>
        <w:rPr>
          <w:color w:val="000000"/>
          <w:sz w:val="24"/>
          <w:szCs w:val="24"/>
          <w:lang w:eastAsia="es-CR"/>
        </w:rPr>
      </w:pPr>
      <w:r w:rsidRPr="009F5DDF">
        <w:rPr>
          <w:color w:val="000000"/>
          <w:sz w:val="24"/>
          <w:szCs w:val="24"/>
          <w:lang w:eastAsia="es-CR"/>
        </w:rPr>
        <w:t>ii.</w:t>
      </w:r>
      <w:r w:rsidRPr="009F5DDF">
        <w:rPr>
          <w:color w:val="000000"/>
          <w:sz w:val="24"/>
          <w:szCs w:val="24"/>
          <w:lang w:eastAsia="es-CR"/>
        </w:rPr>
        <w:tab/>
        <w:t>Las sociedades mercantiles y cooperativas, de las cuales los miembros de la junta directiva o funcionarios administrativos del propio banco, así como sus ascendientes, descendientes, cónyuges y demás parientes por consanguinidad o afinidad hasta el segundo grado inclusive, sean representantes legales o posean acciones, cuotas u otras participaciones de capital, iguales o superiores al quince por ciento (15%) del que se acordare. A esta participación deberá agregarse la de sus ascendientes, descendientes, cónyuges y demás parientes por consanguinidad o afinidad, hasta el segundo grado inclusive.</w:t>
      </w:r>
    </w:p>
    <w:p w14:paraId="60583674" w14:textId="77777777" w:rsidR="009F5DDF" w:rsidRPr="009F5DDF" w:rsidRDefault="009F5DDF" w:rsidP="009F5DDF">
      <w:pPr>
        <w:pStyle w:val="Prrafodelista"/>
        <w:widowControl w:val="0"/>
        <w:ind w:left="0"/>
        <w:jc w:val="both"/>
        <w:rPr>
          <w:color w:val="000000"/>
          <w:lang w:eastAsia="es-CR"/>
        </w:rPr>
      </w:pPr>
    </w:p>
    <w:p w14:paraId="332DE4D8" w14:textId="77777777" w:rsidR="009F5DDF" w:rsidRPr="009F5DDF" w:rsidRDefault="009F5DDF" w:rsidP="009F5DDF">
      <w:pPr>
        <w:widowControl w:val="0"/>
        <w:ind w:left="426" w:hanging="426"/>
        <w:jc w:val="both"/>
        <w:rPr>
          <w:color w:val="000000"/>
          <w:sz w:val="24"/>
          <w:szCs w:val="24"/>
          <w:lang w:eastAsia="es-CR"/>
        </w:rPr>
      </w:pPr>
      <w:r w:rsidRPr="009F5DDF">
        <w:rPr>
          <w:color w:val="000000"/>
          <w:sz w:val="24"/>
          <w:szCs w:val="24"/>
          <w:lang w:eastAsia="es-CR"/>
        </w:rPr>
        <w:t>E.</w:t>
      </w:r>
      <w:r w:rsidRPr="009F5DDF">
        <w:rPr>
          <w:color w:val="000000"/>
          <w:sz w:val="24"/>
          <w:szCs w:val="24"/>
          <w:lang w:eastAsia="es-CR"/>
        </w:rPr>
        <w:tab/>
        <w:t xml:space="preserve">La </w:t>
      </w:r>
      <w:r w:rsidRPr="009F5DDF">
        <w:rPr>
          <w:i/>
          <w:iCs/>
          <w:color w:val="000000"/>
          <w:sz w:val="24"/>
          <w:szCs w:val="24"/>
          <w:lang w:eastAsia="es-CR"/>
        </w:rPr>
        <w:t>Ley Orgánica del Banco Central de Costa Rica</w:t>
      </w:r>
      <w:r w:rsidRPr="009F5DDF">
        <w:rPr>
          <w:color w:val="000000"/>
          <w:sz w:val="24"/>
          <w:szCs w:val="24"/>
          <w:lang w:eastAsia="es-CR"/>
        </w:rPr>
        <w:t>, Ley 7558, Sección IV, sobre “Procedimiento, infracciones, sanciones y actos ilícitos en la actividad financiera”, Artículo 155. “Sanciones”, establece lo siguiente:</w:t>
      </w:r>
    </w:p>
    <w:p w14:paraId="02B1111B" w14:textId="77777777" w:rsidR="009F5DDF" w:rsidRPr="009F5DDF" w:rsidRDefault="009F5DDF" w:rsidP="009F5DDF">
      <w:pPr>
        <w:pStyle w:val="Prrafodelista"/>
        <w:widowControl w:val="0"/>
        <w:ind w:left="0"/>
        <w:jc w:val="both"/>
        <w:rPr>
          <w:color w:val="000000"/>
          <w:lang w:eastAsia="es-CR"/>
        </w:rPr>
      </w:pPr>
    </w:p>
    <w:p w14:paraId="5DE9FC18" w14:textId="77777777" w:rsidR="009F5DDF" w:rsidRPr="009F5DDF" w:rsidRDefault="009F5DDF" w:rsidP="00461622">
      <w:pPr>
        <w:widowControl w:val="0"/>
        <w:ind w:left="851" w:right="567"/>
        <w:jc w:val="both"/>
        <w:rPr>
          <w:color w:val="000000"/>
          <w:sz w:val="24"/>
          <w:szCs w:val="24"/>
          <w:lang w:eastAsia="es-CR"/>
        </w:rPr>
      </w:pPr>
      <w:r w:rsidRPr="009F5DDF">
        <w:rPr>
          <w:color w:val="000000"/>
          <w:sz w:val="24"/>
          <w:szCs w:val="24"/>
          <w:lang w:eastAsia="es-CR"/>
        </w:rPr>
        <w:t>“Una entidad fiscalizada será sancionada por el superintendente general de entidades financieras, cuando la infractora sea una entidad bajo su supervisión, o por el supervisor responsable en el caso de empresas supervisadas locales pertenecientes a un grupo o conglomerado financiero, en los siguientes casos:</w:t>
      </w:r>
    </w:p>
    <w:p w14:paraId="747902E7" w14:textId="77777777" w:rsidR="009F5DDF" w:rsidRPr="009F5DDF" w:rsidRDefault="009F5DDF" w:rsidP="00461622">
      <w:pPr>
        <w:widowControl w:val="0"/>
        <w:ind w:left="851" w:right="567"/>
        <w:jc w:val="both"/>
        <w:rPr>
          <w:color w:val="000000"/>
          <w:sz w:val="24"/>
          <w:szCs w:val="24"/>
          <w:lang w:eastAsia="es-CR"/>
        </w:rPr>
      </w:pPr>
      <w:r w:rsidRPr="009F5DDF">
        <w:rPr>
          <w:color w:val="000000"/>
          <w:sz w:val="24"/>
          <w:szCs w:val="24"/>
          <w:lang w:eastAsia="es-CR"/>
        </w:rPr>
        <w:t>[…]</w:t>
      </w:r>
    </w:p>
    <w:p w14:paraId="6171551F" w14:textId="77777777" w:rsidR="009F5DDF" w:rsidRPr="009F5DDF" w:rsidRDefault="009F5DDF" w:rsidP="00461622">
      <w:pPr>
        <w:widowControl w:val="0"/>
        <w:ind w:left="851" w:right="567"/>
        <w:jc w:val="both"/>
        <w:rPr>
          <w:color w:val="000000"/>
          <w:sz w:val="24"/>
          <w:szCs w:val="24"/>
          <w:lang w:eastAsia="es-CR"/>
        </w:rPr>
      </w:pPr>
    </w:p>
    <w:p w14:paraId="53DB742E" w14:textId="77777777" w:rsidR="009F5DDF" w:rsidRPr="009F5DDF" w:rsidRDefault="009F5DDF" w:rsidP="00461622">
      <w:pPr>
        <w:widowControl w:val="0"/>
        <w:ind w:left="851" w:right="567"/>
        <w:jc w:val="both"/>
        <w:rPr>
          <w:color w:val="000000"/>
          <w:sz w:val="24"/>
          <w:szCs w:val="24"/>
          <w:lang w:eastAsia="es-CR"/>
        </w:rPr>
      </w:pPr>
      <w:r w:rsidRPr="009F5DDF">
        <w:rPr>
          <w:color w:val="000000"/>
          <w:sz w:val="24"/>
          <w:szCs w:val="24"/>
          <w:lang w:eastAsia="es-CR"/>
        </w:rPr>
        <w:t>b) Infracciones graves: se impondrá una multa del cero coma cinco por ciento (0,5%) al uno por ciento (1%) de su patrimonio contable vigente al momento en que se determina la existencia de la infracción, cuando:</w:t>
      </w:r>
    </w:p>
    <w:p w14:paraId="2504F476" w14:textId="77777777" w:rsidR="009F5DDF" w:rsidRPr="009F5DDF" w:rsidRDefault="009F5DDF" w:rsidP="00461622">
      <w:pPr>
        <w:widowControl w:val="0"/>
        <w:ind w:left="851" w:right="567"/>
        <w:jc w:val="both"/>
        <w:rPr>
          <w:color w:val="000000"/>
          <w:sz w:val="24"/>
          <w:szCs w:val="24"/>
          <w:lang w:eastAsia="es-CR"/>
        </w:rPr>
      </w:pPr>
      <w:r w:rsidRPr="009F5DDF">
        <w:rPr>
          <w:color w:val="000000"/>
          <w:sz w:val="24"/>
          <w:szCs w:val="24"/>
          <w:lang w:eastAsia="es-CR"/>
        </w:rPr>
        <w:t>[...]</w:t>
      </w:r>
    </w:p>
    <w:p w14:paraId="4A230DFC" w14:textId="77777777" w:rsidR="009F5DDF" w:rsidRPr="009F5DDF" w:rsidRDefault="009F5DDF" w:rsidP="00461622">
      <w:pPr>
        <w:widowControl w:val="0"/>
        <w:ind w:left="851" w:right="567"/>
        <w:jc w:val="both"/>
        <w:rPr>
          <w:color w:val="000000"/>
          <w:sz w:val="24"/>
          <w:szCs w:val="24"/>
          <w:lang w:eastAsia="es-CR"/>
        </w:rPr>
      </w:pPr>
    </w:p>
    <w:p w14:paraId="3DDC6273" w14:textId="77777777" w:rsidR="009F5DDF" w:rsidRPr="009F5DDF" w:rsidRDefault="009F5DDF" w:rsidP="00461622">
      <w:pPr>
        <w:widowControl w:val="0"/>
        <w:ind w:left="851" w:right="567"/>
        <w:jc w:val="both"/>
        <w:rPr>
          <w:color w:val="000000"/>
          <w:sz w:val="24"/>
          <w:szCs w:val="24"/>
          <w:lang w:eastAsia="es-CR"/>
        </w:rPr>
      </w:pPr>
      <w:r w:rsidRPr="009F5DDF">
        <w:rPr>
          <w:color w:val="000000"/>
          <w:sz w:val="24"/>
          <w:szCs w:val="24"/>
          <w:lang w:eastAsia="es-CR"/>
        </w:rPr>
        <w:t>ix)</w:t>
      </w:r>
      <w:r w:rsidRPr="009F5DDF">
        <w:rPr>
          <w:color w:val="000000"/>
          <w:sz w:val="24"/>
          <w:szCs w:val="24"/>
          <w:lang w:eastAsia="es-CR"/>
        </w:rPr>
        <w:tab/>
        <w:t xml:space="preserve">Incumpla o contravenga lo establecido en los artículos 135 y 148 de esta ley, así como en los artículos 59 y 61 de la Ley 1644, </w:t>
      </w:r>
      <w:r w:rsidRPr="009F5DDF">
        <w:rPr>
          <w:i/>
          <w:iCs/>
          <w:color w:val="000000"/>
          <w:sz w:val="24"/>
          <w:szCs w:val="24"/>
          <w:lang w:eastAsia="es-CR"/>
        </w:rPr>
        <w:t>Ley Orgánica del Sistema Bancario Nacional</w:t>
      </w:r>
      <w:r w:rsidRPr="009F5DDF">
        <w:rPr>
          <w:color w:val="000000"/>
          <w:sz w:val="24"/>
          <w:szCs w:val="24"/>
          <w:lang w:eastAsia="es-CR"/>
        </w:rPr>
        <w:t>, de 26 de setiembre de 1953, y la respectiva regulación.</w:t>
      </w:r>
    </w:p>
    <w:p w14:paraId="4AB9B0D1" w14:textId="77777777" w:rsidR="009F5DDF" w:rsidRPr="009F5DDF" w:rsidRDefault="009F5DDF" w:rsidP="00461622">
      <w:pPr>
        <w:widowControl w:val="0"/>
        <w:ind w:left="851" w:right="567"/>
        <w:jc w:val="both"/>
        <w:rPr>
          <w:color w:val="000000"/>
          <w:sz w:val="24"/>
          <w:szCs w:val="24"/>
          <w:lang w:eastAsia="es-CR"/>
        </w:rPr>
      </w:pPr>
    </w:p>
    <w:p w14:paraId="50C11000" w14:textId="77777777" w:rsidR="009F5DDF" w:rsidRPr="009F5DDF" w:rsidRDefault="009F5DDF" w:rsidP="00461622">
      <w:pPr>
        <w:widowControl w:val="0"/>
        <w:ind w:left="851" w:right="567"/>
        <w:jc w:val="both"/>
        <w:rPr>
          <w:color w:val="000000"/>
          <w:sz w:val="24"/>
          <w:szCs w:val="24"/>
          <w:lang w:eastAsia="es-CR"/>
        </w:rPr>
      </w:pPr>
      <w:r w:rsidRPr="009F5DDF">
        <w:rPr>
          <w:color w:val="000000"/>
          <w:sz w:val="24"/>
          <w:szCs w:val="24"/>
          <w:lang w:eastAsia="es-CR"/>
        </w:rPr>
        <w:t>x)</w:t>
      </w:r>
      <w:r w:rsidRPr="009F5DDF">
        <w:rPr>
          <w:color w:val="000000"/>
          <w:sz w:val="24"/>
          <w:szCs w:val="24"/>
          <w:lang w:eastAsia="es-CR"/>
        </w:rPr>
        <w:tab/>
        <w:t>Realice operaciones con sus accionistas, representantes, miembros del órgano de dirección, gerentes, subgerentes, o cualquier otro cargo de la alta gerencia que tenga poder de decisión en la entidad o empresa, o parientes de cualquiera de estos hasta tercer grado por consanguinidad o segundo grado por afinidad, o con las empresas vinculadas a estos según lo dispuesto en el artículo 135 de esta ley, o con otras entidades o empresas del grupo financiero en condiciones diferentes de las aplicadas en las operaciones con terceros independientes.”</w:t>
      </w:r>
    </w:p>
    <w:p w14:paraId="198FB42F" w14:textId="77777777" w:rsidR="009F5DDF" w:rsidRPr="009F5DDF" w:rsidRDefault="009F5DDF" w:rsidP="009F5DDF">
      <w:pPr>
        <w:widowControl w:val="0"/>
        <w:jc w:val="both"/>
        <w:rPr>
          <w:color w:val="000000"/>
          <w:sz w:val="24"/>
          <w:szCs w:val="24"/>
          <w:lang w:eastAsia="es-CR"/>
        </w:rPr>
      </w:pPr>
    </w:p>
    <w:p w14:paraId="39001CEE" w14:textId="77777777" w:rsidR="009F5DDF" w:rsidRPr="009F5DDF" w:rsidRDefault="009F5DDF" w:rsidP="009F5DDF">
      <w:pPr>
        <w:widowControl w:val="0"/>
        <w:ind w:left="426" w:hanging="426"/>
        <w:jc w:val="both"/>
        <w:rPr>
          <w:color w:val="000000"/>
          <w:sz w:val="24"/>
          <w:szCs w:val="24"/>
          <w:lang w:eastAsia="es-CR"/>
        </w:rPr>
      </w:pPr>
      <w:r w:rsidRPr="009F5DDF">
        <w:rPr>
          <w:color w:val="000000"/>
          <w:sz w:val="24"/>
          <w:szCs w:val="24"/>
          <w:lang w:eastAsia="es-CR"/>
        </w:rPr>
        <w:lastRenderedPageBreak/>
        <w:t>F.</w:t>
      </w:r>
      <w:r w:rsidRPr="009F5DDF">
        <w:rPr>
          <w:color w:val="000000"/>
          <w:sz w:val="24"/>
          <w:szCs w:val="24"/>
          <w:lang w:eastAsia="es-CR"/>
        </w:rPr>
        <w:tab/>
        <w:t xml:space="preserve">La regulación sobre límites a las operaciones activas, directas e indirectas, con el grupo vinculado a la entidad y grupos de interés económico se establece en el </w:t>
      </w:r>
      <w:r w:rsidRPr="009F5DDF">
        <w:rPr>
          <w:i/>
          <w:iCs/>
          <w:color w:val="000000"/>
          <w:sz w:val="24"/>
          <w:szCs w:val="24"/>
          <w:lang w:eastAsia="es-CR"/>
        </w:rPr>
        <w:t>Reglamento sobre el Grupo Vinculado a la Entidad</w:t>
      </w:r>
      <w:r w:rsidRPr="009F5DDF">
        <w:rPr>
          <w:color w:val="000000"/>
          <w:sz w:val="24"/>
          <w:szCs w:val="24"/>
          <w:lang w:eastAsia="es-CR"/>
        </w:rPr>
        <w:t xml:space="preserve">, Acuerdo Sugef 4-04 y en el </w:t>
      </w:r>
      <w:r w:rsidRPr="009F5DDF">
        <w:rPr>
          <w:i/>
          <w:iCs/>
          <w:color w:val="000000"/>
          <w:sz w:val="24"/>
          <w:szCs w:val="24"/>
          <w:lang w:eastAsia="es-CR"/>
        </w:rPr>
        <w:t>Reglamento sobre Límites de Crédito a Personas Individuales y Grupos de Interés Económico</w:t>
      </w:r>
      <w:r w:rsidRPr="009F5DDF">
        <w:rPr>
          <w:color w:val="000000"/>
          <w:sz w:val="24"/>
          <w:szCs w:val="24"/>
          <w:lang w:eastAsia="es-CR"/>
        </w:rPr>
        <w:t>, Acuerdo Sugef 5-04, ambos aprobados mediante artículo 15 del Acta de la Sesión 480-2004 del 4 de noviembre del 2004. No obstante, es necesario ajustar dichas regulaciones para que, en lo pertinente, se guarde consistencia con la reglamentación sobre supervisión consolidada, se realicen mejoras operativas y se integren ambos reglamentos en un solo, dado que, comparten el objeto de regular límites a las operaciones activas directas e indirectas, y existe vinculo técnico entre ellos.</w:t>
      </w:r>
    </w:p>
    <w:p w14:paraId="5462B698" w14:textId="77777777" w:rsidR="009F5DDF" w:rsidRPr="009F5DDF" w:rsidRDefault="009F5DDF" w:rsidP="009F5DDF">
      <w:pPr>
        <w:pStyle w:val="Prrafodelista"/>
        <w:widowControl w:val="0"/>
        <w:ind w:left="0"/>
        <w:jc w:val="both"/>
        <w:rPr>
          <w:color w:val="000000"/>
          <w:lang w:eastAsia="es-CR"/>
        </w:rPr>
      </w:pPr>
    </w:p>
    <w:p w14:paraId="6A03C0C7" w14:textId="77777777" w:rsidR="009F5DDF" w:rsidRPr="009F5DDF" w:rsidRDefault="009F5DDF" w:rsidP="009F5DDF">
      <w:pPr>
        <w:widowControl w:val="0"/>
        <w:jc w:val="both"/>
        <w:rPr>
          <w:b/>
          <w:bCs/>
          <w:color w:val="000000"/>
          <w:sz w:val="24"/>
          <w:szCs w:val="24"/>
          <w:lang w:eastAsia="es-CR"/>
        </w:rPr>
      </w:pPr>
      <w:r w:rsidRPr="009F5DDF">
        <w:rPr>
          <w:b/>
          <w:bCs/>
          <w:color w:val="000000"/>
          <w:sz w:val="24"/>
          <w:szCs w:val="24"/>
          <w:lang w:eastAsia="es-CR"/>
        </w:rPr>
        <w:t>II.</w:t>
      </w:r>
      <w:r w:rsidRPr="009F5DDF">
        <w:rPr>
          <w:b/>
          <w:bCs/>
          <w:color w:val="000000"/>
          <w:sz w:val="24"/>
          <w:szCs w:val="24"/>
          <w:lang w:eastAsia="es-CR"/>
        </w:rPr>
        <w:tab/>
        <w:t>Consideraciones sobre el alcance de la reglamentación</w:t>
      </w:r>
    </w:p>
    <w:p w14:paraId="2D079126" w14:textId="77777777" w:rsidR="009F5DDF" w:rsidRPr="009F5DDF" w:rsidRDefault="009F5DDF" w:rsidP="009F5DDF">
      <w:pPr>
        <w:widowControl w:val="0"/>
        <w:jc w:val="both"/>
        <w:rPr>
          <w:b/>
          <w:bCs/>
          <w:color w:val="000000"/>
          <w:sz w:val="24"/>
          <w:szCs w:val="24"/>
          <w:lang w:eastAsia="es-CR"/>
        </w:rPr>
      </w:pPr>
    </w:p>
    <w:p w14:paraId="16582624" w14:textId="77777777" w:rsidR="009F5DDF" w:rsidRPr="009F5DDF" w:rsidRDefault="009F5DDF" w:rsidP="009F5DDF">
      <w:pPr>
        <w:widowControl w:val="0"/>
        <w:ind w:left="426" w:hanging="426"/>
        <w:jc w:val="both"/>
        <w:rPr>
          <w:color w:val="000000"/>
          <w:sz w:val="24"/>
          <w:szCs w:val="24"/>
          <w:lang w:eastAsia="es-CR"/>
        </w:rPr>
      </w:pPr>
      <w:r w:rsidRPr="009F5DDF">
        <w:rPr>
          <w:color w:val="000000"/>
          <w:sz w:val="24"/>
          <w:szCs w:val="24"/>
          <w:lang w:eastAsia="es-CR"/>
        </w:rPr>
        <w:t>A.</w:t>
      </w:r>
      <w:r w:rsidRPr="009F5DDF">
        <w:rPr>
          <w:color w:val="000000"/>
          <w:sz w:val="24"/>
          <w:szCs w:val="24"/>
          <w:lang w:eastAsia="es-CR"/>
        </w:rPr>
        <w:tab/>
        <w:t>En las operaciones activas directas e indirectas se evidencia la necesidad de distinguir entre las operaciones realizadas con personas vinculadas a la entidad y las operaciones realizadas con personas que conforman un grupo de interés económico, lo anterior por cuanto, en el primer caso, el interés del supervisor es identificar las operaciones que generan un conflicto de interés, y en el segundo caso, el objetivo es abordar el riesgo de concentración frente a la unidad de riesgo representada por un conjunto de personas interrelacionadas.</w:t>
      </w:r>
    </w:p>
    <w:p w14:paraId="4EBBE38E" w14:textId="77777777" w:rsidR="009F5DDF" w:rsidRPr="009F5DDF" w:rsidRDefault="009F5DDF" w:rsidP="009F5DDF">
      <w:pPr>
        <w:pStyle w:val="Prrafodelista"/>
        <w:widowControl w:val="0"/>
        <w:ind w:left="426" w:hanging="426"/>
        <w:jc w:val="both"/>
        <w:rPr>
          <w:color w:val="000000"/>
          <w:lang w:eastAsia="es-CR"/>
        </w:rPr>
      </w:pPr>
    </w:p>
    <w:p w14:paraId="1915AC6F" w14:textId="77777777" w:rsidR="009F5DDF" w:rsidRPr="009F5DDF" w:rsidRDefault="009F5DDF" w:rsidP="009F5DDF">
      <w:pPr>
        <w:widowControl w:val="0"/>
        <w:ind w:left="426" w:hanging="426"/>
        <w:jc w:val="both"/>
        <w:rPr>
          <w:color w:val="000000"/>
          <w:sz w:val="24"/>
          <w:szCs w:val="24"/>
          <w:lang w:eastAsia="es-CR"/>
        </w:rPr>
      </w:pPr>
      <w:r w:rsidRPr="009F5DDF">
        <w:rPr>
          <w:color w:val="000000"/>
          <w:sz w:val="24"/>
          <w:szCs w:val="24"/>
          <w:lang w:eastAsia="es-CR"/>
        </w:rPr>
        <w:t>B.</w:t>
      </w:r>
      <w:r w:rsidRPr="009F5DDF">
        <w:rPr>
          <w:color w:val="000000"/>
          <w:sz w:val="24"/>
          <w:szCs w:val="24"/>
          <w:lang w:eastAsia="es-CR"/>
        </w:rPr>
        <w:tab/>
        <w:t xml:space="preserve">Las mejores prácticas de supervisión a nivel internacional reconocen que el criterio del supervisor al valorar los hechos y circunstancias específicas en la aplicación de la normativa prudencial constituye un elemento fundamental para el ejercicio de una supervisión efectiva de esta regulación. En la aplicación del criterio del supervisor, la Superintendencia cuente con los mecanismos que le permitan dar una solución adecuada a casos particulares, de acuerdo con la potestad conferida por el artículo 57 de la </w:t>
      </w:r>
      <w:r w:rsidRPr="009F5DDF">
        <w:rPr>
          <w:i/>
          <w:iCs/>
          <w:color w:val="000000"/>
          <w:sz w:val="24"/>
          <w:szCs w:val="24"/>
          <w:lang w:eastAsia="es-CR"/>
        </w:rPr>
        <w:t>Ley de Régimen Privado de Pensiones Complementarias</w:t>
      </w:r>
      <w:r w:rsidRPr="009F5DDF">
        <w:rPr>
          <w:color w:val="000000"/>
          <w:sz w:val="24"/>
          <w:szCs w:val="24"/>
          <w:lang w:eastAsia="es-CR"/>
        </w:rPr>
        <w:t>, Ley 7.523, de conformidad con el cual las superintendencias pueden atribuirle a las situaciones y actos una significación acorde con los hechos, atendiendo a la realidad y no a la forma jurídica. Por esta razón, se han incorporado en este reglamento los parámetros que le permitan a la Sugef evaluar la realidad económica para determinar la existencia de relaciones y vinculaciones entre personas, enfocado hacia la adecuada determinación del grupo vinculado a la entidad y o de los grupos de interés económico, siempre respetando el debido proceso que se debe seguir en estos casos.</w:t>
      </w:r>
    </w:p>
    <w:p w14:paraId="6F84DCBD" w14:textId="77777777" w:rsidR="009F5DDF" w:rsidRPr="009F5DDF" w:rsidRDefault="009F5DDF" w:rsidP="009F5DDF">
      <w:pPr>
        <w:pStyle w:val="Prrafodelista"/>
        <w:widowControl w:val="0"/>
        <w:ind w:left="0"/>
        <w:jc w:val="both"/>
        <w:rPr>
          <w:color w:val="000000"/>
          <w:lang w:eastAsia="es-CR"/>
        </w:rPr>
      </w:pPr>
    </w:p>
    <w:p w14:paraId="57152443" w14:textId="77777777" w:rsidR="009F5DDF" w:rsidRPr="009F5DDF" w:rsidRDefault="009F5DDF" w:rsidP="009F5DDF">
      <w:pPr>
        <w:widowControl w:val="0"/>
        <w:ind w:left="426" w:hanging="426"/>
        <w:jc w:val="both"/>
        <w:rPr>
          <w:color w:val="000000"/>
          <w:sz w:val="24"/>
          <w:szCs w:val="24"/>
          <w:lang w:eastAsia="es-CR"/>
        </w:rPr>
      </w:pPr>
      <w:r w:rsidRPr="009F5DDF">
        <w:rPr>
          <w:color w:val="000000"/>
          <w:sz w:val="24"/>
          <w:szCs w:val="24"/>
          <w:lang w:eastAsia="es-CR"/>
        </w:rPr>
        <w:t>C.</w:t>
      </w:r>
      <w:r w:rsidRPr="009F5DDF">
        <w:rPr>
          <w:color w:val="000000"/>
          <w:sz w:val="24"/>
          <w:szCs w:val="24"/>
          <w:lang w:eastAsia="es-CR"/>
        </w:rPr>
        <w:tab/>
        <w:t>Es importante definir con claridad las acciones que debe adoptar una entidad en caso de presentar un exceso al límite para las operaciones activas, directas e indirectas, con el grupo vinculado, grupo de interés económico y con deudores individuales y, por ello, como medida correctiva se estipula en este reglamento la presentación de un plan de acción, su autorización por Sugef, el plazo, así como las acciones mínimas que debe incluir.</w:t>
      </w:r>
    </w:p>
    <w:p w14:paraId="611D03DE" w14:textId="77777777" w:rsidR="009F5DDF" w:rsidRPr="009F5DDF" w:rsidRDefault="009F5DDF" w:rsidP="009F5DDF">
      <w:pPr>
        <w:pStyle w:val="Prrafodelista"/>
        <w:widowControl w:val="0"/>
        <w:ind w:left="426" w:hanging="426"/>
        <w:rPr>
          <w:color w:val="000000"/>
          <w:lang w:eastAsia="es-CR"/>
        </w:rPr>
      </w:pPr>
    </w:p>
    <w:p w14:paraId="312A3A36" w14:textId="77777777" w:rsidR="009F5DDF" w:rsidRPr="009F5DDF" w:rsidRDefault="009F5DDF" w:rsidP="009F5DDF">
      <w:pPr>
        <w:widowControl w:val="0"/>
        <w:ind w:left="426"/>
        <w:jc w:val="both"/>
        <w:rPr>
          <w:color w:val="000000"/>
          <w:sz w:val="24"/>
          <w:szCs w:val="24"/>
          <w:lang w:eastAsia="es-CR"/>
        </w:rPr>
      </w:pPr>
      <w:r w:rsidRPr="009F5DDF">
        <w:rPr>
          <w:color w:val="000000"/>
          <w:sz w:val="24"/>
          <w:szCs w:val="24"/>
          <w:lang w:eastAsia="es-CR"/>
        </w:rPr>
        <w:t>La presentación de un plan de acción no elimina la posibilidad de un eventual procedimiento administrativo sancionatorio, en caso de que la Sugef determine la existencia de posibles infracciones a la normativa relacionada.</w:t>
      </w:r>
    </w:p>
    <w:p w14:paraId="3C07E5EF" w14:textId="77777777" w:rsidR="009F5DDF" w:rsidRPr="009F5DDF" w:rsidRDefault="009F5DDF" w:rsidP="009F5DDF">
      <w:pPr>
        <w:widowControl w:val="0"/>
        <w:jc w:val="both"/>
        <w:rPr>
          <w:color w:val="000000"/>
          <w:sz w:val="24"/>
          <w:szCs w:val="24"/>
          <w:lang w:eastAsia="es-CR"/>
        </w:rPr>
      </w:pPr>
    </w:p>
    <w:p w14:paraId="160CE422" w14:textId="77777777" w:rsidR="009F5DDF" w:rsidRPr="009F5DDF" w:rsidRDefault="009F5DDF" w:rsidP="009F5DDF">
      <w:pPr>
        <w:widowControl w:val="0"/>
        <w:ind w:left="426" w:hanging="426"/>
        <w:jc w:val="both"/>
        <w:rPr>
          <w:color w:val="000000"/>
          <w:sz w:val="24"/>
          <w:szCs w:val="24"/>
          <w:lang w:eastAsia="es-CR"/>
        </w:rPr>
      </w:pPr>
      <w:r w:rsidRPr="009F5DDF">
        <w:rPr>
          <w:color w:val="000000"/>
          <w:sz w:val="24"/>
          <w:szCs w:val="24"/>
          <w:lang w:eastAsia="es-CR"/>
        </w:rPr>
        <w:lastRenderedPageBreak/>
        <w:t>D.</w:t>
      </w:r>
      <w:r w:rsidRPr="009F5DDF">
        <w:rPr>
          <w:color w:val="000000"/>
          <w:sz w:val="24"/>
          <w:szCs w:val="24"/>
          <w:lang w:eastAsia="es-CR"/>
        </w:rPr>
        <w:tab/>
        <w:t>Para fomentar la transparencia en la canalización de recursos de la entidad hacia los integrantes de su grupo vinculado, el cumplimiento de los límites de las operaciones activas directas e indirectas y la disciplina de mercado, la SUGEF debe publicar en su página Web lo siguiente:</w:t>
      </w:r>
    </w:p>
    <w:p w14:paraId="0798ABD2" w14:textId="77777777" w:rsidR="009F5DDF" w:rsidRPr="009F5DDF" w:rsidRDefault="009F5DDF" w:rsidP="009F5DDF">
      <w:pPr>
        <w:pStyle w:val="Prrafodelista"/>
        <w:widowControl w:val="0"/>
        <w:ind w:left="360"/>
        <w:jc w:val="both"/>
        <w:rPr>
          <w:color w:val="000000"/>
          <w:lang w:eastAsia="es-CR"/>
        </w:rPr>
      </w:pPr>
    </w:p>
    <w:p w14:paraId="07044500" w14:textId="77777777" w:rsidR="009F5DDF" w:rsidRPr="009F5DDF" w:rsidRDefault="009F5DDF" w:rsidP="009F5DDF">
      <w:pPr>
        <w:widowControl w:val="0"/>
        <w:ind w:left="851" w:hanging="425"/>
        <w:jc w:val="both"/>
        <w:rPr>
          <w:color w:val="000000"/>
          <w:sz w:val="24"/>
          <w:szCs w:val="24"/>
          <w:lang w:eastAsia="es-CR"/>
        </w:rPr>
      </w:pPr>
      <w:r w:rsidRPr="009F5DDF">
        <w:rPr>
          <w:color w:val="000000"/>
          <w:sz w:val="24"/>
          <w:szCs w:val="24"/>
          <w:lang w:eastAsia="es-CR"/>
        </w:rPr>
        <w:t>i)</w:t>
      </w:r>
      <w:r w:rsidRPr="009F5DDF">
        <w:rPr>
          <w:color w:val="000000"/>
          <w:sz w:val="24"/>
          <w:szCs w:val="24"/>
          <w:lang w:eastAsia="es-CR"/>
        </w:rPr>
        <w:tab/>
        <w:t>Los montos de estas operaciones con los grupos vinculados y grupo de interés económico; y</w:t>
      </w:r>
    </w:p>
    <w:p w14:paraId="49D7BCD5" w14:textId="77777777" w:rsidR="009F5DDF" w:rsidRPr="009F5DDF" w:rsidRDefault="009F5DDF" w:rsidP="009F5DDF">
      <w:pPr>
        <w:widowControl w:val="0"/>
        <w:ind w:left="851" w:hanging="425"/>
        <w:jc w:val="both"/>
        <w:rPr>
          <w:color w:val="000000"/>
          <w:sz w:val="24"/>
          <w:szCs w:val="24"/>
          <w:lang w:eastAsia="es-CR"/>
        </w:rPr>
      </w:pPr>
      <w:r w:rsidRPr="009F5DDF">
        <w:rPr>
          <w:color w:val="000000"/>
          <w:sz w:val="24"/>
          <w:szCs w:val="24"/>
          <w:lang w:eastAsia="es-CR"/>
        </w:rPr>
        <w:t>ii)</w:t>
      </w:r>
      <w:r w:rsidRPr="009F5DDF">
        <w:rPr>
          <w:color w:val="000000"/>
          <w:sz w:val="24"/>
          <w:szCs w:val="24"/>
          <w:lang w:eastAsia="es-CR"/>
        </w:rPr>
        <w:tab/>
        <w:t>El porcentaje de estas operaciones según el capital ajustado con el grupo vinculado y grupo de interés económico.</w:t>
      </w:r>
    </w:p>
    <w:p w14:paraId="74741B2E" w14:textId="77777777" w:rsidR="009F5DDF" w:rsidRPr="009F5DDF" w:rsidRDefault="009F5DDF" w:rsidP="009F5DDF">
      <w:pPr>
        <w:widowControl w:val="0"/>
        <w:ind w:left="360"/>
        <w:jc w:val="both"/>
        <w:rPr>
          <w:color w:val="000000"/>
          <w:sz w:val="24"/>
          <w:szCs w:val="24"/>
          <w:lang w:eastAsia="es-CR"/>
        </w:rPr>
      </w:pPr>
    </w:p>
    <w:p w14:paraId="2543B1D1" w14:textId="77777777" w:rsidR="009F5DDF" w:rsidRPr="009F5DDF" w:rsidRDefault="009F5DDF" w:rsidP="009F5DDF">
      <w:pPr>
        <w:widowControl w:val="0"/>
        <w:ind w:left="426" w:hanging="426"/>
        <w:jc w:val="both"/>
        <w:rPr>
          <w:color w:val="000000"/>
          <w:sz w:val="24"/>
          <w:szCs w:val="24"/>
          <w:lang w:eastAsia="es-CR"/>
        </w:rPr>
      </w:pPr>
      <w:r w:rsidRPr="009F5DDF">
        <w:rPr>
          <w:color w:val="000000"/>
          <w:sz w:val="24"/>
          <w:szCs w:val="24"/>
          <w:lang w:eastAsia="es-CR"/>
        </w:rPr>
        <w:t>E.</w:t>
      </w:r>
      <w:r w:rsidRPr="009F5DDF">
        <w:rPr>
          <w:color w:val="000000"/>
          <w:sz w:val="24"/>
          <w:szCs w:val="24"/>
          <w:lang w:eastAsia="es-CR"/>
        </w:rPr>
        <w:tab/>
        <w:t>La reglamentación sobre grupos vinculados y grupos de interés económico requiere ser revisada para atender casos especiales observados en los años en que ha estado aplicándose los acuerdos Sugef 4-04 y 5-04, en especial para normar con mayor precisión las operaciones activas, directas e indirectas, de la entidad o grupo con los vehículos de propósito especial, tales como fideicomisos y fundaciones, que estén vinculados a la entidad o que y sean parte de un grupo de interés económico.  Además, se consideró necesario ajustar el límite de crédito de las operaciones activas directas e indirectas que se consideran y las que se exceptúan de él, de conformidad con el nivel de riesgo con las personas del grupo vinculado y de interés económico.</w:t>
      </w:r>
    </w:p>
    <w:p w14:paraId="31096D60" w14:textId="77777777" w:rsidR="009F5DDF" w:rsidRPr="009F5DDF" w:rsidRDefault="009F5DDF" w:rsidP="009F5DDF">
      <w:pPr>
        <w:pStyle w:val="Prrafodelista"/>
        <w:widowControl w:val="0"/>
        <w:ind w:left="426" w:hanging="426"/>
        <w:jc w:val="both"/>
        <w:rPr>
          <w:color w:val="000000"/>
          <w:lang w:eastAsia="es-CR"/>
        </w:rPr>
      </w:pPr>
    </w:p>
    <w:p w14:paraId="51B5DC88" w14:textId="77777777" w:rsidR="009F5DDF" w:rsidRPr="009F5DDF" w:rsidRDefault="009F5DDF" w:rsidP="009F5DDF">
      <w:pPr>
        <w:widowControl w:val="0"/>
        <w:ind w:left="426" w:hanging="426"/>
        <w:jc w:val="both"/>
        <w:rPr>
          <w:color w:val="000000"/>
          <w:sz w:val="24"/>
          <w:szCs w:val="24"/>
          <w:lang w:eastAsia="es-CR"/>
        </w:rPr>
      </w:pPr>
      <w:r w:rsidRPr="009F5DDF">
        <w:rPr>
          <w:color w:val="000000"/>
          <w:sz w:val="24"/>
          <w:szCs w:val="24"/>
          <w:lang w:eastAsia="es-CR"/>
        </w:rPr>
        <w:t>F.</w:t>
      </w:r>
      <w:r w:rsidRPr="009F5DDF">
        <w:rPr>
          <w:color w:val="000000"/>
          <w:sz w:val="24"/>
          <w:szCs w:val="24"/>
          <w:lang w:eastAsia="es-CR"/>
        </w:rPr>
        <w:tab/>
        <w:t>Las modificaciones de los reglamentos señalados en la consideración anterior son múltiples, por lo que se considera que dichos reglamentos deben ser sustituidos, con el propósito de no alterar el principio de división material del ordenamiento y perjudicar el conocimiento y localización de las disposiciones modificadas.</w:t>
      </w:r>
    </w:p>
    <w:p w14:paraId="48DA3362" w14:textId="77777777" w:rsidR="009F5DDF" w:rsidRPr="009F5DDF" w:rsidRDefault="009F5DDF" w:rsidP="009F5DDF">
      <w:pPr>
        <w:pStyle w:val="Prrafodelista"/>
        <w:widowControl w:val="0"/>
        <w:ind w:left="0"/>
        <w:rPr>
          <w:color w:val="000000"/>
          <w:lang w:eastAsia="es-CR"/>
        </w:rPr>
      </w:pPr>
    </w:p>
    <w:p w14:paraId="75F2189B" w14:textId="77777777" w:rsidR="009F5DDF" w:rsidRPr="009F5DDF" w:rsidRDefault="009F5DDF" w:rsidP="009F5DDF">
      <w:pPr>
        <w:widowControl w:val="0"/>
        <w:ind w:left="426" w:hanging="426"/>
        <w:jc w:val="both"/>
        <w:rPr>
          <w:color w:val="000000"/>
          <w:sz w:val="24"/>
          <w:szCs w:val="24"/>
          <w:lang w:eastAsia="es-CR"/>
        </w:rPr>
      </w:pPr>
      <w:r w:rsidRPr="009F5DDF">
        <w:rPr>
          <w:color w:val="000000"/>
          <w:sz w:val="24"/>
          <w:szCs w:val="24"/>
          <w:lang w:eastAsia="es-CR"/>
        </w:rPr>
        <w:t>G.</w:t>
      </w:r>
      <w:r w:rsidRPr="009F5DDF">
        <w:rPr>
          <w:color w:val="000000"/>
          <w:sz w:val="24"/>
          <w:szCs w:val="24"/>
          <w:lang w:eastAsia="es-CR"/>
        </w:rPr>
        <w:tab/>
        <w:t xml:space="preserve">La modificación integral a los acuerdos Sugef 4-04 y 5-04 es parte del proyecto de </w:t>
      </w:r>
      <w:r w:rsidRPr="009F5DDF">
        <w:rPr>
          <w:i/>
          <w:iCs/>
          <w:color w:val="000000"/>
          <w:sz w:val="24"/>
          <w:szCs w:val="24"/>
          <w:lang w:eastAsia="es-CR"/>
        </w:rPr>
        <w:t>Reglamento sobre Supervisión Consolidada</w:t>
      </w:r>
      <w:r w:rsidRPr="009F5DDF">
        <w:rPr>
          <w:color w:val="000000"/>
          <w:sz w:val="24"/>
          <w:szCs w:val="24"/>
          <w:lang w:eastAsia="es-CR"/>
        </w:rPr>
        <w:t>, el cual fue enviado en consulta externa mediante los artículos 7 y 4, de las actas de las sesiones 1722-2022 y 1723-2022 del 28 de marzo del 2022.</w:t>
      </w:r>
    </w:p>
    <w:p w14:paraId="63A6E2A0" w14:textId="77777777" w:rsidR="009F5DDF" w:rsidRPr="009F5DDF" w:rsidRDefault="009F5DDF" w:rsidP="009F5DDF">
      <w:pPr>
        <w:pStyle w:val="Prrafodelista"/>
        <w:widowControl w:val="0"/>
        <w:ind w:left="426" w:hanging="426"/>
        <w:rPr>
          <w:color w:val="000000"/>
          <w:lang w:eastAsia="es-CR"/>
        </w:rPr>
      </w:pPr>
    </w:p>
    <w:p w14:paraId="1450F8C2" w14:textId="77777777" w:rsidR="009F5DDF" w:rsidRPr="009F5DDF" w:rsidRDefault="009F5DDF" w:rsidP="009F5DDF">
      <w:pPr>
        <w:widowControl w:val="0"/>
        <w:ind w:left="426" w:hanging="426"/>
        <w:jc w:val="both"/>
        <w:rPr>
          <w:color w:val="000000"/>
          <w:sz w:val="24"/>
          <w:szCs w:val="24"/>
          <w:lang w:eastAsia="es-CR"/>
        </w:rPr>
      </w:pPr>
      <w:r w:rsidRPr="009F5DDF">
        <w:rPr>
          <w:color w:val="000000"/>
          <w:sz w:val="24"/>
          <w:szCs w:val="24"/>
          <w:lang w:eastAsia="es-CR"/>
        </w:rPr>
        <w:t>H.</w:t>
      </w:r>
      <w:r w:rsidRPr="009F5DDF">
        <w:rPr>
          <w:color w:val="000000"/>
          <w:sz w:val="24"/>
          <w:szCs w:val="24"/>
          <w:lang w:eastAsia="es-CR"/>
        </w:rPr>
        <w:tab/>
        <w:t>Esta reglamentación exceptúa, para efecto del cálculo del límite, a las operaciones activas de la entidad realizada en operaciones de reporto tripartito, posición vendedor a plazo, por las siguientes razones: i) la entidad no conoce la identidad del comprador a plazo con el que tiene dicha operación, y ii) los instrumentos financieros subyacentes se mantienen en un fideicomiso de garantía, que en este caso es administrado por la Bolsa Nacional de Valores. Por razones similares, se exceptúa también la inversión en Operaciones Diferidas de Liquidez garantizadas en el Mercado Integrado de Liquidez, cuando la contraparte sea diferente al Banco Central de Costa Rica.</w:t>
      </w:r>
    </w:p>
    <w:p w14:paraId="0163DBC9" w14:textId="77777777" w:rsidR="009F5DDF" w:rsidRPr="00A535BE" w:rsidRDefault="009F5DDF" w:rsidP="00A535BE">
      <w:pPr>
        <w:widowControl w:val="0"/>
        <w:jc w:val="both"/>
        <w:rPr>
          <w:color w:val="000000"/>
          <w:sz w:val="18"/>
          <w:szCs w:val="18"/>
          <w:lang w:eastAsia="es-CR"/>
        </w:rPr>
      </w:pPr>
    </w:p>
    <w:p w14:paraId="6EF34F0F" w14:textId="77777777" w:rsidR="009F5DDF" w:rsidRPr="009F5DDF" w:rsidRDefault="009F5DDF" w:rsidP="009F5DDF">
      <w:pPr>
        <w:widowControl w:val="0"/>
        <w:ind w:left="567" w:hanging="567"/>
        <w:jc w:val="both"/>
        <w:rPr>
          <w:b/>
          <w:bCs/>
          <w:color w:val="000000"/>
          <w:sz w:val="24"/>
          <w:szCs w:val="24"/>
          <w:lang w:eastAsia="es-CR"/>
        </w:rPr>
      </w:pPr>
      <w:r w:rsidRPr="009F5DDF">
        <w:rPr>
          <w:b/>
          <w:bCs/>
          <w:color w:val="000000"/>
          <w:sz w:val="24"/>
          <w:szCs w:val="24"/>
          <w:lang w:eastAsia="es-CR"/>
        </w:rPr>
        <w:t>III.</w:t>
      </w:r>
      <w:r w:rsidRPr="009F5DDF">
        <w:rPr>
          <w:b/>
          <w:bCs/>
          <w:color w:val="000000"/>
          <w:sz w:val="24"/>
          <w:szCs w:val="24"/>
          <w:lang w:eastAsia="es-CR"/>
        </w:rPr>
        <w:tab/>
        <w:t>Consideraciones sobre los Principios Básicos para una supervisión bancaria eficaz, emitidos por el Comité de Supervisión Bancaria de Basilea</w:t>
      </w:r>
    </w:p>
    <w:p w14:paraId="072CF6A1" w14:textId="77777777" w:rsidR="009F5DDF" w:rsidRPr="00A535BE" w:rsidRDefault="009F5DDF" w:rsidP="009F5DDF">
      <w:pPr>
        <w:widowControl w:val="0"/>
        <w:jc w:val="both"/>
        <w:rPr>
          <w:color w:val="000000"/>
          <w:sz w:val="18"/>
          <w:szCs w:val="18"/>
          <w:lang w:eastAsia="es-CR"/>
        </w:rPr>
      </w:pPr>
    </w:p>
    <w:p w14:paraId="62FE2706" w14:textId="77777777" w:rsidR="009F5DDF" w:rsidRPr="009F5DDF" w:rsidRDefault="009F5DDF" w:rsidP="009F5DDF">
      <w:pPr>
        <w:widowControl w:val="0"/>
        <w:jc w:val="both"/>
        <w:rPr>
          <w:color w:val="000000"/>
          <w:sz w:val="24"/>
          <w:szCs w:val="24"/>
          <w:lang w:eastAsia="es-CR"/>
        </w:rPr>
      </w:pPr>
      <w:r w:rsidRPr="009F5DDF">
        <w:rPr>
          <w:color w:val="000000"/>
          <w:sz w:val="24"/>
          <w:szCs w:val="24"/>
          <w:lang w:eastAsia="es-CR"/>
        </w:rPr>
        <w:t>Esta reglamentación tiene por objeto, dentro de lo que lo permita el ordenamiento jurídico aplicable, cumplir con lo que recomiendan los Principios Básicos para una supervisión bancaria eficaz, emitidos por el Comité de Supervisión Bancaria de Basilea, principalmente con lo recomendado por los Principios 19 y 20.</w:t>
      </w:r>
    </w:p>
    <w:p w14:paraId="4B2BF549" w14:textId="77777777" w:rsidR="009F5DDF" w:rsidRPr="009F5DDF" w:rsidRDefault="009F5DDF" w:rsidP="009F5DDF">
      <w:pPr>
        <w:widowControl w:val="0"/>
        <w:jc w:val="both"/>
        <w:rPr>
          <w:color w:val="000000"/>
          <w:sz w:val="24"/>
          <w:szCs w:val="24"/>
          <w:lang w:eastAsia="es-CR"/>
        </w:rPr>
      </w:pPr>
    </w:p>
    <w:p w14:paraId="706DBEC5" w14:textId="77777777" w:rsidR="009F5DDF" w:rsidRPr="009F5DDF" w:rsidRDefault="009F5DDF" w:rsidP="009F5DDF">
      <w:pPr>
        <w:widowControl w:val="0"/>
        <w:ind w:left="426" w:hanging="426"/>
        <w:jc w:val="both"/>
        <w:rPr>
          <w:color w:val="000000"/>
          <w:sz w:val="24"/>
          <w:szCs w:val="24"/>
          <w:lang w:eastAsia="es-CR"/>
        </w:rPr>
      </w:pPr>
      <w:r w:rsidRPr="009F5DDF">
        <w:rPr>
          <w:color w:val="000000"/>
          <w:sz w:val="24"/>
          <w:szCs w:val="24"/>
          <w:lang w:eastAsia="es-CR"/>
        </w:rPr>
        <w:t>A.</w:t>
      </w:r>
      <w:r w:rsidRPr="009F5DDF">
        <w:rPr>
          <w:color w:val="000000"/>
          <w:sz w:val="24"/>
          <w:szCs w:val="24"/>
          <w:lang w:eastAsia="es-CR"/>
        </w:rPr>
        <w:tab/>
        <w:t>Principio 19: Concentración de riesgos y límites de exposición a grandes riesgos. Exige que la legislación local y la reglamentación fijen límites prudenciales sobre grandes exposiciones frente a un mismo prestatario o grupo de prestatarios conectados.</w:t>
      </w:r>
    </w:p>
    <w:p w14:paraId="3D3C6FD2" w14:textId="77777777" w:rsidR="009F5DDF" w:rsidRPr="009F5DDF" w:rsidRDefault="009F5DDF" w:rsidP="009F5DDF">
      <w:pPr>
        <w:widowControl w:val="0"/>
        <w:ind w:left="426" w:hanging="426"/>
        <w:jc w:val="both"/>
        <w:rPr>
          <w:color w:val="000000"/>
          <w:sz w:val="24"/>
          <w:szCs w:val="24"/>
          <w:lang w:eastAsia="es-CR"/>
        </w:rPr>
      </w:pPr>
    </w:p>
    <w:p w14:paraId="529AA6A0" w14:textId="77777777" w:rsidR="009F5DDF" w:rsidRPr="009F5DDF" w:rsidRDefault="009F5DDF" w:rsidP="009F5DDF">
      <w:pPr>
        <w:widowControl w:val="0"/>
        <w:ind w:left="426"/>
        <w:jc w:val="both"/>
        <w:rPr>
          <w:color w:val="000000"/>
          <w:sz w:val="24"/>
          <w:szCs w:val="24"/>
          <w:lang w:eastAsia="es-CR"/>
        </w:rPr>
      </w:pPr>
      <w:r w:rsidRPr="009F5DDF">
        <w:rPr>
          <w:color w:val="000000"/>
          <w:sz w:val="24"/>
          <w:szCs w:val="24"/>
          <w:lang w:eastAsia="es-CR"/>
        </w:rPr>
        <w:t>Esta regulación sobre grandes exposiciones al riesgo ha sido concebida como herramienta para limitar la pérdida máxima que una entidad puede sufrir en caso de quebrar alguna de sus contrapartes a un nivel que no hiciera peligrar la solvencia de la entidad.</w:t>
      </w:r>
    </w:p>
    <w:p w14:paraId="11F73214" w14:textId="77777777" w:rsidR="009F5DDF" w:rsidRPr="009F5DDF" w:rsidRDefault="009F5DDF" w:rsidP="009F5DDF">
      <w:pPr>
        <w:widowControl w:val="0"/>
        <w:ind w:left="426" w:hanging="426"/>
        <w:jc w:val="both"/>
        <w:rPr>
          <w:color w:val="000000"/>
          <w:sz w:val="24"/>
          <w:szCs w:val="24"/>
          <w:lang w:eastAsia="es-CR"/>
        </w:rPr>
      </w:pPr>
    </w:p>
    <w:p w14:paraId="5348D699" w14:textId="77777777" w:rsidR="009F5DDF" w:rsidRPr="009F5DDF" w:rsidRDefault="009F5DDF" w:rsidP="009F5DDF">
      <w:pPr>
        <w:widowControl w:val="0"/>
        <w:ind w:left="426" w:hanging="426"/>
        <w:jc w:val="both"/>
        <w:rPr>
          <w:color w:val="000000"/>
          <w:sz w:val="24"/>
          <w:szCs w:val="24"/>
          <w:lang w:eastAsia="es-CR"/>
        </w:rPr>
      </w:pPr>
      <w:r w:rsidRPr="009F5DDF">
        <w:rPr>
          <w:color w:val="000000"/>
          <w:sz w:val="24"/>
          <w:szCs w:val="24"/>
          <w:lang w:eastAsia="es-CR"/>
        </w:rPr>
        <w:t>B.</w:t>
      </w:r>
      <w:r w:rsidRPr="009F5DDF">
        <w:rPr>
          <w:color w:val="000000"/>
          <w:sz w:val="24"/>
          <w:szCs w:val="24"/>
          <w:lang w:eastAsia="es-CR"/>
        </w:rPr>
        <w:tab/>
        <w:t xml:space="preserve">Principio 20: Transacciones con partes vinculadas. </w:t>
      </w:r>
    </w:p>
    <w:p w14:paraId="2C5D814D" w14:textId="77777777" w:rsidR="009F5DDF" w:rsidRPr="009F5DDF" w:rsidRDefault="009F5DDF" w:rsidP="009F5DDF">
      <w:pPr>
        <w:widowControl w:val="0"/>
        <w:ind w:left="426"/>
        <w:jc w:val="both"/>
        <w:rPr>
          <w:color w:val="000000"/>
          <w:sz w:val="24"/>
          <w:szCs w:val="24"/>
          <w:lang w:eastAsia="es-CR"/>
        </w:rPr>
      </w:pPr>
      <w:r w:rsidRPr="009F5DDF">
        <w:rPr>
          <w:color w:val="000000"/>
          <w:sz w:val="24"/>
          <w:szCs w:val="24"/>
          <w:lang w:eastAsia="es-CR"/>
        </w:rPr>
        <w:t>Lo que se pretende es evitar que surjan abusos en las transacciones con las partes vinculadas y abordar el riesgo de conflicto de intereses, que la entidad celebre cualquier transacción con partes vinculadas en condiciones de plena competencia; supervisar estas transacciones; tomar las medidas adecuadas para controlar o mitigar los riesgos.</w:t>
      </w:r>
    </w:p>
    <w:p w14:paraId="1A363906" w14:textId="77777777" w:rsidR="009F5DDF" w:rsidRPr="009F5DDF" w:rsidRDefault="009F5DDF" w:rsidP="009F5DDF">
      <w:pPr>
        <w:widowControl w:val="0"/>
        <w:jc w:val="both"/>
        <w:rPr>
          <w:color w:val="000000"/>
          <w:sz w:val="24"/>
          <w:szCs w:val="24"/>
          <w:lang w:eastAsia="es-CR"/>
        </w:rPr>
      </w:pPr>
      <w:bookmarkStart w:id="0" w:name="_Hlk113010793"/>
    </w:p>
    <w:bookmarkEnd w:id="0"/>
    <w:p w14:paraId="2D364AB0" w14:textId="77777777" w:rsidR="009F5DDF" w:rsidRPr="009F5DDF" w:rsidRDefault="009F5DDF" w:rsidP="009F5DDF">
      <w:pPr>
        <w:widowControl w:val="0"/>
        <w:ind w:left="426"/>
        <w:jc w:val="both"/>
        <w:rPr>
          <w:color w:val="000000"/>
          <w:sz w:val="24"/>
          <w:szCs w:val="24"/>
          <w:lang w:eastAsia="es-CR"/>
        </w:rPr>
      </w:pPr>
      <w:r w:rsidRPr="009F5DDF">
        <w:rPr>
          <w:color w:val="000000"/>
          <w:sz w:val="24"/>
          <w:szCs w:val="24"/>
          <w:lang w:eastAsia="es-CR"/>
        </w:rPr>
        <w:t>La actualización de la reglamentación, con base en estos principios, constituye un avance en el objetivo de procurar un marco de regulación prudencial alineado con los estándares y las mejores prácticas internacionales.</w:t>
      </w:r>
    </w:p>
    <w:p w14:paraId="16DBFB8F" w14:textId="77777777" w:rsidR="009F5DDF" w:rsidRPr="009F5DDF" w:rsidRDefault="009F5DDF" w:rsidP="009F5DDF">
      <w:pPr>
        <w:widowControl w:val="0"/>
        <w:jc w:val="both"/>
        <w:rPr>
          <w:color w:val="000000"/>
          <w:sz w:val="24"/>
          <w:szCs w:val="24"/>
          <w:lang w:eastAsia="es-CR"/>
        </w:rPr>
      </w:pPr>
    </w:p>
    <w:p w14:paraId="104E6A94" w14:textId="77777777" w:rsidR="009F5DDF" w:rsidRPr="009F5DDF" w:rsidRDefault="009F5DDF" w:rsidP="009F5DDF">
      <w:pPr>
        <w:widowControl w:val="0"/>
        <w:jc w:val="both"/>
        <w:rPr>
          <w:b/>
          <w:bCs/>
          <w:sz w:val="24"/>
          <w:szCs w:val="24"/>
          <w:lang w:eastAsia="es-CR"/>
        </w:rPr>
      </w:pPr>
      <w:r w:rsidRPr="009F5DDF">
        <w:rPr>
          <w:b/>
          <w:bCs/>
          <w:sz w:val="24"/>
          <w:szCs w:val="24"/>
          <w:lang w:eastAsia="es-CR"/>
        </w:rPr>
        <w:t>IV.</w:t>
      </w:r>
      <w:r w:rsidRPr="009F5DDF">
        <w:rPr>
          <w:b/>
          <w:bCs/>
          <w:sz w:val="24"/>
          <w:szCs w:val="24"/>
          <w:lang w:eastAsia="es-CR"/>
        </w:rPr>
        <w:tab/>
        <w:t>Otras consideraciones</w:t>
      </w:r>
    </w:p>
    <w:p w14:paraId="2B5B6A23" w14:textId="77777777" w:rsidR="009F5DDF" w:rsidRPr="009F5DDF" w:rsidRDefault="009F5DDF" w:rsidP="009F5DDF">
      <w:pPr>
        <w:widowControl w:val="0"/>
        <w:jc w:val="both"/>
        <w:rPr>
          <w:b/>
          <w:bCs/>
          <w:sz w:val="24"/>
          <w:szCs w:val="24"/>
          <w:lang w:eastAsia="es-CR"/>
        </w:rPr>
      </w:pPr>
    </w:p>
    <w:p w14:paraId="6D03874B" w14:textId="310F527F" w:rsidR="009F5DDF" w:rsidRDefault="009F5DDF" w:rsidP="009F5DDF">
      <w:pPr>
        <w:widowControl w:val="0"/>
        <w:ind w:left="426" w:hanging="426"/>
        <w:jc w:val="both"/>
        <w:rPr>
          <w:sz w:val="24"/>
          <w:szCs w:val="24"/>
        </w:rPr>
      </w:pPr>
      <w:bookmarkStart w:id="1" w:name="_Hlk101337262"/>
      <w:r w:rsidRPr="009F5DDF">
        <w:rPr>
          <w:sz w:val="24"/>
          <w:szCs w:val="24"/>
        </w:rPr>
        <w:t>A.</w:t>
      </w:r>
      <w:r w:rsidRPr="009F5DDF">
        <w:rPr>
          <w:sz w:val="24"/>
          <w:szCs w:val="24"/>
        </w:rPr>
        <w:tab/>
        <w:t xml:space="preserve">Mediante artículo 7 del acta de la sesión 1760-2022, celebrada el 26 de setiembre del 2022 el Conassif envió en consulta externa la propuesta de reglamento denominada: </w:t>
      </w:r>
      <w:r w:rsidRPr="009F5DDF">
        <w:rPr>
          <w:i/>
          <w:iCs/>
          <w:sz w:val="24"/>
          <w:szCs w:val="24"/>
        </w:rPr>
        <w:t xml:space="preserve">Reglamento sobre límites a las operaciones activas directas e indirectas de una entidad supervisada, Acuerdo SUGEF 4-22, </w:t>
      </w:r>
      <w:r w:rsidRPr="009F5DDF">
        <w:rPr>
          <w:sz w:val="24"/>
          <w:szCs w:val="24"/>
        </w:rPr>
        <w:t>por un plazo máximo de 10 días hábiles.</w:t>
      </w:r>
    </w:p>
    <w:p w14:paraId="3B6A4C7F" w14:textId="77777777" w:rsidR="009F5DDF" w:rsidRPr="009F5DDF" w:rsidRDefault="009F5DDF" w:rsidP="009F5DDF">
      <w:pPr>
        <w:widowControl w:val="0"/>
        <w:ind w:left="426"/>
        <w:jc w:val="both"/>
        <w:rPr>
          <w:sz w:val="24"/>
          <w:szCs w:val="24"/>
        </w:rPr>
      </w:pPr>
      <w:r w:rsidRPr="009F5DDF">
        <w:rPr>
          <w:sz w:val="24"/>
          <w:szCs w:val="24"/>
        </w:rPr>
        <w:t>Producto de la consulta se recibieron 20 observaciones y comentarios, los cuales fueron revisados y en lo pertinente consideradas en la propuesta de reglamento.</w:t>
      </w:r>
      <w:bookmarkEnd w:id="1"/>
    </w:p>
    <w:p w14:paraId="78056E8A" w14:textId="77777777" w:rsidR="009F5DDF" w:rsidRPr="009F5DDF" w:rsidRDefault="009F5DDF" w:rsidP="009F5DDF">
      <w:pPr>
        <w:widowControl w:val="0"/>
        <w:ind w:left="426" w:hanging="426"/>
        <w:jc w:val="both"/>
        <w:rPr>
          <w:sz w:val="24"/>
          <w:szCs w:val="24"/>
        </w:rPr>
      </w:pPr>
    </w:p>
    <w:p w14:paraId="036E8C23" w14:textId="77777777" w:rsidR="009F5DDF" w:rsidRPr="009F5DDF" w:rsidRDefault="009F5DDF" w:rsidP="009F5DDF">
      <w:pPr>
        <w:widowControl w:val="0"/>
        <w:ind w:left="426" w:hanging="426"/>
        <w:jc w:val="both"/>
        <w:rPr>
          <w:sz w:val="24"/>
          <w:szCs w:val="24"/>
        </w:rPr>
      </w:pPr>
      <w:r w:rsidRPr="009F5DDF">
        <w:rPr>
          <w:sz w:val="24"/>
          <w:szCs w:val="24"/>
        </w:rPr>
        <w:t>B.</w:t>
      </w:r>
      <w:r w:rsidRPr="009F5DDF">
        <w:rPr>
          <w:sz w:val="24"/>
          <w:szCs w:val="24"/>
        </w:rPr>
        <w:tab/>
        <w:t xml:space="preserve">La Evaluación Costo-Beneficio de la regulación se realiza de conformidad con lo establecido en los artículos 1 y 12 de la </w:t>
      </w:r>
      <w:r w:rsidRPr="009F5DDF">
        <w:rPr>
          <w:i/>
          <w:iCs/>
          <w:sz w:val="24"/>
          <w:szCs w:val="24"/>
        </w:rPr>
        <w:t>Ley Protección al ciudadano del exceso de requisitos y trámites administrativos</w:t>
      </w:r>
      <w:r w:rsidRPr="009F5DDF">
        <w:rPr>
          <w:sz w:val="24"/>
          <w:szCs w:val="24"/>
        </w:rPr>
        <w:t xml:space="preserve">, Ley 8220, y en los artículos 12, 12bis, 13, 13 bis y 56 al 60bis del </w:t>
      </w:r>
      <w:r w:rsidRPr="009F5DDF">
        <w:rPr>
          <w:i/>
          <w:iCs/>
          <w:sz w:val="24"/>
          <w:szCs w:val="24"/>
        </w:rPr>
        <w:t>Reglamento a la Ley de Protección al Ciudadano del Exceso de Requisitos y Trámites Administrativos</w:t>
      </w:r>
      <w:r w:rsidRPr="009F5DDF">
        <w:rPr>
          <w:sz w:val="24"/>
          <w:szCs w:val="24"/>
        </w:rPr>
        <w:t>, 37045- MP-MEIC. Dicha regulación indica que la Administración Pública debe realizar un análisis de impacto regulatorio mediante una evaluación costo-beneficio antes de emitir cualquier nueva regulación o reformar las existentes, cuando establezcan trámites, requisitos y procedimientos que deba cumplir el administrado ante la Administración. De dicho análisis se determinó que se establecen requisitos o procedimientos que la entidad deba cumplir ante la SUGEF, por lo que se realizó el control previo ante la Dirección de Mejora Regulatoria del Ministerio de Economía, Industria y Comercio (Meic). El Meic mediante informe de referencia DMR-DAR-INF-163-2022 del 30 de noviembre del 2022 indica que esta propuesta cumple con los principios de Mejora Regulatoria.</w:t>
      </w:r>
    </w:p>
    <w:p w14:paraId="4302D2B0" w14:textId="77777777" w:rsidR="009F5DDF" w:rsidRPr="009F5DDF" w:rsidRDefault="009F5DDF" w:rsidP="009F5DDF">
      <w:pPr>
        <w:widowControl w:val="0"/>
        <w:jc w:val="both"/>
        <w:rPr>
          <w:color w:val="000000"/>
          <w:sz w:val="24"/>
          <w:szCs w:val="24"/>
          <w:lang w:eastAsia="es-CR"/>
        </w:rPr>
      </w:pPr>
    </w:p>
    <w:p w14:paraId="5E5977B6" w14:textId="77777777" w:rsidR="009F5DDF" w:rsidRPr="009F5DDF" w:rsidRDefault="009F5DDF" w:rsidP="009F5DDF">
      <w:pPr>
        <w:widowControl w:val="0"/>
        <w:jc w:val="both"/>
        <w:rPr>
          <w:b/>
          <w:bCs/>
          <w:color w:val="000000"/>
          <w:sz w:val="24"/>
          <w:szCs w:val="24"/>
          <w:lang w:eastAsia="es-CR"/>
        </w:rPr>
      </w:pPr>
      <w:r w:rsidRPr="009F5DDF">
        <w:rPr>
          <w:b/>
          <w:bCs/>
          <w:color w:val="000000"/>
          <w:sz w:val="24"/>
          <w:szCs w:val="24"/>
          <w:lang w:eastAsia="es-CR"/>
        </w:rPr>
        <w:t>dispuso en firme:</w:t>
      </w:r>
    </w:p>
    <w:p w14:paraId="29526FCA" w14:textId="77777777" w:rsidR="009F5DDF" w:rsidRPr="009F5DDF" w:rsidRDefault="009F5DDF" w:rsidP="009F5DDF">
      <w:pPr>
        <w:widowControl w:val="0"/>
        <w:jc w:val="both"/>
        <w:rPr>
          <w:color w:val="000000"/>
          <w:sz w:val="24"/>
          <w:szCs w:val="24"/>
          <w:lang w:eastAsia="es-CR"/>
        </w:rPr>
      </w:pPr>
    </w:p>
    <w:p w14:paraId="5A9756B9" w14:textId="77777777" w:rsidR="009F5DDF" w:rsidRPr="009F5DDF" w:rsidRDefault="009F5DDF" w:rsidP="009F5DDF">
      <w:pPr>
        <w:widowControl w:val="0"/>
        <w:jc w:val="both"/>
        <w:rPr>
          <w:color w:val="000000"/>
          <w:sz w:val="24"/>
          <w:szCs w:val="24"/>
          <w:lang w:eastAsia="es-CR"/>
        </w:rPr>
      </w:pPr>
      <w:r w:rsidRPr="009F5DDF">
        <w:rPr>
          <w:color w:val="000000"/>
          <w:sz w:val="24"/>
          <w:szCs w:val="24"/>
          <w:lang w:eastAsia="es-CR"/>
        </w:rPr>
        <w:lastRenderedPageBreak/>
        <w:t xml:space="preserve">aprobar el </w:t>
      </w:r>
      <w:r w:rsidRPr="009F5DDF">
        <w:rPr>
          <w:i/>
          <w:iCs/>
          <w:color w:val="000000"/>
          <w:sz w:val="24"/>
          <w:szCs w:val="24"/>
          <w:lang w:eastAsia="es-CR"/>
        </w:rPr>
        <w:t>Reglamento sobre límites a las operaciones activas directas e indirectas de una entidad supervisada</w:t>
      </w:r>
      <w:r w:rsidRPr="009F5DDF">
        <w:rPr>
          <w:color w:val="000000"/>
          <w:sz w:val="24"/>
          <w:szCs w:val="24"/>
          <w:lang w:eastAsia="es-CR"/>
        </w:rPr>
        <w:t>, Acuerdo SUGEF 4-22, conforme con el siguiente texto:</w:t>
      </w:r>
    </w:p>
    <w:p w14:paraId="7AE6D5D7" w14:textId="77777777" w:rsidR="009F5DDF" w:rsidRPr="009F5DDF" w:rsidRDefault="009F5DDF" w:rsidP="009F5DDF">
      <w:pPr>
        <w:rPr>
          <w:sz w:val="24"/>
          <w:szCs w:val="24"/>
        </w:rPr>
      </w:pPr>
    </w:p>
    <w:p w14:paraId="04A682C2" w14:textId="77777777" w:rsidR="009F5DDF" w:rsidRPr="009F5DDF" w:rsidRDefault="009F5DDF" w:rsidP="009F5DDF">
      <w:pPr>
        <w:jc w:val="center"/>
        <w:rPr>
          <w:b/>
          <w:bCs/>
          <w:sz w:val="24"/>
          <w:szCs w:val="24"/>
        </w:rPr>
      </w:pPr>
      <w:r w:rsidRPr="009F5DDF">
        <w:rPr>
          <w:b/>
          <w:bCs/>
          <w:sz w:val="24"/>
          <w:szCs w:val="24"/>
        </w:rPr>
        <w:t>“REGLAMENTO SOBRE LÍMITES A LAS OPERACIONES ACTIVAS, DIRECTAS E INDIRECTAS, DE UNA ENTIDAD SUPERVISADA, ACUERDO SUGEF 4-22</w:t>
      </w:r>
    </w:p>
    <w:p w14:paraId="02F30474" w14:textId="77777777" w:rsidR="009F5DDF" w:rsidRPr="009F5DDF" w:rsidRDefault="009F5DDF" w:rsidP="009F5DDF">
      <w:pPr>
        <w:rPr>
          <w:sz w:val="24"/>
          <w:szCs w:val="24"/>
        </w:rPr>
      </w:pPr>
    </w:p>
    <w:p w14:paraId="25455D1E" w14:textId="77777777" w:rsidR="009F5DDF" w:rsidRPr="009F5DDF" w:rsidRDefault="009F5DDF" w:rsidP="009F5DDF">
      <w:pPr>
        <w:pStyle w:val="Ttulo1"/>
        <w:keepNext w:val="0"/>
        <w:widowControl w:val="0"/>
        <w:rPr>
          <w:b/>
          <w:bCs/>
          <w:color w:val="000000"/>
          <w:szCs w:val="24"/>
        </w:rPr>
      </w:pPr>
      <w:bookmarkStart w:id="2" w:name="_Toc121318999"/>
      <w:r w:rsidRPr="009F5DDF">
        <w:rPr>
          <w:b/>
          <w:bCs/>
          <w:color w:val="000000"/>
          <w:szCs w:val="24"/>
        </w:rPr>
        <w:t>CAPITULO I.</w:t>
      </w:r>
      <w:bookmarkEnd w:id="2"/>
    </w:p>
    <w:p w14:paraId="7112216F" w14:textId="77777777" w:rsidR="009F5DDF" w:rsidRPr="009F5DDF" w:rsidRDefault="009F5DDF" w:rsidP="009F5DDF">
      <w:pPr>
        <w:pStyle w:val="Ttulo1"/>
        <w:keepNext w:val="0"/>
        <w:widowControl w:val="0"/>
        <w:rPr>
          <w:b/>
          <w:bCs/>
          <w:color w:val="000000"/>
          <w:szCs w:val="24"/>
        </w:rPr>
      </w:pPr>
      <w:bookmarkStart w:id="3" w:name="_Toc121319000"/>
      <w:r w:rsidRPr="009F5DDF">
        <w:rPr>
          <w:b/>
          <w:bCs/>
          <w:color w:val="000000"/>
          <w:szCs w:val="24"/>
        </w:rPr>
        <w:t>DISPOSICIONES GENERALES</w:t>
      </w:r>
      <w:bookmarkEnd w:id="3"/>
    </w:p>
    <w:p w14:paraId="5F99A1D9" w14:textId="77777777" w:rsidR="009F5DDF" w:rsidRPr="009F5DDF" w:rsidRDefault="009F5DDF" w:rsidP="009F5DDF">
      <w:pPr>
        <w:rPr>
          <w:b/>
          <w:i/>
          <w:iCs/>
          <w:sz w:val="24"/>
          <w:szCs w:val="24"/>
        </w:rPr>
      </w:pPr>
      <w:bookmarkStart w:id="4" w:name="RANGE!C42"/>
      <w:bookmarkStart w:id="5" w:name="_Toc111020899"/>
      <w:bookmarkStart w:id="6" w:name="_Toc113009315"/>
    </w:p>
    <w:p w14:paraId="23E2EBDC" w14:textId="77777777" w:rsidR="009F5DDF" w:rsidRPr="009F5DDF" w:rsidRDefault="009F5DDF" w:rsidP="009F5DDF">
      <w:pPr>
        <w:pStyle w:val="Ttulo2"/>
        <w:keepNext w:val="0"/>
        <w:widowControl w:val="0"/>
        <w:rPr>
          <w:bCs/>
          <w:i/>
          <w:iCs/>
          <w:color w:val="000000"/>
          <w:sz w:val="24"/>
          <w:szCs w:val="24"/>
        </w:rPr>
      </w:pPr>
      <w:bookmarkStart w:id="7" w:name="_Toc121319001"/>
      <w:bookmarkEnd w:id="4"/>
      <w:bookmarkEnd w:id="5"/>
      <w:bookmarkEnd w:id="6"/>
      <w:r w:rsidRPr="009F5DDF">
        <w:rPr>
          <w:color w:val="000000"/>
          <w:sz w:val="24"/>
          <w:szCs w:val="24"/>
        </w:rPr>
        <w:t>Artículo 1.  Objeto.</w:t>
      </w:r>
      <w:bookmarkEnd w:id="7"/>
    </w:p>
    <w:p w14:paraId="537F0B39" w14:textId="77777777" w:rsidR="009F5DDF" w:rsidRPr="009F5DDF" w:rsidRDefault="009F5DDF" w:rsidP="009F5DDF">
      <w:pPr>
        <w:jc w:val="both"/>
        <w:rPr>
          <w:sz w:val="24"/>
          <w:szCs w:val="24"/>
        </w:rPr>
      </w:pPr>
      <w:bookmarkStart w:id="8" w:name="RANGE!C43"/>
      <w:r w:rsidRPr="009F5DDF">
        <w:rPr>
          <w:sz w:val="24"/>
          <w:szCs w:val="24"/>
        </w:rPr>
        <w:t>Este reglamento tiene por objeto establecer los criterios para la conformación del grupo vinculado a la entidad financiera y de los grupos de interés económico, así como el tratamiento de los límites aplicables a las operaciones activas, directas e indirectas, realizadas con el grupo vinculado a la entidad financiera, con un grupo de interés económico y con deudores individuales.</w:t>
      </w:r>
    </w:p>
    <w:bookmarkEnd w:id="8"/>
    <w:p w14:paraId="4BDE5B4E" w14:textId="77777777" w:rsidR="009F5DDF" w:rsidRPr="009F5DDF" w:rsidRDefault="009F5DDF" w:rsidP="009F5DDF">
      <w:pPr>
        <w:rPr>
          <w:sz w:val="24"/>
          <w:szCs w:val="24"/>
        </w:rPr>
      </w:pPr>
    </w:p>
    <w:p w14:paraId="2C6191C2" w14:textId="77777777" w:rsidR="009F5DDF" w:rsidRPr="009F5DDF" w:rsidRDefault="009F5DDF" w:rsidP="009F5DDF">
      <w:pPr>
        <w:pStyle w:val="Ttulo2"/>
        <w:keepNext w:val="0"/>
        <w:widowControl w:val="0"/>
        <w:rPr>
          <w:bCs/>
          <w:i/>
          <w:iCs/>
          <w:color w:val="000000"/>
          <w:sz w:val="24"/>
          <w:szCs w:val="24"/>
        </w:rPr>
      </w:pPr>
      <w:bookmarkStart w:id="9" w:name="_Toc121319002"/>
      <w:r w:rsidRPr="009F5DDF">
        <w:rPr>
          <w:color w:val="000000"/>
          <w:sz w:val="24"/>
          <w:szCs w:val="24"/>
        </w:rPr>
        <w:t>Artículo 2. Alcance</w:t>
      </w:r>
      <w:bookmarkEnd w:id="9"/>
      <w:r w:rsidRPr="009F5DDF">
        <w:rPr>
          <w:color w:val="000000"/>
          <w:sz w:val="24"/>
          <w:szCs w:val="24"/>
        </w:rPr>
        <w:t xml:space="preserve"> </w:t>
      </w:r>
    </w:p>
    <w:p w14:paraId="362191D3" w14:textId="77777777" w:rsidR="009F5DDF" w:rsidRPr="009F5DDF" w:rsidRDefault="009F5DDF" w:rsidP="009F5DDF">
      <w:pPr>
        <w:jc w:val="both"/>
        <w:rPr>
          <w:sz w:val="24"/>
          <w:szCs w:val="24"/>
        </w:rPr>
      </w:pPr>
      <w:r w:rsidRPr="009F5DDF">
        <w:rPr>
          <w:sz w:val="24"/>
          <w:szCs w:val="24"/>
        </w:rPr>
        <w:t>Este reglamento es aplicable a las entidades supervisadas por la SUGEF, excepto las casas de cambio y las entidades supervisadas por el artículo 15 y 15 Bis de la Ley sobre estupefacientes, sustancias psicotrópicas, drogas de uso no autorizado, actividades conexas, legitimación de capitales y financiamiento al terrorismo, Ley 7786.</w:t>
      </w:r>
    </w:p>
    <w:p w14:paraId="40E41708" w14:textId="77777777" w:rsidR="009F5DDF" w:rsidRPr="009F5DDF" w:rsidRDefault="009F5DDF" w:rsidP="009F5DDF">
      <w:pPr>
        <w:rPr>
          <w:sz w:val="24"/>
          <w:szCs w:val="24"/>
        </w:rPr>
      </w:pPr>
    </w:p>
    <w:p w14:paraId="09545D69" w14:textId="77777777" w:rsidR="009F5DDF" w:rsidRPr="009F5DDF" w:rsidRDefault="009F5DDF" w:rsidP="009F5DDF">
      <w:pPr>
        <w:jc w:val="both"/>
        <w:rPr>
          <w:sz w:val="24"/>
          <w:szCs w:val="24"/>
        </w:rPr>
      </w:pPr>
      <w:r w:rsidRPr="009F5DDF">
        <w:rPr>
          <w:sz w:val="24"/>
          <w:szCs w:val="24"/>
        </w:rPr>
        <w:t>Las operaciones activas, directas e indirectas, que realice la entidad con el Banco Central, el Ministerio de Hacienda y en deuda soberana de países con calificación de grado de inversión igual o superior a AA no están sujeta a estos límites.</w:t>
      </w:r>
    </w:p>
    <w:p w14:paraId="04902DE9" w14:textId="77777777" w:rsidR="009F5DDF" w:rsidRPr="009F5DDF" w:rsidRDefault="009F5DDF" w:rsidP="009F5DDF">
      <w:pPr>
        <w:rPr>
          <w:sz w:val="24"/>
          <w:szCs w:val="24"/>
        </w:rPr>
      </w:pPr>
    </w:p>
    <w:p w14:paraId="2A3DEFEE" w14:textId="77777777" w:rsidR="009F5DDF" w:rsidRPr="009F5DDF" w:rsidRDefault="009F5DDF" w:rsidP="009F5DDF">
      <w:pPr>
        <w:pStyle w:val="Ttulo2"/>
        <w:widowControl w:val="0"/>
        <w:rPr>
          <w:bCs/>
          <w:i/>
          <w:iCs/>
          <w:color w:val="000000"/>
          <w:sz w:val="24"/>
          <w:szCs w:val="24"/>
        </w:rPr>
      </w:pPr>
      <w:bookmarkStart w:id="10" w:name="_Toc121319003"/>
      <w:r w:rsidRPr="009F5DDF">
        <w:rPr>
          <w:color w:val="000000"/>
          <w:sz w:val="24"/>
          <w:szCs w:val="24"/>
        </w:rPr>
        <w:t>Artículo 3. Definiciones y abreviaturas</w:t>
      </w:r>
      <w:bookmarkEnd w:id="10"/>
    </w:p>
    <w:p w14:paraId="252A3E5A" w14:textId="77777777" w:rsidR="009F5DDF" w:rsidRPr="009F5DDF" w:rsidRDefault="009F5DDF" w:rsidP="009F5DDF">
      <w:pPr>
        <w:keepNext/>
        <w:jc w:val="both"/>
        <w:rPr>
          <w:sz w:val="24"/>
          <w:szCs w:val="24"/>
        </w:rPr>
      </w:pPr>
      <w:r w:rsidRPr="009F5DDF">
        <w:rPr>
          <w:sz w:val="24"/>
          <w:szCs w:val="24"/>
        </w:rPr>
        <w:t>Este reglamento incorpora como propias las definiciones dispuestas en la reglamentación vigente, aprobada por el CONASSIF.  Además, se establecen las siguientes definiciones y abreviaturas:</w:t>
      </w:r>
    </w:p>
    <w:p w14:paraId="60A6C1B5" w14:textId="77777777" w:rsidR="009F5DDF" w:rsidRPr="009F5DDF" w:rsidRDefault="009F5DDF" w:rsidP="009F5DDF">
      <w:pPr>
        <w:rPr>
          <w:sz w:val="24"/>
          <w:szCs w:val="24"/>
        </w:rPr>
      </w:pPr>
    </w:p>
    <w:p w14:paraId="786233BD" w14:textId="77777777" w:rsidR="009F5DDF" w:rsidRPr="009F5DDF" w:rsidRDefault="009F5DDF" w:rsidP="009F5DDF">
      <w:pPr>
        <w:rPr>
          <w:b/>
          <w:bCs/>
          <w:sz w:val="24"/>
          <w:szCs w:val="24"/>
        </w:rPr>
      </w:pPr>
      <w:r w:rsidRPr="009F5DDF">
        <w:rPr>
          <w:b/>
          <w:bCs/>
          <w:sz w:val="24"/>
          <w:szCs w:val="24"/>
        </w:rPr>
        <w:t>1) Definiciones</w:t>
      </w:r>
    </w:p>
    <w:p w14:paraId="6A67C495" w14:textId="77777777" w:rsidR="009F5DDF" w:rsidRPr="009F5DDF" w:rsidRDefault="009F5DDF" w:rsidP="009F5DDF">
      <w:pPr>
        <w:numPr>
          <w:ilvl w:val="0"/>
          <w:numId w:val="31"/>
        </w:numPr>
        <w:ind w:left="462" w:hanging="360"/>
        <w:jc w:val="both"/>
        <w:rPr>
          <w:sz w:val="24"/>
          <w:szCs w:val="24"/>
        </w:rPr>
      </w:pPr>
      <w:r w:rsidRPr="009F5DDF">
        <w:rPr>
          <w:b/>
          <w:bCs/>
          <w:sz w:val="24"/>
          <w:szCs w:val="24"/>
        </w:rPr>
        <w:t xml:space="preserve">Capital ajustado: </w:t>
      </w:r>
      <w:r w:rsidRPr="009F5DDF">
        <w:rPr>
          <w:sz w:val="24"/>
          <w:szCs w:val="24"/>
        </w:rPr>
        <w:t>Monto de referencia utilizado para el cómputo de los límites a las operaciones activas, directas e indirectas.</w:t>
      </w:r>
      <w:r w:rsidRPr="009F5DDF">
        <w:rPr>
          <w:b/>
          <w:bCs/>
          <w:sz w:val="24"/>
          <w:szCs w:val="24"/>
        </w:rPr>
        <w:t xml:space="preserve"> </w:t>
      </w:r>
      <w:r w:rsidRPr="009F5DDF">
        <w:rPr>
          <w:sz w:val="24"/>
          <w:szCs w:val="24"/>
        </w:rPr>
        <w:t>Está constituido por las referencias contables que están dispuestas en el Anexo I a este reglamento.</w:t>
      </w:r>
    </w:p>
    <w:p w14:paraId="29ED69C3" w14:textId="77777777" w:rsidR="009F5DDF" w:rsidRPr="009F5DDF" w:rsidRDefault="009F5DDF" w:rsidP="009F5DDF">
      <w:pPr>
        <w:numPr>
          <w:ilvl w:val="0"/>
          <w:numId w:val="31"/>
        </w:numPr>
        <w:ind w:left="462" w:hanging="360"/>
        <w:jc w:val="both"/>
        <w:rPr>
          <w:sz w:val="24"/>
          <w:szCs w:val="24"/>
        </w:rPr>
      </w:pPr>
      <w:r w:rsidRPr="009F5DDF">
        <w:rPr>
          <w:b/>
          <w:bCs/>
          <w:sz w:val="24"/>
          <w:szCs w:val="24"/>
        </w:rPr>
        <w:t>Entidad</w:t>
      </w:r>
      <w:r w:rsidRPr="009F5DDF">
        <w:rPr>
          <w:sz w:val="24"/>
          <w:szCs w:val="24"/>
        </w:rPr>
        <w:t xml:space="preserve">: Persona jurídica que es fiscalizada por la SUGEF, debido a la naturaleza de sus operaciones, de conformidad </w:t>
      </w:r>
      <w:r w:rsidRPr="009F5DDF">
        <w:rPr>
          <w:b/>
          <w:bCs/>
          <w:sz w:val="24"/>
          <w:szCs w:val="24"/>
        </w:rPr>
        <w:t>con</w:t>
      </w:r>
      <w:r w:rsidRPr="009F5DDF">
        <w:rPr>
          <w:sz w:val="24"/>
          <w:szCs w:val="24"/>
        </w:rPr>
        <w:t xml:space="preserve"> las leyes especiales que les son aplicables.</w:t>
      </w:r>
    </w:p>
    <w:p w14:paraId="13FF2B52" w14:textId="77777777" w:rsidR="009F5DDF" w:rsidRPr="009F5DDF" w:rsidRDefault="009F5DDF" w:rsidP="009F5DDF">
      <w:pPr>
        <w:numPr>
          <w:ilvl w:val="0"/>
          <w:numId w:val="31"/>
        </w:numPr>
        <w:ind w:left="462" w:hanging="360"/>
        <w:rPr>
          <w:sz w:val="24"/>
          <w:szCs w:val="24"/>
        </w:rPr>
      </w:pPr>
      <w:r w:rsidRPr="009F5DDF">
        <w:rPr>
          <w:b/>
          <w:bCs/>
          <w:sz w:val="24"/>
          <w:szCs w:val="24"/>
        </w:rPr>
        <w:t>Grupo Vinculado.</w:t>
      </w:r>
      <w:r w:rsidRPr="009F5DDF">
        <w:rPr>
          <w:sz w:val="24"/>
          <w:szCs w:val="24"/>
        </w:rPr>
        <w:t xml:space="preserve"> Se constituye por persona física, jurídica u otra figura que cumplan al menos uno de los incisos referidos a las vinculaciones por propiedad. gestión o garantías definidos en este reglamento.</w:t>
      </w:r>
    </w:p>
    <w:p w14:paraId="3F2D9539" w14:textId="77777777" w:rsidR="009F5DDF" w:rsidRPr="009F5DDF" w:rsidRDefault="009F5DDF" w:rsidP="009F5DDF">
      <w:pPr>
        <w:numPr>
          <w:ilvl w:val="0"/>
          <w:numId w:val="31"/>
        </w:numPr>
        <w:ind w:left="462" w:hanging="360"/>
        <w:jc w:val="both"/>
        <w:rPr>
          <w:sz w:val="24"/>
          <w:szCs w:val="24"/>
        </w:rPr>
      </w:pPr>
      <w:r w:rsidRPr="009F5DDF">
        <w:rPr>
          <w:b/>
          <w:bCs/>
          <w:sz w:val="24"/>
          <w:szCs w:val="24"/>
        </w:rPr>
        <w:t>Operaciones activas directas o indirecta</w:t>
      </w:r>
      <w:r w:rsidRPr="009F5DDF">
        <w:rPr>
          <w:sz w:val="24"/>
          <w:szCs w:val="24"/>
        </w:rPr>
        <w:t xml:space="preserve">: Constituye toda operación formalizada por una entidad, cualquiera que sea la modalidad como se instrumente o documente, mediante la cual y bajo la asunción de un riesgo, dicha entidad provea fondos o facilidades crediticias en forma directa, garantice frente a terceros el cumplimiento de obligaciones contraídas </w:t>
      </w:r>
      <w:r w:rsidRPr="009F5DDF">
        <w:rPr>
          <w:sz w:val="24"/>
          <w:szCs w:val="24"/>
        </w:rPr>
        <w:lastRenderedPageBreak/>
        <w:t>por su cliente o adquiera derechos de crédito adicionales como contra prestación de esas operaciones.</w:t>
      </w:r>
    </w:p>
    <w:p w14:paraId="52C27A88" w14:textId="77777777" w:rsidR="009F5DDF" w:rsidRPr="009F5DDF" w:rsidRDefault="009F5DDF" w:rsidP="009F5DDF">
      <w:pPr>
        <w:numPr>
          <w:ilvl w:val="0"/>
          <w:numId w:val="31"/>
        </w:numPr>
        <w:ind w:left="462" w:hanging="360"/>
        <w:jc w:val="both"/>
        <w:rPr>
          <w:sz w:val="24"/>
          <w:szCs w:val="24"/>
        </w:rPr>
      </w:pPr>
      <w:r w:rsidRPr="009F5DDF">
        <w:rPr>
          <w:b/>
          <w:bCs/>
          <w:sz w:val="24"/>
          <w:szCs w:val="24"/>
        </w:rPr>
        <w:t>Operaciones back to back:</w:t>
      </w:r>
      <w:r w:rsidRPr="009F5DDF">
        <w:rPr>
          <w:sz w:val="24"/>
          <w:szCs w:val="24"/>
        </w:rPr>
        <w:t xml:space="preserve"> Operación crediticia cuyo saldo total adeudado se encuentra garantizado mediante un contrato entre la entidad acreedora y el deudor, en el que acuerdan que en caso de incumplimiento de las condiciones pactadas del crédito, la entidad acreedora de manera incondicional, inmediata e irrevocable realizará la compensación del saldo total adeudado de la operación crediticia contra las sumas de dinero en efectivo que le han sido entregadas o contra instrumentos financieros de deuda emitidos por ella misma que se encuentran en su poder y traspasados a favor de la entidad al amparo de dicho contrato, produciéndose con ello la compensación y consecuentemente la extinción de las deudas compensadas y liberándose tanto al deudor como a la entidad de cualquier obligación producto de dicha operación.</w:t>
      </w:r>
    </w:p>
    <w:p w14:paraId="09E3908C" w14:textId="77777777" w:rsidR="009F5DDF" w:rsidRPr="009F5DDF" w:rsidRDefault="009F5DDF" w:rsidP="009F5DDF">
      <w:pPr>
        <w:numPr>
          <w:ilvl w:val="0"/>
          <w:numId w:val="31"/>
        </w:numPr>
        <w:ind w:left="462" w:hanging="360"/>
        <w:jc w:val="both"/>
        <w:rPr>
          <w:sz w:val="24"/>
          <w:szCs w:val="24"/>
        </w:rPr>
      </w:pPr>
      <w:r w:rsidRPr="009F5DDF">
        <w:rPr>
          <w:b/>
          <w:bCs/>
          <w:sz w:val="24"/>
          <w:szCs w:val="24"/>
        </w:rPr>
        <w:t xml:space="preserve">Variación máxima esperada en el tipo de cambio: </w:t>
      </w:r>
      <w:r w:rsidRPr="009F5DDF">
        <w:rPr>
          <w:sz w:val="24"/>
          <w:szCs w:val="24"/>
        </w:rPr>
        <w:t>La variación máxima esperada del tipo de cambio se calcula de la siguiente manera:</w:t>
      </w:r>
    </w:p>
    <w:p w14:paraId="7A2CF5DD" w14:textId="77777777" w:rsidR="009F5DDF" w:rsidRPr="009F5DDF" w:rsidRDefault="009F5DDF" w:rsidP="009F5DDF">
      <w:pPr>
        <w:numPr>
          <w:ilvl w:val="0"/>
          <w:numId w:val="32"/>
        </w:numPr>
        <w:ind w:left="746" w:hanging="149"/>
        <w:jc w:val="both"/>
        <w:rPr>
          <w:sz w:val="24"/>
          <w:szCs w:val="24"/>
        </w:rPr>
      </w:pPr>
      <w:r w:rsidRPr="009F5DDF">
        <w:rPr>
          <w:sz w:val="24"/>
          <w:szCs w:val="24"/>
        </w:rPr>
        <w:t>Se calculan los crecimientos interanuales del tipo de cambio indicado en el Reglamento de Información Financiera para los últimos doce meses. Se toman los valores del último día del mes. Por crecimiento interanual se entiende el logaritmo natural resultante del cociente del tipo de cambio del último día de un determinado mes sobre el tipo de cambio del último día para ese mes del año anterior.</w:t>
      </w:r>
    </w:p>
    <w:p w14:paraId="29E12988" w14:textId="77777777" w:rsidR="009F5DDF" w:rsidRPr="009F5DDF" w:rsidRDefault="009F5DDF" w:rsidP="009F5DDF">
      <w:pPr>
        <w:numPr>
          <w:ilvl w:val="0"/>
          <w:numId w:val="32"/>
        </w:numPr>
        <w:ind w:left="746" w:hanging="149"/>
        <w:jc w:val="both"/>
        <w:rPr>
          <w:sz w:val="24"/>
          <w:szCs w:val="24"/>
        </w:rPr>
      </w:pPr>
      <w:r w:rsidRPr="009F5DDF">
        <w:rPr>
          <w:sz w:val="24"/>
          <w:szCs w:val="24"/>
        </w:rPr>
        <w:t>Se calcula la variancia de los crecimientos interanuales. Al valor obtenido se le calcula la desviación estándar.</w:t>
      </w:r>
    </w:p>
    <w:p w14:paraId="3E02FED4" w14:textId="41C0D50C" w:rsidR="009F5DDF" w:rsidRPr="009F5DDF" w:rsidRDefault="009F5DDF" w:rsidP="009F5DDF">
      <w:pPr>
        <w:numPr>
          <w:ilvl w:val="0"/>
          <w:numId w:val="32"/>
        </w:numPr>
        <w:ind w:left="746" w:hanging="149"/>
        <w:jc w:val="both"/>
        <w:rPr>
          <w:sz w:val="24"/>
          <w:szCs w:val="24"/>
        </w:rPr>
      </w:pPr>
      <w:r w:rsidRPr="009F5DDF">
        <w:rPr>
          <w:sz w:val="24"/>
          <w:szCs w:val="24"/>
        </w:rPr>
        <w:t xml:space="preserve">Al resultado del punto anterior, se le aplica un nivel de confianza de 99% que equivale a multiplicar por un </w:t>
      </w:r>
      <m:oMath>
        <m:r>
          <m:rPr>
            <m:sty m:val="p"/>
          </m:rPr>
          <w:rPr>
            <w:rFonts w:ascii="Cambria Math" w:hAnsi="Cambria Math"/>
            <w:color w:val="000000"/>
            <w:sz w:val="22"/>
            <w:szCs w:val="22"/>
            <w:lang w:eastAsia="es-CR"/>
          </w:rPr>
          <m:t>Z=</m:t>
        </m:r>
      </m:oMath>
      <w:r w:rsidRPr="009F5DDF">
        <w:rPr>
          <w:sz w:val="24"/>
          <w:szCs w:val="24"/>
        </w:rPr>
        <w:t xml:space="preserve"> 2.33 veces.</w:t>
      </w:r>
    </w:p>
    <w:p w14:paraId="13F6DC3E" w14:textId="77777777" w:rsidR="009F5DDF" w:rsidRPr="009F5DDF" w:rsidRDefault="009F5DDF" w:rsidP="009F5DDF">
      <w:pPr>
        <w:numPr>
          <w:ilvl w:val="0"/>
          <w:numId w:val="32"/>
        </w:numPr>
        <w:ind w:left="746" w:hanging="149"/>
        <w:jc w:val="both"/>
        <w:rPr>
          <w:sz w:val="24"/>
          <w:szCs w:val="24"/>
        </w:rPr>
      </w:pPr>
      <w:r w:rsidRPr="009F5DDF">
        <w:rPr>
          <w:sz w:val="24"/>
          <w:szCs w:val="24"/>
        </w:rPr>
        <w:t>La variación absoluta esperada en el tipo de cambio es el producto del coeficiente obtenido en el punto anterior multiplicado por el tipo de cambio del último día del mes indicado en el Reglamento de Información Financiera.</w:t>
      </w:r>
    </w:p>
    <w:p w14:paraId="006BE61B" w14:textId="77777777" w:rsidR="009F5DDF" w:rsidRPr="009F5DDF" w:rsidRDefault="009F5DDF" w:rsidP="009F5DDF">
      <w:pPr>
        <w:ind w:left="360"/>
        <w:rPr>
          <w:sz w:val="24"/>
          <w:szCs w:val="24"/>
        </w:rPr>
      </w:pPr>
    </w:p>
    <w:p w14:paraId="46675A66" w14:textId="77777777" w:rsidR="009F5DDF" w:rsidRPr="009F5DDF" w:rsidRDefault="009F5DDF" w:rsidP="00EC4DE6">
      <w:pPr>
        <w:ind w:left="360" w:hanging="360"/>
        <w:rPr>
          <w:b/>
          <w:bCs/>
          <w:sz w:val="24"/>
          <w:szCs w:val="24"/>
        </w:rPr>
      </w:pPr>
      <w:r w:rsidRPr="009F5DDF">
        <w:rPr>
          <w:b/>
          <w:bCs/>
          <w:sz w:val="24"/>
          <w:szCs w:val="24"/>
        </w:rPr>
        <w:t>2) Abreviaturas:</w:t>
      </w:r>
    </w:p>
    <w:p w14:paraId="0603C490" w14:textId="77777777" w:rsidR="009F5DDF" w:rsidRPr="009F5DDF" w:rsidRDefault="009F5DDF" w:rsidP="009F5DDF">
      <w:pPr>
        <w:numPr>
          <w:ilvl w:val="0"/>
          <w:numId w:val="33"/>
        </w:numPr>
        <w:ind w:left="720" w:hanging="360"/>
        <w:jc w:val="both"/>
        <w:rPr>
          <w:sz w:val="24"/>
          <w:szCs w:val="24"/>
        </w:rPr>
      </w:pPr>
      <w:r w:rsidRPr="009F5DDF">
        <w:rPr>
          <w:b/>
          <w:bCs/>
          <w:sz w:val="24"/>
          <w:szCs w:val="24"/>
        </w:rPr>
        <w:t xml:space="preserve">BANHVI: </w:t>
      </w:r>
      <w:r w:rsidRPr="009F5DDF">
        <w:rPr>
          <w:sz w:val="24"/>
          <w:szCs w:val="24"/>
        </w:rPr>
        <w:t>Banco Hipotecario de la Vivienda</w:t>
      </w:r>
    </w:p>
    <w:p w14:paraId="59988E85" w14:textId="77777777" w:rsidR="009F5DDF" w:rsidRPr="009F5DDF" w:rsidRDefault="009F5DDF" w:rsidP="009F5DDF">
      <w:pPr>
        <w:numPr>
          <w:ilvl w:val="0"/>
          <w:numId w:val="33"/>
        </w:numPr>
        <w:ind w:left="720" w:hanging="360"/>
        <w:jc w:val="both"/>
        <w:rPr>
          <w:sz w:val="24"/>
          <w:szCs w:val="24"/>
        </w:rPr>
      </w:pPr>
      <w:r w:rsidRPr="009F5DDF">
        <w:rPr>
          <w:b/>
          <w:bCs/>
          <w:sz w:val="24"/>
          <w:szCs w:val="24"/>
        </w:rPr>
        <w:t xml:space="preserve">CONASSIF: </w:t>
      </w:r>
      <w:r w:rsidRPr="009F5DDF">
        <w:rPr>
          <w:sz w:val="24"/>
          <w:szCs w:val="24"/>
        </w:rPr>
        <w:t>Consejo Nacional de Supervisión del Sistema Financiero.</w:t>
      </w:r>
    </w:p>
    <w:p w14:paraId="4CA065B9" w14:textId="77777777" w:rsidR="009F5DDF" w:rsidRPr="009F5DDF" w:rsidRDefault="009F5DDF" w:rsidP="009F5DDF">
      <w:pPr>
        <w:numPr>
          <w:ilvl w:val="0"/>
          <w:numId w:val="33"/>
        </w:numPr>
        <w:ind w:left="720" w:hanging="360"/>
        <w:jc w:val="both"/>
        <w:rPr>
          <w:sz w:val="24"/>
          <w:szCs w:val="24"/>
        </w:rPr>
      </w:pPr>
      <w:r w:rsidRPr="009F5DDF">
        <w:rPr>
          <w:b/>
          <w:bCs/>
          <w:sz w:val="24"/>
          <w:szCs w:val="24"/>
        </w:rPr>
        <w:t xml:space="preserve">LOBCCR: </w:t>
      </w:r>
      <w:r w:rsidRPr="009F5DDF">
        <w:rPr>
          <w:sz w:val="24"/>
          <w:szCs w:val="24"/>
        </w:rPr>
        <w:t>Ley Orgánica del Banco Central de Costa Rica, Ley 7558.</w:t>
      </w:r>
    </w:p>
    <w:p w14:paraId="406B4924" w14:textId="77777777" w:rsidR="009F5DDF" w:rsidRPr="009F5DDF" w:rsidRDefault="009F5DDF" w:rsidP="009F5DDF">
      <w:pPr>
        <w:numPr>
          <w:ilvl w:val="0"/>
          <w:numId w:val="33"/>
        </w:numPr>
        <w:ind w:left="720" w:hanging="360"/>
        <w:jc w:val="both"/>
        <w:rPr>
          <w:sz w:val="24"/>
          <w:szCs w:val="24"/>
        </w:rPr>
      </w:pPr>
      <w:r w:rsidRPr="009F5DDF">
        <w:rPr>
          <w:b/>
          <w:bCs/>
          <w:sz w:val="24"/>
          <w:szCs w:val="24"/>
        </w:rPr>
        <w:t>SICVECA</w:t>
      </w:r>
      <w:r w:rsidRPr="009F5DDF">
        <w:rPr>
          <w:sz w:val="24"/>
          <w:szCs w:val="24"/>
        </w:rPr>
        <w:t>: Sistema de Captura, Verificación y Carga de Datos.</w:t>
      </w:r>
    </w:p>
    <w:p w14:paraId="6EE1C93C" w14:textId="77777777" w:rsidR="009F5DDF" w:rsidRPr="009F5DDF" w:rsidRDefault="009F5DDF" w:rsidP="009F5DDF">
      <w:pPr>
        <w:numPr>
          <w:ilvl w:val="0"/>
          <w:numId w:val="33"/>
        </w:numPr>
        <w:ind w:left="720" w:hanging="360"/>
        <w:jc w:val="both"/>
        <w:rPr>
          <w:sz w:val="24"/>
          <w:szCs w:val="24"/>
        </w:rPr>
      </w:pPr>
      <w:r w:rsidRPr="009F5DDF">
        <w:rPr>
          <w:b/>
          <w:bCs/>
          <w:sz w:val="24"/>
          <w:szCs w:val="24"/>
        </w:rPr>
        <w:t xml:space="preserve">SUGEF: </w:t>
      </w:r>
      <w:r w:rsidRPr="009F5DDF">
        <w:rPr>
          <w:sz w:val="24"/>
          <w:szCs w:val="24"/>
        </w:rPr>
        <w:t>Superintendencia General de Entidades Financieras.</w:t>
      </w:r>
    </w:p>
    <w:p w14:paraId="66F1F6DC" w14:textId="77777777" w:rsidR="009F5DDF" w:rsidRPr="009F5DDF" w:rsidRDefault="009F5DDF" w:rsidP="009F5DDF">
      <w:pPr>
        <w:rPr>
          <w:b/>
          <w:bCs/>
          <w:sz w:val="24"/>
          <w:szCs w:val="24"/>
        </w:rPr>
      </w:pPr>
      <w:bookmarkStart w:id="11" w:name="_Toc111020902"/>
      <w:bookmarkStart w:id="12" w:name="_Toc113009318"/>
    </w:p>
    <w:p w14:paraId="6B983DB2" w14:textId="77777777" w:rsidR="009F5DDF" w:rsidRPr="009F5DDF" w:rsidRDefault="009F5DDF" w:rsidP="009F5DDF">
      <w:pPr>
        <w:pStyle w:val="Ttulo1"/>
        <w:widowControl w:val="0"/>
        <w:rPr>
          <w:b/>
          <w:bCs/>
          <w:color w:val="000000"/>
          <w:szCs w:val="24"/>
        </w:rPr>
      </w:pPr>
      <w:bookmarkStart w:id="13" w:name="_Toc121319004"/>
      <w:bookmarkEnd w:id="11"/>
      <w:bookmarkEnd w:id="12"/>
      <w:r w:rsidRPr="009F5DDF">
        <w:rPr>
          <w:b/>
          <w:bCs/>
          <w:color w:val="000000"/>
          <w:szCs w:val="24"/>
        </w:rPr>
        <w:t>CAPITULO II</w:t>
      </w:r>
      <w:bookmarkEnd w:id="13"/>
    </w:p>
    <w:p w14:paraId="4A83C575" w14:textId="77777777" w:rsidR="009F5DDF" w:rsidRPr="009F5DDF" w:rsidRDefault="009F5DDF" w:rsidP="009F5DDF">
      <w:pPr>
        <w:pStyle w:val="Ttulo1"/>
        <w:widowControl w:val="0"/>
        <w:rPr>
          <w:b/>
          <w:bCs/>
          <w:color w:val="000000"/>
          <w:szCs w:val="24"/>
        </w:rPr>
      </w:pPr>
      <w:bookmarkStart w:id="14" w:name="_Toc121319005"/>
      <w:r w:rsidRPr="009F5DDF">
        <w:rPr>
          <w:b/>
          <w:bCs/>
          <w:color w:val="000000"/>
          <w:szCs w:val="24"/>
        </w:rPr>
        <w:t>DISPOSICIONES SOBRE EL GRUPO VINCULADO A LA ENTIDAD FINANCIERA</w:t>
      </w:r>
      <w:bookmarkEnd w:id="14"/>
    </w:p>
    <w:p w14:paraId="3C3AF3A5" w14:textId="77777777" w:rsidR="009F5DDF" w:rsidRPr="009F5DDF" w:rsidRDefault="009F5DDF" w:rsidP="009F5DDF">
      <w:pPr>
        <w:keepNext/>
        <w:rPr>
          <w:b/>
          <w:i/>
          <w:iCs/>
          <w:sz w:val="24"/>
          <w:szCs w:val="24"/>
        </w:rPr>
      </w:pPr>
      <w:bookmarkStart w:id="15" w:name="_Toc111020904"/>
      <w:bookmarkStart w:id="16" w:name="_Toc113009320"/>
    </w:p>
    <w:p w14:paraId="3CA1C820" w14:textId="77777777" w:rsidR="009F5DDF" w:rsidRPr="009F5DDF" w:rsidRDefault="009F5DDF" w:rsidP="009F5DDF">
      <w:pPr>
        <w:pStyle w:val="Ttulo2"/>
        <w:widowControl w:val="0"/>
        <w:rPr>
          <w:bCs/>
          <w:i/>
          <w:iCs/>
          <w:color w:val="000000"/>
          <w:sz w:val="24"/>
          <w:szCs w:val="24"/>
        </w:rPr>
      </w:pPr>
      <w:bookmarkStart w:id="17" w:name="_Toc121319006"/>
      <w:bookmarkEnd w:id="15"/>
      <w:bookmarkEnd w:id="16"/>
      <w:r w:rsidRPr="009F5DDF">
        <w:rPr>
          <w:color w:val="000000"/>
          <w:sz w:val="24"/>
          <w:szCs w:val="24"/>
        </w:rPr>
        <w:t>Artículo 4.  Responsabilidad de identificar y conformar el grupo vinculado</w:t>
      </w:r>
      <w:bookmarkEnd w:id="17"/>
      <w:r w:rsidRPr="009F5DDF">
        <w:rPr>
          <w:color w:val="000000"/>
          <w:sz w:val="24"/>
          <w:szCs w:val="24"/>
        </w:rPr>
        <w:t xml:space="preserve">  </w:t>
      </w:r>
    </w:p>
    <w:p w14:paraId="25873C88" w14:textId="77777777" w:rsidR="009F5DDF" w:rsidRPr="009F5DDF" w:rsidRDefault="009F5DDF" w:rsidP="009F5DDF">
      <w:pPr>
        <w:keepNext/>
        <w:jc w:val="both"/>
        <w:rPr>
          <w:sz w:val="24"/>
          <w:szCs w:val="24"/>
        </w:rPr>
      </w:pPr>
      <w:r w:rsidRPr="009F5DDF">
        <w:rPr>
          <w:sz w:val="24"/>
          <w:szCs w:val="24"/>
        </w:rPr>
        <w:t>La entidad es responsable de identificar las vinculaciones establecidas en los artículos 5 al 11 de este reglamento, y conformar su grupo vinculado, para lo cual debe tomar las medidas que le permita establecer la correcta identificación de dicho grupo.</w:t>
      </w:r>
    </w:p>
    <w:p w14:paraId="5029FD21" w14:textId="77777777" w:rsidR="009F5DDF" w:rsidRPr="009F5DDF" w:rsidRDefault="009F5DDF" w:rsidP="009F5DDF">
      <w:pPr>
        <w:rPr>
          <w:sz w:val="24"/>
          <w:szCs w:val="24"/>
        </w:rPr>
      </w:pPr>
    </w:p>
    <w:p w14:paraId="75E0BF04" w14:textId="77777777" w:rsidR="009F5DDF" w:rsidRPr="009F5DDF" w:rsidRDefault="009F5DDF" w:rsidP="009F5DDF">
      <w:pPr>
        <w:pStyle w:val="Ttulo2"/>
        <w:keepNext w:val="0"/>
        <w:widowControl w:val="0"/>
        <w:rPr>
          <w:bCs/>
          <w:i/>
          <w:iCs/>
          <w:color w:val="000000"/>
          <w:sz w:val="24"/>
          <w:szCs w:val="24"/>
        </w:rPr>
      </w:pPr>
      <w:bookmarkStart w:id="18" w:name="_Toc121319007"/>
      <w:r w:rsidRPr="009F5DDF">
        <w:rPr>
          <w:color w:val="000000"/>
          <w:sz w:val="24"/>
          <w:szCs w:val="24"/>
        </w:rPr>
        <w:t>Artículo 5.  Concepto de vinculación por propiedad</w:t>
      </w:r>
      <w:bookmarkEnd w:id="18"/>
    </w:p>
    <w:p w14:paraId="4A0CE919" w14:textId="77777777" w:rsidR="009F5DDF" w:rsidRPr="009F5DDF" w:rsidRDefault="009F5DDF" w:rsidP="009F5DDF">
      <w:pPr>
        <w:jc w:val="both"/>
        <w:rPr>
          <w:sz w:val="24"/>
          <w:szCs w:val="24"/>
        </w:rPr>
      </w:pPr>
      <w:r w:rsidRPr="009F5DDF">
        <w:rPr>
          <w:sz w:val="24"/>
          <w:szCs w:val="24"/>
        </w:rPr>
        <w:lastRenderedPageBreak/>
        <w:t>La vinculación por relaciones de propiedad, directa o indirecta, con una entidad se da con la persona que tenga una participación significativa en el capital social de esta entidad, y con otra persona que, a su vez, mantiene una relación con esta persona.</w:t>
      </w:r>
    </w:p>
    <w:p w14:paraId="6C574C9B" w14:textId="77777777" w:rsidR="009F5DDF" w:rsidRPr="009F5DDF" w:rsidRDefault="009F5DDF" w:rsidP="009F5DDF">
      <w:pPr>
        <w:jc w:val="both"/>
        <w:rPr>
          <w:sz w:val="24"/>
          <w:szCs w:val="24"/>
        </w:rPr>
      </w:pPr>
    </w:p>
    <w:p w14:paraId="6C22BF0E" w14:textId="77777777" w:rsidR="009F5DDF" w:rsidRPr="009F5DDF" w:rsidRDefault="009F5DDF" w:rsidP="009F5DDF">
      <w:pPr>
        <w:jc w:val="both"/>
        <w:rPr>
          <w:sz w:val="24"/>
          <w:szCs w:val="24"/>
        </w:rPr>
      </w:pPr>
      <w:r w:rsidRPr="009F5DDF">
        <w:rPr>
          <w:sz w:val="24"/>
          <w:szCs w:val="24"/>
        </w:rPr>
        <w:t>Para determinar la participación de una persona física en el capital social de una persona jurídica, se suman las participaciones individuales de quienes mantienen relaciones de parentesco con ella.</w:t>
      </w:r>
    </w:p>
    <w:p w14:paraId="0C0879E5" w14:textId="77777777" w:rsidR="009F5DDF" w:rsidRPr="009F5DDF" w:rsidRDefault="009F5DDF" w:rsidP="009F5DDF">
      <w:pPr>
        <w:rPr>
          <w:sz w:val="24"/>
          <w:szCs w:val="24"/>
        </w:rPr>
      </w:pPr>
    </w:p>
    <w:p w14:paraId="3C38F8C5" w14:textId="77777777" w:rsidR="009F5DDF" w:rsidRPr="009F5DDF" w:rsidRDefault="009F5DDF" w:rsidP="009F5DDF">
      <w:pPr>
        <w:pStyle w:val="Ttulo2"/>
        <w:keepNext w:val="0"/>
        <w:widowControl w:val="0"/>
        <w:rPr>
          <w:bCs/>
          <w:i/>
          <w:iCs/>
          <w:color w:val="000000"/>
          <w:sz w:val="24"/>
          <w:szCs w:val="24"/>
        </w:rPr>
      </w:pPr>
      <w:bookmarkStart w:id="19" w:name="_Toc121319008"/>
      <w:r w:rsidRPr="009F5DDF">
        <w:rPr>
          <w:color w:val="000000"/>
          <w:sz w:val="24"/>
          <w:szCs w:val="24"/>
        </w:rPr>
        <w:t>Artículo 6. Criterios de vinculación por propiedad</w:t>
      </w:r>
      <w:bookmarkEnd w:id="19"/>
    </w:p>
    <w:p w14:paraId="70AC6858" w14:textId="77777777" w:rsidR="009F5DDF" w:rsidRPr="009F5DDF" w:rsidRDefault="009F5DDF" w:rsidP="009F5DDF">
      <w:pPr>
        <w:jc w:val="both"/>
        <w:rPr>
          <w:sz w:val="24"/>
          <w:szCs w:val="24"/>
        </w:rPr>
      </w:pPr>
      <w:r w:rsidRPr="009F5DDF">
        <w:rPr>
          <w:sz w:val="24"/>
          <w:szCs w:val="24"/>
        </w:rPr>
        <w:t>La vinculación por propiedad considera a las siguientes personas:</w:t>
      </w:r>
    </w:p>
    <w:p w14:paraId="212BDC73" w14:textId="77777777" w:rsidR="009F5DDF" w:rsidRPr="009F5DDF" w:rsidRDefault="009F5DDF" w:rsidP="009F5DDF">
      <w:pPr>
        <w:jc w:val="both"/>
        <w:rPr>
          <w:sz w:val="24"/>
          <w:szCs w:val="24"/>
        </w:rPr>
      </w:pPr>
    </w:p>
    <w:p w14:paraId="2AB4F195" w14:textId="77777777" w:rsidR="009F5DDF" w:rsidRPr="009F5DDF" w:rsidRDefault="009F5DDF" w:rsidP="009F5DDF">
      <w:pPr>
        <w:numPr>
          <w:ilvl w:val="0"/>
          <w:numId w:val="34"/>
        </w:numPr>
        <w:ind w:left="462" w:hanging="360"/>
        <w:jc w:val="both"/>
        <w:rPr>
          <w:sz w:val="24"/>
          <w:szCs w:val="24"/>
        </w:rPr>
      </w:pPr>
      <w:r w:rsidRPr="009F5DDF">
        <w:rPr>
          <w:sz w:val="24"/>
          <w:szCs w:val="24"/>
        </w:rPr>
        <w:t xml:space="preserve">La persona física que posee una participación del 10% o más en el capital social de una entidad. El porcentaje de participación de una persona física se calcula como la suma del porcentaje de participación directa más todas las participaciones que tenga en forma indirecta a través de personas jurídicas u otras figuras jurídicas que forman parte de la estructura de propiedad de la entidad. La participación indirecta se calcula como la multiplicación de los porcentajes de participación a lo largo de la línea de propiedad;  </w:t>
      </w:r>
    </w:p>
    <w:p w14:paraId="7AA4B7BE" w14:textId="77777777" w:rsidR="009F5DDF" w:rsidRPr="009F5DDF" w:rsidRDefault="009F5DDF" w:rsidP="009F5DDF">
      <w:pPr>
        <w:numPr>
          <w:ilvl w:val="0"/>
          <w:numId w:val="34"/>
        </w:numPr>
        <w:ind w:left="462" w:hanging="360"/>
        <w:jc w:val="both"/>
        <w:rPr>
          <w:sz w:val="24"/>
          <w:szCs w:val="24"/>
        </w:rPr>
      </w:pPr>
      <w:r w:rsidRPr="009F5DDF">
        <w:rPr>
          <w:sz w:val="24"/>
          <w:szCs w:val="24"/>
        </w:rPr>
        <w:t>La persona jurídica u otra figura jurídica que forma parte de la estructura de propiedad de la entidad a través de la cual se determina la participación de la persona física indicada en el inciso a);</w:t>
      </w:r>
    </w:p>
    <w:p w14:paraId="1C29F354" w14:textId="77777777" w:rsidR="009F5DDF" w:rsidRPr="009F5DDF" w:rsidRDefault="009F5DDF" w:rsidP="009F5DDF">
      <w:pPr>
        <w:numPr>
          <w:ilvl w:val="0"/>
          <w:numId w:val="34"/>
        </w:numPr>
        <w:ind w:left="462" w:hanging="360"/>
        <w:jc w:val="both"/>
        <w:rPr>
          <w:sz w:val="24"/>
          <w:szCs w:val="24"/>
        </w:rPr>
      </w:pPr>
      <w:r w:rsidRPr="009F5DDF">
        <w:rPr>
          <w:sz w:val="24"/>
          <w:szCs w:val="24"/>
        </w:rPr>
        <w:t xml:space="preserve">La persona jurídica u otra figura jurídica que posea una participación igual o mayor al 10% en el capital social de la entidad; </w:t>
      </w:r>
    </w:p>
    <w:p w14:paraId="1068A85F" w14:textId="77777777" w:rsidR="009F5DDF" w:rsidRPr="009F5DDF" w:rsidRDefault="009F5DDF" w:rsidP="009F5DDF">
      <w:pPr>
        <w:numPr>
          <w:ilvl w:val="0"/>
          <w:numId w:val="34"/>
        </w:numPr>
        <w:ind w:left="462" w:hanging="360"/>
        <w:jc w:val="both"/>
        <w:rPr>
          <w:sz w:val="24"/>
          <w:szCs w:val="24"/>
        </w:rPr>
      </w:pPr>
      <w:r w:rsidRPr="009F5DDF">
        <w:rPr>
          <w:sz w:val="24"/>
          <w:szCs w:val="24"/>
        </w:rPr>
        <w:t>La persona que tenga una participación directa de un 25% o más en el capital social de una persona jurídica u otra figura jurídica que mantiene una vinculación según el inciso c) de este artículo;</w:t>
      </w:r>
    </w:p>
    <w:p w14:paraId="1A100999" w14:textId="77777777" w:rsidR="009F5DDF" w:rsidRPr="009F5DDF" w:rsidRDefault="009F5DDF" w:rsidP="009F5DDF">
      <w:pPr>
        <w:numPr>
          <w:ilvl w:val="0"/>
          <w:numId w:val="34"/>
        </w:numPr>
        <w:ind w:left="462" w:hanging="360"/>
        <w:jc w:val="both"/>
        <w:rPr>
          <w:sz w:val="24"/>
          <w:szCs w:val="24"/>
        </w:rPr>
      </w:pPr>
      <w:r w:rsidRPr="009F5DDF">
        <w:rPr>
          <w:sz w:val="24"/>
          <w:szCs w:val="24"/>
        </w:rPr>
        <w:t>La entidad o empresa integrante de un grupo o conglomerado financiero;</w:t>
      </w:r>
    </w:p>
    <w:p w14:paraId="744CF830" w14:textId="77777777" w:rsidR="009F5DDF" w:rsidRPr="009F5DDF" w:rsidRDefault="009F5DDF" w:rsidP="009F5DDF">
      <w:pPr>
        <w:numPr>
          <w:ilvl w:val="0"/>
          <w:numId w:val="34"/>
        </w:numPr>
        <w:ind w:left="462" w:hanging="360"/>
        <w:jc w:val="both"/>
        <w:rPr>
          <w:sz w:val="24"/>
          <w:szCs w:val="24"/>
        </w:rPr>
      </w:pPr>
      <w:r w:rsidRPr="009F5DDF">
        <w:rPr>
          <w:sz w:val="24"/>
          <w:szCs w:val="24"/>
        </w:rPr>
        <w:t xml:space="preserve">La persona jurídica u otra figura jurídica en la que al menos una persona que mantiene una vinculación según los incisos a) y c) de este artículo, controla un 15% o más de esta persona jurídica u otra figura jurídica; </w:t>
      </w:r>
    </w:p>
    <w:p w14:paraId="47DA3FD3" w14:textId="77777777" w:rsidR="009F5DDF" w:rsidRPr="009F5DDF" w:rsidRDefault="009F5DDF" w:rsidP="009F5DDF">
      <w:pPr>
        <w:numPr>
          <w:ilvl w:val="0"/>
          <w:numId w:val="34"/>
        </w:numPr>
        <w:ind w:left="462" w:hanging="360"/>
        <w:jc w:val="both"/>
        <w:rPr>
          <w:sz w:val="24"/>
          <w:szCs w:val="24"/>
        </w:rPr>
      </w:pPr>
      <w:r w:rsidRPr="009F5DDF">
        <w:rPr>
          <w:sz w:val="24"/>
          <w:szCs w:val="24"/>
        </w:rPr>
        <w:t>La persona física que tiene una relación de parentesco con la persona física que mantiene una vinculación según el inciso a) de este artículo.</w:t>
      </w:r>
    </w:p>
    <w:p w14:paraId="1ACF5B32" w14:textId="77777777" w:rsidR="009F5DDF" w:rsidRPr="009F5DDF" w:rsidRDefault="009F5DDF" w:rsidP="009F5DDF">
      <w:pPr>
        <w:numPr>
          <w:ilvl w:val="0"/>
          <w:numId w:val="34"/>
        </w:numPr>
        <w:ind w:left="462" w:hanging="360"/>
        <w:jc w:val="both"/>
        <w:rPr>
          <w:sz w:val="24"/>
          <w:szCs w:val="24"/>
        </w:rPr>
      </w:pPr>
      <w:r w:rsidRPr="009F5DDF">
        <w:rPr>
          <w:sz w:val="24"/>
          <w:szCs w:val="24"/>
        </w:rPr>
        <w:t>La persona que posea individualmente, en forma directa o indirecta, una participación menor al 10% en el capital social de una entidad, que firman un acuerdo entre accionistas o contrato similar que conjuntamente les permite ejercer control por el 10% o más del capital social sobre esa entidad.</w:t>
      </w:r>
    </w:p>
    <w:p w14:paraId="1FEA42F7" w14:textId="77777777" w:rsidR="009F5DDF" w:rsidRPr="009F5DDF" w:rsidRDefault="009F5DDF" w:rsidP="009F5DDF">
      <w:pPr>
        <w:jc w:val="both"/>
        <w:rPr>
          <w:b/>
          <w:sz w:val="24"/>
          <w:szCs w:val="24"/>
        </w:rPr>
      </w:pPr>
      <w:bookmarkStart w:id="20" w:name="_Toc111020907"/>
      <w:bookmarkStart w:id="21" w:name="_Toc113009323"/>
    </w:p>
    <w:p w14:paraId="7917C13D" w14:textId="77777777" w:rsidR="009F5DDF" w:rsidRPr="009F5DDF" w:rsidRDefault="009F5DDF" w:rsidP="009F5DDF">
      <w:pPr>
        <w:pStyle w:val="Ttulo2"/>
        <w:keepNext w:val="0"/>
        <w:widowControl w:val="0"/>
        <w:rPr>
          <w:bCs/>
          <w:i/>
          <w:iCs/>
          <w:color w:val="000000"/>
          <w:sz w:val="24"/>
          <w:szCs w:val="24"/>
        </w:rPr>
      </w:pPr>
      <w:bookmarkStart w:id="22" w:name="_Toc121319009"/>
      <w:bookmarkEnd w:id="20"/>
      <w:bookmarkEnd w:id="21"/>
      <w:r w:rsidRPr="009F5DDF">
        <w:rPr>
          <w:color w:val="000000"/>
          <w:sz w:val="24"/>
          <w:szCs w:val="24"/>
        </w:rPr>
        <w:t>Artículo 7. Estructura de propiedad</w:t>
      </w:r>
      <w:bookmarkEnd w:id="22"/>
      <w:r w:rsidRPr="009F5DDF">
        <w:rPr>
          <w:color w:val="000000"/>
          <w:sz w:val="24"/>
          <w:szCs w:val="24"/>
        </w:rPr>
        <w:t xml:space="preserve">  </w:t>
      </w:r>
    </w:p>
    <w:p w14:paraId="1F5D3441" w14:textId="77777777" w:rsidR="009F5DDF" w:rsidRPr="009F5DDF" w:rsidRDefault="009F5DDF" w:rsidP="009F5DDF">
      <w:pPr>
        <w:jc w:val="both"/>
        <w:rPr>
          <w:sz w:val="24"/>
          <w:szCs w:val="24"/>
        </w:rPr>
      </w:pPr>
      <w:r w:rsidRPr="009F5DDF">
        <w:rPr>
          <w:sz w:val="24"/>
          <w:szCs w:val="24"/>
        </w:rPr>
        <w:t xml:space="preserve">La entidad es responsable de identificar a sus personas vinculadas, según el artículo 6 de este reglamento, para lo cual debe determinar su estructura de propiedad hasta identificar a las personas físicas y jurídicas que la controlan.  </w:t>
      </w:r>
    </w:p>
    <w:p w14:paraId="55AA5517" w14:textId="77777777" w:rsidR="009F5DDF" w:rsidRPr="009F5DDF" w:rsidRDefault="009F5DDF" w:rsidP="009F5DDF">
      <w:pPr>
        <w:rPr>
          <w:sz w:val="24"/>
          <w:szCs w:val="24"/>
        </w:rPr>
      </w:pPr>
    </w:p>
    <w:p w14:paraId="028F2508" w14:textId="77777777" w:rsidR="009F5DDF" w:rsidRPr="009F5DDF" w:rsidRDefault="009F5DDF" w:rsidP="009F5DDF">
      <w:pPr>
        <w:jc w:val="both"/>
        <w:rPr>
          <w:sz w:val="24"/>
          <w:szCs w:val="24"/>
        </w:rPr>
      </w:pPr>
      <w:r w:rsidRPr="009F5DDF">
        <w:rPr>
          <w:sz w:val="24"/>
          <w:szCs w:val="24"/>
        </w:rPr>
        <w:t>La SUGEF puede requerir toda la información que considere pertinente con el fin de verificar la correcta identificación de las personas vinculadas según el artículo 6, para lo cual la entidad debe mantener disponible la información necesaria que demuestre la propiedad accionaria.</w:t>
      </w:r>
    </w:p>
    <w:p w14:paraId="488C56EF" w14:textId="77777777" w:rsidR="009F5DDF" w:rsidRPr="009F5DDF" w:rsidRDefault="009F5DDF" w:rsidP="009F5DDF">
      <w:pPr>
        <w:rPr>
          <w:sz w:val="24"/>
          <w:szCs w:val="24"/>
        </w:rPr>
      </w:pPr>
    </w:p>
    <w:p w14:paraId="4AEFDD0D" w14:textId="77777777" w:rsidR="009F5DDF" w:rsidRPr="009F5DDF" w:rsidRDefault="009F5DDF" w:rsidP="009F5DDF">
      <w:pPr>
        <w:jc w:val="both"/>
        <w:rPr>
          <w:sz w:val="24"/>
          <w:szCs w:val="24"/>
        </w:rPr>
      </w:pPr>
      <w:r w:rsidRPr="009F5DDF">
        <w:rPr>
          <w:sz w:val="24"/>
          <w:szCs w:val="24"/>
        </w:rPr>
        <w:lastRenderedPageBreak/>
        <w:t>En caso de que la SUGEF determine cambios en las vinculaciones por propiedad, ésta debe comunicar a la entidad los motivos por los cuales determinó la modificación y debe otorgar un plazo máximo de cinco días hábiles para que la entidad presente los alegatos y pruebas que estime pertinentes. Contra la resolución final que emita la SUGEF pueden interponerse los recursos ordinarios de revocatoria y apelación, según lo dispuesto en la Ley General de la Administración Pública, Ley 6227.</w:t>
      </w:r>
    </w:p>
    <w:p w14:paraId="6F001E7A" w14:textId="77777777" w:rsidR="009F5DDF" w:rsidRPr="009F5DDF" w:rsidRDefault="009F5DDF" w:rsidP="009F5DDF">
      <w:pPr>
        <w:rPr>
          <w:sz w:val="24"/>
          <w:szCs w:val="24"/>
        </w:rPr>
      </w:pPr>
    </w:p>
    <w:p w14:paraId="729E1798" w14:textId="77777777" w:rsidR="009F5DDF" w:rsidRPr="009F5DDF" w:rsidRDefault="009F5DDF" w:rsidP="009F5DDF">
      <w:pPr>
        <w:pStyle w:val="Ttulo2"/>
        <w:keepNext w:val="0"/>
        <w:widowControl w:val="0"/>
        <w:rPr>
          <w:bCs/>
          <w:i/>
          <w:iCs/>
          <w:color w:val="000000"/>
          <w:sz w:val="24"/>
          <w:szCs w:val="24"/>
        </w:rPr>
      </w:pPr>
      <w:bookmarkStart w:id="23" w:name="_Toc121319010"/>
      <w:r w:rsidRPr="009F5DDF">
        <w:rPr>
          <w:color w:val="000000"/>
          <w:sz w:val="24"/>
          <w:szCs w:val="24"/>
        </w:rPr>
        <w:t>Artículo 8.  Concepto de vinculación por gestión</w:t>
      </w:r>
      <w:bookmarkEnd w:id="23"/>
      <w:r w:rsidRPr="009F5DDF">
        <w:rPr>
          <w:color w:val="000000"/>
          <w:sz w:val="24"/>
          <w:szCs w:val="24"/>
        </w:rPr>
        <w:t xml:space="preserve">  </w:t>
      </w:r>
    </w:p>
    <w:p w14:paraId="35FC0400" w14:textId="77777777" w:rsidR="009F5DDF" w:rsidRPr="009F5DDF" w:rsidRDefault="009F5DDF" w:rsidP="009F5DDF">
      <w:pPr>
        <w:jc w:val="both"/>
        <w:rPr>
          <w:sz w:val="24"/>
          <w:szCs w:val="24"/>
        </w:rPr>
      </w:pPr>
      <w:r w:rsidRPr="009F5DDF">
        <w:rPr>
          <w:sz w:val="24"/>
          <w:szCs w:val="24"/>
        </w:rPr>
        <w:t>La vinculación por relaciones de gestión de la entidad se da con las personas que intervengan en las decisiones de la entidad y con las personas que a su vez mantienen una relación de parentesco con éstas.</w:t>
      </w:r>
    </w:p>
    <w:p w14:paraId="20324F7D" w14:textId="77777777" w:rsidR="009F5DDF" w:rsidRPr="009F5DDF" w:rsidRDefault="009F5DDF" w:rsidP="009F5DDF">
      <w:pPr>
        <w:rPr>
          <w:sz w:val="24"/>
          <w:szCs w:val="24"/>
        </w:rPr>
      </w:pPr>
    </w:p>
    <w:p w14:paraId="45203FEF" w14:textId="77777777" w:rsidR="009F5DDF" w:rsidRPr="009F5DDF" w:rsidRDefault="009F5DDF" w:rsidP="009F5DDF">
      <w:pPr>
        <w:pStyle w:val="Ttulo2"/>
        <w:keepNext w:val="0"/>
        <w:widowControl w:val="0"/>
        <w:rPr>
          <w:bCs/>
          <w:i/>
          <w:iCs/>
          <w:color w:val="000000"/>
          <w:sz w:val="24"/>
          <w:szCs w:val="24"/>
        </w:rPr>
      </w:pPr>
      <w:bookmarkStart w:id="24" w:name="_Toc121319011"/>
      <w:r w:rsidRPr="009F5DDF">
        <w:rPr>
          <w:color w:val="000000"/>
          <w:sz w:val="24"/>
          <w:szCs w:val="24"/>
        </w:rPr>
        <w:t>Artículo 9.  Criterios de vinculación por gestión</w:t>
      </w:r>
      <w:bookmarkEnd w:id="24"/>
    </w:p>
    <w:p w14:paraId="01417F48" w14:textId="77777777" w:rsidR="009F5DDF" w:rsidRPr="009F5DDF" w:rsidRDefault="009F5DDF" w:rsidP="009F5DDF">
      <w:pPr>
        <w:jc w:val="both"/>
        <w:rPr>
          <w:sz w:val="24"/>
          <w:szCs w:val="24"/>
        </w:rPr>
      </w:pPr>
      <w:r w:rsidRPr="009F5DDF">
        <w:rPr>
          <w:sz w:val="24"/>
          <w:szCs w:val="24"/>
        </w:rPr>
        <w:t>Los criterios de vinculación por gestión incluyen a las siguientes personas:</w:t>
      </w:r>
    </w:p>
    <w:p w14:paraId="48BC9D43" w14:textId="77777777" w:rsidR="009F5DDF" w:rsidRPr="009F5DDF" w:rsidRDefault="009F5DDF" w:rsidP="009F5DDF">
      <w:pPr>
        <w:numPr>
          <w:ilvl w:val="0"/>
          <w:numId w:val="35"/>
        </w:numPr>
        <w:ind w:left="462" w:hanging="360"/>
        <w:jc w:val="both"/>
        <w:rPr>
          <w:sz w:val="24"/>
          <w:szCs w:val="24"/>
        </w:rPr>
      </w:pPr>
      <w:r w:rsidRPr="009F5DDF">
        <w:rPr>
          <w:sz w:val="24"/>
          <w:szCs w:val="24"/>
        </w:rPr>
        <w:t xml:space="preserve">Los miembros del órgano de dirección, la alta gerencia y los apoderados generalísimos de la entidad;  </w:t>
      </w:r>
    </w:p>
    <w:p w14:paraId="06E9DE59" w14:textId="77777777" w:rsidR="009F5DDF" w:rsidRPr="009F5DDF" w:rsidRDefault="009F5DDF" w:rsidP="009F5DDF">
      <w:pPr>
        <w:numPr>
          <w:ilvl w:val="0"/>
          <w:numId w:val="35"/>
        </w:numPr>
        <w:ind w:left="462" w:hanging="360"/>
        <w:jc w:val="both"/>
        <w:rPr>
          <w:sz w:val="24"/>
          <w:szCs w:val="24"/>
        </w:rPr>
      </w:pPr>
      <w:r w:rsidRPr="009F5DDF">
        <w:rPr>
          <w:sz w:val="24"/>
          <w:szCs w:val="24"/>
        </w:rPr>
        <w:t>La persona física que tiene una relación de parentesco con una persona que mantiene una vinculación según el inciso a) de este artículo;</w:t>
      </w:r>
    </w:p>
    <w:p w14:paraId="5503B474" w14:textId="77777777" w:rsidR="009F5DDF" w:rsidRPr="009F5DDF" w:rsidRDefault="009F5DDF" w:rsidP="009F5DDF">
      <w:pPr>
        <w:numPr>
          <w:ilvl w:val="0"/>
          <w:numId w:val="35"/>
        </w:numPr>
        <w:ind w:left="462" w:hanging="360"/>
        <w:jc w:val="both"/>
        <w:rPr>
          <w:sz w:val="24"/>
          <w:szCs w:val="24"/>
        </w:rPr>
      </w:pPr>
      <w:r w:rsidRPr="009F5DDF">
        <w:rPr>
          <w:sz w:val="24"/>
          <w:szCs w:val="24"/>
        </w:rPr>
        <w:t>La persona jurídica u otra figura jurídica en la cual al menos una persona física señalada en el inciso a) se desempeña como gerente o es apoderado generalísimo.</w:t>
      </w:r>
    </w:p>
    <w:p w14:paraId="0A2EA1DB" w14:textId="77777777" w:rsidR="009F5DDF" w:rsidRPr="009F5DDF" w:rsidRDefault="009F5DDF" w:rsidP="009F5DDF">
      <w:pPr>
        <w:numPr>
          <w:ilvl w:val="0"/>
          <w:numId w:val="35"/>
        </w:numPr>
        <w:ind w:left="462" w:hanging="360"/>
        <w:jc w:val="both"/>
        <w:rPr>
          <w:sz w:val="24"/>
          <w:szCs w:val="24"/>
        </w:rPr>
      </w:pPr>
      <w:r w:rsidRPr="009F5DDF">
        <w:rPr>
          <w:sz w:val="24"/>
          <w:szCs w:val="24"/>
        </w:rPr>
        <w:t>La persona jurídica en la cual el 30% o más de los miembros de su órgano de dirección tenga una vinculación según el inciso a) de este artículo. Para estos efectos se redondea al entero superior;</w:t>
      </w:r>
    </w:p>
    <w:p w14:paraId="3A040E9F" w14:textId="77777777" w:rsidR="009F5DDF" w:rsidRPr="009F5DDF" w:rsidRDefault="009F5DDF" w:rsidP="009F5DDF">
      <w:pPr>
        <w:numPr>
          <w:ilvl w:val="0"/>
          <w:numId w:val="35"/>
        </w:numPr>
        <w:ind w:left="462" w:hanging="360"/>
        <w:jc w:val="both"/>
        <w:rPr>
          <w:sz w:val="24"/>
          <w:szCs w:val="24"/>
        </w:rPr>
      </w:pPr>
      <w:r w:rsidRPr="009F5DDF">
        <w:rPr>
          <w:sz w:val="24"/>
          <w:szCs w:val="24"/>
        </w:rPr>
        <w:t>La persona jurídica, en la que una o más personas que mantengan una vinculación según el inciso a) de este artículo, controlan individualmente o en conjunto un 15% o más de ésta;</w:t>
      </w:r>
    </w:p>
    <w:p w14:paraId="48B1CF37" w14:textId="77777777" w:rsidR="009F5DDF" w:rsidRPr="009F5DDF" w:rsidRDefault="009F5DDF" w:rsidP="009F5DDF">
      <w:pPr>
        <w:numPr>
          <w:ilvl w:val="0"/>
          <w:numId w:val="35"/>
        </w:numPr>
        <w:ind w:left="462" w:hanging="360"/>
        <w:jc w:val="both"/>
        <w:rPr>
          <w:sz w:val="24"/>
          <w:szCs w:val="24"/>
        </w:rPr>
      </w:pPr>
      <w:r w:rsidRPr="009F5DDF">
        <w:rPr>
          <w:sz w:val="24"/>
          <w:szCs w:val="24"/>
        </w:rPr>
        <w:t>El fideicomisario y fideicomitente de un fideicomiso, así como el beneficiario y fundador de una fundación que figure en la estructura de propiedad con un 10% o más en la participación, directa e indirecta, de una entidad.</w:t>
      </w:r>
    </w:p>
    <w:p w14:paraId="68674892" w14:textId="77777777" w:rsidR="009F5DDF" w:rsidRPr="009F5DDF" w:rsidRDefault="009F5DDF" w:rsidP="009F5DDF">
      <w:pPr>
        <w:numPr>
          <w:ilvl w:val="0"/>
          <w:numId w:val="35"/>
        </w:numPr>
        <w:ind w:left="462" w:hanging="360"/>
        <w:jc w:val="both"/>
        <w:rPr>
          <w:sz w:val="24"/>
          <w:szCs w:val="24"/>
        </w:rPr>
      </w:pPr>
      <w:r w:rsidRPr="009F5DDF">
        <w:rPr>
          <w:sz w:val="24"/>
          <w:szCs w:val="24"/>
        </w:rPr>
        <w:t>La persona jurídica u otra figura jurídica que mantenga un contrato mediante el cual faculta a una entidad o empresa integrante de un grupo o conglomerado financiero, a tomar las decisiones o asumir las facultades de planeamiento, organización, dirección, coordinación y control de su actividad empresarial, a cambio de una retribución o comisión.</w:t>
      </w:r>
    </w:p>
    <w:p w14:paraId="5D57EFD7" w14:textId="77777777" w:rsidR="009F5DDF" w:rsidRPr="009F5DDF" w:rsidRDefault="009F5DDF" w:rsidP="009F5DDF">
      <w:pPr>
        <w:numPr>
          <w:ilvl w:val="0"/>
          <w:numId w:val="35"/>
        </w:numPr>
        <w:ind w:left="462" w:hanging="360"/>
        <w:jc w:val="both"/>
        <w:rPr>
          <w:sz w:val="24"/>
          <w:szCs w:val="24"/>
        </w:rPr>
      </w:pPr>
      <w:r w:rsidRPr="009F5DDF">
        <w:rPr>
          <w:sz w:val="24"/>
          <w:szCs w:val="24"/>
        </w:rPr>
        <w:t xml:space="preserve">La persona vinculada por la SUGEF según el artículo 12 de este reglamento. </w:t>
      </w:r>
    </w:p>
    <w:p w14:paraId="1198ED0A" w14:textId="77777777" w:rsidR="009F5DDF" w:rsidRPr="009F5DDF" w:rsidRDefault="009F5DDF" w:rsidP="009F5DDF">
      <w:pPr>
        <w:rPr>
          <w:sz w:val="24"/>
          <w:szCs w:val="24"/>
        </w:rPr>
      </w:pPr>
    </w:p>
    <w:p w14:paraId="32CA5B9F" w14:textId="77777777" w:rsidR="009F5DDF" w:rsidRPr="009F5DDF" w:rsidRDefault="009F5DDF" w:rsidP="009F5DDF">
      <w:pPr>
        <w:pStyle w:val="Ttulo2"/>
        <w:keepNext w:val="0"/>
        <w:widowControl w:val="0"/>
        <w:rPr>
          <w:bCs/>
          <w:i/>
          <w:iCs/>
          <w:color w:val="000000"/>
          <w:sz w:val="24"/>
          <w:szCs w:val="24"/>
        </w:rPr>
      </w:pPr>
      <w:bookmarkStart w:id="25" w:name="_Toc121319012"/>
      <w:r w:rsidRPr="009F5DDF">
        <w:rPr>
          <w:color w:val="000000"/>
          <w:sz w:val="24"/>
          <w:szCs w:val="24"/>
        </w:rPr>
        <w:t>Artículo 10.  Concepto de vinculación por garantías</w:t>
      </w:r>
      <w:bookmarkEnd w:id="25"/>
    </w:p>
    <w:p w14:paraId="1829A513" w14:textId="77777777" w:rsidR="009F5DDF" w:rsidRPr="009F5DDF" w:rsidRDefault="009F5DDF" w:rsidP="009F5DDF">
      <w:pPr>
        <w:jc w:val="both"/>
        <w:rPr>
          <w:sz w:val="24"/>
          <w:szCs w:val="24"/>
        </w:rPr>
      </w:pPr>
      <w:r w:rsidRPr="009F5DDF">
        <w:rPr>
          <w:sz w:val="24"/>
          <w:szCs w:val="24"/>
        </w:rPr>
        <w:t xml:space="preserve">La vinculación por relaciones de garantías de una entidad se da con una persona que garantice o reciba garantía de una persona vinculada. </w:t>
      </w:r>
    </w:p>
    <w:p w14:paraId="10AE9A3B" w14:textId="77777777" w:rsidR="009F5DDF" w:rsidRPr="009F5DDF" w:rsidRDefault="009F5DDF" w:rsidP="009F5DDF">
      <w:pPr>
        <w:rPr>
          <w:sz w:val="24"/>
          <w:szCs w:val="24"/>
        </w:rPr>
      </w:pPr>
    </w:p>
    <w:p w14:paraId="155F721F" w14:textId="77777777" w:rsidR="009F5DDF" w:rsidRPr="009F5DDF" w:rsidRDefault="009F5DDF" w:rsidP="009F5DDF">
      <w:pPr>
        <w:jc w:val="both"/>
        <w:rPr>
          <w:sz w:val="24"/>
          <w:szCs w:val="24"/>
        </w:rPr>
      </w:pPr>
      <w:r w:rsidRPr="009F5DDF">
        <w:rPr>
          <w:sz w:val="24"/>
          <w:szCs w:val="24"/>
        </w:rPr>
        <w:t>La vinculación se determina independientemente de la entidad que haya generado la operación activa, directa e indirecta.</w:t>
      </w:r>
    </w:p>
    <w:p w14:paraId="09A9DAF1" w14:textId="77777777" w:rsidR="009F5DDF" w:rsidRPr="009F5DDF" w:rsidRDefault="009F5DDF" w:rsidP="009F5DDF">
      <w:pPr>
        <w:rPr>
          <w:sz w:val="24"/>
          <w:szCs w:val="24"/>
        </w:rPr>
      </w:pPr>
    </w:p>
    <w:p w14:paraId="5441148F" w14:textId="77777777" w:rsidR="009F5DDF" w:rsidRPr="009F5DDF" w:rsidRDefault="009F5DDF" w:rsidP="009F5DDF">
      <w:pPr>
        <w:pStyle w:val="Ttulo2"/>
        <w:keepNext w:val="0"/>
        <w:widowControl w:val="0"/>
        <w:rPr>
          <w:bCs/>
          <w:i/>
          <w:iCs/>
          <w:color w:val="000000"/>
          <w:sz w:val="24"/>
          <w:szCs w:val="24"/>
        </w:rPr>
      </w:pPr>
      <w:bookmarkStart w:id="26" w:name="_Toc121319013"/>
      <w:r w:rsidRPr="009F5DDF">
        <w:rPr>
          <w:color w:val="000000"/>
          <w:sz w:val="24"/>
          <w:szCs w:val="24"/>
        </w:rPr>
        <w:t>Artículo 11. Criterios de vinculación por garantías</w:t>
      </w:r>
      <w:bookmarkEnd w:id="26"/>
      <w:r w:rsidRPr="009F5DDF">
        <w:rPr>
          <w:color w:val="000000"/>
          <w:sz w:val="24"/>
          <w:szCs w:val="24"/>
        </w:rPr>
        <w:t xml:space="preserve">  </w:t>
      </w:r>
    </w:p>
    <w:p w14:paraId="5FBE96F3" w14:textId="77777777" w:rsidR="009F5DDF" w:rsidRPr="009F5DDF" w:rsidRDefault="009F5DDF" w:rsidP="009F5DDF">
      <w:pPr>
        <w:jc w:val="both"/>
        <w:rPr>
          <w:sz w:val="24"/>
          <w:szCs w:val="24"/>
        </w:rPr>
      </w:pPr>
      <w:r w:rsidRPr="009F5DDF">
        <w:rPr>
          <w:sz w:val="24"/>
          <w:szCs w:val="24"/>
        </w:rPr>
        <w:t>Los criterios de vinculación por garantías incluyen a las siguientes personas:</w:t>
      </w:r>
    </w:p>
    <w:p w14:paraId="2DB1E2C9" w14:textId="77777777" w:rsidR="009F5DDF" w:rsidRPr="009F5DDF" w:rsidRDefault="009F5DDF" w:rsidP="009F5DDF">
      <w:pPr>
        <w:jc w:val="both"/>
        <w:rPr>
          <w:sz w:val="24"/>
          <w:szCs w:val="24"/>
        </w:rPr>
      </w:pPr>
    </w:p>
    <w:p w14:paraId="1C561230" w14:textId="77777777" w:rsidR="009F5DDF" w:rsidRPr="009F5DDF" w:rsidRDefault="009F5DDF" w:rsidP="009F5DDF">
      <w:pPr>
        <w:numPr>
          <w:ilvl w:val="0"/>
          <w:numId w:val="36"/>
        </w:numPr>
        <w:ind w:left="462" w:hanging="360"/>
        <w:jc w:val="both"/>
        <w:rPr>
          <w:sz w:val="24"/>
          <w:szCs w:val="24"/>
        </w:rPr>
      </w:pPr>
      <w:r w:rsidRPr="009F5DDF">
        <w:rPr>
          <w:sz w:val="24"/>
          <w:szCs w:val="24"/>
        </w:rPr>
        <w:lastRenderedPageBreak/>
        <w:t>La persona con al menos una operación activa, directa e indirecta, vigente que es garantizada por alguna persona vinculada según los incisos a) y c) del artículo 6, independientemente de la entidad que la haya otorgado;</w:t>
      </w:r>
    </w:p>
    <w:p w14:paraId="2D0474C2" w14:textId="77777777" w:rsidR="009F5DDF" w:rsidRPr="009F5DDF" w:rsidRDefault="009F5DDF" w:rsidP="009F5DDF">
      <w:pPr>
        <w:numPr>
          <w:ilvl w:val="0"/>
          <w:numId w:val="36"/>
        </w:numPr>
        <w:ind w:left="462" w:hanging="360"/>
        <w:jc w:val="both"/>
        <w:rPr>
          <w:sz w:val="24"/>
          <w:szCs w:val="24"/>
        </w:rPr>
      </w:pPr>
      <w:r w:rsidRPr="009F5DDF">
        <w:rPr>
          <w:sz w:val="24"/>
          <w:szCs w:val="24"/>
        </w:rPr>
        <w:t>La persona que garantice al menos una operación activa vigente a una persona vinculada según los incisos a) y c) del artículo 6, independientemente de la entidad que la haya otorgado;</w:t>
      </w:r>
    </w:p>
    <w:p w14:paraId="1F000E98" w14:textId="77777777" w:rsidR="009F5DDF" w:rsidRPr="009F5DDF" w:rsidRDefault="009F5DDF" w:rsidP="009F5DDF">
      <w:pPr>
        <w:numPr>
          <w:ilvl w:val="0"/>
          <w:numId w:val="36"/>
        </w:numPr>
        <w:ind w:left="462" w:hanging="360"/>
        <w:jc w:val="both"/>
        <w:rPr>
          <w:sz w:val="24"/>
          <w:szCs w:val="24"/>
        </w:rPr>
      </w:pPr>
      <w:r w:rsidRPr="009F5DDF">
        <w:rPr>
          <w:sz w:val="24"/>
          <w:szCs w:val="24"/>
        </w:rPr>
        <w:t>La persona con al menos una operación activa, directa o indirecta, vigente que haya sido garantizada por alguna persona vinculada según el inciso a) del artículo 9, independientemente de la entidad que la haya otorgado;</w:t>
      </w:r>
    </w:p>
    <w:p w14:paraId="603CA812" w14:textId="77777777" w:rsidR="009F5DDF" w:rsidRPr="009F5DDF" w:rsidRDefault="009F5DDF" w:rsidP="009F5DDF">
      <w:pPr>
        <w:numPr>
          <w:ilvl w:val="0"/>
          <w:numId w:val="36"/>
        </w:numPr>
        <w:ind w:left="462" w:hanging="360"/>
        <w:jc w:val="both"/>
        <w:rPr>
          <w:sz w:val="24"/>
          <w:szCs w:val="24"/>
        </w:rPr>
      </w:pPr>
      <w:r w:rsidRPr="009F5DDF">
        <w:rPr>
          <w:sz w:val="24"/>
          <w:szCs w:val="24"/>
        </w:rPr>
        <w:t>La persona que sea codeudor o que garantice, al menos una operación activa directa o indirecta vigente a una persona vinculada según el inciso a) del Artículo 9, independientemente de la entidad que la haya otorgado.</w:t>
      </w:r>
    </w:p>
    <w:p w14:paraId="1208A5FD" w14:textId="77777777" w:rsidR="009F5DDF" w:rsidRPr="009F5DDF" w:rsidRDefault="009F5DDF" w:rsidP="009F5DDF">
      <w:pPr>
        <w:rPr>
          <w:sz w:val="24"/>
          <w:szCs w:val="24"/>
        </w:rPr>
      </w:pPr>
    </w:p>
    <w:p w14:paraId="70D4A084" w14:textId="77777777" w:rsidR="009F5DDF" w:rsidRPr="009F5DDF" w:rsidRDefault="009F5DDF" w:rsidP="009F5DDF">
      <w:pPr>
        <w:pStyle w:val="Ttulo2"/>
        <w:widowControl w:val="0"/>
        <w:rPr>
          <w:bCs/>
          <w:i/>
          <w:iCs/>
          <w:color w:val="000000"/>
          <w:sz w:val="24"/>
          <w:szCs w:val="24"/>
        </w:rPr>
      </w:pPr>
      <w:bookmarkStart w:id="27" w:name="_Toc121319014"/>
      <w:r w:rsidRPr="009F5DDF">
        <w:rPr>
          <w:color w:val="000000"/>
          <w:sz w:val="24"/>
          <w:szCs w:val="24"/>
        </w:rPr>
        <w:t>Artículo 12. Presunción de vinculación por SUGEF</w:t>
      </w:r>
      <w:bookmarkEnd w:id="27"/>
    </w:p>
    <w:p w14:paraId="281EDE57" w14:textId="77777777" w:rsidR="009F5DDF" w:rsidRPr="009F5DDF" w:rsidRDefault="009F5DDF" w:rsidP="009F5DDF">
      <w:pPr>
        <w:keepNext/>
        <w:jc w:val="both"/>
        <w:rPr>
          <w:sz w:val="24"/>
          <w:szCs w:val="24"/>
        </w:rPr>
      </w:pPr>
      <w:r w:rsidRPr="009F5DDF">
        <w:rPr>
          <w:sz w:val="24"/>
          <w:szCs w:val="24"/>
        </w:rPr>
        <w:t>La SUGEF presume la vinculación en una operación activa directa e indirecta que evidencie un potencial conflicto de interés con la entidad, con base en una evaluación de los hechos y circunstancias y atendiendo a la sustancia de la relación y no meramente a la forma legal de ésta, y comunica a ésta los motivos por los cuales considera que existe vinculación y debe otorgar un plazo máximo de cinco días hábiles para que la entidad presente los alegatos y pruebas que estime pertinentes.</w:t>
      </w:r>
    </w:p>
    <w:p w14:paraId="43448925" w14:textId="77777777" w:rsidR="009F5DDF" w:rsidRPr="009F5DDF" w:rsidRDefault="009F5DDF" w:rsidP="009F5DDF">
      <w:pPr>
        <w:rPr>
          <w:sz w:val="24"/>
          <w:szCs w:val="24"/>
        </w:rPr>
      </w:pPr>
    </w:p>
    <w:p w14:paraId="374E2C9B" w14:textId="77777777" w:rsidR="009F5DDF" w:rsidRPr="009F5DDF" w:rsidRDefault="009F5DDF" w:rsidP="009F5DDF">
      <w:pPr>
        <w:jc w:val="both"/>
        <w:rPr>
          <w:sz w:val="24"/>
          <w:szCs w:val="24"/>
        </w:rPr>
      </w:pPr>
      <w:r w:rsidRPr="009F5DDF">
        <w:rPr>
          <w:sz w:val="24"/>
          <w:szCs w:val="24"/>
        </w:rPr>
        <w:t>Entre otras circunstancias, pero sin limitarse a éstas, se presume la existencia de vinculación entre una entidad y la siguiente persona:</w:t>
      </w:r>
    </w:p>
    <w:p w14:paraId="4D11F9D2" w14:textId="77777777" w:rsidR="009F5DDF" w:rsidRPr="009F5DDF" w:rsidRDefault="009F5DDF" w:rsidP="009F5DDF">
      <w:pPr>
        <w:rPr>
          <w:sz w:val="24"/>
          <w:szCs w:val="24"/>
        </w:rPr>
      </w:pPr>
    </w:p>
    <w:p w14:paraId="45A9BA04" w14:textId="77777777" w:rsidR="009F5DDF" w:rsidRPr="009F5DDF" w:rsidRDefault="009F5DDF" w:rsidP="009F5DDF">
      <w:pPr>
        <w:numPr>
          <w:ilvl w:val="0"/>
          <w:numId w:val="37"/>
        </w:numPr>
        <w:ind w:left="462" w:hanging="360"/>
        <w:jc w:val="both"/>
        <w:rPr>
          <w:sz w:val="24"/>
          <w:szCs w:val="24"/>
        </w:rPr>
      </w:pPr>
      <w:r w:rsidRPr="009F5DDF">
        <w:rPr>
          <w:sz w:val="24"/>
          <w:szCs w:val="24"/>
        </w:rPr>
        <w:t>La persona a la cual la entidad tenga al menos una operación activa directa e indirecta en condiciones más favorables a las establecidas en las políticas y prácticas para ese tipo de operaciones;</w:t>
      </w:r>
    </w:p>
    <w:p w14:paraId="1B52054B" w14:textId="77777777" w:rsidR="009F5DDF" w:rsidRPr="009F5DDF" w:rsidRDefault="009F5DDF" w:rsidP="009F5DDF">
      <w:pPr>
        <w:numPr>
          <w:ilvl w:val="0"/>
          <w:numId w:val="37"/>
        </w:numPr>
        <w:ind w:left="462" w:hanging="360"/>
        <w:jc w:val="both"/>
        <w:rPr>
          <w:sz w:val="24"/>
          <w:szCs w:val="24"/>
        </w:rPr>
      </w:pPr>
      <w:r w:rsidRPr="009F5DDF">
        <w:rPr>
          <w:sz w:val="24"/>
          <w:szCs w:val="24"/>
        </w:rPr>
        <w:t>La persona sobre la cual la entidad realice una mala gestión del riesgo crediticio o no mantenga información relevante en el expediente de crédito que permita una adecuada valoración de este riesgo. Se considera información relevante, entre otros, las calidades de la persona, información sobre el giro o actividad de la persona, constancias o certificaciones de ingresos, información financiera actualizada (al menos Estado de Situación Financiera y Estado de Resultados) y, cuando corresponda, información detallada sobre el proyecto que se está financiando;</w:t>
      </w:r>
    </w:p>
    <w:p w14:paraId="34A1DFEB" w14:textId="77777777" w:rsidR="009F5DDF" w:rsidRPr="009F5DDF" w:rsidRDefault="009F5DDF" w:rsidP="009F5DDF">
      <w:pPr>
        <w:numPr>
          <w:ilvl w:val="0"/>
          <w:numId w:val="37"/>
        </w:numPr>
        <w:ind w:left="462" w:hanging="360"/>
        <w:jc w:val="both"/>
        <w:rPr>
          <w:sz w:val="24"/>
          <w:szCs w:val="24"/>
        </w:rPr>
      </w:pPr>
      <w:r w:rsidRPr="009F5DDF">
        <w:rPr>
          <w:sz w:val="24"/>
          <w:szCs w:val="24"/>
        </w:rPr>
        <w:t>La persona con operaciones activas directas e indirectas que la SUGEF determine que están siendo utilizadas en beneficio de alguna persona vinculada según el inciso a) y c) del artículo 6 y el inciso a) del artículo 9, o en beneficio de personas jurídicas vinculadas a éstas, tomando en cuenta, pero sin limitarse a estos casos, las operaciones activas directas e indirectas otorgadas a clientes y proveedores de estas personas vinculadas por propiedad, gestión o garantías;</w:t>
      </w:r>
    </w:p>
    <w:p w14:paraId="411813C3" w14:textId="77777777" w:rsidR="009F5DDF" w:rsidRPr="009F5DDF" w:rsidRDefault="009F5DDF" w:rsidP="009F5DDF">
      <w:pPr>
        <w:numPr>
          <w:ilvl w:val="0"/>
          <w:numId w:val="37"/>
        </w:numPr>
        <w:ind w:left="462" w:hanging="360"/>
        <w:jc w:val="both"/>
        <w:rPr>
          <w:sz w:val="24"/>
          <w:szCs w:val="24"/>
        </w:rPr>
      </w:pPr>
      <w:r w:rsidRPr="009F5DDF">
        <w:rPr>
          <w:sz w:val="24"/>
          <w:szCs w:val="24"/>
        </w:rPr>
        <w:t>La persona jurídica u otra figura jurídica a las cuales una entidad le transfiere activos, pero en las que, de acuerdo con las condiciones contractuales pactadas, en última instancia la exposición al riesgo se reintroduce en la entidad.</w:t>
      </w:r>
    </w:p>
    <w:p w14:paraId="53BAEE10" w14:textId="77777777" w:rsidR="009F5DDF" w:rsidRPr="009F5DDF" w:rsidRDefault="009F5DDF" w:rsidP="009F5DDF">
      <w:pPr>
        <w:rPr>
          <w:sz w:val="24"/>
          <w:szCs w:val="24"/>
        </w:rPr>
      </w:pPr>
    </w:p>
    <w:p w14:paraId="454BCDEE" w14:textId="77777777" w:rsidR="009F5DDF" w:rsidRPr="009F5DDF" w:rsidRDefault="009F5DDF" w:rsidP="009F5DDF">
      <w:pPr>
        <w:pStyle w:val="Ttulo2"/>
        <w:keepNext w:val="0"/>
        <w:widowControl w:val="0"/>
        <w:rPr>
          <w:bCs/>
          <w:i/>
          <w:iCs/>
          <w:color w:val="000000"/>
          <w:sz w:val="24"/>
          <w:szCs w:val="24"/>
        </w:rPr>
      </w:pPr>
      <w:bookmarkStart w:id="28" w:name="_Toc121319015"/>
      <w:r w:rsidRPr="009F5DDF">
        <w:rPr>
          <w:color w:val="000000"/>
          <w:sz w:val="24"/>
          <w:szCs w:val="24"/>
        </w:rPr>
        <w:t>Artículo 13. Límite aplicable a las operaciones activas directas e indirectas</w:t>
      </w:r>
      <w:bookmarkEnd w:id="28"/>
    </w:p>
    <w:p w14:paraId="0827EF71" w14:textId="77777777" w:rsidR="009F5DDF" w:rsidRPr="009F5DDF" w:rsidRDefault="009F5DDF" w:rsidP="009F5DDF">
      <w:pPr>
        <w:jc w:val="both"/>
        <w:rPr>
          <w:sz w:val="24"/>
          <w:szCs w:val="24"/>
        </w:rPr>
      </w:pPr>
      <w:r w:rsidRPr="009F5DDF">
        <w:rPr>
          <w:sz w:val="24"/>
          <w:szCs w:val="24"/>
        </w:rPr>
        <w:lastRenderedPageBreak/>
        <w:t>El límite prudencial máximo para el total de las operaciones activas, directas e indirectas, que una entidad puede realizar con el conjunto de las personas que conforman el grupo vinculado, es la suma equivalente al 20% del capital ajustado.</w:t>
      </w:r>
    </w:p>
    <w:p w14:paraId="7F197C91" w14:textId="77777777" w:rsidR="009F5DDF" w:rsidRPr="009F5DDF" w:rsidRDefault="009F5DDF" w:rsidP="009F5DDF">
      <w:pPr>
        <w:rPr>
          <w:sz w:val="24"/>
          <w:szCs w:val="24"/>
        </w:rPr>
      </w:pPr>
    </w:p>
    <w:p w14:paraId="0FCCC190" w14:textId="77777777" w:rsidR="009F5DDF" w:rsidRPr="009F5DDF" w:rsidRDefault="009F5DDF" w:rsidP="009F5DDF">
      <w:pPr>
        <w:jc w:val="both"/>
        <w:rPr>
          <w:sz w:val="24"/>
          <w:szCs w:val="24"/>
        </w:rPr>
      </w:pPr>
      <w:r w:rsidRPr="009F5DDF">
        <w:rPr>
          <w:sz w:val="24"/>
          <w:szCs w:val="24"/>
        </w:rPr>
        <w:t xml:space="preserve">En el cálculo de este límite, al monto de las operaciones activas con el grupo vinculado se le restan las operaciones </w:t>
      </w:r>
      <w:r w:rsidRPr="009F5DDF">
        <w:rPr>
          <w:i/>
          <w:iCs/>
          <w:sz w:val="24"/>
          <w:szCs w:val="24"/>
        </w:rPr>
        <w:t>back to back</w:t>
      </w:r>
      <w:r w:rsidRPr="009F5DDF">
        <w:rPr>
          <w:sz w:val="24"/>
          <w:szCs w:val="24"/>
        </w:rPr>
        <w:t xml:space="preserve">. </w:t>
      </w:r>
    </w:p>
    <w:p w14:paraId="3D2A6098" w14:textId="77777777" w:rsidR="009F5DDF" w:rsidRPr="009F5DDF" w:rsidRDefault="009F5DDF" w:rsidP="009F5DDF">
      <w:pPr>
        <w:rPr>
          <w:sz w:val="24"/>
          <w:szCs w:val="24"/>
        </w:rPr>
      </w:pPr>
    </w:p>
    <w:p w14:paraId="1DC8724D" w14:textId="77777777" w:rsidR="009F5DDF" w:rsidRPr="009F5DDF" w:rsidRDefault="009F5DDF" w:rsidP="009F5DDF">
      <w:pPr>
        <w:pStyle w:val="Ttulo2"/>
        <w:keepNext w:val="0"/>
        <w:widowControl w:val="0"/>
        <w:rPr>
          <w:bCs/>
          <w:i/>
          <w:iCs/>
          <w:color w:val="000000"/>
          <w:sz w:val="24"/>
          <w:szCs w:val="24"/>
        </w:rPr>
      </w:pPr>
      <w:bookmarkStart w:id="29" w:name="_Toc121319016"/>
      <w:r w:rsidRPr="009F5DDF">
        <w:rPr>
          <w:color w:val="000000"/>
          <w:sz w:val="24"/>
          <w:szCs w:val="24"/>
        </w:rPr>
        <w:t>Artículo 14. Exceso sobrevenido al límite</w:t>
      </w:r>
      <w:bookmarkEnd w:id="29"/>
    </w:p>
    <w:p w14:paraId="2DD5A79A" w14:textId="77777777" w:rsidR="009F5DDF" w:rsidRPr="009F5DDF" w:rsidRDefault="009F5DDF" w:rsidP="009F5DDF">
      <w:pPr>
        <w:jc w:val="both"/>
        <w:rPr>
          <w:sz w:val="24"/>
          <w:szCs w:val="24"/>
        </w:rPr>
      </w:pPr>
      <w:r w:rsidRPr="009F5DDF">
        <w:rPr>
          <w:sz w:val="24"/>
          <w:szCs w:val="24"/>
        </w:rPr>
        <w:t>El exceso al límite establecido en el artículo anterior es considerado como exceso sobrevenido, cuando las operaciones activas, directas e indirectas, causantes de la violación son originalmente realizadas dentro del límite establecido y, posteriormente, se presenta alguna de las siguientes situaciones:</w:t>
      </w:r>
    </w:p>
    <w:p w14:paraId="788B7830" w14:textId="77777777" w:rsidR="009F5DDF" w:rsidRPr="009F5DDF" w:rsidRDefault="009F5DDF" w:rsidP="009F5DDF">
      <w:pPr>
        <w:numPr>
          <w:ilvl w:val="0"/>
          <w:numId w:val="38"/>
        </w:numPr>
        <w:ind w:left="681" w:hanging="360"/>
        <w:jc w:val="both"/>
        <w:rPr>
          <w:sz w:val="24"/>
          <w:szCs w:val="24"/>
        </w:rPr>
      </w:pPr>
      <w:r w:rsidRPr="009F5DDF">
        <w:rPr>
          <w:sz w:val="24"/>
          <w:szCs w:val="24"/>
        </w:rPr>
        <w:t>La vinculación por propiedad, por gestión o por garantías surge en una fecha posterior al otorgamiento de la operación activa, directa e indirecta;</w:t>
      </w:r>
    </w:p>
    <w:p w14:paraId="198EC0F3" w14:textId="77777777" w:rsidR="009F5DDF" w:rsidRPr="009F5DDF" w:rsidRDefault="009F5DDF" w:rsidP="009F5DDF">
      <w:pPr>
        <w:numPr>
          <w:ilvl w:val="0"/>
          <w:numId w:val="38"/>
        </w:numPr>
        <w:ind w:left="681" w:hanging="360"/>
        <w:jc w:val="both"/>
        <w:rPr>
          <w:sz w:val="24"/>
          <w:szCs w:val="24"/>
        </w:rPr>
      </w:pPr>
      <w:r w:rsidRPr="009F5DDF">
        <w:rPr>
          <w:sz w:val="24"/>
          <w:szCs w:val="24"/>
        </w:rPr>
        <w:t>Por acumulación de productos por cobrar;</w:t>
      </w:r>
    </w:p>
    <w:p w14:paraId="148CF954" w14:textId="77777777" w:rsidR="009F5DDF" w:rsidRPr="009F5DDF" w:rsidRDefault="009F5DDF" w:rsidP="009F5DDF">
      <w:pPr>
        <w:numPr>
          <w:ilvl w:val="0"/>
          <w:numId w:val="38"/>
        </w:numPr>
        <w:ind w:left="681" w:hanging="360"/>
        <w:jc w:val="both"/>
        <w:rPr>
          <w:sz w:val="24"/>
          <w:szCs w:val="24"/>
        </w:rPr>
      </w:pPr>
      <w:r w:rsidRPr="009F5DDF">
        <w:rPr>
          <w:sz w:val="24"/>
          <w:szCs w:val="24"/>
        </w:rPr>
        <w:t>El exceso originado por la conversión de una operación activa, directa e indirecta, de moneda extranjera a moneda nacional;</w:t>
      </w:r>
    </w:p>
    <w:p w14:paraId="7F45D731" w14:textId="77777777" w:rsidR="009F5DDF" w:rsidRPr="009F5DDF" w:rsidRDefault="009F5DDF" w:rsidP="009F5DDF">
      <w:pPr>
        <w:numPr>
          <w:ilvl w:val="0"/>
          <w:numId w:val="38"/>
        </w:numPr>
        <w:ind w:left="681" w:hanging="360"/>
        <w:jc w:val="both"/>
        <w:rPr>
          <w:sz w:val="24"/>
          <w:szCs w:val="24"/>
        </w:rPr>
      </w:pPr>
      <w:r w:rsidRPr="009F5DDF">
        <w:rPr>
          <w:sz w:val="24"/>
          <w:szCs w:val="24"/>
        </w:rPr>
        <w:t>El exceso originado por la valoración de un instrumento financiero derivado;</w:t>
      </w:r>
    </w:p>
    <w:p w14:paraId="355D5E2D" w14:textId="77777777" w:rsidR="009F5DDF" w:rsidRPr="009F5DDF" w:rsidRDefault="009F5DDF" w:rsidP="009F5DDF">
      <w:pPr>
        <w:numPr>
          <w:ilvl w:val="0"/>
          <w:numId w:val="38"/>
        </w:numPr>
        <w:ind w:left="681" w:hanging="360"/>
        <w:jc w:val="both"/>
        <w:rPr>
          <w:sz w:val="24"/>
          <w:szCs w:val="24"/>
        </w:rPr>
      </w:pPr>
      <w:r w:rsidRPr="009F5DDF">
        <w:rPr>
          <w:sz w:val="24"/>
          <w:szCs w:val="24"/>
        </w:rPr>
        <w:t>La fusión de una entidad;</w:t>
      </w:r>
    </w:p>
    <w:p w14:paraId="59F2A310" w14:textId="77777777" w:rsidR="009F5DDF" w:rsidRPr="009F5DDF" w:rsidRDefault="009F5DDF" w:rsidP="009F5DDF">
      <w:pPr>
        <w:numPr>
          <w:ilvl w:val="0"/>
          <w:numId w:val="38"/>
        </w:numPr>
        <w:ind w:left="681" w:hanging="360"/>
        <w:jc w:val="both"/>
        <w:rPr>
          <w:sz w:val="24"/>
          <w:szCs w:val="24"/>
        </w:rPr>
      </w:pPr>
      <w:r w:rsidRPr="009F5DDF">
        <w:rPr>
          <w:sz w:val="24"/>
          <w:szCs w:val="24"/>
        </w:rPr>
        <w:t>Por disposición legal, una entidad recibe operaciones activas, directas e indirectas;</w:t>
      </w:r>
    </w:p>
    <w:p w14:paraId="4C6677ED" w14:textId="77777777" w:rsidR="009F5DDF" w:rsidRPr="009F5DDF" w:rsidRDefault="009F5DDF" w:rsidP="009F5DDF">
      <w:pPr>
        <w:numPr>
          <w:ilvl w:val="0"/>
          <w:numId w:val="38"/>
        </w:numPr>
        <w:ind w:left="681" w:hanging="360"/>
        <w:jc w:val="both"/>
        <w:rPr>
          <w:sz w:val="24"/>
          <w:szCs w:val="24"/>
        </w:rPr>
      </w:pPr>
      <w:r w:rsidRPr="009F5DDF">
        <w:rPr>
          <w:sz w:val="24"/>
          <w:szCs w:val="24"/>
        </w:rPr>
        <w:t xml:space="preserve">Por efecto de la aplicación de algún mecanismo de resolución dispuesto en el Reglamento de Mecanismos de Resolución de los Intermediarios Financieros Supervisados por la SUGEF; </w:t>
      </w:r>
    </w:p>
    <w:p w14:paraId="12139425" w14:textId="77777777" w:rsidR="009F5DDF" w:rsidRPr="009F5DDF" w:rsidRDefault="009F5DDF" w:rsidP="009F5DDF">
      <w:pPr>
        <w:numPr>
          <w:ilvl w:val="0"/>
          <w:numId w:val="38"/>
        </w:numPr>
        <w:ind w:left="681" w:hanging="360"/>
        <w:jc w:val="both"/>
        <w:rPr>
          <w:sz w:val="24"/>
          <w:szCs w:val="24"/>
        </w:rPr>
      </w:pPr>
      <w:r w:rsidRPr="009F5DDF">
        <w:rPr>
          <w:sz w:val="24"/>
          <w:szCs w:val="24"/>
        </w:rPr>
        <w:t>Por cumplimiento de otras disposiciones legales, una entidad genera una operación activa, directa e indirecta, en cuyo caso se exceptúa de la presentación de un plan de acción que se indica en el siguiente artículo; o</w:t>
      </w:r>
    </w:p>
    <w:p w14:paraId="14270924" w14:textId="77777777" w:rsidR="009F5DDF" w:rsidRPr="009F5DDF" w:rsidRDefault="009F5DDF" w:rsidP="009F5DDF">
      <w:pPr>
        <w:numPr>
          <w:ilvl w:val="0"/>
          <w:numId w:val="38"/>
        </w:numPr>
        <w:ind w:left="681" w:hanging="360"/>
        <w:jc w:val="both"/>
        <w:rPr>
          <w:sz w:val="24"/>
          <w:szCs w:val="24"/>
        </w:rPr>
      </w:pPr>
      <w:r w:rsidRPr="009F5DDF">
        <w:rPr>
          <w:sz w:val="24"/>
          <w:szCs w:val="24"/>
        </w:rPr>
        <w:t>La SUGEF determina, con base en una evaluación de los hechos y circunstancias de las transacciones en particular, que el exceso es consecuencia de una situación imprevisible para una entidad.</w:t>
      </w:r>
    </w:p>
    <w:p w14:paraId="3896584F" w14:textId="77777777" w:rsidR="009F5DDF" w:rsidRPr="009F5DDF" w:rsidRDefault="009F5DDF" w:rsidP="009F5DDF">
      <w:pPr>
        <w:rPr>
          <w:sz w:val="24"/>
          <w:szCs w:val="24"/>
        </w:rPr>
      </w:pPr>
    </w:p>
    <w:p w14:paraId="7AC6AB4F" w14:textId="77777777" w:rsidR="009F5DDF" w:rsidRPr="009F5DDF" w:rsidRDefault="009F5DDF" w:rsidP="009F5DDF">
      <w:pPr>
        <w:pStyle w:val="Ttulo2"/>
        <w:keepNext w:val="0"/>
        <w:widowControl w:val="0"/>
        <w:rPr>
          <w:bCs/>
          <w:i/>
          <w:iCs/>
          <w:color w:val="000000"/>
          <w:sz w:val="24"/>
          <w:szCs w:val="24"/>
        </w:rPr>
      </w:pPr>
      <w:bookmarkStart w:id="30" w:name="_Toc121319017"/>
      <w:r w:rsidRPr="009F5DDF">
        <w:rPr>
          <w:color w:val="000000"/>
          <w:sz w:val="24"/>
          <w:szCs w:val="24"/>
        </w:rPr>
        <w:t>Artículo 15. Plan de acción y medidas inmediatas</w:t>
      </w:r>
      <w:bookmarkEnd w:id="30"/>
    </w:p>
    <w:p w14:paraId="32A6E305" w14:textId="77777777" w:rsidR="009F5DDF" w:rsidRPr="009F5DDF" w:rsidRDefault="009F5DDF" w:rsidP="009F5DDF">
      <w:pPr>
        <w:jc w:val="both"/>
        <w:rPr>
          <w:sz w:val="24"/>
          <w:szCs w:val="24"/>
        </w:rPr>
      </w:pPr>
      <w:r w:rsidRPr="009F5DDF">
        <w:rPr>
          <w:sz w:val="24"/>
          <w:szCs w:val="24"/>
        </w:rPr>
        <w:t xml:space="preserve">La entidad debe presentar un plan de acción eficaz para la autorización de la SUGEF, en un plazo de diez días hábiles, contados a partir de la fecha en que la entidad o la SUGEF determinó el exceso al límite en operaciones activas, directas e indirectas. </w:t>
      </w:r>
    </w:p>
    <w:p w14:paraId="47601141" w14:textId="77777777" w:rsidR="009F5DDF" w:rsidRPr="009F5DDF" w:rsidRDefault="009F5DDF" w:rsidP="009F5DDF">
      <w:pPr>
        <w:jc w:val="both"/>
        <w:rPr>
          <w:sz w:val="24"/>
          <w:szCs w:val="24"/>
        </w:rPr>
      </w:pPr>
    </w:p>
    <w:p w14:paraId="4B82CDAB" w14:textId="77777777" w:rsidR="009F5DDF" w:rsidRPr="009F5DDF" w:rsidRDefault="009F5DDF" w:rsidP="009F5DDF">
      <w:pPr>
        <w:jc w:val="both"/>
        <w:rPr>
          <w:sz w:val="24"/>
          <w:szCs w:val="24"/>
        </w:rPr>
      </w:pPr>
      <w:r w:rsidRPr="009F5DDF">
        <w:rPr>
          <w:sz w:val="24"/>
          <w:szCs w:val="24"/>
        </w:rPr>
        <w:t>Para el exceso sobrevenido al límite de las operaciones activas, directas e indirectas, indicado en el inciso c) del artículo anterior, no se requiere la presentación de un plan de acción si el exceso al límite en dichas operaciones respecto al mes anterior se generó únicamente por una variación inferior a la variación máxima esperada en el tipo de cambio, según lo definido en el artículo 3</w:t>
      </w:r>
      <w:r w:rsidRPr="009F5DDF">
        <w:rPr>
          <w:b/>
          <w:bCs/>
          <w:sz w:val="24"/>
          <w:szCs w:val="24"/>
        </w:rPr>
        <w:t xml:space="preserve"> </w:t>
      </w:r>
      <w:r w:rsidRPr="009F5DDF">
        <w:rPr>
          <w:sz w:val="24"/>
          <w:szCs w:val="24"/>
        </w:rPr>
        <w:t>de este reglamento.</w:t>
      </w:r>
    </w:p>
    <w:p w14:paraId="7418F7E7" w14:textId="77777777" w:rsidR="009F5DDF" w:rsidRPr="009F5DDF" w:rsidRDefault="009F5DDF" w:rsidP="009F5DDF">
      <w:pPr>
        <w:rPr>
          <w:sz w:val="24"/>
          <w:szCs w:val="24"/>
        </w:rPr>
      </w:pPr>
    </w:p>
    <w:p w14:paraId="7CEB5080" w14:textId="77777777" w:rsidR="009F5DDF" w:rsidRPr="009F5DDF" w:rsidRDefault="009F5DDF" w:rsidP="009F5DDF">
      <w:pPr>
        <w:jc w:val="both"/>
        <w:rPr>
          <w:sz w:val="24"/>
          <w:szCs w:val="24"/>
        </w:rPr>
      </w:pPr>
      <w:r w:rsidRPr="009F5DDF">
        <w:rPr>
          <w:sz w:val="24"/>
          <w:szCs w:val="24"/>
        </w:rPr>
        <w:t xml:space="preserve">El cumplimiento de este plan no puede exceder de un plazo de seis meses. Este plazo puede ser prorrogado por la SUGEF hasta por seis meses más, para lo cual la entidad debe presentar la correspondiente solicitud, antes del vencimiento del plazo, debidamente acompañada de un plan </w:t>
      </w:r>
      <w:r w:rsidRPr="009F5DDF">
        <w:rPr>
          <w:sz w:val="24"/>
          <w:szCs w:val="24"/>
        </w:rPr>
        <w:lastRenderedPageBreak/>
        <w:t>de acción detallado que demuestre la imposibilidad material de ajustarse al plazo inicial indicado.</w:t>
      </w:r>
    </w:p>
    <w:p w14:paraId="6A7C3ACE" w14:textId="77777777" w:rsidR="009F5DDF" w:rsidRPr="009F5DDF" w:rsidRDefault="009F5DDF" w:rsidP="009F5DDF">
      <w:pPr>
        <w:jc w:val="both"/>
        <w:rPr>
          <w:sz w:val="24"/>
          <w:szCs w:val="24"/>
        </w:rPr>
      </w:pPr>
    </w:p>
    <w:p w14:paraId="3AE8D7DD" w14:textId="77777777" w:rsidR="009F5DDF" w:rsidRPr="009F5DDF" w:rsidRDefault="009F5DDF" w:rsidP="009F5DDF">
      <w:pPr>
        <w:jc w:val="both"/>
        <w:rPr>
          <w:sz w:val="24"/>
          <w:szCs w:val="24"/>
        </w:rPr>
      </w:pPr>
      <w:r w:rsidRPr="009F5DDF">
        <w:rPr>
          <w:sz w:val="24"/>
          <w:szCs w:val="24"/>
        </w:rPr>
        <w:t>Mientras se encuentre la situación de exceso, la entidad no puede realizar ninguna distribución de utilidades, excedentes u otros beneficios de similar naturaleza a sus propietarios.</w:t>
      </w:r>
    </w:p>
    <w:p w14:paraId="11AE09C3" w14:textId="77777777" w:rsidR="009F5DDF" w:rsidRPr="009F5DDF" w:rsidRDefault="009F5DDF" w:rsidP="009F5DDF">
      <w:pPr>
        <w:rPr>
          <w:sz w:val="24"/>
          <w:szCs w:val="24"/>
        </w:rPr>
      </w:pPr>
    </w:p>
    <w:p w14:paraId="5CB93476" w14:textId="77777777" w:rsidR="009F5DDF" w:rsidRPr="009F5DDF" w:rsidRDefault="009F5DDF" w:rsidP="009F5DDF">
      <w:pPr>
        <w:jc w:val="both"/>
        <w:rPr>
          <w:sz w:val="24"/>
          <w:szCs w:val="24"/>
        </w:rPr>
      </w:pPr>
      <w:r w:rsidRPr="009F5DDF">
        <w:rPr>
          <w:sz w:val="24"/>
          <w:szCs w:val="24"/>
        </w:rPr>
        <w:t>La presentación de un plan de acción no elimina la posibilidad de un eventual procedimiento administrativo sancionatorio, en caso de que la SUGEF llegue a determinar la existencia de posibles infracciones a la normativa relacionada.</w:t>
      </w:r>
    </w:p>
    <w:p w14:paraId="481E7CAA" w14:textId="77777777" w:rsidR="009F5DDF" w:rsidRPr="009F5DDF" w:rsidRDefault="009F5DDF" w:rsidP="009F5DDF">
      <w:pPr>
        <w:rPr>
          <w:sz w:val="24"/>
          <w:szCs w:val="24"/>
        </w:rPr>
      </w:pPr>
    </w:p>
    <w:p w14:paraId="54A171E1" w14:textId="77777777" w:rsidR="009F5DDF" w:rsidRPr="009F5DDF" w:rsidRDefault="009F5DDF" w:rsidP="009F5DDF">
      <w:pPr>
        <w:pStyle w:val="Ttulo1"/>
        <w:keepNext w:val="0"/>
        <w:widowControl w:val="0"/>
        <w:rPr>
          <w:b/>
          <w:bCs/>
          <w:color w:val="000000"/>
          <w:szCs w:val="24"/>
        </w:rPr>
      </w:pPr>
      <w:bookmarkStart w:id="31" w:name="_Toc121319018"/>
      <w:r w:rsidRPr="009F5DDF">
        <w:rPr>
          <w:b/>
          <w:bCs/>
          <w:color w:val="000000"/>
          <w:szCs w:val="24"/>
        </w:rPr>
        <w:t>CAPITULO III</w:t>
      </w:r>
      <w:bookmarkEnd w:id="31"/>
    </w:p>
    <w:p w14:paraId="509AA2B3" w14:textId="77777777" w:rsidR="009F5DDF" w:rsidRPr="009F5DDF" w:rsidRDefault="009F5DDF" w:rsidP="009F5DDF">
      <w:pPr>
        <w:pStyle w:val="Ttulo1"/>
        <w:keepNext w:val="0"/>
        <w:widowControl w:val="0"/>
        <w:rPr>
          <w:b/>
          <w:bCs/>
          <w:color w:val="000000"/>
          <w:szCs w:val="24"/>
        </w:rPr>
      </w:pPr>
      <w:bookmarkStart w:id="32" w:name="_Toc121319019"/>
      <w:r w:rsidRPr="009F5DDF">
        <w:rPr>
          <w:b/>
          <w:bCs/>
          <w:color w:val="000000"/>
          <w:szCs w:val="24"/>
        </w:rPr>
        <w:t>DISPOSICIONES SOBRE GRUPOS DE INTERÉS ECONÓMICO Y SOBRE LÍMITES CON PERSONAS INDIVIDUALES</w:t>
      </w:r>
      <w:bookmarkEnd w:id="32"/>
    </w:p>
    <w:p w14:paraId="57607E53" w14:textId="77777777" w:rsidR="009F5DDF" w:rsidRPr="009F5DDF" w:rsidRDefault="009F5DDF" w:rsidP="009F5DDF">
      <w:pPr>
        <w:rPr>
          <w:b/>
          <w:sz w:val="24"/>
          <w:szCs w:val="24"/>
        </w:rPr>
      </w:pPr>
      <w:bookmarkStart w:id="33" w:name="_Toc111020918"/>
      <w:bookmarkStart w:id="34" w:name="_Toc113009334"/>
    </w:p>
    <w:p w14:paraId="2BDB1311" w14:textId="77777777" w:rsidR="009F5DDF" w:rsidRPr="009F5DDF" w:rsidRDefault="009F5DDF" w:rsidP="009F5DDF">
      <w:pPr>
        <w:pStyle w:val="Ttulo2"/>
        <w:keepNext w:val="0"/>
        <w:widowControl w:val="0"/>
        <w:rPr>
          <w:bCs/>
          <w:i/>
          <w:iCs/>
          <w:color w:val="000000"/>
          <w:sz w:val="24"/>
          <w:szCs w:val="24"/>
        </w:rPr>
      </w:pPr>
      <w:bookmarkStart w:id="35" w:name="_Toc121319020"/>
      <w:bookmarkEnd w:id="33"/>
      <w:bookmarkEnd w:id="34"/>
      <w:r w:rsidRPr="009F5DDF">
        <w:rPr>
          <w:color w:val="000000"/>
          <w:sz w:val="24"/>
          <w:szCs w:val="24"/>
        </w:rPr>
        <w:t>Artículo 16. Identificación de un grupo de interés económico.</w:t>
      </w:r>
      <w:bookmarkEnd w:id="35"/>
    </w:p>
    <w:p w14:paraId="0E772FA5" w14:textId="77777777" w:rsidR="009F5DDF" w:rsidRPr="009F5DDF" w:rsidRDefault="009F5DDF" w:rsidP="009F5DDF">
      <w:pPr>
        <w:jc w:val="both"/>
        <w:rPr>
          <w:sz w:val="24"/>
          <w:szCs w:val="24"/>
        </w:rPr>
      </w:pPr>
      <w:r w:rsidRPr="009F5DDF">
        <w:rPr>
          <w:sz w:val="24"/>
          <w:szCs w:val="24"/>
        </w:rPr>
        <w:t xml:space="preserve">La entidad es responsable de identificar las personas, que tienen entre ellas, relaciones financieras, administrativas y patrimoniales significativas a las que se refieren los artículos 18, 19 y 20 de este capítulo, con las cuales la entidad posee operaciones activas directas e indirectas.   </w:t>
      </w:r>
    </w:p>
    <w:p w14:paraId="0D6B96D3" w14:textId="77777777" w:rsidR="009F5DDF" w:rsidRPr="009F5DDF" w:rsidRDefault="009F5DDF" w:rsidP="009F5DDF">
      <w:pPr>
        <w:rPr>
          <w:sz w:val="24"/>
          <w:szCs w:val="24"/>
        </w:rPr>
      </w:pPr>
    </w:p>
    <w:p w14:paraId="7385D3DF" w14:textId="77777777" w:rsidR="009F5DDF" w:rsidRPr="009F5DDF" w:rsidRDefault="009F5DDF" w:rsidP="009F5DDF">
      <w:pPr>
        <w:pStyle w:val="Ttulo2"/>
        <w:keepNext w:val="0"/>
        <w:widowControl w:val="0"/>
        <w:rPr>
          <w:bCs/>
          <w:i/>
          <w:iCs/>
          <w:color w:val="000000"/>
          <w:sz w:val="24"/>
          <w:szCs w:val="24"/>
        </w:rPr>
      </w:pPr>
      <w:bookmarkStart w:id="36" w:name="_Toc121319021"/>
      <w:r w:rsidRPr="009F5DDF">
        <w:rPr>
          <w:color w:val="000000"/>
          <w:sz w:val="24"/>
          <w:szCs w:val="24"/>
        </w:rPr>
        <w:t>Artículo 17. Conformación de un grupo de interés económico.</w:t>
      </w:r>
      <w:bookmarkEnd w:id="36"/>
    </w:p>
    <w:p w14:paraId="701E0D31" w14:textId="77777777" w:rsidR="009F5DDF" w:rsidRPr="009F5DDF" w:rsidRDefault="009F5DDF" w:rsidP="009F5DDF">
      <w:pPr>
        <w:jc w:val="both"/>
        <w:rPr>
          <w:sz w:val="24"/>
          <w:szCs w:val="24"/>
        </w:rPr>
      </w:pPr>
      <w:r w:rsidRPr="009F5DDF">
        <w:rPr>
          <w:sz w:val="24"/>
          <w:szCs w:val="24"/>
        </w:rPr>
        <w:t xml:space="preserve">Un grupo de interés económico está conformado por el conjunto de dos o más personas que mantengan relaciones financieras, administrativas o patrimoniales significativas entre sí, identificadas según los artículos 18, 19 y 20 de este reglamento, así como por las personas por medio de las cuales se constituyan las relaciones administrativas y patrimoniales según el inciso a) del artículo 19 y el inciso b) del artículo 20 de este reglamento. </w:t>
      </w:r>
    </w:p>
    <w:p w14:paraId="4BED0251" w14:textId="77777777" w:rsidR="009F5DDF" w:rsidRPr="009F5DDF" w:rsidRDefault="009F5DDF" w:rsidP="009F5DDF">
      <w:pPr>
        <w:rPr>
          <w:sz w:val="24"/>
          <w:szCs w:val="24"/>
        </w:rPr>
      </w:pPr>
    </w:p>
    <w:p w14:paraId="5E7EBE75" w14:textId="77777777" w:rsidR="009F5DDF" w:rsidRPr="009F5DDF" w:rsidRDefault="009F5DDF" w:rsidP="009F5DDF">
      <w:pPr>
        <w:pStyle w:val="Ttulo2"/>
        <w:keepNext w:val="0"/>
        <w:widowControl w:val="0"/>
        <w:rPr>
          <w:bCs/>
          <w:i/>
          <w:iCs/>
          <w:color w:val="000000"/>
          <w:sz w:val="24"/>
          <w:szCs w:val="24"/>
        </w:rPr>
      </w:pPr>
      <w:bookmarkStart w:id="37" w:name="_Toc121319022"/>
      <w:r w:rsidRPr="009F5DDF">
        <w:rPr>
          <w:color w:val="000000"/>
          <w:sz w:val="24"/>
          <w:szCs w:val="24"/>
        </w:rPr>
        <w:t>Artículo 18. Relación financiera significativa.</w:t>
      </w:r>
      <w:bookmarkEnd w:id="37"/>
    </w:p>
    <w:p w14:paraId="3F5D70F6" w14:textId="77777777" w:rsidR="009F5DDF" w:rsidRPr="009F5DDF" w:rsidRDefault="009F5DDF" w:rsidP="009F5DDF">
      <w:pPr>
        <w:jc w:val="both"/>
        <w:rPr>
          <w:sz w:val="24"/>
          <w:szCs w:val="24"/>
        </w:rPr>
      </w:pPr>
      <w:r w:rsidRPr="009F5DDF">
        <w:rPr>
          <w:sz w:val="24"/>
          <w:szCs w:val="24"/>
        </w:rPr>
        <w:t>Existe una relación financiera significativa entre dos personas cuando se presente cualquiera de las siguientes situaciones:</w:t>
      </w:r>
    </w:p>
    <w:p w14:paraId="7EC35AC4" w14:textId="77777777" w:rsidR="009F5DDF" w:rsidRPr="009F5DDF" w:rsidRDefault="009F5DDF" w:rsidP="009F5DDF">
      <w:pPr>
        <w:jc w:val="both"/>
        <w:rPr>
          <w:sz w:val="24"/>
          <w:szCs w:val="24"/>
        </w:rPr>
      </w:pPr>
    </w:p>
    <w:p w14:paraId="277E0365" w14:textId="77777777" w:rsidR="009F5DDF" w:rsidRPr="009F5DDF" w:rsidRDefault="009F5DDF" w:rsidP="009F5DDF">
      <w:pPr>
        <w:numPr>
          <w:ilvl w:val="0"/>
          <w:numId w:val="41"/>
        </w:numPr>
        <w:ind w:left="462" w:hanging="425"/>
        <w:jc w:val="both"/>
        <w:rPr>
          <w:sz w:val="24"/>
          <w:szCs w:val="24"/>
        </w:rPr>
      </w:pPr>
      <w:r w:rsidRPr="009F5DDF">
        <w:rPr>
          <w:sz w:val="24"/>
          <w:szCs w:val="24"/>
        </w:rPr>
        <w:t>El 40% o más del monto de las ventas o de las compras de productos y servicios de una persona se origina en transacciones con otra persona, monto que se determina sobre una base anual, conformada por los últimos cuatro trimestres calendario;</w:t>
      </w:r>
    </w:p>
    <w:p w14:paraId="28550CA4" w14:textId="77777777" w:rsidR="009F5DDF" w:rsidRPr="009F5DDF" w:rsidRDefault="009F5DDF" w:rsidP="009F5DDF">
      <w:pPr>
        <w:numPr>
          <w:ilvl w:val="0"/>
          <w:numId w:val="41"/>
        </w:numPr>
        <w:ind w:left="462" w:hanging="425"/>
        <w:jc w:val="both"/>
        <w:rPr>
          <w:sz w:val="24"/>
          <w:szCs w:val="24"/>
        </w:rPr>
      </w:pPr>
      <w:r w:rsidRPr="009F5DDF">
        <w:rPr>
          <w:sz w:val="24"/>
          <w:szCs w:val="24"/>
        </w:rPr>
        <w:t>Una persona jurídica u otra figura jurídica otorga una garantía o un crédito a otra persona por el 10% o más del patrimonio de quien lo otorgó, excepto las garantías y créditos otorgadas por las entidades supervisadas por SUGEF; o</w:t>
      </w:r>
    </w:p>
    <w:p w14:paraId="61D2A5F9" w14:textId="77777777" w:rsidR="009F5DDF" w:rsidRPr="009F5DDF" w:rsidRDefault="009F5DDF" w:rsidP="009F5DDF">
      <w:pPr>
        <w:numPr>
          <w:ilvl w:val="0"/>
          <w:numId w:val="41"/>
        </w:numPr>
        <w:ind w:left="462" w:hanging="425"/>
        <w:jc w:val="both"/>
        <w:rPr>
          <w:sz w:val="24"/>
          <w:szCs w:val="24"/>
        </w:rPr>
      </w:pPr>
      <w:r w:rsidRPr="009F5DDF">
        <w:rPr>
          <w:sz w:val="24"/>
          <w:szCs w:val="24"/>
        </w:rPr>
        <w:t>Cuando se da una relación de deudor con su codeudor o codeudores.</w:t>
      </w:r>
    </w:p>
    <w:p w14:paraId="69363CB6" w14:textId="77777777" w:rsidR="009F5DDF" w:rsidRPr="009F5DDF" w:rsidRDefault="009F5DDF" w:rsidP="009F5DDF">
      <w:pPr>
        <w:rPr>
          <w:b/>
          <w:i/>
          <w:iCs/>
          <w:sz w:val="24"/>
          <w:szCs w:val="24"/>
        </w:rPr>
      </w:pPr>
      <w:bookmarkStart w:id="38" w:name="_Toc111020921"/>
      <w:bookmarkStart w:id="39" w:name="_Toc113009337"/>
    </w:p>
    <w:p w14:paraId="60C40A9A" w14:textId="77777777" w:rsidR="009F5DDF" w:rsidRPr="009F5DDF" w:rsidRDefault="009F5DDF" w:rsidP="009F5DDF">
      <w:pPr>
        <w:pStyle w:val="Ttulo2"/>
        <w:keepNext w:val="0"/>
        <w:widowControl w:val="0"/>
        <w:rPr>
          <w:bCs/>
          <w:i/>
          <w:iCs/>
          <w:color w:val="000000"/>
          <w:sz w:val="24"/>
          <w:szCs w:val="24"/>
        </w:rPr>
      </w:pPr>
      <w:bookmarkStart w:id="40" w:name="_Toc121319023"/>
      <w:bookmarkEnd w:id="38"/>
      <w:bookmarkEnd w:id="39"/>
      <w:r w:rsidRPr="009F5DDF">
        <w:rPr>
          <w:color w:val="000000"/>
          <w:sz w:val="24"/>
          <w:szCs w:val="24"/>
        </w:rPr>
        <w:t>Artículo 19. Relación administrativa significativa.</w:t>
      </w:r>
      <w:bookmarkEnd w:id="40"/>
    </w:p>
    <w:p w14:paraId="5BD792C8" w14:textId="77777777" w:rsidR="009F5DDF" w:rsidRPr="009F5DDF" w:rsidRDefault="009F5DDF" w:rsidP="009F5DDF">
      <w:pPr>
        <w:jc w:val="both"/>
        <w:rPr>
          <w:sz w:val="24"/>
          <w:szCs w:val="24"/>
        </w:rPr>
      </w:pPr>
      <w:r w:rsidRPr="009F5DDF">
        <w:rPr>
          <w:sz w:val="24"/>
          <w:szCs w:val="24"/>
        </w:rPr>
        <w:t>Existe una relación administrativa significativa entre dos personas cuando se presente cualquiera de las siguientes situaciones:</w:t>
      </w:r>
    </w:p>
    <w:p w14:paraId="7826DE84" w14:textId="77777777" w:rsidR="009F5DDF" w:rsidRPr="009F5DDF" w:rsidRDefault="009F5DDF" w:rsidP="009F5DDF">
      <w:pPr>
        <w:jc w:val="both"/>
        <w:rPr>
          <w:sz w:val="24"/>
          <w:szCs w:val="24"/>
        </w:rPr>
      </w:pPr>
    </w:p>
    <w:p w14:paraId="06336252" w14:textId="77777777" w:rsidR="009F5DDF" w:rsidRPr="009F5DDF" w:rsidRDefault="009F5DDF" w:rsidP="009F5DDF">
      <w:pPr>
        <w:numPr>
          <w:ilvl w:val="0"/>
          <w:numId w:val="39"/>
        </w:numPr>
        <w:ind w:left="720" w:hanging="360"/>
        <w:jc w:val="both"/>
        <w:rPr>
          <w:sz w:val="24"/>
          <w:szCs w:val="24"/>
        </w:rPr>
      </w:pPr>
      <w:r w:rsidRPr="009F5DDF">
        <w:rPr>
          <w:sz w:val="24"/>
          <w:szCs w:val="24"/>
        </w:rPr>
        <w:t>Dos personas jurídicas tienen en común el 30% o más de los miembros del órgano directivo. Para estos efectos se redondea al entero superior;</w:t>
      </w:r>
    </w:p>
    <w:p w14:paraId="7C4F9AB5" w14:textId="77777777" w:rsidR="009F5DDF" w:rsidRPr="009F5DDF" w:rsidRDefault="009F5DDF" w:rsidP="009F5DDF">
      <w:pPr>
        <w:numPr>
          <w:ilvl w:val="0"/>
          <w:numId w:val="39"/>
        </w:numPr>
        <w:ind w:left="720" w:hanging="360"/>
        <w:jc w:val="both"/>
        <w:rPr>
          <w:sz w:val="24"/>
          <w:szCs w:val="24"/>
        </w:rPr>
      </w:pPr>
      <w:r w:rsidRPr="009F5DDF">
        <w:rPr>
          <w:sz w:val="24"/>
          <w:szCs w:val="24"/>
        </w:rPr>
        <w:lastRenderedPageBreak/>
        <w:t>El gerente o apoderado generalísimo de una persona jurídica se desempeña como gerente o apoderado generalísimo en otra persona jurídica; o</w:t>
      </w:r>
    </w:p>
    <w:p w14:paraId="14EF176E" w14:textId="77777777" w:rsidR="009F5DDF" w:rsidRPr="009F5DDF" w:rsidRDefault="009F5DDF" w:rsidP="009F5DDF">
      <w:pPr>
        <w:numPr>
          <w:ilvl w:val="0"/>
          <w:numId w:val="39"/>
        </w:numPr>
        <w:ind w:left="720" w:hanging="360"/>
        <w:jc w:val="both"/>
        <w:rPr>
          <w:sz w:val="24"/>
          <w:szCs w:val="24"/>
        </w:rPr>
      </w:pPr>
      <w:r w:rsidRPr="009F5DDF">
        <w:rPr>
          <w:sz w:val="24"/>
          <w:szCs w:val="24"/>
        </w:rPr>
        <w:t>Una persona física es apoderado generalísimo o gerente de una persona jurídica.</w:t>
      </w:r>
    </w:p>
    <w:p w14:paraId="33628C3C" w14:textId="77777777" w:rsidR="009F5DDF" w:rsidRPr="009F5DDF" w:rsidRDefault="009F5DDF" w:rsidP="009F5DDF">
      <w:pPr>
        <w:jc w:val="both"/>
        <w:rPr>
          <w:b/>
          <w:i/>
          <w:iCs/>
          <w:sz w:val="24"/>
          <w:szCs w:val="24"/>
        </w:rPr>
      </w:pPr>
      <w:bookmarkStart w:id="41" w:name="_Toc111020922"/>
      <w:bookmarkStart w:id="42" w:name="_Toc113009338"/>
    </w:p>
    <w:p w14:paraId="66AAB941" w14:textId="77777777" w:rsidR="009F5DDF" w:rsidRPr="009F5DDF" w:rsidRDefault="009F5DDF" w:rsidP="009F5DDF">
      <w:pPr>
        <w:pStyle w:val="Ttulo2"/>
        <w:keepNext w:val="0"/>
        <w:widowControl w:val="0"/>
        <w:rPr>
          <w:bCs/>
          <w:i/>
          <w:iCs/>
          <w:color w:val="000000"/>
          <w:sz w:val="24"/>
          <w:szCs w:val="24"/>
        </w:rPr>
      </w:pPr>
      <w:bookmarkStart w:id="43" w:name="_Toc121319024"/>
      <w:bookmarkEnd w:id="41"/>
      <w:bookmarkEnd w:id="42"/>
      <w:r w:rsidRPr="009F5DDF">
        <w:rPr>
          <w:color w:val="000000"/>
          <w:sz w:val="24"/>
          <w:szCs w:val="24"/>
        </w:rPr>
        <w:t>Artículo 20. Relación patrimonial significativa.</w:t>
      </w:r>
      <w:bookmarkEnd w:id="43"/>
    </w:p>
    <w:p w14:paraId="3E91DC30" w14:textId="77777777" w:rsidR="009F5DDF" w:rsidRPr="009F5DDF" w:rsidRDefault="009F5DDF" w:rsidP="009F5DDF">
      <w:pPr>
        <w:jc w:val="both"/>
        <w:rPr>
          <w:sz w:val="24"/>
          <w:szCs w:val="24"/>
        </w:rPr>
      </w:pPr>
      <w:r w:rsidRPr="009F5DDF">
        <w:rPr>
          <w:sz w:val="24"/>
          <w:szCs w:val="24"/>
        </w:rPr>
        <w:t>Existe una relación patrimonial significativa entre dos personas cuando se presente cualquiera de las siguientes situaciones:</w:t>
      </w:r>
    </w:p>
    <w:p w14:paraId="7CB8F4A7" w14:textId="77777777" w:rsidR="009F5DDF" w:rsidRPr="009F5DDF" w:rsidRDefault="009F5DDF" w:rsidP="009F5DDF">
      <w:pPr>
        <w:rPr>
          <w:sz w:val="24"/>
          <w:szCs w:val="24"/>
        </w:rPr>
      </w:pPr>
    </w:p>
    <w:p w14:paraId="5E8E94FD" w14:textId="77777777" w:rsidR="009F5DDF" w:rsidRPr="009F5DDF" w:rsidRDefault="009F5DDF" w:rsidP="009F5DDF">
      <w:pPr>
        <w:numPr>
          <w:ilvl w:val="0"/>
          <w:numId w:val="40"/>
        </w:numPr>
        <w:ind w:left="462" w:hanging="360"/>
        <w:jc w:val="both"/>
        <w:rPr>
          <w:sz w:val="24"/>
          <w:szCs w:val="24"/>
        </w:rPr>
      </w:pPr>
      <w:r w:rsidRPr="009F5DDF">
        <w:rPr>
          <w:sz w:val="24"/>
          <w:szCs w:val="24"/>
        </w:rPr>
        <w:t>Una persona participa en el 15% o más del capital social de una persona jurídica. En el caso de una persona física, para determinar su participación en el capital social, se le sumarán las participaciones individuales que controlan quienes mantienen relaciones de parentesco con ella.</w:t>
      </w:r>
    </w:p>
    <w:p w14:paraId="1EF6A486" w14:textId="77777777" w:rsidR="009F5DDF" w:rsidRPr="009F5DDF" w:rsidRDefault="009F5DDF" w:rsidP="009F5DDF">
      <w:pPr>
        <w:numPr>
          <w:ilvl w:val="0"/>
          <w:numId w:val="40"/>
        </w:numPr>
        <w:ind w:left="462" w:hanging="360"/>
        <w:jc w:val="both"/>
        <w:rPr>
          <w:sz w:val="24"/>
          <w:szCs w:val="24"/>
        </w:rPr>
      </w:pPr>
      <w:r w:rsidRPr="009F5DDF">
        <w:rPr>
          <w:sz w:val="24"/>
          <w:szCs w:val="24"/>
        </w:rPr>
        <w:t>Dos o más personas jurídicas tienen en común dos o más personas que, en forma conjunta, controlan el 25% o más del capital social de cada una de ellas. La participación individual de las personas en el capital social de las personas jurídicas de que se trate se debe considerar a partir de un 5% inclusive; o</w:t>
      </w:r>
    </w:p>
    <w:p w14:paraId="771270C2" w14:textId="77777777" w:rsidR="009F5DDF" w:rsidRPr="009F5DDF" w:rsidRDefault="009F5DDF" w:rsidP="009F5DDF">
      <w:pPr>
        <w:numPr>
          <w:ilvl w:val="0"/>
          <w:numId w:val="40"/>
        </w:numPr>
        <w:ind w:left="462" w:hanging="360"/>
        <w:jc w:val="both"/>
        <w:rPr>
          <w:sz w:val="24"/>
          <w:szCs w:val="24"/>
        </w:rPr>
      </w:pPr>
      <w:r w:rsidRPr="009F5DDF">
        <w:rPr>
          <w:sz w:val="24"/>
          <w:szCs w:val="24"/>
        </w:rPr>
        <w:t>Existe una relación de socio entre una persona y una sociedad de personas (sociedad en nombre colectivo o en comandita).</w:t>
      </w:r>
    </w:p>
    <w:p w14:paraId="197CB8A4" w14:textId="77777777" w:rsidR="009F5DDF" w:rsidRPr="009F5DDF" w:rsidRDefault="009F5DDF" w:rsidP="009F5DDF">
      <w:pPr>
        <w:rPr>
          <w:b/>
          <w:sz w:val="24"/>
          <w:szCs w:val="24"/>
        </w:rPr>
      </w:pPr>
      <w:bookmarkStart w:id="44" w:name="_Toc113009339"/>
      <w:bookmarkStart w:id="45" w:name="_Toc111020923"/>
    </w:p>
    <w:p w14:paraId="60C43049" w14:textId="77777777" w:rsidR="009F5DDF" w:rsidRPr="009F5DDF" w:rsidRDefault="009F5DDF" w:rsidP="009F5DDF">
      <w:pPr>
        <w:pStyle w:val="Ttulo2"/>
        <w:keepNext w:val="0"/>
        <w:widowControl w:val="0"/>
        <w:rPr>
          <w:bCs/>
          <w:i/>
          <w:iCs/>
          <w:color w:val="000000"/>
          <w:sz w:val="24"/>
          <w:szCs w:val="24"/>
        </w:rPr>
      </w:pPr>
      <w:bookmarkStart w:id="46" w:name="_Toc121319025"/>
      <w:bookmarkEnd w:id="44"/>
      <w:bookmarkEnd w:id="45"/>
      <w:r w:rsidRPr="009F5DDF">
        <w:rPr>
          <w:color w:val="000000"/>
          <w:sz w:val="24"/>
          <w:szCs w:val="24"/>
        </w:rPr>
        <w:t>Artículo 21. Determinación por la SUGEF de un grupo de interés económico</w:t>
      </w:r>
      <w:bookmarkEnd w:id="46"/>
    </w:p>
    <w:p w14:paraId="617D5003" w14:textId="77777777" w:rsidR="009F5DDF" w:rsidRPr="009F5DDF" w:rsidRDefault="009F5DDF" w:rsidP="009F5DDF">
      <w:pPr>
        <w:jc w:val="both"/>
        <w:rPr>
          <w:sz w:val="24"/>
          <w:szCs w:val="24"/>
        </w:rPr>
      </w:pPr>
      <w:r w:rsidRPr="009F5DDF">
        <w:rPr>
          <w:sz w:val="24"/>
          <w:szCs w:val="24"/>
        </w:rPr>
        <w:t>La SUGEF determina la existencia de relaciones administrativas, patrimoniales o financieras significativa entre dos o más deudores, con base en una evaluación de los hechos y circunstancias.</w:t>
      </w:r>
    </w:p>
    <w:p w14:paraId="1F7367B9" w14:textId="77777777" w:rsidR="009F5DDF" w:rsidRPr="009F5DDF" w:rsidRDefault="009F5DDF" w:rsidP="009F5DDF">
      <w:pPr>
        <w:rPr>
          <w:sz w:val="24"/>
          <w:szCs w:val="24"/>
        </w:rPr>
      </w:pPr>
    </w:p>
    <w:p w14:paraId="295ED583" w14:textId="6500993A" w:rsidR="009F5DDF" w:rsidRDefault="009F5DDF" w:rsidP="009F5DDF">
      <w:pPr>
        <w:jc w:val="both"/>
        <w:rPr>
          <w:sz w:val="24"/>
          <w:szCs w:val="24"/>
        </w:rPr>
      </w:pPr>
      <w:r w:rsidRPr="009F5DDF">
        <w:rPr>
          <w:sz w:val="24"/>
          <w:szCs w:val="24"/>
        </w:rPr>
        <w:t>La SUGEF, mediante resolución razonada, debe comunicar a la entidad los motivos por los cuales ha considerado que existe una relación significativa entre determinadas personas que constituyen un grupo de interés económico, En dicha resolución, se otorga un plazo máximo de cinco días hábiles para que la entidad ofrezca los argumentos y aporte la prueba que estime pertinente en oposición a lo indicado por la SUGEF.</w:t>
      </w:r>
    </w:p>
    <w:p w14:paraId="63033051" w14:textId="77777777" w:rsidR="009E0F3E" w:rsidRPr="009F5DDF" w:rsidRDefault="009E0F3E" w:rsidP="009F5DDF">
      <w:pPr>
        <w:jc w:val="both"/>
        <w:rPr>
          <w:sz w:val="24"/>
          <w:szCs w:val="24"/>
        </w:rPr>
      </w:pPr>
    </w:p>
    <w:p w14:paraId="3631C9FF" w14:textId="77777777" w:rsidR="009F5DDF" w:rsidRPr="009F5DDF" w:rsidRDefault="009F5DDF" w:rsidP="009F5DDF">
      <w:pPr>
        <w:pStyle w:val="Ttulo2"/>
        <w:keepNext w:val="0"/>
        <w:widowControl w:val="0"/>
        <w:rPr>
          <w:bCs/>
          <w:i/>
          <w:iCs/>
          <w:color w:val="000000"/>
          <w:sz w:val="24"/>
          <w:szCs w:val="24"/>
        </w:rPr>
      </w:pPr>
      <w:bookmarkStart w:id="47" w:name="_Toc121319026"/>
      <w:r w:rsidRPr="009F5DDF">
        <w:rPr>
          <w:color w:val="000000"/>
          <w:sz w:val="24"/>
          <w:szCs w:val="24"/>
        </w:rPr>
        <w:t>Artículo 22. Límite aplicable a las operaciones activas, directas e indirectas, con cada persona individual</w:t>
      </w:r>
      <w:bookmarkEnd w:id="47"/>
    </w:p>
    <w:p w14:paraId="2F1F1973" w14:textId="77777777" w:rsidR="009F5DDF" w:rsidRPr="009F5DDF" w:rsidRDefault="009F5DDF" w:rsidP="009F5DDF">
      <w:pPr>
        <w:jc w:val="both"/>
        <w:rPr>
          <w:sz w:val="24"/>
          <w:szCs w:val="24"/>
        </w:rPr>
      </w:pPr>
      <w:r w:rsidRPr="009F5DDF">
        <w:rPr>
          <w:sz w:val="24"/>
          <w:szCs w:val="24"/>
        </w:rPr>
        <w:t>El límite máximo para el total de las operaciones activas, directas e indirectas, que la entidad puede realizar con cada persona individual será de una suma equivalente al 20% del capital ajustado.</w:t>
      </w:r>
    </w:p>
    <w:p w14:paraId="57201423" w14:textId="77777777" w:rsidR="009F5DDF" w:rsidRPr="009F5DDF" w:rsidRDefault="009F5DDF" w:rsidP="009F5DDF">
      <w:pPr>
        <w:jc w:val="both"/>
        <w:rPr>
          <w:sz w:val="24"/>
          <w:szCs w:val="24"/>
        </w:rPr>
      </w:pPr>
    </w:p>
    <w:p w14:paraId="04B167DF" w14:textId="77777777" w:rsidR="009F5DDF" w:rsidRPr="009F5DDF" w:rsidRDefault="009F5DDF" w:rsidP="009F5DDF">
      <w:pPr>
        <w:jc w:val="both"/>
        <w:rPr>
          <w:sz w:val="24"/>
          <w:szCs w:val="24"/>
        </w:rPr>
      </w:pPr>
      <w:r w:rsidRPr="009F5DDF">
        <w:rPr>
          <w:sz w:val="24"/>
          <w:szCs w:val="24"/>
        </w:rPr>
        <w:t>Al monto de las operaciones activas, directas e indirectas, se le restan las operaciones back to back en el cálculo de este límite.</w:t>
      </w:r>
    </w:p>
    <w:p w14:paraId="24EA91BB" w14:textId="77777777" w:rsidR="009F5DDF" w:rsidRPr="009F5DDF" w:rsidRDefault="009F5DDF" w:rsidP="009F5DDF">
      <w:pPr>
        <w:rPr>
          <w:sz w:val="24"/>
          <w:szCs w:val="24"/>
        </w:rPr>
      </w:pPr>
    </w:p>
    <w:p w14:paraId="55E583DB" w14:textId="77777777" w:rsidR="009F5DDF" w:rsidRPr="009F5DDF" w:rsidRDefault="009F5DDF" w:rsidP="009F5DDF">
      <w:pPr>
        <w:pStyle w:val="Ttulo2"/>
        <w:keepNext w:val="0"/>
        <w:widowControl w:val="0"/>
        <w:rPr>
          <w:bCs/>
          <w:i/>
          <w:iCs/>
          <w:color w:val="000000"/>
          <w:sz w:val="24"/>
          <w:szCs w:val="24"/>
        </w:rPr>
      </w:pPr>
      <w:bookmarkStart w:id="48" w:name="_Toc121319027"/>
      <w:r w:rsidRPr="009F5DDF">
        <w:rPr>
          <w:color w:val="000000"/>
          <w:sz w:val="24"/>
          <w:szCs w:val="24"/>
        </w:rPr>
        <w:t>Artículo 23. Ampliaciones al límite aplicable</w:t>
      </w:r>
      <w:bookmarkEnd w:id="48"/>
      <w:r w:rsidRPr="009F5DDF">
        <w:rPr>
          <w:color w:val="000000"/>
          <w:sz w:val="24"/>
          <w:szCs w:val="24"/>
        </w:rPr>
        <w:t xml:space="preserve"> </w:t>
      </w:r>
    </w:p>
    <w:p w14:paraId="610048FD" w14:textId="77777777" w:rsidR="009F5DDF" w:rsidRPr="009F5DDF" w:rsidRDefault="009F5DDF" w:rsidP="009F5DDF">
      <w:pPr>
        <w:jc w:val="both"/>
        <w:rPr>
          <w:sz w:val="24"/>
          <w:szCs w:val="24"/>
        </w:rPr>
      </w:pPr>
      <w:r w:rsidRPr="009F5DDF">
        <w:rPr>
          <w:sz w:val="24"/>
          <w:szCs w:val="24"/>
        </w:rPr>
        <w:t>La SUGEF puede autorizar al BANHVI una ampliación del límite máximo aplicable a sus operaciones activas, directas e indirectas, a solicitud de éste y de manera previa al incumplimiento de este límite, hasta por un máximo del 40% del capital ajustado. La SUGEF debe fiscalizar que el aumento del 40% no implique que el BANHVI pueda discriminar entre las diferentes entidades mutualistas del país.</w:t>
      </w:r>
    </w:p>
    <w:p w14:paraId="62FD0958" w14:textId="77777777" w:rsidR="009F5DDF" w:rsidRPr="009F5DDF" w:rsidRDefault="009F5DDF" w:rsidP="009F5DDF">
      <w:pPr>
        <w:rPr>
          <w:sz w:val="24"/>
          <w:szCs w:val="24"/>
        </w:rPr>
      </w:pPr>
    </w:p>
    <w:p w14:paraId="205C6357" w14:textId="77777777" w:rsidR="009F5DDF" w:rsidRPr="009F5DDF" w:rsidRDefault="009F5DDF" w:rsidP="009F5DDF">
      <w:pPr>
        <w:jc w:val="both"/>
        <w:rPr>
          <w:sz w:val="24"/>
          <w:szCs w:val="24"/>
        </w:rPr>
      </w:pPr>
      <w:r w:rsidRPr="009F5DDF">
        <w:rPr>
          <w:sz w:val="24"/>
          <w:szCs w:val="24"/>
        </w:rPr>
        <w:t>La SUGEF puede recomendar al CONASSIF la autorización de una ampliación gradual del límite a las operaciones activas, directas e indirectas, a partir del 25% hasta que el límite alcance el 40% de su capital ajustado, a solicitud de la entidad y de manera previa a exceder el límite del 25% del capital ajustado, cuando se trate de fideicomisos para el financiamiento de proyectos de obra pública que promueva la Administración Pública. En este caso, la SUGEF debe fiscalizar que el aumento no comprometa la estabilidad y solvencia de las entidades y que dichas operaciones se realicen dentro de un marco apropiado de gestión de los riesgos y transparencia.</w:t>
      </w:r>
    </w:p>
    <w:p w14:paraId="135BC970" w14:textId="77777777" w:rsidR="009F5DDF" w:rsidRPr="009F5DDF" w:rsidRDefault="009F5DDF" w:rsidP="009F5DDF">
      <w:pPr>
        <w:rPr>
          <w:sz w:val="24"/>
          <w:szCs w:val="24"/>
        </w:rPr>
      </w:pPr>
    </w:p>
    <w:p w14:paraId="434B9671" w14:textId="77777777" w:rsidR="009F5DDF" w:rsidRPr="009F5DDF" w:rsidRDefault="009F5DDF" w:rsidP="009F5DDF">
      <w:pPr>
        <w:jc w:val="both"/>
        <w:rPr>
          <w:sz w:val="24"/>
          <w:szCs w:val="24"/>
        </w:rPr>
      </w:pPr>
      <w:r w:rsidRPr="009F5DDF">
        <w:rPr>
          <w:sz w:val="24"/>
          <w:szCs w:val="24"/>
        </w:rPr>
        <w:t xml:space="preserve">El supervisado debe presentar la solicitud de autorización, firmada por su representante legal, cumplir con los requerimientos dispuestos en el Anexo III de este reglamento y en lo que sea aplicable seguir con el procedimiento dispuesto en la reglamentación de autorización. </w:t>
      </w:r>
    </w:p>
    <w:p w14:paraId="45D75533" w14:textId="77777777" w:rsidR="009F5DDF" w:rsidRPr="009F5DDF" w:rsidRDefault="009F5DDF" w:rsidP="009F5DDF">
      <w:pPr>
        <w:rPr>
          <w:sz w:val="24"/>
          <w:szCs w:val="24"/>
        </w:rPr>
      </w:pPr>
    </w:p>
    <w:p w14:paraId="70EC71CC" w14:textId="77777777" w:rsidR="009F5DDF" w:rsidRPr="009F5DDF" w:rsidRDefault="009F5DDF" w:rsidP="009F5DDF">
      <w:pPr>
        <w:jc w:val="both"/>
        <w:rPr>
          <w:sz w:val="24"/>
          <w:szCs w:val="24"/>
        </w:rPr>
      </w:pPr>
      <w:r w:rsidRPr="009F5DDF">
        <w:rPr>
          <w:sz w:val="24"/>
          <w:szCs w:val="24"/>
        </w:rPr>
        <w:t>En caso de que, durante la vigencia de la ampliación del límite, el autorizado incumpla con cualquiera de los requisitos establecido en el Anexo III, será aplicable lo dispuesto a excesos al límite y debe presentar un Plan de Acción según lo dispuesto en el Artículo 26 de este reglamento.</w:t>
      </w:r>
    </w:p>
    <w:p w14:paraId="39D68B02" w14:textId="77777777" w:rsidR="009F5DDF" w:rsidRPr="009F5DDF" w:rsidRDefault="009F5DDF" w:rsidP="009F5DDF">
      <w:pPr>
        <w:rPr>
          <w:sz w:val="24"/>
          <w:szCs w:val="24"/>
        </w:rPr>
      </w:pPr>
    </w:p>
    <w:p w14:paraId="769F94C7" w14:textId="77777777" w:rsidR="009F5DDF" w:rsidRPr="009F5DDF" w:rsidRDefault="009F5DDF" w:rsidP="009F5DDF">
      <w:pPr>
        <w:pStyle w:val="Ttulo2"/>
        <w:keepNext w:val="0"/>
        <w:widowControl w:val="0"/>
        <w:rPr>
          <w:bCs/>
          <w:i/>
          <w:iCs/>
          <w:color w:val="000000"/>
          <w:sz w:val="24"/>
          <w:szCs w:val="24"/>
        </w:rPr>
      </w:pPr>
      <w:bookmarkStart w:id="49" w:name="_Toc121319028"/>
      <w:bookmarkStart w:id="50" w:name="_Hlk118965668"/>
      <w:r w:rsidRPr="009F5DDF">
        <w:rPr>
          <w:color w:val="000000"/>
          <w:sz w:val="24"/>
          <w:szCs w:val="24"/>
        </w:rPr>
        <w:t>Artículo 24. Límite aplicable a las operaciones activas, directas e indirectas, con grupos de interés económico</w:t>
      </w:r>
      <w:bookmarkEnd w:id="49"/>
    </w:p>
    <w:p w14:paraId="631B9A51" w14:textId="77777777" w:rsidR="009F5DDF" w:rsidRPr="009F5DDF" w:rsidRDefault="009F5DDF" w:rsidP="009F5DDF">
      <w:pPr>
        <w:jc w:val="both"/>
        <w:rPr>
          <w:sz w:val="24"/>
          <w:szCs w:val="24"/>
        </w:rPr>
      </w:pPr>
      <w:r w:rsidRPr="009F5DDF">
        <w:rPr>
          <w:sz w:val="24"/>
          <w:szCs w:val="24"/>
        </w:rPr>
        <w:t xml:space="preserve">El límite máximo para el total de las operaciones activas, directas e indirectas, que la entidad puede realizar con el conjunto de personas que conforman un grupo de interés económico, será de una suma equivalente al 20% del capital ajustado.  </w:t>
      </w:r>
    </w:p>
    <w:p w14:paraId="34FBF15D" w14:textId="77777777" w:rsidR="009F5DDF" w:rsidRPr="009F5DDF" w:rsidRDefault="009F5DDF" w:rsidP="009F5DDF">
      <w:pPr>
        <w:jc w:val="both"/>
        <w:rPr>
          <w:sz w:val="24"/>
          <w:szCs w:val="24"/>
        </w:rPr>
      </w:pPr>
    </w:p>
    <w:p w14:paraId="406751C1" w14:textId="77777777" w:rsidR="009F5DDF" w:rsidRPr="009F5DDF" w:rsidRDefault="009F5DDF" w:rsidP="009F5DDF">
      <w:pPr>
        <w:jc w:val="both"/>
        <w:rPr>
          <w:sz w:val="24"/>
          <w:szCs w:val="24"/>
        </w:rPr>
      </w:pPr>
      <w:r w:rsidRPr="009F5DDF">
        <w:rPr>
          <w:sz w:val="24"/>
          <w:szCs w:val="24"/>
        </w:rPr>
        <w:t>En el caso de operaciones activas, directas e indirectas, realizada con un grupo de interés económico que tenga como miembro al Instituto Costarricense de Electricidad, tiene un límite máximo del 30 % del capital ajustado; sin embargo, a nivel individual le corresponde a esta institución el límite máximo del 20% del capital ajustado.</w:t>
      </w:r>
    </w:p>
    <w:p w14:paraId="56B83234" w14:textId="77777777" w:rsidR="009F5DDF" w:rsidRPr="009F5DDF" w:rsidRDefault="009F5DDF" w:rsidP="009F5DDF">
      <w:pPr>
        <w:rPr>
          <w:sz w:val="24"/>
          <w:szCs w:val="24"/>
        </w:rPr>
      </w:pPr>
    </w:p>
    <w:bookmarkEnd w:id="50"/>
    <w:p w14:paraId="736ACD9A" w14:textId="77777777" w:rsidR="009F5DDF" w:rsidRPr="009F5DDF" w:rsidRDefault="009F5DDF" w:rsidP="009F5DDF">
      <w:pPr>
        <w:jc w:val="both"/>
        <w:rPr>
          <w:sz w:val="24"/>
          <w:szCs w:val="24"/>
        </w:rPr>
      </w:pPr>
      <w:r w:rsidRPr="009F5DDF">
        <w:rPr>
          <w:sz w:val="24"/>
          <w:szCs w:val="24"/>
        </w:rPr>
        <w:t>Cuando el fideicomiso a que se refiere el Artículo 23 de este Reglamento sea integrante de un grupo de interés económico, le sigue aplicando el límite máximo individual del 25% del capital ajustado establecido en dicho Artículo. Sin embargo, el sublímite disponible para el resto de los miembros que integran este grupo de interés económico está acotado hasta el 20% del capital ajustado.</w:t>
      </w:r>
    </w:p>
    <w:p w14:paraId="635E8F8B" w14:textId="77777777" w:rsidR="009F5DDF" w:rsidRPr="009F5DDF" w:rsidRDefault="009F5DDF" w:rsidP="009F5DDF">
      <w:pPr>
        <w:rPr>
          <w:sz w:val="24"/>
          <w:szCs w:val="24"/>
        </w:rPr>
      </w:pPr>
    </w:p>
    <w:p w14:paraId="3DB5B86A" w14:textId="24A023FB" w:rsidR="009F5DDF" w:rsidRDefault="009F5DDF" w:rsidP="009F5DDF">
      <w:pPr>
        <w:jc w:val="both"/>
        <w:rPr>
          <w:sz w:val="24"/>
          <w:szCs w:val="24"/>
        </w:rPr>
      </w:pPr>
      <w:r w:rsidRPr="009F5DDF">
        <w:rPr>
          <w:sz w:val="24"/>
          <w:szCs w:val="24"/>
        </w:rPr>
        <w:t xml:space="preserve">Al monto de las operaciones activas, directas e indirectas, se le restan las operaciones </w:t>
      </w:r>
      <w:r w:rsidRPr="009F5DDF">
        <w:rPr>
          <w:i/>
          <w:iCs/>
          <w:sz w:val="24"/>
          <w:szCs w:val="24"/>
        </w:rPr>
        <w:t>back to back</w:t>
      </w:r>
      <w:r w:rsidRPr="009F5DDF">
        <w:rPr>
          <w:sz w:val="24"/>
          <w:szCs w:val="24"/>
        </w:rPr>
        <w:t xml:space="preserve"> en el cálculo de este límite.</w:t>
      </w:r>
    </w:p>
    <w:p w14:paraId="2E9129C1" w14:textId="77777777" w:rsidR="00614B1F" w:rsidRPr="009F5DDF" w:rsidRDefault="00614B1F" w:rsidP="009F5DDF">
      <w:pPr>
        <w:jc w:val="both"/>
        <w:rPr>
          <w:sz w:val="24"/>
          <w:szCs w:val="24"/>
        </w:rPr>
      </w:pPr>
    </w:p>
    <w:p w14:paraId="7F708A14" w14:textId="77777777" w:rsidR="009F5DDF" w:rsidRPr="009F5DDF" w:rsidRDefault="009F5DDF" w:rsidP="009F5DDF">
      <w:pPr>
        <w:pStyle w:val="Ttulo2"/>
        <w:keepNext w:val="0"/>
        <w:widowControl w:val="0"/>
        <w:rPr>
          <w:bCs/>
          <w:i/>
          <w:iCs/>
          <w:color w:val="000000"/>
          <w:sz w:val="24"/>
          <w:szCs w:val="24"/>
        </w:rPr>
      </w:pPr>
      <w:bookmarkStart w:id="51" w:name="_Toc121319029"/>
      <w:r w:rsidRPr="009F5DDF">
        <w:rPr>
          <w:color w:val="000000"/>
          <w:sz w:val="24"/>
          <w:szCs w:val="24"/>
        </w:rPr>
        <w:t>Artículo 25. Exceso sobrevenido al límite</w:t>
      </w:r>
      <w:bookmarkEnd w:id="51"/>
    </w:p>
    <w:p w14:paraId="1B6E1DB9" w14:textId="77777777" w:rsidR="009F5DDF" w:rsidRPr="009F5DDF" w:rsidRDefault="009F5DDF" w:rsidP="009F5DDF">
      <w:pPr>
        <w:jc w:val="both"/>
        <w:rPr>
          <w:sz w:val="24"/>
          <w:szCs w:val="24"/>
        </w:rPr>
      </w:pPr>
      <w:r w:rsidRPr="009F5DDF">
        <w:rPr>
          <w:sz w:val="24"/>
          <w:szCs w:val="24"/>
        </w:rPr>
        <w:t>El exceso al límite establecido en este capítulo es considerado como exceso sobrevenido cuando las operaciones activas, directas e indirectas, causantes de la violación, originalmente fueron realizadas dentro del límite establecido y, posteriormente, se presente alguna de las siguientes situaciones:</w:t>
      </w:r>
    </w:p>
    <w:p w14:paraId="6A7710CE" w14:textId="77777777" w:rsidR="009F5DDF" w:rsidRPr="009F5DDF" w:rsidRDefault="009F5DDF" w:rsidP="009F5DDF">
      <w:pPr>
        <w:rPr>
          <w:sz w:val="24"/>
          <w:szCs w:val="24"/>
        </w:rPr>
      </w:pPr>
    </w:p>
    <w:p w14:paraId="74CC9D6D" w14:textId="77777777" w:rsidR="009F5DDF" w:rsidRPr="009F5DDF" w:rsidRDefault="009F5DDF" w:rsidP="009F5DDF">
      <w:pPr>
        <w:numPr>
          <w:ilvl w:val="0"/>
          <w:numId w:val="42"/>
        </w:numPr>
        <w:ind w:left="462" w:hanging="425"/>
        <w:jc w:val="both"/>
        <w:rPr>
          <w:sz w:val="24"/>
          <w:szCs w:val="24"/>
        </w:rPr>
      </w:pPr>
      <w:r w:rsidRPr="009F5DDF">
        <w:rPr>
          <w:sz w:val="24"/>
          <w:szCs w:val="24"/>
        </w:rPr>
        <w:lastRenderedPageBreak/>
        <w:t xml:space="preserve">La relación financiera, administrativa o patrimonial significativa surge en una fecha posterior al otorgamiento de la operación activa, directa e indirecta;  </w:t>
      </w:r>
    </w:p>
    <w:p w14:paraId="68C062B2" w14:textId="77777777" w:rsidR="009F5DDF" w:rsidRPr="009F5DDF" w:rsidRDefault="009F5DDF" w:rsidP="009F5DDF">
      <w:pPr>
        <w:numPr>
          <w:ilvl w:val="0"/>
          <w:numId w:val="42"/>
        </w:numPr>
        <w:ind w:left="462" w:hanging="425"/>
        <w:jc w:val="both"/>
        <w:rPr>
          <w:sz w:val="24"/>
          <w:szCs w:val="24"/>
        </w:rPr>
      </w:pPr>
      <w:r w:rsidRPr="009F5DDF">
        <w:rPr>
          <w:sz w:val="24"/>
          <w:szCs w:val="24"/>
        </w:rPr>
        <w:t>La acumulación de productos por cobrar;</w:t>
      </w:r>
    </w:p>
    <w:p w14:paraId="3797297F" w14:textId="77777777" w:rsidR="009F5DDF" w:rsidRPr="009F5DDF" w:rsidRDefault="009F5DDF" w:rsidP="009F5DDF">
      <w:pPr>
        <w:numPr>
          <w:ilvl w:val="0"/>
          <w:numId w:val="42"/>
        </w:numPr>
        <w:ind w:left="462" w:hanging="425"/>
        <w:jc w:val="both"/>
        <w:rPr>
          <w:sz w:val="24"/>
          <w:szCs w:val="24"/>
        </w:rPr>
      </w:pPr>
      <w:r w:rsidRPr="009F5DDF">
        <w:rPr>
          <w:sz w:val="24"/>
          <w:szCs w:val="24"/>
        </w:rPr>
        <w:t>El exceso originado por la conversión de una operación activa, directa e indirecta, de moneda extranjera a moneda nacional;</w:t>
      </w:r>
    </w:p>
    <w:p w14:paraId="3D1FB704" w14:textId="77777777" w:rsidR="009F5DDF" w:rsidRPr="009F5DDF" w:rsidRDefault="009F5DDF" w:rsidP="009F5DDF">
      <w:pPr>
        <w:numPr>
          <w:ilvl w:val="0"/>
          <w:numId w:val="42"/>
        </w:numPr>
        <w:ind w:left="462" w:hanging="425"/>
        <w:jc w:val="both"/>
        <w:rPr>
          <w:sz w:val="24"/>
          <w:szCs w:val="24"/>
        </w:rPr>
      </w:pPr>
      <w:r w:rsidRPr="009F5DDF">
        <w:rPr>
          <w:sz w:val="24"/>
          <w:szCs w:val="24"/>
        </w:rPr>
        <w:t>El exceso originado por la valoración de un instrumento financiero derivado;</w:t>
      </w:r>
    </w:p>
    <w:p w14:paraId="04BCF20B" w14:textId="77777777" w:rsidR="009F5DDF" w:rsidRPr="009F5DDF" w:rsidRDefault="009F5DDF" w:rsidP="009F5DDF">
      <w:pPr>
        <w:numPr>
          <w:ilvl w:val="0"/>
          <w:numId w:val="42"/>
        </w:numPr>
        <w:ind w:left="462" w:hanging="425"/>
        <w:jc w:val="both"/>
        <w:rPr>
          <w:sz w:val="24"/>
          <w:szCs w:val="24"/>
        </w:rPr>
      </w:pPr>
      <w:r w:rsidRPr="009F5DDF">
        <w:rPr>
          <w:sz w:val="24"/>
          <w:szCs w:val="24"/>
        </w:rPr>
        <w:t>La fusión de entidades;</w:t>
      </w:r>
    </w:p>
    <w:p w14:paraId="5F9E3E73" w14:textId="77777777" w:rsidR="009F5DDF" w:rsidRPr="009F5DDF" w:rsidRDefault="009F5DDF" w:rsidP="009F5DDF">
      <w:pPr>
        <w:numPr>
          <w:ilvl w:val="0"/>
          <w:numId w:val="42"/>
        </w:numPr>
        <w:ind w:left="462" w:hanging="425"/>
        <w:jc w:val="both"/>
        <w:rPr>
          <w:sz w:val="24"/>
          <w:szCs w:val="24"/>
        </w:rPr>
      </w:pPr>
      <w:r w:rsidRPr="009F5DDF">
        <w:rPr>
          <w:sz w:val="24"/>
          <w:szCs w:val="24"/>
        </w:rPr>
        <w:t>Por disposición legal, una entidad recibe operaciones activas, directas e indirectas;</w:t>
      </w:r>
    </w:p>
    <w:p w14:paraId="54CEB34B" w14:textId="77777777" w:rsidR="009F5DDF" w:rsidRPr="009F5DDF" w:rsidRDefault="009F5DDF" w:rsidP="009F5DDF">
      <w:pPr>
        <w:numPr>
          <w:ilvl w:val="0"/>
          <w:numId w:val="42"/>
        </w:numPr>
        <w:ind w:left="462" w:hanging="425"/>
        <w:jc w:val="both"/>
        <w:rPr>
          <w:sz w:val="24"/>
          <w:szCs w:val="24"/>
        </w:rPr>
      </w:pPr>
      <w:r w:rsidRPr="009F5DDF">
        <w:rPr>
          <w:sz w:val="24"/>
          <w:szCs w:val="24"/>
        </w:rPr>
        <w:t xml:space="preserve">Por efecto de la aplicación de algún mecanismo de resolución dispuesto en el Reglamento de Mecanismos de Resolución de los Intermediarios Financieros Supervisados por la SUGEF; </w:t>
      </w:r>
    </w:p>
    <w:p w14:paraId="18C12535" w14:textId="77777777" w:rsidR="009F5DDF" w:rsidRPr="009F5DDF" w:rsidRDefault="009F5DDF" w:rsidP="009F5DDF">
      <w:pPr>
        <w:numPr>
          <w:ilvl w:val="0"/>
          <w:numId w:val="42"/>
        </w:numPr>
        <w:ind w:left="462" w:hanging="425"/>
        <w:jc w:val="both"/>
        <w:rPr>
          <w:sz w:val="24"/>
          <w:szCs w:val="24"/>
        </w:rPr>
      </w:pPr>
      <w:r w:rsidRPr="009F5DDF">
        <w:rPr>
          <w:sz w:val="24"/>
          <w:szCs w:val="24"/>
        </w:rPr>
        <w:t>Por cumplimiento de otras disposiciones legales, una entidad genera una operación activa, directa e indirecta, en cuyo caso se exceptúa de la presentación de un plan de acción que se indica en el siguiente artículo; o</w:t>
      </w:r>
    </w:p>
    <w:p w14:paraId="44BD1761" w14:textId="77777777" w:rsidR="009F5DDF" w:rsidRPr="009F5DDF" w:rsidRDefault="009F5DDF" w:rsidP="009F5DDF">
      <w:pPr>
        <w:numPr>
          <w:ilvl w:val="0"/>
          <w:numId w:val="42"/>
        </w:numPr>
        <w:ind w:left="462" w:hanging="425"/>
        <w:jc w:val="both"/>
        <w:rPr>
          <w:sz w:val="24"/>
          <w:szCs w:val="24"/>
        </w:rPr>
      </w:pPr>
      <w:r w:rsidRPr="009F5DDF">
        <w:rPr>
          <w:sz w:val="24"/>
          <w:szCs w:val="24"/>
        </w:rPr>
        <w:t>La SUGEF determina que el exceso al límite es consecuencia de una situación imprevisible para la entidad, con base en una evaluación de los hechos y circunstancias de las transacciones en particular.</w:t>
      </w:r>
    </w:p>
    <w:p w14:paraId="2536B5C3" w14:textId="77777777" w:rsidR="009F5DDF" w:rsidRPr="009F5DDF" w:rsidRDefault="009F5DDF" w:rsidP="009F5DDF">
      <w:pPr>
        <w:rPr>
          <w:sz w:val="24"/>
          <w:szCs w:val="24"/>
        </w:rPr>
      </w:pPr>
    </w:p>
    <w:p w14:paraId="3EE7C54B" w14:textId="77777777" w:rsidR="009F5DDF" w:rsidRPr="009F5DDF" w:rsidRDefault="009F5DDF" w:rsidP="009F5DDF">
      <w:pPr>
        <w:pStyle w:val="Ttulo2"/>
        <w:keepNext w:val="0"/>
        <w:widowControl w:val="0"/>
        <w:rPr>
          <w:bCs/>
          <w:i/>
          <w:iCs/>
          <w:color w:val="000000"/>
          <w:sz w:val="24"/>
          <w:szCs w:val="24"/>
        </w:rPr>
      </w:pPr>
      <w:bookmarkStart w:id="52" w:name="_Toc121319030"/>
      <w:r w:rsidRPr="009F5DDF">
        <w:rPr>
          <w:color w:val="000000"/>
          <w:sz w:val="24"/>
          <w:szCs w:val="24"/>
        </w:rPr>
        <w:t>Artículo 26. Plan de acción y medidas inmediatas</w:t>
      </w:r>
      <w:bookmarkEnd w:id="52"/>
    </w:p>
    <w:p w14:paraId="5C88A4B6" w14:textId="77777777" w:rsidR="009F5DDF" w:rsidRPr="009F5DDF" w:rsidRDefault="009F5DDF" w:rsidP="009F5DDF">
      <w:pPr>
        <w:jc w:val="both"/>
        <w:rPr>
          <w:sz w:val="24"/>
          <w:szCs w:val="24"/>
        </w:rPr>
      </w:pPr>
      <w:r w:rsidRPr="009F5DDF">
        <w:rPr>
          <w:sz w:val="24"/>
          <w:szCs w:val="24"/>
        </w:rPr>
        <w:t xml:space="preserve">La entidad debe presentar un plan de acción, eficaz, para la autorización de la SUGEF, en un plazo de diez días hábiles, contados a partir de la fecha en que la entidad o la SUGEF determinó el exceso al límite en operaciones activas, directas e indirectas. </w:t>
      </w:r>
    </w:p>
    <w:p w14:paraId="0123CB7D" w14:textId="77777777" w:rsidR="009F5DDF" w:rsidRPr="009F5DDF" w:rsidRDefault="009F5DDF" w:rsidP="009F5DDF">
      <w:pPr>
        <w:jc w:val="both"/>
        <w:rPr>
          <w:sz w:val="24"/>
          <w:szCs w:val="24"/>
        </w:rPr>
      </w:pPr>
    </w:p>
    <w:p w14:paraId="55422711" w14:textId="77777777" w:rsidR="009F5DDF" w:rsidRPr="009F5DDF" w:rsidRDefault="009F5DDF" w:rsidP="009F5DDF">
      <w:pPr>
        <w:jc w:val="both"/>
        <w:rPr>
          <w:sz w:val="24"/>
          <w:szCs w:val="24"/>
        </w:rPr>
      </w:pPr>
      <w:r w:rsidRPr="009F5DDF">
        <w:rPr>
          <w:sz w:val="24"/>
          <w:szCs w:val="24"/>
        </w:rPr>
        <w:t>Para el exceso sobrevenido al límite de las operaciones activas, directas e indirectas, indicado en el inciso c) del artículo anterior, no se requiere la presentación de un plan de acción si el exceso al límite en dichas operaciones respecto al mes anterior se generó únicamente por una variación inferior a la variación máxima esperada en el tipo de cambio, según lo definido en el artículo 3</w:t>
      </w:r>
      <w:r w:rsidRPr="009F5DDF">
        <w:rPr>
          <w:b/>
          <w:bCs/>
          <w:sz w:val="24"/>
          <w:szCs w:val="24"/>
        </w:rPr>
        <w:t xml:space="preserve"> </w:t>
      </w:r>
      <w:r w:rsidRPr="009F5DDF">
        <w:rPr>
          <w:sz w:val="24"/>
          <w:szCs w:val="24"/>
        </w:rPr>
        <w:t>de este reglamento.</w:t>
      </w:r>
    </w:p>
    <w:p w14:paraId="65E19AE8" w14:textId="77777777" w:rsidR="009F5DDF" w:rsidRPr="009F5DDF" w:rsidRDefault="009F5DDF" w:rsidP="009F5DDF">
      <w:pPr>
        <w:jc w:val="both"/>
        <w:rPr>
          <w:sz w:val="24"/>
          <w:szCs w:val="24"/>
        </w:rPr>
      </w:pPr>
    </w:p>
    <w:p w14:paraId="1B009285" w14:textId="77777777" w:rsidR="009F5DDF" w:rsidRPr="009F5DDF" w:rsidRDefault="009F5DDF" w:rsidP="009F5DDF">
      <w:pPr>
        <w:jc w:val="both"/>
        <w:rPr>
          <w:sz w:val="24"/>
          <w:szCs w:val="24"/>
        </w:rPr>
      </w:pPr>
      <w:r w:rsidRPr="009F5DDF">
        <w:rPr>
          <w:sz w:val="24"/>
          <w:szCs w:val="24"/>
        </w:rPr>
        <w:t>El cumplimiento de este plan no puede exceder de un plazo de seis meses. Este plazo puede ser prorrogado por la SUGEF hasta por seis meses más, para lo cual la entidad debe presentar la correspondiente solicitud, antes del vencimiento del plazo, debidamente acompañada de un plan de acción detallado que demuestre la imposibilidad material de ajustarse al plazo inicial indicado.</w:t>
      </w:r>
    </w:p>
    <w:p w14:paraId="0001C2CD" w14:textId="77777777" w:rsidR="009F5DDF" w:rsidRPr="009F5DDF" w:rsidRDefault="009F5DDF" w:rsidP="009F5DDF">
      <w:pPr>
        <w:jc w:val="both"/>
        <w:rPr>
          <w:sz w:val="24"/>
          <w:szCs w:val="24"/>
        </w:rPr>
      </w:pPr>
    </w:p>
    <w:p w14:paraId="5E9AD4B7" w14:textId="77777777" w:rsidR="009F5DDF" w:rsidRPr="009F5DDF" w:rsidRDefault="009F5DDF" w:rsidP="009F5DDF">
      <w:pPr>
        <w:jc w:val="both"/>
        <w:rPr>
          <w:sz w:val="24"/>
          <w:szCs w:val="24"/>
        </w:rPr>
      </w:pPr>
      <w:r w:rsidRPr="009F5DDF">
        <w:rPr>
          <w:sz w:val="24"/>
          <w:szCs w:val="24"/>
        </w:rPr>
        <w:t>Mientras se encuentre la situación de exceso, la entidad no puede realizar ninguna distribución de utilidades, excedentes u otros beneficios de similar naturaleza a sus propietarios.</w:t>
      </w:r>
    </w:p>
    <w:p w14:paraId="74DF4AB1" w14:textId="77777777" w:rsidR="009F5DDF" w:rsidRPr="009F5DDF" w:rsidRDefault="009F5DDF" w:rsidP="009F5DDF">
      <w:pPr>
        <w:jc w:val="both"/>
        <w:rPr>
          <w:sz w:val="24"/>
          <w:szCs w:val="24"/>
        </w:rPr>
      </w:pPr>
    </w:p>
    <w:p w14:paraId="35416AAD" w14:textId="77777777" w:rsidR="009F5DDF" w:rsidRPr="009F5DDF" w:rsidRDefault="009F5DDF" w:rsidP="009F5DDF">
      <w:pPr>
        <w:jc w:val="both"/>
        <w:rPr>
          <w:sz w:val="24"/>
          <w:szCs w:val="24"/>
        </w:rPr>
      </w:pPr>
      <w:r w:rsidRPr="009F5DDF">
        <w:rPr>
          <w:sz w:val="24"/>
          <w:szCs w:val="24"/>
        </w:rPr>
        <w:t>La presentación de un plan de acción no elimina la posibilidad de un eventual procedimiento administrativo sancionatorio, en caso de que la SUGEF llegue a determinar la existencia de posibles infracciones a la normativa relacionada.</w:t>
      </w:r>
    </w:p>
    <w:p w14:paraId="29A64AC9" w14:textId="77777777" w:rsidR="009F5DDF" w:rsidRPr="009F5DDF" w:rsidRDefault="009F5DDF" w:rsidP="009F5DDF">
      <w:pPr>
        <w:rPr>
          <w:sz w:val="24"/>
          <w:szCs w:val="24"/>
        </w:rPr>
      </w:pPr>
      <w:bookmarkStart w:id="53" w:name="_Toc111020926"/>
      <w:bookmarkStart w:id="54" w:name="_Toc113009345"/>
    </w:p>
    <w:p w14:paraId="6B8FD5FC" w14:textId="77777777" w:rsidR="009F5DDF" w:rsidRPr="009F5DDF" w:rsidRDefault="009F5DDF" w:rsidP="009F5DDF">
      <w:pPr>
        <w:pStyle w:val="Ttulo1"/>
        <w:keepNext w:val="0"/>
        <w:widowControl w:val="0"/>
        <w:rPr>
          <w:b/>
          <w:bCs/>
          <w:color w:val="000000"/>
          <w:szCs w:val="24"/>
        </w:rPr>
      </w:pPr>
      <w:bookmarkStart w:id="55" w:name="_Toc121319031"/>
      <w:bookmarkEnd w:id="53"/>
      <w:bookmarkEnd w:id="54"/>
      <w:r w:rsidRPr="009F5DDF">
        <w:rPr>
          <w:b/>
          <w:bCs/>
          <w:color w:val="000000"/>
          <w:szCs w:val="24"/>
        </w:rPr>
        <w:t>CAPÍTULO IV</w:t>
      </w:r>
      <w:bookmarkEnd w:id="55"/>
    </w:p>
    <w:p w14:paraId="08112401" w14:textId="77777777" w:rsidR="009F5DDF" w:rsidRPr="009F5DDF" w:rsidRDefault="009F5DDF" w:rsidP="009F5DDF">
      <w:pPr>
        <w:pStyle w:val="Ttulo1"/>
        <w:keepNext w:val="0"/>
        <w:widowControl w:val="0"/>
        <w:rPr>
          <w:b/>
          <w:bCs/>
          <w:color w:val="000000"/>
          <w:szCs w:val="24"/>
        </w:rPr>
      </w:pPr>
      <w:bookmarkStart w:id="56" w:name="_Toc121319032"/>
      <w:r w:rsidRPr="009F5DDF">
        <w:rPr>
          <w:b/>
          <w:bCs/>
          <w:color w:val="000000"/>
          <w:szCs w:val="24"/>
        </w:rPr>
        <w:t>REQUERIMIENTO DE INFORMACION Y PUBLICACIÓN</w:t>
      </w:r>
      <w:bookmarkEnd w:id="56"/>
    </w:p>
    <w:p w14:paraId="149EECCB" w14:textId="77777777" w:rsidR="009F5DDF" w:rsidRPr="009F5DDF" w:rsidRDefault="009F5DDF" w:rsidP="009F5DDF">
      <w:pPr>
        <w:jc w:val="both"/>
        <w:rPr>
          <w:sz w:val="24"/>
          <w:szCs w:val="24"/>
        </w:rPr>
      </w:pPr>
    </w:p>
    <w:p w14:paraId="2FEEE497" w14:textId="77777777" w:rsidR="009F5DDF" w:rsidRPr="009F5DDF" w:rsidRDefault="009F5DDF" w:rsidP="009F5DDF">
      <w:pPr>
        <w:pStyle w:val="Ttulo2"/>
        <w:keepNext w:val="0"/>
        <w:widowControl w:val="0"/>
        <w:rPr>
          <w:bCs/>
          <w:i/>
          <w:iCs/>
          <w:color w:val="000000"/>
          <w:sz w:val="24"/>
          <w:szCs w:val="24"/>
        </w:rPr>
      </w:pPr>
      <w:bookmarkStart w:id="57" w:name="_Toc121319033"/>
      <w:r w:rsidRPr="009F5DDF">
        <w:rPr>
          <w:color w:val="000000"/>
          <w:sz w:val="24"/>
          <w:szCs w:val="24"/>
        </w:rPr>
        <w:lastRenderedPageBreak/>
        <w:t>Artículo 27. Requerimiento de información</w:t>
      </w:r>
      <w:bookmarkEnd w:id="57"/>
    </w:p>
    <w:p w14:paraId="7AC43B36" w14:textId="77777777" w:rsidR="009F5DDF" w:rsidRPr="009F5DDF" w:rsidRDefault="009F5DDF" w:rsidP="009F5DDF">
      <w:pPr>
        <w:jc w:val="both"/>
        <w:rPr>
          <w:sz w:val="24"/>
          <w:szCs w:val="24"/>
        </w:rPr>
      </w:pPr>
      <w:r w:rsidRPr="009F5DDF">
        <w:rPr>
          <w:sz w:val="24"/>
          <w:szCs w:val="24"/>
        </w:rPr>
        <w:t>La entidad debe remitir a la SUGEF la siguiente información:</w:t>
      </w:r>
    </w:p>
    <w:p w14:paraId="552075F6" w14:textId="77777777" w:rsidR="009F5DDF" w:rsidRPr="009F5DDF" w:rsidRDefault="009F5DDF" w:rsidP="009F5DDF">
      <w:pPr>
        <w:jc w:val="both"/>
        <w:rPr>
          <w:sz w:val="24"/>
          <w:szCs w:val="24"/>
        </w:rPr>
      </w:pPr>
    </w:p>
    <w:p w14:paraId="595A3535" w14:textId="77777777" w:rsidR="009F5DDF" w:rsidRPr="009F5DDF" w:rsidRDefault="009F5DDF" w:rsidP="009F5DDF">
      <w:pPr>
        <w:numPr>
          <w:ilvl w:val="0"/>
          <w:numId w:val="43"/>
        </w:numPr>
        <w:ind w:left="462" w:hanging="425"/>
        <w:jc w:val="both"/>
        <w:rPr>
          <w:sz w:val="24"/>
          <w:szCs w:val="24"/>
        </w:rPr>
      </w:pPr>
      <w:r w:rsidRPr="009F5DDF">
        <w:rPr>
          <w:sz w:val="24"/>
          <w:szCs w:val="24"/>
        </w:rPr>
        <w:t>La conformación y cambios en el grupo vinculado, mediante la plataforma informática establecida para ese fin, en el momento que se determine su conformación o cambio en dicho grupo.</w:t>
      </w:r>
    </w:p>
    <w:p w14:paraId="74B82019" w14:textId="77777777" w:rsidR="009F5DDF" w:rsidRPr="009F5DDF" w:rsidRDefault="009F5DDF" w:rsidP="009F5DDF">
      <w:pPr>
        <w:numPr>
          <w:ilvl w:val="0"/>
          <w:numId w:val="43"/>
        </w:numPr>
        <w:ind w:left="462" w:hanging="425"/>
        <w:jc w:val="both"/>
        <w:rPr>
          <w:sz w:val="24"/>
          <w:szCs w:val="24"/>
        </w:rPr>
      </w:pPr>
      <w:r w:rsidRPr="009F5DDF">
        <w:rPr>
          <w:sz w:val="24"/>
          <w:szCs w:val="24"/>
        </w:rPr>
        <w:t>La conformación, cambios y la eliminación de los grupos de interés económico existentes, mediante la plataforma informática establecida para ese fin, en el momento que se determine la conformación, cambio o eliminación del grupo.</w:t>
      </w:r>
    </w:p>
    <w:p w14:paraId="56B443DC" w14:textId="77777777" w:rsidR="009F5DDF" w:rsidRPr="009F5DDF" w:rsidRDefault="009F5DDF" w:rsidP="009F5DDF">
      <w:pPr>
        <w:numPr>
          <w:ilvl w:val="0"/>
          <w:numId w:val="43"/>
        </w:numPr>
        <w:ind w:left="462" w:hanging="425"/>
        <w:jc w:val="both"/>
        <w:rPr>
          <w:sz w:val="24"/>
          <w:szCs w:val="24"/>
        </w:rPr>
      </w:pPr>
      <w:r w:rsidRPr="009F5DDF">
        <w:rPr>
          <w:sz w:val="24"/>
          <w:szCs w:val="24"/>
        </w:rPr>
        <w:t>El código de identificación que le asigne la plataforma informática, una vez incluido un nuevo grupo de interés económico, se debe utilizar para reportar a los miembros del grupo de interés económico que cuenten con operaciones activas, directas e indirectas otorgadas por la entidad.</w:t>
      </w:r>
    </w:p>
    <w:p w14:paraId="5C9C3499" w14:textId="77777777" w:rsidR="009F5DDF" w:rsidRPr="009F5DDF" w:rsidRDefault="009F5DDF" w:rsidP="009F5DDF">
      <w:pPr>
        <w:numPr>
          <w:ilvl w:val="0"/>
          <w:numId w:val="43"/>
        </w:numPr>
        <w:ind w:left="462" w:hanging="425"/>
        <w:jc w:val="both"/>
        <w:rPr>
          <w:sz w:val="24"/>
          <w:szCs w:val="24"/>
        </w:rPr>
      </w:pPr>
      <w:r w:rsidRPr="009F5DDF">
        <w:rPr>
          <w:sz w:val="24"/>
          <w:szCs w:val="24"/>
        </w:rPr>
        <w:t>las operaciones activas, directas e indirectas, del grupo vinculado, del grupo de interés económico y de las personas individuales mediante la información crediticia de las clases de datos, Garantías y Operaciones del Sistema de Captura, Verificación y Carga de Datos (SICVECA), a más tardar el décimo día hábil y en la información de la clase de datos Inversiones en Instrumentos Financieros y Depósitos, a más tardar el sexto día hábil de cada mes, según los contenidos, formatos y medios que defina el SICVECA.</w:t>
      </w:r>
    </w:p>
    <w:p w14:paraId="6F9ABE13" w14:textId="77777777" w:rsidR="009F5DDF" w:rsidRPr="009F5DDF" w:rsidRDefault="009F5DDF" w:rsidP="009F5DDF">
      <w:pPr>
        <w:rPr>
          <w:sz w:val="24"/>
          <w:szCs w:val="24"/>
        </w:rPr>
      </w:pPr>
    </w:p>
    <w:p w14:paraId="1E7ADFB5" w14:textId="77777777" w:rsidR="009F5DDF" w:rsidRPr="009F5DDF" w:rsidRDefault="009F5DDF" w:rsidP="009F5DDF">
      <w:pPr>
        <w:pStyle w:val="Ttulo2"/>
        <w:keepNext w:val="0"/>
        <w:widowControl w:val="0"/>
        <w:rPr>
          <w:bCs/>
          <w:i/>
          <w:iCs/>
          <w:color w:val="000000"/>
          <w:sz w:val="24"/>
          <w:szCs w:val="24"/>
        </w:rPr>
      </w:pPr>
      <w:bookmarkStart w:id="58" w:name="_Toc121319034"/>
      <w:r w:rsidRPr="009F5DDF">
        <w:rPr>
          <w:color w:val="000000"/>
          <w:sz w:val="24"/>
          <w:szCs w:val="24"/>
        </w:rPr>
        <w:t>Artículo 28. Publicación en la página Web de la SUGEF</w:t>
      </w:r>
      <w:bookmarkEnd w:id="58"/>
    </w:p>
    <w:p w14:paraId="6AE4DF85" w14:textId="77777777" w:rsidR="009F5DDF" w:rsidRPr="009F5DDF" w:rsidRDefault="009F5DDF" w:rsidP="009F5DDF">
      <w:pPr>
        <w:jc w:val="both"/>
        <w:rPr>
          <w:sz w:val="24"/>
          <w:szCs w:val="24"/>
        </w:rPr>
      </w:pPr>
      <w:r w:rsidRPr="009F5DDF">
        <w:rPr>
          <w:sz w:val="24"/>
          <w:szCs w:val="24"/>
        </w:rPr>
        <w:t>La SUGEF debe publicar, trimestralmente, en su página Web, para cada entidad, la siguiente información:</w:t>
      </w:r>
    </w:p>
    <w:p w14:paraId="695FD711" w14:textId="77777777" w:rsidR="009F5DDF" w:rsidRPr="009F5DDF" w:rsidRDefault="009F5DDF" w:rsidP="009F5DDF">
      <w:pPr>
        <w:rPr>
          <w:sz w:val="24"/>
          <w:szCs w:val="24"/>
        </w:rPr>
      </w:pPr>
    </w:p>
    <w:p w14:paraId="1CCA9ACB" w14:textId="77777777" w:rsidR="009F5DDF" w:rsidRPr="009F5DDF" w:rsidRDefault="009F5DDF" w:rsidP="009F5DDF">
      <w:pPr>
        <w:numPr>
          <w:ilvl w:val="0"/>
          <w:numId w:val="44"/>
        </w:numPr>
        <w:ind w:left="462" w:hanging="323"/>
        <w:jc w:val="both"/>
        <w:rPr>
          <w:sz w:val="24"/>
          <w:szCs w:val="24"/>
        </w:rPr>
      </w:pPr>
      <w:r w:rsidRPr="009F5DDF">
        <w:rPr>
          <w:sz w:val="24"/>
          <w:szCs w:val="24"/>
        </w:rPr>
        <w:t>El monto de las operaciones activas, directas e indirectas, con su grupo vinculado y el grupo de interés económico;</w:t>
      </w:r>
    </w:p>
    <w:p w14:paraId="23A11BA4" w14:textId="77777777" w:rsidR="009F5DDF" w:rsidRPr="009F5DDF" w:rsidRDefault="009F5DDF" w:rsidP="009F5DDF">
      <w:pPr>
        <w:numPr>
          <w:ilvl w:val="0"/>
          <w:numId w:val="44"/>
        </w:numPr>
        <w:ind w:left="462" w:hanging="323"/>
        <w:jc w:val="both"/>
        <w:rPr>
          <w:sz w:val="24"/>
          <w:szCs w:val="24"/>
        </w:rPr>
      </w:pPr>
      <w:r w:rsidRPr="009F5DDF">
        <w:rPr>
          <w:sz w:val="24"/>
          <w:szCs w:val="24"/>
        </w:rPr>
        <w:t>El porcentaje de participación de las operaciones activas, directas e indirectas respecto al capital ajustado, con su grupo vinculado y grupo de interés económico.</w:t>
      </w:r>
    </w:p>
    <w:p w14:paraId="76AE1766" w14:textId="77777777" w:rsidR="009F5DDF" w:rsidRPr="009F5DDF" w:rsidRDefault="009F5DDF" w:rsidP="009F5DDF">
      <w:pPr>
        <w:rPr>
          <w:sz w:val="24"/>
          <w:szCs w:val="24"/>
        </w:rPr>
      </w:pPr>
    </w:p>
    <w:p w14:paraId="0FC4A66F" w14:textId="77777777" w:rsidR="009F5DDF" w:rsidRPr="009F5DDF" w:rsidRDefault="009F5DDF" w:rsidP="009F5DDF">
      <w:pPr>
        <w:pStyle w:val="Ttulo1"/>
        <w:keepNext w:val="0"/>
        <w:widowControl w:val="0"/>
        <w:rPr>
          <w:b/>
          <w:bCs/>
          <w:color w:val="000000"/>
          <w:szCs w:val="24"/>
        </w:rPr>
      </w:pPr>
      <w:bookmarkStart w:id="59" w:name="_Toc121319035"/>
      <w:r w:rsidRPr="009F5DDF">
        <w:rPr>
          <w:b/>
          <w:bCs/>
          <w:color w:val="000000"/>
          <w:szCs w:val="24"/>
        </w:rPr>
        <w:t>DISPOSICIONES ADICIONALES</w:t>
      </w:r>
      <w:bookmarkEnd w:id="59"/>
    </w:p>
    <w:p w14:paraId="0631A5E7" w14:textId="77777777" w:rsidR="009F5DDF" w:rsidRPr="009F5DDF" w:rsidRDefault="009F5DDF" w:rsidP="009F5DDF">
      <w:pPr>
        <w:rPr>
          <w:sz w:val="24"/>
          <w:szCs w:val="24"/>
        </w:rPr>
      </w:pPr>
    </w:p>
    <w:p w14:paraId="39B63D86" w14:textId="77777777" w:rsidR="009F5DDF" w:rsidRPr="009F5DDF" w:rsidRDefault="009F5DDF" w:rsidP="009F5DDF">
      <w:pPr>
        <w:pStyle w:val="Ttulo2"/>
        <w:keepNext w:val="0"/>
        <w:widowControl w:val="0"/>
        <w:rPr>
          <w:bCs/>
          <w:i/>
          <w:iCs/>
          <w:color w:val="000000"/>
          <w:sz w:val="24"/>
          <w:szCs w:val="24"/>
        </w:rPr>
      </w:pPr>
      <w:bookmarkStart w:id="60" w:name="_Toc121319036"/>
      <w:r w:rsidRPr="009F5DDF">
        <w:rPr>
          <w:color w:val="000000"/>
          <w:sz w:val="24"/>
          <w:szCs w:val="24"/>
        </w:rPr>
        <w:t>Disposición adicional única. Referencias normativas.</w:t>
      </w:r>
      <w:bookmarkEnd w:id="60"/>
    </w:p>
    <w:p w14:paraId="1F6316C6" w14:textId="77777777" w:rsidR="009F5DDF" w:rsidRPr="009F5DDF" w:rsidRDefault="009F5DDF" w:rsidP="009F5DDF">
      <w:pPr>
        <w:jc w:val="both"/>
        <w:rPr>
          <w:sz w:val="24"/>
          <w:szCs w:val="24"/>
        </w:rPr>
      </w:pPr>
      <w:r w:rsidRPr="009F5DDF">
        <w:rPr>
          <w:sz w:val="24"/>
          <w:szCs w:val="24"/>
        </w:rPr>
        <w:t>Toda referencia en la reglamentación, emitida por el CONASSIF u otras disposiciones de inferior rango, emitidas por los Superintendentes, que hagan referencia al Reglamento sobre el grupo vinculado a la entidad.  Acuerdo SUGEF 4-04 y Reglamento sobre límites de crédito a personas individuales y grupos de interés económico, Acuerdo SUGEF 5-04 debe leerse como Reglamento sobre límites a las operaciones activas directas e indirectas de una entidad supervisada, Acuerdo SUGEF 4-22.</w:t>
      </w:r>
    </w:p>
    <w:p w14:paraId="376D5C48" w14:textId="77777777" w:rsidR="009F5DDF" w:rsidRPr="009F5DDF" w:rsidRDefault="009F5DDF" w:rsidP="009F5DDF">
      <w:pPr>
        <w:rPr>
          <w:sz w:val="24"/>
          <w:szCs w:val="24"/>
        </w:rPr>
      </w:pPr>
    </w:p>
    <w:p w14:paraId="797A1264" w14:textId="77777777" w:rsidR="009F5DDF" w:rsidRPr="009F5DDF" w:rsidRDefault="009F5DDF" w:rsidP="009F5DDF">
      <w:pPr>
        <w:pStyle w:val="Ttulo1"/>
        <w:widowControl w:val="0"/>
        <w:rPr>
          <w:b/>
          <w:bCs/>
          <w:color w:val="000000"/>
          <w:szCs w:val="24"/>
        </w:rPr>
      </w:pPr>
      <w:bookmarkStart w:id="61" w:name="_Toc121319037"/>
      <w:r w:rsidRPr="009F5DDF">
        <w:rPr>
          <w:b/>
          <w:bCs/>
          <w:color w:val="000000"/>
          <w:szCs w:val="24"/>
        </w:rPr>
        <w:lastRenderedPageBreak/>
        <w:t>DISPOSICIONES FINALES</w:t>
      </w:r>
      <w:bookmarkEnd w:id="61"/>
    </w:p>
    <w:p w14:paraId="5B20772B" w14:textId="77777777" w:rsidR="009F5DDF" w:rsidRPr="009F5DDF" w:rsidRDefault="009F5DDF" w:rsidP="009F5DDF">
      <w:pPr>
        <w:keepNext/>
        <w:jc w:val="both"/>
        <w:rPr>
          <w:b/>
          <w:sz w:val="24"/>
          <w:szCs w:val="24"/>
        </w:rPr>
      </w:pPr>
      <w:bookmarkStart w:id="62" w:name="_Toc111020933"/>
      <w:bookmarkStart w:id="63" w:name="_Toc113009352"/>
    </w:p>
    <w:p w14:paraId="07889BBE" w14:textId="77777777" w:rsidR="009F5DDF" w:rsidRPr="009F5DDF" w:rsidRDefault="009F5DDF" w:rsidP="009F5DDF">
      <w:pPr>
        <w:pStyle w:val="Ttulo2"/>
        <w:widowControl w:val="0"/>
        <w:rPr>
          <w:bCs/>
          <w:i/>
          <w:iCs/>
          <w:color w:val="000000"/>
          <w:sz w:val="24"/>
          <w:szCs w:val="24"/>
        </w:rPr>
      </w:pPr>
      <w:bookmarkStart w:id="64" w:name="_Toc121319038"/>
      <w:bookmarkEnd w:id="62"/>
      <w:bookmarkEnd w:id="63"/>
      <w:r w:rsidRPr="009F5DDF">
        <w:rPr>
          <w:color w:val="000000"/>
          <w:sz w:val="24"/>
          <w:szCs w:val="24"/>
        </w:rPr>
        <w:t>Disposición final única. Vigencia de este reglamento.</w:t>
      </w:r>
      <w:bookmarkEnd w:id="64"/>
    </w:p>
    <w:p w14:paraId="1ECB89D0" w14:textId="77777777" w:rsidR="009F5DDF" w:rsidRPr="009F5DDF" w:rsidRDefault="009F5DDF" w:rsidP="009F5DDF">
      <w:pPr>
        <w:keepNext/>
        <w:jc w:val="both"/>
        <w:rPr>
          <w:sz w:val="24"/>
          <w:szCs w:val="24"/>
        </w:rPr>
      </w:pPr>
    </w:p>
    <w:p w14:paraId="0172B67A" w14:textId="77777777" w:rsidR="009F5DDF" w:rsidRPr="009F5DDF" w:rsidRDefault="009F5DDF" w:rsidP="009F5DDF">
      <w:pPr>
        <w:keepNext/>
        <w:jc w:val="both"/>
        <w:rPr>
          <w:sz w:val="24"/>
          <w:szCs w:val="24"/>
        </w:rPr>
      </w:pPr>
      <w:r w:rsidRPr="009F5DDF">
        <w:rPr>
          <w:sz w:val="24"/>
          <w:szCs w:val="24"/>
        </w:rPr>
        <w:t>Este reglamento rige a partir del 1° de enero de 2024. Excepto, lo indicado en los artículos siguientes, que rigen a partir de la publicación en el Diario Oficial La Gaceta:</w:t>
      </w:r>
    </w:p>
    <w:p w14:paraId="28CF057E" w14:textId="77777777" w:rsidR="009F5DDF" w:rsidRPr="009F5DDF" w:rsidRDefault="009F5DDF" w:rsidP="009F5DDF">
      <w:pPr>
        <w:numPr>
          <w:ilvl w:val="0"/>
          <w:numId w:val="47"/>
        </w:numPr>
        <w:ind w:left="426"/>
        <w:jc w:val="both"/>
        <w:rPr>
          <w:sz w:val="24"/>
          <w:szCs w:val="24"/>
        </w:rPr>
      </w:pPr>
      <w:r w:rsidRPr="009F5DDF">
        <w:rPr>
          <w:sz w:val="24"/>
          <w:szCs w:val="24"/>
        </w:rPr>
        <w:t>Lo dispuesto en el artículo 24 cuando el grupo de interés económico tenga como miembro al Instituto Costarricense de Electricidad o al fideicomiso para el financiamiento de proyectos de obra pública que promueva la Administración Pública. En este último caso, también aplica lo establecido en el Anexo III; y</w:t>
      </w:r>
    </w:p>
    <w:p w14:paraId="29127BD5" w14:textId="77777777" w:rsidR="009F5DDF" w:rsidRPr="009F5DDF" w:rsidRDefault="009F5DDF" w:rsidP="009F5DDF">
      <w:pPr>
        <w:numPr>
          <w:ilvl w:val="0"/>
          <w:numId w:val="47"/>
        </w:numPr>
        <w:ind w:left="426"/>
        <w:jc w:val="both"/>
        <w:rPr>
          <w:sz w:val="24"/>
          <w:szCs w:val="24"/>
        </w:rPr>
      </w:pPr>
      <w:r w:rsidRPr="009F5DDF">
        <w:rPr>
          <w:sz w:val="24"/>
          <w:szCs w:val="24"/>
        </w:rPr>
        <w:t>El exceso sobrevenido dispuesto en el inciso h) del artículo 14 y 25.</w:t>
      </w:r>
    </w:p>
    <w:p w14:paraId="45255D2D" w14:textId="77777777" w:rsidR="009F5DDF" w:rsidRPr="009F5DDF" w:rsidRDefault="009F5DDF" w:rsidP="009F5DDF">
      <w:pPr>
        <w:jc w:val="both"/>
        <w:rPr>
          <w:b/>
          <w:bCs/>
          <w:sz w:val="24"/>
          <w:szCs w:val="24"/>
        </w:rPr>
      </w:pPr>
    </w:p>
    <w:p w14:paraId="457471C9" w14:textId="77777777" w:rsidR="009F5DDF" w:rsidRPr="009F5DDF" w:rsidRDefault="009F5DDF" w:rsidP="009F5DDF">
      <w:pPr>
        <w:pStyle w:val="Ttulo1"/>
        <w:keepNext w:val="0"/>
        <w:widowControl w:val="0"/>
        <w:rPr>
          <w:color w:val="000000"/>
          <w:szCs w:val="24"/>
        </w:rPr>
      </w:pPr>
      <w:bookmarkStart w:id="65" w:name="_Toc121319039"/>
      <w:r w:rsidRPr="009F5DDF">
        <w:rPr>
          <w:color w:val="000000"/>
          <w:szCs w:val="24"/>
        </w:rPr>
        <w:t>Anexo I</w:t>
      </w:r>
      <w:bookmarkEnd w:id="65"/>
      <w:r w:rsidRPr="009F5DDF">
        <w:rPr>
          <w:color w:val="000000"/>
          <w:szCs w:val="24"/>
        </w:rPr>
        <w:t xml:space="preserve"> </w:t>
      </w:r>
    </w:p>
    <w:p w14:paraId="1F3DF381" w14:textId="77777777" w:rsidR="009F5DDF" w:rsidRPr="009F5DDF" w:rsidRDefault="009F5DDF" w:rsidP="009F5DDF">
      <w:pPr>
        <w:pStyle w:val="Ttulo1"/>
        <w:keepNext w:val="0"/>
        <w:widowControl w:val="0"/>
        <w:rPr>
          <w:color w:val="000000"/>
          <w:szCs w:val="24"/>
        </w:rPr>
      </w:pPr>
      <w:bookmarkStart w:id="66" w:name="_Toc121319040"/>
      <w:r w:rsidRPr="009F5DDF">
        <w:rPr>
          <w:color w:val="000000"/>
          <w:szCs w:val="24"/>
        </w:rPr>
        <w:t>Capital Ajustado</w:t>
      </w:r>
      <w:bookmarkEnd w:id="66"/>
    </w:p>
    <w:p w14:paraId="26B35A48" w14:textId="77777777" w:rsidR="009F5DDF" w:rsidRPr="009F5DDF" w:rsidRDefault="009F5DDF" w:rsidP="009F5DDF">
      <w:pPr>
        <w:jc w:val="both"/>
        <w:rPr>
          <w:sz w:val="24"/>
          <w:szCs w:val="24"/>
        </w:rPr>
      </w:pPr>
    </w:p>
    <w:p w14:paraId="499B3B65" w14:textId="77777777" w:rsidR="009F5DDF" w:rsidRPr="009F5DDF" w:rsidRDefault="009F5DDF" w:rsidP="009F5DDF">
      <w:pPr>
        <w:widowControl w:val="0"/>
        <w:jc w:val="both"/>
        <w:rPr>
          <w:b/>
          <w:bCs/>
          <w:color w:val="000000"/>
          <w:sz w:val="24"/>
          <w:szCs w:val="24"/>
          <w:lang w:eastAsia="es-CR"/>
        </w:rPr>
      </w:pPr>
      <w:r w:rsidRPr="009F5DDF">
        <w:rPr>
          <w:b/>
          <w:bCs/>
          <w:color w:val="000000"/>
          <w:sz w:val="24"/>
          <w:szCs w:val="24"/>
          <w:lang w:eastAsia="es-CR"/>
        </w:rPr>
        <w:t>1) Cuentas, subcuentas y cuentas analíticas para calcular el Capital Ajustado para una entidad supervisada por la SUGEF, excepto asociaciones mutualistas de ahorro y préstamo</w:t>
      </w:r>
    </w:p>
    <w:p w14:paraId="63427738" w14:textId="77777777" w:rsidR="009F5DDF" w:rsidRPr="009F5DDF" w:rsidRDefault="009F5DDF" w:rsidP="009F5DDF">
      <w:pPr>
        <w:widowControl w:val="0"/>
        <w:jc w:val="both"/>
        <w:rPr>
          <w:b/>
          <w:bCs/>
          <w:color w:val="000000"/>
          <w:sz w:val="24"/>
          <w:szCs w:val="24"/>
          <w:lang w:eastAsia="es-CR"/>
        </w:rPr>
      </w:pPr>
    </w:p>
    <w:tbl>
      <w:tblPr>
        <w:tblW w:w="5000" w:type="pct"/>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4A0" w:firstRow="1" w:lastRow="0" w:firstColumn="1" w:lastColumn="0" w:noHBand="0" w:noVBand="1"/>
      </w:tblPr>
      <w:tblGrid>
        <w:gridCol w:w="2292"/>
        <w:gridCol w:w="6760"/>
      </w:tblGrid>
      <w:tr w:rsidR="009F5DDF" w:rsidRPr="009F5DDF" w14:paraId="2E1474E4" w14:textId="77777777" w:rsidTr="009F5C97">
        <w:trPr>
          <w:trHeight w:val="315"/>
        </w:trPr>
        <w:tc>
          <w:tcPr>
            <w:tcW w:w="1266" w:type="pct"/>
            <w:shd w:val="clear" w:color="auto" w:fill="auto"/>
            <w:hideMark/>
          </w:tcPr>
          <w:p w14:paraId="07E47DE8" w14:textId="77777777" w:rsidR="009F5DDF" w:rsidRPr="009F5DDF" w:rsidRDefault="009F5DDF" w:rsidP="009F5DDF">
            <w:pPr>
              <w:widowControl w:val="0"/>
              <w:jc w:val="both"/>
              <w:rPr>
                <w:b/>
                <w:bCs/>
                <w:color w:val="000000"/>
                <w:sz w:val="24"/>
                <w:szCs w:val="24"/>
                <w:lang w:eastAsia="es-CR"/>
              </w:rPr>
            </w:pPr>
            <w:r w:rsidRPr="009F5DDF">
              <w:rPr>
                <w:b/>
                <w:bCs/>
                <w:color w:val="000000"/>
                <w:sz w:val="24"/>
                <w:szCs w:val="24"/>
                <w:lang w:eastAsia="es-CR"/>
              </w:rPr>
              <w:t>310</w:t>
            </w:r>
          </w:p>
        </w:tc>
        <w:tc>
          <w:tcPr>
            <w:tcW w:w="3734" w:type="pct"/>
            <w:shd w:val="clear" w:color="auto" w:fill="auto"/>
            <w:hideMark/>
          </w:tcPr>
          <w:p w14:paraId="63BEE999" w14:textId="77777777" w:rsidR="009F5DDF" w:rsidRPr="009F5DDF" w:rsidRDefault="009F5DDF" w:rsidP="009F5DDF">
            <w:pPr>
              <w:widowControl w:val="0"/>
              <w:jc w:val="both"/>
              <w:rPr>
                <w:b/>
                <w:bCs/>
                <w:color w:val="000000"/>
                <w:sz w:val="24"/>
                <w:szCs w:val="24"/>
                <w:lang w:eastAsia="es-CR"/>
              </w:rPr>
            </w:pPr>
            <w:r w:rsidRPr="009F5DDF">
              <w:rPr>
                <w:b/>
                <w:bCs/>
                <w:color w:val="000000"/>
                <w:sz w:val="24"/>
                <w:szCs w:val="24"/>
                <w:lang w:eastAsia="es-CR"/>
              </w:rPr>
              <w:t xml:space="preserve">Capital Social  </w:t>
            </w:r>
          </w:p>
        </w:tc>
      </w:tr>
      <w:tr w:rsidR="009F5DDF" w:rsidRPr="009F5DDF" w14:paraId="12FB20A0" w14:textId="77777777" w:rsidTr="009F5C97">
        <w:trPr>
          <w:trHeight w:val="315"/>
        </w:trPr>
        <w:tc>
          <w:tcPr>
            <w:tcW w:w="1266" w:type="pct"/>
            <w:shd w:val="clear" w:color="auto" w:fill="auto"/>
            <w:hideMark/>
          </w:tcPr>
          <w:p w14:paraId="61D50E4A" w14:textId="77777777" w:rsidR="009F5DDF" w:rsidRPr="009F5DDF" w:rsidRDefault="009F5DDF" w:rsidP="009F5DDF">
            <w:pPr>
              <w:widowControl w:val="0"/>
              <w:jc w:val="both"/>
              <w:rPr>
                <w:b/>
                <w:bCs/>
                <w:color w:val="000000"/>
                <w:sz w:val="24"/>
                <w:szCs w:val="24"/>
                <w:lang w:eastAsia="es-CR"/>
              </w:rPr>
            </w:pPr>
            <w:r w:rsidRPr="009F5DDF">
              <w:rPr>
                <w:b/>
                <w:bCs/>
                <w:color w:val="000000"/>
                <w:sz w:val="24"/>
                <w:szCs w:val="24"/>
                <w:lang w:eastAsia="es-CR"/>
              </w:rPr>
              <w:t>320</w:t>
            </w:r>
          </w:p>
        </w:tc>
        <w:tc>
          <w:tcPr>
            <w:tcW w:w="3734" w:type="pct"/>
            <w:shd w:val="clear" w:color="auto" w:fill="auto"/>
            <w:hideMark/>
          </w:tcPr>
          <w:p w14:paraId="45922751" w14:textId="77777777" w:rsidR="009F5DDF" w:rsidRPr="009F5DDF" w:rsidRDefault="009F5DDF" w:rsidP="009F5DDF">
            <w:pPr>
              <w:widowControl w:val="0"/>
              <w:jc w:val="both"/>
              <w:rPr>
                <w:color w:val="000000"/>
                <w:sz w:val="24"/>
                <w:szCs w:val="24"/>
                <w:lang w:eastAsia="es-CR"/>
              </w:rPr>
            </w:pPr>
            <w:r w:rsidRPr="009F5DDF">
              <w:rPr>
                <w:color w:val="000000"/>
                <w:sz w:val="24"/>
                <w:szCs w:val="24"/>
                <w:lang w:eastAsia="es-CR"/>
              </w:rPr>
              <w:t xml:space="preserve">Aportes patrimoniales no capitalizados </w:t>
            </w:r>
          </w:p>
        </w:tc>
      </w:tr>
      <w:tr w:rsidR="009F5DDF" w:rsidRPr="009F5DDF" w14:paraId="7C2E303E" w14:textId="77777777" w:rsidTr="009F5C97">
        <w:trPr>
          <w:trHeight w:val="441"/>
        </w:trPr>
        <w:tc>
          <w:tcPr>
            <w:tcW w:w="1266" w:type="pct"/>
            <w:shd w:val="clear" w:color="auto" w:fill="auto"/>
            <w:hideMark/>
          </w:tcPr>
          <w:p w14:paraId="471F5791" w14:textId="77777777" w:rsidR="009F5DDF" w:rsidRPr="009F5DDF" w:rsidRDefault="009F5DDF" w:rsidP="009F5DDF">
            <w:pPr>
              <w:widowControl w:val="0"/>
              <w:jc w:val="both"/>
              <w:rPr>
                <w:b/>
                <w:bCs/>
                <w:color w:val="000000"/>
                <w:sz w:val="24"/>
                <w:szCs w:val="24"/>
                <w:lang w:eastAsia="es-CR"/>
              </w:rPr>
            </w:pPr>
            <w:r w:rsidRPr="009F5DDF">
              <w:rPr>
                <w:b/>
                <w:bCs/>
                <w:color w:val="000000"/>
                <w:sz w:val="24"/>
                <w:szCs w:val="24"/>
                <w:lang w:eastAsia="es-CR"/>
              </w:rPr>
              <w:t xml:space="preserve">331.01 + </w:t>
            </w:r>
          </w:p>
        </w:tc>
        <w:tc>
          <w:tcPr>
            <w:tcW w:w="3734" w:type="pct"/>
            <w:shd w:val="clear" w:color="auto" w:fill="auto"/>
            <w:hideMark/>
          </w:tcPr>
          <w:p w14:paraId="186F2D6B" w14:textId="77777777" w:rsidR="009F5DDF" w:rsidRPr="009F5DDF" w:rsidRDefault="009F5DDF" w:rsidP="009F5DDF">
            <w:pPr>
              <w:widowControl w:val="0"/>
              <w:jc w:val="both"/>
              <w:rPr>
                <w:color w:val="000000"/>
                <w:sz w:val="24"/>
                <w:szCs w:val="24"/>
                <w:lang w:eastAsia="es-CR"/>
              </w:rPr>
            </w:pPr>
            <w:r w:rsidRPr="009F5DDF">
              <w:rPr>
                <w:color w:val="000000"/>
                <w:sz w:val="24"/>
                <w:szCs w:val="24"/>
                <w:lang w:eastAsia="es-CR"/>
              </w:rPr>
              <w:t xml:space="preserve">Superávit por revaluación de propiedades inmobiliarias  </w:t>
            </w:r>
          </w:p>
        </w:tc>
      </w:tr>
      <w:tr w:rsidR="009F5DDF" w:rsidRPr="009F5DDF" w14:paraId="28238701" w14:textId="77777777" w:rsidTr="009F5C97">
        <w:trPr>
          <w:trHeight w:val="300"/>
        </w:trPr>
        <w:tc>
          <w:tcPr>
            <w:tcW w:w="1266" w:type="pct"/>
            <w:shd w:val="clear" w:color="auto" w:fill="auto"/>
            <w:hideMark/>
          </w:tcPr>
          <w:p w14:paraId="12FDBA94" w14:textId="77777777" w:rsidR="009F5DDF" w:rsidRPr="009F5DDF" w:rsidRDefault="009F5DDF" w:rsidP="009F5DDF">
            <w:pPr>
              <w:widowControl w:val="0"/>
              <w:jc w:val="both"/>
              <w:rPr>
                <w:b/>
                <w:bCs/>
                <w:color w:val="000000"/>
                <w:sz w:val="24"/>
                <w:szCs w:val="24"/>
                <w:lang w:eastAsia="es-CR"/>
              </w:rPr>
            </w:pPr>
            <w:r w:rsidRPr="009F5DDF">
              <w:rPr>
                <w:b/>
                <w:bCs/>
                <w:color w:val="000000"/>
                <w:sz w:val="24"/>
                <w:szCs w:val="24"/>
                <w:lang w:eastAsia="es-CR"/>
              </w:rPr>
              <w:t xml:space="preserve">331.06 + </w:t>
            </w:r>
          </w:p>
        </w:tc>
        <w:tc>
          <w:tcPr>
            <w:tcW w:w="3734" w:type="pct"/>
            <w:shd w:val="clear" w:color="auto" w:fill="auto"/>
            <w:hideMark/>
          </w:tcPr>
          <w:p w14:paraId="2AEB8394" w14:textId="77777777" w:rsidR="009F5DDF" w:rsidRPr="009F5DDF" w:rsidRDefault="009F5DDF" w:rsidP="009F5DDF">
            <w:pPr>
              <w:widowControl w:val="0"/>
              <w:jc w:val="both"/>
              <w:rPr>
                <w:color w:val="000000"/>
                <w:sz w:val="24"/>
                <w:szCs w:val="24"/>
                <w:lang w:eastAsia="es-CR"/>
              </w:rPr>
            </w:pPr>
            <w:r w:rsidRPr="009F5DDF">
              <w:rPr>
                <w:color w:val="000000"/>
                <w:sz w:val="24"/>
                <w:szCs w:val="24"/>
                <w:lang w:eastAsia="es-CR"/>
              </w:rPr>
              <w:t xml:space="preserve">Superávit por revaluación de otros activos </w:t>
            </w:r>
          </w:p>
        </w:tc>
      </w:tr>
      <w:tr w:rsidR="009F5DDF" w:rsidRPr="009F5DDF" w14:paraId="61A2BCE7" w14:textId="77777777" w:rsidTr="009F5C97">
        <w:trPr>
          <w:trHeight w:val="383"/>
        </w:trPr>
        <w:tc>
          <w:tcPr>
            <w:tcW w:w="1266" w:type="pct"/>
            <w:shd w:val="clear" w:color="auto" w:fill="auto"/>
            <w:hideMark/>
          </w:tcPr>
          <w:p w14:paraId="75FEFAB7" w14:textId="77777777" w:rsidR="009F5DDF" w:rsidRPr="009F5DDF" w:rsidRDefault="009F5DDF" w:rsidP="009F5DDF">
            <w:pPr>
              <w:widowControl w:val="0"/>
              <w:jc w:val="both"/>
              <w:rPr>
                <w:b/>
                <w:bCs/>
                <w:color w:val="000000"/>
                <w:sz w:val="24"/>
                <w:szCs w:val="24"/>
                <w:lang w:eastAsia="es-CR"/>
              </w:rPr>
            </w:pPr>
            <w:r w:rsidRPr="009F5DDF">
              <w:rPr>
                <w:b/>
                <w:bCs/>
                <w:color w:val="000000"/>
                <w:sz w:val="24"/>
                <w:szCs w:val="24"/>
                <w:lang w:eastAsia="es-CR"/>
              </w:rPr>
              <w:t>332</w:t>
            </w:r>
          </w:p>
        </w:tc>
        <w:tc>
          <w:tcPr>
            <w:tcW w:w="3734" w:type="pct"/>
            <w:shd w:val="clear" w:color="auto" w:fill="auto"/>
            <w:hideMark/>
          </w:tcPr>
          <w:p w14:paraId="51E53803" w14:textId="77777777" w:rsidR="009F5DDF" w:rsidRPr="009F5DDF" w:rsidRDefault="009F5DDF" w:rsidP="009F5DDF">
            <w:pPr>
              <w:widowControl w:val="0"/>
              <w:jc w:val="both"/>
              <w:rPr>
                <w:color w:val="000000"/>
                <w:sz w:val="24"/>
                <w:szCs w:val="24"/>
                <w:lang w:eastAsia="es-CR"/>
              </w:rPr>
            </w:pPr>
            <w:r w:rsidRPr="009F5DDF">
              <w:rPr>
                <w:color w:val="000000"/>
                <w:sz w:val="24"/>
                <w:szCs w:val="24"/>
                <w:lang w:eastAsia="es-CR"/>
              </w:rPr>
              <w:t xml:space="preserve">Ajuste por valuación de participaciones en otras empresas </w:t>
            </w:r>
          </w:p>
        </w:tc>
      </w:tr>
      <w:tr w:rsidR="009F5DDF" w:rsidRPr="009F5DDF" w14:paraId="06C2A523" w14:textId="77777777" w:rsidTr="009F5C97">
        <w:trPr>
          <w:trHeight w:val="615"/>
        </w:trPr>
        <w:tc>
          <w:tcPr>
            <w:tcW w:w="1266" w:type="pct"/>
            <w:shd w:val="clear" w:color="auto" w:fill="auto"/>
            <w:hideMark/>
          </w:tcPr>
          <w:p w14:paraId="3B35E6C0" w14:textId="77777777" w:rsidR="009F5DDF" w:rsidRPr="009F5DDF" w:rsidRDefault="009F5DDF" w:rsidP="009F5DDF">
            <w:pPr>
              <w:widowControl w:val="0"/>
              <w:jc w:val="both"/>
              <w:rPr>
                <w:b/>
                <w:bCs/>
                <w:color w:val="000000"/>
                <w:sz w:val="24"/>
                <w:szCs w:val="24"/>
                <w:lang w:eastAsia="es-CR"/>
              </w:rPr>
            </w:pPr>
            <w:r w:rsidRPr="009F5DDF">
              <w:rPr>
                <w:b/>
                <w:bCs/>
                <w:color w:val="000000"/>
                <w:sz w:val="24"/>
                <w:szCs w:val="24"/>
                <w:lang w:eastAsia="es-CR"/>
              </w:rPr>
              <w:t> </w:t>
            </w:r>
          </w:p>
        </w:tc>
        <w:tc>
          <w:tcPr>
            <w:tcW w:w="3734" w:type="pct"/>
            <w:shd w:val="clear" w:color="auto" w:fill="auto"/>
            <w:hideMark/>
          </w:tcPr>
          <w:p w14:paraId="1DE21EC1" w14:textId="77777777" w:rsidR="009F5DDF" w:rsidRPr="009F5DDF" w:rsidRDefault="009F5DDF" w:rsidP="009F5DDF">
            <w:pPr>
              <w:widowControl w:val="0"/>
              <w:jc w:val="both"/>
              <w:rPr>
                <w:color w:val="000000"/>
                <w:sz w:val="24"/>
                <w:szCs w:val="24"/>
                <w:lang w:eastAsia="es-CR"/>
              </w:rPr>
            </w:pPr>
            <w:r w:rsidRPr="009F5DDF">
              <w:rPr>
                <w:color w:val="000000"/>
                <w:sz w:val="24"/>
                <w:szCs w:val="24"/>
                <w:lang w:eastAsia="es-CR"/>
              </w:rPr>
              <w:t xml:space="preserve">(La suma de las tres cuentas hasta un máximo del 20% del capital ajustado). </w:t>
            </w:r>
          </w:p>
        </w:tc>
      </w:tr>
      <w:tr w:rsidR="009F5DDF" w:rsidRPr="009F5DDF" w14:paraId="0C4CB511" w14:textId="77777777" w:rsidTr="009F5C97">
        <w:trPr>
          <w:trHeight w:val="609"/>
        </w:trPr>
        <w:tc>
          <w:tcPr>
            <w:tcW w:w="1266" w:type="pct"/>
            <w:shd w:val="clear" w:color="auto" w:fill="auto"/>
            <w:hideMark/>
          </w:tcPr>
          <w:p w14:paraId="7445ED14" w14:textId="77777777" w:rsidR="009F5DDF" w:rsidRPr="009F5DDF" w:rsidRDefault="009F5DDF" w:rsidP="009F5DDF">
            <w:pPr>
              <w:widowControl w:val="0"/>
              <w:jc w:val="both"/>
              <w:rPr>
                <w:b/>
                <w:bCs/>
                <w:color w:val="000000"/>
                <w:sz w:val="24"/>
                <w:szCs w:val="24"/>
                <w:lang w:eastAsia="es-CR"/>
              </w:rPr>
            </w:pPr>
            <w:r w:rsidRPr="009F5DDF">
              <w:rPr>
                <w:b/>
                <w:bCs/>
                <w:color w:val="000000"/>
                <w:sz w:val="24"/>
                <w:szCs w:val="24"/>
                <w:lang w:eastAsia="es-CR"/>
              </w:rPr>
              <w:t xml:space="preserve">331.02 </w:t>
            </w:r>
          </w:p>
        </w:tc>
        <w:tc>
          <w:tcPr>
            <w:tcW w:w="3734" w:type="pct"/>
            <w:shd w:val="clear" w:color="auto" w:fill="auto"/>
            <w:hideMark/>
          </w:tcPr>
          <w:p w14:paraId="39A50F67" w14:textId="77777777" w:rsidR="009F5DDF" w:rsidRPr="009F5DDF" w:rsidRDefault="009F5DDF" w:rsidP="009F5DDF">
            <w:pPr>
              <w:widowControl w:val="0"/>
              <w:jc w:val="both"/>
              <w:rPr>
                <w:color w:val="000000"/>
                <w:sz w:val="24"/>
                <w:szCs w:val="24"/>
                <w:lang w:eastAsia="es-CR"/>
              </w:rPr>
            </w:pPr>
            <w:r w:rsidRPr="009F5DDF">
              <w:rPr>
                <w:color w:val="000000"/>
                <w:sz w:val="24"/>
                <w:szCs w:val="24"/>
                <w:lang w:eastAsia="es-CR"/>
              </w:rPr>
              <w:t xml:space="preserve">Ajuste por deterioro y valuación de inversiones al valor razonable con cambios en otro resultado integral, cuando su saldo sea deudor </w:t>
            </w:r>
          </w:p>
        </w:tc>
      </w:tr>
      <w:tr w:rsidR="009F5DDF" w:rsidRPr="009F5DDF" w14:paraId="0C886581" w14:textId="77777777" w:rsidTr="009F5C97">
        <w:trPr>
          <w:trHeight w:val="689"/>
        </w:trPr>
        <w:tc>
          <w:tcPr>
            <w:tcW w:w="1266" w:type="pct"/>
            <w:shd w:val="clear" w:color="auto" w:fill="auto"/>
            <w:hideMark/>
          </w:tcPr>
          <w:p w14:paraId="75CB0E10" w14:textId="77777777" w:rsidR="009F5DDF" w:rsidRPr="009F5DDF" w:rsidRDefault="009F5DDF" w:rsidP="009F5DDF">
            <w:pPr>
              <w:widowControl w:val="0"/>
              <w:jc w:val="both"/>
              <w:rPr>
                <w:b/>
                <w:bCs/>
                <w:color w:val="000000"/>
                <w:sz w:val="24"/>
                <w:szCs w:val="24"/>
                <w:lang w:eastAsia="es-CR"/>
              </w:rPr>
            </w:pPr>
            <w:r w:rsidRPr="009F5DDF">
              <w:rPr>
                <w:b/>
                <w:bCs/>
                <w:color w:val="000000"/>
                <w:sz w:val="24"/>
                <w:szCs w:val="24"/>
                <w:lang w:eastAsia="es-CR"/>
              </w:rPr>
              <w:t xml:space="preserve">331.03 </w:t>
            </w:r>
          </w:p>
        </w:tc>
        <w:tc>
          <w:tcPr>
            <w:tcW w:w="3734" w:type="pct"/>
            <w:shd w:val="clear" w:color="auto" w:fill="auto"/>
            <w:hideMark/>
          </w:tcPr>
          <w:p w14:paraId="09E76132" w14:textId="77777777" w:rsidR="009F5DDF" w:rsidRPr="009F5DDF" w:rsidRDefault="009F5DDF" w:rsidP="009F5DDF">
            <w:pPr>
              <w:widowControl w:val="0"/>
              <w:jc w:val="both"/>
              <w:rPr>
                <w:color w:val="000000"/>
                <w:sz w:val="24"/>
                <w:szCs w:val="24"/>
                <w:lang w:eastAsia="es-CR"/>
              </w:rPr>
            </w:pPr>
            <w:r w:rsidRPr="009F5DDF">
              <w:rPr>
                <w:color w:val="000000"/>
                <w:sz w:val="24"/>
                <w:szCs w:val="24"/>
                <w:lang w:eastAsia="es-CR"/>
              </w:rPr>
              <w:t xml:space="preserve">Ajuste por deterioro y valuación de inversiones en respaldo de la reserva de liquidez, cuando su saldo sea deudor </w:t>
            </w:r>
          </w:p>
        </w:tc>
      </w:tr>
      <w:tr w:rsidR="009F5DDF" w:rsidRPr="009F5DDF" w14:paraId="7A154C10" w14:textId="77777777" w:rsidTr="009F5C97">
        <w:trPr>
          <w:trHeight w:val="630"/>
        </w:trPr>
        <w:tc>
          <w:tcPr>
            <w:tcW w:w="1266" w:type="pct"/>
            <w:shd w:val="clear" w:color="auto" w:fill="auto"/>
            <w:hideMark/>
          </w:tcPr>
          <w:p w14:paraId="67AAAB07" w14:textId="77777777" w:rsidR="009F5DDF" w:rsidRPr="009F5DDF" w:rsidRDefault="009F5DDF" w:rsidP="009F5DDF">
            <w:pPr>
              <w:widowControl w:val="0"/>
              <w:jc w:val="both"/>
              <w:rPr>
                <w:b/>
                <w:bCs/>
                <w:color w:val="000000"/>
                <w:sz w:val="24"/>
                <w:szCs w:val="24"/>
                <w:lang w:eastAsia="es-CR"/>
              </w:rPr>
            </w:pPr>
            <w:r w:rsidRPr="009F5DDF">
              <w:rPr>
                <w:b/>
                <w:bCs/>
                <w:color w:val="000000"/>
                <w:sz w:val="24"/>
                <w:szCs w:val="24"/>
                <w:lang w:eastAsia="es-CR"/>
              </w:rPr>
              <w:t xml:space="preserve">331.04 </w:t>
            </w:r>
          </w:p>
        </w:tc>
        <w:tc>
          <w:tcPr>
            <w:tcW w:w="3734" w:type="pct"/>
            <w:shd w:val="clear" w:color="auto" w:fill="auto"/>
            <w:hideMark/>
          </w:tcPr>
          <w:p w14:paraId="197008FB" w14:textId="77777777" w:rsidR="009F5DDF" w:rsidRPr="009F5DDF" w:rsidRDefault="009F5DDF" w:rsidP="009F5DDF">
            <w:pPr>
              <w:widowControl w:val="0"/>
              <w:jc w:val="both"/>
              <w:rPr>
                <w:color w:val="000000"/>
                <w:sz w:val="24"/>
                <w:szCs w:val="24"/>
                <w:lang w:eastAsia="es-CR"/>
              </w:rPr>
            </w:pPr>
            <w:r w:rsidRPr="009F5DDF">
              <w:rPr>
                <w:color w:val="000000"/>
                <w:sz w:val="24"/>
                <w:szCs w:val="24"/>
                <w:lang w:eastAsia="es-CR"/>
              </w:rPr>
              <w:t xml:space="preserve">Ajuste por deterioro y valuación de instrumentos financieros restringidos </w:t>
            </w:r>
            <w:r w:rsidRPr="009F5DDF">
              <w:rPr>
                <w:color w:val="000000"/>
                <w:sz w:val="24"/>
                <w:szCs w:val="24"/>
                <w:vertAlign w:val="superscript"/>
                <w:lang w:eastAsia="es-CR"/>
              </w:rPr>
              <w:t>[6]</w:t>
            </w:r>
            <w:r w:rsidRPr="009F5DDF">
              <w:rPr>
                <w:color w:val="000000"/>
                <w:sz w:val="24"/>
                <w:szCs w:val="24"/>
                <w:lang w:eastAsia="es-CR"/>
              </w:rPr>
              <w:t xml:space="preserve">, cuando su saldo sea deudor </w:t>
            </w:r>
          </w:p>
        </w:tc>
      </w:tr>
      <w:tr w:rsidR="009F5DDF" w:rsidRPr="009F5DDF" w14:paraId="425E634A" w14:textId="77777777" w:rsidTr="009F5C97">
        <w:trPr>
          <w:trHeight w:val="609"/>
        </w:trPr>
        <w:tc>
          <w:tcPr>
            <w:tcW w:w="1266" w:type="pct"/>
            <w:shd w:val="clear" w:color="auto" w:fill="auto"/>
            <w:hideMark/>
          </w:tcPr>
          <w:p w14:paraId="1E13FB93" w14:textId="77777777" w:rsidR="009F5DDF" w:rsidRPr="009F5DDF" w:rsidRDefault="009F5DDF" w:rsidP="009F5DDF">
            <w:pPr>
              <w:widowControl w:val="0"/>
              <w:jc w:val="both"/>
              <w:rPr>
                <w:b/>
                <w:bCs/>
                <w:color w:val="000000"/>
                <w:sz w:val="24"/>
                <w:szCs w:val="24"/>
                <w:lang w:eastAsia="es-CR"/>
              </w:rPr>
            </w:pPr>
            <w:r w:rsidRPr="009F5DDF">
              <w:rPr>
                <w:b/>
                <w:bCs/>
                <w:color w:val="000000"/>
                <w:sz w:val="24"/>
                <w:szCs w:val="24"/>
                <w:lang w:eastAsia="es-CR"/>
              </w:rPr>
              <w:t xml:space="preserve">331.05 </w:t>
            </w:r>
          </w:p>
        </w:tc>
        <w:tc>
          <w:tcPr>
            <w:tcW w:w="3734" w:type="pct"/>
            <w:shd w:val="clear" w:color="auto" w:fill="auto"/>
            <w:hideMark/>
          </w:tcPr>
          <w:p w14:paraId="7FA6F051" w14:textId="77777777" w:rsidR="009F5DDF" w:rsidRPr="009F5DDF" w:rsidRDefault="009F5DDF" w:rsidP="009F5DDF">
            <w:pPr>
              <w:widowControl w:val="0"/>
              <w:jc w:val="both"/>
              <w:rPr>
                <w:color w:val="000000"/>
                <w:sz w:val="24"/>
                <w:szCs w:val="24"/>
                <w:lang w:eastAsia="es-CR"/>
              </w:rPr>
            </w:pPr>
            <w:r w:rsidRPr="009F5DDF">
              <w:rPr>
                <w:color w:val="000000"/>
                <w:sz w:val="24"/>
                <w:szCs w:val="24"/>
                <w:lang w:eastAsia="es-CR"/>
              </w:rPr>
              <w:t xml:space="preserve">Ajuste por deterioro y valuación de instrumentos financieros en cesación de pagos, morosos o en litigio, cuando su saldo sea deudor </w:t>
            </w:r>
          </w:p>
        </w:tc>
      </w:tr>
      <w:tr w:rsidR="009F5DDF" w:rsidRPr="009F5DDF" w14:paraId="7E5B201F" w14:textId="77777777" w:rsidTr="009F5C97">
        <w:trPr>
          <w:trHeight w:val="391"/>
        </w:trPr>
        <w:tc>
          <w:tcPr>
            <w:tcW w:w="1266" w:type="pct"/>
            <w:shd w:val="clear" w:color="auto" w:fill="auto"/>
            <w:hideMark/>
          </w:tcPr>
          <w:p w14:paraId="3A13DE22" w14:textId="77777777" w:rsidR="009F5DDF" w:rsidRPr="009F5DDF" w:rsidRDefault="009F5DDF" w:rsidP="009F5DDF">
            <w:pPr>
              <w:widowControl w:val="0"/>
              <w:jc w:val="both"/>
              <w:rPr>
                <w:b/>
                <w:bCs/>
                <w:color w:val="000000"/>
                <w:sz w:val="24"/>
                <w:szCs w:val="24"/>
                <w:lang w:eastAsia="es-CR"/>
              </w:rPr>
            </w:pPr>
            <w:r w:rsidRPr="009F5DDF">
              <w:rPr>
                <w:b/>
                <w:bCs/>
                <w:color w:val="000000"/>
                <w:sz w:val="24"/>
                <w:szCs w:val="24"/>
                <w:lang w:eastAsia="es-CR"/>
              </w:rPr>
              <w:t xml:space="preserve">331.07 </w:t>
            </w:r>
          </w:p>
        </w:tc>
        <w:tc>
          <w:tcPr>
            <w:tcW w:w="3734" w:type="pct"/>
            <w:shd w:val="clear" w:color="auto" w:fill="auto"/>
            <w:hideMark/>
          </w:tcPr>
          <w:p w14:paraId="273D866F" w14:textId="77777777" w:rsidR="009F5DDF" w:rsidRPr="009F5DDF" w:rsidRDefault="009F5DDF" w:rsidP="009F5DDF">
            <w:pPr>
              <w:widowControl w:val="0"/>
              <w:jc w:val="both"/>
              <w:rPr>
                <w:color w:val="000000"/>
                <w:sz w:val="24"/>
                <w:szCs w:val="24"/>
                <w:lang w:eastAsia="es-CR"/>
              </w:rPr>
            </w:pPr>
            <w:r w:rsidRPr="009F5DDF">
              <w:rPr>
                <w:color w:val="000000"/>
                <w:sz w:val="24"/>
                <w:szCs w:val="24"/>
                <w:lang w:eastAsia="es-CR"/>
              </w:rPr>
              <w:t xml:space="preserve">Ajuste por valoración de instrumentos derivados, cuando su saldo sea deudor </w:t>
            </w:r>
          </w:p>
        </w:tc>
      </w:tr>
      <w:tr w:rsidR="009F5DDF" w:rsidRPr="009F5DDF" w14:paraId="0591E341" w14:textId="77777777" w:rsidTr="009F5C97">
        <w:trPr>
          <w:trHeight w:val="695"/>
        </w:trPr>
        <w:tc>
          <w:tcPr>
            <w:tcW w:w="1266" w:type="pct"/>
            <w:shd w:val="clear" w:color="auto" w:fill="auto"/>
            <w:hideMark/>
          </w:tcPr>
          <w:p w14:paraId="08EC3043" w14:textId="77777777" w:rsidR="009F5DDF" w:rsidRPr="009F5DDF" w:rsidRDefault="009F5DDF" w:rsidP="009F5DDF">
            <w:pPr>
              <w:widowControl w:val="0"/>
              <w:jc w:val="both"/>
              <w:rPr>
                <w:b/>
                <w:bCs/>
                <w:color w:val="000000"/>
                <w:sz w:val="24"/>
                <w:szCs w:val="24"/>
                <w:lang w:eastAsia="es-CR"/>
              </w:rPr>
            </w:pPr>
            <w:r w:rsidRPr="009F5DDF">
              <w:rPr>
                <w:b/>
                <w:bCs/>
                <w:color w:val="000000"/>
                <w:sz w:val="24"/>
                <w:szCs w:val="24"/>
                <w:lang w:eastAsia="es-CR"/>
              </w:rPr>
              <w:t xml:space="preserve">331.08 </w:t>
            </w:r>
          </w:p>
        </w:tc>
        <w:tc>
          <w:tcPr>
            <w:tcW w:w="3734" w:type="pct"/>
            <w:shd w:val="clear" w:color="auto" w:fill="auto"/>
            <w:hideMark/>
          </w:tcPr>
          <w:p w14:paraId="68043C80" w14:textId="77777777" w:rsidR="009F5DDF" w:rsidRPr="009F5DDF" w:rsidRDefault="009F5DDF" w:rsidP="009F5DDF">
            <w:pPr>
              <w:widowControl w:val="0"/>
              <w:jc w:val="both"/>
              <w:rPr>
                <w:color w:val="000000"/>
                <w:sz w:val="24"/>
                <w:szCs w:val="24"/>
                <w:lang w:eastAsia="es-CR"/>
              </w:rPr>
            </w:pPr>
            <w:r w:rsidRPr="009F5DDF">
              <w:rPr>
                <w:color w:val="000000"/>
                <w:sz w:val="24"/>
                <w:szCs w:val="24"/>
                <w:lang w:eastAsia="es-CR"/>
              </w:rPr>
              <w:t xml:space="preserve">Ajuste por valoración de obligaciones de entregar títulos en reportos y préstamos de valores, cuando su saldo sea deudor </w:t>
            </w:r>
          </w:p>
        </w:tc>
      </w:tr>
      <w:tr w:rsidR="009F5DDF" w:rsidRPr="009F5DDF" w14:paraId="07F1B1A7" w14:textId="77777777" w:rsidTr="009F5C97">
        <w:trPr>
          <w:trHeight w:val="315"/>
        </w:trPr>
        <w:tc>
          <w:tcPr>
            <w:tcW w:w="1266" w:type="pct"/>
            <w:shd w:val="clear" w:color="auto" w:fill="auto"/>
            <w:hideMark/>
          </w:tcPr>
          <w:p w14:paraId="48C7E58B" w14:textId="77777777" w:rsidR="009F5DDF" w:rsidRPr="009F5DDF" w:rsidRDefault="009F5DDF" w:rsidP="009F5DDF">
            <w:pPr>
              <w:widowControl w:val="0"/>
              <w:jc w:val="both"/>
              <w:rPr>
                <w:b/>
                <w:bCs/>
                <w:color w:val="000000"/>
                <w:sz w:val="24"/>
                <w:szCs w:val="24"/>
                <w:lang w:eastAsia="es-CR"/>
              </w:rPr>
            </w:pPr>
            <w:r w:rsidRPr="009F5DDF">
              <w:rPr>
                <w:b/>
                <w:bCs/>
                <w:color w:val="000000"/>
                <w:sz w:val="24"/>
                <w:szCs w:val="24"/>
                <w:lang w:eastAsia="es-CR"/>
              </w:rPr>
              <w:t>341</w:t>
            </w:r>
          </w:p>
        </w:tc>
        <w:tc>
          <w:tcPr>
            <w:tcW w:w="3734" w:type="pct"/>
            <w:shd w:val="clear" w:color="auto" w:fill="auto"/>
            <w:hideMark/>
          </w:tcPr>
          <w:p w14:paraId="37BDD06D" w14:textId="77777777" w:rsidR="009F5DDF" w:rsidRPr="009F5DDF" w:rsidRDefault="009F5DDF" w:rsidP="009F5DDF">
            <w:pPr>
              <w:widowControl w:val="0"/>
              <w:jc w:val="both"/>
              <w:rPr>
                <w:color w:val="000000"/>
                <w:sz w:val="24"/>
                <w:szCs w:val="24"/>
                <w:lang w:eastAsia="es-CR"/>
              </w:rPr>
            </w:pPr>
            <w:r w:rsidRPr="009F5DDF">
              <w:rPr>
                <w:color w:val="000000"/>
                <w:sz w:val="24"/>
                <w:szCs w:val="24"/>
                <w:lang w:eastAsia="es-CR"/>
              </w:rPr>
              <w:t xml:space="preserve">Reserva Legal  </w:t>
            </w:r>
          </w:p>
        </w:tc>
      </w:tr>
      <w:tr w:rsidR="009F5DDF" w:rsidRPr="009F5DDF" w14:paraId="05EBD37C" w14:textId="77777777" w:rsidTr="009F5C97">
        <w:trPr>
          <w:trHeight w:val="315"/>
        </w:trPr>
        <w:tc>
          <w:tcPr>
            <w:tcW w:w="1266" w:type="pct"/>
            <w:vMerge w:val="restart"/>
            <w:shd w:val="clear" w:color="auto" w:fill="auto"/>
            <w:hideMark/>
          </w:tcPr>
          <w:p w14:paraId="5E391527" w14:textId="77777777" w:rsidR="009F5DDF" w:rsidRPr="009F5DDF" w:rsidRDefault="009F5DDF" w:rsidP="009F5DDF">
            <w:pPr>
              <w:widowControl w:val="0"/>
              <w:jc w:val="both"/>
              <w:rPr>
                <w:b/>
                <w:bCs/>
                <w:color w:val="000000"/>
                <w:sz w:val="24"/>
                <w:szCs w:val="24"/>
                <w:lang w:eastAsia="es-CR"/>
              </w:rPr>
            </w:pPr>
            <w:r w:rsidRPr="009F5DDF">
              <w:rPr>
                <w:b/>
                <w:bCs/>
                <w:color w:val="000000"/>
                <w:sz w:val="24"/>
                <w:szCs w:val="24"/>
                <w:lang w:eastAsia="es-CR"/>
              </w:rPr>
              <w:t>350</w:t>
            </w:r>
          </w:p>
        </w:tc>
        <w:tc>
          <w:tcPr>
            <w:tcW w:w="3734" w:type="pct"/>
            <w:shd w:val="clear" w:color="auto" w:fill="auto"/>
            <w:hideMark/>
          </w:tcPr>
          <w:p w14:paraId="4EED6FEE" w14:textId="77777777" w:rsidR="009F5DDF" w:rsidRPr="009F5DDF" w:rsidRDefault="009F5DDF" w:rsidP="009F5DDF">
            <w:pPr>
              <w:widowControl w:val="0"/>
              <w:jc w:val="both"/>
              <w:rPr>
                <w:color w:val="000000"/>
                <w:sz w:val="24"/>
                <w:szCs w:val="24"/>
                <w:lang w:eastAsia="es-CR"/>
              </w:rPr>
            </w:pPr>
            <w:r w:rsidRPr="009F5DDF">
              <w:rPr>
                <w:color w:val="000000"/>
                <w:sz w:val="24"/>
                <w:szCs w:val="24"/>
                <w:lang w:eastAsia="es-CR"/>
              </w:rPr>
              <w:t xml:space="preserve">Resultados Acumulados de ejercicios anteriores </w:t>
            </w:r>
          </w:p>
        </w:tc>
      </w:tr>
      <w:tr w:rsidR="009F5DDF" w:rsidRPr="009F5DDF" w14:paraId="1C3F9DC4" w14:textId="77777777" w:rsidTr="009F5C97">
        <w:trPr>
          <w:trHeight w:val="870"/>
        </w:trPr>
        <w:tc>
          <w:tcPr>
            <w:tcW w:w="1266" w:type="pct"/>
            <w:vMerge/>
            <w:shd w:val="clear" w:color="auto" w:fill="auto"/>
            <w:hideMark/>
          </w:tcPr>
          <w:p w14:paraId="431CDD3E" w14:textId="77777777" w:rsidR="009F5DDF" w:rsidRPr="009F5DDF" w:rsidRDefault="009F5DDF" w:rsidP="009F5DDF">
            <w:pPr>
              <w:widowControl w:val="0"/>
              <w:jc w:val="both"/>
              <w:rPr>
                <w:b/>
                <w:bCs/>
                <w:color w:val="000000"/>
                <w:sz w:val="24"/>
                <w:szCs w:val="24"/>
                <w:lang w:eastAsia="es-CR"/>
              </w:rPr>
            </w:pPr>
          </w:p>
        </w:tc>
        <w:tc>
          <w:tcPr>
            <w:tcW w:w="3734" w:type="pct"/>
            <w:shd w:val="clear" w:color="auto" w:fill="auto"/>
            <w:hideMark/>
          </w:tcPr>
          <w:p w14:paraId="456058E8" w14:textId="77777777" w:rsidR="009F5DDF" w:rsidRPr="009F5DDF" w:rsidRDefault="009F5DDF" w:rsidP="009F5DDF">
            <w:pPr>
              <w:widowControl w:val="0"/>
              <w:jc w:val="both"/>
              <w:rPr>
                <w:color w:val="000000"/>
                <w:sz w:val="24"/>
                <w:szCs w:val="24"/>
                <w:lang w:eastAsia="es-CR"/>
              </w:rPr>
            </w:pPr>
            <w:r w:rsidRPr="009F5DDF">
              <w:rPr>
                <w:color w:val="000000"/>
                <w:sz w:val="24"/>
                <w:szCs w:val="24"/>
                <w:lang w:eastAsia="es-CR"/>
              </w:rPr>
              <w:t xml:space="preserve">(Cuando su saldo sea deudor, o hasta el monto de la cuenta 351.02 “Utilidades de ejercicios anteriores afectadas para capitalizar”, cuando su saldo sea acreedor) </w:t>
            </w:r>
          </w:p>
        </w:tc>
      </w:tr>
      <w:tr w:rsidR="009F5DDF" w:rsidRPr="009F5DDF" w14:paraId="10A856E4" w14:textId="77777777" w:rsidTr="009F5C97">
        <w:trPr>
          <w:trHeight w:val="401"/>
        </w:trPr>
        <w:tc>
          <w:tcPr>
            <w:tcW w:w="1266" w:type="pct"/>
            <w:shd w:val="clear" w:color="auto" w:fill="auto"/>
            <w:hideMark/>
          </w:tcPr>
          <w:p w14:paraId="4F9427BE" w14:textId="77777777" w:rsidR="009F5DDF" w:rsidRPr="009F5DDF" w:rsidRDefault="009F5DDF" w:rsidP="009F5DDF">
            <w:pPr>
              <w:widowControl w:val="0"/>
              <w:jc w:val="both"/>
              <w:rPr>
                <w:b/>
                <w:bCs/>
                <w:color w:val="000000"/>
                <w:sz w:val="24"/>
                <w:szCs w:val="24"/>
                <w:lang w:eastAsia="es-CR"/>
              </w:rPr>
            </w:pPr>
            <w:r w:rsidRPr="009F5DDF">
              <w:rPr>
                <w:b/>
                <w:bCs/>
                <w:color w:val="000000"/>
                <w:sz w:val="24"/>
                <w:szCs w:val="24"/>
                <w:lang w:eastAsia="es-CR"/>
              </w:rPr>
              <w:t>360</w:t>
            </w:r>
          </w:p>
        </w:tc>
        <w:tc>
          <w:tcPr>
            <w:tcW w:w="3734" w:type="pct"/>
            <w:shd w:val="clear" w:color="auto" w:fill="auto"/>
            <w:hideMark/>
          </w:tcPr>
          <w:p w14:paraId="01C57F11" w14:textId="77777777" w:rsidR="009F5DDF" w:rsidRPr="009F5DDF" w:rsidRDefault="009F5DDF" w:rsidP="009F5DDF">
            <w:pPr>
              <w:widowControl w:val="0"/>
              <w:jc w:val="both"/>
              <w:rPr>
                <w:color w:val="000000"/>
                <w:sz w:val="24"/>
                <w:szCs w:val="24"/>
                <w:lang w:eastAsia="es-CR"/>
              </w:rPr>
            </w:pPr>
            <w:r w:rsidRPr="009F5DDF">
              <w:rPr>
                <w:color w:val="000000"/>
                <w:sz w:val="24"/>
                <w:szCs w:val="24"/>
                <w:lang w:eastAsia="es-CR"/>
              </w:rPr>
              <w:t xml:space="preserve">Resultado del Periodo, solo cuando su saldo sea deudor (1) </w:t>
            </w:r>
          </w:p>
        </w:tc>
      </w:tr>
      <w:tr w:rsidR="009F5DDF" w:rsidRPr="009F5DDF" w14:paraId="57D3E953" w14:textId="77777777" w:rsidTr="009F5C97">
        <w:trPr>
          <w:trHeight w:val="407"/>
        </w:trPr>
        <w:tc>
          <w:tcPr>
            <w:tcW w:w="1266" w:type="pct"/>
            <w:shd w:val="clear" w:color="auto" w:fill="auto"/>
            <w:hideMark/>
          </w:tcPr>
          <w:p w14:paraId="251A26A6" w14:textId="77777777" w:rsidR="009F5DDF" w:rsidRPr="009F5DDF" w:rsidRDefault="009F5DDF" w:rsidP="009F5DDF">
            <w:pPr>
              <w:widowControl w:val="0"/>
              <w:jc w:val="both"/>
              <w:rPr>
                <w:b/>
                <w:bCs/>
                <w:color w:val="000000"/>
                <w:sz w:val="24"/>
                <w:szCs w:val="24"/>
                <w:lang w:eastAsia="es-CR"/>
              </w:rPr>
            </w:pPr>
            <w:r w:rsidRPr="009F5DDF">
              <w:rPr>
                <w:b/>
                <w:bCs/>
                <w:color w:val="000000"/>
                <w:sz w:val="24"/>
                <w:szCs w:val="24"/>
                <w:lang w:eastAsia="es-CR"/>
              </w:rPr>
              <w:t>380</w:t>
            </w:r>
          </w:p>
        </w:tc>
        <w:tc>
          <w:tcPr>
            <w:tcW w:w="3734" w:type="pct"/>
            <w:shd w:val="clear" w:color="auto" w:fill="auto"/>
            <w:hideMark/>
          </w:tcPr>
          <w:p w14:paraId="77497329" w14:textId="77777777" w:rsidR="009F5DDF" w:rsidRPr="009F5DDF" w:rsidRDefault="009F5DDF" w:rsidP="009F5DDF">
            <w:pPr>
              <w:widowControl w:val="0"/>
              <w:jc w:val="both"/>
              <w:rPr>
                <w:color w:val="000000"/>
                <w:sz w:val="24"/>
                <w:szCs w:val="24"/>
                <w:lang w:eastAsia="es-CR"/>
              </w:rPr>
            </w:pPr>
            <w:r w:rsidRPr="009F5DDF">
              <w:rPr>
                <w:color w:val="000000"/>
                <w:sz w:val="24"/>
                <w:szCs w:val="24"/>
                <w:lang w:eastAsia="es-CR"/>
              </w:rPr>
              <w:t xml:space="preserve">Aportes patrimoniales en fondos especiales o reservas especiales </w:t>
            </w:r>
          </w:p>
        </w:tc>
      </w:tr>
      <w:tr w:rsidR="009F5DDF" w:rsidRPr="009F5DDF" w14:paraId="44E49C84" w14:textId="77777777" w:rsidTr="009F5C97">
        <w:trPr>
          <w:trHeight w:val="615"/>
        </w:trPr>
        <w:tc>
          <w:tcPr>
            <w:tcW w:w="1266" w:type="pct"/>
            <w:shd w:val="clear" w:color="auto" w:fill="auto"/>
            <w:hideMark/>
          </w:tcPr>
          <w:p w14:paraId="77AAF1B0" w14:textId="77777777" w:rsidR="009F5DDF" w:rsidRPr="009F5DDF" w:rsidRDefault="009F5DDF" w:rsidP="009F5DDF">
            <w:pPr>
              <w:widowControl w:val="0"/>
              <w:jc w:val="both"/>
              <w:rPr>
                <w:b/>
                <w:bCs/>
                <w:color w:val="000000"/>
                <w:sz w:val="24"/>
                <w:szCs w:val="24"/>
                <w:lang w:eastAsia="es-CR"/>
              </w:rPr>
            </w:pPr>
            <w:r w:rsidRPr="009F5DDF">
              <w:rPr>
                <w:b/>
                <w:bCs/>
                <w:color w:val="000000"/>
                <w:sz w:val="24"/>
                <w:szCs w:val="24"/>
                <w:lang w:eastAsia="es-CR"/>
              </w:rPr>
              <w:t xml:space="preserve">500 – 400 </w:t>
            </w:r>
          </w:p>
        </w:tc>
        <w:tc>
          <w:tcPr>
            <w:tcW w:w="3734" w:type="pct"/>
            <w:shd w:val="clear" w:color="auto" w:fill="auto"/>
            <w:hideMark/>
          </w:tcPr>
          <w:p w14:paraId="7406D349" w14:textId="77777777" w:rsidR="009F5DDF" w:rsidRPr="009F5DDF" w:rsidRDefault="009F5DDF" w:rsidP="009F5DDF">
            <w:pPr>
              <w:widowControl w:val="0"/>
              <w:jc w:val="both"/>
              <w:rPr>
                <w:color w:val="000000"/>
                <w:sz w:val="24"/>
                <w:szCs w:val="24"/>
                <w:lang w:eastAsia="es-CR"/>
              </w:rPr>
            </w:pPr>
            <w:r w:rsidRPr="009F5DDF">
              <w:rPr>
                <w:color w:val="000000"/>
                <w:sz w:val="24"/>
                <w:szCs w:val="24"/>
                <w:lang w:eastAsia="es-CR"/>
              </w:rPr>
              <w:t xml:space="preserve">Resultado de las cuentas 500 “Ingresos” menos las 400 “Gastos”; cuando el resultado sea negativo </w:t>
            </w:r>
          </w:p>
        </w:tc>
      </w:tr>
    </w:tbl>
    <w:p w14:paraId="11555DAE" w14:textId="77777777" w:rsidR="009F5DDF" w:rsidRPr="009F5DDF" w:rsidRDefault="009F5DDF" w:rsidP="009F5DDF">
      <w:pPr>
        <w:widowControl w:val="0"/>
        <w:ind w:left="113"/>
        <w:jc w:val="both"/>
        <w:rPr>
          <w:color w:val="000000"/>
          <w:sz w:val="24"/>
          <w:szCs w:val="24"/>
          <w:lang w:eastAsia="es-CR"/>
        </w:rPr>
      </w:pPr>
      <w:bookmarkStart w:id="67" w:name="_Hlk105163196"/>
      <w:r w:rsidRPr="009F5DDF">
        <w:rPr>
          <w:b/>
          <w:bCs/>
          <w:color w:val="000000"/>
          <w:sz w:val="24"/>
          <w:szCs w:val="24"/>
          <w:lang w:eastAsia="en-US"/>
        </w:rPr>
        <w:t>Nota:</w:t>
      </w:r>
      <w:r w:rsidRPr="009F5DDF">
        <w:rPr>
          <w:b/>
          <w:bCs/>
          <w:color w:val="000000"/>
          <w:sz w:val="24"/>
          <w:szCs w:val="24"/>
          <w:lang w:eastAsia="es-CR"/>
        </w:rPr>
        <w:t xml:space="preserve"> </w:t>
      </w:r>
      <w:r w:rsidRPr="009F5DDF">
        <w:rPr>
          <w:color w:val="000000"/>
          <w:sz w:val="24"/>
          <w:szCs w:val="24"/>
          <w:lang w:eastAsia="es-CR"/>
        </w:rPr>
        <w:t>(1)</w:t>
      </w:r>
      <w:r w:rsidRPr="009F5DDF">
        <w:rPr>
          <w:b/>
          <w:bCs/>
          <w:color w:val="000000"/>
          <w:sz w:val="24"/>
          <w:szCs w:val="24"/>
          <w:lang w:eastAsia="en-US"/>
        </w:rPr>
        <w:t xml:space="preserve"> </w:t>
      </w:r>
      <w:r w:rsidRPr="009F5DDF">
        <w:rPr>
          <w:color w:val="000000"/>
          <w:sz w:val="24"/>
          <w:szCs w:val="24"/>
          <w:lang w:eastAsia="en-US"/>
        </w:rPr>
        <w:t>Cuenta utilizada por entidades que llevan a cabo un cierre contable semestral.</w:t>
      </w:r>
      <w:bookmarkEnd w:id="67"/>
    </w:p>
    <w:p w14:paraId="12F79B01" w14:textId="77777777" w:rsidR="009F5DDF" w:rsidRPr="009F5DDF" w:rsidRDefault="009F5DDF" w:rsidP="009F5DDF">
      <w:pPr>
        <w:widowControl w:val="0"/>
        <w:tabs>
          <w:tab w:val="left" w:pos="4527"/>
        </w:tabs>
        <w:ind w:left="113"/>
        <w:jc w:val="both"/>
        <w:rPr>
          <w:color w:val="000000"/>
          <w:sz w:val="24"/>
          <w:szCs w:val="24"/>
          <w:lang w:eastAsia="es-CR"/>
        </w:rPr>
      </w:pPr>
    </w:p>
    <w:p w14:paraId="40023115" w14:textId="77777777" w:rsidR="009F5DDF" w:rsidRPr="009F5DDF" w:rsidRDefault="009F5DDF" w:rsidP="009F5DDF">
      <w:pPr>
        <w:widowControl w:val="0"/>
        <w:ind w:left="113"/>
        <w:jc w:val="both"/>
        <w:rPr>
          <w:b/>
          <w:bCs/>
          <w:color w:val="000000"/>
          <w:sz w:val="24"/>
          <w:szCs w:val="24"/>
          <w:lang w:eastAsia="es-CR"/>
        </w:rPr>
      </w:pPr>
      <w:r w:rsidRPr="009F5DDF">
        <w:rPr>
          <w:b/>
          <w:bCs/>
          <w:color w:val="000000"/>
          <w:sz w:val="24"/>
          <w:szCs w:val="24"/>
          <w:lang w:eastAsia="es-CR"/>
        </w:rPr>
        <w:t xml:space="preserve">2) Cuentas, subcuentas y cuentas analíticas para calcular el Capital Ajustado para una asociación mutualista de ahorro y préstamo </w:t>
      </w:r>
    </w:p>
    <w:p w14:paraId="2F21C38E" w14:textId="77777777" w:rsidR="009F5DDF" w:rsidRPr="009F5DDF" w:rsidRDefault="009F5DDF" w:rsidP="009F5DDF">
      <w:pPr>
        <w:widowControl w:val="0"/>
        <w:ind w:left="113"/>
        <w:jc w:val="both"/>
        <w:rPr>
          <w:b/>
          <w:bCs/>
          <w:color w:val="000000"/>
          <w:sz w:val="24"/>
          <w:szCs w:val="24"/>
          <w:lang w:eastAsia="es-CR"/>
        </w:rPr>
      </w:pPr>
    </w:p>
    <w:tbl>
      <w:tblPr>
        <w:tblW w:w="5000" w:type="pct"/>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4A0" w:firstRow="1" w:lastRow="0" w:firstColumn="1" w:lastColumn="0" w:noHBand="0" w:noVBand="1"/>
      </w:tblPr>
      <w:tblGrid>
        <w:gridCol w:w="2292"/>
        <w:gridCol w:w="6760"/>
      </w:tblGrid>
      <w:tr w:rsidR="009F5DDF" w:rsidRPr="009F5DDF" w14:paraId="4802B1D1" w14:textId="77777777" w:rsidTr="009F5C97">
        <w:trPr>
          <w:trHeight w:val="315"/>
        </w:trPr>
        <w:tc>
          <w:tcPr>
            <w:tcW w:w="1266" w:type="pct"/>
            <w:shd w:val="clear" w:color="auto" w:fill="auto"/>
            <w:hideMark/>
          </w:tcPr>
          <w:p w14:paraId="3D57D8A8" w14:textId="77777777" w:rsidR="009F5DDF" w:rsidRPr="009F5DDF" w:rsidRDefault="009F5DDF" w:rsidP="009F5DDF">
            <w:pPr>
              <w:widowControl w:val="0"/>
              <w:jc w:val="both"/>
              <w:rPr>
                <w:b/>
                <w:bCs/>
                <w:color w:val="000000"/>
                <w:sz w:val="24"/>
                <w:szCs w:val="24"/>
                <w:lang w:eastAsia="es-CR"/>
              </w:rPr>
            </w:pPr>
            <w:r w:rsidRPr="009F5DDF">
              <w:rPr>
                <w:color w:val="000000"/>
                <w:sz w:val="24"/>
                <w:szCs w:val="24"/>
                <w:lang w:eastAsia="es-CR"/>
              </w:rPr>
              <w:t>311.07</w:t>
            </w:r>
          </w:p>
        </w:tc>
        <w:tc>
          <w:tcPr>
            <w:tcW w:w="3734" w:type="pct"/>
            <w:shd w:val="clear" w:color="auto" w:fill="auto"/>
            <w:hideMark/>
          </w:tcPr>
          <w:p w14:paraId="6E1F761A" w14:textId="77777777" w:rsidR="009F5DDF" w:rsidRPr="009F5DDF" w:rsidRDefault="009F5DDF" w:rsidP="009F5DDF">
            <w:pPr>
              <w:widowControl w:val="0"/>
              <w:jc w:val="both"/>
              <w:rPr>
                <w:b/>
                <w:bCs/>
                <w:color w:val="000000"/>
                <w:sz w:val="24"/>
                <w:szCs w:val="24"/>
                <w:lang w:eastAsia="es-CR"/>
              </w:rPr>
            </w:pPr>
            <w:r w:rsidRPr="009F5DDF">
              <w:rPr>
                <w:color w:val="000000"/>
                <w:sz w:val="24"/>
                <w:szCs w:val="24"/>
                <w:lang w:eastAsia="es-CR"/>
              </w:rPr>
              <w:t>Cuotas de participación mutualista</w:t>
            </w:r>
          </w:p>
        </w:tc>
      </w:tr>
      <w:tr w:rsidR="009F5DDF" w:rsidRPr="009F5DDF" w14:paraId="4E3A9779" w14:textId="77777777" w:rsidTr="009F5C97">
        <w:trPr>
          <w:trHeight w:val="315"/>
        </w:trPr>
        <w:tc>
          <w:tcPr>
            <w:tcW w:w="1266" w:type="pct"/>
            <w:shd w:val="clear" w:color="auto" w:fill="auto"/>
            <w:hideMark/>
          </w:tcPr>
          <w:p w14:paraId="2A6C67D5" w14:textId="77777777" w:rsidR="009F5DDF" w:rsidRPr="009F5DDF" w:rsidRDefault="009F5DDF" w:rsidP="009F5DDF">
            <w:pPr>
              <w:widowControl w:val="0"/>
              <w:jc w:val="both"/>
              <w:rPr>
                <w:b/>
                <w:bCs/>
                <w:color w:val="000000"/>
                <w:sz w:val="24"/>
                <w:szCs w:val="24"/>
                <w:lang w:eastAsia="es-CR"/>
              </w:rPr>
            </w:pPr>
            <w:r w:rsidRPr="009F5DDF">
              <w:rPr>
                <w:color w:val="000000"/>
                <w:sz w:val="24"/>
                <w:szCs w:val="24"/>
                <w:lang w:eastAsia="es-CR"/>
              </w:rPr>
              <w:t>323</w:t>
            </w:r>
          </w:p>
        </w:tc>
        <w:tc>
          <w:tcPr>
            <w:tcW w:w="3734" w:type="pct"/>
            <w:shd w:val="clear" w:color="auto" w:fill="auto"/>
            <w:hideMark/>
          </w:tcPr>
          <w:p w14:paraId="1BD8261B" w14:textId="77777777" w:rsidR="009F5DDF" w:rsidRPr="009F5DDF" w:rsidRDefault="009F5DDF" w:rsidP="009F5DDF">
            <w:pPr>
              <w:widowControl w:val="0"/>
              <w:jc w:val="both"/>
              <w:rPr>
                <w:color w:val="000000"/>
                <w:sz w:val="24"/>
                <w:szCs w:val="24"/>
                <w:lang w:eastAsia="es-CR"/>
              </w:rPr>
            </w:pPr>
            <w:r w:rsidRPr="009F5DDF">
              <w:rPr>
                <w:color w:val="000000"/>
                <w:sz w:val="24"/>
                <w:szCs w:val="24"/>
                <w:lang w:eastAsia="es-CR"/>
              </w:rPr>
              <w:t xml:space="preserve">Donaciones y otras contribuciones no capitalizables </w:t>
            </w:r>
          </w:p>
        </w:tc>
      </w:tr>
      <w:tr w:rsidR="009F5DDF" w:rsidRPr="009F5DDF" w14:paraId="3B68A19A" w14:textId="77777777" w:rsidTr="009F5C97">
        <w:trPr>
          <w:trHeight w:val="365"/>
        </w:trPr>
        <w:tc>
          <w:tcPr>
            <w:tcW w:w="1266" w:type="pct"/>
            <w:shd w:val="clear" w:color="auto" w:fill="auto"/>
            <w:hideMark/>
          </w:tcPr>
          <w:p w14:paraId="38D1E99B" w14:textId="77777777" w:rsidR="009F5DDF" w:rsidRPr="009F5DDF" w:rsidRDefault="009F5DDF" w:rsidP="009F5DDF">
            <w:pPr>
              <w:widowControl w:val="0"/>
              <w:jc w:val="both"/>
              <w:rPr>
                <w:b/>
                <w:bCs/>
                <w:color w:val="000000"/>
                <w:sz w:val="24"/>
                <w:szCs w:val="24"/>
                <w:lang w:eastAsia="es-CR"/>
              </w:rPr>
            </w:pPr>
            <w:r w:rsidRPr="009F5DDF">
              <w:rPr>
                <w:color w:val="000000"/>
                <w:sz w:val="24"/>
                <w:szCs w:val="24"/>
                <w:lang w:eastAsia="es-CR"/>
              </w:rPr>
              <w:t xml:space="preserve">331.01 + </w:t>
            </w:r>
          </w:p>
        </w:tc>
        <w:tc>
          <w:tcPr>
            <w:tcW w:w="3734" w:type="pct"/>
            <w:shd w:val="clear" w:color="auto" w:fill="auto"/>
            <w:hideMark/>
          </w:tcPr>
          <w:p w14:paraId="67FBA151" w14:textId="77777777" w:rsidR="009F5DDF" w:rsidRPr="009F5DDF" w:rsidRDefault="009F5DDF" w:rsidP="009F5DDF">
            <w:pPr>
              <w:widowControl w:val="0"/>
              <w:jc w:val="both"/>
              <w:rPr>
                <w:color w:val="000000"/>
                <w:sz w:val="24"/>
                <w:szCs w:val="24"/>
                <w:lang w:eastAsia="es-CR"/>
              </w:rPr>
            </w:pPr>
            <w:r w:rsidRPr="009F5DDF">
              <w:rPr>
                <w:color w:val="000000"/>
                <w:sz w:val="24"/>
                <w:szCs w:val="24"/>
                <w:lang w:eastAsia="es-CR"/>
              </w:rPr>
              <w:t xml:space="preserve">Superávit por revaluación de propiedades inmobiliarias </w:t>
            </w:r>
          </w:p>
        </w:tc>
      </w:tr>
      <w:tr w:rsidR="009F5DDF" w:rsidRPr="009F5DDF" w14:paraId="58493961" w14:textId="77777777" w:rsidTr="009F5C97">
        <w:trPr>
          <w:trHeight w:val="300"/>
        </w:trPr>
        <w:tc>
          <w:tcPr>
            <w:tcW w:w="1266" w:type="pct"/>
            <w:shd w:val="clear" w:color="auto" w:fill="auto"/>
            <w:hideMark/>
          </w:tcPr>
          <w:p w14:paraId="380C707B" w14:textId="77777777" w:rsidR="009F5DDF" w:rsidRPr="009F5DDF" w:rsidRDefault="009F5DDF" w:rsidP="009F5DDF">
            <w:pPr>
              <w:widowControl w:val="0"/>
              <w:jc w:val="both"/>
              <w:rPr>
                <w:b/>
                <w:bCs/>
                <w:color w:val="000000"/>
                <w:sz w:val="24"/>
                <w:szCs w:val="24"/>
                <w:lang w:eastAsia="es-CR"/>
              </w:rPr>
            </w:pPr>
            <w:r w:rsidRPr="009F5DDF">
              <w:rPr>
                <w:color w:val="000000"/>
                <w:sz w:val="24"/>
                <w:szCs w:val="24"/>
                <w:lang w:eastAsia="es-CR"/>
              </w:rPr>
              <w:t xml:space="preserve">331.06 +  </w:t>
            </w:r>
          </w:p>
        </w:tc>
        <w:tc>
          <w:tcPr>
            <w:tcW w:w="3734" w:type="pct"/>
            <w:shd w:val="clear" w:color="auto" w:fill="auto"/>
            <w:hideMark/>
          </w:tcPr>
          <w:p w14:paraId="5043E8DD" w14:textId="77777777" w:rsidR="009F5DDF" w:rsidRPr="009F5DDF" w:rsidRDefault="009F5DDF" w:rsidP="009F5DDF">
            <w:pPr>
              <w:widowControl w:val="0"/>
              <w:jc w:val="both"/>
              <w:rPr>
                <w:color w:val="000000"/>
                <w:sz w:val="24"/>
                <w:szCs w:val="24"/>
                <w:lang w:eastAsia="es-CR"/>
              </w:rPr>
            </w:pPr>
            <w:r w:rsidRPr="009F5DDF">
              <w:rPr>
                <w:color w:val="000000"/>
                <w:sz w:val="24"/>
                <w:szCs w:val="24"/>
                <w:lang w:eastAsia="es-CR"/>
              </w:rPr>
              <w:t xml:space="preserve">Superávit por reevaluación de otros activos </w:t>
            </w:r>
          </w:p>
        </w:tc>
      </w:tr>
      <w:tr w:rsidR="009F5DDF" w:rsidRPr="009F5DDF" w14:paraId="7B4049F9" w14:textId="77777777" w:rsidTr="009F5C97">
        <w:trPr>
          <w:trHeight w:val="570"/>
        </w:trPr>
        <w:tc>
          <w:tcPr>
            <w:tcW w:w="1266" w:type="pct"/>
            <w:shd w:val="clear" w:color="auto" w:fill="auto"/>
            <w:hideMark/>
          </w:tcPr>
          <w:p w14:paraId="0C2B28F1" w14:textId="77777777" w:rsidR="009F5DDF" w:rsidRPr="009F5DDF" w:rsidRDefault="009F5DDF" w:rsidP="009F5DDF">
            <w:pPr>
              <w:widowControl w:val="0"/>
              <w:jc w:val="both"/>
              <w:rPr>
                <w:b/>
                <w:bCs/>
                <w:color w:val="000000"/>
                <w:sz w:val="24"/>
                <w:szCs w:val="24"/>
                <w:lang w:eastAsia="es-CR"/>
              </w:rPr>
            </w:pPr>
            <w:r w:rsidRPr="009F5DDF">
              <w:rPr>
                <w:color w:val="000000"/>
                <w:sz w:val="24"/>
                <w:szCs w:val="24"/>
                <w:lang w:eastAsia="es-CR"/>
              </w:rPr>
              <w:t>332</w:t>
            </w:r>
          </w:p>
        </w:tc>
        <w:tc>
          <w:tcPr>
            <w:tcW w:w="3734" w:type="pct"/>
            <w:shd w:val="clear" w:color="auto" w:fill="auto"/>
            <w:hideMark/>
          </w:tcPr>
          <w:p w14:paraId="6ECE4BD6" w14:textId="77777777" w:rsidR="009F5DDF" w:rsidRPr="009F5DDF" w:rsidRDefault="009F5DDF" w:rsidP="009F5DDF">
            <w:pPr>
              <w:widowControl w:val="0"/>
              <w:jc w:val="both"/>
              <w:rPr>
                <w:color w:val="000000"/>
                <w:sz w:val="24"/>
                <w:szCs w:val="24"/>
                <w:lang w:eastAsia="es-CR"/>
              </w:rPr>
            </w:pPr>
            <w:r w:rsidRPr="009F5DDF">
              <w:rPr>
                <w:color w:val="000000"/>
                <w:sz w:val="24"/>
                <w:szCs w:val="24"/>
                <w:lang w:eastAsia="es-CR"/>
              </w:rPr>
              <w:t xml:space="preserve">Ajuste por valuación de participaciones en otras empresas </w:t>
            </w:r>
          </w:p>
        </w:tc>
      </w:tr>
      <w:tr w:rsidR="009F5DDF" w:rsidRPr="009F5DDF" w14:paraId="36F87132" w14:textId="77777777" w:rsidTr="009F5C97">
        <w:trPr>
          <w:trHeight w:val="450"/>
        </w:trPr>
        <w:tc>
          <w:tcPr>
            <w:tcW w:w="1266" w:type="pct"/>
            <w:shd w:val="clear" w:color="auto" w:fill="auto"/>
            <w:hideMark/>
          </w:tcPr>
          <w:p w14:paraId="6C62D1C3" w14:textId="5D7688C9" w:rsidR="009F5DDF" w:rsidRPr="009F5DDF" w:rsidRDefault="009F5DDF" w:rsidP="009F5DDF">
            <w:pPr>
              <w:widowControl w:val="0"/>
              <w:jc w:val="both"/>
              <w:rPr>
                <w:b/>
                <w:bCs/>
                <w:color w:val="000000"/>
                <w:sz w:val="24"/>
                <w:szCs w:val="24"/>
                <w:lang w:eastAsia="es-CR"/>
              </w:rPr>
            </w:pPr>
          </w:p>
        </w:tc>
        <w:tc>
          <w:tcPr>
            <w:tcW w:w="3734" w:type="pct"/>
            <w:shd w:val="clear" w:color="auto" w:fill="auto"/>
            <w:hideMark/>
          </w:tcPr>
          <w:p w14:paraId="26160CDE" w14:textId="77777777" w:rsidR="009F5DDF" w:rsidRPr="009F5DDF" w:rsidRDefault="009F5DDF" w:rsidP="009F5DDF">
            <w:pPr>
              <w:widowControl w:val="0"/>
              <w:jc w:val="both"/>
              <w:rPr>
                <w:color w:val="000000"/>
                <w:sz w:val="24"/>
                <w:szCs w:val="24"/>
                <w:lang w:eastAsia="es-CR"/>
              </w:rPr>
            </w:pPr>
            <w:r w:rsidRPr="009F5DDF">
              <w:rPr>
                <w:color w:val="000000"/>
                <w:sz w:val="24"/>
                <w:szCs w:val="24"/>
                <w:lang w:eastAsia="es-CR"/>
              </w:rPr>
              <w:t xml:space="preserve">(La suma de las tres cuentas hasta un máximo del 20% del capital ajustado). </w:t>
            </w:r>
          </w:p>
        </w:tc>
      </w:tr>
      <w:tr w:rsidR="009F5DDF" w:rsidRPr="009F5DDF" w14:paraId="40C96EF9" w14:textId="77777777" w:rsidTr="009F5C97">
        <w:trPr>
          <w:trHeight w:val="542"/>
        </w:trPr>
        <w:tc>
          <w:tcPr>
            <w:tcW w:w="1266" w:type="pct"/>
            <w:shd w:val="clear" w:color="auto" w:fill="auto"/>
            <w:hideMark/>
          </w:tcPr>
          <w:p w14:paraId="741B6F1E" w14:textId="77777777" w:rsidR="009F5DDF" w:rsidRPr="009F5DDF" w:rsidRDefault="009F5DDF" w:rsidP="009F5DDF">
            <w:pPr>
              <w:widowControl w:val="0"/>
              <w:jc w:val="both"/>
              <w:rPr>
                <w:b/>
                <w:bCs/>
                <w:color w:val="000000"/>
                <w:sz w:val="24"/>
                <w:szCs w:val="24"/>
                <w:lang w:eastAsia="es-CR"/>
              </w:rPr>
            </w:pPr>
            <w:r w:rsidRPr="009F5DDF">
              <w:rPr>
                <w:color w:val="000000"/>
                <w:sz w:val="24"/>
                <w:szCs w:val="24"/>
                <w:lang w:eastAsia="en-US"/>
              </w:rPr>
              <w:t xml:space="preserve">331.02 </w:t>
            </w:r>
          </w:p>
        </w:tc>
        <w:tc>
          <w:tcPr>
            <w:tcW w:w="3734" w:type="pct"/>
            <w:shd w:val="clear" w:color="auto" w:fill="auto"/>
            <w:hideMark/>
          </w:tcPr>
          <w:p w14:paraId="5B82B793" w14:textId="77777777" w:rsidR="009F5DDF" w:rsidRPr="009F5DDF" w:rsidRDefault="009F5DDF" w:rsidP="009F5DDF">
            <w:pPr>
              <w:widowControl w:val="0"/>
              <w:jc w:val="both"/>
              <w:rPr>
                <w:color w:val="000000"/>
                <w:sz w:val="24"/>
                <w:szCs w:val="24"/>
                <w:lang w:eastAsia="es-CR"/>
              </w:rPr>
            </w:pPr>
            <w:r w:rsidRPr="009F5DDF">
              <w:rPr>
                <w:color w:val="000000"/>
                <w:sz w:val="24"/>
                <w:szCs w:val="24"/>
                <w:lang w:eastAsia="es-CR"/>
              </w:rPr>
              <w:t xml:space="preserve">Ajuste por deterioro y valuación de inversiones al valor razonable con cambios en otro resultado integral, cuando su saldo sea deudor </w:t>
            </w:r>
          </w:p>
        </w:tc>
      </w:tr>
      <w:tr w:rsidR="009F5DDF" w:rsidRPr="009F5DDF" w14:paraId="11CCCB81" w14:textId="77777777" w:rsidTr="009F5C97">
        <w:trPr>
          <w:trHeight w:val="691"/>
        </w:trPr>
        <w:tc>
          <w:tcPr>
            <w:tcW w:w="1266" w:type="pct"/>
            <w:shd w:val="clear" w:color="auto" w:fill="auto"/>
            <w:hideMark/>
          </w:tcPr>
          <w:p w14:paraId="0AB327DE" w14:textId="77777777" w:rsidR="009F5DDF" w:rsidRPr="009F5DDF" w:rsidRDefault="009F5DDF" w:rsidP="009F5DDF">
            <w:pPr>
              <w:widowControl w:val="0"/>
              <w:jc w:val="both"/>
              <w:rPr>
                <w:b/>
                <w:bCs/>
                <w:color w:val="000000"/>
                <w:sz w:val="24"/>
                <w:szCs w:val="24"/>
                <w:lang w:eastAsia="es-CR"/>
              </w:rPr>
            </w:pPr>
            <w:r w:rsidRPr="009F5DDF">
              <w:rPr>
                <w:color w:val="000000"/>
                <w:sz w:val="24"/>
                <w:szCs w:val="24"/>
                <w:lang w:eastAsia="en-US"/>
              </w:rPr>
              <w:t xml:space="preserve">331.03 </w:t>
            </w:r>
          </w:p>
        </w:tc>
        <w:tc>
          <w:tcPr>
            <w:tcW w:w="3734" w:type="pct"/>
            <w:shd w:val="clear" w:color="auto" w:fill="auto"/>
            <w:hideMark/>
          </w:tcPr>
          <w:p w14:paraId="160D2839" w14:textId="77777777" w:rsidR="009F5DDF" w:rsidRPr="009F5DDF" w:rsidRDefault="009F5DDF" w:rsidP="009F5DDF">
            <w:pPr>
              <w:widowControl w:val="0"/>
              <w:jc w:val="both"/>
              <w:rPr>
                <w:color w:val="000000"/>
                <w:sz w:val="24"/>
                <w:szCs w:val="24"/>
                <w:lang w:eastAsia="es-CR"/>
              </w:rPr>
            </w:pPr>
            <w:r w:rsidRPr="009F5DDF">
              <w:rPr>
                <w:color w:val="000000"/>
                <w:sz w:val="24"/>
                <w:szCs w:val="24"/>
                <w:lang w:eastAsia="es-CR"/>
              </w:rPr>
              <w:t xml:space="preserve">Ajuste por deterioro y valuación de inversiones en respaldo de la reserva de liquidez, cuando su saldo sea deudor </w:t>
            </w:r>
          </w:p>
        </w:tc>
      </w:tr>
      <w:tr w:rsidR="009F5DDF" w:rsidRPr="009F5DDF" w14:paraId="20E910EB" w14:textId="77777777" w:rsidTr="009F5C97">
        <w:trPr>
          <w:trHeight w:val="630"/>
        </w:trPr>
        <w:tc>
          <w:tcPr>
            <w:tcW w:w="1266" w:type="pct"/>
            <w:shd w:val="clear" w:color="auto" w:fill="auto"/>
            <w:hideMark/>
          </w:tcPr>
          <w:p w14:paraId="78A7E190" w14:textId="77777777" w:rsidR="009F5DDF" w:rsidRPr="009F5DDF" w:rsidRDefault="009F5DDF" w:rsidP="009F5DDF">
            <w:pPr>
              <w:widowControl w:val="0"/>
              <w:jc w:val="both"/>
              <w:rPr>
                <w:b/>
                <w:bCs/>
                <w:color w:val="000000"/>
                <w:sz w:val="24"/>
                <w:szCs w:val="24"/>
                <w:lang w:eastAsia="es-CR"/>
              </w:rPr>
            </w:pPr>
            <w:r w:rsidRPr="009F5DDF">
              <w:rPr>
                <w:color w:val="000000"/>
                <w:sz w:val="24"/>
                <w:szCs w:val="24"/>
                <w:lang w:eastAsia="en-US"/>
              </w:rPr>
              <w:t xml:space="preserve">331.04 </w:t>
            </w:r>
          </w:p>
        </w:tc>
        <w:tc>
          <w:tcPr>
            <w:tcW w:w="3734" w:type="pct"/>
            <w:shd w:val="clear" w:color="auto" w:fill="auto"/>
            <w:hideMark/>
          </w:tcPr>
          <w:p w14:paraId="5B853903" w14:textId="77777777" w:rsidR="009F5DDF" w:rsidRPr="009F5DDF" w:rsidRDefault="009F5DDF" w:rsidP="009F5DDF">
            <w:pPr>
              <w:widowControl w:val="0"/>
              <w:jc w:val="both"/>
              <w:rPr>
                <w:color w:val="000000"/>
                <w:sz w:val="24"/>
                <w:szCs w:val="24"/>
                <w:lang w:eastAsia="es-CR"/>
              </w:rPr>
            </w:pPr>
            <w:r w:rsidRPr="009F5DDF">
              <w:rPr>
                <w:color w:val="000000"/>
                <w:sz w:val="24"/>
                <w:szCs w:val="24"/>
                <w:lang w:eastAsia="es-CR"/>
              </w:rPr>
              <w:t xml:space="preserve">Ajuste por deterioro y valuación de instrumentos financieros restringidos </w:t>
            </w:r>
            <w:r w:rsidRPr="009F5DDF">
              <w:rPr>
                <w:color w:val="000000"/>
                <w:sz w:val="24"/>
                <w:szCs w:val="24"/>
                <w:vertAlign w:val="superscript"/>
                <w:lang w:eastAsia="es-CR"/>
              </w:rPr>
              <w:t>[6]</w:t>
            </w:r>
            <w:r w:rsidRPr="009F5DDF">
              <w:rPr>
                <w:color w:val="000000"/>
                <w:sz w:val="24"/>
                <w:szCs w:val="24"/>
                <w:lang w:eastAsia="es-CR"/>
              </w:rPr>
              <w:t xml:space="preserve">, cuando su saldo sea deudor </w:t>
            </w:r>
          </w:p>
        </w:tc>
      </w:tr>
      <w:tr w:rsidR="009F5DDF" w:rsidRPr="009F5DDF" w14:paraId="5704DDCD" w14:textId="77777777" w:rsidTr="009F5C97">
        <w:trPr>
          <w:trHeight w:val="597"/>
        </w:trPr>
        <w:tc>
          <w:tcPr>
            <w:tcW w:w="1266" w:type="pct"/>
            <w:shd w:val="clear" w:color="auto" w:fill="auto"/>
            <w:hideMark/>
          </w:tcPr>
          <w:p w14:paraId="283ABF45" w14:textId="77777777" w:rsidR="009F5DDF" w:rsidRPr="009F5DDF" w:rsidRDefault="009F5DDF" w:rsidP="009F5DDF">
            <w:pPr>
              <w:widowControl w:val="0"/>
              <w:jc w:val="both"/>
              <w:rPr>
                <w:b/>
                <w:bCs/>
                <w:color w:val="000000"/>
                <w:sz w:val="24"/>
                <w:szCs w:val="24"/>
                <w:lang w:eastAsia="es-CR"/>
              </w:rPr>
            </w:pPr>
            <w:r w:rsidRPr="009F5DDF">
              <w:rPr>
                <w:color w:val="000000"/>
                <w:sz w:val="24"/>
                <w:szCs w:val="24"/>
                <w:lang w:eastAsia="en-US"/>
              </w:rPr>
              <w:t xml:space="preserve">331.05 </w:t>
            </w:r>
          </w:p>
        </w:tc>
        <w:tc>
          <w:tcPr>
            <w:tcW w:w="3734" w:type="pct"/>
            <w:shd w:val="clear" w:color="auto" w:fill="auto"/>
            <w:hideMark/>
          </w:tcPr>
          <w:p w14:paraId="70C880DF" w14:textId="77777777" w:rsidR="009F5DDF" w:rsidRPr="009F5DDF" w:rsidRDefault="009F5DDF" w:rsidP="009F5DDF">
            <w:pPr>
              <w:widowControl w:val="0"/>
              <w:jc w:val="both"/>
              <w:rPr>
                <w:color w:val="000000"/>
                <w:sz w:val="24"/>
                <w:szCs w:val="24"/>
                <w:lang w:eastAsia="es-CR"/>
              </w:rPr>
            </w:pPr>
            <w:r w:rsidRPr="009F5DDF">
              <w:rPr>
                <w:color w:val="000000"/>
                <w:sz w:val="24"/>
                <w:szCs w:val="24"/>
                <w:lang w:eastAsia="es-CR"/>
              </w:rPr>
              <w:t xml:space="preserve">Ajuste por deterioro y valuación de instrumentos financieros en cesación de pagos, morosos o en litigio, cuando su saldo sea deudor </w:t>
            </w:r>
          </w:p>
        </w:tc>
      </w:tr>
      <w:tr w:rsidR="009F5DDF" w:rsidRPr="009F5DDF" w14:paraId="0501B788" w14:textId="77777777" w:rsidTr="009F5C97">
        <w:trPr>
          <w:trHeight w:val="421"/>
        </w:trPr>
        <w:tc>
          <w:tcPr>
            <w:tcW w:w="1266" w:type="pct"/>
            <w:shd w:val="clear" w:color="auto" w:fill="auto"/>
            <w:hideMark/>
          </w:tcPr>
          <w:p w14:paraId="70BDE5CD" w14:textId="77777777" w:rsidR="009F5DDF" w:rsidRPr="009F5DDF" w:rsidRDefault="009F5DDF" w:rsidP="009F5DDF">
            <w:pPr>
              <w:widowControl w:val="0"/>
              <w:jc w:val="both"/>
              <w:rPr>
                <w:b/>
                <w:bCs/>
                <w:color w:val="000000"/>
                <w:sz w:val="24"/>
                <w:szCs w:val="24"/>
                <w:lang w:eastAsia="es-CR"/>
              </w:rPr>
            </w:pPr>
            <w:r w:rsidRPr="009F5DDF">
              <w:rPr>
                <w:color w:val="000000"/>
                <w:sz w:val="24"/>
                <w:szCs w:val="24"/>
                <w:lang w:eastAsia="en-US"/>
              </w:rPr>
              <w:t xml:space="preserve">331.07 </w:t>
            </w:r>
          </w:p>
        </w:tc>
        <w:tc>
          <w:tcPr>
            <w:tcW w:w="3734" w:type="pct"/>
            <w:shd w:val="clear" w:color="auto" w:fill="auto"/>
            <w:hideMark/>
          </w:tcPr>
          <w:p w14:paraId="4025CBA1" w14:textId="77777777" w:rsidR="009F5DDF" w:rsidRPr="009F5DDF" w:rsidRDefault="009F5DDF" w:rsidP="009F5DDF">
            <w:pPr>
              <w:widowControl w:val="0"/>
              <w:jc w:val="both"/>
              <w:rPr>
                <w:color w:val="000000"/>
                <w:sz w:val="24"/>
                <w:szCs w:val="24"/>
                <w:lang w:eastAsia="es-CR"/>
              </w:rPr>
            </w:pPr>
            <w:r w:rsidRPr="009F5DDF">
              <w:rPr>
                <w:color w:val="000000"/>
                <w:sz w:val="24"/>
                <w:szCs w:val="24"/>
                <w:lang w:eastAsia="es-CR"/>
              </w:rPr>
              <w:t xml:space="preserve">Ajuste por valoración de instrumentos derivados, cuando su saldo sea deudor. </w:t>
            </w:r>
          </w:p>
        </w:tc>
      </w:tr>
      <w:tr w:rsidR="009F5DDF" w:rsidRPr="009F5DDF" w14:paraId="2913F560" w14:textId="77777777" w:rsidTr="009F5C97">
        <w:trPr>
          <w:trHeight w:val="683"/>
        </w:trPr>
        <w:tc>
          <w:tcPr>
            <w:tcW w:w="1266" w:type="pct"/>
            <w:shd w:val="clear" w:color="auto" w:fill="auto"/>
            <w:hideMark/>
          </w:tcPr>
          <w:p w14:paraId="2DEAA04B" w14:textId="77777777" w:rsidR="009F5DDF" w:rsidRPr="009F5DDF" w:rsidRDefault="009F5DDF" w:rsidP="009F5DDF">
            <w:pPr>
              <w:widowControl w:val="0"/>
              <w:jc w:val="both"/>
              <w:rPr>
                <w:b/>
                <w:bCs/>
                <w:color w:val="000000"/>
                <w:sz w:val="24"/>
                <w:szCs w:val="24"/>
                <w:lang w:eastAsia="es-CR"/>
              </w:rPr>
            </w:pPr>
            <w:r w:rsidRPr="009F5DDF">
              <w:rPr>
                <w:color w:val="000000"/>
                <w:sz w:val="24"/>
                <w:szCs w:val="24"/>
                <w:lang w:eastAsia="en-US"/>
              </w:rPr>
              <w:t xml:space="preserve">331.08 </w:t>
            </w:r>
          </w:p>
        </w:tc>
        <w:tc>
          <w:tcPr>
            <w:tcW w:w="3734" w:type="pct"/>
            <w:shd w:val="clear" w:color="auto" w:fill="auto"/>
            <w:hideMark/>
          </w:tcPr>
          <w:p w14:paraId="1D142674" w14:textId="77777777" w:rsidR="009F5DDF" w:rsidRPr="009F5DDF" w:rsidRDefault="009F5DDF" w:rsidP="009F5DDF">
            <w:pPr>
              <w:widowControl w:val="0"/>
              <w:jc w:val="both"/>
              <w:rPr>
                <w:color w:val="000000"/>
                <w:sz w:val="24"/>
                <w:szCs w:val="24"/>
                <w:lang w:eastAsia="es-CR"/>
              </w:rPr>
            </w:pPr>
            <w:r w:rsidRPr="009F5DDF">
              <w:rPr>
                <w:color w:val="000000"/>
                <w:sz w:val="24"/>
                <w:szCs w:val="24"/>
                <w:lang w:eastAsia="es-CR"/>
              </w:rPr>
              <w:t>Ajuste por valoración de obligaciones de entregar títulos en reportos y préstamos de valores</w:t>
            </w:r>
            <w:r w:rsidRPr="009F5DDF">
              <w:rPr>
                <w:color w:val="000000"/>
                <w:sz w:val="24"/>
                <w:szCs w:val="24"/>
                <w:vertAlign w:val="superscript"/>
                <w:lang w:eastAsia="es-CR"/>
              </w:rPr>
              <w:t xml:space="preserve"> </w:t>
            </w:r>
            <w:r w:rsidRPr="009F5DDF">
              <w:rPr>
                <w:color w:val="000000"/>
                <w:sz w:val="24"/>
                <w:szCs w:val="24"/>
                <w:lang w:eastAsia="es-CR"/>
              </w:rPr>
              <w:t xml:space="preserve">cuando su saldo sea deudor </w:t>
            </w:r>
          </w:p>
        </w:tc>
      </w:tr>
      <w:tr w:rsidR="009F5DDF" w:rsidRPr="009F5DDF" w14:paraId="3E445DE4" w14:textId="77777777" w:rsidTr="009F5C97">
        <w:trPr>
          <w:trHeight w:val="315"/>
        </w:trPr>
        <w:tc>
          <w:tcPr>
            <w:tcW w:w="1266" w:type="pct"/>
            <w:shd w:val="clear" w:color="auto" w:fill="auto"/>
            <w:hideMark/>
          </w:tcPr>
          <w:p w14:paraId="7DB9376B" w14:textId="77777777" w:rsidR="009F5DDF" w:rsidRPr="009F5DDF" w:rsidRDefault="009F5DDF" w:rsidP="009F5DDF">
            <w:pPr>
              <w:widowControl w:val="0"/>
              <w:jc w:val="both"/>
              <w:rPr>
                <w:b/>
                <w:bCs/>
                <w:color w:val="000000"/>
                <w:sz w:val="24"/>
                <w:szCs w:val="24"/>
                <w:lang w:eastAsia="es-CR"/>
              </w:rPr>
            </w:pPr>
            <w:r w:rsidRPr="009F5DDF">
              <w:rPr>
                <w:color w:val="000000"/>
                <w:sz w:val="24"/>
                <w:szCs w:val="24"/>
                <w:lang w:eastAsia="en-US"/>
              </w:rPr>
              <w:t>340</w:t>
            </w:r>
          </w:p>
        </w:tc>
        <w:tc>
          <w:tcPr>
            <w:tcW w:w="3734" w:type="pct"/>
            <w:shd w:val="clear" w:color="auto" w:fill="auto"/>
            <w:hideMark/>
          </w:tcPr>
          <w:p w14:paraId="458FF204" w14:textId="77777777" w:rsidR="009F5DDF" w:rsidRPr="009F5DDF" w:rsidRDefault="009F5DDF" w:rsidP="009F5DDF">
            <w:pPr>
              <w:widowControl w:val="0"/>
              <w:jc w:val="both"/>
              <w:rPr>
                <w:color w:val="000000"/>
                <w:sz w:val="24"/>
                <w:szCs w:val="24"/>
                <w:lang w:eastAsia="es-CR"/>
              </w:rPr>
            </w:pPr>
            <w:r w:rsidRPr="009F5DDF">
              <w:rPr>
                <w:color w:val="000000"/>
                <w:sz w:val="24"/>
                <w:szCs w:val="24"/>
                <w:lang w:eastAsia="es-CR"/>
              </w:rPr>
              <w:t xml:space="preserve">Reservas </w:t>
            </w:r>
          </w:p>
        </w:tc>
      </w:tr>
      <w:tr w:rsidR="009F5DDF" w:rsidRPr="009F5DDF" w14:paraId="799927AF" w14:textId="77777777" w:rsidTr="009F5C97">
        <w:trPr>
          <w:trHeight w:val="357"/>
        </w:trPr>
        <w:tc>
          <w:tcPr>
            <w:tcW w:w="1266" w:type="pct"/>
            <w:shd w:val="clear" w:color="auto" w:fill="auto"/>
            <w:hideMark/>
          </w:tcPr>
          <w:p w14:paraId="5FD2D6E2" w14:textId="77777777" w:rsidR="009F5DDF" w:rsidRPr="009F5DDF" w:rsidRDefault="009F5DDF" w:rsidP="009F5DDF">
            <w:pPr>
              <w:widowControl w:val="0"/>
              <w:jc w:val="both"/>
              <w:rPr>
                <w:b/>
                <w:bCs/>
                <w:color w:val="000000"/>
                <w:sz w:val="24"/>
                <w:szCs w:val="24"/>
                <w:lang w:eastAsia="es-CR"/>
              </w:rPr>
            </w:pPr>
            <w:r w:rsidRPr="009F5DDF">
              <w:rPr>
                <w:color w:val="000000"/>
                <w:sz w:val="24"/>
                <w:szCs w:val="24"/>
                <w:lang w:eastAsia="en-US"/>
              </w:rPr>
              <w:t>350</w:t>
            </w:r>
          </w:p>
        </w:tc>
        <w:tc>
          <w:tcPr>
            <w:tcW w:w="3734" w:type="pct"/>
            <w:shd w:val="clear" w:color="auto" w:fill="auto"/>
            <w:hideMark/>
          </w:tcPr>
          <w:p w14:paraId="368A7AE3" w14:textId="77777777" w:rsidR="009F5DDF" w:rsidRPr="009F5DDF" w:rsidRDefault="009F5DDF" w:rsidP="009F5DDF">
            <w:pPr>
              <w:widowControl w:val="0"/>
              <w:jc w:val="both"/>
              <w:rPr>
                <w:color w:val="000000"/>
                <w:sz w:val="24"/>
                <w:szCs w:val="24"/>
                <w:lang w:eastAsia="es-CR"/>
              </w:rPr>
            </w:pPr>
            <w:r w:rsidRPr="009F5DDF">
              <w:rPr>
                <w:color w:val="000000"/>
                <w:sz w:val="24"/>
                <w:szCs w:val="24"/>
                <w:lang w:eastAsia="es-CR"/>
              </w:rPr>
              <w:t xml:space="preserve">Resultados Acumulados de ejercicios anteriores, con saldo deudor o acreedor </w:t>
            </w:r>
          </w:p>
        </w:tc>
      </w:tr>
      <w:tr w:rsidR="009F5DDF" w:rsidRPr="009F5DDF" w14:paraId="60ECF5AD" w14:textId="77777777" w:rsidTr="009F5C97">
        <w:trPr>
          <w:trHeight w:val="585"/>
        </w:trPr>
        <w:tc>
          <w:tcPr>
            <w:tcW w:w="1266" w:type="pct"/>
            <w:shd w:val="clear" w:color="auto" w:fill="auto"/>
            <w:hideMark/>
          </w:tcPr>
          <w:p w14:paraId="039460E2" w14:textId="77777777" w:rsidR="009F5DDF" w:rsidRPr="009F5DDF" w:rsidRDefault="009F5DDF" w:rsidP="009F5DDF">
            <w:pPr>
              <w:widowControl w:val="0"/>
              <w:jc w:val="both"/>
              <w:rPr>
                <w:b/>
                <w:bCs/>
                <w:color w:val="000000"/>
                <w:sz w:val="24"/>
                <w:szCs w:val="24"/>
                <w:lang w:eastAsia="es-CR"/>
              </w:rPr>
            </w:pPr>
            <w:r w:rsidRPr="009F5DDF">
              <w:rPr>
                <w:color w:val="000000"/>
                <w:sz w:val="24"/>
                <w:szCs w:val="24"/>
                <w:lang w:eastAsia="en-US"/>
              </w:rPr>
              <w:t xml:space="preserve">500 – 400 </w:t>
            </w:r>
          </w:p>
        </w:tc>
        <w:tc>
          <w:tcPr>
            <w:tcW w:w="3734" w:type="pct"/>
            <w:shd w:val="clear" w:color="auto" w:fill="auto"/>
            <w:hideMark/>
          </w:tcPr>
          <w:p w14:paraId="6E557EC3" w14:textId="77777777" w:rsidR="009F5DDF" w:rsidRPr="009F5DDF" w:rsidRDefault="009F5DDF" w:rsidP="009F5DDF">
            <w:pPr>
              <w:widowControl w:val="0"/>
              <w:jc w:val="both"/>
              <w:rPr>
                <w:color w:val="000000"/>
                <w:sz w:val="24"/>
                <w:szCs w:val="24"/>
                <w:lang w:eastAsia="es-CR"/>
              </w:rPr>
            </w:pPr>
            <w:r w:rsidRPr="009F5DDF">
              <w:rPr>
                <w:color w:val="000000"/>
                <w:sz w:val="24"/>
                <w:szCs w:val="24"/>
                <w:lang w:eastAsia="es-CR"/>
              </w:rPr>
              <w:t xml:space="preserve">Resultado neto de las cuentas 500 “Ingresos” menos las 400 “Gastos”, positivo o negativo </w:t>
            </w:r>
          </w:p>
        </w:tc>
      </w:tr>
    </w:tbl>
    <w:p w14:paraId="7D99CAFB" w14:textId="77777777" w:rsidR="009F5DDF" w:rsidRPr="009F5DDF" w:rsidRDefault="009F5DDF" w:rsidP="009F5DDF">
      <w:pPr>
        <w:jc w:val="both"/>
        <w:rPr>
          <w:sz w:val="24"/>
          <w:szCs w:val="24"/>
        </w:rPr>
      </w:pPr>
    </w:p>
    <w:p w14:paraId="100CF6EC" w14:textId="77777777" w:rsidR="009F5DDF" w:rsidRPr="009F5DDF" w:rsidRDefault="009F5DDF" w:rsidP="009F5DDF">
      <w:pPr>
        <w:pStyle w:val="Ttulo1"/>
        <w:keepNext w:val="0"/>
        <w:widowControl w:val="0"/>
        <w:rPr>
          <w:b/>
          <w:bCs/>
          <w:color w:val="000000"/>
          <w:szCs w:val="24"/>
        </w:rPr>
      </w:pPr>
      <w:bookmarkStart w:id="68" w:name="_Toc121319041"/>
      <w:r w:rsidRPr="009F5DDF">
        <w:rPr>
          <w:b/>
          <w:bCs/>
          <w:color w:val="000000"/>
          <w:szCs w:val="24"/>
        </w:rPr>
        <w:t>Anexo II</w:t>
      </w:r>
      <w:bookmarkEnd w:id="68"/>
    </w:p>
    <w:p w14:paraId="5C697966" w14:textId="77777777" w:rsidR="009F5DDF" w:rsidRPr="009F5DDF" w:rsidRDefault="009F5DDF" w:rsidP="009F5DDF">
      <w:pPr>
        <w:pStyle w:val="Ttulo1"/>
        <w:keepNext w:val="0"/>
        <w:widowControl w:val="0"/>
        <w:rPr>
          <w:b/>
          <w:bCs/>
          <w:color w:val="000000"/>
          <w:szCs w:val="24"/>
        </w:rPr>
      </w:pPr>
      <w:bookmarkStart w:id="69" w:name="_Toc121319042"/>
      <w:r w:rsidRPr="009F5DDF">
        <w:rPr>
          <w:b/>
          <w:bCs/>
          <w:color w:val="000000"/>
          <w:szCs w:val="24"/>
        </w:rPr>
        <w:t>Operaciones Activas, Directas e Indirectas, Sujetas a Límites</w:t>
      </w:r>
      <w:bookmarkEnd w:id="69"/>
    </w:p>
    <w:p w14:paraId="55632AB3" w14:textId="77777777" w:rsidR="009F5DDF" w:rsidRPr="009F5DDF" w:rsidRDefault="009F5DDF" w:rsidP="009F5DDF">
      <w:pPr>
        <w:jc w:val="both"/>
        <w:rPr>
          <w:sz w:val="24"/>
          <w:szCs w:val="24"/>
        </w:rPr>
      </w:pPr>
    </w:p>
    <w:p w14:paraId="5869FD67" w14:textId="77777777" w:rsidR="009F5DDF" w:rsidRPr="009F5DDF" w:rsidRDefault="009F5DDF" w:rsidP="009F5DDF">
      <w:pPr>
        <w:widowControl w:val="0"/>
        <w:jc w:val="both"/>
        <w:rPr>
          <w:color w:val="000000"/>
          <w:sz w:val="24"/>
          <w:szCs w:val="24"/>
          <w:lang w:eastAsia="es-CR"/>
        </w:rPr>
      </w:pPr>
      <w:r w:rsidRPr="009F5DDF">
        <w:rPr>
          <w:color w:val="000000"/>
          <w:sz w:val="24"/>
          <w:szCs w:val="24"/>
          <w:lang w:eastAsia="en-US"/>
        </w:rPr>
        <w:t>Debe considerarse para efectos de límites, la operación activa, directa e indirecta</w:t>
      </w:r>
      <w:r w:rsidRPr="009F5DDF">
        <w:rPr>
          <w:color w:val="000000"/>
          <w:sz w:val="24"/>
          <w:szCs w:val="24"/>
          <w:u w:val="single"/>
          <w:lang w:eastAsia="en-US"/>
        </w:rPr>
        <w:t>,</w:t>
      </w:r>
      <w:r w:rsidRPr="009F5DDF">
        <w:rPr>
          <w:color w:val="000000"/>
          <w:sz w:val="24"/>
          <w:szCs w:val="24"/>
          <w:lang w:eastAsia="en-US"/>
        </w:rPr>
        <w:t xml:space="preserve"> que por su naturaleza se registra en alguna de las cuentas, subcuentas o cuentas analíticas que se detallan a continuación, de conformidad con la codificación del Anexo I de Reglamento de Información Financiera y según sus montos brutos (sin la deducción de sus correspondientes estimaciones). </w:t>
      </w:r>
    </w:p>
    <w:p w14:paraId="752B333A" w14:textId="77777777" w:rsidR="009F5DDF" w:rsidRPr="009F5DDF" w:rsidRDefault="009F5DDF" w:rsidP="009F5DDF">
      <w:pPr>
        <w:widowControl w:val="0"/>
        <w:ind w:firstLineChars="100" w:firstLine="240"/>
        <w:jc w:val="both"/>
        <w:rPr>
          <w:color w:val="000000"/>
          <w:sz w:val="24"/>
          <w:szCs w:val="24"/>
          <w:lang w:eastAsia="es-CR"/>
        </w:rPr>
      </w:pPr>
    </w:p>
    <w:p w14:paraId="15593DF8" w14:textId="77777777" w:rsidR="009F5DDF" w:rsidRPr="009F5DDF" w:rsidRDefault="009F5DDF" w:rsidP="009F5DDF">
      <w:pPr>
        <w:widowControl w:val="0"/>
        <w:jc w:val="both"/>
        <w:rPr>
          <w:b/>
          <w:bCs/>
          <w:color w:val="000000"/>
          <w:sz w:val="24"/>
          <w:szCs w:val="24"/>
          <w:lang w:eastAsia="en-US"/>
        </w:rPr>
      </w:pPr>
      <w:r w:rsidRPr="009F5DDF">
        <w:rPr>
          <w:b/>
          <w:bCs/>
          <w:color w:val="000000"/>
          <w:sz w:val="24"/>
          <w:szCs w:val="24"/>
          <w:lang w:eastAsia="en-US"/>
        </w:rPr>
        <w:t xml:space="preserve">Inversiones en Valores </w:t>
      </w:r>
    </w:p>
    <w:p w14:paraId="1BAB1D5A" w14:textId="77777777" w:rsidR="009F5DDF" w:rsidRPr="009F5DDF" w:rsidRDefault="009F5DDF" w:rsidP="009F5DDF">
      <w:pPr>
        <w:widowControl w:val="0"/>
        <w:jc w:val="both"/>
        <w:rPr>
          <w:b/>
          <w:bCs/>
          <w:color w:val="000000"/>
          <w:sz w:val="24"/>
          <w:szCs w:val="24"/>
          <w:lang w:eastAsia="es-CR"/>
        </w:rPr>
      </w:pPr>
    </w:p>
    <w:tbl>
      <w:tblPr>
        <w:tblW w:w="5000" w:type="pct"/>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4A0" w:firstRow="1" w:lastRow="0" w:firstColumn="1" w:lastColumn="0" w:noHBand="0" w:noVBand="1"/>
      </w:tblPr>
      <w:tblGrid>
        <w:gridCol w:w="2287"/>
        <w:gridCol w:w="6765"/>
      </w:tblGrid>
      <w:tr w:rsidR="009F5DDF" w:rsidRPr="009F5DDF" w14:paraId="2A9BAA18" w14:textId="77777777" w:rsidTr="009F5C97">
        <w:trPr>
          <w:trHeight w:val="398"/>
        </w:trPr>
        <w:tc>
          <w:tcPr>
            <w:tcW w:w="1263" w:type="pct"/>
            <w:shd w:val="clear" w:color="auto" w:fill="auto"/>
            <w:hideMark/>
          </w:tcPr>
          <w:p w14:paraId="0E91B966" w14:textId="77777777" w:rsidR="009F5DDF" w:rsidRPr="009F5DDF" w:rsidRDefault="009F5DDF" w:rsidP="009F5DDF">
            <w:pPr>
              <w:widowControl w:val="0"/>
              <w:jc w:val="both"/>
              <w:rPr>
                <w:b/>
                <w:bCs/>
                <w:color w:val="000000"/>
                <w:sz w:val="24"/>
                <w:szCs w:val="24"/>
                <w:lang w:eastAsia="es-CR"/>
              </w:rPr>
            </w:pPr>
            <w:r w:rsidRPr="009F5DDF">
              <w:rPr>
                <w:color w:val="000000"/>
                <w:sz w:val="24"/>
                <w:szCs w:val="24"/>
                <w:lang w:eastAsia="en-US"/>
              </w:rPr>
              <w:t>121</w:t>
            </w:r>
          </w:p>
        </w:tc>
        <w:tc>
          <w:tcPr>
            <w:tcW w:w="3737" w:type="pct"/>
            <w:shd w:val="clear" w:color="auto" w:fill="auto"/>
            <w:hideMark/>
          </w:tcPr>
          <w:p w14:paraId="07823E46" w14:textId="77777777" w:rsidR="009F5DDF" w:rsidRPr="009F5DDF" w:rsidRDefault="009F5DDF" w:rsidP="009F5DDF">
            <w:pPr>
              <w:widowControl w:val="0"/>
              <w:jc w:val="both"/>
              <w:rPr>
                <w:b/>
                <w:bCs/>
                <w:color w:val="000000"/>
                <w:sz w:val="24"/>
                <w:szCs w:val="24"/>
                <w:lang w:eastAsia="es-CR"/>
              </w:rPr>
            </w:pPr>
            <w:r w:rsidRPr="009F5DDF">
              <w:rPr>
                <w:color w:val="000000"/>
                <w:sz w:val="24"/>
                <w:szCs w:val="24"/>
                <w:lang w:eastAsia="es-CR"/>
              </w:rPr>
              <w:t>Inversiones al valor razonable con cambios en resultados</w:t>
            </w:r>
          </w:p>
        </w:tc>
      </w:tr>
      <w:tr w:rsidR="009F5DDF" w:rsidRPr="009F5DDF" w14:paraId="3F5B7B75" w14:textId="77777777" w:rsidTr="009F5C97">
        <w:trPr>
          <w:trHeight w:val="315"/>
        </w:trPr>
        <w:tc>
          <w:tcPr>
            <w:tcW w:w="1263" w:type="pct"/>
            <w:shd w:val="clear" w:color="auto" w:fill="auto"/>
            <w:hideMark/>
          </w:tcPr>
          <w:p w14:paraId="30D92A12" w14:textId="77777777" w:rsidR="009F5DDF" w:rsidRPr="009F5DDF" w:rsidRDefault="009F5DDF" w:rsidP="009F5DDF">
            <w:pPr>
              <w:widowControl w:val="0"/>
              <w:jc w:val="both"/>
              <w:rPr>
                <w:b/>
                <w:bCs/>
                <w:color w:val="000000"/>
                <w:sz w:val="24"/>
                <w:szCs w:val="24"/>
                <w:lang w:eastAsia="es-CR"/>
              </w:rPr>
            </w:pPr>
            <w:r w:rsidRPr="009F5DDF">
              <w:rPr>
                <w:color w:val="000000"/>
                <w:sz w:val="24"/>
                <w:szCs w:val="24"/>
                <w:lang w:eastAsia="en-US"/>
              </w:rPr>
              <w:t xml:space="preserve">Excepto: 121.01 </w:t>
            </w:r>
          </w:p>
        </w:tc>
        <w:tc>
          <w:tcPr>
            <w:tcW w:w="3737" w:type="pct"/>
            <w:shd w:val="clear" w:color="auto" w:fill="auto"/>
            <w:hideMark/>
          </w:tcPr>
          <w:p w14:paraId="162FB5BB" w14:textId="77777777" w:rsidR="009F5DDF" w:rsidRPr="009F5DDF" w:rsidRDefault="009F5DDF" w:rsidP="009F5DDF">
            <w:pPr>
              <w:widowControl w:val="0"/>
              <w:jc w:val="both"/>
              <w:rPr>
                <w:color w:val="000000"/>
                <w:sz w:val="24"/>
                <w:szCs w:val="24"/>
                <w:lang w:eastAsia="es-CR"/>
              </w:rPr>
            </w:pPr>
            <w:r w:rsidRPr="009F5DDF">
              <w:rPr>
                <w:color w:val="000000"/>
                <w:sz w:val="24"/>
                <w:szCs w:val="24"/>
                <w:lang w:eastAsia="es-CR"/>
              </w:rPr>
              <w:t xml:space="preserve">Instrumentos Financieros del BCCR </w:t>
            </w:r>
          </w:p>
        </w:tc>
      </w:tr>
      <w:tr w:rsidR="009F5DDF" w:rsidRPr="009F5DDF" w14:paraId="09500A7E" w14:textId="77777777" w:rsidTr="009F5C97">
        <w:trPr>
          <w:trHeight w:val="351"/>
        </w:trPr>
        <w:tc>
          <w:tcPr>
            <w:tcW w:w="1263" w:type="pct"/>
            <w:shd w:val="clear" w:color="auto" w:fill="auto"/>
            <w:hideMark/>
          </w:tcPr>
          <w:p w14:paraId="339C1E02" w14:textId="77777777" w:rsidR="009F5DDF" w:rsidRPr="009F5DDF" w:rsidRDefault="009F5DDF" w:rsidP="009F5DDF">
            <w:pPr>
              <w:widowControl w:val="0"/>
              <w:jc w:val="both"/>
              <w:rPr>
                <w:b/>
                <w:bCs/>
                <w:color w:val="000000"/>
                <w:sz w:val="24"/>
                <w:szCs w:val="24"/>
                <w:lang w:eastAsia="es-CR"/>
              </w:rPr>
            </w:pPr>
            <w:r w:rsidRPr="009F5DDF">
              <w:rPr>
                <w:color w:val="000000"/>
                <w:sz w:val="24"/>
                <w:szCs w:val="24"/>
                <w:lang w:eastAsia="en-US"/>
              </w:rPr>
              <w:t xml:space="preserve">Excepto: 121.02 </w:t>
            </w:r>
          </w:p>
        </w:tc>
        <w:tc>
          <w:tcPr>
            <w:tcW w:w="3737" w:type="pct"/>
            <w:shd w:val="clear" w:color="auto" w:fill="auto"/>
            <w:hideMark/>
          </w:tcPr>
          <w:p w14:paraId="0737F8CA" w14:textId="77777777" w:rsidR="009F5DDF" w:rsidRPr="009F5DDF" w:rsidRDefault="009F5DDF" w:rsidP="009F5DDF">
            <w:pPr>
              <w:widowControl w:val="0"/>
              <w:jc w:val="both"/>
              <w:rPr>
                <w:color w:val="000000"/>
                <w:sz w:val="24"/>
                <w:szCs w:val="24"/>
                <w:lang w:eastAsia="es-CR"/>
              </w:rPr>
            </w:pPr>
            <w:r w:rsidRPr="009F5DDF">
              <w:rPr>
                <w:color w:val="000000"/>
                <w:sz w:val="24"/>
                <w:szCs w:val="24"/>
                <w:lang w:eastAsia="es-CR"/>
              </w:rPr>
              <w:t xml:space="preserve">Instrumentos Financieros del Sector Público no Financiero del país </w:t>
            </w:r>
          </w:p>
        </w:tc>
      </w:tr>
      <w:tr w:rsidR="009F5DDF" w:rsidRPr="009F5DDF" w14:paraId="2EE6CEAA" w14:textId="77777777" w:rsidTr="009F5C97">
        <w:trPr>
          <w:trHeight w:val="413"/>
        </w:trPr>
        <w:tc>
          <w:tcPr>
            <w:tcW w:w="1263" w:type="pct"/>
            <w:shd w:val="clear" w:color="auto" w:fill="auto"/>
            <w:hideMark/>
          </w:tcPr>
          <w:p w14:paraId="5EAF4496" w14:textId="77777777" w:rsidR="009F5DDF" w:rsidRPr="009F5DDF" w:rsidRDefault="009F5DDF" w:rsidP="009F5DDF">
            <w:pPr>
              <w:widowControl w:val="0"/>
              <w:jc w:val="both"/>
              <w:rPr>
                <w:b/>
                <w:bCs/>
                <w:color w:val="000000"/>
                <w:sz w:val="24"/>
                <w:szCs w:val="24"/>
                <w:lang w:eastAsia="es-CR"/>
              </w:rPr>
            </w:pPr>
            <w:r w:rsidRPr="009F5DDF">
              <w:rPr>
                <w:color w:val="000000"/>
                <w:sz w:val="24"/>
                <w:szCs w:val="24"/>
                <w:lang w:eastAsia="en-US"/>
              </w:rPr>
              <w:t>122</w:t>
            </w:r>
          </w:p>
        </w:tc>
        <w:tc>
          <w:tcPr>
            <w:tcW w:w="3737" w:type="pct"/>
            <w:shd w:val="clear" w:color="auto" w:fill="auto"/>
            <w:hideMark/>
          </w:tcPr>
          <w:p w14:paraId="04E70CE8" w14:textId="77777777" w:rsidR="009F5DDF" w:rsidRPr="009F5DDF" w:rsidRDefault="009F5DDF" w:rsidP="009F5DDF">
            <w:pPr>
              <w:widowControl w:val="0"/>
              <w:jc w:val="both"/>
              <w:rPr>
                <w:color w:val="000000"/>
                <w:sz w:val="24"/>
                <w:szCs w:val="24"/>
                <w:lang w:eastAsia="es-CR"/>
              </w:rPr>
            </w:pPr>
            <w:r w:rsidRPr="009F5DDF">
              <w:rPr>
                <w:color w:val="000000"/>
                <w:sz w:val="24"/>
                <w:szCs w:val="24"/>
                <w:lang w:eastAsia="es-CR"/>
              </w:rPr>
              <w:t xml:space="preserve">Inversiones al valor razonable con cambios en otro resultado integral </w:t>
            </w:r>
          </w:p>
        </w:tc>
      </w:tr>
      <w:tr w:rsidR="009F5DDF" w:rsidRPr="009F5DDF" w14:paraId="56BFA09A" w14:textId="77777777" w:rsidTr="009F5C97">
        <w:trPr>
          <w:trHeight w:val="315"/>
        </w:trPr>
        <w:tc>
          <w:tcPr>
            <w:tcW w:w="1263" w:type="pct"/>
            <w:shd w:val="clear" w:color="auto" w:fill="auto"/>
            <w:hideMark/>
          </w:tcPr>
          <w:p w14:paraId="679313F1" w14:textId="77777777" w:rsidR="009F5DDF" w:rsidRPr="009F5DDF" w:rsidRDefault="009F5DDF" w:rsidP="009F5DDF">
            <w:pPr>
              <w:widowControl w:val="0"/>
              <w:jc w:val="both"/>
              <w:rPr>
                <w:b/>
                <w:bCs/>
                <w:color w:val="000000"/>
                <w:sz w:val="24"/>
                <w:szCs w:val="24"/>
                <w:lang w:eastAsia="es-CR"/>
              </w:rPr>
            </w:pPr>
            <w:r w:rsidRPr="009F5DDF">
              <w:rPr>
                <w:color w:val="000000"/>
                <w:sz w:val="24"/>
                <w:szCs w:val="24"/>
                <w:lang w:eastAsia="en-US"/>
              </w:rPr>
              <w:t xml:space="preserve">Excepto: 122.01 </w:t>
            </w:r>
          </w:p>
        </w:tc>
        <w:tc>
          <w:tcPr>
            <w:tcW w:w="3737" w:type="pct"/>
            <w:shd w:val="clear" w:color="auto" w:fill="auto"/>
            <w:hideMark/>
          </w:tcPr>
          <w:p w14:paraId="1070E9A2" w14:textId="77777777" w:rsidR="009F5DDF" w:rsidRPr="009F5DDF" w:rsidRDefault="009F5DDF" w:rsidP="009F5DDF">
            <w:pPr>
              <w:widowControl w:val="0"/>
              <w:jc w:val="both"/>
              <w:rPr>
                <w:color w:val="000000"/>
                <w:sz w:val="24"/>
                <w:szCs w:val="24"/>
                <w:lang w:eastAsia="es-CR"/>
              </w:rPr>
            </w:pPr>
            <w:r w:rsidRPr="009F5DDF">
              <w:rPr>
                <w:color w:val="000000"/>
                <w:sz w:val="24"/>
                <w:szCs w:val="24"/>
                <w:lang w:eastAsia="es-CR"/>
              </w:rPr>
              <w:t xml:space="preserve">Instrumentos Financieros del BCCR - Recursos propios </w:t>
            </w:r>
          </w:p>
        </w:tc>
      </w:tr>
      <w:tr w:rsidR="009F5DDF" w:rsidRPr="009F5DDF" w14:paraId="36B24BB0" w14:textId="77777777" w:rsidTr="009F5C97">
        <w:trPr>
          <w:trHeight w:val="615"/>
        </w:trPr>
        <w:tc>
          <w:tcPr>
            <w:tcW w:w="1263" w:type="pct"/>
            <w:shd w:val="clear" w:color="auto" w:fill="auto"/>
            <w:hideMark/>
          </w:tcPr>
          <w:p w14:paraId="108108FE" w14:textId="77777777" w:rsidR="009F5DDF" w:rsidRPr="009F5DDF" w:rsidRDefault="009F5DDF" w:rsidP="009F5DDF">
            <w:pPr>
              <w:widowControl w:val="0"/>
              <w:jc w:val="both"/>
              <w:rPr>
                <w:b/>
                <w:bCs/>
                <w:color w:val="000000"/>
                <w:sz w:val="24"/>
                <w:szCs w:val="24"/>
                <w:lang w:eastAsia="es-CR"/>
              </w:rPr>
            </w:pPr>
            <w:r w:rsidRPr="009F5DDF">
              <w:rPr>
                <w:color w:val="000000"/>
                <w:sz w:val="24"/>
                <w:szCs w:val="24"/>
                <w:lang w:eastAsia="en-US"/>
              </w:rPr>
              <w:t xml:space="preserve">Excepto: 122.02 </w:t>
            </w:r>
          </w:p>
        </w:tc>
        <w:tc>
          <w:tcPr>
            <w:tcW w:w="3737" w:type="pct"/>
            <w:shd w:val="clear" w:color="auto" w:fill="auto"/>
            <w:hideMark/>
          </w:tcPr>
          <w:p w14:paraId="4142B1F8" w14:textId="77777777" w:rsidR="009F5DDF" w:rsidRPr="009F5DDF" w:rsidRDefault="009F5DDF" w:rsidP="009F5DDF">
            <w:pPr>
              <w:widowControl w:val="0"/>
              <w:jc w:val="both"/>
              <w:rPr>
                <w:color w:val="000000"/>
                <w:sz w:val="24"/>
                <w:szCs w:val="24"/>
                <w:lang w:eastAsia="es-CR"/>
              </w:rPr>
            </w:pPr>
            <w:r w:rsidRPr="009F5DDF">
              <w:rPr>
                <w:color w:val="000000"/>
                <w:sz w:val="24"/>
                <w:szCs w:val="24"/>
                <w:lang w:eastAsia="es-CR"/>
              </w:rPr>
              <w:t xml:space="preserve">Instrumentos Financieros del Sector Público no Financiero del país - Recursos propios </w:t>
            </w:r>
          </w:p>
        </w:tc>
      </w:tr>
      <w:tr w:rsidR="009F5DDF" w:rsidRPr="009F5DDF" w14:paraId="39029A26" w14:textId="77777777" w:rsidTr="009F5C97">
        <w:trPr>
          <w:trHeight w:val="419"/>
        </w:trPr>
        <w:tc>
          <w:tcPr>
            <w:tcW w:w="1263" w:type="pct"/>
            <w:shd w:val="clear" w:color="auto" w:fill="auto"/>
            <w:hideMark/>
          </w:tcPr>
          <w:p w14:paraId="710E7B8C" w14:textId="77777777" w:rsidR="009F5DDF" w:rsidRPr="009F5DDF" w:rsidRDefault="009F5DDF" w:rsidP="009F5DDF">
            <w:pPr>
              <w:widowControl w:val="0"/>
              <w:jc w:val="both"/>
              <w:rPr>
                <w:b/>
                <w:bCs/>
                <w:color w:val="000000"/>
                <w:sz w:val="24"/>
                <w:szCs w:val="24"/>
                <w:lang w:eastAsia="es-CR"/>
              </w:rPr>
            </w:pPr>
            <w:r w:rsidRPr="009F5DDF">
              <w:rPr>
                <w:color w:val="000000"/>
                <w:sz w:val="24"/>
                <w:szCs w:val="24"/>
                <w:lang w:eastAsia="en-US"/>
              </w:rPr>
              <w:t xml:space="preserve">Excepto: 122.12 </w:t>
            </w:r>
          </w:p>
        </w:tc>
        <w:tc>
          <w:tcPr>
            <w:tcW w:w="3737" w:type="pct"/>
            <w:shd w:val="clear" w:color="auto" w:fill="auto"/>
            <w:hideMark/>
          </w:tcPr>
          <w:p w14:paraId="53A6972E" w14:textId="77777777" w:rsidR="009F5DDF" w:rsidRPr="009F5DDF" w:rsidRDefault="009F5DDF" w:rsidP="009F5DDF">
            <w:pPr>
              <w:widowControl w:val="0"/>
              <w:jc w:val="both"/>
              <w:rPr>
                <w:color w:val="000000"/>
                <w:sz w:val="24"/>
                <w:szCs w:val="24"/>
                <w:lang w:eastAsia="es-CR"/>
              </w:rPr>
            </w:pPr>
            <w:r w:rsidRPr="009F5DDF">
              <w:rPr>
                <w:color w:val="000000"/>
                <w:sz w:val="24"/>
                <w:szCs w:val="24"/>
                <w:lang w:eastAsia="es-CR"/>
              </w:rPr>
              <w:t xml:space="preserve">Reporto y reporto tripartito posición vendedor a plazo - Recursos propios </w:t>
            </w:r>
          </w:p>
        </w:tc>
      </w:tr>
      <w:tr w:rsidR="009F5DDF" w:rsidRPr="009F5DDF" w14:paraId="40C9E4FA" w14:textId="77777777" w:rsidTr="009F5C97">
        <w:trPr>
          <w:trHeight w:val="315"/>
        </w:trPr>
        <w:tc>
          <w:tcPr>
            <w:tcW w:w="1263" w:type="pct"/>
            <w:shd w:val="clear" w:color="auto" w:fill="auto"/>
            <w:hideMark/>
          </w:tcPr>
          <w:p w14:paraId="33E086DC" w14:textId="77777777" w:rsidR="009F5DDF" w:rsidRPr="009F5DDF" w:rsidRDefault="009F5DDF" w:rsidP="009F5DDF">
            <w:pPr>
              <w:widowControl w:val="0"/>
              <w:jc w:val="both"/>
              <w:rPr>
                <w:b/>
                <w:bCs/>
                <w:color w:val="000000"/>
                <w:sz w:val="24"/>
                <w:szCs w:val="24"/>
                <w:lang w:eastAsia="es-CR"/>
              </w:rPr>
            </w:pPr>
            <w:r w:rsidRPr="009F5DDF">
              <w:rPr>
                <w:color w:val="000000"/>
                <w:sz w:val="24"/>
                <w:szCs w:val="24"/>
                <w:lang w:eastAsia="en-US"/>
              </w:rPr>
              <w:t xml:space="preserve">Excepto: 122.14.M.01 </w:t>
            </w:r>
          </w:p>
        </w:tc>
        <w:tc>
          <w:tcPr>
            <w:tcW w:w="3737" w:type="pct"/>
            <w:shd w:val="clear" w:color="auto" w:fill="auto"/>
            <w:hideMark/>
          </w:tcPr>
          <w:p w14:paraId="47A284B5" w14:textId="77777777" w:rsidR="009F5DDF" w:rsidRPr="009F5DDF" w:rsidRDefault="009F5DDF" w:rsidP="009F5DDF">
            <w:pPr>
              <w:widowControl w:val="0"/>
              <w:jc w:val="both"/>
              <w:rPr>
                <w:color w:val="000000"/>
                <w:sz w:val="24"/>
                <w:szCs w:val="24"/>
                <w:lang w:eastAsia="es-CR"/>
              </w:rPr>
            </w:pPr>
            <w:r w:rsidRPr="009F5DDF">
              <w:rPr>
                <w:color w:val="000000"/>
                <w:sz w:val="24"/>
                <w:szCs w:val="24"/>
                <w:lang w:eastAsia="es-CR"/>
              </w:rPr>
              <w:t>Contraparte BCCR con o sin garantía</w:t>
            </w:r>
          </w:p>
        </w:tc>
      </w:tr>
      <w:tr w:rsidR="009F5DDF" w:rsidRPr="009F5DDF" w14:paraId="54BD9840" w14:textId="77777777" w:rsidTr="009F5C97">
        <w:trPr>
          <w:trHeight w:val="315"/>
        </w:trPr>
        <w:tc>
          <w:tcPr>
            <w:tcW w:w="1263" w:type="pct"/>
            <w:shd w:val="clear" w:color="auto" w:fill="auto"/>
            <w:hideMark/>
          </w:tcPr>
          <w:p w14:paraId="1C6220C4" w14:textId="77777777" w:rsidR="009F5DDF" w:rsidRPr="009F5DDF" w:rsidRDefault="009F5DDF" w:rsidP="009F5DDF">
            <w:pPr>
              <w:widowControl w:val="0"/>
              <w:jc w:val="both"/>
              <w:rPr>
                <w:b/>
                <w:bCs/>
                <w:color w:val="000000"/>
                <w:sz w:val="24"/>
                <w:szCs w:val="24"/>
                <w:lang w:eastAsia="es-CR"/>
              </w:rPr>
            </w:pPr>
            <w:r w:rsidRPr="009F5DDF">
              <w:rPr>
                <w:color w:val="000000"/>
                <w:sz w:val="24"/>
                <w:szCs w:val="24"/>
                <w:lang w:eastAsia="en-US"/>
              </w:rPr>
              <w:t>Excepto: 122.14.M.08</w:t>
            </w:r>
          </w:p>
        </w:tc>
        <w:tc>
          <w:tcPr>
            <w:tcW w:w="3737" w:type="pct"/>
            <w:shd w:val="clear" w:color="auto" w:fill="auto"/>
            <w:hideMark/>
          </w:tcPr>
          <w:p w14:paraId="7B8FBFCA" w14:textId="77777777" w:rsidR="009F5DDF" w:rsidRPr="009F5DDF" w:rsidRDefault="009F5DDF" w:rsidP="009F5DDF">
            <w:pPr>
              <w:widowControl w:val="0"/>
              <w:jc w:val="both"/>
              <w:rPr>
                <w:color w:val="000000"/>
                <w:sz w:val="24"/>
                <w:szCs w:val="24"/>
                <w:lang w:eastAsia="es-CR"/>
              </w:rPr>
            </w:pPr>
            <w:r w:rsidRPr="009F5DDF">
              <w:rPr>
                <w:color w:val="000000"/>
                <w:sz w:val="24"/>
                <w:szCs w:val="24"/>
                <w:lang w:eastAsia="es-CR"/>
              </w:rPr>
              <w:t>Otras contrapartes con garantía</w:t>
            </w:r>
          </w:p>
        </w:tc>
      </w:tr>
      <w:tr w:rsidR="009F5DDF" w:rsidRPr="009F5DDF" w14:paraId="4482D438" w14:textId="77777777" w:rsidTr="009F5C97">
        <w:trPr>
          <w:trHeight w:val="449"/>
        </w:trPr>
        <w:tc>
          <w:tcPr>
            <w:tcW w:w="1263" w:type="pct"/>
            <w:shd w:val="clear" w:color="auto" w:fill="auto"/>
            <w:hideMark/>
          </w:tcPr>
          <w:p w14:paraId="0886B070" w14:textId="77777777" w:rsidR="009F5DDF" w:rsidRPr="009F5DDF" w:rsidRDefault="009F5DDF" w:rsidP="009F5DDF">
            <w:pPr>
              <w:widowControl w:val="0"/>
              <w:jc w:val="both"/>
              <w:rPr>
                <w:b/>
                <w:bCs/>
                <w:color w:val="000000"/>
                <w:sz w:val="24"/>
                <w:szCs w:val="24"/>
                <w:lang w:eastAsia="es-CR"/>
              </w:rPr>
            </w:pPr>
            <w:r w:rsidRPr="009F5DDF">
              <w:rPr>
                <w:color w:val="000000"/>
                <w:sz w:val="24"/>
                <w:szCs w:val="24"/>
                <w:lang w:eastAsia="en-US"/>
              </w:rPr>
              <w:t xml:space="preserve">Excepto: 122.60 </w:t>
            </w:r>
          </w:p>
        </w:tc>
        <w:tc>
          <w:tcPr>
            <w:tcW w:w="3737" w:type="pct"/>
            <w:shd w:val="clear" w:color="auto" w:fill="auto"/>
            <w:hideMark/>
          </w:tcPr>
          <w:p w14:paraId="322B5C5B" w14:textId="77777777" w:rsidR="009F5DDF" w:rsidRPr="009F5DDF" w:rsidRDefault="009F5DDF" w:rsidP="009F5DDF">
            <w:pPr>
              <w:widowControl w:val="0"/>
              <w:jc w:val="both"/>
              <w:rPr>
                <w:color w:val="000000"/>
                <w:sz w:val="24"/>
                <w:szCs w:val="24"/>
                <w:lang w:eastAsia="es-CR"/>
              </w:rPr>
            </w:pPr>
            <w:r w:rsidRPr="009F5DDF">
              <w:rPr>
                <w:color w:val="000000"/>
                <w:sz w:val="24"/>
                <w:szCs w:val="24"/>
                <w:lang w:eastAsia="es-CR"/>
              </w:rPr>
              <w:t>Instrumentos financieros del BCCR- Respaldo Reserva Liquidez</w:t>
            </w:r>
          </w:p>
        </w:tc>
      </w:tr>
      <w:tr w:rsidR="009F5DDF" w:rsidRPr="009F5DDF" w14:paraId="21FB0022" w14:textId="77777777" w:rsidTr="009F5C97">
        <w:trPr>
          <w:trHeight w:val="615"/>
        </w:trPr>
        <w:tc>
          <w:tcPr>
            <w:tcW w:w="1263" w:type="pct"/>
            <w:shd w:val="clear" w:color="auto" w:fill="auto"/>
            <w:hideMark/>
          </w:tcPr>
          <w:p w14:paraId="6A1434EB" w14:textId="77777777" w:rsidR="009F5DDF" w:rsidRPr="009F5DDF" w:rsidRDefault="009F5DDF" w:rsidP="009F5DDF">
            <w:pPr>
              <w:widowControl w:val="0"/>
              <w:jc w:val="both"/>
              <w:rPr>
                <w:b/>
                <w:bCs/>
                <w:color w:val="000000"/>
                <w:sz w:val="24"/>
                <w:szCs w:val="24"/>
                <w:lang w:eastAsia="es-CR"/>
              </w:rPr>
            </w:pPr>
            <w:r w:rsidRPr="009F5DDF">
              <w:rPr>
                <w:color w:val="000000"/>
                <w:sz w:val="24"/>
                <w:szCs w:val="24"/>
                <w:lang w:eastAsia="en-US"/>
              </w:rPr>
              <w:t xml:space="preserve">Excepto: 122.61 </w:t>
            </w:r>
          </w:p>
        </w:tc>
        <w:tc>
          <w:tcPr>
            <w:tcW w:w="3737" w:type="pct"/>
            <w:shd w:val="clear" w:color="auto" w:fill="auto"/>
            <w:hideMark/>
          </w:tcPr>
          <w:p w14:paraId="243F0DA4" w14:textId="77777777" w:rsidR="009F5DDF" w:rsidRPr="009F5DDF" w:rsidRDefault="009F5DDF" w:rsidP="009F5DDF">
            <w:pPr>
              <w:widowControl w:val="0"/>
              <w:jc w:val="both"/>
              <w:rPr>
                <w:color w:val="000000"/>
                <w:sz w:val="24"/>
                <w:szCs w:val="24"/>
                <w:lang w:eastAsia="es-CR"/>
              </w:rPr>
            </w:pPr>
            <w:r w:rsidRPr="009F5DDF">
              <w:rPr>
                <w:color w:val="000000"/>
                <w:sz w:val="24"/>
                <w:szCs w:val="24"/>
                <w:lang w:eastAsia="es-CR"/>
              </w:rPr>
              <w:t xml:space="preserve">Instrumentos financieros emitidos por el Gobierno Central del país - Respaldo Reserva </w:t>
            </w:r>
          </w:p>
        </w:tc>
      </w:tr>
      <w:tr w:rsidR="009F5DDF" w:rsidRPr="009F5DDF" w14:paraId="4EF57C13" w14:textId="77777777" w:rsidTr="009F5C97">
        <w:trPr>
          <w:trHeight w:val="734"/>
        </w:trPr>
        <w:tc>
          <w:tcPr>
            <w:tcW w:w="1263" w:type="pct"/>
            <w:shd w:val="clear" w:color="auto" w:fill="auto"/>
            <w:hideMark/>
          </w:tcPr>
          <w:p w14:paraId="3540CAA1" w14:textId="77777777" w:rsidR="009F5DDF" w:rsidRPr="009F5DDF" w:rsidRDefault="009F5DDF" w:rsidP="009F5DDF">
            <w:pPr>
              <w:widowControl w:val="0"/>
              <w:jc w:val="both"/>
              <w:rPr>
                <w:b/>
                <w:bCs/>
                <w:color w:val="000000"/>
                <w:sz w:val="24"/>
                <w:szCs w:val="24"/>
                <w:lang w:eastAsia="es-CR"/>
              </w:rPr>
            </w:pPr>
            <w:r w:rsidRPr="009F5DDF">
              <w:rPr>
                <w:color w:val="000000"/>
                <w:sz w:val="24"/>
                <w:szCs w:val="24"/>
                <w:lang w:eastAsia="en-US"/>
              </w:rPr>
              <w:t xml:space="preserve">Excepto: 122.62 </w:t>
            </w:r>
          </w:p>
        </w:tc>
        <w:tc>
          <w:tcPr>
            <w:tcW w:w="3737" w:type="pct"/>
            <w:shd w:val="clear" w:color="auto" w:fill="auto"/>
            <w:hideMark/>
          </w:tcPr>
          <w:p w14:paraId="11AA57C3" w14:textId="77777777" w:rsidR="009F5DDF" w:rsidRPr="009F5DDF" w:rsidRDefault="009F5DDF" w:rsidP="009F5DDF">
            <w:pPr>
              <w:widowControl w:val="0"/>
              <w:jc w:val="both"/>
              <w:rPr>
                <w:color w:val="000000"/>
                <w:sz w:val="24"/>
                <w:szCs w:val="24"/>
                <w:lang w:eastAsia="es-CR"/>
              </w:rPr>
            </w:pPr>
            <w:r w:rsidRPr="009F5DDF">
              <w:rPr>
                <w:color w:val="000000"/>
                <w:sz w:val="24"/>
                <w:szCs w:val="24"/>
                <w:lang w:eastAsia="es-CR"/>
              </w:rPr>
              <w:t xml:space="preserve">Instrumentos financieros emitidos por entidades del Sistema Bancario Nacional - Respaldo Reserva Liquidez </w:t>
            </w:r>
          </w:p>
        </w:tc>
      </w:tr>
      <w:tr w:rsidR="009F5DDF" w:rsidRPr="009F5DDF" w14:paraId="17BC29C5" w14:textId="77777777" w:rsidTr="009F5C97">
        <w:trPr>
          <w:trHeight w:val="315"/>
        </w:trPr>
        <w:tc>
          <w:tcPr>
            <w:tcW w:w="1263" w:type="pct"/>
            <w:shd w:val="clear" w:color="auto" w:fill="auto"/>
            <w:hideMark/>
          </w:tcPr>
          <w:p w14:paraId="3AA5D37F" w14:textId="77777777" w:rsidR="009F5DDF" w:rsidRPr="009F5DDF" w:rsidRDefault="009F5DDF" w:rsidP="009F5DDF">
            <w:pPr>
              <w:widowControl w:val="0"/>
              <w:jc w:val="both"/>
              <w:rPr>
                <w:b/>
                <w:bCs/>
                <w:color w:val="000000"/>
                <w:sz w:val="24"/>
                <w:szCs w:val="24"/>
                <w:lang w:eastAsia="es-CR"/>
              </w:rPr>
            </w:pPr>
            <w:r w:rsidRPr="009F5DDF">
              <w:rPr>
                <w:color w:val="000000"/>
                <w:sz w:val="24"/>
                <w:szCs w:val="24"/>
                <w:lang w:eastAsia="en-US"/>
              </w:rPr>
              <w:t>123</w:t>
            </w:r>
          </w:p>
        </w:tc>
        <w:tc>
          <w:tcPr>
            <w:tcW w:w="3737" w:type="pct"/>
            <w:shd w:val="clear" w:color="auto" w:fill="auto"/>
            <w:hideMark/>
          </w:tcPr>
          <w:p w14:paraId="06AF8CE0" w14:textId="77777777" w:rsidR="009F5DDF" w:rsidRPr="009F5DDF" w:rsidRDefault="009F5DDF" w:rsidP="009F5DDF">
            <w:pPr>
              <w:widowControl w:val="0"/>
              <w:jc w:val="both"/>
              <w:rPr>
                <w:color w:val="000000"/>
                <w:sz w:val="24"/>
                <w:szCs w:val="24"/>
                <w:lang w:eastAsia="es-CR"/>
              </w:rPr>
            </w:pPr>
            <w:r w:rsidRPr="009F5DDF">
              <w:rPr>
                <w:color w:val="000000"/>
                <w:sz w:val="24"/>
                <w:szCs w:val="24"/>
                <w:lang w:eastAsia="es-CR"/>
              </w:rPr>
              <w:t xml:space="preserve">Inversiones al Costo Amortizado  </w:t>
            </w:r>
          </w:p>
        </w:tc>
      </w:tr>
      <w:tr w:rsidR="009F5DDF" w:rsidRPr="009F5DDF" w14:paraId="1AAB77FD" w14:textId="77777777" w:rsidTr="009F5C97">
        <w:trPr>
          <w:trHeight w:val="315"/>
        </w:trPr>
        <w:tc>
          <w:tcPr>
            <w:tcW w:w="1263" w:type="pct"/>
            <w:shd w:val="clear" w:color="auto" w:fill="auto"/>
            <w:hideMark/>
          </w:tcPr>
          <w:p w14:paraId="289B2D7B" w14:textId="77777777" w:rsidR="009F5DDF" w:rsidRPr="009F5DDF" w:rsidRDefault="009F5DDF" w:rsidP="009F5DDF">
            <w:pPr>
              <w:widowControl w:val="0"/>
              <w:jc w:val="both"/>
              <w:rPr>
                <w:b/>
                <w:bCs/>
                <w:color w:val="000000"/>
                <w:sz w:val="24"/>
                <w:szCs w:val="24"/>
                <w:lang w:eastAsia="es-CR"/>
              </w:rPr>
            </w:pPr>
            <w:r w:rsidRPr="009F5DDF">
              <w:rPr>
                <w:color w:val="000000"/>
                <w:sz w:val="24"/>
                <w:szCs w:val="24"/>
                <w:lang w:eastAsia="en-US"/>
              </w:rPr>
              <w:t xml:space="preserve">Excepto: 123.01 </w:t>
            </w:r>
          </w:p>
        </w:tc>
        <w:tc>
          <w:tcPr>
            <w:tcW w:w="3737" w:type="pct"/>
            <w:shd w:val="clear" w:color="auto" w:fill="auto"/>
            <w:hideMark/>
          </w:tcPr>
          <w:p w14:paraId="642C8306" w14:textId="77777777" w:rsidR="009F5DDF" w:rsidRPr="009F5DDF" w:rsidRDefault="009F5DDF" w:rsidP="009F5DDF">
            <w:pPr>
              <w:widowControl w:val="0"/>
              <w:jc w:val="both"/>
              <w:rPr>
                <w:color w:val="000000"/>
                <w:sz w:val="24"/>
                <w:szCs w:val="24"/>
                <w:lang w:eastAsia="es-CR"/>
              </w:rPr>
            </w:pPr>
            <w:r w:rsidRPr="009F5DDF">
              <w:rPr>
                <w:color w:val="000000"/>
                <w:sz w:val="24"/>
                <w:szCs w:val="24"/>
                <w:lang w:eastAsia="es-CR"/>
              </w:rPr>
              <w:t xml:space="preserve">Instrumentos Financieros del BCCR </w:t>
            </w:r>
          </w:p>
        </w:tc>
      </w:tr>
      <w:tr w:rsidR="009F5DDF" w:rsidRPr="009F5DDF" w14:paraId="57CAAFEA" w14:textId="77777777" w:rsidTr="009F5C97">
        <w:trPr>
          <w:trHeight w:val="615"/>
        </w:trPr>
        <w:tc>
          <w:tcPr>
            <w:tcW w:w="1263" w:type="pct"/>
            <w:shd w:val="clear" w:color="auto" w:fill="auto"/>
            <w:hideMark/>
          </w:tcPr>
          <w:p w14:paraId="3F26F396" w14:textId="77777777" w:rsidR="009F5DDF" w:rsidRPr="009F5DDF" w:rsidRDefault="009F5DDF" w:rsidP="009F5DDF">
            <w:pPr>
              <w:widowControl w:val="0"/>
              <w:jc w:val="both"/>
              <w:rPr>
                <w:b/>
                <w:bCs/>
                <w:color w:val="000000"/>
                <w:sz w:val="24"/>
                <w:szCs w:val="24"/>
                <w:lang w:eastAsia="es-CR"/>
              </w:rPr>
            </w:pPr>
            <w:r w:rsidRPr="009F5DDF">
              <w:rPr>
                <w:color w:val="000000"/>
                <w:sz w:val="24"/>
                <w:szCs w:val="24"/>
                <w:lang w:eastAsia="en-US"/>
              </w:rPr>
              <w:t xml:space="preserve">Excepto: 123.02 </w:t>
            </w:r>
          </w:p>
        </w:tc>
        <w:tc>
          <w:tcPr>
            <w:tcW w:w="3737" w:type="pct"/>
            <w:shd w:val="clear" w:color="auto" w:fill="auto"/>
            <w:hideMark/>
          </w:tcPr>
          <w:p w14:paraId="545B90B1" w14:textId="77777777" w:rsidR="009F5DDF" w:rsidRPr="009F5DDF" w:rsidRDefault="009F5DDF" w:rsidP="009F5DDF">
            <w:pPr>
              <w:widowControl w:val="0"/>
              <w:jc w:val="both"/>
              <w:rPr>
                <w:color w:val="000000"/>
                <w:sz w:val="24"/>
                <w:szCs w:val="24"/>
                <w:lang w:eastAsia="es-CR"/>
              </w:rPr>
            </w:pPr>
            <w:r w:rsidRPr="009F5DDF">
              <w:rPr>
                <w:color w:val="000000"/>
                <w:sz w:val="24"/>
                <w:szCs w:val="24"/>
                <w:lang w:eastAsia="es-CR"/>
              </w:rPr>
              <w:t xml:space="preserve">Instrumentos Financieros en el Sector Público no Financiero del país </w:t>
            </w:r>
          </w:p>
        </w:tc>
      </w:tr>
      <w:tr w:rsidR="009F5DDF" w:rsidRPr="009F5DDF" w14:paraId="3A85DBB2" w14:textId="77777777" w:rsidTr="009F5C97">
        <w:trPr>
          <w:trHeight w:val="366"/>
        </w:trPr>
        <w:tc>
          <w:tcPr>
            <w:tcW w:w="1263" w:type="pct"/>
            <w:shd w:val="clear" w:color="auto" w:fill="auto"/>
            <w:hideMark/>
          </w:tcPr>
          <w:p w14:paraId="15CB8724" w14:textId="77777777" w:rsidR="009F5DDF" w:rsidRPr="009F5DDF" w:rsidRDefault="009F5DDF" w:rsidP="009F5DDF">
            <w:pPr>
              <w:widowControl w:val="0"/>
              <w:jc w:val="both"/>
              <w:rPr>
                <w:b/>
                <w:bCs/>
                <w:color w:val="000000"/>
                <w:sz w:val="24"/>
                <w:szCs w:val="24"/>
                <w:lang w:eastAsia="en-US"/>
              </w:rPr>
            </w:pPr>
            <w:r w:rsidRPr="009F5DDF">
              <w:rPr>
                <w:color w:val="000000"/>
                <w:sz w:val="24"/>
                <w:szCs w:val="24"/>
                <w:lang w:eastAsia="en-US"/>
              </w:rPr>
              <w:t>Excepto: 123.12</w:t>
            </w:r>
          </w:p>
        </w:tc>
        <w:tc>
          <w:tcPr>
            <w:tcW w:w="3737" w:type="pct"/>
            <w:shd w:val="clear" w:color="auto" w:fill="auto"/>
            <w:hideMark/>
          </w:tcPr>
          <w:p w14:paraId="3C0C2F78" w14:textId="77777777" w:rsidR="009F5DDF" w:rsidRPr="009F5DDF" w:rsidRDefault="009F5DDF" w:rsidP="009F5DDF">
            <w:pPr>
              <w:widowControl w:val="0"/>
              <w:jc w:val="both"/>
              <w:rPr>
                <w:color w:val="000000"/>
                <w:sz w:val="24"/>
                <w:szCs w:val="24"/>
                <w:lang w:eastAsia="en-US"/>
              </w:rPr>
            </w:pPr>
            <w:r w:rsidRPr="009F5DDF">
              <w:rPr>
                <w:color w:val="000000"/>
                <w:sz w:val="24"/>
                <w:szCs w:val="24"/>
                <w:lang w:eastAsia="en-US"/>
              </w:rPr>
              <w:t>Reporto y reporto tripartito posición vendedor a plazo Recursos propios</w:t>
            </w:r>
          </w:p>
        </w:tc>
      </w:tr>
      <w:tr w:rsidR="009F5DDF" w:rsidRPr="009F5DDF" w14:paraId="2F313B4D" w14:textId="77777777" w:rsidTr="009F5C97">
        <w:trPr>
          <w:trHeight w:val="315"/>
        </w:trPr>
        <w:tc>
          <w:tcPr>
            <w:tcW w:w="1263" w:type="pct"/>
            <w:shd w:val="clear" w:color="auto" w:fill="auto"/>
            <w:hideMark/>
          </w:tcPr>
          <w:p w14:paraId="3C4A11FB" w14:textId="77777777" w:rsidR="009F5DDF" w:rsidRPr="009F5DDF" w:rsidRDefault="009F5DDF" w:rsidP="009F5DDF">
            <w:pPr>
              <w:widowControl w:val="0"/>
              <w:jc w:val="both"/>
              <w:rPr>
                <w:b/>
                <w:bCs/>
                <w:color w:val="000000"/>
                <w:sz w:val="24"/>
                <w:szCs w:val="24"/>
                <w:lang w:eastAsia="en-US"/>
              </w:rPr>
            </w:pPr>
            <w:r w:rsidRPr="009F5DDF">
              <w:rPr>
                <w:color w:val="000000"/>
                <w:sz w:val="24"/>
                <w:szCs w:val="24"/>
                <w:lang w:eastAsia="en-US"/>
              </w:rPr>
              <w:t>Excepto: 123.14.M.01</w:t>
            </w:r>
          </w:p>
        </w:tc>
        <w:tc>
          <w:tcPr>
            <w:tcW w:w="3737" w:type="pct"/>
            <w:shd w:val="clear" w:color="auto" w:fill="auto"/>
            <w:hideMark/>
          </w:tcPr>
          <w:p w14:paraId="00A0AD9E" w14:textId="77777777" w:rsidR="009F5DDF" w:rsidRPr="009F5DDF" w:rsidRDefault="009F5DDF" w:rsidP="009F5DDF">
            <w:pPr>
              <w:widowControl w:val="0"/>
              <w:jc w:val="both"/>
              <w:rPr>
                <w:color w:val="000000"/>
                <w:sz w:val="24"/>
                <w:szCs w:val="24"/>
                <w:lang w:eastAsia="en-US"/>
              </w:rPr>
            </w:pPr>
            <w:r w:rsidRPr="009F5DDF">
              <w:rPr>
                <w:color w:val="000000"/>
                <w:sz w:val="24"/>
                <w:szCs w:val="24"/>
                <w:lang w:eastAsia="en-US"/>
              </w:rPr>
              <w:t>Contraparte BCCR con o sin garantía</w:t>
            </w:r>
          </w:p>
        </w:tc>
      </w:tr>
      <w:tr w:rsidR="009F5DDF" w:rsidRPr="009F5DDF" w14:paraId="2B5D8CFA" w14:textId="77777777" w:rsidTr="009F5C97">
        <w:trPr>
          <w:trHeight w:val="315"/>
        </w:trPr>
        <w:tc>
          <w:tcPr>
            <w:tcW w:w="1263" w:type="pct"/>
            <w:shd w:val="clear" w:color="auto" w:fill="auto"/>
            <w:hideMark/>
          </w:tcPr>
          <w:p w14:paraId="0EBCB598" w14:textId="77777777" w:rsidR="009F5DDF" w:rsidRPr="009F5DDF" w:rsidRDefault="009F5DDF" w:rsidP="009F5DDF">
            <w:pPr>
              <w:widowControl w:val="0"/>
              <w:jc w:val="both"/>
              <w:rPr>
                <w:b/>
                <w:bCs/>
                <w:color w:val="000000"/>
                <w:sz w:val="24"/>
                <w:szCs w:val="24"/>
                <w:lang w:eastAsia="en-US"/>
              </w:rPr>
            </w:pPr>
            <w:r w:rsidRPr="009F5DDF">
              <w:rPr>
                <w:color w:val="000000"/>
                <w:sz w:val="24"/>
                <w:szCs w:val="24"/>
                <w:lang w:eastAsia="en-US"/>
              </w:rPr>
              <w:t>Excepto: 123.14.M.08</w:t>
            </w:r>
          </w:p>
        </w:tc>
        <w:tc>
          <w:tcPr>
            <w:tcW w:w="3737" w:type="pct"/>
            <w:shd w:val="clear" w:color="auto" w:fill="auto"/>
            <w:hideMark/>
          </w:tcPr>
          <w:p w14:paraId="788F452B" w14:textId="77777777" w:rsidR="009F5DDF" w:rsidRPr="009F5DDF" w:rsidRDefault="009F5DDF" w:rsidP="009F5DDF">
            <w:pPr>
              <w:widowControl w:val="0"/>
              <w:jc w:val="both"/>
              <w:rPr>
                <w:color w:val="000000"/>
                <w:sz w:val="24"/>
                <w:szCs w:val="24"/>
                <w:lang w:eastAsia="en-US"/>
              </w:rPr>
            </w:pPr>
            <w:r w:rsidRPr="009F5DDF">
              <w:rPr>
                <w:color w:val="000000"/>
                <w:sz w:val="24"/>
                <w:szCs w:val="24"/>
                <w:lang w:eastAsia="en-US"/>
              </w:rPr>
              <w:t>Otras contrapartes con garantía</w:t>
            </w:r>
          </w:p>
        </w:tc>
      </w:tr>
      <w:tr w:rsidR="009F5DDF" w:rsidRPr="009F5DDF" w14:paraId="196CB409" w14:textId="77777777" w:rsidTr="009F5C97">
        <w:trPr>
          <w:trHeight w:val="615"/>
        </w:trPr>
        <w:tc>
          <w:tcPr>
            <w:tcW w:w="1263" w:type="pct"/>
            <w:shd w:val="clear" w:color="auto" w:fill="auto"/>
            <w:hideMark/>
          </w:tcPr>
          <w:p w14:paraId="3EF628EA" w14:textId="77777777" w:rsidR="009F5DDF" w:rsidRPr="009F5DDF" w:rsidRDefault="009F5DDF" w:rsidP="009F5DDF">
            <w:pPr>
              <w:widowControl w:val="0"/>
              <w:jc w:val="both"/>
              <w:rPr>
                <w:b/>
                <w:bCs/>
                <w:color w:val="000000"/>
                <w:sz w:val="24"/>
                <w:szCs w:val="24"/>
                <w:lang w:eastAsia="es-CR"/>
              </w:rPr>
            </w:pPr>
            <w:r w:rsidRPr="009F5DDF">
              <w:rPr>
                <w:color w:val="000000"/>
                <w:sz w:val="24"/>
                <w:szCs w:val="24"/>
                <w:lang w:eastAsia="en-US"/>
              </w:rPr>
              <w:t>124</w:t>
            </w:r>
          </w:p>
        </w:tc>
        <w:tc>
          <w:tcPr>
            <w:tcW w:w="3737" w:type="pct"/>
            <w:shd w:val="clear" w:color="auto" w:fill="auto"/>
            <w:hideMark/>
          </w:tcPr>
          <w:p w14:paraId="048C6789" w14:textId="77777777" w:rsidR="009F5DDF" w:rsidRPr="009F5DDF" w:rsidRDefault="009F5DDF" w:rsidP="009F5DDF">
            <w:pPr>
              <w:widowControl w:val="0"/>
              <w:jc w:val="both"/>
              <w:rPr>
                <w:color w:val="000000"/>
                <w:sz w:val="24"/>
                <w:szCs w:val="24"/>
                <w:lang w:eastAsia="es-CR"/>
              </w:rPr>
            </w:pPr>
            <w:r w:rsidRPr="009F5DDF">
              <w:rPr>
                <w:color w:val="000000"/>
                <w:sz w:val="24"/>
                <w:szCs w:val="24"/>
                <w:lang w:eastAsia="es-CR"/>
              </w:rPr>
              <w:t xml:space="preserve">Inversiones en instrumentos financieros en entidades en cesación de pagos, morosos o en litigio </w:t>
            </w:r>
          </w:p>
        </w:tc>
      </w:tr>
      <w:tr w:rsidR="009F5DDF" w:rsidRPr="009F5DDF" w14:paraId="0FF45838" w14:textId="77777777" w:rsidTr="009F5C97">
        <w:trPr>
          <w:trHeight w:val="315"/>
        </w:trPr>
        <w:tc>
          <w:tcPr>
            <w:tcW w:w="1263" w:type="pct"/>
            <w:shd w:val="clear" w:color="auto" w:fill="auto"/>
            <w:hideMark/>
          </w:tcPr>
          <w:p w14:paraId="7A4378C2" w14:textId="77777777" w:rsidR="009F5DDF" w:rsidRPr="009F5DDF" w:rsidRDefault="009F5DDF" w:rsidP="009F5DDF">
            <w:pPr>
              <w:widowControl w:val="0"/>
              <w:jc w:val="both"/>
              <w:rPr>
                <w:b/>
                <w:bCs/>
                <w:color w:val="000000"/>
                <w:sz w:val="24"/>
                <w:szCs w:val="24"/>
                <w:lang w:eastAsia="es-CR"/>
              </w:rPr>
            </w:pPr>
            <w:r w:rsidRPr="009F5DDF">
              <w:rPr>
                <w:color w:val="000000"/>
                <w:sz w:val="24"/>
                <w:szCs w:val="24"/>
                <w:lang w:eastAsia="en-US"/>
              </w:rPr>
              <w:t>125</w:t>
            </w:r>
          </w:p>
        </w:tc>
        <w:tc>
          <w:tcPr>
            <w:tcW w:w="3737" w:type="pct"/>
            <w:shd w:val="clear" w:color="auto" w:fill="auto"/>
            <w:hideMark/>
          </w:tcPr>
          <w:p w14:paraId="097CB339" w14:textId="77777777" w:rsidR="009F5DDF" w:rsidRPr="009F5DDF" w:rsidRDefault="009F5DDF" w:rsidP="009F5DDF">
            <w:pPr>
              <w:widowControl w:val="0"/>
              <w:jc w:val="both"/>
              <w:rPr>
                <w:color w:val="000000"/>
                <w:sz w:val="24"/>
                <w:szCs w:val="24"/>
                <w:lang w:eastAsia="es-CR"/>
              </w:rPr>
            </w:pPr>
            <w:r w:rsidRPr="009F5DDF">
              <w:rPr>
                <w:color w:val="000000"/>
                <w:sz w:val="24"/>
                <w:szCs w:val="24"/>
                <w:lang w:eastAsia="es-CR"/>
              </w:rPr>
              <w:t xml:space="preserve">Instrumentos financieros vencidos y restringidos (*) </w:t>
            </w:r>
          </w:p>
        </w:tc>
      </w:tr>
      <w:tr w:rsidR="009F5DDF" w:rsidRPr="009F5DDF" w14:paraId="7B73E104" w14:textId="77777777" w:rsidTr="009F5C97">
        <w:trPr>
          <w:trHeight w:val="465"/>
        </w:trPr>
        <w:tc>
          <w:tcPr>
            <w:tcW w:w="1263" w:type="pct"/>
            <w:shd w:val="clear" w:color="auto" w:fill="auto"/>
            <w:hideMark/>
          </w:tcPr>
          <w:p w14:paraId="2BE90CE6" w14:textId="77777777" w:rsidR="009F5DDF" w:rsidRPr="009F5DDF" w:rsidRDefault="009F5DDF" w:rsidP="009F5DDF">
            <w:pPr>
              <w:widowControl w:val="0"/>
              <w:jc w:val="both"/>
              <w:rPr>
                <w:b/>
                <w:bCs/>
                <w:color w:val="000000"/>
                <w:sz w:val="24"/>
                <w:szCs w:val="24"/>
                <w:lang w:eastAsia="es-CR"/>
              </w:rPr>
            </w:pPr>
            <w:r w:rsidRPr="009F5DDF">
              <w:rPr>
                <w:color w:val="000000"/>
                <w:sz w:val="24"/>
                <w:szCs w:val="24"/>
                <w:lang w:eastAsia="en-US"/>
              </w:rPr>
              <w:lastRenderedPageBreak/>
              <w:t>126.01</w:t>
            </w:r>
          </w:p>
        </w:tc>
        <w:tc>
          <w:tcPr>
            <w:tcW w:w="3737" w:type="pct"/>
            <w:shd w:val="clear" w:color="auto" w:fill="auto"/>
            <w:hideMark/>
          </w:tcPr>
          <w:p w14:paraId="26A0A202" w14:textId="77777777" w:rsidR="009F5DDF" w:rsidRPr="009F5DDF" w:rsidRDefault="009F5DDF" w:rsidP="009F5DDF">
            <w:pPr>
              <w:widowControl w:val="0"/>
              <w:jc w:val="both"/>
              <w:rPr>
                <w:color w:val="000000"/>
                <w:sz w:val="24"/>
                <w:szCs w:val="24"/>
                <w:lang w:eastAsia="es-CR"/>
              </w:rPr>
            </w:pPr>
            <w:r w:rsidRPr="009F5DDF">
              <w:rPr>
                <w:color w:val="000000"/>
                <w:sz w:val="24"/>
                <w:szCs w:val="24"/>
                <w:lang w:eastAsia="es-CR"/>
              </w:rPr>
              <w:t>Compra a futuro de moneda extranjera (Operación de cobertura)</w:t>
            </w:r>
          </w:p>
        </w:tc>
      </w:tr>
      <w:tr w:rsidR="009F5DDF" w:rsidRPr="009F5DDF" w14:paraId="36E880F0" w14:textId="77777777" w:rsidTr="009F5C97">
        <w:trPr>
          <w:trHeight w:val="415"/>
        </w:trPr>
        <w:tc>
          <w:tcPr>
            <w:tcW w:w="1263" w:type="pct"/>
            <w:shd w:val="clear" w:color="auto" w:fill="auto"/>
            <w:hideMark/>
          </w:tcPr>
          <w:p w14:paraId="278C62CC" w14:textId="77777777" w:rsidR="009F5DDF" w:rsidRPr="009F5DDF" w:rsidRDefault="009F5DDF" w:rsidP="009F5DDF">
            <w:pPr>
              <w:widowControl w:val="0"/>
              <w:jc w:val="both"/>
              <w:rPr>
                <w:b/>
                <w:bCs/>
                <w:color w:val="000000"/>
                <w:sz w:val="24"/>
                <w:szCs w:val="24"/>
                <w:lang w:eastAsia="es-CR"/>
              </w:rPr>
            </w:pPr>
            <w:r w:rsidRPr="009F5DDF">
              <w:rPr>
                <w:color w:val="000000"/>
                <w:sz w:val="24"/>
                <w:szCs w:val="24"/>
                <w:lang w:eastAsia="en-US"/>
              </w:rPr>
              <w:t>126.02</w:t>
            </w:r>
          </w:p>
        </w:tc>
        <w:tc>
          <w:tcPr>
            <w:tcW w:w="3737" w:type="pct"/>
            <w:shd w:val="clear" w:color="auto" w:fill="auto"/>
            <w:hideMark/>
          </w:tcPr>
          <w:p w14:paraId="4FB6E7D4" w14:textId="77777777" w:rsidR="009F5DDF" w:rsidRPr="009F5DDF" w:rsidRDefault="009F5DDF" w:rsidP="009F5DDF">
            <w:pPr>
              <w:widowControl w:val="0"/>
              <w:jc w:val="both"/>
              <w:rPr>
                <w:color w:val="000000"/>
                <w:sz w:val="24"/>
                <w:szCs w:val="24"/>
                <w:lang w:eastAsia="es-CR"/>
              </w:rPr>
            </w:pPr>
            <w:r w:rsidRPr="009F5DDF">
              <w:rPr>
                <w:color w:val="000000"/>
                <w:sz w:val="24"/>
                <w:szCs w:val="24"/>
                <w:lang w:eastAsia="es-CR"/>
              </w:rPr>
              <w:t>Venta a futuro de moneda extranjera (Operación de cobertura)</w:t>
            </w:r>
          </w:p>
        </w:tc>
      </w:tr>
      <w:tr w:rsidR="009F5DDF" w:rsidRPr="009F5DDF" w14:paraId="6F72BCBF" w14:textId="77777777" w:rsidTr="009F5C97">
        <w:trPr>
          <w:trHeight w:val="407"/>
        </w:trPr>
        <w:tc>
          <w:tcPr>
            <w:tcW w:w="1263" w:type="pct"/>
            <w:shd w:val="clear" w:color="auto" w:fill="auto"/>
            <w:hideMark/>
          </w:tcPr>
          <w:p w14:paraId="10A757A0" w14:textId="77777777" w:rsidR="009F5DDF" w:rsidRPr="009F5DDF" w:rsidRDefault="009F5DDF" w:rsidP="009F5DDF">
            <w:pPr>
              <w:widowControl w:val="0"/>
              <w:jc w:val="both"/>
              <w:rPr>
                <w:b/>
                <w:bCs/>
                <w:color w:val="000000"/>
                <w:sz w:val="24"/>
                <w:szCs w:val="24"/>
                <w:lang w:eastAsia="es-CR"/>
              </w:rPr>
            </w:pPr>
            <w:r w:rsidRPr="009F5DDF">
              <w:rPr>
                <w:color w:val="000000"/>
                <w:sz w:val="24"/>
                <w:szCs w:val="24"/>
                <w:lang w:eastAsia="en-US"/>
              </w:rPr>
              <w:t>126.11</w:t>
            </w:r>
          </w:p>
        </w:tc>
        <w:tc>
          <w:tcPr>
            <w:tcW w:w="3737" w:type="pct"/>
            <w:shd w:val="clear" w:color="auto" w:fill="auto"/>
            <w:hideMark/>
          </w:tcPr>
          <w:p w14:paraId="7ED93FD5" w14:textId="77777777" w:rsidR="009F5DDF" w:rsidRPr="009F5DDF" w:rsidRDefault="009F5DDF" w:rsidP="009F5DDF">
            <w:pPr>
              <w:widowControl w:val="0"/>
              <w:jc w:val="both"/>
              <w:rPr>
                <w:color w:val="000000"/>
                <w:sz w:val="24"/>
                <w:szCs w:val="24"/>
                <w:lang w:eastAsia="es-CR"/>
              </w:rPr>
            </w:pPr>
            <w:r w:rsidRPr="009F5DDF">
              <w:rPr>
                <w:color w:val="000000"/>
                <w:sz w:val="24"/>
                <w:szCs w:val="24"/>
                <w:lang w:eastAsia="es-CR"/>
              </w:rPr>
              <w:t>Compra a futuro de moneda extranjera (Operación diferente de cobertura)</w:t>
            </w:r>
          </w:p>
        </w:tc>
      </w:tr>
      <w:tr w:rsidR="009F5DDF" w:rsidRPr="009F5DDF" w14:paraId="52F56603" w14:textId="77777777" w:rsidTr="009F5C97">
        <w:trPr>
          <w:trHeight w:val="400"/>
        </w:trPr>
        <w:tc>
          <w:tcPr>
            <w:tcW w:w="1263" w:type="pct"/>
            <w:shd w:val="clear" w:color="auto" w:fill="auto"/>
            <w:hideMark/>
          </w:tcPr>
          <w:p w14:paraId="1FBFDAA8" w14:textId="77777777" w:rsidR="009F5DDF" w:rsidRPr="009F5DDF" w:rsidRDefault="009F5DDF" w:rsidP="009F5DDF">
            <w:pPr>
              <w:widowControl w:val="0"/>
              <w:jc w:val="both"/>
              <w:rPr>
                <w:b/>
                <w:bCs/>
                <w:color w:val="000000"/>
                <w:sz w:val="24"/>
                <w:szCs w:val="24"/>
                <w:lang w:eastAsia="es-CR"/>
              </w:rPr>
            </w:pPr>
            <w:r w:rsidRPr="009F5DDF">
              <w:rPr>
                <w:color w:val="000000"/>
                <w:sz w:val="24"/>
                <w:szCs w:val="24"/>
                <w:lang w:eastAsia="en-US"/>
              </w:rPr>
              <w:t>126.12</w:t>
            </w:r>
          </w:p>
        </w:tc>
        <w:tc>
          <w:tcPr>
            <w:tcW w:w="3737" w:type="pct"/>
            <w:shd w:val="clear" w:color="auto" w:fill="auto"/>
            <w:hideMark/>
          </w:tcPr>
          <w:p w14:paraId="1E342ED5" w14:textId="77777777" w:rsidR="009F5DDF" w:rsidRPr="009F5DDF" w:rsidRDefault="009F5DDF" w:rsidP="009F5DDF">
            <w:pPr>
              <w:widowControl w:val="0"/>
              <w:jc w:val="both"/>
              <w:rPr>
                <w:color w:val="000000"/>
                <w:sz w:val="24"/>
                <w:szCs w:val="24"/>
                <w:lang w:eastAsia="es-CR"/>
              </w:rPr>
            </w:pPr>
            <w:r w:rsidRPr="009F5DDF">
              <w:rPr>
                <w:color w:val="000000"/>
                <w:sz w:val="24"/>
                <w:szCs w:val="24"/>
                <w:lang w:eastAsia="es-CR"/>
              </w:rPr>
              <w:t>Venta a futuro de moneda extranjera (Operación diferente de cobertura)</w:t>
            </w:r>
          </w:p>
        </w:tc>
      </w:tr>
    </w:tbl>
    <w:p w14:paraId="2B57699E" w14:textId="77777777" w:rsidR="009F5DDF" w:rsidRPr="009F5DDF" w:rsidRDefault="009F5DDF" w:rsidP="009F5DDF">
      <w:pPr>
        <w:widowControl w:val="0"/>
        <w:tabs>
          <w:tab w:val="left" w:pos="4527"/>
        </w:tabs>
        <w:ind w:left="113"/>
        <w:jc w:val="both"/>
        <w:rPr>
          <w:color w:val="000000"/>
          <w:sz w:val="24"/>
          <w:szCs w:val="24"/>
          <w:lang w:eastAsia="es-CR"/>
        </w:rPr>
      </w:pPr>
    </w:p>
    <w:p w14:paraId="537B94C9" w14:textId="77777777" w:rsidR="009F5DDF" w:rsidRPr="009F5DDF" w:rsidRDefault="009F5DDF" w:rsidP="009F5DDF">
      <w:pPr>
        <w:widowControl w:val="0"/>
        <w:tabs>
          <w:tab w:val="left" w:pos="4527"/>
        </w:tabs>
        <w:ind w:left="113"/>
        <w:jc w:val="both"/>
        <w:rPr>
          <w:b/>
          <w:bCs/>
          <w:color w:val="000000"/>
          <w:sz w:val="24"/>
          <w:szCs w:val="24"/>
          <w:lang w:eastAsia="es-CR"/>
        </w:rPr>
      </w:pPr>
      <w:r w:rsidRPr="009F5DDF">
        <w:rPr>
          <w:b/>
          <w:bCs/>
          <w:color w:val="000000"/>
          <w:sz w:val="24"/>
          <w:szCs w:val="24"/>
          <w:lang w:eastAsia="en-US"/>
        </w:rPr>
        <w:t>Cartera de Créditos (*)</w:t>
      </w:r>
    </w:p>
    <w:p w14:paraId="4707BA50" w14:textId="77777777" w:rsidR="009F5DDF" w:rsidRPr="009F5DDF" w:rsidRDefault="009F5DDF" w:rsidP="009F5DDF">
      <w:pPr>
        <w:widowControl w:val="0"/>
        <w:tabs>
          <w:tab w:val="left" w:pos="4527"/>
        </w:tabs>
        <w:ind w:left="113"/>
        <w:jc w:val="both"/>
        <w:rPr>
          <w:color w:val="000000"/>
          <w:sz w:val="24"/>
          <w:szCs w:val="24"/>
          <w:lang w:eastAsia="es-CR"/>
        </w:rPr>
      </w:pPr>
    </w:p>
    <w:tbl>
      <w:tblPr>
        <w:tblW w:w="5000" w:type="pct"/>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4A0" w:firstRow="1" w:lastRow="0" w:firstColumn="1" w:lastColumn="0" w:noHBand="0" w:noVBand="1"/>
      </w:tblPr>
      <w:tblGrid>
        <w:gridCol w:w="2287"/>
        <w:gridCol w:w="6765"/>
      </w:tblGrid>
      <w:tr w:rsidR="009F5DDF" w:rsidRPr="009F5DDF" w14:paraId="4E112501" w14:textId="77777777" w:rsidTr="009F5C97">
        <w:trPr>
          <w:trHeight w:val="315"/>
        </w:trPr>
        <w:tc>
          <w:tcPr>
            <w:tcW w:w="1263" w:type="pct"/>
            <w:shd w:val="clear" w:color="auto" w:fill="auto"/>
            <w:hideMark/>
          </w:tcPr>
          <w:p w14:paraId="0E8359FE" w14:textId="77777777" w:rsidR="009F5DDF" w:rsidRPr="009F5DDF" w:rsidRDefault="009F5DDF" w:rsidP="009F5DDF">
            <w:pPr>
              <w:widowControl w:val="0"/>
              <w:jc w:val="both"/>
              <w:rPr>
                <w:b/>
                <w:bCs/>
                <w:color w:val="000000"/>
                <w:sz w:val="24"/>
                <w:szCs w:val="24"/>
                <w:lang w:eastAsia="es-CR"/>
              </w:rPr>
            </w:pPr>
            <w:r w:rsidRPr="009F5DDF">
              <w:rPr>
                <w:color w:val="000000"/>
                <w:sz w:val="24"/>
                <w:szCs w:val="24"/>
                <w:lang w:eastAsia="en-US"/>
              </w:rPr>
              <w:t>131</w:t>
            </w:r>
          </w:p>
        </w:tc>
        <w:tc>
          <w:tcPr>
            <w:tcW w:w="3737" w:type="pct"/>
            <w:shd w:val="clear" w:color="auto" w:fill="auto"/>
            <w:hideMark/>
          </w:tcPr>
          <w:p w14:paraId="60203153" w14:textId="77777777" w:rsidR="009F5DDF" w:rsidRPr="009F5DDF" w:rsidRDefault="009F5DDF" w:rsidP="009F5DDF">
            <w:pPr>
              <w:widowControl w:val="0"/>
              <w:jc w:val="both"/>
              <w:rPr>
                <w:b/>
                <w:bCs/>
                <w:color w:val="000000"/>
                <w:sz w:val="24"/>
                <w:szCs w:val="24"/>
                <w:lang w:eastAsia="es-CR"/>
              </w:rPr>
            </w:pPr>
            <w:r w:rsidRPr="009F5DDF">
              <w:rPr>
                <w:color w:val="000000"/>
                <w:sz w:val="24"/>
                <w:szCs w:val="24"/>
                <w:lang w:eastAsia="es-CR"/>
              </w:rPr>
              <w:t xml:space="preserve">Créditos vigentes  </w:t>
            </w:r>
          </w:p>
        </w:tc>
      </w:tr>
      <w:tr w:rsidR="009F5DDF" w:rsidRPr="009F5DDF" w14:paraId="7A91B47A" w14:textId="77777777" w:rsidTr="009F5C97">
        <w:trPr>
          <w:trHeight w:val="315"/>
        </w:trPr>
        <w:tc>
          <w:tcPr>
            <w:tcW w:w="1263" w:type="pct"/>
            <w:shd w:val="clear" w:color="auto" w:fill="auto"/>
            <w:hideMark/>
          </w:tcPr>
          <w:p w14:paraId="02C567C4" w14:textId="77777777" w:rsidR="009F5DDF" w:rsidRPr="009F5DDF" w:rsidRDefault="009F5DDF" w:rsidP="009F5DDF">
            <w:pPr>
              <w:widowControl w:val="0"/>
              <w:jc w:val="both"/>
              <w:rPr>
                <w:b/>
                <w:bCs/>
                <w:color w:val="000000"/>
                <w:sz w:val="24"/>
                <w:szCs w:val="24"/>
                <w:lang w:eastAsia="es-CR"/>
              </w:rPr>
            </w:pPr>
            <w:r w:rsidRPr="009F5DDF">
              <w:rPr>
                <w:color w:val="000000"/>
                <w:sz w:val="24"/>
                <w:szCs w:val="24"/>
                <w:lang w:eastAsia="en-US"/>
              </w:rPr>
              <w:t xml:space="preserve">Excepto: 131.35 </w:t>
            </w:r>
          </w:p>
        </w:tc>
        <w:tc>
          <w:tcPr>
            <w:tcW w:w="3737" w:type="pct"/>
            <w:shd w:val="clear" w:color="auto" w:fill="auto"/>
            <w:hideMark/>
          </w:tcPr>
          <w:p w14:paraId="6A2A79DB" w14:textId="77777777" w:rsidR="009F5DDF" w:rsidRPr="009F5DDF" w:rsidRDefault="009F5DDF" w:rsidP="009F5DDF">
            <w:pPr>
              <w:widowControl w:val="0"/>
              <w:jc w:val="both"/>
              <w:rPr>
                <w:color w:val="000000"/>
                <w:sz w:val="24"/>
                <w:szCs w:val="24"/>
                <w:lang w:eastAsia="es-CR"/>
              </w:rPr>
            </w:pPr>
            <w:r w:rsidRPr="009F5DDF">
              <w:rPr>
                <w:color w:val="000000"/>
                <w:sz w:val="24"/>
                <w:szCs w:val="24"/>
                <w:lang w:eastAsia="es-CR"/>
              </w:rPr>
              <w:t xml:space="preserve">Créditos - Sector Público </w:t>
            </w:r>
          </w:p>
        </w:tc>
      </w:tr>
      <w:tr w:rsidR="009F5DDF" w:rsidRPr="009F5DDF" w14:paraId="2EBEE03D" w14:textId="77777777" w:rsidTr="009F5C97">
        <w:trPr>
          <w:trHeight w:val="315"/>
        </w:trPr>
        <w:tc>
          <w:tcPr>
            <w:tcW w:w="1263" w:type="pct"/>
            <w:shd w:val="clear" w:color="auto" w:fill="auto"/>
            <w:hideMark/>
          </w:tcPr>
          <w:p w14:paraId="42C5AF12" w14:textId="77777777" w:rsidR="009F5DDF" w:rsidRPr="009F5DDF" w:rsidRDefault="009F5DDF" w:rsidP="009F5DDF">
            <w:pPr>
              <w:widowControl w:val="0"/>
              <w:jc w:val="both"/>
              <w:rPr>
                <w:b/>
                <w:bCs/>
                <w:color w:val="000000"/>
                <w:sz w:val="24"/>
                <w:szCs w:val="24"/>
                <w:lang w:eastAsia="es-CR"/>
              </w:rPr>
            </w:pPr>
            <w:r w:rsidRPr="009F5DDF">
              <w:rPr>
                <w:color w:val="000000"/>
                <w:sz w:val="24"/>
                <w:szCs w:val="24"/>
                <w:lang w:eastAsia="en-US"/>
              </w:rPr>
              <w:t>132</w:t>
            </w:r>
          </w:p>
        </w:tc>
        <w:tc>
          <w:tcPr>
            <w:tcW w:w="3737" w:type="pct"/>
            <w:shd w:val="clear" w:color="auto" w:fill="auto"/>
            <w:hideMark/>
          </w:tcPr>
          <w:p w14:paraId="34DA1E08" w14:textId="77777777" w:rsidR="009F5DDF" w:rsidRPr="009F5DDF" w:rsidRDefault="009F5DDF" w:rsidP="009F5DDF">
            <w:pPr>
              <w:widowControl w:val="0"/>
              <w:jc w:val="both"/>
              <w:rPr>
                <w:color w:val="000000"/>
                <w:sz w:val="24"/>
                <w:szCs w:val="24"/>
                <w:lang w:eastAsia="es-CR"/>
              </w:rPr>
            </w:pPr>
            <w:r w:rsidRPr="009F5DDF">
              <w:rPr>
                <w:color w:val="000000"/>
                <w:sz w:val="24"/>
                <w:szCs w:val="24"/>
                <w:lang w:eastAsia="es-CR"/>
              </w:rPr>
              <w:t xml:space="preserve">Créditos vencidos </w:t>
            </w:r>
          </w:p>
        </w:tc>
      </w:tr>
      <w:tr w:rsidR="009F5DDF" w:rsidRPr="009F5DDF" w14:paraId="4658CF66" w14:textId="77777777" w:rsidTr="009F5C97">
        <w:trPr>
          <w:trHeight w:val="315"/>
        </w:trPr>
        <w:tc>
          <w:tcPr>
            <w:tcW w:w="1263" w:type="pct"/>
            <w:shd w:val="clear" w:color="auto" w:fill="auto"/>
            <w:hideMark/>
          </w:tcPr>
          <w:p w14:paraId="6BAD5B00" w14:textId="77777777" w:rsidR="009F5DDF" w:rsidRPr="009F5DDF" w:rsidRDefault="009F5DDF" w:rsidP="009F5DDF">
            <w:pPr>
              <w:widowControl w:val="0"/>
              <w:jc w:val="both"/>
              <w:rPr>
                <w:b/>
                <w:bCs/>
                <w:color w:val="000000"/>
                <w:sz w:val="24"/>
                <w:szCs w:val="24"/>
                <w:lang w:eastAsia="es-CR"/>
              </w:rPr>
            </w:pPr>
            <w:r w:rsidRPr="009F5DDF">
              <w:rPr>
                <w:color w:val="000000"/>
                <w:sz w:val="24"/>
                <w:szCs w:val="24"/>
                <w:lang w:eastAsia="en-US"/>
              </w:rPr>
              <w:t xml:space="preserve">Excepto: 132.35 </w:t>
            </w:r>
          </w:p>
        </w:tc>
        <w:tc>
          <w:tcPr>
            <w:tcW w:w="3737" w:type="pct"/>
            <w:shd w:val="clear" w:color="auto" w:fill="auto"/>
            <w:hideMark/>
          </w:tcPr>
          <w:p w14:paraId="7488FCD8" w14:textId="77777777" w:rsidR="009F5DDF" w:rsidRPr="009F5DDF" w:rsidRDefault="009F5DDF" w:rsidP="009F5DDF">
            <w:pPr>
              <w:widowControl w:val="0"/>
              <w:jc w:val="both"/>
              <w:rPr>
                <w:color w:val="000000"/>
                <w:sz w:val="24"/>
                <w:szCs w:val="24"/>
                <w:lang w:eastAsia="es-CR"/>
              </w:rPr>
            </w:pPr>
            <w:r w:rsidRPr="009F5DDF">
              <w:rPr>
                <w:color w:val="000000"/>
                <w:sz w:val="24"/>
                <w:szCs w:val="24"/>
                <w:lang w:eastAsia="es-CR"/>
              </w:rPr>
              <w:t xml:space="preserve">Créditos - Sector Público </w:t>
            </w:r>
          </w:p>
        </w:tc>
      </w:tr>
      <w:tr w:rsidR="009F5DDF" w:rsidRPr="009F5DDF" w14:paraId="66C8910B" w14:textId="77777777" w:rsidTr="009F5C97">
        <w:trPr>
          <w:trHeight w:val="315"/>
        </w:trPr>
        <w:tc>
          <w:tcPr>
            <w:tcW w:w="1263" w:type="pct"/>
            <w:shd w:val="clear" w:color="auto" w:fill="auto"/>
            <w:hideMark/>
          </w:tcPr>
          <w:p w14:paraId="5819494E" w14:textId="77777777" w:rsidR="009F5DDF" w:rsidRPr="009F5DDF" w:rsidRDefault="009F5DDF" w:rsidP="009F5DDF">
            <w:pPr>
              <w:widowControl w:val="0"/>
              <w:jc w:val="both"/>
              <w:rPr>
                <w:b/>
                <w:bCs/>
                <w:color w:val="000000"/>
                <w:sz w:val="24"/>
                <w:szCs w:val="24"/>
                <w:lang w:eastAsia="es-CR"/>
              </w:rPr>
            </w:pPr>
            <w:r w:rsidRPr="009F5DDF">
              <w:rPr>
                <w:color w:val="000000"/>
                <w:sz w:val="24"/>
                <w:szCs w:val="24"/>
                <w:lang w:eastAsia="en-US"/>
              </w:rPr>
              <w:t>133</w:t>
            </w:r>
          </w:p>
        </w:tc>
        <w:tc>
          <w:tcPr>
            <w:tcW w:w="3737" w:type="pct"/>
            <w:shd w:val="clear" w:color="auto" w:fill="auto"/>
            <w:hideMark/>
          </w:tcPr>
          <w:p w14:paraId="5D1E1997" w14:textId="77777777" w:rsidR="009F5DDF" w:rsidRPr="009F5DDF" w:rsidRDefault="009F5DDF" w:rsidP="009F5DDF">
            <w:pPr>
              <w:widowControl w:val="0"/>
              <w:jc w:val="both"/>
              <w:rPr>
                <w:color w:val="000000"/>
                <w:sz w:val="24"/>
                <w:szCs w:val="24"/>
                <w:lang w:eastAsia="es-CR"/>
              </w:rPr>
            </w:pPr>
            <w:r w:rsidRPr="009F5DDF">
              <w:rPr>
                <w:color w:val="000000"/>
                <w:sz w:val="24"/>
                <w:szCs w:val="24"/>
                <w:lang w:eastAsia="es-CR"/>
              </w:rPr>
              <w:t xml:space="preserve">Créditos en cobro judicial  </w:t>
            </w:r>
          </w:p>
        </w:tc>
      </w:tr>
      <w:tr w:rsidR="009F5DDF" w:rsidRPr="009F5DDF" w14:paraId="0B6EBDBB" w14:textId="77777777" w:rsidTr="009F5C97">
        <w:trPr>
          <w:trHeight w:val="315"/>
        </w:trPr>
        <w:tc>
          <w:tcPr>
            <w:tcW w:w="1263" w:type="pct"/>
            <w:shd w:val="clear" w:color="auto" w:fill="auto"/>
            <w:hideMark/>
          </w:tcPr>
          <w:p w14:paraId="37712F02" w14:textId="77777777" w:rsidR="009F5DDF" w:rsidRPr="009F5DDF" w:rsidRDefault="009F5DDF" w:rsidP="009F5DDF">
            <w:pPr>
              <w:widowControl w:val="0"/>
              <w:jc w:val="both"/>
              <w:rPr>
                <w:b/>
                <w:bCs/>
                <w:color w:val="000000"/>
                <w:sz w:val="24"/>
                <w:szCs w:val="24"/>
                <w:lang w:eastAsia="es-CR"/>
              </w:rPr>
            </w:pPr>
            <w:r w:rsidRPr="009F5DDF">
              <w:rPr>
                <w:color w:val="000000"/>
                <w:sz w:val="24"/>
                <w:szCs w:val="24"/>
                <w:lang w:eastAsia="es-CR"/>
              </w:rPr>
              <w:t xml:space="preserve">Excepto: 133.35 </w:t>
            </w:r>
          </w:p>
        </w:tc>
        <w:tc>
          <w:tcPr>
            <w:tcW w:w="3737" w:type="pct"/>
            <w:shd w:val="clear" w:color="auto" w:fill="auto"/>
            <w:hideMark/>
          </w:tcPr>
          <w:p w14:paraId="0C253BAB" w14:textId="77777777" w:rsidR="009F5DDF" w:rsidRPr="009F5DDF" w:rsidRDefault="009F5DDF" w:rsidP="009F5DDF">
            <w:pPr>
              <w:widowControl w:val="0"/>
              <w:jc w:val="both"/>
              <w:rPr>
                <w:color w:val="000000"/>
                <w:sz w:val="24"/>
                <w:szCs w:val="24"/>
                <w:lang w:eastAsia="es-CR"/>
              </w:rPr>
            </w:pPr>
            <w:r w:rsidRPr="009F5DDF">
              <w:rPr>
                <w:color w:val="000000"/>
                <w:sz w:val="24"/>
                <w:szCs w:val="24"/>
                <w:lang w:eastAsia="es-CR"/>
              </w:rPr>
              <w:t xml:space="preserve">Créditos - Sector Público </w:t>
            </w:r>
          </w:p>
        </w:tc>
      </w:tr>
      <w:tr w:rsidR="009F5DDF" w:rsidRPr="009F5DDF" w14:paraId="51193368" w14:textId="77777777" w:rsidTr="009F5C97">
        <w:trPr>
          <w:trHeight w:val="315"/>
        </w:trPr>
        <w:tc>
          <w:tcPr>
            <w:tcW w:w="1263" w:type="pct"/>
            <w:shd w:val="clear" w:color="auto" w:fill="auto"/>
            <w:hideMark/>
          </w:tcPr>
          <w:p w14:paraId="327161A9" w14:textId="77777777" w:rsidR="009F5DDF" w:rsidRPr="009F5DDF" w:rsidRDefault="009F5DDF" w:rsidP="009F5DDF">
            <w:pPr>
              <w:widowControl w:val="0"/>
              <w:jc w:val="both"/>
              <w:rPr>
                <w:b/>
                <w:bCs/>
                <w:color w:val="000000"/>
                <w:sz w:val="24"/>
                <w:szCs w:val="24"/>
                <w:lang w:eastAsia="es-CR"/>
              </w:rPr>
            </w:pPr>
            <w:r w:rsidRPr="009F5DDF">
              <w:rPr>
                <w:color w:val="000000"/>
                <w:sz w:val="24"/>
                <w:szCs w:val="24"/>
                <w:lang w:eastAsia="es-CR"/>
              </w:rPr>
              <w:t>134</w:t>
            </w:r>
          </w:p>
        </w:tc>
        <w:tc>
          <w:tcPr>
            <w:tcW w:w="3737" w:type="pct"/>
            <w:shd w:val="clear" w:color="auto" w:fill="auto"/>
            <w:hideMark/>
          </w:tcPr>
          <w:p w14:paraId="42BC691C" w14:textId="77777777" w:rsidR="009F5DDF" w:rsidRPr="009F5DDF" w:rsidRDefault="009F5DDF" w:rsidP="009F5DDF">
            <w:pPr>
              <w:widowControl w:val="0"/>
              <w:jc w:val="both"/>
              <w:rPr>
                <w:color w:val="000000"/>
                <w:sz w:val="24"/>
                <w:szCs w:val="24"/>
                <w:lang w:eastAsia="es-CR"/>
              </w:rPr>
            </w:pPr>
            <w:r w:rsidRPr="009F5DDF">
              <w:rPr>
                <w:color w:val="000000"/>
                <w:sz w:val="24"/>
                <w:szCs w:val="24"/>
                <w:lang w:eastAsia="es-CR"/>
              </w:rPr>
              <w:t xml:space="preserve">Créditos restringidos </w:t>
            </w:r>
          </w:p>
        </w:tc>
      </w:tr>
    </w:tbl>
    <w:p w14:paraId="4ED60D9F" w14:textId="77777777" w:rsidR="009F5DDF" w:rsidRPr="009F5DDF" w:rsidRDefault="009F5DDF" w:rsidP="009F5DDF">
      <w:pPr>
        <w:widowControl w:val="0"/>
        <w:ind w:left="131"/>
        <w:jc w:val="both"/>
        <w:rPr>
          <w:color w:val="000000"/>
          <w:sz w:val="24"/>
          <w:szCs w:val="24"/>
          <w:lang w:eastAsia="es-CR"/>
        </w:rPr>
      </w:pPr>
    </w:p>
    <w:p w14:paraId="04D57BBC" w14:textId="77777777" w:rsidR="009F5DDF" w:rsidRPr="009F5DDF" w:rsidRDefault="009F5DDF" w:rsidP="009F5DDF">
      <w:pPr>
        <w:widowControl w:val="0"/>
        <w:ind w:left="131"/>
        <w:jc w:val="both"/>
        <w:rPr>
          <w:b/>
          <w:bCs/>
          <w:color w:val="000000"/>
          <w:sz w:val="24"/>
          <w:szCs w:val="24"/>
          <w:lang w:eastAsia="es-CR"/>
        </w:rPr>
      </w:pPr>
      <w:r w:rsidRPr="009F5DDF">
        <w:rPr>
          <w:b/>
          <w:bCs/>
          <w:color w:val="000000"/>
          <w:sz w:val="24"/>
          <w:szCs w:val="24"/>
          <w:lang w:eastAsia="en-US"/>
        </w:rPr>
        <w:t>Cuentas y Productos por Cobrar (*)</w:t>
      </w:r>
    </w:p>
    <w:p w14:paraId="0CF88F27" w14:textId="77777777" w:rsidR="009F5DDF" w:rsidRPr="009F5DDF" w:rsidRDefault="009F5DDF" w:rsidP="009F5DDF">
      <w:pPr>
        <w:widowControl w:val="0"/>
        <w:ind w:left="131"/>
        <w:jc w:val="both"/>
        <w:rPr>
          <w:color w:val="000000"/>
          <w:sz w:val="24"/>
          <w:szCs w:val="24"/>
          <w:lang w:eastAsia="es-CR"/>
        </w:rPr>
      </w:pPr>
    </w:p>
    <w:tbl>
      <w:tblPr>
        <w:tblW w:w="5000" w:type="pct"/>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4A0" w:firstRow="1" w:lastRow="0" w:firstColumn="1" w:lastColumn="0" w:noHBand="0" w:noVBand="1"/>
      </w:tblPr>
      <w:tblGrid>
        <w:gridCol w:w="2292"/>
        <w:gridCol w:w="6760"/>
      </w:tblGrid>
      <w:tr w:rsidR="009F5DDF" w:rsidRPr="009F5DDF" w14:paraId="4C42467B" w14:textId="77777777" w:rsidTr="009F5C97">
        <w:trPr>
          <w:trHeight w:val="615"/>
        </w:trPr>
        <w:tc>
          <w:tcPr>
            <w:tcW w:w="1266" w:type="pct"/>
            <w:shd w:val="clear" w:color="auto" w:fill="auto"/>
            <w:hideMark/>
          </w:tcPr>
          <w:p w14:paraId="369872F5" w14:textId="77777777" w:rsidR="009F5DDF" w:rsidRPr="009F5DDF" w:rsidRDefault="009F5DDF" w:rsidP="009F5DDF">
            <w:pPr>
              <w:widowControl w:val="0"/>
              <w:jc w:val="both"/>
              <w:rPr>
                <w:b/>
                <w:bCs/>
                <w:color w:val="000000"/>
                <w:sz w:val="24"/>
                <w:szCs w:val="24"/>
                <w:lang w:eastAsia="es-CR"/>
              </w:rPr>
            </w:pPr>
            <w:r w:rsidRPr="009F5DDF">
              <w:rPr>
                <w:color w:val="000000"/>
                <w:sz w:val="24"/>
                <w:szCs w:val="24"/>
                <w:lang w:eastAsia="en-US"/>
              </w:rPr>
              <w:t>128</w:t>
            </w:r>
          </w:p>
        </w:tc>
        <w:tc>
          <w:tcPr>
            <w:tcW w:w="3734" w:type="pct"/>
            <w:shd w:val="clear" w:color="auto" w:fill="auto"/>
            <w:hideMark/>
          </w:tcPr>
          <w:p w14:paraId="117EE5CB" w14:textId="77777777" w:rsidR="009F5DDF" w:rsidRPr="009F5DDF" w:rsidRDefault="009F5DDF" w:rsidP="009F5DDF">
            <w:pPr>
              <w:widowControl w:val="0"/>
              <w:jc w:val="both"/>
              <w:rPr>
                <w:b/>
                <w:bCs/>
                <w:color w:val="000000"/>
                <w:sz w:val="24"/>
                <w:szCs w:val="24"/>
                <w:lang w:eastAsia="es-CR"/>
              </w:rPr>
            </w:pPr>
            <w:r w:rsidRPr="009F5DDF">
              <w:rPr>
                <w:color w:val="000000"/>
                <w:sz w:val="24"/>
                <w:szCs w:val="24"/>
                <w:lang w:eastAsia="es-CR"/>
              </w:rPr>
              <w:t xml:space="preserve">Cuentas y productos por cobrar asociados a inversiones en instrumentos financieros </w:t>
            </w:r>
          </w:p>
        </w:tc>
      </w:tr>
      <w:tr w:rsidR="009F5DDF" w:rsidRPr="009F5DDF" w14:paraId="405F9A5B" w14:textId="77777777" w:rsidTr="009F5C97">
        <w:trPr>
          <w:trHeight w:val="413"/>
        </w:trPr>
        <w:tc>
          <w:tcPr>
            <w:tcW w:w="1266" w:type="pct"/>
            <w:shd w:val="clear" w:color="auto" w:fill="auto"/>
            <w:hideMark/>
          </w:tcPr>
          <w:p w14:paraId="2596BD31" w14:textId="77777777" w:rsidR="009F5DDF" w:rsidRPr="009F5DDF" w:rsidRDefault="009F5DDF" w:rsidP="009F5DDF">
            <w:pPr>
              <w:widowControl w:val="0"/>
              <w:jc w:val="both"/>
              <w:rPr>
                <w:b/>
                <w:bCs/>
                <w:color w:val="000000"/>
                <w:sz w:val="24"/>
                <w:szCs w:val="24"/>
                <w:lang w:eastAsia="es-CR"/>
              </w:rPr>
            </w:pPr>
            <w:r w:rsidRPr="009F5DDF">
              <w:rPr>
                <w:color w:val="000000"/>
                <w:sz w:val="24"/>
                <w:szCs w:val="24"/>
                <w:lang w:eastAsia="en-US"/>
              </w:rPr>
              <w:t>138</w:t>
            </w:r>
          </w:p>
        </w:tc>
        <w:tc>
          <w:tcPr>
            <w:tcW w:w="3734" w:type="pct"/>
            <w:shd w:val="clear" w:color="auto" w:fill="auto"/>
            <w:hideMark/>
          </w:tcPr>
          <w:p w14:paraId="22E4D8D8" w14:textId="77777777" w:rsidR="009F5DDF" w:rsidRPr="009F5DDF" w:rsidRDefault="009F5DDF" w:rsidP="009F5DDF">
            <w:pPr>
              <w:widowControl w:val="0"/>
              <w:jc w:val="both"/>
              <w:rPr>
                <w:color w:val="000000"/>
                <w:sz w:val="24"/>
                <w:szCs w:val="24"/>
                <w:lang w:eastAsia="es-CR"/>
              </w:rPr>
            </w:pPr>
            <w:r w:rsidRPr="009F5DDF">
              <w:rPr>
                <w:color w:val="000000"/>
                <w:sz w:val="24"/>
                <w:szCs w:val="24"/>
                <w:lang w:eastAsia="es-CR"/>
              </w:rPr>
              <w:t xml:space="preserve">Cuentas y productos por cobrar asociados a cartera de créditos </w:t>
            </w:r>
          </w:p>
        </w:tc>
      </w:tr>
      <w:tr w:rsidR="009F5DDF" w:rsidRPr="009F5DDF" w14:paraId="188E99BC" w14:textId="77777777" w:rsidTr="009F5C97">
        <w:trPr>
          <w:trHeight w:val="315"/>
        </w:trPr>
        <w:tc>
          <w:tcPr>
            <w:tcW w:w="1266" w:type="pct"/>
            <w:shd w:val="clear" w:color="auto" w:fill="auto"/>
            <w:hideMark/>
          </w:tcPr>
          <w:p w14:paraId="2EB15E44" w14:textId="77777777" w:rsidR="009F5DDF" w:rsidRPr="009F5DDF" w:rsidRDefault="009F5DDF" w:rsidP="009F5DDF">
            <w:pPr>
              <w:widowControl w:val="0"/>
              <w:jc w:val="both"/>
              <w:rPr>
                <w:b/>
                <w:bCs/>
                <w:color w:val="000000"/>
                <w:sz w:val="24"/>
                <w:szCs w:val="24"/>
                <w:lang w:eastAsia="es-CR"/>
              </w:rPr>
            </w:pPr>
            <w:r w:rsidRPr="009F5DDF">
              <w:rPr>
                <w:color w:val="000000"/>
                <w:sz w:val="24"/>
                <w:szCs w:val="24"/>
                <w:lang w:eastAsia="en-US"/>
              </w:rPr>
              <w:t xml:space="preserve">Excepto: 138.35 </w:t>
            </w:r>
          </w:p>
        </w:tc>
        <w:tc>
          <w:tcPr>
            <w:tcW w:w="3734" w:type="pct"/>
            <w:shd w:val="clear" w:color="auto" w:fill="auto"/>
            <w:hideMark/>
          </w:tcPr>
          <w:p w14:paraId="657A1BEF" w14:textId="77777777" w:rsidR="009F5DDF" w:rsidRPr="009F5DDF" w:rsidRDefault="009F5DDF" w:rsidP="009F5DDF">
            <w:pPr>
              <w:widowControl w:val="0"/>
              <w:jc w:val="both"/>
              <w:rPr>
                <w:color w:val="000000"/>
                <w:sz w:val="24"/>
                <w:szCs w:val="24"/>
                <w:lang w:eastAsia="es-CR"/>
              </w:rPr>
            </w:pPr>
            <w:r w:rsidRPr="009F5DDF">
              <w:rPr>
                <w:color w:val="000000"/>
                <w:sz w:val="24"/>
                <w:szCs w:val="24"/>
                <w:lang w:eastAsia="es-CR"/>
              </w:rPr>
              <w:t xml:space="preserve">Productos por cobrar por Créditos - Sector Público </w:t>
            </w:r>
          </w:p>
        </w:tc>
      </w:tr>
      <w:tr w:rsidR="009F5DDF" w:rsidRPr="009F5DDF" w14:paraId="62B682B4" w14:textId="77777777" w:rsidTr="009F5C97">
        <w:trPr>
          <w:trHeight w:val="315"/>
        </w:trPr>
        <w:tc>
          <w:tcPr>
            <w:tcW w:w="1266" w:type="pct"/>
            <w:shd w:val="clear" w:color="auto" w:fill="auto"/>
            <w:hideMark/>
          </w:tcPr>
          <w:p w14:paraId="31AC8914" w14:textId="77777777" w:rsidR="009F5DDF" w:rsidRPr="009F5DDF" w:rsidRDefault="009F5DDF" w:rsidP="009F5DDF">
            <w:pPr>
              <w:widowControl w:val="0"/>
              <w:jc w:val="both"/>
              <w:rPr>
                <w:b/>
                <w:bCs/>
                <w:color w:val="000000"/>
                <w:sz w:val="24"/>
                <w:szCs w:val="24"/>
                <w:lang w:eastAsia="es-CR"/>
              </w:rPr>
            </w:pPr>
            <w:r w:rsidRPr="009F5DDF">
              <w:rPr>
                <w:color w:val="000000"/>
                <w:sz w:val="24"/>
                <w:szCs w:val="24"/>
                <w:lang w:eastAsia="en-US"/>
              </w:rPr>
              <w:t>142</w:t>
            </w:r>
          </w:p>
        </w:tc>
        <w:tc>
          <w:tcPr>
            <w:tcW w:w="3734" w:type="pct"/>
            <w:shd w:val="clear" w:color="auto" w:fill="auto"/>
            <w:hideMark/>
          </w:tcPr>
          <w:p w14:paraId="43139E8E" w14:textId="77777777" w:rsidR="009F5DDF" w:rsidRPr="009F5DDF" w:rsidRDefault="009F5DDF" w:rsidP="009F5DDF">
            <w:pPr>
              <w:widowControl w:val="0"/>
              <w:jc w:val="both"/>
              <w:rPr>
                <w:color w:val="000000"/>
                <w:sz w:val="24"/>
                <w:szCs w:val="24"/>
                <w:lang w:eastAsia="es-CR"/>
              </w:rPr>
            </w:pPr>
            <w:r w:rsidRPr="009F5DDF">
              <w:rPr>
                <w:color w:val="000000"/>
                <w:sz w:val="24"/>
                <w:szCs w:val="24"/>
                <w:lang w:eastAsia="es-CR"/>
              </w:rPr>
              <w:t xml:space="preserve">Comisiones por cobrar  </w:t>
            </w:r>
          </w:p>
        </w:tc>
      </w:tr>
      <w:tr w:rsidR="009F5DDF" w:rsidRPr="009F5DDF" w14:paraId="489A4BF4" w14:textId="77777777" w:rsidTr="009F5C97">
        <w:trPr>
          <w:trHeight w:val="443"/>
        </w:trPr>
        <w:tc>
          <w:tcPr>
            <w:tcW w:w="1266" w:type="pct"/>
            <w:shd w:val="clear" w:color="auto" w:fill="auto"/>
            <w:hideMark/>
          </w:tcPr>
          <w:p w14:paraId="0EC11A6C" w14:textId="77777777" w:rsidR="009F5DDF" w:rsidRPr="009F5DDF" w:rsidRDefault="009F5DDF" w:rsidP="009F5DDF">
            <w:pPr>
              <w:widowControl w:val="0"/>
              <w:jc w:val="both"/>
              <w:rPr>
                <w:b/>
                <w:bCs/>
                <w:color w:val="000000"/>
                <w:sz w:val="24"/>
                <w:szCs w:val="24"/>
                <w:lang w:eastAsia="es-CR"/>
              </w:rPr>
            </w:pPr>
            <w:r w:rsidRPr="009F5DDF">
              <w:rPr>
                <w:color w:val="000000"/>
                <w:sz w:val="24"/>
                <w:szCs w:val="24"/>
                <w:lang w:eastAsia="es-CR"/>
              </w:rPr>
              <w:t>145</w:t>
            </w:r>
          </w:p>
        </w:tc>
        <w:tc>
          <w:tcPr>
            <w:tcW w:w="3734" w:type="pct"/>
            <w:shd w:val="clear" w:color="auto" w:fill="auto"/>
            <w:hideMark/>
          </w:tcPr>
          <w:p w14:paraId="211F4B59" w14:textId="77777777" w:rsidR="009F5DDF" w:rsidRPr="009F5DDF" w:rsidRDefault="009F5DDF" w:rsidP="009F5DDF">
            <w:pPr>
              <w:widowControl w:val="0"/>
              <w:jc w:val="both"/>
              <w:rPr>
                <w:color w:val="000000"/>
                <w:sz w:val="24"/>
                <w:szCs w:val="24"/>
                <w:lang w:eastAsia="es-CR"/>
              </w:rPr>
            </w:pPr>
            <w:r w:rsidRPr="009F5DDF">
              <w:rPr>
                <w:color w:val="000000"/>
                <w:sz w:val="24"/>
                <w:szCs w:val="24"/>
                <w:lang w:eastAsia="es-CR"/>
              </w:rPr>
              <w:t xml:space="preserve">Cuentas por cobrar por operaciones con partes relacionadas </w:t>
            </w:r>
          </w:p>
        </w:tc>
      </w:tr>
      <w:tr w:rsidR="009F5DDF" w:rsidRPr="009F5DDF" w14:paraId="0B34882A" w14:textId="77777777" w:rsidTr="009F5C97">
        <w:trPr>
          <w:trHeight w:val="315"/>
        </w:trPr>
        <w:tc>
          <w:tcPr>
            <w:tcW w:w="1266" w:type="pct"/>
            <w:shd w:val="clear" w:color="auto" w:fill="auto"/>
            <w:hideMark/>
          </w:tcPr>
          <w:p w14:paraId="6260B970" w14:textId="77777777" w:rsidR="009F5DDF" w:rsidRPr="009F5DDF" w:rsidRDefault="009F5DDF" w:rsidP="009F5DDF">
            <w:pPr>
              <w:widowControl w:val="0"/>
              <w:jc w:val="both"/>
              <w:rPr>
                <w:b/>
                <w:bCs/>
                <w:color w:val="000000"/>
                <w:sz w:val="24"/>
                <w:szCs w:val="24"/>
                <w:lang w:eastAsia="es-CR"/>
              </w:rPr>
            </w:pPr>
            <w:r w:rsidRPr="009F5DDF">
              <w:rPr>
                <w:color w:val="000000"/>
                <w:sz w:val="24"/>
                <w:szCs w:val="24"/>
                <w:lang w:eastAsia="es-CR"/>
              </w:rPr>
              <w:t>147</w:t>
            </w:r>
          </w:p>
        </w:tc>
        <w:tc>
          <w:tcPr>
            <w:tcW w:w="3734" w:type="pct"/>
            <w:shd w:val="clear" w:color="auto" w:fill="auto"/>
            <w:hideMark/>
          </w:tcPr>
          <w:p w14:paraId="33B6E9CF" w14:textId="77777777" w:rsidR="009F5DDF" w:rsidRPr="009F5DDF" w:rsidRDefault="009F5DDF" w:rsidP="009F5DDF">
            <w:pPr>
              <w:widowControl w:val="0"/>
              <w:jc w:val="both"/>
              <w:rPr>
                <w:color w:val="000000"/>
                <w:sz w:val="24"/>
                <w:szCs w:val="24"/>
                <w:lang w:eastAsia="es-CR"/>
              </w:rPr>
            </w:pPr>
            <w:r w:rsidRPr="009F5DDF">
              <w:rPr>
                <w:color w:val="000000"/>
                <w:sz w:val="24"/>
                <w:szCs w:val="24"/>
                <w:lang w:eastAsia="es-CR"/>
              </w:rPr>
              <w:t xml:space="preserve">Otras cuentas por cobrar </w:t>
            </w:r>
          </w:p>
        </w:tc>
      </w:tr>
      <w:tr w:rsidR="009F5DDF" w:rsidRPr="009F5DDF" w14:paraId="16FEDAF3" w14:textId="77777777" w:rsidTr="009F5C97">
        <w:trPr>
          <w:trHeight w:val="342"/>
        </w:trPr>
        <w:tc>
          <w:tcPr>
            <w:tcW w:w="1266" w:type="pct"/>
            <w:shd w:val="clear" w:color="auto" w:fill="auto"/>
            <w:hideMark/>
          </w:tcPr>
          <w:p w14:paraId="79585E30" w14:textId="77777777" w:rsidR="009F5DDF" w:rsidRPr="009F5DDF" w:rsidRDefault="009F5DDF" w:rsidP="009F5DDF">
            <w:pPr>
              <w:widowControl w:val="0"/>
              <w:jc w:val="both"/>
              <w:rPr>
                <w:b/>
                <w:bCs/>
                <w:color w:val="000000"/>
                <w:sz w:val="24"/>
                <w:szCs w:val="24"/>
                <w:lang w:eastAsia="es-CR"/>
              </w:rPr>
            </w:pPr>
            <w:r w:rsidRPr="009F5DDF">
              <w:rPr>
                <w:color w:val="000000"/>
                <w:sz w:val="24"/>
                <w:szCs w:val="24"/>
                <w:lang w:eastAsia="es-CR"/>
              </w:rPr>
              <w:t>148</w:t>
            </w:r>
          </w:p>
        </w:tc>
        <w:tc>
          <w:tcPr>
            <w:tcW w:w="3734" w:type="pct"/>
            <w:shd w:val="clear" w:color="auto" w:fill="auto"/>
            <w:hideMark/>
          </w:tcPr>
          <w:p w14:paraId="4E225AB6" w14:textId="77777777" w:rsidR="009F5DDF" w:rsidRPr="009F5DDF" w:rsidRDefault="009F5DDF" w:rsidP="009F5DDF">
            <w:pPr>
              <w:widowControl w:val="0"/>
              <w:jc w:val="both"/>
              <w:rPr>
                <w:color w:val="000000"/>
                <w:sz w:val="24"/>
                <w:szCs w:val="24"/>
                <w:lang w:eastAsia="es-CR"/>
              </w:rPr>
            </w:pPr>
            <w:r w:rsidRPr="009F5DDF">
              <w:rPr>
                <w:color w:val="000000"/>
                <w:sz w:val="24"/>
                <w:szCs w:val="24"/>
                <w:lang w:eastAsia="es-CR"/>
              </w:rPr>
              <w:t xml:space="preserve">Productos por cobrar asociados a las cuentas por cobrar </w:t>
            </w:r>
          </w:p>
        </w:tc>
      </w:tr>
    </w:tbl>
    <w:p w14:paraId="4A226628" w14:textId="77777777" w:rsidR="009F5DDF" w:rsidRPr="009F5DDF" w:rsidRDefault="009F5DDF" w:rsidP="009F5DDF">
      <w:pPr>
        <w:widowControl w:val="0"/>
        <w:tabs>
          <w:tab w:val="left" w:pos="4527"/>
        </w:tabs>
        <w:ind w:firstLineChars="13" w:firstLine="31"/>
        <w:jc w:val="both"/>
        <w:rPr>
          <w:color w:val="000000"/>
          <w:sz w:val="24"/>
          <w:szCs w:val="24"/>
          <w:lang w:eastAsia="es-CR"/>
        </w:rPr>
      </w:pPr>
    </w:p>
    <w:p w14:paraId="24B5EA1E" w14:textId="77777777" w:rsidR="009F5DDF" w:rsidRPr="009F5DDF" w:rsidRDefault="009F5DDF" w:rsidP="009F5DDF">
      <w:pPr>
        <w:widowControl w:val="0"/>
        <w:ind w:left="113"/>
        <w:jc w:val="both"/>
        <w:rPr>
          <w:b/>
          <w:bCs/>
          <w:color w:val="000000"/>
          <w:sz w:val="24"/>
          <w:szCs w:val="24"/>
          <w:lang w:eastAsia="en-US"/>
        </w:rPr>
      </w:pPr>
      <w:r w:rsidRPr="009F5DDF">
        <w:rPr>
          <w:b/>
          <w:bCs/>
          <w:color w:val="000000"/>
          <w:sz w:val="24"/>
          <w:szCs w:val="24"/>
          <w:lang w:eastAsia="en-US"/>
        </w:rPr>
        <w:t>Cuentas Contingentes Deudoras</w:t>
      </w:r>
    </w:p>
    <w:p w14:paraId="71E355B7" w14:textId="77777777" w:rsidR="009F5DDF" w:rsidRPr="009F5DDF" w:rsidRDefault="009F5DDF" w:rsidP="009F5DDF">
      <w:pPr>
        <w:widowControl w:val="0"/>
        <w:tabs>
          <w:tab w:val="left" w:pos="4527"/>
        </w:tabs>
        <w:ind w:left="113"/>
        <w:jc w:val="both"/>
        <w:rPr>
          <w:color w:val="000000"/>
          <w:sz w:val="24"/>
          <w:szCs w:val="24"/>
          <w:lang w:eastAsia="es-CR"/>
        </w:rPr>
      </w:pPr>
    </w:p>
    <w:tbl>
      <w:tblPr>
        <w:tblW w:w="5000" w:type="pct"/>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4A0" w:firstRow="1" w:lastRow="0" w:firstColumn="1" w:lastColumn="0" w:noHBand="0" w:noVBand="1"/>
      </w:tblPr>
      <w:tblGrid>
        <w:gridCol w:w="2292"/>
        <w:gridCol w:w="6760"/>
      </w:tblGrid>
      <w:tr w:rsidR="009F5DDF" w:rsidRPr="00A05131" w14:paraId="77528B93" w14:textId="77777777" w:rsidTr="009F5C97">
        <w:trPr>
          <w:trHeight w:val="315"/>
        </w:trPr>
        <w:tc>
          <w:tcPr>
            <w:tcW w:w="1266" w:type="pct"/>
            <w:shd w:val="clear" w:color="auto" w:fill="auto"/>
            <w:hideMark/>
          </w:tcPr>
          <w:p w14:paraId="395C3EFF" w14:textId="77777777" w:rsidR="009F5DDF" w:rsidRPr="00A05131" w:rsidRDefault="009F5DDF" w:rsidP="009F5DDF">
            <w:pPr>
              <w:widowControl w:val="0"/>
              <w:jc w:val="both"/>
              <w:rPr>
                <w:b/>
                <w:bCs/>
                <w:color w:val="000000"/>
                <w:sz w:val="24"/>
                <w:szCs w:val="24"/>
                <w:lang w:eastAsia="es-CR"/>
              </w:rPr>
            </w:pPr>
            <w:r w:rsidRPr="00A05131">
              <w:rPr>
                <w:color w:val="000000"/>
                <w:sz w:val="24"/>
                <w:szCs w:val="24"/>
                <w:lang w:eastAsia="es-CR"/>
              </w:rPr>
              <w:t xml:space="preserve">611.01.M.02 </w:t>
            </w:r>
          </w:p>
        </w:tc>
        <w:tc>
          <w:tcPr>
            <w:tcW w:w="3734" w:type="pct"/>
            <w:shd w:val="clear" w:color="auto" w:fill="auto"/>
            <w:hideMark/>
          </w:tcPr>
          <w:p w14:paraId="22E99DAC" w14:textId="77777777" w:rsidR="009F5DDF" w:rsidRPr="00A05131" w:rsidRDefault="009F5DDF" w:rsidP="009F5DDF">
            <w:pPr>
              <w:widowControl w:val="0"/>
              <w:jc w:val="both"/>
              <w:rPr>
                <w:b/>
                <w:bCs/>
                <w:color w:val="000000"/>
                <w:sz w:val="24"/>
                <w:szCs w:val="24"/>
                <w:lang w:eastAsia="es-CR"/>
              </w:rPr>
            </w:pPr>
            <w:r w:rsidRPr="00A05131">
              <w:rPr>
                <w:color w:val="000000"/>
                <w:sz w:val="24"/>
                <w:szCs w:val="24"/>
                <w:lang w:eastAsia="es-CR"/>
              </w:rPr>
              <w:t xml:space="preserve">Avales saldo sin depósito previo </w:t>
            </w:r>
          </w:p>
        </w:tc>
      </w:tr>
      <w:tr w:rsidR="009F5DDF" w:rsidRPr="00A05131" w14:paraId="1526E199" w14:textId="77777777" w:rsidTr="009F5C97">
        <w:trPr>
          <w:trHeight w:val="315"/>
        </w:trPr>
        <w:tc>
          <w:tcPr>
            <w:tcW w:w="1266" w:type="pct"/>
            <w:shd w:val="clear" w:color="auto" w:fill="auto"/>
            <w:hideMark/>
          </w:tcPr>
          <w:p w14:paraId="34C17A2B" w14:textId="77777777" w:rsidR="009F5DDF" w:rsidRPr="00A05131" w:rsidRDefault="009F5DDF" w:rsidP="009F5DDF">
            <w:pPr>
              <w:widowControl w:val="0"/>
              <w:jc w:val="both"/>
              <w:rPr>
                <w:b/>
                <w:bCs/>
                <w:color w:val="000000"/>
                <w:sz w:val="24"/>
                <w:szCs w:val="24"/>
                <w:lang w:eastAsia="es-CR"/>
              </w:rPr>
            </w:pPr>
            <w:r w:rsidRPr="00A05131">
              <w:rPr>
                <w:color w:val="000000"/>
                <w:sz w:val="24"/>
                <w:szCs w:val="24"/>
                <w:lang w:eastAsia="es-CR"/>
              </w:rPr>
              <w:t xml:space="preserve">611.02.M.02 </w:t>
            </w:r>
          </w:p>
        </w:tc>
        <w:tc>
          <w:tcPr>
            <w:tcW w:w="3734" w:type="pct"/>
            <w:shd w:val="clear" w:color="auto" w:fill="auto"/>
            <w:hideMark/>
          </w:tcPr>
          <w:p w14:paraId="7D788F85" w14:textId="77777777" w:rsidR="009F5DDF" w:rsidRPr="00A05131" w:rsidRDefault="009F5DDF" w:rsidP="009F5DDF">
            <w:pPr>
              <w:widowControl w:val="0"/>
              <w:jc w:val="both"/>
              <w:rPr>
                <w:color w:val="000000"/>
                <w:sz w:val="24"/>
                <w:szCs w:val="24"/>
                <w:lang w:eastAsia="es-CR"/>
              </w:rPr>
            </w:pPr>
            <w:r w:rsidRPr="00A05131">
              <w:rPr>
                <w:color w:val="000000"/>
                <w:sz w:val="24"/>
                <w:szCs w:val="24"/>
                <w:lang w:eastAsia="es-CR"/>
              </w:rPr>
              <w:t xml:space="preserve">Garantías de cumplimiento saldo sin depósito previo </w:t>
            </w:r>
          </w:p>
        </w:tc>
      </w:tr>
      <w:tr w:rsidR="009F5DDF" w:rsidRPr="00A05131" w14:paraId="400ADB67" w14:textId="77777777" w:rsidTr="009F5C97">
        <w:trPr>
          <w:trHeight w:val="315"/>
        </w:trPr>
        <w:tc>
          <w:tcPr>
            <w:tcW w:w="1266" w:type="pct"/>
            <w:shd w:val="clear" w:color="auto" w:fill="auto"/>
            <w:hideMark/>
          </w:tcPr>
          <w:p w14:paraId="0FA95CDD" w14:textId="77777777" w:rsidR="009F5DDF" w:rsidRPr="00A05131" w:rsidRDefault="009F5DDF" w:rsidP="009F5DDF">
            <w:pPr>
              <w:widowControl w:val="0"/>
              <w:jc w:val="both"/>
              <w:rPr>
                <w:b/>
                <w:bCs/>
                <w:color w:val="000000"/>
                <w:sz w:val="24"/>
                <w:szCs w:val="24"/>
                <w:lang w:eastAsia="es-CR"/>
              </w:rPr>
            </w:pPr>
            <w:r w:rsidRPr="00A05131">
              <w:rPr>
                <w:color w:val="000000"/>
                <w:sz w:val="24"/>
                <w:szCs w:val="24"/>
                <w:lang w:eastAsia="es-CR"/>
              </w:rPr>
              <w:t xml:space="preserve">611.03.M.02 </w:t>
            </w:r>
          </w:p>
        </w:tc>
        <w:tc>
          <w:tcPr>
            <w:tcW w:w="3734" w:type="pct"/>
            <w:shd w:val="clear" w:color="auto" w:fill="auto"/>
            <w:hideMark/>
          </w:tcPr>
          <w:p w14:paraId="6F5C3930" w14:textId="77777777" w:rsidR="009F5DDF" w:rsidRPr="00A05131" w:rsidRDefault="009F5DDF" w:rsidP="009F5DDF">
            <w:pPr>
              <w:widowControl w:val="0"/>
              <w:jc w:val="both"/>
              <w:rPr>
                <w:color w:val="000000"/>
                <w:sz w:val="24"/>
                <w:szCs w:val="24"/>
                <w:lang w:eastAsia="es-CR"/>
              </w:rPr>
            </w:pPr>
            <w:r w:rsidRPr="00A05131">
              <w:rPr>
                <w:color w:val="000000"/>
                <w:sz w:val="24"/>
                <w:szCs w:val="24"/>
                <w:lang w:eastAsia="es-CR"/>
              </w:rPr>
              <w:t xml:space="preserve">Garantías de participación saldo sin depósito previo </w:t>
            </w:r>
          </w:p>
        </w:tc>
      </w:tr>
      <w:tr w:rsidR="009F5DDF" w:rsidRPr="00A05131" w14:paraId="634F4847" w14:textId="77777777" w:rsidTr="009F5C97">
        <w:trPr>
          <w:trHeight w:val="315"/>
        </w:trPr>
        <w:tc>
          <w:tcPr>
            <w:tcW w:w="1266" w:type="pct"/>
            <w:shd w:val="clear" w:color="auto" w:fill="auto"/>
            <w:hideMark/>
          </w:tcPr>
          <w:p w14:paraId="7B8FC6B8" w14:textId="77777777" w:rsidR="009F5DDF" w:rsidRPr="00A05131" w:rsidRDefault="009F5DDF" w:rsidP="009F5DDF">
            <w:pPr>
              <w:widowControl w:val="0"/>
              <w:jc w:val="both"/>
              <w:rPr>
                <w:b/>
                <w:bCs/>
                <w:color w:val="000000"/>
                <w:sz w:val="24"/>
                <w:szCs w:val="24"/>
                <w:lang w:eastAsia="es-CR"/>
              </w:rPr>
            </w:pPr>
            <w:r w:rsidRPr="00A05131">
              <w:rPr>
                <w:color w:val="000000"/>
                <w:sz w:val="24"/>
                <w:szCs w:val="24"/>
                <w:lang w:eastAsia="es-CR"/>
              </w:rPr>
              <w:t xml:space="preserve">611.04.M.02 </w:t>
            </w:r>
          </w:p>
        </w:tc>
        <w:tc>
          <w:tcPr>
            <w:tcW w:w="3734" w:type="pct"/>
            <w:shd w:val="clear" w:color="auto" w:fill="auto"/>
            <w:hideMark/>
          </w:tcPr>
          <w:p w14:paraId="55C78BE9" w14:textId="77777777" w:rsidR="009F5DDF" w:rsidRPr="00A05131" w:rsidRDefault="009F5DDF" w:rsidP="009F5DDF">
            <w:pPr>
              <w:widowControl w:val="0"/>
              <w:jc w:val="both"/>
              <w:rPr>
                <w:color w:val="000000"/>
                <w:sz w:val="24"/>
                <w:szCs w:val="24"/>
                <w:lang w:eastAsia="es-CR"/>
              </w:rPr>
            </w:pPr>
            <w:r w:rsidRPr="00A05131">
              <w:rPr>
                <w:color w:val="000000"/>
                <w:sz w:val="24"/>
                <w:szCs w:val="24"/>
                <w:lang w:eastAsia="es-CR"/>
              </w:rPr>
              <w:t xml:space="preserve">Otras garantías saldo sin depósito previo  </w:t>
            </w:r>
          </w:p>
        </w:tc>
      </w:tr>
      <w:tr w:rsidR="009F5DDF" w:rsidRPr="00A05131" w14:paraId="75BA7A12" w14:textId="77777777" w:rsidTr="009F5C97">
        <w:trPr>
          <w:trHeight w:val="315"/>
        </w:trPr>
        <w:tc>
          <w:tcPr>
            <w:tcW w:w="1266" w:type="pct"/>
            <w:shd w:val="clear" w:color="auto" w:fill="auto"/>
            <w:hideMark/>
          </w:tcPr>
          <w:p w14:paraId="7394B570" w14:textId="77777777" w:rsidR="009F5DDF" w:rsidRPr="00A05131" w:rsidRDefault="009F5DDF" w:rsidP="009F5DDF">
            <w:pPr>
              <w:widowControl w:val="0"/>
              <w:jc w:val="both"/>
              <w:rPr>
                <w:b/>
                <w:bCs/>
                <w:color w:val="000000"/>
                <w:sz w:val="24"/>
                <w:szCs w:val="24"/>
                <w:lang w:eastAsia="es-CR"/>
              </w:rPr>
            </w:pPr>
            <w:r w:rsidRPr="00A05131">
              <w:rPr>
                <w:color w:val="000000"/>
                <w:sz w:val="24"/>
                <w:szCs w:val="24"/>
                <w:lang w:eastAsia="es-CR"/>
              </w:rPr>
              <w:t xml:space="preserve">612.02 </w:t>
            </w:r>
          </w:p>
        </w:tc>
        <w:tc>
          <w:tcPr>
            <w:tcW w:w="3734" w:type="pct"/>
            <w:shd w:val="clear" w:color="auto" w:fill="auto"/>
            <w:hideMark/>
          </w:tcPr>
          <w:p w14:paraId="2B018E3D" w14:textId="77777777" w:rsidR="009F5DDF" w:rsidRPr="00A05131" w:rsidRDefault="009F5DDF" w:rsidP="009F5DDF">
            <w:pPr>
              <w:widowControl w:val="0"/>
              <w:jc w:val="both"/>
              <w:rPr>
                <w:color w:val="000000"/>
                <w:sz w:val="24"/>
                <w:szCs w:val="24"/>
                <w:lang w:eastAsia="es-CR"/>
              </w:rPr>
            </w:pPr>
            <w:r w:rsidRPr="00A05131">
              <w:rPr>
                <w:color w:val="000000"/>
                <w:sz w:val="24"/>
                <w:szCs w:val="24"/>
                <w:lang w:eastAsia="es-CR"/>
              </w:rPr>
              <w:t xml:space="preserve">Cartas de crédito a la vista saldo sin depósito previo </w:t>
            </w:r>
          </w:p>
        </w:tc>
      </w:tr>
      <w:tr w:rsidR="009F5DDF" w:rsidRPr="00A05131" w14:paraId="6D4DB971" w14:textId="77777777" w:rsidTr="009F5C97">
        <w:trPr>
          <w:trHeight w:val="315"/>
        </w:trPr>
        <w:tc>
          <w:tcPr>
            <w:tcW w:w="1266" w:type="pct"/>
            <w:shd w:val="clear" w:color="auto" w:fill="auto"/>
            <w:hideMark/>
          </w:tcPr>
          <w:p w14:paraId="0DEA026C" w14:textId="77777777" w:rsidR="009F5DDF" w:rsidRPr="00A05131" w:rsidRDefault="009F5DDF" w:rsidP="009F5DDF">
            <w:pPr>
              <w:widowControl w:val="0"/>
              <w:jc w:val="both"/>
              <w:rPr>
                <w:b/>
                <w:bCs/>
                <w:color w:val="000000"/>
                <w:sz w:val="24"/>
                <w:szCs w:val="24"/>
                <w:lang w:eastAsia="es-CR"/>
              </w:rPr>
            </w:pPr>
            <w:r w:rsidRPr="00A05131">
              <w:rPr>
                <w:color w:val="000000"/>
                <w:sz w:val="24"/>
                <w:szCs w:val="24"/>
                <w:lang w:eastAsia="es-CR"/>
              </w:rPr>
              <w:t xml:space="preserve">612.04 </w:t>
            </w:r>
          </w:p>
        </w:tc>
        <w:tc>
          <w:tcPr>
            <w:tcW w:w="3734" w:type="pct"/>
            <w:shd w:val="clear" w:color="auto" w:fill="auto"/>
            <w:hideMark/>
          </w:tcPr>
          <w:p w14:paraId="656BA2B4" w14:textId="77777777" w:rsidR="009F5DDF" w:rsidRPr="00A05131" w:rsidRDefault="009F5DDF" w:rsidP="009F5DDF">
            <w:pPr>
              <w:widowControl w:val="0"/>
              <w:jc w:val="both"/>
              <w:rPr>
                <w:color w:val="000000"/>
                <w:sz w:val="24"/>
                <w:szCs w:val="24"/>
                <w:lang w:eastAsia="es-CR"/>
              </w:rPr>
            </w:pPr>
            <w:r w:rsidRPr="00A05131">
              <w:rPr>
                <w:color w:val="000000"/>
                <w:sz w:val="24"/>
                <w:szCs w:val="24"/>
                <w:lang w:eastAsia="es-CR"/>
              </w:rPr>
              <w:t xml:space="preserve">Cartas de crédito diferidas saldo sin depósito previo </w:t>
            </w:r>
          </w:p>
        </w:tc>
      </w:tr>
      <w:tr w:rsidR="009F5DDF" w:rsidRPr="00A05131" w14:paraId="4D42A6AC" w14:textId="77777777" w:rsidTr="009F5C97">
        <w:trPr>
          <w:trHeight w:val="421"/>
        </w:trPr>
        <w:tc>
          <w:tcPr>
            <w:tcW w:w="1266" w:type="pct"/>
            <w:shd w:val="clear" w:color="auto" w:fill="auto"/>
            <w:hideMark/>
          </w:tcPr>
          <w:p w14:paraId="59D00D06" w14:textId="77777777" w:rsidR="009F5DDF" w:rsidRPr="00A05131" w:rsidRDefault="009F5DDF" w:rsidP="009F5DDF">
            <w:pPr>
              <w:widowControl w:val="0"/>
              <w:jc w:val="both"/>
              <w:rPr>
                <w:b/>
                <w:bCs/>
                <w:color w:val="000000"/>
                <w:sz w:val="24"/>
                <w:szCs w:val="24"/>
                <w:lang w:eastAsia="es-CR"/>
              </w:rPr>
            </w:pPr>
            <w:r w:rsidRPr="00A05131">
              <w:rPr>
                <w:color w:val="000000"/>
                <w:sz w:val="24"/>
                <w:szCs w:val="24"/>
                <w:lang w:eastAsia="es-CR"/>
              </w:rPr>
              <w:t xml:space="preserve">613.01.M.02 </w:t>
            </w:r>
          </w:p>
        </w:tc>
        <w:tc>
          <w:tcPr>
            <w:tcW w:w="3734" w:type="pct"/>
            <w:shd w:val="clear" w:color="auto" w:fill="auto"/>
            <w:hideMark/>
          </w:tcPr>
          <w:p w14:paraId="1D908B74" w14:textId="77777777" w:rsidR="009F5DDF" w:rsidRPr="00A05131" w:rsidRDefault="009F5DDF" w:rsidP="009F5DDF">
            <w:pPr>
              <w:widowControl w:val="0"/>
              <w:jc w:val="both"/>
              <w:rPr>
                <w:color w:val="000000"/>
                <w:sz w:val="24"/>
                <w:szCs w:val="24"/>
                <w:lang w:eastAsia="es-CR"/>
              </w:rPr>
            </w:pPr>
            <w:r w:rsidRPr="00A05131">
              <w:rPr>
                <w:color w:val="000000"/>
                <w:sz w:val="24"/>
                <w:szCs w:val="24"/>
                <w:lang w:eastAsia="es-CR"/>
              </w:rPr>
              <w:t xml:space="preserve">Cartas de crédito confirmadas no negociadas saldo sin depósito previo </w:t>
            </w:r>
          </w:p>
        </w:tc>
      </w:tr>
      <w:tr w:rsidR="009F5DDF" w:rsidRPr="00A05131" w14:paraId="5DA7138D" w14:textId="77777777" w:rsidTr="009F5C97">
        <w:trPr>
          <w:trHeight w:val="315"/>
        </w:trPr>
        <w:tc>
          <w:tcPr>
            <w:tcW w:w="1266" w:type="pct"/>
            <w:shd w:val="clear" w:color="auto" w:fill="auto"/>
            <w:hideMark/>
          </w:tcPr>
          <w:p w14:paraId="110103E8" w14:textId="77777777" w:rsidR="009F5DDF" w:rsidRPr="00A05131" w:rsidRDefault="009F5DDF" w:rsidP="009F5DDF">
            <w:pPr>
              <w:widowControl w:val="0"/>
              <w:jc w:val="both"/>
              <w:rPr>
                <w:b/>
                <w:bCs/>
                <w:color w:val="000000"/>
                <w:sz w:val="24"/>
                <w:szCs w:val="24"/>
                <w:lang w:eastAsia="es-CR"/>
              </w:rPr>
            </w:pPr>
            <w:r w:rsidRPr="00A05131">
              <w:rPr>
                <w:color w:val="000000"/>
                <w:sz w:val="24"/>
                <w:szCs w:val="24"/>
                <w:lang w:eastAsia="es-CR"/>
              </w:rPr>
              <w:lastRenderedPageBreak/>
              <w:t>615</w:t>
            </w:r>
          </w:p>
        </w:tc>
        <w:tc>
          <w:tcPr>
            <w:tcW w:w="3734" w:type="pct"/>
            <w:shd w:val="clear" w:color="auto" w:fill="auto"/>
            <w:hideMark/>
          </w:tcPr>
          <w:p w14:paraId="6EFF9293" w14:textId="77777777" w:rsidR="009F5DDF" w:rsidRPr="00A05131" w:rsidRDefault="009F5DDF" w:rsidP="009F5DDF">
            <w:pPr>
              <w:widowControl w:val="0"/>
              <w:jc w:val="both"/>
              <w:rPr>
                <w:color w:val="000000"/>
                <w:sz w:val="24"/>
                <w:szCs w:val="24"/>
                <w:lang w:eastAsia="es-CR"/>
              </w:rPr>
            </w:pPr>
            <w:r w:rsidRPr="00A05131">
              <w:rPr>
                <w:color w:val="000000"/>
                <w:sz w:val="24"/>
                <w:szCs w:val="24"/>
                <w:lang w:eastAsia="es-CR"/>
              </w:rPr>
              <w:t xml:space="preserve">Líneas de crédito de utilización automática </w:t>
            </w:r>
          </w:p>
        </w:tc>
      </w:tr>
      <w:tr w:rsidR="009F5DDF" w:rsidRPr="00A05131" w14:paraId="3AF93ACA" w14:textId="77777777" w:rsidTr="009F5C97">
        <w:trPr>
          <w:trHeight w:val="275"/>
        </w:trPr>
        <w:tc>
          <w:tcPr>
            <w:tcW w:w="1266" w:type="pct"/>
            <w:shd w:val="clear" w:color="auto" w:fill="auto"/>
            <w:hideMark/>
          </w:tcPr>
          <w:p w14:paraId="6DA5F5B1" w14:textId="77777777" w:rsidR="009F5DDF" w:rsidRPr="00A05131" w:rsidRDefault="009F5DDF" w:rsidP="009F5DDF">
            <w:pPr>
              <w:widowControl w:val="0"/>
              <w:jc w:val="both"/>
              <w:rPr>
                <w:b/>
                <w:bCs/>
                <w:color w:val="000000"/>
                <w:sz w:val="24"/>
                <w:szCs w:val="24"/>
                <w:lang w:eastAsia="es-CR"/>
              </w:rPr>
            </w:pPr>
            <w:r w:rsidRPr="00A05131">
              <w:rPr>
                <w:color w:val="000000"/>
                <w:sz w:val="24"/>
                <w:szCs w:val="24"/>
                <w:lang w:eastAsia="es-CR"/>
              </w:rPr>
              <w:t xml:space="preserve">617.01 </w:t>
            </w:r>
          </w:p>
        </w:tc>
        <w:tc>
          <w:tcPr>
            <w:tcW w:w="3734" w:type="pct"/>
            <w:shd w:val="clear" w:color="auto" w:fill="auto"/>
            <w:hideMark/>
          </w:tcPr>
          <w:p w14:paraId="12CF6F9B" w14:textId="77777777" w:rsidR="009F5DDF" w:rsidRPr="00A05131" w:rsidRDefault="009F5DDF" w:rsidP="009F5DDF">
            <w:pPr>
              <w:widowControl w:val="0"/>
              <w:jc w:val="both"/>
              <w:rPr>
                <w:color w:val="000000"/>
                <w:sz w:val="24"/>
                <w:szCs w:val="24"/>
                <w:lang w:eastAsia="es-CR"/>
              </w:rPr>
            </w:pPr>
            <w:r w:rsidRPr="00A05131">
              <w:rPr>
                <w:color w:val="000000"/>
                <w:sz w:val="24"/>
                <w:szCs w:val="24"/>
                <w:lang w:eastAsia="es-CR"/>
              </w:rPr>
              <w:t xml:space="preserve">Otras contingencias crediticias </w:t>
            </w:r>
          </w:p>
        </w:tc>
      </w:tr>
      <w:tr w:rsidR="009F5DDF" w:rsidRPr="00A05131" w14:paraId="017A774F" w14:textId="77777777" w:rsidTr="009F5C97">
        <w:trPr>
          <w:trHeight w:val="427"/>
        </w:trPr>
        <w:tc>
          <w:tcPr>
            <w:tcW w:w="1266" w:type="pct"/>
            <w:shd w:val="clear" w:color="auto" w:fill="auto"/>
            <w:hideMark/>
          </w:tcPr>
          <w:p w14:paraId="06513B0B" w14:textId="77777777" w:rsidR="009F5DDF" w:rsidRPr="00A05131" w:rsidRDefault="009F5DDF" w:rsidP="009F5DDF">
            <w:pPr>
              <w:widowControl w:val="0"/>
              <w:jc w:val="both"/>
              <w:rPr>
                <w:b/>
                <w:bCs/>
                <w:color w:val="000000"/>
                <w:sz w:val="24"/>
                <w:szCs w:val="24"/>
                <w:lang w:eastAsia="es-CR"/>
              </w:rPr>
            </w:pPr>
            <w:r w:rsidRPr="00A05131">
              <w:rPr>
                <w:color w:val="000000"/>
                <w:sz w:val="24"/>
                <w:szCs w:val="24"/>
                <w:lang w:eastAsia="es-CR"/>
              </w:rPr>
              <w:t>619</w:t>
            </w:r>
          </w:p>
        </w:tc>
        <w:tc>
          <w:tcPr>
            <w:tcW w:w="3734" w:type="pct"/>
            <w:shd w:val="clear" w:color="auto" w:fill="auto"/>
            <w:hideMark/>
          </w:tcPr>
          <w:p w14:paraId="7552B86F" w14:textId="77777777" w:rsidR="009F5DDF" w:rsidRPr="00A05131" w:rsidRDefault="009F5DDF" w:rsidP="009F5DDF">
            <w:pPr>
              <w:widowControl w:val="0"/>
              <w:jc w:val="both"/>
              <w:rPr>
                <w:color w:val="000000"/>
                <w:sz w:val="24"/>
                <w:szCs w:val="24"/>
                <w:lang w:eastAsia="es-CR"/>
              </w:rPr>
            </w:pPr>
            <w:r w:rsidRPr="00A05131">
              <w:rPr>
                <w:color w:val="000000"/>
                <w:sz w:val="24"/>
                <w:szCs w:val="24"/>
                <w:lang w:eastAsia="es-CR"/>
              </w:rPr>
              <w:t xml:space="preserve">Créditos pendientes de desembolsar </w:t>
            </w:r>
          </w:p>
        </w:tc>
      </w:tr>
      <w:tr w:rsidR="009F5DDF" w:rsidRPr="00A05131" w14:paraId="50BEAAFB" w14:textId="77777777" w:rsidTr="009F5C97">
        <w:trPr>
          <w:trHeight w:val="315"/>
        </w:trPr>
        <w:tc>
          <w:tcPr>
            <w:tcW w:w="1266" w:type="pct"/>
            <w:shd w:val="clear" w:color="auto" w:fill="auto"/>
            <w:hideMark/>
          </w:tcPr>
          <w:p w14:paraId="523FC446" w14:textId="77777777" w:rsidR="009F5DDF" w:rsidRPr="00A05131" w:rsidRDefault="009F5DDF" w:rsidP="009F5DDF">
            <w:pPr>
              <w:widowControl w:val="0"/>
              <w:jc w:val="both"/>
              <w:rPr>
                <w:b/>
                <w:bCs/>
                <w:color w:val="000000"/>
                <w:sz w:val="24"/>
                <w:szCs w:val="24"/>
                <w:lang w:eastAsia="es-CR"/>
              </w:rPr>
            </w:pPr>
            <w:r w:rsidRPr="00A05131">
              <w:rPr>
                <w:color w:val="000000"/>
                <w:sz w:val="24"/>
                <w:szCs w:val="24"/>
                <w:lang w:eastAsia="es-CR"/>
              </w:rPr>
              <w:t>814</w:t>
            </w:r>
          </w:p>
        </w:tc>
        <w:tc>
          <w:tcPr>
            <w:tcW w:w="3734" w:type="pct"/>
            <w:shd w:val="clear" w:color="auto" w:fill="auto"/>
            <w:hideMark/>
          </w:tcPr>
          <w:p w14:paraId="7359A292" w14:textId="77777777" w:rsidR="009F5DDF" w:rsidRPr="00A05131" w:rsidRDefault="009F5DDF" w:rsidP="009F5DDF">
            <w:pPr>
              <w:widowControl w:val="0"/>
              <w:jc w:val="both"/>
              <w:rPr>
                <w:color w:val="000000"/>
                <w:sz w:val="24"/>
                <w:szCs w:val="24"/>
                <w:lang w:eastAsia="es-CR"/>
              </w:rPr>
            </w:pPr>
            <w:r w:rsidRPr="00A05131">
              <w:rPr>
                <w:color w:val="000000"/>
                <w:sz w:val="24"/>
                <w:szCs w:val="24"/>
                <w:lang w:eastAsia="es-CR"/>
              </w:rPr>
              <w:t xml:space="preserve">Líneas de crédito otorgadas pendientes de utilización (**) </w:t>
            </w:r>
          </w:p>
        </w:tc>
      </w:tr>
    </w:tbl>
    <w:p w14:paraId="3DB24769" w14:textId="77777777" w:rsidR="009F5DDF" w:rsidRPr="009F5DDF" w:rsidRDefault="009F5DDF" w:rsidP="009F5DDF">
      <w:pPr>
        <w:widowControl w:val="0"/>
        <w:jc w:val="both"/>
        <w:rPr>
          <w:b/>
          <w:bCs/>
          <w:color w:val="000000"/>
          <w:sz w:val="24"/>
          <w:szCs w:val="24"/>
          <w:lang w:eastAsia="es-CR"/>
        </w:rPr>
      </w:pPr>
      <w:r w:rsidRPr="009F5DDF">
        <w:rPr>
          <w:b/>
          <w:bCs/>
          <w:color w:val="000000"/>
          <w:sz w:val="24"/>
          <w:szCs w:val="24"/>
          <w:lang w:eastAsia="es-CR"/>
        </w:rPr>
        <w:t>Notas:</w:t>
      </w:r>
    </w:p>
    <w:p w14:paraId="7B6A5405" w14:textId="77777777" w:rsidR="009F5DDF" w:rsidRPr="009F5DDF" w:rsidRDefault="009F5DDF" w:rsidP="009F5DDF">
      <w:pPr>
        <w:widowControl w:val="0"/>
        <w:jc w:val="both"/>
        <w:rPr>
          <w:color w:val="000000"/>
          <w:sz w:val="24"/>
          <w:szCs w:val="24"/>
          <w:lang w:eastAsia="es-CR"/>
        </w:rPr>
      </w:pPr>
    </w:p>
    <w:p w14:paraId="39262B98" w14:textId="77777777" w:rsidR="009F5DDF" w:rsidRPr="009F5DDF" w:rsidRDefault="009F5DDF" w:rsidP="009F5DDF">
      <w:pPr>
        <w:widowControl w:val="0"/>
        <w:ind w:left="426" w:hanging="426"/>
        <w:jc w:val="both"/>
        <w:rPr>
          <w:color w:val="000000"/>
          <w:sz w:val="24"/>
          <w:szCs w:val="24"/>
          <w:lang w:eastAsia="es-CR"/>
        </w:rPr>
      </w:pPr>
      <w:r w:rsidRPr="009F5DDF">
        <w:rPr>
          <w:color w:val="000000"/>
          <w:sz w:val="24"/>
          <w:szCs w:val="24"/>
          <w:lang w:eastAsia="es-CR"/>
        </w:rPr>
        <w:t>(*)</w:t>
      </w:r>
      <w:r w:rsidRPr="009F5DDF">
        <w:rPr>
          <w:color w:val="000000"/>
          <w:sz w:val="24"/>
          <w:szCs w:val="24"/>
          <w:lang w:eastAsia="es-CR"/>
        </w:rPr>
        <w:tab/>
        <w:t xml:space="preserve">Excepto las operaciones activas que las entidades realicen con el Banco Central de Costa Rica, el Gobierno Central de Costa Rica y con cualquier otra persona que por ley no está sujeta a los límites de crédito. </w:t>
      </w:r>
    </w:p>
    <w:p w14:paraId="08632FBA" w14:textId="77777777" w:rsidR="009F5DDF" w:rsidRPr="009F5DDF" w:rsidRDefault="009F5DDF" w:rsidP="009F5DDF">
      <w:pPr>
        <w:widowControl w:val="0"/>
        <w:ind w:left="426" w:hanging="426"/>
        <w:jc w:val="both"/>
        <w:rPr>
          <w:color w:val="000000"/>
          <w:sz w:val="24"/>
          <w:szCs w:val="24"/>
          <w:lang w:eastAsia="es-CR"/>
        </w:rPr>
      </w:pPr>
      <w:r w:rsidRPr="009F5DDF">
        <w:rPr>
          <w:color w:val="000000"/>
          <w:sz w:val="24"/>
          <w:szCs w:val="24"/>
          <w:lang w:eastAsia="es-CR"/>
        </w:rPr>
        <w:t>(**)</w:t>
      </w:r>
      <w:r w:rsidRPr="009F5DDF">
        <w:rPr>
          <w:color w:val="000000"/>
          <w:sz w:val="24"/>
          <w:szCs w:val="24"/>
          <w:lang w:eastAsia="es-CR"/>
        </w:rPr>
        <w:tab/>
        <w:t>Únicamente cuando no exista una cláusula específica que faculte a la entidad para suspender temporal o definitivamente el uso de la facilidad crediticia, cuando con ello incurra en exceso al límite de crédito aplicable al grupo de interés económico o a la persona individual, o al grupo vinculado, según corresponda.</w:t>
      </w:r>
    </w:p>
    <w:p w14:paraId="602AAD50" w14:textId="77777777" w:rsidR="009F5DDF" w:rsidRPr="009F5DDF" w:rsidRDefault="009F5DDF" w:rsidP="009F5DDF">
      <w:pPr>
        <w:jc w:val="both"/>
        <w:rPr>
          <w:b/>
          <w:bCs/>
          <w:sz w:val="24"/>
          <w:szCs w:val="24"/>
        </w:rPr>
      </w:pPr>
    </w:p>
    <w:p w14:paraId="6047BF7C" w14:textId="77777777" w:rsidR="009F5DDF" w:rsidRPr="009F5DDF" w:rsidRDefault="009F5DDF" w:rsidP="009F5DDF">
      <w:pPr>
        <w:pStyle w:val="Ttulo1"/>
        <w:keepNext w:val="0"/>
        <w:widowControl w:val="0"/>
        <w:rPr>
          <w:b/>
          <w:bCs/>
          <w:color w:val="000000"/>
          <w:szCs w:val="24"/>
        </w:rPr>
      </w:pPr>
      <w:bookmarkStart w:id="70" w:name="_Toc121319043"/>
      <w:r w:rsidRPr="009F5DDF">
        <w:rPr>
          <w:b/>
          <w:bCs/>
          <w:color w:val="000000"/>
          <w:szCs w:val="24"/>
        </w:rPr>
        <w:t>Anexo III</w:t>
      </w:r>
      <w:bookmarkEnd w:id="70"/>
      <w:r w:rsidRPr="009F5DDF">
        <w:rPr>
          <w:b/>
          <w:bCs/>
          <w:color w:val="000000"/>
          <w:szCs w:val="24"/>
        </w:rPr>
        <w:t xml:space="preserve"> </w:t>
      </w:r>
    </w:p>
    <w:p w14:paraId="3B89E7B1" w14:textId="77777777" w:rsidR="009F5DDF" w:rsidRPr="009F5DDF" w:rsidRDefault="009F5DDF" w:rsidP="009F5DDF">
      <w:pPr>
        <w:pStyle w:val="Ttulo1"/>
        <w:keepNext w:val="0"/>
        <w:widowControl w:val="0"/>
        <w:rPr>
          <w:b/>
          <w:bCs/>
          <w:color w:val="000000"/>
          <w:szCs w:val="24"/>
        </w:rPr>
      </w:pPr>
      <w:bookmarkStart w:id="71" w:name="_Toc121319044"/>
      <w:r w:rsidRPr="009F5DDF">
        <w:rPr>
          <w:b/>
          <w:bCs/>
          <w:color w:val="000000"/>
          <w:szCs w:val="24"/>
        </w:rPr>
        <w:t>Requerimiento para la autorización al BANHVI y a una entidad con fideicomiso de obra pública para ampliar el límite a la operación activa, directa e indirecta</w:t>
      </w:r>
      <w:bookmarkEnd w:id="71"/>
    </w:p>
    <w:p w14:paraId="348A3D81" w14:textId="77777777" w:rsidR="009F5DDF" w:rsidRPr="009F5DDF" w:rsidRDefault="009F5DDF" w:rsidP="009F5DDF">
      <w:pPr>
        <w:jc w:val="both"/>
        <w:rPr>
          <w:b/>
          <w:bCs/>
          <w:sz w:val="24"/>
          <w:szCs w:val="24"/>
        </w:rPr>
      </w:pPr>
    </w:p>
    <w:p w14:paraId="36664D4A" w14:textId="77777777" w:rsidR="009F5DDF" w:rsidRPr="009F5DDF" w:rsidRDefault="009F5DDF" w:rsidP="009F5DDF">
      <w:pPr>
        <w:numPr>
          <w:ilvl w:val="0"/>
          <w:numId w:val="45"/>
        </w:numPr>
        <w:ind w:left="462" w:hanging="425"/>
        <w:jc w:val="both"/>
        <w:rPr>
          <w:sz w:val="24"/>
          <w:szCs w:val="24"/>
        </w:rPr>
      </w:pPr>
      <w:r w:rsidRPr="009F5DDF">
        <w:rPr>
          <w:color w:val="000000"/>
          <w:sz w:val="24"/>
          <w:szCs w:val="24"/>
        </w:rPr>
        <w:t>Contar al momento de la solicitud y durante el plazo que se mantenga la ampliación solicitada, con un indicador de Suficiencia Patrimonial de la Entidad (ISPE) no menor a 14%, dispuesto en el Reglamento sobre Suficiencia Patrimonial, Acuerdo SUGEF 3-06. La entidad debe acompañar la solicitud con las sensibilizaciones y proyecciones que demuestren de manera prospectiva que la entidad cumplirá con el requerimiento mínimo indicado, según el perfil de riesgo, modelo de negocio, las características de su capital social y otros atributos que considere pertinentes. Los resultados de los análisis de estrés que realice la entidad representan un insumo fundamental para esta valoración prospectiva.</w:t>
      </w:r>
    </w:p>
    <w:p w14:paraId="0DAFD80B" w14:textId="77777777" w:rsidR="009F5DDF" w:rsidRPr="009F5DDF" w:rsidRDefault="009F5DDF" w:rsidP="009F5DDF">
      <w:pPr>
        <w:numPr>
          <w:ilvl w:val="0"/>
          <w:numId w:val="45"/>
        </w:numPr>
        <w:ind w:left="462" w:hanging="425"/>
        <w:jc w:val="both"/>
        <w:rPr>
          <w:sz w:val="24"/>
          <w:szCs w:val="24"/>
        </w:rPr>
      </w:pPr>
      <w:r w:rsidRPr="009F5DDF">
        <w:rPr>
          <w:color w:val="000000"/>
          <w:sz w:val="24"/>
          <w:szCs w:val="24"/>
        </w:rPr>
        <w:t xml:space="preserve">Aportar el plan de desembolsos, hasta su finalización, que requerirá el fideicomiso del proyecto de obra pública para el que se presenta la solicitud de ampliación. </w:t>
      </w:r>
    </w:p>
    <w:p w14:paraId="2DFFCE67" w14:textId="77777777" w:rsidR="009F5DDF" w:rsidRPr="009F5DDF" w:rsidRDefault="009F5DDF" w:rsidP="009F5DDF">
      <w:pPr>
        <w:numPr>
          <w:ilvl w:val="0"/>
          <w:numId w:val="45"/>
        </w:numPr>
        <w:ind w:left="462" w:hanging="425"/>
        <w:jc w:val="both"/>
        <w:rPr>
          <w:sz w:val="24"/>
          <w:szCs w:val="24"/>
        </w:rPr>
      </w:pPr>
      <w:r w:rsidRPr="009F5DDF">
        <w:rPr>
          <w:color w:val="000000"/>
          <w:sz w:val="24"/>
          <w:szCs w:val="24"/>
        </w:rPr>
        <w:t xml:space="preserve">Aportar la documentación que sustenta el marco de gestión de riesgos que aplicará la entidad a estas operaciones activas. </w:t>
      </w:r>
    </w:p>
    <w:p w14:paraId="499E05EE" w14:textId="77777777" w:rsidR="009F5DDF" w:rsidRPr="009F5DDF" w:rsidRDefault="009F5DDF" w:rsidP="009F5DDF">
      <w:pPr>
        <w:numPr>
          <w:ilvl w:val="0"/>
          <w:numId w:val="45"/>
        </w:numPr>
        <w:ind w:left="462" w:hanging="425"/>
        <w:jc w:val="both"/>
        <w:rPr>
          <w:sz w:val="24"/>
          <w:szCs w:val="24"/>
        </w:rPr>
      </w:pPr>
      <w:r w:rsidRPr="009F5DDF">
        <w:rPr>
          <w:color w:val="000000"/>
          <w:sz w:val="24"/>
          <w:szCs w:val="24"/>
        </w:rPr>
        <w:t>Remitir la normativa interna, valoraciones jurídicas, así como documentación de referencia.</w:t>
      </w:r>
    </w:p>
    <w:p w14:paraId="4E56645C" w14:textId="77777777" w:rsidR="009F5DDF" w:rsidRPr="009F5DDF" w:rsidRDefault="009F5DDF" w:rsidP="009F5DDF">
      <w:pPr>
        <w:numPr>
          <w:ilvl w:val="0"/>
          <w:numId w:val="45"/>
        </w:numPr>
        <w:ind w:left="462" w:hanging="425"/>
        <w:jc w:val="both"/>
        <w:rPr>
          <w:sz w:val="24"/>
          <w:szCs w:val="24"/>
        </w:rPr>
      </w:pPr>
      <w:r w:rsidRPr="009F5DDF">
        <w:rPr>
          <w:color w:val="000000"/>
          <w:sz w:val="24"/>
          <w:szCs w:val="24"/>
        </w:rPr>
        <w:t>En el caso de los fideicomisos de obra pública, el sustento de la Contraloría General de la República, para considerar el crédito por parte de la entidad como financiamiento de proyecto de obra pública, afecto de la excepción del Artículo 135.</w:t>
      </w:r>
    </w:p>
    <w:p w14:paraId="635502A6" w14:textId="77777777" w:rsidR="009F5DDF" w:rsidRPr="009F5DDF" w:rsidRDefault="009F5DDF" w:rsidP="009F5DDF">
      <w:pPr>
        <w:numPr>
          <w:ilvl w:val="0"/>
          <w:numId w:val="45"/>
        </w:numPr>
        <w:ind w:left="462" w:hanging="425"/>
        <w:jc w:val="both"/>
        <w:rPr>
          <w:sz w:val="24"/>
          <w:szCs w:val="24"/>
        </w:rPr>
      </w:pPr>
      <w:r w:rsidRPr="009F5DDF">
        <w:rPr>
          <w:color w:val="000000"/>
          <w:sz w:val="24"/>
          <w:szCs w:val="24"/>
        </w:rPr>
        <w:t>Identificar otros fideicomisos para el financiamiento de proyectos de obra pública que figuran en la cartera crediticia de la entidad, con el correspondiente porcentaje respecto al capital ajustado.</w:t>
      </w:r>
    </w:p>
    <w:p w14:paraId="4F53835B" w14:textId="77777777" w:rsidR="009F5DDF" w:rsidRPr="009F5DDF" w:rsidRDefault="009F5DDF" w:rsidP="009F5DDF">
      <w:pPr>
        <w:ind w:left="462"/>
        <w:jc w:val="both"/>
        <w:rPr>
          <w:sz w:val="24"/>
          <w:szCs w:val="24"/>
        </w:rPr>
      </w:pPr>
    </w:p>
    <w:p w14:paraId="51E306DC" w14:textId="77777777" w:rsidR="009F5DDF" w:rsidRPr="009F5DDF" w:rsidRDefault="009F5DDF" w:rsidP="009F5DDF">
      <w:pPr>
        <w:jc w:val="both"/>
        <w:rPr>
          <w:b/>
          <w:bCs/>
          <w:sz w:val="24"/>
          <w:szCs w:val="24"/>
        </w:rPr>
      </w:pPr>
      <w:r w:rsidRPr="009F5DDF">
        <w:rPr>
          <w:color w:val="000000"/>
          <w:sz w:val="24"/>
          <w:szCs w:val="24"/>
        </w:rPr>
        <w:t>La SUGEF puede requerir información adicional que le permita verificar que dicho aumento no comprometa la estabilidad y solvencia de la entidad y que dicha operación se realiza dentro de un marco apropiado de gestión de los riesgos y transparencia”.</w:t>
      </w:r>
    </w:p>
    <w:p w14:paraId="60B809DA" w14:textId="77777777" w:rsidR="00A36D16" w:rsidRPr="009F5DDF" w:rsidRDefault="00A36D16" w:rsidP="009F5DDF">
      <w:pPr>
        <w:widowControl w:val="0"/>
        <w:jc w:val="both"/>
        <w:rPr>
          <w:sz w:val="24"/>
          <w:szCs w:val="24"/>
        </w:rPr>
      </w:pPr>
    </w:p>
    <w:p w14:paraId="0F5ED26E" w14:textId="17CC3675" w:rsidR="00A36D16" w:rsidRPr="009F5DDF" w:rsidRDefault="009F5DDF" w:rsidP="009F5DDF">
      <w:pPr>
        <w:widowControl w:val="0"/>
        <w:jc w:val="both"/>
        <w:rPr>
          <w:sz w:val="24"/>
          <w:szCs w:val="24"/>
        </w:rPr>
      </w:pPr>
      <w:r w:rsidRPr="009F5DDF">
        <w:rPr>
          <w:noProof/>
          <w:sz w:val="24"/>
          <w:szCs w:val="24"/>
        </w:rPr>
        <w:lastRenderedPageBreak/>
        <w:drawing>
          <wp:anchor distT="0" distB="0" distL="114300" distR="114300" simplePos="0" relativeHeight="251657728" behindDoc="1" locked="0" layoutInCell="1" allowOverlap="0" wp14:anchorId="10AE7605" wp14:editId="5C071C0E">
            <wp:simplePos x="0" y="0"/>
            <wp:positionH relativeFrom="column">
              <wp:posOffset>-80010</wp:posOffset>
            </wp:positionH>
            <wp:positionV relativeFrom="paragraph">
              <wp:posOffset>194945</wp:posOffset>
            </wp:positionV>
            <wp:extent cx="2295525" cy="400050"/>
            <wp:effectExtent l="0" t="0" r="0" b="0"/>
            <wp:wrapSquare wrapText="bothSides"/>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l="5118"/>
                    <a:stretch>
                      <a:fillRect/>
                    </a:stretch>
                  </pic:blipFill>
                  <pic:spPr bwMode="auto">
                    <a:xfrm>
                      <a:off x="0" y="0"/>
                      <a:ext cx="22955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6D16" w:rsidRPr="009F5DDF">
        <w:rPr>
          <w:sz w:val="24"/>
          <w:szCs w:val="24"/>
        </w:rPr>
        <w:t>Atentamente,</w:t>
      </w:r>
    </w:p>
    <w:p w14:paraId="43BB7E75" w14:textId="77777777" w:rsidR="00901072" w:rsidRPr="009F5DDF" w:rsidRDefault="00901072" w:rsidP="009F5DDF">
      <w:pPr>
        <w:widowControl w:val="0"/>
        <w:jc w:val="both"/>
        <w:rPr>
          <w:sz w:val="24"/>
          <w:szCs w:val="24"/>
        </w:rPr>
      </w:pPr>
      <w:r w:rsidRPr="009F5DDF">
        <w:rPr>
          <w:sz w:val="24"/>
          <w:szCs w:val="24"/>
        </w:rPr>
        <w:br/>
      </w:r>
    </w:p>
    <w:p w14:paraId="0AEF26B3" w14:textId="77777777" w:rsidR="004D6CBF" w:rsidRPr="009F5DDF" w:rsidRDefault="004D6CBF" w:rsidP="009F5DDF">
      <w:pPr>
        <w:widowControl w:val="0"/>
        <w:jc w:val="both"/>
        <w:rPr>
          <w:sz w:val="24"/>
          <w:szCs w:val="24"/>
        </w:rPr>
      </w:pPr>
    </w:p>
    <w:p w14:paraId="13AC4C7D" w14:textId="77777777" w:rsidR="00A36D16" w:rsidRPr="009F5DDF" w:rsidRDefault="00645468" w:rsidP="009F5DDF">
      <w:pPr>
        <w:widowControl w:val="0"/>
        <w:jc w:val="both"/>
        <w:rPr>
          <w:sz w:val="24"/>
          <w:szCs w:val="24"/>
        </w:rPr>
      </w:pPr>
      <w:r w:rsidRPr="009F5DDF">
        <w:rPr>
          <w:sz w:val="24"/>
          <w:szCs w:val="24"/>
        </w:rPr>
        <w:t>Celia Alpízar Paniagua</w:t>
      </w:r>
    </w:p>
    <w:p w14:paraId="53FF185F" w14:textId="77777777" w:rsidR="00A36D16" w:rsidRPr="009F5DDF" w:rsidRDefault="00A36D16" w:rsidP="009F5DDF">
      <w:pPr>
        <w:widowControl w:val="0"/>
        <w:rPr>
          <w:b/>
          <w:i/>
          <w:sz w:val="24"/>
          <w:szCs w:val="24"/>
        </w:rPr>
      </w:pPr>
      <w:r w:rsidRPr="009F5DDF">
        <w:rPr>
          <w:b/>
          <w:i/>
          <w:sz w:val="24"/>
          <w:szCs w:val="24"/>
        </w:rPr>
        <w:t>Secretari</w:t>
      </w:r>
      <w:r w:rsidR="004A486B" w:rsidRPr="009F5DDF">
        <w:rPr>
          <w:b/>
          <w:i/>
          <w:sz w:val="24"/>
          <w:szCs w:val="24"/>
        </w:rPr>
        <w:t>a</w:t>
      </w:r>
      <w:r w:rsidRPr="009F5DDF">
        <w:rPr>
          <w:b/>
          <w:i/>
          <w:sz w:val="24"/>
          <w:szCs w:val="24"/>
        </w:rPr>
        <w:t xml:space="preserve"> </w:t>
      </w:r>
      <w:r w:rsidR="0005722B" w:rsidRPr="009F5DDF">
        <w:rPr>
          <w:b/>
          <w:i/>
          <w:sz w:val="24"/>
          <w:szCs w:val="24"/>
        </w:rPr>
        <w:t xml:space="preserve">Interina </w:t>
      </w:r>
      <w:r w:rsidRPr="009F5DDF">
        <w:rPr>
          <w:b/>
          <w:i/>
          <w:sz w:val="24"/>
          <w:szCs w:val="24"/>
        </w:rPr>
        <w:t>del Consejo</w:t>
      </w:r>
    </w:p>
    <w:p w14:paraId="7C56E0DB" w14:textId="77777777" w:rsidR="00A36D16" w:rsidRPr="009F5DDF" w:rsidRDefault="00A36D16" w:rsidP="009F5DDF">
      <w:pPr>
        <w:widowControl w:val="0"/>
        <w:jc w:val="both"/>
        <w:rPr>
          <w:sz w:val="24"/>
          <w:szCs w:val="24"/>
        </w:rPr>
      </w:pPr>
    </w:p>
    <w:p w14:paraId="2BFD246D" w14:textId="77777777" w:rsidR="00304CB8" w:rsidRPr="009F5DDF" w:rsidRDefault="00304CB8" w:rsidP="009F5DDF">
      <w:pPr>
        <w:widowControl w:val="0"/>
        <w:jc w:val="both"/>
        <w:rPr>
          <w:sz w:val="24"/>
          <w:szCs w:val="24"/>
          <w:lang w:val="es-CR"/>
        </w:rPr>
      </w:pPr>
    </w:p>
    <w:p w14:paraId="296B2E9C" w14:textId="77777777" w:rsidR="00304CB8" w:rsidRPr="009F5DDF" w:rsidRDefault="00304CB8" w:rsidP="009F5DDF">
      <w:pPr>
        <w:widowControl w:val="0"/>
        <w:jc w:val="both"/>
        <w:rPr>
          <w:sz w:val="24"/>
          <w:szCs w:val="24"/>
          <w:lang w:val="es-CR"/>
        </w:rPr>
      </w:pPr>
    </w:p>
    <w:p w14:paraId="0FE7D551" w14:textId="77777777" w:rsidR="00304CB8" w:rsidRPr="009F5DDF" w:rsidRDefault="00304CB8" w:rsidP="009F5DDF">
      <w:pPr>
        <w:widowControl w:val="0"/>
        <w:jc w:val="both"/>
        <w:rPr>
          <w:sz w:val="24"/>
          <w:szCs w:val="24"/>
          <w:lang w:val="es-CR"/>
        </w:rPr>
      </w:pPr>
    </w:p>
    <w:p w14:paraId="4BEF3235" w14:textId="77777777" w:rsidR="00304CB8" w:rsidRPr="009F5DDF" w:rsidRDefault="00304CB8" w:rsidP="009F5DDF">
      <w:pPr>
        <w:widowControl w:val="0"/>
        <w:jc w:val="both"/>
        <w:rPr>
          <w:sz w:val="24"/>
          <w:szCs w:val="24"/>
          <w:lang w:val="es-CR"/>
        </w:rPr>
      </w:pPr>
    </w:p>
    <w:p w14:paraId="3265F46B" w14:textId="77777777" w:rsidR="00304CB8" w:rsidRPr="009F5DDF" w:rsidRDefault="00304CB8" w:rsidP="009F5DDF">
      <w:pPr>
        <w:widowControl w:val="0"/>
        <w:jc w:val="both"/>
        <w:rPr>
          <w:sz w:val="24"/>
          <w:szCs w:val="24"/>
          <w:lang w:val="es-CR"/>
        </w:rPr>
      </w:pPr>
    </w:p>
    <w:p w14:paraId="0C5E8C8F" w14:textId="77777777" w:rsidR="00304CB8" w:rsidRPr="009F5DDF" w:rsidRDefault="00304CB8" w:rsidP="009F5DDF">
      <w:pPr>
        <w:widowControl w:val="0"/>
        <w:jc w:val="both"/>
        <w:rPr>
          <w:sz w:val="24"/>
          <w:szCs w:val="24"/>
          <w:lang w:val="es-CR"/>
        </w:rPr>
      </w:pPr>
    </w:p>
    <w:p w14:paraId="2242FBB4" w14:textId="77777777" w:rsidR="00304CB8" w:rsidRPr="009F5DDF" w:rsidRDefault="00304CB8" w:rsidP="009F5DDF">
      <w:pPr>
        <w:widowControl w:val="0"/>
        <w:jc w:val="both"/>
        <w:rPr>
          <w:sz w:val="24"/>
          <w:szCs w:val="24"/>
          <w:lang w:val="es-CR"/>
        </w:rPr>
      </w:pPr>
    </w:p>
    <w:p w14:paraId="7B115EB6" w14:textId="42A0D7B4" w:rsidR="00A05131" w:rsidRPr="00A05131" w:rsidRDefault="00304CB8" w:rsidP="00A05131">
      <w:pPr>
        <w:widowControl w:val="0"/>
        <w:ind w:left="1418" w:right="-1" w:hanging="1418"/>
        <w:jc w:val="both"/>
        <w:rPr>
          <w:i/>
          <w:color w:val="000000"/>
          <w:sz w:val="16"/>
          <w:szCs w:val="16"/>
        </w:rPr>
      </w:pPr>
      <w:r w:rsidRPr="00A05131">
        <w:rPr>
          <w:b/>
          <w:i/>
          <w:sz w:val="16"/>
          <w:szCs w:val="16"/>
          <w:lang w:val="es-CR"/>
        </w:rPr>
        <w:t>Comunicado a:</w:t>
      </w:r>
      <w:r w:rsidRPr="00A05131">
        <w:rPr>
          <w:i/>
          <w:sz w:val="16"/>
          <w:szCs w:val="16"/>
          <w:lang w:val="es-CR"/>
        </w:rPr>
        <w:tab/>
      </w:r>
      <w:r w:rsidR="00A05131" w:rsidRPr="00A05131">
        <w:rPr>
          <w:i/>
          <w:sz w:val="16"/>
          <w:szCs w:val="16"/>
          <w:lang w:val="es-CR"/>
        </w:rPr>
        <w:t>S</w:t>
      </w:r>
      <w:r w:rsidR="00A05131" w:rsidRPr="00A05131">
        <w:rPr>
          <w:i/>
          <w:color w:val="000000"/>
          <w:sz w:val="16"/>
          <w:szCs w:val="16"/>
          <w:lang w:eastAsia="es-CR"/>
        </w:rPr>
        <w:t xml:space="preserve">upervisados SUGEF, </w:t>
      </w:r>
      <w:r w:rsidR="00A05131" w:rsidRPr="00A05131">
        <w:rPr>
          <w:i/>
          <w:color w:val="000000"/>
          <w:sz w:val="16"/>
          <w:szCs w:val="16"/>
        </w:rPr>
        <w:t>diario oficial La Gaceta, (c.a. Superintendencia General de Entidades Financieras, Auditoría Interna</w:t>
      </w:r>
      <w:r w:rsidR="00A05131" w:rsidRPr="00A05131">
        <w:rPr>
          <w:rFonts w:eastAsia="Calibri"/>
          <w:i/>
          <w:color w:val="000000"/>
          <w:sz w:val="16"/>
          <w:szCs w:val="16"/>
          <w:lang w:eastAsia="en-US"/>
        </w:rPr>
        <w:t>).</w:t>
      </w:r>
    </w:p>
    <w:sectPr w:rsidR="00A05131" w:rsidRPr="00A05131" w:rsidSect="001D0382">
      <w:headerReference w:type="even" r:id="rId13"/>
      <w:headerReference w:type="default" r:id="rId14"/>
      <w:footerReference w:type="even" r:id="rId15"/>
      <w:footerReference w:type="default" r:id="rId16"/>
      <w:headerReference w:type="first" r:id="rId17"/>
      <w:footerReference w:type="first" r:id="rId18"/>
      <w:pgSz w:w="12240" w:h="15840"/>
      <w:pgMar w:top="1812"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F3A01" w14:textId="77777777" w:rsidR="00EA336C" w:rsidRDefault="00EA336C" w:rsidP="00290A93">
      <w:r>
        <w:separator/>
      </w:r>
    </w:p>
  </w:endnote>
  <w:endnote w:type="continuationSeparator" w:id="0">
    <w:p w14:paraId="3DA550FB" w14:textId="77777777" w:rsidR="00EA336C" w:rsidRDefault="00EA336C" w:rsidP="0029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Palatino">
    <w:altName w:val="Palatino Linotype"/>
    <w:charset w:val="00"/>
    <w:family w:val="roman"/>
    <w:pitch w:val="variable"/>
    <w:sig w:usb0="00000007" w:usb1="00000000" w:usb2="00000000" w:usb3="00000000" w:csb0="00000093" w:csb1="00000000"/>
  </w:font>
  <w:font w:name="Monotype Sorts">
    <w:altName w:val="Times New Roman"/>
    <w:panose1 w:val="00000000000000000000"/>
    <w:charset w:val="02"/>
    <w:family w:val="auto"/>
    <w:notTrueType/>
    <w:pitch w:val="variable"/>
    <w:sig w:usb0="00000003" w:usb1="00000000" w:usb2="00000000" w:usb3="00000000" w:csb0="00000001" w:csb1="00000000"/>
  </w:font>
  <w:font w:name="Coronet">
    <w:altName w:val="Arabic Typesetting"/>
    <w:charset w:val="00"/>
    <w:family w:val="script"/>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BR-01T">
    <w:altName w:val="Cambri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man">
    <w:panose1 w:val="00000000000000000000"/>
    <w:charset w:val="FF"/>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witzerland">
    <w:altName w:val="Courier New"/>
    <w:charset w:val="00"/>
    <w:family w:val="swiss"/>
    <w:pitch w:val="variable"/>
    <w:sig w:usb0="00000003" w:usb1="00000000" w:usb2="00000000" w:usb3="00000000" w:csb0="00000001" w:csb1="00000000"/>
  </w:font>
  <w:font w:name="Ottawa">
    <w:altName w:val="Courier New"/>
    <w:charset w:val="00"/>
    <w:family w:val="swiss"/>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lgun Gothic">
    <w:panose1 w:val="020B0503020000020004"/>
    <w:charset w:val="81"/>
    <w:family w:val="swiss"/>
    <w:pitch w:val="variable"/>
    <w:sig w:usb0="9000002F" w:usb1="29D77CFB" w:usb2="00000012" w:usb3="00000000" w:csb0="00080001" w:csb1="00000000"/>
  </w:font>
  <w:font w:name="BdE Neue Helvetica">
    <w:altName w:val="Bold ENeue Helvetica 45 Ligh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69C44" w14:textId="77777777" w:rsidR="003F16A6" w:rsidRDefault="003F16A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F61B7" w14:textId="55706490" w:rsidR="001D0382" w:rsidRDefault="009F5DDF">
    <w:pPr>
      <w:pStyle w:val="Piedepgina"/>
      <w:jc w:val="right"/>
    </w:pPr>
    <w:r>
      <w:rPr>
        <w:noProof/>
      </w:rPr>
      <mc:AlternateContent>
        <mc:Choice Requires="wps">
          <w:drawing>
            <wp:anchor distT="0" distB="0" distL="114300" distR="114300" simplePos="0" relativeHeight="251659264" behindDoc="0" locked="0" layoutInCell="0" allowOverlap="1" wp14:anchorId="23830817" wp14:editId="5BC5FC64">
              <wp:simplePos x="0" y="0"/>
              <wp:positionH relativeFrom="page">
                <wp:posOffset>0</wp:posOffset>
              </wp:positionH>
              <wp:positionV relativeFrom="page">
                <wp:posOffset>9594215</wp:posOffset>
              </wp:positionV>
              <wp:extent cx="7772400" cy="273685"/>
              <wp:effectExtent l="0" t="2540" r="0" b="0"/>
              <wp:wrapNone/>
              <wp:docPr id="1" name="MSIPCMe51e49a7acba14a670afa85c" descr="{&quot;HashCode&quot;:1186230005,&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F3B8F" w14:textId="2CACBCA2" w:rsidR="009F5DDF" w:rsidRPr="009F5DDF" w:rsidRDefault="009F5DDF" w:rsidP="009F5DDF">
                          <w:pPr>
                            <w:jc w:val="center"/>
                            <w:rPr>
                              <w:rFonts w:ascii="Calibri" w:hAnsi="Calibri" w:cs="Calibri"/>
                              <w:color w:val="000000"/>
                            </w:rPr>
                          </w:pPr>
                          <w:r w:rsidRPr="009F5DDF">
                            <w:rPr>
                              <w:rFonts w:ascii="Calibri" w:hAnsi="Calibri" w:cs="Calibri"/>
                              <w:color w:val="000000"/>
                            </w:rPr>
                            <w:t>Uso Interno</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3830817" id="_x0000_t202" coordsize="21600,21600" o:spt="202" path="m,l,21600r21600,l21600,xe">
              <v:stroke joinstyle="miter"/>
              <v:path gradientshapeok="t" o:connecttype="rect"/>
            </v:shapetype>
            <v:shape id="MSIPCMe51e49a7acba14a670afa85c" o:spid="_x0000_s1026" type="#_x0000_t202" alt="{&quot;HashCode&quot;:1186230005,&quot;Height&quot;:792.0,&quot;Width&quot;:612.0,&quot;Placement&quot;:&quot;Footer&quot;,&quot;Index&quot;:&quot;Primary&quot;,&quot;Section&quot;:1,&quot;Top&quot;:0.0,&quot;Left&quot;:0.0}" style="position:absolute;left:0;text-align:left;margin-left:0;margin-top:755.45pt;width:612pt;height:2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" o:allowincell="f" filled="f" stroked="f">
              <v:textbox inset=",0,,0">
                <w:txbxContent>
                  <w:p w14:paraId="5A4F3B8F" w14:textId="2CACBCA2" w:rsidR="009F5DDF" w:rsidRPr="009F5DDF" w:rsidRDefault="009F5DDF" w:rsidP="009F5DDF">
                    <w:pPr>
                      <w:jc w:val="center"/>
                      <w:rPr>
                        <w:rFonts w:ascii="Calibri" w:hAnsi="Calibri" w:cs="Calibri"/>
                        <w:color w:val="000000"/>
                      </w:rPr>
                    </w:pPr>
                    <w:r w:rsidRPr="009F5DDF">
                      <w:rPr>
                        <w:rFonts w:ascii="Calibri" w:hAnsi="Calibri" w:cs="Calibri"/>
                        <w:color w:val="000000"/>
                      </w:rPr>
                      <w:t>Uso Interno</w:t>
                    </w:r>
                  </w:p>
                </w:txbxContent>
              </v:textbox>
              <w10:wrap anchorx="page" anchory="page"/>
            </v:shape>
          </w:pict>
        </mc:Fallback>
      </mc:AlternateContent>
    </w:r>
    <w:r w:rsidR="001D0382">
      <w:fldChar w:fldCharType="begin"/>
    </w:r>
    <w:r w:rsidR="001D0382">
      <w:instrText>PAGE   \* MERGEFORMAT</w:instrText>
    </w:r>
    <w:r w:rsidR="001D0382">
      <w:fldChar w:fldCharType="separate"/>
    </w:r>
    <w:r w:rsidR="001D0382">
      <w:t>2</w:t>
    </w:r>
    <w:r w:rsidR="001D0382">
      <w:fldChar w:fldCharType="end"/>
    </w:r>
  </w:p>
  <w:p w14:paraId="58745AEF" w14:textId="77777777" w:rsidR="003F16A6" w:rsidRDefault="003F16A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425C3" w14:textId="77777777" w:rsidR="003F16A6" w:rsidRDefault="003F16A6">
    <w:pPr>
      <w:pStyle w:val="Piedepgina"/>
      <w:jc w:val="center"/>
    </w:pPr>
    <w:r>
      <w:fldChar w:fldCharType="begin"/>
    </w:r>
    <w:r>
      <w:instrText>PAGE   \* MERGEFORMAT</w:instrText>
    </w:r>
    <w:r>
      <w:fldChar w:fldCharType="separate"/>
    </w:r>
    <w:r>
      <w:t>2</w:t>
    </w:r>
    <w:r>
      <w:fldChar w:fldCharType="end"/>
    </w:r>
  </w:p>
  <w:p w14:paraId="798959A4" w14:textId="77777777" w:rsidR="001D683F" w:rsidRDefault="001D68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8BD4A" w14:textId="77777777" w:rsidR="00EA336C" w:rsidRDefault="00EA336C" w:rsidP="00290A93">
      <w:r>
        <w:separator/>
      </w:r>
    </w:p>
  </w:footnote>
  <w:footnote w:type="continuationSeparator" w:id="0">
    <w:p w14:paraId="4729A7B2" w14:textId="77777777" w:rsidR="00EA336C" w:rsidRDefault="00EA336C" w:rsidP="00290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49C9A" w14:textId="77777777" w:rsidR="003F16A6" w:rsidRDefault="003F16A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FAE0B" w14:textId="2F80C7D2" w:rsidR="00D33020" w:rsidRDefault="009F5DDF">
    <w:pPr>
      <w:pStyle w:val="Encabezado"/>
    </w:pPr>
    <w:r>
      <w:rPr>
        <w:noProof/>
        <w:lang w:val="es-CR" w:eastAsia="es-CR"/>
      </w:rPr>
      <w:drawing>
        <wp:anchor distT="0" distB="0" distL="114300" distR="114300" simplePos="0" relativeHeight="251657216" behindDoc="0" locked="0" layoutInCell="1" allowOverlap="1" wp14:anchorId="1AEDDC1F" wp14:editId="4F8EAC9C">
          <wp:simplePos x="0" y="0"/>
          <wp:positionH relativeFrom="column">
            <wp:posOffset>-8255</wp:posOffset>
          </wp:positionH>
          <wp:positionV relativeFrom="paragraph">
            <wp:posOffset>-15875</wp:posOffset>
          </wp:positionV>
          <wp:extent cx="4750435" cy="51054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0435" cy="510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03F31" w14:textId="0BB827CB" w:rsidR="001D683F" w:rsidRDefault="009F5DDF">
    <w:pPr>
      <w:pStyle w:val="Encabezado"/>
    </w:pPr>
    <w:r>
      <w:rPr>
        <w:noProof/>
      </w:rPr>
      <w:drawing>
        <wp:anchor distT="0" distB="0" distL="114300" distR="114300" simplePos="0" relativeHeight="251658240" behindDoc="0" locked="0" layoutInCell="1" allowOverlap="1" wp14:anchorId="322245A3" wp14:editId="53415073">
          <wp:simplePos x="0" y="0"/>
          <wp:positionH relativeFrom="column">
            <wp:posOffset>-423545</wp:posOffset>
          </wp:positionH>
          <wp:positionV relativeFrom="paragraph">
            <wp:posOffset>-104775</wp:posOffset>
          </wp:positionV>
          <wp:extent cx="4750435" cy="510540"/>
          <wp:effectExtent l="0" t="0" r="0"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0435" cy="510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7F8"/>
    <w:multiLevelType w:val="hybridMultilevel"/>
    <w:tmpl w:val="455408F8"/>
    <w:lvl w:ilvl="0" w:tplc="140A000F">
      <w:start w:val="1"/>
      <w:numFmt w:val="decimal"/>
      <w:pStyle w:val="Artculo"/>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2D02022"/>
    <w:multiLevelType w:val="hybridMultilevel"/>
    <w:tmpl w:val="F95ABD5C"/>
    <w:lvl w:ilvl="0" w:tplc="1034D676">
      <w:start w:val="1"/>
      <w:numFmt w:val="lowerLetter"/>
      <w:lvlText w:val="%1)"/>
      <w:lvlJc w:val="left"/>
      <w:rPr>
        <w:rFonts w:hint="default"/>
        <w:strike w:val="0"/>
        <w:dstrike w:val="0"/>
        <w:color w:val="auto"/>
        <w:u w:color="FFFFFF"/>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4E32A0C"/>
    <w:multiLevelType w:val="hybridMultilevel"/>
    <w:tmpl w:val="F9E8F3D2"/>
    <w:lvl w:ilvl="0" w:tplc="763C4328">
      <w:start w:val="1"/>
      <w:numFmt w:val="decimal"/>
      <w:pStyle w:val="Numeracin"/>
      <w:lvlText w:val="%1."/>
      <w:lvlJc w:val="left"/>
      <w:pPr>
        <w:ind w:left="643" w:hanging="360"/>
      </w:pPr>
      <w:rPr>
        <w:rFonts w:ascii="Arial" w:hAnsi="Arial" w:cs="Arial" w:hint="default"/>
        <w:b w:val="0"/>
        <w:lang w:val="es-E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0593C"/>
    <w:multiLevelType w:val="hybridMultilevel"/>
    <w:tmpl w:val="2786B3AE"/>
    <w:lvl w:ilvl="0" w:tplc="BC0CA16A">
      <w:start w:val="1"/>
      <w:numFmt w:val="lowerLetter"/>
      <w:pStyle w:val="incisos"/>
      <w:lvlText w:val="%1)"/>
      <w:lvlJc w:val="left"/>
      <w:pPr>
        <w:ind w:left="717"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AF75E3B"/>
    <w:multiLevelType w:val="hybridMultilevel"/>
    <w:tmpl w:val="E4622EA6"/>
    <w:lvl w:ilvl="0" w:tplc="8230C8B8">
      <w:start w:val="1"/>
      <w:numFmt w:val="bullet"/>
      <w:lvlText w:val=""/>
      <w:lvlJc w:val="left"/>
      <w:pPr>
        <w:ind w:left="720" w:hanging="360"/>
      </w:pPr>
      <w:rPr>
        <w:rFonts w:ascii="Symbol" w:eastAsia="Times New Roman" w:hAnsi="Symbol" w:cs="Arial" w:hint="default"/>
      </w:rPr>
    </w:lvl>
    <w:lvl w:ilvl="1" w:tplc="2C0A0003" w:tentative="1">
      <w:start w:val="1"/>
      <w:numFmt w:val="bullet"/>
      <w:pStyle w:val="Ttulo3SUGEF"/>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106D5D2A"/>
    <w:multiLevelType w:val="hybridMultilevel"/>
    <w:tmpl w:val="A92C667A"/>
    <w:lvl w:ilvl="0" w:tplc="6C962C3A">
      <w:start w:val="1"/>
      <w:numFmt w:val="lowerLetter"/>
      <w:lvlText w:val="%1)"/>
      <w:lvlJc w:val="left"/>
      <w:rPr>
        <w:rFonts w:hint="default"/>
        <w:strike w:val="0"/>
        <w:dstrike w:val="0"/>
        <w:color w:val="auto"/>
        <w:u w:color="FFFFFF"/>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40956D7"/>
    <w:multiLevelType w:val="hybridMultilevel"/>
    <w:tmpl w:val="45DC66D6"/>
    <w:lvl w:ilvl="0" w:tplc="2DC2C11C">
      <w:start w:val="1"/>
      <w:numFmt w:val="lowerLetter"/>
      <w:lvlText w:val="%1)"/>
      <w:lvlJc w:val="left"/>
      <w:pPr>
        <w:ind w:left="1065" w:hanging="705"/>
      </w:pPr>
      <w:rPr>
        <w:rFonts w:ascii="Cambria" w:hAnsi="Cambria" w:cs="Times New Roman" w:hint="default"/>
        <w:sz w:val="24"/>
      </w:rPr>
    </w:lvl>
    <w:lvl w:ilvl="1" w:tplc="140A001B">
      <w:start w:val="1"/>
      <w:numFmt w:val="lowerRoman"/>
      <w:lvlText w:val="%2."/>
      <w:lvlJc w:val="righ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4B75CE3"/>
    <w:multiLevelType w:val="hybridMultilevel"/>
    <w:tmpl w:val="FEB6105C"/>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9" w15:restartNumberingAfterBreak="0">
    <w:nsid w:val="16D34438"/>
    <w:multiLevelType w:val="hybridMultilevel"/>
    <w:tmpl w:val="D5407E0E"/>
    <w:lvl w:ilvl="0" w:tplc="B7EC6710">
      <w:start w:val="1"/>
      <w:numFmt w:val="lowerLetter"/>
      <w:lvlText w:val="%1)"/>
      <w:lvlJc w:val="left"/>
      <w:rPr>
        <w:rFonts w:hint="default"/>
        <w:strike w:val="0"/>
        <w:dstrike w:val="0"/>
        <w:color w:val="auto"/>
        <w:u w:color="FFFFFF"/>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A0913B3"/>
    <w:multiLevelType w:val="hybridMultilevel"/>
    <w:tmpl w:val="E0246F14"/>
    <w:lvl w:ilvl="0" w:tplc="80B64ADC">
      <w:start w:val="1"/>
      <w:numFmt w:val="lowerLetter"/>
      <w:lvlText w:val="%1)"/>
      <w:lvlJc w:val="left"/>
      <w:rPr>
        <w:rFonts w:hint="default"/>
        <w:strike w:val="0"/>
        <w:dstrike w:val="0"/>
        <w:color w:val="auto"/>
        <w:u w:color="FFFFFF"/>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C5C278B"/>
    <w:multiLevelType w:val="hybridMultilevel"/>
    <w:tmpl w:val="53A0BCB0"/>
    <w:lvl w:ilvl="0" w:tplc="FE3030F2">
      <w:start w:val="1"/>
      <w:numFmt w:val="lowerLetter"/>
      <w:lvlText w:val="%1)"/>
      <w:lvlJc w:val="left"/>
      <w:rPr>
        <w:rFonts w:hint="default"/>
        <w:strike w:val="0"/>
        <w:dstrike w:val="0"/>
        <w:color w:val="auto"/>
        <w:u w:color="FFFFFF"/>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1DEF019C"/>
    <w:multiLevelType w:val="hybridMultilevel"/>
    <w:tmpl w:val="A7305772"/>
    <w:lvl w:ilvl="0" w:tplc="0409000F">
      <w:start w:val="1"/>
      <w:numFmt w:val="decimal"/>
      <w:lvlText w:val="%1."/>
      <w:lvlJc w:val="left"/>
      <w:pPr>
        <w:tabs>
          <w:tab w:val="num" w:pos="1719"/>
        </w:tabs>
        <w:ind w:left="1719" w:hanging="360"/>
      </w:pPr>
    </w:lvl>
    <w:lvl w:ilvl="1" w:tplc="32E03D88">
      <w:start w:val="1"/>
      <w:numFmt w:val="lowerLetter"/>
      <w:lvlText w:val="%2)"/>
      <w:lvlJc w:val="left"/>
      <w:pPr>
        <w:tabs>
          <w:tab w:val="num" w:pos="2799"/>
        </w:tabs>
        <w:ind w:left="2799" w:hanging="360"/>
      </w:pPr>
    </w:lvl>
    <w:lvl w:ilvl="2" w:tplc="0409001B">
      <w:start w:val="1"/>
      <w:numFmt w:val="lowerRoman"/>
      <w:lvlText w:val="%3."/>
      <w:lvlJc w:val="right"/>
      <w:pPr>
        <w:tabs>
          <w:tab w:val="num" w:pos="3519"/>
        </w:tabs>
        <w:ind w:left="3519" w:hanging="180"/>
      </w:pPr>
    </w:lvl>
    <w:lvl w:ilvl="3" w:tplc="0409000F">
      <w:start w:val="1"/>
      <w:numFmt w:val="decimal"/>
      <w:lvlText w:val="%4."/>
      <w:lvlJc w:val="left"/>
      <w:pPr>
        <w:tabs>
          <w:tab w:val="num" w:pos="4239"/>
        </w:tabs>
        <w:ind w:left="4239" w:hanging="360"/>
      </w:pPr>
    </w:lvl>
    <w:lvl w:ilvl="4" w:tplc="04090019">
      <w:start w:val="1"/>
      <w:numFmt w:val="lowerLetter"/>
      <w:lvlText w:val="%5."/>
      <w:lvlJc w:val="left"/>
      <w:pPr>
        <w:tabs>
          <w:tab w:val="num" w:pos="4959"/>
        </w:tabs>
        <w:ind w:left="4959" w:hanging="360"/>
      </w:pPr>
    </w:lvl>
    <w:lvl w:ilvl="5" w:tplc="0409001B">
      <w:start w:val="1"/>
      <w:numFmt w:val="lowerRoman"/>
      <w:lvlText w:val="%6."/>
      <w:lvlJc w:val="right"/>
      <w:pPr>
        <w:tabs>
          <w:tab w:val="num" w:pos="5679"/>
        </w:tabs>
        <w:ind w:left="5679" w:hanging="180"/>
      </w:pPr>
    </w:lvl>
    <w:lvl w:ilvl="6" w:tplc="0409000F">
      <w:start w:val="1"/>
      <w:numFmt w:val="decimal"/>
      <w:lvlText w:val="%7."/>
      <w:lvlJc w:val="left"/>
      <w:pPr>
        <w:tabs>
          <w:tab w:val="num" w:pos="6399"/>
        </w:tabs>
        <w:ind w:left="6399" w:hanging="360"/>
      </w:pPr>
    </w:lvl>
    <w:lvl w:ilvl="7" w:tplc="04090019">
      <w:start w:val="1"/>
      <w:numFmt w:val="lowerLetter"/>
      <w:lvlText w:val="%8."/>
      <w:lvlJc w:val="left"/>
      <w:pPr>
        <w:tabs>
          <w:tab w:val="num" w:pos="7119"/>
        </w:tabs>
        <w:ind w:left="7119" w:hanging="360"/>
      </w:pPr>
    </w:lvl>
    <w:lvl w:ilvl="8" w:tplc="0409001B">
      <w:start w:val="1"/>
      <w:numFmt w:val="lowerRoman"/>
      <w:lvlText w:val="%9."/>
      <w:lvlJc w:val="right"/>
      <w:pPr>
        <w:tabs>
          <w:tab w:val="num" w:pos="7839"/>
        </w:tabs>
        <w:ind w:left="7839" w:hanging="180"/>
      </w:pPr>
    </w:lvl>
  </w:abstractNum>
  <w:abstractNum w:abstractNumId="13" w15:restartNumberingAfterBreak="0">
    <w:nsid w:val="1FDF56C9"/>
    <w:multiLevelType w:val="hybridMultilevel"/>
    <w:tmpl w:val="2B9E958A"/>
    <w:lvl w:ilvl="0" w:tplc="F8D0EA08">
      <w:start w:val="1"/>
      <w:numFmt w:val="decimal"/>
      <w:pStyle w:val="spc3"/>
      <w:lvlText w:val="Artículo %1."/>
      <w:lvlJc w:val="left"/>
      <w:pPr>
        <w:tabs>
          <w:tab w:val="num" w:pos="567"/>
        </w:tabs>
        <w:ind w:left="0" w:firstLine="0"/>
      </w:pPr>
      <w:rPr>
        <w:rFonts w:hint="default"/>
        <w:lang w:val="es-CR"/>
      </w:rPr>
    </w:lvl>
    <w:lvl w:ilvl="1" w:tplc="140A0019">
      <w:start w:val="1"/>
      <w:numFmt w:val="lowerLetter"/>
      <w:lvlText w:val="%2)"/>
      <w:lvlJc w:val="left"/>
      <w:pPr>
        <w:tabs>
          <w:tab w:val="num" w:pos="1440"/>
        </w:tabs>
        <w:ind w:left="1440" w:hanging="360"/>
      </w:pPr>
      <w:rPr>
        <w:rFonts w:ascii="Cambria" w:eastAsia="Times New Roman" w:hAnsi="Cambria" w:cs="Arial" w:hint="default"/>
      </w:rPr>
    </w:lvl>
    <w:lvl w:ilvl="2" w:tplc="140A001B" w:tentative="1">
      <w:start w:val="1"/>
      <w:numFmt w:val="lowerRoman"/>
      <w:lvlText w:val="%3."/>
      <w:lvlJc w:val="right"/>
      <w:pPr>
        <w:tabs>
          <w:tab w:val="num" w:pos="2160"/>
        </w:tabs>
        <w:ind w:left="2160" w:hanging="180"/>
      </w:pPr>
    </w:lvl>
    <w:lvl w:ilvl="3" w:tplc="140A000F" w:tentative="1">
      <w:start w:val="1"/>
      <w:numFmt w:val="decimal"/>
      <w:lvlText w:val="%4."/>
      <w:lvlJc w:val="left"/>
      <w:pPr>
        <w:tabs>
          <w:tab w:val="num" w:pos="2880"/>
        </w:tabs>
        <w:ind w:left="2880" w:hanging="360"/>
      </w:pPr>
    </w:lvl>
    <w:lvl w:ilvl="4" w:tplc="140A0019" w:tentative="1">
      <w:start w:val="1"/>
      <w:numFmt w:val="lowerLetter"/>
      <w:lvlText w:val="%5."/>
      <w:lvlJc w:val="left"/>
      <w:pPr>
        <w:tabs>
          <w:tab w:val="num" w:pos="3600"/>
        </w:tabs>
        <w:ind w:left="3600" w:hanging="360"/>
      </w:pPr>
    </w:lvl>
    <w:lvl w:ilvl="5" w:tplc="140A001B" w:tentative="1">
      <w:start w:val="1"/>
      <w:numFmt w:val="lowerRoman"/>
      <w:lvlText w:val="%6."/>
      <w:lvlJc w:val="right"/>
      <w:pPr>
        <w:tabs>
          <w:tab w:val="num" w:pos="4320"/>
        </w:tabs>
        <w:ind w:left="4320" w:hanging="180"/>
      </w:pPr>
    </w:lvl>
    <w:lvl w:ilvl="6" w:tplc="140A000F" w:tentative="1">
      <w:start w:val="1"/>
      <w:numFmt w:val="decimal"/>
      <w:lvlText w:val="%7."/>
      <w:lvlJc w:val="left"/>
      <w:pPr>
        <w:tabs>
          <w:tab w:val="num" w:pos="5040"/>
        </w:tabs>
        <w:ind w:left="5040" w:hanging="360"/>
      </w:pPr>
    </w:lvl>
    <w:lvl w:ilvl="7" w:tplc="140A0019" w:tentative="1">
      <w:start w:val="1"/>
      <w:numFmt w:val="lowerLetter"/>
      <w:lvlText w:val="%8."/>
      <w:lvlJc w:val="left"/>
      <w:pPr>
        <w:tabs>
          <w:tab w:val="num" w:pos="5760"/>
        </w:tabs>
        <w:ind w:left="5760" w:hanging="360"/>
      </w:pPr>
    </w:lvl>
    <w:lvl w:ilvl="8" w:tplc="140A001B" w:tentative="1">
      <w:start w:val="1"/>
      <w:numFmt w:val="lowerRoman"/>
      <w:lvlText w:val="%9."/>
      <w:lvlJc w:val="right"/>
      <w:pPr>
        <w:tabs>
          <w:tab w:val="num" w:pos="6480"/>
        </w:tabs>
        <w:ind w:left="6480" w:hanging="180"/>
      </w:pPr>
    </w:lvl>
  </w:abstractNum>
  <w:abstractNum w:abstractNumId="14" w15:restartNumberingAfterBreak="0">
    <w:nsid w:val="2227608E"/>
    <w:multiLevelType w:val="hybridMultilevel"/>
    <w:tmpl w:val="F8323D7A"/>
    <w:lvl w:ilvl="0" w:tplc="E676D1D4">
      <w:start w:val="1"/>
      <w:numFmt w:val="lowerLetter"/>
      <w:lvlText w:val="%1)"/>
      <w:lvlJc w:val="left"/>
      <w:rPr>
        <w:rFonts w:hint="default"/>
        <w:strike w:val="0"/>
        <w:dstrike w:val="0"/>
        <w:color w:val="auto"/>
        <w:u w:color="FFFFFF"/>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2B9235E3"/>
    <w:multiLevelType w:val="hybridMultilevel"/>
    <w:tmpl w:val="1F0C85F4"/>
    <w:lvl w:ilvl="0" w:tplc="0D781B18">
      <w:start w:val="1"/>
      <w:numFmt w:val="upperLetter"/>
      <w:lvlText w:val="%1."/>
      <w:lvlJc w:val="left"/>
      <w:pPr>
        <w:ind w:left="1065" w:hanging="705"/>
      </w:pPr>
      <w:rPr>
        <w:rFonts w:hint="default"/>
      </w:rPr>
    </w:lvl>
    <w:lvl w:ilvl="1" w:tplc="0C0A001B">
      <w:start w:val="1"/>
      <w:numFmt w:val="lowerRoman"/>
      <w:lvlText w:val="%2."/>
      <w:lvlJc w:val="right"/>
      <w:pPr>
        <w:ind w:left="1440" w:hanging="360"/>
      </w:pPr>
    </w:lvl>
    <w:lvl w:ilvl="2" w:tplc="7B644D34">
      <w:start w:val="2"/>
      <w:numFmt w:val="bullet"/>
      <w:lvlText w:val="-"/>
      <w:lvlJc w:val="left"/>
      <w:pPr>
        <w:ind w:left="2340" w:hanging="360"/>
      </w:pPr>
      <w:rPr>
        <w:rFonts w:ascii="Courier New" w:eastAsia="Times New Roman" w:hAnsi="Courier New" w:cs="Courier New"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3CD6D17"/>
    <w:multiLevelType w:val="hybridMultilevel"/>
    <w:tmpl w:val="91A4BC64"/>
    <w:lvl w:ilvl="0" w:tplc="88383450">
      <w:start w:val="1"/>
      <w:numFmt w:val="lowerLetter"/>
      <w:lvlText w:val="%1)"/>
      <w:lvlJc w:val="left"/>
      <w:pPr>
        <w:ind w:left="681" w:hanging="360"/>
      </w:pPr>
      <w:rPr>
        <w:rFonts w:hint="default"/>
        <w:strike w:val="0"/>
        <w:dstrike w:val="0"/>
        <w:color w:val="auto"/>
      </w:rPr>
    </w:lvl>
    <w:lvl w:ilvl="1" w:tplc="140A0019" w:tentative="1">
      <w:start w:val="1"/>
      <w:numFmt w:val="lowerLetter"/>
      <w:lvlText w:val="%2."/>
      <w:lvlJc w:val="left"/>
      <w:pPr>
        <w:ind w:left="1401" w:hanging="360"/>
      </w:pPr>
    </w:lvl>
    <w:lvl w:ilvl="2" w:tplc="140A001B" w:tentative="1">
      <w:start w:val="1"/>
      <w:numFmt w:val="lowerRoman"/>
      <w:lvlText w:val="%3."/>
      <w:lvlJc w:val="right"/>
      <w:pPr>
        <w:ind w:left="2121" w:hanging="180"/>
      </w:pPr>
    </w:lvl>
    <w:lvl w:ilvl="3" w:tplc="140A000F" w:tentative="1">
      <w:start w:val="1"/>
      <w:numFmt w:val="decimal"/>
      <w:lvlText w:val="%4."/>
      <w:lvlJc w:val="left"/>
      <w:pPr>
        <w:ind w:left="2841" w:hanging="360"/>
      </w:pPr>
    </w:lvl>
    <w:lvl w:ilvl="4" w:tplc="140A0019" w:tentative="1">
      <w:start w:val="1"/>
      <w:numFmt w:val="lowerLetter"/>
      <w:lvlText w:val="%5."/>
      <w:lvlJc w:val="left"/>
      <w:pPr>
        <w:ind w:left="3561" w:hanging="360"/>
      </w:pPr>
    </w:lvl>
    <w:lvl w:ilvl="5" w:tplc="140A001B" w:tentative="1">
      <w:start w:val="1"/>
      <w:numFmt w:val="lowerRoman"/>
      <w:lvlText w:val="%6."/>
      <w:lvlJc w:val="right"/>
      <w:pPr>
        <w:ind w:left="4281" w:hanging="180"/>
      </w:pPr>
    </w:lvl>
    <w:lvl w:ilvl="6" w:tplc="140A000F" w:tentative="1">
      <w:start w:val="1"/>
      <w:numFmt w:val="decimal"/>
      <w:lvlText w:val="%7."/>
      <w:lvlJc w:val="left"/>
      <w:pPr>
        <w:ind w:left="5001" w:hanging="360"/>
      </w:pPr>
    </w:lvl>
    <w:lvl w:ilvl="7" w:tplc="140A0019" w:tentative="1">
      <w:start w:val="1"/>
      <w:numFmt w:val="lowerLetter"/>
      <w:lvlText w:val="%8."/>
      <w:lvlJc w:val="left"/>
      <w:pPr>
        <w:ind w:left="5721" w:hanging="360"/>
      </w:pPr>
    </w:lvl>
    <w:lvl w:ilvl="8" w:tplc="140A001B" w:tentative="1">
      <w:start w:val="1"/>
      <w:numFmt w:val="lowerRoman"/>
      <w:lvlText w:val="%9."/>
      <w:lvlJc w:val="right"/>
      <w:pPr>
        <w:ind w:left="6441" w:hanging="180"/>
      </w:pPr>
    </w:lvl>
  </w:abstractNum>
  <w:abstractNum w:abstractNumId="17" w15:restartNumberingAfterBreak="0">
    <w:nsid w:val="34C34FC5"/>
    <w:multiLevelType w:val="hybridMultilevel"/>
    <w:tmpl w:val="78C23280"/>
    <w:lvl w:ilvl="0" w:tplc="CC52DC9A">
      <w:start w:val="1"/>
      <w:numFmt w:val="upperRoman"/>
      <w:pStyle w:val="EstiloMarcoConceptual"/>
      <w:lvlText w:val="%1."/>
      <w:lvlJc w:val="right"/>
      <w:pPr>
        <w:ind w:left="720" w:hanging="360"/>
      </w:pPr>
      <w:rPr>
        <w:rFonts w:hint="default"/>
        <w:b/>
        <w:i w:val="0"/>
      </w:rPr>
    </w:lvl>
    <w:lvl w:ilvl="1" w:tplc="FC98F298">
      <w:start w:val="1"/>
      <w:numFmt w:val="decimal"/>
      <w:lvlText w:val="%2)"/>
      <w:lvlJc w:val="left"/>
      <w:pPr>
        <w:ind w:left="1800" w:hanging="720"/>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5EB2466"/>
    <w:multiLevelType w:val="hybridMultilevel"/>
    <w:tmpl w:val="0D4C653A"/>
    <w:lvl w:ilvl="0" w:tplc="4BDA3BF6">
      <w:start w:val="1"/>
      <w:numFmt w:val="lowerLetter"/>
      <w:lvlText w:val="%1)"/>
      <w:lvlJc w:val="left"/>
      <w:rPr>
        <w:rFonts w:hint="default"/>
        <w:strike w:val="0"/>
        <w:dstrike w:val="0"/>
        <w:color w:val="auto"/>
        <w:u w:color="FFFFFF"/>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36E06200"/>
    <w:multiLevelType w:val="hybridMultilevel"/>
    <w:tmpl w:val="D78A7AE2"/>
    <w:lvl w:ilvl="0" w:tplc="893E70C8">
      <w:start w:val="1"/>
      <w:numFmt w:val="lowerRoman"/>
      <w:lvlText w:val="%1."/>
      <w:lvlJc w:val="right"/>
      <w:pPr>
        <w:ind w:left="2700" w:hanging="360"/>
      </w:pPr>
      <w:rPr>
        <w:rFonts w:hint="default"/>
      </w:rPr>
    </w:lvl>
    <w:lvl w:ilvl="1" w:tplc="140A0019" w:tentative="1">
      <w:start w:val="1"/>
      <w:numFmt w:val="lowerLetter"/>
      <w:lvlText w:val="%2."/>
      <w:lvlJc w:val="left"/>
      <w:pPr>
        <w:ind w:left="3420" w:hanging="360"/>
      </w:pPr>
    </w:lvl>
    <w:lvl w:ilvl="2" w:tplc="140A001B" w:tentative="1">
      <w:start w:val="1"/>
      <w:numFmt w:val="lowerRoman"/>
      <w:lvlText w:val="%3."/>
      <w:lvlJc w:val="right"/>
      <w:pPr>
        <w:ind w:left="4140" w:hanging="180"/>
      </w:pPr>
    </w:lvl>
    <w:lvl w:ilvl="3" w:tplc="140A000F" w:tentative="1">
      <w:start w:val="1"/>
      <w:numFmt w:val="decimal"/>
      <w:lvlText w:val="%4."/>
      <w:lvlJc w:val="left"/>
      <w:pPr>
        <w:ind w:left="4860" w:hanging="360"/>
      </w:pPr>
    </w:lvl>
    <w:lvl w:ilvl="4" w:tplc="140A0019" w:tentative="1">
      <w:start w:val="1"/>
      <w:numFmt w:val="lowerLetter"/>
      <w:lvlText w:val="%5."/>
      <w:lvlJc w:val="left"/>
      <w:pPr>
        <w:ind w:left="5580" w:hanging="360"/>
      </w:pPr>
    </w:lvl>
    <w:lvl w:ilvl="5" w:tplc="140A001B" w:tentative="1">
      <w:start w:val="1"/>
      <w:numFmt w:val="lowerRoman"/>
      <w:lvlText w:val="%6."/>
      <w:lvlJc w:val="right"/>
      <w:pPr>
        <w:ind w:left="6300" w:hanging="180"/>
      </w:pPr>
    </w:lvl>
    <w:lvl w:ilvl="6" w:tplc="140A000F" w:tentative="1">
      <w:start w:val="1"/>
      <w:numFmt w:val="decimal"/>
      <w:lvlText w:val="%7."/>
      <w:lvlJc w:val="left"/>
      <w:pPr>
        <w:ind w:left="7020" w:hanging="360"/>
      </w:pPr>
    </w:lvl>
    <w:lvl w:ilvl="7" w:tplc="140A0019" w:tentative="1">
      <w:start w:val="1"/>
      <w:numFmt w:val="lowerLetter"/>
      <w:lvlText w:val="%8."/>
      <w:lvlJc w:val="left"/>
      <w:pPr>
        <w:ind w:left="7740" w:hanging="360"/>
      </w:pPr>
    </w:lvl>
    <w:lvl w:ilvl="8" w:tplc="140A001B" w:tentative="1">
      <w:start w:val="1"/>
      <w:numFmt w:val="lowerRoman"/>
      <w:lvlText w:val="%9."/>
      <w:lvlJc w:val="right"/>
      <w:pPr>
        <w:ind w:left="8460" w:hanging="180"/>
      </w:pPr>
    </w:lvl>
  </w:abstractNum>
  <w:abstractNum w:abstractNumId="20" w15:restartNumberingAfterBreak="0">
    <w:nsid w:val="38316FC1"/>
    <w:multiLevelType w:val="hybridMultilevel"/>
    <w:tmpl w:val="3724B81C"/>
    <w:lvl w:ilvl="0" w:tplc="B4EC72FA">
      <w:start w:val="1"/>
      <w:numFmt w:val="lowerLetter"/>
      <w:lvlText w:val="%1)"/>
      <w:lvlJc w:val="left"/>
      <w:rPr>
        <w:rFonts w:hint="default"/>
        <w:strike w:val="0"/>
        <w:dstrike w:val="0"/>
        <w:color w:val="auto"/>
        <w:u w:color="FFFFFF"/>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38C34EA2"/>
    <w:multiLevelType w:val="singleLevel"/>
    <w:tmpl w:val="E56E4242"/>
    <w:lvl w:ilvl="0">
      <w:start w:val="1"/>
      <w:numFmt w:val="bullet"/>
      <w:pStyle w:val="61exhbullet"/>
      <w:lvlText w:val=""/>
      <w:lvlJc w:val="left"/>
      <w:pPr>
        <w:tabs>
          <w:tab w:val="num" w:pos="360"/>
        </w:tabs>
        <w:ind w:left="288" w:hanging="288"/>
      </w:pPr>
      <w:rPr>
        <w:rFonts w:ascii="Wingdings" w:hAnsi="Wingdings" w:hint="default"/>
      </w:rPr>
    </w:lvl>
  </w:abstractNum>
  <w:abstractNum w:abstractNumId="22" w15:restartNumberingAfterBreak="0">
    <w:nsid w:val="3A1E4AB2"/>
    <w:multiLevelType w:val="hybridMultilevel"/>
    <w:tmpl w:val="6E2036CA"/>
    <w:lvl w:ilvl="0" w:tplc="6BF61678">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46F0174A"/>
    <w:multiLevelType w:val="hybridMultilevel"/>
    <w:tmpl w:val="3B881A68"/>
    <w:lvl w:ilvl="0" w:tplc="EE8E7AC4">
      <w:start w:val="1"/>
      <w:numFmt w:val="upperLetter"/>
      <w:pStyle w:val="Estilo1"/>
      <w:lvlText w:val="%1)"/>
      <w:lvlJc w:val="left"/>
      <w:pPr>
        <w:ind w:left="720" w:hanging="360"/>
      </w:pPr>
      <w:rPr>
        <w:rFonts w:hint="default"/>
        <w:b/>
        <w:i w:val="0"/>
        <w:color w:val="44546A"/>
        <w:u w:val="no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486F7FEB"/>
    <w:multiLevelType w:val="hybridMultilevel"/>
    <w:tmpl w:val="B6E282E4"/>
    <w:lvl w:ilvl="0" w:tplc="728A8974">
      <w:start w:val="1"/>
      <w:numFmt w:val="decimal"/>
      <w:pStyle w:val="Ttulo3C"/>
      <w:lvlText w:val="%1."/>
      <w:lvlJc w:val="left"/>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527632E2"/>
    <w:multiLevelType w:val="hybridMultilevel"/>
    <w:tmpl w:val="A76ECDE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27" w15:restartNumberingAfterBreak="0">
    <w:nsid w:val="52B53A37"/>
    <w:multiLevelType w:val="hybridMultilevel"/>
    <w:tmpl w:val="BA04CD0A"/>
    <w:lvl w:ilvl="0" w:tplc="4FFE30AC">
      <w:start w:val="1"/>
      <w:numFmt w:val="lowerRoman"/>
      <w:lvlText w:val="%1."/>
      <w:lvlJc w:val="left"/>
      <w:pPr>
        <w:ind w:left="2139" w:hanging="720"/>
      </w:pPr>
      <w:rPr>
        <w:rFonts w:hint="default"/>
      </w:rPr>
    </w:lvl>
    <w:lvl w:ilvl="1" w:tplc="140A0019" w:tentative="1">
      <w:start w:val="1"/>
      <w:numFmt w:val="lowerLetter"/>
      <w:lvlText w:val="%2."/>
      <w:lvlJc w:val="left"/>
      <w:pPr>
        <w:ind w:left="2499" w:hanging="360"/>
      </w:pPr>
    </w:lvl>
    <w:lvl w:ilvl="2" w:tplc="140A001B" w:tentative="1">
      <w:start w:val="1"/>
      <w:numFmt w:val="lowerRoman"/>
      <w:lvlText w:val="%3."/>
      <w:lvlJc w:val="right"/>
      <w:pPr>
        <w:ind w:left="3219" w:hanging="180"/>
      </w:pPr>
    </w:lvl>
    <w:lvl w:ilvl="3" w:tplc="140A000F" w:tentative="1">
      <w:start w:val="1"/>
      <w:numFmt w:val="decimal"/>
      <w:lvlText w:val="%4."/>
      <w:lvlJc w:val="left"/>
      <w:pPr>
        <w:ind w:left="3939" w:hanging="360"/>
      </w:pPr>
    </w:lvl>
    <w:lvl w:ilvl="4" w:tplc="140A0019" w:tentative="1">
      <w:start w:val="1"/>
      <w:numFmt w:val="lowerLetter"/>
      <w:lvlText w:val="%5."/>
      <w:lvlJc w:val="left"/>
      <w:pPr>
        <w:ind w:left="4659" w:hanging="360"/>
      </w:pPr>
    </w:lvl>
    <w:lvl w:ilvl="5" w:tplc="140A001B" w:tentative="1">
      <w:start w:val="1"/>
      <w:numFmt w:val="lowerRoman"/>
      <w:lvlText w:val="%6."/>
      <w:lvlJc w:val="right"/>
      <w:pPr>
        <w:ind w:left="5379" w:hanging="180"/>
      </w:pPr>
    </w:lvl>
    <w:lvl w:ilvl="6" w:tplc="140A000F" w:tentative="1">
      <w:start w:val="1"/>
      <w:numFmt w:val="decimal"/>
      <w:lvlText w:val="%7."/>
      <w:lvlJc w:val="left"/>
      <w:pPr>
        <w:ind w:left="6099" w:hanging="360"/>
      </w:pPr>
    </w:lvl>
    <w:lvl w:ilvl="7" w:tplc="140A0019" w:tentative="1">
      <w:start w:val="1"/>
      <w:numFmt w:val="lowerLetter"/>
      <w:lvlText w:val="%8."/>
      <w:lvlJc w:val="left"/>
      <w:pPr>
        <w:ind w:left="6819" w:hanging="360"/>
      </w:pPr>
    </w:lvl>
    <w:lvl w:ilvl="8" w:tplc="140A001B" w:tentative="1">
      <w:start w:val="1"/>
      <w:numFmt w:val="lowerRoman"/>
      <w:lvlText w:val="%9."/>
      <w:lvlJc w:val="right"/>
      <w:pPr>
        <w:ind w:left="7539" w:hanging="180"/>
      </w:pPr>
    </w:lvl>
  </w:abstractNum>
  <w:abstractNum w:abstractNumId="28" w15:restartNumberingAfterBreak="0">
    <w:nsid w:val="561B1E44"/>
    <w:multiLevelType w:val="hybridMultilevel"/>
    <w:tmpl w:val="3AC050AA"/>
    <w:lvl w:ilvl="0" w:tplc="7026E906">
      <w:start w:val="1"/>
      <w:numFmt w:val="decimal"/>
      <w:pStyle w:val="Listaconnmeros"/>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58D370C5"/>
    <w:multiLevelType w:val="multilevel"/>
    <w:tmpl w:val="EE6683FC"/>
    <w:lvl w:ilvl="0">
      <w:start w:val="1"/>
      <w:numFmt w:val="decimal"/>
      <w:pStyle w:val="Ttulo1SUGEF"/>
      <w:lvlText w:val="%1."/>
      <w:lvlJc w:val="left"/>
      <w:pPr>
        <w:ind w:left="360" w:hanging="360"/>
      </w:pPr>
      <w:rPr>
        <w:rFonts w:hint="default"/>
      </w:rPr>
    </w:lvl>
    <w:lvl w:ilvl="1">
      <w:start w:val="1"/>
      <w:numFmt w:val="decimal"/>
      <w:pStyle w:val="Ttulo2SUGEF"/>
      <w:lvlText w:val="%1.%2."/>
      <w:lvlJc w:val="left"/>
      <w:pPr>
        <w:ind w:left="567" w:hanging="567"/>
      </w:pPr>
      <w:rPr>
        <w:rFonts w:hint="default"/>
      </w:rPr>
    </w:lvl>
    <w:lvl w:ilvl="2">
      <w:start w:val="1"/>
      <w:numFmt w:val="decimal"/>
      <w:lvlText w:val="%1.%2.%3."/>
      <w:lvlJc w:val="right"/>
      <w:pPr>
        <w:ind w:left="1021" w:hanging="17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15:restartNumberingAfterBreak="0">
    <w:nsid w:val="5B663270"/>
    <w:multiLevelType w:val="singleLevel"/>
    <w:tmpl w:val="F40C1648"/>
    <w:lvl w:ilvl="0">
      <w:start w:val="1"/>
      <w:numFmt w:val="bullet"/>
      <w:pStyle w:val="03dash"/>
      <w:lvlText w:val="–"/>
      <w:lvlJc w:val="left"/>
      <w:pPr>
        <w:tabs>
          <w:tab w:val="num" w:pos="1656"/>
        </w:tabs>
        <w:ind w:left="1613" w:hanging="317"/>
      </w:pPr>
      <w:rPr>
        <w:rFonts w:ascii="Palatino" w:hAnsi="Palatino" w:hint="default"/>
      </w:rPr>
    </w:lvl>
  </w:abstractNum>
  <w:abstractNum w:abstractNumId="31" w15:restartNumberingAfterBreak="0">
    <w:nsid w:val="5D067344"/>
    <w:multiLevelType w:val="hybridMultilevel"/>
    <w:tmpl w:val="99444C96"/>
    <w:lvl w:ilvl="0" w:tplc="ABA21736">
      <w:start w:val="1"/>
      <w:numFmt w:val="lowerRoman"/>
      <w:lvlText w:val="%1."/>
      <w:lvlJc w:val="right"/>
      <w:pPr>
        <w:ind w:left="270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5F2E3929"/>
    <w:multiLevelType w:val="hybridMultilevel"/>
    <w:tmpl w:val="0C9C226A"/>
    <w:lvl w:ilvl="0" w:tplc="5DC47C6C">
      <w:start w:val="1"/>
      <w:numFmt w:val="lowerRoman"/>
      <w:lvlText w:val="%1)"/>
      <w:lvlJc w:val="right"/>
      <w:pPr>
        <w:ind w:left="720" w:hanging="360"/>
      </w:pPr>
      <w:rPr>
        <w:rFonts w:hint="default"/>
        <w:b w:val="0"/>
        <w:i w:val="0"/>
        <w:color w:val="auto"/>
        <w:u w:val="no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64BF4925"/>
    <w:multiLevelType w:val="hybridMultilevel"/>
    <w:tmpl w:val="96BC1F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C6243C"/>
    <w:multiLevelType w:val="hybridMultilevel"/>
    <w:tmpl w:val="DDC0C034"/>
    <w:lvl w:ilvl="0" w:tplc="042AFDF2">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67917889"/>
    <w:multiLevelType w:val="hybridMultilevel"/>
    <w:tmpl w:val="E30834EC"/>
    <w:lvl w:ilvl="0" w:tplc="BA6C7960">
      <w:start w:val="1"/>
      <w:numFmt w:val="lowerLetter"/>
      <w:lvlText w:val="%1)"/>
      <w:lvlJc w:val="left"/>
      <w:rPr>
        <w:rFonts w:hint="default"/>
        <w:strike w:val="0"/>
        <w:dstrike w:val="0"/>
        <w:color w:val="auto"/>
        <w:u w:color="FFFFFF"/>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6A714D06"/>
    <w:multiLevelType w:val="hybridMultilevel"/>
    <w:tmpl w:val="ECF4F8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EFD3BB2"/>
    <w:multiLevelType w:val="hybridMultilevel"/>
    <w:tmpl w:val="BFDCDFA8"/>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719D6757"/>
    <w:multiLevelType w:val="hybridMultilevel"/>
    <w:tmpl w:val="808030D2"/>
    <w:lvl w:ilvl="0" w:tplc="F4A27F66">
      <w:start w:val="1"/>
      <w:numFmt w:val="lowerLetter"/>
      <w:lvlText w:val="%1)"/>
      <w:lvlJc w:val="left"/>
      <w:rPr>
        <w:rFonts w:hint="default"/>
        <w:strike w:val="0"/>
        <w:dstrike w:val="0"/>
        <w:color w:val="auto"/>
        <w:u w:color="FFFFFF"/>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71D30069"/>
    <w:multiLevelType w:val="hybridMultilevel"/>
    <w:tmpl w:val="C74E784E"/>
    <w:lvl w:ilvl="0" w:tplc="BB7C189E">
      <w:start w:val="1"/>
      <w:numFmt w:val="lowerLetter"/>
      <w:lvlText w:val="%1)"/>
      <w:lvlJc w:val="left"/>
      <w:rPr>
        <w:rFonts w:hint="default"/>
        <w:strike w:val="0"/>
        <w:dstrike w:val="0"/>
        <w:color w:val="auto"/>
        <w:u w:color="FFFFFF"/>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71E22C35"/>
    <w:multiLevelType w:val="hybridMultilevel"/>
    <w:tmpl w:val="2C680870"/>
    <w:lvl w:ilvl="0" w:tplc="E814F536">
      <w:start w:val="2"/>
      <w:numFmt w:val="lowerRoman"/>
      <w:lvlText w:val="%1)"/>
      <w:lvlJc w:val="right"/>
      <w:pPr>
        <w:ind w:left="720" w:hanging="360"/>
      </w:pPr>
      <w:rPr>
        <w:rFonts w:hint="default"/>
        <w:b w:val="0"/>
        <w:i w:val="0"/>
        <w:color w:val="auto"/>
        <w:u w:val="no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15:restartNumberingAfterBreak="0">
    <w:nsid w:val="76C9574E"/>
    <w:multiLevelType w:val="singleLevel"/>
    <w:tmpl w:val="7750BC7E"/>
    <w:lvl w:ilvl="0">
      <w:start w:val="1"/>
      <w:numFmt w:val="bullet"/>
      <w:pStyle w:val="b2"/>
      <w:lvlText w:val=""/>
      <w:lvlJc w:val="left"/>
      <w:pPr>
        <w:tabs>
          <w:tab w:val="num" w:pos="360"/>
        </w:tabs>
        <w:ind w:left="360" w:hanging="360"/>
      </w:pPr>
      <w:rPr>
        <w:rFonts w:ascii="Monotype Sorts" w:hAnsi="Monotype Sorts" w:hint="default"/>
      </w:rPr>
    </w:lvl>
  </w:abstractNum>
  <w:abstractNum w:abstractNumId="42" w15:restartNumberingAfterBreak="0">
    <w:nsid w:val="795C051E"/>
    <w:multiLevelType w:val="hybridMultilevel"/>
    <w:tmpl w:val="1B4E02A0"/>
    <w:lvl w:ilvl="0" w:tplc="C45A6436">
      <w:start w:val="1"/>
      <w:numFmt w:val="lowerLetter"/>
      <w:lvlText w:val="%1)"/>
      <w:lvlJc w:val="left"/>
      <w:rPr>
        <w:rFonts w:hint="default"/>
        <w:strike w:val="0"/>
        <w:dstrike w:val="0"/>
        <w:color w:val="auto"/>
        <w:u w:color="FFFFFF"/>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3" w15:restartNumberingAfterBreak="0">
    <w:nsid w:val="7A1C4869"/>
    <w:multiLevelType w:val="hybridMultilevel"/>
    <w:tmpl w:val="58007730"/>
    <w:lvl w:ilvl="0" w:tplc="61D0F9FC">
      <w:start w:val="1"/>
      <w:numFmt w:val="lowerLetter"/>
      <w:lvlText w:val="%1)"/>
      <w:lvlJc w:val="left"/>
      <w:rPr>
        <w:rFonts w:hint="default"/>
        <w:strike w:val="0"/>
        <w:dstrike w:val="0"/>
        <w:color w:val="auto"/>
        <w:u w:color="FFFFFF"/>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4" w15:restartNumberingAfterBreak="0">
    <w:nsid w:val="7A530631"/>
    <w:multiLevelType w:val="hybridMultilevel"/>
    <w:tmpl w:val="6660DA52"/>
    <w:lvl w:ilvl="0" w:tplc="64046C9C">
      <w:start w:val="1"/>
      <w:numFmt w:val="lowerLetter"/>
      <w:lvlText w:val="%1)"/>
      <w:lvlJc w:val="left"/>
      <w:rPr>
        <w:rFonts w:hint="default"/>
        <w:strike w:val="0"/>
        <w:dstrike w:val="0"/>
        <w:color w:val="auto"/>
        <w:u w:color="FFFFFF"/>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5" w15:restartNumberingAfterBreak="0">
    <w:nsid w:val="7D0451EC"/>
    <w:multiLevelType w:val="hybridMultilevel"/>
    <w:tmpl w:val="162E5676"/>
    <w:lvl w:ilvl="0" w:tplc="140A0001">
      <w:start w:val="1"/>
      <w:numFmt w:val="bullet"/>
      <w:lvlText w:val=""/>
      <w:lvlJc w:val="left"/>
      <w:pPr>
        <w:ind w:left="1146" w:hanging="720"/>
      </w:pPr>
      <w:rPr>
        <w:rFonts w:ascii="Symbol" w:hAnsi="Symbol"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46" w15:restartNumberingAfterBreak="0">
    <w:nsid w:val="7DF322A0"/>
    <w:multiLevelType w:val="hybridMultilevel"/>
    <w:tmpl w:val="39D28464"/>
    <w:lvl w:ilvl="0" w:tplc="2A9613EE">
      <w:start w:val="1"/>
      <w:numFmt w:val="lowerLetter"/>
      <w:lvlText w:val="%1)"/>
      <w:lvlJc w:val="left"/>
      <w:rPr>
        <w:rFonts w:hint="default"/>
        <w:strike w:val="0"/>
        <w:dstrike w:val="0"/>
        <w:color w:val="auto"/>
        <w:u w:color="FFFFFF"/>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1655177676">
    <w:abstractNumId w:val="28"/>
  </w:num>
  <w:num w:numId="2" w16cid:durableId="264504680">
    <w:abstractNumId w:val="33"/>
  </w:num>
  <w:num w:numId="3" w16cid:durableId="335110936">
    <w:abstractNumId w:val="36"/>
  </w:num>
  <w:num w:numId="4" w16cid:durableId="1663049945">
    <w:abstractNumId w:val="15"/>
  </w:num>
  <w:num w:numId="5" w16cid:durableId="1413626834">
    <w:abstractNumId w:val="22"/>
  </w:num>
  <w:num w:numId="6" w16cid:durableId="612709269">
    <w:abstractNumId w:val="34"/>
  </w:num>
  <w:num w:numId="7" w16cid:durableId="175924196">
    <w:abstractNumId w:val="6"/>
  </w:num>
  <w:num w:numId="8" w16cid:durableId="1802376958">
    <w:abstractNumId w:val="27"/>
  </w:num>
  <w:num w:numId="9" w16cid:durableId="897857191">
    <w:abstractNumId w:val="45"/>
  </w:num>
  <w:num w:numId="10" w16cid:durableId="19691650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002159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74931744">
    <w:abstractNumId w:val="13"/>
  </w:num>
  <w:num w:numId="13" w16cid:durableId="21256133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9862392">
    <w:abstractNumId w:val="2"/>
  </w:num>
  <w:num w:numId="15" w16cid:durableId="752627762">
    <w:abstractNumId w:val="24"/>
  </w:num>
  <w:num w:numId="16" w16cid:durableId="792942462">
    <w:abstractNumId w:val="8"/>
  </w:num>
  <w:num w:numId="17" w16cid:durableId="1135954910">
    <w:abstractNumId w:val="26"/>
  </w:num>
  <w:num w:numId="18" w16cid:durableId="1187014258">
    <w:abstractNumId w:val="17"/>
  </w:num>
  <w:num w:numId="19" w16cid:durableId="2041585634">
    <w:abstractNumId w:val="29"/>
  </w:num>
  <w:num w:numId="20" w16cid:durableId="1664309802">
    <w:abstractNumId w:val="30"/>
  </w:num>
  <w:num w:numId="21" w16cid:durableId="1027291292">
    <w:abstractNumId w:val="21"/>
  </w:num>
  <w:num w:numId="22" w16cid:durableId="2012561489">
    <w:abstractNumId w:val="41"/>
  </w:num>
  <w:num w:numId="23" w16cid:durableId="922955238">
    <w:abstractNumId w:val="4"/>
  </w:num>
  <w:num w:numId="24" w16cid:durableId="62531125">
    <w:abstractNumId w:val="23"/>
  </w:num>
  <w:num w:numId="25" w16cid:durableId="1782454399">
    <w:abstractNumId w:val="7"/>
  </w:num>
  <w:num w:numId="26" w16cid:durableId="2077363042">
    <w:abstractNumId w:val="19"/>
  </w:num>
  <w:num w:numId="27" w16cid:durableId="1629313203">
    <w:abstractNumId w:val="37"/>
  </w:num>
  <w:num w:numId="28" w16cid:durableId="517694307">
    <w:abstractNumId w:val="32"/>
  </w:num>
  <w:num w:numId="29" w16cid:durableId="412359134">
    <w:abstractNumId w:val="40"/>
  </w:num>
  <w:num w:numId="30" w16cid:durableId="75590734">
    <w:abstractNumId w:val="18"/>
  </w:num>
  <w:num w:numId="31" w16cid:durableId="837117150">
    <w:abstractNumId w:val="38"/>
  </w:num>
  <w:num w:numId="32" w16cid:durableId="1748569536">
    <w:abstractNumId w:val="31"/>
  </w:num>
  <w:num w:numId="33" w16cid:durableId="796725058">
    <w:abstractNumId w:val="1"/>
  </w:num>
  <w:num w:numId="34" w16cid:durableId="448553382">
    <w:abstractNumId w:val="35"/>
  </w:num>
  <w:num w:numId="35" w16cid:durableId="1477987337">
    <w:abstractNumId w:val="43"/>
  </w:num>
  <w:num w:numId="36" w16cid:durableId="804201485">
    <w:abstractNumId w:val="5"/>
  </w:num>
  <w:num w:numId="37" w16cid:durableId="943221940">
    <w:abstractNumId w:val="11"/>
  </w:num>
  <w:num w:numId="38" w16cid:durableId="1967351231">
    <w:abstractNumId w:val="14"/>
  </w:num>
  <w:num w:numId="39" w16cid:durableId="399056060">
    <w:abstractNumId w:val="9"/>
  </w:num>
  <w:num w:numId="40" w16cid:durableId="459037482">
    <w:abstractNumId w:val="42"/>
  </w:num>
  <w:num w:numId="41" w16cid:durableId="597374276">
    <w:abstractNumId w:val="20"/>
  </w:num>
  <w:num w:numId="42" w16cid:durableId="713310915">
    <w:abstractNumId w:val="46"/>
  </w:num>
  <w:num w:numId="43" w16cid:durableId="2056855902">
    <w:abstractNumId w:val="10"/>
  </w:num>
  <w:num w:numId="44" w16cid:durableId="1041518176">
    <w:abstractNumId w:val="39"/>
  </w:num>
  <w:num w:numId="45" w16cid:durableId="1967656339">
    <w:abstractNumId w:val="44"/>
  </w:num>
  <w:num w:numId="46" w16cid:durableId="2060472832">
    <w:abstractNumId w:val="16"/>
  </w:num>
  <w:num w:numId="47" w16cid:durableId="24448636">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A93"/>
    <w:rsid w:val="00001F07"/>
    <w:rsid w:val="00002DD0"/>
    <w:rsid w:val="00003F70"/>
    <w:rsid w:val="00004CF9"/>
    <w:rsid w:val="00007E89"/>
    <w:rsid w:val="00010980"/>
    <w:rsid w:val="00014E33"/>
    <w:rsid w:val="00017364"/>
    <w:rsid w:val="000219AD"/>
    <w:rsid w:val="00021C63"/>
    <w:rsid w:val="0002439A"/>
    <w:rsid w:val="000246D3"/>
    <w:rsid w:val="00025CFD"/>
    <w:rsid w:val="000316EA"/>
    <w:rsid w:val="00033232"/>
    <w:rsid w:val="00034565"/>
    <w:rsid w:val="0004418E"/>
    <w:rsid w:val="00044B4C"/>
    <w:rsid w:val="000474DE"/>
    <w:rsid w:val="000474E7"/>
    <w:rsid w:val="0005129D"/>
    <w:rsid w:val="00051CAE"/>
    <w:rsid w:val="0005579D"/>
    <w:rsid w:val="0005722B"/>
    <w:rsid w:val="00057E08"/>
    <w:rsid w:val="000642A5"/>
    <w:rsid w:val="00065058"/>
    <w:rsid w:val="00066413"/>
    <w:rsid w:val="00071CE5"/>
    <w:rsid w:val="00073BE3"/>
    <w:rsid w:val="000747C4"/>
    <w:rsid w:val="000770A8"/>
    <w:rsid w:val="00085D4E"/>
    <w:rsid w:val="00086130"/>
    <w:rsid w:val="00086DD5"/>
    <w:rsid w:val="000900A2"/>
    <w:rsid w:val="00091091"/>
    <w:rsid w:val="00091D6D"/>
    <w:rsid w:val="000936B0"/>
    <w:rsid w:val="00094091"/>
    <w:rsid w:val="00095B79"/>
    <w:rsid w:val="000A0034"/>
    <w:rsid w:val="000A1B48"/>
    <w:rsid w:val="000A1C6B"/>
    <w:rsid w:val="000A63A7"/>
    <w:rsid w:val="000A6474"/>
    <w:rsid w:val="000B03FB"/>
    <w:rsid w:val="000B3D80"/>
    <w:rsid w:val="000B5E64"/>
    <w:rsid w:val="000B70FC"/>
    <w:rsid w:val="000C24EC"/>
    <w:rsid w:val="000C4712"/>
    <w:rsid w:val="000C4918"/>
    <w:rsid w:val="000C6280"/>
    <w:rsid w:val="000C6455"/>
    <w:rsid w:val="000C6754"/>
    <w:rsid w:val="000C782F"/>
    <w:rsid w:val="000C7AB3"/>
    <w:rsid w:val="000C7B97"/>
    <w:rsid w:val="000D127C"/>
    <w:rsid w:val="000D6775"/>
    <w:rsid w:val="000D6F45"/>
    <w:rsid w:val="000D7CDB"/>
    <w:rsid w:val="000E0D82"/>
    <w:rsid w:val="000E141A"/>
    <w:rsid w:val="000E18F8"/>
    <w:rsid w:val="000E408E"/>
    <w:rsid w:val="000E40C9"/>
    <w:rsid w:val="000E68CE"/>
    <w:rsid w:val="000F3343"/>
    <w:rsid w:val="000F5013"/>
    <w:rsid w:val="000F78F6"/>
    <w:rsid w:val="0010096D"/>
    <w:rsid w:val="0010567E"/>
    <w:rsid w:val="001141CF"/>
    <w:rsid w:val="0011588F"/>
    <w:rsid w:val="00115EB1"/>
    <w:rsid w:val="00117BB7"/>
    <w:rsid w:val="00120124"/>
    <w:rsid w:val="00122CCE"/>
    <w:rsid w:val="00123B6F"/>
    <w:rsid w:val="0013144C"/>
    <w:rsid w:val="001354EF"/>
    <w:rsid w:val="00136319"/>
    <w:rsid w:val="00136386"/>
    <w:rsid w:val="001365A9"/>
    <w:rsid w:val="001369A7"/>
    <w:rsid w:val="00144DC8"/>
    <w:rsid w:val="001464FA"/>
    <w:rsid w:val="00151C33"/>
    <w:rsid w:val="00151EF2"/>
    <w:rsid w:val="00151F6C"/>
    <w:rsid w:val="001550C2"/>
    <w:rsid w:val="001554AB"/>
    <w:rsid w:val="00156FB0"/>
    <w:rsid w:val="00157A7A"/>
    <w:rsid w:val="00157FDD"/>
    <w:rsid w:val="00161363"/>
    <w:rsid w:val="00162ECC"/>
    <w:rsid w:val="00166B18"/>
    <w:rsid w:val="001728AD"/>
    <w:rsid w:val="001734F5"/>
    <w:rsid w:val="00174487"/>
    <w:rsid w:val="00181B1C"/>
    <w:rsid w:val="001826CC"/>
    <w:rsid w:val="001859BC"/>
    <w:rsid w:val="00191692"/>
    <w:rsid w:val="00191C29"/>
    <w:rsid w:val="00192661"/>
    <w:rsid w:val="001930BD"/>
    <w:rsid w:val="001944C9"/>
    <w:rsid w:val="001951B5"/>
    <w:rsid w:val="001963C5"/>
    <w:rsid w:val="00197E5D"/>
    <w:rsid w:val="001A1AE5"/>
    <w:rsid w:val="001A2930"/>
    <w:rsid w:val="001A3312"/>
    <w:rsid w:val="001A3BC6"/>
    <w:rsid w:val="001A4A9B"/>
    <w:rsid w:val="001A570E"/>
    <w:rsid w:val="001A7088"/>
    <w:rsid w:val="001A77EB"/>
    <w:rsid w:val="001B0B6C"/>
    <w:rsid w:val="001B1501"/>
    <w:rsid w:val="001B2D2B"/>
    <w:rsid w:val="001B318F"/>
    <w:rsid w:val="001B48F5"/>
    <w:rsid w:val="001B49BB"/>
    <w:rsid w:val="001B6F0F"/>
    <w:rsid w:val="001C7EDE"/>
    <w:rsid w:val="001D0382"/>
    <w:rsid w:val="001D2F64"/>
    <w:rsid w:val="001D3296"/>
    <w:rsid w:val="001D683F"/>
    <w:rsid w:val="001D7998"/>
    <w:rsid w:val="001E3BA6"/>
    <w:rsid w:val="001E4BAA"/>
    <w:rsid w:val="001E4FE7"/>
    <w:rsid w:val="001E5104"/>
    <w:rsid w:val="001E5831"/>
    <w:rsid w:val="001E7A64"/>
    <w:rsid w:val="001F04C9"/>
    <w:rsid w:val="001F187F"/>
    <w:rsid w:val="001F1D92"/>
    <w:rsid w:val="001F3F5C"/>
    <w:rsid w:val="00201B60"/>
    <w:rsid w:val="00201E0C"/>
    <w:rsid w:val="002021D8"/>
    <w:rsid w:val="002033D4"/>
    <w:rsid w:val="00206D06"/>
    <w:rsid w:val="00215770"/>
    <w:rsid w:val="00216AC6"/>
    <w:rsid w:val="00216FEA"/>
    <w:rsid w:val="00224F93"/>
    <w:rsid w:val="002261E0"/>
    <w:rsid w:val="002323F4"/>
    <w:rsid w:val="002340E7"/>
    <w:rsid w:val="00234373"/>
    <w:rsid w:val="00240132"/>
    <w:rsid w:val="00240B66"/>
    <w:rsid w:val="00242C4B"/>
    <w:rsid w:val="00242D16"/>
    <w:rsid w:val="00245F3E"/>
    <w:rsid w:val="00251960"/>
    <w:rsid w:val="002526DB"/>
    <w:rsid w:val="00252C38"/>
    <w:rsid w:val="002539D6"/>
    <w:rsid w:val="00257377"/>
    <w:rsid w:val="00262C58"/>
    <w:rsid w:val="002633E2"/>
    <w:rsid w:val="0026542C"/>
    <w:rsid w:val="002664B6"/>
    <w:rsid w:val="0027219C"/>
    <w:rsid w:val="002746FA"/>
    <w:rsid w:val="0027633C"/>
    <w:rsid w:val="00276D74"/>
    <w:rsid w:val="00280B4B"/>
    <w:rsid w:val="00282205"/>
    <w:rsid w:val="00282DB5"/>
    <w:rsid w:val="00283E1E"/>
    <w:rsid w:val="00290803"/>
    <w:rsid w:val="00290A93"/>
    <w:rsid w:val="00291E8B"/>
    <w:rsid w:val="00294C7E"/>
    <w:rsid w:val="002971C2"/>
    <w:rsid w:val="002A097B"/>
    <w:rsid w:val="002A187C"/>
    <w:rsid w:val="002A237B"/>
    <w:rsid w:val="002A470C"/>
    <w:rsid w:val="002A5131"/>
    <w:rsid w:val="002A5E69"/>
    <w:rsid w:val="002A6D44"/>
    <w:rsid w:val="002B09DE"/>
    <w:rsid w:val="002B24E5"/>
    <w:rsid w:val="002B3DA2"/>
    <w:rsid w:val="002B43B7"/>
    <w:rsid w:val="002B52E4"/>
    <w:rsid w:val="002B5B3E"/>
    <w:rsid w:val="002C13C1"/>
    <w:rsid w:val="002C2AAB"/>
    <w:rsid w:val="002C2F98"/>
    <w:rsid w:val="002C443C"/>
    <w:rsid w:val="002C6BD8"/>
    <w:rsid w:val="002D09EA"/>
    <w:rsid w:val="002D103D"/>
    <w:rsid w:val="002D4181"/>
    <w:rsid w:val="002D55D1"/>
    <w:rsid w:val="002E14FE"/>
    <w:rsid w:val="002E21B1"/>
    <w:rsid w:val="002E22DE"/>
    <w:rsid w:val="002E44B3"/>
    <w:rsid w:val="002E7DD4"/>
    <w:rsid w:val="002F3573"/>
    <w:rsid w:val="002F4A53"/>
    <w:rsid w:val="002F4EA5"/>
    <w:rsid w:val="002F526C"/>
    <w:rsid w:val="002F75F0"/>
    <w:rsid w:val="00304CB8"/>
    <w:rsid w:val="00305B79"/>
    <w:rsid w:val="00306733"/>
    <w:rsid w:val="00307EAA"/>
    <w:rsid w:val="00314438"/>
    <w:rsid w:val="003200D8"/>
    <w:rsid w:val="003253EA"/>
    <w:rsid w:val="00326670"/>
    <w:rsid w:val="00326F27"/>
    <w:rsid w:val="0033213C"/>
    <w:rsid w:val="00334BEC"/>
    <w:rsid w:val="00336339"/>
    <w:rsid w:val="003418C1"/>
    <w:rsid w:val="00341955"/>
    <w:rsid w:val="003464C0"/>
    <w:rsid w:val="0034727B"/>
    <w:rsid w:val="00350DA3"/>
    <w:rsid w:val="00350DCE"/>
    <w:rsid w:val="003510A8"/>
    <w:rsid w:val="00360F26"/>
    <w:rsid w:val="00366355"/>
    <w:rsid w:val="003673FA"/>
    <w:rsid w:val="00370207"/>
    <w:rsid w:val="00370CDF"/>
    <w:rsid w:val="00371011"/>
    <w:rsid w:val="0037117E"/>
    <w:rsid w:val="00372010"/>
    <w:rsid w:val="0037257E"/>
    <w:rsid w:val="003737A5"/>
    <w:rsid w:val="0037420C"/>
    <w:rsid w:val="0038143A"/>
    <w:rsid w:val="00381A14"/>
    <w:rsid w:val="00383C0C"/>
    <w:rsid w:val="0038579F"/>
    <w:rsid w:val="003905C9"/>
    <w:rsid w:val="003946DA"/>
    <w:rsid w:val="00395227"/>
    <w:rsid w:val="00396033"/>
    <w:rsid w:val="003965E9"/>
    <w:rsid w:val="00396BC0"/>
    <w:rsid w:val="003A2A93"/>
    <w:rsid w:val="003A46CC"/>
    <w:rsid w:val="003A61C1"/>
    <w:rsid w:val="003A6CBD"/>
    <w:rsid w:val="003B076C"/>
    <w:rsid w:val="003B0F7D"/>
    <w:rsid w:val="003B48F4"/>
    <w:rsid w:val="003B50B2"/>
    <w:rsid w:val="003B6CFC"/>
    <w:rsid w:val="003B6FB3"/>
    <w:rsid w:val="003B7EF6"/>
    <w:rsid w:val="003C0269"/>
    <w:rsid w:val="003C039E"/>
    <w:rsid w:val="003C2994"/>
    <w:rsid w:val="003C5D1E"/>
    <w:rsid w:val="003C6682"/>
    <w:rsid w:val="003C6EC5"/>
    <w:rsid w:val="003D2F9A"/>
    <w:rsid w:val="003D5938"/>
    <w:rsid w:val="003E0F58"/>
    <w:rsid w:val="003E22F7"/>
    <w:rsid w:val="003E24CE"/>
    <w:rsid w:val="003E507C"/>
    <w:rsid w:val="003E631E"/>
    <w:rsid w:val="003E7B93"/>
    <w:rsid w:val="003F16A6"/>
    <w:rsid w:val="003F1E3A"/>
    <w:rsid w:val="003F39CD"/>
    <w:rsid w:val="003F3E4C"/>
    <w:rsid w:val="003F4788"/>
    <w:rsid w:val="003F553B"/>
    <w:rsid w:val="003F5A1C"/>
    <w:rsid w:val="003F5CFB"/>
    <w:rsid w:val="003F62CA"/>
    <w:rsid w:val="003F64B1"/>
    <w:rsid w:val="003F7295"/>
    <w:rsid w:val="003F7AC5"/>
    <w:rsid w:val="003F7E55"/>
    <w:rsid w:val="0040086B"/>
    <w:rsid w:val="004017C0"/>
    <w:rsid w:val="004066D4"/>
    <w:rsid w:val="0041199F"/>
    <w:rsid w:val="004123DD"/>
    <w:rsid w:val="0041325F"/>
    <w:rsid w:val="00413FF2"/>
    <w:rsid w:val="004158B7"/>
    <w:rsid w:val="00416E63"/>
    <w:rsid w:val="004170AD"/>
    <w:rsid w:val="00417778"/>
    <w:rsid w:val="0042132B"/>
    <w:rsid w:val="00421582"/>
    <w:rsid w:val="00423E0B"/>
    <w:rsid w:val="00423E7D"/>
    <w:rsid w:val="0042682A"/>
    <w:rsid w:val="004279BF"/>
    <w:rsid w:val="004303A3"/>
    <w:rsid w:val="0043176A"/>
    <w:rsid w:val="00433E4C"/>
    <w:rsid w:val="004355D1"/>
    <w:rsid w:val="004404BD"/>
    <w:rsid w:val="004405A9"/>
    <w:rsid w:val="004407B6"/>
    <w:rsid w:val="00440A9D"/>
    <w:rsid w:val="00442F1C"/>
    <w:rsid w:val="004462B3"/>
    <w:rsid w:val="00446437"/>
    <w:rsid w:val="004472F7"/>
    <w:rsid w:val="00447F2E"/>
    <w:rsid w:val="004506DA"/>
    <w:rsid w:val="0045175C"/>
    <w:rsid w:val="00451DCD"/>
    <w:rsid w:val="0045310A"/>
    <w:rsid w:val="00456E18"/>
    <w:rsid w:val="00460192"/>
    <w:rsid w:val="004611A7"/>
    <w:rsid w:val="00461622"/>
    <w:rsid w:val="0046245F"/>
    <w:rsid w:val="004631DC"/>
    <w:rsid w:val="00464824"/>
    <w:rsid w:val="004654DA"/>
    <w:rsid w:val="00471B41"/>
    <w:rsid w:val="00472A23"/>
    <w:rsid w:val="00473500"/>
    <w:rsid w:val="00480DC0"/>
    <w:rsid w:val="00483D7F"/>
    <w:rsid w:val="0048424C"/>
    <w:rsid w:val="0048469A"/>
    <w:rsid w:val="00485AF3"/>
    <w:rsid w:val="00485CC9"/>
    <w:rsid w:val="00486FE5"/>
    <w:rsid w:val="00491A33"/>
    <w:rsid w:val="00492A7A"/>
    <w:rsid w:val="00497489"/>
    <w:rsid w:val="004974DC"/>
    <w:rsid w:val="004A0B67"/>
    <w:rsid w:val="004A156F"/>
    <w:rsid w:val="004A26B1"/>
    <w:rsid w:val="004A2C5F"/>
    <w:rsid w:val="004A3264"/>
    <w:rsid w:val="004A3558"/>
    <w:rsid w:val="004A486B"/>
    <w:rsid w:val="004A6C90"/>
    <w:rsid w:val="004B205C"/>
    <w:rsid w:val="004B381A"/>
    <w:rsid w:val="004B408B"/>
    <w:rsid w:val="004B42DE"/>
    <w:rsid w:val="004B7770"/>
    <w:rsid w:val="004B7E43"/>
    <w:rsid w:val="004C082D"/>
    <w:rsid w:val="004C0BC0"/>
    <w:rsid w:val="004C1A01"/>
    <w:rsid w:val="004C4D1D"/>
    <w:rsid w:val="004C53E9"/>
    <w:rsid w:val="004C5591"/>
    <w:rsid w:val="004C6C9E"/>
    <w:rsid w:val="004D0B3B"/>
    <w:rsid w:val="004D0CF0"/>
    <w:rsid w:val="004D1AAF"/>
    <w:rsid w:val="004D2627"/>
    <w:rsid w:val="004D27F0"/>
    <w:rsid w:val="004D3C68"/>
    <w:rsid w:val="004D6CBF"/>
    <w:rsid w:val="004D6D28"/>
    <w:rsid w:val="004D7C2C"/>
    <w:rsid w:val="004E04A7"/>
    <w:rsid w:val="004E1861"/>
    <w:rsid w:val="004E1936"/>
    <w:rsid w:val="004E1D50"/>
    <w:rsid w:val="004E292D"/>
    <w:rsid w:val="004E39C0"/>
    <w:rsid w:val="004E4308"/>
    <w:rsid w:val="004E4DA4"/>
    <w:rsid w:val="004E6390"/>
    <w:rsid w:val="004E6F5B"/>
    <w:rsid w:val="004F3FFF"/>
    <w:rsid w:val="005004F5"/>
    <w:rsid w:val="00501926"/>
    <w:rsid w:val="0050279B"/>
    <w:rsid w:val="00506331"/>
    <w:rsid w:val="00506E1B"/>
    <w:rsid w:val="005136A6"/>
    <w:rsid w:val="005139BD"/>
    <w:rsid w:val="00514D76"/>
    <w:rsid w:val="00517A97"/>
    <w:rsid w:val="0052186F"/>
    <w:rsid w:val="00521B15"/>
    <w:rsid w:val="005245E7"/>
    <w:rsid w:val="00525F51"/>
    <w:rsid w:val="0052738C"/>
    <w:rsid w:val="00527930"/>
    <w:rsid w:val="005325E7"/>
    <w:rsid w:val="0053294F"/>
    <w:rsid w:val="00532E35"/>
    <w:rsid w:val="00533AA0"/>
    <w:rsid w:val="00535244"/>
    <w:rsid w:val="0053647C"/>
    <w:rsid w:val="00536AC6"/>
    <w:rsid w:val="005377D5"/>
    <w:rsid w:val="005402B1"/>
    <w:rsid w:val="00540705"/>
    <w:rsid w:val="00542907"/>
    <w:rsid w:val="00545031"/>
    <w:rsid w:val="00545881"/>
    <w:rsid w:val="00546609"/>
    <w:rsid w:val="00552E9D"/>
    <w:rsid w:val="00560BB6"/>
    <w:rsid w:val="00562395"/>
    <w:rsid w:val="005625E1"/>
    <w:rsid w:val="005652C4"/>
    <w:rsid w:val="005661D3"/>
    <w:rsid w:val="005747BB"/>
    <w:rsid w:val="00574BCB"/>
    <w:rsid w:val="005751DB"/>
    <w:rsid w:val="00575616"/>
    <w:rsid w:val="00581440"/>
    <w:rsid w:val="0058156C"/>
    <w:rsid w:val="0058671F"/>
    <w:rsid w:val="00586A00"/>
    <w:rsid w:val="00587CCB"/>
    <w:rsid w:val="00590254"/>
    <w:rsid w:val="0059077D"/>
    <w:rsid w:val="00591A87"/>
    <w:rsid w:val="0059378E"/>
    <w:rsid w:val="0059427A"/>
    <w:rsid w:val="00596788"/>
    <w:rsid w:val="00596B87"/>
    <w:rsid w:val="005A21FC"/>
    <w:rsid w:val="005A3DD0"/>
    <w:rsid w:val="005A4344"/>
    <w:rsid w:val="005A64BF"/>
    <w:rsid w:val="005A6650"/>
    <w:rsid w:val="005A745B"/>
    <w:rsid w:val="005A7B1D"/>
    <w:rsid w:val="005A7DFA"/>
    <w:rsid w:val="005B0D56"/>
    <w:rsid w:val="005B2B70"/>
    <w:rsid w:val="005B511B"/>
    <w:rsid w:val="005B51FD"/>
    <w:rsid w:val="005B64B8"/>
    <w:rsid w:val="005B6B76"/>
    <w:rsid w:val="005B7CEA"/>
    <w:rsid w:val="005C33BD"/>
    <w:rsid w:val="005C38D1"/>
    <w:rsid w:val="005C4442"/>
    <w:rsid w:val="005C4B63"/>
    <w:rsid w:val="005C6504"/>
    <w:rsid w:val="005C6973"/>
    <w:rsid w:val="005C7FE7"/>
    <w:rsid w:val="005D1F3F"/>
    <w:rsid w:val="005D23C5"/>
    <w:rsid w:val="005E28F8"/>
    <w:rsid w:val="005E3F0A"/>
    <w:rsid w:val="005E4DC0"/>
    <w:rsid w:val="005E51A2"/>
    <w:rsid w:val="005E53A6"/>
    <w:rsid w:val="005E6A94"/>
    <w:rsid w:val="005E6FD2"/>
    <w:rsid w:val="005E7AEB"/>
    <w:rsid w:val="005F06C2"/>
    <w:rsid w:val="005F28B4"/>
    <w:rsid w:val="005F363E"/>
    <w:rsid w:val="005F4865"/>
    <w:rsid w:val="005F61B4"/>
    <w:rsid w:val="00604457"/>
    <w:rsid w:val="00604649"/>
    <w:rsid w:val="00606B98"/>
    <w:rsid w:val="00612BFC"/>
    <w:rsid w:val="006138B8"/>
    <w:rsid w:val="006145F4"/>
    <w:rsid w:val="00614B1F"/>
    <w:rsid w:val="00614B22"/>
    <w:rsid w:val="00615A77"/>
    <w:rsid w:val="00616715"/>
    <w:rsid w:val="0061783A"/>
    <w:rsid w:val="00617A4E"/>
    <w:rsid w:val="00617BC4"/>
    <w:rsid w:val="006203F2"/>
    <w:rsid w:val="0062069D"/>
    <w:rsid w:val="00620F86"/>
    <w:rsid w:val="006229B9"/>
    <w:rsid w:val="00622E76"/>
    <w:rsid w:val="00622FA4"/>
    <w:rsid w:val="0062379A"/>
    <w:rsid w:val="00624890"/>
    <w:rsid w:val="00624BD1"/>
    <w:rsid w:val="00624DAA"/>
    <w:rsid w:val="006268F7"/>
    <w:rsid w:val="00627216"/>
    <w:rsid w:val="00631F18"/>
    <w:rsid w:val="006320E3"/>
    <w:rsid w:val="00632198"/>
    <w:rsid w:val="00635081"/>
    <w:rsid w:val="006367DF"/>
    <w:rsid w:val="00636C30"/>
    <w:rsid w:val="00637A13"/>
    <w:rsid w:val="00637CBD"/>
    <w:rsid w:val="006415F7"/>
    <w:rsid w:val="006441BE"/>
    <w:rsid w:val="00645468"/>
    <w:rsid w:val="0064749E"/>
    <w:rsid w:val="0065185E"/>
    <w:rsid w:val="006518D5"/>
    <w:rsid w:val="006526EF"/>
    <w:rsid w:val="00653450"/>
    <w:rsid w:val="006543C8"/>
    <w:rsid w:val="00657B18"/>
    <w:rsid w:val="00660705"/>
    <w:rsid w:val="00661E60"/>
    <w:rsid w:val="006636EB"/>
    <w:rsid w:val="00664C14"/>
    <w:rsid w:val="006651BE"/>
    <w:rsid w:val="006652DA"/>
    <w:rsid w:val="00676D48"/>
    <w:rsid w:val="00677BC2"/>
    <w:rsid w:val="00681422"/>
    <w:rsid w:val="006830DE"/>
    <w:rsid w:val="006837A8"/>
    <w:rsid w:val="006850F3"/>
    <w:rsid w:val="006876C8"/>
    <w:rsid w:val="006878A1"/>
    <w:rsid w:val="00687A7A"/>
    <w:rsid w:val="00690617"/>
    <w:rsid w:val="00694571"/>
    <w:rsid w:val="006972F8"/>
    <w:rsid w:val="006A332D"/>
    <w:rsid w:val="006A3CC1"/>
    <w:rsid w:val="006A76B2"/>
    <w:rsid w:val="006B08AC"/>
    <w:rsid w:val="006B1083"/>
    <w:rsid w:val="006B193A"/>
    <w:rsid w:val="006B1C57"/>
    <w:rsid w:val="006B2F8F"/>
    <w:rsid w:val="006B33D0"/>
    <w:rsid w:val="006B3B5A"/>
    <w:rsid w:val="006B4DBC"/>
    <w:rsid w:val="006B5BD5"/>
    <w:rsid w:val="006C06C7"/>
    <w:rsid w:val="006C1733"/>
    <w:rsid w:val="006C364A"/>
    <w:rsid w:val="006C3AF0"/>
    <w:rsid w:val="006C5E0C"/>
    <w:rsid w:val="006C6C50"/>
    <w:rsid w:val="006C7C64"/>
    <w:rsid w:val="006D0E64"/>
    <w:rsid w:val="006D15D9"/>
    <w:rsid w:val="006D2528"/>
    <w:rsid w:val="006D43F1"/>
    <w:rsid w:val="006D508D"/>
    <w:rsid w:val="006D527A"/>
    <w:rsid w:val="006D5A6C"/>
    <w:rsid w:val="006D5B74"/>
    <w:rsid w:val="006D7B9F"/>
    <w:rsid w:val="006E0571"/>
    <w:rsid w:val="006E3FDC"/>
    <w:rsid w:val="006E54B9"/>
    <w:rsid w:val="006E6A56"/>
    <w:rsid w:val="006E71A7"/>
    <w:rsid w:val="006F0854"/>
    <w:rsid w:val="006F1A34"/>
    <w:rsid w:val="006F6116"/>
    <w:rsid w:val="0070000F"/>
    <w:rsid w:val="007030B4"/>
    <w:rsid w:val="007042A8"/>
    <w:rsid w:val="007047A6"/>
    <w:rsid w:val="007069F9"/>
    <w:rsid w:val="00710127"/>
    <w:rsid w:val="0071214E"/>
    <w:rsid w:val="00715DE0"/>
    <w:rsid w:val="00720277"/>
    <w:rsid w:val="0072251F"/>
    <w:rsid w:val="007240DA"/>
    <w:rsid w:val="007259E3"/>
    <w:rsid w:val="007275E2"/>
    <w:rsid w:val="0073056B"/>
    <w:rsid w:val="007305FF"/>
    <w:rsid w:val="0073094E"/>
    <w:rsid w:val="00735EB7"/>
    <w:rsid w:val="007375AC"/>
    <w:rsid w:val="007377B4"/>
    <w:rsid w:val="0074683D"/>
    <w:rsid w:val="00746F43"/>
    <w:rsid w:val="007528D4"/>
    <w:rsid w:val="00753345"/>
    <w:rsid w:val="00753ECA"/>
    <w:rsid w:val="007547B4"/>
    <w:rsid w:val="007555DF"/>
    <w:rsid w:val="00755868"/>
    <w:rsid w:val="0075753D"/>
    <w:rsid w:val="007649B5"/>
    <w:rsid w:val="007649C7"/>
    <w:rsid w:val="00764FE7"/>
    <w:rsid w:val="007664C0"/>
    <w:rsid w:val="00770167"/>
    <w:rsid w:val="0077602B"/>
    <w:rsid w:val="00776D00"/>
    <w:rsid w:val="0078084E"/>
    <w:rsid w:val="00781D06"/>
    <w:rsid w:val="00784044"/>
    <w:rsid w:val="00784620"/>
    <w:rsid w:val="00784E04"/>
    <w:rsid w:val="0078582A"/>
    <w:rsid w:val="00787E4D"/>
    <w:rsid w:val="00793CDF"/>
    <w:rsid w:val="00796CD4"/>
    <w:rsid w:val="00797B5B"/>
    <w:rsid w:val="00797B7A"/>
    <w:rsid w:val="007A0159"/>
    <w:rsid w:val="007A246B"/>
    <w:rsid w:val="007A5AA5"/>
    <w:rsid w:val="007A5D9F"/>
    <w:rsid w:val="007A6005"/>
    <w:rsid w:val="007A7E4D"/>
    <w:rsid w:val="007B17AD"/>
    <w:rsid w:val="007B30FC"/>
    <w:rsid w:val="007B67CD"/>
    <w:rsid w:val="007B6A72"/>
    <w:rsid w:val="007C204E"/>
    <w:rsid w:val="007C30F2"/>
    <w:rsid w:val="007C3F60"/>
    <w:rsid w:val="007C5478"/>
    <w:rsid w:val="007C55F8"/>
    <w:rsid w:val="007C6740"/>
    <w:rsid w:val="007D06FF"/>
    <w:rsid w:val="007D0C57"/>
    <w:rsid w:val="007D2ABE"/>
    <w:rsid w:val="007D3868"/>
    <w:rsid w:val="007D5A8D"/>
    <w:rsid w:val="007D6085"/>
    <w:rsid w:val="007E1A9C"/>
    <w:rsid w:val="007E1BC4"/>
    <w:rsid w:val="007E2598"/>
    <w:rsid w:val="007E26BF"/>
    <w:rsid w:val="007E2F03"/>
    <w:rsid w:val="007E3ADA"/>
    <w:rsid w:val="007E6625"/>
    <w:rsid w:val="007F09A0"/>
    <w:rsid w:val="007F0AED"/>
    <w:rsid w:val="007F6930"/>
    <w:rsid w:val="00800870"/>
    <w:rsid w:val="00800DAF"/>
    <w:rsid w:val="008018DE"/>
    <w:rsid w:val="00801B75"/>
    <w:rsid w:val="00802132"/>
    <w:rsid w:val="008035EB"/>
    <w:rsid w:val="008045CF"/>
    <w:rsid w:val="00805639"/>
    <w:rsid w:val="008076CC"/>
    <w:rsid w:val="00807E44"/>
    <w:rsid w:val="008102F6"/>
    <w:rsid w:val="008125AD"/>
    <w:rsid w:val="0081325E"/>
    <w:rsid w:val="00813A0C"/>
    <w:rsid w:val="008179D1"/>
    <w:rsid w:val="00821AC0"/>
    <w:rsid w:val="008264F2"/>
    <w:rsid w:val="0082785F"/>
    <w:rsid w:val="008329D9"/>
    <w:rsid w:val="00833454"/>
    <w:rsid w:val="008348F2"/>
    <w:rsid w:val="00836C1D"/>
    <w:rsid w:val="00836D76"/>
    <w:rsid w:val="008371CE"/>
    <w:rsid w:val="00840D3F"/>
    <w:rsid w:val="00842037"/>
    <w:rsid w:val="0084212E"/>
    <w:rsid w:val="008423BB"/>
    <w:rsid w:val="008424E2"/>
    <w:rsid w:val="00842E15"/>
    <w:rsid w:val="008460F3"/>
    <w:rsid w:val="008478C4"/>
    <w:rsid w:val="00850D23"/>
    <w:rsid w:val="00851149"/>
    <w:rsid w:val="00851CA9"/>
    <w:rsid w:val="00852A23"/>
    <w:rsid w:val="00852AA5"/>
    <w:rsid w:val="00854AD4"/>
    <w:rsid w:val="008562C1"/>
    <w:rsid w:val="00856833"/>
    <w:rsid w:val="00856FDE"/>
    <w:rsid w:val="00857C7A"/>
    <w:rsid w:val="008608BA"/>
    <w:rsid w:val="00860C85"/>
    <w:rsid w:val="00861406"/>
    <w:rsid w:val="008638F2"/>
    <w:rsid w:val="00865BFB"/>
    <w:rsid w:val="00867628"/>
    <w:rsid w:val="00867718"/>
    <w:rsid w:val="00871526"/>
    <w:rsid w:val="00872F3E"/>
    <w:rsid w:val="00876E9D"/>
    <w:rsid w:val="00881290"/>
    <w:rsid w:val="0088138A"/>
    <w:rsid w:val="00882867"/>
    <w:rsid w:val="0088311A"/>
    <w:rsid w:val="00885C16"/>
    <w:rsid w:val="0088648F"/>
    <w:rsid w:val="008912DE"/>
    <w:rsid w:val="0089274E"/>
    <w:rsid w:val="0089361A"/>
    <w:rsid w:val="00896529"/>
    <w:rsid w:val="00896D20"/>
    <w:rsid w:val="00897470"/>
    <w:rsid w:val="008A35C9"/>
    <w:rsid w:val="008A5524"/>
    <w:rsid w:val="008A7737"/>
    <w:rsid w:val="008A7DF4"/>
    <w:rsid w:val="008B0BC2"/>
    <w:rsid w:val="008B1258"/>
    <w:rsid w:val="008B48E3"/>
    <w:rsid w:val="008B4986"/>
    <w:rsid w:val="008B66E6"/>
    <w:rsid w:val="008C274C"/>
    <w:rsid w:val="008C2AC6"/>
    <w:rsid w:val="008C3996"/>
    <w:rsid w:val="008C6266"/>
    <w:rsid w:val="008C791E"/>
    <w:rsid w:val="008D02DF"/>
    <w:rsid w:val="008D0F33"/>
    <w:rsid w:val="008D3E24"/>
    <w:rsid w:val="008D4679"/>
    <w:rsid w:val="008D49A9"/>
    <w:rsid w:val="008E1F82"/>
    <w:rsid w:val="008E30D9"/>
    <w:rsid w:val="008E79EC"/>
    <w:rsid w:val="008F0075"/>
    <w:rsid w:val="008F1BDD"/>
    <w:rsid w:val="008F24AA"/>
    <w:rsid w:val="008F2B09"/>
    <w:rsid w:val="008F3793"/>
    <w:rsid w:val="008F6991"/>
    <w:rsid w:val="00900520"/>
    <w:rsid w:val="00901072"/>
    <w:rsid w:val="00902A35"/>
    <w:rsid w:val="00903BE1"/>
    <w:rsid w:val="00904B4E"/>
    <w:rsid w:val="00906471"/>
    <w:rsid w:val="00906983"/>
    <w:rsid w:val="009106AF"/>
    <w:rsid w:val="009122AD"/>
    <w:rsid w:val="0091411A"/>
    <w:rsid w:val="00916168"/>
    <w:rsid w:val="00920844"/>
    <w:rsid w:val="0092217E"/>
    <w:rsid w:val="009224CA"/>
    <w:rsid w:val="00925BE9"/>
    <w:rsid w:val="00925C47"/>
    <w:rsid w:val="0093270D"/>
    <w:rsid w:val="00932734"/>
    <w:rsid w:val="00933B81"/>
    <w:rsid w:val="00933E03"/>
    <w:rsid w:val="0093669A"/>
    <w:rsid w:val="00941577"/>
    <w:rsid w:val="0094458D"/>
    <w:rsid w:val="009457E8"/>
    <w:rsid w:val="00945AA4"/>
    <w:rsid w:val="00946586"/>
    <w:rsid w:val="009474FA"/>
    <w:rsid w:val="0095259E"/>
    <w:rsid w:val="0095450A"/>
    <w:rsid w:val="00961547"/>
    <w:rsid w:val="0096402C"/>
    <w:rsid w:val="009648B3"/>
    <w:rsid w:val="00967896"/>
    <w:rsid w:val="00972BE2"/>
    <w:rsid w:val="00974E40"/>
    <w:rsid w:val="0097535F"/>
    <w:rsid w:val="00980314"/>
    <w:rsid w:val="00980F0E"/>
    <w:rsid w:val="0098549D"/>
    <w:rsid w:val="009863AE"/>
    <w:rsid w:val="00986BEC"/>
    <w:rsid w:val="00987360"/>
    <w:rsid w:val="009906AC"/>
    <w:rsid w:val="00991B6A"/>
    <w:rsid w:val="0099202E"/>
    <w:rsid w:val="00992689"/>
    <w:rsid w:val="0099372C"/>
    <w:rsid w:val="00995EE6"/>
    <w:rsid w:val="00996359"/>
    <w:rsid w:val="009A082A"/>
    <w:rsid w:val="009A10E2"/>
    <w:rsid w:val="009A1172"/>
    <w:rsid w:val="009A1203"/>
    <w:rsid w:val="009A1B61"/>
    <w:rsid w:val="009A3C2B"/>
    <w:rsid w:val="009A516F"/>
    <w:rsid w:val="009A56C4"/>
    <w:rsid w:val="009B0677"/>
    <w:rsid w:val="009B0821"/>
    <w:rsid w:val="009B10B6"/>
    <w:rsid w:val="009B3C14"/>
    <w:rsid w:val="009B476C"/>
    <w:rsid w:val="009B78C1"/>
    <w:rsid w:val="009B7BA1"/>
    <w:rsid w:val="009C0B8A"/>
    <w:rsid w:val="009C23DA"/>
    <w:rsid w:val="009C2A0F"/>
    <w:rsid w:val="009C4A13"/>
    <w:rsid w:val="009C6425"/>
    <w:rsid w:val="009C7221"/>
    <w:rsid w:val="009D0C34"/>
    <w:rsid w:val="009D1998"/>
    <w:rsid w:val="009D1E29"/>
    <w:rsid w:val="009D3A34"/>
    <w:rsid w:val="009D4235"/>
    <w:rsid w:val="009D4BB5"/>
    <w:rsid w:val="009D5D1E"/>
    <w:rsid w:val="009D5F1F"/>
    <w:rsid w:val="009D7606"/>
    <w:rsid w:val="009E05EB"/>
    <w:rsid w:val="009E0F3E"/>
    <w:rsid w:val="009E7D88"/>
    <w:rsid w:val="009F10AF"/>
    <w:rsid w:val="009F436D"/>
    <w:rsid w:val="009F4F57"/>
    <w:rsid w:val="009F5B44"/>
    <w:rsid w:val="009F5DDF"/>
    <w:rsid w:val="009F6D82"/>
    <w:rsid w:val="009F6E4E"/>
    <w:rsid w:val="00A02756"/>
    <w:rsid w:val="00A04AE1"/>
    <w:rsid w:val="00A05131"/>
    <w:rsid w:val="00A110D4"/>
    <w:rsid w:val="00A12A7F"/>
    <w:rsid w:val="00A16878"/>
    <w:rsid w:val="00A16FD3"/>
    <w:rsid w:val="00A175DC"/>
    <w:rsid w:val="00A17B57"/>
    <w:rsid w:val="00A17E55"/>
    <w:rsid w:val="00A2047E"/>
    <w:rsid w:val="00A20BAE"/>
    <w:rsid w:val="00A21BB0"/>
    <w:rsid w:val="00A21D22"/>
    <w:rsid w:val="00A22C1A"/>
    <w:rsid w:val="00A270C7"/>
    <w:rsid w:val="00A2794F"/>
    <w:rsid w:val="00A36D16"/>
    <w:rsid w:val="00A400C2"/>
    <w:rsid w:val="00A42771"/>
    <w:rsid w:val="00A44C67"/>
    <w:rsid w:val="00A450AA"/>
    <w:rsid w:val="00A45740"/>
    <w:rsid w:val="00A466B6"/>
    <w:rsid w:val="00A47CE2"/>
    <w:rsid w:val="00A505BA"/>
    <w:rsid w:val="00A52237"/>
    <w:rsid w:val="00A53087"/>
    <w:rsid w:val="00A535BE"/>
    <w:rsid w:val="00A54131"/>
    <w:rsid w:val="00A56F68"/>
    <w:rsid w:val="00A57FBE"/>
    <w:rsid w:val="00A57FEB"/>
    <w:rsid w:val="00A60008"/>
    <w:rsid w:val="00A60643"/>
    <w:rsid w:val="00A60BA2"/>
    <w:rsid w:val="00A60E04"/>
    <w:rsid w:val="00A633AB"/>
    <w:rsid w:val="00A65063"/>
    <w:rsid w:val="00A66358"/>
    <w:rsid w:val="00A71594"/>
    <w:rsid w:val="00A71DA6"/>
    <w:rsid w:val="00A73781"/>
    <w:rsid w:val="00A7467E"/>
    <w:rsid w:val="00A7693C"/>
    <w:rsid w:val="00A8070A"/>
    <w:rsid w:val="00A80898"/>
    <w:rsid w:val="00A81CC2"/>
    <w:rsid w:val="00A82047"/>
    <w:rsid w:val="00A828EA"/>
    <w:rsid w:val="00A82B85"/>
    <w:rsid w:val="00A8506A"/>
    <w:rsid w:val="00A86460"/>
    <w:rsid w:val="00A91907"/>
    <w:rsid w:val="00A9495A"/>
    <w:rsid w:val="00A955E1"/>
    <w:rsid w:val="00A973BF"/>
    <w:rsid w:val="00AA03D3"/>
    <w:rsid w:val="00AB0C5B"/>
    <w:rsid w:val="00AB11B2"/>
    <w:rsid w:val="00AB452E"/>
    <w:rsid w:val="00AB4DE8"/>
    <w:rsid w:val="00AB5C47"/>
    <w:rsid w:val="00AB5F06"/>
    <w:rsid w:val="00AC17F3"/>
    <w:rsid w:val="00AC195B"/>
    <w:rsid w:val="00AC438A"/>
    <w:rsid w:val="00AC63E3"/>
    <w:rsid w:val="00AC7F4E"/>
    <w:rsid w:val="00AD329C"/>
    <w:rsid w:val="00AD5FA5"/>
    <w:rsid w:val="00AD5FAB"/>
    <w:rsid w:val="00AE0283"/>
    <w:rsid w:val="00AE096A"/>
    <w:rsid w:val="00AE0C49"/>
    <w:rsid w:val="00AE32AC"/>
    <w:rsid w:val="00AE4283"/>
    <w:rsid w:val="00AE5FBA"/>
    <w:rsid w:val="00AE76BC"/>
    <w:rsid w:val="00AF3722"/>
    <w:rsid w:val="00B00059"/>
    <w:rsid w:val="00B01EA9"/>
    <w:rsid w:val="00B06CAB"/>
    <w:rsid w:val="00B1051A"/>
    <w:rsid w:val="00B13617"/>
    <w:rsid w:val="00B14C8F"/>
    <w:rsid w:val="00B14FE4"/>
    <w:rsid w:val="00B16589"/>
    <w:rsid w:val="00B22CA6"/>
    <w:rsid w:val="00B22E7A"/>
    <w:rsid w:val="00B276E6"/>
    <w:rsid w:val="00B27837"/>
    <w:rsid w:val="00B32AF1"/>
    <w:rsid w:val="00B3387D"/>
    <w:rsid w:val="00B33FAF"/>
    <w:rsid w:val="00B364B4"/>
    <w:rsid w:val="00B36D8A"/>
    <w:rsid w:val="00B37085"/>
    <w:rsid w:val="00B409BD"/>
    <w:rsid w:val="00B443F4"/>
    <w:rsid w:val="00B44E32"/>
    <w:rsid w:val="00B45194"/>
    <w:rsid w:val="00B45F61"/>
    <w:rsid w:val="00B46AEF"/>
    <w:rsid w:val="00B46E9E"/>
    <w:rsid w:val="00B47D5E"/>
    <w:rsid w:val="00B47DD0"/>
    <w:rsid w:val="00B5090E"/>
    <w:rsid w:val="00B51B65"/>
    <w:rsid w:val="00B53C1B"/>
    <w:rsid w:val="00B54D48"/>
    <w:rsid w:val="00B5736A"/>
    <w:rsid w:val="00B57686"/>
    <w:rsid w:val="00B57987"/>
    <w:rsid w:val="00B606BB"/>
    <w:rsid w:val="00B60FC5"/>
    <w:rsid w:val="00B63ABE"/>
    <w:rsid w:val="00B64142"/>
    <w:rsid w:val="00B65B20"/>
    <w:rsid w:val="00B702F0"/>
    <w:rsid w:val="00B71846"/>
    <w:rsid w:val="00B71ADF"/>
    <w:rsid w:val="00B72392"/>
    <w:rsid w:val="00B72703"/>
    <w:rsid w:val="00B72EF2"/>
    <w:rsid w:val="00B7407C"/>
    <w:rsid w:val="00B747BD"/>
    <w:rsid w:val="00B80266"/>
    <w:rsid w:val="00B80C7E"/>
    <w:rsid w:val="00B833FF"/>
    <w:rsid w:val="00B86082"/>
    <w:rsid w:val="00B8691A"/>
    <w:rsid w:val="00B90AC0"/>
    <w:rsid w:val="00B90DC9"/>
    <w:rsid w:val="00B94937"/>
    <w:rsid w:val="00B960AB"/>
    <w:rsid w:val="00B96A60"/>
    <w:rsid w:val="00B97D9C"/>
    <w:rsid w:val="00BA144C"/>
    <w:rsid w:val="00BA154D"/>
    <w:rsid w:val="00BA1715"/>
    <w:rsid w:val="00BA36EA"/>
    <w:rsid w:val="00BA5856"/>
    <w:rsid w:val="00BA609E"/>
    <w:rsid w:val="00BA723E"/>
    <w:rsid w:val="00BA7DB9"/>
    <w:rsid w:val="00BB30D4"/>
    <w:rsid w:val="00BB679E"/>
    <w:rsid w:val="00BB7D5B"/>
    <w:rsid w:val="00BD2966"/>
    <w:rsid w:val="00BD2C53"/>
    <w:rsid w:val="00BD307A"/>
    <w:rsid w:val="00BD54F1"/>
    <w:rsid w:val="00BD5D1C"/>
    <w:rsid w:val="00BD5D46"/>
    <w:rsid w:val="00BE284B"/>
    <w:rsid w:val="00BE2EAA"/>
    <w:rsid w:val="00BE648E"/>
    <w:rsid w:val="00BE7F59"/>
    <w:rsid w:val="00BF303D"/>
    <w:rsid w:val="00BF56D4"/>
    <w:rsid w:val="00BF689D"/>
    <w:rsid w:val="00BF6FDA"/>
    <w:rsid w:val="00BF71F6"/>
    <w:rsid w:val="00C018BE"/>
    <w:rsid w:val="00C01D3F"/>
    <w:rsid w:val="00C0221B"/>
    <w:rsid w:val="00C0465A"/>
    <w:rsid w:val="00C14544"/>
    <w:rsid w:val="00C15500"/>
    <w:rsid w:val="00C17AAE"/>
    <w:rsid w:val="00C20114"/>
    <w:rsid w:val="00C21E64"/>
    <w:rsid w:val="00C2383B"/>
    <w:rsid w:val="00C2417E"/>
    <w:rsid w:val="00C24429"/>
    <w:rsid w:val="00C33D7E"/>
    <w:rsid w:val="00C35AAA"/>
    <w:rsid w:val="00C36049"/>
    <w:rsid w:val="00C37763"/>
    <w:rsid w:val="00C37CF2"/>
    <w:rsid w:val="00C42EA7"/>
    <w:rsid w:val="00C46FB0"/>
    <w:rsid w:val="00C5092F"/>
    <w:rsid w:val="00C51B3B"/>
    <w:rsid w:val="00C51D96"/>
    <w:rsid w:val="00C5255A"/>
    <w:rsid w:val="00C52B96"/>
    <w:rsid w:val="00C5446D"/>
    <w:rsid w:val="00C55801"/>
    <w:rsid w:val="00C5798C"/>
    <w:rsid w:val="00C61A0E"/>
    <w:rsid w:val="00C61C85"/>
    <w:rsid w:val="00C62CD6"/>
    <w:rsid w:val="00C63084"/>
    <w:rsid w:val="00C63B22"/>
    <w:rsid w:val="00C6629E"/>
    <w:rsid w:val="00C70743"/>
    <w:rsid w:val="00C7285D"/>
    <w:rsid w:val="00C76028"/>
    <w:rsid w:val="00C775CC"/>
    <w:rsid w:val="00C77BD1"/>
    <w:rsid w:val="00C82977"/>
    <w:rsid w:val="00C82CF2"/>
    <w:rsid w:val="00C8470C"/>
    <w:rsid w:val="00C85B21"/>
    <w:rsid w:val="00C873F9"/>
    <w:rsid w:val="00C908AA"/>
    <w:rsid w:val="00C944C7"/>
    <w:rsid w:val="00C97D98"/>
    <w:rsid w:val="00CB07B4"/>
    <w:rsid w:val="00CB0EA1"/>
    <w:rsid w:val="00CB11E4"/>
    <w:rsid w:val="00CB1D7C"/>
    <w:rsid w:val="00CB2ACA"/>
    <w:rsid w:val="00CB3930"/>
    <w:rsid w:val="00CB5B34"/>
    <w:rsid w:val="00CB6CCE"/>
    <w:rsid w:val="00CB6DF2"/>
    <w:rsid w:val="00CC0313"/>
    <w:rsid w:val="00CC13B1"/>
    <w:rsid w:val="00CC24B6"/>
    <w:rsid w:val="00CC2778"/>
    <w:rsid w:val="00CC4916"/>
    <w:rsid w:val="00CC7069"/>
    <w:rsid w:val="00CD089A"/>
    <w:rsid w:val="00CD135B"/>
    <w:rsid w:val="00CD1A1B"/>
    <w:rsid w:val="00CD3821"/>
    <w:rsid w:val="00CD3E1B"/>
    <w:rsid w:val="00CD62D8"/>
    <w:rsid w:val="00CD6D82"/>
    <w:rsid w:val="00CE0439"/>
    <w:rsid w:val="00CE4686"/>
    <w:rsid w:val="00CE46BE"/>
    <w:rsid w:val="00CE4F45"/>
    <w:rsid w:val="00CE55F0"/>
    <w:rsid w:val="00CE6DA9"/>
    <w:rsid w:val="00CE765B"/>
    <w:rsid w:val="00CE7D7C"/>
    <w:rsid w:val="00CE7EE0"/>
    <w:rsid w:val="00CF242E"/>
    <w:rsid w:val="00CF2616"/>
    <w:rsid w:val="00CF2F9E"/>
    <w:rsid w:val="00CF32B9"/>
    <w:rsid w:val="00CF33EC"/>
    <w:rsid w:val="00CF5F64"/>
    <w:rsid w:val="00D00043"/>
    <w:rsid w:val="00D001C3"/>
    <w:rsid w:val="00D01864"/>
    <w:rsid w:val="00D03907"/>
    <w:rsid w:val="00D05857"/>
    <w:rsid w:val="00D0589B"/>
    <w:rsid w:val="00D116A6"/>
    <w:rsid w:val="00D1534C"/>
    <w:rsid w:val="00D15C57"/>
    <w:rsid w:val="00D16618"/>
    <w:rsid w:val="00D1799E"/>
    <w:rsid w:val="00D201EA"/>
    <w:rsid w:val="00D20C6B"/>
    <w:rsid w:val="00D21B9B"/>
    <w:rsid w:val="00D23863"/>
    <w:rsid w:val="00D23C39"/>
    <w:rsid w:val="00D23D14"/>
    <w:rsid w:val="00D2649E"/>
    <w:rsid w:val="00D317FD"/>
    <w:rsid w:val="00D33020"/>
    <w:rsid w:val="00D34AC4"/>
    <w:rsid w:val="00D34F74"/>
    <w:rsid w:val="00D36BA2"/>
    <w:rsid w:val="00D370A6"/>
    <w:rsid w:val="00D373E7"/>
    <w:rsid w:val="00D37F6E"/>
    <w:rsid w:val="00D402E3"/>
    <w:rsid w:val="00D43ACC"/>
    <w:rsid w:val="00D44006"/>
    <w:rsid w:val="00D452CA"/>
    <w:rsid w:val="00D47728"/>
    <w:rsid w:val="00D477D5"/>
    <w:rsid w:val="00D51DCB"/>
    <w:rsid w:val="00D539D1"/>
    <w:rsid w:val="00D5610F"/>
    <w:rsid w:val="00D56D17"/>
    <w:rsid w:val="00D56F0B"/>
    <w:rsid w:val="00D6214D"/>
    <w:rsid w:val="00D6438A"/>
    <w:rsid w:val="00D65448"/>
    <w:rsid w:val="00D72E9E"/>
    <w:rsid w:val="00D734EC"/>
    <w:rsid w:val="00D74098"/>
    <w:rsid w:val="00D7495B"/>
    <w:rsid w:val="00D753D6"/>
    <w:rsid w:val="00D775AF"/>
    <w:rsid w:val="00D77CF1"/>
    <w:rsid w:val="00D810BB"/>
    <w:rsid w:val="00D826AE"/>
    <w:rsid w:val="00D82781"/>
    <w:rsid w:val="00D845CA"/>
    <w:rsid w:val="00D86E59"/>
    <w:rsid w:val="00D9179B"/>
    <w:rsid w:val="00D91DE9"/>
    <w:rsid w:val="00D945FE"/>
    <w:rsid w:val="00D97DF9"/>
    <w:rsid w:val="00DA0FF1"/>
    <w:rsid w:val="00DA2EB1"/>
    <w:rsid w:val="00DA3322"/>
    <w:rsid w:val="00DA3B4D"/>
    <w:rsid w:val="00DB0657"/>
    <w:rsid w:val="00DB267F"/>
    <w:rsid w:val="00DB3A16"/>
    <w:rsid w:val="00DB7659"/>
    <w:rsid w:val="00DC061C"/>
    <w:rsid w:val="00DC4D05"/>
    <w:rsid w:val="00DC6253"/>
    <w:rsid w:val="00DC6C44"/>
    <w:rsid w:val="00DC6D11"/>
    <w:rsid w:val="00DC6D6D"/>
    <w:rsid w:val="00DC76D9"/>
    <w:rsid w:val="00DD0425"/>
    <w:rsid w:val="00DD079D"/>
    <w:rsid w:val="00DD1B18"/>
    <w:rsid w:val="00DD3880"/>
    <w:rsid w:val="00DD4278"/>
    <w:rsid w:val="00DD473A"/>
    <w:rsid w:val="00DD4D2C"/>
    <w:rsid w:val="00DD4FE0"/>
    <w:rsid w:val="00DD7CE4"/>
    <w:rsid w:val="00DE5DD9"/>
    <w:rsid w:val="00DE6207"/>
    <w:rsid w:val="00DE76D7"/>
    <w:rsid w:val="00DF01E5"/>
    <w:rsid w:val="00DF5D1E"/>
    <w:rsid w:val="00DF60C4"/>
    <w:rsid w:val="00DF7ABB"/>
    <w:rsid w:val="00E01B80"/>
    <w:rsid w:val="00E02152"/>
    <w:rsid w:val="00E023AF"/>
    <w:rsid w:val="00E03CE7"/>
    <w:rsid w:val="00E04E82"/>
    <w:rsid w:val="00E052EB"/>
    <w:rsid w:val="00E05E0B"/>
    <w:rsid w:val="00E06C2A"/>
    <w:rsid w:val="00E106F6"/>
    <w:rsid w:val="00E11304"/>
    <w:rsid w:val="00E12B45"/>
    <w:rsid w:val="00E13751"/>
    <w:rsid w:val="00E13D9B"/>
    <w:rsid w:val="00E14E7B"/>
    <w:rsid w:val="00E17027"/>
    <w:rsid w:val="00E17655"/>
    <w:rsid w:val="00E176A1"/>
    <w:rsid w:val="00E24A40"/>
    <w:rsid w:val="00E25275"/>
    <w:rsid w:val="00E2581B"/>
    <w:rsid w:val="00E25978"/>
    <w:rsid w:val="00E26A40"/>
    <w:rsid w:val="00E26EC0"/>
    <w:rsid w:val="00E27F57"/>
    <w:rsid w:val="00E33226"/>
    <w:rsid w:val="00E34B95"/>
    <w:rsid w:val="00E36C10"/>
    <w:rsid w:val="00E36DBC"/>
    <w:rsid w:val="00E41B64"/>
    <w:rsid w:val="00E421B7"/>
    <w:rsid w:val="00E440FC"/>
    <w:rsid w:val="00E46E5C"/>
    <w:rsid w:val="00E47216"/>
    <w:rsid w:val="00E53AD6"/>
    <w:rsid w:val="00E54632"/>
    <w:rsid w:val="00E55A75"/>
    <w:rsid w:val="00E561E1"/>
    <w:rsid w:val="00E57ACB"/>
    <w:rsid w:val="00E60F09"/>
    <w:rsid w:val="00E63C6C"/>
    <w:rsid w:val="00E6762D"/>
    <w:rsid w:val="00E67699"/>
    <w:rsid w:val="00E704A2"/>
    <w:rsid w:val="00E72465"/>
    <w:rsid w:val="00E76ABF"/>
    <w:rsid w:val="00E84011"/>
    <w:rsid w:val="00E86AC8"/>
    <w:rsid w:val="00E871DB"/>
    <w:rsid w:val="00E87BD8"/>
    <w:rsid w:val="00E91E23"/>
    <w:rsid w:val="00E93B5A"/>
    <w:rsid w:val="00E94E64"/>
    <w:rsid w:val="00E960C6"/>
    <w:rsid w:val="00EA336C"/>
    <w:rsid w:val="00EA528C"/>
    <w:rsid w:val="00EA6D6B"/>
    <w:rsid w:val="00EA7BDD"/>
    <w:rsid w:val="00EB1547"/>
    <w:rsid w:val="00EB4636"/>
    <w:rsid w:val="00EB4821"/>
    <w:rsid w:val="00EB74FC"/>
    <w:rsid w:val="00EC004A"/>
    <w:rsid w:val="00EC0BF3"/>
    <w:rsid w:val="00EC2160"/>
    <w:rsid w:val="00EC432B"/>
    <w:rsid w:val="00EC4DE6"/>
    <w:rsid w:val="00EC5200"/>
    <w:rsid w:val="00EC63F1"/>
    <w:rsid w:val="00ED30B0"/>
    <w:rsid w:val="00ED37DA"/>
    <w:rsid w:val="00ED7927"/>
    <w:rsid w:val="00EE1061"/>
    <w:rsid w:val="00EE2240"/>
    <w:rsid w:val="00EE2F75"/>
    <w:rsid w:val="00EE4235"/>
    <w:rsid w:val="00EF5089"/>
    <w:rsid w:val="00F0151E"/>
    <w:rsid w:val="00F03011"/>
    <w:rsid w:val="00F03FF8"/>
    <w:rsid w:val="00F04814"/>
    <w:rsid w:val="00F04866"/>
    <w:rsid w:val="00F06822"/>
    <w:rsid w:val="00F14128"/>
    <w:rsid w:val="00F15A55"/>
    <w:rsid w:val="00F16C1A"/>
    <w:rsid w:val="00F22155"/>
    <w:rsid w:val="00F231B7"/>
    <w:rsid w:val="00F3071E"/>
    <w:rsid w:val="00F3165D"/>
    <w:rsid w:val="00F3209C"/>
    <w:rsid w:val="00F32595"/>
    <w:rsid w:val="00F35DCF"/>
    <w:rsid w:val="00F374D8"/>
    <w:rsid w:val="00F40A14"/>
    <w:rsid w:val="00F410D9"/>
    <w:rsid w:val="00F433B8"/>
    <w:rsid w:val="00F44704"/>
    <w:rsid w:val="00F449ED"/>
    <w:rsid w:val="00F456F4"/>
    <w:rsid w:val="00F46F83"/>
    <w:rsid w:val="00F47818"/>
    <w:rsid w:val="00F50120"/>
    <w:rsid w:val="00F51644"/>
    <w:rsid w:val="00F53D07"/>
    <w:rsid w:val="00F56B82"/>
    <w:rsid w:val="00F65513"/>
    <w:rsid w:val="00F671F3"/>
    <w:rsid w:val="00F67D94"/>
    <w:rsid w:val="00F70E1A"/>
    <w:rsid w:val="00F729AB"/>
    <w:rsid w:val="00F737D5"/>
    <w:rsid w:val="00F748A3"/>
    <w:rsid w:val="00F74901"/>
    <w:rsid w:val="00F7576B"/>
    <w:rsid w:val="00F77E7F"/>
    <w:rsid w:val="00F80596"/>
    <w:rsid w:val="00F80F97"/>
    <w:rsid w:val="00F82402"/>
    <w:rsid w:val="00F84CD2"/>
    <w:rsid w:val="00F90857"/>
    <w:rsid w:val="00F91F5D"/>
    <w:rsid w:val="00F92AC0"/>
    <w:rsid w:val="00F956E7"/>
    <w:rsid w:val="00F95E20"/>
    <w:rsid w:val="00F96071"/>
    <w:rsid w:val="00F962D0"/>
    <w:rsid w:val="00FA022D"/>
    <w:rsid w:val="00FA3596"/>
    <w:rsid w:val="00FA3D52"/>
    <w:rsid w:val="00FA4182"/>
    <w:rsid w:val="00FA643A"/>
    <w:rsid w:val="00FC097B"/>
    <w:rsid w:val="00FC1C71"/>
    <w:rsid w:val="00FC2839"/>
    <w:rsid w:val="00FC2A33"/>
    <w:rsid w:val="00FC31E5"/>
    <w:rsid w:val="00FC3E96"/>
    <w:rsid w:val="00FC4F74"/>
    <w:rsid w:val="00FC5F6D"/>
    <w:rsid w:val="00FC6E30"/>
    <w:rsid w:val="00FC729B"/>
    <w:rsid w:val="00FD191D"/>
    <w:rsid w:val="00FD20B1"/>
    <w:rsid w:val="00FD2C56"/>
    <w:rsid w:val="00FD684B"/>
    <w:rsid w:val="00FE041B"/>
    <w:rsid w:val="00FE1A2D"/>
    <w:rsid w:val="00FE1B8D"/>
    <w:rsid w:val="00FE1D69"/>
    <w:rsid w:val="00FE2FE2"/>
    <w:rsid w:val="00FE5633"/>
    <w:rsid w:val="00FE788D"/>
    <w:rsid w:val="00FF1068"/>
    <w:rsid w:val="00FF3824"/>
    <w:rsid w:val="00FF462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C04F5"/>
  <w15:chartTrackingRefBased/>
  <w15:docId w15:val="{96BA90C0-C86D-4E4F-9434-9D0B959C4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18E"/>
    <w:rPr>
      <w:rFonts w:ascii="Times New Roman" w:eastAsia="Times New Roman" w:hAnsi="Times New Roman"/>
      <w:lang w:val="es-ES" w:eastAsia="es-ES"/>
    </w:rPr>
  </w:style>
  <w:style w:type="paragraph" w:styleId="Ttulo1">
    <w:name w:val="heading 1"/>
    <w:basedOn w:val="Normal"/>
    <w:next w:val="Normal"/>
    <w:link w:val="Ttulo1Car"/>
    <w:qFormat/>
    <w:rsid w:val="004D0B3B"/>
    <w:pPr>
      <w:keepNext/>
      <w:jc w:val="both"/>
      <w:outlineLvl w:val="0"/>
    </w:pPr>
    <w:rPr>
      <w:sz w:val="24"/>
    </w:rPr>
  </w:style>
  <w:style w:type="paragraph" w:styleId="Ttulo2">
    <w:name w:val="heading 2"/>
    <w:aliases w:val="CAPÍTULO,Car10"/>
    <w:basedOn w:val="Normal"/>
    <w:next w:val="Normal"/>
    <w:link w:val="Ttulo2Car"/>
    <w:uiPriority w:val="99"/>
    <w:qFormat/>
    <w:rsid w:val="004D0B3B"/>
    <w:pPr>
      <w:keepNext/>
      <w:jc w:val="both"/>
      <w:outlineLvl w:val="1"/>
    </w:pPr>
    <w:rPr>
      <w:b/>
      <w:sz w:val="28"/>
    </w:rPr>
  </w:style>
  <w:style w:type="paragraph" w:styleId="Ttulo3">
    <w:name w:val="heading 3"/>
    <w:basedOn w:val="Normal"/>
    <w:next w:val="Normal"/>
    <w:link w:val="Ttulo3Car"/>
    <w:uiPriority w:val="99"/>
    <w:qFormat/>
    <w:rsid w:val="004D0B3B"/>
    <w:pPr>
      <w:keepNext/>
      <w:outlineLvl w:val="2"/>
    </w:pPr>
    <w:rPr>
      <w:b/>
      <w:bCs/>
      <w:sz w:val="24"/>
    </w:rPr>
  </w:style>
  <w:style w:type="paragraph" w:styleId="Ttulo4">
    <w:name w:val="heading 4"/>
    <w:basedOn w:val="Normal"/>
    <w:next w:val="Normal"/>
    <w:link w:val="Ttulo4Car"/>
    <w:qFormat/>
    <w:rsid w:val="004D0B3B"/>
    <w:pPr>
      <w:keepNext/>
      <w:jc w:val="center"/>
      <w:outlineLvl w:val="3"/>
    </w:pPr>
    <w:rPr>
      <w:rFonts w:ascii="Coronet" w:hAnsi="Coronet"/>
      <w:sz w:val="42"/>
      <w:lang w:val="es-CR"/>
    </w:rPr>
  </w:style>
  <w:style w:type="paragraph" w:styleId="Ttulo5">
    <w:name w:val="heading 5"/>
    <w:basedOn w:val="Normal"/>
    <w:next w:val="Normal"/>
    <w:link w:val="Ttulo5Car"/>
    <w:uiPriority w:val="99"/>
    <w:qFormat/>
    <w:rsid w:val="004D0B3B"/>
    <w:pPr>
      <w:keepNext/>
      <w:widowControl w:val="0"/>
      <w:ind w:firstLine="426"/>
      <w:jc w:val="both"/>
      <w:outlineLvl w:val="4"/>
    </w:pPr>
    <w:rPr>
      <w:b/>
      <w:bCs/>
      <w:i/>
      <w:iCs/>
      <w:lang w:val="es-CR"/>
    </w:rPr>
  </w:style>
  <w:style w:type="paragraph" w:styleId="Ttulo6">
    <w:name w:val="heading 6"/>
    <w:basedOn w:val="Normal"/>
    <w:next w:val="Normal"/>
    <w:link w:val="Ttulo6Car"/>
    <w:uiPriority w:val="99"/>
    <w:qFormat/>
    <w:rsid w:val="009F5DDF"/>
    <w:pPr>
      <w:spacing w:before="240" w:after="60"/>
      <w:outlineLvl w:val="5"/>
    </w:pPr>
    <w:rPr>
      <w:b/>
      <w:bCs/>
      <w:sz w:val="22"/>
      <w:szCs w:val="22"/>
      <w:lang w:val="es-CR"/>
    </w:rPr>
  </w:style>
  <w:style w:type="paragraph" w:styleId="Ttulo7">
    <w:name w:val="heading 7"/>
    <w:basedOn w:val="Normal"/>
    <w:next w:val="Normal"/>
    <w:link w:val="Ttulo7Car"/>
    <w:uiPriority w:val="99"/>
    <w:qFormat/>
    <w:rsid w:val="004D0B3B"/>
    <w:pPr>
      <w:keepNext/>
      <w:tabs>
        <w:tab w:val="num" w:pos="1296"/>
      </w:tabs>
      <w:ind w:left="1296" w:hanging="1296"/>
      <w:outlineLvl w:val="6"/>
    </w:pPr>
    <w:rPr>
      <w:sz w:val="28"/>
    </w:rPr>
  </w:style>
  <w:style w:type="paragraph" w:styleId="Ttulo8">
    <w:name w:val="heading 8"/>
    <w:basedOn w:val="Normal"/>
    <w:next w:val="Normal"/>
    <w:link w:val="Ttulo8Car"/>
    <w:uiPriority w:val="99"/>
    <w:qFormat/>
    <w:rsid w:val="004D0B3B"/>
    <w:pPr>
      <w:keepNext/>
      <w:tabs>
        <w:tab w:val="num" w:pos="1440"/>
      </w:tabs>
      <w:ind w:left="1440" w:hanging="1440"/>
      <w:outlineLvl w:val="7"/>
    </w:pPr>
    <w:rPr>
      <w:rFonts w:ascii="Arial" w:hAnsi="Arial" w:cs="Arial"/>
      <w:b/>
      <w:bCs/>
      <w:color w:val="99CC00"/>
    </w:rPr>
  </w:style>
  <w:style w:type="paragraph" w:styleId="Ttulo9">
    <w:name w:val="heading 9"/>
    <w:basedOn w:val="Normal"/>
    <w:next w:val="Normal"/>
    <w:link w:val="Ttulo9Car"/>
    <w:uiPriority w:val="99"/>
    <w:qFormat/>
    <w:rsid w:val="004D0B3B"/>
    <w:pPr>
      <w:keepNext/>
      <w:tabs>
        <w:tab w:val="num" w:pos="1584"/>
      </w:tabs>
      <w:ind w:left="1584" w:hanging="1584"/>
      <w:jc w:val="both"/>
      <w:outlineLvl w:val="8"/>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0A93"/>
    <w:pPr>
      <w:tabs>
        <w:tab w:val="center" w:pos="4419"/>
        <w:tab w:val="right" w:pos="8838"/>
      </w:tabs>
    </w:pPr>
  </w:style>
  <w:style w:type="character" w:customStyle="1" w:styleId="EncabezadoCar">
    <w:name w:val="Encabezado Car"/>
    <w:link w:val="Encabezado"/>
    <w:uiPriority w:val="99"/>
    <w:rsid w:val="00290A93"/>
    <w:rPr>
      <w:rFonts w:ascii="Times New Roman" w:eastAsia="Times New Roman" w:hAnsi="Times New Roman" w:cs="Times New Roman"/>
      <w:sz w:val="20"/>
      <w:szCs w:val="20"/>
      <w:lang w:val="es-ES" w:eastAsia="es-ES"/>
    </w:rPr>
  </w:style>
  <w:style w:type="paragraph" w:styleId="Piedepgina">
    <w:name w:val="footer"/>
    <w:basedOn w:val="Normal"/>
    <w:link w:val="PiedepginaCar"/>
    <w:unhideWhenUsed/>
    <w:rsid w:val="00290A93"/>
    <w:pPr>
      <w:tabs>
        <w:tab w:val="center" w:pos="4419"/>
        <w:tab w:val="right" w:pos="8838"/>
      </w:tabs>
    </w:pPr>
  </w:style>
  <w:style w:type="character" w:customStyle="1" w:styleId="PiedepginaCar">
    <w:name w:val="Pie de página Car"/>
    <w:link w:val="Piedepgina"/>
    <w:rsid w:val="00290A93"/>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AC438A"/>
    <w:pPr>
      <w:spacing w:before="100" w:beforeAutospacing="1" w:after="100" w:afterAutospacing="1"/>
    </w:pPr>
    <w:rPr>
      <w:rFonts w:ascii="Arial" w:hAnsi="Arial" w:cs="Arial"/>
      <w:sz w:val="18"/>
      <w:szCs w:val="18"/>
      <w:lang w:val="es-CR" w:eastAsia="es-CR"/>
    </w:rPr>
  </w:style>
  <w:style w:type="character" w:styleId="Textoennegrita">
    <w:name w:val="Strong"/>
    <w:uiPriority w:val="22"/>
    <w:qFormat/>
    <w:rsid w:val="00AC438A"/>
    <w:rPr>
      <w:b/>
      <w:bCs/>
    </w:rPr>
  </w:style>
  <w:style w:type="paragraph" w:styleId="Textodeglobo">
    <w:name w:val="Balloon Text"/>
    <w:basedOn w:val="Normal"/>
    <w:link w:val="TextodegloboCar"/>
    <w:uiPriority w:val="99"/>
    <w:unhideWhenUsed/>
    <w:rsid w:val="00BD5D1C"/>
    <w:rPr>
      <w:rFonts w:ascii="Tahoma" w:hAnsi="Tahoma" w:cs="Tahoma"/>
      <w:sz w:val="16"/>
      <w:szCs w:val="16"/>
    </w:rPr>
  </w:style>
  <w:style w:type="character" w:customStyle="1" w:styleId="TextodegloboCar">
    <w:name w:val="Texto de globo Car"/>
    <w:link w:val="Textodeglobo"/>
    <w:uiPriority w:val="99"/>
    <w:rsid w:val="00BD5D1C"/>
    <w:rPr>
      <w:rFonts w:ascii="Tahoma" w:eastAsia="Times New Roman" w:hAnsi="Tahoma" w:cs="Tahoma"/>
      <w:sz w:val="16"/>
      <w:szCs w:val="16"/>
      <w:lang w:val="es-ES" w:eastAsia="es-ES"/>
    </w:rPr>
  </w:style>
  <w:style w:type="character" w:styleId="Hipervnculo">
    <w:name w:val="Hyperlink"/>
    <w:uiPriority w:val="99"/>
    <w:qFormat/>
    <w:rsid w:val="00EB74FC"/>
    <w:rPr>
      <w:color w:val="0000FF"/>
      <w:u w:val="single"/>
    </w:rPr>
  </w:style>
  <w:style w:type="paragraph" w:styleId="Prrafodelista">
    <w:name w:val="List Paragraph"/>
    <w:aliases w:val="Titulo 2,Con viñetas,Normal con viñetas,3,Use Case List Paragraph,Bullet 1,Informe,Segundo nivel de viñetas,Titulo 1,Lista vistosa - Énfasis 11,Párrafo de lista Car Car Car,Bullet List,numbered,FooterText,Bullets,Viñetas"/>
    <w:basedOn w:val="Normal"/>
    <w:link w:val="PrrafodelistaCar"/>
    <w:uiPriority w:val="34"/>
    <w:qFormat/>
    <w:rsid w:val="00DE76D7"/>
    <w:pPr>
      <w:ind w:left="708"/>
    </w:pPr>
    <w:rPr>
      <w:sz w:val="24"/>
      <w:szCs w:val="24"/>
    </w:rPr>
  </w:style>
  <w:style w:type="paragraph" w:styleId="Textoindependiente">
    <w:name w:val="Body Text"/>
    <w:basedOn w:val="Normal"/>
    <w:link w:val="TextoindependienteCar"/>
    <w:unhideWhenUsed/>
    <w:rsid w:val="005B511B"/>
    <w:pPr>
      <w:spacing w:after="120"/>
      <w:jc w:val="both"/>
    </w:pPr>
    <w:rPr>
      <w:rFonts w:eastAsia="Calibri"/>
      <w:sz w:val="24"/>
      <w:szCs w:val="24"/>
      <w:lang w:eastAsia="en-US"/>
    </w:rPr>
  </w:style>
  <w:style w:type="character" w:customStyle="1" w:styleId="TextoindependienteCar">
    <w:name w:val="Texto independiente Car"/>
    <w:link w:val="Textoindependiente"/>
    <w:rsid w:val="005B511B"/>
    <w:rPr>
      <w:rFonts w:ascii="Times New Roman" w:eastAsia="Calibri" w:hAnsi="Times New Roman" w:cs="Times New Roman"/>
      <w:sz w:val="24"/>
      <w:szCs w:val="24"/>
      <w:lang w:val="es-ES"/>
    </w:rPr>
  </w:style>
  <w:style w:type="table" w:customStyle="1" w:styleId="Listaclara1">
    <w:name w:val="Lista clara1"/>
    <w:basedOn w:val="Tablanormal"/>
    <w:uiPriority w:val="61"/>
    <w:rsid w:val="003253EA"/>
    <w:pPr>
      <w:jc w:val="both"/>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inespaciado">
    <w:name w:val="No Spacing"/>
    <w:link w:val="SinespaciadoCar"/>
    <w:uiPriority w:val="1"/>
    <w:qFormat/>
    <w:rsid w:val="00E871DB"/>
    <w:rPr>
      <w:sz w:val="22"/>
      <w:szCs w:val="22"/>
      <w:lang w:val="en-US" w:eastAsia="en-US"/>
    </w:rPr>
  </w:style>
  <w:style w:type="paragraph" w:styleId="Sangra2detindependiente">
    <w:name w:val="Body Text Indent 2"/>
    <w:basedOn w:val="Normal"/>
    <w:link w:val="Sangra2detindependienteCar"/>
    <w:unhideWhenUsed/>
    <w:rsid w:val="001E4BAA"/>
    <w:pPr>
      <w:spacing w:after="120" w:line="480" w:lineRule="auto"/>
      <w:ind w:left="283"/>
    </w:pPr>
  </w:style>
  <w:style w:type="character" w:customStyle="1" w:styleId="Sangra2detindependienteCar">
    <w:name w:val="Sangría 2 de t. independiente Car"/>
    <w:link w:val="Sangra2detindependiente"/>
    <w:rsid w:val="001E4BAA"/>
    <w:rPr>
      <w:rFonts w:ascii="Times New Roman" w:eastAsia="Times New Roman" w:hAnsi="Times New Roman"/>
      <w:lang w:val="es-ES" w:eastAsia="es-ES"/>
    </w:rPr>
  </w:style>
  <w:style w:type="paragraph" w:customStyle="1" w:styleId="Piepagina">
    <w:name w:val="Pie pagina"/>
    <w:basedOn w:val="Normal"/>
    <w:link w:val="PiepaginaChar"/>
    <w:uiPriority w:val="1"/>
    <w:qFormat/>
    <w:rsid w:val="002E22DE"/>
    <w:pPr>
      <w:jc w:val="both"/>
    </w:pPr>
    <w:rPr>
      <w:rFonts w:ascii="Franklin Gothic Book" w:hAnsi="Franklin Gothic Book"/>
      <w:color w:val="004990"/>
      <w:sz w:val="16"/>
      <w:szCs w:val="16"/>
      <w:lang w:eastAsia="en-US"/>
    </w:rPr>
  </w:style>
  <w:style w:type="character" w:customStyle="1" w:styleId="PiepaginaChar">
    <w:name w:val="Pie pagina Char"/>
    <w:link w:val="Piepagina"/>
    <w:uiPriority w:val="1"/>
    <w:rsid w:val="002E22DE"/>
    <w:rPr>
      <w:rFonts w:ascii="Franklin Gothic Book" w:eastAsia="Times New Roman" w:hAnsi="Franklin Gothic Book"/>
      <w:color w:val="004990"/>
      <w:sz w:val="16"/>
      <w:szCs w:val="16"/>
      <w:lang w:val="es-ES" w:eastAsia="en-US"/>
    </w:rPr>
  </w:style>
  <w:style w:type="character" w:customStyle="1" w:styleId="Ttulo1Car">
    <w:name w:val="Título 1 Car"/>
    <w:link w:val="Ttulo1"/>
    <w:rsid w:val="004D0B3B"/>
    <w:rPr>
      <w:rFonts w:ascii="Times New Roman" w:eastAsia="Times New Roman" w:hAnsi="Times New Roman"/>
      <w:sz w:val="24"/>
      <w:lang w:val="es-ES" w:eastAsia="es-ES"/>
    </w:rPr>
  </w:style>
  <w:style w:type="character" w:customStyle="1" w:styleId="Ttulo2Car">
    <w:name w:val="Título 2 Car"/>
    <w:aliases w:val="CAPÍTULO Car,Car10 Car"/>
    <w:link w:val="Ttulo2"/>
    <w:uiPriority w:val="99"/>
    <w:rsid w:val="004D0B3B"/>
    <w:rPr>
      <w:rFonts w:ascii="Times New Roman" w:eastAsia="Times New Roman" w:hAnsi="Times New Roman"/>
      <w:b/>
      <w:sz w:val="28"/>
      <w:lang w:val="es-ES" w:eastAsia="es-ES"/>
    </w:rPr>
  </w:style>
  <w:style w:type="character" w:customStyle="1" w:styleId="Ttulo3Car">
    <w:name w:val="Título 3 Car"/>
    <w:link w:val="Ttulo3"/>
    <w:uiPriority w:val="99"/>
    <w:rsid w:val="004D0B3B"/>
    <w:rPr>
      <w:rFonts w:ascii="Times New Roman" w:eastAsia="Times New Roman" w:hAnsi="Times New Roman"/>
      <w:b/>
      <w:bCs/>
      <w:sz w:val="24"/>
      <w:lang w:val="es-ES" w:eastAsia="es-ES"/>
    </w:rPr>
  </w:style>
  <w:style w:type="character" w:customStyle="1" w:styleId="Ttulo4Car">
    <w:name w:val="Título 4 Car"/>
    <w:link w:val="Ttulo4"/>
    <w:rsid w:val="004D0B3B"/>
    <w:rPr>
      <w:rFonts w:ascii="Coronet" w:eastAsia="Times New Roman" w:hAnsi="Coronet"/>
      <w:sz w:val="42"/>
      <w:lang w:eastAsia="es-ES"/>
    </w:rPr>
  </w:style>
  <w:style w:type="character" w:customStyle="1" w:styleId="Ttulo5Car">
    <w:name w:val="Título 5 Car"/>
    <w:link w:val="Ttulo5"/>
    <w:uiPriority w:val="99"/>
    <w:rsid w:val="004D0B3B"/>
    <w:rPr>
      <w:rFonts w:ascii="Times New Roman" w:eastAsia="Times New Roman" w:hAnsi="Times New Roman"/>
      <w:b/>
      <w:bCs/>
      <w:i/>
      <w:iCs/>
      <w:lang w:eastAsia="es-ES"/>
    </w:rPr>
  </w:style>
  <w:style w:type="character" w:customStyle="1" w:styleId="Ttulo7Car">
    <w:name w:val="Título 7 Car"/>
    <w:link w:val="Ttulo7"/>
    <w:uiPriority w:val="99"/>
    <w:rsid w:val="004D0B3B"/>
    <w:rPr>
      <w:rFonts w:ascii="Times New Roman" w:eastAsia="Times New Roman" w:hAnsi="Times New Roman"/>
      <w:sz w:val="28"/>
      <w:lang w:val="es-ES" w:eastAsia="es-ES"/>
    </w:rPr>
  </w:style>
  <w:style w:type="character" w:customStyle="1" w:styleId="Ttulo8Car">
    <w:name w:val="Título 8 Car"/>
    <w:link w:val="Ttulo8"/>
    <w:uiPriority w:val="99"/>
    <w:rsid w:val="004D0B3B"/>
    <w:rPr>
      <w:rFonts w:ascii="Arial" w:eastAsia="Times New Roman" w:hAnsi="Arial" w:cs="Arial"/>
      <w:b/>
      <w:bCs/>
      <w:color w:val="99CC00"/>
      <w:lang w:val="es-ES" w:eastAsia="es-ES"/>
    </w:rPr>
  </w:style>
  <w:style w:type="character" w:customStyle="1" w:styleId="Ttulo9Car">
    <w:name w:val="Título 9 Car"/>
    <w:link w:val="Ttulo9"/>
    <w:uiPriority w:val="99"/>
    <w:rsid w:val="004D0B3B"/>
    <w:rPr>
      <w:rFonts w:ascii="Arial" w:eastAsia="Times New Roman" w:hAnsi="Arial"/>
      <w:b/>
      <w:bCs/>
      <w:lang w:val="es-ES" w:eastAsia="es-ES"/>
    </w:rPr>
  </w:style>
  <w:style w:type="paragraph" w:styleId="Sangradetextonormal">
    <w:name w:val="Body Text Indent"/>
    <w:aliases w:val="Sangría de t. independiente"/>
    <w:basedOn w:val="Normal"/>
    <w:link w:val="SangradetextonormalCar"/>
    <w:rsid w:val="004D0B3B"/>
    <w:pPr>
      <w:spacing w:line="360" w:lineRule="auto"/>
      <w:ind w:left="708" w:hanging="707"/>
      <w:jc w:val="both"/>
    </w:pPr>
    <w:rPr>
      <w:sz w:val="24"/>
    </w:rPr>
  </w:style>
  <w:style w:type="character" w:customStyle="1" w:styleId="SangradetextonormalCar">
    <w:name w:val="Sangría de texto normal Car"/>
    <w:aliases w:val="Sangría de t. independiente Car"/>
    <w:link w:val="Sangradetextonormal"/>
    <w:rsid w:val="004D0B3B"/>
    <w:rPr>
      <w:rFonts w:ascii="Times New Roman" w:eastAsia="Times New Roman" w:hAnsi="Times New Roman"/>
      <w:sz w:val="24"/>
      <w:lang w:val="es-ES" w:eastAsia="es-ES"/>
    </w:rPr>
  </w:style>
  <w:style w:type="character" w:styleId="Nmerodepgina">
    <w:name w:val="page number"/>
    <w:rsid w:val="004D0B3B"/>
  </w:style>
  <w:style w:type="paragraph" w:styleId="Textoindependiente2">
    <w:name w:val="Body Text 2"/>
    <w:basedOn w:val="Normal"/>
    <w:link w:val="Textoindependiente2Car"/>
    <w:rsid w:val="004D0B3B"/>
    <w:pPr>
      <w:spacing w:after="120" w:line="480" w:lineRule="auto"/>
    </w:pPr>
  </w:style>
  <w:style w:type="character" w:customStyle="1" w:styleId="Textoindependiente2Car">
    <w:name w:val="Texto independiente 2 Car"/>
    <w:link w:val="Textoindependiente2"/>
    <w:rsid w:val="004D0B3B"/>
    <w:rPr>
      <w:rFonts w:ascii="Times New Roman" w:eastAsia="Times New Roman" w:hAnsi="Times New Roman"/>
      <w:lang w:val="es-ES" w:eastAsia="es-ES"/>
    </w:rPr>
  </w:style>
  <w:style w:type="character" w:customStyle="1" w:styleId="SinespaciadoCar">
    <w:name w:val="Sin espaciado Car"/>
    <w:link w:val="Sinespaciado"/>
    <w:uiPriority w:val="1"/>
    <w:locked/>
    <w:rsid w:val="004D0B3B"/>
    <w:rPr>
      <w:sz w:val="22"/>
      <w:szCs w:val="22"/>
      <w:lang w:val="en-US" w:eastAsia="en-US"/>
    </w:rPr>
  </w:style>
  <w:style w:type="paragraph" w:styleId="Listaconnmeros">
    <w:name w:val="List Number"/>
    <w:basedOn w:val="Normal"/>
    <w:semiHidden/>
    <w:unhideWhenUsed/>
    <w:rsid w:val="004D0B3B"/>
    <w:pPr>
      <w:numPr>
        <w:numId w:val="1"/>
      </w:numPr>
      <w:contextualSpacing/>
    </w:pPr>
    <w:rPr>
      <w:lang w:val="en-US" w:eastAsia="en-US"/>
    </w:rPr>
  </w:style>
  <w:style w:type="character" w:customStyle="1" w:styleId="PrrafodelistaCar">
    <w:name w:val="Párrafo de lista Car"/>
    <w:aliases w:val="Titulo 2 Car,Con viñetas Car,Normal con viñetas Car,3 Car,Use Case List Paragraph Car,Bullet 1 Car,Informe Car,Segundo nivel de viñetas Car,Titulo 1 Car,Lista vistosa - Énfasis 11 Car,Párrafo de lista Car Car Car Car,Bullet List Car"/>
    <w:link w:val="Prrafodelista"/>
    <w:uiPriority w:val="34"/>
    <w:qFormat/>
    <w:locked/>
    <w:rsid w:val="004D0B3B"/>
    <w:rPr>
      <w:rFonts w:ascii="Times New Roman" w:eastAsia="Times New Roman" w:hAnsi="Times New Roman"/>
      <w:sz w:val="24"/>
      <w:szCs w:val="24"/>
      <w:lang w:val="es-ES" w:eastAsia="es-ES"/>
    </w:rPr>
  </w:style>
  <w:style w:type="paragraph" w:customStyle="1" w:styleId="p4">
    <w:name w:val="p4"/>
    <w:basedOn w:val="Normal"/>
    <w:rsid w:val="004D0B3B"/>
    <w:pPr>
      <w:tabs>
        <w:tab w:val="left" w:pos="720"/>
      </w:tabs>
      <w:overflowPunct w:val="0"/>
      <w:autoSpaceDE w:val="0"/>
      <w:autoSpaceDN w:val="0"/>
      <w:adjustRightInd w:val="0"/>
      <w:spacing w:line="280" w:lineRule="auto"/>
      <w:jc w:val="both"/>
      <w:textAlignment w:val="baseline"/>
    </w:pPr>
    <w:rPr>
      <w:rFonts w:ascii="Arial" w:hAnsi="Arial"/>
      <w:sz w:val="24"/>
      <w:lang w:val="es-ES_tradnl"/>
    </w:rPr>
  </w:style>
  <w:style w:type="character" w:styleId="Nmerodelnea">
    <w:name w:val="line number"/>
    <w:uiPriority w:val="99"/>
    <w:rsid w:val="004D0B3B"/>
  </w:style>
  <w:style w:type="character" w:customStyle="1" w:styleId="A2">
    <w:name w:val="A2"/>
    <w:uiPriority w:val="99"/>
    <w:rsid w:val="004D0B3B"/>
    <w:rPr>
      <w:b/>
      <w:bCs/>
      <w:color w:val="000000"/>
    </w:rPr>
  </w:style>
  <w:style w:type="paragraph" w:customStyle="1" w:styleId="CM14">
    <w:name w:val="CM14"/>
    <w:basedOn w:val="Normal"/>
    <w:next w:val="Normal"/>
    <w:uiPriority w:val="99"/>
    <w:rsid w:val="004D0B3B"/>
    <w:pPr>
      <w:widowControl w:val="0"/>
      <w:autoSpaceDE w:val="0"/>
      <w:autoSpaceDN w:val="0"/>
      <w:adjustRightInd w:val="0"/>
      <w:spacing w:after="145"/>
    </w:pPr>
    <w:rPr>
      <w:sz w:val="24"/>
      <w:szCs w:val="24"/>
      <w:lang w:val="es-CR" w:eastAsia="es-CR"/>
    </w:rPr>
  </w:style>
  <w:style w:type="paragraph" w:customStyle="1" w:styleId="CM10">
    <w:name w:val="CM10"/>
    <w:basedOn w:val="Normal"/>
    <w:next w:val="Normal"/>
    <w:uiPriority w:val="99"/>
    <w:rsid w:val="004D0B3B"/>
    <w:pPr>
      <w:widowControl w:val="0"/>
      <w:autoSpaceDE w:val="0"/>
      <w:autoSpaceDN w:val="0"/>
      <w:adjustRightInd w:val="0"/>
      <w:spacing w:line="231" w:lineRule="atLeast"/>
    </w:pPr>
    <w:rPr>
      <w:sz w:val="24"/>
      <w:szCs w:val="24"/>
      <w:lang w:val="es-CR" w:eastAsia="es-CR"/>
    </w:rPr>
  </w:style>
  <w:style w:type="character" w:customStyle="1" w:styleId="TextonotapieCar">
    <w:name w:val="Texto nota pie Car"/>
    <w:aliases w:val="Car1 Car,Footnote Text Char2 Car,Footnote Text Char1 Char1 Car,Footnote Text Char Char Char Car,Footnote Text Char1 Char Char Char Car,Footnote Text Char Char Char Char Char Car,Footnote Text Char1 Char Char Char Char Char Car"/>
    <w:link w:val="Textonotapie"/>
    <w:uiPriority w:val="99"/>
    <w:rsid w:val="004D0B3B"/>
    <w:rPr>
      <w:lang w:eastAsia="es-ES"/>
    </w:rPr>
  </w:style>
  <w:style w:type="paragraph" w:styleId="Textonotapie">
    <w:name w:val="footnote text"/>
    <w:aliases w:val="Car1,Footnote Text Char2,Footnote Text Char1 Char1,Footnote Text Char Char Char,Footnote Text Char1 Char Char Char,Footnote Text Char Char Char Char Char,Footnote Text Char1 Char Char Char Char Char,Footnote Text Char"/>
    <w:basedOn w:val="Normal"/>
    <w:link w:val="TextonotapieCar"/>
    <w:uiPriority w:val="99"/>
    <w:rsid w:val="004D0B3B"/>
    <w:rPr>
      <w:rFonts w:ascii="Calibri" w:eastAsia="Calibri" w:hAnsi="Calibri"/>
      <w:lang w:val="es-CR"/>
    </w:rPr>
  </w:style>
  <w:style w:type="character" w:customStyle="1" w:styleId="TextonotapieCar1">
    <w:name w:val="Texto nota pie Car1"/>
    <w:aliases w:val="Car1 Car1"/>
    <w:rsid w:val="004D0B3B"/>
    <w:rPr>
      <w:rFonts w:ascii="Times New Roman" w:eastAsia="Times New Roman" w:hAnsi="Times New Roman"/>
      <w:lang w:val="es-ES" w:eastAsia="es-ES"/>
    </w:rPr>
  </w:style>
  <w:style w:type="character" w:styleId="Refdenotaalpie">
    <w:name w:val="footnote reference"/>
    <w:aliases w:val="Ref,de nota al pie,titulo 2"/>
    <w:uiPriority w:val="99"/>
    <w:rsid w:val="004D0B3B"/>
    <w:rPr>
      <w:vertAlign w:val="superscript"/>
    </w:rPr>
  </w:style>
  <w:style w:type="table" w:customStyle="1" w:styleId="Tablaconcuadrcula1">
    <w:name w:val="Tabla con cuadrícula1"/>
    <w:basedOn w:val="Tablanormal"/>
    <w:next w:val="Tablaconcuadrcula"/>
    <w:uiPriority w:val="59"/>
    <w:rsid w:val="004D0B3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4D0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0B3B"/>
    <w:pPr>
      <w:autoSpaceDE w:val="0"/>
      <w:autoSpaceDN w:val="0"/>
      <w:adjustRightInd w:val="0"/>
    </w:pPr>
    <w:rPr>
      <w:rFonts w:ascii="Arial" w:eastAsia="Times New Roman" w:hAnsi="Arial" w:cs="Arial"/>
      <w:color w:val="000000"/>
      <w:sz w:val="24"/>
      <w:szCs w:val="24"/>
    </w:rPr>
  </w:style>
  <w:style w:type="paragraph" w:styleId="Textocomentario">
    <w:name w:val="annotation text"/>
    <w:basedOn w:val="Normal"/>
    <w:link w:val="TextocomentarioCar"/>
    <w:uiPriority w:val="99"/>
    <w:rsid w:val="004D0B3B"/>
  </w:style>
  <w:style w:type="character" w:customStyle="1" w:styleId="TextocomentarioCar">
    <w:name w:val="Texto comentario Car"/>
    <w:link w:val="Textocomentario"/>
    <w:uiPriority w:val="99"/>
    <w:rsid w:val="004D0B3B"/>
    <w:rPr>
      <w:rFonts w:ascii="Times New Roman" w:eastAsia="Times New Roman" w:hAnsi="Times New Roman"/>
      <w:lang w:val="es-ES" w:eastAsia="es-ES"/>
    </w:rPr>
  </w:style>
  <w:style w:type="paragraph" w:styleId="Textoindependiente3">
    <w:name w:val="Body Text 3"/>
    <w:basedOn w:val="Normal"/>
    <w:link w:val="Textoindependiente3Car"/>
    <w:rsid w:val="004D0B3B"/>
    <w:pPr>
      <w:widowControl w:val="0"/>
      <w:jc w:val="both"/>
    </w:pPr>
    <w:rPr>
      <w:sz w:val="25"/>
      <w:lang w:val="es-CR"/>
    </w:rPr>
  </w:style>
  <w:style w:type="character" w:customStyle="1" w:styleId="Textoindependiente3Car">
    <w:name w:val="Texto independiente 3 Car"/>
    <w:link w:val="Textoindependiente3"/>
    <w:rsid w:val="004D0B3B"/>
    <w:rPr>
      <w:rFonts w:ascii="Times New Roman" w:eastAsia="Times New Roman" w:hAnsi="Times New Roman"/>
      <w:sz w:val="25"/>
      <w:lang w:eastAsia="es-ES"/>
    </w:rPr>
  </w:style>
  <w:style w:type="paragraph" w:styleId="Sangra3detindependiente">
    <w:name w:val="Body Text Indent 3"/>
    <w:basedOn w:val="Normal"/>
    <w:link w:val="Sangra3detindependienteCar"/>
    <w:rsid w:val="004D0B3B"/>
    <w:pPr>
      <w:widowControl w:val="0"/>
      <w:ind w:left="709" w:hanging="709"/>
      <w:jc w:val="both"/>
    </w:pPr>
    <w:rPr>
      <w:sz w:val="19"/>
      <w:lang w:val="es-CR"/>
    </w:rPr>
  </w:style>
  <w:style w:type="character" w:customStyle="1" w:styleId="Sangra3detindependienteCar">
    <w:name w:val="Sangría 3 de t. independiente Car"/>
    <w:link w:val="Sangra3detindependiente"/>
    <w:rsid w:val="004D0B3B"/>
    <w:rPr>
      <w:rFonts w:ascii="Times New Roman" w:eastAsia="Times New Roman" w:hAnsi="Times New Roman"/>
      <w:sz w:val="19"/>
      <w:lang w:eastAsia="es-ES"/>
    </w:rPr>
  </w:style>
  <w:style w:type="paragraph" w:customStyle="1" w:styleId="CNV">
    <w:name w:val="CNV"/>
    <w:basedOn w:val="Normal"/>
    <w:uiPriority w:val="99"/>
    <w:rsid w:val="004D0B3B"/>
    <w:pPr>
      <w:jc w:val="both"/>
    </w:pPr>
    <w:rPr>
      <w:rFonts w:ascii="BR-01T" w:hAnsi="BR-01T"/>
      <w:sz w:val="24"/>
      <w:lang w:val="es-ES_tradnl"/>
    </w:rPr>
  </w:style>
  <w:style w:type="paragraph" w:styleId="Descripcin">
    <w:name w:val="caption"/>
    <w:aliases w:val="Epígrafe"/>
    <w:basedOn w:val="Normal"/>
    <w:next w:val="Normal"/>
    <w:qFormat/>
    <w:rsid w:val="004D0B3B"/>
    <w:pPr>
      <w:ind w:left="284"/>
      <w:jc w:val="right"/>
    </w:pPr>
    <w:rPr>
      <w:i/>
      <w:sz w:val="24"/>
      <w:lang w:val="es-ES_tradnl"/>
    </w:rPr>
  </w:style>
  <w:style w:type="paragraph" w:styleId="Textodebloque">
    <w:name w:val="Block Text"/>
    <w:basedOn w:val="Normal"/>
    <w:uiPriority w:val="99"/>
    <w:rsid w:val="004D0B3B"/>
    <w:pPr>
      <w:widowControl w:val="0"/>
      <w:ind w:left="1134" w:right="618"/>
      <w:jc w:val="both"/>
    </w:pPr>
    <w:rPr>
      <w:i/>
      <w:sz w:val="22"/>
      <w:lang w:val="es-CR"/>
    </w:rPr>
  </w:style>
  <w:style w:type="paragraph" w:customStyle="1" w:styleId="BodyText21">
    <w:name w:val="Body Text 21"/>
    <w:basedOn w:val="Normal"/>
    <w:rsid w:val="004D0B3B"/>
    <w:pPr>
      <w:widowControl w:val="0"/>
      <w:jc w:val="both"/>
    </w:pPr>
    <w:rPr>
      <w:sz w:val="24"/>
      <w:lang w:val="es-CR"/>
    </w:rPr>
  </w:style>
  <w:style w:type="character" w:styleId="Refdecomentario">
    <w:name w:val="annotation reference"/>
    <w:uiPriority w:val="99"/>
    <w:rsid w:val="004D0B3B"/>
    <w:rPr>
      <w:sz w:val="16"/>
      <w:szCs w:val="16"/>
    </w:rPr>
  </w:style>
  <w:style w:type="paragraph" w:styleId="Asuntodelcomentario">
    <w:name w:val="annotation subject"/>
    <w:basedOn w:val="Textocomentario"/>
    <w:next w:val="Textocomentario"/>
    <w:link w:val="AsuntodelcomentarioCar"/>
    <w:rsid w:val="004D0B3B"/>
    <w:rPr>
      <w:b/>
      <w:bCs/>
      <w:lang w:val="es-CR"/>
    </w:rPr>
  </w:style>
  <w:style w:type="character" w:customStyle="1" w:styleId="AsuntodelcomentarioCar">
    <w:name w:val="Asunto del comentario Car"/>
    <w:link w:val="Asuntodelcomentario"/>
    <w:rsid w:val="004D0B3B"/>
    <w:rPr>
      <w:rFonts w:ascii="Times New Roman" w:eastAsia="Times New Roman" w:hAnsi="Times New Roman"/>
      <w:b/>
      <w:bCs/>
      <w:lang w:val="es-ES" w:eastAsia="es-ES"/>
    </w:rPr>
  </w:style>
  <w:style w:type="paragraph" w:styleId="Listaconvietas">
    <w:name w:val="List Bullet"/>
    <w:basedOn w:val="Normal"/>
    <w:autoRedefine/>
    <w:rsid w:val="004D0B3B"/>
    <w:pPr>
      <w:tabs>
        <w:tab w:val="num" w:pos="360"/>
      </w:tabs>
      <w:ind w:left="360" w:hanging="360"/>
    </w:pPr>
    <w:rPr>
      <w:sz w:val="24"/>
      <w:szCs w:val="24"/>
    </w:rPr>
  </w:style>
  <w:style w:type="paragraph" w:customStyle="1" w:styleId="xl40">
    <w:name w:val="xl40"/>
    <w:basedOn w:val="Normal"/>
    <w:uiPriority w:val="99"/>
    <w:rsid w:val="004D0B3B"/>
    <w:pPr>
      <w:spacing w:before="100" w:beforeAutospacing="1" w:after="100" w:afterAutospacing="1"/>
      <w:jc w:val="center"/>
      <w:textAlignment w:val="center"/>
    </w:pPr>
    <w:rPr>
      <w:rFonts w:eastAsia="Arial Unicode MS"/>
      <w:b/>
      <w:bCs/>
      <w:sz w:val="24"/>
      <w:szCs w:val="24"/>
    </w:rPr>
  </w:style>
  <w:style w:type="paragraph" w:customStyle="1" w:styleId="xl28">
    <w:name w:val="xl28"/>
    <w:basedOn w:val="Normal"/>
    <w:rsid w:val="004D0B3B"/>
    <w:pPr>
      <w:spacing w:before="100" w:beforeAutospacing="1" w:after="100" w:afterAutospacing="1"/>
      <w:textAlignment w:val="center"/>
    </w:pPr>
    <w:rPr>
      <w:rFonts w:ascii="Arial" w:eastAsia="Arial Unicode MS" w:hAnsi="Arial" w:cs="Arial"/>
      <w:sz w:val="18"/>
      <w:szCs w:val="18"/>
    </w:rPr>
  </w:style>
  <w:style w:type="paragraph" w:customStyle="1" w:styleId="xl27">
    <w:name w:val="xl27"/>
    <w:basedOn w:val="Normal"/>
    <w:rsid w:val="004D0B3B"/>
    <w:pPr>
      <w:spacing w:before="100" w:beforeAutospacing="1" w:after="100" w:afterAutospacing="1"/>
      <w:textAlignment w:val="center"/>
    </w:pPr>
    <w:rPr>
      <w:rFonts w:ascii="Arial" w:eastAsia="Arial Unicode MS" w:hAnsi="Arial" w:cs="Arial"/>
      <w:sz w:val="16"/>
      <w:szCs w:val="16"/>
    </w:rPr>
  </w:style>
  <w:style w:type="paragraph" w:customStyle="1" w:styleId="xl26">
    <w:name w:val="xl26"/>
    <w:basedOn w:val="Normal"/>
    <w:uiPriority w:val="99"/>
    <w:rsid w:val="004D0B3B"/>
    <w:pPr>
      <w:spacing w:before="100" w:beforeAutospacing="1" w:after="100" w:afterAutospacing="1"/>
      <w:textAlignment w:val="center"/>
    </w:pPr>
    <w:rPr>
      <w:rFonts w:ascii="Arial" w:eastAsia="Arial Unicode MS" w:hAnsi="Arial" w:cs="Arial"/>
      <w:b/>
      <w:bCs/>
      <w:sz w:val="18"/>
      <w:szCs w:val="18"/>
    </w:rPr>
  </w:style>
  <w:style w:type="paragraph" w:styleId="TDC1">
    <w:name w:val="toc 1"/>
    <w:basedOn w:val="Normal"/>
    <w:next w:val="Normal"/>
    <w:autoRedefine/>
    <w:uiPriority w:val="39"/>
    <w:rsid w:val="004D0B3B"/>
    <w:pPr>
      <w:tabs>
        <w:tab w:val="right" w:leader="dot" w:pos="8820"/>
      </w:tabs>
    </w:pPr>
    <w:rPr>
      <w:lang w:eastAsia="en-US"/>
    </w:rPr>
  </w:style>
  <w:style w:type="paragraph" w:styleId="TDC2">
    <w:name w:val="toc 2"/>
    <w:basedOn w:val="Normal"/>
    <w:next w:val="Normal"/>
    <w:autoRedefine/>
    <w:uiPriority w:val="39"/>
    <w:rsid w:val="004D0B3B"/>
    <w:pPr>
      <w:tabs>
        <w:tab w:val="left" w:pos="720"/>
        <w:tab w:val="right" w:leader="dot" w:pos="8820"/>
      </w:tabs>
      <w:ind w:left="200"/>
    </w:pPr>
    <w:rPr>
      <w:lang w:eastAsia="en-US"/>
    </w:rPr>
  </w:style>
  <w:style w:type="paragraph" w:customStyle="1" w:styleId="Tcnico">
    <w:name w:val="Técnico"/>
    <w:basedOn w:val="Normal"/>
    <w:uiPriority w:val="99"/>
    <w:rsid w:val="004D0B3B"/>
    <w:pPr>
      <w:autoSpaceDE w:val="0"/>
      <w:autoSpaceDN w:val="0"/>
      <w:ind w:left="3544" w:hanging="2126"/>
      <w:jc w:val="both"/>
    </w:pPr>
    <w:rPr>
      <w:rFonts w:ascii="Roman" w:hAnsi="Roman"/>
      <w:b/>
      <w:bCs/>
      <w:sz w:val="24"/>
      <w:szCs w:val="22"/>
      <w:lang w:val="es-ES_tradnl"/>
    </w:rPr>
  </w:style>
  <w:style w:type="paragraph" w:styleId="Ttulo">
    <w:name w:val="Title"/>
    <w:basedOn w:val="Normal"/>
    <w:link w:val="TtuloCar"/>
    <w:qFormat/>
    <w:rsid w:val="004D0B3B"/>
    <w:pPr>
      <w:jc w:val="center"/>
    </w:pPr>
    <w:rPr>
      <w:b/>
      <w:sz w:val="32"/>
      <w:lang w:val="es-ES_tradnl"/>
    </w:rPr>
  </w:style>
  <w:style w:type="character" w:customStyle="1" w:styleId="TtuloCar">
    <w:name w:val="Título Car"/>
    <w:link w:val="Ttulo"/>
    <w:rsid w:val="004D0B3B"/>
    <w:rPr>
      <w:rFonts w:ascii="Times New Roman" w:eastAsia="Times New Roman" w:hAnsi="Times New Roman"/>
      <w:b/>
      <w:sz w:val="32"/>
      <w:lang w:val="es-ES_tradnl" w:eastAsia="es-ES"/>
    </w:rPr>
  </w:style>
  <w:style w:type="paragraph" w:customStyle="1" w:styleId="p2">
    <w:name w:val="p2"/>
    <w:basedOn w:val="Normal"/>
    <w:uiPriority w:val="99"/>
    <w:rsid w:val="004D0B3B"/>
    <w:pPr>
      <w:widowControl w:val="0"/>
      <w:tabs>
        <w:tab w:val="left" w:pos="720"/>
      </w:tabs>
      <w:spacing w:line="320" w:lineRule="atLeast"/>
      <w:jc w:val="both"/>
    </w:pPr>
    <w:rPr>
      <w:sz w:val="24"/>
    </w:rPr>
  </w:style>
  <w:style w:type="character" w:styleId="Hipervnculovisitado">
    <w:name w:val="FollowedHyperlink"/>
    <w:uiPriority w:val="99"/>
    <w:rsid w:val="004D0B3B"/>
    <w:rPr>
      <w:rFonts w:cs="Times New Roman"/>
      <w:color w:val="800080"/>
      <w:u w:val="single"/>
    </w:rPr>
  </w:style>
  <w:style w:type="paragraph" w:customStyle="1" w:styleId="NORMAL2">
    <w:name w:val="NORMAL2"/>
    <w:basedOn w:val="Normal"/>
    <w:autoRedefine/>
    <w:uiPriority w:val="99"/>
    <w:rsid w:val="004D0B3B"/>
    <w:pPr>
      <w:autoSpaceDE w:val="0"/>
      <w:autoSpaceDN w:val="0"/>
      <w:jc w:val="both"/>
    </w:pPr>
    <w:rPr>
      <w:rFonts w:ascii="Arial" w:hAnsi="Arial" w:cs="Arial"/>
      <w:b/>
      <w:bCs/>
      <w:sz w:val="24"/>
      <w:szCs w:val="22"/>
      <w:lang w:val="es-ES_tradnl"/>
    </w:rPr>
  </w:style>
  <w:style w:type="paragraph" w:customStyle="1" w:styleId="CharCharCarCar">
    <w:name w:val="Char Char Car Car"/>
    <w:basedOn w:val="Normal"/>
    <w:uiPriority w:val="99"/>
    <w:rsid w:val="004D0B3B"/>
    <w:pPr>
      <w:spacing w:after="160" w:line="240" w:lineRule="exact"/>
    </w:pPr>
    <w:rPr>
      <w:rFonts w:ascii="Arial" w:eastAsia="MS Mincho" w:hAnsi="Arial"/>
      <w:lang w:eastAsia="en-US"/>
    </w:rPr>
  </w:style>
  <w:style w:type="paragraph" w:customStyle="1" w:styleId="Prrafodelista1">
    <w:name w:val="Párrafo de lista1"/>
    <w:basedOn w:val="Normal"/>
    <w:qFormat/>
    <w:rsid w:val="004D0B3B"/>
    <w:pPr>
      <w:ind w:left="720"/>
      <w:contextualSpacing/>
    </w:pPr>
    <w:rPr>
      <w:sz w:val="24"/>
      <w:szCs w:val="24"/>
    </w:rPr>
  </w:style>
  <w:style w:type="paragraph" w:styleId="Textosinformato">
    <w:name w:val="Plain Text"/>
    <w:basedOn w:val="Normal"/>
    <w:link w:val="TextosinformatoCar"/>
    <w:uiPriority w:val="99"/>
    <w:unhideWhenUsed/>
    <w:rsid w:val="004D0B3B"/>
    <w:rPr>
      <w:rFonts w:ascii="Consolas" w:eastAsia="Calibri" w:hAnsi="Consolas"/>
      <w:sz w:val="21"/>
      <w:szCs w:val="21"/>
      <w:lang w:val="x-none" w:eastAsia="en-US"/>
    </w:rPr>
  </w:style>
  <w:style w:type="character" w:customStyle="1" w:styleId="TextosinformatoCar">
    <w:name w:val="Texto sin formato Car"/>
    <w:link w:val="Textosinformato"/>
    <w:uiPriority w:val="99"/>
    <w:rsid w:val="004D0B3B"/>
    <w:rPr>
      <w:rFonts w:ascii="Consolas" w:hAnsi="Consolas"/>
      <w:sz w:val="21"/>
      <w:szCs w:val="21"/>
      <w:lang w:val="x-none" w:eastAsia="en-US"/>
    </w:rPr>
  </w:style>
  <w:style w:type="paragraph" w:styleId="Revisin">
    <w:name w:val="Revision"/>
    <w:hidden/>
    <w:uiPriority w:val="99"/>
    <w:semiHidden/>
    <w:rsid w:val="004D0B3B"/>
    <w:rPr>
      <w:sz w:val="22"/>
      <w:szCs w:val="22"/>
      <w:lang w:eastAsia="en-US"/>
    </w:rPr>
  </w:style>
  <w:style w:type="character" w:customStyle="1" w:styleId="Ttulo6Car">
    <w:name w:val="Título 6 Car"/>
    <w:basedOn w:val="Fuentedeprrafopredeter"/>
    <w:link w:val="Ttulo6"/>
    <w:uiPriority w:val="99"/>
    <w:rsid w:val="009F5DDF"/>
    <w:rPr>
      <w:rFonts w:ascii="Times New Roman" w:eastAsia="Times New Roman" w:hAnsi="Times New Roman"/>
      <w:b/>
      <w:bCs/>
      <w:sz w:val="22"/>
      <w:szCs w:val="22"/>
      <w:lang w:eastAsia="es-ES"/>
    </w:rPr>
  </w:style>
  <w:style w:type="paragraph" w:customStyle="1" w:styleId="encabezado0">
    <w:name w:val="encabezado"/>
    <w:basedOn w:val="Normal"/>
    <w:uiPriority w:val="1"/>
    <w:qFormat/>
    <w:rsid w:val="009F5DDF"/>
    <w:pPr>
      <w:jc w:val="both"/>
    </w:pPr>
    <w:rPr>
      <w:rFonts w:ascii="Franklin Gothic Book" w:hAnsi="Franklin Gothic Book"/>
      <w:sz w:val="22"/>
      <w:szCs w:val="24"/>
      <w:lang w:val="es-CR" w:eastAsia="en-US"/>
    </w:rPr>
  </w:style>
  <w:style w:type="paragraph" w:customStyle="1" w:styleId="Ttulo10">
    <w:name w:val="Título1"/>
    <w:basedOn w:val="Normal"/>
    <w:qFormat/>
    <w:rsid w:val="009F5DDF"/>
    <w:pPr>
      <w:jc w:val="center"/>
    </w:pPr>
    <w:rPr>
      <w:b/>
      <w:sz w:val="32"/>
      <w:lang w:val="es-ES_tradnl"/>
    </w:rPr>
  </w:style>
  <w:style w:type="character" w:customStyle="1" w:styleId="haupttext1">
    <w:name w:val="haupttext1"/>
    <w:rsid w:val="009F5DDF"/>
    <w:rPr>
      <w:rFonts w:ascii="Verdana" w:hAnsi="Verdana" w:hint="default"/>
      <w:sz w:val="18"/>
      <w:szCs w:val="18"/>
    </w:rPr>
  </w:style>
  <w:style w:type="paragraph" w:customStyle="1" w:styleId="Textoindependiente21">
    <w:name w:val="Texto independiente 21"/>
    <w:basedOn w:val="Normal"/>
    <w:rsid w:val="009F5DDF"/>
    <w:pPr>
      <w:jc w:val="both"/>
    </w:pPr>
    <w:rPr>
      <w:b/>
      <w:sz w:val="24"/>
      <w:szCs w:val="24"/>
      <w:lang w:val="es-CR"/>
    </w:rPr>
  </w:style>
  <w:style w:type="character" w:customStyle="1" w:styleId="xdtextbox1">
    <w:name w:val="xdtextbox1"/>
    <w:rsid w:val="009F5DDF"/>
    <w:rPr>
      <w:color w:val="auto"/>
      <w:bdr w:val="single" w:sz="8" w:space="1" w:color="DCDCDC" w:frame="1"/>
      <w:shd w:val="clear" w:color="auto" w:fill="FFFFFF"/>
    </w:rPr>
  </w:style>
  <w:style w:type="paragraph" w:customStyle="1" w:styleId="Estilo3">
    <w:name w:val="Estilo 3"/>
    <w:basedOn w:val="Normal"/>
    <w:rsid w:val="009F5DDF"/>
    <w:pPr>
      <w:widowControl w:val="0"/>
      <w:spacing w:before="220" w:line="255" w:lineRule="exact"/>
      <w:jc w:val="both"/>
    </w:pPr>
    <w:rPr>
      <w:snapToGrid w:val="0"/>
      <w:lang w:val="es-CR"/>
    </w:rPr>
  </w:style>
  <w:style w:type="paragraph" w:customStyle="1" w:styleId="TextoindependienteReglamento">
    <w:name w:val="Texto independiente Reglamento"/>
    <w:basedOn w:val="Textoindependiente3"/>
    <w:next w:val="Textoindependiente"/>
    <w:link w:val="TextoindependienteReglamentoCar"/>
    <w:rsid w:val="009F5DDF"/>
    <w:rPr>
      <w:sz w:val="28"/>
      <w:szCs w:val="16"/>
      <w:lang w:val="es-ES"/>
    </w:rPr>
  </w:style>
  <w:style w:type="character" w:customStyle="1" w:styleId="TextoindependienteReglamentoCar">
    <w:name w:val="Texto independiente Reglamento Car"/>
    <w:link w:val="TextoindependienteReglamento"/>
    <w:locked/>
    <w:rsid w:val="009F5DDF"/>
    <w:rPr>
      <w:rFonts w:ascii="Times New Roman" w:eastAsia="Times New Roman" w:hAnsi="Times New Roman"/>
      <w:sz w:val="28"/>
      <w:szCs w:val="16"/>
      <w:lang w:val="es-ES" w:eastAsia="es-ES"/>
    </w:rPr>
  </w:style>
  <w:style w:type="paragraph" w:styleId="HTMLconformatoprevio">
    <w:name w:val="HTML Preformatted"/>
    <w:basedOn w:val="Normal"/>
    <w:link w:val="HTMLconformatoprevioCar"/>
    <w:unhideWhenUsed/>
    <w:rsid w:val="009F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9"/>
      <w:szCs w:val="29"/>
      <w:lang w:val="es-CR"/>
    </w:rPr>
  </w:style>
  <w:style w:type="character" w:customStyle="1" w:styleId="HTMLconformatoprevioCar">
    <w:name w:val="HTML con formato previo Car"/>
    <w:basedOn w:val="Fuentedeprrafopredeter"/>
    <w:link w:val="HTMLconformatoprevio"/>
    <w:rsid w:val="009F5DDF"/>
    <w:rPr>
      <w:rFonts w:ascii="Courier New" w:eastAsia="Times New Roman" w:hAnsi="Courier New" w:cs="Courier New"/>
      <w:sz w:val="29"/>
      <w:szCs w:val="29"/>
      <w:lang w:eastAsia="es-ES"/>
    </w:rPr>
  </w:style>
  <w:style w:type="paragraph" w:customStyle="1" w:styleId="domtab">
    <w:name w:val="domtab"/>
    <w:basedOn w:val="Normal"/>
    <w:rsid w:val="009F5DDF"/>
    <w:pPr>
      <w:spacing w:before="420" w:line="225" w:lineRule="atLeast"/>
    </w:pPr>
    <w:rPr>
      <w:rFonts w:ascii="Arial" w:hAnsi="Arial" w:cs="Arial"/>
      <w:color w:val="434343"/>
      <w:sz w:val="18"/>
      <w:szCs w:val="18"/>
      <w:lang w:val="es-CR"/>
    </w:rPr>
  </w:style>
  <w:style w:type="paragraph" w:customStyle="1" w:styleId="clear">
    <w:name w:val="clear"/>
    <w:basedOn w:val="Normal"/>
    <w:rsid w:val="009F5DDF"/>
    <w:pPr>
      <w:spacing w:before="150" w:after="100" w:afterAutospacing="1" w:line="225" w:lineRule="atLeast"/>
      <w:ind w:left="150"/>
    </w:pPr>
    <w:rPr>
      <w:rFonts w:ascii="Arial" w:hAnsi="Arial" w:cs="Arial"/>
      <w:color w:val="333333"/>
      <w:sz w:val="18"/>
      <w:szCs w:val="18"/>
      <w:lang w:val="es-CR"/>
    </w:rPr>
  </w:style>
  <w:style w:type="paragraph" w:customStyle="1" w:styleId="bwcellpaddingbottom1">
    <w:name w:val="bwcellpaddingbottom1"/>
    <w:basedOn w:val="Normal"/>
    <w:rsid w:val="009F5DDF"/>
    <w:pPr>
      <w:spacing w:before="150" w:after="100" w:afterAutospacing="1" w:line="225" w:lineRule="atLeast"/>
      <w:ind w:left="150"/>
    </w:pPr>
    <w:rPr>
      <w:rFonts w:ascii="Arial" w:hAnsi="Arial" w:cs="Arial"/>
      <w:color w:val="333333"/>
      <w:sz w:val="24"/>
      <w:szCs w:val="24"/>
      <w:lang w:val="es-CR"/>
    </w:rPr>
  </w:style>
  <w:style w:type="paragraph" w:customStyle="1" w:styleId="bwcellpaddingbottom3">
    <w:name w:val="bwcellpaddingbottom3"/>
    <w:basedOn w:val="Normal"/>
    <w:rsid w:val="009F5DDF"/>
    <w:pPr>
      <w:spacing w:before="150" w:after="100" w:afterAutospacing="1" w:line="225" w:lineRule="atLeast"/>
      <w:ind w:left="150"/>
    </w:pPr>
    <w:rPr>
      <w:rFonts w:ascii="Arial" w:hAnsi="Arial" w:cs="Arial"/>
      <w:color w:val="333333"/>
      <w:sz w:val="24"/>
      <w:szCs w:val="24"/>
      <w:lang w:val="es-CR"/>
    </w:rPr>
  </w:style>
  <w:style w:type="paragraph" w:customStyle="1" w:styleId="bwcellpaddingleft0">
    <w:name w:val="bwcellpaddingleft0"/>
    <w:basedOn w:val="Normal"/>
    <w:rsid w:val="009F5DDF"/>
    <w:pPr>
      <w:spacing w:before="150" w:after="100" w:afterAutospacing="1" w:line="225" w:lineRule="atLeast"/>
      <w:ind w:left="150"/>
    </w:pPr>
    <w:rPr>
      <w:rFonts w:ascii="Arial" w:hAnsi="Arial" w:cs="Arial"/>
      <w:color w:val="333333"/>
      <w:sz w:val="24"/>
      <w:szCs w:val="24"/>
      <w:lang w:val="es-CR"/>
    </w:rPr>
  </w:style>
  <w:style w:type="paragraph" w:customStyle="1" w:styleId="bwcellpaddingleft1">
    <w:name w:val="bwcellpaddingleft1"/>
    <w:basedOn w:val="Normal"/>
    <w:rsid w:val="009F5DDF"/>
    <w:pPr>
      <w:spacing w:before="150" w:after="100" w:afterAutospacing="1" w:line="225" w:lineRule="atLeast"/>
      <w:ind w:left="150"/>
    </w:pPr>
    <w:rPr>
      <w:rFonts w:ascii="Arial" w:hAnsi="Arial" w:cs="Arial"/>
      <w:color w:val="333333"/>
      <w:sz w:val="24"/>
      <w:szCs w:val="24"/>
      <w:lang w:val="es-CR"/>
    </w:rPr>
  </w:style>
  <w:style w:type="paragraph" w:customStyle="1" w:styleId="bwcellpaddingleft2">
    <w:name w:val="bwcellpaddingleft2"/>
    <w:basedOn w:val="Normal"/>
    <w:rsid w:val="009F5DDF"/>
    <w:pPr>
      <w:spacing w:before="150" w:after="100" w:afterAutospacing="1" w:line="225" w:lineRule="atLeast"/>
      <w:ind w:left="150"/>
    </w:pPr>
    <w:rPr>
      <w:rFonts w:ascii="Arial" w:hAnsi="Arial" w:cs="Arial"/>
      <w:color w:val="333333"/>
      <w:sz w:val="24"/>
      <w:szCs w:val="24"/>
      <w:lang w:val="es-CR"/>
    </w:rPr>
  </w:style>
  <w:style w:type="paragraph" w:customStyle="1" w:styleId="bwcellpaddingleft4">
    <w:name w:val="bwcellpaddingleft4"/>
    <w:basedOn w:val="Normal"/>
    <w:rsid w:val="009F5DDF"/>
    <w:pPr>
      <w:spacing w:before="150" w:after="100" w:afterAutospacing="1" w:line="225" w:lineRule="atLeast"/>
      <w:ind w:left="150"/>
    </w:pPr>
    <w:rPr>
      <w:rFonts w:ascii="Arial" w:hAnsi="Arial" w:cs="Arial"/>
      <w:color w:val="333333"/>
      <w:sz w:val="24"/>
      <w:szCs w:val="24"/>
      <w:lang w:val="es-CR"/>
    </w:rPr>
  </w:style>
  <w:style w:type="paragraph" w:customStyle="1" w:styleId="bwcellpaddingleft5">
    <w:name w:val="bwcellpaddingleft5"/>
    <w:basedOn w:val="Normal"/>
    <w:rsid w:val="009F5DDF"/>
    <w:pPr>
      <w:spacing w:before="150" w:after="100" w:afterAutospacing="1" w:line="225" w:lineRule="atLeast"/>
      <w:ind w:left="150"/>
    </w:pPr>
    <w:rPr>
      <w:rFonts w:ascii="Arial" w:hAnsi="Arial" w:cs="Arial"/>
      <w:color w:val="333333"/>
      <w:sz w:val="24"/>
      <w:szCs w:val="24"/>
      <w:lang w:val="es-CR"/>
    </w:rPr>
  </w:style>
  <w:style w:type="paragraph" w:customStyle="1" w:styleId="bwcellpaddingleft6">
    <w:name w:val="bwcellpaddingleft6"/>
    <w:basedOn w:val="Normal"/>
    <w:rsid w:val="009F5DDF"/>
    <w:pPr>
      <w:spacing w:before="150" w:after="100" w:afterAutospacing="1" w:line="225" w:lineRule="atLeast"/>
      <w:ind w:left="150"/>
    </w:pPr>
    <w:rPr>
      <w:rFonts w:ascii="Arial" w:hAnsi="Arial" w:cs="Arial"/>
      <w:color w:val="333333"/>
      <w:sz w:val="24"/>
      <w:szCs w:val="24"/>
      <w:lang w:val="es-CR"/>
    </w:rPr>
  </w:style>
  <w:style w:type="paragraph" w:customStyle="1" w:styleId="bwcellpaddingleft7">
    <w:name w:val="bwcellpaddingleft7"/>
    <w:basedOn w:val="Normal"/>
    <w:rsid w:val="009F5DDF"/>
    <w:pPr>
      <w:spacing w:before="150" w:after="100" w:afterAutospacing="1" w:line="225" w:lineRule="atLeast"/>
      <w:ind w:left="150"/>
    </w:pPr>
    <w:rPr>
      <w:rFonts w:ascii="Arial" w:hAnsi="Arial" w:cs="Arial"/>
      <w:color w:val="333333"/>
      <w:sz w:val="24"/>
      <w:szCs w:val="24"/>
      <w:lang w:val="es-CR"/>
    </w:rPr>
  </w:style>
  <w:style w:type="paragraph" w:customStyle="1" w:styleId="bwcellpaddingleft8">
    <w:name w:val="bwcellpaddingleft8"/>
    <w:basedOn w:val="Normal"/>
    <w:rsid w:val="009F5DDF"/>
    <w:pPr>
      <w:spacing w:before="150" w:after="100" w:afterAutospacing="1" w:line="225" w:lineRule="atLeast"/>
      <w:ind w:left="150"/>
    </w:pPr>
    <w:rPr>
      <w:rFonts w:ascii="Arial" w:hAnsi="Arial" w:cs="Arial"/>
      <w:color w:val="333333"/>
      <w:sz w:val="24"/>
      <w:szCs w:val="24"/>
      <w:lang w:val="es-CR"/>
    </w:rPr>
  </w:style>
  <w:style w:type="paragraph" w:customStyle="1" w:styleId="bwcellpaddingright0">
    <w:name w:val="bwcellpaddingright0"/>
    <w:basedOn w:val="Normal"/>
    <w:rsid w:val="009F5DDF"/>
    <w:pPr>
      <w:spacing w:before="150" w:after="100" w:afterAutospacing="1" w:line="225" w:lineRule="atLeast"/>
      <w:ind w:left="150"/>
    </w:pPr>
    <w:rPr>
      <w:rFonts w:ascii="Arial" w:hAnsi="Arial" w:cs="Arial"/>
      <w:color w:val="333333"/>
      <w:sz w:val="24"/>
      <w:szCs w:val="24"/>
      <w:lang w:val="es-CR"/>
    </w:rPr>
  </w:style>
  <w:style w:type="paragraph" w:customStyle="1" w:styleId="bwcellparagraphmargin">
    <w:name w:val="bwcellparagraphmargin"/>
    <w:basedOn w:val="Normal"/>
    <w:rsid w:val="009F5DDF"/>
    <w:pPr>
      <w:spacing w:line="225" w:lineRule="atLeast"/>
      <w:ind w:left="150"/>
    </w:pPr>
    <w:rPr>
      <w:rFonts w:ascii="Arial" w:hAnsi="Arial" w:cs="Arial"/>
      <w:color w:val="333333"/>
      <w:sz w:val="24"/>
      <w:szCs w:val="24"/>
      <w:lang w:val="es-CR"/>
    </w:rPr>
  </w:style>
  <w:style w:type="paragraph" w:customStyle="1" w:styleId="bwdoublebottomborder">
    <w:name w:val="bwdoublebottomborder"/>
    <w:basedOn w:val="Normal"/>
    <w:rsid w:val="009F5DDF"/>
    <w:pPr>
      <w:pBdr>
        <w:bottom w:val="double" w:sz="6" w:space="0" w:color="000000"/>
      </w:pBdr>
      <w:spacing w:before="150" w:after="100" w:afterAutospacing="1" w:line="225" w:lineRule="atLeast"/>
      <w:ind w:left="150"/>
    </w:pPr>
    <w:rPr>
      <w:rFonts w:ascii="Arial" w:hAnsi="Arial" w:cs="Arial"/>
      <w:color w:val="333333"/>
      <w:sz w:val="24"/>
      <w:szCs w:val="24"/>
      <w:lang w:val="es-CR"/>
    </w:rPr>
  </w:style>
  <w:style w:type="paragraph" w:customStyle="1" w:styleId="bwlistitemmarginbottom">
    <w:name w:val="bwlistitemmarginbottom"/>
    <w:basedOn w:val="Normal"/>
    <w:rsid w:val="009F5DDF"/>
    <w:pPr>
      <w:spacing w:before="150" w:after="150" w:line="225" w:lineRule="atLeast"/>
      <w:ind w:left="150"/>
    </w:pPr>
    <w:rPr>
      <w:rFonts w:ascii="Arial" w:hAnsi="Arial" w:cs="Arial"/>
      <w:color w:val="333333"/>
      <w:sz w:val="24"/>
      <w:szCs w:val="24"/>
      <w:lang w:val="es-CR"/>
    </w:rPr>
  </w:style>
  <w:style w:type="paragraph" w:customStyle="1" w:styleId="bwsinglebottomborder">
    <w:name w:val="bwsinglebottomborder"/>
    <w:basedOn w:val="Normal"/>
    <w:rsid w:val="009F5DDF"/>
    <w:pPr>
      <w:pBdr>
        <w:bottom w:val="single" w:sz="8" w:space="0" w:color="000000"/>
      </w:pBdr>
      <w:spacing w:before="150" w:after="100" w:afterAutospacing="1" w:line="225" w:lineRule="atLeast"/>
      <w:ind w:left="150"/>
    </w:pPr>
    <w:rPr>
      <w:rFonts w:ascii="Arial" w:hAnsi="Arial" w:cs="Arial"/>
      <w:color w:val="333333"/>
      <w:sz w:val="24"/>
      <w:szCs w:val="24"/>
      <w:lang w:val="es-CR"/>
    </w:rPr>
  </w:style>
  <w:style w:type="paragraph" w:customStyle="1" w:styleId="bwtablebottommargin">
    <w:name w:val="bwtablebottommargin"/>
    <w:basedOn w:val="Normal"/>
    <w:rsid w:val="009F5DDF"/>
    <w:pPr>
      <w:spacing w:before="150" w:after="150" w:line="225" w:lineRule="atLeast"/>
      <w:ind w:left="150"/>
    </w:pPr>
    <w:rPr>
      <w:rFonts w:ascii="Arial" w:hAnsi="Arial" w:cs="Arial"/>
      <w:color w:val="333333"/>
      <w:sz w:val="24"/>
      <w:szCs w:val="24"/>
      <w:lang w:val="es-CR"/>
    </w:rPr>
  </w:style>
  <w:style w:type="paragraph" w:customStyle="1" w:styleId="bwtextaligncenter">
    <w:name w:val="bwtextaligncenter"/>
    <w:basedOn w:val="Normal"/>
    <w:rsid w:val="009F5DDF"/>
    <w:pPr>
      <w:spacing w:before="150" w:after="100" w:afterAutospacing="1" w:line="225" w:lineRule="atLeast"/>
      <w:ind w:left="150"/>
      <w:jc w:val="center"/>
    </w:pPr>
    <w:rPr>
      <w:rFonts w:ascii="Arial" w:hAnsi="Arial" w:cs="Arial"/>
      <w:color w:val="333333"/>
      <w:sz w:val="24"/>
      <w:szCs w:val="24"/>
      <w:lang w:val="es-CR"/>
    </w:rPr>
  </w:style>
  <w:style w:type="paragraph" w:customStyle="1" w:styleId="bwtextalignleft">
    <w:name w:val="bwtextalignleft"/>
    <w:basedOn w:val="Normal"/>
    <w:rsid w:val="009F5DDF"/>
    <w:pPr>
      <w:spacing w:before="150" w:after="100" w:afterAutospacing="1" w:line="225" w:lineRule="atLeast"/>
      <w:ind w:left="150"/>
    </w:pPr>
    <w:rPr>
      <w:rFonts w:ascii="Arial" w:hAnsi="Arial" w:cs="Arial"/>
      <w:color w:val="333333"/>
      <w:sz w:val="24"/>
      <w:szCs w:val="24"/>
      <w:lang w:val="es-CR"/>
    </w:rPr>
  </w:style>
  <w:style w:type="paragraph" w:customStyle="1" w:styleId="bwtextalignright">
    <w:name w:val="bwtextalignright"/>
    <w:basedOn w:val="Normal"/>
    <w:rsid w:val="009F5DDF"/>
    <w:pPr>
      <w:spacing w:before="150" w:after="100" w:afterAutospacing="1" w:line="225" w:lineRule="atLeast"/>
      <w:ind w:left="150"/>
      <w:jc w:val="right"/>
    </w:pPr>
    <w:rPr>
      <w:rFonts w:ascii="Arial" w:hAnsi="Arial" w:cs="Arial"/>
      <w:color w:val="333333"/>
      <w:sz w:val="24"/>
      <w:szCs w:val="24"/>
      <w:lang w:val="es-CR"/>
    </w:rPr>
  </w:style>
  <w:style w:type="paragraph" w:customStyle="1" w:styleId="bwunderlinestyle">
    <w:name w:val="bwunderlinestyle"/>
    <w:basedOn w:val="Normal"/>
    <w:rsid w:val="009F5DDF"/>
    <w:pPr>
      <w:spacing w:before="150" w:after="100" w:afterAutospacing="1" w:line="225" w:lineRule="atLeast"/>
      <w:ind w:left="150"/>
    </w:pPr>
    <w:rPr>
      <w:rFonts w:ascii="Arial" w:hAnsi="Arial" w:cs="Arial"/>
      <w:color w:val="333333"/>
      <w:sz w:val="24"/>
      <w:szCs w:val="24"/>
      <w:u w:val="single"/>
      <w:lang w:val="es-CR"/>
    </w:rPr>
  </w:style>
  <w:style w:type="paragraph" w:customStyle="1" w:styleId="bwverticalalignbottom">
    <w:name w:val="bwverticalalignbottom"/>
    <w:basedOn w:val="Normal"/>
    <w:rsid w:val="009F5DDF"/>
    <w:pPr>
      <w:spacing w:before="150" w:after="100" w:afterAutospacing="1" w:line="225" w:lineRule="atLeast"/>
      <w:ind w:left="150"/>
      <w:textAlignment w:val="bottom"/>
    </w:pPr>
    <w:rPr>
      <w:rFonts w:ascii="Arial" w:hAnsi="Arial" w:cs="Arial"/>
      <w:color w:val="333333"/>
      <w:sz w:val="24"/>
      <w:szCs w:val="24"/>
      <w:lang w:val="es-CR"/>
    </w:rPr>
  </w:style>
  <w:style w:type="paragraph" w:customStyle="1" w:styleId="bwverticalaligntop">
    <w:name w:val="bwverticalaligntop"/>
    <w:basedOn w:val="Normal"/>
    <w:rsid w:val="009F5DDF"/>
    <w:pPr>
      <w:spacing w:before="150" w:after="100" w:afterAutospacing="1" w:line="225" w:lineRule="atLeast"/>
      <w:ind w:left="150"/>
      <w:textAlignment w:val="top"/>
    </w:pPr>
    <w:rPr>
      <w:rFonts w:ascii="Arial" w:hAnsi="Arial" w:cs="Arial"/>
      <w:color w:val="333333"/>
      <w:sz w:val="24"/>
      <w:szCs w:val="24"/>
      <w:lang w:val="es-CR"/>
    </w:rPr>
  </w:style>
  <w:style w:type="paragraph" w:customStyle="1" w:styleId="bwwhitespacenowrap">
    <w:name w:val="bwwhitespacenowrap"/>
    <w:basedOn w:val="Normal"/>
    <w:rsid w:val="009F5DDF"/>
    <w:pPr>
      <w:spacing w:before="150" w:after="100" w:afterAutospacing="1" w:line="225" w:lineRule="atLeast"/>
      <w:ind w:left="150"/>
    </w:pPr>
    <w:rPr>
      <w:rFonts w:ascii="Arial" w:hAnsi="Arial" w:cs="Arial"/>
      <w:color w:val="333333"/>
      <w:sz w:val="24"/>
      <w:szCs w:val="24"/>
      <w:lang w:val="es-CR"/>
    </w:rPr>
  </w:style>
  <w:style w:type="paragraph" w:customStyle="1" w:styleId="ccbnresptitle">
    <w:name w:val="ccbnresptitle"/>
    <w:basedOn w:val="Normal"/>
    <w:rsid w:val="009F5DDF"/>
    <w:pPr>
      <w:spacing w:before="150" w:after="100" w:afterAutospacing="1" w:line="225" w:lineRule="atLeast"/>
      <w:ind w:left="150"/>
    </w:pPr>
    <w:rPr>
      <w:rFonts w:ascii="Arial" w:hAnsi="Arial" w:cs="Arial"/>
      <w:b/>
      <w:bCs/>
      <w:color w:val="434343"/>
      <w:sz w:val="38"/>
      <w:szCs w:val="38"/>
      <w:lang w:val="es-CR"/>
    </w:rPr>
  </w:style>
  <w:style w:type="paragraph" w:customStyle="1" w:styleId="ccbnoutline">
    <w:name w:val="ccbnoutline"/>
    <w:basedOn w:val="Normal"/>
    <w:rsid w:val="009F5DDF"/>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ccbnoutline1">
    <w:name w:val="ccbnoutline1"/>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outline2">
    <w:name w:val="ccbnoutline2"/>
    <w:basedOn w:val="Normal"/>
    <w:rsid w:val="009F5DDF"/>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ccbnoutlinechart">
    <w:name w:val="ccbnoutlinechart"/>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outlinequote">
    <w:name w:val="ccbnoutlinequote"/>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tl">
    <w:name w:val="ccbnttl"/>
    <w:basedOn w:val="Normal"/>
    <w:rsid w:val="009F5DDF"/>
    <w:pPr>
      <w:spacing w:before="150" w:after="100" w:afterAutospacing="1" w:line="225" w:lineRule="atLeast"/>
      <w:ind w:left="150"/>
    </w:pPr>
    <w:rPr>
      <w:rFonts w:ascii="Arial" w:hAnsi="Arial" w:cs="Arial"/>
      <w:b/>
      <w:bCs/>
      <w:color w:val="434343"/>
      <w:sz w:val="17"/>
      <w:szCs w:val="17"/>
      <w:lang w:val="es-CR"/>
    </w:rPr>
  </w:style>
  <w:style w:type="paragraph" w:customStyle="1" w:styleId="ccbnbgttl">
    <w:name w:val="ccbnbgttl"/>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ttl">
    <w:name w:val="ccbnsubttl"/>
    <w:basedOn w:val="Normal"/>
    <w:rsid w:val="009F5DDF"/>
    <w:pPr>
      <w:spacing w:before="150" w:after="100" w:afterAutospacing="1" w:line="225" w:lineRule="atLeast"/>
      <w:ind w:left="150"/>
    </w:pPr>
    <w:rPr>
      <w:rFonts w:ascii="Arial" w:hAnsi="Arial" w:cs="Arial"/>
      <w:b/>
      <w:bCs/>
      <w:color w:val="011C77"/>
      <w:sz w:val="18"/>
      <w:szCs w:val="18"/>
      <w:lang w:val="es-CR"/>
    </w:rPr>
  </w:style>
  <w:style w:type="paragraph" w:customStyle="1" w:styleId="ccbnbgsubttl">
    <w:name w:val="ccbnbgsubttl"/>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label">
    <w:name w:val="ccbnlabel"/>
    <w:basedOn w:val="Normal"/>
    <w:rsid w:val="009F5DDF"/>
    <w:pPr>
      <w:spacing w:before="150" w:after="100" w:afterAutospacing="1" w:line="225" w:lineRule="atLeast"/>
      <w:ind w:left="150"/>
    </w:pPr>
    <w:rPr>
      <w:rFonts w:ascii="Arial" w:hAnsi="Arial" w:cs="Arial"/>
      <w:color w:val="434343"/>
      <w:sz w:val="17"/>
      <w:szCs w:val="17"/>
      <w:lang w:val="es-CR"/>
    </w:rPr>
  </w:style>
  <w:style w:type="paragraph" w:customStyle="1" w:styleId="ccbnbglabel">
    <w:name w:val="ccbnbglabel"/>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bold">
    <w:name w:val="ccbntxtbold"/>
    <w:basedOn w:val="Normal"/>
    <w:rsid w:val="009F5DDF"/>
    <w:pPr>
      <w:spacing w:before="150" w:after="100" w:afterAutospacing="1" w:line="225" w:lineRule="atLeast"/>
      <w:ind w:left="150"/>
    </w:pPr>
    <w:rPr>
      <w:rFonts w:ascii="Arial" w:hAnsi="Arial" w:cs="Arial"/>
      <w:b/>
      <w:bCs/>
      <w:color w:val="434343"/>
      <w:sz w:val="17"/>
      <w:szCs w:val="17"/>
      <w:lang w:val="es-CR"/>
    </w:rPr>
  </w:style>
  <w:style w:type="paragraph" w:customStyle="1" w:styleId="ccbnbgtxtbold">
    <w:name w:val="ccbnbgtxtbold"/>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boldsub">
    <w:name w:val="ccbntxtboldsub"/>
    <w:basedOn w:val="Normal"/>
    <w:rsid w:val="009F5DDF"/>
    <w:pPr>
      <w:spacing w:before="150" w:after="100" w:afterAutospacing="1" w:line="225" w:lineRule="atLeast"/>
      <w:ind w:left="150"/>
    </w:pPr>
    <w:rPr>
      <w:rFonts w:ascii="Arial" w:hAnsi="Arial" w:cs="Arial"/>
      <w:i/>
      <w:iCs/>
      <w:color w:val="434343"/>
      <w:sz w:val="17"/>
      <w:szCs w:val="17"/>
      <w:lang w:val="es-CR"/>
    </w:rPr>
  </w:style>
  <w:style w:type="paragraph" w:customStyle="1" w:styleId="ccbnbgtxtboldsub">
    <w:name w:val="ccbnbgtxtboldsub"/>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
    <w:name w:val="ccbntxt"/>
    <w:basedOn w:val="Normal"/>
    <w:rsid w:val="009F5DDF"/>
    <w:pPr>
      <w:spacing w:before="150" w:after="100" w:afterAutospacing="1" w:line="225" w:lineRule="atLeast"/>
      <w:ind w:left="150"/>
    </w:pPr>
    <w:rPr>
      <w:rFonts w:ascii="Arial" w:hAnsi="Arial" w:cs="Arial"/>
      <w:color w:val="434343"/>
      <w:sz w:val="17"/>
      <w:szCs w:val="17"/>
      <w:lang w:val="es-CR"/>
    </w:rPr>
  </w:style>
  <w:style w:type="paragraph" w:customStyle="1" w:styleId="ccbnbgtxt">
    <w:name w:val="ccbnbgtxt"/>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txt">
    <w:name w:val="ccbnsubtxt"/>
    <w:basedOn w:val="Normal"/>
    <w:rsid w:val="009F5DDF"/>
    <w:pPr>
      <w:spacing w:before="150" w:after="100" w:afterAutospacing="1" w:line="225" w:lineRule="atLeast"/>
      <w:ind w:left="150"/>
    </w:pPr>
    <w:rPr>
      <w:rFonts w:ascii="Arial" w:hAnsi="Arial" w:cs="Arial"/>
      <w:color w:val="666666"/>
      <w:sz w:val="15"/>
      <w:szCs w:val="15"/>
      <w:lang w:val="es-CR"/>
    </w:rPr>
  </w:style>
  <w:style w:type="paragraph" w:customStyle="1" w:styleId="ccbnbgsubtxt">
    <w:name w:val="ccbnbgsubtxt"/>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nav">
    <w:name w:val="ccbnnav"/>
    <w:basedOn w:val="Normal"/>
    <w:rsid w:val="009F5DDF"/>
    <w:pPr>
      <w:spacing w:before="150" w:after="100" w:afterAutospacing="1" w:line="225" w:lineRule="atLeast"/>
      <w:ind w:left="150"/>
    </w:pPr>
    <w:rPr>
      <w:rFonts w:ascii="Arial" w:hAnsi="Arial" w:cs="Arial"/>
      <w:color w:val="666666"/>
      <w:sz w:val="15"/>
      <w:szCs w:val="15"/>
      <w:lang w:val="es-CR"/>
    </w:rPr>
  </w:style>
  <w:style w:type="paragraph" w:customStyle="1" w:styleId="ccbnbgnav">
    <w:name w:val="ccbnbgnav"/>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lnk">
    <w:name w:val="ccbnlnk"/>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ccbnbglnk">
    <w:name w:val="ccbnbglnk"/>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lnk">
    <w:name w:val="ccbnsublnk"/>
    <w:basedOn w:val="Normal"/>
    <w:rsid w:val="009F5DDF"/>
    <w:pPr>
      <w:spacing w:before="150" w:after="100" w:afterAutospacing="1" w:line="225" w:lineRule="atLeast"/>
      <w:ind w:left="150"/>
    </w:pPr>
    <w:rPr>
      <w:rFonts w:ascii="Arial" w:hAnsi="Arial" w:cs="Arial"/>
      <w:color w:val="333333"/>
      <w:sz w:val="15"/>
      <w:szCs w:val="15"/>
      <w:lang w:val="es-CR"/>
    </w:rPr>
  </w:style>
  <w:style w:type="paragraph" w:customStyle="1" w:styleId="ccbnbgsublnk">
    <w:name w:val="ccbnbgsublnk"/>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lnk">
    <w:name w:val="ccbntbllnk"/>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ccbnbgtbllnk">
    <w:name w:val="ccbnbgtbllnk"/>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highlightlnk">
    <w:name w:val="ccbntblhighlightlnk"/>
    <w:basedOn w:val="Normal"/>
    <w:rsid w:val="009F5DDF"/>
    <w:pPr>
      <w:spacing w:before="150" w:after="100" w:afterAutospacing="1" w:line="225" w:lineRule="atLeast"/>
      <w:ind w:left="150"/>
    </w:pPr>
    <w:rPr>
      <w:rFonts w:ascii="Arial" w:hAnsi="Arial" w:cs="Arial"/>
      <w:b/>
      <w:bCs/>
      <w:color w:val="333333"/>
      <w:sz w:val="18"/>
      <w:szCs w:val="18"/>
      <w:lang w:val="es-CR"/>
    </w:rPr>
  </w:style>
  <w:style w:type="paragraph" w:customStyle="1" w:styleId="ccbnbgtblhighlightlnk">
    <w:name w:val="ccbnbgtblhighlightlnk"/>
    <w:basedOn w:val="Normal"/>
    <w:rsid w:val="009F5DDF"/>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tblsublnk">
    <w:name w:val="ccbntblsublnk"/>
    <w:basedOn w:val="Normal"/>
    <w:rsid w:val="009F5DDF"/>
    <w:pPr>
      <w:spacing w:before="150" w:after="100" w:afterAutospacing="1" w:line="225" w:lineRule="atLeast"/>
      <w:ind w:left="150"/>
    </w:pPr>
    <w:rPr>
      <w:rFonts w:ascii="Arial" w:hAnsi="Arial" w:cs="Arial"/>
      <w:color w:val="333333"/>
      <w:sz w:val="15"/>
      <w:szCs w:val="15"/>
      <w:lang w:val="es-CR"/>
    </w:rPr>
  </w:style>
  <w:style w:type="paragraph" w:customStyle="1" w:styleId="ccbnbgtblsublnk">
    <w:name w:val="ccbnbgtblsublnk"/>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labellnk">
    <w:name w:val="ccbntbllabellnk"/>
    <w:basedOn w:val="Normal"/>
    <w:rsid w:val="009F5DDF"/>
    <w:pPr>
      <w:spacing w:before="150" w:after="100" w:afterAutospacing="1" w:line="225" w:lineRule="atLeast"/>
      <w:ind w:left="150"/>
    </w:pPr>
    <w:rPr>
      <w:rFonts w:ascii="Arial" w:hAnsi="Arial" w:cs="Arial"/>
      <w:b/>
      <w:bCs/>
      <w:color w:val="333333"/>
      <w:sz w:val="17"/>
      <w:szCs w:val="17"/>
      <w:lang w:val="es-CR"/>
    </w:rPr>
  </w:style>
  <w:style w:type="paragraph" w:customStyle="1" w:styleId="ccbnbgtbllabellnk">
    <w:name w:val="ccbnbgtbllabellnk"/>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ttl">
    <w:name w:val="ccbntblttl"/>
    <w:basedOn w:val="Normal"/>
    <w:rsid w:val="009F5DDF"/>
    <w:pPr>
      <w:spacing w:before="150" w:after="100" w:afterAutospacing="1" w:line="225" w:lineRule="atLeast"/>
      <w:ind w:left="150"/>
    </w:pPr>
    <w:rPr>
      <w:rFonts w:ascii="Arial" w:hAnsi="Arial" w:cs="Arial"/>
      <w:b/>
      <w:bCs/>
      <w:color w:val="CCCCCC"/>
      <w:sz w:val="17"/>
      <w:szCs w:val="17"/>
      <w:lang w:val="es-CR"/>
    </w:rPr>
  </w:style>
  <w:style w:type="paragraph" w:customStyle="1" w:styleId="ccbnbgtblttl">
    <w:name w:val="ccbnbgtblttl"/>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subttl">
    <w:name w:val="ccbntblsubttl"/>
    <w:basedOn w:val="Normal"/>
    <w:rsid w:val="009F5DDF"/>
    <w:pPr>
      <w:spacing w:before="150" w:after="100" w:afterAutospacing="1" w:line="225" w:lineRule="atLeast"/>
      <w:ind w:left="150"/>
    </w:pPr>
    <w:rPr>
      <w:rFonts w:ascii="Arial" w:hAnsi="Arial" w:cs="Arial"/>
      <w:b/>
      <w:bCs/>
      <w:color w:val="FFFFFF"/>
      <w:sz w:val="18"/>
      <w:szCs w:val="18"/>
      <w:lang w:val="es-CR"/>
    </w:rPr>
  </w:style>
  <w:style w:type="paragraph" w:customStyle="1" w:styleId="ccbnbgtblsubttl">
    <w:name w:val="ccbnbgtblsubttl"/>
    <w:basedOn w:val="Normal"/>
    <w:rsid w:val="009F5DDF"/>
    <w:pPr>
      <w:shd w:val="clear" w:color="auto" w:fill="5A83B6"/>
      <w:spacing w:before="150" w:after="100" w:afterAutospacing="1" w:line="225" w:lineRule="atLeast"/>
      <w:ind w:left="150"/>
    </w:pPr>
    <w:rPr>
      <w:rFonts w:ascii="Arial" w:hAnsi="Arial" w:cs="Arial"/>
      <w:color w:val="333333"/>
      <w:sz w:val="18"/>
      <w:szCs w:val="18"/>
      <w:lang w:val="es-CR"/>
    </w:rPr>
  </w:style>
  <w:style w:type="paragraph" w:customStyle="1" w:styleId="ccbntbllabelleft">
    <w:name w:val="ccbntbllabelleft"/>
    <w:basedOn w:val="Normal"/>
    <w:rsid w:val="009F5DDF"/>
    <w:pPr>
      <w:spacing w:before="150" w:after="100" w:afterAutospacing="1" w:line="225" w:lineRule="atLeast"/>
      <w:ind w:left="150"/>
    </w:pPr>
    <w:rPr>
      <w:rFonts w:ascii="Arial" w:hAnsi="Arial" w:cs="Arial"/>
      <w:b/>
      <w:bCs/>
      <w:color w:val="434343"/>
      <w:sz w:val="18"/>
      <w:szCs w:val="18"/>
      <w:lang w:val="es-CR"/>
    </w:rPr>
  </w:style>
  <w:style w:type="paragraph" w:customStyle="1" w:styleId="ccbntbllabeltop">
    <w:name w:val="ccbntbllabeltop"/>
    <w:basedOn w:val="Normal"/>
    <w:rsid w:val="009F5DDF"/>
    <w:pPr>
      <w:spacing w:before="150" w:after="100" w:afterAutospacing="1" w:line="225" w:lineRule="atLeast"/>
      <w:ind w:left="150"/>
    </w:pPr>
    <w:rPr>
      <w:rFonts w:ascii="Arial" w:hAnsi="Arial" w:cs="Arial"/>
      <w:b/>
      <w:bCs/>
      <w:color w:val="FFFFFF"/>
      <w:sz w:val="18"/>
      <w:szCs w:val="18"/>
      <w:lang w:val="es-CR"/>
    </w:rPr>
  </w:style>
  <w:style w:type="paragraph" w:customStyle="1" w:styleId="ccbnbgtbllabeltop">
    <w:name w:val="ccbnbgtbllabeltop"/>
    <w:basedOn w:val="Normal"/>
    <w:rsid w:val="009F5DDF"/>
    <w:pPr>
      <w:shd w:val="clear" w:color="auto" w:fill="5A83B6"/>
      <w:spacing w:before="150" w:after="100" w:afterAutospacing="1" w:line="225" w:lineRule="atLeast"/>
      <w:ind w:left="150"/>
    </w:pPr>
    <w:rPr>
      <w:rFonts w:ascii="Arial" w:hAnsi="Arial" w:cs="Arial"/>
      <w:color w:val="333333"/>
      <w:sz w:val="18"/>
      <w:szCs w:val="18"/>
      <w:lang w:val="es-CR"/>
    </w:rPr>
  </w:style>
  <w:style w:type="paragraph" w:customStyle="1" w:styleId="ccbntblodd">
    <w:name w:val="ccbntblodd"/>
    <w:basedOn w:val="Normal"/>
    <w:rsid w:val="009F5DDF"/>
    <w:pPr>
      <w:spacing w:before="150" w:after="100" w:afterAutospacing="1" w:line="225" w:lineRule="atLeast"/>
      <w:ind w:left="150"/>
    </w:pPr>
    <w:rPr>
      <w:rFonts w:ascii="Arial" w:hAnsi="Arial" w:cs="Arial"/>
      <w:b/>
      <w:bCs/>
      <w:color w:val="434343"/>
      <w:sz w:val="17"/>
      <w:szCs w:val="17"/>
      <w:lang w:val="es-CR"/>
    </w:rPr>
  </w:style>
  <w:style w:type="paragraph" w:customStyle="1" w:styleId="ccbnbgtblodd">
    <w:name w:val="ccbnbgtblodd"/>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even">
    <w:name w:val="ccbntbleven"/>
    <w:basedOn w:val="Normal"/>
    <w:rsid w:val="009F5DDF"/>
    <w:pPr>
      <w:spacing w:before="150" w:after="100" w:afterAutospacing="1" w:line="225" w:lineRule="atLeast"/>
      <w:ind w:left="150"/>
    </w:pPr>
    <w:rPr>
      <w:rFonts w:ascii="Arial" w:hAnsi="Arial" w:cs="Arial"/>
      <w:b/>
      <w:bCs/>
      <w:color w:val="434343"/>
      <w:sz w:val="17"/>
      <w:szCs w:val="17"/>
      <w:lang w:val="es-CR"/>
    </w:rPr>
  </w:style>
  <w:style w:type="paragraph" w:customStyle="1" w:styleId="ccbnbgtbleven">
    <w:name w:val="ccbnbgtbleven"/>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tblevensec">
    <w:name w:val="ccbnbgtblevensec"/>
    <w:basedOn w:val="Normal"/>
    <w:rsid w:val="009F5DDF"/>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bgtblsec">
    <w:name w:val="ccbnbgtblsec"/>
    <w:basedOn w:val="Normal"/>
    <w:rsid w:val="009F5DDF"/>
    <w:pPr>
      <w:shd w:val="clear" w:color="auto" w:fill="555555"/>
      <w:spacing w:before="150" w:after="100" w:afterAutospacing="1" w:line="225" w:lineRule="atLeast"/>
      <w:ind w:left="150"/>
    </w:pPr>
    <w:rPr>
      <w:rFonts w:ascii="Arial" w:hAnsi="Arial" w:cs="Arial"/>
      <w:color w:val="333333"/>
      <w:sz w:val="18"/>
      <w:szCs w:val="18"/>
      <w:lang w:val="es-CR"/>
    </w:rPr>
  </w:style>
  <w:style w:type="paragraph" w:customStyle="1" w:styleId="ccbnbgtblttlsec">
    <w:name w:val="ccbnbgtblttlsec"/>
    <w:basedOn w:val="Normal"/>
    <w:rsid w:val="009F5DDF"/>
    <w:pPr>
      <w:spacing w:before="150" w:after="100" w:afterAutospacing="1" w:line="225" w:lineRule="atLeast"/>
      <w:ind w:left="150"/>
    </w:pPr>
    <w:rPr>
      <w:rFonts w:ascii="Arial" w:hAnsi="Arial" w:cs="Arial"/>
      <w:color w:val="CCCCCC"/>
      <w:sz w:val="18"/>
      <w:szCs w:val="18"/>
      <w:lang w:val="es-CR"/>
    </w:rPr>
  </w:style>
  <w:style w:type="paragraph" w:customStyle="1" w:styleId="ccbntbltxt">
    <w:name w:val="ccbntbltxt"/>
    <w:basedOn w:val="Normal"/>
    <w:rsid w:val="009F5DDF"/>
    <w:pPr>
      <w:spacing w:before="150" w:after="100" w:afterAutospacing="1" w:line="225" w:lineRule="atLeast"/>
      <w:ind w:left="150"/>
    </w:pPr>
    <w:rPr>
      <w:rFonts w:ascii="Arial" w:hAnsi="Arial" w:cs="Arial"/>
      <w:color w:val="434343"/>
      <w:sz w:val="17"/>
      <w:szCs w:val="17"/>
      <w:lang w:val="es-CR"/>
    </w:rPr>
  </w:style>
  <w:style w:type="paragraph" w:customStyle="1" w:styleId="ccbnbgtbltxt">
    <w:name w:val="ccbnbgtbltxt"/>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txtbold">
    <w:name w:val="ccbntbltxtbold"/>
    <w:basedOn w:val="Normal"/>
    <w:rsid w:val="009F5DDF"/>
    <w:pPr>
      <w:spacing w:before="150" w:after="100" w:afterAutospacing="1" w:line="225" w:lineRule="atLeast"/>
      <w:ind w:left="150"/>
    </w:pPr>
    <w:rPr>
      <w:rFonts w:ascii="Arial" w:hAnsi="Arial" w:cs="Arial"/>
      <w:b/>
      <w:bCs/>
      <w:color w:val="5A83B6"/>
      <w:sz w:val="18"/>
      <w:szCs w:val="18"/>
      <w:lang w:val="es-CR"/>
    </w:rPr>
  </w:style>
  <w:style w:type="paragraph" w:customStyle="1" w:styleId="ccbnbgtbltxtbold">
    <w:name w:val="ccbnbgtbltxtbold"/>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highlight">
    <w:name w:val="ccbntblhighlight"/>
    <w:basedOn w:val="Normal"/>
    <w:rsid w:val="009F5DDF"/>
    <w:pPr>
      <w:spacing w:before="150" w:after="100" w:afterAutospacing="1" w:line="225" w:lineRule="atLeast"/>
      <w:ind w:left="150"/>
    </w:pPr>
    <w:rPr>
      <w:rFonts w:ascii="Arial" w:hAnsi="Arial" w:cs="Arial"/>
      <w:b/>
      <w:bCs/>
      <w:color w:val="434343"/>
      <w:sz w:val="18"/>
      <w:szCs w:val="18"/>
      <w:lang w:val="es-CR"/>
    </w:rPr>
  </w:style>
  <w:style w:type="paragraph" w:customStyle="1" w:styleId="ccbnbgtblhighlight">
    <w:name w:val="ccbnbgtblhighlight"/>
    <w:basedOn w:val="Normal"/>
    <w:rsid w:val="009F5DDF"/>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tblsubtxt">
    <w:name w:val="ccbntblsubtxt"/>
    <w:basedOn w:val="Normal"/>
    <w:rsid w:val="009F5DDF"/>
    <w:pPr>
      <w:spacing w:before="150" w:after="100" w:afterAutospacing="1" w:line="225" w:lineRule="atLeast"/>
      <w:ind w:left="150"/>
    </w:pPr>
    <w:rPr>
      <w:rFonts w:ascii="Arial" w:hAnsi="Arial" w:cs="Arial"/>
      <w:color w:val="666666"/>
      <w:sz w:val="15"/>
      <w:szCs w:val="15"/>
      <w:lang w:val="es-CR"/>
    </w:rPr>
  </w:style>
  <w:style w:type="paragraph" w:customStyle="1" w:styleId="ccbnbgtblsubtxt">
    <w:name w:val="ccbnbgtblsubtxt"/>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disclaimer">
    <w:name w:val="moddisclaimer"/>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ccbndisclaimer">
    <w:name w:val="ccbndisclaimer"/>
    <w:basedOn w:val="Normal"/>
    <w:rsid w:val="009F5DDF"/>
    <w:pPr>
      <w:spacing w:before="150" w:after="100" w:afterAutospacing="1" w:line="225" w:lineRule="atLeast"/>
      <w:ind w:left="150"/>
    </w:pPr>
    <w:rPr>
      <w:rFonts w:ascii="Arial" w:hAnsi="Arial" w:cs="Arial"/>
      <w:color w:val="666666"/>
      <w:sz w:val="15"/>
      <w:szCs w:val="15"/>
      <w:lang w:val="es-CR"/>
    </w:rPr>
  </w:style>
  <w:style w:type="paragraph" w:customStyle="1" w:styleId="ccbnbgdisclaimer">
    <w:name w:val="ccbnbgdisclaimer"/>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required">
    <w:name w:val="ccbnrequired"/>
    <w:basedOn w:val="Normal"/>
    <w:rsid w:val="009F5DDF"/>
    <w:pPr>
      <w:spacing w:before="150" w:after="100" w:afterAutospacing="1" w:line="225" w:lineRule="atLeast"/>
      <w:ind w:left="150"/>
    </w:pPr>
    <w:rPr>
      <w:rFonts w:ascii="Arial" w:hAnsi="Arial" w:cs="Arial"/>
      <w:color w:val="FF0000"/>
      <w:sz w:val="18"/>
      <w:szCs w:val="18"/>
      <w:lang w:val="es-CR"/>
    </w:rPr>
  </w:style>
  <w:style w:type="paragraph" w:customStyle="1" w:styleId="ccbnbgrequired">
    <w:name w:val="ccbnbgrequired"/>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rror">
    <w:name w:val="ccbnerror"/>
    <w:basedOn w:val="Normal"/>
    <w:rsid w:val="009F5DDF"/>
    <w:pPr>
      <w:spacing w:before="150" w:after="100" w:afterAutospacing="1" w:line="225" w:lineRule="atLeast"/>
      <w:ind w:left="150"/>
    </w:pPr>
    <w:rPr>
      <w:rFonts w:ascii="Arial" w:hAnsi="Arial" w:cs="Arial"/>
      <w:color w:val="FF0000"/>
      <w:sz w:val="18"/>
      <w:szCs w:val="18"/>
      <w:lang w:val="es-CR"/>
    </w:rPr>
  </w:style>
  <w:style w:type="paragraph" w:customStyle="1" w:styleId="ccbnbgerror">
    <w:name w:val="ccbnbgerror"/>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confirmbold">
    <w:name w:val="ccbnconfirmbold"/>
    <w:basedOn w:val="Normal"/>
    <w:rsid w:val="009F5DDF"/>
    <w:pPr>
      <w:spacing w:before="150" w:after="100" w:afterAutospacing="1" w:line="225" w:lineRule="atLeast"/>
      <w:ind w:left="150"/>
    </w:pPr>
    <w:rPr>
      <w:rFonts w:ascii="Arial" w:hAnsi="Arial" w:cs="Arial"/>
      <w:b/>
      <w:bCs/>
      <w:color w:val="FF0000"/>
      <w:sz w:val="18"/>
      <w:szCs w:val="18"/>
      <w:lang w:val="es-CR"/>
    </w:rPr>
  </w:style>
  <w:style w:type="paragraph" w:customStyle="1" w:styleId="ccbnbgconfirmbold">
    <w:name w:val="ccbnbgconfirmbold"/>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neg">
    <w:name w:val="ccbnneg"/>
    <w:basedOn w:val="Normal"/>
    <w:rsid w:val="009F5DDF"/>
    <w:pPr>
      <w:spacing w:before="150" w:after="100" w:afterAutospacing="1" w:line="225" w:lineRule="atLeast"/>
      <w:ind w:left="150"/>
    </w:pPr>
    <w:rPr>
      <w:rFonts w:ascii="Arial" w:hAnsi="Arial" w:cs="Arial"/>
      <w:color w:val="990000"/>
      <w:sz w:val="17"/>
      <w:szCs w:val="17"/>
      <w:lang w:val="es-CR"/>
    </w:rPr>
  </w:style>
  <w:style w:type="paragraph" w:customStyle="1" w:styleId="ccbnbgneg">
    <w:name w:val="ccbnbgneg"/>
    <w:basedOn w:val="Normal"/>
    <w:rsid w:val="009F5DDF"/>
    <w:pPr>
      <w:shd w:val="clear" w:color="auto" w:fill="990000"/>
      <w:spacing w:before="150" w:after="100" w:afterAutospacing="1" w:line="225" w:lineRule="atLeast"/>
      <w:ind w:left="150"/>
    </w:pPr>
    <w:rPr>
      <w:rFonts w:ascii="Arial" w:hAnsi="Arial" w:cs="Arial"/>
      <w:color w:val="333333"/>
      <w:sz w:val="18"/>
      <w:szCs w:val="18"/>
      <w:lang w:val="es-CR"/>
    </w:rPr>
  </w:style>
  <w:style w:type="paragraph" w:customStyle="1" w:styleId="ccbnpos">
    <w:name w:val="ccbnpos"/>
    <w:basedOn w:val="Normal"/>
    <w:rsid w:val="009F5DDF"/>
    <w:pPr>
      <w:spacing w:before="150" w:after="100" w:afterAutospacing="1" w:line="225" w:lineRule="atLeast"/>
      <w:ind w:left="150"/>
    </w:pPr>
    <w:rPr>
      <w:rFonts w:ascii="Arial" w:hAnsi="Arial" w:cs="Arial"/>
      <w:color w:val="009900"/>
      <w:sz w:val="17"/>
      <w:szCs w:val="17"/>
      <w:lang w:val="es-CR"/>
    </w:rPr>
  </w:style>
  <w:style w:type="paragraph" w:customStyle="1" w:styleId="ccbnbgpos">
    <w:name w:val="ccbnbgpos"/>
    <w:basedOn w:val="Normal"/>
    <w:rsid w:val="009F5DDF"/>
    <w:pPr>
      <w:shd w:val="clear" w:color="auto" w:fill="009900"/>
      <w:spacing w:before="150" w:after="100" w:afterAutospacing="1" w:line="225" w:lineRule="atLeast"/>
      <w:ind w:left="150"/>
    </w:pPr>
    <w:rPr>
      <w:rFonts w:ascii="Arial" w:hAnsi="Arial" w:cs="Arial"/>
      <w:color w:val="333333"/>
      <w:sz w:val="18"/>
      <w:szCs w:val="18"/>
      <w:lang w:val="es-CR"/>
    </w:rPr>
  </w:style>
  <w:style w:type="paragraph" w:customStyle="1" w:styleId="ccbnselect">
    <w:name w:val="ccbnselect"/>
    <w:basedOn w:val="Normal"/>
    <w:rsid w:val="009F5DDF"/>
    <w:pPr>
      <w:spacing w:before="150" w:after="100" w:afterAutospacing="1" w:line="225" w:lineRule="atLeast"/>
      <w:ind w:left="150"/>
    </w:pPr>
    <w:rPr>
      <w:rFonts w:ascii="Arial" w:hAnsi="Arial" w:cs="Arial"/>
      <w:color w:val="434343"/>
      <w:sz w:val="18"/>
      <w:szCs w:val="18"/>
      <w:lang w:val="es-CR"/>
    </w:rPr>
  </w:style>
  <w:style w:type="paragraph" w:customStyle="1" w:styleId="ccbnbgselect">
    <w:name w:val="ccbnbgselect"/>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input">
    <w:name w:val="ccbninput"/>
    <w:basedOn w:val="Normal"/>
    <w:rsid w:val="009F5DDF"/>
    <w:pPr>
      <w:spacing w:before="150" w:after="100" w:afterAutospacing="1" w:line="225" w:lineRule="atLeast"/>
      <w:ind w:left="150"/>
    </w:pPr>
    <w:rPr>
      <w:rFonts w:ascii="Arial" w:hAnsi="Arial" w:cs="Arial"/>
      <w:color w:val="434343"/>
      <w:sz w:val="18"/>
      <w:szCs w:val="18"/>
      <w:lang w:val="es-CR"/>
    </w:rPr>
  </w:style>
  <w:style w:type="paragraph" w:customStyle="1" w:styleId="ccbnbginput">
    <w:name w:val="ccbnbginput"/>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utton">
    <w:name w:val="ccbnbutton"/>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ccbnbgbutton">
    <w:name w:val="ccbnbgbutton"/>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line">
    <w:name w:val="ccbnbgline"/>
    <w:basedOn w:val="Normal"/>
    <w:rsid w:val="009F5DDF"/>
    <w:pPr>
      <w:shd w:val="clear" w:color="auto" w:fill="434343"/>
      <w:spacing w:before="150" w:after="100" w:afterAutospacing="1" w:line="225" w:lineRule="atLeast"/>
      <w:ind w:left="150"/>
    </w:pPr>
    <w:rPr>
      <w:rFonts w:ascii="Arial" w:hAnsi="Arial" w:cs="Arial"/>
      <w:color w:val="333333"/>
      <w:sz w:val="18"/>
      <w:szCs w:val="18"/>
      <w:lang w:val="es-CR"/>
    </w:rPr>
  </w:style>
  <w:style w:type="paragraph" w:customStyle="1" w:styleId="ccbnbgspacer">
    <w:name w:val="ccbnbgspacer"/>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chart">
    <w:name w:val="ccbnbgchart"/>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price">
    <w:name w:val="ccbnprice"/>
    <w:basedOn w:val="Normal"/>
    <w:rsid w:val="009F5DDF"/>
    <w:pPr>
      <w:spacing w:before="150" w:after="100" w:afterAutospacing="1" w:line="225" w:lineRule="atLeast"/>
      <w:ind w:left="150"/>
    </w:pPr>
    <w:rPr>
      <w:rFonts w:ascii="Arial" w:hAnsi="Arial" w:cs="Arial"/>
      <w:b/>
      <w:bCs/>
      <w:color w:val="434343"/>
      <w:sz w:val="18"/>
      <w:szCs w:val="18"/>
      <w:lang w:val="es-CR"/>
    </w:rPr>
  </w:style>
  <w:style w:type="paragraph" w:customStyle="1" w:styleId="ccbnbgprice">
    <w:name w:val="ccbnbgprice"/>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bg">
    <w:name w:val="ccbnenumbg"/>
    <w:basedOn w:val="Normal"/>
    <w:rsid w:val="009F5DDF"/>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enumbglogo">
    <w:name w:val="ccbnenumbglogo"/>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highlightlt">
    <w:name w:val="ccbnenumhighlightlt"/>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highlight">
    <w:name w:val="ccbnenumhighlight"/>
    <w:basedOn w:val="Normal"/>
    <w:rsid w:val="009F5DDF"/>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ccbnenumshadow">
    <w:name w:val="ccbnenumshadow"/>
    <w:basedOn w:val="Normal"/>
    <w:rsid w:val="009F5DDF"/>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ccbnenumshadowdk">
    <w:name w:val="ccbnenumshadowdk"/>
    <w:basedOn w:val="Normal"/>
    <w:rsid w:val="009F5DDF"/>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ccbnenumtablnk">
    <w:name w:val="ccbnenumtablnk"/>
    <w:basedOn w:val="Normal"/>
    <w:rsid w:val="009F5DDF"/>
    <w:pPr>
      <w:spacing w:before="150" w:after="100" w:afterAutospacing="1" w:line="225" w:lineRule="atLeast"/>
      <w:ind w:left="150"/>
    </w:pPr>
    <w:rPr>
      <w:rFonts w:ascii="Arial" w:hAnsi="Arial" w:cs="Arial"/>
      <w:caps/>
      <w:color w:val="333333"/>
      <w:sz w:val="15"/>
      <w:szCs w:val="15"/>
      <w:lang w:val="es-CR"/>
    </w:rPr>
  </w:style>
  <w:style w:type="paragraph" w:customStyle="1" w:styleId="ccbnenumpeerlistlnk">
    <w:name w:val="ccbnenumpeerlistlnk"/>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ccbnbgenumtbleven">
    <w:name w:val="ccbnbgenumtbleven"/>
    <w:basedOn w:val="Normal"/>
    <w:rsid w:val="009F5DDF"/>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ccbnenumtxteven">
    <w:name w:val="ccbnenumtxteven"/>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ccbnbgenumtblodd">
    <w:name w:val="ccbnbgenumtblodd"/>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txtodd">
    <w:name w:val="ccbnenumtxtodd"/>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ccbnfixedttl">
    <w:name w:val="ccbnfixedttl"/>
    <w:basedOn w:val="Normal"/>
    <w:rsid w:val="009F5DDF"/>
    <w:pPr>
      <w:spacing w:before="150" w:after="100" w:afterAutospacing="1" w:line="225" w:lineRule="atLeast"/>
      <w:ind w:left="150"/>
    </w:pPr>
    <w:rPr>
      <w:rFonts w:ascii="Arial" w:hAnsi="Arial" w:cs="Arial"/>
      <w:b/>
      <w:bCs/>
      <w:color w:val="000000"/>
      <w:sz w:val="17"/>
      <w:szCs w:val="17"/>
      <w:lang w:val="es-CR"/>
    </w:rPr>
  </w:style>
  <w:style w:type="paragraph" w:customStyle="1" w:styleId="ccbnbgfixedsubttl">
    <w:name w:val="ccbnbgfixedsubttl"/>
    <w:basedOn w:val="Normal"/>
    <w:rsid w:val="009F5DDF"/>
    <w:pPr>
      <w:shd w:val="clear" w:color="auto" w:fill="E5E5E5"/>
      <w:spacing w:before="150" w:after="100" w:afterAutospacing="1" w:line="225" w:lineRule="atLeast"/>
      <w:ind w:left="150"/>
    </w:pPr>
    <w:rPr>
      <w:rFonts w:ascii="Arial" w:hAnsi="Arial" w:cs="Arial"/>
      <w:color w:val="333333"/>
      <w:sz w:val="18"/>
      <w:szCs w:val="18"/>
      <w:lang w:val="es-CR"/>
    </w:rPr>
  </w:style>
  <w:style w:type="paragraph" w:customStyle="1" w:styleId="ccbnfixedsubttlbold">
    <w:name w:val="ccbnfixedsubttlbold"/>
    <w:basedOn w:val="Normal"/>
    <w:rsid w:val="009F5DDF"/>
    <w:pPr>
      <w:spacing w:before="150" w:after="100" w:afterAutospacing="1" w:line="225" w:lineRule="atLeast"/>
      <w:ind w:left="150"/>
    </w:pPr>
    <w:rPr>
      <w:rFonts w:ascii="Arial" w:hAnsi="Arial" w:cs="Arial"/>
      <w:b/>
      <w:bCs/>
      <w:color w:val="333333"/>
      <w:sz w:val="17"/>
      <w:szCs w:val="17"/>
      <w:lang w:val="es-CR"/>
    </w:rPr>
  </w:style>
  <w:style w:type="paragraph" w:customStyle="1" w:styleId="ccbnfixedsubttl">
    <w:name w:val="ccbnfixedsubttl"/>
    <w:basedOn w:val="Normal"/>
    <w:rsid w:val="009F5DDF"/>
    <w:pPr>
      <w:spacing w:before="150" w:after="100" w:afterAutospacing="1" w:line="225" w:lineRule="atLeast"/>
      <w:ind w:left="150"/>
    </w:pPr>
    <w:rPr>
      <w:rFonts w:ascii="Arial" w:hAnsi="Arial" w:cs="Arial"/>
      <w:color w:val="333333"/>
      <w:sz w:val="15"/>
      <w:szCs w:val="15"/>
      <w:lang w:val="es-CR"/>
    </w:rPr>
  </w:style>
  <w:style w:type="paragraph" w:customStyle="1" w:styleId="ccbnfixedinput">
    <w:name w:val="ccbnfixedinput"/>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ccbnfixedtabtxt">
    <w:name w:val="ccbnfixedtabtxt"/>
    <w:basedOn w:val="Normal"/>
    <w:rsid w:val="009F5DDF"/>
    <w:pPr>
      <w:shd w:val="clear" w:color="auto" w:fill="CCCCCC"/>
      <w:spacing w:before="150" w:after="100" w:afterAutospacing="1" w:line="225" w:lineRule="atLeast"/>
      <w:ind w:left="150"/>
    </w:pPr>
    <w:rPr>
      <w:rFonts w:ascii="Arial" w:hAnsi="Arial" w:cs="Arial"/>
      <w:color w:val="333333"/>
      <w:sz w:val="15"/>
      <w:szCs w:val="15"/>
      <w:lang w:val="es-CR"/>
    </w:rPr>
  </w:style>
  <w:style w:type="paragraph" w:customStyle="1" w:styleId="ccbnfixedtablnk">
    <w:name w:val="ccbnfixedtablnk"/>
    <w:basedOn w:val="Normal"/>
    <w:rsid w:val="009F5DDF"/>
    <w:pPr>
      <w:shd w:val="clear" w:color="auto" w:fill="CCCCCC"/>
      <w:spacing w:before="150" w:after="100" w:afterAutospacing="1" w:line="225" w:lineRule="atLeast"/>
      <w:ind w:left="150"/>
    </w:pPr>
    <w:rPr>
      <w:rFonts w:ascii="Arial" w:hAnsi="Arial" w:cs="Arial"/>
      <w:color w:val="333333"/>
      <w:sz w:val="15"/>
      <w:szCs w:val="15"/>
      <w:lang w:val="es-CR"/>
    </w:rPr>
  </w:style>
  <w:style w:type="paragraph" w:customStyle="1" w:styleId="ccbnfixedlabel">
    <w:name w:val="ccbnfixedlabel"/>
    <w:basedOn w:val="Normal"/>
    <w:rsid w:val="009F5DDF"/>
    <w:pPr>
      <w:spacing w:before="150" w:after="100" w:afterAutospacing="1" w:line="225" w:lineRule="atLeast"/>
      <w:ind w:left="150"/>
    </w:pPr>
    <w:rPr>
      <w:rFonts w:ascii="Arial" w:hAnsi="Arial" w:cs="Arial"/>
      <w:b/>
      <w:bCs/>
      <w:color w:val="333333"/>
      <w:sz w:val="21"/>
      <w:szCs w:val="21"/>
      <w:lang w:val="es-CR"/>
    </w:rPr>
  </w:style>
  <w:style w:type="paragraph" w:customStyle="1" w:styleId="ccbnfixedmenusubttl">
    <w:name w:val="ccbnfixedmenusubttl"/>
    <w:basedOn w:val="Normal"/>
    <w:rsid w:val="009F5DDF"/>
    <w:pPr>
      <w:spacing w:before="150" w:after="100" w:afterAutospacing="1" w:line="225" w:lineRule="atLeast"/>
      <w:ind w:left="150"/>
    </w:pPr>
    <w:rPr>
      <w:rFonts w:ascii="Arial" w:hAnsi="Arial" w:cs="Arial"/>
      <w:b/>
      <w:bCs/>
      <w:color w:val="000000"/>
      <w:sz w:val="17"/>
      <w:szCs w:val="17"/>
      <w:lang w:val="es-CR"/>
    </w:rPr>
  </w:style>
  <w:style w:type="paragraph" w:customStyle="1" w:styleId="ccbnfixedmenuttl">
    <w:name w:val="ccbnfixedmenuttl"/>
    <w:basedOn w:val="Normal"/>
    <w:rsid w:val="009F5DDF"/>
    <w:pPr>
      <w:spacing w:before="150" w:after="100" w:afterAutospacing="1" w:line="225" w:lineRule="atLeast"/>
      <w:ind w:left="150"/>
    </w:pPr>
    <w:rPr>
      <w:rFonts w:ascii="Arial" w:hAnsi="Arial" w:cs="Arial"/>
      <w:b/>
      <w:bCs/>
      <w:color w:val="000000"/>
      <w:sz w:val="22"/>
      <w:szCs w:val="22"/>
      <w:lang w:val="es-CR"/>
    </w:rPr>
  </w:style>
  <w:style w:type="paragraph" w:customStyle="1" w:styleId="ccbnbgfixedlogo">
    <w:name w:val="ccbnbgfixedlogo"/>
    <w:basedOn w:val="Normal"/>
    <w:rsid w:val="009F5DDF"/>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bggray">
    <w:name w:val="ccbnbggray"/>
    <w:basedOn w:val="Normal"/>
    <w:rsid w:val="009F5DDF"/>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style1">
    <w:name w:val="style1"/>
    <w:basedOn w:val="Normal"/>
    <w:rsid w:val="009F5DDF"/>
    <w:pPr>
      <w:spacing w:before="150" w:after="100" w:afterAutospacing="1" w:line="225" w:lineRule="atLeast"/>
      <w:ind w:left="150"/>
    </w:pPr>
    <w:rPr>
      <w:rFonts w:ascii="Arial" w:hAnsi="Arial" w:cs="Arial"/>
      <w:color w:val="CC9900"/>
      <w:sz w:val="18"/>
      <w:szCs w:val="18"/>
      <w:lang w:val="es-CR"/>
    </w:rPr>
  </w:style>
  <w:style w:type="paragraph" w:customStyle="1" w:styleId="copyright">
    <w:name w:val="copyright"/>
    <w:basedOn w:val="Normal"/>
    <w:rsid w:val="009F5DDF"/>
    <w:pPr>
      <w:spacing w:before="150" w:after="100" w:afterAutospacing="1" w:line="165" w:lineRule="atLeast"/>
      <w:ind w:left="150"/>
    </w:pPr>
    <w:rPr>
      <w:rFonts w:ascii="Arial" w:hAnsi="Arial" w:cs="Arial"/>
      <w:color w:val="333333"/>
      <w:sz w:val="14"/>
      <w:szCs w:val="14"/>
      <w:lang w:val="es-CR"/>
    </w:rPr>
  </w:style>
  <w:style w:type="paragraph" w:customStyle="1" w:styleId="xslsectionhead">
    <w:name w:val="xslsectionhead"/>
    <w:basedOn w:val="Normal"/>
    <w:rsid w:val="009F5DDF"/>
    <w:pPr>
      <w:spacing w:before="150" w:after="100" w:afterAutospacing="1" w:line="225" w:lineRule="atLeast"/>
      <w:ind w:left="150"/>
    </w:pPr>
    <w:rPr>
      <w:rFonts w:ascii="Arial" w:hAnsi="Arial" w:cs="Arial"/>
      <w:b/>
      <w:bCs/>
      <w:i/>
      <w:iCs/>
      <w:color w:val="333333"/>
      <w:sz w:val="17"/>
      <w:szCs w:val="17"/>
      <w:lang w:val="es-CR"/>
    </w:rPr>
  </w:style>
  <w:style w:type="paragraph" w:customStyle="1" w:styleId="xslfeaturettl">
    <w:name w:val="xslfeaturettl"/>
    <w:basedOn w:val="Normal"/>
    <w:rsid w:val="009F5DDF"/>
    <w:pPr>
      <w:spacing w:before="150" w:after="100" w:afterAutospacing="1" w:line="225" w:lineRule="atLeast"/>
      <w:ind w:left="150"/>
    </w:pPr>
    <w:rPr>
      <w:rFonts w:ascii="Arial" w:hAnsi="Arial" w:cs="Arial"/>
      <w:b/>
      <w:bCs/>
      <w:i/>
      <w:iCs/>
      <w:color w:val="333333"/>
      <w:sz w:val="17"/>
      <w:szCs w:val="17"/>
      <w:lang w:val="es-CR"/>
    </w:rPr>
  </w:style>
  <w:style w:type="paragraph" w:customStyle="1" w:styleId="xslttl">
    <w:name w:val="xslttl"/>
    <w:basedOn w:val="Normal"/>
    <w:rsid w:val="009F5DDF"/>
    <w:pPr>
      <w:spacing w:before="150" w:after="100" w:afterAutospacing="1" w:line="225" w:lineRule="atLeast"/>
      <w:ind w:left="150"/>
    </w:pPr>
    <w:rPr>
      <w:rFonts w:ascii="Arial" w:hAnsi="Arial" w:cs="Arial"/>
      <w:b/>
      <w:bCs/>
      <w:color w:val="333333"/>
      <w:sz w:val="17"/>
      <w:szCs w:val="17"/>
      <w:lang w:val="es-CR"/>
    </w:rPr>
  </w:style>
  <w:style w:type="paragraph" w:customStyle="1" w:styleId="xsltxt">
    <w:name w:val="xsltxt"/>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xsllnk">
    <w:name w:val="xsllnk"/>
    <w:basedOn w:val="Normal"/>
    <w:rsid w:val="009F5DDF"/>
    <w:pPr>
      <w:spacing w:before="150" w:after="100" w:afterAutospacing="1" w:line="225" w:lineRule="atLeast"/>
      <w:ind w:left="150"/>
    </w:pPr>
    <w:rPr>
      <w:rFonts w:ascii="Arial" w:hAnsi="Arial" w:cs="Arial"/>
      <w:color w:val="333333"/>
      <w:sz w:val="15"/>
      <w:szCs w:val="15"/>
      <w:lang w:val="es-CR"/>
    </w:rPr>
  </w:style>
  <w:style w:type="paragraph" w:customStyle="1" w:styleId="xslnav">
    <w:name w:val="xslnav"/>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xsltblttl">
    <w:name w:val="xsltblttl"/>
    <w:basedOn w:val="Normal"/>
    <w:rsid w:val="009F5DDF"/>
    <w:pPr>
      <w:spacing w:before="150" w:after="100" w:afterAutospacing="1" w:line="225" w:lineRule="atLeast"/>
      <w:ind w:left="150"/>
    </w:pPr>
    <w:rPr>
      <w:rFonts w:ascii="Arial" w:hAnsi="Arial" w:cs="Arial"/>
      <w:b/>
      <w:bCs/>
      <w:color w:val="434343"/>
      <w:sz w:val="17"/>
      <w:szCs w:val="17"/>
      <w:lang w:val="es-CR"/>
    </w:rPr>
  </w:style>
  <w:style w:type="paragraph" w:customStyle="1" w:styleId="xslbgtblttl">
    <w:name w:val="xslbgtblttl"/>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xslfundttl">
    <w:name w:val="xslfundttl"/>
    <w:basedOn w:val="Normal"/>
    <w:rsid w:val="009F5DDF"/>
    <w:pPr>
      <w:spacing w:before="150" w:after="100" w:afterAutospacing="1" w:line="225" w:lineRule="atLeast"/>
      <w:ind w:left="150"/>
    </w:pPr>
    <w:rPr>
      <w:rFonts w:ascii="Arial" w:hAnsi="Arial" w:cs="Arial"/>
      <w:b/>
      <w:bCs/>
      <w:i/>
      <w:iCs/>
      <w:color w:val="333333"/>
      <w:sz w:val="17"/>
      <w:szCs w:val="17"/>
      <w:lang w:val="es-CR"/>
    </w:rPr>
  </w:style>
  <w:style w:type="paragraph" w:customStyle="1" w:styleId="xslbgfundttl">
    <w:name w:val="xslbgfundttl"/>
    <w:basedOn w:val="Normal"/>
    <w:rsid w:val="009F5DDF"/>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xslfrmoption">
    <w:name w:val="xslfrmoption"/>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tblttl">
    <w:name w:val="modtblttl"/>
    <w:basedOn w:val="Normal"/>
    <w:rsid w:val="009F5DDF"/>
    <w:pPr>
      <w:spacing w:before="150" w:after="100" w:afterAutospacing="1" w:line="225" w:lineRule="atLeast"/>
      <w:ind w:left="150"/>
    </w:pPr>
    <w:rPr>
      <w:rFonts w:ascii="Arial" w:hAnsi="Arial" w:cs="Arial"/>
      <w:b/>
      <w:bCs/>
      <w:color w:val="FFFFFF"/>
      <w:sz w:val="17"/>
      <w:szCs w:val="17"/>
      <w:lang w:val="es-CR"/>
    </w:rPr>
  </w:style>
  <w:style w:type="paragraph" w:customStyle="1" w:styleId="modtblsubttl">
    <w:name w:val="modtblsubttl"/>
    <w:basedOn w:val="Normal"/>
    <w:rsid w:val="009F5DDF"/>
    <w:pPr>
      <w:spacing w:before="150" w:after="100" w:afterAutospacing="1" w:line="225" w:lineRule="atLeast"/>
      <w:ind w:left="150"/>
    </w:pPr>
    <w:rPr>
      <w:rFonts w:ascii="Arial" w:hAnsi="Arial" w:cs="Arial"/>
      <w:b/>
      <w:bCs/>
      <w:color w:val="333333"/>
      <w:lang w:val="es-CR"/>
    </w:rPr>
  </w:style>
  <w:style w:type="paragraph" w:customStyle="1" w:styleId="modtblhighlight">
    <w:name w:val="modtblhighlight"/>
    <w:basedOn w:val="Normal"/>
    <w:rsid w:val="009F5DDF"/>
    <w:pPr>
      <w:spacing w:before="150" w:after="100" w:afterAutospacing="1" w:line="225" w:lineRule="atLeast"/>
      <w:ind w:left="150"/>
    </w:pPr>
    <w:rPr>
      <w:rFonts w:ascii="Arial" w:hAnsi="Arial" w:cs="Arial"/>
      <w:b/>
      <w:bCs/>
      <w:color w:val="333333"/>
      <w:lang w:val="es-CR"/>
    </w:rPr>
  </w:style>
  <w:style w:type="paragraph" w:customStyle="1" w:styleId="modtblhighlightcoleven">
    <w:name w:val="modtblhighlightcoleven"/>
    <w:basedOn w:val="Normal"/>
    <w:rsid w:val="009F5DDF"/>
    <w:pPr>
      <w:spacing w:before="150" w:after="100" w:afterAutospacing="1" w:line="225" w:lineRule="atLeast"/>
      <w:ind w:left="150"/>
    </w:pPr>
    <w:rPr>
      <w:rFonts w:ascii="Arial" w:hAnsi="Arial" w:cs="Arial"/>
      <w:b/>
      <w:bCs/>
      <w:color w:val="333333"/>
      <w:sz w:val="17"/>
      <w:szCs w:val="17"/>
      <w:lang w:val="es-CR"/>
    </w:rPr>
  </w:style>
  <w:style w:type="paragraph" w:customStyle="1" w:styleId="modtblhighlightcolodd">
    <w:name w:val="modtblhighlightcolodd"/>
    <w:basedOn w:val="Normal"/>
    <w:rsid w:val="009F5DDF"/>
    <w:pPr>
      <w:spacing w:before="150" w:after="100" w:afterAutospacing="1" w:line="225" w:lineRule="atLeast"/>
      <w:ind w:left="150"/>
    </w:pPr>
    <w:rPr>
      <w:rFonts w:ascii="Arial" w:hAnsi="Arial" w:cs="Arial"/>
      <w:b/>
      <w:bCs/>
      <w:color w:val="333333"/>
      <w:sz w:val="17"/>
      <w:szCs w:val="17"/>
      <w:lang w:val="es-CR"/>
    </w:rPr>
  </w:style>
  <w:style w:type="paragraph" w:customStyle="1" w:styleId="modtbltxt">
    <w:name w:val="modtbltxt"/>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tbltxtodd">
    <w:name w:val="modtbltxtodd"/>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tbltxteven">
    <w:name w:val="modtbltxteven"/>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tbllabelodd">
    <w:name w:val="modtbllabelodd"/>
    <w:basedOn w:val="Normal"/>
    <w:rsid w:val="009F5DDF"/>
    <w:pPr>
      <w:spacing w:before="150" w:after="100" w:afterAutospacing="1" w:line="225" w:lineRule="atLeast"/>
      <w:ind w:left="150"/>
    </w:pPr>
    <w:rPr>
      <w:rFonts w:ascii="Arial" w:hAnsi="Arial" w:cs="Arial"/>
      <w:b/>
      <w:bCs/>
      <w:color w:val="333333"/>
      <w:sz w:val="17"/>
      <w:szCs w:val="17"/>
      <w:lang w:val="es-CR"/>
    </w:rPr>
  </w:style>
  <w:style w:type="paragraph" w:customStyle="1" w:styleId="modtbllabeleven">
    <w:name w:val="modtbllabeleven"/>
    <w:basedOn w:val="Normal"/>
    <w:rsid w:val="009F5DDF"/>
    <w:pPr>
      <w:spacing w:before="150" w:after="100" w:afterAutospacing="1" w:line="225" w:lineRule="atLeast"/>
      <w:ind w:left="150"/>
    </w:pPr>
    <w:rPr>
      <w:rFonts w:ascii="Arial" w:hAnsi="Arial" w:cs="Arial"/>
      <w:b/>
      <w:bCs/>
      <w:color w:val="333333"/>
      <w:sz w:val="17"/>
      <w:szCs w:val="17"/>
      <w:lang w:val="es-CR"/>
    </w:rPr>
  </w:style>
  <w:style w:type="paragraph" w:customStyle="1" w:styleId="modlnkbody">
    <w:name w:val="modlnkbody"/>
    <w:basedOn w:val="Normal"/>
    <w:rsid w:val="009F5DDF"/>
    <w:pPr>
      <w:spacing w:before="150" w:after="100" w:afterAutospacing="1" w:line="225" w:lineRule="atLeast"/>
      <w:ind w:left="150"/>
    </w:pPr>
    <w:rPr>
      <w:rFonts w:ascii="Arial" w:hAnsi="Arial" w:cs="Arial"/>
      <w:color w:val="333333"/>
      <w:sz w:val="15"/>
      <w:szCs w:val="15"/>
      <w:lang w:val="es-CR"/>
    </w:rPr>
  </w:style>
  <w:style w:type="paragraph" w:customStyle="1" w:styleId="modlnktbl">
    <w:name w:val="modlnktbl"/>
    <w:basedOn w:val="Normal"/>
    <w:rsid w:val="009F5DDF"/>
    <w:pPr>
      <w:spacing w:before="150" w:after="100" w:afterAutospacing="1" w:line="225" w:lineRule="atLeast"/>
      <w:ind w:left="150"/>
    </w:pPr>
    <w:rPr>
      <w:rFonts w:ascii="Arial" w:hAnsi="Arial" w:cs="Arial"/>
      <w:color w:val="333333"/>
      <w:sz w:val="15"/>
      <w:szCs w:val="15"/>
      <w:lang w:val="es-CR"/>
    </w:rPr>
  </w:style>
  <w:style w:type="paragraph" w:customStyle="1" w:styleId="modrequired">
    <w:name w:val="modrequired"/>
    <w:basedOn w:val="Normal"/>
    <w:rsid w:val="009F5DDF"/>
    <w:pPr>
      <w:spacing w:before="150" w:after="100" w:afterAutospacing="1" w:line="225" w:lineRule="atLeast"/>
      <w:ind w:left="150"/>
    </w:pPr>
    <w:rPr>
      <w:rFonts w:ascii="Arial" w:hAnsi="Arial" w:cs="Arial"/>
      <w:b/>
      <w:bCs/>
      <w:color w:val="FF0000"/>
      <w:sz w:val="15"/>
      <w:szCs w:val="15"/>
      <w:lang w:val="es-CR"/>
    </w:rPr>
  </w:style>
  <w:style w:type="paragraph" w:customStyle="1" w:styleId="modlnkprint">
    <w:name w:val="modlnkprint"/>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bgtbltxt">
    <w:name w:val="modbgtbltxt"/>
    <w:basedOn w:val="Normal"/>
    <w:rsid w:val="009F5DDF"/>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tblttl">
    <w:name w:val="modbgtblttl"/>
    <w:basedOn w:val="Normal"/>
    <w:rsid w:val="009F5DDF"/>
    <w:pPr>
      <w:shd w:val="clear" w:color="auto" w:fill="073767"/>
      <w:spacing w:before="150" w:after="100" w:afterAutospacing="1" w:line="225" w:lineRule="atLeast"/>
      <w:ind w:left="150"/>
    </w:pPr>
    <w:rPr>
      <w:rFonts w:ascii="Arial" w:hAnsi="Arial" w:cs="Arial"/>
      <w:color w:val="333333"/>
      <w:sz w:val="18"/>
      <w:szCs w:val="18"/>
      <w:lang w:val="es-CR"/>
    </w:rPr>
  </w:style>
  <w:style w:type="paragraph" w:customStyle="1" w:styleId="modbgtblsubttl">
    <w:name w:val="modbgtblsubttl"/>
    <w:basedOn w:val="Normal"/>
    <w:rsid w:val="009F5DDF"/>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modbgtblhighlight">
    <w:name w:val="modbgtblhighlight"/>
    <w:basedOn w:val="Normal"/>
    <w:rsid w:val="009F5DDF"/>
    <w:pPr>
      <w:shd w:val="clear" w:color="auto" w:fill="BABABA"/>
      <w:spacing w:before="150" w:after="100" w:afterAutospacing="1" w:line="225" w:lineRule="atLeast"/>
      <w:ind w:left="150"/>
    </w:pPr>
    <w:rPr>
      <w:rFonts w:ascii="Arial" w:hAnsi="Arial" w:cs="Arial"/>
      <w:color w:val="333333"/>
      <w:sz w:val="18"/>
      <w:szCs w:val="18"/>
      <w:lang w:val="es-CR"/>
    </w:rPr>
  </w:style>
  <w:style w:type="paragraph" w:customStyle="1" w:styleId="modbgtblodd">
    <w:name w:val="modbgtblodd"/>
    <w:basedOn w:val="Normal"/>
    <w:rsid w:val="009F5DDF"/>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tbleven">
    <w:name w:val="modbgtbleven"/>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frmfld">
    <w:name w:val="modfrmfld"/>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frmoption">
    <w:name w:val="modfrmoption"/>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frmbutton">
    <w:name w:val="modfrmbutton"/>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bodyttl">
    <w:name w:val="modbodyttl"/>
    <w:basedOn w:val="Normal"/>
    <w:rsid w:val="009F5DDF"/>
    <w:pPr>
      <w:spacing w:before="150" w:after="100" w:afterAutospacing="1" w:line="225" w:lineRule="atLeast"/>
      <w:ind w:left="150"/>
    </w:pPr>
    <w:rPr>
      <w:rFonts w:ascii="Arial" w:hAnsi="Arial" w:cs="Arial"/>
      <w:b/>
      <w:bCs/>
      <w:color w:val="FFFFFF"/>
      <w:sz w:val="17"/>
      <w:szCs w:val="17"/>
      <w:lang w:val="es-CR"/>
    </w:rPr>
  </w:style>
  <w:style w:type="paragraph" w:customStyle="1" w:styleId="modbodytxt">
    <w:name w:val="modbodytxt"/>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bgbodyttl">
    <w:name w:val="modbgbodyttl"/>
    <w:basedOn w:val="Normal"/>
    <w:rsid w:val="009F5DDF"/>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modbgbodytxt">
    <w:name w:val="modbgbodytxt"/>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rror">
    <w:name w:val="moderror"/>
    <w:basedOn w:val="Normal"/>
    <w:rsid w:val="009F5DDF"/>
    <w:pPr>
      <w:spacing w:before="150" w:after="100" w:afterAutospacing="1" w:line="225" w:lineRule="atLeast"/>
      <w:ind w:left="150"/>
    </w:pPr>
    <w:rPr>
      <w:rFonts w:ascii="Arial" w:hAnsi="Arial" w:cs="Arial"/>
      <w:b/>
      <w:bCs/>
      <w:color w:val="FF3300"/>
      <w:sz w:val="17"/>
      <w:szCs w:val="17"/>
      <w:lang w:val="es-CR"/>
    </w:rPr>
  </w:style>
  <w:style w:type="paragraph" w:customStyle="1" w:styleId="modbgerror">
    <w:name w:val="modbgerror"/>
    <w:basedOn w:val="Normal"/>
    <w:rsid w:val="009F5DDF"/>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confirmbold">
    <w:name w:val="modconfirmbold"/>
    <w:basedOn w:val="Normal"/>
    <w:rsid w:val="009F5DDF"/>
    <w:pPr>
      <w:spacing w:before="150" w:after="100" w:afterAutospacing="1" w:line="225" w:lineRule="atLeast"/>
      <w:ind w:left="150"/>
    </w:pPr>
    <w:rPr>
      <w:rFonts w:ascii="Arial" w:hAnsi="Arial" w:cs="Arial"/>
      <w:b/>
      <w:bCs/>
      <w:color w:val="333333"/>
      <w:sz w:val="17"/>
      <w:szCs w:val="17"/>
      <w:lang w:val="es-CR"/>
    </w:rPr>
  </w:style>
  <w:style w:type="paragraph" w:customStyle="1" w:styleId="modconfirm">
    <w:name w:val="modconfirm"/>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broadcastttl">
    <w:name w:val="modbroadcastttl"/>
    <w:basedOn w:val="Normal"/>
    <w:rsid w:val="009F5DDF"/>
    <w:pPr>
      <w:spacing w:before="150" w:after="100" w:afterAutospacing="1" w:line="225" w:lineRule="atLeast"/>
      <w:ind w:left="150"/>
    </w:pPr>
    <w:rPr>
      <w:rFonts w:ascii="Arial" w:hAnsi="Arial" w:cs="Arial"/>
      <w:b/>
      <w:bCs/>
      <w:color w:val="333333"/>
      <w:sz w:val="21"/>
      <w:szCs w:val="21"/>
      <w:lang w:val="es-CR"/>
    </w:rPr>
  </w:style>
  <w:style w:type="paragraph" w:customStyle="1" w:styleId="modbroadcasttxt">
    <w:name w:val="modbroadcasttxt"/>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broadcastdate">
    <w:name w:val="modbroadcastdate"/>
    <w:basedOn w:val="Normal"/>
    <w:rsid w:val="009F5DDF"/>
    <w:pPr>
      <w:spacing w:before="150" w:after="100" w:afterAutospacing="1" w:line="225" w:lineRule="atLeast"/>
      <w:ind w:left="150"/>
    </w:pPr>
    <w:rPr>
      <w:rFonts w:ascii="Arial" w:hAnsi="Arial" w:cs="Arial"/>
      <w:color w:val="333333"/>
      <w:sz w:val="15"/>
      <w:szCs w:val="15"/>
      <w:lang w:val="es-CR"/>
    </w:rPr>
  </w:style>
  <w:style w:type="paragraph" w:customStyle="1" w:styleId="modbgbroadcasttxt">
    <w:name w:val="modbgbroadcasttxt"/>
    <w:basedOn w:val="Normal"/>
    <w:rsid w:val="009F5DDF"/>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modbgbroadcastttl">
    <w:name w:val="modbgbroadcastttl"/>
    <w:basedOn w:val="Normal"/>
    <w:rsid w:val="009F5DDF"/>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quoteshrtprice">
    <w:name w:val="modquoteshrtprice"/>
    <w:basedOn w:val="Normal"/>
    <w:rsid w:val="009F5DDF"/>
    <w:pPr>
      <w:spacing w:before="150" w:after="100" w:afterAutospacing="1" w:line="225" w:lineRule="atLeast"/>
      <w:ind w:left="150"/>
    </w:pPr>
    <w:rPr>
      <w:rFonts w:ascii="Arial" w:hAnsi="Arial" w:cs="Arial"/>
      <w:b/>
      <w:bCs/>
      <w:color w:val="333333"/>
      <w:sz w:val="17"/>
      <w:szCs w:val="17"/>
      <w:lang w:val="es-CR"/>
    </w:rPr>
  </w:style>
  <w:style w:type="paragraph" w:customStyle="1" w:styleId="modquoteshrtdata">
    <w:name w:val="modquoteshrtdata"/>
    <w:basedOn w:val="Normal"/>
    <w:rsid w:val="009F5DDF"/>
    <w:pPr>
      <w:spacing w:before="150" w:after="100" w:afterAutospacing="1" w:line="225" w:lineRule="atLeast"/>
      <w:ind w:left="150"/>
    </w:pPr>
    <w:rPr>
      <w:rFonts w:ascii="Arial" w:hAnsi="Arial" w:cs="Arial"/>
      <w:b/>
      <w:bCs/>
      <w:color w:val="333333"/>
      <w:sz w:val="17"/>
      <w:szCs w:val="17"/>
      <w:lang w:val="es-CR"/>
    </w:rPr>
  </w:style>
  <w:style w:type="paragraph" w:customStyle="1" w:styleId="modquoteshrtlabel">
    <w:name w:val="modquoteshrtlabel"/>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quoteshrtpos">
    <w:name w:val="modquoteshrtpos"/>
    <w:basedOn w:val="Normal"/>
    <w:rsid w:val="009F5DDF"/>
    <w:pPr>
      <w:spacing w:before="150" w:after="100" w:afterAutospacing="1" w:line="225" w:lineRule="atLeast"/>
      <w:ind w:left="150"/>
    </w:pPr>
    <w:rPr>
      <w:rFonts w:ascii="Arial" w:hAnsi="Arial" w:cs="Arial"/>
      <w:b/>
      <w:bCs/>
      <w:color w:val="006600"/>
      <w:sz w:val="17"/>
      <w:szCs w:val="17"/>
      <w:lang w:val="es-CR"/>
    </w:rPr>
  </w:style>
  <w:style w:type="paragraph" w:customStyle="1" w:styleId="modquoteshrtneg">
    <w:name w:val="modquoteshrtneg"/>
    <w:basedOn w:val="Normal"/>
    <w:rsid w:val="009F5DDF"/>
    <w:pPr>
      <w:spacing w:before="150" w:after="100" w:afterAutospacing="1" w:line="225" w:lineRule="atLeast"/>
      <w:ind w:left="150"/>
    </w:pPr>
    <w:rPr>
      <w:rFonts w:ascii="Arial" w:hAnsi="Arial" w:cs="Arial"/>
      <w:b/>
      <w:bCs/>
      <w:color w:val="FF3300"/>
      <w:sz w:val="17"/>
      <w:szCs w:val="17"/>
      <w:lang w:val="es-CR"/>
    </w:rPr>
  </w:style>
  <w:style w:type="paragraph" w:customStyle="1" w:styleId="modquoteshrtticker">
    <w:name w:val="modquoteshrtticker"/>
    <w:basedOn w:val="Normal"/>
    <w:rsid w:val="009F5DDF"/>
    <w:pPr>
      <w:spacing w:before="150" w:after="100" w:afterAutospacing="1" w:line="225" w:lineRule="atLeast"/>
      <w:ind w:left="150"/>
    </w:pPr>
    <w:rPr>
      <w:rFonts w:ascii="Arial" w:hAnsi="Arial" w:cs="Arial"/>
      <w:b/>
      <w:bCs/>
      <w:color w:val="333333"/>
      <w:sz w:val="17"/>
      <w:szCs w:val="17"/>
      <w:lang w:val="es-CR"/>
    </w:rPr>
  </w:style>
  <w:style w:type="paragraph" w:customStyle="1" w:styleId="modquoteshrttickertbl">
    <w:name w:val="modquoteshrttickertbl"/>
    <w:basedOn w:val="Normal"/>
    <w:rsid w:val="009F5DDF"/>
    <w:pPr>
      <w:spacing w:before="150" w:after="100" w:afterAutospacing="1" w:line="225" w:lineRule="atLeast"/>
      <w:ind w:left="150"/>
    </w:pPr>
    <w:rPr>
      <w:rFonts w:ascii="Arial" w:hAnsi="Arial" w:cs="Arial"/>
      <w:b/>
      <w:bCs/>
      <w:color w:val="333333"/>
      <w:sz w:val="17"/>
      <w:szCs w:val="17"/>
      <w:lang w:val="es-CR"/>
    </w:rPr>
  </w:style>
  <w:style w:type="paragraph" w:customStyle="1" w:styleId="modquoteshrtdate">
    <w:name w:val="modquoteshrtdate"/>
    <w:basedOn w:val="Normal"/>
    <w:rsid w:val="009F5DDF"/>
    <w:pPr>
      <w:spacing w:before="150" w:after="100" w:afterAutospacing="1" w:line="225" w:lineRule="atLeast"/>
      <w:ind w:left="150"/>
    </w:pPr>
    <w:rPr>
      <w:rFonts w:ascii="Arial" w:hAnsi="Arial" w:cs="Arial"/>
      <w:color w:val="333333"/>
      <w:sz w:val="15"/>
      <w:szCs w:val="15"/>
      <w:lang w:val="es-CR"/>
    </w:rPr>
  </w:style>
  <w:style w:type="paragraph" w:customStyle="1" w:styleId="modquoteshrtdisclaimer">
    <w:name w:val="modquoteshrtdisclaimer"/>
    <w:basedOn w:val="Normal"/>
    <w:rsid w:val="009F5DDF"/>
    <w:pPr>
      <w:spacing w:before="150" w:after="100" w:afterAutospacing="1" w:line="225" w:lineRule="atLeast"/>
      <w:ind w:left="150"/>
    </w:pPr>
    <w:rPr>
      <w:rFonts w:ascii="Arial" w:hAnsi="Arial" w:cs="Arial"/>
      <w:color w:val="333333"/>
      <w:sz w:val="15"/>
      <w:szCs w:val="15"/>
      <w:lang w:val="es-CR"/>
    </w:rPr>
  </w:style>
  <w:style w:type="paragraph" w:customStyle="1" w:styleId="modbgquoteshrtprice">
    <w:name w:val="modbgquoteshrtprice"/>
    <w:basedOn w:val="Normal"/>
    <w:rsid w:val="009F5DDF"/>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shrtdata">
    <w:name w:val="modbgquoteshrtdata"/>
    <w:basedOn w:val="Normal"/>
    <w:rsid w:val="009F5DDF"/>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quoteshrtlabel">
    <w:name w:val="modbgquoteshrtlabel"/>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imgpos">
    <w:name w:val="modbgquoteshrtimgpos"/>
    <w:basedOn w:val="Normal"/>
    <w:rsid w:val="009F5DDF"/>
    <w:pPr>
      <w:shd w:val="clear" w:color="auto" w:fill="006600"/>
      <w:spacing w:before="150" w:after="100" w:afterAutospacing="1" w:line="225" w:lineRule="atLeast"/>
      <w:ind w:left="150"/>
    </w:pPr>
    <w:rPr>
      <w:rFonts w:ascii="Arial" w:hAnsi="Arial" w:cs="Arial"/>
      <w:color w:val="333333"/>
      <w:sz w:val="18"/>
      <w:szCs w:val="18"/>
      <w:lang w:val="es-CR"/>
    </w:rPr>
  </w:style>
  <w:style w:type="paragraph" w:customStyle="1" w:styleId="modbgquoteshrtimgneg">
    <w:name w:val="modbgquoteshrtimgneg"/>
    <w:basedOn w:val="Normal"/>
    <w:rsid w:val="009F5DDF"/>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modbgquoteshrtticker">
    <w:name w:val="modbgquoteshrtticker"/>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date">
    <w:name w:val="modbgquoteshrtdate"/>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disclaimer">
    <w:name w:val="modbgquoteshrtdisclaimer"/>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hline">
    <w:name w:val="modbgquoteshrthline"/>
    <w:basedOn w:val="Normal"/>
    <w:rsid w:val="009F5DDF"/>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shrtvline">
    <w:name w:val="modbgquoteshrtvline"/>
    <w:basedOn w:val="Normal"/>
    <w:rsid w:val="009F5DDF"/>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quotelngprice">
    <w:name w:val="modquotelngprice"/>
    <w:basedOn w:val="Normal"/>
    <w:rsid w:val="009F5DDF"/>
    <w:pPr>
      <w:spacing w:before="150" w:after="100" w:afterAutospacing="1" w:line="225" w:lineRule="atLeast"/>
      <w:ind w:left="150"/>
    </w:pPr>
    <w:rPr>
      <w:rFonts w:ascii="Arial" w:hAnsi="Arial" w:cs="Arial"/>
      <w:b/>
      <w:bCs/>
      <w:color w:val="FFFFFF"/>
      <w:sz w:val="27"/>
      <w:szCs w:val="27"/>
      <w:lang w:val="es-CR"/>
    </w:rPr>
  </w:style>
  <w:style w:type="paragraph" w:customStyle="1" w:styleId="modquotelngdata">
    <w:name w:val="modquotelngdata"/>
    <w:basedOn w:val="Normal"/>
    <w:rsid w:val="009F5DDF"/>
    <w:pPr>
      <w:spacing w:before="150" w:after="100" w:afterAutospacing="1" w:line="225" w:lineRule="atLeast"/>
      <w:ind w:left="150"/>
    </w:pPr>
    <w:rPr>
      <w:rFonts w:ascii="Arial" w:hAnsi="Arial" w:cs="Arial"/>
      <w:b/>
      <w:bCs/>
      <w:color w:val="333333"/>
      <w:sz w:val="17"/>
      <w:szCs w:val="17"/>
      <w:lang w:val="es-CR"/>
    </w:rPr>
  </w:style>
  <w:style w:type="paragraph" w:customStyle="1" w:styleId="modquotelnglabel">
    <w:name w:val="modquotelnglabel"/>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quotelngpos">
    <w:name w:val="modquotelngpos"/>
    <w:basedOn w:val="Normal"/>
    <w:rsid w:val="009F5DDF"/>
    <w:pPr>
      <w:spacing w:before="150" w:after="100" w:afterAutospacing="1" w:line="225" w:lineRule="atLeast"/>
      <w:ind w:left="150"/>
    </w:pPr>
    <w:rPr>
      <w:rFonts w:ascii="Arial" w:hAnsi="Arial" w:cs="Arial"/>
      <w:b/>
      <w:bCs/>
      <w:color w:val="006600"/>
      <w:sz w:val="21"/>
      <w:szCs w:val="21"/>
      <w:lang w:val="es-CR"/>
    </w:rPr>
  </w:style>
  <w:style w:type="paragraph" w:customStyle="1" w:styleId="modquotelngneg">
    <w:name w:val="modquotelngneg"/>
    <w:basedOn w:val="Normal"/>
    <w:rsid w:val="009F5DDF"/>
    <w:pPr>
      <w:spacing w:before="150" w:after="100" w:afterAutospacing="1" w:line="225" w:lineRule="atLeast"/>
      <w:ind w:left="150"/>
    </w:pPr>
    <w:rPr>
      <w:rFonts w:ascii="Arial" w:hAnsi="Arial" w:cs="Arial"/>
      <w:b/>
      <w:bCs/>
      <w:color w:val="FF3300"/>
      <w:sz w:val="21"/>
      <w:szCs w:val="21"/>
      <w:lang w:val="es-CR"/>
    </w:rPr>
  </w:style>
  <w:style w:type="paragraph" w:customStyle="1" w:styleId="modquotelngticker">
    <w:name w:val="modquotelngticker"/>
    <w:basedOn w:val="Normal"/>
    <w:rsid w:val="009F5DDF"/>
    <w:pPr>
      <w:spacing w:before="150" w:after="100" w:afterAutospacing="1" w:line="225" w:lineRule="atLeast"/>
      <w:ind w:left="150"/>
    </w:pPr>
    <w:rPr>
      <w:rFonts w:ascii="Arial" w:hAnsi="Arial" w:cs="Arial"/>
      <w:b/>
      <w:bCs/>
      <w:color w:val="333333"/>
      <w:sz w:val="17"/>
      <w:szCs w:val="17"/>
      <w:lang w:val="es-CR"/>
    </w:rPr>
  </w:style>
  <w:style w:type="paragraph" w:customStyle="1" w:styleId="modquotelngtickertbl">
    <w:name w:val="modquotelngtickertbl"/>
    <w:basedOn w:val="Normal"/>
    <w:rsid w:val="009F5DDF"/>
    <w:pPr>
      <w:spacing w:before="150" w:after="100" w:afterAutospacing="1" w:line="225" w:lineRule="atLeast"/>
      <w:ind w:left="150"/>
    </w:pPr>
    <w:rPr>
      <w:rFonts w:ascii="Arial" w:hAnsi="Arial" w:cs="Arial"/>
      <w:b/>
      <w:bCs/>
      <w:color w:val="333333"/>
      <w:sz w:val="17"/>
      <w:szCs w:val="17"/>
      <w:lang w:val="es-CR"/>
    </w:rPr>
  </w:style>
  <w:style w:type="paragraph" w:customStyle="1" w:styleId="modquotelngdate">
    <w:name w:val="modquotelngdate"/>
    <w:basedOn w:val="Normal"/>
    <w:rsid w:val="009F5DDF"/>
    <w:pPr>
      <w:spacing w:before="150" w:after="100" w:afterAutospacing="1" w:line="225" w:lineRule="atLeast"/>
      <w:ind w:left="150"/>
    </w:pPr>
    <w:rPr>
      <w:rFonts w:ascii="Arial" w:hAnsi="Arial" w:cs="Arial"/>
      <w:color w:val="333333"/>
      <w:sz w:val="15"/>
      <w:szCs w:val="15"/>
      <w:lang w:val="es-CR"/>
    </w:rPr>
  </w:style>
  <w:style w:type="paragraph" w:customStyle="1" w:styleId="modquotelngdisclaimer">
    <w:name w:val="modquotelngdisclaimer"/>
    <w:basedOn w:val="Normal"/>
    <w:rsid w:val="009F5DDF"/>
    <w:pPr>
      <w:spacing w:before="150" w:after="100" w:afterAutospacing="1" w:line="225" w:lineRule="atLeast"/>
      <w:ind w:left="150"/>
    </w:pPr>
    <w:rPr>
      <w:rFonts w:ascii="Arial" w:hAnsi="Arial" w:cs="Arial"/>
      <w:color w:val="333333"/>
      <w:sz w:val="15"/>
      <w:szCs w:val="15"/>
      <w:lang w:val="es-CR"/>
    </w:rPr>
  </w:style>
  <w:style w:type="paragraph" w:customStyle="1" w:styleId="modbgquotelngprice">
    <w:name w:val="modbgquotelngprice"/>
    <w:basedOn w:val="Normal"/>
    <w:rsid w:val="009F5DDF"/>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modbgquotelngdata">
    <w:name w:val="modbgquotelngdata"/>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label">
    <w:name w:val="modbgquotelnglabel"/>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imgpos">
    <w:name w:val="modbgquotelngimgpos"/>
    <w:basedOn w:val="Normal"/>
    <w:rsid w:val="009F5DDF"/>
    <w:pPr>
      <w:shd w:val="clear" w:color="auto" w:fill="006600"/>
      <w:spacing w:before="150" w:after="100" w:afterAutospacing="1" w:line="225" w:lineRule="atLeast"/>
      <w:ind w:left="150"/>
    </w:pPr>
    <w:rPr>
      <w:rFonts w:ascii="Arial" w:hAnsi="Arial" w:cs="Arial"/>
      <w:color w:val="333333"/>
      <w:sz w:val="18"/>
      <w:szCs w:val="18"/>
      <w:lang w:val="es-CR"/>
    </w:rPr>
  </w:style>
  <w:style w:type="paragraph" w:customStyle="1" w:styleId="modbgquotelngimgneg">
    <w:name w:val="modbgquotelngimgneg"/>
    <w:basedOn w:val="Normal"/>
    <w:rsid w:val="009F5DDF"/>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modbgquotelngticker">
    <w:name w:val="modbgquotelngticker"/>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date">
    <w:name w:val="modbgquotelngdate"/>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disclaimer">
    <w:name w:val="modbgquotelngdisclaimer"/>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hline">
    <w:name w:val="modbgquotelnghline"/>
    <w:basedOn w:val="Normal"/>
    <w:rsid w:val="009F5DDF"/>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lngvline">
    <w:name w:val="modbgquotelngvline"/>
    <w:basedOn w:val="Normal"/>
    <w:rsid w:val="009F5DDF"/>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stockinfoticker">
    <w:name w:val="modstockinfoticker"/>
    <w:basedOn w:val="Normal"/>
    <w:rsid w:val="009F5DDF"/>
    <w:pPr>
      <w:spacing w:before="150" w:after="100" w:afterAutospacing="1" w:line="225" w:lineRule="atLeast"/>
      <w:ind w:left="150"/>
    </w:pPr>
    <w:rPr>
      <w:rFonts w:ascii="Arial" w:hAnsi="Arial" w:cs="Arial"/>
      <w:b/>
      <w:bCs/>
      <w:color w:val="333333"/>
      <w:sz w:val="17"/>
      <w:szCs w:val="17"/>
      <w:lang w:val="es-CR"/>
    </w:rPr>
  </w:style>
  <w:style w:type="paragraph" w:customStyle="1" w:styleId="modstockinfoprice">
    <w:name w:val="modstockinfoprice"/>
    <w:basedOn w:val="Normal"/>
    <w:rsid w:val="009F5DDF"/>
    <w:pPr>
      <w:spacing w:before="150" w:after="100" w:afterAutospacing="1" w:line="225" w:lineRule="atLeast"/>
      <w:ind w:left="150"/>
    </w:pPr>
    <w:rPr>
      <w:rFonts w:ascii="Arial" w:hAnsi="Arial" w:cs="Arial"/>
      <w:color w:val="333333"/>
      <w:sz w:val="24"/>
      <w:szCs w:val="24"/>
      <w:lang w:val="es-CR"/>
    </w:rPr>
  </w:style>
  <w:style w:type="paragraph" w:customStyle="1" w:styleId="modstockinfodata">
    <w:name w:val="modstockinfodata"/>
    <w:basedOn w:val="Normal"/>
    <w:rsid w:val="009F5DDF"/>
    <w:pPr>
      <w:spacing w:before="150" w:after="100" w:afterAutospacing="1" w:line="225" w:lineRule="atLeast"/>
      <w:ind w:left="150"/>
    </w:pPr>
    <w:rPr>
      <w:rFonts w:ascii="Arial" w:hAnsi="Arial" w:cs="Arial"/>
      <w:b/>
      <w:bCs/>
      <w:color w:val="333333"/>
      <w:sz w:val="17"/>
      <w:szCs w:val="17"/>
      <w:lang w:val="es-CR"/>
    </w:rPr>
  </w:style>
  <w:style w:type="paragraph" w:customStyle="1" w:styleId="modstockinfolabeloutput">
    <w:name w:val="modstockinfolabeloutput"/>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stockinfolabelinput">
    <w:name w:val="modstockinfolabelinput"/>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bgstockinput">
    <w:name w:val="modbgstockinput"/>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stockoutput">
    <w:name w:val="modbgstockoutput"/>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infottl">
    <w:name w:val="modinfottl"/>
    <w:basedOn w:val="Normal"/>
    <w:rsid w:val="009F5DDF"/>
    <w:pPr>
      <w:spacing w:before="150" w:after="100" w:afterAutospacing="1" w:line="225" w:lineRule="atLeast"/>
      <w:ind w:left="150"/>
    </w:pPr>
    <w:rPr>
      <w:rFonts w:ascii="Arial" w:hAnsi="Arial" w:cs="Arial"/>
      <w:b/>
      <w:bCs/>
      <w:color w:val="333333"/>
      <w:sz w:val="17"/>
      <w:szCs w:val="17"/>
      <w:lang w:val="es-CR"/>
    </w:rPr>
  </w:style>
  <w:style w:type="paragraph" w:customStyle="1" w:styleId="modinfolabel">
    <w:name w:val="modinfolabel"/>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infotxt">
    <w:name w:val="modinfotxt"/>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bginfottl">
    <w:name w:val="modbginfottl"/>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infolabel">
    <w:name w:val="modbginfolabel"/>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infotxt">
    <w:name w:val="modbginfotxt"/>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infosubttl">
    <w:name w:val="modinfosubttl"/>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infomaterialstxt">
    <w:name w:val="modinfomaterialstxt"/>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emailttl">
    <w:name w:val="modemailttl"/>
    <w:basedOn w:val="Normal"/>
    <w:rsid w:val="009F5DDF"/>
    <w:pPr>
      <w:spacing w:before="150" w:after="100" w:afterAutospacing="1" w:line="225" w:lineRule="atLeast"/>
      <w:ind w:left="150"/>
    </w:pPr>
    <w:rPr>
      <w:rFonts w:ascii="Arial" w:hAnsi="Arial" w:cs="Arial"/>
      <w:b/>
      <w:bCs/>
      <w:color w:val="333333"/>
      <w:sz w:val="17"/>
      <w:szCs w:val="17"/>
      <w:lang w:val="es-CR"/>
    </w:rPr>
  </w:style>
  <w:style w:type="paragraph" w:customStyle="1" w:styleId="modemaillabel">
    <w:name w:val="modemaillabel"/>
    <w:basedOn w:val="Normal"/>
    <w:rsid w:val="009F5DDF"/>
    <w:pPr>
      <w:spacing w:before="150" w:after="100" w:afterAutospacing="1" w:line="225" w:lineRule="atLeast"/>
      <w:ind w:left="150"/>
    </w:pPr>
    <w:rPr>
      <w:rFonts w:ascii="Arial" w:hAnsi="Arial" w:cs="Arial"/>
      <w:b/>
      <w:bCs/>
      <w:color w:val="333333"/>
      <w:sz w:val="17"/>
      <w:szCs w:val="17"/>
      <w:lang w:val="es-CR"/>
    </w:rPr>
  </w:style>
  <w:style w:type="paragraph" w:customStyle="1" w:styleId="modemailtxt">
    <w:name w:val="modemailtxt"/>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bgemailttl">
    <w:name w:val="modbgemailttl"/>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maillabel">
    <w:name w:val="modbgemaillabel"/>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mailtxt">
    <w:name w:val="modbgemailtxt"/>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secsearchttl">
    <w:name w:val="modsecsearchttl"/>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secsearchtxt">
    <w:name w:val="modsecsearchtxt"/>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secsearchlnk">
    <w:name w:val="modsecsearchlnk"/>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bgsecsearch">
    <w:name w:val="modbgsecsearch"/>
    <w:basedOn w:val="Normal"/>
    <w:rsid w:val="009F5DDF"/>
    <w:pPr>
      <w:shd w:val="clear" w:color="auto" w:fill="DEE3F0"/>
      <w:spacing w:before="150" w:after="100" w:afterAutospacing="1" w:line="225" w:lineRule="atLeast"/>
      <w:ind w:left="150"/>
    </w:pPr>
    <w:rPr>
      <w:rFonts w:ascii="Arial" w:hAnsi="Arial" w:cs="Arial"/>
      <w:color w:val="333333"/>
      <w:sz w:val="18"/>
      <w:szCs w:val="18"/>
      <w:lang w:val="es-CR"/>
    </w:rPr>
  </w:style>
  <w:style w:type="paragraph" w:customStyle="1" w:styleId="modnewssearchttl">
    <w:name w:val="modnewssearchttl"/>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newssearchtxt">
    <w:name w:val="modnewssearchtxt"/>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bgnewssearch">
    <w:name w:val="modbgnewssearch"/>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sec16lnk">
    <w:name w:val="modsec16lnk"/>
    <w:basedOn w:val="Normal"/>
    <w:rsid w:val="009F5DDF"/>
    <w:pPr>
      <w:spacing w:before="150" w:after="100" w:afterAutospacing="1" w:line="225" w:lineRule="atLeast"/>
      <w:ind w:left="150"/>
    </w:pPr>
    <w:rPr>
      <w:rFonts w:ascii="Arial" w:hAnsi="Arial" w:cs="Arial"/>
      <w:color w:val="333333"/>
      <w:sz w:val="21"/>
      <w:szCs w:val="21"/>
      <w:lang w:val="es-CR"/>
    </w:rPr>
  </w:style>
  <w:style w:type="paragraph" w:customStyle="1" w:styleId="modfaqlabelq">
    <w:name w:val="modfaqlabelq"/>
    <w:basedOn w:val="Normal"/>
    <w:rsid w:val="009F5DDF"/>
    <w:pPr>
      <w:spacing w:before="150" w:after="100" w:afterAutospacing="1" w:line="225" w:lineRule="atLeast"/>
      <w:ind w:left="150"/>
    </w:pPr>
    <w:rPr>
      <w:rFonts w:ascii="Arial" w:hAnsi="Arial" w:cs="Arial"/>
      <w:b/>
      <w:bCs/>
      <w:color w:val="333333"/>
      <w:sz w:val="17"/>
      <w:szCs w:val="17"/>
      <w:lang w:val="es-CR"/>
    </w:rPr>
  </w:style>
  <w:style w:type="paragraph" w:customStyle="1" w:styleId="modfaqtxtq">
    <w:name w:val="modfaqtxtq"/>
    <w:basedOn w:val="Normal"/>
    <w:rsid w:val="009F5DDF"/>
    <w:pPr>
      <w:spacing w:before="150" w:after="100" w:afterAutospacing="1" w:line="225" w:lineRule="atLeast"/>
      <w:ind w:left="150"/>
    </w:pPr>
    <w:rPr>
      <w:rFonts w:ascii="Arial" w:hAnsi="Arial" w:cs="Arial"/>
      <w:b/>
      <w:bCs/>
      <w:color w:val="333333"/>
      <w:sz w:val="17"/>
      <w:szCs w:val="17"/>
      <w:lang w:val="es-CR"/>
    </w:rPr>
  </w:style>
  <w:style w:type="paragraph" w:customStyle="1" w:styleId="modfaqlabela">
    <w:name w:val="modfaqlabela"/>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faqtxta">
    <w:name w:val="modfaqtxta"/>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bgfaqtxtq">
    <w:name w:val="modbgfaqtxtq"/>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txta">
    <w:name w:val="modbgfaqtxta"/>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labelq">
    <w:name w:val="modbgfaqlabelq"/>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labela">
    <w:name w:val="modbgfaqlabela"/>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anchorlnk">
    <w:name w:val="modbgfaqanchorlnk"/>
    <w:basedOn w:val="Normal"/>
    <w:rsid w:val="009F5DDF"/>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faqanchorlnk">
    <w:name w:val="modfaqanchorlnk"/>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contactttl">
    <w:name w:val="modcontactttl"/>
    <w:basedOn w:val="Normal"/>
    <w:rsid w:val="009F5DDF"/>
    <w:pPr>
      <w:spacing w:before="150" w:after="100" w:afterAutospacing="1" w:line="225" w:lineRule="atLeast"/>
      <w:ind w:left="150"/>
    </w:pPr>
    <w:rPr>
      <w:rFonts w:ascii="Arial" w:hAnsi="Arial" w:cs="Arial"/>
      <w:b/>
      <w:bCs/>
      <w:color w:val="333333"/>
      <w:sz w:val="17"/>
      <w:szCs w:val="17"/>
      <w:lang w:val="es-CR"/>
    </w:rPr>
  </w:style>
  <w:style w:type="paragraph" w:customStyle="1" w:styleId="modcontactsubttl">
    <w:name w:val="modcontactsubttl"/>
    <w:basedOn w:val="Normal"/>
    <w:rsid w:val="009F5DDF"/>
    <w:pPr>
      <w:spacing w:before="150" w:after="100" w:afterAutospacing="1" w:line="225" w:lineRule="atLeast"/>
      <w:ind w:left="150"/>
    </w:pPr>
    <w:rPr>
      <w:rFonts w:ascii="Arial" w:hAnsi="Arial" w:cs="Arial"/>
      <w:b/>
      <w:bCs/>
      <w:color w:val="444444"/>
      <w:sz w:val="17"/>
      <w:szCs w:val="17"/>
      <w:lang w:val="es-CR"/>
    </w:rPr>
  </w:style>
  <w:style w:type="paragraph" w:customStyle="1" w:styleId="modcontacttxt">
    <w:name w:val="modcontacttxt"/>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contactlnk">
    <w:name w:val="modcontactlnk"/>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bgcontactttl">
    <w:name w:val="modbgcontactttl"/>
    <w:basedOn w:val="Normal"/>
    <w:rsid w:val="009F5DDF"/>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modbgcontactsubttl">
    <w:name w:val="modbgcontactsubttl"/>
    <w:basedOn w:val="Normal"/>
    <w:rsid w:val="009F5DDF"/>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contacttxt">
    <w:name w:val="modbgcontacttxt"/>
    <w:basedOn w:val="Normal"/>
    <w:rsid w:val="009F5DDF"/>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fundtbltxtodd">
    <w:name w:val="modfundtbltxtodd"/>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fundtbltxteven">
    <w:name w:val="modfundtbltxteven"/>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fundtbltxtboldodd">
    <w:name w:val="modfundtbltxtboldodd"/>
    <w:basedOn w:val="Normal"/>
    <w:rsid w:val="009F5DDF"/>
    <w:pPr>
      <w:spacing w:before="150" w:after="100" w:afterAutospacing="1" w:line="225" w:lineRule="atLeast"/>
      <w:ind w:left="150"/>
    </w:pPr>
    <w:rPr>
      <w:rFonts w:ascii="Arial" w:hAnsi="Arial" w:cs="Arial"/>
      <w:b/>
      <w:bCs/>
      <w:color w:val="333333"/>
      <w:sz w:val="17"/>
      <w:szCs w:val="17"/>
      <w:lang w:val="es-CR"/>
    </w:rPr>
  </w:style>
  <w:style w:type="paragraph" w:customStyle="1" w:styleId="modfundtbltxtboldeven">
    <w:name w:val="modfundtbltxtboldeven"/>
    <w:basedOn w:val="Normal"/>
    <w:rsid w:val="009F5DDF"/>
    <w:pPr>
      <w:spacing w:before="150" w:after="100" w:afterAutospacing="1" w:line="225" w:lineRule="atLeast"/>
      <w:ind w:left="150"/>
    </w:pPr>
    <w:rPr>
      <w:rFonts w:ascii="Arial" w:hAnsi="Arial" w:cs="Arial"/>
      <w:b/>
      <w:bCs/>
      <w:color w:val="333333"/>
      <w:sz w:val="17"/>
      <w:szCs w:val="17"/>
      <w:lang w:val="es-CR"/>
    </w:rPr>
  </w:style>
  <w:style w:type="paragraph" w:customStyle="1" w:styleId="modfundtblttl">
    <w:name w:val="modfundtblttl"/>
    <w:basedOn w:val="Normal"/>
    <w:rsid w:val="009F5DDF"/>
    <w:pPr>
      <w:spacing w:before="150" w:after="100" w:afterAutospacing="1" w:line="225" w:lineRule="atLeast"/>
      <w:ind w:left="150"/>
    </w:pPr>
    <w:rPr>
      <w:rFonts w:ascii="Arial" w:hAnsi="Arial" w:cs="Arial"/>
      <w:b/>
      <w:bCs/>
      <w:color w:val="333333"/>
      <w:sz w:val="17"/>
      <w:szCs w:val="17"/>
      <w:lang w:val="es-CR"/>
    </w:rPr>
  </w:style>
  <w:style w:type="paragraph" w:customStyle="1" w:styleId="modfundtblsubttl">
    <w:name w:val="modfundtblsubttl"/>
    <w:basedOn w:val="Normal"/>
    <w:rsid w:val="009F5DDF"/>
    <w:pPr>
      <w:spacing w:before="150" w:after="100" w:afterAutospacing="1" w:line="225" w:lineRule="atLeast"/>
      <w:ind w:left="150"/>
    </w:pPr>
    <w:rPr>
      <w:rFonts w:ascii="Arial" w:hAnsi="Arial" w:cs="Arial"/>
      <w:b/>
      <w:bCs/>
      <w:color w:val="333333"/>
      <w:sz w:val="17"/>
      <w:szCs w:val="17"/>
      <w:lang w:val="es-CR"/>
    </w:rPr>
  </w:style>
  <w:style w:type="paragraph" w:customStyle="1" w:styleId="modfundheader">
    <w:name w:val="modfundheader"/>
    <w:basedOn w:val="Normal"/>
    <w:rsid w:val="009F5DDF"/>
    <w:pPr>
      <w:spacing w:before="150" w:after="100" w:afterAutospacing="1" w:line="225" w:lineRule="atLeast"/>
      <w:ind w:left="150"/>
    </w:pPr>
    <w:rPr>
      <w:rFonts w:ascii="Arial" w:hAnsi="Arial" w:cs="Arial"/>
      <w:color w:val="333333"/>
      <w:sz w:val="21"/>
      <w:szCs w:val="21"/>
      <w:lang w:val="es-CR"/>
    </w:rPr>
  </w:style>
  <w:style w:type="paragraph" w:customStyle="1" w:styleId="modfunddesctxt">
    <w:name w:val="modfunddesctxt"/>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funddescsubttltxt">
    <w:name w:val="modfunddescsubttltxt"/>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bgfundtblodd">
    <w:name w:val="modbgfundtblodd"/>
    <w:basedOn w:val="Normal"/>
    <w:rsid w:val="009F5DDF"/>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fundtbleven">
    <w:name w:val="modbgfundtbleven"/>
    <w:basedOn w:val="Normal"/>
    <w:rsid w:val="009F5DDF"/>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bgfundtblttl">
    <w:name w:val="modbgfundtblttl"/>
    <w:basedOn w:val="Normal"/>
    <w:rsid w:val="009F5DDF"/>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fundtblsubttl">
    <w:name w:val="modbgfundtblsubttl"/>
    <w:basedOn w:val="Normal"/>
    <w:rsid w:val="009F5DDF"/>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modoutlineeventdetails">
    <w:name w:val="modoutlineeventdetails"/>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webcast">
    <w:name w:val="modoutlineeventdetailswebcast"/>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future">
    <w:name w:val="modoutlineeventdetailsfuture"/>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disclaimer">
    <w:name w:val="modoutlineeventdetailsdisclaimer"/>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sponsor">
    <w:name w:val="modoutlineeventdetailssponsor"/>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date">
    <w:name w:val="modbgeventdetailsdate"/>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ate">
    <w:name w:val="modeventdetailsdate"/>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eventdetailsformats">
    <w:name w:val="modeventdetailsformats"/>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eventsdate">
    <w:name w:val="modeventsdate"/>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bgeventdetailstxteven">
    <w:name w:val="modbgeventdetailstxteven"/>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txtodd">
    <w:name w:val="modbgeventdetailstxtodd"/>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disclaimer">
    <w:name w:val="modbgeventdetailsdisclaimer"/>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isclaimer">
    <w:name w:val="modeventdetailsdisclaimer"/>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bgeventdetailssponsor">
    <w:name w:val="modbgeventdetailssponsor"/>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sponsor">
    <w:name w:val="modeventdetailssponsor"/>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bgeventdetailswebcast">
    <w:name w:val="modbgeventdetailswebcast"/>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ttl">
    <w:name w:val="modeventdetailsttl"/>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bgeventdetailsttl">
    <w:name w:val="modbgeventdetailsttl"/>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label">
    <w:name w:val="modeventdetailslabel"/>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bgeventdetailslabel">
    <w:name w:val="modbgeventdetailslabel"/>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ata">
    <w:name w:val="modeventdetailsdata"/>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bgeventdetailsdata">
    <w:name w:val="modbgeventdetailsdata"/>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subttl">
    <w:name w:val="modeventdetailssubttl"/>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bgeventdetailssubttl">
    <w:name w:val="modbgeventdetailssubttl"/>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txt">
    <w:name w:val="modeventdetailstxt"/>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bgeventdetailstxt">
    <w:name w:val="modbgeventdetailstxt"/>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lnk">
    <w:name w:val="modeventdetailslnk"/>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eventstbltxt">
    <w:name w:val="modeventstbltxt"/>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eventstblttl">
    <w:name w:val="modeventstblttl"/>
    <w:basedOn w:val="Normal"/>
    <w:rsid w:val="009F5DDF"/>
    <w:pPr>
      <w:spacing w:before="150" w:after="100" w:afterAutospacing="1" w:line="225" w:lineRule="atLeast"/>
      <w:ind w:left="150"/>
    </w:pPr>
    <w:rPr>
      <w:rFonts w:ascii="Arial" w:hAnsi="Arial" w:cs="Arial"/>
      <w:b/>
      <w:bCs/>
      <w:color w:val="333333"/>
      <w:sz w:val="17"/>
      <w:szCs w:val="17"/>
      <w:lang w:val="es-CR"/>
    </w:rPr>
  </w:style>
  <w:style w:type="paragraph" w:customStyle="1" w:styleId="modbgeventstblttl">
    <w:name w:val="modbgeventstblttl"/>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stxt">
    <w:name w:val="modeventstxt"/>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bgeventstxt">
    <w:name w:val="modbgeventstxt"/>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stbltxt">
    <w:name w:val="modbgeventstbltxt"/>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stbllnk">
    <w:name w:val="modeventstbllnk"/>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estimatestxt">
    <w:name w:val="modestimatestxt"/>
    <w:basedOn w:val="Normal"/>
    <w:rsid w:val="009F5DDF"/>
    <w:pPr>
      <w:spacing w:before="150" w:after="100" w:afterAutospacing="1" w:line="225" w:lineRule="atLeast"/>
      <w:ind w:left="150"/>
    </w:pPr>
    <w:rPr>
      <w:rFonts w:ascii="Arial" w:hAnsi="Arial" w:cs="Arial"/>
      <w:b/>
      <w:bCs/>
      <w:color w:val="333333"/>
      <w:sz w:val="17"/>
      <w:szCs w:val="17"/>
      <w:lang w:val="es-CR"/>
    </w:rPr>
  </w:style>
  <w:style w:type="paragraph" w:customStyle="1" w:styleId="modestimatestblttl">
    <w:name w:val="modestimatestblttl"/>
    <w:basedOn w:val="Normal"/>
    <w:rsid w:val="009F5DDF"/>
    <w:pPr>
      <w:spacing w:before="150" w:after="100" w:afterAutospacing="1" w:line="225" w:lineRule="atLeast"/>
      <w:ind w:left="150"/>
    </w:pPr>
    <w:rPr>
      <w:rFonts w:ascii="Arial" w:hAnsi="Arial" w:cs="Arial"/>
      <w:b/>
      <w:bCs/>
      <w:color w:val="333333"/>
      <w:sz w:val="17"/>
      <w:szCs w:val="17"/>
      <w:lang w:val="es-CR"/>
    </w:rPr>
  </w:style>
  <w:style w:type="paragraph" w:customStyle="1" w:styleId="modestimatestbltxtodd">
    <w:name w:val="modestimatestbltxtodd"/>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estimatestbltxteven">
    <w:name w:val="modestimatestbltxteven"/>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estimateslnk">
    <w:name w:val="modestimateslnk"/>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bgestimatestblttl">
    <w:name w:val="modbgestimatestblttl"/>
    <w:basedOn w:val="Normal"/>
    <w:rsid w:val="009F5DDF"/>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estimatestbltxtodd">
    <w:name w:val="modbgestimatestbltxtodd"/>
    <w:basedOn w:val="Normal"/>
    <w:rsid w:val="009F5DDF"/>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estimatestbltxteven">
    <w:name w:val="modbgestimatestbltxteven"/>
    <w:basedOn w:val="Normal"/>
    <w:rsid w:val="009F5DDF"/>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govttl">
    <w:name w:val="modgovttl"/>
    <w:basedOn w:val="Normal"/>
    <w:rsid w:val="009F5DDF"/>
    <w:pPr>
      <w:spacing w:before="150" w:after="100" w:afterAutospacing="1" w:line="225" w:lineRule="atLeast"/>
      <w:ind w:left="150"/>
    </w:pPr>
    <w:rPr>
      <w:rFonts w:ascii="Arial" w:hAnsi="Arial" w:cs="Arial"/>
      <w:b/>
      <w:bCs/>
      <w:color w:val="333333"/>
      <w:sz w:val="17"/>
      <w:szCs w:val="17"/>
      <w:lang w:val="es-CR"/>
    </w:rPr>
  </w:style>
  <w:style w:type="paragraph" w:customStyle="1" w:styleId="modgovsubttl">
    <w:name w:val="modgovsubttl"/>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govtxt">
    <w:name w:val="modgovtxt"/>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govtblttl">
    <w:name w:val="modgovtblttl"/>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govtbltxt">
    <w:name w:val="modgovtbltxt"/>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govnavlnk">
    <w:name w:val="modgovnavlnk"/>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govtbllnk">
    <w:name w:val="modgovtbllnk"/>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govnavtxt">
    <w:name w:val="modgovnavtxt"/>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bggovtblttl">
    <w:name w:val="modbggovtblttl"/>
    <w:basedOn w:val="Normal"/>
    <w:rsid w:val="009F5DDF"/>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bggovtbltxt">
    <w:name w:val="modbggovtbltxt"/>
    <w:basedOn w:val="Normal"/>
    <w:rsid w:val="009F5DDF"/>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govtbllnk">
    <w:name w:val="modbggovtbllnk"/>
    <w:basedOn w:val="Normal"/>
    <w:rsid w:val="009F5DDF"/>
    <w:pPr>
      <w:shd w:val="clear" w:color="auto" w:fill="DEDEDE"/>
      <w:spacing w:before="150" w:after="100" w:afterAutospacing="1" w:line="225" w:lineRule="atLeast"/>
      <w:ind w:left="150"/>
    </w:pPr>
    <w:rPr>
      <w:rFonts w:ascii="Arial" w:hAnsi="Arial" w:cs="Arial"/>
      <w:color w:val="333333"/>
      <w:sz w:val="18"/>
      <w:szCs w:val="18"/>
      <w:lang w:val="es-CR"/>
    </w:rPr>
  </w:style>
  <w:style w:type="paragraph" w:customStyle="1" w:styleId="modcommitteebodytxt">
    <w:name w:val="modcommitteebodytxt"/>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committeebodyttl">
    <w:name w:val="modcommitteebodyttl"/>
    <w:basedOn w:val="Normal"/>
    <w:rsid w:val="009F5DDF"/>
    <w:pPr>
      <w:spacing w:before="150" w:after="100" w:afterAutospacing="1" w:line="225" w:lineRule="atLeast"/>
      <w:ind w:left="150"/>
    </w:pPr>
    <w:rPr>
      <w:rFonts w:ascii="Arial" w:hAnsi="Arial" w:cs="Arial"/>
      <w:color w:val="333333"/>
      <w:sz w:val="17"/>
      <w:szCs w:val="17"/>
      <w:u w:val="single"/>
      <w:lang w:val="es-CR"/>
    </w:rPr>
  </w:style>
  <w:style w:type="paragraph" w:customStyle="1" w:styleId="modcommitteelegendtxt">
    <w:name w:val="modcommitteelegendtxt"/>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committeetbllnkcolumn">
    <w:name w:val="modcommitteetbllnkcolumn"/>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committeetbllnk">
    <w:name w:val="modcommitteetbllnk"/>
    <w:basedOn w:val="Normal"/>
    <w:rsid w:val="009F5DDF"/>
    <w:pPr>
      <w:spacing w:before="150" w:after="100" w:afterAutospacing="1" w:line="225" w:lineRule="atLeast"/>
      <w:ind w:left="150"/>
    </w:pPr>
    <w:rPr>
      <w:rFonts w:ascii="Arial" w:hAnsi="Arial" w:cs="Arial"/>
      <w:color w:val="333333"/>
      <w:sz w:val="17"/>
      <w:szCs w:val="17"/>
      <w:lang w:val="es-CR"/>
    </w:rPr>
  </w:style>
  <w:style w:type="paragraph" w:customStyle="1" w:styleId="modcommitteetblttl">
    <w:name w:val="modcommitteetblttl"/>
    <w:basedOn w:val="Normal"/>
    <w:rsid w:val="009F5DDF"/>
    <w:pPr>
      <w:spacing w:before="150" w:after="100" w:afterAutospacing="1" w:line="225" w:lineRule="atLeast"/>
      <w:ind w:left="150"/>
    </w:pPr>
    <w:rPr>
      <w:rFonts w:ascii="Arial" w:hAnsi="Arial" w:cs="Arial"/>
      <w:color w:val="333333"/>
      <w:sz w:val="17"/>
      <w:szCs w:val="17"/>
      <w:u w:val="single"/>
      <w:lang w:val="es-CR"/>
    </w:rPr>
  </w:style>
  <w:style w:type="paragraph" w:customStyle="1" w:styleId="modbgcommitteetbllnkcolumn">
    <w:name w:val="modbgcommitteetbllnkcolumn"/>
    <w:basedOn w:val="Normal"/>
    <w:rsid w:val="009F5DDF"/>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committeetblttl">
    <w:name w:val="modbgcommitteetblttl"/>
    <w:basedOn w:val="Normal"/>
    <w:rsid w:val="009F5DDF"/>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committeetbllnkodd">
    <w:name w:val="modbgcommitteetbllnkodd"/>
    <w:basedOn w:val="Normal"/>
    <w:rsid w:val="009F5DDF"/>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committeetbllnkeven">
    <w:name w:val="modbgcommitteetbllnkeven"/>
    <w:basedOn w:val="Normal"/>
    <w:rsid w:val="009F5DDF"/>
    <w:pPr>
      <w:shd w:val="clear" w:color="auto" w:fill="BCBCBC"/>
      <w:spacing w:before="150" w:after="100" w:afterAutospacing="1" w:line="225" w:lineRule="atLeast"/>
      <w:ind w:left="150"/>
    </w:pPr>
    <w:rPr>
      <w:rFonts w:ascii="Arial" w:hAnsi="Arial" w:cs="Arial"/>
      <w:color w:val="333333"/>
      <w:sz w:val="18"/>
      <w:szCs w:val="18"/>
      <w:lang w:val="es-CR"/>
    </w:rPr>
  </w:style>
  <w:style w:type="paragraph" w:customStyle="1" w:styleId="xslbglineh">
    <w:name w:val="xslbglineh"/>
    <w:basedOn w:val="Normal"/>
    <w:rsid w:val="009F5DDF"/>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glinev">
    <w:name w:val="xslbglinev"/>
    <w:basedOn w:val="Normal"/>
    <w:rsid w:val="009F5DD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xslbevinhighlightlt">
    <w:name w:val="xslbevinhighlightlt"/>
    <w:basedOn w:val="Normal"/>
    <w:rsid w:val="009F5DDF"/>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xslbevinhighlightdk">
    <w:name w:val="xslbevinhighlightdk"/>
    <w:basedOn w:val="Normal"/>
    <w:rsid w:val="009F5DDF"/>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xslbevinshadowlt">
    <w:name w:val="xslbevinshadowlt"/>
    <w:basedOn w:val="Normal"/>
    <w:rsid w:val="009F5DDF"/>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bevinshadowdk">
    <w:name w:val="xslbevinshadowdk"/>
    <w:basedOn w:val="Normal"/>
    <w:rsid w:val="009F5DDF"/>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evininset">
    <w:name w:val="xslbevininset"/>
    <w:basedOn w:val="Normal"/>
    <w:rsid w:val="009F5DDF"/>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xslbevouthighlightlt">
    <w:name w:val="xslbevouthighlightlt"/>
    <w:basedOn w:val="Normal"/>
    <w:rsid w:val="009F5DDF"/>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xslbevouthighlightdk">
    <w:name w:val="xslbevouthighlightdk"/>
    <w:basedOn w:val="Normal"/>
    <w:rsid w:val="009F5DDF"/>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xslbevoutshadowlt">
    <w:name w:val="xslbevoutshadowlt"/>
    <w:basedOn w:val="Normal"/>
    <w:rsid w:val="009F5DDF"/>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bevoutshadowdk">
    <w:name w:val="xslbevoutshadowdk"/>
    <w:basedOn w:val="Normal"/>
    <w:rsid w:val="009F5DDF"/>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evoutinset">
    <w:name w:val="xslbevoutinset"/>
    <w:basedOn w:val="Normal"/>
    <w:rsid w:val="009F5DDF"/>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xsldropshadow">
    <w:name w:val="xsldropshadow"/>
    <w:basedOn w:val="Normal"/>
    <w:rsid w:val="009F5DDF"/>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dropinset">
    <w:name w:val="xsldropinset"/>
    <w:basedOn w:val="Normal"/>
    <w:rsid w:val="009F5DDF"/>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xsloutline">
    <w:name w:val="xsloutline"/>
    <w:basedOn w:val="Normal"/>
    <w:rsid w:val="009F5DDF"/>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outlineinset">
    <w:name w:val="xsloutlineinset"/>
    <w:basedOn w:val="Normal"/>
    <w:rsid w:val="009F5DDF"/>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fullcolor">
    <w:name w:val="xslfullcolor"/>
    <w:basedOn w:val="Normal"/>
    <w:rsid w:val="009F5DDF"/>
    <w:pPr>
      <w:shd w:val="clear" w:color="auto" w:fill="DDDDDD"/>
      <w:spacing w:before="150" w:after="100" w:afterAutospacing="1" w:line="225" w:lineRule="atLeast"/>
      <w:ind w:left="150"/>
    </w:pPr>
    <w:rPr>
      <w:rFonts w:ascii="Arial" w:hAnsi="Arial" w:cs="Arial"/>
      <w:color w:val="333333"/>
      <w:sz w:val="18"/>
      <w:szCs w:val="18"/>
      <w:lang w:val="es-CR"/>
    </w:rPr>
  </w:style>
  <w:style w:type="character" w:customStyle="1" w:styleId="ccbntxt1">
    <w:name w:val="ccbntxt1"/>
    <w:rsid w:val="009F5DDF"/>
    <w:rPr>
      <w:rFonts w:ascii="Arial" w:hAnsi="Arial" w:cs="Arial" w:hint="default"/>
      <w:color w:val="434343"/>
      <w:sz w:val="17"/>
      <w:szCs w:val="17"/>
    </w:rPr>
  </w:style>
  <w:style w:type="paragraph" w:styleId="Textonotaalfinal">
    <w:name w:val="endnote text"/>
    <w:basedOn w:val="Normal"/>
    <w:link w:val="TextonotaalfinalCar"/>
    <w:unhideWhenUsed/>
    <w:rsid w:val="009F5DDF"/>
    <w:rPr>
      <w:rFonts w:ascii="Calibri" w:hAnsi="Calibri"/>
      <w:lang w:val="es-CR" w:eastAsia="es-CR"/>
    </w:rPr>
  </w:style>
  <w:style w:type="character" w:customStyle="1" w:styleId="TextonotaalfinalCar">
    <w:name w:val="Texto nota al final Car"/>
    <w:basedOn w:val="Fuentedeprrafopredeter"/>
    <w:link w:val="Textonotaalfinal"/>
    <w:rsid w:val="009F5DDF"/>
    <w:rPr>
      <w:rFonts w:eastAsia="Times New Roman"/>
    </w:rPr>
  </w:style>
  <w:style w:type="character" w:styleId="Refdenotaalfinal">
    <w:name w:val="endnote reference"/>
    <w:uiPriority w:val="99"/>
    <w:unhideWhenUsed/>
    <w:rsid w:val="009F5DDF"/>
    <w:rPr>
      <w:vertAlign w:val="superscript"/>
    </w:rPr>
  </w:style>
  <w:style w:type="character" w:customStyle="1" w:styleId="hps">
    <w:name w:val="hps"/>
    <w:rsid w:val="009F5DDF"/>
  </w:style>
  <w:style w:type="paragraph" w:customStyle="1" w:styleId="Texto">
    <w:name w:val="Texto"/>
    <w:basedOn w:val="Normal"/>
    <w:link w:val="TextoChar"/>
    <w:qFormat/>
    <w:rsid w:val="009F5DDF"/>
    <w:pPr>
      <w:spacing w:before="120" w:after="120"/>
      <w:jc w:val="both"/>
    </w:pPr>
    <w:rPr>
      <w:rFonts w:ascii="Franklin Gothic Book" w:hAnsi="Franklin Gothic Book"/>
      <w:sz w:val="22"/>
      <w:szCs w:val="24"/>
      <w:lang w:val="es-CR" w:eastAsia="en-US"/>
    </w:rPr>
  </w:style>
  <w:style w:type="character" w:customStyle="1" w:styleId="TextoChar">
    <w:name w:val="Texto Char"/>
    <w:link w:val="Texto"/>
    <w:rsid w:val="009F5DDF"/>
    <w:rPr>
      <w:rFonts w:ascii="Franklin Gothic Book" w:eastAsia="Times New Roman" w:hAnsi="Franklin Gothic Book"/>
      <w:sz w:val="22"/>
      <w:szCs w:val="24"/>
      <w:lang w:eastAsia="en-US"/>
    </w:rPr>
  </w:style>
  <w:style w:type="paragraph" w:customStyle="1" w:styleId="Negrita">
    <w:name w:val="Negrita"/>
    <w:basedOn w:val="Texto"/>
    <w:link w:val="NegritaChar1"/>
    <w:uiPriority w:val="1"/>
    <w:qFormat/>
    <w:rsid w:val="009F5DDF"/>
    <w:rPr>
      <w:b/>
    </w:rPr>
  </w:style>
  <w:style w:type="paragraph" w:customStyle="1" w:styleId="TextoInformes">
    <w:name w:val="Texto Informes"/>
    <w:basedOn w:val="Normal"/>
    <w:rsid w:val="009F5DDF"/>
    <w:pPr>
      <w:jc w:val="both"/>
    </w:pPr>
    <w:rPr>
      <w:rFonts w:ascii="Arial" w:hAnsi="Arial"/>
      <w:sz w:val="22"/>
      <w:szCs w:val="24"/>
      <w:lang w:val="es-CR"/>
    </w:rPr>
  </w:style>
  <w:style w:type="table" w:styleId="Sombreadomedio1-nfasis5">
    <w:name w:val="Medium Shading 1 Accent 5"/>
    <w:basedOn w:val="Tablanormal"/>
    <w:uiPriority w:val="63"/>
    <w:rsid w:val="009F5DDF"/>
    <w:rPr>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medio1-nfasis51">
    <w:name w:val="Sombreado medio 1 - Énfasis 51"/>
    <w:basedOn w:val="Tablanormal"/>
    <w:next w:val="Sombreadomedio1-nfasis5"/>
    <w:uiPriority w:val="63"/>
    <w:rsid w:val="009F5DDF"/>
    <w:rPr>
      <w:rFonts w:eastAsia="Times New Roman"/>
      <w:sz w:val="22"/>
      <w:szCs w:val="22"/>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Direccinsobre">
    <w:name w:val="envelope address"/>
    <w:basedOn w:val="Normal"/>
    <w:uiPriority w:val="99"/>
    <w:semiHidden/>
    <w:unhideWhenUsed/>
    <w:rsid w:val="009F5DDF"/>
    <w:pPr>
      <w:framePr w:w="7920" w:h="1980" w:hRule="exact" w:hSpace="141" w:wrap="auto" w:hAnchor="page" w:xAlign="center" w:yAlign="bottom"/>
      <w:ind w:left="2880"/>
    </w:pPr>
    <w:rPr>
      <w:rFonts w:ascii="Cambria" w:hAnsi="Cambria"/>
      <w:kern w:val="24"/>
      <w:sz w:val="24"/>
      <w:szCs w:val="24"/>
      <w:lang w:val="es-CR" w:eastAsia="en-US"/>
    </w:rPr>
  </w:style>
  <w:style w:type="numbering" w:customStyle="1" w:styleId="Sinlista1">
    <w:name w:val="Sin lista1"/>
    <w:next w:val="Sinlista"/>
    <w:uiPriority w:val="99"/>
    <w:semiHidden/>
    <w:unhideWhenUsed/>
    <w:rsid w:val="009F5DDF"/>
  </w:style>
  <w:style w:type="paragraph" w:styleId="Lista">
    <w:name w:val="List"/>
    <w:basedOn w:val="Normal"/>
    <w:uiPriority w:val="99"/>
    <w:unhideWhenUsed/>
    <w:rsid w:val="009F5DDF"/>
    <w:pPr>
      <w:ind w:left="283" w:hanging="283"/>
      <w:contextualSpacing/>
    </w:pPr>
    <w:rPr>
      <w:lang w:val="es-CR"/>
    </w:rPr>
  </w:style>
  <w:style w:type="paragraph" w:styleId="Lista2">
    <w:name w:val="List 2"/>
    <w:basedOn w:val="Normal"/>
    <w:uiPriority w:val="99"/>
    <w:unhideWhenUsed/>
    <w:rsid w:val="009F5DDF"/>
    <w:pPr>
      <w:ind w:left="566" w:hanging="283"/>
      <w:contextualSpacing/>
    </w:pPr>
    <w:rPr>
      <w:lang w:val="es-CR"/>
    </w:rPr>
  </w:style>
  <w:style w:type="paragraph" w:styleId="Saludo">
    <w:name w:val="Salutation"/>
    <w:basedOn w:val="Normal"/>
    <w:next w:val="Normal"/>
    <w:link w:val="SaludoCar"/>
    <w:uiPriority w:val="99"/>
    <w:unhideWhenUsed/>
    <w:rsid w:val="009F5DDF"/>
    <w:rPr>
      <w:lang w:val="es-CR"/>
    </w:rPr>
  </w:style>
  <w:style w:type="character" w:customStyle="1" w:styleId="SaludoCar">
    <w:name w:val="Saludo Car"/>
    <w:basedOn w:val="Fuentedeprrafopredeter"/>
    <w:link w:val="Saludo"/>
    <w:uiPriority w:val="99"/>
    <w:rsid w:val="009F5DDF"/>
    <w:rPr>
      <w:rFonts w:ascii="Times New Roman" w:eastAsia="Times New Roman" w:hAnsi="Times New Roman"/>
      <w:lang w:eastAsia="es-ES"/>
    </w:rPr>
  </w:style>
  <w:style w:type="paragraph" w:styleId="Textoindependienteprimerasangra">
    <w:name w:val="Body Text First Indent"/>
    <w:basedOn w:val="Textoindependiente"/>
    <w:link w:val="TextoindependienteprimerasangraCar"/>
    <w:uiPriority w:val="99"/>
    <w:unhideWhenUsed/>
    <w:rsid w:val="009F5DDF"/>
    <w:pPr>
      <w:ind w:firstLine="210"/>
      <w:jc w:val="left"/>
    </w:pPr>
    <w:rPr>
      <w:rFonts w:eastAsia="Times New Roman"/>
      <w:sz w:val="20"/>
      <w:szCs w:val="20"/>
      <w:lang w:val="es-CR" w:eastAsia="es-ES"/>
    </w:rPr>
  </w:style>
  <w:style w:type="character" w:customStyle="1" w:styleId="TextoindependienteprimerasangraCar">
    <w:name w:val="Texto independiente primera sangría Car"/>
    <w:basedOn w:val="TextoindependienteCar"/>
    <w:link w:val="Textoindependienteprimerasangra"/>
    <w:uiPriority w:val="99"/>
    <w:rsid w:val="009F5DDF"/>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9F5DDF"/>
    <w:pPr>
      <w:spacing w:after="120" w:line="240" w:lineRule="auto"/>
      <w:ind w:left="283" w:firstLine="210"/>
      <w:jc w:val="left"/>
    </w:pPr>
    <w:rPr>
      <w:sz w:val="20"/>
      <w:lang w:val="es-CR"/>
    </w:rPr>
  </w:style>
  <w:style w:type="character" w:customStyle="1" w:styleId="Textoindependienteprimerasangra2Car">
    <w:name w:val="Texto independiente primera sangría 2 Car"/>
    <w:basedOn w:val="SangradetextonormalCar"/>
    <w:link w:val="Textoindependienteprimerasangra2"/>
    <w:uiPriority w:val="99"/>
    <w:rsid w:val="009F5DDF"/>
    <w:rPr>
      <w:rFonts w:ascii="Times New Roman" w:eastAsia="Times New Roman" w:hAnsi="Times New Roman"/>
      <w:sz w:val="24"/>
      <w:lang w:val="es-ES" w:eastAsia="es-ES"/>
    </w:rPr>
  </w:style>
  <w:style w:type="paragraph" w:customStyle="1" w:styleId="Car">
    <w:name w:val="Car"/>
    <w:basedOn w:val="Normal"/>
    <w:rsid w:val="009F5DDF"/>
    <w:pPr>
      <w:spacing w:after="160" w:line="240" w:lineRule="exact"/>
    </w:pPr>
    <w:rPr>
      <w:rFonts w:ascii="Arial" w:eastAsia="MS Mincho" w:hAnsi="Arial"/>
      <w:lang w:eastAsia="en-US"/>
    </w:rPr>
  </w:style>
  <w:style w:type="paragraph" w:customStyle="1" w:styleId="Prrafodelista2">
    <w:name w:val="Párrafo de lista2"/>
    <w:basedOn w:val="Normal"/>
    <w:qFormat/>
    <w:rsid w:val="009F5DDF"/>
    <w:pPr>
      <w:ind w:left="720"/>
    </w:pPr>
    <w:rPr>
      <w:rFonts w:eastAsia="Calibri"/>
    </w:rPr>
  </w:style>
  <w:style w:type="character" w:customStyle="1" w:styleId="estilo11">
    <w:name w:val="estilo11"/>
    <w:rsid w:val="009F5DDF"/>
    <w:rPr>
      <w:rFonts w:ascii="Arial" w:hAnsi="Arial" w:cs="Arial" w:hint="default"/>
      <w:sz w:val="20"/>
      <w:szCs w:val="20"/>
    </w:rPr>
  </w:style>
  <w:style w:type="paragraph" w:customStyle="1" w:styleId="Artculo">
    <w:name w:val="Artículo"/>
    <w:basedOn w:val="NormalWeb"/>
    <w:next w:val="Textoindependiente"/>
    <w:rsid w:val="009F5DDF"/>
    <w:pPr>
      <w:widowControl w:val="0"/>
      <w:numPr>
        <w:numId w:val="11"/>
      </w:numPr>
      <w:spacing w:before="120" w:beforeAutospacing="0" w:after="120" w:afterAutospacing="0"/>
      <w:jc w:val="both"/>
    </w:pPr>
    <w:rPr>
      <w:rFonts w:ascii="Times New Roman" w:eastAsia="Arial Unicode MS" w:hAnsi="Times New Roman" w:cs="Times New Roman"/>
      <w:b/>
      <w:sz w:val="24"/>
      <w:szCs w:val="24"/>
      <w:lang w:val="es-ES" w:eastAsia="es-ES"/>
    </w:rPr>
  </w:style>
  <w:style w:type="paragraph" w:customStyle="1" w:styleId="spc3">
    <w:name w:val="spc3"/>
    <w:rsid w:val="009F5DDF"/>
    <w:pPr>
      <w:numPr>
        <w:numId w:val="12"/>
      </w:numPr>
      <w:tabs>
        <w:tab w:val="clear"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Pr>
      <w:rFonts w:ascii="Switzerland" w:eastAsia="Times New Roman" w:hAnsi="Switzerland"/>
      <w:snapToGrid w:val="0"/>
      <w:sz w:val="8"/>
      <w:lang w:val="es-ES" w:eastAsia="es-ES"/>
    </w:rPr>
  </w:style>
  <w:style w:type="paragraph" w:customStyle="1" w:styleId="plansubcta">
    <w:name w:val="plansubcta"/>
    <w:basedOn w:val="Normal"/>
    <w:rsid w:val="009F5DDF"/>
    <w:pPr>
      <w:tabs>
        <w:tab w:val="left" w:pos="2126"/>
        <w:tab w:val="left" w:pos="2552"/>
        <w:tab w:val="left" w:pos="3119"/>
        <w:tab w:val="left" w:pos="3969"/>
        <w:tab w:val="left" w:pos="5103"/>
        <w:tab w:val="center" w:pos="7796"/>
        <w:tab w:val="center" w:pos="8222"/>
        <w:tab w:val="center" w:pos="8647"/>
      </w:tabs>
      <w:ind w:left="567"/>
    </w:pPr>
    <w:rPr>
      <w:b/>
      <w:snapToGrid w:val="0"/>
      <w:sz w:val="24"/>
    </w:rPr>
  </w:style>
  <w:style w:type="paragraph" w:customStyle="1" w:styleId="BODYCUENTAS">
    <w:name w:val="BODY CUENTAS"/>
    <w:basedOn w:val="Normal"/>
    <w:rsid w:val="009F5DDF"/>
    <w:pPr>
      <w:tabs>
        <w:tab w:val="left" w:pos="2126"/>
        <w:tab w:val="left" w:pos="2551"/>
        <w:tab w:val="left" w:pos="3515"/>
        <w:tab w:val="left" w:pos="4248"/>
        <w:tab w:val="left" w:pos="4956"/>
        <w:tab w:val="left" w:pos="5664"/>
        <w:tab w:val="left" w:pos="6372"/>
        <w:tab w:val="left" w:pos="7080"/>
      </w:tabs>
      <w:spacing w:after="60"/>
      <w:ind w:left="3515" w:hanging="2948"/>
      <w:jc w:val="both"/>
    </w:pPr>
    <w:rPr>
      <w:rFonts w:ascii="Arial" w:hAnsi="Arial"/>
      <w:b/>
      <w:snapToGrid w:val="0"/>
    </w:rPr>
  </w:style>
  <w:style w:type="paragraph" w:customStyle="1" w:styleId="NORMALSUB-CUENTAS">
    <w:name w:val="NORMAL SUB-CUENTAS"/>
    <w:basedOn w:val="Normal"/>
    <w:rsid w:val="009F5DDF"/>
    <w:pPr>
      <w:tabs>
        <w:tab w:val="left" w:pos="3906"/>
        <w:tab w:val="left" w:pos="4956"/>
        <w:tab w:val="left" w:pos="5664"/>
        <w:tab w:val="left" w:pos="6372"/>
        <w:tab w:val="left" w:pos="7080"/>
      </w:tabs>
      <w:spacing w:after="60"/>
      <w:ind w:left="3912" w:hanging="1361"/>
      <w:jc w:val="both"/>
    </w:pPr>
    <w:rPr>
      <w:rFonts w:ascii="Ottawa" w:hAnsi="Ottawa"/>
      <w:snapToGrid w:val="0"/>
    </w:rPr>
  </w:style>
  <w:style w:type="paragraph" w:customStyle="1" w:styleId="EstiloTextoTimesNewRoman12pt">
    <w:name w:val="Estilo Texto + Times New Roman 12 pt"/>
    <w:basedOn w:val="Normal"/>
    <w:rsid w:val="009F5DDF"/>
    <w:pPr>
      <w:spacing w:after="120"/>
      <w:jc w:val="both"/>
    </w:pPr>
    <w:rPr>
      <w:rFonts w:eastAsia="Arial Unicode MS" w:cs="Arial"/>
      <w:sz w:val="24"/>
    </w:rPr>
  </w:style>
  <w:style w:type="paragraph" w:customStyle="1" w:styleId="TextoInforme">
    <w:name w:val="Texto Informe"/>
    <w:basedOn w:val="Normal"/>
    <w:qFormat/>
    <w:rsid w:val="009F5DDF"/>
    <w:pPr>
      <w:spacing w:after="200" w:line="276" w:lineRule="auto"/>
      <w:jc w:val="both"/>
    </w:pPr>
    <w:rPr>
      <w:rFonts w:ascii="Arial" w:eastAsia="Calibri" w:hAnsi="Arial" w:cs="Arial"/>
      <w:sz w:val="22"/>
      <w:szCs w:val="22"/>
      <w:lang w:val="es-CR" w:eastAsia="en-US"/>
    </w:rPr>
  </w:style>
  <w:style w:type="paragraph" w:styleId="Mapadeldocumento">
    <w:name w:val="Document Map"/>
    <w:basedOn w:val="Normal"/>
    <w:link w:val="MapadeldocumentoCar"/>
    <w:rsid w:val="009F5DDF"/>
    <w:rPr>
      <w:rFonts w:ascii="Tahoma" w:hAnsi="Tahoma" w:cs="Tahoma"/>
      <w:sz w:val="16"/>
      <w:szCs w:val="16"/>
      <w:lang w:val="es-CR"/>
    </w:rPr>
  </w:style>
  <w:style w:type="character" w:customStyle="1" w:styleId="MapadeldocumentoCar">
    <w:name w:val="Mapa del documento Car"/>
    <w:basedOn w:val="Fuentedeprrafopredeter"/>
    <w:link w:val="Mapadeldocumento"/>
    <w:rsid w:val="009F5DDF"/>
    <w:rPr>
      <w:rFonts w:ascii="Tahoma" w:eastAsia="Times New Roman" w:hAnsi="Tahoma" w:cs="Tahoma"/>
      <w:sz w:val="16"/>
      <w:szCs w:val="16"/>
      <w:lang w:eastAsia="es-ES"/>
    </w:rPr>
  </w:style>
  <w:style w:type="paragraph" w:customStyle="1" w:styleId="EMPTYCELLSTYLE">
    <w:name w:val="EMPTY_CELL_STYLE"/>
    <w:qFormat/>
    <w:rsid w:val="009F5DDF"/>
    <w:rPr>
      <w:rFonts w:ascii="Times New Roman" w:eastAsia="Times New Roman" w:hAnsi="Times New Roman"/>
      <w:sz w:val="1"/>
    </w:rPr>
  </w:style>
  <w:style w:type="paragraph" w:customStyle="1" w:styleId="piepagina0">
    <w:name w:val="piepagina"/>
    <w:basedOn w:val="Normal"/>
    <w:rsid w:val="009F5DDF"/>
    <w:pPr>
      <w:spacing w:before="100" w:beforeAutospacing="1" w:after="100" w:afterAutospacing="1"/>
    </w:pPr>
    <w:rPr>
      <w:sz w:val="24"/>
      <w:szCs w:val="24"/>
      <w:lang w:val="es-CR" w:eastAsia="es-CR"/>
    </w:rPr>
  </w:style>
  <w:style w:type="table" w:styleId="Tablaconcuadrcula5">
    <w:name w:val="Table Grid 5"/>
    <w:basedOn w:val="Tablanormal"/>
    <w:rsid w:val="009F5DDF"/>
    <w:rPr>
      <w:rFonts w:ascii="Times New Roman" w:eastAsia="Times New Roman" w:hAnsi="Times New Roman"/>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Sombreadoclaro">
    <w:name w:val="Light Shading"/>
    <w:basedOn w:val="Tablanormal"/>
    <w:uiPriority w:val="60"/>
    <w:rsid w:val="009F5DDF"/>
    <w:rPr>
      <w:rFonts w:eastAsia="Times New Roman"/>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clara">
    <w:name w:val="Light List"/>
    <w:basedOn w:val="Tablanormal"/>
    <w:uiPriority w:val="61"/>
    <w:rsid w:val="009F5DDF"/>
    <w:rPr>
      <w:rFonts w:eastAsia="Times New Roman"/>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ombreadomedio1">
    <w:name w:val="Medium Shading 1"/>
    <w:basedOn w:val="Tablanormal"/>
    <w:uiPriority w:val="63"/>
    <w:rsid w:val="009F5DDF"/>
    <w:rPr>
      <w:rFonts w:eastAsia="Times New Roman"/>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Sombreadomedio1-nfasis52">
    <w:name w:val="Sombreado medio 1 - Énfasis 52"/>
    <w:basedOn w:val="Tablanormal"/>
    <w:next w:val="Sombreadomedio1-nfasis5"/>
    <w:uiPriority w:val="63"/>
    <w:rsid w:val="009F5DD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medio1-nfasis511">
    <w:name w:val="Sombreado medio 1 - Énfasis 511"/>
    <w:basedOn w:val="Tablanormal"/>
    <w:next w:val="Sombreadomedio1-nfasis5"/>
    <w:uiPriority w:val="63"/>
    <w:rsid w:val="009F5DDF"/>
    <w:rPr>
      <w:rFonts w:eastAsia="Times New Roman"/>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claro1">
    <w:name w:val="Sombreado claro1"/>
    <w:basedOn w:val="Tablanormal"/>
    <w:next w:val="Sombreadoclaro"/>
    <w:uiPriority w:val="60"/>
    <w:rsid w:val="009F5DDF"/>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medio11">
    <w:name w:val="Sombreado medio 11"/>
    <w:basedOn w:val="Tablanormal"/>
    <w:next w:val="Sombreadomedio1"/>
    <w:uiPriority w:val="63"/>
    <w:rsid w:val="009F5DDF"/>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font1">
    <w:name w:val="font1"/>
    <w:rsid w:val="009F5DDF"/>
    <w:rPr>
      <w:rFonts w:ascii="Helvetica" w:hAnsi="Helvetica" w:cs="Helvetica" w:hint="default"/>
      <w:b w:val="0"/>
      <w:bCs w:val="0"/>
      <w:i w:val="0"/>
      <w:iCs w:val="0"/>
      <w:strike w:val="0"/>
      <w:dstrike w:val="0"/>
      <w:color w:val="000000"/>
      <w:sz w:val="18"/>
      <w:szCs w:val="18"/>
      <w:u w:val="none"/>
      <w:effect w:val="none"/>
    </w:rPr>
  </w:style>
  <w:style w:type="table" w:styleId="Listaclara-nfasis1">
    <w:name w:val="Light List Accent 1"/>
    <w:basedOn w:val="Tablanormal"/>
    <w:uiPriority w:val="61"/>
    <w:rsid w:val="009F5DDF"/>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extodereglamentoChar">
    <w:name w:val="Texto de reglamento Char"/>
    <w:link w:val="Textodereglamento"/>
    <w:locked/>
    <w:rsid w:val="009F5DDF"/>
    <w:rPr>
      <w:lang w:eastAsia="es-ES"/>
    </w:rPr>
  </w:style>
  <w:style w:type="paragraph" w:customStyle="1" w:styleId="Textodereglamento">
    <w:name w:val="Texto de reglamento"/>
    <w:basedOn w:val="Normal"/>
    <w:link w:val="TextodereglamentoChar"/>
    <w:rsid w:val="009F5DDF"/>
    <w:pPr>
      <w:spacing w:before="120"/>
      <w:jc w:val="both"/>
    </w:pPr>
    <w:rPr>
      <w:rFonts w:ascii="Calibri" w:eastAsia="Calibri" w:hAnsi="Calibri"/>
      <w:lang w:val="es-CR"/>
    </w:rPr>
  </w:style>
  <w:style w:type="paragraph" w:customStyle="1" w:styleId="incisos">
    <w:name w:val="incisos"/>
    <w:basedOn w:val="Normal"/>
    <w:rsid w:val="009F5DDF"/>
    <w:pPr>
      <w:numPr>
        <w:numId w:val="13"/>
      </w:numPr>
      <w:spacing w:before="60"/>
      <w:ind w:left="0" w:firstLine="0"/>
      <w:jc w:val="both"/>
    </w:pPr>
    <w:rPr>
      <w:rFonts w:eastAsia="Calibri"/>
      <w:sz w:val="22"/>
      <w:szCs w:val="22"/>
      <w:lang w:val="en-US"/>
    </w:rPr>
  </w:style>
  <w:style w:type="character" w:customStyle="1" w:styleId="AsuntodelcomentarioCar1">
    <w:name w:val="Asunto del comentario Car1"/>
    <w:uiPriority w:val="99"/>
    <w:semiHidden/>
    <w:rsid w:val="009F5DDF"/>
    <w:rPr>
      <w:rFonts w:ascii="Times New Roman" w:eastAsia="Times New Roman" w:hAnsi="Times New Roman"/>
      <w:b/>
      <w:bCs/>
      <w:lang w:val="en-US" w:eastAsia="en-US"/>
    </w:rPr>
  </w:style>
  <w:style w:type="table" w:customStyle="1" w:styleId="Listaclara11">
    <w:name w:val="Lista clara11"/>
    <w:basedOn w:val="Tablanormal"/>
    <w:uiPriority w:val="61"/>
    <w:rsid w:val="009F5DDF"/>
    <w:pPr>
      <w:jc w:val="both"/>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1">
    <w:name w:val="Tabla con cuadrícula11"/>
    <w:basedOn w:val="Tablanormal"/>
    <w:next w:val="Tablaconcuadrcula"/>
    <w:uiPriority w:val="59"/>
    <w:rsid w:val="009F5DDF"/>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9F5DD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1">
    <w:name w:val="Título Car1"/>
    <w:rsid w:val="009F5DDF"/>
    <w:rPr>
      <w:rFonts w:ascii="Calibri Light" w:eastAsia="Times New Roman" w:hAnsi="Calibri Light" w:cs="Times New Roman"/>
      <w:spacing w:val="-10"/>
      <w:kern w:val="28"/>
      <w:sz w:val="56"/>
      <w:szCs w:val="56"/>
      <w:lang w:eastAsia="es-ES"/>
    </w:rPr>
  </w:style>
  <w:style w:type="paragraph" w:customStyle="1" w:styleId="Numeracin">
    <w:name w:val="Numeración"/>
    <w:basedOn w:val="Textodereglamento"/>
    <w:qFormat/>
    <w:rsid w:val="009F5DDF"/>
    <w:pPr>
      <w:numPr>
        <w:numId w:val="14"/>
      </w:numPr>
      <w:ind w:left="1080" w:hanging="720"/>
    </w:pPr>
    <w:rPr>
      <w:rFonts w:ascii="Times New Roman" w:eastAsia="Times New Roman" w:hAnsi="Times New Roman"/>
      <w:sz w:val="22"/>
      <w:szCs w:val="24"/>
      <w:lang w:val="es-ES"/>
    </w:rPr>
  </w:style>
  <w:style w:type="table" w:styleId="Tablaconcuadrcula1clara-nfasis1">
    <w:name w:val="Grid Table 1 Light Accent 1"/>
    <w:basedOn w:val="Tablanormal"/>
    <w:uiPriority w:val="46"/>
    <w:rsid w:val="009F5DDF"/>
    <w:rPr>
      <w:rFonts w:ascii="Franklin Gothic Book" w:hAnsi="Franklin Gothic Book"/>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SupenEncabezado">
    <w:name w:val="Supen_Encabezado"/>
    <w:next w:val="Normal"/>
    <w:link w:val="SupenEncabezadoCar"/>
    <w:autoRedefine/>
    <w:qFormat/>
    <w:rsid w:val="009F5DDF"/>
    <w:pPr>
      <w:spacing w:line="360" w:lineRule="auto"/>
    </w:pPr>
    <w:rPr>
      <w:rFonts w:ascii="Times New Roman" w:hAnsi="Times New Roman"/>
      <w:sz w:val="24"/>
      <w:szCs w:val="22"/>
      <w:lang w:val="es-ES" w:eastAsia="en-US"/>
    </w:rPr>
  </w:style>
  <w:style w:type="character" w:customStyle="1" w:styleId="SupenEncabezadoCar">
    <w:name w:val="Supen_Encabezado Car"/>
    <w:link w:val="SupenEncabezado"/>
    <w:rsid w:val="009F5DDF"/>
    <w:rPr>
      <w:rFonts w:ascii="Times New Roman" w:hAnsi="Times New Roman"/>
      <w:sz w:val="24"/>
      <w:szCs w:val="22"/>
      <w:lang w:val="es-ES" w:eastAsia="en-US"/>
    </w:rPr>
  </w:style>
  <w:style w:type="paragraph" w:customStyle="1" w:styleId="Ttulo3C">
    <w:name w:val="Título 3C"/>
    <w:basedOn w:val="Normal"/>
    <w:link w:val="Ttulo3CCar"/>
    <w:qFormat/>
    <w:rsid w:val="009F5DDF"/>
    <w:pPr>
      <w:numPr>
        <w:numId w:val="15"/>
      </w:numPr>
      <w:spacing w:line="276" w:lineRule="auto"/>
      <w:jc w:val="both"/>
    </w:pPr>
    <w:rPr>
      <w:rFonts w:ascii="Cambria" w:eastAsia="MS Mincho" w:hAnsi="Cambria"/>
      <w:b/>
      <w:sz w:val="26"/>
      <w:szCs w:val="28"/>
      <w:lang w:eastAsia="en-US"/>
    </w:rPr>
  </w:style>
  <w:style w:type="character" w:customStyle="1" w:styleId="Ttulo3CCar">
    <w:name w:val="Título 3C Car"/>
    <w:link w:val="Ttulo3C"/>
    <w:rsid w:val="009F5DDF"/>
    <w:rPr>
      <w:rFonts w:ascii="Cambria" w:eastAsia="MS Mincho" w:hAnsi="Cambria"/>
      <w:b/>
      <w:sz w:val="26"/>
      <w:szCs w:val="28"/>
      <w:lang w:val="es-ES" w:eastAsia="en-US"/>
    </w:rPr>
  </w:style>
  <w:style w:type="paragraph" w:customStyle="1" w:styleId="Content">
    <w:name w:val="Content"/>
    <w:basedOn w:val="Normal"/>
    <w:link w:val="ContentChar"/>
    <w:qFormat/>
    <w:rsid w:val="009F5DDF"/>
    <w:pPr>
      <w:spacing w:line="276" w:lineRule="auto"/>
    </w:pPr>
    <w:rPr>
      <w:rFonts w:ascii="Calibri" w:hAnsi="Calibri"/>
      <w:color w:val="44546A"/>
      <w:sz w:val="28"/>
      <w:szCs w:val="22"/>
      <w:lang w:val="en-US" w:eastAsia="en-US"/>
    </w:rPr>
  </w:style>
  <w:style w:type="character" w:customStyle="1" w:styleId="ContentChar">
    <w:name w:val="Content Char"/>
    <w:link w:val="Content"/>
    <w:rsid w:val="009F5DDF"/>
    <w:rPr>
      <w:rFonts w:eastAsia="Times New Roman"/>
      <w:color w:val="44546A"/>
      <w:sz w:val="28"/>
      <w:szCs w:val="22"/>
      <w:lang w:val="en-US" w:eastAsia="en-US"/>
    </w:rPr>
  </w:style>
  <w:style w:type="paragraph" w:styleId="TtuloTDC">
    <w:name w:val="TOC Heading"/>
    <w:basedOn w:val="Ttulo1"/>
    <w:next w:val="Normal"/>
    <w:uiPriority w:val="39"/>
    <w:unhideWhenUsed/>
    <w:qFormat/>
    <w:rsid w:val="009F5DDF"/>
    <w:pPr>
      <w:keepLines/>
      <w:spacing w:before="240"/>
      <w:jc w:val="left"/>
      <w:outlineLvl w:val="9"/>
    </w:pPr>
    <w:rPr>
      <w:rFonts w:ascii="Calibri Light" w:hAnsi="Calibri Light"/>
      <w:color w:val="2E74B5"/>
      <w:sz w:val="32"/>
      <w:szCs w:val="32"/>
      <w:lang w:val="es-CR"/>
    </w:rPr>
  </w:style>
  <w:style w:type="paragraph" w:customStyle="1" w:styleId="texto0">
    <w:name w:val="texto"/>
    <w:basedOn w:val="Normal"/>
    <w:locked/>
    <w:rsid w:val="009F5DDF"/>
    <w:pPr>
      <w:spacing w:before="100" w:beforeAutospacing="1" w:after="100" w:afterAutospacing="1" w:line="248" w:lineRule="auto"/>
      <w:ind w:left="10" w:hanging="10"/>
      <w:jc w:val="both"/>
    </w:pPr>
    <w:rPr>
      <w:color w:val="000000"/>
      <w:sz w:val="24"/>
      <w:szCs w:val="18"/>
      <w:lang w:val="es-CR" w:eastAsia="es-CR"/>
    </w:rPr>
  </w:style>
  <w:style w:type="paragraph" w:customStyle="1" w:styleId="italica">
    <w:name w:val="italica"/>
    <w:basedOn w:val="Normal"/>
    <w:link w:val="italicaChar"/>
    <w:autoRedefine/>
    <w:qFormat/>
    <w:rsid w:val="009F5DDF"/>
    <w:pPr>
      <w:spacing w:after="3" w:line="248" w:lineRule="auto"/>
      <w:ind w:left="10" w:hanging="10"/>
      <w:jc w:val="both"/>
      <w:outlineLvl w:val="0"/>
    </w:pPr>
    <w:rPr>
      <w:i/>
      <w:color w:val="000000"/>
      <w:sz w:val="24"/>
      <w:szCs w:val="22"/>
      <w:lang w:val="es-CR" w:eastAsia="es-CR"/>
    </w:rPr>
  </w:style>
  <w:style w:type="paragraph" w:customStyle="1" w:styleId="numeracion">
    <w:name w:val="numeracion"/>
    <w:basedOn w:val="Texto"/>
    <w:uiPriority w:val="1"/>
    <w:qFormat/>
    <w:rsid w:val="009F5DDF"/>
    <w:pPr>
      <w:numPr>
        <w:numId w:val="16"/>
      </w:numPr>
      <w:spacing w:line="360" w:lineRule="auto"/>
      <w:ind w:left="10" w:hanging="10"/>
    </w:pPr>
    <w:rPr>
      <w:rFonts w:ascii="Times New Roman" w:hAnsi="Times New Roman"/>
      <w:color w:val="000000"/>
      <w:sz w:val="24"/>
      <w:szCs w:val="22"/>
      <w:lang w:eastAsia="es-CR"/>
    </w:rPr>
  </w:style>
  <w:style w:type="paragraph" w:customStyle="1" w:styleId="vinetas">
    <w:name w:val="vinetas"/>
    <w:basedOn w:val="numeracion"/>
    <w:uiPriority w:val="1"/>
    <w:qFormat/>
    <w:rsid w:val="009F5DDF"/>
    <w:pPr>
      <w:numPr>
        <w:numId w:val="17"/>
      </w:numPr>
      <w:ind w:left="792" w:hanging="720"/>
    </w:pPr>
  </w:style>
  <w:style w:type="paragraph" w:customStyle="1" w:styleId="CC">
    <w:name w:val="CC"/>
    <w:basedOn w:val="Texto"/>
    <w:link w:val="CCChar"/>
    <w:qFormat/>
    <w:rsid w:val="009F5DDF"/>
    <w:pPr>
      <w:spacing w:line="360" w:lineRule="auto"/>
      <w:ind w:left="10" w:hanging="10"/>
    </w:pPr>
    <w:rPr>
      <w:rFonts w:ascii="Times New Roman" w:hAnsi="Times New Roman"/>
      <w:color w:val="000000"/>
      <w:sz w:val="24"/>
      <w:szCs w:val="22"/>
      <w:lang w:eastAsia="es-CR"/>
    </w:rPr>
  </w:style>
  <w:style w:type="character" w:customStyle="1" w:styleId="CCChar">
    <w:name w:val="CC Char"/>
    <w:link w:val="CC"/>
    <w:rsid w:val="009F5DDF"/>
    <w:rPr>
      <w:rFonts w:ascii="Times New Roman" w:eastAsia="Times New Roman" w:hAnsi="Times New Roman"/>
      <w:color w:val="000000"/>
      <w:sz w:val="24"/>
      <w:szCs w:val="22"/>
    </w:rPr>
  </w:style>
  <w:style w:type="paragraph" w:customStyle="1" w:styleId="TextoTabla">
    <w:name w:val="Texto Tabla"/>
    <w:basedOn w:val="Texto"/>
    <w:link w:val="TextoTablaChar"/>
    <w:uiPriority w:val="1"/>
    <w:qFormat/>
    <w:rsid w:val="009F5DDF"/>
    <w:pPr>
      <w:spacing w:line="360" w:lineRule="auto"/>
      <w:ind w:left="10" w:hanging="10"/>
    </w:pPr>
    <w:rPr>
      <w:rFonts w:ascii="Times New Roman" w:hAnsi="Times New Roman"/>
      <w:color w:val="000000"/>
      <w:sz w:val="24"/>
      <w:szCs w:val="22"/>
      <w:lang w:eastAsia="es-CR"/>
    </w:rPr>
  </w:style>
  <w:style w:type="table" w:customStyle="1" w:styleId="LightShading-Accent11">
    <w:name w:val="Light Shading - Accent 11"/>
    <w:basedOn w:val="Tablanormal"/>
    <w:uiPriority w:val="60"/>
    <w:locked/>
    <w:rsid w:val="009F5DDF"/>
    <w:rPr>
      <w:rFonts w:ascii="Franklin Gothic Book" w:hAnsi="Franklin Gothic Book"/>
      <w:color w:val="2A6094"/>
    </w:rPr>
    <w:tblPr>
      <w:tblStyleRowBandSize w:val="1"/>
      <w:tblStyleColBandSize w:val="1"/>
      <w:tblBorders>
        <w:top w:val="single" w:sz="8" w:space="0" w:color="3882C6"/>
        <w:bottom w:val="single" w:sz="8" w:space="0" w:color="3882C6"/>
      </w:tblBorders>
    </w:tblPr>
    <w:tblStylePr w:type="firstRow">
      <w:pPr>
        <w:spacing w:before="0" w:after="0" w:line="240" w:lineRule="auto"/>
      </w:pPr>
      <w:rPr>
        <w:b/>
        <w:bCs/>
      </w:rPr>
      <w:tblPr/>
      <w:tcPr>
        <w:tcBorders>
          <w:top w:val="single" w:sz="8" w:space="0" w:color="3882C6"/>
          <w:left w:val="nil"/>
          <w:bottom w:val="single" w:sz="8" w:space="0" w:color="3882C6"/>
          <w:right w:val="nil"/>
          <w:insideH w:val="nil"/>
          <w:insideV w:val="nil"/>
        </w:tcBorders>
      </w:tcPr>
    </w:tblStylePr>
    <w:tblStylePr w:type="lastRow">
      <w:pPr>
        <w:spacing w:before="0" w:after="0" w:line="240" w:lineRule="auto"/>
      </w:pPr>
      <w:rPr>
        <w:b/>
        <w:bCs/>
      </w:rPr>
      <w:tblPr/>
      <w:tcPr>
        <w:tcBorders>
          <w:top w:val="single" w:sz="8" w:space="0" w:color="3882C6"/>
          <w:left w:val="nil"/>
          <w:bottom w:val="single" w:sz="8" w:space="0" w:color="3882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cPr>
    </w:tblStylePr>
    <w:tblStylePr w:type="band1Horz">
      <w:tblPr/>
      <w:tcPr>
        <w:tcBorders>
          <w:left w:val="nil"/>
          <w:right w:val="nil"/>
          <w:insideH w:val="nil"/>
          <w:insideV w:val="nil"/>
        </w:tcBorders>
        <w:shd w:val="clear" w:color="auto" w:fill="CDDFF1"/>
      </w:tcPr>
    </w:tblStylePr>
  </w:style>
  <w:style w:type="table" w:styleId="Sombreadoclaro-nfasis6">
    <w:name w:val="Light Shading Accent 6"/>
    <w:basedOn w:val="Tablanormal"/>
    <w:uiPriority w:val="60"/>
    <w:rsid w:val="009F5DDF"/>
    <w:rPr>
      <w:rFonts w:ascii="Franklin Gothic Book" w:hAnsi="Franklin Gothic Book"/>
      <w:color w:val="5282BE"/>
    </w:rPr>
    <w:tblPr>
      <w:tblStyleRowBandSize w:val="1"/>
      <w:tblStyleColBandSize w:val="1"/>
      <w:tblBorders>
        <w:top w:val="single" w:sz="8" w:space="0" w:color="95B3D7"/>
        <w:bottom w:val="single" w:sz="8" w:space="0" w:color="95B3D7"/>
      </w:tblBorders>
    </w:tblPr>
    <w:tblStylePr w:type="firstRow">
      <w:pPr>
        <w:spacing w:before="0" w:after="0" w:line="240" w:lineRule="auto"/>
      </w:pPr>
      <w:rPr>
        <w:b/>
        <w:bCs/>
      </w:rPr>
      <w:tblPr/>
      <w:tcPr>
        <w:tcBorders>
          <w:top w:val="single" w:sz="8" w:space="0" w:color="95B3D7"/>
          <w:left w:val="nil"/>
          <w:bottom w:val="single" w:sz="8" w:space="0" w:color="95B3D7"/>
          <w:right w:val="nil"/>
          <w:insideH w:val="nil"/>
          <w:insideV w:val="nil"/>
        </w:tcBorders>
      </w:tcPr>
    </w:tblStylePr>
    <w:tblStylePr w:type="lastRow">
      <w:pPr>
        <w:spacing w:before="0" w:after="0" w:line="240" w:lineRule="auto"/>
      </w:pPr>
      <w:rPr>
        <w:b/>
        <w:bCs/>
      </w:rPr>
      <w:tblPr/>
      <w:tcPr>
        <w:tcBorders>
          <w:top w:val="single" w:sz="8" w:space="0" w:color="95B3D7"/>
          <w:left w:val="nil"/>
          <w:bottom w:val="single" w:sz="8" w:space="0" w:color="95B3D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cPr>
    </w:tblStylePr>
    <w:tblStylePr w:type="band1Horz">
      <w:tblPr/>
      <w:tcPr>
        <w:tcBorders>
          <w:left w:val="nil"/>
          <w:right w:val="nil"/>
          <w:insideH w:val="nil"/>
          <w:insideV w:val="nil"/>
        </w:tcBorders>
        <w:shd w:val="clear" w:color="auto" w:fill="E4ECF5"/>
      </w:tcPr>
    </w:tblStylePr>
  </w:style>
  <w:style w:type="table" w:styleId="Sombreadomedio1-nfasis6">
    <w:name w:val="Medium Shading 1 Accent 6"/>
    <w:basedOn w:val="Tablanormal"/>
    <w:uiPriority w:val="63"/>
    <w:rsid w:val="009F5DDF"/>
    <w:rPr>
      <w:rFonts w:ascii="Franklin Gothic Book" w:hAnsi="Franklin Gothic Book"/>
    </w:rPr>
    <w:tblPr>
      <w:tblStyleRowBandSize w:val="1"/>
      <w:tblStyleColBandSize w:val="1"/>
      <w:tblBorders>
        <w:top w:val="single" w:sz="8" w:space="0" w:color="AFC5E1"/>
        <w:left w:val="single" w:sz="8" w:space="0" w:color="AFC5E1"/>
        <w:bottom w:val="single" w:sz="8" w:space="0" w:color="AFC5E1"/>
        <w:right w:val="single" w:sz="8" w:space="0" w:color="AFC5E1"/>
        <w:insideH w:val="single" w:sz="8" w:space="0" w:color="AFC5E1"/>
      </w:tblBorders>
    </w:tblPr>
    <w:tblStylePr w:type="firstRow">
      <w:pPr>
        <w:spacing w:before="0" w:after="0" w:line="240" w:lineRule="auto"/>
      </w:pPr>
      <w:rPr>
        <w:b/>
        <w:bCs/>
        <w:color w:val="000000"/>
      </w:rPr>
      <w:tblPr/>
      <w:tcPr>
        <w:tcBorders>
          <w:top w:val="single" w:sz="8" w:space="0" w:color="AFC5E1"/>
          <w:left w:val="single" w:sz="8" w:space="0" w:color="AFC5E1"/>
          <w:bottom w:val="single" w:sz="8" w:space="0" w:color="AFC5E1"/>
          <w:right w:val="single" w:sz="8" w:space="0" w:color="AFC5E1"/>
          <w:insideH w:val="nil"/>
          <w:insideV w:val="nil"/>
        </w:tcBorders>
        <w:shd w:val="clear" w:color="auto" w:fill="95B3D7"/>
      </w:tcPr>
    </w:tblStylePr>
    <w:tblStylePr w:type="lastRow">
      <w:pPr>
        <w:spacing w:before="0" w:after="0" w:line="240" w:lineRule="auto"/>
      </w:pPr>
      <w:rPr>
        <w:b/>
        <w:bCs/>
      </w:rPr>
      <w:tblPr/>
      <w:tcPr>
        <w:tcBorders>
          <w:top w:val="double" w:sz="6" w:space="0" w:color="AFC5E1"/>
          <w:left w:val="single" w:sz="8" w:space="0" w:color="AFC5E1"/>
          <w:bottom w:val="single" w:sz="8" w:space="0" w:color="AFC5E1"/>
          <w:right w:val="single" w:sz="8" w:space="0" w:color="AFC5E1"/>
          <w:insideH w:val="nil"/>
          <w:insideV w:val="nil"/>
        </w:tcBorders>
      </w:tcPr>
    </w:tblStylePr>
    <w:tblStylePr w:type="firstCol">
      <w:rPr>
        <w:b/>
        <w:bCs/>
      </w:rPr>
    </w:tblStylePr>
    <w:tblStylePr w:type="lastCol">
      <w:rPr>
        <w:b/>
        <w:bCs/>
      </w:rPr>
    </w:tblStylePr>
    <w:tblStylePr w:type="band1Vert">
      <w:tblPr/>
      <w:tcPr>
        <w:shd w:val="clear" w:color="auto" w:fill="E4ECF5"/>
      </w:tcPr>
    </w:tblStylePr>
    <w:tblStylePr w:type="band1Horz">
      <w:tblPr/>
      <w:tcPr>
        <w:tcBorders>
          <w:insideH w:val="nil"/>
          <w:insideV w:val="nil"/>
        </w:tcBorders>
        <w:shd w:val="clear" w:color="auto" w:fill="E4ECF5"/>
      </w:tcPr>
    </w:tblStylePr>
    <w:tblStylePr w:type="band2Horz">
      <w:tblPr/>
      <w:tcPr>
        <w:tcBorders>
          <w:insideH w:val="nil"/>
          <w:insideV w:val="nil"/>
        </w:tcBorders>
      </w:tcPr>
    </w:tblStylePr>
  </w:style>
  <w:style w:type="table" w:styleId="Listaclara-nfasis6">
    <w:name w:val="Light List Accent 6"/>
    <w:basedOn w:val="Tablanormal"/>
    <w:uiPriority w:val="61"/>
    <w:rsid w:val="009F5DDF"/>
    <w:rPr>
      <w:rFonts w:ascii="Franklin Gothic Book" w:hAnsi="Franklin Gothic Book"/>
    </w:rPr>
    <w:tblPr>
      <w:tblStyleRowBandSize w:val="1"/>
      <w:tblStyleColBandSize w:val="1"/>
      <w:tblBorders>
        <w:top w:val="single" w:sz="8" w:space="0" w:color="95B3D7"/>
        <w:left w:val="single" w:sz="8" w:space="0" w:color="95B3D7"/>
        <w:bottom w:val="single" w:sz="8" w:space="0" w:color="95B3D7"/>
        <w:right w:val="single" w:sz="8" w:space="0" w:color="95B3D7"/>
      </w:tblBorders>
    </w:tblPr>
    <w:tblStylePr w:type="firstRow">
      <w:pPr>
        <w:spacing w:before="0" w:after="0" w:line="240" w:lineRule="auto"/>
      </w:pPr>
      <w:rPr>
        <w:b/>
        <w:bCs/>
        <w:color w:val="000000"/>
      </w:rPr>
      <w:tblPr/>
      <w:tcPr>
        <w:shd w:val="clear" w:color="auto" w:fill="95B3D7"/>
      </w:tcPr>
    </w:tblStylePr>
    <w:tblStylePr w:type="lastRow">
      <w:pPr>
        <w:spacing w:before="0" w:after="0" w:line="240" w:lineRule="auto"/>
      </w:pPr>
      <w:rPr>
        <w:b/>
        <w:bCs/>
      </w:rPr>
      <w:tblPr/>
      <w:tcPr>
        <w:tcBorders>
          <w:top w:val="double" w:sz="6" w:space="0" w:color="95B3D7"/>
          <w:left w:val="single" w:sz="8" w:space="0" w:color="95B3D7"/>
          <w:bottom w:val="single" w:sz="8" w:space="0" w:color="95B3D7"/>
          <w:right w:val="single" w:sz="8" w:space="0" w:color="95B3D7"/>
        </w:tcBorders>
      </w:tcPr>
    </w:tblStylePr>
    <w:tblStylePr w:type="firstCol">
      <w:rPr>
        <w:b/>
        <w:bCs/>
      </w:rPr>
    </w:tblStylePr>
    <w:tblStylePr w:type="lastCol">
      <w:rPr>
        <w:b/>
        <w:bCs/>
      </w:rPr>
    </w:tblStylePr>
    <w:tblStylePr w:type="band1Vert">
      <w:tblPr/>
      <w:tcPr>
        <w:tcBorders>
          <w:top w:val="single" w:sz="8" w:space="0" w:color="95B3D7"/>
          <w:left w:val="single" w:sz="8" w:space="0" w:color="95B3D7"/>
          <w:bottom w:val="single" w:sz="8" w:space="0" w:color="95B3D7"/>
          <w:right w:val="single" w:sz="8" w:space="0" w:color="95B3D7"/>
        </w:tcBorders>
      </w:tcPr>
    </w:tblStylePr>
    <w:tblStylePr w:type="band1Horz">
      <w:tblPr/>
      <w:tcPr>
        <w:tcBorders>
          <w:top w:val="single" w:sz="8" w:space="0" w:color="95B3D7"/>
          <w:left w:val="single" w:sz="8" w:space="0" w:color="95B3D7"/>
          <w:bottom w:val="single" w:sz="8" w:space="0" w:color="95B3D7"/>
          <w:right w:val="single" w:sz="8" w:space="0" w:color="95B3D7"/>
        </w:tcBorders>
      </w:tcPr>
    </w:tblStylePr>
  </w:style>
  <w:style w:type="table" w:styleId="Cuadrculaclara-nfasis6">
    <w:name w:val="Light Grid Accent 6"/>
    <w:basedOn w:val="Tablanormal"/>
    <w:uiPriority w:val="62"/>
    <w:rsid w:val="009F5DDF"/>
    <w:rPr>
      <w:rFonts w:ascii="Franklin Gothic Book" w:hAnsi="Franklin Gothic Book"/>
    </w:rPr>
    <w:tblPr>
      <w:tblStyleRowBandSize w:val="1"/>
      <w:tblStyleColBandSize w:val="1"/>
      <w:tblBorders>
        <w:top w:val="single" w:sz="8" w:space="0" w:color="95B3D7"/>
        <w:left w:val="single" w:sz="8" w:space="0" w:color="95B3D7"/>
        <w:bottom w:val="single" w:sz="8" w:space="0" w:color="95B3D7"/>
        <w:right w:val="single" w:sz="8" w:space="0" w:color="95B3D7"/>
        <w:insideH w:val="single" w:sz="8" w:space="0" w:color="95B3D7"/>
        <w:insideV w:val="single" w:sz="8" w:space="0" w:color="95B3D7"/>
      </w:tblBorders>
    </w:tblPr>
    <w:tblStylePr w:type="firstRow">
      <w:pPr>
        <w:spacing w:before="0" w:after="0" w:line="240" w:lineRule="auto"/>
      </w:pPr>
      <w:rPr>
        <w:rFonts w:ascii="Tahoma" w:eastAsia="Lucida Sans Unicode" w:hAnsi="Tahoma" w:cs="Times New Roman"/>
        <w:b/>
        <w:bCs/>
      </w:rPr>
      <w:tblPr/>
      <w:tcPr>
        <w:tcBorders>
          <w:top w:val="single" w:sz="8" w:space="0" w:color="95B3D7"/>
          <w:left w:val="single" w:sz="8" w:space="0" w:color="95B3D7"/>
          <w:bottom w:val="single" w:sz="18" w:space="0" w:color="95B3D7"/>
          <w:right w:val="single" w:sz="8" w:space="0" w:color="95B3D7"/>
          <w:insideH w:val="nil"/>
          <w:insideV w:val="single" w:sz="8" w:space="0" w:color="95B3D7"/>
        </w:tcBorders>
      </w:tcPr>
    </w:tblStylePr>
    <w:tblStylePr w:type="lastRow">
      <w:pPr>
        <w:spacing w:before="0" w:after="0" w:line="240" w:lineRule="auto"/>
      </w:pPr>
      <w:rPr>
        <w:rFonts w:ascii="Tahoma" w:eastAsia="Lucida Sans Unicode" w:hAnsi="Tahoma" w:cs="Times New Roman"/>
        <w:b/>
        <w:bCs/>
      </w:rPr>
      <w:tblPr/>
      <w:tcPr>
        <w:tcBorders>
          <w:top w:val="double" w:sz="6" w:space="0" w:color="95B3D7"/>
          <w:left w:val="single" w:sz="8" w:space="0" w:color="95B3D7"/>
          <w:bottom w:val="single" w:sz="8" w:space="0" w:color="95B3D7"/>
          <w:right w:val="single" w:sz="8" w:space="0" w:color="95B3D7"/>
          <w:insideH w:val="nil"/>
          <w:insideV w:val="single" w:sz="8" w:space="0" w:color="95B3D7"/>
        </w:tcBorders>
      </w:tcPr>
    </w:tblStylePr>
    <w:tblStylePr w:type="firstCol">
      <w:rPr>
        <w:rFonts w:ascii="Tahoma" w:eastAsia="Lucida Sans Unicode" w:hAnsi="Tahoma" w:cs="Times New Roman"/>
        <w:b/>
        <w:bCs/>
      </w:rPr>
    </w:tblStylePr>
    <w:tblStylePr w:type="lastCol">
      <w:rPr>
        <w:rFonts w:ascii="Tahoma" w:eastAsia="Lucida Sans Unicode" w:hAnsi="Tahoma" w:cs="Times New Roman"/>
        <w:b/>
        <w:bCs/>
      </w:rPr>
      <w:tblPr/>
      <w:tcPr>
        <w:tcBorders>
          <w:top w:val="single" w:sz="8" w:space="0" w:color="95B3D7"/>
          <w:left w:val="single" w:sz="8" w:space="0" w:color="95B3D7"/>
          <w:bottom w:val="single" w:sz="8" w:space="0" w:color="95B3D7"/>
          <w:right w:val="single" w:sz="8" w:space="0" w:color="95B3D7"/>
        </w:tcBorders>
      </w:tcPr>
    </w:tblStylePr>
    <w:tblStylePr w:type="band1Vert">
      <w:tblPr/>
      <w:tcPr>
        <w:tcBorders>
          <w:top w:val="single" w:sz="8" w:space="0" w:color="95B3D7"/>
          <w:left w:val="single" w:sz="8" w:space="0" w:color="95B3D7"/>
          <w:bottom w:val="single" w:sz="8" w:space="0" w:color="95B3D7"/>
          <w:right w:val="single" w:sz="8" w:space="0" w:color="95B3D7"/>
        </w:tcBorders>
        <w:shd w:val="clear" w:color="auto" w:fill="E4ECF5"/>
      </w:tcPr>
    </w:tblStylePr>
    <w:tblStylePr w:type="band1Horz">
      <w:tblPr/>
      <w:tcPr>
        <w:tcBorders>
          <w:top w:val="single" w:sz="8" w:space="0" w:color="95B3D7"/>
          <w:left w:val="single" w:sz="8" w:space="0" w:color="95B3D7"/>
          <w:bottom w:val="single" w:sz="8" w:space="0" w:color="95B3D7"/>
          <w:right w:val="single" w:sz="8" w:space="0" w:color="95B3D7"/>
          <w:insideV w:val="single" w:sz="8" w:space="0" w:color="95B3D7"/>
        </w:tcBorders>
        <w:shd w:val="clear" w:color="auto" w:fill="E4ECF5"/>
      </w:tcPr>
    </w:tblStylePr>
    <w:tblStylePr w:type="band2Horz">
      <w:tblPr/>
      <w:tcPr>
        <w:tcBorders>
          <w:top w:val="single" w:sz="8" w:space="0" w:color="95B3D7"/>
          <w:left w:val="single" w:sz="8" w:space="0" w:color="95B3D7"/>
          <w:bottom w:val="single" w:sz="8" w:space="0" w:color="95B3D7"/>
          <w:right w:val="single" w:sz="8" w:space="0" w:color="95B3D7"/>
          <w:insideV w:val="single" w:sz="8" w:space="0" w:color="95B3D7"/>
        </w:tcBorders>
      </w:tcPr>
    </w:tblStylePr>
  </w:style>
  <w:style w:type="table" w:customStyle="1" w:styleId="Correspondencia1">
    <w:name w:val="Correspondencia1"/>
    <w:basedOn w:val="Tablanormal"/>
    <w:uiPriority w:val="99"/>
    <w:qFormat/>
    <w:locked/>
    <w:rsid w:val="009F5DDF"/>
    <w:pPr>
      <w:spacing w:before="20" w:after="20"/>
    </w:pPr>
    <w:rPr>
      <w:rFonts w:ascii="Franklin Gothic Book" w:hAnsi="Franklin Gothic Book"/>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Monotype Sorts" w:hAnsi="Monotype Sorts"/>
        <w:b/>
        <w:sz w:val="20"/>
      </w:rPr>
      <w:tblPr/>
      <w:tcPr>
        <w:tcBorders>
          <w:top w:val="nil"/>
          <w:left w:val="nil"/>
          <w:bottom w:val="single" w:sz="4" w:space="0" w:color="E9EFF7"/>
          <w:right w:val="nil"/>
          <w:insideH w:val="nil"/>
          <w:insideV w:val="nil"/>
          <w:tl2br w:val="nil"/>
          <w:tr2bl w:val="nil"/>
        </w:tcBorders>
        <w:shd w:val="clear" w:color="auto" w:fill="95B3D7"/>
      </w:tcPr>
    </w:tblStylePr>
    <w:tblStylePr w:type="lastRow">
      <w:rPr>
        <w:rFonts w:ascii="Monotype Sorts" w:hAnsi="Monotype Sorts"/>
        <w:sz w:val="20"/>
      </w:rPr>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shd w:val="clear" w:color="auto" w:fill="D4E0EF"/>
      </w:tcPr>
    </w:tblStylePr>
    <w:tblStylePr w:type="band1Horz">
      <w:rPr>
        <w:rFonts w:ascii="Monotype Sorts" w:hAnsi="Monotype Sorts"/>
        <w:color w:val="auto"/>
        <w:sz w:val="20"/>
      </w:rPr>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tcPr>
    </w:tblStylePr>
    <w:tblStylePr w:type="band2Horz">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shd w:val="clear" w:color="auto" w:fill="D4E0EF"/>
      </w:tcPr>
    </w:tblStylePr>
  </w:style>
  <w:style w:type="character" w:customStyle="1" w:styleId="NegritaChar1">
    <w:name w:val="Negrita Char1"/>
    <w:link w:val="Negrita"/>
    <w:uiPriority w:val="1"/>
    <w:rsid w:val="009F5DDF"/>
    <w:rPr>
      <w:rFonts w:ascii="Franklin Gothic Book" w:eastAsia="Times New Roman" w:hAnsi="Franklin Gothic Book"/>
      <w:b/>
      <w:sz w:val="22"/>
      <w:szCs w:val="24"/>
      <w:lang w:eastAsia="en-US"/>
    </w:rPr>
  </w:style>
  <w:style w:type="paragraph" w:customStyle="1" w:styleId="CentradoResaltado">
    <w:name w:val="Centrado Resaltado"/>
    <w:basedOn w:val="Normal"/>
    <w:link w:val="CentradoResaltadoChar"/>
    <w:uiPriority w:val="1"/>
    <w:qFormat/>
    <w:rsid w:val="009F5DDF"/>
    <w:pPr>
      <w:spacing w:before="240" w:after="240" w:line="248" w:lineRule="auto"/>
      <w:ind w:left="10" w:hanging="10"/>
      <w:jc w:val="center"/>
    </w:pPr>
    <w:rPr>
      <w:b/>
      <w:color w:val="000000"/>
      <w:sz w:val="24"/>
      <w:szCs w:val="22"/>
      <w:lang w:val="es-CR" w:eastAsia="es-CR"/>
    </w:rPr>
  </w:style>
  <w:style w:type="character" w:customStyle="1" w:styleId="CentradoResaltadoChar">
    <w:name w:val="Centrado Resaltado Char"/>
    <w:link w:val="CentradoResaltado"/>
    <w:uiPriority w:val="1"/>
    <w:rsid w:val="009F5DDF"/>
    <w:rPr>
      <w:rFonts w:ascii="Times New Roman" w:eastAsia="Times New Roman" w:hAnsi="Times New Roman"/>
      <w:b/>
      <w:color w:val="000000"/>
      <w:sz w:val="24"/>
      <w:szCs w:val="22"/>
    </w:rPr>
  </w:style>
  <w:style w:type="character" w:customStyle="1" w:styleId="TextoTablaChar">
    <w:name w:val="Texto Tabla Char"/>
    <w:link w:val="TextoTabla"/>
    <w:uiPriority w:val="1"/>
    <w:rsid w:val="009F5DDF"/>
    <w:rPr>
      <w:rFonts w:ascii="Times New Roman" w:eastAsia="Times New Roman" w:hAnsi="Times New Roman"/>
      <w:color w:val="000000"/>
      <w:sz w:val="24"/>
      <w:szCs w:val="22"/>
    </w:rPr>
  </w:style>
  <w:style w:type="character" w:customStyle="1" w:styleId="italicaChar">
    <w:name w:val="italica Char"/>
    <w:link w:val="italica"/>
    <w:rsid w:val="009F5DDF"/>
    <w:rPr>
      <w:rFonts w:ascii="Times New Roman" w:eastAsia="Times New Roman" w:hAnsi="Times New Roman"/>
      <w:i/>
      <w:color w:val="000000"/>
      <w:sz w:val="24"/>
      <w:szCs w:val="22"/>
    </w:rPr>
  </w:style>
  <w:style w:type="paragraph" w:customStyle="1" w:styleId="Negritacentrado">
    <w:name w:val="Negrita centrado"/>
    <w:basedOn w:val="Negrita"/>
    <w:rsid w:val="009F5DDF"/>
    <w:pPr>
      <w:spacing w:before="0" w:after="0" w:line="360" w:lineRule="auto"/>
      <w:ind w:left="10" w:hanging="10"/>
      <w:jc w:val="center"/>
    </w:pPr>
    <w:rPr>
      <w:rFonts w:ascii="Times New Roman" w:hAnsi="Times New Roman"/>
      <w:b w:val="0"/>
      <w:bCs/>
      <w:color w:val="000000"/>
      <w:sz w:val="24"/>
      <w:szCs w:val="20"/>
      <w:lang w:eastAsia="es-CR"/>
    </w:rPr>
  </w:style>
  <w:style w:type="character" w:styleId="Textodelmarcadordeposicin">
    <w:name w:val="Placeholder Text"/>
    <w:uiPriority w:val="99"/>
    <w:semiHidden/>
    <w:rsid w:val="009F5DDF"/>
    <w:rPr>
      <w:color w:val="808080"/>
    </w:rPr>
  </w:style>
  <w:style w:type="table" w:styleId="Tablaconcuadrcula1clara-nfasis5">
    <w:name w:val="Grid Table 1 Light Accent 5"/>
    <w:basedOn w:val="Tablanormal"/>
    <w:uiPriority w:val="46"/>
    <w:rsid w:val="009F5DDF"/>
    <w:rPr>
      <w:sz w:val="22"/>
      <w:szCs w:val="22"/>
      <w:lang w:eastAsia="en-US"/>
    </w:rPr>
    <w:tblPr>
      <w:tblStyleRowBandSize w:val="1"/>
      <w:tblStyleColBandSize w:val="1"/>
      <w:tblBorders>
        <w:top w:val="single" w:sz="4" w:space="0" w:color="BEE0E8"/>
        <w:left w:val="single" w:sz="4" w:space="0" w:color="BEE0E8"/>
        <w:bottom w:val="single" w:sz="4" w:space="0" w:color="BEE0E8"/>
        <w:right w:val="single" w:sz="4" w:space="0" w:color="BEE0E8"/>
        <w:insideH w:val="single" w:sz="4" w:space="0" w:color="BEE0E8"/>
        <w:insideV w:val="single" w:sz="4" w:space="0" w:color="BEE0E8"/>
      </w:tblBorders>
    </w:tblPr>
    <w:tblStylePr w:type="firstRow">
      <w:rPr>
        <w:b/>
        <w:bCs/>
      </w:rPr>
      <w:tblPr/>
      <w:tcPr>
        <w:tcBorders>
          <w:bottom w:val="single" w:sz="12" w:space="0" w:color="9DD1DD"/>
        </w:tcBorders>
      </w:tcPr>
    </w:tblStylePr>
    <w:tblStylePr w:type="lastRow">
      <w:rPr>
        <w:b/>
        <w:bCs/>
      </w:rPr>
      <w:tblPr/>
      <w:tcPr>
        <w:tcBorders>
          <w:top w:val="double" w:sz="2" w:space="0" w:color="9DD1DD"/>
        </w:tcBorders>
      </w:tcPr>
    </w:tblStylePr>
    <w:tblStylePr w:type="firstCol">
      <w:rPr>
        <w:b/>
        <w:bCs/>
      </w:rPr>
    </w:tblStylePr>
    <w:tblStylePr w:type="lastCol">
      <w:rPr>
        <w:b/>
        <w:bCs/>
      </w:rPr>
    </w:tblStylePr>
  </w:style>
  <w:style w:type="character" w:customStyle="1" w:styleId="tgc">
    <w:name w:val="_tgc"/>
    <w:rsid w:val="009F5DDF"/>
  </w:style>
  <w:style w:type="paragraph" w:customStyle="1" w:styleId="EstiloMarcoConceptual">
    <w:name w:val="Estilo Marco Conceptual"/>
    <w:basedOn w:val="Ttulo1"/>
    <w:link w:val="EstiloMarcoConceptualCar"/>
    <w:qFormat/>
    <w:rsid w:val="009F5DDF"/>
    <w:pPr>
      <w:keepNext w:val="0"/>
      <w:widowControl w:val="0"/>
      <w:numPr>
        <w:numId w:val="18"/>
      </w:numPr>
      <w:spacing w:before="240"/>
    </w:pPr>
    <w:rPr>
      <w:rFonts w:ascii="Cambria" w:eastAsia="Malgun Gothic" w:hAnsi="Cambria"/>
      <w:b/>
      <w:sz w:val="20"/>
      <w:szCs w:val="24"/>
      <w:lang w:eastAsia="en-US"/>
    </w:rPr>
  </w:style>
  <w:style w:type="character" w:customStyle="1" w:styleId="EstiloMarcoConceptualCar">
    <w:name w:val="Estilo Marco Conceptual Car"/>
    <w:link w:val="EstiloMarcoConceptual"/>
    <w:rsid w:val="009F5DDF"/>
    <w:rPr>
      <w:rFonts w:ascii="Cambria" w:eastAsia="Malgun Gothic" w:hAnsi="Cambria"/>
      <w:b/>
      <w:szCs w:val="24"/>
      <w:lang w:val="es-ES" w:eastAsia="en-US"/>
    </w:rPr>
  </w:style>
  <w:style w:type="paragraph" w:customStyle="1" w:styleId="Estilo1">
    <w:name w:val="Estilo1"/>
    <w:basedOn w:val="Ttulo2"/>
    <w:link w:val="Estilo1Car"/>
    <w:qFormat/>
    <w:rsid w:val="009F5DDF"/>
    <w:pPr>
      <w:keepNext w:val="0"/>
      <w:numPr>
        <w:numId w:val="24"/>
      </w:numPr>
      <w:spacing w:before="40" w:after="240" w:line="276" w:lineRule="auto"/>
      <w:jc w:val="left"/>
    </w:pPr>
    <w:rPr>
      <w:rFonts w:ascii="Cambria" w:eastAsia="Malgun Gothic" w:hAnsi="Cambria"/>
      <w:bCs/>
      <w:sz w:val="26"/>
      <w:szCs w:val="26"/>
      <w:lang w:eastAsia="en-US"/>
    </w:rPr>
  </w:style>
  <w:style w:type="character" w:customStyle="1" w:styleId="Estilo1Car">
    <w:name w:val="Estilo1 Car"/>
    <w:link w:val="Estilo1"/>
    <w:rsid w:val="009F5DDF"/>
    <w:rPr>
      <w:rFonts w:ascii="Cambria" w:eastAsia="Malgun Gothic" w:hAnsi="Cambria"/>
      <w:b/>
      <w:bCs/>
      <w:sz w:val="26"/>
      <w:szCs w:val="26"/>
      <w:lang w:val="es-ES" w:eastAsia="en-US"/>
    </w:rPr>
  </w:style>
  <w:style w:type="paragraph" w:customStyle="1" w:styleId="Ttulo1SUGEF">
    <w:name w:val="Título 1 SUGEF"/>
    <w:basedOn w:val="Normal"/>
    <w:qFormat/>
    <w:rsid w:val="009F5DDF"/>
    <w:pPr>
      <w:numPr>
        <w:numId w:val="19"/>
      </w:numPr>
    </w:pPr>
    <w:rPr>
      <w:rFonts w:ascii="Arial" w:hAnsi="Arial" w:cs="Arial"/>
      <w:b/>
      <w:sz w:val="24"/>
      <w:szCs w:val="24"/>
      <w:lang w:val="es-ES_tradnl"/>
    </w:rPr>
  </w:style>
  <w:style w:type="paragraph" w:customStyle="1" w:styleId="Ttulo2SUGEF">
    <w:name w:val="Título 2 SUGEF"/>
    <w:basedOn w:val="Normal"/>
    <w:qFormat/>
    <w:rsid w:val="009F5DDF"/>
    <w:pPr>
      <w:numPr>
        <w:ilvl w:val="1"/>
        <w:numId w:val="19"/>
      </w:numPr>
    </w:pPr>
    <w:rPr>
      <w:rFonts w:ascii="Arial" w:hAnsi="Arial" w:cs="Arial"/>
      <w:b/>
      <w:sz w:val="22"/>
      <w:szCs w:val="24"/>
      <w:lang w:val="es-ES_tradnl"/>
    </w:rPr>
  </w:style>
  <w:style w:type="paragraph" w:customStyle="1" w:styleId="Heding3">
    <w:name w:val="Heding 3"/>
    <w:basedOn w:val="Ttulo3"/>
    <w:link w:val="Heding3Char"/>
    <w:rsid w:val="009F5DDF"/>
    <w:pPr>
      <w:tabs>
        <w:tab w:val="num" w:pos="576"/>
      </w:tabs>
      <w:spacing w:before="240" w:after="60"/>
      <w:ind w:left="576" w:hanging="576"/>
    </w:pPr>
    <w:rPr>
      <w:rFonts w:ascii="Arial" w:eastAsia="Calibri" w:hAnsi="Arial" w:cs="Arial"/>
      <w:i/>
      <w:sz w:val="28"/>
      <w:szCs w:val="28"/>
    </w:rPr>
  </w:style>
  <w:style w:type="character" w:customStyle="1" w:styleId="Heding3Char">
    <w:name w:val="Heding 3 Char"/>
    <w:link w:val="Heding3"/>
    <w:rsid w:val="009F5DDF"/>
    <w:rPr>
      <w:rFonts w:ascii="Arial" w:hAnsi="Arial" w:cs="Arial"/>
      <w:b/>
      <w:bCs/>
      <w:i/>
      <w:sz w:val="28"/>
      <w:szCs w:val="28"/>
      <w:lang w:val="es-ES" w:eastAsia="es-ES"/>
    </w:rPr>
  </w:style>
  <w:style w:type="character" w:customStyle="1" w:styleId="CarCar19">
    <w:name w:val="Car Car19"/>
    <w:rsid w:val="009F5DDF"/>
    <w:rPr>
      <w:rFonts w:ascii="Arial" w:hAnsi="Arial" w:cs="Arial"/>
      <w:bCs/>
      <w:i/>
      <w:sz w:val="26"/>
      <w:szCs w:val="26"/>
      <w:lang w:val="es-ES" w:eastAsia="es-ES"/>
    </w:rPr>
  </w:style>
  <w:style w:type="paragraph" w:customStyle="1" w:styleId="Heading4mus">
    <w:name w:val="Heading 4 mus"/>
    <w:basedOn w:val="Ttulo3"/>
    <w:link w:val="Heading4musChar"/>
    <w:rsid w:val="009F5DDF"/>
    <w:pPr>
      <w:tabs>
        <w:tab w:val="num" w:pos="720"/>
      </w:tabs>
      <w:spacing w:before="240" w:after="60"/>
      <w:ind w:left="720" w:hanging="720"/>
    </w:pPr>
    <w:rPr>
      <w:rFonts w:ascii="Arial" w:eastAsia="Calibri" w:hAnsi="Arial" w:cs="Arial"/>
      <w:i/>
      <w:sz w:val="28"/>
      <w:szCs w:val="28"/>
      <w:lang w:val="en-GB"/>
    </w:rPr>
  </w:style>
  <w:style w:type="character" w:customStyle="1" w:styleId="Heading4musChar">
    <w:name w:val="Heading 4 mus Char"/>
    <w:link w:val="Heading4mus"/>
    <w:rsid w:val="009F5DDF"/>
    <w:rPr>
      <w:rFonts w:ascii="Arial" w:hAnsi="Arial" w:cs="Arial"/>
      <w:b/>
      <w:bCs/>
      <w:i/>
      <w:sz w:val="28"/>
      <w:szCs w:val="28"/>
      <w:lang w:val="en-GB" w:eastAsia="es-ES"/>
    </w:rPr>
  </w:style>
  <w:style w:type="character" w:customStyle="1" w:styleId="CarCar20">
    <w:name w:val="Car Car20"/>
    <w:rsid w:val="009F5DDF"/>
    <w:rPr>
      <w:rFonts w:ascii="Arial" w:hAnsi="Arial" w:cs="Arial"/>
      <w:bCs/>
      <w:iCs/>
      <w:sz w:val="28"/>
      <w:szCs w:val="28"/>
      <w:lang w:val="es-ES" w:eastAsia="es-ES" w:bidi="ar-SA"/>
    </w:rPr>
  </w:style>
  <w:style w:type="character" w:customStyle="1" w:styleId="CarCar17">
    <w:name w:val="Car Car17"/>
    <w:rsid w:val="009F5DDF"/>
    <w:rPr>
      <w:rFonts w:ascii="Arial" w:hAnsi="Arial"/>
      <w:bCs/>
      <w:iCs/>
      <w:sz w:val="26"/>
      <w:szCs w:val="26"/>
      <w:lang w:val="es-ES" w:eastAsia="es-ES" w:bidi="ar-SA"/>
    </w:rPr>
  </w:style>
  <w:style w:type="character" w:customStyle="1" w:styleId="CarCar16">
    <w:name w:val="Car Car16"/>
    <w:rsid w:val="009F5DDF"/>
    <w:rPr>
      <w:rFonts w:ascii="Arial" w:hAnsi="Arial"/>
      <w:bCs/>
      <w:i/>
      <w:sz w:val="22"/>
      <w:szCs w:val="22"/>
      <w:lang w:val="es-ES" w:eastAsia="es-ES" w:bidi="ar-SA"/>
    </w:rPr>
  </w:style>
  <w:style w:type="character" w:customStyle="1" w:styleId="CarCar15">
    <w:name w:val="Car Car15"/>
    <w:rsid w:val="009F5DDF"/>
    <w:rPr>
      <w:rFonts w:ascii="Arial" w:hAnsi="Arial"/>
      <w:b/>
      <w:i/>
      <w:sz w:val="28"/>
      <w:lang w:val="es-ES" w:eastAsia="es-ES" w:bidi="ar-SA"/>
    </w:rPr>
  </w:style>
  <w:style w:type="character" w:customStyle="1" w:styleId="CarCar14">
    <w:name w:val="Car Car14"/>
    <w:rsid w:val="009F5DDF"/>
    <w:rPr>
      <w:rFonts w:ascii="Arial" w:hAnsi="Arial"/>
      <w:b/>
      <w:iCs/>
      <w:sz w:val="28"/>
      <w:lang w:val="es-ES" w:eastAsia="es-ES" w:bidi="ar-SA"/>
    </w:rPr>
  </w:style>
  <w:style w:type="character" w:customStyle="1" w:styleId="CarCar13">
    <w:name w:val="Car Car13"/>
    <w:rsid w:val="009F5DDF"/>
    <w:rPr>
      <w:rFonts w:ascii="Arial" w:hAnsi="Arial" w:cs="Arial"/>
      <w:b/>
      <w:i/>
      <w:sz w:val="22"/>
      <w:szCs w:val="22"/>
      <w:lang w:val="es-ES" w:eastAsia="es-ES" w:bidi="ar-SA"/>
    </w:rPr>
  </w:style>
  <w:style w:type="paragraph" w:styleId="TDC3">
    <w:name w:val="toc 3"/>
    <w:basedOn w:val="Normal"/>
    <w:next w:val="Normal"/>
    <w:autoRedefine/>
    <w:rsid w:val="009F5DDF"/>
    <w:pPr>
      <w:ind w:left="480"/>
    </w:pPr>
    <w:rPr>
      <w:i/>
      <w:iCs/>
      <w:lang w:val="es-ES_tradnl"/>
    </w:rPr>
  </w:style>
  <w:style w:type="paragraph" w:customStyle="1" w:styleId="02bullet">
    <w:name w:val="02 bullet"/>
    <w:basedOn w:val="Normal"/>
    <w:rsid w:val="009F5DDF"/>
    <w:pPr>
      <w:spacing w:after="180"/>
      <w:ind w:left="1296" w:hanging="317"/>
      <w:outlineLvl w:val="6"/>
    </w:pPr>
    <w:rPr>
      <w:rFonts w:ascii="Palatino" w:hAnsi="Palatino"/>
      <w:b/>
      <w:i/>
      <w:sz w:val="28"/>
    </w:rPr>
  </w:style>
  <w:style w:type="paragraph" w:customStyle="1" w:styleId="03dash">
    <w:name w:val="03 dash"/>
    <w:basedOn w:val="Normal"/>
    <w:rsid w:val="009F5DDF"/>
    <w:pPr>
      <w:numPr>
        <w:numId w:val="20"/>
      </w:numPr>
      <w:tabs>
        <w:tab w:val="clear" w:pos="1656"/>
        <w:tab w:val="left" w:pos="1613"/>
      </w:tabs>
      <w:spacing w:after="180"/>
      <w:outlineLvl w:val="7"/>
    </w:pPr>
    <w:rPr>
      <w:rFonts w:ascii="Palatino" w:hAnsi="Palatino"/>
      <w:b/>
      <w:i/>
      <w:sz w:val="28"/>
    </w:rPr>
  </w:style>
  <w:style w:type="paragraph" w:customStyle="1" w:styleId="84exhsubtitle">
    <w:name w:val="84 exh subtitle"/>
    <w:basedOn w:val="Normal"/>
    <w:next w:val="Normal"/>
    <w:rsid w:val="009F5DDF"/>
    <w:pPr>
      <w:spacing w:before="100"/>
    </w:pPr>
    <w:rPr>
      <w:rFonts w:ascii="Arial" w:hAnsi="Arial"/>
      <w:i/>
      <w:sz w:val="28"/>
    </w:rPr>
  </w:style>
  <w:style w:type="paragraph" w:customStyle="1" w:styleId="61exhbullet">
    <w:name w:val="61 exh bullet"/>
    <w:basedOn w:val="Normal"/>
    <w:rsid w:val="009F5DDF"/>
    <w:pPr>
      <w:numPr>
        <w:numId w:val="21"/>
      </w:numPr>
      <w:tabs>
        <w:tab w:val="clear" w:pos="360"/>
      </w:tabs>
    </w:pPr>
    <w:rPr>
      <w:rFonts w:ascii="Arial" w:hAnsi="Arial"/>
      <w:b/>
      <w:i/>
      <w:sz w:val="28"/>
    </w:rPr>
  </w:style>
  <w:style w:type="paragraph" w:customStyle="1" w:styleId="Textopredeterminado">
    <w:name w:val="Texto predeterminado"/>
    <w:basedOn w:val="Normal"/>
    <w:rsid w:val="009F5DDF"/>
    <w:pPr>
      <w:jc w:val="both"/>
    </w:pPr>
    <w:rPr>
      <w:rFonts w:ascii="Arial" w:hAnsi="Arial"/>
      <w:b/>
      <w:i/>
      <w:lang w:val="es-AR"/>
    </w:rPr>
  </w:style>
  <w:style w:type="paragraph" w:customStyle="1" w:styleId="xl54">
    <w:name w:val="xl54"/>
    <w:basedOn w:val="Normal"/>
    <w:rsid w:val="009F5DDF"/>
    <w:pPr>
      <w:pBdr>
        <w:bottom w:val="single" w:sz="12" w:space="0" w:color="008000"/>
      </w:pBdr>
      <w:spacing w:before="100" w:beforeAutospacing="1" w:after="100" w:afterAutospacing="1"/>
      <w:jc w:val="both"/>
      <w:textAlignment w:val="top"/>
    </w:pPr>
    <w:rPr>
      <w:rFonts w:ascii="Arial" w:eastAsia="Arial Unicode MS" w:hAnsi="Arial" w:cs="Arial"/>
      <w:b/>
      <w:i/>
      <w:sz w:val="28"/>
    </w:rPr>
  </w:style>
  <w:style w:type="paragraph" w:customStyle="1" w:styleId="Estndar">
    <w:name w:val="Estándar"/>
    <w:basedOn w:val="Normal"/>
    <w:rsid w:val="009F5DDF"/>
    <w:pPr>
      <w:overflowPunct w:val="0"/>
      <w:autoSpaceDE w:val="0"/>
      <w:autoSpaceDN w:val="0"/>
      <w:adjustRightInd w:val="0"/>
      <w:jc w:val="both"/>
      <w:textAlignment w:val="baseline"/>
    </w:pPr>
    <w:rPr>
      <w:rFonts w:ascii="Arial" w:hAnsi="Arial"/>
      <w:b/>
      <w:i/>
      <w:sz w:val="22"/>
      <w:lang w:val="es-ES_tradnl"/>
    </w:rPr>
  </w:style>
  <w:style w:type="paragraph" w:customStyle="1" w:styleId="Encabezadodetda">
    <w:name w:val="Encabezado de tda"/>
    <w:basedOn w:val="Normal"/>
    <w:rsid w:val="009F5DDF"/>
    <w:pPr>
      <w:widowControl w:val="0"/>
      <w:tabs>
        <w:tab w:val="right" w:pos="9360"/>
      </w:tabs>
      <w:suppressAutoHyphens/>
    </w:pPr>
    <w:rPr>
      <w:rFonts w:ascii="Arial" w:hAnsi="Arial"/>
      <w:b/>
      <w:i/>
      <w:snapToGrid w:val="0"/>
      <w:lang w:val="en-US"/>
    </w:rPr>
  </w:style>
  <w:style w:type="paragraph" w:customStyle="1" w:styleId="86exhmeasure">
    <w:name w:val="86 exh measure"/>
    <w:basedOn w:val="Normal"/>
    <w:next w:val="Normal"/>
    <w:rsid w:val="009F5DDF"/>
    <w:pPr>
      <w:spacing w:before="100"/>
    </w:pPr>
    <w:rPr>
      <w:rFonts w:ascii="Arial" w:hAnsi="Arial"/>
      <w:b/>
      <w:i/>
      <w:sz w:val="28"/>
    </w:rPr>
  </w:style>
  <w:style w:type="paragraph" w:customStyle="1" w:styleId="31subtitle">
    <w:name w:val="31 subtitle"/>
    <w:basedOn w:val="Normal"/>
    <w:next w:val="Normal"/>
    <w:rsid w:val="009F5DDF"/>
    <w:pPr>
      <w:spacing w:after="720"/>
      <w:ind w:right="3601"/>
    </w:pPr>
    <w:rPr>
      <w:rFonts w:ascii="Palatino" w:hAnsi="Palatino"/>
      <w:b/>
      <w:sz w:val="28"/>
    </w:rPr>
  </w:style>
  <w:style w:type="paragraph" w:customStyle="1" w:styleId="40address">
    <w:name w:val="40 address"/>
    <w:basedOn w:val="Normal"/>
    <w:rsid w:val="009F5DDF"/>
    <w:pPr>
      <w:spacing w:after="180"/>
    </w:pPr>
    <w:rPr>
      <w:rFonts w:ascii="Palatino" w:hAnsi="Palatino"/>
      <w:b/>
      <w:i/>
      <w:sz w:val="28"/>
    </w:rPr>
  </w:style>
  <w:style w:type="paragraph" w:customStyle="1" w:styleId="60exhnormal">
    <w:name w:val="60 exh normal"/>
    <w:basedOn w:val="Normal"/>
    <w:rsid w:val="009F5DDF"/>
    <w:rPr>
      <w:rFonts w:ascii="Arial" w:hAnsi="Arial"/>
      <w:b/>
      <w:i/>
      <w:sz w:val="28"/>
    </w:rPr>
  </w:style>
  <w:style w:type="paragraph" w:styleId="Subttulo">
    <w:name w:val="Subtitle"/>
    <w:basedOn w:val="Normal"/>
    <w:link w:val="SubttuloCar"/>
    <w:qFormat/>
    <w:rsid w:val="009F5DDF"/>
    <w:pPr>
      <w:jc w:val="center"/>
    </w:pPr>
    <w:rPr>
      <w:rFonts w:ascii="Arial" w:hAnsi="Arial"/>
      <w:i/>
      <w:sz w:val="32"/>
      <w:u w:val="single"/>
    </w:rPr>
  </w:style>
  <w:style w:type="character" w:customStyle="1" w:styleId="SubttuloCar">
    <w:name w:val="Subtítulo Car"/>
    <w:basedOn w:val="Fuentedeprrafopredeter"/>
    <w:link w:val="Subttulo"/>
    <w:rsid w:val="009F5DDF"/>
    <w:rPr>
      <w:rFonts w:ascii="Arial" w:eastAsia="Times New Roman" w:hAnsi="Arial"/>
      <w:i/>
      <w:sz w:val="32"/>
      <w:u w:val="single"/>
      <w:lang w:val="es-ES" w:eastAsia="es-ES"/>
    </w:rPr>
  </w:style>
  <w:style w:type="paragraph" w:styleId="TDC4">
    <w:name w:val="toc 4"/>
    <w:basedOn w:val="Normal"/>
    <w:next w:val="Normal"/>
    <w:autoRedefine/>
    <w:rsid w:val="009F5DDF"/>
    <w:pPr>
      <w:ind w:left="720"/>
    </w:pPr>
    <w:rPr>
      <w:sz w:val="18"/>
      <w:szCs w:val="18"/>
      <w:lang w:val="es-ES_tradnl"/>
    </w:rPr>
  </w:style>
  <w:style w:type="paragraph" w:styleId="TDC5">
    <w:name w:val="toc 5"/>
    <w:basedOn w:val="Normal"/>
    <w:next w:val="Normal"/>
    <w:autoRedefine/>
    <w:rsid w:val="009F5DDF"/>
    <w:pPr>
      <w:ind w:left="960"/>
    </w:pPr>
    <w:rPr>
      <w:sz w:val="18"/>
      <w:szCs w:val="18"/>
      <w:lang w:val="es-ES_tradnl"/>
    </w:rPr>
  </w:style>
  <w:style w:type="paragraph" w:styleId="TDC6">
    <w:name w:val="toc 6"/>
    <w:basedOn w:val="Normal"/>
    <w:next w:val="Normal"/>
    <w:autoRedefine/>
    <w:rsid w:val="009F5DDF"/>
    <w:pPr>
      <w:ind w:left="1200"/>
    </w:pPr>
    <w:rPr>
      <w:sz w:val="18"/>
      <w:szCs w:val="18"/>
      <w:lang w:val="es-ES_tradnl"/>
    </w:rPr>
  </w:style>
  <w:style w:type="paragraph" w:styleId="TDC7">
    <w:name w:val="toc 7"/>
    <w:basedOn w:val="Normal"/>
    <w:next w:val="Normal"/>
    <w:autoRedefine/>
    <w:rsid w:val="009F5DDF"/>
    <w:pPr>
      <w:ind w:left="1440"/>
    </w:pPr>
    <w:rPr>
      <w:sz w:val="18"/>
      <w:szCs w:val="18"/>
      <w:lang w:val="es-ES_tradnl"/>
    </w:rPr>
  </w:style>
  <w:style w:type="paragraph" w:styleId="TDC8">
    <w:name w:val="toc 8"/>
    <w:basedOn w:val="Normal"/>
    <w:next w:val="Normal"/>
    <w:autoRedefine/>
    <w:rsid w:val="009F5DDF"/>
    <w:pPr>
      <w:ind w:left="1680"/>
    </w:pPr>
    <w:rPr>
      <w:sz w:val="18"/>
      <w:szCs w:val="18"/>
      <w:lang w:val="es-ES_tradnl"/>
    </w:rPr>
  </w:style>
  <w:style w:type="paragraph" w:styleId="TDC9">
    <w:name w:val="toc 9"/>
    <w:basedOn w:val="Normal"/>
    <w:next w:val="Normal"/>
    <w:autoRedefine/>
    <w:rsid w:val="009F5DDF"/>
    <w:pPr>
      <w:ind w:left="1920"/>
    </w:pPr>
    <w:rPr>
      <w:sz w:val="18"/>
      <w:szCs w:val="18"/>
      <w:lang w:val="es-ES_tradnl"/>
    </w:rPr>
  </w:style>
  <w:style w:type="paragraph" w:customStyle="1" w:styleId="xl29">
    <w:name w:val="xl29"/>
    <w:basedOn w:val="Normal"/>
    <w:rsid w:val="009F5DDF"/>
    <w:pPr>
      <w:spacing w:before="100" w:beforeAutospacing="1" w:after="100" w:afterAutospacing="1"/>
      <w:jc w:val="center"/>
    </w:pPr>
    <w:rPr>
      <w:rFonts w:ascii="Arial" w:eastAsia="Arial Unicode MS" w:hAnsi="Arial"/>
      <w:bCs/>
      <w:i/>
      <w:sz w:val="22"/>
      <w:szCs w:val="22"/>
    </w:rPr>
  </w:style>
  <w:style w:type="paragraph" w:customStyle="1" w:styleId="a">
    <w:name w:val="_"/>
    <w:basedOn w:val="Normal"/>
    <w:rsid w:val="009F5DDF"/>
    <w:pPr>
      <w:widowControl w:val="0"/>
      <w:ind w:left="720" w:hanging="360"/>
    </w:pPr>
    <w:rPr>
      <w:rFonts w:ascii="Arial" w:hAnsi="Arial"/>
      <w:b/>
      <w:i/>
      <w:snapToGrid w:val="0"/>
      <w:sz w:val="28"/>
      <w:lang w:val="en-US"/>
    </w:rPr>
  </w:style>
  <w:style w:type="paragraph" w:customStyle="1" w:styleId="Headimg5mus">
    <w:name w:val="Headimg 5 mus"/>
    <w:basedOn w:val="Ttulo5"/>
    <w:rsid w:val="009F5DDF"/>
    <w:pPr>
      <w:keepNext w:val="0"/>
      <w:widowControl/>
      <w:tabs>
        <w:tab w:val="num" w:pos="1339"/>
      </w:tabs>
      <w:spacing w:before="240" w:after="60"/>
      <w:ind w:left="1296" w:hanging="317"/>
      <w:jc w:val="left"/>
    </w:pPr>
    <w:rPr>
      <w:rFonts w:ascii="Arial" w:eastAsia="Calibri" w:hAnsi="Arial"/>
      <w:b w:val="0"/>
      <w:i w:val="0"/>
      <w:sz w:val="26"/>
      <w:szCs w:val="26"/>
      <w:lang w:val="es-ES"/>
    </w:rPr>
  </w:style>
  <w:style w:type="paragraph" w:customStyle="1" w:styleId="tituloportada">
    <w:name w:val="tituloportada"/>
    <w:basedOn w:val="Default"/>
    <w:next w:val="Default"/>
    <w:rsid w:val="009F5DDF"/>
    <w:rPr>
      <w:rFonts w:ascii="BdE Neue Helvetica" w:hAnsi="BdE Neue Helvetica" w:cs="Times New Roman"/>
      <w:color w:val="auto"/>
      <w:lang w:val="es-ES" w:eastAsia="es-ES"/>
    </w:rPr>
  </w:style>
  <w:style w:type="paragraph" w:customStyle="1" w:styleId="Heading2a">
    <w:name w:val="Heading 2a"/>
    <w:basedOn w:val="Ttulo2"/>
    <w:rsid w:val="009F5DDF"/>
    <w:pPr>
      <w:keepNext w:val="0"/>
      <w:spacing w:before="240" w:after="120"/>
    </w:pPr>
    <w:rPr>
      <w:rFonts w:eastAsia="Calibri"/>
      <w:b w:val="0"/>
      <w:bCs/>
      <w:sz w:val="20"/>
      <w:lang w:val="es-AR"/>
    </w:rPr>
  </w:style>
  <w:style w:type="paragraph" w:customStyle="1" w:styleId="ecmsonormal">
    <w:name w:val="ec_msonormal"/>
    <w:basedOn w:val="Normal"/>
    <w:rsid w:val="009F5DDF"/>
    <w:pPr>
      <w:spacing w:before="100" w:beforeAutospacing="1" w:after="100" w:afterAutospacing="1"/>
    </w:pPr>
    <w:rPr>
      <w:rFonts w:ascii="Arial" w:eastAsia="SimSun" w:hAnsi="Arial"/>
      <w:b/>
      <w:i/>
      <w:sz w:val="28"/>
      <w:lang w:val="es-AR" w:eastAsia="zh-CN"/>
    </w:rPr>
  </w:style>
  <w:style w:type="paragraph" w:customStyle="1" w:styleId="b2">
    <w:name w:val="b2"/>
    <w:basedOn w:val="Normal"/>
    <w:rsid w:val="009F5DDF"/>
    <w:pPr>
      <w:numPr>
        <w:numId w:val="22"/>
      </w:numPr>
      <w:tabs>
        <w:tab w:val="clear" w:pos="360"/>
        <w:tab w:val="num" w:pos="851"/>
      </w:tabs>
      <w:spacing w:before="240"/>
      <w:ind w:left="850" w:hanging="425"/>
      <w:jc w:val="both"/>
    </w:pPr>
    <w:rPr>
      <w:rFonts w:ascii="Book Antiqua" w:hAnsi="Book Antiqua"/>
      <w:b/>
      <w:i/>
      <w:sz w:val="28"/>
    </w:rPr>
  </w:style>
  <w:style w:type="paragraph" w:customStyle="1" w:styleId="Estilo6">
    <w:name w:val="Estilo6"/>
    <w:basedOn w:val="Textoindependiente2"/>
    <w:rsid w:val="009F5DDF"/>
    <w:pPr>
      <w:widowControl w:val="0"/>
      <w:tabs>
        <w:tab w:val="num" w:pos="360"/>
      </w:tabs>
      <w:spacing w:before="120" w:after="0" w:line="240" w:lineRule="auto"/>
      <w:ind w:left="288" w:hanging="288"/>
      <w:jc w:val="both"/>
    </w:pPr>
    <w:rPr>
      <w:rFonts w:ascii="Arial" w:eastAsia="Calibri" w:hAnsi="Arial"/>
      <w:b/>
      <w:i/>
      <w:sz w:val="28"/>
    </w:rPr>
  </w:style>
  <w:style w:type="character" w:customStyle="1" w:styleId="Heading3Char">
    <w:name w:val="Heading 3 Char"/>
    <w:locked/>
    <w:rsid w:val="009F5DDF"/>
    <w:rPr>
      <w:rFonts w:ascii="Arial" w:hAnsi="Arial" w:cs="Arial"/>
      <w:b/>
      <w:bCs/>
      <w:sz w:val="26"/>
      <w:szCs w:val="26"/>
      <w:lang w:val="en-GB" w:eastAsia="es-ES" w:bidi="ar-SA"/>
    </w:rPr>
  </w:style>
  <w:style w:type="paragraph" w:customStyle="1" w:styleId="ListParagraph1">
    <w:name w:val="List Paragraph1"/>
    <w:basedOn w:val="Normal"/>
    <w:qFormat/>
    <w:rsid w:val="009F5DDF"/>
    <w:pPr>
      <w:ind w:left="720"/>
      <w:contextualSpacing/>
    </w:pPr>
    <w:rPr>
      <w:sz w:val="24"/>
      <w:szCs w:val="24"/>
      <w:lang w:val="es-ES_tradnl"/>
    </w:rPr>
  </w:style>
  <w:style w:type="character" w:customStyle="1" w:styleId="CarCar21">
    <w:name w:val="Car Car21"/>
    <w:rsid w:val="009F5DDF"/>
    <w:rPr>
      <w:rFonts w:ascii="Arial" w:hAnsi="Arial" w:cs="Arial"/>
      <w:bCs/>
      <w:iCs/>
      <w:sz w:val="28"/>
      <w:szCs w:val="28"/>
      <w:lang w:val="es-ES" w:eastAsia="es-ES" w:bidi="ar-SA"/>
    </w:rPr>
  </w:style>
  <w:style w:type="paragraph" w:customStyle="1" w:styleId="Ttulo3SUGEF">
    <w:name w:val="Título 3 SUGEF"/>
    <w:basedOn w:val="Ttulo2SUGEF"/>
    <w:qFormat/>
    <w:rsid w:val="009F5DDF"/>
    <w:pPr>
      <w:numPr>
        <w:numId w:val="23"/>
      </w:numPr>
    </w:pPr>
  </w:style>
  <w:style w:type="paragraph" w:customStyle="1" w:styleId="Textoindependiente23">
    <w:name w:val="Texto independiente 23"/>
    <w:basedOn w:val="Normal"/>
    <w:rsid w:val="009F5DDF"/>
    <w:pPr>
      <w:spacing w:line="288" w:lineRule="auto"/>
      <w:ind w:left="708"/>
      <w:jc w:val="both"/>
    </w:pPr>
    <w:rPr>
      <w:rFonts w:ascii="Arial" w:hAnsi="Arial"/>
      <w:sz w:val="22"/>
    </w:rPr>
  </w:style>
  <w:style w:type="table" w:styleId="Tablaconcuadrcula4-nfasis1">
    <w:name w:val="Grid Table 4 Accent 1"/>
    <w:basedOn w:val="Tablanormal"/>
    <w:uiPriority w:val="49"/>
    <w:rsid w:val="009F5DDF"/>
    <w:rPr>
      <w:rFonts w:ascii="Franklin Gothic Book" w:hAnsi="Franklin Gothic Book"/>
    </w:rPr>
    <w:tblPr>
      <w:tblStyleRowBandSize w:val="1"/>
      <w:tblStyleColBandSize w:val="1"/>
      <w:tblBorders>
        <w:top w:val="single" w:sz="4" w:space="0" w:color="87B3DD"/>
        <w:left w:val="single" w:sz="4" w:space="0" w:color="87B3DD"/>
        <w:bottom w:val="single" w:sz="4" w:space="0" w:color="87B3DD"/>
        <w:right w:val="single" w:sz="4" w:space="0" w:color="87B3DD"/>
        <w:insideH w:val="single" w:sz="4" w:space="0" w:color="87B3DD"/>
        <w:insideV w:val="single" w:sz="4" w:space="0" w:color="87B3DD"/>
      </w:tblBorders>
    </w:tblPr>
    <w:tblStylePr w:type="firstRow">
      <w:rPr>
        <w:b/>
        <w:bCs/>
        <w:color w:val="000000"/>
      </w:rPr>
      <w:tblPr/>
      <w:tcPr>
        <w:tcBorders>
          <w:top w:val="single" w:sz="4" w:space="0" w:color="3882C6"/>
          <w:left w:val="single" w:sz="4" w:space="0" w:color="3882C6"/>
          <w:bottom w:val="single" w:sz="4" w:space="0" w:color="3882C6"/>
          <w:right w:val="single" w:sz="4" w:space="0" w:color="3882C6"/>
          <w:insideH w:val="nil"/>
          <w:insideV w:val="nil"/>
        </w:tcBorders>
        <w:shd w:val="clear" w:color="auto" w:fill="3882C6"/>
      </w:tcPr>
    </w:tblStylePr>
    <w:tblStylePr w:type="lastRow">
      <w:rPr>
        <w:b/>
        <w:bCs/>
      </w:rPr>
      <w:tblPr/>
      <w:tcPr>
        <w:tcBorders>
          <w:top w:val="double" w:sz="4" w:space="0" w:color="3882C6"/>
        </w:tcBorders>
      </w:tcPr>
    </w:tblStylePr>
    <w:tblStylePr w:type="firstCol">
      <w:rPr>
        <w:b/>
        <w:bCs/>
      </w:rPr>
    </w:tblStylePr>
    <w:tblStylePr w:type="lastCol">
      <w:rPr>
        <w:b/>
        <w:bCs/>
      </w:rPr>
    </w:tblStylePr>
    <w:tblStylePr w:type="band1Vert">
      <w:tblPr/>
      <w:tcPr>
        <w:shd w:val="clear" w:color="auto" w:fill="D6E5F3"/>
      </w:tcPr>
    </w:tblStylePr>
    <w:tblStylePr w:type="band1Horz">
      <w:tblPr/>
      <w:tcPr>
        <w:shd w:val="clear" w:color="auto" w:fill="D6E5F3"/>
      </w:tcPr>
    </w:tblStylePr>
  </w:style>
  <w:style w:type="table" w:styleId="Tablaconcuadrcula5oscura-nfasis3">
    <w:name w:val="Grid Table 5 Dark Accent 3"/>
    <w:basedOn w:val="Tablanormal"/>
    <w:uiPriority w:val="50"/>
    <w:rsid w:val="009F5DDF"/>
    <w:rPr>
      <w:rFonts w:ascii="Franklin Gothic Book" w:hAnsi="Franklin Gothic Book"/>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EDF5E1"/>
    </w:tcPr>
    <w:tblStylePr w:type="firstRow">
      <w:rPr>
        <w:b/>
        <w:bCs/>
        <w:color w:val="000000"/>
      </w:rPr>
      <w:tblPr/>
      <w:tcPr>
        <w:tcBorders>
          <w:top w:val="single" w:sz="4" w:space="0" w:color="000000"/>
          <w:left w:val="single" w:sz="4" w:space="0" w:color="000000"/>
          <w:right w:val="single" w:sz="4" w:space="0" w:color="000000"/>
          <w:insideH w:val="nil"/>
          <w:insideV w:val="nil"/>
        </w:tcBorders>
        <w:shd w:val="clear" w:color="auto" w:fill="A9CD69"/>
      </w:tcPr>
    </w:tblStylePr>
    <w:tblStylePr w:type="lastRow">
      <w:rPr>
        <w:b/>
        <w:bCs/>
        <w:color w:val="000000"/>
      </w:rPr>
      <w:tblPr/>
      <w:tcPr>
        <w:tcBorders>
          <w:left w:val="single" w:sz="4" w:space="0" w:color="000000"/>
          <w:bottom w:val="single" w:sz="4" w:space="0" w:color="000000"/>
          <w:right w:val="single" w:sz="4" w:space="0" w:color="000000"/>
          <w:insideH w:val="nil"/>
          <w:insideV w:val="nil"/>
        </w:tcBorders>
        <w:shd w:val="clear" w:color="auto" w:fill="A9CD69"/>
      </w:tcPr>
    </w:tblStylePr>
    <w:tblStylePr w:type="firstCol">
      <w:rPr>
        <w:b/>
        <w:bCs/>
        <w:color w:val="000000"/>
      </w:rPr>
      <w:tblPr/>
      <w:tcPr>
        <w:tcBorders>
          <w:top w:val="single" w:sz="4" w:space="0" w:color="000000"/>
          <w:left w:val="single" w:sz="4" w:space="0" w:color="000000"/>
          <w:bottom w:val="single" w:sz="4" w:space="0" w:color="000000"/>
          <w:insideV w:val="nil"/>
        </w:tcBorders>
        <w:shd w:val="clear" w:color="auto" w:fill="A9CD69"/>
      </w:tcPr>
    </w:tblStylePr>
    <w:tblStylePr w:type="lastCol">
      <w:rPr>
        <w:b/>
        <w:bCs/>
        <w:color w:val="000000"/>
      </w:rPr>
      <w:tblPr/>
      <w:tcPr>
        <w:tcBorders>
          <w:top w:val="single" w:sz="4" w:space="0" w:color="000000"/>
          <w:bottom w:val="single" w:sz="4" w:space="0" w:color="000000"/>
          <w:right w:val="single" w:sz="4" w:space="0" w:color="000000"/>
          <w:insideV w:val="nil"/>
        </w:tcBorders>
        <w:shd w:val="clear" w:color="auto" w:fill="A9CD69"/>
      </w:tcPr>
    </w:tblStylePr>
    <w:tblStylePr w:type="band1Vert">
      <w:tblPr/>
      <w:tcPr>
        <w:shd w:val="clear" w:color="auto" w:fill="DCEBC3"/>
      </w:tcPr>
    </w:tblStylePr>
    <w:tblStylePr w:type="band1Horz">
      <w:tblPr/>
      <w:tcPr>
        <w:shd w:val="clear" w:color="auto" w:fill="DCEBC3"/>
      </w:tcPr>
    </w:tblStylePr>
  </w:style>
  <w:style w:type="table" w:styleId="Tablaconcuadrcula5oscura-nfasis1">
    <w:name w:val="Grid Table 5 Dark Accent 1"/>
    <w:basedOn w:val="Tablanormal"/>
    <w:uiPriority w:val="50"/>
    <w:rsid w:val="009F5DDF"/>
    <w:rPr>
      <w:rFonts w:ascii="Franklin Gothic Book" w:hAnsi="Franklin Gothic Book"/>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D6E5F3"/>
    </w:tcPr>
    <w:tblStylePr w:type="firstRow">
      <w:rPr>
        <w:b/>
        <w:bCs/>
        <w:color w:val="000000"/>
      </w:rPr>
      <w:tblPr/>
      <w:tcPr>
        <w:tcBorders>
          <w:top w:val="single" w:sz="4" w:space="0" w:color="000000"/>
          <w:left w:val="single" w:sz="4" w:space="0" w:color="000000"/>
          <w:right w:val="single" w:sz="4" w:space="0" w:color="000000"/>
          <w:insideH w:val="nil"/>
          <w:insideV w:val="nil"/>
        </w:tcBorders>
        <w:shd w:val="clear" w:color="auto" w:fill="3882C6"/>
      </w:tcPr>
    </w:tblStylePr>
    <w:tblStylePr w:type="lastRow">
      <w:rPr>
        <w:b/>
        <w:bCs/>
        <w:color w:val="000000"/>
      </w:rPr>
      <w:tblPr/>
      <w:tcPr>
        <w:tcBorders>
          <w:left w:val="single" w:sz="4" w:space="0" w:color="000000"/>
          <w:bottom w:val="single" w:sz="4" w:space="0" w:color="000000"/>
          <w:right w:val="single" w:sz="4" w:space="0" w:color="000000"/>
          <w:insideH w:val="nil"/>
          <w:insideV w:val="nil"/>
        </w:tcBorders>
        <w:shd w:val="clear" w:color="auto" w:fill="3882C6"/>
      </w:tcPr>
    </w:tblStylePr>
    <w:tblStylePr w:type="firstCol">
      <w:rPr>
        <w:b/>
        <w:bCs/>
        <w:color w:val="000000"/>
      </w:rPr>
      <w:tblPr/>
      <w:tcPr>
        <w:tcBorders>
          <w:top w:val="single" w:sz="4" w:space="0" w:color="000000"/>
          <w:left w:val="single" w:sz="4" w:space="0" w:color="000000"/>
          <w:bottom w:val="single" w:sz="4" w:space="0" w:color="000000"/>
          <w:insideV w:val="nil"/>
        </w:tcBorders>
        <w:shd w:val="clear" w:color="auto" w:fill="3882C6"/>
      </w:tcPr>
    </w:tblStylePr>
    <w:tblStylePr w:type="lastCol">
      <w:rPr>
        <w:b/>
        <w:bCs/>
        <w:color w:val="000000"/>
      </w:rPr>
      <w:tblPr/>
      <w:tcPr>
        <w:tcBorders>
          <w:top w:val="single" w:sz="4" w:space="0" w:color="000000"/>
          <w:bottom w:val="single" w:sz="4" w:space="0" w:color="000000"/>
          <w:right w:val="single" w:sz="4" w:space="0" w:color="000000"/>
          <w:insideV w:val="nil"/>
        </w:tcBorders>
        <w:shd w:val="clear" w:color="auto" w:fill="3882C6"/>
      </w:tcPr>
    </w:tblStylePr>
    <w:tblStylePr w:type="band1Vert">
      <w:tblPr/>
      <w:tcPr>
        <w:shd w:val="clear" w:color="auto" w:fill="AECCE8"/>
      </w:tcPr>
    </w:tblStylePr>
    <w:tblStylePr w:type="band1Horz">
      <w:tblPr/>
      <w:tcPr>
        <w:shd w:val="clear" w:color="auto" w:fill="AECCE8"/>
      </w:tcPr>
    </w:tblStylePr>
  </w:style>
  <w:style w:type="table" w:customStyle="1" w:styleId="TableGrid">
    <w:name w:val="TableGrid"/>
    <w:rsid w:val="009F5DDF"/>
    <w:rPr>
      <w:rFonts w:eastAsia="Malgun Gothic"/>
      <w:sz w:val="22"/>
      <w:szCs w:val="22"/>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9F5DDF"/>
    <w:pPr>
      <w:spacing w:line="249" w:lineRule="auto"/>
    </w:pPr>
    <w:rPr>
      <w:rFonts w:ascii="Times New Roman" w:eastAsia="Times New Roman" w:hAnsi="Times New Roman"/>
      <w:color w:val="000000"/>
      <w:sz w:val="16"/>
      <w:szCs w:val="22"/>
    </w:rPr>
  </w:style>
  <w:style w:type="character" w:customStyle="1" w:styleId="footnotedescriptionChar">
    <w:name w:val="footnote description Char"/>
    <w:link w:val="footnotedescription"/>
    <w:rsid w:val="009F5DDF"/>
    <w:rPr>
      <w:rFonts w:ascii="Times New Roman" w:eastAsia="Times New Roman" w:hAnsi="Times New Roman"/>
      <w:color w:val="000000"/>
      <w:sz w:val="16"/>
      <w:szCs w:val="22"/>
    </w:rPr>
  </w:style>
  <w:style w:type="character" w:customStyle="1" w:styleId="footnotemark">
    <w:name w:val="footnote mark"/>
    <w:hidden/>
    <w:rsid w:val="009F5DDF"/>
    <w:rPr>
      <w:rFonts w:ascii="Times New Roman" w:eastAsia="Times New Roman" w:hAnsi="Times New Roman" w:cs="Times New Roman"/>
      <w:color w:val="000000"/>
      <w:sz w:val="16"/>
      <w:vertAlign w:val="superscript"/>
    </w:rPr>
  </w:style>
  <w:style w:type="character" w:customStyle="1" w:styleId="Mencinsinresolver1">
    <w:name w:val="Mención sin resolver1"/>
    <w:uiPriority w:val="99"/>
    <w:semiHidden/>
    <w:unhideWhenUsed/>
    <w:rsid w:val="009F5DDF"/>
    <w:rPr>
      <w:color w:val="605E5C"/>
      <w:shd w:val="clear" w:color="auto" w:fill="E1DFDD"/>
    </w:rPr>
  </w:style>
  <w:style w:type="character" w:styleId="Mencinsinresolver">
    <w:name w:val="Unresolved Mention"/>
    <w:uiPriority w:val="99"/>
    <w:semiHidden/>
    <w:unhideWhenUsed/>
    <w:rsid w:val="009F5DDF"/>
    <w:rPr>
      <w:color w:val="605E5C"/>
      <w:shd w:val="clear" w:color="auto" w:fill="E1DFDD"/>
    </w:rPr>
  </w:style>
  <w:style w:type="character" w:customStyle="1" w:styleId="spelle">
    <w:name w:val="spelle"/>
    <w:rsid w:val="009F5DDF"/>
  </w:style>
  <w:style w:type="character" w:customStyle="1" w:styleId="Mencinsinresolver2">
    <w:name w:val="Mención sin resolver2"/>
    <w:uiPriority w:val="99"/>
    <w:semiHidden/>
    <w:unhideWhenUsed/>
    <w:rsid w:val="009F5DDF"/>
    <w:rPr>
      <w:color w:val="605E5C"/>
      <w:shd w:val="clear" w:color="auto" w:fill="E1DFDD"/>
    </w:rPr>
  </w:style>
  <w:style w:type="table" w:customStyle="1" w:styleId="TableGrid1">
    <w:name w:val="TableGrid1"/>
    <w:rsid w:val="009F5DDF"/>
    <w:rPr>
      <w:rFonts w:eastAsia="Times New Roman"/>
      <w:sz w:val="22"/>
      <w:szCs w:val="22"/>
    </w:rPr>
    <w:tblPr>
      <w:tblCellMar>
        <w:top w:w="0" w:type="dxa"/>
        <w:left w:w="0" w:type="dxa"/>
        <w:bottom w:w="0" w:type="dxa"/>
        <w:right w:w="0" w:type="dxa"/>
      </w:tblCellMar>
    </w:tblPr>
  </w:style>
  <w:style w:type="table" w:styleId="Tablaconcuadrcula1clara">
    <w:name w:val="Grid Table 1 Light"/>
    <w:basedOn w:val="Tablanormal"/>
    <w:uiPriority w:val="46"/>
    <w:rsid w:val="009F5DDF"/>
    <w:rPr>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58729">
      <w:bodyDiv w:val="1"/>
      <w:marLeft w:val="0"/>
      <w:marRight w:val="0"/>
      <w:marTop w:val="0"/>
      <w:marBottom w:val="0"/>
      <w:divBdr>
        <w:top w:val="none" w:sz="0" w:space="0" w:color="auto"/>
        <w:left w:val="none" w:sz="0" w:space="0" w:color="auto"/>
        <w:bottom w:val="none" w:sz="0" w:space="0" w:color="auto"/>
        <w:right w:val="none" w:sz="0" w:space="0" w:color="auto"/>
      </w:divBdr>
    </w:div>
    <w:div w:id="583077379">
      <w:bodyDiv w:val="1"/>
      <w:marLeft w:val="0"/>
      <w:marRight w:val="0"/>
      <w:marTop w:val="0"/>
      <w:marBottom w:val="0"/>
      <w:divBdr>
        <w:top w:val="none" w:sz="0" w:space="0" w:color="auto"/>
        <w:left w:val="none" w:sz="0" w:space="0" w:color="auto"/>
        <w:bottom w:val="none" w:sz="0" w:space="0" w:color="auto"/>
        <w:right w:val="none" w:sz="0" w:space="0" w:color="auto"/>
      </w:divBdr>
    </w:div>
    <w:div w:id="809173982">
      <w:bodyDiv w:val="1"/>
      <w:marLeft w:val="0"/>
      <w:marRight w:val="0"/>
      <w:marTop w:val="0"/>
      <w:marBottom w:val="0"/>
      <w:divBdr>
        <w:top w:val="none" w:sz="0" w:space="0" w:color="auto"/>
        <w:left w:val="none" w:sz="0" w:space="0" w:color="auto"/>
        <w:bottom w:val="none" w:sz="0" w:space="0" w:color="auto"/>
        <w:right w:val="none" w:sz="0" w:space="0" w:color="auto"/>
      </w:divBdr>
    </w:div>
    <w:div w:id="827748491">
      <w:bodyDiv w:val="1"/>
      <w:marLeft w:val="0"/>
      <w:marRight w:val="0"/>
      <w:marTop w:val="0"/>
      <w:marBottom w:val="0"/>
      <w:divBdr>
        <w:top w:val="none" w:sz="0" w:space="0" w:color="auto"/>
        <w:left w:val="none" w:sz="0" w:space="0" w:color="auto"/>
        <w:bottom w:val="none" w:sz="0" w:space="0" w:color="auto"/>
        <w:right w:val="none" w:sz="0" w:space="0" w:color="auto"/>
      </w:divBdr>
    </w:div>
    <w:div w:id="207612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czS7Awj1FCmUKfOtw9G17yoZdELxwVESTKFfS84LCrc=</DigestValue>
    </Reference>
    <Reference Type="http://www.w3.org/2000/09/xmldsig#Object" URI="#idOfficeObject">
      <DigestMethod Algorithm="http://www.w3.org/2001/04/xmlenc#sha256"/>
      <DigestValue>RN4OIMZdG7GvzSIcLmtKh9h2UUxvXERMvWDDoz9PVi4=</DigestValue>
    </Reference>
    <Reference Type="http://uri.etsi.org/01903#SignedProperties" URI="#idSignedProperties">
      <Transforms>
        <Transform Algorithm="http://www.w3.org/TR/2001/REC-xml-c14n-20010315"/>
      </Transforms>
      <DigestMethod Algorithm="http://www.w3.org/2001/04/xmlenc#sha256"/>
      <DigestValue>FgDyeVJpK4JsVM6yr1uxLod44SuQKsmWSLHPgW4tmuk=</DigestValue>
    </Reference>
  </SignedInfo>
  <SignatureValue>Ymv4ZhOwHc3dE88xbFta7v7/irLeo1Ut62JFhLwoQeeYVe7TR5/sUSHb2BwcQBecARthBwjq4XfL
SQRuSrMTC1DitTYcw4h+vbUkBXnavYflPFXUOjZ9qP/hs1/Ys8pOgenAzct36ynOiI1oRLWsfSdU
+6F2Ier7PFIGm5fK26CXBU21IZY4Krfc4Jw+wAE7CI0HM5SDMnN0BeJIUUWyq1GWNKEbAIdL+tVq
G2tHV2D6nS/cS5qGa0XcwlCnKzUnSPA4JXx6yJNEBg6DH2wIGLT2T9G7jHRat8WJ2c6F1OcXjJiT
qWHw8vnUdlpIbaKHBFxko9UKxdHeLxkjuiezLw==</SignatureValue>
  <KeyInfo>
    <X509Data>
      <X509Certificate>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GT2u3IYldLH4hi+yD2A36fg4sUJVGFgVxC2N7r5bsWw1GLpQUUzs6gzzfl3h73KO8jYWZgdeGETsFoXRPGUNMHtG3EtLSuVAJ7kpqmnky4pEWP+tNY9GuMVPSwDdEC8ya1/0wnh0CdUoZo9oOhRMZ+ecsFZZV24SdDKoXe51yoCL/h7Bf2k29M5hQFgZD9YxWSflIxYytvo/1KIXqKkRwDfCCYnOOoBrX2hIPUP/pzXRlPJZc4ZrKiPg9RO1XC0Val6OhAqmuxTCh737vSEOGzCU0Wp6n2JmBgCNHkpE748Bw/yLg7SKcPz7p5/Nv9RNtOk+Qo7vEP68tMOqngX6ck=</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1/04/xmlenc#sha256"/>
        <DigestValue>GalI1rX1h8HbD2MU+ZJHCF6V7tWRj5bCPOmOsoHyd0A=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Pnj5XsRhdgF7uR+rJJZe77a5InmO8dwjV/watFSBFx4=</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Pnj5XsRhdgF7uR+rJJZe77a5InmO8dwjV/watFSBFx4=</DigestValue>
      </Reference>
      <Reference URI="/word/document.xml?ContentType=application/vnd.openxmlformats-officedocument.wordprocessingml.document.main+xml">
        <DigestMethod Algorithm="http://www.w3.org/2001/04/xmlenc#sha256"/>
        <DigestValue>VIBA2ejz5o67YDKxCoO37iCfxDHmsv83rliMS0wv188=</DigestValue>
      </Reference>
      <Reference URI="/word/endnotes.xml?ContentType=application/vnd.openxmlformats-officedocument.wordprocessingml.endnotes+xml">
        <DigestMethod Algorithm="http://www.w3.org/2001/04/xmlenc#sha256"/>
        <DigestValue>9zXloHCX5NDbjfSR/aD+r8NuafNkogLogy6IZaEJYek=</DigestValue>
      </Reference>
      <Reference URI="/word/fontTable.xml?ContentType=application/vnd.openxmlformats-officedocument.wordprocessingml.fontTable+xml">
        <DigestMethod Algorithm="http://www.w3.org/2001/04/xmlenc#sha256"/>
        <DigestValue>NFfwNCsX8SkzWF3rfyTRfrRFH0AQVTu1L2hjIXUZ8CM=</DigestValue>
      </Reference>
      <Reference URI="/word/footer1.xml?ContentType=application/vnd.openxmlformats-officedocument.wordprocessingml.footer+xml">
        <DigestMethod Algorithm="http://www.w3.org/2001/04/xmlenc#sha256"/>
        <DigestValue>k/ZoXtwST9qMVxBvi971moTk0PeKp01v+WiPEjNQ2/k=</DigestValue>
      </Reference>
      <Reference URI="/word/footer2.xml?ContentType=application/vnd.openxmlformats-officedocument.wordprocessingml.footer+xml">
        <DigestMethod Algorithm="http://www.w3.org/2001/04/xmlenc#sha256"/>
        <DigestValue>NK4gFQ2sjywuTjjUyzYE6AI0SdoSEMj+/ogudW3l4d4=</DigestValue>
      </Reference>
      <Reference URI="/word/footer3.xml?ContentType=application/vnd.openxmlformats-officedocument.wordprocessingml.footer+xml">
        <DigestMethod Algorithm="http://www.w3.org/2001/04/xmlenc#sha256"/>
        <DigestValue>sFA1oab1+BBgQ48OwYLahCEEwL8JnD75YxPDYkKCNl4=</DigestValue>
      </Reference>
      <Reference URI="/word/footnotes.xml?ContentType=application/vnd.openxmlformats-officedocument.wordprocessingml.footnotes+xml">
        <DigestMethod Algorithm="http://www.w3.org/2001/04/xmlenc#sha256"/>
        <DigestValue>5GzxVF6rIvGB/zCjl5TTu0HrexX3obSgTALgO0ACUeo=</DigestValue>
      </Reference>
      <Reference URI="/word/header1.xml?ContentType=application/vnd.openxmlformats-officedocument.wordprocessingml.header+xml">
        <DigestMethod Algorithm="http://www.w3.org/2001/04/xmlenc#sha256"/>
        <DigestValue>GA9gLs5nDoef0XL8AELHGK4t72z2DQzMONgNk4jYJxw=</DigestValue>
      </Reference>
      <Reference URI="/word/header2.xml?ContentType=application/vnd.openxmlformats-officedocument.wordprocessingml.header+xml">
        <DigestMethod Algorithm="http://www.w3.org/2001/04/xmlenc#sha256"/>
        <DigestValue>oD79iGtRufYZYjYNKZPbtuq74xWzGUs4SKB4QIhyAFE=</DigestValue>
      </Reference>
      <Reference URI="/word/header3.xml?ContentType=application/vnd.openxmlformats-officedocument.wordprocessingml.header+xml">
        <DigestMethod Algorithm="http://www.w3.org/2001/04/xmlenc#sha256"/>
        <DigestValue>Px897UJ2RSoIDkekgHMVUK7rJtkj+FFEMDFzZ5Fl09Q=</DigestValue>
      </Reference>
      <Reference URI="/word/media/image1.jpeg?ContentType=image/jpeg">
        <DigestMethod Algorithm="http://www.w3.org/2001/04/xmlenc#sha256"/>
        <DigestValue>ijzY2eNAYqCxyVgPPU8USYmnehAVySbjRtUchCjIsO4=</DigestValue>
      </Reference>
      <Reference URI="/word/media/image2.emf?ContentType=image/x-emf">
        <DigestMethod Algorithm="http://www.w3.org/2001/04/xmlenc#sha256"/>
        <DigestValue>6D9fsnsTUIQVb1moA3vonYu3AAHKfuvQ1QJ7V/PvmYM=</DigestValue>
      </Reference>
      <Reference URI="/word/numbering.xml?ContentType=application/vnd.openxmlformats-officedocument.wordprocessingml.numbering+xml">
        <DigestMethod Algorithm="http://www.w3.org/2001/04/xmlenc#sha256"/>
        <DigestValue>Cw0uNNcJkPP5LaYEb5I4ccpfMG3wNnN700akYg0oGKM=</DigestValue>
      </Reference>
      <Reference URI="/word/settings.xml?ContentType=application/vnd.openxmlformats-officedocument.wordprocessingml.settings+xml">
        <DigestMethod Algorithm="http://www.w3.org/2001/04/xmlenc#sha256"/>
        <DigestValue>4g59rU5EibRZMGKcNqlfoWHZ4BL01+WvjJ7/H1wFrf4=</DigestValue>
      </Reference>
      <Reference URI="/word/styles.xml?ContentType=application/vnd.openxmlformats-officedocument.wordprocessingml.styles+xml">
        <DigestMethod Algorithm="http://www.w3.org/2001/04/xmlenc#sha256"/>
        <DigestValue>xDIylcBzubIibEOGAFeFNRK2ybjvcalSupNNQe5KEn8=</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VL7Hb4oBA6FdZPu4bjrp7bJLgwGwx3aPT6qw3KZQOMA=</DigestValue>
      </Reference>
    </Manifest>
    <SignatureProperties>
      <SignatureProperty Id="idSignatureTime" Target="#idPackageSignature">
        <mdssi:SignatureTime xmlns:mdssi="http://schemas.openxmlformats.org/package/2006/digital-signature">
          <mdssi:Format>YYYY-MM-DDThh:mm:ssTZD</mdssi:Format>
          <mdssi:Value>2022-12-21T00:55:50Z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16.0.14931/23</OfficeVersion>
          <ApplicationVersion>16.0.14931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2022-12-21T00:55:50Z</xd:SigningTime>
          <xd:SigningCertificate>
            <xd:Cert>
              <xd:CertDigest>
                <DigestMethod Algorithm="http://www.w3.org/2001/04/xmlenc#sha256"/>
                <DigestValue>tvltnmUoOoYNCpYN/JVDvOnLF+x9Ha4IJ8GDRqL4zVM=</DigestValue>
              </xd:CertDigest>
              <xd:IssuerSerial>
                <X509IssuerName>CN=CA SINPE - PERSONA FISICA v2, OU=DIVISION SISTEMAS DE PAGO, O=BANCO CENTRAL DE COSTA RICA, C=CR, SERIALNUMBER=CPJ-4-000-004017</X509IssuerName>
                <X509SerialNumber>446019314957802235686068893079447094124410485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6cSrq2cQQEf/tBk/OZfm5JqY5QtKfamyC27o4B5Hx9kCBBIZGMUYDzIwMjIxMjIxMDA1NTU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</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</xd:EncapsulatedCRLValue>
                <xd:EncapsulatedCRLValue>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HObSOj7BkfRpcMyvouYM/sTo8eI=</xd:ByKey>
                  </xd:ResponderID>
                  <xd:ProducedAt>2022-12-21T00:54:43Z</xd:ProducedAt>
                </xd:OCSPIdentifier>
                <xd:DigestAlgAndValue>
                  <DigestMethod Algorithm="http://www.w3.org/2001/04/xmlenc#sha256"/>
                  <DigestValue>fCozdiJw3gl67FWxJiev0X42GP/pXTiNg3/2QBB6rNM=</DigestValue>
                </xd:DigestAlgAndValue>
              </xd:OCSPRef>
            </xd:OCSPRefs>
            <xd:CRLRefs>
              <xd:CRLRef>
                <xd:DigestAlgAndValue>
                  <DigestMethod Algorithm="http://www.w3.org/2001/04/xmlenc#sha256"/>
                  <DigestValue>1g1pQWhI5RprjZXHFfJbAIUF1AOzLN7ClUMP8jA33YY=</DigestValue>
                </xd:DigestAlgAndValue>
                <xd:CRLIdentifier>
                  <xd:Issuer>CN=CA POLITICA PERSONA FISICA - COSTA RICA v2, OU=DCFD, O=MICITT, C=CR, SERIALNUMBER=CPJ-2-100-098311</xd:Issuer>
                  <xd:IssueTime>2022-12-09T20:36:02Z</xd:IssueTime>
                </xd:CRLIdentifier>
              </xd:CRLRef>
              <xd:CRLRef>
                <xd:DigestAlgAndValue>
                  <DigestMethod Algorithm="http://www.w3.org/2001/04/xmlenc#sha256"/>
                  <DigestValue>Cg2TFKB8CSBvhyCuuqMQ1Q/avwiRU1ufshdAKZF6fYA=</DigestValue>
                </xd:DigestAlgAndValue>
                <xd:CRLIdentifier>
                  <xd:Issuer>CN=CA RAIZ NACIONAL - COSTA RICA v2, C=CR, O=MICITT, OU=DCFD, SERIALNUMBER=CPJ-2-100-098311</xd:Issuer>
                  <xd:IssueTime>2022-12-09T20:08:49Z</xd:IssueTime>
                </xd:CRLIdentifier>
              </xd:CRLRef>
            </xd:CRLRefs>
          </xd:CompleteRevocationRefs>
          <xd:RevocationValues>
            <xd:OCSPValues>
              <xd:EncapsulatedOCSPValue>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</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</xd:EncapsulatedCRLValue>
              <xd:EncapsulatedCRLValue>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x9D8A7ijF1z/opKqCIGyUiyaM9B4cnGmg2KNKAdd17MCBBIZGMYYDzIwMjIxMjIxMDA1NTU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</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Estado xmlns="96c239bb-9668-4681-985a-a7d7030fe907">En proceso</Estado>
    <Instituci_x00f3_n xmlns="96c239bb-9668-4681-985a-a7d7030fe907">Conassif</Instituci_x00f3_n>
    <Mes xmlns="96c239bb-9668-4681-985a-a7d7030fe907">12-Diciembre</Mes>
    <_x002d_ xmlns="96c239bb-9668-4681-985a-a7d7030fe907" xsi:nil="true"/>
    <A_x00f1_o xmlns="96c239bb-9668-4681-985a-a7d7030fe907">2022</A_x00f1_o>
    <Sesi_x00f3_n xmlns="96c239bb-9668-4681-985a-a7d7030fe907">1776</Sesi_x00f3_n>
  </documentManagement>
</p:properties>
</file>

<file path=customXml/item4.xml><?xml version="1.0" encoding="utf-8"?>
<ct:contentTypeSchema xmlns:ct="http://schemas.microsoft.com/office/2006/metadata/contentType" xmlns:ma="http://schemas.microsoft.com/office/2006/metadata/properties/metaAttributes" ct:_="" ma:_="" ma:contentTypeName="Comunicación Acuerdo BCCR" ma:contentTypeID="0x0101008A2E0295431CB54A933AC477DC2BC7AF00A2A5AC1694757C44B8474694E4442E22" ma:contentTypeVersion="17" ma:contentTypeDescription="Plantilla para comunicar los acuerdos tomados por la JD del BCCR" ma:contentTypeScope="" ma:versionID="885a8b8d240f6e105cf47e6861b519c6">
  <xsd:schema xmlns:xsd="http://www.w3.org/2001/XMLSchema" xmlns:xs="http://www.w3.org/2001/XMLSchema" xmlns:p="http://schemas.microsoft.com/office/2006/metadata/properties" xmlns:ns2="96c239bb-9668-4681-985a-a7d7030fe907" targetNamespace="http://schemas.microsoft.com/office/2006/metadata/properties" ma:root="true" ma:fieldsID="170689c88b62273dd319406497123152" ns2:_="">
    <xsd:import namespace="96c239bb-9668-4681-985a-a7d7030fe907"/>
    <xsd:element name="properties">
      <xsd:complexType>
        <xsd:sequence>
          <xsd:element name="documentManagement">
            <xsd:complexType>
              <xsd:all>
                <xsd:element ref="ns2:A_x00f1_o" minOccurs="0"/>
                <xsd:element ref="ns2:Estado" minOccurs="0"/>
                <xsd:element ref="ns2:Instituci_x00f3_n" minOccurs="0"/>
                <xsd:element ref="ns2:Mes" minOccurs="0"/>
                <xsd:element ref="ns2:Sesi_x00f3_n" minOccurs="0"/>
                <xsd:element ref="ns2:_x002d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239bb-9668-4681-985a-a7d7030fe907" elementFormDefault="qualified">
    <xsd:import namespace="http://schemas.microsoft.com/office/2006/documentManagement/types"/>
    <xsd:import namespace="http://schemas.microsoft.com/office/infopath/2007/PartnerControls"/>
    <xsd:element name="A_x00f1_o" ma:index="4" nillable="true" ma:displayName="Año" ma:default="2021" ma:format="Dropdown" ma:indexed="true" ma:internalName="A_x00f1_o" ma:readOnly="false">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Estado" ma:index="5" nillable="true" ma:displayName="Estado" ma:default="En proceso" ma:format="Dropdown" ma:internalName="Estado" ma:readOnly="false">
      <xsd:simpleType>
        <xsd:restriction base="dms:Choice">
          <xsd:enumeration value="En proceso"/>
          <xsd:enumeration value="Aprobado"/>
          <xsd:enumeration value="Comunicado"/>
        </xsd:restriction>
      </xsd:simpleType>
    </xsd:element>
    <xsd:element name="Instituci_x00f3_n" ma:index="6" nillable="true" ma:displayName="Origen" ma:format="Dropdown" ma:indexed="true" ma:internalName="Instituci_x00f3_n" ma:readOnly="false">
      <xsd:simpleType>
        <xsd:restriction base="dms:Choice">
          <xsd:enumeration value="BCCR"/>
          <xsd:enumeration value="Conassif"/>
          <xsd:enumeration value="Comité de Auditoría"/>
          <xsd:enumeration value="Presidencia / Gerencia"/>
          <xsd:enumeration value="Rpost"/>
          <xsd:enumeration value="CONIP"/>
          <xsd:enumeration value="Comité de Riesgos"/>
          <xsd:enumeration value="Comisión Estabilidad Financiera"/>
          <xsd:enumeration value="Seguimiento"/>
        </xsd:restriction>
      </xsd:simpleType>
    </xsd:element>
    <xsd:element name="Mes" ma:index="7" nillable="true" ma:displayName="Mes" ma:format="Dropdown" ma:internalName="Mes" ma:readOnly="false">
      <xsd:simpleType>
        <xsd:restriction base="dms:Choice">
          <xsd:enumeration value="01-Enero"/>
          <xsd:enumeration value="02-Febrero"/>
          <xsd:enumeration value="03-Marzo"/>
          <xsd:enumeration value="04-Abril"/>
          <xsd:enumeration value="05-Mayo"/>
          <xsd:enumeration value="06-Junio"/>
          <xsd:enumeration value="07-Julio"/>
          <xsd:enumeration value="08-Agosto"/>
          <xsd:enumeration value="09-Setiembre"/>
          <xsd:enumeration value="10-Octubre"/>
          <xsd:enumeration value="11-Noviembre"/>
          <xsd:enumeration value="12-Diciembre"/>
        </xsd:restriction>
      </xsd:simpleType>
    </xsd:element>
    <xsd:element name="Sesi_x00f3_n" ma:index="8" nillable="true" ma:displayName="Sesión" ma:indexed="true" ma:internalName="Sesi_x00f3_n" ma:readOnly="false">
      <xsd:simpleType>
        <xsd:restriction base="dms:Text">
          <xsd:maxLength value="255"/>
        </xsd:restriction>
      </xsd:simpleType>
    </xsd:element>
    <xsd:element name="_x002d_" ma:index="9" nillable="true" ma:displayName="-" ma:internalName="_x002d_"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ipo de contenido"/>
        <xsd:element ref="dc:title" minOccurs="0" maxOccurs="1" ma:index="2"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C4054-0DDB-4F9F-A3F9-BC88955FE91A}">
  <ds:schemaRefs>
    <ds:schemaRef ds:uri="http://schemas.microsoft.com/sharepoint/v3/contenttype/forms"/>
  </ds:schemaRefs>
</ds:datastoreItem>
</file>

<file path=customXml/itemProps2.xml><?xml version="1.0" encoding="utf-8"?>
<ds:datastoreItem xmlns:ds="http://schemas.openxmlformats.org/officeDocument/2006/customXml" ds:itemID="{33C0DA35-AAC8-4A5C-8533-6ED9D1E0AFD1}">
  <ds:schemaRefs>
    <ds:schemaRef ds:uri="http://schemas.microsoft.com/office/2006/metadata/longProperties"/>
  </ds:schemaRefs>
</ds:datastoreItem>
</file>

<file path=customXml/itemProps3.xml><?xml version="1.0" encoding="utf-8"?>
<ds:datastoreItem xmlns:ds="http://schemas.openxmlformats.org/officeDocument/2006/customXml" ds:itemID="{5B6CC6F4-B1CC-4EF4-A972-19B1ACF340FF}">
  <ds:schemaRefs>
    <ds:schemaRef ds:uri="http://schemas.microsoft.com/office/2006/metadata/properties"/>
    <ds:schemaRef ds:uri="http://schemas.microsoft.com/office/infopath/2007/PartnerControls"/>
    <ds:schemaRef ds:uri="96c239bb-9668-4681-985a-a7d7030fe907"/>
  </ds:schemaRefs>
</ds:datastoreItem>
</file>

<file path=customXml/itemProps4.xml><?xml version="1.0" encoding="utf-8"?>
<ds:datastoreItem xmlns:ds="http://schemas.openxmlformats.org/officeDocument/2006/customXml" ds:itemID="{E4F448EA-D3AD-4654-8266-B0BF10101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c239bb-9668-4681-985a-a7d7030fe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B3729C-DE2C-448D-8D1C-ED36F3531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22</Pages>
  <Words>8300</Words>
  <Characters>45656</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53849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MORA DAYANA</dc:creator>
  <cp:keywords/>
  <cp:lastModifiedBy>RAMIREZ ARAYA ANA V.</cp:lastModifiedBy>
  <cp:revision>14</cp:revision>
  <cp:lastPrinted>2013-01-30T22:12:00Z</cp:lastPrinted>
  <dcterms:created xsi:type="dcterms:W3CDTF">2022-12-20T21:11:00Z</dcterms:created>
  <dcterms:modified xsi:type="dcterms:W3CDTF">2022-12-20T21:33:00Z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tado">
    <vt:lpwstr>En proceso</vt:lpwstr>
  </property>
  <property fmtid="{D5CDD505-2E9C-101B-9397-08002B2CF9AE}" pid="3" name="Institución">
    <vt:lpwstr/>
  </property>
  <property fmtid="{D5CDD505-2E9C-101B-9397-08002B2CF9AE}" pid="4" name="Sesión">
    <vt:lpwstr/>
  </property>
  <property fmtid="{D5CDD505-2E9C-101B-9397-08002B2CF9AE}" pid="5" name="Año">
    <vt:lpwstr/>
  </property>
  <property fmtid="{D5CDD505-2E9C-101B-9397-08002B2CF9AE}" pid="6" name="Mes">
    <vt:lpwstr/>
  </property>
  <property fmtid="{D5CDD505-2E9C-101B-9397-08002B2CF9AE}" pid="7" name="-">
    <vt:lpwstr/>
  </property>
  <property fmtid="{D5CDD505-2E9C-101B-9397-08002B2CF9AE}" pid="8" name="MSIP_Label_b8b4be34-365a-4a68-b9fb-75c1b6874315_Enabled">
    <vt:lpwstr>true</vt:lpwstr>
  </property>
  <property fmtid="{D5CDD505-2E9C-101B-9397-08002B2CF9AE}" pid="9" name="MSIP_Label_b8b4be34-365a-4a68-b9fb-75c1b6874315_SetDate">
    <vt:lpwstr>2022-12-20T21:12:14Z</vt:lpwstr>
  </property>
  <property fmtid="{D5CDD505-2E9C-101B-9397-08002B2CF9AE}" pid="10" name="MSIP_Label_b8b4be34-365a-4a68-b9fb-75c1b6874315_Method">
    <vt:lpwstr>Standard</vt:lpwstr>
  </property>
  <property fmtid="{D5CDD505-2E9C-101B-9397-08002B2CF9AE}" pid="11" name="MSIP_Label_b8b4be34-365a-4a68-b9fb-75c1b6874315_Name">
    <vt:lpwstr>b8b4be34-365a-4a68-b9fb-75c1b6874315</vt:lpwstr>
  </property>
  <property fmtid="{D5CDD505-2E9C-101B-9397-08002B2CF9AE}" pid="12" name="MSIP_Label_b8b4be34-365a-4a68-b9fb-75c1b6874315_SiteId">
    <vt:lpwstr>618d0a45-25a6-4618-9f80-8f70a435ee52</vt:lpwstr>
  </property>
  <property fmtid="{D5CDD505-2E9C-101B-9397-08002B2CF9AE}" pid="13" name="MSIP_Label_b8b4be34-365a-4a68-b9fb-75c1b6874315_ActionId">
    <vt:lpwstr>e9499d9e-e4da-4ec1-949e-0000df52cfc5</vt:lpwstr>
  </property>
  <property fmtid="{D5CDD505-2E9C-101B-9397-08002B2CF9AE}" pid="14" name="MSIP_Label_b8b4be34-365a-4a68-b9fb-75c1b6874315_ContentBits">
    <vt:lpwstr>2</vt:lpwstr>
  </property>
</Properties>
</file>