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BFE26" w14:textId="77777777" w:rsidR="00370207" w:rsidRDefault="00370207" w:rsidP="005C6973">
      <w:pPr>
        <w:jc w:val="both"/>
        <w:rPr>
          <w:b/>
          <w:i/>
        </w:rPr>
      </w:pPr>
    </w:p>
    <w:p w14:paraId="7241D9CF" w14:textId="77777777" w:rsidR="004D7C2C" w:rsidRDefault="004D7C2C" w:rsidP="005C6973">
      <w:pPr>
        <w:widowControl w:val="0"/>
        <w:jc w:val="both"/>
        <w:rPr>
          <w:sz w:val="24"/>
          <w:szCs w:val="24"/>
          <w:lang w:val="es-CR"/>
        </w:rPr>
      </w:pPr>
    </w:p>
    <w:p w14:paraId="723D2396" w14:textId="77777777" w:rsidR="00F80D48" w:rsidRPr="003C6D79" w:rsidRDefault="00F80D48" w:rsidP="00F80D48">
      <w:pPr>
        <w:widowControl w:val="0"/>
        <w:jc w:val="both"/>
        <w:rPr>
          <w:sz w:val="24"/>
          <w:szCs w:val="24"/>
        </w:rPr>
      </w:pPr>
      <w:r w:rsidRPr="003C6D79">
        <w:rPr>
          <w:sz w:val="24"/>
          <w:szCs w:val="24"/>
        </w:rPr>
        <w:t>4 de noviembre de 2022</w:t>
      </w:r>
    </w:p>
    <w:p w14:paraId="2E8B33B8" w14:textId="77777777" w:rsidR="00F80D48" w:rsidRPr="00D37F6E" w:rsidRDefault="00F80D48" w:rsidP="00F80D48">
      <w:pPr>
        <w:ind w:left="567" w:hanging="567"/>
        <w:jc w:val="both"/>
        <w:rPr>
          <w:sz w:val="24"/>
          <w:szCs w:val="24"/>
        </w:rPr>
      </w:pPr>
      <w:r w:rsidRPr="003C6D79">
        <w:rPr>
          <w:sz w:val="24"/>
          <w:szCs w:val="24"/>
        </w:rPr>
        <w:t>CNS-1767/11</w:t>
      </w:r>
    </w:p>
    <w:p w14:paraId="2D4BE7FF" w14:textId="77777777" w:rsidR="00F80D48" w:rsidRPr="00D37F6E" w:rsidRDefault="00F80D48" w:rsidP="00F80D48">
      <w:pPr>
        <w:jc w:val="both"/>
        <w:rPr>
          <w:b/>
          <w:i/>
          <w:sz w:val="24"/>
          <w:szCs w:val="24"/>
        </w:rPr>
      </w:pPr>
    </w:p>
    <w:p w14:paraId="540FE66C" w14:textId="77777777" w:rsidR="00F80D48" w:rsidRPr="00D37F6E" w:rsidRDefault="00F80D48" w:rsidP="00F80D48">
      <w:pPr>
        <w:jc w:val="both"/>
        <w:rPr>
          <w:b/>
          <w:i/>
          <w:sz w:val="24"/>
          <w:szCs w:val="24"/>
        </w:rPr>
      </w:pPr>
    </w:p>
    <w:p w14:paraId="3A9D0AF4" w14:textId="77777777" w:rsidR="00F80D48" w:rsidRDefault="00F80D48" w:rsidP="00F80D48">
      <w:pPr>
        <w:widowControl w:val="0"/>
        <w:jc w:val="both"/>
        <w:rPr>
          <w:sz w:val="24"/>
          <w:szCs w:val="24"/>
        </w:rPr>
      </w:pPr>
      <w:r>
        <w:rPr>
          <w:sz w:val="24"/>
          <w:szCs w:val="24"/>
        </w:rPr>
        <w:t>Señores</w:t>
      </w:r>
    </w:p>
    <w:p w14:paraId="35BA013E" w14:textId="77777777" w:rsidR="00F80D48" w:rsidRDefault="00F80D48" w:rsidP="00F80D48">
      <w:pPr>
        <w:widowControl w:val="0"/>
        <w:jc w:val="both"/>
        <w:rPr>
          <w:b/>
          <w:bCs/>
          <w:i/>
          <w:iCs/>
          <w:sz w:val="24"/>
          <w:szCs w:val="24"/>
        </w:rPr>
      </w:pPr>
      <w:r>
        <w:rPr>
          <w:b/>
          <w:bCs/>
          <w:i/>
          <w:iCs/>
          <w:sz w:val="24"/>
          <w:szCs w:val="24"/>
        </w:rPr>
        <w:t>Supervisados SUGEF</w:t>
      </w:r>
    </w:p>
    <w:p w14:paraId="0542581E" w14:textId="77777777" w:rsidR="00F80D48" w:rsidRDefault="00F80D48" w:rsidP="00F80D48">
      <w:pPr>
        <w:jc w:val="both"/>
        <w:rPr>
          <w:b/>
          <w:i/>
          <w:sz w:val="24"/>
          <w:szCs w:val="24"/>
        </w:rPr>
      </w:pPr>
    </w:p>
    <w:p w14:paraId="5D3B285A" w14:textId="77777777" w:rsidR="00F80D48" w:rsidRPr="00D37F6E" w:rsidRDefault="00F80D48" w:rsidP="00F80D48">
      <w:pPr>
        <w:jc w:val="both"/>
        <w:rPr>
          <w:b/>
          <w:i/>
          <w:sz w:val="24"/>
          <w:szCs w:val="24"/>
        </w:rPr>
      </w:pPr>
    </w:p>
    <w:p w14:paraId="4187DA0A" w14:textId="067862A8" w:rsidR="00F80D48" w:rsidRPr="00D37F6E" w:rsidRDefault="00F80D48" w:rsidP="00F80D48">
      <w:pPr>
        <w:widowControl w:val="0"/>
        <w:jc w:val="both"/>
        <w:rPr>
          <w:sz w:val="24"/>
          <w:szCs w:val="24"/>
        </w:rPr>
      </w:pPr>
      <w:r w:rsidRPr="00D37F6E">
        <w:rPr>
          <w:sz w:val="24"/>
          <w:szCs w:val="24"/>
        </w:rPr>
        <w:t>Estimado</w:t>
      </w:r>
      <w:r>
        <w:rPr>
          <w:sz w:val="24"/>
          <w:szCs w:val="24"/>
        </w:rPr>
        <w:t>s</w:t>
      </w:r>
      <w:r w:rsidRPr="00D37F6E">
        <w:rPr>
          <w:sz w:val="24"/>
          <w:szCs w:val="24"/>
        </w:rPr>
        <w:t xml:space="preserve"> señor</w:t>
      </w:r>
      <w:r>
        <w:rPr>
          <w:sz w:val="24"/>
          <w:szCs w:val="24"/>
        </w:rPr>
        <w:t>es</w:t>
      </w:r>
      <w:r w:rsidRPr="00D37F6E">
        <w:rPr>
          <w:sz w:val="24"/>
          <w:szCs w:val="24"/>
        </w:rPr>
        <w:t>:</w:t>
      </w:r>
    </w:p>
    <w:p w14:paraId="13C48734" w14:textId="77777777" w:rsidR="00F80D48" w:rsidRDefault="00F80D48" w:rsidP="00F80D48">
      <w:pPr>
        <w:jc w:val="both"/>
        <w:rPr>
          <w:b/>
          <w:i/>
          <w:sz w:val="24"/>
          <w:szCs w:val="24"/>
        </w:rPr>
      </w:pPr>
    </w:p>
    <w:p w14:paraId="758399FF" w14:textId="04230EA2" w:rsidR="00F80D48" w:rsidRDefault="00F80D48" w:rsidP="00F80D48">
      <w:pPr>
        <w:widowControl w:val="0"/>
        <w:jc w:val="both"/>
        <w:rPr>
          <w:sz w:val="24"/>
          <w:szCs w:val="24"/>
        </w:rPr>
      </w:pPr>
      <w:r w:rsidRPr="003C6D79">
        <w:rPr>
          <w:sz w:val="24"/>
          <w:szCs w:val="24"/>
        </w:rPr>
        <w:t xml:space="preserve">El Consejo Nacional de Supervisión del Sistema Financiero, en el </w:t>
      </w:r>
      <w:r>
        <w:rPr>
          <w:sz w:val="24"/>
          <w:szCs w:val="24"/>
        </w:rPr>
        <w:t xml:space="preserve">inciso I, </w:t>
      </w:r>
      <w:r w:rsidRPr="003C6D79">
        <w:rPr>
          <w:sz w:val="24"/>
          <w:szCs w:val="24"/>
        </w:rPr>
        <w:t>artículo 11, del acta de la sesión 1767-2022, celebrada el 31 de octubre de 2022,</w:t>
      </w:r>
    </w:p>
    <w:p w14:paraId="54B7D01C" w14:textId="77777777" w:rsidR="00F80D48" w:rsidRPr="00513BE0" w:rsidRDefault="00F80D48" w:rsidP="00F80D48">
      <w:pPr>
        <w:widowControl w:val="0"/>
        <w:jc w:val="both"/>
        <w:rPr>
          <w:sz w:val="24"/>
          <w:szCs w:val="24"/>
        </w:rPr>
      </w:pPr>
    </w:p>
    <w:p w14:paraId="2AB7A168" w14:textId="77777777" w:rsidR="00F80D48" w:rsidRPr="00161761" w:rsidRDefault="00F80D48" w:rsidP="00F80D48">
      <w:pPr>
        <w:widowControl w:val="0"/>
        <w:ind w:left="426" w:hanging="426"/>
        <w:jc w:val="both"/>
        <w:rPr>
          <w:b/>
          <w:bCs/>
          <w:color w:val="000000"/>
          <w:sz w:val="28"/>
          <w:szCs w:val="28"/>
        </w:rPr>
      </w:pPr>
      <w:r w:rsidRPr="00161761">
        <w:rPr>
          <w:b/>
          <w:bCs/>
          <w:color w:val="000000"/>
          <w:sz w:val="28"/>
          <w:szCs w:val="28"/>
        </w:rPr>
        <w:t>I.</w:t>
      </w:r>
      <w:r w:rsidRPr="00161761">
        <w:rPr>
          <w:b/>
          <w:bCs/>
          <w:color w:val="000000"/>
          <w:sz w:val="28"/>
          <w:szCs w:val="28"/>
        </w:rPr>
        <w:tab/>
        <w:t xml:space="preserve">En lo atinente al Acuerdo SUGEF 1-05, </w:t>
      </w:r>
      <w:r w:rsidRPr="00161761">
        <w:rPr>
          <w:b/>
          <w:bCs/>
          <w:i/>
          <w:iCs/>
          <w:color w:val="000000"/>
          <w:sz w:val="28"/>
          <w:szCs w:val="28"/>
        </w:rPr>
        <w:t xml:space="preserve">Reglamento para la Calificación de Deudores, y </w:t>
      </w:r>
      <w:r w:rsidRPr="00161761">
        <w:rPr>
          <w:b/>
          <w:bCs/>
          <w:color w:val="000000"/>
          <w:sz w:val="28"/>
          <w:szCs w:val="28"/>
        </w:rPr>
        <w:t xml:space="preserve">Acuerdo SUGEF 3-06: </w:t>
      </w:r>
      <w:r w:rsidRPr="00161761">
        <w:rPr>
          <w:b/>
          <w:bCs/>
          <w:i/>
          <w:iCs/>
          <w:color w:val="000000"/>
          <w:sz w:val="28"/>
          <w:szCs w:val="28"/>
        </w:rPr>
        <w:t>Reglamento sobre Suficiencia Patrimonial de Entidades.</w:t>
      </w:r>
      <w:r w:rsidRPr="00161761">
        <w:rPr>
          <w:b/>
          <w:bCs/>
          <w:color w:val="000000"/>
          <w:sz w:val="28"/>
          <w:szCs w:val="28"/>
        </w:rPr>
        <w:t xml:space="preserve"> </w:t>
      </w:r>
    </w:p>
    <w:p w14:paraId="61B7E773" w14:textId="77777777" w:rsidR="00F80D48" w:rsidRPr="00513BE0" w:rsidRDefault="00F80D48" w:rsidP="00F80D48">
      <w:pPr>
        <w:tabs>
          <w:tab w:val="left" w:pos="1134"/>
        </w:tabs>
        <w:jc w:val="both"/>
        <w:rPr>
          <w:b/>
          <w:bCs/>
          <w:sz w:val="24"/>
          <w:szCs w:val="24"/>
        </w:rPr>
      </w:pPr>
    </w:p>
    <w:p w14:paraId="67370A5B" w14:textId="77777777" w:rsidR="00F80D48" w:rsidRPr="00513BE0" w:rsidRDefault="00F80D48" w:rsidP="00F80D48">
      <w:pPr>
        <w:tabs>
          <w:tab w:val="left" w:pos="1134"/>
        </w:tabs>
        <w:jc w:val="both"/>
        <w:rPr>
          <w:b/>
          <w:bCs/>
          <w:sz w:val="24"/>
          <w:szCs w:val="24"/>
        </w:rPr>
      </w:pPr>
      <w:r w:rsidRPr="00513BE0">
        <w:rPr>
          <w:b/>
          <w:bCs/>
          <w:sz w:val="24"/>
          <w:szCs w:val="24"/>
        </w:rPr>
        <w:t xml:space="preserve">considerando que: </w:t>
      </w:r>
    </w:p>
    <w:p w14:paraId="45952E42" w14:textId="77777777" w:rsidR="00F80D48" w:rsidRPr="00513BE0" w:rsidRDefault="00F80D48" w:rsidP="00F80D48">
      <w:pPr>
        <w:tabs>
          <w:tab w:val="left" w:pos="1134"/>
        </w:tabs>
        <w:spacing w:line="259" w:lineRule="auto"/>
        <w:ind w:left="426" w:hanging="426"/>
        <w:jc w:val="both"/>
        <w:rPr>
          <w:rFonts w:eastAsia="Calibri"/>
          <w:sz w:val="24"/>
          <w:szCs w:val="24"/>
          <w:lang w:eastAsia="en-US"/>
        </w:rPr>
      </w:pPr>
    </w:p>
    <w:p w14:paraId="071C74B8" w14:textId="77777777" w:rsidR="00F80D48" w:rsidRPr="00513BE0" w:rsidRDefault="00F80D48" w:rsidP="00F80D48">
      <w:pPr>
        <w:spacing w:after="120"/>
        <w:ind w:left="284" w:hanging="284"/>
        <w:jc w:val="both"/>
        <w:rPr>
          <w:color w:val="000000"/>
          <w:sz w:val="24"/>
          <w:szCs w:val="24"/>
          <w:lang w:eastAsia="es-CR"/>
        </w:rPr>
      </w:pPr>
      <w:r w:rsidRPr="00513BE0">
        <w:rPr>
          <w:color w:val="000000"/>
          <w:sz w:val="24"/>
          <w:szCs w:val="24"/>
          <w:lang w:eastAsia="es-CR"/>
        </w:rPr>
        <w:t xml:space="preserve">I. </w:t>
      </w:r>
      <w:r w:rsidRPr="00513BE0">
        <w:rPr>
          <w:color w:val="000000"/>
          <w:sz w:val="24"/>
          <w:szCs w:val="24"/>
          <w:lang w:eastAsia="es-CR"/>
        </w:rPr>
        <w:tab/>
        <w:t xml:space="preserve">El numeral 2, artículo 361, de la </w:t>
      </w:r>
      <w:r w:rsidRPr="00513BE0">
        <w:rPr>
          <w:i/>
          <w:iCs/>
          <w:color w:val="000000"/>
          <w:sz w:val="24"/>
          <w:szCs w:val="24"/>
          <w:lang w:eastAsia="es-CR"/>
        </w:rPr>
        <w:t>Ley General de la Administración Pública,</w:t>
      </w:r>
      <w:r w:rsidRPr="00513BE0">
        <w:rPr>
          <w:color w:val="000000"/>
          <w:sz w:val="24"/>
          <w:szCs w:val="24"/>
          <w:lang w:eastAsia="es-CR"/>
        </w:rPr>
        <w:t xml:space="preserve"> Ley 6227, establece que se concederá a las entidades representativas de intereses de carácter general o corporativo afectados por la disposición, la oportunidad de exponer su parecer. </w:t>
      </w:r>
    </w:p>
    <w:p w14:paraId="69B6690B" w14:textId="77777777" w:rsidR="00F80D48" w:rsidRDefault="00F80D48" w:rsidP="00F80D48">
      <w:pPr>
        <w:spacing w:after="120"/>
        <w:ind w:left="284" w:hanging="284"/>
        <w:jc w:val="both"/>
        <w:rPr>
          <w:color w:val="000000"/>
          <w:sz w:val="24"/>
          <w:szCs w:val="24"/>
          <w:lang w:eastAsia="es-CR"/>
        </w:rPr>
      </w:pPr>
      <w:r w:rsidRPr="00513BE0">
        <w:rPr>
          <w:color w:val="000000"/>
          <w:sz w:val="24"/>
          <w:szCs w:val="24"/>
          <w:lang w:eastAsia="es-CR"/>
        </w:rPr>
        <w:t>II.</w:t>
      </w:r>
      <w:r w:rsidRPr="00513BE0">
        <w:rPr>
          <w:color w:val="000000"/>
          <w:sz w:val="24"/>
          <w:szCs w:val="24"/>
          <w:lang w:eastAsia="es-CR"/>
        </w:rPr>
        <w:tab/>
        <w:t xml:space="preserve">En ese sentido, se somete a consulta de las entidades supervisadas, cámaras y gremios la propuesta de modificación a los siguientes reglamentos: </w:t>
      </w:r>
      <w:r w:rsidRPr="00513BE0">
        <w:rPr>
          <w:i/>
          <w:iCs/>
          <w:color w:val="000000"/>
          <w:sz w:val="24"/>
          <w:szCs w:val="24"/>
          <w:lang w:eastAsia="es-CR"/>
        </w:rPr>
        <w:t xml:space="preserve">Reglamento para la Calificación de Deudores, Acuerdo SUGEF 1-05, </w:t>
      </w:r>
      <w:r w:rsidRPr="00513BE0">
        <w:rPr>
          <w:color w:val="000000"/>
          <w:sz w:val="24"/>
          <w:szCs w:val="24"/>
          <w:lang w:eastAsia="es-CR"/>
        </w:rPr>
        <w:t>y el</w:t>
      </w:r>
      <w:r w:rsidRPr="00513BE0">
        <w:rPr>
          <w:i/>
          <w:iCs/>
          <w:color w:val="000000"/>
          <w:sz w:val="24"/>
          <w:szCs w:val="24"/>
          <w:lang w:eastAsia="es-CR"/>
        </w:rPr>
        <w:t xml:space="preserve"> Reglamento sobre Suficiencia Patrimonial de Entidades, Acuerdo SUGEF 3-06.</w:t>
      </w:r>
      <w:r w:rsidRPr="00513BE0">
        <w:rPr>
          <w:color w:val="000000"/>
          <w:sz w:val="24"/>
          <w:szCs w:val="24"/>
          <w:lang w:eastAsia="es-CR"/>
        </w:rPr>
        <w:t xml:space="preserve">  </w:t>
      </w:r>
    </w:p>
    <w:p w14:paraId="15E8BFAA" w14:textId="77777777" w:rsidR="00F80D48" w:rsidRPr="00513BE0" w:rsidRDefault="00F80D48" w:rsidP="00F80D48">
      <w:pPr>
        <w:spacing w:after="120"/>
        <w:ind w:left="284" w:hanging="284"/>
        <w:jc w:val="both"/>
        <w:rPr>
          <w:color w:val="000000"/>
          <w:sz w:val="24"/>
          <w:szCs w:val="24"/>
          <w:lang w:eastAsia="es-CR"/>
        </w:rPr>
      </w:pPr>
    </w:p>
    <w:p w14:paraId="1D0D891E" w14:textId="77777777" w:rsidR="00F80D48" w:rsidRPr="00513BE0" w:rsidRDefault="00F80D48" w:rsidP="00F80D48">
      <w:pPr>
        <w:spacing w:after="120"/>
        <w:jc w:val="both"/>
        <w:rPr>
          <w:b/>
          <w:bCs/>
          <w:color w:val="000000"/>
          <w:sz w:val="24"/>
          <w:szCs w:val="24"/>
          <w:lang w:eastAsia="es-CR"/>
        </w:rPr>
      </w:pPr>
      <w:r w:rsidRPr="00513BE0">
        <w:rPr>
          <w:b/>
          <w:bCs/>
          <w:color w:val="000000"/>
          <w:sz w:val="24"/>
          <w:szCs w:val="24"/>
          <w:lang w:eastAsia="es-CR"/>
        </w:rPr>
        <w:t>dispuso en firme:</w:t>
      </w:r>
    </w:p>
    <w:p w14:paraId="2B520BC2" w14:textId="77777777" w:rsidR="00F80D48" w:rsidRPr="00513BE0" w:rsidRDefault="00F80D48" w:rsidP="00F80D48">
      <w:pPr>
        <w:spacing w:after="120"/>
        <w:jc w:val="both"/>
        <w:rPr>
          <w:color w:val="000000"/>
          <w:sz w:val="24"/>
          <w:szCs w:val="24"/>
          <w:lang w:eastAsia="es-CR"/>
        </w:rPr>
      </w:pPr>
      <w:r w:rsidRPr="00513BE0">
        <w:rPr>
          <w:color w:val="000000"/>
          <w:sz w:val="24"/>
          <w:szCs w:val="24"/>
          <w:lang w:eastAsia="es-CR"/>
        </w:rPr>
        <w:t xml:space="preserve">remitir en consulta, en cumplimiento de lo establecido en el numeral 2, artículo 361, de la </w:t>
      </w:r>
      <w:r w:rsidRPr="00513BE0">
        <w:rPr>
          <w:i/>
          <w:iCs/>
          <w:color w:val="000000"/>
          <w:sz w:val="24"/>
          <w:szCs w:val="24"/>
          <w:lang w:eastAsia="es-CR"/>
        </w:rPr>
        <w:t>Ley General de la Administración Pública,</w:t>
      </w:r>
      <w:r w:rsidRPr="00513BE0">
        <w:rPr>
          <w:color w:val="000000"/>
          <w:sz w:val="24"/>
          <w:szCs w:val="24"/>
          <w:lang w:eastAsia="es-CR"/>
        </w:rPr>
        <w:t xml:space="preserve"> Ley 6227, a todas las entidades supervisadas por la SUGEF, Federación de Cooperativas de Ahorro y Crédito FEDEAC, R.L., Federación de Cooperativas de Ahorro y Crédito FECOOPSE, R.L., Asociación Bancaria Costarricense, Cámara de Bancos e Instituciones Financieras de Costa Rica y a la Federación de Mutuales de Ahorro y Préstamo, la propuesta de reforma a los siguientes reglamentos: </w:t>
      </w:r>
      <w:r w:rsidRPr="00513BE0">
        <w:rPr>
          <w:i/>
          <w:iCs/>
          <w:color w:val="000000"/>
          <w:sz w:val="24"/>
          <w:szCs w:val="24"/>
          <w:lang w:eastAsia="es-CR"/>
        </w:rPr>
        <w:t>Reglamento para la Calificación de Deudores, Acuerdo SUGEF 1-05, Reglamento sobre Suficiencia Patrimonial de Entidades, Acuerdo SUGEF 3-06.</w:t>
      </w:r>
      <w:r w:rsidRPr="00513BE0">
        <w:rPr>
          <w:color w:val="000000"/>
          <w:sz w:val="24"/>
          <w:szCs w:val="24"/>
          <w:lang w:eastAsia="es-CR"/>
        </w:rPr>
        <w:t xml:space="preserve">   </w:t>
      </w:r>
    </w:p>
    <w:p w14:paraId="0599CC60" w14:textId="77777777" w:rsidR="00F80D48" w:rsidRPr="00513BE0" w:rsidRDefault="00F80D48" w:rsidP="00F80D48">
      <w:pPr>
        <w:spacing w:after="120"/>
        <w:jc w:val="both"/>
        <w:rPr>
          <w:color w:val="000000"/>
          <w:sz w:val="24"/>
          <w:szCs w:val="24"/>
          <w:lang w:eastAsia="es-CR"/>
        </w:rPr>
      </w:pPr>
      <w:r w:rsidRPr="00513BE0">
        <w:rPr>
          <w:color w:val="000000"/>
          <w:sz w:val="24"/>
          <w:szCs w:val="24"/>
          <w:lang w:eastAsia="es-CR"/>
        </w:rPr>
        <w:t xml:space="preserve">En el entendido que en un plazo máximo de diez (10) días hábiles, contados a partir del día hábil siguiente del recibo de la comunicación, deberán incluir los comentarios y observaciones en el formulario que </w:t>
      </w:r>
      <w:r w:rsidRPr="00513BE0">
        <w:rPr>
          <w:color w:val="000000"/>
          <w:sz w:val="24"/>
          <w:szCs w:val="24"/>
          <w:lang w:val="es-419" w:eastAsia="es-CR"/>
        </w:rPr>
        <w:t xml:space="preserve">está disponible en el apartado </w:t>
      </w:r>
      <w:hyperlink r:id="rId12" w:history="1">
        <w:r w:rsidRPr="00513BE0">
          <w:rPr>
            <w:color w:val="0000FF"/>
            <w:sz w:val="24"/>
            <w:szCs w:val="24"/>
            <w:u w:val="single"/>
            <w:lang w:eastAsia="es-CR"/>
          </w:rPr>
          <w:t>“Formularios para remitir observaciones de normativa en consulta”</w:t>
        </w:r>
      </w:hyperlink>
      <w:r w:rsidRPr="00513BE0">
        <w:rPr>
          <w:b/>
          <w:bCs/>
          <w:color w:val="000000"/>
          <w:sz w:val="24"/>
          <w:szCs w:val="24"/>
          <w:lang w:eastAsia="es-CR"/>
        </w:rPr>
        <w:t xml:space="preserve">, </w:t>
      </w:r>
      <w:r w:rsidRPr="00513BE0">
        <w:rPr>
          <w:color w:val="000000"/>
          <w:sz w:val="24"/>
          <w:szCs w:val="24"/>
          <w:lang w:eastAsia="es-CR"/>
        </w:rPr>
        <w:t>ubicado en la dirección electrónica de la página oficial de la SUGEF.</w:t>
      </w:r>
    </w:p>
    <w:p w14:paraId="78422982" w14:textId="77777777" w:rsidR="00F80D48" w:rsidRPr="00513BE0" w:rsidRDefault="00F80D48" w:rsidP="00F80D48">
      <w:pPr>
        <w:spacing w:after="120"/>
        <w:jc w:val="both"/>
        <w:rPr>
          <w:color w:val="000000"/>
          <w:sz w:val="24"/>
          <w:szCs w:val="24"/>
          <w:lang w:eastAsia="es-CR"/>
        </w:rPr>
      </w:pPr>
      <w:r w:rsidRPr="00513BE0">
        <w:rPr>
          <w:color w:val="000000"/>
          <w:sz w:val="24"/>
          <w:szCs w:val="24"/>
          <w:lang w:eastAsia="es-CR"/>
        </w:rPr>
        <w:lastRenderedPageBreak/>
        <w:t>El formulario estará disponible hasta el término de la consulta.</w:t>
      </w:r>
    </w:p>
    <w:p w14:paraId="1D3F47A1" w14:textId="77777777" w:rsidR="00F80D48" w:rsidRPr="00513BE0" w:rsidRDefault="00F80D48" w:rsidP="00F80D48">
      <w:pPr>
        <w:spacing w:after="120"/>
        <w:jc w:val="both"/>
        <w:rPr>
          <w:color w:val="000000"/>
          <w:sz w:val="24"/>
          <w:szCs w:val="24"/>
          <w:lang w:eastAsia="es-CR"/>
        </w:rPr>
      </w:pPr>
      <w:r w:rsidRPr="00513BE0">
        <w:rPr>
          <w:color w:val="000000"/>
          <w:sz w:val="24"/>
          <w:szCs w:val="24"/>
          <w:lang w:eastAsia="es-CR"/>
        </w:rPr>
        <w:t xml:space="preserve">Sin detrimento de lo anterior, las entidades consultadas pueden presentar de manera consolidada sus observaciones y comentarios a través de los gremios y cámaras que les representan. Asimismo, el correo electrónico </w:t>
      </w:r>
      <w:hyperlink r:id="rId13" w:history="1">
        <w:r w:rsidRPr="00513BE0">
          <w:rPr>
            <w:color w:val="0000FF"/>
            <w:sz w:val="24"/>
            <w:szCs w:val="24"/>
            <w:u w:val="single"/>
            <w:lang w:eastAsia="es-CR"/>
          </w:rPr>
          <w:t>normativaenconsulta@sugef.fi.cr</w:t>
        </w:r>
      </w:hyperlink>
      <w:r w:rsidRPr="00513BE0">
        <w:rPr>
          <w:color w:val="000000"/>
          <w:sz w:val="24"/>
          <w:szCs w:val="24"/>
          <w:lang w:eastAsia="es-CR"/>
        </w:rPr>
        <w:t xml:space="preserve"> será utilizado </w:t>
      </w:r>
      <w:r w:rsidRPr="00513BE0">
        <w:rPr>
          <w:color w:val="000000"/>
          <w:sz w:val="24"/>
          <w:szCs w:val="24"/>
          <w:u w:val="single"/>
          <w:lang w:eastAsia="es-CR"/>
        </w:rPr>
        <w:t>únicamente</w:t>
      </w:r>
      <w:r w:rsidRPr="00513BE0">
        <w:rPr>
          <w:color w:val="000000"/>
          <w:sz w:val="24"/>
          <w:szCs w:val="24"/>
          <w:lang w:eastAsia="es-CR"/>
        </w:rPr>
        <w:t xml:space="preserve"> como mecanismo de notificación sobre la completitud de dicho formulario, respecto del texto que a continuación se transcribe:</w:t>
      </w:r>
    </w:p>
    <w:p w14:paraId="1FABB871" w14:textId="77777777" w:rsidR="00F80D48" w:rsidRPr="00513BE0" w:rsidRDefault="00F80D48" w:rsidP="00F80D48">
      <w:pPr>
        <w:widowControl w:val="0"/>
        <w:spacing w:after="120"/>
        <w:ind w:left="-39"/>
        <w:jc w:val="both"/>
        <w:rPr>
          <w:b/>
          <w:bCs/>
          <w:sz w:val="24"/>
          <w:szCs w:val="24"/>
        </w:rPr>
      </w:pPr>
    </w:p>
    <w:p w14:paraId="19CF8F6F" w14:textId="77777777" w:rsidR="00F80D48" w:rsidRPr="00513BE0" w:rsidRDefault="00F80D48" w:rsidP="00F80D48">
      <w:pPr>
        <w:jc w:val="center"/>
        <w:rPr>
          <w:b/>
          <w:bCs/>
          <w:i/>
          <w:sz w:val="28"/>
          <w:szCs w:val="28"/>
        </w:rPr>
      </w:pPr>
      <w:r w:rsidRPr="00513BE0">
        <w:rPr>
          <w:b/>
          <w:bCs/>
          <w:sz w:val="28"/>
          <w:szCs w:val="28"/>
        </w:rPr>
        <w:t>“PROYECTO DE ACUERDO</w:t>
      </w:r>
    </w:p>
    <w:p w14:paraId="4ABE5AA2" w14:textId="77777777" w:rsidR="00F80D48" w:rsidRDefault="00F80D48" w:rsidP="00F80D48">
      <w:pPr>
        <w:widowControl w:val="0"/>
        <w:spacing w:after="120"/>
        <w:ind w:left="-39"/>
        <w:jc w:val="both"/>
        <w:rPr>
          <w:sz w:val="24"/>
          <w:szCs w:val="24"/>
        </w:rPr>
      </w:pPr>
    </w:p>
    <w:p w14:paraId="03A7D35E" w14:textId="77777777" w:rsidR="00F80D48" w:rsidRPr="00513BE0" w:rsidRDefault="00F80D48" w:rsidP="00F80D48">
      <w:pPr>
        <w:widowControl w:val="0"/>
        <w:spacing w:after="120"/>
        <w:ind w:left="-39"/>
        <w:jc w:val="both"/>
        <w:rPr>
          <w:sz w:val="24"/>
          <w:szCs w:val="24"/>
        </w:rPr>
      </w:pPr>
      <w:r w:rsidRPr="00513BE0">
        <w:rPr>
          <w:sz w:val="24"/>
          <w:szCs w:val="24"/>
        </w:rPr>
        <w:t>El Consejo Nacional de Supervisión del Sistema Financiero,</w:t>
      </w:r>
    </w:p>
    <w:p w14:paraId="586480CF" w14:textId="77777777" w:rsidR="00F80D48" w:rsidRPr="00513BE0" w:rsidRDefault="00F80D48" w:rsidP="00F80D48">
      <w:pPr>
        <w:widowControl w:val="0"/>
        <w:spacing w:after="120"/>
        <w:ind w:left="-39"/>
        <w:jc w:val="both"/>
        <w:rPr>
          <w:b/>
          <w:bCs/>
          <w:sz w:val="24"/>
          <w:szCs w:val="24"/>
        </w:rPr>
      </w:pPr>
    </w:p>
    <w:p w14:paraId="22AE5FDD" w14:textId="77777777" w:rsidR="00F80D48" w:rsidRPr="00513BE0" w:rsidRDefault="00F80D48" w:rsidP="00F80D48">
      <w:pPr>
        <w:widowControl w:val="0"/>
        <w:spacing w:after="120"/>
        <w:ind w:left="-39"/>
        <w:jc w:val="both"/>
        <w:rPr>
          <w:b/>
          <w:bCs/>
          <w:sz w:val="24"/>
          <w:szCs w:val="24"/>
        </w:rPr>
      </w:pPr>
      <w:r w:rsidRPr="00513BE0">
        <w:rPr>
          <w:b/>
          <w:bCs/>
          <w:sz w:val="24"/>
          <w:szCs w:val="24"/>
        </w:rPr>
        <w:t>considerando que:</w:t>
      </w:r>
    </w:p>
    <w:p w14:paraId="16A072E3" w14:textId="77777777" w:rsidR="00F80D48" w:rsidRPr="00513BE0" w:rsidRDefault="00F80D48" w:rsidP="00F80D48">
      <w:pPr>
        <w:rPr>
          <w:sz w:val="24"/>
          <w:szCs w:val="24"/>
        </w:rPr>
      </w:pPr>
    </w:p>
    <w:p w14:paraId="24641A86" w14:textId="77777777" w:rsidR="00F80D48" w:rsidRPr="00513BE0" w:rsidRDefault="00F80D48" w:rsidP="00F80D48">
      <w:pPr>
        <w:widowControl w:val="0"/>
        <w:spacing w:after="120"/>
        <w:ind w:left="-39"/>
        <w:jc w:val="center"/>
        <w:rPr>
          <w:sz w:val="22"/>
          <w:szCs w:val="22"/>
        </w:rPr>
      </w:pPr>
      <w:r w:rsidRPr="00513BE0">
        <w:rPr>
          <w:b/>
          <w:bCs/>
          <w:sz w:val="22"/>
          <w:szCs w:val="22"/>
        </w:rPr>
        <w:t>Consideraciones de orden legal y reglamentario</w:t>
      </w:r>
    </w:p>
    <w:p w14:paraId="2F5A5907" w14:textId="77777777" w:rsidR="00F80D48" w:rsidRPr="00513BE0" w:rsidRDefault="00F80D48" w:rsidP="00F80D48">
      <w:pPr>
        <w:widowControl w:val="0"/>
        <w:spacing w:after="120"/>
        <w:ind w:left="426" w:hanging="426"/>
        <w:jc w:val="both"/>
        <w:rPr>
          <w:sz w:val="22"/>
          <w:szCs w:val="22"/>
        </w:rPr>
      </w:pPr>
      <w:r w:rsidRPr="00513BE0">
        <w:rPr>
          <w:sz w:val="22"/>
          <w:szCs w:val="22"/>
        </w:rPr>
        <w:t>I.</w:t>
      </w:r>
      <w:r w:rsidRPr="00513BE0">
        <w:rPr>
          <w:sz w:val="22"/>
          <w:szCs w:val="22"/>
        </w:rPr>
        <w:tab/>
        <w:t xml:space="preserve">El literal b), del artículo 171 de </w:t>
      </w:r>
      <w:r w:rsidRPr="00513BE0">
        <w:rPr>
          <w:i/>
          <w:iCs/>
          <w:sz w:val="22"/>
          <w:szCs w:val="22"/>
        </w:rPr>
        <w:t>la Ley Reguladora del Mercado de Valores</w:t>
      </w:r>
      <w:r w:rsidRPr="00513BE0">
        <w:rPr>
          <w:sz w:val="22"/>
          <w:szCs w:val="22"/>
        </w:rPr>
        <w:t>, Ley 7732, faculta al Consejo Nacional de Supervisión del Sistema Financiero (CONASSIF) a aprobar las normas atinentes a la autorización, regulación, supervisión, fiscalización y vigilancia que, conforme a la ley, debe ejecutar la Superintendencia General de Entidades Financieras (SUGEF).</w:t>
      </w:r>
    </w:p>
    <w:p w14:paraId="38162CEC" w14:textId="77777777" w:rsidR="00F80D48" w:rsidRPr="00513BE0" w:rsidRDefault="00F80D48" w:rsidP="00F80D48">
      <w:pPr>
        <w:widowControl w:val="0"/>
        <w:spacing w:after="120"/>
        <w:ind w:left="426" w:hanging="426"/>
        <w:jc w:val="both"/>
        <w:rPr>
          <w:sz w:val="22"/>
          <w:szCs w:val="22"/>
        </w:rPr>
      </w:pPr>
      <w:r w:rsidRPr="00513BE0">
        <w:rPr>
          <w:sz w:val="22"/>
          <w:szCs w:val="22"/>
        </w:rPr>
        <w:t>II.</w:t>
      </w:r>
      <w:r w:rsidRPr="00513BE0">
        <w:rPr>
          <w:sz w:val="22"/>
          <w:szCs w:val="22"/>
        </w:rPr>
        <w:tab/>
        <w:t xml:space="preserve">El literal c), del artículo 131 de la </w:t>
      </w:r>
      <w:r w:rsidRPr="00513BE0">
        <w:rPr>
          <w:i/>
          <w:iCs/>
          <w:sz w:val="22"/>
          <w:szCs w:val="22"/>
        </w:rPr>
        <w:t>Ley Orgánica del Banco Central de Costa Rica</w:t>
      </w:r>
      <w:r w:rsidRPr="00513BE0">
        <w:rPr>
          <w:sz w:val="22"/>
          <w:szCs w:val="22"/>
        </w:rPr>
        <w:t>, Ley 7558, establece, como parte de las funciones del superintendente general de entidades financieras, proponer al CONASSIF, para su aprobación, las normas que estime necesarias para el desarrollo de las labores de fiscalización y vigilancia.</w:t>
      </w:r>
    </w:p>
    <w:p w14:paraId="45C6293C" w14:textId="77777777" w:rsidR="00F80D48" w:rsidRPr="00513BE0" w:rsidRDefault="00F80D48" w:rsidP="00F80D48">
      <w:pPr>
        <w:widowControl w:val="0"/>
        <w:spacing w:after="120"/>
        <w:ind w:left="426" w:hanging="426"/>
        <w:jc w:val="both"/>
        <w:rPr>
          <w:sz w:val="22"/>
          <w:szCs w:val="22"/>
        </w:rPr>
      </w:pPr>
      <w:r w:rsidRPr="00513BE0">
        <w:rPr>
          <w:sz w:val="22"/>
          <w:szCs w:val="22"/>
        </w:rPr>
        <w:t>III.</w:t>
      </w:r>
      <w:r w:rsidRPr="00513BE0">
        <w:rPr>
          <w:sz w:val="22"/>
          <w:szCs w:val="22"/>
        </w:rPr>
        <w:tab/>
        <w:t xml:space="preserve">Mediante artículo 7 del acta de la sesión 540-2005, celebrada el 24 de noviembre de 2005, el Consejo Nacional de Supervisión del Sistema Financiero, aprobó el </w:t>
      </w:r>
      <w:r w:rsidRPr="00513BE0">
        <w:rPr>
          <w:i/>
          <w:iCs/>
          <w:sz w:val="22"/>
          <w:szCs w:val="22"/>
        </w:rPr>
        <w:t>Reglamento para la Calificación de Deudores</w:t>
      </w:r>
      <w:r w:rsidRPr="00513BE0">
        <w:rPr>
          <w:sz w:val="22"/>
          <w:szCs w:val="22"/>
        </w:rPr>
        <w:t>, Acuerdo SUGEF 1-05. Publicado en el Diario Oficial La Gaceta” 238, del viernes 9 de diciembre del 2005.</w:t>
      </w:r>
    </w:p>
    <w:p w14:paraId="5E28B1EB" w14:textId="77777777" w:rsidR="00F80D48" w:rsidRPr="00513BE0" w:rsidRDefault="00F80D48" w:rsidP="00F80D48">
      <w:pPr>
        <w:widowControl w:val="0"/>
        <w:spacing w:after="120"/>
        <w:ind w:left="426" w:hanging="426"/>
        <w:jc w:val="both"/>
        <w:rPr>
          <w:sz w:val="22"/>
          <w:szCs w:val="22"/>
        </w:rPr>
      </w:pPr>
      <w:r w:rsidRPr="00513BE0">
        <w:rPr>
          <w:sz w:val="22"/>
          <w:szCs w:val="22"/>
        </w:rPr>
        <w:t>IV.</w:t>
      </w:r>
      <w:r w:rsidRPr="00513BE0">
        <w:rPr>
          <w:sz w:val="22"/>
          <w:szCs w:val="22"/>
        </w:rPr>
        <w:tab/>
        <w:t xml:space="preserve">El Consejo Nacional de Supervisión del Sistema Financiero, mediante los artículos 8 y 9, de las actas de las sesiones 1699-2021 y 1700-2021, celebradas el 11 y 15 de noviembre de 2021, respectivamente, aprobó el </w:t>
      </w:r>
      <w:r w:rsidRPr="00513BE0">
        <w:rPr>
          <w:i/>
          <w:iCs/>
          <w:sz w:val="22"/>
          <w:szCs w:val="22"/>
        </w:rPr>
        <w:t xml:space="preserve">Reglamento sobre Cálculo de estimaciones crediticias, </w:t>
      </w:r>
      <w:r w:rsidRPr="00513BE0">
        <w:rPr>
          <w:sz w:val="22"/>
          <w:szCs w:val="22"/>
        </w:rPr>
        <w:t>Acuerdo Conassif 14-21. Publicado en el Alcance No. 241 del Diario Oficial La Gaceta No. 229 del viernes 26 de noviembre de 2021.</w:t>
      </w:r>
    </w:p>
    <w:p w14:paraId="5A3E7D61" w14:textId="77777777" w:rsidR="00F80D48" w:rsidRPr="00513BE0" w:rsidRDefault="00F80D48" w:rsidP="00F80D48">
      <w:pPr>
        <w:widowControl w:val="0"/>
        <w:spacing w:after="120"/>
        <w:ind w:left="426" w:hanging="426"/>
        <w:jc w:val="both"/>
        <w:rPr>
          <w:sz w:val="22"/>
          <w:szCs w:val="22"/>
        </w:rPr>
      </w:pPr>
      <w:r w:rsidRPr="00513BE0">
        <w:rPr>
          <w:sz w:val="22"/>
          <w:szCs w:val="22"/>
        </w:rPr>
        <w:t>V.</w:t>
      </w:r>
      <w:r w:rsidRPr="00513BE0">
        <w:rPr>
          <w:sz w:val="22"/>
          <w:szCs w:val="22"/>
        </w:rPr>
        <w:tab/>
        <w:t xml:space="preserve">Mediante artículo 12, del acta de la sesión 1251-2016, celebrada el 10 de mayo de 2016, el CONASSIF aprobó el </w:t>
      </w:r>
      <w:bookmarkStart w:id="0" w:name="_Hlk117509343"/>
      <w:r w:rsidRPr="00513BE0">
        <w:rPr>
          <w:i/>
          <w:iCs/>
          <w:sz w:val="22"/>
          <w:szCs w:val="22"/>
        </w:rPr>
        <w:t>Reglamento sobre gestión y evaluación del riesgo de crédito para el Sistema de Banca para el Desarrollo</w:t>
      </w:r>
      <w:r w:rsidRPr="00513BE0">
        <w:rPr>
          <w:sz w:val="22"/>
          <w:szCs w:val="22"/>
        </w:rPr>
        <w:t>, Acuerdo SUGEF 15-16</w:t>
      </w:r>
      <w:bookmarkEnd w:id="0"/>
      <w:r w:rsidRPr="00513BE0">
        <w:rPr>
          <w:sz w:val="22"/>
          <w:szCs w:val="22"/>
        </w:rPr>
        <w:t>, mediante el cual establece la metodología para la calificación de los deudores beneficiarios de recursos del SBD. Publicado en el Alcance No. 97 del Diario Oficial La Gaceta 114 del 14 de junio del 2016.</w:t>
      </w:r>
    </w:p>
    <w:p w14:paraId="2A5CD97E" w14:textId="77777777" w:rsidR="00F80D48" w:rsidRPr="00513BE0" w:rsidRDefault="00F80D48" w:rsidP="00F80D48">
      <w:pPr>
        <w:widowControl w:val="0"/>
        <w:spacing w:after="120"/>
        <w:ind w:left="426" w:hanging="426"/>
        <w:jc w:val="both"/>
        <w:rPr>
          <w:sz w:val="22"/>
          <w:szCs w:val="22"/>
        </w:rPr>
      </w:pPr>
      <w:r w:rsidRPr="00513BE0">
        <w:rPr>
          <w:sz w:val="22"/>
          <w:szCs w:val="22"/>
        </w:rPr>
        <w:t>VI.</w:t>
      </w:r>
      <w:r w:rsidRPr="00513BE0">
        <w:rPr>
          <w:sz w:val="22"/>
          <w:szCs w:val="22"/>
        </w:rPr>
        <w:tab/>
        <w:t xml:space="preserve">El Consejo Nacional de Supervisión del Sistema Financiero mediante artículo 14, de la sesión 547-2006, celebrada el 5 de enero del 2006, aprobó el </w:t>
      </w:r>
      <w:r w:rsidRPr="00513BE0">
        <w:rPr>
          <w:i/>
          <w:iCs/>
          <w:sz w:val="22"/>
          <w:szCs w:val="22"/>
        </w:rPr>
        <w:t>Reglamento sobre Suficiencia Patrimonial de Entidades</w:t>
      </w:r>
      <w:r w:rsidRPr="00513BE0">
        <w:rPr>
          <w:sz w:val="22"/>
          <w:szCs w:val="22"/>
        </w:rPr>
        <w:t>, Acuerdo SUGEF 3-06. Publicado en el Diario Oficial La Gaceta 13, del 18 de enero del 2006.</w:t>
      </w:r>
    </w:p>
    <w:p w14:paraId="471075CA" w14:textId="77777777" w:rsidR="00F80D48" w:rsidRPr="00513BE0" w:rsidRDefault="00F80D48" w:rsidP="00F80D48">
      <w:pPr>
        <w:jc w:val="both"/>
        <w:rPr>
          <w:sz w:val="22"/>
          <w:szCs w:val="22"/>
        </w:rPr>
      </w:pPr>
    </w:p>
    <w:p w14:paraId="5D839701" w14:textId="77777777" w:rsidR="00F80D48" w:rsidRPr="00513BE0" w:rsidRDefault="00F80D48" w:rsidP="00F80D48">
      <w:pPr>
        <w:jc w:val="center"/>
        <w:rPr>
          <w:b/>
          <w:bCs/>
          <w:sz w:val="22"/>
          <w:szCs w:val="22"/>
        </w:rPr>
      </w:pPr>
      <w:r w:rsidRPr="00513BE0">
        <w:rPr>
          <w:b/>
          <w:bCs/>
          <w:sz w:val="22"/>
          <w:szCs w:val="22"/>
        </w:rPr>
        <w:lastRenderedPageBreak/>
        <w:t>Consideraciones sobre la coyuntura actual</w:t>
      </w:r>
    </w:p>
    <w:p w14:paraId="1C44EC4A" w14:textId="77777777" w:rsidR="00F80D48" w:rsidRPr="00513BE0" w:rsidRDefault="00F80D48" w:rsidP="00F80D48">
      <w:pPr>
        <w:jc w:val="center"/>
        <w:rPr>
          <w:b/>
          <w:bCs/>
          <w:sz w:val="22"/>
          <w:szCs w:val="22"/>
        </w:rPr>
      </w:pPr>
    </w:p>
    <w:p w14:paraId="1B298E14" w14:textId="77777777" w:rsidR="00F80D48" w:rsidRPr="00513BE0" w:rsidRDefault="00F80D48" w:rsidP="00F80D48">
      <w:pPr>
        <w:widowControl w:val="0"/>
        <w:spacing w:after="120"/>
        <w:ind w:left="426" w:hanging="426"/>
        <w:jc w:val="both"/>
        <w:rPr>
          <w:sz w:val="22"/>
          <w:szCs w:val="22"/>
        </w:rPr>
      </w:pPr>
      <w:r w:rsidRPr="00513BE0">
        <w:rPr>
          <w:sz w:val="22"/>
          <w:szCs w:val="22"/>
        </w:rPr>
        <w:t>VII. La situación internacional que comenzó a revelarse desde principios de 2022 plantea escenarios de alta inestabilidad económica y política en el ámbito internacional, y puede trascender a crisis colaterales en los ámbitos energéticos y alimentarios. Los planes de rescate de los países durante la pandemia manifestaron sus efectos en altos niveles de inflación, y se anticipa bajos niveles de crecimiento económico casi a nivel generalizado internacionalmente en el 2023.</w:t>
      </w:r>
    </w:p>
    <w:p w14:paraId="243C5BC6" w14:textId="77777777" w:rsidR="00F80D48" w:rsidRDefault="00F80D48" w:rsidP="00F80D48">
      <w:pPr>
        <w:jc w:val="center"/>
        <w:rPr>
          <w:b/>
          <w:bCs/>
          <w:sz w:val="22"/>
          <w:szCs w:val="22"/>
        </w:rPr>
      </w:pPr>
      <w:r w:rsidRPr="00513BE0">
        <w:rPr>
          <w:b/>
          <w:bCs/>
          <w:sz w:val="22"/>
          <w:szCs w:val="22"/>
        </w:rPr>
        <w:t>Consideraciones sobre la respuesta de las autoridades de regulación y supervisión</w:t>
      </w:r>
    </w:p>
    <w:p w14:paraId="3A9991D9" w14:textId="77777777" w:rsidR="00F80D48" w:rsidRPr="00513BE0" w:rsidRDefault="00F80D48" w:rsidP="00F80D48">
      <w:pPr>
        <w:jc w:val="center"/>
        <w:rPr>
          <w:b/>
          <w:bCs/>
          <w:sz w:val="22"/>
          <w:szCs w:val="22"/>
        </w:rPr>
      </w:pPr>
    </w:p>
    <w:p w14:paraId="307D0049" w14:textId="77777777" w:rsidR="00F80D48" w:rsidRPr="00513BE0" w:rsidRDefault="00F80D48" w:rsidP="00F80D48">
      <w:pPr>
        <w:widowControl w:val="0"/>
        <w:spacing w:after="120"/>
        <w:ind w:left="426" w:hanging="426"/>
        <w:jc w:val="both"/>
        <w:rPr>
          <w:sz w:val="22"/>
          <w:szCs w:val="22"/>
        </w:rPr>
      </w:pPr>
      <w:r w:rsidRPr="00513BE0">
        <w:rPr>
          <w:sz w:val="22"/>
          <w:szCs w:val="22"/>
        </w:rPr>
        <w:t>VIII. En línea con las lecciones aprendidas durante el manejo de las ultimas crisis, resulta claro que la representación fiel de la situación financiera de las entidades es un aspecto clave para garantizar la confianza en el sistema y su operación continuada. En este sentido, las medidas que se adopten, si bien otorgan espacios para que las entidades gestionen el riesgo, deben asegurar la adecuada revelación de los riesgos y su abordaje mediante provisiones o capital, según corresponda.</w:t>
      </w:r>
    </w:p>
    <w:p w14:paraId="4680AAD0" w14:textId="77777777" w:rsidR="00F80D48" w:rsidRPr="00513BE0" w:rsidRDefault="00F80D48" w:rsidP="00F80D48">
      <w:pPr>
        <w:widowControl w:val="0"/>
        <w:spacing w:after="120"/>
        <w:ind w:left="426" w:hanging="426"/>
        <w:jc w:val="both"/>
        <w:rPr>
          <w:sz w:val="22"/>
          <w:szCs w:val="22"/>
        </w:rPr>
      </w:pPr>
      <w:r w:rsidRPr="00513BE0">
        <w:rPr>
          <w:sz w:val="22"/>
          <w:szCs w:val="22"/>
        </w:rPr>
        <w:t>IX. Con el propósito de crear espacios para que las entidades realicen modificaciones adicionales a las condiciones contractuales, suavizando el impacto en estimaciones crediticias por Operaciones Especiales, resulta pertinente permitir temporalmente a las instituciones financieras que éstas no califiquen el deudor directamente en categoría C1. Específicamente se propone que partir del 1 de enero hasta el 31 de diciembre de 2023 un deudor con al menos una operación modificada dos veces en un periodo de 24 meses será clasificado en la categoría de riesgo B2; y que un deudor con al menos una operación modificada tres o más veces en un periodo de 24 meses será clasificado en la categoría de riesgo C1.  Adicionalmente, con el propósito de preservar la fortaleza de las entidades para absorber futuros riesgos crediticios, resulta conveniente que el monto de estimaciones que pueda liberarse producto de esta modificación no sea reversado contablemente contra los ingresos del ejercicio. Dicho monto deberá mantenerse para ser asignado a incrementos futuros por reclasificaciones de deudores a las categorías de riesgo C2 a E.</w:t>
      </w:r>
    </w:p>
    <w:p w14:paraId="5125D38A" w14:textId="77777777" w:rsidR="00F80D48" w:rsidRPr="00513BE0" w:rsidRDefault="00F80D48" w:rsidP="00F80D48">
      <w:pPr>
        <w:widowControl w:val="0"/>
        <w:spacing w:after="120"/>
        <w:ind w:left="426" w:hanging="426"/>
        <w:jc w:val="both"/>
        <w:rPr>
          <w:sz w:val="22"/>
          <w:szCs w:val="22"/>
        </w:rPr>
      </w:pPr>
      <w:r w:rsidRPr="00513BE0">
        <w:rPr>
          <w:sz w:val="22"/>
          <w:szCs w:val="22"/>
        </w:rPr>
        <w:t>X.</w:t>
      </w:r>
      <w:r w:rsidRPr="00513BE0">
        <w:rPr>
          <w:sz w:val="22"/>
          <w:szCs w:val="22"/>
        </w:rPr>
        <w:tab/>
        <w:t xml:space="preserve">Lo anterior es, además, consistente con el </w:t>
      </w:r>
      <w:r w:rsidRPr="00513BE0">
        <w:rPr>
          <w:i/>
          <w:iCs/>
          <w:sz w:val="22"/>
          <w:szCs w:val="22"/>
        </w:rPr>
        <w:t>Reglamento sobre Cálculo de estimaciones crediticias</w:t>
      </w:r>
      <w:r w:rsidRPr="00513BE0">
        <w:rPr>
          <w:sz w:val="22"/>
          <w:szCs w:val="22"/>
        </w:rPr>
        <w:t>, Acuerdo Conassif 14-21, según el cual se reclasifican a Categoría 4, 5 o 6 cuando en el periodo de observación de los últimos 24 meses, en dos oportunidades, al menos una de las operaciones crediticias del deudor ha sido objeto de intervención por parte de la entidad financiera. Asimismo, se reclasifica en Categoría 7 o 8 cuando en el periodo de observación de los últimos 24 meses, en tres o más oportunidades, al menos una de las operaciones crediticias del deudor ha sido objeto de intervención por parte de la entidad financiera.</w:t>
      </w:r>
    </w:p>
    <w:p w14:paraId="33313724" w14:textId="77777777" w:rsidR="00F80D48" w:rsidRPr="00513BE0" w:rsidRDefault="00F80D48" w:rsidP="00F80D48">
      <w:pPr>
        <w:widowControl w:val="0"/>
        <w:spacing w:after="120"/>
        <w:ind w:left="426" w:hanging="426"/>
        <w:jc w:val="both"/>
        <w:rPr>
          <w:sz w:val="22"/>
          <w:szCs w:val="22"/>
        </w:rPr>
      </w:pPr>
      <w:r w:rsidRPr="00513BE0">
        <w:rPr>
          <w:sz w:val="22"/>
          <w:szCs w:val="22"/>
        </w:rPr>
        <w:t>XI.</w:t>
      </w:r>
      <w:r w:rsidRPr="00513BE0">
        <w:rPr>
          <w:sz w:val="22"/>
          <w:szCs w:val="22"/>
        </w:rPr>
        <w:tab/>
        <w:t xml:space="preserve">La reforma planteada en el Considerando 3. vence el 31 de enero de 2023. A partir del 1 de enero de 2024, las operaciones crediticias especiales definidas según el numeral 2, inciso i), del Artículo 3 del </w:t>
      </w:r>
      <w:r w:rsidRPr="00513BE0">
        <w:rPr>
          <w:i/>
          <w:iCs/>
          <w:sz w:val="22"/>
          <w:szCs w:val="22"/>
        </w:rPr>
        <w:t>Reglamento para la Calificación de Deudores</w:t>
      </w:r>
      <w:r w:rsidRPr="00513BE0">
        <w:rPr>
          <w:sz w:val="22"/>
          <w:szCs w:val="22"/>
        </w:rPr>
        <w:t xml:space="preserve">, Acuerdo SUGEF 1-05, al 31 de diciembre de 2023, deberán reclasificarse en la categoría 5 según el Artículo 11, Calificación de riesgo, del </w:t>
      </w:r>
      <w:r w:rsidRPr="00513BE0">
        <w:rPr>
          <w:i/>
          <w:iCs/>
          <w:sz w:val="22"/>
          <w:szCs w:val="22"/>
        </w:rPr>
        <w:t>Reglamento sobre Cálculo de estimaciones crediticias</w:t>
      </w:r>
      <w:r w:rsidRPr="00513BE0">
        <w:rPr>
          <w:sz w:val="22"/>
          <w:szCs w:val="22"/>
        </w:rPr>
        <w:t>, Acuerdo Conassif 14-21. Lo anterior implica que la cantidad de modificaciones no empieza a computarse desde cero a partir del 1 de enero de 2024.</w:t>
      </w:r>
    </w:p>
    <w:p w14:paraId="021D2A09" w14:textId="77777777" w:rsidR="00F80D48" w:rsidRPr="00513BE0" w:rsidRDefault="00F80D48" w:rsidP="00F80D48">
      <w:pPr>
        <w:widowControl w:val="0"/>
        <w:spacing w:after="120"/>
        <w:ind w:left="426" w:hanging="426"/>
        <w:jc w:val="both"/>
        <w:rPr>
          <w:sz w:val="22"/>
          <w:szCs w:val="22"/>
        </w:rPr>
      </w:pPr>
      <w:r w:rsidRPr="00513BE0">
        <w:rPr>
          <w:sz w:val="22"/>
          <w:szCs w:val="22"/>
        </w:rPr>
        <w:t xml:space="preserve">XII. Resultado de los ejercicios cuantitativos en el proceso de elaboración del </w:t>
      </w:r>
      <w:r w:rsidRPr="00513BE0">
        <w:rPr>
          <w:i/>
          <w:iCs/>
          <w:sz w:val="22"/>
          <w:szCs w:val="22"/>
        </w:rPr>
        <w:t>Reglamento sobre cálculo de estimaciones crediticias</w:t>
      </w:r>
      <w:r w:rsidRPr="00513BE0">
        <w:rPr>
          <w:sz w:val="22"/>
          <w:szCs w:val="22"/>
        </w:rPr>
        <w:t xml:space="preserve">, Acuerdo Conassif 14-21, se determinó, y así quedó estipulado en esa regulación, que la información derivada del análisis de capacidad de pago –para la constitución de estimaciones crediticias– para los prestatarios pertenecientes al Grupo 2 ya está incorporada en la información que brinda el comportamiento de pago histórico. En consecuencia, se recomienda eliminar de la regulación vigente sobre riesgo de crédito el análisis de capacidad </w:t>
      </w:r>
      <w:r w:rsidRPr="00513BE0">
        <w:rPr>
          <w:sz w:val="22"/>
          <w:szCs w:val="22"/>
        </w:rPr>
        <w:lastRenderedPageBreak/>
        <w:t>de pago para los prestatarios del Grupo 2.</w:t>
      </w:r>
    </w:p>
    <w:p w14:paraId="33E25976" w14:textId="77777777" w:rsidR="00F80D48" w:rsidRPr="00513BE0" w:rsidRDefault="00F80D48" w:rsidP="00F80D48">
      <w:pPr>
        <w:widowControl w:val="0"/>
        <w:spacing w:after="120"/>
        <w:ind w:left="426" w:hanging="426"/>
        <w:jc w:val="both"/>
        <w:rPr>
          <w:sz w:val="22"/>
          <w:szCs w:val="22"/>
        </w:rPr>
      </w:pPr>
      <w:r w:rsidRPr="00513BE0">
        <w:rPr>
          <w:sz w:val="22"/>
          <w:szCs w:val="22"/>
        </w:rPr>
        <w:t xml:space="preserve">XIII. La Evaluación Costo-Beneficio de la regulación se realiza de conformidad con lo establecido en los artículos 1 y 12 de la </w:t>
      </w:r>
      <w:r w:rsidRPr="00513BE0">
        <w:rPr>
          <w:i/>
          <w:iCs/>
          <w:sz w:val="22"/>
          <w:szCs w:val="22"/>
        </w:rPr>
        <w:t>Ley Protección al ciudadano del exceso de requisitos y trámites administrativos</w:t>
      </w:r>
      <w:r w:rsidRPr="00513BE0">
        <w:rPr>
          <w:sz w:val="22"/>
          <w:szCs w:val="22"/>
        </w:rPr>
        <w:t xml:space="preserve">, Ley 8220 y en los artículos 12, 12bis, 13, 13 bis y 56 al 60bis del </w:t>
      </w:r>
      <w:r w:rsidRPr="00513BE0">
        <w:rPr>
          <w:i/>
          <w:iCs/>
          <w:sz w:val="22"/>
          <w:szCs w:val="22"/>
        </w:rPr>
        <w:t>Reglamento a la Ley de Protección al Ciudadano del Exceso de Requisitos y Trámites Administrativos</w:t>
      </w:r>
      <w:r w:rsidRPr="00513BE0">
        <w:rPr>
          <w:sz w:val="22"/>
          <w:szCs w:val="22"/>
        </w:rPr>
        <w:t>, 37045- 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 por lo que no se realiza este control previo.</w:t>
      </w:r>
    </w:p>
    <w:p w14:paraId="0D8ED492" w14:textId="77777777" w:rsidR="00F80D48" w:rsidRPr="00513BE0" w:rsidRDefault="00F80D48" w:rsidP="00F80D48">
      <w:pPr>
        <w:rPr>
          <w:b/>
          <w:bCs/>
          <w:sz w:val="22"/>
          <w:szCs w:val="22"/>
        </w:rPr>
      </w:pPr>
    </w:p>
    <w:p w14:paraId="3B7DA135" w14:textId="77777777" w:rsidR="00F80D48" w:rsidRPr="00513BE0" w:rsidRDefault="00F80D48" w:rsidP="00F80D48">
      <w:pPr>
        <w:rPr>
          <w:b/>
          <w:bCs/>
          <w:sz w:val="24"/>
          <w:szCs w:val="24"/>
        </w:rPr>
      </w:pPr>
      <w:r w:rsidRPr="00513BE0">
        <w:rPr>
          <w:b/>
          <w:bCs/>
          <w:sz w:val="24"/>
          <w:szCs w:val="24"/>
        </w:rPr>
        <w:t>dispuso:</w:t>
      </w:r>
    </w:p>
    <w:p w14:paraId="5D9E429F" w14:textId="77777777" w:rsidR="00F80D48" w:rsidRPr="00513BE0" w:rsidRDefault="00F80D48" w:rsidP="00F80D48">
      <w:pPr>
        <w:rPr>
          <w:b/>
          <w:bCs/>
          <w:sz w:val="22"/>
          <w:szCs w:val="22"/>
        </w:rPr>
      </w:pPr>
    </w:p>
    <w:p w14:paraId="1B6EBBD5" w14:textId="77777777" w:rsidR="00F80D48" w:rsidRPr="00513BE0" w:rsidRDefault="00F80D48" w:rsidP="00F80D48">
      <w:pPr>
        <w:widowControl w:val="0"/>
        <w:spacing w:after="120"/>
        <w:ind w:left="426" w:hanging="426"/>
        <w:jc w:val="both"/>
        <w:rPr>
          <w:b/>
          <w:bCs/>
          <w:sz w:val="22"/>
          <w:szCs w:val="22"/>
        </w:rPr>
      </w:pPr>
      <w:r w:rsidRPr="00513BE0">
        <w:rPr>
          <w:b/>
          <w:bCs/>
          <w:sz w:val="22"/>
          <w:szCs w:val="22"/>
        </w:rPr>
        <w:t>A.</w:t>
      </w:r>
      <w:r w:rsidRPr="00513BE0">
        <w:rPr>
          <w:b/>
          <w:bCs/>
          <w:sz w:val="22"/>
          <w:szCs w:val="22"/>
        </w:rPr>
        <w:tab/>
        <w:t xml:space="preserve">Respecto al </w:t>
      </w:r>
      <w:r w:rsidRPr="00513BE0">
        <w:rPr>
          <w:b/>
          <w:bCs/>
          <w:i/>
          <w:iCs/>
          <w:sz w:val="22"/>
          <w:szCs w:val="22"/>
        </w:rPr>
        <w:t>Reglamento para la Calificación de Deudores</w:t>
      </w:r>
      <w:r w:rsidRPr="00513BE0">
        <w:rPr>
          <w:b/>
          <w:bCs/>
          <w:sz w:val="22"/>
          <w:szCs w:val="22"/>
        </w:rPr>
        <w:t>, Acuerdo SUGEF 1-05:</w:t>
      </w:r>
    </w:p>
    <w:p w14:paraId="0228ADB4" w14:textId="77777777" w:rsidR="00F80D48" w:rsidRPr="00513BE0" w:rsidRDefault="00F80D48" w:rsidP="00F80D48">
      <w:pPr>
        <w:rPr>
          <w:b/>
          <w:bCs/>
          <w:sz w:val="22"/>
          <w:szCs w:val="22"/>
        </w:rPr>
      </w:pPr>
    </w:p>
    <w:p w14:paraId="6D9C8544" w14:textId="77777777" w:rsidR="00F80D48" w:rsidRPr="00513BE0" w:rsidRDefault="00F80D48" w:rsidP="00F80D48">
      <w:pPr>
        <w:spacing w:after="160" w:line="259" w:lineRule="auto"/>
        <w:ind w:left="708" w:hanging="282"/>
        <w:contextualSpacing/>
        <w:jc w:val="both"/>
        <w:rPr>
          <w:b/>
          <w:bCs/>
          <w:sz w:val="22"/>
          <w:szCs w:val="22"/>
        </w:rPr>
      </w:pPr>
      <w:r w:rsidRPr="00513BE0">
        <w:rPr>
          <w:b/>
          <w:bCs/>
          <w:sz w:val="22"/>
          <w:szCs w:val="22"/>
        </w:rPr>
        <w:t>1.</w:t>
      </w:r>
      <w:r w:rsidRPr="00513BE0">
        <w:rPr>
          <w:b/>
          <w:bCs/>
          <w:sz w:val="22"/>
          <w:szCs w:val="22"/>
        </w:rPr>
        <w:tab/>
        <w:t>Eliminar el Artículo 7bis. Análisis de la capacidad de pago para deudores del Grupo 2.</w:t>
      </w:r>
    </w:p>
    <w:p w14:paraId="28B1685C" w14:textId="77777777" w:rsidR="00F80D48" w:rsidRPr="00513BE0" w:rsidRDefault="00F80D48" w:rsidP="00F80D48">
      <w:pPr>
        <w:spacing w:after="160" w:line="259" w:lineRule="auto"/>
        <w:ind w:left="708" w:hanging="282"/>
        <w:contextualSpacing/>
        <w:jc w:val="both"/>
        <w:rPr>
          <w:b/>
          <w:bCs/>
          <w:sz w:val="22"/>
          <w:szCs w:val="22"/>
        </w:rPr>
      </w:pPr>
      <w:r w:rsidRPr="00513BE0">
        <w:rPr>
          <w:b/>
          <w:bCs/>
          <w:sz w:val="22"/>
          <w:szCs w:val="22"/>
        </w:rPr>
        <w:t>2.</w:t>
      </w:r>
      <w:r w:rsidRPr="00513BE0">
        <w:rPr>
          <w:b/>
          <w:bCs/>
          <w:sz w:val="22"/>
          <w:szCs w:val="22"/>
        </w:rPr>
        <w:tab/>
        <w:t>Modificar el párrafo primero y el cuadro único del Artículo 10. Calificación del deudor, de acuerdo con el siguiente texto:</w:t>
      </w:r>
    </w:p>
    <w:p w14:paraId="38FD5622" w14:textId="77777777" w:rsidR="00F80D48" w:rsidRPr="00513BE0" w:rsidRDefault="00F80D48" w:rsidP="00F80D48">
      <w:pPr>
        <w:ind w:left="720"/>
        <w:rPr>
          <w:rFonts w:eastAsia="Calibri"/>
          <w:sz w:val="22"/>
          <w:szCs w:val="22"/>
          <w:lang w:eastAsia="en-US"/>
        </w:rPr>
      </w:pPr>
    </w:p>
    <w:p w14:paraId="69DE1F7B" w14:textId="77777777" w:rsidR="00F80D48" w:rsidRPr="00513BE0" w:rsidRDefault="00F80D48" w:rsidP="00F80D48">
      <w:pPr>
        <w:ind w:left="720"/>
        <w:rPr>
          <w:rFonts w:eastAsia="Calibri"/>
          <w:sz w:val="22"/>
          <w:szCs w:val="22"/>
          <w:lang w:eastAsia="en-US"/>
        </w:rPr>
      </w:pPr>
      <w:r w:rsidRPr="00513BE0">
        <w:rPr>
          <w:rFonts w:eastAsia="Calibri"/>
          <w:sz w:val="22"/>
          <w:szCs w:val="22"/>
          <w:lang w:eastAsia="en-US"/>
        </w:rPr>
        <w:t>'</w:t>
      </w:r>
      <w:r w:rsidRPr="00513BE0">
        <w:rPr>
          <w:rFonts w:eastAsia="Calibri"/>
          <w:b/>
          <w:bCs/>
          <w:i/>
          <w:iCs/>
          <w:sz w:val="22"/>
          <w:szCs w:val="22"/>
          <w:lang w:eastAsia="en-US"/>
        </w:rPr>
        <w:t>Artículo 10. Calificación del deudor</w:t>
      </w:r>
      <w:r w:rsidRPr="00513BE0">
        <w:rPr>
          <w:rFonts w:eastAsia="Calibri"/>
          <w:sz w:val="22"/>
          <w:szCs w:val="22"/>
          <w:lang w:eastAsia="en-US"/>
        </w:rPr>
        <w:t xml:space="preserve"> </w:t>
      </w:r>
    </w:p>
    <w:p w14:paraId="096A9651" w14:textId="77777777" w:rsidR="00F80D48" w:rsidRPr="00513BE0" w:rsidRDefault="00F80D48" w:rsidP="00F80D48">
      <w:pPr>
        <w:ind w:left="720"/>
        <w:jc w:val="both"/>
        <w:rPr>
          <w:rFonts w:eastAsia="Calibri"/>
          <w:sz w:val="22"/>
          <w:szCs w:val="22"/>
          <w:lang w:eastAsia="en-US"/>
        </w:rPr>
      </w:pPr>
    </w:p>
    <w:p w14:paraId="591552BA" w14:textId="77777777" w:rsidR="00F80D48" w:rsidRPr="00513BE0" w:rsidRDefault="00F80D48" w:rsidP="00F80D48">
      <w:pPr>
        <w:ind w:left="720"/>
        <w:jc w:val="both"/>
        <w:rPr>
          <w:rFonts w:eastAsia="Calibri"/>
          <w:i/>
          <w:iCs/>
          <w:sz w:val="22"/>
          <w:szCs w:val="22"/>
          <w:lang w:eastAsia="en-US"/>
        </w:rPr>
      </w:pPr>
      <w:r w:rsidRPr="00513BE0">
        <w:rPr>
          <w:rFonts w:eastAsia="Calibri"/>
          <w:i/>
          <w:iCs/>
          <w:sz w:val="22"/>
          <w:szCs w:val="22"/>
          <w:lang w:eastAsia="en-US"/>
        </w:rPr>
        <w:t>El deudor clasificado en el Grupo 1 debe ser calificado por la entidad de acuerdo con los parámetros: morosidad máxima del deudor en la entidad, determinada al cierre del mes en curso; comportamiento de pago histórico; y capacidad de pago, según el siguiente cuadro:</w:t>
      </w:r>
    </w:p>
    <w:p w14:paraId="22139758" w14:textId="77777777" w:rsidR="00F80D48" w:rsidRPr="00513BE0" w:rsidRDefault="00F80D48" w:rsidP="00F80D48">
      <w:pPr>
        <w:ind w:left="720"/>
        <w:jc w:val="both"/>
        <w:rPr>
          <w:rFonts w:eastAsia="Calibri"/>
          <w:i/>
          <w:iCs/>
          <w:sz w:val="22"/>
          <w:szCs w:val="22"/>
          <w:lang w:eastAsia="en-US"/>
        </w:rPr>
      </w:pPr>
    </w:p>
    <w:tbl>
      <w:tblPr>
        <w:tblStyle w:val="TableGrid1"/>
        <w:tblW w:w="8662" w:type="dxa"/>
        <w:tblInd w:w="826" w:type="dxa"/>
        <w:tblCellMar>
          <w:left w:w="142" w:type="dxa"/>
          <w:right w:w="115" w:type="dxa"/>
        </w:tblCellMar>
        <w:tblLook w:val="04A0" w:firstRow="1" w:lastRow="0" w:firstColumn="1" w:lastColumn="0" w:noHBand="0" w:noVBand="1"/>
      </w:tblPr>
      <w:tblGrid>
        <w:gridCol w:w="1234"/>
        <w:gridCol w:w="2558"/>
        <w:gridCol w:w="1960"/>
        <w:gridCol w:w="2910"/>
      </w:tblGrid>
      <w:tr w:rsidR="00F80D48" w:rsidRPr="00513BE0" w14:paraId="728D3E52" w14:textId="77777777" w:rsidTr="00620617">
        <w:trPr>
          <w:trHeight w:val="527"/>
        </w:trPr>
        <w:tc>
          <w:tcPr>
            <w:tcW w:w="1234" w:type="dxa"/>
            <w:tcBorders>
              <w:top w:val="single" w:sz="4" w:space="0" w:color="000000"/>
              <w:left w:val="single" w:sz="4" w:space="0" w:color="000000"/>
              <w:bottom w:val="single" w:sz="4" w:space="0" w:color="000000"/>
              <w:right w:val="single" w:sz="4" w:space="0" w:color="000000"/>
            </w:tcBorders>
            <w:shd w:val="clear" w:color="auto" w:fill="D0CECE"/>
          </w:tcPr>
          <w:p w14:paraId="64A1C26A" w14:textId="77777777" w:rsidR="00F80D48" w:rsidRPr="00513BE0" w:rsidRDefault="00F80D48" w:rsidP="00620617">
            <w:pPr>
              <w:jc w:val="center"/>
              <w:rPr>
                <w:b/>
                <w:i/>
                <w:iCs/>
              </w:rPr>
            </w:pPr>
            <w:r w:rsidRPr="00513BE0">
              <w:rPr>
                <w:b/>
                <w:i/>
                <w:iCs/>
              </w:rPr>
              <w:t xml:space="preserve">Categoría de riesgo </w:t>
            </w:r>
          </w:p>
        </w:tc>
        <w:tc>
          <w:tcPr>
            <w:tcW w:w="255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CAC463C" w14:textId="77777777" w:rsidR="00F80D48" w:rsidRPr="00513BE0" w:rsidRDefault="00F80D48" w:rsidP="00620617">
            <w:pPr>
              <w:jc w:val="center"/>
              <w:rPr>
                <w:b/>
                <w:i/>
                <w:iCs/>
              </w:rPr>
            </w:pPr>
            <w:r w:rsidRPr="00513BE0">
              <w:rPr>
                <w:b/>
                <w:i/>
                <w:iCs/>
              </w:rPr>
              <w:t xml:space="preserve">Morosidad </w:t>
            </w:r>
          </w:p>
        </w:tc>
        <w:tc>
          <w:tcPr>
            <w:tcW w:w="1960" w:type="dxa"/>
            <w:tcBorders>
              <w:top w:val="single" w:sz="4" w:space="0" w:color="000000"/>
              <w:left w:val="single" w:sz="4" w:space="0" w:color="000000"/>
              <w:bottom w:val="single" w:sz="4" w:space="0" w:color="000000"/>
              <w:right w:val="single" w:sz="4" w:space="0" w:color="000000"/>
            </w:tcBorders>
            <w:shd w:val="clear" w:color="auto" w:fill="D0CECE"/>
          </w:tcPr>
          <w:p w14:paraId="680F2A96" w14:textId="77777777" w:rsidR="00F80D48" w:rsidRPr="00513BE0" w:rsidRDefault="00F80D48" w:rsidP="00620617">
            <w:pPr>
              <w:jc w:val="center"/>
              <w:rPr>
                <w:b/>
                <w:i/>
                <w:iCs/>
              </w:rPr>
            </w:pPr>
            <w:r w:rsidRPr="00513BE0">
              <w:rPr>
                <w:b/>
                <w:i/>
                <w:iCs/>
              </w:rPr>
              <w:t xml:space="preserve">Comportamiento de pago histórico </w:t>
            </w:r>
          </w:p>
        </w:tc>
        <w:tc>
          <w:tcPr>
            <w:tcW w:w="291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8E19E93" w14:textId="77777777" w:rsidR="00F80D48" w:rsidRPr="00513BE0" w:rsidRDefault="00F80D48" w:rsidP="00620617">
            <w:pPr>
              <w:jc w:val="center"/>
              <w:rPr>
                <w:b/>
                <w:i/>
                <w:iCs/>
              </w:rPr>
            </w:pPr>
            <w:r w:rsidRPr="00513BE0">
              <w:rPr>
                <w:b/>
                <w:i/>
                <w:iCs/>
              </w:rPr>
              <w:t xml:space="preserve">Capacidad de pago </w:t>
            </w:r>
          </w:p>
        </w:tc>
      </w:tr>
      <w:tr w:rsidR="00F80D48" w:rsidRPr="00513BE0" w14:paraId="305FA7BE" w14:textId="77777777" w:rsidTr="00620617">
        <w:trPr>
          <w:trHeight w:val="267"/>
        </w:trPr>
        <w:tc>
          <w:tcPr>
            <w:tcW w:w="1234" w:type="dxa"/>
            <w:tcBorders>
              <w:top w:val="single" w:sz="4" w:space="0" w:color="000000"/>
              <w:left w:val="single" w:sz="4" w:space="0" w:color="000000"/>
              <w:bottom w:val="single" w:sz="4" w:space="0" w:color="000000"/>
              <w:right w:val="single" w:sz="4" w:space="0" w:color="000000"/>
            </w:tcBorders>
          </w:tcPr>
          <w:p w14:paraId="2F9CD696" w14:textId="77777777" w:rsidR="00F80D48" w:rsidRPr="00513BE0" w:rsidRDefault="00F80D48" w:rsidP="00620617">
            <w:pPr>
              <w:jc w:val="center"/>
              <w:rPr>
                <w:i/>
                <w:iCs/>
              </w:rPr>
            </w:pPr>
            <w:r w:rsidRPr="00513BE0">
              <w:rPr>
                <w:i/>
                <w:iCs/>
              </w:rPr>
              <w:t>A1</w:t>
            </w:r>
          </w:p>
        </w:tc>
        <w:tc>
          <w:tcPr>
            <w:tcW w:w="2558" w:type="dxa"/>
            <w:tcBorders>
              <w:top w:val="single" w:sz="4" w:space="0" w:color="000000"/>
              <w:left w:val="single" w:sz="4" w:space="0" w:color="000000"/>
              <w:bottom w:val="single" w:sz="4" w:space="0" w:color="000000"/>
              <w:right w:val="single" w:sz="4" w:space="0" w:color="000000"/>
            </w:tcBorders>
          </w:tcPr>
          <w:p w14:paraId="2EE109A4" w14:textId="77777777" w:rsidR="00F80D48" w:rsidRPr="00513BE0" w:rsidRDefault="00F80D48" w:rsidP="00620617">
            <w:pPr>
              <w:rPr>
                <w:i/>
                <w:iCs/>
              </w:rPr>
            </w:pPr>
            <w:r w:rsidRPr="00513BE0">
              <w:rPr>
                <w:i/>
                <w:iCs/>
              </w:rPr>
              <w:t xml:space="preserve">igual o menor a 30 días </w:t>
            </w:r>
          </w:p>
        </w:tc>
        <w:tc>
          <w:tcPr>
            <w:tcW w:w="1960" w:type="dxa"/>
            <w:tcBorders>
              <w:top w:val="single" w:sz="4" w:space="0" w:color="000000"/>
              <w:left w:val="single" w:sz="4" w:space="0" w:color="000000"/>
              <w:bottom w:val="single" w:sz="4" w:space="0" w:color="000000"/>
              <w:right w:val="single" w:sz="4" w:space="0" w:color="000000"/>
            </w:tcBorders>
          </w:tcPr>
          <w:p w14:paraId="0A3BA78E" w14:textId="77777777" w:rsidR="00F80D48" w:rsidRPr="00513BE0" w:rsidRDefault="00F80D48" w:rsidP="00620617">
            <w:pPr>
              <w:rPr>
                <w:i/>
                <w:iCs/>
              </w:rPr>
            </w:pPr>
            <w:r w:rsidRPr="00513BE0">
              <w:rPr>
                <w:i/>
                <w:iCs/>
              </w:rPr>
              <w:t xml:space="preserve">Nivel 1 </w:t>
            </w:r>
          </w:p>
        </w:tc>
        <w:tc>
          <w:tcPr>
            <w:tcW w:w="2910" w:type="dxa"/>
            <w:tcBorders>
              <w:top w:val="single" w:sz="4" w:space="0" w:color="000000"/>
              <w:left w:val="single" w:sz="4" w:space="0" w:color="000000"/>
              <w:bottom w:val="single" w:sz="4" w:space="0" w:color="000000"/>
              <w:right w:val="single" w:sz="4" w:space="0" w:color="000000"/>
            </w:tcBorders>
          </w:tcPr>
          <w:p w14:paraId="2D97B74C" w14:textId="77777777" w:rsidR="00F80D48" w:rsidRPr="00513BE0" w:rsidRDefault="00F80D48" w:rsidP="00620617">
            <w:pPr>
              <w:rPr>
                <w:i/>
                <w:iCs/>
              </w:rPr>
            </w:pPr>
            <w:r w:rsidRPr="00513BE0">
              <w:rPr>
                <w:i/>
                <w:iCs/>
              </w:rPr>
              <w:t xml:space="preserve">Nivel 1 </w:t>
            </w:r>
          </w:p>
        </w:tc>
      </w:tr>
      <w:tr w:rsidR="00F80D48" w:rsidRPr="00513BE0" w14:paraId="7183E355" w14:textId="77777777" w:rsidTr="00620617">
        <w:trPr>
          <w:trHeight w:val="267"/>
        </w:trPr>
        <w:tc>
          <w:tcPr>
            <w:tcW w:w="1234" w:type="dxa"/>
            <w:tcBorders>
              <w:top w:val="single" w:sz="4" w:space="0" w:color="000000"/>
              <w:left w:val="single" w:sz="4" w:space="0" w:color="000000"/>
              <w:bottom w:val="single" w:sz="4" w:space="0" w:color="000000"/>
              <w:right w:val="single" w:sz="4" w:space="0" w:color="000000"/>
            </w:tcBorders>
          </w:tcPr>
          <w:p w14:paraId="60B2E24A" w14:textId="77777777" w:rsidR="00F80D48" w:rsidRPr="00513BE0" w:rsidRDefault="00F80D48" w:rsidP="00620617">
            <w:pPr>
              <w:jc w:val="center"/>
              <w:rPr>
                <w:i/>
                <w:iCs/>
              </w:rPr>
            </w:pPr>
            <w:r w:rsidRPr="00513BE0">
              <w:rPr>
                <w:i/>
                <w:iCs/>
              </w:rPr>
              <w:t>A2</w:t>
            </w:r>
          </w:p>
        </w:tc>
        <w:tc>
          <w:tcPr>
            <w:tcW w:w="2558" w:type="dxa"/>
            <w:tcBorders>
              <w:top w:val="single" w:sz="4" w:space="0" w:color="000000"/>
              <w:left w:val="single" w:sz="4" w:space="0" w:color="000000"/>
              <w:bottom w:val="single" w:sz="4" w:space="0" w:color="000000"/>
              <w:right w:val="single" w:sz="4" w:space="0" w:color="000000"/>
            </w:tcBorders>
          </w:tcPr>
          <w:p w14:paraId="49A0088C" w14:textId="77777777" w:rsidR="00F80D48" w:rsidRPr="00513BE0" w:rsidRDefault="00F80D48" w:rsidP="00620617">
            <w:pPr>
              <w:rPr>
                <w:i/>
                <w:iCs/>
              </w:rPr>
            </w:pPr>
            <w:r w:rsidRPr="00513BE0">
              <w:rPr>
                <w:i/>
                <w:iCs/>
              </w:rPr>
              <w:t xml:space="preserve">igual o menor a 30 días </w:t>
            </w:r>
          </w:p>
        </w:tc>
        <w:tc>
          <w:tcPr>
            <w:tcW w:w="1960" w:type="dxa"/>
            <w:tcBorders>
              <w:top w:val="single" w:sz="4" w:space="0" w:color="000000"/>
              <w:left w:val="single" w:sz="4" w:space="0" w:color="000000"/>
              <w:bottom w:val="single" w:sz="4" w:space="0" w:color="000000"/>
              <w:right w:val="single" w:sz="4" w:space="0" w:color="000000"/>
            </w:tcBorders>
          </w:tcPr>
          <w:p w14:paraId="1B74D0A2" w14:textId="77777777" w:rsidR="00F80D48" w:rsidRPr="00513BE0" w:rsidRDefault="00F80D48" w:rsidP="00620617">
            <w:pPr>
              <w:rPr>
                <w:i/>
                <w:iCs/>
              </w:rPr>
            </w:pPr>
            <w:r w:rsidRPr="00513BE0">
              <w:rPr>
                <w:i/>
                <w:iCs/>
              </w:rPr>
              <w:t xml:space="preserve">Nivel 2 </w:t>
            </w:r>
          </w:p>
        </w:tc>
        <w:tc>
          <w:tcPr>
            <w:tcW w:w="2910" w:type="dxa"/>
            <w:tcBorders>
              <w:top w:val="single" w:sz="4" w:space="0" w:color="000000"/>
              <w:left w:val="single" w:sz="4" w:space="0" w:color="000000"/>
              <w:bottom w:val="single" w:sz="4" w:space="0" w:color="000000"/>
              <w:right w:val="single" w:sz="4" w:space="0" w:color="000000"/>
            </w:tcBorders>
          </w:tcPr>
          <w:p w14:paraId="6B748E4C" w14:textId="77777777" w:rsidR="00F80D48" w:rsidRPr="00513BE0" w:rsidRDefault="00F80D48" w:rsidP="00620617">
            <w:pPr>
              <w:rPr>
                <w:i/>
                <w:iCs/>
              </w:rPr>
            </w:pPr>
            <w:r w:rsidRPr="00513BE0">
              <w:rPr>
                <w:i/>
                <w:iCs/>
              </w:rPr>
              <w:t xml:space="preserve">Nivel 1 </w:t>
            </w:r>
          </w:p>
        </w:tc>
      </w:tr>
      <w:tr w:rsidR="00F80D48" w:rsidRPr="00513BE0" w14:paraId="1BBC241A" w14:textId="77777777" w:rsidTr="00620617">
        <w:trPr>
          <w:trHeight w:val="267"/>
        </w:trPr>
        <w:tc>
          <w:tcPr>
            <w:tcW w:w="1234" w:type="dxa"/>
            <w:tcBorders>
              <w:top w:val="single" w:sz="4" w:space="0" w:color="000000"/>
              <w:left w:val="single" w:sz="4" w:space="0" w:color="000000"/>
              <w:bottom w:val="single" w:sz="4" w:space="0" w:color="000000"/>
              <w:right w:val="single" w:sz="4" w:space="0" w:color="000000"/>
            </w:tcBorders>
          </w:tcPr>
          <w:p w14:paraId="6BB5191B" w14:textId="77777777" w:rsidR="00F80D48" w:rsidRPr="00513BE0" w:rsidRDefault="00F80D48" w:rsidP="00620617">
            <w:pPr>
              <w:jc w:val="center"/>
              <w:rPr>
                <w:i/>
                <w:iCs/>
              </w:rPr>
            </w:pPr>
            <w:r w:rsidRPr="00513BE0">
              <w:rPr>
                <w:i/>
                <w:iCs/>
              </w:rPr>
              <w:t>B1</w:t>
            </w:r>
          </w:p>
        </w:tc>
        <w:tc>
          <w:tcPr>
            <w:tcW w:w="2558" w:type="dxa"/>
            <w:tcBorders>
              <w:top w:val="single" w:sz="4" w:space="0" w:color="000000"/>
              <w:left w:val="single" w:sz="4" w:space="0" w:color="000000"/>
              <w:bottom w:val="single" w:sz="4" w:space="0" w:color="000000"/>
              <w:right w:val="single" w:sz="4" w:space="0" w:color="000000"/>
            </w:tcBorders>
          </w:tcPr>
          <w:p w14:paraId="1D9109EF" w14:textId="77777777" w:rsidR="00F80D48" w:rsidRPr="00513BE0" w:rsidRDefault="00F80D48" w:rsidP="00620617">
            <w:pPr>
              <w:rPr>
                <w:i/>
                <w:iCs/>
              </w:rPr>
            </w:pPr>
            <w:r w:rsidRPr="00513BE0">
              <w:rPr>
                <w:i/>
                <w:iCs/>
              </w:rPr>
              <w:t xml:space="preserve">igual o menor a 60 días </w:t>
            </w:r>
          </w:p>
        </w:tc>
        <w:tc>
          <w:tcPr>
            <w:tcW w:w="1960" w:type="dxa"/>
            <w:tcBorders>
              <w:top w:val="single" w:sz="4" w:space="0" w:color="000000"/>
              <w:left w:val="single" w:sz="4" w:space="0" w:color="000000"/>
              <w:bottom w:val="single" w:sz="4" w:space="0" w:color="000000"/>
              <w:right w:val="single" w:sz="4" w:space="0" w:color="000000"/>
            </w:tcBorders>
          </w:tcPr>
          <w:p w14:paraId="6036E9AB" w14:textId="77777777" w:rsidR="00F80D48" w:rsidRPr="00513BE0" w:rsidRDefault="00F80D48" w:rsidP="00620617">
            <w:pPr>
              <w:rPr>
                <w:i/>
                <w:iCs/>
              </w:rPr>
            </w:pPr>
            <w:r w:rsidRPr="00513BE0">
              <w:rPr>
                <w:i/>
                <w:iCs/>
              </w:rPr>
              <w:t xml:space="preserve">Nivel 1 </w:t>
            </w:r>
          </w:p>
        </w:tc>
        <w:tc>
          <w:tcPr>
            <w:tcW w:w="2910" w:type="dxa"/>
            <w:tcBorders>
              <w:top w:val="single" w:sz="4" w:space="0" w:color="000000"/>
              <w:left w:val="single" w:sz="4" w:space="0" w:color="000000"/>
              <w:bottom w:val="single" w:sz="4" w:space="0" w:color="000000"/>
              <w:right w:val="single" w:sz="4" w:space="0" w:color="000000"/>
            </w:tcBorders>
          </w:tcPr>
          <w:p w14:paraId="35AF28C7" w14:textId="77777777" w:rsidR="00F80D48" w:rsidRPr="00513BE0" w:rsidRDefault="00F80D48" w:rsidP="00620617">
            <w:pPr>
              <w:rPr>
                <w:i/>
                <w:iCs/>
              </w:rPr>
            </w:pPr>
            <w:r w:rsidRPr="00513BE0">
              <w:rPr>
                <w:i/>
                <w:iCs/>
              </w:rPr>
              <w:t xml:space="preserve">Nivel 1 o Nivel 2 </w:t>
            </w:r>
          </w:p>
        </w:tc>
      </w:tr>
      <w:tr w:rsidR="00F80D48" w:rsidRPr="00513BE0" w14:paraId="4C87023E" w14:textId="77777777" w:rsidTr="00620617">
        <w:trPr>
          <w:trHeight w:val="267"/>
        </w:trPr>
        <w:tc>
          <w:tcPr>
            <w:tcW w:w="1234" w:type="dxa"/>
            <w:tcBorders>
              <w:top w:val="single" w:sz="4" w:space="0" w:color="000000"/>
              <w:left w:val="single" w:sz="4" w:space="0" w:color="000000"/>
              <w:bottom w:val="single" w:sz="4" w:space="0" w:color="000000"/>
              <w:right w:val="single" w:sz="4" w:space="0" w:color="000000"/>
            </w:tcBorders>
          </w:tcPr>
          <w:p w14:paraId="1BC1A9B4" w14:textId="77777777" w:rsidR="00F80D48" w:rsidRPr="00513BE0" w:rsidRDefault="00F80D48" w:rsidP="00620617">
            <w:pPr>
              <w:jc w:val="center"/>
              <w:rPr>
                <w:i/>
                <w:iCs/>
              </w:rPr>
            </w:pPr>
            <w:r w:rsidRPr="00513BE0">
              <w:rPr>
                <w:i/>
                <w:iCs/>
              </w:rPr>
              <w:t>B2</w:t>
            </w:r>
          </w:p>
        </w:tc>
        <w:tc>
          <w:tcPr>
            <w:tcW w:w="2558" w:type="dxa"/>
            <w:tcBorders>
              <w:top w:val="single" w:sz="4" w:space="0" w:color="000000"/>
              <w:left w:val="single" w:sz="4" w:space="0" w:color="000000"/>
              <w:bottom w:val="single" w:sz="4" w:space="0" w:color="000000"/>
              <w:right w:val="single" w:sz="4" w:space="0" w:color="000000"/>
            </w:tcBorders>
          </w:tcPr>
          <w:p w14:paraId="6F9810F7" w14:textId="77777777" w:rsidR="00F80D48" w:rsidRPr="00513BE0" w:rsidRDefault="00F80D48" w:rsidP="00620617">
            <w:pPr>
              <w:rPr>
                <w:i/>
                <w:iCs/>
              </w:rPr>
            </w:pPr>
            <w:r w:rsidRPr="00513BE0">
              <w:rPr>
                <w:i/>
                <w:iCs/>
              </w:rPr>
              <w:t xml:space="preserve">igual o menor a 60 días </w:t>
            </w:r>
          </w:p>
        </w:tc>
        <w:tc>
          <w:tcPr>
            <w:tcW w:w="1960" w:type="dxa"/>
            <w:tcBorders>
              <w:top w:val="single" w:sz="4" w:space="0" w:color="000000"/>
              <w:left w:val="single" w:sz="4" w:space="0" w:color="000000"/>
              <w:bottom w:val="single" w:sz="4" w:space="0" w:color="000000"/>
              <w:right w:val="single" w:sz="4" w:space="0" w:color="000000"/>
            </w:tcBorders>
          </w:tcPr>
          <w:p w14:paraId="37CFC4DF" w14:textId="77777777" w:rsidR="00F80D48" w:rsidRPr="00513BE0" w:rsidRDefault="00F80D48" w:rsidP="00620617">
            <w:pPr>
              <w:rPr>
                <w:i/>
                <w:iCs/>
              </w:rPr>
            </w:pPr>
            <w:r w:rsidRPr="00513BE0">
              <w:rPr>
                <w:i/>
                <w:iCs/>
              </w:rPr>
              <w:t xml:space="preserve">Nivel 2 </w:t>
            </w:r>
          </w:p>
        </w:tc>
        <w:tc>
          <w:tcPr>
            <w:tcW w:w="2910" w:type="dxa"/>
            <w:tcBorders>
              <w:top w:val="single" w:sz="4" w:space="0" w:color="000000"/>
              <w:left w:val="single" w:sz="4" w:space="0" w:color="000000"/>
              <w:bottom w:val="single" w:sz="4" w:space="0" w:color="000000"/>
              <w:right w:val="single" w:sz="4" w:space="0" w:color="000000"/>
            </w:tcBorders>
          </w:tcPr>
          <w:p w14:paraId="38C083A4" w14:textId="77777777" w:rsidR="00F80D48" w:rsidRPr="00513BE0" w:rsidRDefault="00F80D48" w:rsidP="00620617">
            <w:pPr>
              <w:rPr>
                <w:i/>
                <w:iCs/>
              </w:rPr>
            </w:pPr>
            <w:r w:rsidRPr="00513BE0">
              <w:rPr>
                <w:i/>
                <w:iCs/>
              </w:rPr>
              <w:t xml:space="preserve">Nivel 1 o Nivel 2 </w:t>
            </w:r>
          </w:p>
        </w:tc>
      </w:tr>
      <w:tr w:rsidR="00F80D48" w:rsidRPr="00513BE0" w14:paraId="55C0EBA5" w14:textId="77777777" w:rsidTr="00620617">
        <w:trPr>
          <w:trHeight w:val="267"/>
        </w:trPr>
        <w:tc>
          <w:tcPr>
            <w:tcW w:w="1234" w:type="dxa"/>
            <w:tcBorders>
              <w:top w:val="single" w:sz="4" w:space="0" w:color="000000"/>
              <w:left w:val="single" w:sz="4" w:space="0" w:color="000000"/>
              <w:bottom w:val="single" w:sz="4" w:space="0" w:color="000000"/>
              <w:right w:val="single" w:sz="4" w:space="0" w:color="000000"/>
            </w:tcBorders>
          </w:tcPr>
          <w:p w14:paraId="726DF24A" w14:textId="77777777" w:rsidR="00F80D48" w:rsidRPr="00513BE0" w:rsidRDefault="00F80D48" w:rsidP="00620617">
            <w:pPr>
              <w:jc w:val="center"/>
              <w:rPr>
                <w:i/>
                <w:iCs/>
              </w:rPr>
            </w:pPr>
            <w:r w:rsidRPr="00513BE0">
              <w:rPr>
                <w:i/>
                <w:iCs/>
              </w:rPr>
              <w:t>C1</w:t>
            </w:r>
          </w:p>
        </w:tc>
        <w:tc>
          <w:tcPr>
            <w:tcW w:w="2558" w:type="dxa"/>
            <w:tcBorders>
              <w:top w:val="single" w:sz="4" w:space="0" w:color="000000"/>
              <w:left w:val="single" w:sz="4" w:space="0" w:color="000000"/>
              <w:bottom w:val="single" w:sz="4" w:space="0" w:color="000000"/>
              <w:right w:val="single" w:sz="4" w:space="0" w:color="000000"/>
            </w:tcBorders>
          </w:tcPr>
          <w:p w14:paraId="7EF5050E" w14:textId="77777777" w:rsidR="00F80D48" w:rsidRPr="00513BE0" w:rsidRDefault="00F80D48" w:rsidP="00620617">
            <w:pPr>
              <w:rPr>
                <w:i/>
                <w:iCs/>
              </w:rPr>
            </w:pPr>
            <w:r w:rsidRPr="00513BE0">
              <w:rPr>
                <w:i/>
                <w:iCs/>
              </w:rPr>
              <w:t xml:space="preserve">igual o menor a 90 días </w:t>
            </w:r>
          </w:p>
        </w:tc>
        <w:tc>
          <w:tcPr>
            <w:tcW w:w="1960" w:type="dxa"/>
            <w:tcBorders>
              <w:top w:val="single" w:sz="4" w:space="0" w:color="000000"/>
              <w:left w:val="single" w:sz="4" w:space="0" w:color="000000"/>
              <w:bottom w:val="single" w:sz="4" w:space="0" w:color="000000"/>
              <w:right w:val="single" w:sz="4" w:space="0" w:color="000000"/>
            </w:tcBorders>
          </w:tcPr>
          <w:p w14:paraId="18CFD3D0" w14:textId="77777777" w:rsidR="00F80D48" w:rsidRPr="00513BE0" w:rsidRDefault="00F80D48" w:rsidP="00620617">
            <w:pPr>
              <w:rPr>
                <w:i/>
                <w:iCs/>
              </w:rPr>
            </w:pPr>
            <w:r w:rsidRPr="00513BE0">
              <w:rPr>
                <w:i/>
                <w:iCs/>
              </w:rPr>
              <w:t xml:space="preserve">Nivel 1 </w:t>
            </w:r>
          </w:p>
        </w:tc>
        <w:tc>
          <w:tcPr>
            <w:tcW w:w="2910" w:type="dxa"/>
            <w:tcBorders>
              <w:top w:val="single" w:sz="4" w:space="0" w:color="000000"/>
              <w:left w:val="single" w:sz="4" w:space="0" w:color="000000"/>
              <w:bottom w:val="single" w:sz="4" w:space="0" w:color="000000"/>
              <w:right w:val="single" w:sz="4" w:space="0" w:color="000000"/>
            </w:tcBorders>
          </w:tcPr>
          <w:p w14:paraId="77FD916D" w14:textId="77777777" w:rsidR="00F80D48" w:rsidRPr="00513BE0" w:rsidRDefault="00F80D48" w:rsidP="00620617">
            <w:pPr>
              <w:rPr>
                <w:i/>
                <w:iCs/>
              </w:rPr>
            </w:pPr>
            <w:r w:rsidRPr="00513BE0">
              <w:rPr>
                <w:i/>
                <w:iCs/>
              </w:rPr>
              <w:t xml:space="preserve">Nivel 1 o Nivel 2 o Nivel 3 </w:t>
            </w:r>
          </w:p>
        </w:tc>
      </w:tr>
      <w:tr w:rsidR="00F80D48" w:rsidRPr="00513BE0" w14:paraId="1D430571" w14:textId="77777777" w:rsidTr="00620617">
        <w:trPr>
          <w:trHeight w:val="269"/>
        </w:trPr>
        <w:tc>
          <w:tcPr>
            <w:tcW w:w="1234" w:type="dxa"/>
            <w:tcBorders>
              <w:top w:val="single" w:sz="4" w:space="0" w:color="000000"/>
              <w:left w:val="single" w:sz="4" w:space="0" w:color="000000"/>
              <w:bottom w:val="single" w:sz="4" w:space="0" w:color="000000"/>
              <w:right w:val="single" w:sz="4" w:space="0" w:color="000000"/>
            </w:tcBorders>
          </w:tcPr>
          <w:p w14:paraId="651D0C41" w14:textId="77777777" w:rsidR="00F80D48" w:rsidRPr="00513BE0" w:rsidRDefault="00F80D48" w:rsidP="00620617">
            <w:pPr>
              <w:jc w:val="center"/>
              <w:rPr>
                <w:i/>
                <w:iCs/>
              </w:rPr>
            </w:pPr>
            <w:r w:rsidRPr="00513BE0">
              <w:rPr>
                <w:i/>
                <w:iCs/>
              </w:rPr>
              <w:t>C2</w:t>
            </w:r>
          </w:p>
        </w:tc>
        <w:tc>
          <w:tcPr>
            <w:tcW w:w="2558" w:type="dxa"/>
            <w:tcBorders>
              <w:top w:val="single" w:sz="4" w:space="0" w:color="000000"/>
              <w:left w:val="single" w:sz="4" w:space="0" w:color="000000"/>
              <w:bottom w:val="single" w:sz="4" w:space="0" w:color="000000"/>
              <w:right w:val="single" w:sz="4" w:space="0" w:color="000000"/>
            </w:tcBorders>
          </w:tcPr>
          <w:p w14:paraId="266C085C" w14:textId="77777777" w:rsidR="00F80D48" w:rsidRPr="00513BE0" w:rsidRDefault="00F80D48" w:rsidP="00620617">
            <w:pPr>
              <w:rPr>
                <w:i/>
                <w:iCs/>
              </w:rPr>
            </w:pPr>
            <w:r w:rsidRPr="00513BE0">
              <w:rPr>
                <w:i/>
                <w:iCs/>
              </w:rPr>
              <w:t xml:space="preserve">igual o menor a 90 días </w:t>
            </w:r>
          </w:p>
        </w:tc>
        <w:tc>
          <w:tcPr>
            <w:tcW w:w="1960" w:type="dxa"/>
            <w:tcBorders>
              <w:top w:val="single" w:sz="4" w:space="0" w:color="000000"/>
              <w:left w:val="single" w:sz="4" w:space="0" w:color="000000"/>
              <w:bottom w:val="single" w:sz="4" w:space="0" w:color="000000"/>
              <w:right w:val="single" w:sz="4" w:space="0" w:color="000000"/>
            </w:tcBorders>
          </w:tcPr>
          <w:p w14:paraId="198976BC" w14:textId="77777777" w:rsidR="00F80D48" w:rsidRPr="00513BE0" w:rsidRDefault="00F80D48" w:rsidP="00620617">
            <w:pPr>
              <w:rPr>
                <w:i/>
                <w:iCs/>
              </w:rPr>
            </w:pPr>
            <w:r w:rsidRPr="00513BE0">
              <w:rPr>
                <w:i/>
                <w:iCs/>
              </w:rPr>
              <w:t xml:space="preserve">Nivel 2 </w:t>
            </w:r>
          </w:p>
        </w:tc>
        <w:tc>
          <w:tcPr>
            <w:tcW w:w="2910" w:type="dxa"/>
            <w:tcBorders>
              <w:top w:val="single" w:sz="4" w:space="0" w:color="000000"/>
              <w:left w:val="single" w:sz="4" w:space="0" w:color="000000"/>
              <w:bottom w:val="single" w:sz="4" w:space="0" w:color="000000"/>
              <w:right w:val="single" w:sz="4" w:space="0" w:color="000000"/>
            </w:tcBorders>
          </w:tcPr>
          <w:p w14:paraId="499CBE72" w14:textId="77777777" w:rsidR="00F80D48" w:rsidRPr="00513BE0" w:rsidRDefault="00F80D48" w:rsidP="00620617">
            <w:pPr>
              <w:rPr>
                <w:i/>
                <w:iCs/>
              </w:rPr>
            </w:pPr>
            <w:r w:rsidRPr="00513BE0">
              <w:rPr>
                <w:i/>
                <w:iCs/>
              </w:rPr>
              <w:t xml:space="preserve">Nivel 1 o Nivel 2 o Nivel 3 </w:t>
            </w:r>
          </w:p>
        </w:tc>
      </w:tr>
      <w:tr w:rsidR="00F80D48" w:rsidRPr="00513BE0" w14:paraId="69EB31F8" w14:textId="77777777" w:rsidTr="00620617">
        <w:trPr>
          <w:trHeight w:val="267"/>
        </w:trPr>
        <w:tc>
          <w:tcPr>
            <w:tcW w:w="1234" w:type="dxa"/>
            <w:tcBorders>
              <w:top w:val="single" w:sz="4" w:space="0" w:color="000000"/>
              <w:left w:val="single" w:sz="4" w:space="0" w:color="000000"/>
              <w:bottom w:val="single" w:sz="4" w:space="0" w:color="000000"/>
              <w:right w:val="single" w:sz="4" w:space="0" w:color="000000"/>
            </w:tcBorders>
          </w:tcPr>
          <w:p w14:paraId="2F34745A" w14:textId="77777777" w:rsidR="00F80D48" w:rsidRPr="00513BE0" w:rsidRDefault="00F80D48" w:rsidP="00620617">
            <w:pPr>
              <w:jc w:val="center"/>
              <w:rPr>
                <w:i/>
                <w:iCs/>
              </w:rPr>
            </w:pPr>
            <w:r w:rsidRPr="00513BE0">
              <w:rPr>
                <w:i/>
                <w:iCs/>
              </w:rPr>
              <w:t>D</w:t>
            </w:r>
          </w:p>
        </w:tc>
        <w:tc>
          <w:tcPr>
            <w:tcW w:w="2558" w:type="dxa"/>
            <w:tcBorders>
              <w:top w:val="single" w:sz="4" w:space="0" w:color="000000"/>
              <w:left w:val="single" w:sz="4" w:space="0" w:color="000000"/>
              <w:bottom w:val="single" w:sz="4" w:space="0" w:color="000000"/>
              <w:right w:val="single" w:sz="4" w:space="0" w:color="000000"/>
            </w:tcBorders>
          </w:tcPr>
          <w:p w14:paraId="0A60724C" w14:textId="77777777" w:rsidR="00F80D48" w:rsidRPr="00513BE0" w:rsidRDefault="00F80D48" w:rsidP="00620617">
            <w:pPr>
              <w:rPr>
                <w:i/>
                <w:iCs/>
              </w:rPr>
            </w:pPr>
            <w:r w:rsidRPr="00513BE0">
              <w:rPr>
                <w:i/>
                <w:iCs/>
              </w:rPr>
              <w:t xml:space="preserve">igual o menor a 120 días </w:t>
            </w:r>
          </w:p>
        </w:tc>
        <w:tc>
          <w:tcPr>
            <w:tcW w:w="1960" w:type="dxa"/>
            <w:tcBorders>
              <w:top w:val="single" w:sz="4" w:space="0" w:color="000000"/>
              <w:left w:val="single" w:sz="4" w:space="0" w:color="000000"/>
              <w:bottom w:val="single" w:sz="4" w:space="0" w:color="000000"/>
              <w:right w:val="single" w:sz="4" w:space="0" w:color="000000"/>
            </w:tcBorders>
          </w:tcPr>
          <w:p w14:paraId="310D79AB" w14:textId="77777777" w:rsidR="00F80D48" w:rsidRPr="00513BE0" w:rsidRDefault="00F80D48" w:rsidP="00620617">
            <w:pPr>
              <w:rPr>
                <w:i/>
                <w:iCs/>
              </w:rPr>
            </w:pPr>
            <w:r w:rsidRPr="00513BE0">
              <w:rPr>
                <w:i/>
                <w:iCs/>
              </w:rPr>
              <w:t xml:space="preserve">Nivel 1 o Nivel 2 </w:t>
            </w:r>
          </w:p>
        </w:tc>
        <w:tc>
          <w:tcPr>
            <w:tcW w:w="2910" w:type="dxa"/>
            <w:tcBorders>
              <w:top w:val="single" w:sz="4" w:space="0" w:color="000000"/>
              <w:left w:val="single" w:sz="4" w:space="0" w:color="000000"/>
              <w:bottom w:val="single" w:sz="4" w:space="0" w:color="000000"/>
              <w:right w:val="single" w:sz="4" w:space="0" w:color="000000"/>
            </w:tcBorders>
          </w:tcPr>
          <w:p w14:paraId="6D016777" w14:textId="77777777" w:rsidR="00F80D48" w:rsidRPr="00513BE0" w:rsidRDefault="00F80D48" w:rsidP="00620617">
            <w:pPr>
              <w:rPr>
                <w:i/>
                <w:iCs/>
              </w:rPr>
            </w:pPr>
            <w:r w:rsidRPr="00513BE0">
              <w:rPr>
                <w:i/>
                <w:iCs/>
              </w:rPr>
              <w:t xml:space="preserve">Nivel 1 o Nivel 2 o Nivel 3 o Nivel 4 </w:t>
            </w:r>
          </w:p>
        </w:tc>
      </w:tr>
    </w:tbl>
    <w:p w14:paraId="7EE8ED1A" w14:textId="77777777" w:rsidR="00F80D48" w:rsidRPr="00513BE0" w:rsidRDefault="00F80D48" w:rsidP="00F80D48">
      <w:pPr>
        <w:rPr>
          <w:b/>
          <w:bCs/>
          <w:sz w:val="22"/>
          <w:szCs w:val="22"/>
        </w:rPr>
      </w:pPr>
    </w:p>
    <w:p w14:paraId="48DD01DF" w14:textId="77777777" w:rsidR="00F80D48" w:rsidRPr="00513BE0" w:rsidRDefault="00F80D48" w:rsidP="00F80D48">
      <w:pPr>
        <w:ind w:left="720"/>
        <w:jc w:val="both"/>
        <w:rPr>
          <w:rFonts w:eastAsia="Calibri"/>
          <w:i/>
          <w:iCs/>
          <w:sz w:val="22"/>
          <w:szCs w:val="22"/>
          <w:lang w:eastAsia="en-US"/>
        </w:rPr>
      </w:pPr>
      <w:r w:rsidRPr="00513BE0">
        <w:rPr>
          <w:rFonts w:eastAsia="Calibri"/>
          <w:i/>
          <w:iCs/>
          <w:sz w:val="22"/>
          <w:szCs w:val="22"/>
          <w:lang w:eastAsia="en-US"/>
        </w:rPr>
        <w:t>El deudor clasificado en el Grupo 2 debe ser calificado por la entidad de acuerdo con los parámetros: morosidad máxima del deudor en la entidad, determinada al cierre del mes en curso; y el comportamiento de pago histórico, según el siguiente cuadro:</w:t>
      </w:r>
    </w:p>
    <w:p w14:paraId="619D9290" w14:textId="77777777" w:rsidR="00F80D48" w:rsidRPr="00513BE0" w:rsidRDefault="00F80D48" w:rsidP="00F80D48">
      <w:pPr>
        <w:ind w:left="720"/>
        <w:jc w:val="both"/>
        <w:rPr>
          <w:rFonts w:eastAsia="Calibri"/>
          <w:i/>
          <w:iCs/>
          <w:sz w:val="22"/>
          <w:szCs w:val="22"/>
          <w:lang w:eastAsia="en-US"/>
        </w:rPr>
      </w:pPr>
    </w:p>
    <w:tbl>
      <w:tblPr>
        <w:tblStyle w:val="TableGrid1"/>
        <w:tblW w:w="6306" w:type="dxa"/>
        <w:jc w:val="center"/>
        <w:tblInd w:w="0" w:type="dxa"/>
        <w:tblLayout w:type="fixed"/>
        <w:tblCellMar>
          <w:left w:w="142" w:type="dxa"/>
          <w:right w:w="115" w:type="dxa"/>
        </w:tblCellMar>
        <w:tblLook w:val="04A0" w:firstRow="1" w:lastRow="0" w:firstColumn="1" w:lastColumn="0" w:noHBand="0" w:noVBand="1"/>
      </w:tblPr>
      <w:tblGrid>
        <w:gridCol w:w="1318"/>
        <w:gridCol w:w="2903"/>
        <w:gridCol w:w="2085"/>
      </w:tblGrid>
      <w:tr w:rsidR="00F80D48" w:rsidRPr="00513BE0" w14:paraId="0E3B6859" w14:textId="77777777" w:rsidTr="00620617">
        <w:trPr>
          <w:trHeight w:val="564"/>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D0CECE"/>
          </w:tcPr>
          <w:p w14:paraId="750C943F" w14:textId="77777777" w:rsidR="00F80D48" w:rsidRPr="00513BE0" w:rsidRDefault="00F80D48" w:rsidP="00620617">
            <w:pPr>
              <w:jc w:val="center"/>
              <w:rPr>
                <w:b/>
                <w:i/>
                <w:iCs/>
              </w:rPr>
            </w:pPr>
            <w:r w:rsidRPr="00513BE0">
              <w:rPr>
                <w:b/>
                <w:i/>
                <w:iCs/>
              </w:rPr>
              <w:t xml:space="preserve">Categoría de riesgo </w:t>
            </w:r>
          </w:p>
        </w:tc>
        <w:tc>
          <w:tcPr>
            <w:tcW w:w="2903"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EA03157" w14:textId="77777777" w:rsidR="00F80D48" w:rsidRPr="00513BE0" w:rsidRDefault="00F80D48" w:rsidP="00620617">
            <w:pPr>
              <w:jc w:val="center"/>
              <w:rPr>
                <w:b/>
                <w:i/>
                <w:iCs/>
              </w:rPr>
            </w:pPr>
            <w:r w:rsidRPr="00513BE0">
              <w:rPr>
                <w:b/>
                <w:i/>
                <w:iCs/>
              </w:rPr>
              <w:t xml:space="preserve">Morosidad </w:t>
            </w:r>
          </w:p>
        </w:tc>
        <w:tc>
          <w:tcPr>
            <w:tcW w:w="2085" w:type="dxa"/>
            <w:tcBorders>
              <w:top w:val="single" w:sz="4" w:space="0" w:color="000000"/>
              <w:left w:val="single" w:sz="4" w:space="0" w:color="000000"/>
              <w:bottom w:val="single" w:sz="4" w:space="0" w:color="000000"/>
              <w:right w:val="single" w:sz="4" w:space="0" w:color="000000"/>
            </w:tcBorders>
            <w:shd w:val="clear" w:color="auto" w:fill="D0CECE"/>
          </w:tcPr>
          <w:p w14:paraId="6291CB91" w14:textId="77777777" w:rsidR="00F80D48" w:rsidRPr="00513BE0" w:rsidRDefault="00F80D48" w:rsidP="00620617">
            <w:pPr>
              <w:jc w:val="center"/>
              <w:rPr>
                <w:b/>
                <w:i/>
                <w:iCs/>
              </w:rPr>
            </w:pPr>
            <w:r w:rsidRPr="00513BE0">
              <w:rPr>
                <w:b/>
                <w:i/>
                <w:iCs/>
              </w:rPr>
              <w:t xml:space="preserve">Comportamiento de pago histórico </w:t>
            </w:r>
          </w:p>
        </w:tc>
      </w:tr>
      <w:tr w:rsidR="00F80D48" w:rsidRPr="00513BE0" w14:paraId="62877A31" w14:textId="77777777" w:rsidTr="00620617">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181EDCAD" w14:textId="77777777" w:rsidR="00F80D48" w:rsidRPr="00513BE0" w:rsidRDefault="00F80D48" w:rsidP="00620617">
            <w:pPr>
              <w:jc w:val="center"/>
              <w:rPr>
                <w:i/>
                <w:iCs/>
              </w:rPr>
            </w:pPr>
            <w:r w:rsidRPr="00513BE0">
              <w:rPr>
                <w:i/>
                <w:iCs/>
              </w:rPr>
              <w:t>A1</w:t>
            </w:r>
          </w:p>
        </w:tc>
        <w:tc>
          <w:tcPr>
            <w:tcW w:w="2903" w:type="dxa"/>
            <w:tcBorders>
              <w:top w:val="single" w:sz="4" w:space="0" w:color="000000"/>
              <w:left w:val="single" w:sz="4" w:space="0" w:color="000000"/>
              <w:bottom w:val="single" w:sz="4" w:space="0" w:color="000000"/>
              <w:right w:val="single" w:sz="4" w:space="0" w:color="000000"/>
            </w:tcBorders>
          </w:tcPr>
          <w:p w14:paraId="7304911E" w14:textId="77777777" w:rsidR="00F80D48" w:rsidRPr="00513BE0" w:rsidRDefault="00F80D48" w:rsidP="00620617">
            <w:pPr>
              <w:rPr>
                <w:i/>
                <w:iCs/>
              </w:rPr>
            </w:pPr>
            <w:r w:rsidRPr="00513BE0">
              <w:rPr>
                <w:i/>
                <w:iCs/>
              </w:rPr>
              <w:t xml:space="preserve">igual o menor a 30 días </w:t>
            </w:r>
          </w:p>
        </w:tc>
        <w:tc>
          <w:tcPr>
            <w:tcW w:w="2085" w:type="dxa"/>
            <w:tcBorders>
              <w:top w:val="single" w:sz="4" w:space="0" w:color="000000"/>
              <w:left w:val="single" w:sz="4" w:space="0" w:color="000000"/>
              <w:bottom w:val="single" w:sz="4" w:space="0" w:color="000000"/>
              <w:right w:val="single" w:sz="4" w:space="0" w:color="000000"/>
            </w:tcBorders>
          </w:tcPr>
          <w:p w14:paraId="1140158D" w14:textId="77777777" w:rsidR="00F80D48" w:rsidRPr="00513BE0" w:rsidRDefault="00F80D48" w:rsidP="00620617">
            <w:pPr>
              <w:rPr>
                <w:i/>
                <w:iCs/>
              </w:rPr>
            </w:pPr>
            <w:r w:rsidRPr="00513BE0">
              <w:rPr>
                <w:i/>
                <w:iCs/>
              </w:rPr>
              <w:t xml:space="preserve">Nivel 1 </w:t>
            </w:r>
          </w:p>
        </w:tc>
      </w:tr>
      <w:tr w:rsidR="00F80D48" w:rsidRPr="00513BE0" w14:paraId="76D8FBF9" w14:textId="77777777" w:rsidTr="00620617">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02679DF2" w14:textId="77777777" w:rsidR="00F80D48" w:rsidRPr="00513BE0" w:rsidRDefault="00F80D48" w:rsidP="00620617">
            <w:pPr>
              <w:jc w:val="center"/>
              <w:rPr>
                <w:i/>
                <w:iCs/>
              </w:rPr>
            </w:pPr>
            <w:r w:rsidRPr="00513BE0">
              <w:rPr>
                <w:i/>
                <w:iCs/>
              </w:rPr>
              <w:t>A2</w:t>
            </w:r>
          </w:p>
        </w:tc>
        <w:tc>
          <w:tcPr>
            <w:tcW w:w="2903" w:type="dxa"/>
            <w:tcBorders>
              <w:top w:val="single" w:sz="4" w:space="0" w:color="000000"/>
              <w:left w:val="single" w:sz="4" w:space="0" w:color="000000"/>
              <w:bottom w:val="single" w:sz="4" w:space="0" w:color="000000"/>
              <w:right w:val="single" w:sz="4" w:space="0" w:color="000000"/>
            </w:tcBorders>
          </w:tcPr>
          <w:p w14:paraId="5C22EEDB" w14:textId="77777777" w:rsidR="00F80D48" w:rsidRPr="00513BE0" w:rsidRDefault="00F80D48" w:rsidP="00620617">
            <w:pPr>
              <w:rPr>
                <w:i/>
                <w:iCs/>
              </w:rPr>
            </w:pPr>
            <w:r w:rsidRPr="00513BE0">
              <w:rPr>
                <w:i/>
                <w:iCs/>
              </w:rPr>
              <w:t xml:space="preserve">igual o menor a 30 días </w:t>
            </w:r>
          </w:p>
        </w:tc>
        <w:tc>
          <w:tcPr>
            <w:tcW w:w="2085" w:type="dxa"/>
            <w:tcBorders>
              <w:top w:val="single" w:sz="4" w:space="0" w:color="000000"/>
              <w:left w:val="single" w:sz="4" w:space="0" w:color="000000"/>
              <w:bottom w:val="single" w:sz="4" w:space="0" w:color="000000"/>
              <w:right w:val="single" w:sz="4" w:space="0" w:color="000000"/>
            </w:tcBorders>
          </w:tcPr>
          <w:p w14:paraId="43322C44" w14:textId="77777777" w:rsidR="00F80D48" w:rsidRPr="00513BE0" w:rsidRDefault="00F80D48" w:rsidP="00620617">
            <w:pPr>
              <w:rPr>
                <w:i/>
                <w:iCs/>
              </w:rPr>
            </w:pPr>
            <w:r w:rsidRPr="00513BE0">
              <w:rPr>
                <w:i/>
                <w:iCs/>
              </w:rPr>
              <w:t xml:space="preserve">Nivel 2 </w:t>
            </w:r>
          </w:p>
        </w:tc>
      </w:tr>
      <w:tr w:rsidR="00F80D48" w:rsidRPr="00513BE0" w14:paraId="5FB73DE9" w14:textId="77777777" w:rsidTr="00620617">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7D478666" w14:textId="77777777" w:rsidR="00F80D48" w:rsidRPr="00513BE0" w:rsidRDefault="00F80D48" w:rsidP="00620617">
            <w:pPr>
              <w:jc w:val="center"/>
              <w:rPr>
                <w:i/>
                <w:iCs/>
              </w:rPr>
            </w:pPr>
            <w:r w:rsidRPr="00513BE0">
              <w:rPr>
                <w:i/>
                <w:iCs/>
              </w:rPr>
              <w:t>B1</w:t>
            </w:r>
          </w:p>
        </w:tc>
        <w:tc>
          <w:tcPr>
            <w:tcW w:w="2903" w:type="dxa"/>
            <w:tcBorders>
              <w:top w:val="single" w:sz="4" w:space="0" w:color="000000"/>
              <w:left w:val="single" w:sz="4" w:space="0" w:color="000000"/>
              <w:bottom w:val="single" w:sz="4" w:space="0" w:color="000000"/>
              <w:right w:val="single" w:sz="4" w:space="0" w:color="000000"/>
            </w:tcBorders>
          </w:tcPr>
          <w:p w14:paraId="3BFBFC81" w14:textId="77777777" w:rsidR="00F80D48" w:rsidRPr="00513BE0" w:rsidRDefault="00F80D48" w:rsidP="00620617">
            <w:pPr>
              <w:rPr>
                <w:i/>
                <w:iCs/>
              </w:rPr>
            </w:pPr>
            <w:r w:rsidRPr="00513BE0">
              <w:rPr>
                <w:i/>
                <w:iCs/>
              </w:rPr>
              <w:t xml:space="preserve">igual o menor a 60 días </w:t>
            </w:r>
          </w:p>
        </w:tc>
        <w:tc>
          <w:tcPr>
            <w:tcW w:w="2085" w:type="dxa"/>
            <w:tcBorders>
              <w:top w:val="single" w:sz="4" w:space="0" w:color="000000"/>
              <w:left w:val="single" w:sz="4" w:space="0" w:color="000000"/>
              <w:bottom w:val="single" w:sz="4" w:space="0" w:color="000000"/>
              <w:right w:val="single" w:sz="4" w:space="0" w:color="000000"/>
            </w:tcBorders>
          </w:tcPr>
          <w:p w14:paraId="4D12A7AC" w14:textId="77777777" w:rsidR="00F80D48" w:rsidRPr="00513BE0" w:rsidRDefault="00F80D48" w:rsidP="00620617">
            <w:pPr>
              <w:rPr>
                <w:i/>
                <w:iCs/>
              </w:rPr>
            </w:pPr>
            <w:r w:rsidRPr="00513BE0">
              <w:rPr>
                <w:i/>
                <w:iCs/>
              </w:rPr>
              <w:t xml:space="preserve">Nivel 1 </w:t>
            </w:r>
          </w:p>
        </w:tc>
      </w:tr>
      <w:tr w:rsidR="00F80D48" w:rsidRPr="00513BE0" w14:paraId="3DB09B69" w14:textId="77777777" w:rsidTr="00620617">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13CEF7FA" w14:textId="77777777" w:rsidR="00F80D48" w:rsidRPr="00513BE0" w:rsidRDefault="00F80D48" w:rsidP="00620617">
            <w:pPr>
              <w:jc w:val="center"/>
              <w:rPr>
                <w:i/>
                <w:iCs/>
              </w:rPr>
            </w:pPr>
            <w:r w:rsidRPr="00513BE0">
              <w:rPr>
                <w:i/>
                <w:iCs/>
              </w:rPr>
              <w:lastRenderedPageBreak/>
              <w:t>B2</w:t>
            </w:r>
          </w:p>
        </w:tc>
        <w:tc>
          <w:tcPr>
            <w:tcW w:w="2903" w:type="dxa"/>
            <w:tcBorders>
              <w:top w:val="single" w:sz="4" w:space="0" w:color="000000"/>
              <w:left w:val="single" w:sz="4" w:space="0" w:color="000000"/>
              <w:bottom w:val="single" w:sz="4" w:space="0" w:color="000000"/>
              <w:right w:val="single" w:sz="4" w:space="0" w:color="000000"/>
            </w:tcBorders>
          </w:tcPr>
          <w:p w14:paraId="060BED9E" w14:textId="77777777" w:rsidR="00F80D48" w:rsidRPr="00513BE0" w:rsidRDefault="00F80D48" w:rsidP="00620617">
            <w:pPr>
              <w:rPr>
                <w:i/>
                <w:iCs/>
              </w:rPr>
            </w:pPr>
            <w:r w:rsidRPr="00513BE0">
              <w:rPr>
                <w:i/>
                <w:iCs/>
              </w:rPr>
              <w:t xml:space="preserve">igual o menor a 60 días </w:t>
            </w:r>
          </w:p>
        </w:tc>
        <w:tc>
          <w:tcPr>
            <w:tcW w:w="2085" w:type="dxa"/>
            <w:tcBorders>
              <w:top w:val="single" w:sz="4" w:space="0" w:color="000000"/>
              <w:left w:val="single" w:sz="4" w:space="0" w:color="000000"/>
              <w:bottom w:val="single" w:sz="4" w:space="0" w:color="000000"/>
              <w:right w:val="single" w:sz="4" w:space="0" w:color="000000"/>
            </w:tcBorders>
          </w:tcPr>
          <w:p w14:paraId="12A777EE" w14:textId="77777777" w:rsidR="00F80D48" w:rsidRPr="00513BE0" w:rsidRDefault="00F80D48" w:rsidP="00620617">
            <w:pPr>
              <w:rPr>
                <w:i/>
                <w:iCs/>
              </w:rPr>
            </w:pPr>
            <w:r w:rsidRPr="00513BE0">
              <w:rPr>
                <w:i/>
                <w:iCs/>
              </w:rPr>
              <w:t xml:space="preserve">Nivel 2 </w:t>
            </w:r>
          </w:p>
        </w:tc>
      </w:tr>
      <w:tr w:rsidR="00F80D48" w:rsidRPr="00513BE0" w14:paraId="7BC57DCF" w14:textId="77777777" w:rsidTr="00620617">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3B46DC98" w14:textId="77777777" w:rsidR="00F80D48" w:rsidRPr="00513BE0" w:rsidRDefault="00F80D48" w:rsidP="00620617">
            <w:pPr>
              <w:jc w:val="center"/>
              <w:rPr>
                <w:i/>
                <w:iCs/>
              </w:rPr>
            </w:pPr>
            <w:r w:rsidRPr="00513BE0">
              <w:rPr>
                <w:i/>
                <w:iCs/>
              </w:rPr>
              <w:t>C1</w:t>
            </w:r>
          </w:p>
        </w:tc>
        <w:tc>
          <w:tcPr>
            <w:tcW w:w="2903" w:type="dxa"/>
            <w:tcBorders>
              <w:top w:val="single" w:sz="4" w:space="0" w:color="000000"/>
              <w:left w:val="single" w:sz="4" w:space="0" w:color="000000"/>
              <w:bottom w:val="single" w:sz="4" w:space="0" w:color="000000"/>
              <w:right w:val="single" w:sz="4" w:space="0" w:color="000000"/>
            </w:tcBorders>
          </w:tcPr>
          <w:p w14:paraId="288977B4" w14:textId="77777777" w:rsidR="00F80D48" w:rsidRPr="00513BE0" w:rsidRDefault="00F80D48" w:rsidP="00620617">
            <w:pPr>
              <w:rPr>
                <w:i/>
                <w:iCs/>
              </w:rPr>
            </w:pPr>
            <w:r w:rsidRPr="00513BE0">
              <w:rPr>
                <w:i/>
                <w:iCs/>
              </w:rPr>
              <w:t xml:space="preserve">igual o menor a 90 días </w:t>
            </w:r>
          </w:p>
        </w:tc>
        <w:tc>
          <w:tcPr>
            <w:tcW w:w="2085" w:type="dxa"/>
            <w:tcBorders>
              <w:top w:val="single" w:sz="4" w:space="0" w:color="000000"/>
              <w:left w:val="single" w:sz="4" w:space="0" w:color="000000"/>
              <w:bottom w:val="single" w:sz="4" w:space="0" w:color="000000"/>
              <w:right w:val="single" w:sz="4" w:space="0" w:color="000000"/>
            </w:tcBorders>
          </w:tcPr>
          <w:p w14:paraId="3CC20EFB" w14:textId="77777777" w:rsidR="00F80D48" w:rsidRPr="00513BE0" w:rsidRDefault="00F80D48" w:rsidP="00620617">
            <w:pPr>
              <w:rPr>
                <w:i/>
                <w:iCs/>
              </w:rPr>
            </w:pPr>
            <w:r w:rsidRPr="00513BE0">
              <w:rPr>
                <w:i/>
                <w:iCs/>
              </w:rPr>
              <w:t xml:space="preserve">Nivel 1 </w:t>
            </w:r>
          </w:p>
        </w:tc>
      </w:tr>
      <w:tr w:rsidR="00F80D48" w:rsidRPr="00513BE0" w14:paraId="08D57C96" w14:textId="77777777" w:rsidTr="00620617">
        <w:trPr>
          <w:trHeight w:val="288"/>
          <w:jc w:val="center"/>
        </w:trPr>
        <w:tc>
          <w:tcPr>
            <w:tcW w:w="1318" w:type="dxa"/>
            <w:tcBorders>
              <w:top w:val="single" w:sz="4" w:space="0" w:color="000000"/>
              <w:left w:val="single" w:sz="4" w:space="0" w:color="000000"/>
              <w:bottom w:val="single" w:sz="4" w:space="0" w:color="000000"/>
              <w:right w:val="single" w:sz="4" w:space="0" w:color="000000"/>
            </w:tcBorders>
          </w:tcPr>
          <w:p w14:paraId="62786B1A" w14:textId="77777777" w:rsidR="00F80D48" w:rsidRPr="00513BE0" w:rsidRDefault="00F80D48" w:rsidP="00620617">
            <w:pPr>
              <w:jc w:val="center"/>
              <w:rPr>
                <w:i/>
                <w:iCs/>
              </w:rPr>
            </w:pPr>
            <w:r w:rsidRPr="00513BE0">
              <w:rPr>
                <w:i/>
                <w:iCs/>
              </w:rPr>
              <w:t>C2</w:t>
            </w:r>
          </w:p>
        </w:tc>
        <w:tc>
          <w:tcPr>
            <w:tcW w:w="2903" w:type="dxa"/>
            <w:tcBorders>
              <w:top w:val="single" w:sz="4" w:space="0" w:color="000000"/>
              <w:left w:val="single" w:sz="4" w:space="0" w:color="000000"/>
              <w:bottom w:val="single" w:sz="4" w:space="0" w:color="000000"/>
              <w:right w:val="single" w:sz="4" w:space="0" w:color="000000"/>
            </w:tcBorders>
          </w:tcPr>
          <w:p w14:paraId="40B1BCDB" w14:textId="77777777" w:rsidR="00F80D48" w:rsidRPr="00513BE0" w:rsidRDefault="00F80D48" w:rsidP="00620617">
            <w:pPr>
              <w:rPr>
                <w:i/>
                <w:iCs/>
              </w:rPr>
            </w:pPr>
            <w:r w:rsidRPr="00513BE0">
              <w:rPr>
                <w:i/>
                <w:iCs/>
              </w:rPr>
              <w:t xml:space="preserve">igual o menor a 90 días </w:t>
            </w:r>
          </w:p>
        </w:tc>
        <w:tc>
          <w:tcPr>
            <w:tcW w:w="2085" w:type="dxa"/>
            <w:tcBorders>
              <w:top w:val="single" w:sz="4" w:space="0" w:color="000000"/>
              <w:left w:val="single" w:sz="4" w:space="0" w:color="000000"/>
              <w:bottom w:val="single" w:sz="4" w:space="0" w:color="000000"/>
              <w:right w:val="single" w:sz="4" w:space="0" w:color="000000"/>
            </w:tcBorders>
          </w:tcPr>
          <w:p w14:paraId="7DA6F36C" w14:textId="77777777" w:rsidR="00F80D48" w:rsidRPr="00513BE0" w:rsidRDefault="00F80D48" w:rsidP="00620617">
            <w:pPr>
              <w:rPr>
                <w:i/>
                <w:iCs/>
              </w:rPr>
            </w:pPr>
            <w:r w:rsidRPr="00513BE0">
              <w:rPr>
                <w:i/>
                <w:iCs/>
              </w:rPr>
              <w:t xml:space="preserve">Nivel 2 </w:t>
            </w:r>
          </w:p>
        </w:tc>
      </w:tr>
      <w:tr w:rsidR="00F80D48" w:rsidRPr="00513BE0" w14:paraId="6212680F" w14:textId="77777777" w:rsidTr="00620617">
        <w:trPr>
          <w:trHeight w:val="286"/>
          <w:jc w:val="center"/>
        </w:trPr>
        <w:tc>
          <w:tcPr>
            <w:tcW w:w="1318" w:type="dxa"/>
            <w:tcBorders>
              <w:top w:val="single" w:sz="4" w:space="0" w:color="000000"/>
              <w:left w:val="single" w:sz="4" w:space="0" w:color="000000"/>
              <w:bottom w:val="single" w:sz="4" w:space="0" w:color="000000"/>
              <w:right w:val="single" w:sz="4" w:space="0" w:color="000000"/>
            </w:tcBorders>
          </w:tcPr>
          <w:p w14:paraId="01192DD5" w14:textId="77777777" w:rsidR="00F80D48" w:rsidRPr="00513BE0" w:rsidRDefault="00F80D48" w:rsidP="00620617">
            <w:pPr>
              <w:jc w:val="center"/>
              <w:rPr>
                <w:i/>
                <w:iCs/>
              </w:rPr>
            </w:pPr>
            <w:r>
              <w:rPr>
                <w:i/>
                <w:iCs/>
              </w:rPr>
              <w:t>Dólares</w:t>
            </w:r>
          </w:p>
        </w:tc>
        <w:tc>
          <w:tcPr>
            <w:tcW w:w="2903" w:type="dxa"/>
            <w:tcBorders>
              <w:top w:val="single" w:sz="4" w:space="0" w:color="000000"/>
              <w:left w:val="single" w:sz="4" w:space="0" w:color="000000"/>
              <w:bottom w:val="single" w:sz="4" w:space="0" w:color="000000"/>
              <w:right w:val="single" w:sz="4" w:space="0" w:color="000000"/>
            </w:tcBorders>
          </w:tcPr>
          <w:p w14:paraId="3E0005B8" w14:textId="77777777" w:rsidR="00F80D48" w:rsidRPr="00513BE0" w:rsidRDefault="00F80D48" w:rsidP="00620617">
            <w:pPr>
              <w:rPr>
                <w:i/>
                <w:iCs/>
              </w:rPr>
            </w:pPr>
            <w:r w:rsidRPr="00513BE0">
              <w:rPr>
                <w:i/>
                <w:iCs/>
              </w:rPr>
              <w:t xml:space="preserve">igual o menor a 120 días </w:t>
            </w:r>
          </w:p>
        </w:tc>
        <w:tc>
          <w:tcPr>
            <w:tcW w:w="2085" w:type="dxa"/>
            <w:tcBorders>
              <w:top w:val="single" w:sz="4" w:space="0" w:color="000000"/>
              <w:left w:val="single" w:sz="4" w:space="0" w:color="000000"/>
              <w:bottom w:val="single" w:sz="4" w:space="0" w:color="000000"/>
              <w:right w:val="single" w:sz="4" w:space="0" w:color="000000"/>
            </w:tcBorders>
          </w:tcPr>
          <w:p w14:paraId="21E8264F" w14:textId="77777777" w:rsidR="00F80D48" w:rsidRPr="00513BE0" w:rsidRDefault="00F80D48" w:rsidP="00620617">
            <w:pPr>
              <w:rPr>
                <w:i/>
                <w:iCs/>
              </w:rPr>
            </w:pPr>
            <w:r w:rsidRPr="00513BE0">
              <w:rPr>
                <w:i/>
                <w:iCs/>
              </w:rPr>
              <w:t xml:space="preserve">Nivel 1 o Nivel 2 </w:t>
            </w:r>
          </w:p>
        </w:tc>
      </w:tr>
    </w:tbl>
    <w:p w14:paraId="772EEC99" w14:textId="77777777" w:rsidR="00F80D48" w:rsidRPr="00513BE0" w:rsidRDefault="00F80D48" w:rsidP="00F80D48">
      <w:pPr>
        <w:ind w:left="494" w:firstLine="214"/>
        <w:rPr>
          <w:sz w:val="22"/>
          <w:szCs w:val="22"/>
        </w:rPr>
      </w:pPr>
      <w:r w:rsidRPr="00513BE0">
        <w:rPr>
          <w:sz w:val="22"/>
          <w:szCs w:val="22"/>
        </w:rPr>
        <w:t>[…]</w:t>
      </w:r>
      <w:r w:rsidRPr="00513BE0">
        <w:rPr>
          <w:i/>
          <w:iCs/>
          <w:sz w:val="22"/>
          <w:szCs w:val="22"/>
        </w:rPr>
        <w:t>'</w:t>
      </w:r>
    </w:p>
    <w:p w14:paraId="5E37B206" w14:textId="77777777" w:rsidR="00F80D48" w:rsidRPr="00513BE0" w:rsidRDefault="00F80D48" w:rsidP="00F80D48">
      <w:pPr>
        <w:ind w:left="720"/>
        <w:rPr>
          <w:rFonts w:eastAsia="Calibri"/>
          <w:b/>
          <w:bCs/>
          <w:sz w:val="22"/>
          <w:szCs w:val="22"/>
          <w:lang w:eastAsia="en-US"/>
        </w:rPr>
      </w:pPr>
    </w:p>
    <w:p w14:paraId="19B5878B" w14:textId="77777777" w:rsidR="00F80D48" w:rsidRPr="00513BE0" w:rsidRDefault="00F80D48" w:rsidP="00F80D48">
      <w:pPr>
        <w:spacing w:after="160" w:line="259" w:lineRule="auto"/>
        <w:ind w:left="708" w:hanging="282"/>
        <w:contextualSpacing/>
        <w:jc w:val="both"/>
        <w:rPr>
          <w:b/>
          <w:bCs/>
          <w:sz w:val="22"/>
          <w:szCs w:val="22"/>
        </w:rPr>
      </w:pPr>
      <w:r w:rsidRPr="00513BE0">
        <w:rPr>
          <w:b/>
          <w:bCs/>
          <w:sz w:val="22"/>
          <w:szCs w:val="22"/>
        </w:rPr>
        <w:t>3.</w:t>
      </w:r>
      <w:r w:rsidRPr="00513BE0">
        <w:rPr>
          <w:b/>
          <w:bCs/>
          <w:sz w:val="22"/>
          <w:szCs w:val="22"/>
        </w:rPr>
        <w:tab/>
        <w:t>Modificar el segundo cuadro del Artículo 12. Estimación mínima, de acuerdo con el siguiente texto:</w:t>
      </w:r>
    </w:p>
    <w:p w14:paraId="641DA088" w14:textId="77777777" w:rsidR="00F80D48" w:rsidRPr="00513BE0" w:rsidRDefault="00F80D48" w:rsidP="00F80D48">
      <w:pPr>
        <w:ind w:left="720"/>
        <w:rPr>
          <w:rFonts w:eastAsia="Calibri"/>
          <w:sz w:val="22"/>
          <w:szCs w:val="22"/>
          <w:lang w:eastAsia="en-US"/>
        </w:rPr>
      </w:pPr>
      <w:r w:rsidRPr="00513BE0">
        <w:rPr>
          <w:rFonts w:eastAsia="Calibri"/>
          <w:sz w:val="22"/>
          <w:szCs w:val="22"/>
          <w:lang w:eastAsia="en-US"/>
        </w:rPr>
        <w:t>'</w:t>
      </w:r>
    </w:p>
    <w:tbl>
      <w:tblPr>
        <w:tblW w:w="7801" w:type="dxa"/>
        <w:tblInd w:w="1252" w:type="dxa"/>
        <w:tblCellMar>
          <w:left w:w="0" w:type="dxa"/>
          <w:right w:w="0" w:type="dxa"/>
        </w:tblCellMar>
        <w:tblLook w:val="0420" w:firstRow="1" w:lastRow="0" w:firstColumn="0" w:lastColumn="0" w:noHBand="0" w:noVBand="1"/>
      </w:tblPr>
      <w:tblGrid>
        <w:gridCol w:w="1833"/>
        <w:gridCol w:w="2268"/>
        <w:gridCol w:w="2126"/>
        <w:gridCol w:w="1574"/>
      </w:tblGrid>
      <w:tr w:rsidR="00F80D48" w:rsidRPr="00513BE0" w14:paraId="13372F98" w14:textId="77777777" w:rsidTr="00620617">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5FA474B8" w14:textId="77777777" w:rsidR="00F80D48" w:rsidRPr="00513BE0" w:rsidRDefault="00F80D48" w:rsidP="00620617">
            <w:pPr>
              <w:jc w:val="center"/>
              <w:rPr>
                <w:i/>
                <w:iCs/>
                <w:sz w:val="22"/>
                <w:szCs w:val="22"/>
              </w:rPr>
            </w:pPr>
            <w:bookmarkStart w:id="1" w:name="_Hlk116895525"/>
            <w:r w:rsidRPr="00513BE0">
              <w:rPr>
                <w:b/>
                <w:bCs/>
                <w:i/>
                <w:iCs/>
                <w:sz w:val="22"/>
                <w:szCs w:val="22"/>
              </w:rPr>
              <w:t>Morosidad en la entidad, al cierre de mes</w:t>
            </w:r>
          </w:p>
        </w:tc>
        <w:tc>
          <w:tcPr>
            <w:tcW w:w="2268"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431EA597" w14:textId="77777777" w:rsidR="00F80D48" w:rsidRPr="00513BE0" w:rsidRDefault="00F80D48" w:rsidP="00620617">
            <w:pPr>
              <w:jc w:val="center"/>
              <w:rPr>
                <w:i/>
                <w:iCs/>
                <w:sz w:val="22"/>
                <w:szCs w:val="22"/>
              </w:rPr>
            </w:pPr>
            <w:r w:rsidRPr="00513BE0">
              <w:rPr>
                <w:b/>
                <w:bCs/>
                <w:i/>
                <w:iCs/>
                <w:sz w:val="22"/>
                <w:szCs w:val="22"/>
              </w:rPr>
              <w:t>Porcentaje de estimación específica sobre la parte descubierta de la operación crediticia</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09C3572B" w14:textId="77777777" w:rsidR="00F80D48" w:rsidRPr="00513BE0" w:rsidRDefault="00F80D48" w:rsidP="00620617">
            <w:pPr>
              <w:jc w:val="center"/>
              <w:rPr>
                <w:i/>
                <w:iCs/>
                <w:sz w:val="22"/>
                <w:szCs w:val="22"/>
              </w:rPr>
            </w:pPr>
            <w:r w:rsidRPr="00513BE0">
              <w:rPr>
                <w:b/>
                <w:bCs/>
                <w:i/>
                <w:iCs/>
                <w:sz w:val="22"/>
                <w:szCs w:val="22"/>
              </w:rPr>
              <w:t>Porcentaje de estimación específica sobre la parte cubierta de la operación crediticia</w:t>
            </w:r>
          </w:p>
        </w:tc>
        <w:tc>
          <w:tcPr>
            <w:tcW w:w="1574"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25F3C0C6" w14:textId="77777777" w:rsidR="00F80D48" w:rsidRPr="00513BE0" w:rsidRDefault="00F80D48" w:rsidP="00620617">
            <w:pPr>
              <w:jc w:val="center"/>
              <w:rPr>
                <w:i/>
                <w:iCs/>
                <w:sz w:val="22"/>
                <w:szCs w:val="22"/>
              </w:rPr>
            </w:pPr>
            <w:r w:rsidRPr="00513BE0">
              <w:rPr>
                <w:b/>
                <w:bCs/>
                <w:i/>
                <w:iCs/>
                <w:sz w:val="22"/>
                <w:szCs w:val="22"/>
              </w:rPr>
              <w:t>Capacidad de Pago (Deudores del Grupo 1)</w:t>
            </w:r>
          </w:p>
        </w:tc>
      </w:tr>
      <w:tr w:rsidR="00F80D48" w:rsidRPr="00513BE0" w14:paraId="796CDC13" w14:textId="77777777" w:rsidTr="00620617">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298E85" w14:textId="77777777" w:rsidR="00F80D48" w:rsidRPr="00513BE0" w:rsidRDefault="00F80D48" w:rsidP="00620617">
            <w:pPr>
              <w:rPr>
                <w:i/>
                <w:iCs/>
                <w:sz w:val="22"/>
                <w:szCs w:val="22"/>
              </w:rPr>
            </w:pPr>
            <w:r w:rsidRPr="00513BE0">
              <w:rPr>
                <w:i/>
                <w:iCs/>
                <w:sz w:val="22"/>
                <w:szCs w:val="22"/>
              </w:rPr>
              <w:t>Al día</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4D55EA" w14:textId="77777777" w:rsidR="00F80D48" w:rsidRPr="00513BE0" w:rsidRDefault="00F80D48" w:rsidP="00620617">
            <w:pPr>
              <w:jc w:val="center"/>
              <w:rPr>
                <w:i/>
                <w:iCs/>
                <w:sz w:val="22"/>
                <w:szCs w:val="22"/>
              </w:rPr>
            </w:pPr>
            <w:r w:rsidRPr="00513BE0">
              <w:rPr>
                <w:i/>
                <w:iCs/>
                <w:sz w:val="22"/>
                <w:szCs w:val="22"/>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E5C46E" w14:textId="77777777" w:rsidR="00F80D48" w:rsidRPr="00513BE0" w:rsidRDefault="00F80D48" w:rsidP="00620617">
            <w:pPr>
              <w:jc w:val="center"/>
              <w:rPr>
                <w:i/>
                <w:iCs/>
                <w:sz w:val="22"/>
                <w:szCs w:val="22"/>
              </w:rPr>
            </w:pPr>
            <w:r w:rsidRPr="00513BE0">
              <w:rPr>
                <w:i/>
                <w:iCs/>
                <w:sz w:val="22"/>
                <w:szCs w:val="22"/>
              </w:rPr>
              <w:t>0,5%</w:t>
            </w: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AD824E" w14:textId="77777777" w:rsidR="00F80D48" w:rsidRPr="00513BE0" w:rsidRDefault="00F80D48" w:rsidP="00620617">
            <w:pPr>
              <w:jc w:val="center"/>
              <w:rPr>
                <w:i/>
                <w:iCs/>
                <w:sz w:val="22"/>
                <w:szCs w:val="22"/>
              </w:rPr>
            </w:pPr>
            <w:r w:rsidRPr="00513BE0">
              <w:rPr>
                <w:i/>
                <w:iCs/>
                <w:sz w:val="22"/>
                <w:szCs w:val="22"/>
              </w:rPr>
              <w:t>Nivel 1</w:t>
            </w:r>
          </w:p>
        </w:tc>
      </w:tr>
      <w:tr w:rsidR="00F80D48" w:rsidRPr="00513BE0" w14:paraId="32AFFCD6" w14:textId="77777777" w:rsidTr="00620617">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43BAEA" w14:textId="77777777" w:rsidR="00F80D48" w:rsidRPr="00513BE0" w:rsidRDefault="00F80D48" w:rsidP="00620617">
            <w:pPr>
              <w:rPr>
                <w:i/>
                <w:iCs/>
                <w:sz w:val="22"/>
                <w:szCs w:val="22"/>
              </w:rPr>
            </w:pPr>
            <w:r w:rsidRPr="00513BE0">
              <w:rPr>
                <w:i/>
                <w:iCs/>
                <w:sz w:val="22"/>
                <w:szCs w:val="22"/>
              </w:rPr>
              <w:t>Igual o menor a 30 días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668025" w14:textId="77777777" w:rsidR="00F80D48" w:rsidRPr="00513BE0" w:rsidRDefault="00F80D48" w:rsidP="00620617">
            <w:pPr>
              <w:jc w:val="center"/>
              <w:rPr>
                <w:i/>
                <w:iCs/>
                <w:sz w:val="22"/>
                <w:szCs w:val="22"/>
              </w:rPr>
            </w:pPr>
            <w:r w:rsidRPr="00513BE0">
              <w:rPr>
                <w:i/>
                <w:iCs/>
                <w:sz w:val="22"/>
                <w:szCs w:val="22"/>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4EDCD0" w14:textId="77777777" w:rsidR="00F80D48" w:rsidRPr="00513BE0" w:rsidRDefault="00F80D48" w:rsidP="00620617">
            <w:pPr>
              <w:jc w:val="center"/>
              <w:rPr>
                <w:i/>
                <w:iCs/>
                <w:sz w:val="22"/>
                <w:szCs w:val="22"/>
              </w:rPr>
            </w:pPr>
            <w:r w:rsidRPr="00513BE0">
              <w:rPr>
                <w:i/>
                <w:iCs/>
                <w:sz w:val="22"/>
                <w:szCs w:val="22"/>
              </w:rPr>
              <w:t>0,5%</w:t>
            </w: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79FB72" w14:textId="77777777" w:rsidR="00F80D48" w:rsidRPr="00513BE0" w:rsidRDefault="00F80D48" w:rsidP="00620617">
            <w:pPr>
              <w:jc w:val="center"/>
              <w:rPr>
                <w:i/>
                <w:iCs/>
                <w:sz w:val="22"/>
                <w:szCs w:val="22"/>
              </w:rPr>
            </w:pPr>
            <w:r w:rsidRPr="00513BE0">
              <w:rPr>
                <w:i/>
                <w:iCs/>
                <w:sz w:val="22"/>
                <w:szCs w:val="22"/>
              </w:rPr>
              <w:t>Nivel 1</w:t>
            </w:r>
          </w:p>
        </w:tc>
      </w:tr>
      <w:tr w:rsidR="00F80D48" w:rsidRPr="00513BE0" w14:paraId="0FA522E9" w14:textId="77777777" w:rsidTr="00620617">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836EF7" w14:textId="77777777" w:rsidR="00F80D48" w:rsidRPr="00513BE0" w:rsidRDefault="00F80D48" w:rsidP="00620617">
            <w:pPr>
              <w:rPr>
                <w:i/>
                <w:iCs/>
                <w:sz w:val="22"/>
                <w:szCs w:val="22"/>
              </w:rPr>
            </w:pPr>
            <w:r w:rsidRPr="00513BE0">
              <w:rPr>
                <w:i/>
                <w:iCs/>
                <w:sz w:val="22"/>
                <w:szCs w:val="22"/>
              </w:rPr>
              <w:t>Igual o menor a 60 días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44CFAC" w14:textId="77777777" w:rsidR="00F80D48" w:rsidRPr="00513BE0" w:rsidRDefault="00F80D48" w:rsidP="00620617">
            <w:pPr>
              <w:jc w:val="center"/>
              <w:rPr>
                <w:i/>
                <w:iCs/>
                <w:sz w:val="22"/>
                <w:szCs w:val="22"/>
              </w:rPr>
            </w:pPr>
            <w:r w:rsidRPr="00513BE0">
              <w:rPr>
                <w:i/>
                <w:iCs/>
                <w:sz w:val="22"/>
                <w:szCs w:val="22"/>
              </w:rPr>
              <w:t>25%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DFE070" w14:textId="77777777" w:rsidR="00F80D48" w:rsidRPr="00513BE0" w:rsidRDefault="00F80D48" w:rsidP="00620617">
            <w:pPr>
              <w:jc w:val="center"/>
              <w:rPr>
                <w:i/>
                <w:iCs/>
                <w:sz w:val="22"/>
                <w:szCs w:val="22"/>
              </w:rPr>
            </w:pPr>
            <w:r w:rsidRPr="00513BE0">
              <w:rPr>
                <w:i/>
                <w:iCs/>
                <w:sz w:val="22"/>
                <w:szCs w:val="22"/>
              </w:rPr>
              <w:t>0,5%</w:t>
            </w: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B1F231" w14:textId="77777777" w:rsidR="00F80D48" w:rsidRPr="00513BE0" w:rsidRDefault="00F80D48" w:rsidP="00620617">
            <w:pPr>
              <w:jc w:val="center"/>
              <w:rPr>
                <w:i/>
                <w:iCs/>
                <w:sz w:val="22"/>
                <w:szCs w:val="22"/>
              </w:rPr>
            </w:pPr>
            <w:r w:rsidRPr="00513BE0">
              <w:rPr>
                <w:i/>
                <w:iCs/>
                <w:sz w:val="22"/>
                <w:szCs w:val="22"/>
              </w:rPr>
              <w:t>Nivel 1 o Nivel 2</w:t>
            </w:r>
          </w:p>
        </w:tc>
      </w:tr>
      <w:tr w:rsidR="00F80D48" w:rsidRPr="00513BE0" w14:paraId="75BA55C1" w14:textId="77777777" w:rsidTr="00620617">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3907B4" w14:textId="77777777" w:rsidR="00F80D48" w:rsidRPr="00513BE0" w:rsidRDefault="00F80D48" w:rsidP="00620617">
            <w:pPr>
              <w:rPr>
                <w:i/>
                <w:iCs/>
                <w:sz w:val="22"/>
                <w:szCs w:val="22"/>
              </w:rPr>
            </w:pPr>
            <w:r w:rsidRPr="00513BE0">
              <w:rPr>
                <w:i/>
                <w:iCs/>
                <w:sz w:val="22"/>
                <w:szCs w:val="22"/>
              </w:rPr>
              <w:t>Igual o menor a 90 días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E97409" w14:textId="77777777" w:rsidR="00F80D48" w:rsidRPr="00513BE0" w:rsidRDefault="00F80D48" w:rsidP="00620617">
            <w:pPr>
              <w:jc w:val="center"/>
              <w:rPr>
                <w:i/>
                <w:iCs/>
                <w:sz w:val="22"/>
                <w:szCs w:val="22"/>
              </w:rPr>
            </w:pPr>
            <w:r w:rsidRPr="00513BE0">
              <w:rPr>
                <w:i/>
                <w:iCs/>
                <w:sz w:val="22"/>
                <w:szCs w:val="22"/>
              </w:rPr>
              <w:t>50%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154978" w14:textId="77777777" w:rsidR="00F80D48" w:rsidRPr="00513BE0" w:rsidRDefault="00F80D48" w:rsidP="00620617">
            <w:pPr>
              <w:jc w:val="center"/>
              <w:rPr>
                <w:i/>
                <w:iCs/>
                <w:sz w:val="22"/>
                <w:szCs w:val="22"/>
              </w:rPr>
            </w:pPr>
            <w:r w:rsidRPr="00513BE0">
              <w:rPr>
                <w:i/>
                <w:iCs/>
                <w:sz w:val="22"/>
                <w:szCs w:val="22"/>
              </w:rPr>
              <w:t>0,5%</w:t>
            </w: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B07661" w14:textId="77777777" w:rsidR="00F80D48" w:rsidRPr="00513BE0" w:rsidRDefault="00F80D48" w:rsidP="00620617">
            <w:pPr>
              <w:jc w:val="center"/>
              <w:rPr>
                <w:i/>
                <w:iCs/>
                <w:sz w:val="22"/>
                <w:szCs w:val="22"/>
              </w:rPr>
            </w:pPr>
            <w:r w:rsidRPr="00513BE0">
              <w:rPr>
                <w:i/>
                <w:iCs/>
                <w:sz w:val="22"/>
                <w:szCs w:val="22"/>
              </w:rPr>
              <w:t>Nivel 1 o Nivel 2 o Nivel 3 o Nivel 4</w:t>
            </w:r>
          </w:p>
        </w:tc>
      </w:tr>
      <w:tr w:rsidR="00F80D48" w:rsidRPr="00513BE0" w14:paraId="0A5A2E46" w14:textId="77777777" w:rsidTr="00620617">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78CA52" w14:textId="77777777" w:rsidR="00F80D48" w:rsidRPr="00513BE0" w:rsidRDefault="00F80D48" w:rsidP="00620617">
            <w:pPr>
              <w:rPr>
                <w:i/>
                <w:iCs/>
                <w:sz w:val="22"/>
                <w:szCs w:val="22"/>
              </w:rPr>
            </w:pPr>
            <w:r w:rsidRPr="00513BE0">
              <w:rPr>
                <w:i/>
                <w:iCs/>
                <w:sz w:val="22"/>
                <w:szCs w:val="22"/>
              </w:rPr>
              <w:t>Mayor a 90 días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F67359" w14:textId="77777777" w:rsidR="00F80D48" w:rsidRPr="00513BE0" w:rsidRDefault="00F80D48" w:rsidP="00620617">
            <w:pPr>
              <w:jc w:val="center"/>
              <w:rPr>
                <w:i/>
                <w:iCs/>
                <w:sz w:val="22"/>
                <w:szCs w:val="22"/>
              </w:rPr>
            </w:pPr>
            <w:r w:rsidRPr="00513BE0">
              <w:rPr>
                <w:i/>
                <w:iCs/>
                <w:sz w:val="22"/>
                <w:szCs w:val="22"/>
              </w:rPr>
              <w:t>100%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B3E2B7" w14:textId="77777777" w:rsidR="00F80D48" w:rsidRPr="00513BE0" w:rsidRDefault="00F80D48" w:rsidP="00620617">
            <w:pPr>
              <w:jc w:val="center"/>
              <w:rPr>
                <w:i/>
                <w:iCs/>
                <w:sz w:val="22"/>
                <w:szCs w:val="22"/>
              </w:rPr>
            </w:pPr>
            <w:r w:rsidRPr="00513BE0">
              <w:rPr>
                <w:i/>
                <w:iCs/>
                <w:sz w:val="22"/>
                <w:szCs w:val="22"/>
              </w:rPr>
              <w:t>0,5%</w:t>
            </w: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0D67F6" w14:textId="77777777" w:rsidR="00F80D48" w:rsidRPr="00513BE0" w:rsidRDefault="00F80D48" w:rsidP="00620617">
            <w:pPr>
              <w:jc w:val="center"/>
              <w:rPr>
                <w:i/>
                <w:iCs/>
                <w:sz w:val="22"/>
                <w:szCs w:val="22"/>
              </w:rPr>
            </w:pPr>
            <w:r w:rsidRPr="00513BE0">
              <w:rPr>
                <w:i/>
                <w:iCs/>
                <w:sz w:val="22"/>
                <w:szCs w:val="22"/>
              </w:rPr>
              <w:t>Nivel 1 o Nivel 2 o Nivel 3 o Nivel 4</w:t>
            </w:r>
          </w:p>
        </w:tc>
      </w:tr>
      <w:bookmarkEnd w:id="1"/>
    </w:tbl>
    <w:p w14:paraId="40ADE81B" w14:textId="77777777" w:rsidR="00F80D48" w:rsidRPr="00513BE0" w:rsidRDefault="00F80D48" w:rsidP="00F80D48">
      <w:pPr>
        <w:ind w:left="720"/>
        <w:rPr>
          <w:rFonts w:eastAsia="Calibri"/>
          <w:sz w:val="22"/>
          <w:szCs w:val="22"/>
          <w:lang w:eastAsia="en-US"/>
        </w:rPr>
      </w:pPr>
    </w:p>
    <w:p w14:paraId="6AAE21E2" w14:textId="77777777" w:rsidR="00F80D48" w:rsidRPr="00513BE0" w:rsidRDefault="00F80D48" w:rsidP="00F80D48">
      <w:pPr>
        <w:jc w:val="right"/>
        <w:rPr>
          <w:sz w:val="22"/>
          <w:szCs w:val="22"/>
        </w:rPr>
      </w:pPr>
      <w:r w:rsidRPr="00513BE0">
        <w:rPr>
          <w:sz w:val="22"/>
          <w:szCs w:val="22"/>
        </w:rPr>
        <w:t xml:space="preserve">' </w:t>
      </w:r>
    </w:p>
    <w:p w14:paraId="3556BF48" w14:textId="77777777" w:rsidR="00F80D48" w:rsidRPr="00513BE0" w:rsidRDefault="00F80D48" w:rsidP="00F80D48">
      <w:pPr>
        <w:spacing w:after="160" w:line="259" w:lineRule="auto"/>
        <w:ind w:left="708" w:hanging="282"/>
        <w:contextualSpacing/>
        <w:jc w:val="both"/>
        <w:rPr>
          <w:b/>
          <w:bCs/>
          <w:sz w:val="22"/>
          <w:szCs w:val="22"/>
        </w:rPr>
      </w:pPr>
      <w:r w:rsidRPr="00513BE0">
        <w:rPr>
          <w:b/>
          <w:bCs/>
          <w:sz w:val="22"/>
          <w:szCs w:val="22"/>
        </w:rPr>
        <w:t>4.</w:t>
      </w:r>
      <w:r w:rsidRPr="00513BE0">
        <w:rPr>
          <w:b/>
          <w:bCs/>
          <w:sz w:val="22"/>
          <w:szCs w:val="22"/>
        </w:rPr>
        <w:tab/>
        <w:t>Aplicar las siguientes medidas regulatorias del 1° de enero hasta el 31 de diciembre de 2023:</w:t>
      </w:r>
    </w:p>
    <w:p w14:paraId="5BF50160" w14:textId="77777777" w:rsidR="00F80D48" w:rsidRPr="00513BE0" w:rsidRDefault="00F80D48" w:rsidP="00F80D48">
      <w:pPr>
        <w:ind w:left="720"/>
        <w:jc w:val="both"/>
        <w:rPr>
          <w:rFonts w:eastAsia="Calibri"/>
          <w:b/>
          <w:bCs/>
          <w:sz w:val="22"/>
          <w:szCs w:val="22"/>
          <w:lang w:eastAsia="en-US"/>
        </w:rPr>
      </w:pPr>
    </w:p>
    <w:p w14:paraId="6142A002" w14:textId="77777777" w:rsidR="00F80D48" w:rsidRPr="00513BE0" w:rsidRDefault="00F80D48" w:rsidP="00F80D48">
      <w:pPr>
        <w:ind w:left="720"/>
        <w:jc w:val="both"/>
        <w:rPr>
          <w:rFonts w:eastAsia="Calibri"/>
          <w:b/>
          <w:bCs/>
          <w:sz w:val="22"/>
          <w:szCs w:val="22"/>
          <w:lang w:eastAsia="en-US"/>
        </w:rPr>
      </w:pPr>
      <w:r w:rsidRPr="00513BE0">
        <w:rPr>
          <w:rFonts w:eastAsia="Calibri"/>
          <w:b/>
          <w:bCs/>
          <w:sz w:val="22"/>
          <w:szCs w:val="22"/>
          <w:lang w:eastAsia="en-US"/>
        </w:rPr>
        <w:t>a) Añadir el Transitorio XXV de acuerdo con el siguiente texto:</w:t>
      </w:r>
    </w:p>
    <w:p w14:paraId="5401484A" w14:textId="77777777" w:rsidR="00F80D48" w:rsidRPr="00513BE0" w:rsidRDefault="00F80D48" w:rsidP="00F80D48">
      <w:pPr>
        <w:ind w:left="720"/>
        <w:jc w:val="both"/>
        <w:rPr>
          <w:rFonts w:eastAsia="Calibri"/>
          <w:b/>
          <w:bCs/>
          <w:sz w:val="22"/>
          <w:szCs w:val="22"/>
          <w:lang w:eastAsia="en-US"/>
        </w:rPr>
      </w:pPr>
    </w:p>
    <w:p w14:paraId="503F175F" w14:textId="77777777" w:rsidR="00F80D48" w:rsidRPr="00513BE0" w:rsidRDefault="00F80D48" w:rsidP="00F80D48">
      <w:pPr>
        <w:ind w:left="720"/>
        <w:jc w:val="both"/>
        <w:rPr>
          <w:rFonts w:eastAsia="Calibri"/>
          <w:b/>
          <w:bCs/>
          <w:sz w:val="22"/>
          <w:szCs w:val="22"/>
          <w:lang w:eastAsia="en-US"/>
        </w:rPr>
      </w:pPr>
      <w:r w:rsidRPr="00513BE0">
        <w:rPr>
          <w:rFonts w:eastAsia="Calibri"/>
          <w:sz w:val="22"/>
          <w:szCs w:val="22"/>
          <w:lang w:eastAsia="en-US"/>
        </w:rPr>
        <w:t>'</w:t>
      </w:r>
      <w:r w:rsidRPr="00513BE0">
        <w:rPr>
          <w:rFonts w:eastAsia="Calibri"/>
          <w:b/>
          <w:bCs/>
          <w:i/>
          <w:iCs/>
          <w:sz w:val="22"/>
          <w:szCs w:val="22"/>
          <w:lang w:eastAsia="en-US"/>
        </w:rPr>
        <w:t>Transitorio XXV</w:t>
      </w:r>
      <w:r w:rsidRPr="00513BE0">
        <w:rPr>
          <w:rFonts w:eastAsia="Calibri"/>
          <w:sz w:val="22"/>
          <w:szCs w:val="22"/>
          <w:lang w:eastAsia="en-US"/>
        </w:rPr>
        <w:t>:</w:t>
      </w:r>
    </w:p>
    <w:p w14:paraId="1F708536" w14:textId="77777777" w:rsidR="00F80D48" w:rsidRPr="00513BE0" w:rsidRDefault="00F80D48" w:rsidP="00F80D48">
      <w:pPr>
        <w:ind w:left="720"/>
        <w:jc w:val="both"/>
        <w:rPr>
          <w:rFonts w:eastAsia="Calibri"/>
          <w:i/>
          <w:iCs/>
          <w:sz w:val="22"/>
          <w:szCs w:val="22"/>
          <w:lang w:eastAsia="en-US"/>
        </w:rPr>
      </w:pPr>
      <w:r w:rsidRPr="00513BE0">
        <w:rPr>
          <w:rFonts w:eastAsia="Calibri"/>
          <w:i/>
          <w:iCs/>
          <w:color w:val="000000"/>
          <w:sz w:val="22"/>
          <w:szCs w:val="22"/>
          <w:lang w:eastAsia="en-US"/>
        </w:rPr>
        <w:t xml:space="preserve">A partir del primero de enero de 2023 y hasta el 31 de diciembre de 2023, inclusive, para efectos del numeral 2 del inciso i. del Artículo 3, Definiciones, de este Reglamento, un </w:t>
      </w:r>
      <w:r w:rsidRPr="00513BE0">
        <w:rPr>
          <w:rFonts w:eastAsia="Calibri"/>
          <w:i/>
          <w:iCs/>
          <w:sz w:val="22"/>
          <w:szCs w:val="22"/>
          <w:lang w:eastAsia="en-US"/>
        </w:rPr>
        <w:t>deudor con al menos una operación modificada dos veces en un periodo de 24 meses será clasificado en la categoría de riesgo B2. Asimismo, un deudor con al menos una operación modificada más de dos veces en un periodo de 24 meses será clasificado en la categoría de riesgo C1.</w:t>
      </w:r>
    </w:p>
    <w:p w14:paraId="3AB31919" w14:textId="77777777" w:rsidR="00F80D48" w:rsidRPr="00513BE0" w:rsidRDefault="00F80D48" w:rsidP="00F80D48">
      <w:pPr>
        <w:ind w:left="720"/>
        <w:jc w:val="both"/>
        <w:rPr>
          <w:rFonts w:eastAsia="Calibri"/>
          <w:i/>
          <w:iCs/>
          <w:sz w:val="22"/>
          <w:szCs w:val="22"/>
          <w:lang w:eastAsia="en-US"/>
        </w:rPr>
      </w:pPr>
    </w:p>
    <w:p w14:paraId="03D69B91" w14:textId="77777777" w:rsidR="00F80D48" w:rsidRPr="00513BE0" w:rsidRDefault="00F80D48" w:rsidP="00F80D48">
      <w:pPr>
        <w:ind w:left="720"/>
        <w:jc w:val="both"/>
        <w:rPr>
          <w:rFonts w:eastAsia="Calibri"/>
          <w:i/>
          <w:iCs/>
          <w:sz w:val="22"/>
          <w:szCs w:val="22"/>
          <w:lang w:eastAsia="en-US"/>
        </w:rPr>
      </w:pPr>
      <w:r w:rsidRPr="00513BE0">
        <w:rPr>
          <w:rFonts w:eastAsia="Calibri"/>
          <w:i/>
          <w:iCs/>
          <w:sz w:val="22"/>
          <w:szCs w:val="22"/>
          <w:lang w:eastAsia="en-US"/>
        </w:rPr>
        <w:t>El número de modificaciones incluirá la cantidad de modificaciones aplicadas a partir del 1° de enero de 2022.</w:t>
      </w:r>
    </w:p>
    <w:p w14:paraId="5B1AC817" w14:textId="77777777" w:rsidR="00F80D48" w:rsidRPr="00513BE0" w:rsidRDefault="00F80D48" w:rsidP="00F80D48">
      <w:pPr>
        <w:ind w:left="720"/>
        <w:jc w:val="both"/>
        <w:rPr>
          <w:rFonts w:eastAsia="Calibri"/>
          <w:i/>
          <w:iCs/>
          <w:sz w:val="22"/>
          <w:szCs w:val="22"/>
          <w:lang w:eastAsia="en-US"/>
        </w:rPr>
      </w:pPr>
    </w:p>
    <w:p w14:paraId="2D7AFFF6" w14:textId="77777777" w:rsidR="00F80D48" w:rsidRPr="00513BE0" w:rsidRDefault="00F80D48" w:rsidP="00F80D48">
      <w:pPr>
        <w:ind w:left="720"/>
        <w:jc w:val="both"/>
        <w:rPr>
          <w:rFonts w:eastAsia="Calibri"/>
          <w:i/>
          <w:iCs/>
          <w:sz w:val="22"/>
          <w:szCs w:val="22"/>
          <w:lang w:eastAsia="en-US"/>
        </w:rPr>
      </w:pPr>
      <w:r w:rsidRPr="00513BE0">
        <w:rPr>
          <w:rFonts w:eastAsia="Calibri"/>
          <w:i/>
          <w:iCs/>
          <w:sz w:val="22"/>
          <w:szCs w:val="22"/>
          <w:lang w:eastAsia="en-US"/>
        </w:rPr>
        <w:lastRenderedPageBreak/>
        <w:t>Se aclara que el deudor mantiene la categoría de riesgo previa a tener la operación especial a que se refiere el párrafo primero de este Transitorio, siempre que esta sea igual a B2 o C1, respectivamente, o de mayor riesgo. No obstante, si las condiciones del deudor justifican la reclasificación a categorías de mayor riesgo, la entidad debe realizar la reclasificación correspondiente.</w:t>
      </w:r>
      <w:r w:rsidRPr="00513BE0">
        <w:rPr>
          <w:rFonts w:eastAsia="Calibri"/>
          <w:sz w:val="22"/>
          <w:szCs w:val="22"/>
          <w:lang w:eastAsia="en-US"/>
        </w:rPr>
        <w:t>'</w:t>
      </w:r>
    </w:p>
    <w:p w14:paraId="62BA3F88" w14:textId="77777777" w:rsidR="00F80D48" w:rsidRPr="00513BE0" w:rsidRDefault="00F80D48" w:rsidP="00F80D48">
      <w:pPr>
        <w:ind w:left="720"/>
        <w:jc w:val="both"/>
        <w:rPr>
          <w:rFonts w:eastAsia="Calibri"/>
          <w:i/>
          <w:iCs/>
          <w:sz w:val="22"/>
          <w:szCs w:val="22"/>
          <w:lang w:eastAsia="en-US"/>
        </w:rPr>
      </w:pPr>
    </w:p>
    <w:p w14:paraId="1E2422F8" w14:textId="77777777" w:rsidR="00F80D48" w:rsidRPr="00513BE0" w:rsidRDefault="00F80D48" w:rsidP="00F80D48">
      <w:pPr>
        <w:ind w:left="720"/>
        <w:jc w:val="both"/>
        <w:rPr>
          <w:rFonts w:eastAsia="Calibri"/>
          <w:b/>
          <w:bCs/>
          <w:sz w:val="22"/>
          <w:szCs w:val="22"/>
          <w:lang w:eastAsia="en-US"/>
        </w:rPr>
      </w:pPr>
      <w:r w:rsidRPr="00513BE0">
        <w:rPr>
          <w:rFonts w:eastAsia="Calibri"/>
          <w:b/>
          <w:bCs/>
          <w:sz w:val="22"/>
          <w:szCs w:val="22"/>
          <w:lang w:eastAsia="en-US"/>
        </w:rPr>
        <w:t>b) Añadir el Transitorio XXVI de acuerdo con el siguiente texto:</w:t>
      </w:r>
    </w:p>
    <w:p w14:paraId="6B5E4069" w14:textId="77777777" w:rsidR="00F80D48" w:rsidRPr="00513BE0" w:rsidRDefault="00F80D48" w:rsidP="00F80D48">
      <w:pPr>
        <w:ind w:left="720"/>
        <w:jc w:val="both"/>
        <w:rPr>
          <w:rFonts w:eastAsia="Calibri"/>
          <w:b/>
          <w:bCs/>
          <w:sz w:val="22"/>
          <w:szCs w:val="22"/>
          <w:lang w:eastAsia="en-US"/>
        </w:rPr>
      </w:pPr>
    </w:p>
    <w:p w14:paraId="19D9DE74" w14:textId="77777777" w:rsidR="00F80D48" w:rsidRPr="00513BE0" w:rsidRDefault="00F80D48" w:rsidP="00F80D48">
      <w:pPr>
        <w:ind w:left="720"/>
        <w:jc w:val="both"/>
        <w:rPr>
          <w:rFonts w:eastAsia="Calibri"/>
          <w:b/>
          <w:bCs/>
          <w:sz w:val="22"/>
          <w:szCs w:val="22"/>
          <w:lang w:eastAsia="en-US"/>
        </w:rPr>
      </w:pPr>
      <w:r w:rsidRPr="00513BE0">
        <w:rPr>
          <w:rFonts w:eastAsia="Calibri"/>
          <w:sz w:val="22"/>
          <w:szCs w:val="22"/>
          <w:lang w:eastAsia="en-US"/>
        </w:rPr>
        <w:t>'</w:t>
      </w:r>
      <w:r w:rsidRPr="00513BE0">
        <w:rPr>
          <w:rFonts w:eastAsia="Calibri"/>
          <w:b/>
          <w:bCs/>
          <w:i/>
          <w:iCs/>
          <w:sz w:val="22"/>
          <w:szCs w:val="22"/>
          <w:lang w:eastAsia="en-US"/>
        </w:rPr>
        <w:t xml:space="preserve"> Transitorio XXVI</w:t>
      </w:r>
      <w:r w:rsidRPr="00513BE0">
        <w:rPr>
          <w:rFonts w:eastAsia="Calibri"/>
          <w:sz w:val="22"/>
          <w:szCs w:val="22"/>
          <w:lang w:eastAsia="en-US"/>
        </w:rPr>
        <w:t>:</w:t>
      </w:r>
    </w:p>
    <w:p w14:paraId="5637C79B" w14:textId="77777777" w:rsidR="00F80D48" w:rsidRPr="00513BE0" w:rsidRDefault="00F80D48" w:rsidP="00F80D48">
      <w:pPr>
        <w:ind w:left="720"/>
        <w:jc w:val="both"/>
        <w:rPr>
          <w:rFonts w:eastAsia="Calibri"/>
          <w:i/>
          <w:iCs/>
          <w:sz w:val="22"/>
          <w:szCs w:val="22"/>
          <w:lang w:eastAsia="en-US"/>
        </w:rPr>
      </w:pPr>
      <w:r w:rsidRPr="00513BE0">
        <w:rPr>
          <w:rFonts w:eastAsia="Calibri"/>
          <w:i/>
          <w:iCs/>
          <w:sz w:val="22"/>
          <w:szCs w:val="22"/>
          <w:lang w:eastAsia="en-US"/>
        </w:rPr>
        <w:t>A partir del primero de enero de 2023 y hasta el 31 de diciembre de 2023, inclusive, deberá aplicarse el texto siguiente en sustitución del Artículo 18. Operación crediticia especial:</w:t>
      </w:r>
      <w:bookmarkStart w:id="2" w:name="_Toc113735820"/>
    </w:p>
    <w:p w14:paraId="34F15961" w14:textId="77777777" w:rsidR="00F80D48" w:rsidRPr="00513BE0" w:rsidRDefault="00F80D48" w:rsidP="00F80D48">
      <w:pPr>
        <w:ind w:left="720"/>
        <w:jc w:val="both"/>
        <w:rPr>
          <w:rFonts w:eastAsia="Calibri"/>
          <w:b/>
          <w:bCs/>
          <w:i/>
          <w:iCs/>
          <w:sz w:val="22"/>
          <w:szCs w:val="22"/>
          <w:lang w:eastAsia="en-US"/>
        </w:rPr>
      </w:pPr>
    </w:p>
    <w:p w14:paraId="29FEB070" w14:textId="77777777" w:rsidR="00F80D48" w:rsidRPr="00513BE0" w:rsidRDefault="00F80D48" w:rsidP="00F80D48">
      <w:pPr>
        <w:ind w:left="720"/>
        <w:jc w:val="both"/>
        <w:rPr>
          <w:rFonts w:eastAsia="Calibri"/>
          <w:sz w:val="22"/>
          <w:szCs w:val="22"/>
          <w:lang w:eastAsia="en-US"/>
        </w:rPr>
      </w:pPr>
      <w:r w:rsidRPr="00513BE0">
        <w:rPr>
          <w:rFonts w:eastAsia="Calibri"/>
          <w:b/>
          <w:bCs/>
          <w:i/>
          <w:iCs/>
          <w:sz w:val="22"/>
          <w:szCs w:val="22"/>
          <w:lang w:eastAsia="en-US"/>
        </w:rPr>
        <w:t>“Artículo 18. Operación crediticia especial</w:t>
      </w:r>
      <w:bookmarkEnd w:id="2"/>
    </w:p>
    <w:p w14:paraId="2AC37621" w14:textId="77777777" w:rsidR="00F80D48" w:rsidRPr="00513BE0" w:rsidRDefault="00F80D48" w:rsidP="00F80D48">
      <w:pPr>
        <w:ind w:left="720"/>
        <w:jc w:val="both"/>
        <w:rPr>
          <w:rFonts w:eastAsia="Calibri"/>
          <w:i/>
          <w:iCs/>
          <w:sz w:val="22"/>
          <w:szCs w:val="22"/>
          <w:lang w:eastAsia="en-US"/>
        </w:rPr>
      </w:pPr>
      <w:r w:rsidRPr="00513BE0">
        <w:rPr>
          <w:rFonts w:eastAsia="Calibri"/>
          <w:i/>
          <w:iCs/>
          <w:sz w:val="22"/>
          <w:szCs w:val="22"/>
          <w:lang w:eastAsia="en-US"/>
        </w:rPr>
        <w:t xml:space="preserve">El deudor con al menos una operación crediticia especial debe ser calificado inmediatamente por la entidad de la siguiente forma: el </w:t>
      </w:r>
      <w:r w:rsidRPr="00513BE0">
        <w:rPr>
          <w:rFonts w:eastAsia="Calibri"/>
          <w:i/>
          <w:iCs/>
          <w:sz w:val="22"/>
          <w:szCs w:val="22"/>
          <w:u w:val="single"/>
          <w:lang w:eastAsia="en-US"/>
        </w:rPr>
        <w:t>deudor</w:t>
      </w:r>
      <w:r w:rsidRPr="00513BE0">
        <w:rPr>
          <w:rFonts w:eastAsia="Calibri"/>
          <w:i/>
          <w:iCs/>
          <w:sz w:val="22"/>
          <w:szCs w:val="22"/>
          <w:lang w:eastAsia="en-US"/>
        </w:rPr>
        <w:t xml:space="preserve"> que antes de tener una operación crediticia especial estaba calificado en las categorías de riesgo de la A1 hasta la C1 o no estaba calificado según este Reglamento, debe ser calificado en categoría de riesgo C1, o categorías de riesgo B2 o C1 cuando corresponda según el Transitorio </w:t>
      </w:r>
      <w:r w:rsidRPr="00513BE0">
        <w:rPr>
          <w:rFonts w:eastAsia="Calibri"/>
          <w:i/>
          <w:iCs/>
          <w:sz w:val="22"/>
          <w:szCs w:val="22"/>
          <w:u w:val="single"/>
          <w:lang w:eastAsia="en-US"/>
        </w:rPr>
        <w:t>XXV</w:t>
      </w:r>
      <w:r w:rsidRPr="00513BE0">
        <w:rPr>
          <w:rFonts w:eastAsia="Calibri"/>
          <w:i/>
          <w:iCs/>
          <w:sz w:val="22"/>
          <w:szCs w:val="22"/>
          <w:lang w:eastAsia="en-US"/>
        </w:rPr>
        <w:t xml:space="preserve"> de este Reglamento, u otra de mayor riesgo de crédito durante por lo menos 180 días.</w:t>
      </w:r>
    </w:p>
    <w:p w14:paraId="2797A7BB" w14:textId="77777777" w:rsidR="00F80D48" w:rsidRPr="00513BE0" w:rsidRDefault="00F80D48" w:rsidP="00F80D48">
      <w:pPr>
        <w:ind w:left="720"/>
        <w:jc w:val="both"/>
        <w:rPr>
          <w:rFonts w:eastAsia="Calibri"/>
          <w:i/>
          <w:iCs/>
          <w:sz w:val="22"/>
          <w:szCs w:val="22"/>
          <w:lang w:eastAsia="en-US"/>
        </w:rPr>
      </w:pPr>
    </w:p>
    <w:p w14:paraId="000A7F50" w14:textId="77777777" w:rsidR="00F80D48" w:rsidRPr="00513BE0" w:rsidRDefault="00F80D48" w:rsidP="00F80D48">
      <w:pPr>
        <w:ind w:left="720"/>
        <w:jc w:val="both"/>
        <w:rPr>
          <w:rFonts w:eastAsia="Calibri"/>
          <w:i/>
          <w:iCs/>
          <w:sz w:val="22"/>
          <w:szCs w:val="22"/>
          <w:lang w:eastAsia="en-US"/>
        </w:rPr>
      </w:pPr>
      <w:r w:rsidRPr="00513BE0">
        <w:rPr>
          <w:rFonts w:eastAsia="Calibri"/>
          <w:i/>
          <w:iCs/>
          <w:sz w:val="22"/>
          <w:szCs w:val="22"/>
          <w:lang w:eastAsia="en-US"/>
        </w:rPr>
        <w:t xml:space="preserve">Cuando una entidad supervisada adquiere cartera de crédito de entidades de su propio grupo empresarial podrá solicitar a la SUGEF autorización para mejorar la categoría de riesgo del deudor antes del plazo establecido de 90 días, para lo cual la SUGEF deberá corroborar la categoría propuesta para emitir tal autorización. </w:t>
      </w:r>
    </w:p>
    <w:p w14:paraId="2DC2D364" w14:textId="77777777" w:rsidR="00F80D48" w:rsidRPr="00513BE0" w:rsidRDefault="00F80D48" w:rsidP="00F80D48">
      <w:pPr>
        <w:ind w:left="720"/>
        <w:jc w:val="both"/>
        <w:rPr>
          <w:rFonts w:eastAsia="Calibri"/>
          <w:i/>
          <w:iCs/>
          <w:sz w:val="22"/>
          <w:szCs w:val="22"/>
          <w:lang w:eastAsia="en-US"/>
        </w:rPr>
      </w:pPr>
    </w:p>
    <w:p w14:paraId="26346711" w14:textId="77777777" w:rsidR="00F80D48" w:rsidRPr="00513BE0" w:rsidRDefault="00F80D48" w:rsidP="00F80D48">
      <w:pPr>
        <w:ind w:left="720"/>
        <w:jc w:val="both"/>
        <w:rPr>
          <w:rFonts w:eastAsia="Calibri"/>
          <w:i/>
          <w:iCs/>
          <w:sz w:val="22"/>
          <w:szCs w:val="22"/>
          <w:lang w:eastAsia="en-US"/>
        </w:rPr>
      </w:pPr>
      <w:r w:rsidRPr="00513BE0">
        <w:rPr>
          <w:rFonts w:eastAsia="Calibri"/>
          <w:i/>
          <w:iCs/>
          <w:sz w:val="22"/>
          <w:szCs w:val="22"/>
          <w:lang w:eastAsia="en-US"/>
        </w:rPr>
        <w:t xml:space="preserve">Si el deudor se encontraba antes de tener una operación crediticia especial en una categoría de riesgo C2 o D, éste debe ser calificado en categoría de riesgo C2 o D, respectivamente, u otra de mayor riesgo de crédito durante por lo menos 180 días. </w:t>
      </w:r>
    </w:p>
    <w:p w14:paraId="4362C015" w14:textId="77777777" w:rsidR="00F80D48" w:rsidRPr="00513BE0" w:rsidRDefault="00F80D48" w:rsidP="00F80D48">
      <w:pPr>
        <w:ind w:left="720"/>
        <w:jc w:val="both"/>
        <w:rPr>
          <w:rFonts w:eastAsia="Calibri"/>
          <w:i/>
          <w:iCs/>
          <w:sz w:val="22"/>
          <w:szCs w:val="22"/>
          <w:lang w:eastAsia="en-US"/>
        </w:rPr>
      </w:pPr>
    </w:p>
    <w:p w14:paraId="3E6FB55A" w14:textId="77777777" w:rsidR="00F80D48" w:rsidRPr="00513BE0" w:rsidRDefault="00F80D48" w:rsidP="00F80D48">
      <w:pPr>
        <w:ind w:left="720"/>
        <w:jc w:val="both"/>
        <w:rPr>
          <w:rFonts w:eastAsia="Calibri"/>
          <w:i/>
          <w:iCs/>
          <w:sz w:val="22"/>
          <w:szCs w:val="22"/>
          <w:lang w:eastAsia="en-US"/>
        </w:rPr>
      </w:pPr>
      <w:r w:rsidRPr="00513BE0">
        <w:rPr>
          <w:rFonts w:eastAsia="Calibri"/>
          <w:i/>
          <w:iCs/>
          <w:sz w:val="22"/>
          <w:szCs w:val="22"/>
          <w:lang w:eastAsia="en-US"/>
        </w:rPr>
        <w:t xml:space="preserve">Si el deudor se encontraba antes de tener una operación crediticia especial en una categoría de riesgo E, éste mantiene su calificación por lo menos durante 180 días. </w:t>
      </w:r>
    </w:p>
    <w:p w14:paraId="5E8D21B9" w14:textId="77777777" w:rsidR="00F80D48" w:rsidRPr="00513BE0" w:rsidRDefault="00F80D48" w:rsidP="00F80D48">
      <w:pPr>
        <w:ind w:left="720"/>
        <w:jc w:val="both"/>
        <w:rPr>
          <w:rFonts w:eastAsia="Calibri"/>
          <w:i/>
          <w:iCs/>
          <w:sz w:val="22"/>
          <w:szCs w:val="22"/>
          <w:lang w:eastAsia="en-US"/>
        </w:rPr>
      </w:pPr>
    </w:p>
    <w:p w14:paraId="6753A2DA" w14:textId="77777777" w:rsidR="00F80D48" w:rsidRPr="00513BE0" w:rsidRDefault="00F80D48" w:rsidP="00F80D48">
      <w:pPr>
        <w:ind w:left="720"/>
        <w:jc w:val="both"/>
        <w:rPr>
          <w:rFonts w:eastAsia="Calibri"/>
          <w:i/>
          <w:iCs/>
          <w:sz w:val="22"/>
          <w:szCs w:val="22"/>
          <w:lang w:eastAsia="en-US"/>
        </w:rPr>
      </w:pPr>
      <w:r w:rsidRPr="00513BE0">
        <w:rPr>
          <w:rFonts w:eastAsia="Calibri"/>
          <w:i/>
          <w:iCs/>
          <w:sz w:val="22"/>
          <w:szCs w:val="22"/>
          <w:lang w:eastAsia="en-US"/>
        </w:rPr>
        <w:t>Para efectos de la aplicación de los párrafos anteriores, debe considerarse que:</w:t>
      </w:r>
    </w:p>
    <w:p w14:paraId="0E9B6D93" w14:textId="77777777" w:rsidR="00F80D48" w:rsidRPr="00513BE0" w:rsidRDefault="00F80D48" w:rsidP="00F80D48">
      <w:pPr>
        <w:ind w:left="1134"/>
        <w:jc w:val="both"/>
        <w:rPr>
          <w:rFonts w:eastAsia="Calibri"/>
          <w:i/>
          <w:iCs/>
          <w:sz w:val="22"/>
          <w:szCs w:val="22"/>
          <w:lang w:eastAsia="en-US"/>
        </w:rPr>
      </w:pPr>
    </w:p>
    <w:p w14:paraId="7BC754D9" w14:textId="77777777" w:rsidR="00F80D48" w:rsidRPr="00513BE0" w:rsidRDefault="00F80D48" w:rsidP="00F80D48">
      <w:pPr>
        <w:spacing w:after="160" w:line="259" w:lineRule="auto"/>
        <w:ind w:left="1134" w:hanging="447"/>
        <w:contextualSpacing/>
        <w:jc w:val="both"/>
        <w:rPr>
          <w:i/>
          <w:iCs/>
          <w:sz w:val="22"/>
          <w:szCs w:val="22"/>
        </w:rPr>
      </w:pPr>
      <w:r w:rsidRPr="00513BE0">
        <w:rPr>
          <w:i/>
          <w:iCs/>
          <w:sz w:val="22"/>
          <w:szCs w:val="22"/>
        </w:rPr>
        <w:t>a)</w:t>
      </w:r>
      <w:r w:rsidRPr="00513BE0">
        <w:rPr>
          <w:i/>
          <w:iCs/>
          <w:sz w:val="22"/>
          <w:szCs w:val="22"/>
        </w:rPr>
        <w:tab/>
        <w:t xml:space="preserve">el período durante el cual no se podrá mejorar la categoría de riesgo del deudor debe contarse a partir de que venza el periodo de gracia, cuando exista, del principal otorgado en la operación crediticia especial, </w:t>
      </w:r>
    </w:p>
    <w:p w14:paraId="290F0EBB" w14:textId="77777777" w:rsidR="00F80D48" w:rsidRPr="00513BE0" w:rsidRDefault="00F80D48" w:rsidP="00F80D48">
      <w:pPr>
        <w:ind w:left="1134"/>
        <w:jc w:val="both"/>
        <w:rPr>
          <w:rFonts w:eastAsia="Calibri"/>
          <w:i/>
          <w:iCs/>
          <w:sz w:val="22"/>
          <w:szCs w:val="22"/>
          <w:lang w:eastAsia="en-US"/>
        </w:rPr>
      </w:pPr>
    </w:p>
    <w:p w14:paraId="41B4E630" w14:textId="77777777" w:rsidR="00F80D48" w:rsidRPr="00513BE0" w:rsidRDefault="00F80D48" w:rsidP="00F80D48">
      <w:pPr>
        <w:spacing w:after="160" w:line="259" w:lineRule="auto"/>
        <w:ind w:left="1134" w:hanging="447"/>
        <w:contextualSpacing/>
        <w:jc w:val="both"/>
        <w:rPr>
          <w:i/>
          <w:iCs/>
          <w:sz w:val="22"/>
          <w:szCs w:val="22"/>
        </w:rPr>
      </w:pPr>
      <w:r w:rsidRPr="00513BE0">
        <w:rPr>
          <w:i/>
          <w:iCs/>
          <w:sz w:val="22"/>
          <w:szCs w:val="22"/>
        </w:rPr>
        <w:t>b)</w:t>
      </w:r>
      <w:r w:rsidRPr="00513BE0">
        <w:rPr>
          <w:i/>
          <w:iCs/>
          <w:sz w:val="22"/>
          <w:szCs w:val="22"/>
        </w:rPr>
        <w:tab/>
        <w:t xml:space="preserve">los periodos de 90 días o 180 días indicados serán únicamente válidos para el caso en el cual la operación crediticia especial estipule pagos mensuales o de menor periodicidad (quincenales, semanales, etc.). En el caso que la operación crediticia especial estipule pagos con una periodicidad mayor a un mes, el período durante el cual no se podrá mejorar la categoría de riesgo del deudor se ampliará hasta por un periodo equivalente a seis pagos consecutivos de principal de acuerdo con la periodicidad pactada, y </w:t>
      </w:r>
    </w:p>
    <w:p w14:paraId="53EF9980" w14:textId="77777777" w:rsidR="00F80D48" w:rsidRPr="00513BE0" w:rsidRDefault="00F80D48" w:rsidP="00F80D48">
      <w:pPr>
        <w:ind w:left="720"/>
        <w:rPr>
          <w:rFonts w:eastAsia="Calibri"/>
          <w:i/>
          <w:iCs/>
          <w:sz w:val="22"/>
          <w:szCs w:val="22"/>
          <w:lang w:eastAsia="en-US"/>
        </w:rPr>
      </w:pPr>
    </w:p>
    <w:p w14:paraId="29E0AA14" w14:textId="77777777" w:rsidR="00F80D48" w:rsidRPr="00513BE0" w:rsidRDefault="00F80D48" w:rsidP="00F80D48">
      <w:pPr>
        <w:spacing w:after="160" w:line="259" w:lineRule="auto"/>
        <w:ind w:left="1134" w:hanging="447"/>
        <w:contextualSpacing/>
        <w:jc w:val="both"/>
        <w:rPr>
          <w:i/>
          <w:iCs/>
          <w:sz w:val="22"/>
          <w:szCs w:val="22"/>
        </w:rPr>
      </w:pPr>
      <w:r w:rsidRPr="00513BE0">
        <w:rPr>
          <w:i/>
          <w:iCs/>
          <w:sz w:val="22"/>
          <w:szCs w:val="22"/>
        </w:rPr>
        <w:t>c)</w:t>
      </w:r>
      <w:r w:rsidRPr="00513BE0">
        <w:rPr>
          <w:i/>
          <w:iCs/>
          <w:sz w:val="22"/>
          <w:szCs w:val="22"/>
        </w:rPr>
        <w:tab/>
        <w:t xml:space="preserve">el deudor con al menos una operación crediticia especial según los incisos i3. e i4. del Artículo 3 de este Reglamento o cualquier otra operación crediticia que por sus </w:t>
      </w:r>
      <w:r w:rsidRPr="00513BE0">
        <w:rPr>
          <w:i/>
          <w:iCs/>
          <w:sz w:val="22"/>
          <w:szCs w:val="22"/>
        </w:rPr>
        <w:lastRenderedPageBreak/>
        <w:t>características pueda ser utilizada para evitar la mora debe permanecer en la categoría de riesgo mientras tenga al menos una de estas operaciones crediticias especiales.</w:t>
      </w:r>
    </w:p>
    <w:p w14:paraId="2AE98E4B" w14:textId="77777777" w:rsidR="00F80D48" w:rsidRPr="00513BE0" w:rsidRDefault="00F80D48" w:rsidP="00F80D48">
      <w:pPr>
        <w:ind w:left="720"/>
        <w:jc w:val="both"/>
        <w:rPr>
          <w:rFonts w:eastAsia="Calibri"/>
          <w:i/>
          <w:iCs/>
          <w:sz w:val="22"/>
          <w:szCs w:val="22"/>
          <w:lang w:eastAsia="en-US"/>
        </w:rPr>
      </w:pPr>
    </w:p>
    <w:p w14:paraId="5D04A298" w14:textId="77777777" w:rsidR="00F80D48" w:rsidRPr="00513BE0" w:rsidRDefault="00F80D48" w:rsidP="00F80D48">
      <w:pPr>
        <w:ind w:left="1134"/>
        <w:jc w:val="both"/>
        <w:rPr>
          <w:rFonts w:eastAsia="Calibri"/>
          <w:i/>
          <w:iCs/>
          <w:sz w:val="22"/>
          <w:szCs w:val="22"/>
          <w:lang w:eastAsia="en-US"/>
        </w:rPr>
      </w:pPr>
      <w:r w:rsidRPr="00513BE0">
        <w:rPr>
          <w:rFonts w:eastAsia="Calibri"/>
          <w:i/>
          <w:iCs/>
          <w:sz w:val="22"/>
          <w:szCs w:val="22"/>
          <w:lang w:eastAsia="en-US"/>
        </w:rPr>
        <w:t>Una vez transcurrido el periodo durante el cual no se puede mejorar la categoría de riesgo del deudor, según los párrafos anteriores, la entidad puede recalificar al deudor según sus valoraciones en el marco de este Reglamento.</w:t>
      </w:r>
    </w:p>
    <w:p w14:paraId="15DE88C6" w14:textId="77777777" w:rsidR="00F80D48" w:rsidRPr="00513BE0" w:rsidRDefault="00F80D48" w:rsidP="00F80D48">
      <w:pPr>
        <w:ind w:left="720"/>
        <w:jc w:val="both"/>
        <w:rPr>
          <w:rFonts w:eastAsia="Calibri"/>
          <w:i/>
          <w:iCs/>
          <w:sz w:val="22"/>
          <w:szCs w:val="22"/>
          <w:lang w:eastAsia="en-US"/>
        </w:rPr>
      </w:pPr>
      <w:r w:rsidRPr="00513BE0">
        <w:rPr>
          <w:rFonts w:eastAsia="Calibri"/>
          <w:i/>
          <w:iCs/>
          <w:sz w:val="22"/>
          <w:szCs w:val="22"/>
          <w:lang w:eastAsia="en-US"/>
        </w:rPr>
        <w:tab/>
      </w:r>
    </w:p>
    <w:p w14:paraId="1531C875" w14:textId="77777777" w:rsidR="00F80D48" w:rsidRPr="00513BE0" w:rsidRDefault="00F80D48" w:rsidP="00F80D48">
      <w:pPr>
        <w:ind w:left="1134"/>
        <w:jc w:val="both"/>
        <w:rPr>
          <w:rFonts w:eastAsia="Calibri"/>
          <w:i/>
          <w:iCs/>
          <w:sz w:val="22"/>
          <w:szCs w:val="22"/>
          <w:lang w:eastAsia="en-US"/>
        </w:rPr>
      </w:pPr>
      <w:r w:rsidRPr="00513BE0">
        <w:rPr>
          <w:rFonts w:eastAsia="Calibri"/>
          <w:i/>
          <w:iCs/>
          <w:sz w:val="22"/>
          <w:szCs w:val="22"/>
          <w:lang w:eastAsia="en-US"/>
        </w:rPr>
        <w:t>Cuando la SUGEF, con base en una evaluación de los hechos y circunstancias, determine la existencia de una operación crediticia especial, debe comunicar a la entidad los motivos por los cuales considera que la operación crediticia es especial y debe otorgar un plazo máximo de cinco días hábiles para que la entidad presente los alegatos y pruebas que estime pertinentes. Contra la resolución final que dicte la SUGEF podrán interponerse los recursos ordinarios de revocatoria y apelación, según lo dispuesto en la Ley General de la Administración Pública.</w:t>
      </w:r>
      <w:r w:rsidRPr="00513BE0">
        <w:rPr>
          <w:rFonts w:eastAsia="Calibri"/>
          <w:sz w:val="22"/>
          <w:szCs w:val="22"/>
          <w:lang w:eastAsia="en-US"/>
        </w:rPr>
        <w:t>'</w:t>
      </w:r>
      <w:r w:rsidRPr="00513BE0">
        <w:rPr>
          <w:rFonts w:eastAsia="Calibri"/>
          <w:i/>
          <w:iCs/>
          <w:sz w:val="22"/>
          <w:szCs w:val="22"/>
          <w:lang w:eastAsia="en-US"/>
        </w:rPr>
        <w:t xml:space="preserve"> </w:t>
      </w:r>
    </w:p>
    <w:p w14:paraId="31E3F0A5" w14:textId="77777777" w:rsidR="00F80D48" w:rsidRPr="00513BE0" w:rsidRDefault="00F80D48" w:rsidP="00F80D48">
      <w:pPr>
        <w:ind w:left="720"/>
        <w:jc w:val="both"/>
        <w:rPr>
          <w:rFonts w:eastAsia="Calibri"/>
          <w:sz w:val="22"/>
          <w:szCs w:val="22"/>
          <w:lang w:eastAsia="en-US"/>
        </w:rPr>
      </w:pPr>
    </w:p>
    <w:p w14:paraId="1093B001" w14:textId="77777777" w:rsidR="00F80D48" w:rsidRPr="00513BE0" w:rsidRDefault="00F80D48" w:rsidP="00F80D48">
      <w:pPr>
        <w:spacing w:after="160" w:line="259" w:lineRule="auto"/>
        <w:ind w:left="708" w:hanging="282"/>
        <w:contextualSpacing/>
        <w:rPr>
          <w:b/>
          <w:bCs/>
          <w:sz w:val="22"/>
          <w:szCs w:val="22"/>
        </w:rPr>
      </w:pPr>
      <w:r w:rsidRPr="00513BE0">
        <w:rPr>
          <w:b/>
          <w:bCs/>
          <w:sz w:val="22"/>
          <w:szCs w:val="22"/>
        </w:rPr>
        <w:t>5.</w:t>
      </w:r>
      <w:r w:rsidRPr="00513BE0">
        <w:rPr>
          <w:b/>
          <w:bCs/>
          <w:sz w:val="22"/>
          <w:szCs w:val="22"/>
        </w:rPr>
        <w:tab/>
        <w:t>Añadir el Transitorio XXVII de acuerdo con el siguiente texto:</w:t>
      </w:r>
    </w:p>
    <w:p w14:paraId="0CD3C379" w14:textId="77777777" w:rsidR="00F80D48" w:rsidRPr="00513BE0" w:rsidRDefault="00F80D48" w:rsidP="00F80D48">
      <w:pPr>
        <w:ind w:left="720"/>
        <w:jc w:val="both"/>
        <w:rPr>
          <w:rFonts w:eastAsia="Calibri"/>
          <w:b/>
          <w:bCs/>
          <w:sz w:val="22"/>
          <w:szCs w:val="22"/>
          <w:lang w:eastAsia="en-US"/>
        </w:rPr>
      </w:pPr>
    </w:p>
    <w:p w14:paraId="32FEB9C5" w14:textId="77777777" w:rsidR="00F80D48" w:rsidRPr="00513BE0" w:rsidRDefault="00F80D48" w:rsidP="00F80D48">
      <w:pPr>
        <w:ind w:left="720"/>
        <w:jc w:val="both"/>
        <w:rPr>
          <w:rFonts w:eastAsia="Calibri"/>
          <w:b/>
          <w:bCs/>
          <w:sz w:val="22"/>
          <w:szCs w:val="22"/>
          <w:lang w:eastAsia="en-US"/>
        </w:rPr>
      </w:pPr>
      <w:r w:rsidRPr="00513BE0">
        <w:rPr>
          <w:rFonts w:eastAsia="Calibri"/>
          <w:sz w:val="22"/>
          <w:szCs w:val="22"/>
          <w:lang w:eastAsia="en-US"/>
        </w:rPr>
        <w:t>'</w:t>
      </w:r>
      <w:r w:rsidRPr="00513BE0">
        <w:rPr>
          <w:rFonts w:eastAsia="Calibri"/>
          <w:b/>
          <w:bCs/>
          <w:i/>
          <w:iCs/>
          <w:sz w:val="22"/>
          <w:szCs w:val="22"/>
          <w:lang w:eastAsia="en-US"/>
        </w:rPr>
        <w:t xml:space="preserve"> Transitorio XXVII</w:t>
      </w:r>
      <w:r w:rsidRPr="00513BE0">
        <w:rPr>
          <w:rFonts w:eastAsia="Calibri"/>
          <w:sz w:val="22"/>
          <w:szCs w:val="22"/>
          <w:lang w:eastAsia="en-US"/>
        </w:rPr>
        <w:t>:</w:t>
      </w:r>
    </w:p>
    <w:p w14:paraId="712998F9" w14:textId="77777777" w:rsidR="00F80D48" w:rsidRPr="00513BE0" w:rsidRDefault="00F80D48" w:rsidP="00F80D48">
      <w:pPr>
        <w:ind w:left="720"/>
        <w:jc w:val="both"/>
        <w:rPr>
          <w:rFonts w:eastAsia="Calibri"/>
          <w:sz w:val="22"/>
          <w:szCs w:val="22"/>
          <w:lang w:eastAsia="en-US"/>
        </w:rPr>
      </w:pPr>
      <w:r w:rsidRPr="00513BE0">
        <w:rPr>
          <w:rFonts w:eastAsia="Calibri"/>
          <w:sz w:val="22"/>
          <w:szCs w:val="22"/>
          <w:lang w:eastAsia="en-US"/>
        </w:rPr>
        <w:t>A partir del 1° de enero de 2023 y hasta el 31 de diciembre de 2023, inclusive, las estimaciones específicas que se liberen con motivo de estas modificaciones aprobadas en este Acuerdo no podrán reversarse contablemente contra los resultados del ejercicio, sino que únicamente podrá asignarse, en la respectiva cuantía, hacia incrementos en estimaciones específicas por concepto de deudores recalificados a las categorías de riesgo C1, C2, D y E según los artículos 10 y 11 del Acuerdo SUGEF 1-05.'</w:t>
      </w:r>
    </w:p>
    <w:p w14:paraId="63DE8390" w14:textId="77777777" w:rsidR="00F80D48" w:rsidRPr="00513BE0" w:rsidRDefault="00F80D48" w:rsidP="00F80D48">
      <w:pPr>
        <w:ind w:left="720"/>
        <w:jc w:val="both"/>
        <w:rPr>
          <w:rFonts w:eastAsia="Calibri"/>
          <w:sz w:val="22"/>
          <w:szCs w:val="22"/>
          <w:lang w:eastAsia="en-US"/>
        </w:rPr>
      </w:pPr>
    </w:p>
    <w:p w14:paraId="6A6A15EF" w14:textId="77777777" w:rsidR="00F80D48" w:rsidRPr="00513BE0" w:rsidRDefault="00F80D48" w:rsidP="00F80D48">
      <w:pPr>
        <w:widowControl w:val="0"/>
        <w:spacing w:after="120"/>
        <w:ind w:left="426" w:hanging="426"/>
        <w:jc w:val="both"/>
        <w:rPr>
          <w:b/>
          <w:bCs/>
          <w:sz w:val="22"/>
          <w:szCs w:val="22"/>
        </w:rPr>
      </w:pPr>
      <w:r w:rsidRPr="00513BE0">
        <w:rPr>
          <w:b/>
          <w:bCs/>
          <w:sz w:val="22"/>
          <w:szCs w:val="22"/>
        </w:rPr>
        <w:t>B.</w:t>
      </w:r>
      <w:r w:rsidRPr="00513BE0">
        <w:rPr>
          <w:b/>
          <w:bCs/>
          <w:sz w:val="22"/>
          <w:szCs w:val="22"/>
        </w:rPr>
        <w:tab/>
        <w:t xml:space="preserve"> En relación con el </w:t>
      </w:r>
      <w:r w:rsidRPr="00513BE0">
        <w:rPr>
          <w:b/>
          <w:bCs/>
          <w:i/>
          <w:iCs/>
          <w:sz w:val="22"/>
          <w:szCs w:val="22"/>
        </w:rPr>
        <w:t>Reglamento sobre Suficiencia Patrimonial de Entidades</w:t>
      </w:r>
      <w:r w:rsidRPr="00513BE0">
        <w:rPr>
          <w:b/>
          <w:bCs/>
          <w:sz w:val="22"/>
          <w:szCs w:val="22"/>
        </w:rPr>
        <w:t>, Acuerdo SUGEF 3-06:</w:t>
      </w:r>
    </w:p>
    <w:p w14:paraId="02D85DE0" w14:textId="77777777" w:rsidR="00F80D48" w:rsidRPr="00513BE0" w:rsidRDefault="00F80D48" w:rsidP="00F80D48">
      <w:pPr>
        <w:jc w:val="both"/>
        <w:rPr>
          <w:b/>
          <w:bCs/>
          <w:sz w:val="22"/>
          <w:szCs w:val="22"/>
        </w:rPr>
      </w:pPr>
    </w:p>
    <w:p w14:paraId="41960B01" w14:textId="77777777" w:rsidR="00F80D48" w:rsidRPr="00513BE0" w:rsidRDefault="00F80D48" w:rsidP="00F80D48">
      <w:pPr>
        <w:ind w:firstLine="426"/>
        <w:jc w:val="both"/>
        <w:rPr>
          <w:b/>
          <w:bCs/>
          <w:sz w:val="22"/>
          <w:szCs w:val="22"/>
        </w:rPr>
      </w:pPr>
      <w:r w:rsidRPr="00513BE0">
        <w:rPr>
          <w:b/>
          <w:bCs/>
          <w:sz w:val="22"/>
          <w:szCs w:val="22"/>
        </w:rPr>
        <w:t>1. Añadir el Transitorio XXII de acuerdo con el siguiente texto:</w:t>
      </w:r>
    </w:p>
    <w:p w14:paraId="3430FAC9" w14:textId="77777777" w:rsidR="00F80D48" w:rsidRPr="00513BE0" w:rsidRDefault="00F80D48" w:rsidP="00F80D48">
      <w:pPr>
        <w:ind w:firstLine="426"/>
        <w:jc w:val="both"/>
        <w:rPr>
          <w:sz w:val="22"/>
          <w:szCs w:val="22"/>
        </w:rPr>
      </w:pPr>
    </w:p>
    <w:p w14:paraId="5611BE32" w14:textId="77777777" w:rsidR="00F80D48" w:rsidRPr="00513BE0" w:rsidRDefault="00F80D48" w:rsidP="00F80D48">
      <w:pPr>
        <w:ind w:firstLine="426"/>
        <w:jc w:val="both"/>
        <w:rPr>
          <w:i/>
          <w:iCs/>
          <w:sz w:val="22"/>
          <w:szCs w:val="22"/>
        </w:rPr>
      </w:pPr>
      <w:r w:rsidRPr="00513BE0">
        <w:rPr>
          <w:sz w:val="22"/>
          <w:szCs w:val="22"/>
        </w:rPr>
        <w:t>'</w:t>
      </w:r>
      <w:r w:rsidRPr="00513BE0">
        <w:rPr>
          <w:b/>
          <w:bCs/>
          <w:i/>
          <w:iCs/>
          <w:sz w:val="22"/>
          <w:szCs w:val="22"/>
        </w:rPr>
        <w:t>Transitorio XXVI</w:t>
      </w:r>
    </w:p>
    <w:p w14:paraId="01BA6174" w14:textId="77777777" w:rsidR="00F80D48" w:rsidRPr="00513BE0" w:rsidRDefault="00F80D48" w:rsidP="00F80D48">
      <w:pPr>
        <w:ind w:left="426"/>
        <w:jc w:val="both"/>
        <w:rPr>
          <w:i/>
          <w:iCs/>
          <w:sz w:val="22"/>
          <w:szCs w:val="22"/>
        </w:rPr>
      </w:pPr>
      <w:r w:rsidRPr="00513BE0">
        <w:rPr>
          <w:i/>
          <w:iCs/>
          <w:sz w:val="22"/>
          <w:szCs w:val="22"/>
        </w:rPr>
        <w:t xml:space="preserve">Con fecha de corte al 31 de diciembre de 2022, y hasta el 31 de diciembre de 2024, los elementos indicados en los incisos </w:t>
      </w:r>
      <w:r w:rsidRPr="00513BE0">
        <w:rPr>
          <w:sz w:val="22"/>
          <w:szCs w:val="22"/>
        </w:rPr>
        <w:t>'</w:t>
      </w:r>
      <w:r w:rsidRPr="00513BE0">
        <w:rPr>
          <w:i/>
          <w:iCs/>
          <w:sz w:val="22"/>
          <w:szCs w:val="22"/>
        </w:rPr>
        <w:t>h) Resultado acumulado de ejercicios anteriores</w:t>
      </w:r>
      <w:r w:rsidRPr="00513BE0">
        <w:rPr>
          <w:sz w:val="22"/>
          <w:szCs w:val="22"/>
        </w:rPr>
        <w:t>'</w:t>
      </w:r>
      <w:r w:rsidRPr="00513BE0">
        <w:rPr>
          <w:i/>
          <w:iCs/>
          <w:sz w:val="22"/>
          <w:szCs w:val="22"/>
        </w:rPr>
        <w:t xml:space="preserve"> e </w:t>
      </w:r>
      <w:r w:rsidRPr="00513BE0">
        <w:rPr>
          <w:sz w:val="22"/>
          <w:szCs w:val="22"/>
        </w:rPr>
        <w:t>'</w:t>
      </w:r>
      <w:r w:rsidRPr="00513BE0">
        <w:rPr>
          <w:i/>
          <w:iCs/>
          <w:sz w:val="22"/>
          <w:szCs w:val="22"/>
        </w:rPr>
        <w:t>i. Resultado del periodo menos las deducciones que por ley correspondan</w:t>
      </w:r>
      <w:r w:rsidRPr="00513BE0">
        <w:rPr>
          <w:sz w:val="22"/>
          <w:szCs w:val="22"/>
        </w:rPr>
        <w:t>'</w:t>
      </w:r>
      <w:r w:rsidRPr="00513BE0">
        <w:rPr>
          <w:i/>
          <w:iCs/>
          <w:sz w:val="22"/>
          <w:szCs w:val="22"/>
        </w:rPr>
        <w:t xml:space="preserve">, del Artículo 7 </w:t>
      </w:r>
      <w:r w:rsidRPr="00513BE0">
        <w:rPr>
          <w:sz w:val="22"/>
          <w:szCs w:val="22"/>
        </w:rPr>
        <w:t>'</w:t>
      </w:r>
      <w:r w:rsidRPr="00513BE0">
        <w:rPr>
          <w:i/>
          <w:iCs/>
          <w:sz w:val="22"/>
          <w:szCs w:val="22"/>
        </w:rPr>
        <w:t>Capital Secundario</w:t>
      </w:r>
      <w:r w:rsidRPr="00513BE0">
        <w:rPr>
          <w:sz w:val="22"/>
          <w:szCs w:val="22"/>
        </w:rPr>
        <w:t>'</w:t>
      </w:r>
      <w:r w:rsidRPr="00513BE0">
        <w:rPr>
          <w:i/>
          <w:iCs/>
          <w:sz w:val="22"/>
          <w:szCs w:val="22"/>
        </w:rPr>
        <w:t xml:space="preserve"> de este Reglamento, pasarán a formar parte, respetando su signo positivo o negativo, de los componentes establecidos en el Artículo 6 'Capital Primario', de este Reglamento.</w:t>
      </w:r>
    </w:p>
    <w:p w14:paraId="66395816" w14:textId="77777777" w:rsidR="00F80D48" w:rsidRPr="00513BE0" w:rsidRDefault="00F80D48" w:rsidP="00F80D48">
      <w:pPr>
        <w:ind w:left="426"/>
        <w:jc w:val="both"/>
        <w:rPr>
          <w:i/>
          <w:iCs/>
          <w:sz w:val="22"/>
          <w:szCs w:val="22"/>
        </w:rPr>
      </w:pPr>
      <w:r w:rsidRPr="00513BE0">
        <w:rPr>
          <w:i/>
          <w:iCs/>
          <w:sz w:val="22"/>
          <w:szCs w:val="22"/>
        </w:rPr>
        <w:t>En las mismas fechas indicadas, el Capital Primario, considerando el ajuste a que se refiere el párrafo anterior, deberá mantenerse como mínimo en el 8.0% de los activos totales ponderados por riesgo de la entidad.</w:t>
      </w:r>
    </w:p>
    <w:p w14:paraId="40F51FA2" w14:textId="77777777" w:rsidR="00F80D48" w:rsidRPr="00513BE0" w:rsidRDefault="00F80D48" w:rsidP="00F80D48">
      <w:pPr>
        <w:ind w:left="426"/>
        <w:jc w:val="both"/>
        <w:rPr>
          <w:i/>
          <w:iCs/>
          <w:sz w:val="22"/>
          <w:szCs w:val="22"/>
        </w:rPr>
      </w:pPr>
      <w:r w:rsidRPr="00513BE0">
        <w:rPr>
          <w:i/>
          <w:iCs/>
          <w:sz w:val="22"/>
          <w:szCs w:val="22"/>
        </w:rPr>
        <w:t>Las entidades supervisadas por la SUGEF deberán mantener este nivel mínimo de Capital Primario al cierre de cada mes.</w:t>
      </w:r>
    </w:p>
    <w:p w14:paraId="16CB59F4" w14:textId="77777777" w:rsidR="00F80D48" w:rsidRPr="00513BE0" w:rsidRDefault="00F80D48" w:rsidP="00F80D48">
      <w:pPr>
        <w:ind w:left="426"/>
        <w:jc w:val="both"/>
        <w:rPr>
          <w:i/>
          <w:iCs/>
          <w:sz w:val="22"/>
          <w:szCs w:val="22"/>
        </w:rPr>
      </w:pPr>
      <w:r w:rsidRPr="00513BE0">
        <w:rPr>
          <w:i/>
          <w:iCs/>
          <w:sz w:val="22"/>
          <w:szCs w:val="22"/>
        </w:rPr>
        <w:t>En tanto el nivel del Capital Primario de la entidad se ubique por debajo del nivel mínimo establecido en este Transitorio, la entidad no podrá distribuir utilidades, excedentes u otros beneficios de similar naturaleza a sus socios, accionistas o asociados, así como la distribución de bonos, incentivos u otro tipo de compensación a los funcionarios o empleados de esta. Dichas distribuciones podrán realizarse siempre que el Capital Primario se ubique por encima del nivel mínimo establecido en este Transitorio y el Indicador de Suficiencia Patrimonial de la entidad se ubique por encima del 10%.</w:t>
      </w:r>
    </w:p>
    <w:p w14:paraId="12469FCA" w14:textId="77777777" w:rsidR="00F80D48" w:rsidRPr="00513BE0" w:rsidRDefault="00F80D48" w:rsidP="00F80D48">
      <w:pPr>
        <w:ind w:left="426"/>
        <w:jc w:val="both"/>
        <w:rPr>
          <w:sz w:val="22"/>
          <w:szCs w:val="22"/>
        </w:rPr>
      </w:pPr>
      <w:r w:rsidRPr="00513BE0">
        <w:rPr>
          <w:i/>
          <w:iCs/>
          <w:sz w:val="22"/>
          <w:szCs w:val="22"/>
        </w:rPr>
        <w:lastRenderedPageBreak/>
        <w:t>Adicionalmente, la Superintendencia solicitará a la entidad un Plan de Acción para restituir el nivel del Capital Primario al mínimo establecido en este Transitorio</w:t>
      </w:r>
      <w:r w:rsidRPr="00513BE0">
        <w:rPr>
          <w:sz w:val="22"/>
          <w:szCs w:val="22"/>
        </w:rPr>
        <w:t>.'</w:t>
      </w:r>
    </w:p>
    <w:p w14:paraId="3A6CBA10" w14:textId="77777777" w:rsidR="00F80D48" w:rsidRPr="00513BE0" w:rsidRDefault="00F80D48" w:rsidP="00F80D48">
      <w:pPr>
        <w:rPr>
          <w:i/>
          <w:iCs/>
          <w:sz w:val="22"/>
          <w:szCs w:val="22"/>
        </w:rPr>
      </w:pPr>
    </w:p>
    <w:p w14:paraId="782ABBB2" w14:textId="77777777" w:rsidR="00F80D48" w:rsidRPr="00513BE0" w:rsidRDefault="00F80D48" w:rsidP="00F80D48">
      <w:pPr>
        <w:rPr>
          <w:sz w:val="22"/>
          <w:szCs w:val="22"/>
        </w:rPr>
      </w:pPr>
      <w:r w:rsidRPr="00513BE0">
        <w:rPr>
          <w:i/>
          <w:iCs/>
          <w:sz w:val="22"/>
          <w:szCs w:val="22"/>
        </w:rPr>
        <w:t>Rige a partir de su publicación en el diario oficial La Gaceta”.</w:t>
      </w:r>
    </w:p>
    <w:p w14:paraId="52A652D4" w14:textId="77777777" w:rsidR="00A36D16" w:rsidRPr="00D37F6E" w:rsidRDefault="00A36D16" w:rsidP="005C6973">
      <w:pPr>
        <w:widowControl w:val="0"/>
        <w:jc w:val="both"/>
        <w:rPr>
          <w:sz w:val="24"/>
          <w:szCs w:val="24"/>
        </w:rPr>
      </w:pPr>
    </w:p>
    <w:p w14:paraId="167B2141" w14:textId="77777777" w:rsidR="00A36D16" w:rsidRPr="00D37F6E" w:rsidRDefault="00A36D16" w:rsidP="005C6973">
      <w:pPr>
        <w:widowControl w:val="0"/>
        <w:jc w:val="both"/>
        <w:rPr>
          <w:sz w:val="24"/>
          <w:szCs w:val="24"/>
        </w:rPr>
      </w:pPr>
    </w:p>
    <w:p w14:paraId="0CB76733" w14:textId="09ACAD83" w:rsidR="00A36D16" w:rsidRPr="00D37F6E" w:rsidRDefault="00F80D48" w:rsidP="005C6973">
      <w:pPr>
        <w:widowControl w:val="0"/>
        <w:jc w:val="both"/>
        <w:rPr>
          <w:sz w:val="24"/>
          <w:szCs w:val="24"/>
        </w:rPr>
      </w:pPr>
      <w:r>
        <w:rPr>
          <w:noProof/>
        </w:rPr>
        <w:drawing>
          <wp:anchor distT="0" distB="0" distL="114300" distR="114300" simplePos="0" relativeHeight="251657728" behindDoc="1" locked="0" layoutInCell="1" allowOverlap="0" wp14:anchorId="262995D0" wp14:editId="4D31C703">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72FEC5EC" w14:textId="77777777" w:rsidR="00901072" w:rsidRDefault="00901072" w:rsidP="00901072">
      <w:pPr>
        <w:widowControl w:val="0"/>
        <w:jc w:val="both"/>
        <w:rPr>
          <w:sz w:val="24"/>
          <w:szCs w:val="24"/>
        </w:rPr>
      </w:pPr>
      <w:r>
        <w:rPr>
          <w:sz w:val="24"/>
          <w:szCs w:val="24"/>
        </w:rPr>
        <w:br/>
      </w:r>
    </w:p>
    <w:p w14:paraId="32FBE9FE" w14:textId="77777777" w:rsidR="004D6CBF" w:rsidRDefault="004D6CBF" w:rsidP="004D6CBF">
      <w:pPr>
        <w:widowControl w:val="0"/>
        <w:jc w:val="both"/>
        <w:rPr>
          <w:sz w:val="24"/>
          <w:szCs w:val="24"/>
        </w:rPr>
      </w:pPr>
    </w:p>
    <w:p w14:paraId="054C8779" w14:textId="3C5CEAFE" w:rsidR="00A36D16" w:rsidRPr="00D37F6E" w:rsidRDefault="00F80D48" w:rsidP="004D6CBF">
      <w:pPr>
        <w:widowControl w:val="0"/>
        <w:jc w:val="both"/>
        <w:rPr>
          <w:sz w:val="24"/>
          <w:szCs w:val="24"/>
        </w:rPr>
      </w:pPr>
      <w:r>
        <w:rPr>
          <w:sz w:val="24"/>
          <w:szCs w:val="24"/>
        </w:rPr>
        <w:t>Jorge Luis Rivera Coto</w:t>
      </w:r>
    </w:p>
    <w:p w14:paraId="63F5EA65" w14:textId="6C4B1940" w:rsidR="00A36D16" w:rsidRPr="00D37F6E" w:rsidRDefault="00A36D16" w:rsidP="003510A8">
      <w:pPr>
        <w:widowControl w:val="0"/>
        <w:rPr>
          <w:b/>
          <w:i/>
          <w:sz w:val="24"/>
          <w:szCs w:val="24"/>
        </w:rPr>
      </w:pPr>
      <w:r w:rsidRPr="00D37F6E">
        <w:rPr>
          <w:b/>
          <w:i/>
          <w:sz w:val="24"/>
          <w:szCs w:val="24"/>
        </w:rPr>
        <w:t>Secretari</w:t>
      </w:r>
      <w:r w:rsidR="00F80D48">
        <w:rPr>
          <w:b/>
          <w:i/>
          <w:sz w:val="24"/>
          <w:szCs w:val="24"/>
        </w:rPr>
        <w:t>o</w:t>
      </w:r>
      <w:r w:rsidRPr="00D37F6E">
        <w:rPr>
          <w:b/>
          <w:i/>
          <w:sz w:val="24"/>
          <w:szCs w:val="24"/>
        </w:rPr>
        <w:t xml:space="preserve"> </w:t>
      </w:r>
      <w:r w:rsidR="0005722B">
        <w:rPr>
          <w:b/>
          <w:i/>
          <w:sz w:val="24"/>
          <w:szCs w:val="24"/>
        </w:rPr>
        <w:t>Interin</w:t>
      </w:r>
      <w:r w:rsidR="00F80D48">
        <w:rPr>
          <w:b/>
          <w:i/>
          <w:sz w:val="24"/>
          <w:szCs w:val="24"/>
        </w:rPr>
        <w:t>o</w:t>
      </w:r>
      <w:r w:rsidR="0005722B">
        <w:rPr>
          <w:b/>
          <w:i/>
          <w:sz w:val="24"/>
          <w:szCs w:val="24"/>
        </w:rPr>
        <w:t xml:space="preserve"> </w:t>
      </w:r>
      <w:r w:rsidRPr="00D37F6E">
        <w:rPr>
          <w:b/>
          <w:i/>
          <w:sz w:val="24"/>
          <w:szCs w:val="24"/>
        </w:rPr>
        <w:t>del Consejo</w:t>
      </w:r>
    </w:p>
    <w:p w14:paraId="6C2E22CB" w14:textId="77777777" w:rsidR="00A36D16" w:rsidRPr="00D37F6E" w:rsidRDefault="00A36D16" w:rsidP="005C6973">
      <w:pPr>
        <w:widowControl w:val="0"/>
        <w:jc w:val="both"/>
        <w:rPr>
          <w:sz w:val="24"/>
          <w:szCs w:val="24"/>
        </w:rPr>
      </w:pPr>
    </w:p>
    <w:p w14:paraId="40F9BA7C" w14:textId="77777777" w:rsidR="00304CB8" w:rsidRPr="00D37F6E" w:rsidRDefault="00304CB8" w:rsidP="00304CB8">
      <w:pPr>
        <w:widowControl w:val="0"/>
        <w:jc w:val="both"/>
        <w:rPr>
          <w:sz w:val="24"/>
          <w:szCs w:val="24"/>
          <w:lang w:val="es-CR"/>
        </w:rPr>
      </w:pPr>
    </w:p>
    <w:p w14:paraId="477400E3" w14:textId="77777777" w:rsidR="00304CB8" w:rsidRPr="00D37F6E" w:rsidRDefault="00304CB8" w:rsidP="00304CB8">
      <w:pPr>
        <w:widowControl w:val="0"/>
        <w:jc w:val="both"/>
        <w:rPr>
          <w:sz w:val="24"/>
          <w:szCs w:val="24"/>
          <w:lang w:val="es-CR"/>
        </w:rPr>
      </w:pPr>
    </w:p>
    <w:p w14:paraId="4852D623" w14:textId="77777777" w:rsidR="00304CB8" w:rsidRPr="00D37F6E" w:rsidRDefault="00304CB8" w:rsidP="00304CB8">
      <w:pPr>
        <w:widowControl w:val="0"/>
        <w:jc w:val="both"/>
        <w:rPr>
          <w:sz w:val="24"/>
          <w:szCs w:val="24"/>
          <w:lang w:val="es-CR"/>
        </w:rPr>
      </w:pPr>
    </w:p>
    <w:p w14:paraId="2CEDD61B" w14:textId="77777777" w:rsidR="00304CB8" w:rsidRPr="00D37F6E" w:rsidRDefault="00304CB8" w:rsidP="00304CB8">
      <w:pPr>
        <w:widowControl w:val="0"/>
        <w:jc w:val="both"/>
        <w:rPr>
          <w:sz w:val="24"/>
          <w:szCs w:val="24"/>
          <w:lang w:val="es-CR"/>
        </w:rPr>
      </w:pPr>
    </w:p>
    <w:p w14:paraId="67398ED6" w14:textId="77777777" w:rsidR="00A36D16" w:rsidRPr="005C6973" w:rsidRDefault="00A36D16" w:rsidP="005C6973">
      <w:pPr>
        <w:widowControl w:val="0"/>
        <w:jc w:val="both"/>
        <w:rPr>
          <w:sz w:val="22"/>
          <w:szCs w:val="22"/>
        </w:rPr>
      </w:pPr>
    </w:p>
    <w:sectPr w:rsidR="00A36D16" w:rsidRPr="005C6973" w:rsidSect="001D0382">
      <w:headerReference w:type="even" r:id="rId15"/>
      <w:headerReference w:type="default" r:id="rId16"/>
      <w:footerReference w:type="even" r:id="rId17"/>
      <w:footerReference w:type="default" r:id="rId18"/>
      <w:headerReference w:type="first" r:id="rId19"/>
      <w:footerReference w:type="first" r:id="rId20"/>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2E8AF" w14:textId="77777777" w:rsidR="00F80D48" w:rsidRDefault="00F80D48" w:rsidP="00290A93">
      <w:r>
        <w:separator/>
      </w:r>
    </w:p>
  </w:endnote>
  <w:endnote w:type="continuationSeparator" w:id="0">
    <w:p w14:paraId="1C5D2AF2" w14:textId="77777777" w:rsidR="00F80D48" w:rsidRDefault="00F80D48"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Mistral"/>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63C7" w14:textId="77777777" w:rsidR="003F16A6" w:rsidRDefault="003F1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ED5E" w14:textId="77777777" w:rsidR="001D0382" w:rsidRDefault="001D0382">
    <w:pPr>
      <w:pStyle w:val="Piedepgina"/>
      <w:jc w:val="right"/>
    </w:pPr>
    <w:r>
      <w:fldChar w:fldCharType="begin"/>
    </w:r>
    <w:r>
      <w:instrText>PAGE   \* MERGEFORMAT</w:instrText>
    </w:r>
    <w:r>
      <w:fldChar w:fldCharType="separate"/>
    </w:r>
    <w:r>
      <w:t>2</w:t>
    </w:r>
    <w:r>
      <w:fldChar w:fldCharType="end"/>
    </w:r>
  </w:p>
  <w:p w14:paraId="3BFF10B5"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1742" w14:textId="77777777" w:rsidR="003F16A6" w:rsidRDefault="003F16A6">
    <w:pPr>
      <w:pStyle w:val="Piedepgina"/>
      <w:jc w:val="center"/>
    </w:pPr>
    <w:r>
      <w:fldChar w:fldCharType="begin"/>
    </w:r>
    <w:r>
      <w:instrText>PAGE   \* MERGEFORMAT</w:instrText>
    </w:r>
    <w:r>
      <w:fldChar w:fldCharType="separate"/>
    </w:r>
    <w:r>
      <w:t>2</w:t>
    </w:r>
    <w:r>
      <w:fldChar w:fldCharType="end"/>
    </w:r>
  </w:p>
  <w:p w14:paraId="2D2BFE98"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51FE3" w14:textId="77777777" w:rsidR="00F80D48" w:rsidRDefault="00F80D48" w:rsidP="00290A93">
      <w:r>
        <w:separator/>
      </w:r>
    </w:p>
  </w:footnote>
  <w:footnote w:type="continuationSeparator" w:id="0">
    <w:p w14:paraId="4684C242" w14:textId="77777777" w:rsidR="00F80D48" w:rsidRDefault="00F80D48"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5048E" w14:textId="77777777" w:rsidR="003F16A6" w:rsidRDefault="003F16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B81E" w14:textId="1686E867" w:rsidR="00D33020" w:rsidRDefault="00F80D48">
    <w:pPr>
      <w:pStyle w:val="Encabezado"/>
    </w:pPr>
    <w:r>
      <w:rPr>
        <w:noProof/>
        <w:lang w:val="es-CR" w:eastAsia="es-CR"/>
      </w:rPr>
      <w:drawing>
        <wp:anchor distT="0" distB="0" distL="114300" distR="114300" simplePos="0" relativeHeight="251657216" behindDoc="0" locked="0" layoutInCell="1" allowOverlap="1" wp14:anchorId="695A58B6" wp14:editId="42857FDC">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FF42" w14:textId="527D8304" w:rsidR="001D683F" w:rsidRDefault="00F80D48">
    <w:pPr>
      <w:pStyle w:val="Encabezado"/>
    </w:pPr>
    <w:r>
      <w:rPr>
        <w:noProof/>
      </w:rPr>
      <w:drawing>
        <wp:anchor distT="0" distB="0" distL="114300" distR="114300" simplePos="0" relativeHeight="251658240" behindDoc="0" locked="0" layoutInCell="1" allowOverlap="1" wp14:anchorId="4A0A352E" wp14:editId="611735F3">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D48"/>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818E99"/>
  <w15:chartTrackingRefBased/>
  <w15:docId w15:val="{2FABC9C4-DCA3-4FEF-912B-578525A4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table" w:customStyle="1" w:styleId="TableGrid1">
    <w:name w:val="TableGrid1"/>
    <w:rsid w:val="00F80D48"/>
    <w:rPr>
      <w:rFonts w:eastAsia="Times New Roman"/>
      <w:sz w:val="22"/>
      <w:szCs w:val="22"/>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12">
      <w:bodyDiv w:val="1"/>
      <w:marLeft w:val="0"/>
      <w:marRight w:val="0"/>
      <w:marTop w:val="0"/>
      <w:marBottom w:val="0"/>
      <w:divBdr>
        <w:top w:val="none" w:sz="0" w:space="0" w:color="auto"/>
        <w:left w:val="none" w:sz="0" w:space="0" w:color="auto"/>
        <w:bottom w:val="none" w:sz="0" w:space="0" w:color="auto"/>
        <w:right w:val="none" w:sz="0" w:space="0" w:color="auto"/>
      </w:divBdr>
    </w:div>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SCZaPfvbUE+7ZorZB2m7yr1I0VDCoaZ6Jsauh47P8iA=</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43Vtgtsp2nzsD4+f98PTxJ86Mr+XGjNqNhiCEFWYgV8=</DigestValue>
    </Reference>
  </SignedInfo>
  <SignatureValue>oErc+H/z6By9FYgbLsf4gPWjSXOSTDar0Gvd/Xit/r7XzEsJB5xHjAbc8LMARp84f87KmR4zimJo
KvhqzF9W2wznwdHSJfowULgAqWWariq9V3mec1Bta0uhlKXvI+KQOIfJp/+oBhkfzq8VHjzlyQ9s
xGNpRp3DmhOK5sYK9a+60XFBLXtj/P4wc4D+o4s4QgQUyFYhok31VMop9RePhcZyF8SBFH3hpxCT
3EHeg6eBIDBO/12pJLRayTYiu6yosbIy9gAvaXWLSQOHs9rFfvx/x5xTK4QGteRqXWJBBtLoqBn1
RFUExMZoS/81fQjCWbmuAS/nlJ+VBqUjaSh91A==</SignatureValue>
  <KeyInfo>
    <X509Data>
      <X509Certificate>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N12jM1SW3vSGOv1c6LGdp9w/WzRgCGPPCFH0BRKYQjPDNNGoClasMwA6riciQFiYmTh95t9k7lTQ7FBGMPNHiuHQTfFitPAG4KEUmBYC4GgcOFAmMwzpiCLyr4+/LTGwwo5jEHJxERyKA1+qpr8SousFeWMFovdGuvMxV91i4rPtI9IEd6wij3H0LAuG0yF0kFoukgBUkJqhCUyGqwkzvwvd41fvTqbjpbq/i0SVdlXh0Q1MjFUcKruXLqkGU8v+S228Em75BZlTQPs0BOA2fAkroi95sbP6WhzED1eTarMZc9cPl96m5jWRSLhQCYT0lxm1mRLdqxjqBaB6raYG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ldqj6GNHGKLK/Lyf8M70OQHT06OOcTTKJds/W/RfPxg=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04ibqeIboakaZblkKLDxBwNdLYCNFwy5g4ETMliLWa8=</DigestValue>
      </Reference>
      <Reference URI="/word/endnotes.xml?ContentType=application/vnd.openxmlformats-officedocument.wordprocessingml.endnotes+xml">
        <DigestMethod Algorithm="http://www.w3.org/2001/04/xmlenc#sha256"/>
        <DigestValue>5sQfZqRJqLDTL/8jYEMsMKx27GAfpD/V9R2DSrWXyKE=</DigestValue>
      </Reference>
      <Reference URI="/word/fontTable.xml?ContentType=application/vnd.openxmlformats-officedocument.wordprocessingml.fontTable+xml">
        <DigestMethod Algorithm="http://www.w3.org/2001/04/xmlenc#sha256"/>
        <DigestValue>HpZrFZlmVWI9HsReI/xKWVHeHhuySOB+XoD+er4ylmQ=</DigestValue>
      </Reference>
      <Reference URI="/word/footer1.xml?ContentType=application/vnd.openxmlformats-officedocument.wordprocessingml.footer+xml">
        <DigestMethod Algorithm="http://www.w3.org/2001/04/xmlenc#sha256"/>
        <DigestValue>E/WpTGhSR4Enmk6oycnoCNjyoMv3id2/+yyaQrEbdGM=</DigestValue>
      </Reference>
      <Reference URI="/word/footer2.xml?ContentType=application/vnd.openxmlformats-officedocument.wordprocessingml.footer+xml">
        <DigestMethod Algorithm="http://www.w3.org/2001/04/xmlenc#sha256"/>
        <DigestValue>5dFxHcmNfYBDKTuox3i0WdaKg/sSYgSEkFdfaXNcvq4=</DigestValue>
      </Reference>
      <Reference URI="/word/footer3.xml?ContentType=application/vnd.openxmlformats-officedocument.wordprocessingml.footer+xml">
        <DigestMethod Algorithm="http://www.w3.org/2001/04/xmlenc#sha256"/>
        <DigestValue>2JgOReW0t3Ja4g5RnJGty1Eafdr9WWRm2nEdyTjKAEk=</DigestValue>
      </Reference>
      <Reference URI="/word/footnotes.xml?ContentType=application/vnd.openxmlformats-officedocument.wordprocessingml.footnotes+xml">
        <DigestMethod Algorithm="http://www.w3.org/2001/04/xmlenc#sha256"/>
        <DigestValue>JTRoBxG6JMPhqAFycghLzAKXCmxAxQi1H0UZqHh+s38=</DigestValue>
      </Reference>
      <Reference URI="/word/header1.xml?ContentType=application/vnd.openxmlformats-officedocument.wordprocessingml.header+xml">
        <DigestMethod Algorithm="http://www.w3.org/2001/04/xmlenc#sha256"/>
        <DigestValue>ikvIfT/BxqC2rCAPK00meJW9FvA3cSWZPOeFOTugaAg=</DigestValue>
      </Reference>
      <Reference URI="/word/header2.xml?ContentType=application/vnd.openxmlformats-officedocument.wordprocessingml.header+xml">
        <DigestMethod Algorithm="http://www.w3.org/2001/04/xmlenc#sha256"/>
        <DigestValue>8mVwQh60bvp/woYpZ02w9EIeSsGwtYPprKc1qHFK8zc=</DigestValue>
      </Reference>
      <Reference URI="/word/header3.xml?ContentType=application/vnd.openxmlformats-officedocument.wordprocessingml.header+xml">
        <DigestMethod Algorithm="http://www.w3.org/2001/04/xmlenc#sha256"/>
        <DigestValue>U58GfXRb5YuAkpcbqGvxpZBvIO3HGYjFsfqeW/haOE4=</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mdjen3aNtEsyIQXrbTNrnFwZqBXPR7AJQGlO0RC/h6g=</DigestValue>
      </Reference>
      <Reference URI="/word/settings.xml?ContentType=application/vnd.openxmlformats-officedocument.wordprocessingml.settings+xml">
        <DigestMethod Algorithm="http://www.w3.org/2001/04/xmlenc#sha256"/>
        <DigestValue>FIrtphTQ8bx7+ZEJkP976iC2rShXSIT3hnkNIEtJNYc=</DigestValue>
      </Reference>
      <Reference URI="/word/styles.xml?ContentType=application/vnd.openxmlformats-officedocument.wordprocessingml.styles+xml">
        <DigestMethod Algorithm="http://www.w3.org/2001/04/xmlenc#sha256"/>
        <DigestValue>WUEn26pAAnXGsmxVgaPlkkCvDWCXJccsB2INcNe2/M4=</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EEeM1RhPGouAVv4UBc64uhPHy80Dyux0eZVuGG5koYY=</DigestValue>
      </Reference>
    </Manifest>
    <SignatureProperties>
      <SignatureProperty Id="idSignatureTime" Target="#idPackageSignature">
        <mdssi:SignatureTime xmlns:mdssi="http://schemas.openxmlformats.org/package/2006/digital-signature">
          <mdssi:Format>YYYY-MM-DDThh:mm:ssTZD</mdssi:Format>
          <mdssi:Value>2022-11-04T22:57:53Z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2022-11-04T22:57:53Z</xd:SigningTime>
          <xd:SigningCertificate>
            <xd:Cert>
              <xd:CertDigest>
                <DigestMethod Algorithm="http://www.w3.org/2001/04/xmlenc#sha256"/>
                <DigestValue>EERinJWVO090vYrRbrmt7XHlkbz2tbXPXfpkwWCMF9I=</DigestValue>
              </xd:CertDigest>
              <xd:IssuerSerial>
                <X509IssuerName>CN=CA SINPE - PERSONA FISICA v2, OU=DIVISION SISTEMAS DE PAGO, O=BANCO CENTRAL DE COSTA RICA, C=CR, SERIALNUMBER=CPJ-4-000-004017</X509IssuerName>
                <X509SerialNumber>446018055384736080575810096121951106875605724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ouMzB8S3PFzrdQTV19CiHX9vTcQXuEcqxerSZ6V2jwCBBF0rdQYDzIwMjIxMTA0MjI1Nz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4dG6W5tWyBpRhC6kzbyBv3mbGuc=</xd:ByKey>
                  </xd:ResponderID>
                  <xd:ProducedAt>2022-11-04T22:39:41Z</xd:ProducedAt>
                </xd:OCSPIdentifier>
                <xd:DigestAlgAndValue>
                  <DigestMethod Algorithm="http://www.w3.org/2001/04/xmlenc#sha256"/>
                  <DigestValue>snDujhBrxYBQk26SvbK9lS9APpZsU1f+x1A/tzgP/fs=</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H2L7Rp4LNd+MURS3e+JlI8J0fMoUg6B+rD8NiCO0JcCBBF0rdcYDzIwMjIxMTA0MjI1Nz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11-Noviembre</Mes>
    <_x002d_ xmlns="96c239bb-9668-4681-985a-a7d7030fe907" xsi:nil="true"/>
    <A_x00f1_o xmlns="96c239bb-9668-4681-985a-a7d7030fe907">2022</A_x00f1_o>
    <Sesi_x00f3_n xmlns="96c239bb-9668-4681-985a-a7d7030fe907">1767</Sesi_x00f3_n>
  </documentManagement>
</p:properties>
</file>

<file path=customXml/itemProps1.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2.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3.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customXml/itemProps4.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B0964F-1A44-4B8D-8A4C-1227F9DDC8E6}">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96c239bb-9668-4681-985a-a7d7030fe90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2998</Words>
  <Characters>16491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CARRANZA TOVAL EVELYN</dc:creator>
  <cp:keywords/>
  <cp:lastModifiedBy>CARRANZA TOVAL EVELYN</cp:lastModifiedBy>
  <cp:revision>1</cp:revision>
  <cp:lastPrinted>2013-01-30T22:12:00Z</cp:lastPrinted>
  <dcterms:created xsi:type="dcterms:W3CDTF">2022-11-04T22:32:00Z</dcterms:created>
  <dcterms:modified xsi:type="dcterms:W3CDTF">2022-11-04T22:38:00Z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ies>
</file>