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FE6CB" w14:textId="0D6B32FB" w:rsidR="00EC529F" w:rsidRPr="00144513" w:rsidRDefault="00144513" w:rsidP="00EC529F">
      <w:pPr>
        <w:tabs>
          <w:tab w:val="left" w:pos="2843"/>
        </w:tabs>
        <w:spacing w:before="0" w:after="0" w:line="240" w:lineRule="auto"/>
        <w:jc w:val="center"/>
        <w:rPr>
          <w:rFonts w:ascii="Arial" w:hAnsi="Arial" w:cs="Arial"/>
          <w:b/>
          <w:bCs/>
          <w:szCs w:val="22"/>
        </w:rPr>
      </w:pPr>
      <w:r w:rsidRPr="00144513">
        <w:rPr>
          <w:rFonts w:ascii="Arial" w:hAnsi="Arial" w:cs="Arial"/>
          <w:b/>
          <w:bCs/>
          <w:szCs w:val="22"/>
        </w:rPr>
        <w:t>RESOLUCIÓN DE SUPERINTENDENCIA GENERAL DE ENTIDADES FINANCIERAS</w:t>
      </w:r>
    </w:p>
    <w:p w14:paraId="368BE445" w14:textId="77777777" w:rsidR="00890284" w:rsidRDefault="00000000" w:rsidP="00890284">
      <w:pPr>
        <w:tabs>
          <w:tab w:val="left" w:pos="2843"/>
        </w:tabs>
        <w:spacing w:before="0" w:after="0" w:line="240" w:lineRule="auto"/>
        <w:jc w:val="center"/>
        <w:rPr>
          <w:rFonts w:ascii="Arial" w:hAnsi="Arial" w:cs="Arial"/>
          <w:szCs w:val="22"/>
        </w:rPr>
      </w:pPr>
      <w:sdt>
        <w:sdtPr>
          <w:rPr>
            <w:rFonts w:ascii="Arial" w:hAnsi="Arial" w:cs="Arial"/>
            <w:szCs w:val="22"/>
          </w:rPr>
          <w:alias w:val="Consecutivo"/>
          <w:tag w:val="Consecutivo"/>
          <w:id w:val="2052717023"/>
          <w:placeholder>
            <w:docPart w:val="FF69C54830724E9DA436EDD426B4DB79"/>
          </w:placeholder>
          <w:temporary/>
          <w:text/>
        </w:sdtPr>
        <w:sdtContent>
          <w:r w:rsidR="00EC529F" w:rsidRPr="006B4F01">
            <w:rPr>
              <w:rFonts w:ascii="Arial" w:hAnsi="Arial" w:cs="Arial"/>
              <w:szCs w:val="22"/>
            </w:rPr>
            <w:t>SGF-RES-0024-2026</w:t>
          </w:r>
        </w:sdtContent>
      </w:sdt>
    </w:p>
    <w:p w14:paraId="6FC332AB" w14:textId="2B640120" w:rsidR="00144513" w:rsidRPr="00890284" w:rsidRDefault="00890284" w:rsidP="00890284">
      <w:pPr>
        <w:tabs>
          <w:tab w:val="left" w:pos="2843"/>
        </w:tabs>
        <w:spacing w:before="0" w:after="0" w:line="240" w:lineRule="auto"/>
        <w:jc w:val="center"/>
        <w:rPr>
          <w:rFonts w:ascii="Arial" w:hAnsi="Arial" w:cs="Arial"/>
          <w:szCs w:val="22"/>
        </w:rPr>
      </w:pPr>
      <w:r w:rsidRPr="00890284">
        <w:rPr>
          <w:rFonts w:asciiTheme="majorHAnsi" w:hAnsiTheme="majorHAnsi" w:cstheme="majorHAnsi"/>
          <w:szCs w:val="22"/>
        </w:rPr>
        <w:t>22 de junio de 2026</w:t>
      </w:r>
    </w:p>
    <w:p w14:paraId="0FD7BAD1" w14:textId="648F7D34" w:rsidR="009C192E" w:rsidRPr="009C192E" w:rsidRDefault="009C192E" w:rsidP="009C192E">
      <w:pPr>
        <w:widowControl w:val="0"/>
        <w:jc w:val="left"/>
        <w:rPr>
          <w:rFonts w:asciiTheme="majorHAnsi" w:hAnsiTheme="majorHAnsi" w:cstheme="majorHAnsi"/>
          <w:b/>
          <w:bCs/>
          <w:szCs w:val="22"/>
        </w:rPr>
      </w:pPr>
      <w:r w:rsidRPr="009C192E">
        <w:rPr>
          <w:rFonts w:asciiTheme="majorHAnsi" w:hAnsiTheme="majorHAnsi" w:cstheme="majorHAnsi"/>
          <w:b/>
          <w:bCs/>
          <w:szCs w:val="22"/>
        </w:rPr>
        <w:t xml:space="preserve">Dirigida a: </w:t>
      </w:r>
    </w:p>
    <w:p w14:paraId="62269022" w14:textId="77777777" w:rsidR="009C192E" w:rsidRPr="009C192E" w:rsidRDefault="009C192E" w:rsidP="00681541">
      <w:pPr>
        <w:pStyle w:val="Prrafodelista"/>
        <w:widowControl w:val="0"/>
        <w:numPr>
          <w:ilvl w:val="0"/>
          <w:numId w:val="19"/>
        </w:numPr>
        <w:ind w:left="284" w:firstLine="0"/>
        <w:contextualSpacing w:val="0"/>
        <w:jc w:val="left"/>
        <w:rPr>
          <w:rFonts w:asciiTheme="majorHAnsi" w:hAnsiTheme="majorHAnsi" w:cstheme="majorHAnsi"/>
          <w:sz w:val="22"/>
          <w:szCs w:val="22"/>
        </w:rPr>
      </w:pPr>
      <w:r w:rsidRPr="009C192E">
        <w:rPr>
          <w:rFonts w:asciiTheme="majorHAnsi" w:hAnsiTheme="majorHAnsi" w:cstheme="majorHAnsi"/>
          <w:sz w:val="22"/>
          <w:szCs w:val="22"/>
        </w:rPr>
        <w:t>Bancos comerciales del estado</w:t>
      </w:r>
    </w:p>
    <w:p w14:paraId="7C7448A2" w14:textId="77777777" w:rsidR="009C192E" w:rsidRPr="009C192E" w:rsidRDefault="009C192E" w:rsidP="00681541">
      <w:pPr>
        <w:pStyle w:val="Prrafodelista"/>
        <w:widowControl w:val="0"/>
        <w:numPr>
          <w:ilvl w:val="0"/>
          <w:numId w:val="19"/>
        </w:numPr>
        <w:ind w:left="284" w:firstLine="0"/>
        <w:contextualSpacing w:val="0"/>
        <w:jc w:val="left"/>
        <w:rPr>
          <w:rFonts w:asciiTheme="majorHAnsi" w:hAnsiTheme="majorHAnsi" w:cstheme="majorHAnsi"/>
          <w:sz w:val="22"/>
          <w:szCs w:val="22"/>
        </w:rPr>
      </w:pPr>
      <w:r w:rsidRPr="009C192E">
        <w:rPr>
          <w:rFonts w:asciiTheme="majorHAnsi" w:hAnsiTheme="majorHAnsi" w:cstheme="majorHAnsi"/>
          <w:sz w:val="22"/>
          <w:szCs w:val="22"/>
        </w:rPr>
        <w:t>Bancos creados por ley especial</w:t>
      </w:r>
    </w:p>
    <w:p w14:paraId="1413585B" w14:textId="77777777" w:rsidR="009C192E" w:rsidRPr="009C192E" w:rsidRDefault="009C192E" w:rsidP="00681541">
      <w:pPr>
        <w:pStyle w:val="Prrafodelista"/>
        <w:widowControl w:val="0"/>
        <w:numPr>
          <w:ilvl w:val="0"/>
          <w:numId w:val="19"/>
        </w:numPr>
        <w:ind w:left="284" w:firstLine="0"/>
        <w:contextualSpacing w:val="0"/>
        <w:jc w:val="left"/>
        <w:rPr>
          <w:rFonts w:asciiTheme="majorHAnsi" w:hAnsiTheme="majorHAnsi" w:cstheme="majorHAnsi"/>
          <w:sz w:val="22"/>
          <w:szCs w:val="22"/>
        </w:rPr>
      </w:pPr>
      <w:r w:rsidRPr="009C192E">
        <w:rPr>
          <w:rFonts w:asciiTheme="majorHAnsi" w:hAnsiTheme="majorHAnsi" w:cstheme="majorHAnsi"/>
          <w:sz w:val="22"/>
          <w:szCs w:val="22"/>
        </w:rPr>
        <w:t>Bancos privados</w:t>
      </w:r>
    </w:p>
    <w:p w14:paraId="453144F2" w14:textId="77777777" w:rsidR="009C192E" w:rsidRPr="009C192E" w:rsidRDefault="009C192E" w:rsidP="00681541">
      <w:pPr>
        <w:pStyle w:val="Prrafodelista"/>
        <w:widowControl w:val="0"/>
        <w:numPr>
          <w:ilvl w:val="0"/>
          <w:numId w:val="19"/>
        </w:numPr>
        <w:ind w:left="284" w:firstLine="0"/>
        <w:contextualSpacing w:val="0"/>
        <w:jc w:val="left"/>
        <w:rPr>
          <w:rFonts w:asciiTheme="majorHAnsi" w:hAnsiTheme="majorHAnsi" w:cstheme="majorHAnsi"/>
          <w:sz w:val="22"/>
          <w:szCs w:val="22"/>
        </w:rPr>
      </w:pPr>
      <w:r w:rsidRPr="009C192E">
        <w:rPr>
          <w:rFonts w:asciiTheme="majorHAnsi" w:hAnsiTheme="majorHAnsi" w:cstheme="majorHAnsi"/>
          <w:sz w:val="22"/>
          <w:szCs w:val="22"/>
        </w:rPr>
        <w:t>Empresas financieras no bancarias</w:t>
      </w:r>
    </w:p>
    <w:p w14:paraId="0E2EC000" w14:textId="77777777" w:rsidR="009C192E" w:rsidRPr="009C192E" w:rsidRDefault="009C192E" w:rsidP="00681541">
      <w:pPr>
        <w:pStyle w:val="Prrafodelista"/>
        <w:widowControl w:val="0"/>
        <w:numPr>
          <w:ilvl w:val="0"/>
          <w:numId w:val="19"/>
        </w:numPr>
        <w:ind w:left="284" w:firstLine="0"/>
        <w:contextualSpacing w:val="0"/>
        <w:jc w:val="left"/>
        <w:rPr>
          <w:rFonts w:asciiTheme="majorHAnsi" w:hAnsiTheme="majorHAnsi" w:cstheme="majorHAnsi"/>
          <w:sz w:val="22"/>
          <w:szCs w:val="22"/>
        </w:rPr>
      </w:pPr>
      <w:r w:rsidRPr="009C192E">
        <w:rPr>
          <w:rFonts w:asciiTheme="majorHAnsi" w:hAnsiTheme="majorHAnsi" w:cstheme="majorHAnsi"/>
          <w:sz w:val="22"/>
          <w:szCs w:val="22"/>
        </w:rPr>
        <w:t>Organizaciones cooperativas de ahorro y crédito</w:t>
      </w:r>
    </w:p>
    <w:p w14:paraId="32886970" w14:textId="77777777" w:rsidR="009C192E" w:rsidRPr="009C192E" w:rsidRDefault="009C192E" w:rsidP="00681541">
      <w:pPr>
        <w:pStyle w:val="Prrafodelista"/>
        <w:widowControl w:val="0"/>
        <w:numPr>
          <w:ilvl w:val="0"/>
          <w:numId w:val="19"/>
        </w:numPr>
        <w:ind w:left="284" w:firstLine="0"/>
        <w:contextualSpacing w:val="0"/>
        <w:jc w:val="left"/>
        <w:rPr>
          <w:rFonts w:asciiTheme="majorHAnsi" w:hAnsiTheme="majorHAnsi" w:cstheme="majorHAnsi"/>
          <w:sz w:val="22"/>
          <w:szCs w:val="22"/>
        </w:rPr>
      </w:pPr>
      <w:r w:rsidRPr="009C192E">
        <w:rPr>
          <w:rFonts w:asciiTheme="majorHAnsi" w:hAnsiTheme="majorHAnsi" w:cstheme="majorHAnsi"/>
          <w:sz w:val="22"/>
          <w:szCs w:val="22"/>
        </w:rPr>
        <w:t>Asociaciones mutualistas de ahorro y préstamo</w:t>
      </w:r>
    </w:p>
    <w:p w14:paraId="3641B253" w14:textId="77777777" w:rsidR="009C192E" w:rsidRPr="009C192E" w:rsidRDefault="009C192E" w:rsidP="00681541">
      <w:pPr>
        <w:pStyle w:val="Prrafodelista"/>
        <w:widowControl w:val="0"/>
        <w:numPr>
          <w:ilvl w:val="0"/>
          <w:numId w:val="19"/>
        </w:numPr>
        <w:spacing w:after="240"/>
        <w:ind w:left="284" w:firstLine="0"/>
        <w:contextualSpacing w:val="0"/>
        <w:jc w:val="left"/>
        <w:rPr>
          <w:rFonts w:asciiTheme="majorHAnsi" w:hAnsiTheme="majorHAnsi" w:cstheme="majorHAnsi"/>
          <w:sz w:val="22"/>
          <w:szCs w:val="22"/>
        </w:rPr>
      </w:pPr>
      <w:r w:rsidRPr="009C192E">
        <w:rPr>
          <w:rFonts w:asciiTheme="majorHAnsi" w:hAnsiTheme="majorHAnsi" w:cstheme="majorHAnsi"/>
          <w:sz w:val="22"/>
          <w:szCs w:val="22"/>
        </w:rPr>
        <w:t>Caja de Ande</w:t>
      </w:r>
    </w:p>
    <w:p w14:paraId="1162DC51" w14:textId="77777777" w:rsidR="009C192E" w:rsidRPr="009C192E" w:rsidRDefault="009C192E" w:rsidP="009C192E">
      <w:pPr>
        <w:widowControl w:val="0"/>
        <w:ind w:left="1134" w:hanging="1134"/>
        <w:rPr>
          <w:rFonts w:asciiTheme="majorHAnsi" w:hAnsiTheme="majorHAnsi" w:cstheme="majorHAnsi"/>
          <w:szCs w:val="22"/>
        </w:rPr>
      </w:pPr>
      <w:r w:rsidRPr="009C192E">
        <w:rPr>
          <w:rFonts w:asciiTheme="majorHAnsi" w:hAnsiTheme="majorHAnsi" w:cstheme="majorHAnsi"/>
          <w:b/>
          <w:bCs/>
          <w:szCs w:val="22"/>
        </w:rPr>
        <w:t>Asunto</w:t>
      </w:r>
      <w:r w:rsidRPr="009C192E">
        <w:rPr>
          <w:rFonts w:asciiTheme="majorHAnsi" w:hAnsiTheme="majorHAnsi" w:cstheme="majorHAnsi"/>
          <w:szCs w:val="22"/>
        </w:rPr>
        <w:t>:</w:t>
      </w:r>
      <w:r w:rsidRPr="009C192E">
        <w:rPr>
          <w:rFonts w:asciiTheme="majorHAnsi" w:hAnsiTheme="majorHAnsi" w:cstheme="majorHAnsi"/>
          <w:szCs w:val="22"/>
        </w:rPr>
        <w:tab/>
        <w:t>Envío a consulta los Lineamientos Generales para la aplicación del</w:t>
      </w:r>
      <w:r w:rsidRPr="009C192E">
        <w:rPr>
          <w:rFonts w:asciiTheme="majorHAnsi" w:hAnsiTheme="majorHAnsi" w:cstheme="majorHAnsi"/>
          <w:i/>
          <w:iCs/>
          <w:szCs w:val="22"/>
        </w:rPr>
        <w:t xml:space="preserve"> Reglamento sobre Cálculo de Estimaciones Crediticias, </w:t>
      </w:r>
      <w:r w:rsidRPr="009C192E">
        <w:rPr>
          <w:rFonts w:asciiTheme="majorHAnsi" w:hAnsiTheme="majorHAnsi" w:cstheme="majorHAnsi"/>
          <w:szCs w:val="22"/>
        </w:rPr>
        <w:t>Acuerdo SUGEF 1-26.</w:t>
      </w:r>
    </w:p>
    <w:p w14:paraId="18AAD1D1" w14:textId="77777777" w:rsidR="009C192E" w:rsidRPr="009C192E" w:rsidRDefault="009C192E" w:rsidP="009C192E">
      <w:pPr>
        <w:widowControl w:val="0"/>
        <w:jc w:val="left"/>
        <w:rPr>
          <w:rFonts w:asciiTheme="majorHAnsi" w:hAnsiTheme="majorHAnsi" w:cstheme="majorHAnsi"/>
          <w:b/>
          <w:bCs/>
          <w:szCs w:val="22"/>
        </w:rPr>
      </w:pPr>
      <w:r w:rsidRPr="009C192E">
        <w:rPr>
          <w:rFonts w:asciiTheme="majorHAnsi" w:hAnsiTheme="majorHAnsi" w:cstheme="majorHAnsi"/>
          <w:b/>
          <w:bCs/>
          <w:szCs w:val="22"/>
        </w:rPr>
        <w:t xml:space="preserve">La Superintendente General de Entidades Financieras, </w:t>
      </w:r>
    </w:p>
    <w:p w14:paraId="6C3FEFDA" w14:textId="519447E4" w:rsidR="009C192E" w:rsidRPr="009C192E" w:rsidRDefault="009C192E" w:rsidP="009C192E">
      <w:pPr>
        <w:jc w:val="center"/>
        <w:rPr>
          <w:rFonts w:asciiTheme="majorHAnsi" w:hAnsiTheme="majorHAnsi" w:cstheme="majorHAnsi"/>
          <w:b/>
          <w:szCs w:val="22"/>
        </w:rPr>
      </w:pPr>
      <w:r w:rsidRPr="009C192E">
        <w:rPr>
          <w:rFonts w:asciiTheme="majorHAnsi" w:hAnsiTheme="majorHAnsi" w:cstheme="majorHAnsi"/>
          <w:b/>
          <w:szCs w:val="22"/>
        </w:rPr>
        <w:t>CONSIDERANDO QUE:</w:t>
      </w:r>
    </w:p>
    <w:p w14:paraId="6BE16F7C" w14:textId="77777777" w:rsidR="009C192E" w:rsidRPr="009C192E" w:rsidRDefault="009C192E" w:rsidP="00681541">
      <w:pPr>
        <w:pStyle w:val="Prrafodelista"/>
        <w:numPr>
          <w:ilvl w:val="0"/>
          <w:numId w:val="16"/>
        </w:numPr>
        <w:spacing w:after="240"/>
        <w:ind w:left="567" w:hanging="567"/>
        <w:contextualSpacing w:val="0"/>
        <w:jc w:val="both"/>
        <w:rPr>
          <w:rFonts w:asciiTheme="majorHAnsi" w:hAnsiTheme="majorHAnsi" w:cstheme="majorHAnsi"/>
          <w:bCs/>
          <w:sz w:val="22"/>
          <w:szCs w:val="22"/>
        </w:rPr>
      </w:pPr>
      <w:r w:rsidRPr="009C192E">
        <w:rPr>
          <w:rFonts w:asciiTheme="majorHAnsi" w:hAnsiTheme="majorHAnsi" w:cstheme="majorHAnsi"/>
          <w:bCs/>
          <w:sz w:val="22"/>
          <w:szCs w:val="22"/>
        </w:rPr>
        <w:t xml:space="preserve">El </w:t>
      </w:r>
      <w:proofErr w:type="spellStart"/>
      <w:r w:rsidRPr="009C192E">
        <w:rPr>
          <w:rFonts w:asciiTheme="majorHAnsi" w:hAnsiTheme="majorHAnsi" w:cstheme="majorHAnsi"/>
          <w:bCs/>
          <w:sz w:val="22"/>
          <w:szCs w:val="22"/>
        </w:rPr>
        <w:t>Conassif</w:t>
      </w:r>
      <w:proofErr w:type="spellEnd"/>
      <w:r w:rsidRPr="009C192E">
        <w:rPr>
          <w:rFonts w:asciiTheme="majorHAnsi" w:hAnsiTheme="majorHAnsi" w:cstheme="majorHAnsi"/>
          <w:bCs/>
          <w:sz w:val="22"/>
          <w:szCs w:val="22"/>
        </w:rPr>
        <w:t xml:space="preserve">, mediante artículo 10 del acta de la sesión 2023-2026 del 25 de mayo del 2026, aprobó para envió en consulta por un plazo de 20 días hábiles, el </w:t>
      </w:r>
      <w:r w:rsidRPr="009C192E">
        <w:rPr>
          <w:rFonts w:asciiTheme="majorHAnsi" w:hAnsiTheme="majorHAnsi" w:cstheme="majorHAnsi"/>
          <w:bCs/>
          <w:i/>
          <w:iCs/>
          <w:sz w:val="22"/>
          <w:szCs w:val="22"/>
        </w:rPr>
        <w:t>Reglamento sobre Cálculo de Estimaciones Crediticias</w:t>
      </w:r>
      <w:r w:rsidRPr="009C192E">
        <w:rPr>
          <w:rFonts w:asciiTheme="majorHAnsi" w:hAnsiTheme="majorHAnsi" w:cstheme="majorHAnsi"/>
          <w:bCs/>
          <w:sz w:val="22"/>
          <w:szCs w:val="22"/>
        </w:rPr>
        <w:t>, Acuerdo SUGEF 1-26.</w:t>
      </w:r>
    </w:p>
    <w:p w14:paraId="427EDA76" w14:textId="77777777" w:rsidR="009C192E" w:rsidRPr="009C192E" w:rsidRDefault="009C192E" w:rsidP="00681541">
      <w:pPr>
        <w:pStyle w:val="Prrafodelista"/>
        <w:numPr>
          <w:ilvl w:val="0"/>
          <w:numId w:val="16"/>
        </w:numPr>
        <w:spacing w:after="240"/>
        <w:ind w:left="567" w:hanging="567"/>
        <w:contextualSpacing w:val="0"/>
        <w:jc w:val="both"/>
        <w:rPr>
          <w:rFonts w:asciiTheme="majorHAnsi" w:hAnsiTheme="majorHAnsi" w:cstheme="majorHAnsi"/>
          <w:bCs/>
          <w:sz w:val="22"/>
          <w:szCs w:val="22"/>
        </w:rPr>
      </w:pPr>
      <w:r w:rsidRPr="009C192E">
        <w:rPr>
          <w:rFonts w:asciiTheme="majorHAnsi" w:hAnsiTheme="majorHAnsi" w:cstheme="majorHAnsi"/>
          <w:bCs/>
          <w:sz w:val="22"/>
          <w:szCs w:val="22"/>
        </w:rPr>
        <w:t xml:space="preserve">El </w:t>
      </w:r>
      <w:r w:rsidRPr="009C192E">
        <w:rPr>
          <w:rFonts w:asciiTheme="majorHAnsi" w:hAnsiTheme="majorHAnsi" w:cstheme="majorHAnsi"/>
          <w:bCs/>
          <w:i/>
          <w:iCs/>
          <w:sz w:val="22"/>
          <w:szCs w:val="22"/>
        </w:rPr>
        <w:t>Artículo 4. Lineamientos Generales</w:t>
      </w:r>
      <w:r w:rsidRPr="009C192E">
        <w:rPr>
          <w:rFonts w:asciiTheme="majorHAnsi" w:hAnsiTheme="majorHAnsi" w:cstheme="majorHAnsi"/>
          <w:bCs/>
          <w:sz w:val="22"/>
          <w:szCs w:val="22"/>
        </w:rPr>
        <w:t xml:space="preserve"> del Acuerdo SUGEF 1-26 establece la potestad del Superintendente para emitir y modificar, mediante resolución, los Lineamientos Generales necesarios para la aplicación de dicha regulación. </w:t>
      </w:r>
    </w:p>
    <w:p w14:paraId="178FC8CC" w14:textId="77777777" w:rsidR="009C192E" w:rsidRPr="009C192E" w:rsidRDefault="009C192E" w:rsidP="00681541">
      <w:pPr>
        <w:pStyle w:val="Prrafodelista"/>
        <w:numPr>
          <w:ilvl w:val="0"/>
          <w:numId w:val="16"/>
        </w:numPr>
        <w:spacing w:after="240"/>
        <w:ind w:left="567" w:hanging="567"/>
        <w:contextualSpacing w:val="0"/>
        <w:jc w:val="both"/>
        <w:rPr>
          <w:rFonts w:asciiTheme="majorHAnsi" w:hAnsiTheme="majorHAnsi" w:cstheme="majorHAnsi"/>
          <w:bCs/>
          <w:sz w:val="22"/>
          <w:szCs w:val="22"/>
        </w:rPr>
      </w:pPr>
      <w:r w:rsidRPr="009C192E">
        <w:rPr>
          <w:rFonts w:asciiTheme="majorHAnsi" w:hAnsiTheme="majorHAnsi" w:cstheme="majorHAnsi"/>
          <w:bCs/>
          <w:sz w:val="22"/>
          <w:szCs w:val="22"/>
        </w:rPr>
        <w:t xml:space="preserve">De conformidad con el Artículo 131, inciso b) de la </w:t>
      </w:r>
      <w:r w:rsidRPr="009C192E">
        <w:rPr>
          <w:rFonts w:asciiTheme="majorHAnsi" w:hAnsiTheme="majorHAnsi" w:cstheme="majorHAnsi"/>
          <w:bCs/>
          <w:i/>
          <w:iCs/>
          <w:sz w:val="22"/>
          <w:szCs w:val="22"/>
        </w:rPr>
        <w:t>Ley Orgánica del Banco Central de Costa Rica</w:t>
      </w:r>
      <w:r w:rsidRPr="009C192E">
        <w:rPr>
          <w:rFonts w:asciiTheme="majorHAnsi" w:hAnsiTheme="majorHAnsi" w:cstheme="majorHAnsi"/>
          <w:bCs/>
          <w:sz w:val="22"/>
          <w:szCs w:val="22"/>
        </w:rPr>
        <w:t xml:space="preserve">, Ley </w:t>
      </w:r>
      <w:proofErr w:type="spellStart"/>
      <w:r w:rsidRPr="009C192E">
        <w:rPr>
          <w:rFonts w:asciiTheme="majorHAnsi" w:hAnsiTheme="majorHAnsi" w:cstheme="majorHAnsi"/>
          <w:bCs/>
          <w:sz w:val="22"/>
          <w:szCs w:val="22"/>
        </w:rPr>
        <w:t>N°</w:t>
      </w:r>
      <w:proofErr w:type="spellEnd"/>
      <w:r w:rsidRPr="009C192E">
        <w:rPr>
          <w:rFonts w:asciiTheme="majorHAnsi" w:hAnsiTheme="majorHAnsi" w:cstheme="majorHAnsi"/>
          <w:bCs/>
          <w:sz w:val="22"/>
          <w:szCs w:val="22"/>
        </w:rPr>
        <w:t xml:space="preserve"> 7558, corresponde al Superintendente tomar las medidas necesarias para ejecutar los acuerdos del Consejo Nacional de Supervisión del Sistema Financiero (</w:t>
      </w:r>
      <w:proofErr w:type="spellStart"/>
      <w:r w:rsidRPr="009C192E">
        <w:rPr>
          <w:rFonts w:asciiTheme="majorHAnsi" w:hAnsiTheme="majorHAnsi" w:cstheme="majorHAnsi"/>
          <w:bCs/>
          <w:sz w:val="22"/>
          <w:szCs w:val="22"/>
        </w:rPr>
        <w:t>Conassif</w:t>
      </w:r>
      <w:proofErr w:type="spellEnd"/>
      <w:r w:rsidRPr="009C192E">
        <w:rPr>
          <w:rFonts w:asciiTheme="majorHAnsi" w:hAnsiTheme="majorHAnsi" w:cstheme="majorHAnsi"/>
          <w:bCs/>
          <w:sz w:val="22"/>
          <w:szCs w:val="22"/>
        </w:rPr>
        <w:t>).</w:t>
      </w:r>
    </w:p>
    <w:p w14:paraId="0216EB1E" w14:textId="03E118CA" w:rsidR="009C192E" w:rsidRPr="009C192E" w:rsidRDefault="009C192E" w:rsidP="009C192E">
      <w:pPr>
        <w:jc w:val="center"/>
        <w:rPr>
          <w:rFonts w:asciiTheme="majorHAnsi" w:hAnsiTheme="majorHAnsi" w:cstheme="majorHAnsi"/>
          <w:b/>
          <w:szCs w:val="22"/>
        </w:rPr>
      </w:pPr>
      <w:r w:rsidRPr="009C192E">
        <w:rPr>
          <w:rFonts w:asciiTheme="majorHAnsi" w:hAnsiTheme="majorHAnsi" w:cstheme="majorHAnsi"/>
          <w:b/>
          <w:szCs w:val="22"/>
        </w:rPr>
        <w:t>DISPONE:</w:t>
      </w:r>
    </w:p>
    <w:p w14:paraId="4446896F" w14:textId="77777777" w:rsidR="009C192E" w:rsidRPr="009C192E" w:rsidRDefault="009C192E" w:rsidP="009C192E">
      <w:pPr>
        <w:rPr>
          <w:rFonts w:asciiTheme="majorHAnsi" w:hAnsiTheme="majorHAnsi" w:cstheme="majorHAnsi"/>
          <w:szCs w:val="22"/>
        </w:rPr>
      </w:pPr>
      <w:r w:rsidRPr="009C192E">
        <w:rPr>
          <w:rFonts w:asciiTheme="majorHAnsi" w:hAnsiTheme="majorHAnsi" w:cstheme="majorHAnsi"/>
          <w:szCs w:val="22"/>
        </w:rPr>
        <w:t>Enviar en consulta los Lineamientos Generales para la aplicación del “</w:t>
      </w:r>
      <w:r w:rsidRPr="009C192E">
        <w:rPr>
          <w:rFonts w:asciiTheme="majorHAnsi" w:hAnsiTheme="majorHAnsi" w:cstheme="majorHAnsi"/>
          <w:i/>
          <w:iCs/>
          <w:szCs w:val="22"/>
        </w:rPr>
        <w:t>Reglamento sobre Cálculo de Estimaciones Crediticias</w:t>
      </w:r>
      <w:r w:rsidRPr="009C192E">
        <w:rPr>
          <w:rFonts w:asciiTheme="majorHAnsi" w:hAnsiTheme="majorHAnsi" w:cstheme="majorHAnsi"/>
          <w:szCs w:val="22"/>
        </w:rPr>
        <w:t xml:space="preserve">” de conformidad con el siguiente texto: </w:t>
      </w:r>
    </w:p>
    <w:p w14:paraId="3808CFD8" w14:textId="7BB383AC" w:rsidR="009C192E" w:rsidRPr="00576357" w:rsidRDefault="009C192E" w:rsidP="009C192E">
      <w:pPr>
        <w:ind w:hanging="11"/>
        <w:rPr>
          <w:rFonts w:asciiTheme="majorHAnsi" w:hAnsiTheme="majorHAnsi" w:cstheme="majorHAnsi"/>
          <w:b/>
          <w:sz w:val="23"/>
          <w:szCs w:val="23"/>
        </w:rPr>
      </w:pPr>
      <w:r w:rsidRPr="00576357">
        <w:rPr>
          <w:rFonts w:asciiTheme="majorHAnsi" w:hAnsiTheme="majorHAnsi" w:cstheme="majorHAnsi"/>
          <w:b/>
          <w:sz w:val="23"/>
          <w:szCs w:val="23"/>
        </w:rPr>
        <w:lastRenderedPageBreak/>
        <w:t>LINEAMIENTOS GENERALES PARA LA APLICACIÓN DEL REGLAMENTO SOBRE CÁLCULO DE ESTIMACIONES CREDITICIAS, ACUERDO SUGEF 1-26</w:t>
      </w:r>
    </w:p>
    <w:p w14:paraId="451A5547" w14:textId="77777777" w:rsidR="009C192E" w:rsidRPr="00576357" w:rsidRDefault="009C192E" w:rsidP="009C192E">
      <w:pPr>
        <w:ind w:left="2268" w:hanging="2261"/>
        <w:rPr>
          <w:rFonts w:asciiTheme="majorHAnsi" w:hAnsiTheme="majorHAnsi" w:cstheme="majorHAnsi"/>
          <w:sz w:val="23"/>
          <w:szCs w:val="23"/>
        </w:rPr>
      </w:pPr>
      <w:r w:rsidRPr="00576357">
        <w:rPr>
          <w:rFonts w:asciiTheme="majorHAnsi" w:hAnsiTheme="majorHAnsi" w:cstheme="majorHAnsi"/>
          <w:sz w:val="23"/>
          <w:szCs w:val="23"/>
          <w:u w:val="single" w:color="000000"/>
        </w:rPr>
        <w:t>Objetivo general:</w:t>
      </w:r>
      <w:r w:rsidRPr="00576357">
        <w:rPr>
          <w:rFonts w:asciiTheme="majorHAnsi" w:hAnsiTheme="majorHAnsi" w:cstheme="majorHAnsi"/>
          <w:sz w:val="23"/>
          <w:szCs w:val="23"/>
        </w:rPr>
        <w:tab/>
        <w:t xml:space="preserve">Determinar aspectos generales que las entidades deben observar para la aplicación del </w:t>
      </w:r>
      <w:r w:rsidRPr="00576357">
        <w:rPr>
          <w:rFonts w:asciiTheme="majorHAnsi" w:hAnsiTheme="majorHAnsi" w:cstheme="majorHAnsi"/>
          <w:i/>
          <w:iCs/>
          <w:sz w:val="23"/>
          <w:szCs w:val="23"/>
        </w:rPr>
        <w:t>Reglamento sobre Cálculo de Estimaciones Crediticias</w:t>
      </w:r>
      <w:r w:rsidRPr="00576357">
        <w:rPr>
          <w:rFonts w:asciiTheme="majorHAnsi" w:hAnsiTheme="majorHAnsi" w:cstheme="majorHAnsi"/>
          <w:sz w:val="23"/>
          <w:szCs w:val="23"/>
        </w:rPr>
        <w:t>, Acuerdo SUGEF 1-26.</w:t>
      </w:r>
    </w:p>
    <w:p w14:paraId="1E466D65" w14:textId="77777777" w:rsidR="009C192E" w:rsidRPr="00576357" w:rsidRDefault="009C192E" w:rsidP="009C192E">
      <w:pPr>
        <w:pStyle w:val="Ttulo1"/>
        <w:rPr>
          <w:rFonts w:asciiTheme="majorHAnsi" w:hAnsiTheme="majorHAnsi" w:cstheme="majorHAnsi"/>
          <w:sz w:val="23"/>
          <w:szCs w:val="23"/>
        </w:rPr>
      </w:pPr>
      <w:bookmarkStart w:id="0" w:name="_Toc227326014"/>
      <w:r w:rsidRPr="00576357">
        <w:rPr>
          <w:rFonts w:asciiTheme="majorHAnsi" w:hAnsiTheme="majorHAnsi" w:cstheme="majorHAnsi"/>
          <w:sz w:val="23"/>
          <w:szCs w:val="23"/>
        </w:rPr>
        <w:t>I) ANÁLISIS DE LA CAPACIDAD DE PAGO DE LOS DEUDORES</w:t>
      </w:r>
      <w:bookmarkEnd w:id="0"/>
    </w:p>
    <w:p w14:paraId="0EDF850D" w14:textId="77777777" w:rsidR="009C192E" w:rsidRPr="00576357" w:rsidRDefault="009C192E" w:rsidP="009C192E">
      <w:pPr>
        <w:ind w:left="1134" w:hanging="1134"/>
        <w:rPr>
          <w:rFonts w:asciiTheme="majorHAnsi" w:hAnsiTheme="majorHAnsi" w:cstheme="majorHAnsi"/>
          <w:sz w:val="23"/>
          <w:szCs w:val="23"/>
        </w:rPr>
      </w:pPr>
      <w:r w:rsidRPr="00576357">
        <w:rPr>
          <w:rFonts w:asciiTheme="majorHAnsi" w:hAnsiTheme="majorHAnsi" w:cstheme="majorHAnsi"/>
          <w:sz w:val="23"/>
          <w:szCs w:val="23"/>
          <w:u w:val="single" w:color="000000"/>
        </w:rPr>
        <w:t>Objetivo</w:t>
      </w:r>
      <w:r w:rsidRPr="00576357">
        <w:rPr>
          <w:rFonts w:asciiTheme="majorHAnsi" w:hAnsiTheme="majorHAnsi" w:cstheme="majorHAnsi"/>
          <w:b/>
          <w:sz w:val="23"/>
          <w:szCs w:val="23"/>
        </w:rPr>
        <w:t>:</w:t>
      </w:r>
      <w:r w:rsidRPr="00576357">
        <w:rPr>
          <w:rFonts w:asciiTheme="majorHAnsi" w:hAnsiTheme="majorHAnsi" w:cstheme="majorHAnsi"/>
          <w:b/>
          <w:sz w:val="23"/>
          <w:szCs w:val="23"/>
        </w:rPr>
        <w:tab/>
      </w:r>
      <w:r w:rsidRPr="00576357">
        <w:rPr>
          <w:rFonts w:asciiTheme="majorHAnsi" w:hAnsiTheme="majorHAnsi" w:cstheme="majorHAnsi"/>
          <w:sz w:val="23"/>
          <w:szCs w:val="23"/>
        </w:rPr>
        <w:t xml:space="preserve">Establecer los aspectos mínimos que deben considerarse en el análisis de la capacidad de pago de los deudores, aplicable a todos los segmentos definidos en el </w:t>
      </w:r>
      <w:r w:rsidRPr="00576357">
        <w:rPr>
          <w:rFonts w:asciiTheme="majorHAnsi" w:hAnsiTheme="majorHAnsi" w:cstheme="majorHAnsi"/>
          <w:i/>
          <w:iCs/>
          <w:sz w:val="23"/>
          <w:szCs w:val="23"/>
        </w:rPr>
        <w:t>Reglamento sobre Cálculo de Estimaciones Crediticias</w:t>
      </w:r>
      <w:r w:rsidRPr="00576357">
        <w:rPr>
          <w:rFonts w:asciiTheme="majorHAnsi" w:hAnsiTheme="majorHAnsi" w:cstheme="majorHAnsi"/>
          <w:sz w:val="23"/>
          <w:szCs w:val="23"/>
        </w:rPr>
        <w:t>, Acuerdo SUGEF 1-26. Dicho análisis debe incluir disposiciones enfocadas a determinar la capacidad financiera del deudor y la estabilidad de la fuente primaria de reembolso para hacer frente a sus obligaciones financieras en el futuro, con base en información oportuna y de calidad.</w:t>
      </w:r>
    </w:p>
    <w:p w14:paraId="2FFFF088" w14:textId="61F390BF" w:rsidR="009C192E" w:rsidRPr="00576357" w:rsidRDefault="009C192E" w:rsidP="009C192E">
      <w:pPr>
        <w:pStyle w:val="Ttulo2"/>
        <w:rPr>
          <w:rFonts w:asciiTheme="majorHAnsi" w:hAnsiTheme="majorHAnsi" w:cstheme="majorHAnsi"/>
          <w:sz w:val="23"/>
          <w:szCs w:val="23"/>
        </w:rPr>
      </w:pPr>
      <w:bookmarkStart w:id="1" w:name="_Toc227326015"/>
      <w:r w:rsidRPr="00576357">
        <w:rPr>
          <w:rFonts w:asciiTheme="majorHAnsi" w:hAnsiTheme="majorHAnsi" w:cstheme="majorHAnsi"/>
          <w:sz w:val="23"/>
          <w:szCs w:val="23"/>
        </w:rPr>
        <w:t>ANÁLISIS DE LA CAPACIDAD DE PAGO</w:t>
      </w:r>
      <w:bookmarkEnd w:id="1"/>
      <w:r w:rsidRPr="00576357">
        <w:rPr>
          <w:rFonts w:asciiTheme="majorHAnsi" w:hAnsiTheme="majorHAnsi" w:cstheme="majorHAnsi"/>
          <w:sz w:val="23"/>
          <w:szCs w:val="23"/>
        </w:rPr>
        <w:t xml:space="preserve"> </w:t>
      </w:r>
    </w:p>
    <w:p w14:paraId="08BB5CB6" w14:textId="456BD169"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El Acuerdo SUGEF 1-26 establece aspectos que las entidades supervisadas deben tomar en consideración para el análisis de capacidad de pago de los deudores.</w:t>
      </w:r>
    </w:p>
    <w:p w14:paraId="16E07AA7"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El siguiente diagrama resume dicho esquema conceptual:</w:t>
      </w:r>
    </w:p>
    <w:p w14:paraId="460C29D0" w14:textId="544D757F"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noProof/>
          <w:sz w:val="23"/>
          <w:szCs w:val="23"/>
        </w:rPr>
        <w:drawing>
          <wp:anchor distT="0" distB="0" distL="114300" distR="114300" simplePos="0" relativeHeight="251658240" behindDoc="0" locked="0" layoutInCell="1" allowOverlap="1" wp14:anchorId="377D6F65" wp14:editId="44DD5B86">
            <wp:simplePos x="0" y="0"/>
            <wp:positionH relativeFrom="margin">
              <wp:align>right</wp:align>
            </wp:positionH>
            <wp:positionV relativeFrom="paragraph">
              <wp:posOffset>5715</wp:posOffset>
            </wp:positionV>
            <wp:extent cx="5849620" cy="2147155"/>
            <wp:effectExtent l="0" t="0" r="0" b="5715"/>
            <wp:wrapNone/>
            <wp:docPr id="1038170457"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170457" name="Imagen 1" descr="Tabla&#10;&#10;El contenido generado por IA puede ser incorrecto."/>
                    <pic:cNvPicPr/>
                  </pic:nvPicPr>
                  <pic:blipFill>
                    <a:blip r:embed="rId12">
                      <a:extLst>
                        <a:ext uri="{28A0092B-C50C-407E-A947-70E740481C1C}">
                          <a14:useLocalDpi xmlns:a14="http://schemas.microsoft.com/office/drawing/2010/main" val="0"/>
                        </a:ext>
                      </a:extLst>
                    </a:blip>
                    <a:stretch>
                      <a:fillRect/>
                    </a:stretch>
                  </pic:blipFill>
                  <pic:spPr>
                    <a:xfrm>
                      <a:off x="0" y="0"/>
                      <a:ext cx="5849620" cy="2147155"/>
                    </a:xfrm>
                    <a:prstGeom prst="rect">
                      <a:avLst/>
                    </a:prstGeom>
                  </pic:spPr>
                </pic:pic>
              </a:graphicData>
            </a:graphic>
            <wp14:sizeRelH relativeFrom="page">
              <wp14:pctWidth>0</wp14:pctWidth>
            </wp14:sizeRelH>
            <wp14:sizeRelV relativeFrom="page">
              <wp14:pctHeight>0</wp14:pctHeight>
            </wp14:sizeRelV>
          </wp:anchor>
        </w:drawing>
      </w:r>
    </w:p>
    <w:p w14:paraId="150DB30E" w14:textId="77777777" w:rsidR="009C192E" w:rsidRPr="00576357" w:rsidRDefault="009C192E" w:rsidP="009C192E">
      <w:pPr>
        <w:rPr>
          <w:rFonts w:asciiTheme="majorHAnsi" w:hAnsiTheme="majorHAnsi" w:cstheme="majorHAnsi"/>
          <w:sz w:val="23"/>
          <w:szCs w:val="23"/>
        </w:rPr>
      </w:pPr>
    </w:p>
    <w:p w14:paraId="578A20C1" w14:textId="77777777" w:rsidR="009C192E" w:rsidRPr="00576357" w:rsidRDefault="009C192E" w:rsidP="009C192E">
      <w:pPr>
        <w:rPr>
          <w:rFonts w:asciiTheme="majorHAnsi" w:hAnsiTheme="majorHAnsi" w:cstheme="majorHAnsi"/>
          <w:sz w:val="23"/>
          <w:szCs w:val="23"/>
        </w:rPr>
      </w:pPr>
    </w:p>
    <w:p w14:paraId="498CF352" w14:textId="77777777" w:rsidR="009C192E" w:rsidRPr="00576357" w:rsidRDefault="009C192E" w:rsidP="009C192E">
      <w:pPr>
        <w:rPr>
          <w:rFonts w:asciiTheme="majorHAnsi" w:hAnsiTheme="majorHAnsi" w:cstheme="majorHAnsi"/>
          <w:sz w:val="23"/>
          <w:szCs w:val="23"/>
        </w:rPr>
      </w:pPr>
    </w:p>
    <w:p w14:paraId="3CCE058D" w14:textId="3F5F6622" w:rsidR="009C192E" w:rsidRPr="00576357" w:rsidRDefault="009C192E" w:rsidP="009C192E">
      <w:pPr>
        <w:rPr>
          <w:rFonts w:asciiTheme="majorHAnsi" w:hAnsiTheme="majorHAnsi" w:cstheme="majorHAnsi"/>
          <w:sz w:val="23"/>
          <w:szCs w:val="23"/>
        </w:rPr>
      </w:pPr>
    </w:p>
    <w:p w14:paraId="46B7C47E" w14:textId="77777777" w:rsidR="009C192E" w:rsidRPr="00576357" w:rsidRDefault="009C192E" w:rsidP="00681541">
      <w:pPr>
        <w:pStyle w:val="Prrafodelista"/>
        <w:numPr>
          <w:ilvl w:val="0"/>
          <w:numId w:val="14"/>
        </w:numPr>
        <w:spacing w:after="240"/>
        <w:ind w:left="1134" w:hanging="567"/>
        <w:contextualSpacing w:val="0"/>
        <w:jc w:val="both"/>
        <w:rPr>
          <w:rFonts w:asciiTheme="majorHAnsi" w:hAnsiTheme="majorHAnsi" w:cstheme="majorHAnsi"/>
          <w:sz w:val="23"/>
          <w:szCs w:val="23"/>
        </w:rPr>
      </w:pPr>
      <w:r w:rsidRPr="00576357">
        <w:rPr>
          <w:rFonts w:asciiTheme="majorHAnsi" w:hAnsiTheme="majorHAnsi" w:cstheme="majorHAnsi"/>
          <w:b/>
          <w:sz w:val="23"/>
          <w:szCs w:val="23"/>
        </w:rPr>
        <w:t>Valoración cuantitativa</w:t>
      </w:r>
      <w:r w:rsidRPr="00576357">
        <w:rPr>
          <w:rFonts w:asciiTheme="majorHAnsi" w:hAnsiTheme="majorHAnsi" w:cstheme="majorHAnsi"/>
          <w:sz w:val="23"/>
          <w:szCs w:val="23"/>
        </w:rPr>
        <w:t xml:space="preserve"> </w:t>
      </w:r>
    </w:p>
    <w:p w14:paraId="12FA008D" w14:textId="77777777" w:rsidR="009C192E" w:rsidRPr="00576357" w:rsidRDefault="009C192E" w:rsidP="009C192E">
      <w:pPr>
        <w:ind w:left="567"/>
        <w:rPr>
          <w:rFonts w:asciiTheme="majorHAnsi" w:hAnsiTheme="majorHAnsi" w:cstheme="majorHAnsi"/>
          <w:sz w:val="23"/>
          <w:szCs w:val="23"/>
        </w:rPr>
      </w:pPr>
      <w:r w:rsidRPr="00576357">
        <w:rPr>
          <w:rFonts w:asciiTheme="majorHAnsi" w:hAnsiTheme="majorHAnsi" w:cstheme="majorHAnsi"/>
          <w:sz w:val="23"/>
          <w:szCs w:val="23"/>
        </w:rPr>
        <w:lastRenderedPageBreak/>
        <w:t>La valoración cuantitativa del deudor se basa en el análisis de la información contable- financiera disponible. A criterio de la entidad financiera, pueden utilizarse diversas técnicas para apoyar este análisis, entre las que se encuentran el análisis vertical y horizontal, el análisis de flujos de efectivo y el uso de razones o indicadores financieros.  Mediante el análisis de información financiero – contable se busca valorar la capacidad financiera del deudor y la estabilidad de la fuente primaria de reembolso para hacer frente a sus obligaciones financieras en el futuro. Los resultados de estos análisis deben estar adecuadamente fundamentados en el expediente del cliente.</w:t>
      </w:r>
    </w:p>
    <w:p w14:paraId="1BF3CE7B" w14:textId="77777777" w:rsidR="009C192E" w:rsidRPr="00576357" w:rsidRDefault="009C192E" w:rsidP="009C192E">
      <w:pPr>
        <w:ind w:left="567"/>
        <w:rPr>
          <w:rFonts w:asciiTheme="majorHAnsi" w:hAnsiTheme="majorHAnsi" w:cstheme="majorHAnsi"/>
          <w:sz w:val="23"/>
          <w:szCs w:val="23"/>
        </w:rPr>
      </w:pPr>
      <w:r w:rsidRPr="00576357">
        <w:rPr>
          <w:rFonts w:asciiTheme="majorHAnsi" w:hAnsiTheme="majorHAnsi" w:cstheme="majorHAnsi"/>
          <w:sz w:val="23"/>
          <w:szCs w:val="23"/>
        </w:rPr>
        <w:t>A continuación, se describen brevemente algunas de las técnicas mencionadas:</w:t>
      </w:r>
    </w:p>
    <w:p w14:paraId="7345136E" w14:textId="77777777" w:rsidR="009C192E" w:rsidRPr="00576357" w:rsidRDefault="009C192E" w:rsidP="00681541">
      <w:pPr>
        <w:pStyle w:val="Prrafodelista"/>
        <w:widowControl w:val="0"/>
        <w:numPr>
          <w:ilvl w:val="0"/>
          <w:numId w:val="13"/>
        </w:numPr>
        <w:spacing w:after="240"/>
        <w:ind w:left="1701" w:hanging="567"/>
        <w:contextualSpacing w:val="0"/>
        <w:jc w:val="both"/>
        <w:rPr>
          <w:rFonts w:asciiTheme="majorHAnsi" w:hAnsiTheme="majorHAnsi" w:cstheme="majorHAnsi"/>
          <w:sz w:val="23"/>
          <w:szCs w:val="23"/>
        </w:rPr>
      </w:pPr>
      <w:r w:rsidRPr="00576357">
        <w:rPr>
          <w:rFonts w:asciiTheme="majorHAnsi" w:hAnsiTheme="majorHAnsi" w:cstheme="majorHAnsi"/>
          <w:b/>
          <w:sz w:val="23"/>
          <w:szCs w:val="23"/>
        </w:rPr>
        <w:t xml:space="preserve">Análisis de indicadores financieros  </w:t>
      </w:r>
    </w:p>
    <w:p w14:paraId="3C075F7E" w14:textId="77777777" w:rsidR="009C192E" w:rsidRPr="00576357" w:rsidRDefault="009C192E" w:rsidP="009C192E">
      <w:pPr>
        <w:ind w:left="1134"/>
        <w:rPr>
          <w:rFonts w:asciiTheme="majorHAnsi" w:hAnsiTheme="majorHAnsi" w:cstheme="majorHAnsi"/>
          <w:sz w:val="23"/>
          <w:szCs w:val="23"/>
        </w:rPr>
      </w:pPr>
      <w:r w:rsidRPr="00576357">
        <w:rPr>
          <w:rFonts w:asciiTheme="majorHAnsi" w:hAnsiTheme="majorHAnsi" w:cstheme="majorHAnsi"/>
          <w:sz w:val="23"/>
          <w:szCs w:val="23"/>
        </w:rPr>
        <w:t>Consiste en la evaluación de la situación financiera del deudor mediante el uso de indicadores financieros que miden diversos aspectos de su desempeño, por ejemplo, en las áreas de liquidez, actividad, apalancamiento y rentabilidad.</w:t>
      </w:r>
    </w:p>
    <w:p w14:paraId="01E73A6C" w14:textId="77777777" w:rsidR="009C192E" w:rsidRPr="00576357" w:rsidRDefault="009C192E" w:rsidP="009C192E">
      <w:pPr>
        <w:ind w:left="1134"/>
        <w:rPr>
          <w:rFonts w:asciiTheme="majorHAnsi" w:hAnsiTheme="majorHAnsi" w:cstheme="majorHAnsi"/>
          <w:sz w:val="23"/>
          <w:szCs w:val="23"/>
        </w:rPr>
      </w:pPr>
      <w:r w:rsidRPr="00576357">
        <w:rPr>
          <w:rFonts w:asciiTheme="majorHAnsi" w:hAnsiTheme="majorHAnsi" w:cstheme="majorHAnsi"/>
          <w:sz w:val="23"/>
          <w:szCs w:val="23"/>
        </w:rPr>
        <w:t>Con el propósito de que los indicadores financieros provean información útil para el análisis procede comparar los resultados actuales contra los históricos de la misma empresa, usualmente durante los últimos tres años de información disponible, o a partir de la constitución de la empresa, cuando ésta tenga una antigüedad menor a tres años. Además, conforme la entidad supervisada acumula información financiera de sus deudores, pueden conformarse bases de datos que permitan comparar los resultados de la empresa contra los resultados de otras empresas con actividades económicas similares a ésta.</w:t>
      </w:r>
    </w:p>
    <w:p w14:paraId="1EB8E5F4" w14:textId="77777777" w:rsidR="009C192E" w:rsidRPr="00576357" w:rsidRDefault="009C192E" w:rsidP="009C192E">
      <w:pPr>
        <w:ind w:left="1134"/>
        <w:rPr>
          <w:rFonts w:asciiTheme="majorHAnsi" w:hAnsiTheme="majorHAnsi" w:cstheme="majorHAnsi"/>
          <w:sz w:val="23"/>
          <w:szCs w:val="23"/>
        </w:rPr>
      </w:pPr>
      <w:r w:rsidRPr="00576357">
        <w:rPr>
          <w:rFonts w:asciiTheme="majorHAnsi" w:hAnsiTheme="majorHAnsi" w:cstheme="majorHAnsi"/>
          <w:sz w:val="23"/>
          <w:szCs w:val="23"/>
        </w:rPr>
        <w:t xml:space="preserve">Los indicadores financieros utilizados deben ser apropiados para la actividad económica del deudor. Por ejemplo, indicadores de actividad como la rotación o el periodo promedio de inventarios, cuentas por cobrar y cuentas por pagar son usuales en empresas comerciales, pero no en empresas financieras. Indicadores de desempeño como la tasa de ocupación o la productividad por hectárea, son usuales en los sectores hotelero y agrícola, respectivamente, pero no en otras actividades. Indicadores como canalización de recursos (activo productivo / pasivo con costo) y suficiencia patrimonial, son usuales para el </w:t>
      </w:r>
      <w:r w:rsidRPr="00576357">
        <w:rPr>
          <w:rFonts w:asciiTheme="majorHAnsi" w:hAnsiTheme="majorHAnsi" w:cstheme="majorHAnsi"/>
          <w:sz w:val="23"/>
          <w:szCs w:val="23"/>
        </w:rPr>
        <w:lastRenderedPageBreak/>
        <w:t xml:space="preserve">sector de intermediarios financieros, pero no para otros sectores de la economía real.  </w:t>
      </w:r>
    </w:p>
    <w:p w14:paraId="4751A851" w14:textId="5B413471" w:rsidR="009C192E" w:rsidRPr="00576357" w:rsidRDefault="009C192E" w:rsidP="009C192E">
      <w:pPr>
        <w:ind w:left="1134"/>
        <w:rPr>
          <w:rFonts w:asciiTheme="majorHAnsi" w:hAnsiTheme="majorHAnsi" w:cstheme="majorHAnsi"/>
          <w:sz w:val="23"/>
          <w:szCs w:val="23"/>
        </w:rPr>
      </w:pPr>
      <w:r w:rsidRPr="00576357">
        <w:rPr>
          <w:rFonts w:asciiTheme="majorHAnsi" w:hAnsiTheme="majorHAnsi" w:cstheme="majorHAnsi"/>
          <w:sz w:val="23"/>
          <w:szCs w:val="23"/>
        </w:rPr>
        <w:t>Finalmente, con base en el conocimiento de los negocios y el desempeño observado, la entidad puede establecer parámetros de referencia sobre lo que se considera un buen resultado para algunos indicadores financieros. Estos parámetros deben estar razonablemente determinados, según la actividad del deudor y la coyuntura económica, y constar en los procedimientos para el análisis de capacidad de pago.</w:t>
      </w:r>
    </w:p>
    <w:p w14:paraId="22B2F382" w14:textId="77777777" w:rsidR="009C192E" w:rsidRPr="00576357" w:rsidRDefault="009C192E" w:rsidP="00681541">
      <w:pPr>
        <w:pStyle w:val="Prrafodelista"/>
        <w:widowControl w:val="0"/>
        <w:numPr>
          <w:ilvl w:val="0"/>
          <w:numId w:val="13"/>
        </w:numPr>
        <w:spacing w:after="240"/>
        <w:ind w:left="1701" w:hanging="567"/>
        <w:contextualSpacing w:val="0"/>
        <w:jc w:val="both"/>
        <w:rPr>
          <w:rFonts w:asciiTheme="majorHAnsi" w:hAnsiTheme="majorHAnsi" w:cstheme="majorHAnsi"/>
          <w:b/>
          <w:sz w:val="23"/>
          <w:szCs w:val="23"/>
        </w:rPr>
      </w:pPr>
      <w:r w:rsidRPr="00576357">
        <w:rPr>
          <w:rFonts w:asciiTheme="majorHAnsi" w:hAnsiTheme="majorHAnsi" w:cstheme="majorHAnsi"/>
          <w:b/>
          <w:sz w:val="23"/>
          <w:szCs w:val="23"/>
        </w:rPr>
        <w:t xml:space="preserve">Flujo de Caja libre (FCL)  </w:t>
      </w:r>
    </w:p>
    <w:p w14:paraId="46349206" w14:textId="77777777" w:rsidR="009C192E" w:rsidRPr="00576357" w:rsidRDefault="009C192E" w:rsidP="009C192E">
      <w:pPr>
        <w:ind w:left="1134"/>
        <w:rPr>
          <w:rFonts w:asciiTheme="majorHAnsi" w:hAnsiTheme="majorHAnsi" w:cstheme="majorHAnsi"/>
          <w:sz w:val="23"/>
          <w:szCs w:val="23"/>
        </w:rPr>
      </w:pPr>
      <w:r w:rsidRPr="00576357">
        <w:rPr>
          <w:rFonts w:asciiTheme="majorHAnsi" w:hAnsiTheme="majorHAnsi" w:cstheme="majorHAnsi"/>
          <w:sz w:val="23"/>
          <w:szCs w:val="23"/>
        </w:rPr>
        <w:t>En el ámbito de las finanzas corporativas, suele emplearse la técnica del FCL. Este se define como el saldo disponible para pagar a los accionistas y para cubrir el servicio de la deuda (intereses de la deuda + principal de la deuda), después de restar las inversiones en activos fijos y las necesidades operativas de fondos.</w:t>
      </w:r>
    </w:p>
    <w:p w14:paraId="69D2DB2D" w14:textId="77777777" w:rsidR="009C192E" w:rsidRPr="00576357" w:rsidRDefault="009C192E" w:rsidP="009C192E">
      <w:pPr>
        <w:ind w:left="1134"/>
        <w:rPr>
          <w:rFonts w:asciiTheme="majorHAnsi" w:hAnsiTheme="majorHAnsi" w:cstheme="majorHAnsi"/>
          <w:sz w:val="23"/>
          <w:szCs w:val="23"/>
        </w:rPr>
      </w:pPr>
      <w:r w:rsidRPr="00576357">
        <w:rPr>
          <w:rFonts w:asciiTheme="majorHAnsi" w:hAnsiTheme="majorHAnsi" w:cstheme="majorHAnsi"/>
          <w:sz w:val="23"/>
          <w:szCs w:val="23"/>
        </w:rPr>
        <w:t>En el caso de financiamiento de proyectos, la estructuración del financiamiento debe guardar relación con la estructura de ingresos proyectada. En algunos proyectos la generación de flujos puede encontrarse en etapas avanzadas, mientras que los costos pueden concentrarse en las etapas iniciales. El análisis puede complementarse con técnicas de descuento de flujos de caja u otras métricas o parámetros. El nivel y rango crítico para estos indicadores será determinado por la entidad financiera, en congruencia con el riesgo aceptable definido en sus políticas de otorgamiento de crédito, y tomando en consideración la naturaleza del deudor, su entorno económico y empresarial, el riesgo inherente al tipo de proyecto de que se trate, y otros atributos del deudor y el proyecto que la entidad considere relevantes.</w:t>
      </w:r>
    </w:p>
    <w:p w14:paraId="592F35DF" w14:textId="77777777" w:rsidR="009C192E" w:rsidRPr="00576357" w:rsidRDefault="009C192E" w:rsidP="00681541">
      <w:pPr>
        <w:pStyle w:val="Prrafodelista"/>
        <w:widowControl w:val="0"/>
        <w:numPr>
          <w:ilvl w:val="0"/>
          <w:numId w:val="13"/>
        </w:numPr>
        <w:spacing w:after="240"/>
        <w:ind w:left="1701" w:hanging="567"/>
        <w:contextualSpacing w:val="0"/>
        <w:jc w:val="both"/>
        <w:rPr>
          <w:rFonts w:asciiTheme="majorHAnsi" w:hAnsiTheme="majorHAnsi" w:cstheme="majorHAnsi"/>
          <w:b/>
          <w:sz w:val="23"/>
          <w:szCs w:val="23"/>
        </w:rPr>
      </w:pPr>
      <w:r w:rsidRPr="00576357">
        <w:rPr>
          <w:rFonts w:asciiTheme="majorHAnsi" w:hAnsiTheme="majorHAnsi" w:cstheme="majorHAnsi"/>
          <w:b/>
          <w:sz w:val="23"/>
          <w:szCs w:val="23"/>
        </w:rPr>
        <w:t xml:space="preserve">Proyección de información financiera </w:t>
      </w:r>
    </w:p>
    <w:p w14:paraId="033294C4" w14:textId="77777777" w:rsidR="009C192E" w:rsidRPr="00576357" w:rsidRDefault="009C192E" w:rsidP="009C192E">
      <w:pPr>
        <w:ind w:left="1134"/>
        <w:rPr>
          <w:rFonts w:asciiTheme="majorHAnsi" w:hAnsiTheme="majorHAnsi" w:cstheme="majorHAnsi"/>
          <w:sz w:val="23"/>
          <w:szCs w:val="23"/>
        </w:rPr>
      </w:pPr>
      <w:r w:rsidRPr="00576357">
        <w:rPr>
          <w:rFonts w:asciiTheme="majorHAnsi" w:hAnsiTheme="majorHAnsi" w:cstheme="majorHAnsi"/>
          <w:sz w:val="23"/>
          <w:szCs w:val="23"/>
        </w:rPr>
        <w:t xml:space="preserve">En caso de usarse la proyección de información financiera, los supuestos utilizados deben estar claramente establecidos, estar debidamente sustentados </w:t>
      </w:r>
      <w:r w:rsidRPr="00576357">
        <w:rPr>
          <w:rFonts w:asciiTheme="majorHAnsi" w:hAnsiTheme="majorHAnsi" w:cstheme="majorHAnsi"/>
          <w:sz w:val="23"/>
          <w:szCs w:val="23"/>
        </w:rPr>
        <w:lastRenderedPageBreak/>
        <w:t>y ser consistentes con el comportamiento histórico del deudor. El uso de supuestos que se aparten significativamente del comportamiento histórico debe justificarse técnicamente.</w:t>
      </w:r>
    </w:p>
    <w:p w14:paraId="4681D422" w14:textId="77777777" w:rsidR="009C192E" w:rsidRPr="00576357" w:rsidRDefault="009C192E" w:rsidP="009C192E">
      <w:pPr>
        <w:ind w:left="1134"/>
        <w:rPr>
          <w:rFonts w:asciiTheme="majorHAnsi" w:hAnsiTheme="majorHAnsi" w:cstheme="majorHAnsi"/>
          <w:sz w:val="23"/>
          <w:szCs w:val="23"/>
        </w:rPr>
      </w:pPr>
      <w:r w:rsidRPr="00576357">
        <w:rPr>
          <w:rFonts w:asciiTheme="majorHAnsi" w:hAnsiTheme="majorHAnsi" w:cstheme="majorHAnsi"/>
          <w:sz w:val="23"/>
          <w:szCs w:val="23"/>
        </w:rPr>
        <w:t>Asimismo, debe considerarse el comportamiento de la actividad económica (por ejemplo, ciclos productivos), las variables macroeconómicas relevantes (por ejemplo, tasa de interés, tipo de cambio, inflación) y las tendencias esperadas de la actividad (por ejemplo, precios, demanda, costos).</w:t>
      </w:r>
    </w:p>
    <w:p w14:paraId="7DB3E747" w14:textId="77777777" w:rsidR="009C192E" w:rsidRPr="00576357" w:rsidRDefault="009C192E" w:rsidP="009C192E">
      <w:pPr>
        <w:ind w:left="1134"/>
        <w:rPr>
          <w:rFonts w:asciiTheme="majorHAnsi" w:hAnsiTheme="majorHAnsi" w:cstheme="majorHAnsi"/>
          <w:sz w:val="23"/>
          <w:szCs w:val="23"/>
        </w:rPr>
      </w:pPr>
      <w:r w:rsidRPr="00576357">
        <w:rPr>
          <w:rFonts w:asciiTheme="majorHAnsi" w:hAnsiTheme="majorHAnsi" w:cstheme="majorHAnsi"/>
          <w:sz w:val="23"/>
          <w:szCs w:val="23"/>
        </w:rPr>
        <w:t xml:space="preserve">Usualmente el horizonte para la proyección es de 12 meses, sin embargo, la necesidad de contar con un pronóstico para tramos temporales más cortos (trimestres, meses, etc.) o para un mayor número de años, dependerá de la naturaleza del proyecto y de la estructuración del crédito. Adicionalmente, pueden considerarse plazos mayores, apropiados a los términos contractuales originales o modificados. </w:t>
      </w:r>
    </w:p>
    <w:p w14:paraId="79BC9835" w14:textId="77777777" w:rsidR="009C192E" w:rsidRPr="00576357" w:rsidRDefault="009C192E" w:rsidP="009C192E">
      <w:pPr>
        <w:ind w:left="1134"/>
        <w:rPr>
          <w:rFonts w:asciiTheme="majorHAnsi" w:hAnsiTheme="majorHAnsi" w:cstheme="majorHAnsi"/>
          <w:sz w:val="23"/>
          <w:szCs w:val="23"/>
        </w:rPr>
      </w:pPr>
      <w:r w:rsidRPr="00576357">
        <w:rPr>
          <w:rFonts w:asciiTheme="majorHAnsi" w:hAnsiTheme="majorHAnsi" w:cstheme="majorHAnsi"/>
          <w:sz w:val="23"/>
          <w:szCs w:val="23"/>
        </w:rPr>
        <w:t xml:space="preserve">Algunas consideraciones particulares son las siguientes:  </w:t>
      </w:r>
    </w:p>
    <w:p w14:paraId="53282E8D" w14:textId="77777777" w:rsidR="009C192E" w:rsidRPr="00576357" w:rsidRDefault="009C192E" w:rsidP="009C192E">
      <w:pPr>
        <w:numPr>
          <w:ilvl w:val="0"/>
          <w:numId w:val="3"/>
        </w:numPr>
        <w:spacing w:before="0" w:line="240" w:lineRule="auto"/>
        <w:ind w:left="1843" w:hanging="425"/>
        <w:rPr>
          <w:rFonts w:asciiTheme="majorHAnsi" w:hAnsiTheme="majorHAnsi" w:cstheme="majorHAnsi"/>
          <w:sz w:val="23"/>
          <w:szCs w:val="23"/>
        </w:rPr>
      </w:pPr>
      <w:r w:rsidRPr="00576357">
        <w:rPr>
          <w:rFonts w:asciiTheme="majorHAnsi" w:hAnsiTheme="majorHAnsi" w:cstheme="majorHAnsi"/>
          <w:sz w:val="23"/>
          <w:szCs w:val="23"/>
        </w:rPr>
        <w:t>El FCL debe incluir el servicio de todas las obligaciones financieras (intereses de la deuda + principal de la deuda) actuales del deudor, tanto con el Sistema Financiero Nacional como con otras fuentes, así como las nuevas obligaciones bajo estudio, de acuerdo con los requerimientos de la misma proyección de fondos. Las líneas de crédito aprobadas y no desembolsadas pueden incluirse en el FCL proyectado, cuando exista evidencia sobre la certeza de su uso en caso de ser necesario.</w:t>
      </w:r>
    </w:p>
    <w:p w14:paraId="478EB675" w14:textId="77777777" w:rsidR="009C192E" w:rsidRPr="00576357" w:rsidRDefault="009C192E" w:rsidP="00576357">
      <w:pPr>
        <w:numPr>
          <w:ilvl w:val="0"/>
          <w:numId w:val="3"/>
        </w:numPr>
        <w:spacing w:before="0" w:line="240" w:lineRule="auto"/>
        <w:ind w:left="1843" w:hanging="425"/>
        <w:rPr>
          <w:rFonts w:asciiTheme="majorHAnsi" w:hAnsiTheme="majorHAnsi" w:cstheme="majorHAnsi"/>
          <w:sz w:val="23"/>
          <w:szCs w:val="23"/>
        </w:rPr>
      </w:pPr>
      <w:r w:rsidRPr="00576357">
        <w:rPr>
          <w:rFonts w:asciiTheme="majorHAnsi" w:hAnsiTheme="majorHAnsi" w:cstheme="majorHAnsi"/>
          <w:sz w:val="23"/>
          <w:szCs w:val="23"/>
        </w:rPr>
        <w:t>Con el propósito de analizar la estabilidad del FCL, en la proyección debe prescindirse de ingresos o gastos que se consideren no recurrentes. Sin embargo, con el propósito de anticipar afectaciones de corto plazo en el FCL proyectado, pueden considerarse ingresos o gastos no recurrentes que con certeza sucederán durante el plazo de la proyección.</w:t>
      </w:r>
    </w:p>
    <w:p w14:paraId="48FA7B2C" w14:textId="77777777" w:rsidR="009C192E" w:rsidRPr="00576357" w:rsidRDefault="009C192E" w:rsidP="00576357">
      <w:pPr>
        <w:numPr>
          <w:ilvl w:val="0"/>
          <w:numId w:val="3"/>
        </w:numPr>
        <w:spacing w:before="0" w:line="240" w:lineRule="auto"/>
        <w:ind w:left="1843" w:hanging="425"/>
        <w:rPr>
          <w:rFonts w:asciiTheme="majorHAnsi" w:hAnsiTheme="majorHAnsi" w:cstheme="majorHAnsi"/>
          <w:sz w:val="23"/>
          <w:szCs w:val="23"/>
          <w:lang w:eastAsia="es-CR"/>
        </w:rPr>
      </w:pPr>
      <w:r w:rsidRPr="00576357">
        <w:rPr>
          <w:rFonts w:asciiTheme="majorHAnsi" w:hAnsiTheme="majorHAnsi" w:cstheme="majorHAnsi"/>
          <w:sz w:val="23"/>
          <w:szCs w:val="23"/>
          <w:lang w:eastAsia="es-CR"/>
        </w:rPr>
        <w:t xml:space="preserve">Con el fin de evidenciar el análisis prospectivo de la capacidad de pago, la entidad debe evaluar los flujos de efectivo proyectados y los fundamentos que los sustentan, verificando que los supuestos utilizados </w:t>
      </w:r>
      <w:r w:rsidRPr="00576357">
        <w:rPr>
          <w:rFonts w:asciiTheme="majorHAnsi" w:hAnsiTheme="majorHAnsi" w:cstheme="majorHAnsi"/>
          <w:sz w:val="23"/>
          <w:szCs w:val="23"/>
          <w:lang w:eastAsia="es-CR"/>
        </w:rPr>
        <w:lastRenderedPageBreak/>
        <w:t xml:space="preserve">sean razonables, consistentes con la generación esperada de recursos del deudor y acordes con su comportamiento histórico. Esta evaluación deberá quedar debidamente documentada en el expediente del cliente. </w:t>
      </w:r>
    </w:p>
    <w:p w14:paraId="4C542A90" w14:textId="77777777" w:rsidR="009C192E" w:rsidRPr="00576357" w:rsidRDefault="009C192E" w:rsidP="00681541">
      <w:pPr>
        <w:pStyle w:val="Prrafodelista"/>
        <w:numPr>
          <w:ilvl w:val="0"/>
          <w:numId w:val="14"/>
        </w:numPr>
        <w:spacing w:after="240"/>
        <w:ind w:left="1134" w:hanging="567"/>
        <w:contextualSpacing w:val="0"/>
        <w:jc w:val="both"/>
        <w:rPr>
          <w:rFonts w:asciiTheme="majorHAnsi" w:hAnsiTheme="majorHAnsi" w:cstheme="majorHAnsi"/>
          <w:b/>
          <w:sz w:val="23"/>
          <w:szCs w:val="23"/>
        </w:rPr>
      </w:pPr>
      <w:r w:rsidRPr="00576357">
        <w:rPr>
          <w:rFonts w:asciiTheme="majorHAnsi" w:hAnsiTheme="majorHAnsi" w:cstheme="majorHAnsi"/>
          <w:b/>
          <w:sz w:val="23"/>
          <w:szCs w:val="23"/>
        </w:rPr>
        <w:t xml:space="preserve">Valoración cualitativa </w:t>
      </w:r>
    </w:p>
    <w:p w14:paraId="53F1BF83" w14:textId="77777777" w:rsidR="009C192E" w:rsidRPr="00576357" w:rsidRDefault="009C192E" w:rsidP="009C192E">
      <w:pPr>
        <w:ind w:left="567" w:firstLine="6"/>
        <w:rPr>
          <w:rFonts w:asciiTheme="majorHAnsi" w:hAnsiTheme="majorHAnsi" w:cstheme="majorHAnsi"/>
          <w:sz w:val="23"/>
          <w:szCs w:val="23"/>
        </w:rPr>
      </w:pPr>
      <w:r w:rsidRPr="00576357">
        <w:rPr>
          <w:rFonts w:asciiTheme="majorHAnsi" w:hAnsiTheme="majorHAnsi" w:cstheme="majorHAnsi"/>
          <w:sz w:val="23"/>
          <w:szCs w:val="23"/>
        </w:rPr>
        <w:t xml:space="preserve">El análisis consiste en determinar la capacidad de la alta gerencia del deudor para conducir el negocio, por ejemplo, mostrando un comportamiento histórico del negocio congruente con el buen desempeño de otras empresas de la misma industria o sector económico. Usualmente se considera información sobre la experiencia en el giro del negocio y la calidad de la administración. </w:t>
      </w:r>
    </w:p>
    <w:p w14:paraId="7C4CDF53" w14:textId="77777777" w:rsidR="009C192E" w:rsidRPr="00576357" w:rsidRDefault="009C192E" w:rsidP="009C192E">
      <w:pPr>
        <w:ind w:left="567" w:firstLine="6"/>
        <w:rPr>
          <w:rFonts w:asciiTheme="majorHAnsi" w:hAnsiTheme="majorHAnsi" w:cstheme="majorHAnsi"/>
          <w:sz w:val="23"/>
          <w:szCs w:val="23"/>
        </w:rPr>
      </w:pPr>
      <w:r w:rsidRPr="00576357">
        <w:rPr>
          <w:rFonts w:asciiTheme="majorHAnsi" w:hAnsiTheme="majorHAnsi" w:cstheme="majorHAnsi"/>
          <w:sz w:val="23"/>
          <w:szCs w:val="23"/>
        </w:rPr>
        <w:t>Entre los aspectos a evaluar suelen considerarse, al menos, los siguientes:</w:t>
      </w:r>
    </w:p>
    <w:p w14:paraId="2C207215" w14:textId="77777777" w:rsidR="009C192E" w:rsidRPr="00576357" w:rsidRDefault="009C192E" w:rsidP="009C192E">
      <w:pPr>
        <w:numPr>
          <w:ilvl w:val="1"/>
          <w:numId w:val="4"/>
        </w:numPr>
        <w:spacing w:before="0" w:line="240" w:lineRule="auto"/>
        <w:ind w:left="1701" w:hanging="561"/>
        <w:rPr>
          <w:rFonts w:asciiTheme="majorHAnsi" w:hAnsiTheme="majorHAnsi" w:cstheme="majorHAnsi"/>
          <w:sz w:val="23"/>
          <w:szCs w:val="23"/>
        </w:rPr>
      </w:pPr>
      <w:r w:rsidRPr="00576357">
        <w:rPr>
          <w:rFonts w:asciiTheme="majorHAnsi" w:hAnsiTheme="majorHAnsi" w:cstheme="majorHAnsi"/>
          <w:sz w:val="23"/>
          <w:szCs w:val="23"/>
        </w:rPr>
        <w:t>Respecto al personal clave del negocio: años de experiencia en la actividad, formación profesional y plan de sucesión;</w:t>
      </w:r>
    </w:p>
    <w:p w14:paraId="73C55E13" w14:textId="77777777" w:rsidR="009C192E" w:rsidRPr="00576357" w:rsidRDefault="009C192E" w:rsidP="009C192E">
      <w:pPr>
        <w:numPr>
          <w:ilvl w:val="1"/>
          <w:numId w:val="4"/>
        </w:numPr>
        <w:spacing w:before="0" w:line="240" w:lineRule="auto"/>
        <w:ind w:left="1701" w:hanging="561"/>
        <w:rPr>
          <w:rFonts w:asciiTheme="majorHAnsi" w:hAnsiTheme="majorHAnsi" w:cstheme="majorHAnsi"/>
          <w:sz w:val="23"/>
          <w:szCs w:val="23"/>
        </w:rPr>
      </w:pPr>
      <w:r w:rsidRPr="00576357">
        <w:rPr>
          <w:rFonts w:asciiTheme="majorHAnsi" w:hAnsiTheme="majorHAnsi" w:cstheme="majorHAnsi"/>
          <w:sz w:val="23"/>
          <w:szCs w:val="23"/>
        </w:rPr>
        <w:t>Años de trayectoria del negocio en la actividad;</w:t>
      </w:r>
    </w:p>
    <w:p w14:paraId="75B705EC" w14:textId="77777777" w:rsidR="009C192E" w:rsidRPr="00576357" w:rsidRDefault="009C192E" w:rsidP="009C192E">
      <w:pPr>
        <w:numPr>
          <w:ilvl w:val="1"/>
          <w:numId w:val="4"/>
        </w:numPr>
        <w:spacing w:before="0" w:line="240" w:lineRule="auto"/>
        <w:ind w:left="1701" w:hanging="561"/>
        <w:rPr>
          <w:rFonts w:asciiTheme="majorHAnsi" w:hAnsiTheme="majorHAnsi" w:cstheme="majorHAnsi"/>
          <w:sz w:val="23"/>
          <w:szCs w:val="23"/>
        </w:rPr>
      </w:pPr>
      <w:r w:rsidRPr="00576357">
        <w:rPr>
          <w:rFonts w:asciiTheme="majorHAnsi" w:hAnsiTheme="majorHAnsi" w:cstheme="majorHAnsi"/>
          <w:sz w:val="23"/>
          <w:szCs w:val="23"/>
        </w:rPr>
        <w:t>Experiencia de éxito en el desempeño de la actividad;</w:t>
      </w:r>
    </w:p>
    <w:p w14:paraId="096B14DE" w14:textId="77777777" w:rsidR="009C192E" w:rsidRPr="00576357" w:rsidRDefault="009C192E" w:rsidP="009C192E">
      <w:pPr>
        <w:numPr>
          <w:ilvl w:val="1"/>
          <w:numId w:val="4"/>
        </w:numPr>
        <w:spacing w:before="0" w:line="240" w:lineRule="auto"/>
        <w:ind w:left="1701" w:hanging="561"/>
        <w:rPr>
          <w:rFonts w:asciiTheme="majorHAnsi" w:hAnsiTheme="majorHAnsi" w:cstheme="majorHAnsi"/>
          <w:sz w:val="23"/>
          <w:szCs w:val="23"/>
        </w:rPr>
      </w:pPr>
      <w:r w:rsidRPr="00576357">
        <w:rPr>
          <w:rFonts w:asciiTheme="majorHAnsi" w:hAnsiTheme="majorHAnsi" w:cstheme="majorHAnsi"/>
          <w:sz w:val="23"/>
          <w:szCs w:val="23"/>
        </w:rPr>
        <w:t>Otros aspectos como la concentración de clientes y proveedores.</w:t>
      </w:r>
    </w:p>
    <w:p w14:paraId="6C0C2BF0" w14:textId="77777777" w:rsidR="009C192E" w:rsidRPr="00576357" w:rsidRDefault="009C192E" w:rsidP="00681541">
      <w:pPr>
        <w:pStyle w:val="Prrafodelista"/>
        <w:numPr>
          <w:ilvl w:val="0"/>
          <w:numId w:val="14"/>
        </w:numPr>
        <w:spacing w:after="240"/>
        <w:ind w:left="1134" w:hanging="567"/>
        <w:contextualSpacing w:val="0"/>
        <w:jc w:val="both"/>
        <w:rPr>
          <w:rFonts w:asciiTheme="majorHAnsi" w:hAnsiTheme="majorHAnsi" w:cstheme="majorHAnsi"/>
          <w:b/>
          <w:sz w:val="23"/>
          <w:szCs w:val="23"/>
        </w:rPr>
      </w:pPr>
      <w:r w:rsidRPr="00576357">
        <w:rPr>
          <w:rFonts w:asciiTheme="majorHAnsi" w:hAnsiTheme="majorHAnsi" w:cstheme="majorHAnsi"/>
          <w:b/>
          <w:sz w:val="23"/>
          <w:szCs w:val="23"/>
        </w:rPr>
        <w:t xml:space="preserve">Contexto sectorial </w:t>
      </w:r>
    </w:p>
    <w:p w14:paraId="29FE853C" w14:textId="77777777" w:rsidR="009C192E" w:rsidRPr="00576357" w:rsidRDefault="009C192E" w:rsidP="009C192E">
      <w:pPr>
        <w:ind w:left="567"/>
        <w:rPr>
          <w:rFonts w:asciiTheme="majorHAnsi" w:hAnsiTheme="majorHAnsi" w:cstheme="majorHAnsi"/>
          <w:sz w:val="23"/>
          <w:szCs w:val="23"/>
        </w:rPr>
      </w:pPr>
      <w:r w:rsidRPr="00576357">
        <w:rPr>
          <w:rFonts w:asciiTheme="majorHAnsi" w:hAnsiTheme="majorHAnsi" w:cstheme="majorHAnsi"/>
          <w:sz w:val="23"/>
          <w:szCs w:val="23"/>
        </w:rPr>
        <w:t>El análisis consiste en identificar las principales variables del sector que pueden afectar la capacidad de pago futura del deudor, y establecer consideraciones sobre el desempeño esperado de esas variables, tomando en cuenta los riesgos a los que está expuesto el deudor.</w:t>
      </w:r>
    </w:p>
    <w:p w14:paraId="244A09C4" w14:textId="77777777" w:rsidR="009C192E" w:rsidRPr="00576357" w:rsidRDefault="009C192E" w:rsidP="009C192E">
      <w:pPr>
        <w:ind w:left="567"/>
        <w:rPr>
          <w:rFonts w:asciiTheme="majorHAnsi" w:hAnsiTheme="majorHAnsi" w:cstheme="majorHAnsi"/>
          <w:sz w:val="23"/>
          <w:szCs w:val="23"/>
        </w:rPr>
      </w:pPr>
      <w:r w:rsidRPr="00576357">
        <w:rPr>
          <w:rFonts w:asciiTheme="majorHAnsi" w:hAnsiTheme="majorHAnsi" w:cstheme="majorHAnsi"/>
          <w:sz w:val="23"/>
          <w:szCs w:val="23"/>
        </w:rPr>
        <w:t>Las variables relevantes están en función del sector específico dentro del cual el deudor desarrolla sus negocios. Las fuentes de información sobre los sectores provienen generalmente de los mismos deudores, aunque las entidades supervisadas pueden realizar estudios específicos o acudir a otras fuentes como las cámaras sectoriales.</w:t>
      </w:r>
    </w:p>
    <w:p w14:paraId="47657C2B" w14:textId="77777777" w:rsidR="009C192E" w:rsidRPr="00576357" w:rsidRDefault="009C192E" w:rsidP="009C192E">
      <w:pPr>
        <w:pStyle w:val="Ttulo2"/>
        <w:ind w:left="567" w:hanging="578"/>
        <w:rPr>
          <w:rFonts w:asciiTheme="majorHAnsi" w:hAnsiTheme="majorHAnsi" w:cstheme="majorHAnsi"/>
          <w:sz w:val="23"/>
          <w:szCs w:val="23"/>
        </w:rPr>
      </w:pPr>
      <w:bookmarkStart w:id="2" w:name="_Toc227326016"/>
      <w:r w:rsidRPr="00576357">
        <w:rPr>
          <w:rFonts w:asciiTheme="majorHAnsi" w:hAnsiTheme="majorHAnsi" w:cstheme="majorHAnsi"/>
          <w:sz w:val="23"/>
          <w:szCs w:val="23"/>
        </w:rPr>
        <w:lastRenderedPageBreak/>
        <w:t>ANÁLISIS DE LA CAPACIDAD DE PAGO DE INSTITUCIONES DEL SECTOR PÚBLICO COSTARRICENSE</w:t>
      </w:r>
      <w:bookmarkEnd w:id="2"/>
    </w:p>
    <w:p w14:paraId="1B5960E7"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Las disposiciones establecidas en el Acuerdo SUGEF 1-26 y en estos Lineamientos Generales son igualmente aplicables para valoración de riesgos de las instituciones del sector público costarricense.</w:t>
      </w:r>
    </w:p>
    <w:p w14:paraId="4EE74B3E" w14:textId="77777777" w:rsidR="009C192E" w:rsidRPr="00576357" w:rsidRDefault="009C192E" w:rsidP="009C192E">
      <w:pPr>
        <w:pStyle w:val="Ttulo2"/>
        <w:ind w:left="567" w:hanging="578"/>
        <w:rPr>
          <w:rFonts w:asciiTheme="majorHAnsi" w:hAnsiTheme="majorHAnsi" w:cstheme="majorHAnsi"/>
          <w:sz w:val="23"/>
          <w:szCs w:val="23"/>
        </w:rPr>
      </w:pPr>
      <w:bookmarkStart w:id="3" w:name="_Toc227326017"/>
      <w:r w:rsidRPr="00576357">
        <w:rPr>
          <w:rFonts w:asciiTheme="majorHAnsi" w:hAnsiTheme="majorHAnsi" w:cstheme="majorHAnsi"/>
          <w:sz w:val="23"/>
          <w:szCs w:val="23"/>
        </w:rPr>
        <w:t>METODOLOGÍAS INTERNAS PARA EL ANÁLISIS DE CAPACIDAD DE PAGO</w:t>
      </w:r>
      <w:bookmarkEnd w:id="3"/>
    </w:p>
    <w:p w14:paraId="1A3E74C0"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 xml:space="preserve">En el marco de las disposiciones establecidas de manera general sobre gobierno corporativo y administración de riesgos, y de manera específica en el Acuerdo SUGEF 1-26 y estos Lineamientos, las entidades deben establecer los aspectos y criterios que considerarán para el análisis de la capacidad de pago de sus deudores. Dichos aspectos y criterios deben constar en las políticas y procedimientos de la entidad, debidamente aprobados por su Órgano de Dirección. </w:t>
      </w:r>
    </w:p>
    <w:p w14:paraId="69119A74"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La entidad podrá contar internamente con la escala de niveles de calificación de capacidad de pago que estime conveniente de acuerdo con su política crediticia.</w:t>
      </w:r>
    </w:p>
    <w:p w14:paraId="635F3086"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Dicha escala de niveles podrá ser diferente a la regulatoria, sin embargo, deberá contar por lo menos con cuatro niveles que permitan discriminar sobre la capacidad de pago de los deudores bajo escenarios de estrés.</w:t>
      </w:r>
    </w:p>
    <w:p w14:paraId="55D58375"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El nivel de capacidad de pago que la entidad asigne a cada deudor debe utilizarse en el proceso de decisión crediticia, tanto en la etapa de otorgamiento de crédito como en las etapas de seguimiento y control.</w:t>
      </w:r>
    </w:p>
    <w:p w14:paraId="7B21063A"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En la Sección VI de estos Lineamientos Generales se establecen algunos aspectos a considerar en la determinación de la definición de las metodologías de análisis de capacidad de pago, y en la Sección VII de estos Lineamientos se incluyen algunos aspectos a tomar en consideración en las metodologías de análisis de estrés.</w:t>
      </w:r>
    </w:p>
    <w:p w14:paraId="3CF8E066" w14:textId="77777777" w:rsidR="009C192E" w:rsidRPr="00576357" w:rsidRDefault="009C192E" w:rsidP="009C192E">
      <w:pPr>
        <w:pStyle w:val="Ttulo2"/>
        <w:ind w:left="567" w:hanging="578"/>
        <w:rPr>
          <w:rFonts w:asciiTheme="majorHAnsi" w:hAnsiTheme="majorHAnsi" w:cstheme="majorHAnsi"/>
          <w:sz w:val="23"/>
          <w:szCs w:val="23"/>
        </w:rPr>
      </w:pPr>
      <w:bookmarkStart w:id="4" w:name="_Toc227326018"/>
      <w:r w:rsidRPr="00576357">
        <w:rPr>
          <w:rFonts w:asciiTheme="majorHAnsi" w:hAnsiTheme="majorHAnsi" w:cstheme="majorHAnsi"/>
          <w:sz w:val="23"/>
          <w:szCs w:val="23"/>
        </w:rPr>
        <w:t>DEFINICIÓN DE NIVELES DE CAPACIDAD DE PAGO</w:t>
      </w:r>
      <w:bookmarkEnd w:id="4"/>
    </w:p>
    <w:p w14:paraId="32C57050"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lastRenderedPageBreak/>
        <w:t>La entidad deberá asociar sus diferentes niveles internos de capacidad de pago con los siguientes 4 niveles, cuyo concepto se detalla en el cuadro siguiente, cumpliendo copulativamente los criterios señalados:</w:t>
      </w:r>
    </w:p>
    <w:p w14:paraId="5B727CEF" w14:textId="77777777" w:rsidR="009C192E" w:rsidRPr="00576357" w:rsidRDefault="009C192E" w:rsidP="009C192E">
      <w:pPr>
        <w:numPr>
          <w:ilvl w:val="0"/>
          <w:numId w:val="5"/>
        </w:numPr>
        <w:spacing w:before="0" w:line="240" w:lineRule="auto"/>
        <w:ind w:left="1560" w:hanging="708"/>
        <w:rPr>
          <w:rFonts w:asciiTheme="majorHAnsi" w:hAnsiTheme="majorHAnsi" w:cstheme="majorHAnsi"/>
          <w:sz w:val="23"/>
          <w:szCs w:val="23"/>
        </w:rPr>
      </w:pPr>
      <w:r w:rsidRPr="00576357">
        <w:rPr>
          <w:rFonts w:asciiTheme="majorHAnsi" w:hAnsiTheme="majorHAnsi" w:cstheme="majorHAnsi"/>
          <w:sz w:val="23"/>
          <w:szCs w:val="23"/>
        </w:rPr>
        <w:t xml:space="preserve">Nivel 1: tiene capacidad de pago, </w:t>
      </w:r>
    </w:p>
    <w:p w14:paraId="522FCECA" w14:textId="77777777" w:rsidR="009C192E" w:rsidRPr="00576357" w:rsidRDefault="009C192E" w:rsidP="009C192E">
      <w:pPr>
        <w:numPr>
          <w:ilvl w:val="0"/>
          <w:numId w:val="5"/>
        </w:numPr>
        <w:spacing w:before="0" w:line="240" w:lineRule="auto"/>
        <w:ind w:left="1701" w:hanging="850"/>
        <w:rPr>
          <w:rFonts w:asciiTheme="majorHAnsi" w:hAnsiTheme="majorHAnsi" w:cstheme="majorHAnsi"/>
          <w:sz w:val="23"/>
          <w:szCs w:val="23"/>
        </w:rPr>
      </w:pPr>
      <w:r w:rsidRPr="00576357">
        <w:rPr>
          <w:rFonts w:asciiTheme="majorHAnsi" w:hAnsiTheme="majorHAnsi" w:cstheme="majorHAnsi"/>
          <w:sz w:val="23"/>
          <w:szCs w:val="23"/>
        </w:rPr>
        <w:t xml:space="preserve">Nivel 2: presenta debilidades leves en la capacidad de pago, </w:t>
      </w:r>
    </w:p>
    <w:p w14:paraId="0F1CFFCA" w14:textId="77777777" w:rsidR="009C192E" w:rsidRPr="00576357" w:rsidRDefault="009C192E" w:rsidP="009C192E">
      <w:pPr>
        <w:numPr>
          <w:ilvl w:val="0"/>
          <w:numId w:val="5"/>
        </w:numPr>
        <w:spacing w:before="0" w:line="240" w:lineRule="auto"/>
        <w:ind w:left="1701" w:hanging="850"/>
        <w:rPr>
          <w:rFonts w:asciiTheme="majorHAnsi" w:hAnsiTheme="majorHAnsi" w:cstheme="majorHAnsi"/>
          <w:sz w:val="23"/>
          <w:szCs w:val="23"/>
        </w:rPr>
      </w:pPr>
      <w:r w:rsidRPr="00576357">
        <w:rPr>
          <w:rFonts w:asciiTheme="majorHAnsi" w:hAnsiTheme="majorHAnsi" w:cstheme="majorHAnsi"/>
          <w:sz w:val="23"/>
          <w:szCs w:val="23"/>
        </w:rPr>
        <w:t xml:space="preserve">Nivel 3: presenta debilidades graves en la capacidad de pago, y </w:t>
      </w:r>
    </w:p>
    <w:p w14:paraId="1ACA582C" w14:textId="5848A6F3" w:rsidR="009C192E" w:rsidRPr="00576357" w:rsidRDefault="009C192E" w:rsidP="009C192E">
      <w:pPr>
        <w:numPr>
          <w:ilvl w:val="0"/>
          <w:numId w:val="5"/>
        </w:numPr>
        <w:spacing w:before="0" w:line="240" w:lineRule="auto"/>
        <w:ind w:left="1701" w:hanging="850"/>
        <w:rPr>
          <w:rFonts w:asciiTheme="majorHAnsi" w:hAnsiTheme="majorHAnsi" w:cstheme="majorHAnsi"/>
          <w:sz w:val="23"/>
          <w:szCs w:val="23"/>
        </w:rPr>
      </w:pPr>
      <w:r w:rsidRPr="00576357">
        <w:rPr>
          <w:rFonts w:asciiTheme="majorHAnsi" w:hAnsiTheme="majorHAnsi" w:cstheme="majorHAnsi"/>
          <w:sz w:val="23"/>
          <w:szCs w:val="23"/>
        </w:rPr>
        <w:t xml:space="preserve">Nivel 4: no tiene capacidad de pago. </w:t>
      </w:r>
    </w:p>
    <w:tbl>
      <w:tblPr>
        <w:tblStyle w:val="TableGrid"/>
        <w:tblW w:w="8931" w:type="dxa"/>
        <w:tblInd w:w="137" w:type="dxa"/>
        <w:tblCellMar>
          <w:left w:w="391" w:type="dxa"/>
          <w:right w:w="58" w:type="dxa"/>
        </w:tblCellMar>
        <w:tblLook w:val="04A0" w:firstRow="1" w:lastRow="0" w:firstColumn="1" w:lastColumn="0" w:noHBand="0" w:noVBand="1"/>
      </w:tblPr>
      <w:tblGrid>
        <w:gridCol w:w="1438"/>
        <w:gridCol w:w="7493"/>
      </w:tblGrid>
      <w:tr w:rsidR="009C192E" w:rsidRPr="00576357" w14:paraId="5FD91042" w14:textId="77777777" w:rsidTr="00F268BB">
        <w:trPr>
          <w:trHeight w:val="679"/>
          <w:tblHeader/>
        </w:trPr>
        <w:tc>
          <w:tcPr>
            <w:tcW w:w="1276" w:type="dxa"/>
            <w:tcBorders>
              <w:top w:val="single" w:sz="4" w:space="0" w:color="000000"/>
              <w:left w:val="single" w:sz="4" w:space="0" w:color="000000"/>
              <w:bottom w:val="single" w:sz="4" w:space="0" w:color="000000"/>
              <w:right w:val="single" w:sz="4" w:space="0" w:color="000000"/>
            </w:tcBorders>
            <w:shd w:val="clear" w:color="auto" w:fill="EAEDF1" w:themeFill="text2" w:themeFillTint="1A"/>
            <w:vAlign w:val="center"/>
          </w:tcPr>
          <w:p w14:paraId="63EB7E36" w14:textId="77777777" w:rsidR="009C192E" w:rsidRPr="00576357" w:rsidRDefault="009C192E" w:rsidP="00F268BB">
            <w:pPr>
              <w:ind w:left="-391"/>
              <w:rPr>
                <w:rFonts w:asciiTheme="majorHAnsi" w:hAnsiTheme="majorHAnsi" w:cstheme="majorHAnsi"/>
                <w:sz w:val="23"/>
                <w:szCs w:val="23"/>
              </w:rPr>
            </w:pPr>
            <w:r w:rsidRPr="00576357">
              <w:rPr>
                <w:rFonts w:asciiTheme="majorHAnsi" w:hAnsiTheme="majorHAnsi" w:cstheme="majorHAnsi"/>
                <w:b/>
                <w:sz w:val="23"/>
                <w:szCs w:val="23"/>
              </w:rPr>
              <w:t>CAPACIDAD DE PAGO</w:t>
            </w:r>
          </w:p>
        </w:tc>
        <w:tc>
          <w:tcPr>
            <w:tcW w:w="7655" w:type="dxa"/>
            <w:tcBorders>
              <w:top w:val="single" w:sz="4" w:space="0" w:color="000000"/>
              <w:left w:val="single" w:sz="4" w:space="0" w:color="000000"/>
              <w:bottom w:val="single" w:sz="4" w:space="0" w:color="000000"/>
              <w:right w:val="single" w:sz="4" w:space="0" w:color="000000"/>
            </w:tcBorders>
            <w:shd w:val="clear" w:color="auto" w:fill="EAEDF1" w:themeFill="text2" w:themeFillTint="1A"/>
            <w:vAlign w:val="center"/>
          </w:tcPr>
          <w:p w14:paraId="5C55BA4D" w14:textId="77777777" w:rsidR="009C192E" w:rsidRPr="00576357" w:rsidRDefault="009C192E" w:rsidP="00576357">
            <w:pPr>
              <w:jc w:val="center"/>
              <w:rPr>
                <w:rFonts w:asciiTheme="majorHAnsi" w:hAnsiTheme="majorHAnsi" w:cstheme="majorHAnsi"/>
                <w:sz w:val="23"/>
                <w:szCs w:val="23"/>
              </w:rPr>
            </w:pPr>
            <w:r w:rsidRPr="00576357">
              <w:rPr>
                <w:rFonts w:asciiTheme="majorHAnsi" w:hAnsiTheme="majorHAnsi" w:cstheme="majorHAnsi"/>
                <w:b/>
                <w:sz w:val="23"/>
                <w:szCs w:val="23"/>
              </w:rPr>
              <w:t>CRITERIOS DE CALIFICACIÓN</w:t>
            </w:r>
          </w:p>
        </w:tc>
      </w:tr>
      <w:tr w:rsidR="009C192E" w:rsidRPr="00576357" w14:paraId="261E888B" w14:textId="77777777" w:rsidTr="00F268BB">
        <w:trPr>
          <w:trHeight w:val="435"/>
        </w:trPr>
        <w:tc>
          <w:tcPr>
            <w:tcW w:w="1276" w:type="dxa"/>
            <w:tcBorders>
              <w:top w:val="single" w:sz="4" w:space="0" w:color="000000"/>
              <w:left w:val="single" w:sz="4" w:space="0" w:color="000000"/>
              <w:bottom w:val="single" w:sz="4" w:space="0" w:color="000000"/>
              <w:right w:val="single" w:sz="4" w:space="0" w:color="000000"/>
            </w:tcBorders>
            <w:vAlign w:val="center"/>
          </w:tcPr>
          <w:p w14:paraId="2551B096" w14:textId="77777777" w:rsidR="009C192E" w:rsidRPr="00576357" w:rsidRDefault="009C192E" w:rsidP="00F268BB">
            <w:pPr>
              <w:ind w:left="-249"/>
              <w:rPr>
                <w:rFonts w:asciiTheme="majorHAnsi" w:hAnsiTheme="majorHAnsi" w:cstheme="majorHAnsi"/>
                <w:sz w:val="23"/>
                <w:szCs w:val="23"/>
              </w:rPr>
            </w:pPr>
            <w:r w:rsidRPr="00576357">
              <w:rPr>
                <w:rFonts w:asciiTheme="majorHAnsi" w:hAnsiTheme="majorHAnsi" w:cstheme="majorHAnsi"/>
                <w:b/>
                <w:sz w:val="23"/>
                <w:szCs w:val="23"/>
              </w:rPr>
              <w:t xml:space="preserve">Nivel 1 </w:t>
            </w:r>
          </w:p>
        </w:tc>
        <w:tc>
          <w:tcPr>
            <w:tcW w:w="7655" w:type="dxa"/>
            <w:tcBorders>
              <w:top w:val="single" w:sz="4" w:space="0" w:color="000000"/>
              <w:left w:val="single" w:sz="4" w:space="0" w:color="000000"/>
              <w:bottom w:val="single" w:sz="4" w:space="0" w:color="000000"/>
              <w:right w:val="single" w:sz="4" w:space="0" w:color="000000"/>
            </w:tcBorders>
          </w:tcPr>
          <w:p w14:paraId="49F02097" w14:textId="198800D0" w:rsidR="009C192E" w:rsidRPr="00576357" w:rsidRDefault="00576357" w:rsidP="00681541">
            <w:pPr>
              <w:pStyle w:val="Prrafodelista"/>
              <w:numPr>
                <w:ilvl w:val="0"/>
                <w:numId w:val="73"/>
              </w:numPr>
              <w:ind w:left="163" w:hanging="426"/>
              <w:jc w:val="both"/>
              <w:rPr>
                <w:rFonts w:asciiTheme="majorHAnsi" w:hAnsiTheme="majorHAnsi" w:cstheme="majorHAnsi"/>
                <w:sz w:val="23"/>
                <w:szCs w:val="23"/>
              </w:rPr>
            </w:pPr>
            <w:r w:rsidRPr="00576357">
              <w:rPr>
                <w:rFonts w:asciiTheme="majorHAnsi" w:hAnsiTheme="majorHAnsi" w:cstheme="majorHAnsi"/>
                <w:sz w:val="23"/>
                <w:szCs w:val="23"/>
              </w:rPr>
              <w:t>L</w:t>
            </w:r>
            <w:r w:rsidR="009C192E" w:rsidRPr="00576357">
              <w:rPr>
                <w:rFonts w:asciiTheme="majorHAnsi" w:hAnsiTheme="majorHAnsi" w:cstheme="majorHAnsi"/>
                <w:sz w:val="23"/>
                <w:szCs w:val="23"/>
              </w:rPr>
              <w:t xml:space="preserve">os resultados muestran que la capacidad de pago es suficiente para atender las obligaciones crediticias en los términos pactados, aún bajo escenarios de estrés de las variables críticas, entre las que se incluye el tipo de cambio.  </w:t>
            </w:r>
          </w:p>
          <w:p w14:paraId="1C1F203E" w14:textId="77777777" w:rsidR="009C192E" w:rsidRPr="00576357" w:rsidRDefault="009C192E" w:rsidP="00681541">
            <w:pPr>
              <w:pStyle w:val="Prrafodelista"/>
              <w:numPr>
                <w:ilvl w:val="0"/>
                <w:numId w:val="73"/>
              </w:numPr>
              <w:ind w:left="163" w:hanging="426"/>
              <w:jc w:val="both"/>
              <w:rPr>
                <w:rFonts w:asciiTheme="majorHAnsi" w:hAnsiTheme="majorHAnsi" w:cstheme="majorHAnsi"/>
                <w:sz w:val="23"/>
                <w:szCs w:val="23"/>
              </w:rPr>
            </w:pPr>
            <w:r w:rsidRPr="00576357">
              <w:rPr>
                <w:rFonts w:asciiTheme="majorHAnsi" w:hAnsiTheme="majorHAnsi" w:cstheme="majorHAnsi"/>
                <w:sz w:val="23"/>
                <w:szCs w:val="23"/>
              </w:rPr>
              <w:t xml:space="preserve">El análisis de estrés de tipo de cambio muestra un deudor con bajo riesgo cambiario del crédito. </w:t>
            </w:r>
          </w:p>
          <w:p w14:paraId="7124A6C3" w14:textId="77777777" w:rsidR="009C192E" w:rsidRPr="00576357" w:rsidRDefault="009C192E" w:rsidP="00681541">
            <w:pPr>
              <w:pStyle w:val="Prrafodelista"/>
              <w:numPr>
                <w:ilvl w:val="0"/>
                <w:numId w:val="73"/>
              </w:numPr>
              <w:ind w:left="163" w:hanging="426"/>
              <w:jc w:val="both"/>
              <w:rPr>
                <w:rFonts w:asciiTheme="majorHAnsi" w:hAnsiTheme="majorHAnsi" w:cstheme="majorHAnsi"/>
                <w:sz w:val="23"/>
                <w:szCs w:val="23"/>
              </w:rPr>
            </w:pPr>
            <w:r w:rsidRPr="00576357">
              <w:rPr>
                <w:rFonts w:asciiTheme="majorHAnsi" w:hAnsiTheme="majorHAnsi" w:cstheme="majorHAnsi"/>
                <w:sz w:val="23"/>
                <w:szCs w:val="23"/>
              </w:rPr>
              <w:t>El deudor presenta estados financieros auditados.</w:t>
            </w:r>
          </w:p>
        </w:tc>
      </w:tr>
      <w:tr w:rsidR="009C192E" w:rsidRPr="00576357" w14:paraId="326FF39E" w14:textId="77777777" w:rsidTr="00F268BB">
        <w:trPr>
          <w:trHeight w:val="852"/>
        </w:trPr>
        <w:tc>
          <w:tcPr>
            <w:tcW w:w="1276" w:type="dxa"/>
            <w:tcBorders>
              <w:top w:val="single" w:sz="4" w:space="0" w:color="000000"/>
              <w:left w:val="single" w:sz="4" w:space="0" w:color="000000"/>
              <w:bottom w:val="single" w:sz="4" w:space="0" w:color="000000"/>
              <w:right w:val="single" w:sz="4" w:space="0" w:color="000000"/>
            </w:tcBorders>
            <w:vAlign w:val="center"/>
          </w:tcPr>
          <w:p w14:paraId="7C690027" w14:textId="77777777" w:rsidR="009C192E" w:rsidRPr="00576357" w:rsidRDefault="009C192E" w:rsidP="00F268BB">
            <w:pPr>
              <w:ind w:left="-249"/>
              <w:rPr>
                <w:rFonts w:asciiTheme="majorHAnsi" w:hAnsiTheme="majorHAnsi" w:cstheme="majorHAnsi"/>
                <w:sz w:val="23"/>
                <w:szCs w:val="23"/>
              </w:rPr>
            </w:pPr>
            <w:r w:rsidRPr="00576357">
              <w:rPr>
                <w:rFonts w:asciiTheme="majorHAnsi" w:hAnsiTheme="majorHAnsi" w:cstheme="majorHAnsi"/>
                <w:b/>
                <w:sz w:val="23"/>
                <w:szCs w:val="23"/>
              </w:rPr>
              <w:t xml:space="preserve">Nivel 2 </w:t>
            </w:r>
          </w:p>
        </w:tc>
        <w:tc>
          <w:tcPr>
            <w:tcW w:w="7655" w:type="dxa"/>
            <w:tcBorders>
              <w:top w:val="single" w:sz="4" w:space="0" w:color="000000"/>
              <w:left w:val="single" w:sz="4" w:space="0" w:color="000000"/>
              <w:bottom w:val="single" w:sz="4" w:space="0" w:color="000000"/>
              <w:right w:val="single" w:sz="4" w:space="0" w:color="000000"/>
            </w:tcBorders>
          </w:tcPr>
          <w:p w14:paraId="0C5C1696" w14:textId="77777777" w:rsidR="00576357" w:rsidRDefault="00576357" w:rsidP="00681541">
            <w:pPr>
              <w:pStyle w:val="Prrafodelista"/>
              <w:numPr>
                <w:ilvl w:val="0"/>
                <w:numId w:val="74"/>
              </w:numPr>
              <w:ind w:left="163" w:hanging="426"/>
              <w:jc w:val="both"/>
              <w:rPr>
                <w:rFonts w:asciiTheme="majorHAnsi" w:hAnsiTheme="majorHAnsi" w:cstheme="majorHAnsi"/>
                <w:sz w:val="23"/>
                <w:szCs w:val="23"/>
              </w:rPr>
            </w:pPr>
            <w:r w:rsidRPr="00576357">
              <w:rPr>
                <w:rFonts w:asciiTheme="majorHAnsi" w:hAnsiTheme="majorHAnsi" w:cstheme="majorHAnsi"/>
                <w:sz w:val="23"/>
                <w:szCs w:val="23"/>
              </w:rPr>
              <w:t>Lo</w:t>
            </w:r>
            <w:r w:rsidR="009C192E" w:rsidRPr="00576357">
              <w:rPr>
                <w:rFonts w:asciiTheme="majorHAnsi" w:hAnsiTheme="majorHAnsi" w:cstheme="majorHAnsi"/>
                <w:sz w:val="23"/>
                <w:szCs w:val="23"/>
              </w:rPr>
              <w:t xml:space="preserve">s resultados muestran que bajo un escenario normal la capacidad de pago es suficiente para atender las obligaciones crediticias en los términos pactados, pero en situaciones de estrés de las variables críticas, entre las que se incluye el tipo de cambio, existen debilidades en la capacidad de pago. </w:t>
            </w:r>
          </w:p>
          <w:p w14:paraId="709424E8" w14:textId="6A96584E" w:rsidR="009C192E" w:rsidRDefault="009C192E" w:rsidP="00681541">
            <w:pPr>
              <w:pStyle w:val="Prrafodelista"/>
              <w:numPr>
                <w:ilvl w:val="0"/>
                <w:numId w:val="74"/>
              </w:numPr>
              <w:ind w:left="163" w:hanging="426"/>
              <w:jc w:val="both"/>
              <w:rPr>
                <w:rFonts w:asciiTheme="majorHAnsi" w:hAnsiTheme="majorHAnsi" w:cstheme="majorHAnsi"/>
                <w:sz w:val="23"/>
                <w:szCs w:val="23"/>
              </w:rPr>
            </w:pPr>
            <w:r w:rsidRPr="00576357">
              <w:rPr>
                <w:rFonts w:asciiTheme="majorHAnsi" w:hAnsiTheme="majorHAnsi" w:cstheme="majorHAnsi"/>
                <w:sz w:val="23"/>
                <w:szCs w:val="23"/>
              </w:rPr>
              <w:t xml:space="preserve"> </w:t>
            </w:r>
            <w:r w:rsidR="00576357" w:rsidRPr="00576357">
              <w:rPr>
                <w:rFonts w:asciiTheme="majorHAnsi" w:hAnsiTheme="majorHAnsi" w:cstheme="majorHAnsi"/>
                <w:sz w:val="23"/>
                <w:szCs w:val="23"/>
              </w:rPr>
              <w:t>El</w:t>
            </w:r>
            <w:r w:rsidRPr="00576357">
              <w:rPr>
                <w:rFonts w:asciiTheme="majorHAnsi" w:hAnsiTheme="majorHAnsi" w:cstheme="majorHAnsi"/>
                <w:sz w:val="23"/>
                <w:szCs w:val="23"/>
              </w:rPr>
              <w:t xml:space="preserve"> análisis de estrés de tipo de cambio muestra un deudor con bajo o alto riesgo cambiario del crédito. </w:t>
            </w:r>
          </w:p>
          <w:p w14:paraId="71934674" w14:textId="52FF49E7" w:rsidR="00576357" w:rsidRPr="00576357" w:rsidRDefault="00576357" w:rsidP="00681541">
            <w:pPr>
              <w:pStyle w:val="Prrafodelista"/>
              <w:numPr>
                <w:ilvl w:val="0"/>
                <w:numId w:val="74"/>
              </w:numPr>
              <w:ind w:left="163" w:hanging="426"/>
              <w:jc w:val="both"/>
              <w:rPr>
                <w:rFonts w:asciiTheme="majorHAnsi" w:hAnsiTheme="majorHAnsi" w:cstheme="majorHAnsi"/>
                <w:sz w:val="23"/>
                <w:szCs w:val="23"/>
              </w:rPr>
            </w:pPr>
            <w:r w:rsidRPr="00576357">
              <w:rPr>
                <w:rFonts w:asciiTheme="majorHAnsi" w:hAnsiTheme="majorHAnsi" w:cstheme="majorHAnsi"/>
                <w:sz w:val="23"/>
                <w:szCs w:val="23"/>
              </w:rPr>
              <w:t>Los resultados muestran que bajo un escenario normal existen debilidades en la capacidad de pago, las cuales podrán ser superadas para atender las obligaciones crediticias en los términos pactados</w:t>
            </w:r>
          </w:p>
          <w:p w14:paraId="7E58DF00" w14:textId="3D0A6631" w:rsidR="009C192E" w:rsidRPr="00576357" w:rsidRDefault="009C192E" w:rsidP="00576357">
            <w:pPr>
              <w:pStyle w:val="Prrafodelista"/>
              <w:jc w:val="both"/>
              <w:rPr>
                <w:rFonts w:asciiTheme="majorHAnsi" w:hAnsiTheme="majorHAnsi" w:cstheme="majorHAnsi"/>
                <w:sz w:val="23"/>
                <w:szCs w:val="23"/>
              </w:rPr>
            </w:pPr>
          </w:p>
        </w:tc>
      </w:tr>
      <w:tr w:rsidR="009C192E" w:rsidRPr="00576357" w14:paraId="28FF2B55" w14:textId="77777777" w:rsidTr="00F268BB">
        <w:trPr>
          <w:trHeight w:val="701"/>
        </w:trPr>
        <w:tc>
          <w:tcPr>
            <w:tcW w:w="1276" w:type="dxa"/>
            <w:tcBorders>
              <w:top w:val="single" w:sz="4" w:space="0" w:color="000000"/>
              <w:left w:val="single" w:sz="4" w:space="0" w:color="000000"/>
              <w:bottom w:val="single" w:sz="4" w:space="0" w:color="000000"/>
              <w:right w:val="single" w:sz="4" w:space="0" w:color="000000"/>
            </w:tcBorders>
            <w:vAlign w:val="center"/>
          </w:tcPr>
          <w:p w14:paraId="0BE1CE8A" w14:textId="77777777" w:rsidR="009C192E" w:rsidRPr="00576357" w:rsidRDefault="009C192E" w:rsidP="00F268BB">
            <w:pPr>
              <w:ind w:left="-249"/>
              <w:rPr>
                <w:rFonts w:asciiTheme="majorHAnsi" w:hAnsiTheme="majorHAnsi" w:cstheme="majorHAnsi"/>
                <w:sz w:val="23"/>
                <w:szCs w:val="23"/>
              </w:rPr>
            </w:pPr>
            <w:r w:rsidRPr="00576357">
              <w:rPr>
                <w:rFonts w:asciiTheme="majorHAnsi" w:hAnsiTheme="majorHAnsi" w:cstheme="majorHAnsi"/>
                <w:b/>
                <w:sz w:val="23"/>
                <w:szCs w:val="23"/>
              </w:rPr>
              <w:lastRenderedPageBreak/>
              <w:t xml:space="preserve">Nivel 3 </w:t>
            </w:r>
          </w:p>
        </w:tc>
        <w:tc>
          <w:tcPr>
            <w:tcW w:w="7655" w:type="dxa"/>
            <w:tcBorders>
              <w:top w:val="single" w:sz="4" w:space="0" w:color="000000"/>
              <w:left w:val="single" w:sz="4" w:space="0" w:color="000000"/>
              <w:bottom w:val="single" w:sz="4" w:space="0" w:color="000000"/>
              <w:right w:val="single" w:sz="4" w:space="0" w:color="000000"/>
            </w:tcBorders>
          </w:tcPr>
          <w:p w14:paraId="70BD4B50" w14:textId="77777777" w:rsidR="009C192E" w:rsidRPr="00576357" w:rsidRDefault="009C192E" w:rsidP="00681541">
            <w:pPr>
              <w:pStyle w:val="Prrafodelista"/>
              <w:numPr>
                <w:ilvl w:val="0"/>
                <w:numId w:val="35"/>
              </w:numPr>
              <w:jc w:val="both"/>
              <w:rPr>
                <w:rFonts w:asciiTheme="majorHAnsi" w:hAnsiTheme="majorHAnsi" w:cstheme="majorHAnsi"/>
                <w:sz w:val="23"/>
                <w:szCs w:val="23"/>
              </w:rPr>
            </w:pPr>
            <w:r w:rsidRPr="00576357">
              <w:rPr>
                <w:rFonts w:asciiTheme="majorHAnsi" w:hAnsiTheme="majorHAnsi" w:cstheme="majorHAnsi"/>
                <w:sz w:val="23"/>
                <w:szCs w:val="23"/>
              </w:rPr>
              <w:t xml:space="preserve">Los resultados muestran que bajo un escenario normal existen debilidades en la capacidad de pago que no podrán ser superadas para atender las obligaciones crediticias en los términos pactados. </w:t>
            </w:r>
          </w:p>
        </w:tc>
      </w:tr>
      <w:tr w:rsidR="009C192E" w:rsidRPr="00576357" w14:paraId="7DC20D05" w14:textId="77777777" w:rsidTr="00F268BB">
        <w:trPr>
          <w:trHeight w:val="929"/>
        </w:trPr>
        <w:tc>
          <w:tcPr>
            <w:tcW w:w="1276" w:type="dxa"/>
            <w:tcBorders>
              <w:top w:val="single" w:sz="4" w:space="0" w:color="000000"/>
              <w:left w:val="single" w:sz="4" w:space="0" w:color="000000"/>
              <w:bottom w:val="single" w:sz="4" w:space="0" w:color="000000"/>
              <w:right w:val="single" w:sz="4" w:space="0" w:color="000000"/>
            </w:tcBorders>
            <w:vAlign w:val="center"/>
          </w:tcPr>
          <w:p w14:paraId="602E2BAD" w14:textId="77777777" w:rsidR="009C192E" w:rsidRPr="00576357" w:rsidRDefault="009C192E" w:rsidP="00F268BB">
            <w:pPr>
              <w:ind w:left="-249"/>
              <w:rPr>
                <w:rFonts w:asciiTheme="majorHAnsi" w:hAnsiTheme="majorHAnsi" w:cstheme="majorHAnsi"/>
                <w:sz w:val="23"/>
                <w:szCs w:val="23"/>
              </w:rPr>
            </w:pPr>
            <w:r w:rsidRPr="00576357">
              <w:rPr>
                <w:rFonts w:asciiTheme="majorHAnsi" w:hAnsiTheme="majorHAnsi" w:cstheme="majorHAnsi"/>
                <w:b/>
                <w:sz w:val="23"/>
                <w:szCs w:val="23"/>
              </w:rPr>
              <w:t xml:space="preserve">Nivel 4 </w:t>
            </w:r>
          </w:p>
        </w:tc>
        <w:tc>
          <w:tcPr>
            <w:tcW w:w="7655" w:type="dxa"/>
            <w:tcBorders>
              <w:top w:val="single" w:sz="4" w:space="0" w:color="000000"/>
              <w:left w:val="single" w:sz="4" w:space="0" w:color="000000"/>
              <w:bottom w:val="single" w:sz="4" w:space="0" w:color="000000"/>
              <w:right w:val="single" w:sz="4" w:space="0" w:color="000000"/>
            </w:tcBorders>
          </w:tcPr>
          <w:p w14:paraId="664E76D8" w14:textId="77777777" w:rsidR="009C192E" w:rsidRDefault="009C192E" w:rsidP="00681541">
            <w:pPr>
              <w:pStyle w:val="Prrafodelista"/>
              <w:numPr>
                <w:ilvl w:val="0"/>
                <w:numId w:val="75"/>
              </w:numPr>
              <w:ind w:left="163" w:hanging="426"/>
              <w:jc w:val="both"/>
              <w:rPr>
                <w:rFonts w:asciiTheme="majorHAnsi" w:hAnsiTheme="majorHAnsi" w:cstheme="majorHAnsi"/>
                <w:sz w:val="23"/>
                <w:szCs w:val="23"/>
              </w:rPr>
            </w:pPr>
            <w:r w:rsidRPr="00576357">
              <w:rPr>
                <w:rFonts w:asciiTheme="majorHAnsi" w:hAnsiTheme="majorHAnsi" w:cstheme="majorHAnsi"/>
                <w:sz w:val="23"/>
                <w:szCs w:val="23"/>
              </w:rPr>
              <w:t xml:space="preserve">Los resultados muestran que bajo un escenario normal el deudor no tiene capacidad de pago para atender las obligaciones crediticias en los términos pactados. </w:t>
            </w:r>
          </w:p>
          <w:p w14:paraId="6B3224FE" w14:textId="7CB47003" w:rsidR="009C192E" w:rsidRPr="00576357" w:rsidRDefault="00576357" w:rsidP="00681541">
            <w:pPr>
              <w:pStyle w:val="Prrafodelista"/>
              <w:numPr>
                <w:ilvl w:val="0"/>
                <w:numId w:val="75"/>
              </w:numPr>
              <w:ind w:left="163" w:hanging="426"/>
              <w:jc w:val="both"/>
              <w:rPr>
                <w:rFonts w:asciiTheme="majorHAnsi" w:hAnsiTheme="majorHAnsi" w:cstheme="majorHAnsi"/>
                <w:sz w:val="23"/>
                <w:szCs w:val="23"/>
              </w:rPr>
            </w:pPr>
            <w:r w:rsidRPr="00576357">
              <w:rPr>
                <w:rFonts w:asciiTheme="majorHAnsi" w:hAnsiTheme="majorHAnsi" w:cstheme="majorHAnsi"/>
                <w:sz w:val="23"/>
                <w:szCs w:val="23"/>
              </w:rPr>
              <w:t>N</w:t>
            </w:r>
            <w:r w:rsidR="009C192E" w:rsidRPr="00576357">
              <w:rPr>
                <w:rFonts w:asciiTheme="majorHAnsi" w:hAnsiTheme="majorHAnsi" w:cstheme="majorHAnsi"/>
                <w:sz w:val="23"/>
                <w:szCs w:val="23"/>
              </w:rPr>
              <w:t xml:space="preserve">o existe información financiera sobre el deudor o la información financiera disponible está incompleta, es imprecisa, inexacta o desactualizada. </w:t>
            </w:r>
          </w:p>
        </w:tc>
      </w:tr>
    </w:tbl>
    <w:p w14:paraId="6500F044" w14:textId="5E7C3633" w:rsid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La SUGEF valorará la razonabilidad de los criterios de asociación entre las calificaciones internas y los niveles regulatorios, los cuales la entidad debe mantener debidamente documentados. Cuando la Superintendencia lo considere, requerirá a la entidad ajustes en la asociación entre los niveles de calificación internos y los niveles regulatorios, debidamente fundamentado.</w:t>
      </w:r>
    </w:p>
    <w:p w14:paraId="17AA2472" w14:textId="77777777" w:rsidR="005A3058" w:rsidRDefault="005A3058" w:rsidP="009C192E">
      <w:pPr>
        <w:rPr>
          <w:rFonts w:asciiTheme="majorHAnsi" w:hAnsiTheme="majorHAnsi" w:cstheme="majorHAnsi"/>
          <w:sz w:val="23"/>
          <w:szCs w:val="23"/>
        </w:rPr>
      </w:pPr>
    </w:p>
    <w:p w14:paraId="11EFB688" w14:textId="77777777" w:rsidR="005A3058" w:rsidRDefault="005A3058" w:rsidP="009C192E">
      <w:pPr>
        <w:rPr>
          <w:rFonts w:asciiTheme="majorHAnsi" w:hAnsiTheme="majorHAnsi" w:cstheme="majorHAnsi"/>
          <w:sz w:val="23"/>
          <w:szCs w:val="23"/>
        </w:rPr>
      </w:pPr>
    </w:p>
    <w:p w14:paraId="22F6F9CA" w14:textId="77777777" w:rsidR="005A3058" w:rsidRDefault="005A3058" w:rsidP="009C192E">
      <w:pPr>
        <w:rPr>
          <w:rFonts w:asciiTheme="majorHAnsi" w:hAnsiTheme="majorHAnsi" w:cstheme="majorHAnsi"/>
          <w:sz w:val="23"/>
          <w:szCs w:val="23"/>
        </w:rPr>
      </w:pPr>
    </w:p>
    <w:p w14:paraId="020DEE21" w14:textId="77777777" w:rsidR="005A3058" w:rsidRDefault="005A3058" w:rsidP="009C192E">
      <w:pPr>
        <w:rPr>
          <w:rFonts w:asciiTheme="majorHAnsi" w:hAnsiTheme="majorHAnsi" w:cstheme="majorHAnsi"/>
          <w:sz w:val="23"/>
          <w:szCs w:val="23"/>
        </w:rPr>
      </w:pPr>
    </w:p>
    <w:p w14:paraId="09FE1C6C" w14:textId="77777777" w:rsidR="005A3058" w:rsidRDefault="005A3058" w:rsidP="009C192E">
      <w:pPr>
        <w:rPr>
          <w:rFonts w:asciiTheme="majorHAnsi" w:hAnsiTheme="majorHAnsi" w:cstheme="majorHAnsi"/>
          <w:sz w:val="23"/>
          <w:szCs w:val="23"/>
        </w:rPr>
      </w:pPr>
    </w:p>
    <w:p w14:paraId="5D34EACE" w14:textId="77777777" w:rsidR="005A3058" w:rsidRDefault="005A3058" w:rsidP="009C192E">
      <w:pPr>
        <w:rPr>
          <w:rFonts w:asciiTheme="majorHAnsi" w:hAnsiTheme="majorHAnsi" w:cstheme="majorHAnsi"/>
          <w:sz w:val="23"/>
          <w:szCs w:val="23"/>
        </w:rPr>
      </w:pPr>
    </w:p>
    <w:p w14:paraId="6BEF1898" w14:textId="77777777" w:rsidR="005A3058" w:rsidRDefault="005A3058" w:rsidP="009C192E">
      <w:pPr>
        <w:rPr>
          <w:rFonts w:asciiTheme="majorHAnsi" w:hAnsiTheme="majorHAnsi" w:cstheme="majorHAnsi"/>
          <w:sz w:val="23"/>
          <w:szCs w:val="23"/>
        </w:rPr>
      </w:pPr>
    </w:p>
    <w:p w14:paraId="7C43EB13" w14:textId="77777777" w:rsidR="005A3058" w:rsidRPr="00576357" w:rsidRDefault="005A3058" w:rsidP="009C192E">
      <w:pPr>
        <w:rPr>
          <w:rFonts w:asciiTheme="majorHAnsi" w:hAnsiTheme="majorHAnsi" w:cstheme="majorHAnsi"/>
          <w:sz w:val="23"/>
          <w:szCs w:val="23"/>
        </w:rPr>
      </w:pPr>
    </w:p>
    <w:p w14:paraId="1446E62C" w14:textId="77777777" w:rsidR="009C192E" w:rsidRPr="00576357" w:rsidRDefault="009C192E" w:rsidP="009C192E">
      <w:pPr>
        <w:pStyle w:val="Ttulo1"/>
        <w:rPr>
          <w:rFonts w:asciiTheme="majorHAnsi" w:hAnsiTheme="majorHAnsi" w:cstheme="majorHAnsi"/>
          <w:sz w:val="23"/>
          <w:szCs w:val="23"/>
        </w:rPr>
      </w:pPr>
      <w:bookmarkStart w:id="5" w:name="_Toc227326019"/>
      <w:bookmarkStart w:id="6" w:name="_Toc198728729"/>
      <w:bookmarkStart w:id="7" w:name="_Hlk225427104"/>
      <w:r w:rsidRPr="00576357">
        <w:rPr>
          <w:rFonts w:asciiTheme="majorHAnsi" w:hAnsiTheme="majorHAnsi" w:cstheme="majorHAnsi"/>
          <w:sz w:val="23"/>
          <w:szCs w:val="23"/>
        </w:rPr>
        <w:lastRenderedPageBreak/>
        <w:t>II) ANÁLISIS DEL COMPORTAMIENTO DE PAGO HISTÓRICO</w:t>
      </w:r>
      <w:bookmarkEnd w:id="5"/>
      <w:r w:rsidRPr="00576357">
        <w:rPr>
          <w:rFonts w:asciiTheme="majorHAnsi" w:hAnsiTheme="majorHAnsi" w:cstheme="majorHAnsi"/>
          <w:sz w:val="23"/>
          <w:szCs w:val="23"/>
        </w:rPr>
        <w:t xml:space="preserve"> </w:t>
      </w:r>
      <w:bookmarkEnd w:id="6"/>
    </w:p>
    <w:bookmarkEnd w:id="7"/>
    <w:p w14:paraId="7EF8E419" w14:textId="77777777" w:rsidR="009C192E" w:rsidRPr="00576357" w:rsidRDefault="009C192E" w:rsidP="009C192E">
      <w:pPr>
        <w:ind w:left="1134" w:right="51" w:hanging="1145"/>
        <w:rPr>
          <w:rFonts w:asciiTheme="majorHAnsi" w:hAnsiTheme="majorHAnsi" w:cstheme="majorHAnsi"/>
          <w:sz w:val="23"/>
          <w:szCs w:val="23"/>
          <w:u w:val="single" w:color="000000"/>
        </w:rPr>
      </w:pPr>
      <w:r w:rsidRPr="00576357">
        <w:rPr>
          <w:rFonts w:asciiTheme="majorHAnsi" w:hAnsiTheme="majorHAnsi" w:cstheme="majorHAnsi"/>
          <w:sz w:val="23"/>
          <w:szCs w:val="23"/>
          <w:u w:val="single" w:color="000000"/>
        </w:rPr>
        <w:t>Objetivo</w:t>
      </w:r>
      <w:r w:rsidRPr="00576357">
        <w:rPr>
          <w:rFonts w:asciiTheme="majorHAnsi" w:hAnsiTheme="majorHAnsi" w:cstheme="majorHAnsi"/>
          <w:sz w:val="23"/>
          <w:szCs w:val="23"/>
        </w:rPr>
        <w:t>:</w:t>
      </w:r>
      <w:r w:rsidRPr="00576357">
        <w:rPr>
          <w:rFonts w:asciiTheme="majorHAnsi" w:hAnsiTheme="majorHAnsi" w:cstheme="majorHAnsi"/>
          <w:sz w:val="23"/>
          <w:szCs w:val="23"/>
        </w:rPr>
        <w:tab/>
        <w:t xml:space="preserve">Determinar la conducta de pago del deudor durante los últimos 48 meses en la atención de sus operaciones crediticias directas </w:t>
      </w:r>
      <w:bookmarkStart w:id="8" w:name="_Hlk118726064"/>
      <w:r w:rsidRPr="00576357">
        <w:rPr>
          <w:rFonts w:asciiTheme="majorHAnsi" w:hAnsiTheme="majorHAnsi" w:cstheme="majorHAnsi"/>
          <w:sz w:val="23"/>
          <w:szCs w:val="23"/>
        </w:rPr>
        <w:t>vigentes o extintas en el Sistema Financiero</w:t>
      </w:r>
      <w:bookmarkEnd w:id="8"/>
      <w:r w:rsidRPr="00576357">
        <w:rPr>
          <w:rFonts w:asciiTheme="majorHAnsi" w:hAnsiTheme="majorHAnsi" w:cstheme="majorHAnsi"/>
          <w:sz w:val="23"/>
          <w:szCs w:val="23"/>
        </w:rPr>
        <w:t>.</w:t>
      </w:r>
      <w:r w:rsidRPr="00576357">
        <w:rPr>
          <w:rFonts w:asciiTheme="majorHAnsi" w:hAnsiTheme="majorHAnsi" w:cstheme="majorHAnsi"/>
          <w:sz w:val="23"/>
          <w:szCs w:val="23"/>
          <w:u w:val="single" w:color="000000"/>
        </w:rPr>
        <w:t xml:space="preserve"> </w:t>
      </w:r>
    </w:p>
    <w:p w14:paraId="2D53832D" w14:textId="77777777" w:rsidR="009C192E" w:rsidRPr="00576357" w:rsidRDefault="009C192E" w:rsidP="009C192E">
      <w:pPr>
        <w:ind w:left="1134" w:right="51" w:hanging="1145"/>
        <w:rPr>
          <w:rFonts w:asciiTheme="majorHAnsi" w:hAnsiTheme="majorHAnsi" w:cstheme="majorHAnsi"/>
          <w:bCs/>
          <w:sz w:val="23"/>
          <w:szCs w:val="23"/>
        </w:rPr>
      </w:pPr>
      <w:r w:rsidRPr="00576357">
        <w:rPr>
          <w:rFonts w:asciiTheme="majorHAnsi" w:hAnsiTheme="majorHAnsi" w:cstheme="majorHAnsi"/>
          <w:b/>
          <w:sz w:val="23"/>
          <w:szCs w:val="23"/>
        </w:rPr>
        <w:t>NOTA:</w:t>
      </w:r>
      <w:r w:rsidRPr="00576357">
        <w:rPr>
          <w:rFonts w:asciiTheme="majorHAnsi" w:hAnsiTheme="majorHAnsi" w:cstheme="majorHAnsi"/>
          <w:b/>
          <w:sz w:val="23"/>
          <w:szCs w:val="23"/>
        </w:rPr>
        <w:tab/>
      </w:r>
      <w:r w:rsidRPr="00576357">
        <w:rPr>
          <w:rFonts w:asciiTheme="majorHAnsi" w:hAnsiTheme="majorHAnsi" w:cstheme="majorHAnsi"/>
          <w:bCs/>
          <w:sz w:val="23"/>
          <w:szCs w:val="23"/>
        </w:rPr>
        <w:t xml:space="preserve">La SUGEF es responsable de calcular el nivel de comportamiento de pago histórico (CPH) para los deudores reportados por las entidades el mes anterior. Esta información está disponible para cada entidad en archivos descargables a más tardar el día 20 de cada mes.  </w:t>
      </w:r>
    </w:p>
    <w:p w14:paraId="77DC24FE" w14:textId="77777777" w:rsidR="009C192E" w:rsidRPr="00576357" w:rsidRDefault="009C192E" w:rsidP="00681541">
      <w:pPr>
        <w:pStyle w:val="Ttulo2"/>
        <w:numPr>
          <w:ilvl w:val="0"/>
          <w:numId w:val="36"/>
        </w:numPr>
        <w:ind w:left="567" w:hanging="578"/>
        <w:rPr>
          <w:rFonts w:asciiTheme="majorHAnsi" w:hAnsiTheme="majorHAnsi" w:cstheme="majorHAnsi"/>
          <w:sz w:val="23"/>
          <w:szCs w:val="23"/>
        </w:rPr>
      </w:pPr>
      <w:bookmarkStart w:id="9" w:name="_Toc227326020"/>
      <w:r w:rsidRPr="00576357">
        <w:rPr>
          <w:rFonts w:asciiTheme="majorHAnsi" w:hAnsiTheme="majorHAnsi" w:cstheme="majorHAnsi"/>
          <w:sz w:val="23"/>
          <w:szCs w:val="23"/>
        </w:rPr>
        <w:t>Atraso máximo y atraso medio</w:t>
      </w:r>
      <w:bookmarkEnd w:id="9"/>
    </w:p>
    <w:p w14:paraId="538427B2" w14:textId="77777777" w:rsidR="009C192E" w:rsidRPr="00576357" w:rsidRDefault="009C192E" w:rsidP="009C192E">
      <w:pPr>
        <w:ind w:right="51" w:hanging="11"/>
        <w:rPr>
          <w:rFonts w:asciiTheme="majorHAnsi" w:hAnsiTheme="majorHAnsi" w:cstheme="majorHAnsi"/>
          <w:sz w:val="23"/>
          <w:szCs w:val="23"/>
        </w:rPr>
      </w:pPr>
      <w:r w:rsidRPr="00576357">
        <w:rPr>
          <w:rFonts w:asciiTheme="majorHAnsi" w:hAnsiTheme="majorHAnsi" w:cstheme="majorHAnsi"/>
          <w:sz w:val="23"/>
          <w:szCs w:val="23"/>
        </w:rPr>
        <w:t xml:space="preserve">El CPH se calcula para un periodo de 48 meses que finaliza el último día del mes anterior al mes de evaluación del deudor. El cálculo se hace de la siguiente forma: </w:t>
      </w:r>
    </w:p>
    <w:p w14:paraId="0FF3C896" w14:textId="703C16F1" w:rsidR="009C192E" w:rsidRDefault="009C192E" w:rsidP="00681541">
      <w:pPr>
        <w:pStyle w:val="Prrafodelista"/>
        <w:numPr>
          <w:ilvl w:val="0"/>
          <w:numId w:val="76"/>
        </w:numPr>
        <w:ind w:right="51"/>
        <w:jc w:val="both"/>
        <w:rPr>
          <w:rFonts w:asciiTheme="majorHAnsi" w:hAnsiTheme="majorHAnsi" w:cstheme="majorHAnsi"/>
          <w:sz w:val="23"/>
          <w:szCs w:val="23"/>
        </w:rPr>
      </w:pPr>
      <w:r w:rsidRPr="00576357">
        <w:rPr>
          <w:rFonts w:asciiTheme="majorHAnsi" w:hAnsiTheme="majorHAnsi" w:cstheme="majorHAnsi"/>
          <w:sz w:val="23"/>
          <w:szCs w:val="23"/>
        </w:rPr>
        <w:t xml:space="preserve">Para efectos del cálculo del CPH se incluyen las operaciones crediticias directas, vigentes o extintas en el Sistema Financiero, cuyo Saldo Total Adeudado en cada mes sea mayor o igual a un monto equivalente al 30% del monto del salario mínimo mensual para la ocupación genérica 'Trabajadores en Ocupación No Calificada' según la publicación Fijación de salarios mínimos para el sector privado que realiza el Consejo Nacional de Salarios, de acuerdo con la Ley de Salarios Mínimos y Creación del Consejo Nacional de Salarios, Ley </w:t>
      </w:r>
      <w:proofErr w:type="spellStart"/>
      <w:r w:rsidRPr="00576357">
        <w:rPr>
          <w:rFonts w:asciiTheme="majorHAnsi" w:hAnsiTheme="majorHAnsi" w:cstheme="majorHAnsi"/>
          <w:sz w:val="23"/>
          <w:szCs w:val="23"/>
        </w:rPr>
        <w:t>N°</w:t>
      </w:r>
      <w:proofErr w:type="spellEnd"/>
      <w:r w:rsidRPr="00576357">
        <w:rPr>
          <w:rFonts w:asciiTheme="majorHAnsi" w:hAnsiTheme="majorHAnsi" w:cstheme="majorHAnsi"/>
          <w:sz w:val="23"/>
          <w:szCs w:val="23"/>
        </w:rPr>
        <w:t xml:space="preserve"> 832, del 4 de noviembre de 1949. En el caso de tarjetas de crédito el monto a considerar será el monto máximo autorizado en cada mes, durante el periodo de evaluación. En adelante se engloban estas operaciones bajo el término “operación crediticia directa”. </w:t>
      </w:r>
    </w:p>
    <w:p w14:paraId="0B7A6229" w14:textId="77777777" w:rsidR="00576357" w:rsidRPr="00576357" w:rsidRDefault="00576357" w:rsidP="00576357">
      <w:pPr>
        <w:pStyle w:val="Prrafodelista"/>
        <w:ind w:left="854" w:right="51"/>
        <w:jc w:val="both"/>
        <w:rPr>
          <w:rFonts w:asciiTheme="majorHAnsi" w:hAnsiTheme="majorHAnsi" w:cstheme="majorHAnsi"/>
          <w:sz w:val="23"/>
          <w:szCs w:val="23"/>
        </w:rPr>
      </w:pPr>
    </w:p>
    <w:p w14:paraId="1A45E072" w14:textId="6C117C34" w:rsidR="00576357" w:rsidRDefault="009C192E" w:rsidP="00681541">
      <w:pPr>
        <w:pStyle w:val="Prrafodelista"/>
        <w:numPr>
          <w:ilvl w:val="0"/>
          <w:numId w:val="76"/>
        </w:numPr>
        <w:ind w:right="51"/>
        <w:jc w:val="both"/>
        <w:rPr>
          <w:rFonts w:asciiTheme="majorHAnsi" w:hAnsiTheme="majorHAnsi" w:cstheme="majorHAnsi"/>
          <w:sz w:val="23"/>
          <w:szCs w:val="23"/>
        </w:rPr>
      </w:pPr>
      <w:r w:rsidRPr="00576357">
        <w:rPr>
          <w:rFonts w:asciiTheme="majorHAnsi" w:hAnsiTheme="majorHAnsi" w:cstheme="majorHAnsi"/>
          <w:sz w:val="23"/>
          <w:szCs w:val="23"/>
        </w:rPr>
        <w:t>Para cada operación crediticia directa se calcula la morosidad</w:t>
      </w:r>
      <w:r w:rsidRPr="00576357">
        <w:rPr>
          <w:rStyle w:val="Refdenotaalpie"/>
          <w:rFonts w:asciiTheme="majorHAnsi" w:hAnsiTheme="majorHAnsi" w:cstheme="majorHAnsi"/>
          <w:sz w:val="23"/>
          <w:szCs w:val="23"/>
        </w:rPr>
        <w:footnoteReference w:id="1"/>
      </w:r>
      <w:r w:rsidRPr="00576357">
        <w:rPr>
          <w:rFonts w:asciiTheme="majorHAnsi" w:hAnsiTheme="majorHAnsi" w:cstheme="majorHAnsi"/>
          <w:sz w:val="23"/>
          <w:szCs w:val="23"/>
        </w:rPr>
        <w:t xml:space="preserve"> en cada uno de los periodos reportados. </w:t>
      </w:r>
    </w:p>
    <w:p w14:paraId="38144582" w14:textId="77777777" w:rsidR="00576357" w:rsidRPr="00576357" w:rsidRDefault="00576357" w:rsidP="00576357">
      <w:pPr>
        <w:pStyle w:val="Prrafodelista"/>
        <w:rPr>
          <w:rFonts w:asciiTheme="majorHAnsi" w:hAnsiTheme="majorHAnsi" w:cstheme="majorHAnsi"/>
          <w:sz w:val="23"/>
          <w:szCs w:val="23"/>
        </w:rPr>
      </w:pPr>
    </w:p>
    <w:p w14:paraId="4DBBC8D4" w14:textId="77777777" w:rsidR="00576357" w:rsidRPr="00576357" w:rsidRDefault="00576357" w:rsidP="00576357">
      <w:pPr>
        <w:pStyle w:val="Prrafodelista"/>
        <w:ind w:left="854" w:right="51"/>
        <w:jc w:val="both"/>
        <w:rPr>
          <w:rFonts w:asciiTheme="majorHAnsi" w:hAnsiTheme="majorHAnsi" w:cstheme="majorHAnsi"/>
          <w:sz w:val="23"/>
          <w:szCs w:val="23"/>
        </w:rPr>
      </w:pPr>
    </w:p>
    <w:p w14:paraId="672D8E7B" w14:textId="166BC0CC" w:rsidR="009C192E" w:rsidRPr="00576357" w:rsidRDefault="009C192E" w:rsidP="00681541">
      <w:pPr>
        <w:pStyle w:val="Prrafodelista"/>
        <w:numPr>
          <w:ilvl w:val="0"/>
          <w:numId w:val="76"/>
        </w:numPr>
        <w:ind w:right="51"/>
        <w:jc w:val="both"/>
        <w:rPr>
          <w:rFonts w:asciiTheme="majorHAnsi" w:hAnsiTheme="majorHAnsi" w:cstheme="majorHAnsi"/>
          <w:sz w:val="23"/>
          <w:szCs w:val="23"/>
        </w:rPr>
      </w:pPr>
      <w:r w:rsidRPr="00576357">
        <w:rPr>
          <w:rFonts w:asciiTheme="majorHAnsi" w:hAnsiTheme="majorHAnsi" w:cstheme="majorHAnsi"/>
          <w:sz w:val="23"/>
          <w:szCs w:val="23"/>
        </w:rPr>
        <w:t>Para cada operación crediticia directa, la morosidad en cada periodo reportado debe multiplicarse por el ponderador que corresponde de acuerdo con lo indicado en el siguiente cuadro:</w:t>
      </w:r>
    </w:p>
    <w:tbl>
      <w:tblPr>
        <w:tblStyle w:val="Tablaconcuadrcula"/>
        <w:tblpPr w:leftFromText="141" w:rightFromText="141" w:vertAnchor="text" w:horzAnchor="margin" w:tblpXSpec="center" w:tblpY="204"/>
        <w:tblW w:w="6495" w:type="dxa"/>
        <w:tblLook w:val="04A0" w:firstRow="1" w:lastRow="0" w:firstColumn="1" w:lastColumn="0" w:noHBand="0" w:noVBand="1"/>
      </w:tblPr>
      <w:tblGrid>
        <w:gridCol w:w="1576"/>
        <w:gridCol w:w="1589"/>
        <w:gridCol w:w="236"/>
        <w:gridCol w:w="1505"/>
        <w:gridCol w:w="1589"/>
      </w:tblGrid>
      <w:tr w:rsidR="00D405D6" w:rsidRPr="005A3058" w14:paraId="2873888B" w14:textId="77777777" w:rsidTr="00D405D6">
        <w:trPr>
          <w:trHeight w:val="66"/>
        </w:trPr>
        <w:tc>
          <w:tcPr>
            <w:tcW w:w="1576" w:type="dxa"/>
            <w:shd w:val="clear" w:color="auto" w:fill="D0CECE" w:themeFill="background2" w:themeFillShade="E6"/>
            <w:noWrap/>
            <w:hideMark/>
          </w:tcPr>
          <w:p w14:paraId="0234DB03" w14:textId="77777777" w:rsidR="00D405D6" w:rsidRPr="005A3058" w:rsidRDefault="00D405D6" w:rsidP="00D405D6">
            <w:pPr>
              <w:spacing w:before="0" w:after="0"/>
              <w:ind w:right="51" w:hanging="11"/>
              <w:rPr>
                <w:rFonts w:asciiTheme="majorHAnsi" w:hAnsiTheme="majorHAnsi" w:cstheme="majorHAnsi"/>
                <w:b/>
                <w:bCs/>
                <w:i/>
                <w:iCs/>
                <w:szCs w:val="22"/>
                <w:lang w:eastAsia="es-CR"/>
              </w:rPr>
            </w:pPr>
            <w:r w:rsidRPr="005A3058">
              <w:rPr>
                <w:rFonts w:asciiTheme="majorHAnsi" w:hAnsiTheme="majorHAnsi" w:cstheme="majorHAnsi"/>
                <w:b/>
                <w:bCs/>
                <w:i/>
                <w:iCs/>
                <w:szCs w:val="22"/>
                <w:lang w:eastAsia="es-CR"/>
              </w:rPr>
              <w:t>Periodo reportado</w:t>
            </w:r>
          </w:p>
        </w:tc>
        <w:tc>
          <w:tcPr>
            <w:tcW w:w="1589" w:type="dxa"/>
            <w:shd w:val="clear" w:color="auto" w:fill="D0CECE" w:themeFill="background2" w:themeFillShade="E6"/>
            <w:noWrap/>
            <w:hideMark/>
          </w:tcPr>
          <w:p w14:paraId="40C2BCD5" w14:textId="77777777" w:rsidR="00D405D6" w:rsidRPr="005A3058" w:rsidRDefault="00D405D6" w:rsidP="00D405D6">
            <w:pPr>
              <w:spacing w:before="0" w:after="0"/>
              <w:ind w:right="51" w:hanging="11"/>
              <w:rPr>
                <w:rFonts w:asciiTheme="majorHAnsi" w:hAnsiTheme="majorHAnsi" w:cstheme="majorHAnsi"/>
                <w:b/>
                <w:bCs/>
                <w:i/>
                <w:iCs/>
                <w:szCs w:val="22"/>
                <w:lang w:eastAsia="es-CR"/>
              </w:rPr>
            </w:pPr>
            <w:r w:rsidRPr="005A3058">
              <w:rPr>
                <w:rFonts w:asciiTheme="majorHAnsi" w:hAnsiTheme="majorHAnsi" w:cstheme="majorHAnsi"/>
                <w:b/>
                <w:bCs/>
                <w:i/>
                <w:iCs/>
                <w:szCs w:val="22"/>
                <w:lang w:eastAsia="es-CR"/>
              </w:rPr>
              <w:t>Ponderación</w:t>
            </w:r>
          </w:p>
          <w:p w14:paraId="09D320CF" w14:textId="77777777" w:rsidR="00D405D6" w:rsidRPr="005A3058" w:rsidRDefault="00D405D6" w:rsidP="00D405D6">
            <w:pPr>
              <w:spacing w:before="0" w:after="0"/>
              <w:ind w:right="51" w:hanging="11"/>
              <w:rPr>
                <w:rFonts w:asciiTheme="majorHAnsi" w:hAnsiTheme="majorHAnsi" w:cstheme="majorHAnsi"/>
                <w:b/>
                <w:bCs/>
                <w:i/>
                <w:iCs/>
                <w:szCs w:val="22"/>
                <w:lang w:eastAsia="es-CR"/>
              </w:rPr>
            </w:pPr>
            <w:r w:rsidRPr="005A3058">
              <w:rPr>
                <w:rFonts w:asciiTheme="majorHAnsi" w:hAnsiTheme="majorHAnsi" w:cstheme="majorHAnsi"/>
                <w:b/>
                <w:bCs/>
                <w:i/>
                <w:iCs/>
                <w:szCs w:val="22"/>
                <w:lang w:eastAsia="es-CR"/>
              </w:rPr>
              <w:t>(en %)</w:t>
            </w:r>
          </w:p>
        </w:tc>
        <w:tc>
          <w:tcPr>
            <w:tcW w:w="236" w:type="dxa"/>
            <w:shd w:val="clear" w:color="auto" w:fill="D0CECE" w:themeFill="background2" w:themeFillShade="E6"/>
            <w:noWrap/>
            <w:hideMark/>
          </w:tcPr>
          <w:p w14:paraId="039E5F1F" w14:textId="77777777" w:rsidR="00D405D6" w:rsidRPr="005A3058" w:rsidRDefault="00D405D6" w:rsidP="00D405D6">
            <w:pPr>
              <w:spacing w:before="0" w:after="0"/>
              <w:ind w:right="51" w:hanging="11"/>
              <w:rPr>
                <w:rFonts w:asciiTheme="majorHAnsi" w:hAnsiTheme="majorHAnsi" w:cstheme="majorHAnsi"/>
                <w:b/>
                <w:bCs/>
                <w:i/>
                <w:iCs/>
                <w:szCs w:val="22"/>
                <w:lang w:eastAsia="es-CR"/>
              </w:rPr>
            </w:pPr>
          </w:p>
        </w:tc>
        <w:tc>
          <w:tcPr>
            <w:tcW w:w="1505" w:type="dxa"/>
            <w:shd w:val="clear" w:color="auto" w:fill="D0CECE" w:themeFill="background2" w:themeFillShade="E6"/>
            <w:noWrap/>
            <w:hideMark/>
          </w:tcPr>
          <w:p w14:paraId="6DB3EB65" w14:textId="77777777" w:rsidR="00D405D6" w:rsidRPr="005A3058" w:rsidRDefault="00D405D6" w:rsidP="00D405D6">
            <w:pPr>
              <w:spacing w:before="0" w:after="0"/>
              <w:ind w:right="51" w:hanging="11"/>
              <w:rPr>
                <w:rFonts w:asciiTheme="majorHAnsi" w:hAnsiTheme="majorHAnsi" w:cstheme="majorHAnsi"/>
                <w:b/>
                <w:bCs/>
                <w:i/>
                <w:iCs/>
                <w:szCs w:val="22"/>
                <w:lang w:eastAsia="es-CR"/>
              </w:rPr>
            </w:pPr>
            <w:r w:rsidRPr="005A3058">
              <w:rPr>
                <w:rFonts w:asciiTheme="majorHAnsi" w:hAnsiTheme="majorHAnsi" w:cstheme="majorHAnsi"/>
                <w:b/>
                <w:bCs/>
                <w:i/>
                <w:iCs/>
                <w:szCs w:val="22"/>
                <w:lang w:eastAsia="es-CR"/>
              </w:rPr>
              <w:t>Periodo reportado</w:t>
            </w:r>
          </w:p>
        </w:tc>
        <w:tc>
          <w:tcPr>
            <w:tcW w:w="1589" w:type="dxa"/>
            <w:shd w:val="clear" w:color="auto" w:fill="D0CECE" w:themeFill="background2" w:themeFillShade="E6"/>
            <w:noWrap/>
            <w:hideMark/>
          </w:tcPr>
          <w:p w14:paraId="2A5A784E" w14:textId="77777777" w:rsidR="00D405D6" w:rsidRPr="005A3058" w:rsidRDefault="00D405D6" w:rsidP="00D405D6">
            <w:pPr>
              <w:tabs>
                <w:tab w:val="left" w:pos="1230"/>
              </w:tabs>
              <w:spacing w:before="0" w:after="0"/>
              <w:ind w:right="51" w:hanging="11"/>
              <w:rPr>
                <w:rFonts w:asciiTheme="majorHAnsi" w:hAnsiTheme="majorHAnsi" w:cstheme="majorHAnsi"/>
                <w:b/>
                <w:bCs/>
                <w:i/>
                <w:iCs/>
                <w:szCs w:val="22"/>
                <w:lang w:eastAsia="es-CR"/>
              </w:rPr>
            </w:pPr>
            <w:r w:rsidRPr="005A3058">
              <w:rPr>
                <w:rFonts w:asciiTheme="majorHAnsi" w:hAnsiTheme="majorHAnsi" w:cstheme="majorHAnsi"/>
                <w:b/>
                <w:bCs/>
                <w:i/>
                <w:iCs/>
                <w:szCs w:val="22"/>
                <w:lang w:eastAsia="es-CR"/>
              </w:rPr>
              <w:t>Ponderación</w:t>
            </w:r>
          </w:p>
          <w:p w14:paraId="6BC6107D" w14:textId="77777777" w:rsidR="00D405D6" w:rsidRPr="005A3058" w:rsidRDefault="00D405D6" w:rsidP="00D405D6">
            <w:pPr>
              <w:tabs>
                <w:tab w:val="left" w:pos="1230"/>
              </w:tabs>
              <w:spacing w:before="0" w:after="0"/>
              <w:ind w:right="51" w:hanging="11"/>
              <w:rPr>
                <w:rFonts w:asciiTheme="majorHAnsi" w:hAnsiTheme="majorHAnsi" w:cstheme="majorHAnsi"/>
                <w:b/>
                <w:bCs/>
                <w:i/>
                <w:iCs/>
                <w:szCs w:val="22"/>
                <w:lang w:eastAsia="es-CR"/>
              </w:rPr>
            </w:pPr>
            <w:r w:rsidRPr="005A3058">
              <w:rPr>
                <w:rFonts w:asciiTheme="majorHAnsi" w:hAnsiTheme="majorHAnsi" w:cstheme="majorHAnsi"/>
                <w:b/>
                <w:bCs/>
                <w:i/>
                <w:iCs/>
                <w:szCs w:val="22"/>
                <w:lang w:eastAsia="es-CR"/>
              </w:rPr>
              <w:t>(en %)</w:t>
            </w:r>
          </w:p>
        </w:tc>
      </w:tr>
      <w:tr w:rsidR="00D405D6" w:rsidRPr="005A3058" w14:paraId="7475045A" w14:textId="77777777" w:rsidTr="00D405D6">
        <w:trPr>
          <w:trHeight w:val="250"/>
        </w:trPr>
        <w:tc>
          <w:tcPr>
            <w:tcW w:w="1576" w:type="dxa"/>
            <w:noWrap/>
            <w:hideMark/>
          </w:tcPr>
          <w:p w14:paraId="7349FD28"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48</w:t>
            </w:r>
          </w:p>
        </w:tc>
        <w:tc>
          <w:tcPr>
            <w:tcW w:w="1589" w:type="dxa"/>
            <w:noWrap/>
            <w:hideMark/>
          </w:tcPr>
          <w:p w14:paraId="7881DE5D"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0,5</w:t>
            </w:r>
          </w:p>
        </w:tc>
        <w:tc>
          <w:tcPr>
            <w:tcW w:w="236" w:type="dxa"/>
            <w:noWrap/>
            <w:hideMark/>
          </w:tcPr>
          <w:p w14:paraId="293C9949"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p>
        </w:tc>
        <w:tc>
          <w:tcPr>
            <w:tcW w:w="1505" w:type="dxa"/>
            <w:noWrap/>
            <w:hideMark/>
          </w:tcPr>
          <w:p w14:paraId="14D156F8"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24</w:t>
            </w:r>
          </w:p>
        </w:tc>
        <w:tc>
          <w:tcPr>
            <w:tcW w:w="1589" w:type="dxa"/>
            <w:noWrap/>
            <w:hideMark/>
          </w:tcPr>
          <w:p w14:paraId="3E022C94" w14:textId="77777777" w:rsidR="00D405D6" w:rsidRPr="005A3058" w:rsidRDefault="00D405D6" w:rsidP="00D405D6">
            <w:pPr>
              <w:tabs>
                <w:tab w:val="left" w:pos="1230"/>
              </w:tabs>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24,3</w:t>
            </w:r>
          </w:p>
        </w:tc>
      </w:tr>
      <w:tr w:rsidR="00D405D6" w:rsidRPr="005A3058" w14:paraId="5084D3ED" w14:textId="77777777" w:rsidTr="00D405D6">
        <w:trPr>
          <w:trHeight w:val="250"/>
        </w:trPr>
        <w:tc>
          <w:tcPr>
            <w:tcW w:w="1576" w:type="dxa"/>
            <w:noWrap/>
            <w:hideMark/>
          </w:tcPr>
          <w:p w14:paraId="4834E1B0"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47</w:t>
            </w:r>
          </w:p>
        </w:tc>
        <w:tc>
          <w:tcPr>
            <w:tcW w:w="1589" w:type="dxa"/>
            <w:noWrap/>
            <w:hideMark/>
          </w:tcPr>
          <w:p w14:paraId="2FC2F37B"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1,0</w:t>
            </w:r>
          </w:p>
        </w:tc>
        <w:tc>
          <w:tcPr>
            <w:tcW w:w="236" w:type="dxa"/>
            <w:noWrap/>
            <w:hideMark/>
          </w:tcPr>
          <w:p w14:paraId="650387A7"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p>
        </w:tc>
        <w:tc>
          <w:tcPr>
            <w:tcW w:w="1505" w:type="dxa"/>
            <w:noWrap/>
            <w:hideMark/>
          </w:tcPr>
          <w:p w14:paraId="537806EE"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23</w:t>
            </w:r>
          </w:p>
        </w:tc>
        <w:tc>
          <w:tcPr>
            <w:tcW w:w="1589" w:type="dxa"/>
            <w:noWrap/>
            <w:hideMark/>
          </w:tcPr>
          <w:p w14:paraId="3EAEBC91" w14:textId="77777777" w:rsidR="00D405D6" w:rsidRPr="005A3058" w:rsidRDefault="00D405D6" w:rsidP="00D405D6">
            <w:pPr>
              <w:tabs>
                <w:tab w:val="left" w:pos="1230"/>
              </w:tabs>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26,0</w:t>
            </w:r>
          </w:p>
        </w:tc>
      </w:tr>
      <w:tr w:rsidR="00D405D6" w:rsidRPr="005A3058" w14:paraId="0E2E1B31" w14:textId="77777777" w:rsidTr="00D405D6">
        <w:trPr>
          <w:trHeight w:val="250"/>
        </w:trPr>
        <w:tc>
          <w:tcPr>
            <w:tcW w:w="1576" w:type="dxa"/>
            <w:noWrap/>
            <w:hideMark/>
          </w:tcPr>
          <w:p w14:paraId="12C30F5B"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46</w:t>
            </w:r>
          </w:p>
        </w:tc>
        <w:tc>
          <w:tcPr>
            <w:tcW w:w="1589" w:type="dxa"/>
            <w:noWrap/>
            <w:hideMark/>
          </w:tcPr>
          <w:p w14:paraId="6030CAE2"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1,6</w:t>
            </w:r>
          </w:p>
        </w:tc>
        <w:tc>
          <w:tcPr>
            <w:tcW w:w="236" w:type="dxa"/>
            <w:noWrap/>
            <w:hideMark/>
          </w:tcPr>
          <w:p w14:paraId="4AE41C1D"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p>
        </w:tc>
        <w:tc>
          <w:tcPr>
            <w:tcW w:w="1505" w:type="dxa"/>
            <w:noWrap/>
            <w:hideMark/>
          </w:tcPr>
          <w:p w14:paraId="2C176079"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22</w:t>
            </w:r>
          </w:p>
        </w:tc>
        <w:tc>
          <w:tcPr>
            <w:tcW w:w="1589" w:type="dxa"/>
            <w:noWrap/>
            <w:hideMark/>
          </w:tcPr>
          <w:p w14:paraId="17DCD6EE" w14:textId="77777777" w:rsidR="00D405D6" w:rsidRPr="005A3058" w:rsidRDefault="00D405D6" w:rsidP="00D405D6">
            <w:pPr>
              <w:tabs>
                <w:tab w:val="left" w:pos="1230"/>
              </w:tabs>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27,9</w:t>
            </w:r>
          </w:p>
        </w:tc>
      </w:tr>
      <w:tr w:rsidR="00D405D6" w:rsidRPr="005A3058" w14:paraId="79E74123" w14:textId="77777777" w:rsidTr="00D405D6">
        <w:trPr>
          <w:trHeight w:val="250"/>
        </w:trPr>
        <w:tc>
          <w:tcPr>
            <w:tcW w:w="1576" w:type="dxa"/>
            <w:noWrap/>
            <w:hideMark/>
          </w:tcPr>
          <w:p w14:paraId="19D5D928"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45</w:t>
            </w:r>
          </w:p>
        </w:tc>
        <w:tc>
          <w:tcPr>
            <w:tcW w:w="1589" w:type="dxa"/>
            <w:noWrap/>
            <w:hideMark/>
          </w:tcPr>
          <w:p w14:paraId="3BF88968"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2,1</w:t>
            </w:r>
          </w:p>
        </w:tc>
        <w:tc>
          <w:tcPr>
            <w:tcW w:w="236" w:type="dxa"/>
            <w:noWrap/>
            <w:hideMark/>
          </w:tcPr>
          <w:p w14:paraId="48BC2543"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p>
        </w:tc>
        <w:tc>
          <w:tcPr>
            <w:tcW w:w="1505" w:type="dxa"/>
            <w:noWrap/>
            <w:hideMark/>
          </w:tcPr>
          <w:p w14:paraId="74EE43F1"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21</w:t>
            </w:r>
          </w:p>
        </w:tc>
        <w:tc>
          <w:tcPr>
            <w:tcW w:w="1589" w:type="dxa"/>
            <w:noWrap/>
            <w:hideMark/>
          </w:tcPr>
          <w:p w14:paraId="73B17520" w14:textId="77777777" w:rsidR="00D405D6" w:rsidRPr="005A3058" w:rsidRDefault="00D405D6" w:rsidP="00D405D6">
            <w:pPr>
              <w:tabs>
                <w:tab w:val="left" w:pos="1230"/>
              </w:tabs>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29,9</w:t>
            </w:r>
          </w:p>
        </w:tc>
      </w:tr>
      <w:tr w:rsidR="00D405D6" w:rsidRPr="005A3058" w14:paraId="2A5BCB22" w14:textId="77777777" w:rsidTr="00D405D6">
        <w:trPr>
          <w:trHeight w:val="250"/>
        </w:trPr>
        <w:tc>
          <w:tcPr>
            <w:tcW w:w="1576" w:type="dxa"/>
            <w:noWrap/>
            <w:hideMark/>
          </w:tcPr>
          <w:p w14:paraId="37BAC6F0"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44</w:t>
            </w:r>
          </w:p>
        </w:tc>
        <w:tc>
          <w:tcPr>
            <w:tcW w:w="1589" w:type="dxa"/>
            <w:noWrap/>
            <w:hideMark/>
          </w:tcPr>
          <w:p w14:paraId="136EBC55"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2,7</w:t>
            </w:r>
          </w:p>
        </w:tc>
        <w:tc>
          <w:tcPr>
            <w:tcW w:w="236" w:type="dxa"/>
            <w:noWrap/>
            <w:hideMark/>
          </w:tcPr>
          <w:p w14:paraId="1A3BC5E0"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p>
        </w:tc>
        <w:tc>
          <w:tcPr>
            <w:tcW w:w="1505" w:type="dxa"/>
            <w:noWrap/>
            <w:hideMark/>
          </w:tcPr>
          <w:p w14:paraId="0222D04F"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20</w:t>
            </w:r>
          </w:p>
        </w:tc>
        <w:tc>
          <w:tcPr>
            <w:tcW w:w="1589" w:type="dxa"/>
            <w:noWrap/>
            <w:hideMark/>
          </w:tcPr>
          <w:p w14:paraId="0C9E2771" w14:textId="77777777" w:rsidR="00D405D6" w:rsidRPr="005A3058" w:rsidRDefault="00D405D6" w:rsidP="00D405D6">
            <w:pPr>
              <w:tabs>
                <w:tab w:val="left" w:pos="1230"/>
              </w:tabs>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31,9</w:t>
            </w:r>
          </w:p>
        </w:tc>
      </w:tr>
      <w:tr w:rsidR="00D405D6" w:rsidRPr="005A3058" w14:paraId="68BDC441" w14:textId="77777777" w:rsidTr="00D405D6">
        <w:trPr>
          <w:trHeight w:val="250"/>
        </w:trPr>
        <w:tc>
          <w:tcPr>
            <w:tcW w:w="1576" w:type="dxa"/>
            <w:noWrap/>
            <w:hideMark/>
          </w:tcPr>
          <w:p w14:paraId="1E8CA0D9"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43</w:t>
            </w:r>
          </w:p>
        </w:tc>
        <w:tc>
          <w:tcPr>
            <w:tcW w:w="1589" w:type="dxa"/>
            <w:noWrap/>
            <w:hideMark/>
          </w:tcPr>
          <w:p w14:paraId="140376B2"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3,4</w:t>
            </w:r>
          </w:p>
        </w:tc>
        <w:tc>
          <w:tcPr>
            <w:tcW w:w="236" w:type="dxa"/>
            <w:noWrap/>
            <w:hideMark/>
          </w:tcPr>
          <w:p w14:paraId="63ED3BED"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p>
        </w:tc>
        <w:tc>
          <w:tcPr>
            <w:tcW w:w="1505" w:type="dxa"/>
            <w:noWrap/>
            <w:hideMark/>
          </w:tcPr>
          <w:p w14:paraId="1F20F091"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19</w:t>
            </w:r>
          </w:p>
        </w:tc>
        <w:tc>
          <w:tcPr>
            <w:tcW w:w="1589" w:type="dxa"/>
            <w:noWrap/>
            <w:hideMark/>
          </w:tcPr>
          <w:p w14:paraId="4DB9B767" w14:textId="77777777" w:rsidR="00D405D6" w:rsidRPr="005A3058" w:rsidRDefault="00D405D6" w:rsidP="00D405D6">
            <w:pPr>
              <w:tabs>
                <w:tab w:val="left" w:pos="1230"/>
              </w:tabs>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34,1</w:t>
            </w:r>
          </w:p>
        </w:tc>
      </w:tr>
      <w:tr w:rsidR="00D405D6" w:rsidRPr="005A3058" w14:paraId="241DB290" w14:textId="77777777" w:rsidTr="00D405D6">
        <w:trPr>
          <w:trHeight w:val="250"/>
        </w:trPr>
        <w:tc>
          <w:tcPr>
            <w:tcW w:w="1576" w:type="dxa"/>
            <w:noWrap/>
            <w:hideMark/>
          </w:tcPr>
          <w:p w14:paraId="531EE9A6"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42</w:t>
            </w:r>
          </w:p>
        </w:tc>
        <w:tc>
          <w:tcPr>
            <w:tcW w:w="1589" w:type="dxa"/>
            <w:noWrap/>
            <w:hideMark/>
          </w:tcPr>
          <w:p w14:paraId="63F65EB1"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4,0</w:t>
            </w:r>
          </w:p>
        </w:tc>
        <w:tc>
          <w:tcPr>
            <w:tcW w:w="236" w:type="dxa"/>
            <w:noWrap/>
            <w:hideMark/>
          </w:tcPr>
          <w:p w14:paraId="7D9BA0E3"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p>
        </w:tc>
        <w:tc>
          <w:tcPr>
            <w:tcW w:w="1505" w:type="dxa"/>
            <w:noWrap/>
            <w:hideMark/>
          </w:tcPr>
          <w:p w14:paraId="56781694"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18</w:t>
            </w:r>
          </w:p>
        </w:tc>
        <w:tc>
          <w:tcPr>
            <w:tcW w:w="1589" w:type="dxa"/>
            <w:noWrap/>
            <w:hideMark/>
          </w:tcPr>
          <w:p w14:paraId="58071E2E" w14:textId="77777777" w:rsidR="00D405D6" w:rsidRPr="005A3058" w:rsidRDefault="00D405D6" w:rsidP="00D405D6">
            <w:pPr>
              <w:tabs>
                <w:tab w:val="left" w:pos="1230"/>
              </w:tabs>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36,4</w:t>
            </w:r>
          </w:p>
        </w:tc>
      </w:tr>
      <w:tr w:rsidR="00D405D6" w:rsidRPr="005A3058" w14:paraId="09D406FA" w14:textId="77777777" w:rsidTr="00D405D6">
        <w:trPr>
          <w:trHeight w:val="250"/>
        </w:trPr>
        <w:tc>
          <w:tcPr>
            <w:tcW w:w="1576" w:type="dxa"/>
            <w:noWrap/>
            <w:hideMark/>
          </w:tcPr>
          <w:p w14:paraId="22580EB6"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41</w:t>
            </w:r>
          </w:p>
        </w:tc>
        <w:tc>
          <w:tcPr>
            <w:tcW w:w="1589" w:type="dxa"/>
            <w:noWrap/>
            <w:hideMark/>
          </w:tcPr>
          <w:p w14:paraId="27393223"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4,7</w:t>
            </w:r>
          </w:p>
        </w:tc>
        <w:tc>
          <w:tcPr>
            <w:tcW w:w="236" w:type="dxa"/>
            <w:noWrap/>
            <w:hideMark/>
          </w:tcPr>
          <w:p w14:paraId="58453045"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p>
        </w:tc>
        <w:tc>
          <w:tcPr>
            <w:tcW w:w="1505" w:type="dxa"/>
            <w:noWrap/>
            <w:hideMark/>
          </w:tcPr>
          <w:p w14:paraId="7159B2D0"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17</w:t>
            </w:r>
          </w:p>
        </w:tc>
        <w:tc>
          <w:tcPr>
            <w:tcW w:w="1589" w:type="dxa"/>
            <w:noWrap/>
            <w:hideMark/>
          </w:tcPr>
          <w:p w14:paraId="192DB70C" w14:textId="77777777" w:rsidR="00D405D6" w:rsidRPr="005A3058" w:rsidRDefault="00D405D6" w:rsidP="00D405D6">
            <w:pPr>
              <w:tabs>
                <w:tab w:val="left" w:pos="1230"/>
              </w:tabs>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38,8</w:t>
            </w:r>
          </w:p>
        </w:tc>
      </w:tr>
      <w:tr w:rsidR="00D405D6" w:rsidRPr="005A3058" w14:paraId="19A6E01D" w14:textId="77777777" w:rsidTr="00D405D6">
        <w:trPr>
          <w:trHeight w:val="250"/>
        </w:trPr>
        <w:tc>
          <w:tcPr>
            <w:tcW w:w="1576" w:type="dxa"/>
            <w:noWrap/>
            <w:hideMark/>
          </w:tcPr>
          <w:p w14:paraId="261C6077"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40</w:t>
            </w:r>
          </w:p>
        </w:tc>
        <w:tc>
          <w:tcPr>
            <w:tcW w:w="1589" w:type="dxa"/>
            <w:noWrap/>
            <w:hideMark/>
          </w:tcPr>
          <w:p w14:paraId="29AD7F30"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5,5</w:t>
            </w:r>
          </w:p>
        </w:tc>
        <w:tc>
          <w:tcPr>
            <w:tcW w:w="236" w:type="dxa"/>
            <w:noWrap/>
            <w:hideMark/>
          </w:tcPr>
          <w:p w14:paraId="7FF512A0"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p>
        </w:tc>
        <w:tc>
          <w:tcPr>
            <w:tcW w:w="1505" w:type="dxa"/>
            <w:noWrap/>
            <w:hideMark/>
          </w:tcPr>
          <w:p w14:paraId="77D87B2F"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16</w:t>
            </w:r>
          </w:p>
        </w:tc>
        <w:tc>
          <w:tcPr>
            <w:tcW w:w="1589" w:type="dxa"/>
            <w:noWrap/>
            <w:hideMark/>
          </w:tcPr>
          <w:p w14:paraId="46FAAC0A" w14:textId="77777777" w:rsidR="00D405D6" w:rsidRPr="005A3058" w:rsidRDefault="00D405D6" w:rsidP="00D405D6">
            <w:pPr>
              <w:tabs>
                <w:tab w:val="left" w:pos="1230"/>
              </w:tabs>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41,3</w:t>
            </w:r>
          </w:p>
        </w:tc>
      </w:tr>
      <w:tr w:rsidR="00D405D6" w:rsidRPr="005A3058" w14:paraId="307C9AC7" w14:textId="77777777" w:rsidTr="00D405D6">
        <w:trPr>
          <w:trHeight w:val="250"/>
        </w:trPr>
        <w:tc>
          <w:tcPr>
            <w:tcW w:w="1576" w:type="dxa"/>
            <w:noWrap/>
            <w:hideMark/>
          </w:tcPr>
          <w:p w14:paraId="31F08244"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39</w:t>
            </w:r>
          </w:p>
        </w:tc>
        <w:tc>
          <w:tcPr>
            <w:tcW w:w="1589" w:type="dxa"/>
            <w:noWrap/>
            <w:hideMark/>
          </w:tcPr>
          <w:p w14:paraId="72C23A59"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6,2</w:t>
            </w:r>
          </w:p>
        </w:tc>
        <w:tc>
          <w:tcPr>
            <w:tcW w:w="236" w:type="dxa"/>
            <w:noWrap/>
            <w:hideMark/>
          </w:tcPr>
          <w:p w14:paraId="20456BC2"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p>
        </w:tc>
        <w:tc>
          <w:tcPr>
            <w:tcW w:w="1505" w:type="dxa"/>
            <w:noWrap/>
            <w:hideMark/>
          </w:tcPr>
          <w:p w14:paraId="2243BC08"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15</w:t>
            </w:r>
          </w:p>
        </w:tc>
        <w:tc>
          <w:tcPr>
            <w:tcW w:w="1589" w:type="dxa"/>
            <w:noWrap/>
            <w:hideMark/>
          </w:tcPr>
          <w:p w14:paraId="1B914E7C" w14:textId="77777777" w:rsidR="00D405D6" w:rsidRPr="005A3058" w:rsidRDefault="00D405D6" w:rsidP="00D405D6">
            <w:pPr>
              <w:tabs>
                <w:tab w:val="left" w:pos="1230"/>
              </w:tabs>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44,0</w:t>
            </w:r>
          </w:p>
        </w:tc>
      </w:tr>
      <w:tr w:rsidR="00D405D6" w:rsidRPr="005A3058" w14:paraId="425EBB7B" w14:textId="77777777" w:rsidTr="00D405D6">
        <w:trPr>
          <w:trHeight w:val="250"/>
        </w:trPr>
        <w:tc>
          <w:tcPr>
            <w:tcW w:w="1576" w:type="dxa"/>
            <w:noWrap/>
            <w:hideMark/>
          </w:tcPr>
          <w:p w14:paraId="374A92D2"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38</w:t>
            </w:r>
          </w:p>
        </w:tc>
        <w:tc>
          <w:tcPr>
            <w:tcW w:w="1589" w:type="dxa"/>
            <w:noWrap/>
            <w:hideMark/>
          </w:tcPr>
          <w:p w14:paraId="42EF438D"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7,1</w:t>
            </w:r>
          </w:p>
        </w:tc>
        <w:tc>
          <w:tcPr>
            <w:tcW w:w="236" w:type="dxa"/>
            <w:noWrap/>
            <w:hideMark/>
          </w:tcPr>
          <w:p w14:paraId="6FFF5A14"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p>
        </w:tc>
        <w:tc>
          <w:tcPr>
            <w:tcW w:w="1505" w:type="dxa"/>
            <w:noWrap/>
            <w:hideMark/>
          </w:tcPr>
          <w:p w14:paraId="322F93A6"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14</w:t>
            </w:r>
          </w:p>
        </w:tc>
        <w:tc>
          <w:tcPr>
            <w:tcW w:w="1589" w:type="dxa"/>
            <w:noWrap/>
            <w:hideMark/>
          </w:tcPr>
          <w:p w14:paraId="66400DCF" w14:textId="77777777" w:rsidR="00D405D6" w:rsidRPr="005A3058" w:rsidRDefault="00D405D6" w:rsidP="00D405D6">
            <w:pPr>
              <w:tabs>
                <w:tab w:val="left" w:pos="1230"/>
              </w:tabs>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46,8</w:t>
            </w:r>
          </w:p>
        </w:tc>
      </w:tr>
      <w:tr w:rsidR="00D405D6" w:rsidRPr="005A3058" w14:paraId="61210A47" w14:textId="77777777" w:rsidTr="00D405D6">
        <w:trPr>
          <w:trHeight w:val="250"/>
        </w:trPr>
        <w:tc>
          <w:tcPr>
            <w:tcW w:w="1576" w:type="dxa"/>
            <w:noWrap/>
            <w:hideMark/>
          </w:tcPr>
          <w:p w14:paraId="474B2C22"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37</w:t>
            </w:r>
          </w:p>
        </w:tc>
        <w:tc>
          <w:tcPr>
            <w:tcW w:w="1589" w:type="dxa"/>
            <w:noWrap/>
            <w:hideMark/>
          </w:tcPr>
          <w:p w14:paraId="29E8F503"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7,9</w:t>
            </w:r>
          </w:p>
        </w:tc>
        <w:tc>
          <w:tcPr>
            <w:tcW w:w="236" w:type="dxa"/>
            <w:noWrap/>
            <w:hideMark/>
          </w:tcPr>
          <w:p w14:paraId="690C33B4"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p>
        </w:tc>
        <w:tc>
          <w:tcPr>
            <w:tcW w:w="1505" w:type="dxa"/>
            <w:noWrap/>
            <w:hideMark/>
          </w:tcPr>
          <w:p w14:paraId="14286266"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13</w:t>
            </w:r>
          </w:p>
        </w:tc>
        <w:tc>
          <w:tcPr>
            <w:tcW w:w="1589" w:type="dxa"/>
            <w:noWrap/>
            <w:hideMark/>
          </w:tcPr>
          <w:p w14:paraId="6C53AD02" w14:textId="77777777" w:rsidR="00D405D6" w:rsidRPr="005A3058" w:rsidRDefault="00D405D6" w:rsidP="00D405D6">
            <w:pPr>
              <w:tabs>
                <w:tab w:val="left" w:pos="1230"/>
              </w:tabs>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49,8</w:t>
            </w:r>
          </w:p>
        </w:tc>
      </w:tr>
      <w:tr w:rsidR="00D405D6" w:rsidRPr="005A3058" w14:paraId="1B6AA94F" w14:textId="77777777" w:rsidTr="00D405D6">
        <w:trPr>
          <w:trHeight w:val="250"/>
        </w:trPr>
        <w:tc>
          <w:tcPr>
            <w:tcW w:w="1576" w:type="dxa"/>
            <w:noWrap/>
            <w:hideMark/>
          </w:tcPr>
          <w:p w14:paraId="4B943D01"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36</w:t>
            </w:r>
          </w:p>
        </w:tc>
        <w:tc>
          <w:tcPr>
            <w:tcW w:w="1589" w:type="dxa"/>
            <w:noWrap/>
            <w:hideMark/>
          </w:tcPr>
          <w:p w14:paraId="10F528D5"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8,8</w:t>
            </w:r>
          </w:p>
        </w:tc>
        <w:tc>
          <w:tcPr>
            <w:tcW w:w="236" w:type="dxa"/>
            <w:noWrap/>
            <w:hideMark/>
          </w:tcPr>
          <w:p w14:paraId="282C2236"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p>
        </w:tc>
        <w:tc>
          <w:tcPr>
            <w:tcW w:w="1505" w:type="dxa"/>
            <w:noWrap/>
            <w:hideMark/>
          </w:tcPr>
          <w:p w14:paraId="40293940"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12</w:t>
            </w:r>
          </w:p>
        </w:tc>
        <w:tc>
          <w:tcPr>
            <w:tcW w:w="1589" w:type="dxa"/>
            <w:noWrap/>
            <w:hideMark/>
          </w:tcPr>
          <w:p w14:paraId="0886189B" w14:textId="77777777" w:rsidR="00D405D6" w:rsidRPr="005A3058" w:rsidRDefault="00D405D6" w:rsidP="00D405D6">
            <w:pPr>
              <w:tabs>
                <w:tab w:val="left" w:pos="1230"/>
              </w:tabs>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52,9</w:t>
            </w:r>
          </w:p>
        </w:tc>
      </w:tr>
      <w:tr w:rsidR="00D405D6" w:rsidRPr="005A3058" w14:paraId="54733A06" w14:textId="77777777" w:rsidTr="00D405D6">
        <w:trPr>
          <w:trHeight w:val="250"/>
        </w:trPr>
        <w:tc>
          <w:tcPr>
            <w:tcW w:w="1576" w:type="dxa"/>
            <w:noWrap/>
            <w:hideMark/>
          </w:tcPr>
          <w:p w14:paraId="65EDFB9C"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35</w:t>
            </w:r>
          </w:p>
        </w:tc>
        <w:tc>
          <w:tcPr>
            <w:tcW w:w="1589" w:type="dxa"/>
            <w:noWrap/>
            <w:hideMark/>
          </w:tcPr>
          <w:p w14:paraId="75DA8D8C"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9,8</w:t>
            </w:r>
          </w:p>
        </w:tc>
        <w:tc>
          <w:tcPr>
            <w:tcW w:w="236" w:type="dxa"/>
            <w:noWrap/>
            <w:hideMark/>
          </w:tcPr>
          <w:p w14:paraId="5C753A0E"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p>
        </w:tc>
        <w:tc>
          <w:tcPr>
            <w:tcW w:w="1505" w:type="dxa"/>
            <w:noWrap/>
            <w:hideMark/>
          </w:tcPr>
          <w:p w14:paraId="18411137"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11</w:t>
            </w:r>
          </w:p>
        </w:tc>
        <w:tc>
          <w:tcPr>
            <w:tcW w:w="1589" w:type="dxa"/>
            <w:noWrap/>
            <w:hideMark/>
          </w:tcPr>
          <w:p w14:paraId="133E3490" w14:textId="77777777" w:rsidR="00D405D6" w:rsidRPr="005A3058" w:rsidRDefault="00D405D6" w:rsidP="00D405D6">
            <w:pPr>
              <w:tabs>
                <w:tab w:val="left" w:pos="1230"/>
              </w:tabs>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56,1</w:t>
            </w:r>
          </w:p>
        </w:tc>
      </w:tr>
      <w:tr w:rsidR="00D405D6" w:rsidRPr="005A3058" w14:paraId="1001EC31" w14:textId="77777777" w:rsidTr="00D405D6">
        <w:trPr>
          <w:trHeight w:val="250"/>
        </w:trPr>
        <w:tc>
          <w:tcPr>
            <w:tcW w:w="1576" w:type="dxa"/>
            <w:noWrap/>
            <w:hideMark/>
          </w:tcPr>
          <w:p w14:paraId="6385DD7B"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34</w:t>
            </w:r>
          </w:p>
        </w:tc>
        <w:tc>
          <w:tcPr>
            <w:tcW w:w="1589" w:type="dxa"/>
            <w:noWrap/>
            <w:hideMark/>
          </w:tcPr>
          <w:p w14:paraId="218EA7B4"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10,8</w:t>
            </w:r>
          </w:p>
        </w:tc>
        <w:tc>
          <w:tcPr>
            <w:tcW w:w="236" w:type="dxa"/>
            <w:noWrap/>
            <w:hideMark/>
          </w:tcPr>
          <w:p w14:paraId="78C46D11"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p>
        </w:tc>
        <w:tc>
          <w:tcPr>
            <w:tcW w:w="1505" w:type="dxa"/>
            <w:noWrap/>
            <w:hideMark/>
          </w:tcPr>
          <w:p w14:paraId="22992CB9"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10</w:t>
            </w:r>
          </w:p>
        </w:tc>
        <w:tc>
          <w:tcPr>
            <w:tcW w:w="1589" w:type="dxa"/>
            <w:noWrap/>
            <w:hideMark/>
          </w:tcPr>
          <w:p w14:paraId="69557F4F" w14:textId="77777777" w:rsidR="00D405D6" w:rsidRPr="005A3058" w:rsidRDefault="00D405D6" w:rsidP="00D405D6">
            <w:pPr>
              <w:tabs>
                <w:tab w:val="left" w:pos="1230"/>
              </w:tabs>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59,6</w:t>
            </w:r>
          </w:p>
        </w:tc>
      </w:tr>
      <w:tr w:rsidR="00D405D6" w:rsidRPr="005A3058" w14:paraId="32842D6E" w14:textId="77777777" w:rsidTr="00D405D6">
        <w:trPr>
          <w:trHeight w:val="250"/>
        </w:trPr>
        <w:tc>
          <w:tcPr>
            <w:tcW w:w="1576" w:type="dxa"/>
            <w:noWrap/>
            <w:hideMark/>
          </w:tcPr>
          <w:p w14:paraId="34CEDC42"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33</w:t>
            </w:r>
          </w:p>
        </w:tc>
        <w:tc>
          <w:tcPr>
            <w:tcW w:w="1589" w:type="dxa"/>
            <w:noWrap/>
            <w:hideMark/>
          </w:tcPr>
          <w:p w14:paraId="7EE49C40"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11,9</w:t>
            </w:r>
          </w:p>
        </w:tc>
        <w:tc>
          <w:tcPr>
            <w:tcW w:w="236" w:type="dxa"/>
            <w:noWrap/>
            <w:hideMark/>
          </w:tcPr>
          <w:p w14:paraId="234B4002"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p>
        </w:tc>
        <w:tc>
          <w:tcPr>
            <w:tcW w:w="1505" w:type="dxa"/>
            <w:noWrap/>
            <w:hideMark/>
          </w:tcPr>
          <w:p w14:paraId="18E350D7"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9</w:t>
            </w:r>
          </w:p>
        </w:tc>
        <w:tc>
          <w:tcPr>
            <w:tcW w:w="1589" w:type="dxa"/>
            <w:noWrap/>
            <w:hideMark/>
          </w:tcPr>
          <w:p w14:paraId="63A0FFDA" w14:textId="77777777" w:rsidR="00D405D6" w:rsidRPr="005A3058" w:rsidRDefault="00D405D6" w:rsidP="00D405D6">
            <w:pPr>
              <w:tabs>
                <w:tab w:val="left" w:pos="1230"/>
              </w:tabs>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63,2</w:t>
            </w:r>
          </w:p>
        </w:tc>
      </w:tr>
      <w:tr w:rsidR="00D405D6" w:rsidRPr="005A3058" w14:paraId="11C82C1F" w14:textId="77777777" w:rsidTr="00D405D6">
        <w:trPr>
          <w:trHeight w:val="250"/>
        </w:trPr>
        <w:tc>
          <w:tcPr>
            <w:tcW w:w="1576" w:type="dxa"/>
            <w:noWrap/>
            <w:hideMark/>
          </w:tcPr>
          <w:p w14:paraId="13CFA9A2"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32</w:t>
            </w:r>
          </w:p>
        </w:tc>
        <w:tc>
          <w:tcPr>
            <w:tcW w:w="1589" w:type="dxa"/>
            <w:noWrap/>
            <w:hideMark/>
          </w:tcPr>
          <w:p w14:paraId="20AB6912"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13,0</w:t>
            </w:r>
          </w:p>
        </w:tc>
        <w:tc>
          <w:tcPr>
            <w:tcW w:w="236" w:type="dxa"/>
            <w:noWrap/>
            <w:hideMark/>
          </w:tcPr>
          <w:p w14:paraId="6AEA9A5F"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p>
        </w:tc>
        <w:tc>
          <w:tcPr>
            <w:tcW w:w="1505" w:type="dxa"/>
            <w:noWrap/>
            <w:hideMark/>
          </w:tcPr>
          <w:p w14:paraId="45312F9D"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8</w:t>
            </w:r>
          </w:p>
        </w:tc>
        <w:tc>
          <w:tcPr>
            <w:tcW w:w="1589" w:type="dxa"/>
            <w:noWrap/>
            <w:hideMark/>
          </w:tcPr>
          <w:p w14:paraId="0AFC72AE" w14:textId="77777777" w:rsidR="00D405D6" w:rsidRPr="005A3058" w:rsidRDefault="00D405D6" w:rsidP="00D405D6">
            <w:pPr>
              <w:tabs>
                <w:tab w:val="left" w:pos="1230"/>
              </w:tabs>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67,0</w:t>
            </w:r>
          </w:p>
        </w:tc>
      </w:tr>
      <w:tr w:rsidR="00D405D6" w:rsidRPr="005A3058" w14:paraId="476D0003" w14:textId="77777777" w:rsidTr="00D405D6">
        <w:trPr>
          <w:trHeight w:val="250"/>
        </w:trPr>
        <w:tc>
          <w:tcPr>
            <w:tcW w:w="1576" w:type="dxa"/>
            <w:noWrap/>
            <w:hideMark/>
          </w:tcPr>
          <w:p w14:paraId="47514980"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31</w:t>
            </w:r>
          </w:p>
        </w:tc>
        <w:tc>
          <w:tcPr>
            <w:tcW w:w="1589" w:type="dxa"/>
            <w:noWrap/>
            <w:hideMark/>
          </w:tcPr>
          <w:p w14:paraId="147D7BBC"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14,1</w:t>
            </w:r>
          </w:p>
        </w:tc>
        <w:tc>
          <w:tcPr>
            <w:tcW w:w="236" w:type="dxa"/>
            <w:noWrap/>
            <w:hideMark/>
          </w:tcPr>
          <w:p w14:paraId="2D0092AC"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p>
        </w:tc>
        <w:tc>
          <w:tcPr>
            <w:tcW w:w="1505" w:type="dxa"/>
            <w:noWrap/>
            <w:hideMark/>
          </w:tcPr>
          <w:p w14:paraId="0A078CE1"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7</w:t>
            </w:r>
          </w:p>
        </w:tc>
        <w:tc>
          <w:tcPr>
            <w:tcW w:w="1589" w:type="dxa"/>
            <w:noWrap/>
            <w:hideMark/>
          </w:tcPr>
          <w:p w14:paraId="5EB456A6" w14:textId="77777777" w:rsidR="00D405D6" w:rsidRPr="005A3058" w:rsidRDefault="00D405D6" w:rsidP="00D405D6">
            <w:pPr>
              <w:tabs>
                <w:tab w:val="left" w:pos="1230"/>
              </w:tabs>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71,0</w:t>
            </w:r>
          </w:p>
        </w:tc>
      </w:tr>
      <w:tr w:rsidR="00D405D6" w:rsidRPr="005A3058" w14:paraId="001A6DD8" w14:textId="77777777" w:rsidTr="00D405D6">
        <w:trPr>
          <w:trHeight w:val="250"/>
        </w:trPr>
        <w:tc>
          <w:tcPr>
            <w:tcW w:w="1576" w:type="dxa"/>
            <w:noWrap/>
            <w:hideMark/>
          </w:tcPr>
          <w:p w14:paraId="3BA64789"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30</w:t>
            </w:r>
          </w:p>
        </w:tc>
        <w:tc>
          <w:tcPr>
            <w:tcW w:w="1589" w:type="dxa"/>
            <w:noWrap/>
            <w:hideMark/>
          </w:tcPr>
          <w:p w14:paraId="75132171"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15,4</w:t>
            </w:r>
          </w:p>
        </w:tc>
        <w:tc>
          <w:tcPr>
            <w:tcW w:w="236" w:type="dxa"/>
            <w:noWrap/>
            <w:hideMark/>
          </w:tcPr>
          <w:p w14:paraId="79F6E19C"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p>
        </w:tc>
        <w:tc>
          <w:tcPr>
            <w:tcW w:w="1505" w:type="dxa"/>
            <w:noWrap/>
            <w:hideMark/>
          </w:tcPr>
          <w:p w14:paraId="0F3A1DBA"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6</w:t>
            </w:r>
          </w:p>
        </w:tc>
        <w:tc>
          <w:tcPr>
            <w:tcW w:w="1589" w:type="dxa"/>
            <w:noWrap/>
            <w:hideMark/>
          </w:tcPr>
          <w:p w14:paraId="43932C61" w14:textId="77777777" w:rsidR="00D405D6" w:rsidRPr="005A3058" w:rsidRDefault="00D405D6" w:rsidP="00D405D6">
            <w:pPr>
              <w:tabs>
                <w:tab w:val="left" w:pos="1230"/>
              </w:tabs>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75,3</w:t>
            </w:r>
          </w:p>
        </w:tc>
      </w:tr>
      <w:tr w:rsidR="00D405D6" w:rsidRPr="005A3058" w14:paraId="006C3A7B" w14:textId="77777777" w:rsidTr="00D405D6">
        <w:trPr>
          <w:trHeight w:val="250"/>
        </w:trPr>
        <w:tc>
          <w:tcPr>
            <w:tcW w:w="1576" w:type="dxa"/>
            <w:noWrap/>
            <w:hideMark/>
          </w:tcPr>
          <w:p w14:paraId="10F49A77"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29</w:t>
            </w:r>
          </w:p>
        </w:tc>
        <w:tc>
          <w:tcPr>
            <w:tcW w:w="1589" w:type="dxa"/>
            <w:noWrap/>
            <w:hideMark/>
          </w:tcPr>
          <w:p w14:paraId="12D6740B"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16,7</w:t>
            </w:r>
          </w:p>
        </w:tc>
        <w:tc>
          <w:tcPr>
            <w:tcW w:w="236" w:type="dxa"/>
            <w:noWrap/>
            <w:hideMark/>
          </w:tcPr>
          <w:p w14:paraId="482E7D4E"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p>
        </w:tc>
        <w:tc>
          <w:tcPr>
            <w:tcW w:w="1505" w:type="dxa"/>
            <w:noWrap/>
            <w:hideMark/>
          </w:tcPr>
          <w:p w14:paraId="3A89E4EC"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5</w:t>
            </w:r>
          </w:p>
        </w:tc>
        <w:tc>
          <w:tcPr>
            <w:tcW w:w="1589" w:type="dxa"/>
            <w:noWrap/>
            <w:hideMark/>
          </w:tcPr>
          <w:p w14:paraId="571FF7A4" w14:textId="77777777" w:rsidR="00D405D6" w:rsidRPr="005A3058" w:rsidRDefault="00D405D6" w:rsidP="00D405D6">
            <w:pPr>
              <w:tabs>
                <w:tab w:val="left" w:pos="1230"/>
              </w:tabs>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79,7</w:t>
            </w:r>
          </w:p>
        </w:tc>
      </w:tr>
      <w:tr w:rsidR="00D405D6" w:rsidRPr="005A3058" w14:paraId="31F5BEF2" w14:textId="77777777" w:rsidTr="00D405D6">
        <w:trPr>
          <w:trHeight w:val="250"/>
        </w:trPr>
        <w:tc>
          <w:tcPr>
            <w:tcW w:w="1576" w:type="dxa"/>
            <w:noWrap/>
            <w:hideMark/>
          </w:tcPr>
          <w:p w14:paraId="530C2360"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28</w:t>
            </w:r>
          </w:p>
        </w:tc>
        <w:tc>
          <w:tcPr>
            <w:tcW w:w="1589" w:type="dxa"/>
            <w:noWrap/>
            <w:hideMark/>
          </w:tcPr>
          <w:p w14:paraId="13B5F78A"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18,0</w:t>
            </w:r>
          </w:p>
        </w:tc>
        <w:tc>
          <w:tcPr>
            <w:tcW w:w="236" w:type="dxa"/>
            <w:noWrap/>
            <w:hideMark/>
          </w:tcPr>
          <w:p w14:paraId="46E62A05"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p>
        </w:tc>
        <w:tc>
          <w:tcPr>
            <w:tcW w:w="1505" w:type="dxa"/>
            <w:noWrap/>
            <w:hideMark/>
          </w:tcPr>
          <w:p w14:paraId="06E6E733"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4</w:t>
            </w:r>
          </w:p>
        </w:tc>
        <w:tc>
          <w:tcPr>
            <w:tcW w:w="1589" w:type="dxa"/>
            <w:noWrap/>
            <w:hideMark/>
          </w:tcPr>
          <w:p w14:paraId="634039C9" w14:textId="77777777" w:rsidR="00D405D6" w:rsidRPr="005A3058" w:rsidRDefault="00D405D6" w:rsidP="00D405D6">
            <w:pPr>
              <w:tabs>
                <w:tab w:val="left" w:pos="1230"/>
              </w:tabs>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84,4</w:t>
            </w:r>
          </w:p>
        </w:tc>
      </w:tr>
      <w:tr w:rsidR="00D405D6" w:rsidRPr="005A3058" w14:paraId="6BDAE618" w14:textId="77777777" w:rsidTr="00D405D6">
        <w:trPr>
          <w:trHeight w:val="250"/>
        </w:trPr>
        <w:tc>
          <w:tcPr>
            <w:tcW w:w="1576" w:type="dxa"/>
            <w:noWrap/>
            <w:hideMark/>
          </w:tcPr>
          <w:p w14:paraId="3BAB051C"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27</w:t>
            </w:r>
          </w:p>
        </w:tc>
        <w:tc>
          <w:tcPr>
            <w:tcW w:w="1589" w:type="dxa"/>
            <w:noWrap/>
            <w:hideMark/>
          </w:tcPr>
          <w:p w14:paraId="2AEFC9AE"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19,5</w:t>
            </w:r>
          </w:p>
        </w:tc>
        <w:tc>
          <w:tcPr>
            <w:tcW w:w="236" w:type="dxa"/>
            <w:noWrap/>
            <w:hideMark/>
          </w:tcPr>
          <w:p w14:paraId="4C18EF21"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p>
        </w:tc>
        <w:tc>
          <w:tcPr>
            <w:tcW w:w="1505" w:type="dxa"/>
            <w:noWrap/>
            <w:hideMark/>
          </w:tcPr>
          <w:p w14:paraId="739A936F"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3</w:t>
            </w:r>
          </w:p>
        </w:tc>
        <w:tc>
          <w:tcPr>
            <w:tcW w:w="1589" w:type="dxa"/>
            <w:noWrap/>
            <w:hideMark/>
          </w:tcPr>
          <w:p w14:paraId="0C171059" w14:textId="77777777" w:rsidR="00D405D6" w:rsidRPr="005A3058" w:rsidRDefault="00D405D6" w:rsidP="00D405D6">
            <w:pPr>
              <w:tabs>
                <w:tab w:val="left" w:pos="1230"/>
              </w:tabs>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89,3</w:t>
            </w:r>
          </w:p>
        </w:tc>
      </w:tr>
      <w:tr w:rsidR="00D405D6" w:rsidRPr="005A3058" w14:paraId="08424588" w14:textId="77777777" w:rsidTr="00D405D6">
        <w:trPr>
          <w:trHeight w:val="250"/>
        </w:trPr>
        <w:tc>
          <w:tcPr>
            <w:tcW w:w="1576" w:type="dxa"/>
            <w:noWrap/>
            <w:hideMark/>
          </w:tcPr>
          <w:p w14:paraId="47BA16A9"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26</w:t>
            </w:r>
          </w:p>
        </w:tc>
        <w:tc>
          <w:tcPr>
            <w:tcW w:w="1589" w:type="dxa"/>
            <w:noWrap/>
            <w:hideMark/>
          </w:tcPr>
          <w:p w14:paraId="4904399F"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21,0</w:t>
            </w:r>
          </w:p>
        </w:tc>
        <w:tc>
          <w:tcPr>
            <w:tcW w:w="236" w:type="dxa"/>
            <w:noWrap/>
            <w:hideMark/>
          </w:tcPr>
          <w:p w14:paraId="422355A3"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p>
        </w:tc>
        <w:tc>
          <w:tcPr>
            <w:tcW w:w="1505" w:type="dxa"/>
            <w:noWrap/>
            <w:hideMark/>
          </w:tcPr>
          <w:p w14:paraId="609935FD"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2</w:t>
            </w:r>
          </w:p>
        </w:tc>
        <w:tc>
          <w:tcPr>
            <w:tcW w:w="1589" w:type="dxa"/>
            <w:noWrap/>
            <w:hideMark/>
          </w:tcPr>
          <w:p w14:paraId="70B91AB3" w14:textId="77777777" w:rsidR="00D405D6" w:rsidRPr="005A3058" w:rsidRDefault="00D405D6" w:rsidP="00D405D6">
            <w:pPr>
              <w:tabs>
                <w:tab w:val="left" w:pos="1230"/>
              </w:tabs>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94,5</w:t>
            </w:r>
          </w:p>
        </w:tc>
      </w:tr>
      <w:tr w:rsidR="00D405D6" w:rsidRPr="005A3058" w14:paraId="09849F04" w14:textId="77777777" w:rsidTr="00D405D6">
        <w:trPr>
          <w:trHeight w:val="250"/>
        </w:trPr>
        <w:tc>
          <w:tcPr>
            <w:tcW w:w="1576" w:type="dxa"/>
            <w:noWrap/>
            <w:hideMark/>
          </w:tcPr>
          <w:p w14:paraId="717239A9"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25</w:t>
            </w:r>
          </w:p>
        </w:tc>
        <w:tc>
          <w:tcPr>
            <w:tcW w:w="1589" w:type="dxa"/>
            <w:noWrap/>
            <w:hideMark/>
          </w:tcPr>
          <w:p w14:paraId="461AFEA2"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22,6</w:t>
            </w:r>
          </w:p>
        </w:tc>
        <w:tc>
          <w:tcPr>
            <w:tcW w:w="236" w:type="dxa"/>
            <w:noWrap/>
            <w:hideMark/>
          </w:tcPr>
          <w:p w14:paraId="14A7589B"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p>
        </w:tc>
        <w:tc>
          <w:tcPr>
            <w:tcW w:w="1505" w:type="dxa"/>
            <w:noWrap/>
            <w:hideMark/>
          </w:tcPr>
          <w:p w14:paraId="72FEFE48" w14:textId="77777777" w:rsidR="00D405D6" w:rsidRPr="005A3058" w:rsidRDefault="00D405D6" w:rsidP="00D405D6">
            <w:pPr>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lang w:eastAsia="es-CR"/>
              </w:rPr>
              <w:t>1</w:t>
            </w:r>
          </w:p>
        </w:tc>
        <w:tc>
          <w:tcPr>
            <w:tcW w:w="1589" w:type="dxa"/>
            <w:noWrap/>
            <w:hideMark/>
          </w:tcPr>
          <w:p w14:paraId="3B6E1767" w14:textId="77777777" w:rsidR="00D405D6" w:rsidRPr="005A3058" w:rsidRDefault="00D405D6" w:rsidP="00D405D6">
            <w:pPr>
              <w:tabs>
                <w:tab w:val="left" w:pos="1230"/>
              </w:tabs>
              <w:spacing w:before="0" w:after="0"/>
              <w:ind w:right="51" w:hanging="11"/>
              <w:jc w:val="center"/>
              <w:rPr>
                <w:rFonts w:asciiTheme="majorHAnsi" w:hAnsiTheme="majorHAnsi" w:cstheme="majorHAnsi"/>
                <w:i/>
                <w:iCs/>
                <w:szCs w:val="22"/>
                <w:lang w:eastAsia="es-CR"/>
              </w:rPr>
            </w:pPr>
            <w:r w:rsidRPr="005A3058">
              <w:rPr>
                <w:rFonts w:asciiTheme="majorHAnsi" w:hAnsiTheme="majorHAnsi" w:cstheme="majorHAnsi"/>
                <w:i/>
                <w:iCs/>
                <w:szCs w:val="22"/>
              </w:rPr>
              <w:t>100,0</w:t>
            </w:r>
          </w:p>
        </w:tc>
      </w:tr>
    </w:tbl>
    <w:p w14:paraId="59BFF992" w14:textId="77777777" w:rsidR="009C192E" w:rsidRPr="00576357" w:rsidRDefault="009C192E" w:rsidP="00576357">
      <w:pPr>
        <w:spacing w:after="0" w:line="240" w:lineRule="auto"/>
        <w:jc w:val="left"/>
        <w:rPr>
          <w:rFonts w:asciiTheme="majorHAnsi" w:hAnsiTheme="majorHAnsi" w:cstheme="majorHAnsi"/>
          <w:sz w:val="23"/>
          <w:szCs w:val="23"/>
        </w:rPr>
      </w:pPr>
      <w:r w:rsidRPr="00576357">
        <w:rPr>
          <w:rFonts w:asciiTheme="majorHAnsi" w:hAnsiTheme="majorHAnsi" w:cstheme="majorHAnsi"/>
          <w:sz w:val="23"/>
          <w:szCs w:val="23"/>
        </w:rPr>
        <w:br w:type="page"/>
      </w:r>
    </w:p>
    <w:p w14:paraId="1E78E98E" w14:textId="77777777" w:rsidR="009C192E" w:rsidRPr="00576357" w:rsidRDefault="009C192E" w:rsidP="009C192E">
      <w:pPr>
        <w:ind w:right="51"/>
        <w:rPr>
          <w:rFonts w:asciiTheme="majorHAnsi" w:hAnsiTheme="majorHAnsi" w:cstheme="majorHAnsi"/>
          <w:sz w:val="23"/>
          <w:szCs w:val="23"/>
        </w:rPr>
      </w:pPr>
      <w:r w:rsidRPr="00576357">
        <w:rPr>
          <w:rFonts w:asciiTheme="majorHAnsi" w:hAnsiTheme="majorHAnsi" w:cstheme="majorHAnsi"/>
          <w:sz w:val="23"/>
          <w:szCs w:val="23"/>
        </w:rPr>
        <w:lastRenderedPageBreak/>
        <w:t xml:space="preserve">El Periodo reportado identificado con el número “1” corresponde al periodo más reciente. </w:t>
      </w:r>
    </w:p>
    <w:p w14:paraId="1FA4B1D2" w14:textId="77777777" w:rsidR="009C192E" w:rsidRPr="00576357" w:rsidRDefault="009C192E" w:rsidP="009C192E">
      <w:pPr>
        <w:ind w:right="51"/>
        <w:rPr>
          <w:rFonts w:asciiTheme="majorHAnsi" w:hAnsiTheme="majorHAnsi" w:cstheme="majorHAnsi"/>
          <w:sz w:val="23"/>
          <w:szCs w:val="23"/>
        </w:rPr>
      </w:pPr>
      <w:r w:rsidRPr="00576357">
        <w:rPr>
          <w:rFonts w:asciiTheme="majorHAnsi" w:hAnsiTheme="majorHAnsi" w:cstheme="majorHAnsi"/>
          <w:sz w:val="23"/>
          <w:szCs w:val="23"/>
        </w:rPr>
        <w:t>Luego corresponde multiplicar cada dato de morosidad por el correspondiente ponderador, se obtiene una serie reportada de morosidad, ponderada cada mes, la cual será el insumo para los siguientes pasos.</w:t>
      </w:r>
    </w:p>
    <w:p w14:paraId="0C4698D6" w14:textId="3F60C5E6" w:rsidR="009C192E" w:rsidRDefault="009C192E" w:rsidP="00681541">
      <w:pPr>
        <w:pStyle w:val="Prrafodelista"/>
        <w:numPr>
          <w:ilvl w:val="0"/>
          <w:numId w:val="76"/>
        </w:numPr>
        <w:ind w:right="51"/>
        <w:jc w:val="both"/>
        <w:rPr>
          <w:rFonts w:asciiTheme="majorHAnsi" w:hAnsiTheme="majorHAnsi" w:cstheme="majorHAnsi"/>
          <w:sz w:val="23"/>
          <w:szCs w:val="23"/>
        </w:rPr>
      </w:pPr>
      <w:r w:rsidRPr="00576357">
        <w:rPr>
          <w:rFonts w:asciiTheme="majorHAnsi" w:hAnsiTheme="majorHAnsi" w:cstheme="majorHAnsi"/>
          <w:sz w:val="23"/>
          <w:szCs w:val="23"/>
        </w:rPr>
        <w:t>Para cada operación crediticia directa se calcula el atraso medio, el cual es igual a la suma de la morosidad reportada, ponderada cada mes según el inciso c), dividida entre el número de periodos reportados. Se toman en consideración los periodos reportados en los que la operación crediticia directa tenga un saldo total adeudado mayor al monto mínimo indicado en el numeral 1) de este apartado.</w:t>
      </w:r>
    </w:p>
    <w:p w14:paraId="1C526771" w14:textId="77777777" w:rsidR="00576357" w:rsidRPr="00576357" w:rsidRDefault="00576357" w:rsidP="00576357">
      <w:pPr>
        <w:pStyle w:val="Prrafodelista"/>
        <w:ind w:left="854" w:right="51"/>
        <w:jc w:val="both"/>
        <w:rPr>
          <w:rFonts w:asciiTheme="majorHAnsi" w:hAnsiTheme="majorHAnsi" w:cstheme="majorHAnsi"/>
          <w:sz w:val="23"/>
          <w:szCs w:val="23"/>
        </w:rPr>
      </w:pPr>
    </w:p>
    <w:p w14:paraId="4949A7B6" w14:textId="6B7D2A98" w:rsidR="00576357" w:rsidRDefault="009C192E" w:rsidP="00681541">
      <w:pPr>
        <w:pStyle w:val="Prrafodelista"/>
        <w:numPr>
          <w:ilvl w:val="0"/>
          <w:numId w:val="76"/>
        </w:numPr>
        <w:ind w:right="51"/>
        <w:jc w:val="both"/>
        <w:rPr>
          <w:rFonts w:asciiTheme="majorHAnsi" w:hAnsiTheme="majorHAnsi" w:cstheme="majorHAnsi"/>
          <w:sz w:val="23"/>
          <w:szCs w:val="23"/>
        </w:rPr>
      </w:pPr>
      <w:r w:rsidRPr="00576357">
        <w:rPr>
          <w:rFonts w:asciiTheme="majorHAnsi" w:hAnsiTheme="majorHAnsi" w:cstheme="majorHAnsi"/>
          <w:sz w:val="23"/>
          <w:szCs w:val="23"/>
        </w:rPr>
        <w:t>Para cada operación crediticia directa, se calcula la morosidad máxima ponderada en días (calculada en el numeral 3) de este apartado). Se toman en consideración los periodos reportados en los que la operación crediticia directa tenga un saldo total adeudado mayor al monto mínimo indicado en el numeral 1) de este apartado.</w:t>
      </w:r>
    </w:p>
    <w:p w14:paraId="056DD220" w14:textId="77777777" w:rsidR="00576357" w:rsidRPr="00576357" w:rsidRDefault="00576357" w:rsidP="00576357">
      <w:pPr>
        <w:pStyle w:val="Prrafodelista"/>
        <w:rPr>
          <w:rFonts w:asciiTheme="majorHAnsi" w:hAnsiTheme="majorHAnsi" w:cstheme="majorHAnsi"/>
          <w:sz w:val="23"/>
          <w:szCs w:val="23"/>
        </w:rPr>
      </w:pPr>
    </w:p>
    <w:p w14:paraId="65DDB4CC" w14:textId="77777777" w:rsidR="00576357" w:rsidRPr="00576357" w:rsidRDefault="00576357" w:rsidP="00576357">
      <w:pPr>
        <w:pStyle w:val="Prrafodelista"/>
        <w:ind w:left="854" w:right="51"/>
        <w:jc w:val="both"/>
        <w:rPr>
          <w:rFonts w:asciiTheme="majorHAnsi" w:hAnsiTheme="majorHAnsi" w:cstheme="majorHAnsi"/>
          <w:sz w:val="23"/>
          <w:szCs w:val="23"/>
        </w:rPr>
      </w:pPr>
    </w:p>
    <w:p w14:paraId="4C471BF8" w14:textId="4CA1881E" w:rsidR="009C192E" w:rsidRPr="00576357" w:rsidRDefault="009C192E" w:rsidP="00681541">
      <w:pPr>
        <w:pStyle w:val="Prrafodelista"/>
        <w:numPr>
          <w:ilvl w:val="0"/>
          <w:numId w:val="76"/>
        </w:numPr>
        <w:ind w:right="51"/>
        <w:jc w:val="both"/>
        <w:rPr>
          <w:rFonts w:asciiTheme="majorHAnsi" w:hAnsiTheme="majorHAnsi" w:cstheme="majorHAnsi"/>
          <w:sz w:val="23"/>
          <w:szCs w:val="23"/>
        </w:rPr>
      </w:pPr>
      <w:r w:rsidRPr="00576357">
        <w:rPr>
          <w:rFonts w:asciiTheme="majorHAnsi" w:hAnsiTheme="majorHAnsi" w:cstheme="majorHAnsi"/>
          <w:sz w:val="23"/>
          <w:szCs w:val="23"/>
        </w:rPr>
        <w:t xml:space="preserve">Para cada operación crediticia directa se asigna un puntaje al atraso máximo calculado según el numeral 5) de este apartado y al atraso medio calculado según el numeral 4) de este apartado, con base en el siguiente cuadro: </w:t>
      </w:r>
    </w:p>
    <w:tbl>
      <w:tblPr>
        <w:tblStyle w:val="TableGrid"/>
        <w:tblpPr w:leftFromText="141" w:rightFromText="141" w:vertAnchor="text" w:horzAnchor="margin" w:tblpXSpec="center" w:tblpY="228"/>
        <w:tblW w:w="7464" w:type="dxa"/>
        <w:tblInd w:w="0" w:type="dxa"/>
        <w:tblCellMar>
          <w:left w:w="122" w:type="dxa"/>
          <w:right w:w="115" w:type="dxa"/>
        </w:tblCellMar>
        <w:tblLook w:val="04A0" w:firstRow="1" w:lastRow="0" w:firstColumn="1" w:lastColumn="0" w:noHBand="0" w:noVBand="1"/>
      </w:tblPr>
      <w:tblGrid>
        <w:gridCol w:w="1351"/>
        <w:gridCol w:w="3047"/>
        <w:gridCol w:w="3066"/>
      </w:tblGrid>
      <w:tr w:rsidR="009C192E" w:rsidRPr="00576357" w14:paraId="555955A5" w14:textId="77777777" w:rsidTr="00576357">
        <w:trPr>
          <w:trHeight w:val="274"/>
        </w:trPr>
        <w:tc>
          <w:tcPr>
            <w:tcW w:w="1337" w:type="dxa"/>
            <w:tcBorders>
              <w:top w:val="single" w:sz="4" w:space="0" w:color="000000"/>
              <w:left w:val="single" w:sz="4" w:space="0" w:color="000000"/>
              <w:bottom w:val="single" w:sz="4" w:space="0" w:color="000000"/>
              <w:right w:val="single" w:sz="4" w:space="0" w:color="000000"/>
            </w:tcBorders>
            <w:shd w:val="clear" w:color="auto" w:fill="E6E6E6"/>
          </w:tcPr>
          <w:p w14:paraId="5F08CE36" w14:textId="77777777" w:rsidR="009C192E" w:rsidRPr="00576357" w:rsidRDefault="009C192E" w:rsidP="00576357">
            <w:pPr>
              <w:spacing w:before="0" w:after="0"/>
              <w:ind w:right="51" w:hanging="11"/>
              <w:jc w:val="center"/>
              <w:rPr>
                <w:rFonts w:asciiTheme="majorHAnsi" w:hAnsiTheme="majorHAnsi" w:cstheme="majorHAnsi"/>
                <w:i/>
                <w:iCs/>
                <w:sz w:val="23"/>
                <w:szCs w:val="23"/>
              </w:rPr>
            </w:pPr>
            <w:r w:rsidRPr="00576357">
              <w:rPr>
                <w:rFonts w:asciiTheme="majorHAnsi" w:hAnsiTheme="majorHAnsi" w:cstheme="majorHAnsi"/>
                <w:b/>
                <w:i/>
                <w:iCs/>
                <w:sz w:val="23"/>
                <w:szCs w:val="23"/>
              </w:rPr>
              <w:t>PUNTAJE</w:t>
            </w:r>
          </w:p>
        </w:tc>
        <w:tc>
          <w:tcPr>
            <w:tcW w:w="3054" w:type="dxa"/>
            <w:tcBorders>
              <w:top w:val="single" w:sz="4" w:space="0" w:color="000000"/>
              <w:left w:val="single" w:sz="4" w:space="0" w:color="000000"/>
              <w:bottom w:val="single" w:sz="4" w:space="0" w:color="000000"/>
              <w:right w:val="single" w:sz="4" w:space="0" w:color="000000"/>
            </w:tcBorders>
            <w:shd w:val="clear" w:color="auto" w:fill="E6E6E6"/>
          </w:tcPr>
          <w:p w14:paraId="6FDBD4A4" w14:textId="77777777" w:rsidR="009C192E" w:rsidRPr="00576357" w:rsidRDefault="009C192E" w:rsidP="00576357">
            <w:pPr>
              <w:spacing w:before="0" w:after="0"/>
              <w:ind w:right="51" w:hanging="11"/>
              <w:jc w:val="center"/>
              <w:rPr>
                <w:rFonts w:asciiTheme="majorHAnsi" w:hAnsiTheme="majorHAnsi" w:cstheme="majorHAnsi"/>
                <w:i/>
                <w:iCs/>
                <w:sz w:val="23"/>
                <w:szCs w:val="23"/>
              </w:rPr>
            </w:pPr>
            <w:r w:rsidRPr="00576357">
              <w:rPr>
                <w:rFonts w:asciiTheme="majorHAnsi" w:hAnsiTheme="majorHAnsi" w:cstheme="majorHAnsi"/>
                <w:b/>
                <w:i/>
                <w:iCs/>
                <w:sz w:val="23"/>
                <w:szCs w:val="23"/>
              </w:rPr>
              <w:t>Atraso máximo</w:t>
            </w:r>
          </w:p>
        </w:tc>
        <w:tc>
          <w:tcPr>
            <w:tcW w:w="3073" w:type="dxa"/>
            <w:tcBorders>
              <w:top w:val="single" w:sz="4" w:space="0" w:color="000000"/>
              <w:left w:val="single" w:sz="4" w:space="0" w:color="000000"/>
              <w:bottom w:val="single" w:sz="4" w:space="0" w:color="000000"/>
              <w:right w:val="single" w:sz="4" w:space="0" w:color="000000"/>
            </w:tcBorders>
            <w:shd w:val="clear" w:color="auto" w:fill="E6E6E6"/>
          </w:tcPr>
          <w:p w14:paraId="5F798E6A" w14:textId="77777777" w:rsidR="009C192E" w:rsidRPr="00576357" w:rsidRDefault="009C192E" w:rsidP="00576357">
            <w:pPr>
              <w:spacing w:before="0" w:after="0"/>
              <w:ind w:right="51" w:hanging="11"/>
              <w:jc w:val="center"/>
              <w:rPr>
                <w:rFonts w:asciiTheme="majorHAnsi" w:hAnsiTheme="majorHAnsi" w:cstheme="majorHAnsi"/>
                <w:i/>
                <w:iCs/>
                <w:sz w:val="23"/>
                <w:szCs w:val="23"/>
              </w:rPr>
            </w:pPr>
            <w:r w:rsidRPr="00576357">
              <w:rPr>
                <w:rFonts w:asciiTheme="majorHAnsi" w:hAnsiTheme="majorHAnsi" w:cstheme="majorHAnsi"/>
                <w:b/>
                <w:i/>
                <w:iCs/>
                <w:sz w:val="23"/>
                <w:szCs w:val="23"/>
              </w:rPr>
              <w:t>Atraso medio</w:t>
            </w:r>
          </w:p>
        </w:tc>
      </w:tr>
      <w:tr w:rsidR="009C192E" w:rsidRPr="00576357" w14:paraId="31A75C98" w14:textId="77777777" w:rsidTr="00576357">
        <w:trPr>
          <w:trHeight w:val="301"/>
        </w:trPr>
        <w:tc>
          <w:tcPr>
            <w:tcW w:w="1337" w:type="dxa"/>
            <w:tcBorders>
              <w:top w:val="single" w:sz="4" w:space="0" w:color="000000"/>
              <w:left w:val="single" w:sz="4" w:space="0" w:color="000000"/>
              <w:bottom w:val="single" w:sz="4" w:space="0" w:color="000000"/>
              <w:right w:val="single" w:sz="4" w:space="0" w:color="000000"/>
            </w:tcBorders>
            <w:shd w:val="clear" w:color="auto" w:fill="E6E6E6"/>
          </w:tcPr>
          <w:p w14:paraId="5F376C50" w14:textId="77777777" w:rsidR="009C192E" w:rsidRPr="00576357" w:rsidRDefault="009C192E" w:rsidP="00576357">
            <w:pPr>
              <w:spacing w:before="0" w:after="0"/>
              <w:ind w:right="51" w:hanging="11"/>
              <w:jc w:val="center"/>
              <w:rPr>
                <w:rFonts w:asciiTheme="majorHAnsi" w:hAnsiTheme="majorHAnsi" w:cstheme="majorHAnsi"/>
                <w:i/>
                <w:iCs/>
                <w:sz w:val="23"/>
                <w:szCs w:val="23"/>
              </w:rPr>
            </w:pPr>
            <w:r w:rsidRPr="00576357">
              <w:rPr>
                <w:rFonts w:asciiTheme="majorHAnsi" w:hAnsiTheme="majorHAnsi" w:cstheme="majorHAnsi"/>
                <w:b/>
                <w:i/>
                <w:iCs/>
                <w:sz w:val="23"/>
                <w:szCs w:val="23"/>
              </w:rPr>
              <w:t>1</w:t>
            </w:r>
          </w:p>
        </w:tc>
        <w:tc>
          <w:tcPr>
            <w:tcW w:w="3054" w:type="dxa"/>
            <w:tcBorders>
              <w:top w:val="single" w:sz="4" w:space="0" w:color="000000"/>
              <w:left w:val="single" w:sz="4" w:space="0" w:color="000000"/>
              <w:bottom w:val="single" w:sz="4" w:space="0" w:color="000000"/>
              <w:right w:val="single" w:sz="4" w:space="0" w:color="000000"/>
            </w:tcBorders>
          </w:tcPr>
          <w:p w14:paraId="6C431CF1" w14:textId="77777777" w:rsidR="009C192E" w:rsidRPr="00576357" w:rsidRDefault="009C192E" w:rsidP="00576357">
            <w:pPr>
              <w:spacing w:before="0" w:after="0"/>
              <w:ind w:right="51" w:hanging="11"/>
              <w:rPr>
                <w:rFonts w:asciiTheme="majorHAnsi" w:hAnsiTheme="majorHAnsi" w:cstheme="majorHAnsi"/>
                <w:i/>
                <w:iCs/>
                <w:sz w:val="23"/>
                <w:szCs w:val="23"/>
              </w:rPr>
            </w:pPr>
            <w:r w:rsidRPr="00576357">
              <w:rPr>
                <w:rFonts w:asciiTheme="majorHAnsi" w:hAnsiTheme="majorHAnsi" w:cstheme="majorHAnsi"/>
                <w:i/>
                <w:iCs/>
                <w:sz w:val="23"/>
                <w:szCs w:val="23"/>
              </w:rPr>
              <w:t xml:space="preserve">hasta 30 días </w:t>
            </w:r>
          </w:p>
        </w:tc>
        <w:tc>
          <w:tcPr>
            <w:tcW w:w="3073" w:type="dxa"/>
            <w:tcBorders>
              <w:top w:val="single" w:sz="4" w:space="0" w:color="000000"/>
              <w:left w:val="single" w:sz="4" w:space="0" w:color="000000"/>
              <w:bottom w:val="single" w:sz="4" w:space="0" w:color="000000"/>
              <w:right w:val="single" w:sz="4" w:space="0" w:color="000000"/>
            </w:tcBorders>
          </w:tcPr>
          <w:p w14:paraId="65BA2842" w14:textId="77777777" w:rsidR="009C192E" w:rsidRPr="00576357" w:rsidRDefault="009C192E" w:rsidP="00576357">
            <w:pPr>
              <w:spacing w:before="0" w:after="0"/>
              <w:ind w:right="51" w:hanging="11"/>
              <w:rPr>
                <w:rFonts w:asciiTheme="majorHAnsi" w:hAnsiTheme="majorHAnsi" w:cstheme="majorHAnsi"/>
                <w:i/>
                <w:iCs/>
                <w:sz w:val="23"/>
                <w:szCs w:val="23"/>
              </w:rPr>
            </w:pPr>
            <w:r w:rsidRPr="00576357">
              <w:rPr>
                <w:rFonts w:asciiTheme="majorHAnsi" w:hAnsiTheme="majorHAnsi" w:cstheme="majorHAnsi"/>
                <w:i/>
                <w:iCs/>
                <w:sz w:val="23"/>
                <w:szCs w:val="23"/>
              </w:rPr>
              <w:t xml:space="preserve">hasta 10 días </w:t>
            </w:r>
          </w:p>
        </w:tc>
      </w:tr>
      <w:tr w:rsidR="009C192E" w:rsidRPr="00576357" w14:paraId="109E0573" w14:textId="77777777" w:rsidTr="00576357">
        <w:trPr>
          <w:trHeight w:val="274"/>
        </w:trPr>
        <w:tc>
          <w:tcPr>
            <w:tcW w:w="1337" w:type="dxa"/>
            <w:tcBorders>
              <w:top w:val="single" w:sz="4" w:space="0" w:color="000000"/>
              <w:left w:val="single" w:sz="4" w:space="0" w:color="000000"/>
              <w:bottom w:val="single" w:sz="4" w:space="0" w:color="000000"/>
              <w:right w:val="single" w:sz="4" w:space="0" w:color="000000"/>
            </w:tcBorders>
            <w:shd w:val="clear" w:color="auto" w:fill="E6E6E6"/>
          </w:tcPr>
          <w:p w14:paraId="7C980D47" w14:textId="77777777" w:rsidR="009C192E" w:rsidRPr="00576357" w:rsidRDefault="009C192E" w:rsidP="00576357">
            <w:pPr>
              <w:spacing w:before="0" w:after="0"/>
              <w:ind w:right="51" w:hanging="11"/>
              <w:jc w:val="center"/>
              <w:rPr>
                <w:rFonts w:asciiTheme="majorHAnsi" w:hAnsiTheme="majorHAnsi" w:cstheme="majorHAnsi"/>
                <w:i/>
                <w:iCs/>
                <w:sz w:val="23"/>
                <w:szCs w:val="23"/>
              </w:rPr>
            </w:pPr>
            <w:r w:rsidRPr="00576357">
              <w:rPr>
                <w:rFonts w:asciiTheme="majorHAnsi" w:hAnsiTheme="majorHAnsi" w:cstheme="majorHAnsi"/>
                <w:b/>
                <w:i/>
                <w:iCs/>
                <w:sz w:val="23"/>
                <w:szCs w:val="23"/>
              </w:rPr>
              <w:t>2</w:t>
            </w:r>
          </w:p>
        </w:tc>
        <w:tc>
          <w:tcPr>
            <w:tcW w:w="3054" w:type="dxa"/>
            <w:tcBorders>
              <w:top w:val="single" w:sz="4" w:space="0" w:color="000000"/>
              <w:left w:val="single" w:sz="4" w:space="0" w:color="000000"/>
              <w:bottom w:val="single" w:sz="4" w:space="0" w:color="000000"/>
              <w:right w:val="single" w:sz="4" w:space="0" w:color="000000"/>
            </w:tcBorders>
          </w:tcPr>
          <w:p w14:paraId="704269BB" w14:textId="77777777" w:rsidR="009C192E" w:rsidRPr="00576357" w:rsidRDefault="009C192E" w:rsidP="00576357">
            <w:pPr>
              <w:spacing w:before="0" w:after="0"/>
              <w:ind w:right="51" w:hanging="11"/>
              <w:rPr>
                <w:rFonts w:asciiTheme="majorHAnsi" w:hAnsiTheme="majorHAnsi" w:cstheme="majorHAnsi"/>
                <w:i/>
                <w:iCs/>
                <w:sz w:val="23"/>
                <w:szCs w:val="23"/>
              </w:rPr>
            </w:pPr>
            <w:r w:rsidRPr="00576357">
              <w:rPr>
                <w:rFonts w:asciiTheme="majorHAnsi" w:hAnsiTheme="majorHAnsi" w:cstheme="majorHAnsi"/>
                <w:i/>
                <w:iCs/>
                <w:sz w:val="23"/>
                <w:szCs w:val="23"/>
              </w:rPr>
              <w:t xml:space="preserve">más de 30 y hasta 60 días </w:t>
            </w:r>
          </w:p>
        </w:tc>
        <w:tc>
          <w:tcPr>
            <w:tcW w:w="3073" w:type="dxa"/>
            <w:tcBorders>
              <w:top w:val="single" w:sz="4" w:space="0" w:color="000000"/>
              <w:left w:val="single" w:sz="4" w:space="0" w:color="000000"/>
              <w:bottom w:val="single" w:sz="4" w:space="0" w:color="000000"/>
              <w:right w:val="single" w:sz="4" w:space="0" w:color="000000"/>
            </w:tcBorders>
          </w:tcPr>
          <w:p w14:paraId="3EDF1E66" w14:textId="77777777" w:rsidR="009C192E" w:rsidRPr="00576357" w:rsidRDefault="009C192E" w:rsidP="00576357">
            <w:pPr>
              <w:spacing w:before="0" w:after="0"/>
              <w:ind w:right="51" w:hanging="11"/>
              <w:rPr>
                <w:rFonts w:asciiTheme="majorHAnsi" w:hAnsiTheme="majorHAnsi" w:cstheme="majorHAnsi"/>
                <w:i/>
                <w:iCs/>
                <w:sz w:val="23"/>
                <w:szCs w:val="23"/>
              </w:rPr>
            </w:pPr>
            <w:r w:rsidRPr="00576357">
              <w:rPr>
                <w:rFonts w:asciiTheme="majorHAnsi" w:hAnsiTheme="majorHAnsi" w:cstheme="majorHAnsi"/>
                <w:i/>
                <w:iCs/>
                <w:sz w:val="23"/>
                <w:szCs w:val="23"/>
              </w:rPr>
              <w:t xml:space="preserve">más de 10 y hasta 20 días </w:t>
            </w:r>
          </w:p>
        </w:tc>
      </w:tr>
      <w:tr w:rsidR="009C192E" w:rsidRPr="00576357" w14:paraId="1D2701AF" w14:textId="77777777" w:rsidTr="00576357">
        <w:trPr>
          <w:trHeight w:val="274"/>
        </w:trPr>
        <w:tc>
          <w:tcPr>
            <w:tcW w:w="1337" w:type="dxa"/>
            <w:tcBorders>
              <w:top w:val="single" w:sz="4" w:space="0" w:color="000000"/>
              <w:left w:val="single" w:sz="4" w:space="0" w:color="000000"/>
              <w:bottom w:val="single" w:sz="4" w:space="0" w:color="000000"/>
              <w:right w:val="single" w:sz="4" w:space="0" w:color="000000"/>
            </w:tcBorders>
            <w:shd w:val="clear" w:color="auto" w:fill="E6E6E6"/>
          </w:tcPr>
          <w:p w14:paraId="1943D0D1" w14:textId="77777777" w:rsidR="009C192E" w:rsidRPr="00576357" w:rsidRDefault="009C192E" w:rsidP="00576357">
            <w:pPr>
              <w:spacing w:before="0" w:after="0"/>
              <w:ind w:right="51" w:hanging="11"/>
              <w:jc w:val="center"/>
              <w:rPr>
                <w:rFonts w:asciiTheme="majorHAnsi" w:hAnsiTheme="majorHAnsi" w:cstheme="majorHAnsi"/>
                <w:i/>
                <w:iCs/>
                <w:sz w:val="23"/>
                <w:szCs w:val="23"/>
              </w:rPr>
            </w:pPr>
            <w:r w:rsidRPr="00576357">
              <w:rPr>
                <w:rFonts w:asciiTheme="majorHAnsi" w:hAnsiTheme="majorHAnsi" w:cstheme="majorHAnsi"/>
                <w:b/>
                <w:i/>
                <w:iCs/>
                <w:sz w:val="23"/>
                <w:szCs w:val="23"/>
              </w:rPr>
              <w:t>3</w:t>
            </w:r>
          </w:p>
        </w:tc>
        <w:tc>
          <w:tcPr>
            <w:tcW w:w="3054" w:type="dxa"/>
            <w:tcBorders>
              <w:top w:val="single" w:sz="4" w:space="0" w:color="000000"/>
              <w:left w:val="single" w:sz="4" w:space="0" w:color="000000"/>
              <w:bottom w:val="single" w:sz="4" w:space="0" w:color="000000"/>
              <w:right w:val="single" w:sz="4" w:space="0" w:color="000000"/>
            </w:tcBorders>
          </w:tcPr>
          <w:p w14:paraId="59AE92B4" w14:textId="77777777" w:rsidR="009C192E" w:rsidRPr="00576357" w:rsidRDefault="009C192E" w:rsidP="00576357">
            <w:pPr>
              <w:spacing w:before="0" w:after="0"/>
              <w:ind w:right="51" w:hanging="11"/>
              <w:rPr>
                <w:rFonts w:asciiTheme="majorHAnsi" w:hAnsiTheme="majorHAnsi" w:cstheme="majorHAnsi"/>
                <w:i/>
                <w:iCs/>
                <w:sz w:val="23"/>
                <w:szCs w:val="23"/>
              </w:rPr>
            </w:pPr>
            <w:r w:rsidRPr="00576357">
              <w:rPr>
                <w:rFonts w:asciiTheme="majorHAnsi" w:hAnsiTheme="majorHAnsi" w:cstheme="majorHAnsi"/>
                <w:i/>
                <w:iCs/>
                <w:sz w:val="23"/>
                <w:szCs w:val="23"/>
              </w:rPr>
              <w:t xml:space="preserve">más de 60 y hasta 90 días </w:t>
            </w:r>
          </w:p>
        </w:tc>
        <w:tc>
          <w:tcPr>
            <w:tcW w:w="3073" w:type="dxa"/>
            <w:tcBorders>
              <w:top w:val="single" w:sz="4" w:space="0" w:color="000000"/>
              <w:left w:val="single" w:sz="4" w:space="0" w:color="000000"/>
              <w:bottom w:val="single" w:sz="4" w:space="0" w:color="000000"/>
              <w:right w:val="single" w:sz="4" w:space="0" w:color="000000"/>
            </w:tcBorders>
          </w:tcPr>
          <w:p w14:paraId="193EE6C0" w14:textId="77777777" w:rsidR="009C192E" w:rsidRPr="00576357" w:rsidRDefault="009C192E" w:rsidP="00576357">
            <w:pPr>
              <w:spacing w:before="0" w:after="0"/>
              <w:ind w:right="51" w:hanging="11"/>
              <w:rPr>
                <w:rFonts w:asciiTheme="majorHAnsi" w:hAnsiTheme="majorHAnsi" w:cstheme="majorHAnsi"/>
                <w:i/>
                <w:iCs/>
                <w:sz w:val="23"/>
                <w:szCs w:val="23"/>
              </w:rPr>
            </w:pPr>
            <w:r w:rsidRPr="00576357">
              <w:rPr>
                <w:rFonts w:asciiTheme="majorHAnsi" w:hAnsiTheme="majorHAnsi" w:cstheme="majorHAnsi"/>
                <w:i/>
                <w:iCs/>
                <w:sz w:val="23"/>
                <w:szCs w:val="23"/>
              </w:rPr>
              <w:t xml:space="preserve">más de 20 y hasta 30 días </w:t>
            </w:r>
          </w:p>
        </w:tc>
      </w:tr>
      <w:tr w:rsidR="009C192E" w:rsidRPr="00576357" w14:paraId="2ADE299E" w14:textId="77777777" w:rsidTr="00576357">
        <w:trPr>
          <w:trHeight w:val="274"/>
        </w:trPr>
        <w:tc>
          <w:tcPr>
            <w:tcW w:w="1337" w:type="dxa"/>
            <w:tcBorders>
              <w:top w:val="single" w:sz="4" w:space="0" w:color="000000"/>
              <w:left w:val="single" w:sz="4" w:space="0" w:color="000000"/>
              <w:bottom w:val="single" w:sz="4" w:space="0" w:color="000000"/>
              <w:right w:val="single" w:sz="4" w:space="0" w:color="000000"/>
            </w:tcBorders>
            <w:shd w:val="clear" w:color="auto" w:fill="E6E6E6"/>
          </w:tcPr>
          <w:p w14:paraId="7C78574F" w14:textId="77777777" w:rsidR="009C192E" w:rsidRPr="00576357" w:rsidRDefault="009C192E" w:rsidP="00576357">
            <w:pPr>
              <w:spacing w:before="0" w:after="0"/>
              <w:ind w:right="51" w:hanging="11"/>
              <w:jc w:val="center"/>
              <w:rPr>
                <w:rFonts w:asciiTheme="majorHAnsi" w:hAnsiTheme="majorHAnsi" w:cstheme="majorHAnsi"/>
                <w:i/>
                <w:iCs/>
                <w:sz w:val="23"/>
                <w:szCs w:val="23"/>
              </w:rPr>
            </w:pPr>
            <w:r w:rsidRPr="00576357">
              <w:rPr>
                <w:rFonts w:asciiTheme="majorHAnsi" w:hAnsiTheme="majorHAnsi" w:cstheme="majorHAnsi"/>
                <w:b/>
                <w:i/>
                <w:iCs/>
                <w:sz w:val="23"/>
                <w:szCs w:val="23"/>
              </w:rPr>
              <w:t>4</w:t>
            </w:r>
          </w:p>
        </w:tc>
        <w:tc>
          <w:tcPr>
            <w:tcW w:w="3054" w:type="dxa"/>
            <w:tcBorders>
              <w:top w:val="single" w:sz="4" w:space="0" w:color="000000"/>
              <w:left w:val="single" w:sz="4" w:space="0" w:color="000000"/>
              <w:bottom w:val="single" w:sz="4" w:space="0" w:color="000000"/>
              <w:right w:val="single" w:sz="4" w:space="0" w:color="000000"/>
            </w:tcBorders>
          </w:tcPr>
          <w:p w14:paraId="2FBA6F81" w14:textId="77777777" w:rsidR="009C192E" w:rsidRPr="00576357" w:rsidRDefault="009C192E" w:rsidP="00576357">
            <w:pPr>
              <w:spacing w:before="0" w:after="0"/>
              <w:ind w:right="51" w:hanging="11"/>
              <w:rPr>
                <w:rFonts w:asciiTheme="majorHAnsi" w:hAnsiTheme="majorHAnsi" w:cstheme="majorHAnsi"/>
                <w:i/>
                <w:iCs/>
                <w:sz w:val="23"/>
                <w:szCs w:val="23"/>
              </w:rPr>
            </w:pPr>
            <w:r w:rsidRPr="00576357">
              <w:rPr>
                <w:rFonts w:asciiTheme="majorHAnsi" w:hAnsiTheme="majorHAnsi" w:cstheme="majorHAnsi"/>
                <w:i/>
                <w:iCs/>
                <w:sz w:val="23"/>
                <w:szCs w:val="23"/>
              </w:rPr>
              <w:t xml:space="preserve">más de 90 y hasta 120 días </w:t>
            </w:r>
          </w:p>
        </w:tc>
        <w:tc>
          <w:tcPr>
            <w:tcW w:w="3073" w:type="dxa"/>
            <w:tcBorders>
              <w:top w:val="single" w:sz="4" w:space="0" w:color="000000"/>
              <w:left w:val="single" w:sz="4" w:space="0" w:color="000000"/>
              <w:bottom w:val="single" w:sz="4" w:space="0" w:color="000000"/>
              <w:right w:val="single" w:sz="4" w:space="0" w:color="000000"/>
            </w:tcBorders>
          </w:tcPr>
          <w:p w14:paraId="1E5480CE" w14:textId="77777777" w:rsidR="009C192E" w:rsidRPr="00576357" w:rsidRDefault="009C192E" w:rsidP="00576357">
            <w:pPr>
              <w:spacing w:before="0" w:after="0"/>
              <w:ind w:right="51" w:hanging="11"/>
              <w:rPr>
                <w:rFonts w:asciiTheme="majorHAnsi" w:hAnsiTheme="majorHAnsi" w:cstheme="majorHAnsi"/>
                <w:i/>
                <w:iCs/>
                <w:sz w:val="23"/>
                <w:szCs w:val="23"/>
              </w:rPr>
            </w:pPr>
            <w:r w:rsidRPr="00576357">
              <w:rPr>
                <w:rFonts w:asciiTheme="majorHAnsi" w:hAnsiTheme="majorHAnsi" w:cstheme="majorHAnsi"/>
                <w:i/>
                <w:iCs/>
                <w:sz w:val="23"/>
                <w:szCs w:val="23"/>
              </w:rPr>
              <w:t xml:space="preserve">más de 30 y hasta 40 días </w:t>
            </w:r>
          </w:p>
        </w:tc>
      </w:tr>
      <w:tr w:rsidR="009C192E" w:rsidRPr="00576357" w14:paraId="786515C4" w14:textId="77777777" w:rsidTr="00576357">
        <w:trPr>
          <w:trHeight w:val="274"/>
        </w:trPr>
        <w:tc>
          <w:tcPr>
            <w:tcW w:w="1337" w:type="dxa"/>
            <w:tcBorders>
              <w:top w:val="single" w:sz="4" w:space="0" w:color="000000"/>
              <w:left w:val="single" w:sz="4" w:space="0" w:color="000000"/>
              <w:bottom w:val="single" w:sz="4" w:space="0" w:color="000000"/>
              <w:right w:val="single" w:sz="4" w:space="0" w:color="000000"/>
            </w:tcBorders>
            <w:shd w:val="clear" w:color="auto" w:fill="E6E6E6"/>
          </w:tcPr>
          <w:p w14:paraId="27EF5084" w14:textId="77777777" w:rsidR="009C192E" w:rsidRPr="00576357" w:rsidRDefault="009C192E" w:rsidP="00576357">
            <w:pPr>
              <w:spacing w:before="0" w:after="0"/>
              <w:ind w:right="51" w:hanging="11"/>
              <w:jc w:val="center"/>
              <w:rPr>
                <w:rFonts w:asciiTheme="majorHAnsi" w:hAnsiTheme="majorHAnsi" w:cstheme="majorHAnsi"/>
                <w:i/>
                <w:iCs/>
                <w:sz w:val="23"/>
                <w:szCs w:val="23"/>
              </w:rPr>
            </w:pPr>
            <w:r w:rsidRPr="00576357">
              <w:rPr>
                <w:rFonts w:asciiTheme="majorHAnsi" w:hAnsiTheme="majorHAnsi" w:cstheme="majorHAnsi"/>
                <w:b/>
                <w:i/>
                <w:iCs/>
                <w:sz w:val="23"/>
                <w:szCs w:val="23"/>
              </w:rPr>
              <w:t>5</w:t>
            </w:r>
          </w:p>
        </w:tc>
        <w:tc>
          <w:tcPr>
            <w:tcW w:w="3054" w:type="dxa"/>
            <w:tcBorders>
              <w:top w:val="single" w:sz="4" w:space="0" w:color="000000"/>
              <w:left w:val="single" w:sz="4" w:space="0" w:color="000000"/>
              <w:bottom w:val="single" w:sz="4" w:space="0" w:color="000000"/>
              <w:right w:val="single" w:sz="4" w:space="0" w:color="000000"/>
            </w:tcBorders>
          </w:tcPr>
          <w:p w14:paraId="22F0A1AF" w14:textId="77777777" w:rsidR="009C192E" w:rsidRPr="00576357" w:rsidRDefault="009C192E" w:rsidP="00576357">
            <w:pPr>
              <w:spacing w:before="0" w:after="0"/>
              <w:ind w:right="51" w:hanging="11"/>
              <w:rPr>
                <w:rFonts w:asciiTheme="majorHAnsi" w:hAnsiTheme="majorHAnsi" w:cstheme="majorHAnsi"/>
                <w:i/>
                <w:iCs/>
                <w:sz w:val="23"/>
                <w:szCs w:val="23"/>
              </w:rPr>
            </w:pPr>
            <w:r w:rsidRPr="00576357">
              <w:rPr>
                <w:rFonts w:asciiTheme="majorHAnsi" w:hAnsiTheme="majorHAnsi" w:cstheme="majorHAnsi"/>
                <w:i/>
                <w:iCs/>
                <w:sz w:val="23"/>
                <w:szCs w:val="23"/>
              </w:rPr>
              <w:t xml:space="preserve">más de 120 días </w:t>
            </w:r>
          </w:p>
        </w:tc>
        <w:tc>
          <w:tcPr>
            <w:tcW w:w="3073" w:type="dxa"/>
            <w:tcBorders>
              <w:top w:val="single" w:sz="4" w:space="0" w:color="000000"/>
              <w:left w:val="single" w:sz="4" w:space="0" w:color="000000"/>
              <w:bottom w:val="single" w:sz="4" w:space="0" w:color="000000"/>
              <w:right w:val="single" w:sz="4" w:space="0" w:color="000000"/>
            </w:tcBorders>
          </w:tcPr>
          <w:p w14:paraId="0477863A" w14:textId="77777777" w:rsidR="009C192E" w:rsidRPr="00576357" w:rsidRDefault="009C192E" w:rsidP="00576357">
            <w:pPr>
              <w:spacing w:before="0" w:after="0"/>
              <w:ind w:right="51" w:hanging="11"/>
              <w:rPr>
                <w:rFonts w:asciiTheme="majorHAnsi" w:hAnsiTheme="majorHAnsi" w:cstheme="majorHAnsi"/>
                <w:i/>
                <w:iCs/>
                <w:sz w:val="23"/>
                <w:szCs w:val="23"/>
              </w:rPr>
            </w:pPr>
            <w:r w:rsidRPr="00576357">
              <w:rPr>
                <w:rFonts w:asciiTheme="majorHAnsi" w:hAnsiTheme="majorHAnsi" w:cstheme="majorHAnsi"/>
                <w:i/>
                <w:iCs/>
                <w:sz w:val="23"/>
                <w:szCs w:val="23"/>
              </w:rPr>
              <w:t xml:space="preserve">más de 40 días </w:t>
            </w:r>
          </w:p>
        </w:tc>
      </w:tr>
    </w:tbl>
    <w:p w14:paraId="5900F0F8" w14:textId="77777777" w:rsidR="009C192E" w:rsidRPr="00576357" w:rsidRDefault="009C192E" w:rsidP="009C192E">
      <w:pPr>
        <w:pStyle w:val="Prrafodelista"/>
        <w:spacing w:after="240"/>
        <w:ind w:left="1134" w:right="51"/>
        <w:contextualSpacing w:val="0"/>
        <w:jc w:val="both"/>
        <w:rPr>
          <w:rFonts w:asciiTheme="majorHAnsi" w:hAnsiTheme="majorHAnsi" w:cstheme="majorHAnsi"/>
          <w:sz w:val="23"/>
          <w:szCs w:val="23"/>
        </w:rPr>
      </w:pPr>
    </w:p>
    <w:p w14:paraId="1429422C" w14:textId="77777777" w:rsidR="009C192E" w:rsidRPr="00576357" w:rsidRDefault="009C192E" w:rsidP="009C192E">
      <w:pPr>
        <w:pStyle w:val="Prrafodelista"/>
        <w:spacing w:after="240"/>
        <w:ind w:left="1134" w:right="51"/>
        <w:contextualSpacing w:val="0"/>
        <w:jc w:val="both"/>
        <w:rPr>
          <w:rFonts w:asciiTheme="majorHAnsi" w:hAnsiTheme="majorHAnsi" w:cstheme="majorHAnsi"/>
          <w:sz w:val="23"/>
          <w:szCs w:val="23"/>
        </w:rPr>
      </w:pPr>
    </w:p>
    <w:p w14:paraId="0DDC50ED" w14:textId="77777777" w:rsidR="009C192E" w:rsidRPr="00576357" w:rsidRDefault="009C192E" w:rsidP="009C192E">
      <w:pPr>
        <w:pStyle w:val="Prrafodelista"/>
        <w:spacing w:after="240"/>
        <w:ind w:left="1134" w:right="51"/>
        <w:contextualSpacing w:val="0"/>
        <w:jc w:val="both"/>
        <w:rPr>
          <w:rFonts w:asciiTheme="majorHAnsi" w:hAnsiTheme="majorHAnsi" w:cstheme="majorHAnsi"/>
          <w:sz w:val="23"/>
          <w:szCs w:val="23"/>
        </w:rPr>
      </w:pPr>
    </w:p>
    <w:p w14:paraId="58195DC0" w14:textId="77777777" w:rsidR="009C192E" w:rsidRDefault="009C192E" w:rsidP="009C192E">
      <w:pPr>
        <w:pStyle w:val="Prrafodelista"/>
        <w:spacing w:after="240"/>
        <w:ind w:left="1134" w:right="51"/>
        <w:contextualSpacing w:val="0"/>
        <w:jc w:val="both"/>
        <w:rPr>
          <w:rFonts w:asciiTheme="majorHAnsi" w:hAnsiTheme="majorHAnsi" w:cstheme="majorHAnsi"/>
          <w:sz w:val="23"/>
          <w:szCs w:val="23"/>
        </w:rPr>
      </w:pPr>
    </w:p>
    <w:p w14:paraId="73DF5DFD" w14:textId="77777777" w:rsidR="00576357" w:rsidRPr="00576357" w:rsidRDefault="00576357" w:rsidP="009C192E">
      <w:pPr>
        <w:pStyle w:val="Prrafodelista"/>
        <w:spacing w:after="240"/>
        <w:ind w:left="1134" w:right="51"/>
        <w:contextualSpacing w:val="0"/>
        <w:jc w:val="both"/>
        <w:rPr>
          <w:rFonts w:asciiTheme="majorHAnsi" w:hAnsiTheme="majorHAnsi" w:cstheme="majorHAnsi"/>
          <w:sz w:val="23"/>
          <w:szCs w:val="23"/>
        </w:rPr>
      </w:pPr>
    </w:p>
    <w:p w14:paraId="602E7DCB" w14:textId="658D4158" w:rsidR="009C192E" w:rsidRDefault="009C192E" w:rsidP="00681541">
      <w:pPr>
        <w:pStyle w:val="Prrafodelista"/>
        <w:numPr>
          <w:ilvl w:val="0"/>
          <w:numId w:val="76"/>
        </w:numPr>
        <w:ind w:right="51"/>
        <w:jc w:val="both"/>
        <w:rPr>
          <w:rFonts w:asciiTheme="majorHAnsi" w:hAnsiTheme="majorHAnsi" w:cstheme="majorHAnsi"/>
          <w:sz w:val="23"/>
          <w:szCs w:val="23"/>
        </w:rPr>
      </w:pPr>
      <w:r w:rsidRPr="00576357">
        <w:rPr>
          <w:rFonts w:asciiTheme="majorHAnsi" w:hAnsiTheme="majorHAnsi" w:cstheme="majorHAnsi"/>
          <w:sz w:val="23"/>
          <w:szCs w:val="23"/>
        </w:rPr>
        <w:t>Para cada operación crediticia directa se calcula el promedio simple del puntaje asignado al atraso máximo y al atraso medio, el cual resulta en un puntaje para cada operación crediticia directa, con un valor entre uno y cinco.</w:t>
      </w:r>
    </w:p>
    <w:p w14:paraId="0D8EEBCC" w14:textId="77777777" w:rsidR="00576357" w:rsidRDefault="00576357" w:rsidP="00576357">
      <w:pPr>
        <w:pStyle w:val="Prrafodelista"/>
        <w:ind w:left="854" w:right="51"/>
        <w:jc w:val="both"/>
        <w:rPr>
          <w:rFonts w:asciiTheme="majorHAnsi" w:hAnsiTheme="majorHAnsi" w:cstheme="majorHAnsi"/>
          <w:sz w:val="23"/>
          <w:szCs w:val="23"/>
        </w:rPr>
      </w:pPr>
    </w:p>
    <w:p w14:paraId="37B722C9" w14:textId="6DC72CDF" w:rsidR="00576357" w:rsidRDefault="009C192E" w:rsidP="00681541">
      <w:pPr>
        <w:pStyle w:val="Prrafodelista"/>
        <w:numPr>
          <w:ilvl w:val="0"/>
          <w:numId w:val="76"/>
        </w:numPr>
        <w:ind w:right="51"/>
        <w:jc w:val="both"/>
        <w:rPr>
          <w:rFonts w:asciiTheme="majorHAnsi" w:hAnsiTheme="majorHAnsi" w:cstheme="majorHAnsi"/>
          <w:sz w:val="23"/>
          <w:szCs w:val="23"/>
        </w:rPr>
      </w:pPr>
      <w:r w:rsidRPr="00576357">
        <w:rPr>
          <w:rFonts w:asciiTheme="majorHAnsi" w:hAnsiTheme="majorHAnsi" w:cstheme="majorHAnsi"/>
          <w:sz w:val="23"/>
          <w:szCs w:val="23"/>
        </w:rPr>
        <w:lastRenderedPageBreak/>
        <w:t>El puntaje obtenido se pondera según el porcentaje que represente el Saldo Total Adeudado de la operación crediticia directa, o el monto máximo autorizado en el caso de tarjetas de crédito, respecto a la suma de los saldos totales adeudados del deudor reportados en el Centro de Información Crediticia (CIC), a la fecha de cálculo. Se toman en consideración las operaciones crediticias directas a que se refiere el numeral 1) de este apartado.  Como resultado se obtiene el puntaje final del deudor como un valor entre uno y cinco.</w:t>
      </w:r>
    </w:p>
    <w:p w14:paraId="0EF81398" w14:textId="77777777" w:rsidR="00576357" w:rsidRPr="00576357" w:rsidRDefault="00576357" w:rsidP="00576357">
      <w:pPr>
        <w:pStyle w:val="Prrafodelista"/>
        <w:rPr>
          <w:rFonts w:asciiTheme="majorHAnsi" w:hAnsiTheme="majorHAnsi" w:cstheme="majorHAnsi"/>
          <w:sz w:val="23"/>
          <w:szCs w:val="23"/>
        </w:rPr>
      </w:pPr>
    </w:p>
    <w:p w14:paraId="6DA93235" w14:textId="77777777" w:rsidR="00576357" w:rsidRPr="00576357" w:rsidRDefault="00576357" w:rsidP="00576357">
      <w:pPr>
        <w:pStyle w:val="Prrafodelista"/>
        <w:ind w:left="854" w:right="51"/>
        <w:jc w:val="both"/>
        <w:rPr>
          <w:rFonts w:asciiTheme="majorHAnsi" w:hAnsiTheme="majorHAnsi" w:cstheme="majorHAnsi"/>
          <w:sz w:val="23"/>
          <w:szCs w:val="23"/>
        </w:rPr>
      </w:pPr>
    </w:p>
    <w:p w14:paraId="00FC357F" w14:textId="6A2C9DF8" w:rsidR="009C192E" w:rsidRDefault="009C192E" w:rsidP="00681541">
      <w:pPr>
        <w:pStyle w:val="Prrafodelista"/>
        <w:numPr>
          <w:ilvl w:val="0"/>
          <w:numId w:val="76"/>
        </w:numPr>
        <w:ind w:right="51"/>
        <w:jc w:val="both"/>
        <w:rPr>
          <w:rFonts w:asciiTheme="majorHAnsi" w:hAnsiTheme="majorHAnsi" w:cstheme="majorHAnsi"/>
          <w:sz w:val="23"/>
          <w:szCs w:val="23"/>
        </w:rPr>
      </w:pPr>
      <w:r w:rsidRPr="00576357">
        <w:rPr>
          <w:rFonts w:asciiTheme="majorHAnsi" w:hAnsiTheme="majorHAnsi" w:cstheme="majorHAnsi"/>
          <w:sz w:val="23"/>
          <w:szCs w:val="23"/>
        </w:rPr>
        <w:t>El resultado obtenido en el numeral 8) de este apartado determina el puntaje final de CPH del deudor.</w:t>
      </w:r>
    </w:p>
    <w:p w14:paraId="7E8C21D4" w14:textId="77777777" w:rsidR="00576357" w:rsidRPr="00576357" w:rsidRDefault="00576357" w:rsidP="00576357">
      <w:pPr>
        <w:pStyle w:val="Prrafodelista"/>
        <w:ind w:left="854" w:right="51"/>
        <w:jc w:val="both"/>
        <w:rPr>
          <w:rFonts w:asciiTheme="majorHAnsi" w:hAnsiTheme="majorHAnsi" w:cstheme="majorHAnsi"/>
          <w:sz w:val="23"/>
          <w:szCs w:val="23"/>
        </w:rPr>
      </w:pPr>
    </w:p>
    <w:p w14:paraId="669CE7EE" w14:textId="77777777" w:rsidR="009C192E" w:rsidRPr="00576357" w:rsidRDefault="009C192E" w:rsidP="00681541">
      <w:pPr>
        <w:pStyle w:val="Ttulo2"/>
        <w:numPr>
          <w:ilvl w:val="0"/>
          <w:numId w:val="36"/>
        </w:numPr>
        <w:ind w:left="567" w:hanging="578"/>
        <w:rPr>
          <w:rFonts w:asciiTheme="majorHAnsi" w:hAnsiTheme="majorHAnsi" w:cstheme="majorHAnsi"/>
          <w:sz w:val="23"/>
          <w:szCs w:val="23"/>
        </w:rPr>
      </w:pPr>
      <w:bookmarkStart w:id="10" w:name="_Toc227326021"/>
      <w:r w:rsidRPr="00576357">
        <w:rPr>
          <w:rFonts w:asciiTheme="majorHAnsi" w:hAnsiTheme="majorHAnsi" w:cstheme="majorHAnsi"/>
          <w:sz w:val="23"/>
          <w:szCs w:val="23"/>
        </w:rPr>
        <w:t>Nivel de CPH según SUGEF</w:t>
      </w:r>
      <w:bookmarkEnd w:id="10"/>
      <w:r w:rsidRPr="00576357">
        <w:rPr>
          <w:rFonts w:asciiTheme="majorHAnsi" w:hAnsiTheme="majorHAnsi" w:cstheme="majorHAnsi"/>
          <w:sz w:val="23"/>
          <w:szCs w:val="23"/>
        </w:rPr>
        <w:t xml:space="preserve"> </w:t>
      </w:r>
    </w:p>
    <w:p w14:paraId="2C7A8867" w14:textId="77777777" w:rsidR="009C192E" w:rsidRPr="00576357" w:rsidRDefault="009C192E" w:rsidP="009C192E">
      <w:pPr>
        <w:ind w:right="51" w:hanging="11"/>
        <w:rPr>
          <w:rFonts w:asciiTheme="majorHAnsi" w:hAnsiTheme="majorHAnsi" w:cstheme="majorHAnsi"/>
          <w:sz w:val="23"/>
          <w:szCs w:val="23"/>
        </w:rPr>
      </w:pPr>
      <w:r w:rsidRPr="00576357">
        <w:rPr>
          <w:rFonts w:asciiTheme="majorHAnsi" w:hAnsiTheme="majorHAnsi" w:cstheme="majorHAnsi"/>
          <w:sz w:val="23"/>
          <w:szCs w:val="23"/>
        </w:rPr>
        <w:t>El puntaje final del deudor determina el nivel del CPH según el siguiente cuadro:</w:t>
      </w:r>
    </w:p>
    <w:tbl>
      <w:tblPr>
        <w:tblStyle w:val="TableGrid"/>
        <w:tblW w:w="4961" w:type="dxa"/>
        <w:jc w:val="center"/>
        <w:tblInd w:w="0" w:type="dxa"/>
        <w:tblCellMar>
          <w:left w:w="107" w:type="dxa"/>
          <w:right w:w="73" w:type="dxa"/>
        </w:tblCellMar>
        <w:tblLook w:val="04A0" w:firstRow="1" w:lastRow="0" w:firstColumn="1" w:lastColumn="0" w:noHBand="0" w:noVBand="1"/>
      </w:tblPr>
      <w:tblGrid>
        <w:gridCol w:w="898"/>
        <w:gridCol w:w="4063"/>
      </w:tblGrid>
      <w:tr w:rsidR="009C192E" w:rsidRPr="00576357" w14:paraId="6CEECD60" w14:textId="77777777" w:rsidTr="00576357">
        <w:trPr>
          <w:trHeight w:val="284"/>
          <w:jc w:val="center"/>
        </w:trPr>
        <w:tc>
          <w:tcPr>
            <w:tcW w:w="862" w:type="dxa"/>
            <w:tcBorders>
              <w:top w:val="single" w:sz="4" w:space="0" w:color="000000"/>
              <w:left w:val="single" w:sz="4" w:space="0" w:color="000000"/>
              <w:bottom w:val="single" w:sz="4" w:space="0" w:color="000000"/>
              <w:right w:val="single" w:sz="4" w:space="0" w:color="000000"/>
            </w:tcBorders>
            <w:shd w:val="clear" w:color="auto" w:fill="E6E6E6"/>
          </w:tcPr>
          <w:p w14:paraId="73CFAEC8" w14:textId="77777777" w:rsidR="009C192E" w:rsidRPr="00576357" w:rsidRDefault="009C192E" w:rsidP="00576357">
            <w:pPr>
              <w:spacing w:before="0" w:after="0"/>
              <w:ind w:right="51" w:hanging="11"/>
              <w:rPr>
                <w:rFonts w:asciiTheme="majorHAnsi" w:hAnsiTheme="majorHAnsi" w:cstheme="majorHAnsi"/>
                <w:i/>
                <w:iCs/>
                <w:sz w:val="23"/>
                <w:szCs w:val="23"/>
              </w:rPr>
            </w:pPr>
            <w:r w:rsidRPr="00576357">
              <w:rPr>
                <w:rFonts w:asciiTheme="majorHAnsi" w:hAnsiTheme="majorHAnsi" w:cstheme="majorHAnsi"/>
                <w:b/>
                <w:i/>
                <w:iCs/>
                <w:sz w:val="23"/>
                <w:szCs w:val="23"/>
              </w:rPr>
              <w:t>NIVEL</w:t>
            </w:r>
          </w:p>
        </w:tc>
        <w:tc>
          <w:tcPr>
            <w:tcW w:w="4099" w:type="dxa"/>
            <w:tcBorders>
              <w:top w:val="single" w:sz="4" w:space="0" w:color="000000"/>
              <w:left w:val="single" w:sz="4" w:space="0" w:color="000000"/>
              <w:bottom w:val="single" w:sz="4" w:space="0" w:color="000000"/>
              <w:right w:val="single" w:sz="4" w:space="0" w:color="000000"/>
            </w:tcBorders>
            <w:shd w:val="clear" w:color="auto" w:fill="E6E6E6"/>
          </w:tcPr>
          <w:p w14:paraId="017126EC" w14:textId="77777777" w:rsidR="009C192E" w:rsidRPr="00576357" w:rsidRDefault="009C192E" w:rsidP="00576357">
            <w:pPr>
              <w:spacing w:before="0" w:after="0"/>
              <w:ind w:right="51" w:hanging="11"/>
              <w:jc w:val="center"/>
              <w:rPr>
                <w:rFonts w:asciiTheme="majorHAnsi" w:hAnsiTheme="majorHAnsi" w:cstheme="majorHAnsi"/>
                <w:i/>
                <w:iCs/>
                <w:sz w:val="23"/>
                <w:szCs w:val="23"/>
              </w:rPr>
            </w:pPr>
            <w:r w:rsidRPr="00576357">
              <w:rPr>
                <w:rFonts w:asciiTheme="majorHAnsi" w:hAnsiTheme="majorHAnsi" w:cstheme="majorHAnsi"/>
                <w:b/>
                <w:i/>
                <w:iCs/>
                <w:sz w:val="23"/>
                <w:szCs w:val="23"/>
              </w:rPr>
              <w:t>PUNTAJE FINAL</w:t>
            </w:r>
          </w:p>
        </w:tc>
      </w:tr>
      <w:tr w:rsidR="009C192E" w:rsidRPr="00576357" w14:paraId="0783E37C" w14:textId="77777777" w:rsidTr="00576357">
        <w:trPr>
          <w:trHeight w:val="286"/>
          <w:jc w:val="center"/>
        </w:trPr>
        <w:tc>
          <w:tcPr>
            <w:tcW w:w="862" w:type="dxa"/>
            <w:tcBorders>
              <w:top w:val="single" w:sz="4" w:space="0" w:color="000000"/>
              <w:left w:val="single" w:sz="4" w:space="0" w:color="000000"/>
              <w:bottom w:val="single" w:sz="4" w:space="0" w:color="000000"/>
              <w:right w:val="single" w:sz="4" w:space="0" w:color="000000"/>
            </w:tcBorders>
            <w:shd w:val="clear" w:color="auto" w:fill="E6E6E6"/>
          </w:tcPr>
          <w:p w14:paraId="2049CB12" w14:textId="77777777" w:rsidR="009C192E" w:rsidRPr="00576357" w:rsidRDefault="009C192E" w:rsidP="00576357">
            <w:pPr>
              <w:spacing w:before="0" w:after="0"/>
              <w:ind w:right="51" w:hanging="11"/>
              <w:rPr>
                <w:rFonts w:asciiTheme="majorHAnsi" w:hAnsiTheme="majorHAnsi" w:cstheme="majorHAnsi"/>
                <w:i/>
                <w:iCs/>
                <w:sz w:val="23"/>
                <w:szCs w:val="23"/>
              </w:rPr>
            </w:pPr>
            <w:r w:rsidRPr="00576357">
              <w:rPr>
                <w:rFonts w:asciiTheme="majorHAnsi" w:hAnsiTheme="majorHAnsi" w:cstheme="majorHAnsi"/>
                <w:b/>
                <w:i/>
                <w:iCs/>
                <w:sz w:val="23"/>
                <w:szCs w:val="23"/>
              </w:rPr>
              <w:t>1</w:t>
            </w:r>
          </w:p>
        </w:tc>
        <w:tc>
          <w:tcPr>
            <w:tcW w:w="4099" w:type="dxa"/>
            <w:tcBorders>
              <w:top w:val="single" w:sz="4" w:space="0" w:color="000000"/>
              <w:left w:val="single" w:sz="4" w:space="0" w:color="000000"/>
              <w:bottom w:val="single" w:sz="4" w:space="0" w:color="000000"/>
              <w:right w:val="single" w:sz="4" w:space="0" w:color="000000"/>
            </w:tcBorders>
          </w:tcPr>
          <w:p w14:paraId="4A0045D5" w14:textId="77777777" w:rsidR="009C192E" w:rsidRPr="00576357" w:rsidRDefault="009C192E" w:rsidP="00576357">
            <w:pPr>
              <w:spacing w:before="0" w:after="0"/>
              <w:ind w:right="51" w:hanging="11"/>
              <w:rPr>
                <w:rFonts w:asciiTheme="majorHAnsi" w:hAnsiTheme="majorHAnsi" w:cstheme="majorHAnsi"/>
                <w:i/>
                <w:iCs/>
                <w:sz w:val="23"/>
                <w:szCs w:val="23"/>
              </w:rPr>
            </w:pPr>
            <w:r w:rsidRPr="00576357">
              <w:rPr>
                <w:rFonts w:asciiTheme="majorHAnsi" w:hAnsiTheme="majorHAnsi" w:cstheme="majorHAnsi"/>
                <w:i/>
                <w:iCs/>
                <w:sz w:val="23"/>
                <w:szCs w:val="23"/>
              </w:rPr>
              <w:t xml:space="preserve">Igual o menor a 2,33 </w:t>
            </w:r>
          </w:p>
        </w:tc>
      </w:tr>
      <w:tr w:rsidR="009C192E" w:rsidRPr="00576357" w14:paraId="73079E95" w14:textId="77777777" w:rsidTr="00576357">
        <w:trPr>
          <w:trHeight w:val="286"/>
          <w:jc w:val="center"/>
        </w:trPr>
        <w:tc>
          <w:tcPr>
            <w:tcW w:w="862" w:type="dxa"/>
            <w:tcBorders>
              <w:top w:val="single" w:sz="4" w:space="0" w:color="000000"/>
              <w:left w:val="single" w:sz="4" w:space="0" w:color="000000"/>
              <w:bottom w:val="single" w:sz="4" w:space="0" w:color="000000"/>
              <w:right w:val="single" w:sz="4" w:space="0" w:color="000000"/>
            </w:tcBorders>
            <w:shd w:val="clear" w:color="auto" w:fill="E6E6E6"/>
          </w:tcPr>
          <w:p w14:paraId="69BABD1F" w14:textId="77777777" w:rsidR="009C192E" w:rsidRPr="00576357" w:rsidRDefault="009C192E" w:rsidP="00576357">
            <w:pPr>
              <w:spacing w:before="0" w:after="0"/>
              <w:ind w:right="51" w:hanging="11"/>
              <w:rPr>
                <w:rFonts w:asciiTheme="majorHAnsi" w:hAnsiTheme="majorHAnsi" w:cstheme="majorHAnsi"/>
                <w:i/>
                <w:iCs/>
                <w:sz w:val="23"/>
                <w:szCs w:val="23"/>
              </w:rPr>
            </w:pPr>
            <w:r w:rsidRPr="00576357">
              <w:rPr>
                <w:rFonts w:asciiTheme="majorHAnsi" w:hAnsiTheme="majorHAnsi" w:cstheme="majorHAnsi"/>
                <w:b/>
                <w:i/>
                <w:iCs/>
                <w:sz w:val="23"/>
                <w:szCs w:val="23"/>
              </w:rPr>
              <w:t>2</w:t>
            </w:r>
          </w:p>
        </w:tc>
        <w:tc>
          <w:tcPr>
            <w:tcW w:w="4099" w:type="dxa"/>
            <w:tcBorders>
              <w:top w:val="single" w:sz="4" w:space="0" w:color="000000"/>
              <w:left w:val="single" w:sz="4" w:space="0" w:color="000000"/>
              <w:bottom w:val="single" w:sz="4" w:space="0" w:color="000000"/>
              <w:right w:val="single" w:sz="4" w:space="0" w:color="000000"/>
            </w:tcBorders>
          </w:tcPr>
          <w:p w14:paraId="3BF64D7E" w14:textId="77777777" w:rsidR="009C192E" w:rsidRPr="00576357" w:rsidRDefault="009C192E" w:rsidP="00576357">
            <w:pPr>
              <w:spacing w:before="0" w:after="0"/>
              <w:ind w:right="51" w:hanging="11"/>
              <w:rPr>
                <w:rFonts w:asciiTheme="majorHAnsi" w:hAnsiTheme="majorHAnsi" w:cstheme="majorHAnsi"/>
                <w:i/>
                <w:iCs/>
                <w:sz w:val="23"/>
                <w:szCs w:val="23"/>
              </w:rPr>
            </w:pPr>
            <w:r w:rsidRPr="00576357">
              <w:rPr>
                <w:rFonts w:asciiTheme="majorHAnsi" w:hAnsiTheme="majorHAnsi" w:cstheme="majorHAnsi"/>
                <w:i/>
                <w:iCs/>
                <w:sz w:val="23"/>
                <w:szCs w:val="23"/>
              </w:rPr>
              <w:t xml:space="preserve">Mayor a 2,33 e igual o menor a 3,66 </w:t>
            </w:r>
          </w:p>
        </w:tc>
      </w:tr>
      <w:tr w:rsidR="009C192E" w:rsidRPr="00576357" w14:paraId="0A314F0F" w14:textId="77777777" w:rsidTr="00576357">
        <w:trPr>
          <w:trHeight w:val="284"/>
          <w:jc w:val="center"/>
        </w:trPr>
        <w:tc>
          <w:tcPr>
            <w:tcW w:w="862" w:type="dxa"/>
            <w:tcBorders>
              <w:top w:val="single" w:sz="4" w:space="0" w:color="000000"/>
              <w:left w:val="single" w:sz="4" w:space="0" w:color="000000"/>
              <w:bottom w:val="single" w:sz="4" w:space="0" w:color="000000"/>
              <w:right w:val="single" w:sz="4" w:space="0" w:color="000000"/>
            </w:tcBorders>
            <w:shd w:val="clear" w:color="auto" w:fill="E6E6E6"/>
          </w:tcPr>
          <w:p w14:paraId="065BA2BC" w14:textId="77777777" w:rsidR="009C192E" w:rsidRPr="00576357" w:rsidRDefault="009C192E" w:rsidP="00576357">
            <w:pPr>
              <w:spacing w:before="0" w:after="0"/>
              <w:ind w:right="51" w:hanging="11"/>
              <w:rPr>
                <w:rFonts w:asciiTheme="majorHAnsi" w:hAnsiTheme="majorHAnsi" w:cstheme="majorHAnsi"/>
                <w:i/>
                <w:iCs/>
                <w:sz w:val="23"/>
                <w:szCs w:val="23"/>
              </w:rPr>
            </w:pPr>
            <w:r w:rsidRPr="00576357">
              <w:rPr>
                <w:rFonts w:asciiTheme="majorHAnsi" w:hAnsiTheme="majorHAnsi" w:cstheme="majorHAnsi"/>
                <w:b/>
                <w:i/>
                <w:iCs/>
                <w:sz w:val="23"/>
                <w:szCs w:val="23"/>
              </w:rPr>
              <w:t>3</w:t>
            </w:r>
          </w:p>
        </w:tc>
        <w:tc>
          <w:tcPr>
            <w:tcW w:w="4099" w:type="dxa"/>
            <w:tcBorders>
              <w:top w:val="single" w:sz="4" w:space="0" w:color="000000"/>
              <w:left w:val="single" w:sz="4" w:space="0" w:color="000000"/>
              <w:bottom w:val="single" w:sz="4" w:space="0" w:color="000000"/>
              <w:right w:val="single" w:sz="4" w:space="0" w:color="000000"/>
            </w:tcBorders>
          </w:tcPr>
          <w:p w14:paraId="047EA94B" w14:textId="77777777" w:rsidR="009C192E" w:rsidRPr="00576357" w:rsidRDefault="009C192E" w:rsidP="00576357">
            <w:pPr>
              <w:spacing w:before="0" w:after="0"/>
              <w:ind w:right="51" w:hanging="11"/>
              <w:rPr>
                <w:rFonts w:asciiTheme="majorHAnsi" w:hAnsiTheme="majorHAnsi" w:cstheme="majorHAnsi"/>
                <w:i/>
                <w:iCs/>
                <w:sz w:val="23"/>
                <w:szCs w:val="23"/>
              </w:rPr>
            </w:pPr>
            <w:r w:rsidRPr="00576357">
              <w:rPr>
                <w:rFonts w:asciiTheme="majorHAnsi" w:hAnsiTheme="majorHAnsi" w:cstheme="majorHAnsi"/>
                <w:i/>
                <w:iCs/>
                <w:sz w:val="23"/>
                <w:szCs w:val="23"/>
              </w:rPr>
              <w:t xml:space="preserve">Mayor a 3,66 </w:t>
            </w:r>
          </w:p>
        </w:tc>
      </w:tr>
    </w:tbl>
    <w:p w14:paraId="20B29764" w14:textId="77777777" w:rsidR="009C192E" w:rsidRPr="00576357" w:rsidRDefault="009C192E" w:rsidP="009C192E">
      <w:pPr>
        <w:ind w:right="51" w:hanging="11"/>
        <w:rPr>
          <w:rFonts w:asciiTheme="majorHAnsi" w:hAnsiTheme="majorHAnsi" w:cstheme="majorHAnsi"/>
          <w:sz w:val="23"/>
          <w:szCs w:val="23"/>
        </w:rPr>
      </w:pPr>
      <w:r w:rsidRPr="00576357">
        <w:rPr>
          <w:rFonts w:asciiTheme="majorHAnsi" w:hAnsiTheme="majorHAnsi" w:cstheme="majorHAnsi"/>
          <w:sz w:val="23"/>
          <w:szCs w:val="23"/>
        </w:rPr>
        <w:t xml:space="preserve">A los deudores para los cuales no existe información crediticia en el CIC de la SUGEF, se </w:t>
      </w:r>
      <w:proofErr w:type="gramStart"/>
      <w:r w:rsidRPr="00576357">
        <w:rPr>
          <w:rFonts w:asciiTheme="majorHAnsi" w:hAnsiTheme="majorHAnsi" w:cstheme="majorHAnsi"/>
          <w:sz w:val="23"/>
          <w:szCs w:val="23"/>
        </w:rPr>
        <w:t>les</w:t>
      </w:r>
      <w:proofErr w:type="gramEnd"/>
      <w:r w:rsidRPr="00576357">
        <w:rPr>
          <w:rFonts w:asciiTheme="majorHAnsi" w:hAnsiTheme="majorHAnsi" w:cstheme="majorHAnsi"/>
          <w:sz w:val="23"/>
          <w:szCs w:val="23"/>
        </w:rPr>
        <w:t xml:space="preserve"> asigna un puntaje final igual a cero y se clasifican en el Nivel 1 de CPH.  </w:t>
      </w:r>
    </w:p>
    <w:p w14:paraId="7E669FDB" w14:textId="77777777" w:rsidR="009C192E" w:rsidRPr="00576357" w:rsidRDefault="009C192E" w:rsidP="009C192E">
      <w:pPr>
        <w:ind w:left="708" w:right="51" w:hanging="708"/>
        <w:rPr>
          <w:rFonts w:asciiTheme="majorHAnsi" w:hAnsiTheme="majorHAnsi" w:cstheme="majorHAnsi"/>
          <w:sz w:val="23"/>
          <w:szCs w:val="23"/>
        </w:rPr>
      </w:pPr>
      <w:r w:rsidRPr="00576357">
        <w:rPr>
          <w:rFonts w:asciiTheme="majorHAnsi" w:hAnsiTheme="majorHAnsi" w:cstheme="majorHAnsi"/>
          <w:sz w:val="23"/>
          <w:szCs w:val="23"/>
        </w:rPr>
        <w:t xml:space="preserve">El nivel obtenido por el deudor representa la clasificación del deudor en relación con su CPH según SUGEF. La entidad puede clasificar el CPH del deudor en el mismo nivel que la SUGEF o en un nivel de mayor riesgo. </w:t>
      </w:r>
    </w:p>
    <w:p w14:paraId="420F8E2B" w14:textId="77777777" w:rsidR="009C192E" w:rsidRPr="00576357" w:rsidRDefault="009C192E" w:rsidP="00681541">
      <w:pPr>
        <w:pStyle w:val="Ttulo2"/>
        <w:numPr>
          <w:ilvl w:val="0"/>
          <w:numId w:val="36"/>
        </w:numPr>
        <w:ind w:left="567" w:hanging="578"/>
        <w:rPr>
          <w:rFonts w:asciiTheme="majorHAnsi" w:hAnsiTheme="majorHAnsi" w:cstheme="majorHAnsi"/>
          <w:sz w:val="23"/>
          <w:szCs w:val="23"/>
        </w:rPr>
      </w:pPr>
      <w:bookmarkStart w:id="11" w:name="_Toc227326022"/>
      <w:r w:rsidRPr="00576357">
        <w:rPr>
          <w:rFonts w:asciiTheme="majorHAnsi" w:hAnsiTheme="majorHAnsi" w:cstheme="majorHAnsi"/>
          <w:sz w:val="23"/>
          <w:szCs w:val="23"/>
        </w:rPr>
        <w:t>Clasificación directa en Nivel 3</w:t>
      </w:r>
      <w:bookmarkEnd w:id="11"/>
    </w:p>
    <w:p w14:paraId="69CDD9F7" w14:textId="77777777" w:rsidR="009C192E" w:rsidRPr="00576357" w:rsidRDefault="009C192E" w:rsidP="009C192E">
      <w:pPr>
        <w:ind w:right="51" w:hanging="11"/>
        <w:rPr>
          <w:rFonts w:asciiTheme="majorHAnsi" w:hAnsiTheme="majorHAnsi" w:cstheme="majorHAnsi"/>
          <w:sz w:val="23"/>
          <w:szCs w:val="23"/>
        </w:rPr>
      </w:pPr>
      <w:r w:rsidRPr="00576357">
        <w:rPr>
          <w:rFonts w:asciiTheme="majorHAnsi" w:hAnsiTheme="majorHAnsi" w:cstheme="majorHAnsi"/>
          <w:sz w:val="23"/>
          <w:szCs w:val="23"/>
        </w:rPr>
        <w:t>Independientemente del puntaje final del deudor, el CPH de un deudor es clasificado en Nivel 3 cuando durante el periodo de 48 meses que se indica en el apartado A de esta Sección, en relación con al menos una operación crediticia directa, se haya presentado cualquiera de las siguientes situaciones:</w:t>
      </w:r>
    </w:p>
    <w:p w14:paraId="192FCA79" w14:textId="77777777" w:rsidR="009C192E" w:rsidRPr="00576357" w:rsidRDefault="009C192E" w:rsidP="009C192E">
      <w:pPr>
        <w:tabs>
          <w:tab w:val="left" w:pos="2977"/>
        </w:tabs>
        <w:ind w:left="134" w:right="51"/>
        <w:rPr>
          <w:rFonts w:asciiTheme="majorHAnsi" w:hAnsiTheme="majorHAnsi" w:cstheme="majorHAnsi"/>
          <w:sz w:val="23"/>
          <w:szCs w:val="23"/>
        </w:rPr>
      </w:pPr>
      <w:r w:rsidRPr="00576357">
        <w:rPr>
          <w:rFonts w:asciiTheme="majorHAnsi" w:hAnsiTheme="majorHAnsi" w:cstheme="majorHAnsi"/>
          <w:sz w:val="23"/>
          <w:szCs w:val="23"/>
        </w:rPr>
        <w:lastRenderedPageBreak/>
        <w:t>1)</w:t>
      </w:r>
      <w:r w:rsidRPr="00576357" w:rsidDel="00CB660D">
        <w:rPr>
          <w:rFonts w:asciiTheme="majorHAnsi" w:hAnsiTheme="majorHAnsi" w:cstheme="majorHAnsi"/>
          <w:sz w:val="23"/>
          <w:szCs w:val="23"/>
        </w:rPr>
        <w:t xml:space="preserve"> </w:t>
      </w:r>
      <w:r w:rsidRPr="00576357">
        <w:rPr>
          <w:rFonts w:asciiTheme="majorHAnsi" w:hAnsiTheme="majorHAnsi" w:cstheme="majorHAnsi"/>
          <w:sz w:val="23"/>
          <w:szCs w:val="23"/>
        </w:rPr>
        <w:t xml:space="preserve">Se haya recurrido a la dación de bienes en pago de sus obligaciones. Se exceptúa para efectos de clasificación en el Nivel 3 de CPH, la dación en pago en el caso de créditos de vivienda residencial en los que la dación produzca la extinción total de la deuda; </w:t>
      </w:r>
    </w:p>
    <w:p w14:paraId="59775374" w14:textId="77777777" w:rsidR="009C192E" w:rsidRPr="00576357" w:rsidRDefault="009C192E" w:rsidP="009C192E">
      <w:pPr>
        <w:tabs>
          <w:tab w:val="left" w:pos="2977"/>
        </w:tabs>
        <w:ind w:left="134" w:right="51"/>
        <w:rPr>
          <w:rFonts w:asciiTheme="majorHAnsi" w:hAnsiTheme="majorHAnsi" w:cstheme="majorHAnsi"/>
          <w:sz w:val="23"/>
          <w:szCs w:val="23"/>
        </w:rPr>
      </w:pPr>
      <w:r w:rsidRPr="00576357">
        <w:rPr>
          <w:rFonts w:asciiTheme="majorHAnsi" w:hAnsiTheme="majorHAnsi" w:cstheme="majorHAnsi"/>
          <w:sz w:val="23"/>
          <w:szCs w:val="23"/>
        </w:rPr>
        <w:t>2)</w:t>
      </w:r>
      <w:r w:rsidRPr="00576357" w:rsidDel="00CB660D">
        <w:rPr>
          <w:rFonts w:asciiTheme="majorHAnsi" w:hAnsiTheme="majorHAnsi" w:cstheme="majorHAnsi"/>
          <w:sz w:val="23"/>
          <w:szCs w:val="23"/>
        </w:rPr>
        <w:t xml:space="preserve"> </w:t>
      </w:r>
      <w:r w:rsidRPr="00576357">
        <w:rPr>
          <w:rFonts w:asciiTheme="majorHAnsi" w:hAnsiTheme="majorHAnsi" w:cstheme="majorHAnsi"/>
          <w:sz w:val="23"/>
          <w:szCs w:val="23"/>
        </w:rPr>
        <w:t>Se haya cancelado la operación crediticia, total o parcialmente, como producto de un proceso de cobro judicial; o 3)</w:t>
      </w:r>
      <w:r w:rsidRPr="00576357">
        <w:rPr>
          <w:rFonts w:asciiTheme="majorHAnsi" w:hAnsiTheme="majorHAnsi" w:cstheme="majorHAnsi"/>
          <w:sz w:val="23"/>
          <w:szCs w:val="23"/>
        </w:rPr>
        <w:tab/>
        <w:t xml:space="preserve">Se haya asumido formalmente la operación crediticia por un fiador o avalista. </w:t>
      </w:r>
    </w:p>
    <w:p w14:paraId="51C97EA1" w14:textId="77777777" w:rsidR="009C192E" w:rsidRPr="00576357" w:rsidRDefault="009C192E" w:rsidP="009C192E">
      <w:pPr>
        <w:tabs>
          <w:tab w:val="left" w:pos="2977"/>
        </w:tabs>
        <w:ind w:right="51"/>
        <w:rPr>
          <w:rFonts w:asciiTheme="majorHAnsi" w:hAnsiTheme="majorHAnsi" w:cstheme="majorHAnsi"/>
          <w:sz w:val="23"/>
          <w:szCs w:val="23"/>
        </w:rPr>
      </w:pPr>
      <w:r w:rsidRPr="00576357">
        <w:rPr>
          <w:rFonts w:asciiTheme="majorHAnsi" w:hAnsiTheme="majorHAnsi" w:cstheme="majorHAnsi"/>
          <w:sz w:val="23"/>
          <w:szCs w:val="23"/>
        </w:rPr>
        <w:t>En todos los casos anteriores, el CPH de un deudor se calificará en Nivel 3 por 24 meses; posterior a ese periodo, el CPH estará definido por el valor del puntaje final.</w:t>
      </w:r>
    </w:p>
    <w:p w14:paraId="3A0BB923" w14:textId="77777777" w:rsidR="009C192E" w:rsidRPr="00576357" w:rsidRDefault="009C192E" w:rsidP="009C192E">
      <w:pPr>
        <w:jc w:val="left"/>
        <w:rPr>
          <w:rFonts w:asciiTheme="majorHAnsi" w:hAnsiTheme="majorHAnsi" w:cstheme="majorHAnsi"/>
          <w:sz w:val="23"/>
          <w:szCs w:val="23"/>
        </w:rPr>
      </w:pPr>
      <w:r w:rsidRPr="00576357">
        <w:rPr>
          <w:rFonts w:asciiTheme="majorHAnsi" w:hAnsiTheme="majorHAnsi" w:cstheme="majorHAnsi"/>
          <w:sz w:val="23"/>
          <w:szCs w:val="23"/>
        </w:rPr>
        <w:br w:type="page"/>
      </w:r>
    </w:p>
    <w:p w14:paraId="6ECA349A" w14:textId="77777777" w:rsidR="009C192E" w:rsidRPr="00576357" w:rsidRDefault="009C192E" w:rsidP="009C192E">
      <w:pPr>
        <w:pStyle w:val="Ttulo1"/>
        <w:rPr>
          <w:rFonts w:asciiTheme="majorHAnsi" w:hAnsiTheme="majorHAnsi" w:cstheme="majorHAnsi"/>
          <w:sz w:val="23"/>
          <w:szCs w:val="23"/>
        </w:rPr>
      </w:pPr>
      <w:bookmarkStart w:id="12" w:name="_Toc88480393"/>
      <w:bookmarkStart w:id="13" w:name="_Toc227326023"/>
      <w:bookmarkStart w:id="14" w:name="_Hlk225427169"/>
      <w:bookmarkStart w:id="15" w:name="_Toc198728730"/>
      <w:r w:rsidRPr="00576357">
        <w:rPr>
          <w:rFonts w:asciiTheme="majorHAnsi" w:hAnsiTheme="majorHAnsi" w:cstheme="majorHAnsi"/>
          <w:sz w:val="23"/>
          <w:szCs w:val="23"/>
        </w:rPr>
        <w:lastRenderedPageBreak/>
        <w:t>III)</w:t>
      </w:r>
      <w:r w:rsidRPr="00576357">
        <w:rPr>
          <w:rFonts w:asciiTheme="majorHAnsi" w:eastAsia="Arial" w:hAnsiTheme="majorHAnsi" w:cstheme="majorHAnsi"/>
          <w:sz w:val="23"/>
          <w:szCs w:val="23"/>
        </w:rPr>
        <w:t xml:space="preserve"> </w:t>
      </w:r>
      <w:r w:rsidRPr="00576357">
        <w:rPr>
          <w:rFonts w:asciiTheme="majorHAnsi" w:hAnsiTheme="majorHAnsi" w:cstheme="majorHAnsi"/>
          <w:sz w:val="23"/>
          <w:szCs w:val="23"/>
        </w:rPr>
        <w:t>ANÁLISIS DE LAS GARANTÍAS</w:t>
      </w:r>
      <w:bookmarkEnd w:id="12"/>
      <w:bookmarkEnd w:id="13"/>
      <w:r w:rsidRPr="00576357">
        <w:rPr>
          <w:rFonts w:asciiTheme="majorHAnsi" w:hAnsiTheme="majorHAnsi" w:cstheme="majorHAnsi"/>
          <w:sz w:val="23"/>
          <w:szCs w:val="23"/>
        </w:rPr>
        <w:t xml:space="preserve"> </w:t>
      </w:r>
      <w:bookmarkEnd w:id="14"/>
      <w:bookmarkEnd w:id="15"/>
    </w:p>
    <w:p w14:paraId="5E50DD52" w14:textId="77777777" w:rsidR="009C192E" w:rsidRPr="00576357" w:rsidRDefault="009C192E" w:rsidP="009C192E">
      <w:pPr>
        <w:ind w:left="1134" w:hanging="1127"/>
        <w:rPr>
          <w:rFonts w:asciiTheme="majorHAnsi" w:hAnsiTheme="majorHAnsi" w:cstheme="majorHAnsi"/>
          <w:sz w:val="23"/>
          <w:szCs w:val="23"/>
        </w:rPr>
      </w:pPr>
      <w:r w:rsidRPr="00576357">
        <w:rPr>
          <w:rFonts w:asciiTheme="majorHAnsi" w:hAnsiTheme="majorHAnsi" w:cstheme="majorHAnsi"/>
          <w:sz w:val="23"/>
          <w:szCs w:val="23"/>
          <w:u w:val="single" w:color="000000"/>
        </w:rPr>
        <w:t>Objetivo:</w:t>
      </w:r>
      <w:r w:rsidRPr="00576357">
        <w:rPr>
          <w:rFonts w:asciiTheme="majorHAnsi" w:hAnsiTheme="majorHAnsi" w:cstheme="majorHAnsi"/>
          <w:sz w:val="23"/>
          <w:szCs w:val="23"/>
        </w:rPr>
        <w:tab/>
        <w:t>Establecer disposiciones para determinar el valor ajustado de las garantías como mitigadores de riesgo para efectos del cálculo de la estimación de crédito.</w:t>
      </w:r>
    </w:p>
    <w:p w14:paraId="5F4789D9" w14:textId="77777777" w:rsidR="009C192E" w:rsidRPr="00576357" w:rsidRDefault="009C192E" w:rsidP="00681541">
      <w:pPr>
        <w:pStyle w:val="Ttulo2"/>
        <w:numPr>
          <w:ilvl w:val="0"/>
          <w:numId w:val="38"/>
        </w:numPr>
        <w:ind w:left="567" w:hanging="578"/>
        <w:rPr>
          <w:rFonts w:asciiTheme="majorHAnsi" w:hAnsiTheme="majorHAnsi" w:cstheme="majorHAnsi"/>
          <w:sz w:val="23"/>
          <w:szCs w:val="23"/>
        </w:rPr>
      </w:pPr>
      <w:bookmarkStart w:id="16" w:name="_Toc227326024"/>
      <w:r w:rsidRPr="00576357">
        <w:rPr>
          <w:rFonts w:asciiTheme="majorHAnsi" w:hAnsiTheme="majorHAnsi" w:cstheme="majorHAnsi"/>
          <w:sz w:val="23"/>
          <w:szCs w:val="23"/>
        </w:rPr>
        <w:t>Valor de mercado</w:t>
      </w:r>
      <w:bookmarkEnd w:id="16"/>
      <w:r w:rsidRPr="00576357">
        <w:rPr>
          <w:rFonts w:asciiTheme="majorHAnsi" w:hAnsiTheme="majorHAnsi" w:cstheme="majorHAnsi"/>
          <w:sz w:val="23"/>
          <w:szCs w:val="23"/>
        </w:rPr>
        <w:t xml:space="preserve"> </w:t>
      </w:r>
    </w:p>
    <w:p w14:paraId="56803BB9" w14:textId="77777777" w:rsidR="009C192E" w:rsidRPr="00576357" w:rsidRDefault="009C192E" w:rsidP="009C192E">
      <w:pPr>
        <w:ind w:left="1134" w:hanging="1127"/>
        <w:rPr>
          <w:rFonts w:asciiTheme="majorHAnsi" w:hAnsiTheme="majorHAnsi" w:cstheme="majorHAnsi"/>
          <w:sz w:val="23"/>
          <w:szCs w:val="23"/>
          <w:vertAlign w:val="superscript"/>
        </w:rPr>
      </w:pPr>
      <w:r w:rsidRPr="00576357">
        <w:rPr>
          <w:rFonts w:asciiTheme="majorHAnsi" w:hAnsiTheme="majorHAnsi" w:cstheme="majorHAnsi"/>
          <w:sz w:val="23"/>
          <w:szCs w:val="23"/>
          <w:u w:val="single" w:color="000000"/>
        </w:rPr>
        <w:t>Objetivo</w:t>
      </w:r>
      <w:r w:rsidRPr="00576357">
        <w:rPr>
          <w:rFonts w:asciiTheme="majorHAnsi" w:hAnsiTheme="majorHAnsi" w:cstheme="majorHAnsi"/>
          <w:b/>
          <w:sz w:val="23"/>
          <w:szCs w:val="23"/>
        </w:rPr>
        <w:t>:</w:t>
      </w:r>
      <w:r w:rsidRPr="00576357">
        <w:rPr>
          <w:rFonts w:asciiTheme="majorHAnsi" w:hAnsiTheme="majorHAnsi" w:cstheme="majorHAnsi"/>
          <w:b/>
          <w:sz w:val="23"/>
          <w:szCs w:val="23"/>
        </w:rPr>
        <w:tab/>
      </w:r>
      <w:r w:rsidRPr="00576357">
        <w:rPr>
          <w:rFonts w:asciiTheme="majorHAnsi" w:hAnsiTheme="majorHAnsi" w:cstheme="majorHAnsi"/>
          <w:sz w:val="23"/>
          <w:szCs w:val="23"/>
        </w:rPr>
        <w:t>Establecer disposiciones para determinar el valor de mercado como el precio estimado que obtendría la entidad en caso de la venta del activo bajo las condiciones actuales del mercado o el valor facial del documento en caso de avales y carta de crédito stand-</w:t>
      </w:r>
      <w:proofErr w:type="spellStart"/>
      <w:r w:rsidRPr="00576357">
        <w:rPr>
          <w:rFonts w:asciiTheme="majorHAnsi" w:hAnsiTheme="majorHAnsi" w:cstheme="majorHAnsi"/>
          <w:sz w:val="23"/>
          <w:szCs w:val="23"/>
        </w:rPr>
        <w:t>by</w:t>
      </w:r>
      <w:proofErr w:type="spellEnd"/>
      <w:r w:rsidRPr="00576357">
        <w:rPr>
          <w:rFonts w:asciiTheme="majorHAnsi" w:hAnsiTheme="majorHAnsi" w:cstheme="majorHAnsi"/>
          <w:sz w:val="23"/>
          <w:szCs w:val="23"/>
        </w:rPr>
        <w:t>.</w:t>
      </w:r>
    </w:p>
    <w:p w14:paraId="108005A5" w14:textId="77777777" w:rsidR="009C192E" w:rsidRPr="00576357" w:rsidRDefault="009C192E" w:rsidP="00681541">
      <w:pPr>
        <w:pStyle w:val="Prrafodelista"/>
        <w:numPr>
          <w:ilvl w:val="0"/>
          <w:numId w:val="39"/>
        </w:numPr>
        <w:spacing w:after="240"/>
        <w:ind w:left="1134" w:hanging="567"/>
        <w:jc w:val="both"/>
        <w:rPr>
          <w:rFonts w:asciiTheme="majorHAnsi" w:hAnsiTheme="majorHAnsi" w:cstheme="majorHAnsi"/>
          <w:b/>
          <w:bCs/>
          <w:sz w:val="23"/>
          <w:szCs w:val="23"/>
        </w:rPr>
      </w:pPr>
      <w:r w:rsidRPr="00576357">
        <w:rPr>
          <w:rFonts w:asciiTheme="majorHAnsi" w:hAnsiTheme="majorHAnsi" w:cstheme="majorHAnsi"/>
          <w:b/>
          <w:bCs/>
          <w:sz w:val="23"/>
          <w:szCs w:val="23"/>
        </w:rPr>
        <w:t xml:space="preserve">Terrenos y edificaciones </w:t>
      </w:r>
    </w:p>
    <w:p w14:paraId="1A6551D4" w14:textId="77777777" w:rsidR="009C192E" w:rsidRPr="00576357" w:rsidRDefault="009C192E" w:rsidP="009C192E">
      <w:pPr>
        <w:ind w:left="567"/>
        <w:rPr>
          <w:rFonts w:asciiTheme="majorHAnsi" w:hAnsiTheme="majorHAnsi" w:cstheme="majorHAnsi"/>
          <w:sz w:val="23"/>
          <w:szCs w:val="23"/>
        </w:rPr>
      </w:pPr>
      <w:r w:rsidRPr="00576357">
        <w:rPr>
          <w:rFonts w:asciiTheme="majorHAnsi" w:hAnsiTheme="majorHAnsi" w:cstheme="majorHAnsi"/>
          <w:sz w:val="23"/>
          <w:szCs w:val="23"/>
        </w:rPr>
        <w:t>El avalúo debe especificar por separado el valor de mercado estimado del terreno y de la edificación, cuando corresponda, así como un detalle que justifique el cálculo del valor de mercado. Si el bien está arrendado, el reporte debe indicar el nombre del arrendatario y la vigencia del contrato existente. Asimismo, debe incluirse el año de construcción del bien, el grado de mantenimiento o conservación en que se encuentra y el grado de liquidez, así como las afectaciones a que está sujeto (servidumbres, declaratorias de patrimonio arquitectónico o histórico, zonas protegidas, entre otras). La SUGEF puede corroborar por su cuenta que el valor de mercado reportado por el valuador y aceptado por la entidad sea consistente con la realidad del mercado inmobiliario.</w:t>
      </w:r>
    </w:p>
    <w:p w14:paraId="3C00DF0C" w14:textId="77777777" w:rsidR="009C192E" w:rsidRPr="00576357" w:rsidRDefault="009C192E" w:rsidP="00681541">
      <w:pPr>
        <w:pStyle w:val="Prrafodelista"/>
        <w:numPr>
          <w:ilvl w:val="0"/>
          <w:numId w:val="39"/>
        </w:numPr>
        <w:spacing w:after="240"/>
        <w:ind w:left="1134" w:hanging="567"/>
        <w:jc w:val="both"/>
        <w:rPr>
          <w:rFonts w:asciiTheme="majorHAnsi" w:hAnsiTheme="majorHAnsi" w:cstheme="majorHAnsi"/>
          <w:b/>
          <w:bCs/>
          <w:sz w:val="23"/>
          <w:szCs w:val="23"/>
        </w:rPr>
      </w:pPr>
      <w:r w:rsidRPr="00576357">
        <w:rPr>
          <w:rFonts w:asciiTheme="majorHAnsi" w:hAnsiTheme="majorHAnsi" w:cstheme="majorHAnsi"/>
          <w:b/>
          <w:bCs/>
          <w:sz w:val="23"/>
          <w:szCs w:val="23"/>
        </w:rPr>
        <w:t xml:space="preserve">Instrumento financiero </w:t>
      </w:r>
    </w:p>
    <w:p w14:paraId="0879AF92" w14:textId="77777777" w:rsidR="009C192E" w:rsidRPr="00576357" w:rsidRDefault="009C192E" w:rsidP="009C192E">
      <w:pPr>
        <w:ind w:left="567"/>
        <w:rPr>
          <w:rFonts w:asciiTheme="majorHAnsi" w:hAnsiTheme="majorHAnsi" w:cstheme="majorHAnsi"/>
          <w:sz w:val="23"/>
          <w:szCs w:val="23"/>
        </w:rPr>
      </w:pPr>
      <w:r w:rsidRPr="00576357">
        <w:rPr>
          <w:rFonts w:asciiTheme="majorHAnsi" w:hAnsiTheme="majorHAnsi" w:cstheme="majorHAnsi"/>
          <w:sz w:val="23"/>
          <w:szCs w:val="23"/>
        </w:rPr>
        <w:t>El valor de mercado es el precio al cual se negocia en una bolsa de valores, el valor facial en caso de valores no negociables en bolsa o el valor intrínseco de la participación en caso de fondos de inversión abiertos.</w:t>
      </w:r>
    </w:p>
    <w:p w14:paraId="3F513035" w14:textId="77777777" w:rsidR="009C192E" w:rsidRPr="00576357" w:rsidRDefault="009C192E" w:rsidP="00681541">
      <w:pPr>
        <w:pStyle w:val="Prrafodelista"/>
        <w:numPr>
          <w:ilvl w:val="0"/>
          <w:numId w:val="39"/>
        </w:numPr>
        <w:spacing w:after="240"/>
        <w:ind w:left="1134" w:hanging="567"/>
        <w:jc w:val="both"/>
        <w:rPr>
          <w:rFonts w:asciiTheme="majorHAnsi" w:hAnsiTheme="majorHAnsi" w:cstheme="majorHAnsi"/>
          <w:b/>
          <w:bCs/>
          <w:sz w:val="23"/>
          <w:szCs w:val="23"/>
        </w:rPr>
      </w:pPr>
      <w:r w:rsidRPr="00576357">
        <w:rPr>
          <w:rFonts w:asciiTheme="majorHAnsi" w:hAnsiTheme="majorHAnsi" w:cstheme="majorHAnsi"/>
          <w:b/>
          <w:bCs/>
          <w:sz w:val="23"/>
          <w:szCs w:val="23"/>
        </w:rPr>
        <w:t xml:space="preserve">Avales y Cartas de Crédito Stand </w:t>
      </w:r>
      <w:proofErr w:type="spellStart"/>
      <w:r w:rsidRPr="00576357">
        <w:rPr>
          <w:rFonts w:asciiTheme="majorHAnsi" w:hAnsiTheme="majorHAnsi" w:cstheme="majorHAnsi"/>
          <w:b/>
          <w:bCs/>
          <w:sz w:val="23"/>
          <w:szCs w:val="23"/>
        </w:rPr>
        <w:t>by</w:t>
      </w:r>
      <w:proofErr w:type="spellEnd"/>
    </w:p>
    <w:p w14:paraId="28B335A0" w14:textId="77777777" w:rsidR="009C192E" w:rsidRPr="00576357" w:rsidRDefault="009C192E" w:rsidP="009C192E">
      <w:pPr>
        <w:ind w:left="567"/>
        <w:rPr>
          <w:rFonts w:asciiTheme="majorHAnsi" w:hAnsiTheme="majorHAnsi" w:cstheme="majorHAnsi"/>
          <w:sz w:val="23"/>
          <w:szCs w:val="23"/>
        </w:rPr>
      </w:pPr>
      <w:r w:rsidRPr="00576357">
        <w:rPr>
          <w:rFonts w:asciiTheme="majorHAnsi" w:hAnsiTheme="majorHAnsi" w:cstheme="majorHAnsi"/>
          <w:sz w:val="23"/>
          <w:szCs w:val="23"/>
        </w:rPr>
        <w:t xml:space="preserve">El valor será el monto facial consignado en el respectivo documento de garantía. </w:t>
      </w:r>
    </w:p>
    <w:p w14:paraId="7E1D02D4" w14:textId="77777777" w:rsidR="009C192E" w:rsidRPr="00576357" w:rsidRDefault="009C192E" w:rsidP="009C192E">
      <w:pPr>
        <w:pStyle w:val="Ttulo1"/>
        <w:rPr>
          <w:rFonts w:asciiTheme="majorHAnsi" w:hAnsiTheme="majorHAnsi" w:cstheme="majorHAnsi"/>
          <w:sz w:val="23"/>
          <w:szCs w:val="23"/>
        </w:rPr>
      </w:pPr>
      <w:r w:rsidRPr="00576357">
        <w:rPr>
          <w:rFonts w:asciiTheme="majorHAnsi" w:hAnsiTheme="majorHAnsi" w:cstheme="majorHAnsi"/>
          <w:sz w:val="23"/>
          <w:szCs w:val="23"/>
        </w:rPr>
        <w:br w:type="page"/>
      </w:r>
      <w:bookmarkStart w:id="17" w:name="_Toc88480394"/>
      <w:bookmarkStart w:id="18" w:name="_Toc198728731"/>
      <w:bookmarkStart w:id="19" w:name="_Toc227326025"/>
      <w:r w:rsidRPr="00576357">
        <w:rPr>
          <w:rFonts w:asciiTheme="majorHAnsi" w:hAnsiTheme="majorHAnsi" w:cstheme="majorHAnsi"/>
          <w:sz w:val="23"/>
          <w:szCs w:val="23"/>
        </w:rPr>
        <w:lastRenderedPageBreak/>
        <w:t>IV) METODOLOGÍA PARA HOMOLOGAR LAS ESCALAS DE CALIFICACIÓN DE RIESGO NACIONALES</w:t>
      </w:r>
      <w:bookmarkEnd w:id="17"/>
      <w:bookmarkEnd w:id="18"/>
      <w:bookmarkEnd w:id="19"/>
    </w:p>
    <w:p w14:paraId="3A0278B3" w14:textId="77777777" w:rsidR="009C192E" w:rsidRPr="00576357" w:rsidRDefault="009C192E" w:rsidP="009C192E">
      <w:pPr>
        <w:shd w:val="clear" w:color="auto" w:fill="FFFFFF" w:themeFill="background1"/>
        <w:ind w:left="1134" w:hanging="1127"/>
        <w:rPr>
          <w:rFonts w:asciiTheme="majorHAnsi" w:hAnsiTheme="majorHAnsi" w:cstheme="majorHAnsi"/>
          <w:sz w:val="23"/>
          <w:szCs w:val="23"/>
        </w:rPr>
      </w:pPr>
      <w:r w:rsidRPr="00576357">
        <w:rPr>
          <w:rFonts w:asciiTheme="majorHAnsi" w:hAnsiTheme="majorHAnsi" w:cstheme="majorHAnsi"/>
          <w:sz w:val="23"/>
          <w:szCs w:val="23"/>
          <w:u w:val="single" w:color="000000"/>
        </w:rPr>
        <w:t>Objetivo</w:t>
      </w:r>
      <w:r w:rsidRPr="00576357">
        <w:rPr>
          <w:rFonts w:asciiTheme="majorHAnsi" w:hAnsiTheme="majorHAnsi" w:cstheme="majorHAnsi"/>
          <w:sz w:val="23"/>
          <w:szCs w:val="23"/>
        </w:rPr>
        <w:t>:</w:t>
      </w:r>
      <w:r w:rsidRPr="00576357">
        <w:rPr>
          <w:rFonts w:asciiTheme="majorHAnsi" w:hAnsiTheme="majorHAnsi" w:cstheme="majorHAnsi"/>
          <w:sz w:val="23"/>
          <w:szCs w:val="23"/>
        </w:rPr>
        <w:tab/>
        <w:t xml:space="preserve">Homologar las escalas de calificación de las agencias calificadoras de riesgo autorizadas por la SUGEVAL a las escalas de calificación de las agencias calificadoras de riesgo internacionales. </w:t>
      </w:r>
    </w:p>
    <w:p w14:paraId="0BDD4445" w14:textId="77777777" w:rsidR="009C192E" w:rsidRPr="00576357" w:rsidRDefault="009C192E" w:rsidP="00681541">
      <w:pPr>
        <w:pStyle w:val="Ttulo2"/>
        <w:numPr>
          <w:ilvl w:val="0"/>
          <w:numId w:val="40"/>
        </w:numPr>
        <w:ind w:left="567" w:hanging="578"/>
        <w:rPr>
          <w:rFonts w:asciiTheme="majorHAnsi" w:hAnsiTheme="majorHAnsi" w:cstheme="majorHAnsi"/>
          <w:sz w:val="23"/>
          <w:szCs w:val="23"/>
        </w:rPr>
      </w:pPr>
      <w:bookmarkStart w:id="20" w:name="_Toc227326026"/>
      <w:r w:rsidRPr="00576357">
        <w:rPr>
          <w:rFonts w:asciiTheme="majorHAnsi" w:hAnsiTheme="majorHAnsi" w:cstheme="majorHAnsi"/>
          <w:sz w:val="23"/>
          <w:szCs w:val="23"/>
        </w:rPr>
        <w:t>Escala principal y segmentos de escalas</w:t>
      </w:r>
      <w:bookmarkEnd w:id="20"/>
      <w:r w:rsidRPr="00576357">
        <w:rPr>
          <w:rFonts w:asciiTheme="majorHAnsi" w:hAnsiTheme="majorHAnsi" w:cstheme="majorHAnsi"/>
          <w:sz w:val="23"/>
          <w:szCs w:val="23"/>
        </w:rPr>
        <w:t xml:space="preserve">  </w:t>
      </w:r>
    </w:p>
    <w:p w14:paraId="4290CB5B"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 xml:space="preserve">La escala de calificación internacional de Fitch (denominada en adelante como “escala principal”) se define como la escala internacional a la cual se homologan las escalas de calificación nacionales. A través de esta escala principal pueden determinarse las equivalencias entre las distintas escalas de calificación nacionales e internacionales. </w:t>
      </w:r>
    </w:p>
    <w:p w14:paraId="47D6360E"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 xml:space="preserve">Cada escala de calificación de las agencias calificadoras autorizadas por la SUGEVAL será dividida en dos segmentos:  </w:t>
      </w:r>
    </w:p>
    <w:p w14:paraId="7FE4824F" w14:textId="77777777" w:rsidR="009C192E" w:rsidRPr="00576357" w:rsidRDefault="009C192E" w:rsidP="009C192E">
      <w:pPr>
        <w:ind w:left="426"/>
        <w:rPr>
          <w:rFonts w:asciiTheme="majorHAnsi" w:hAnsiTheme="majorHAnsi" w:cstheme="majorHAnsi"/>
          <w:sz w:val="23"/>
          <w:szCs w:val="23"/>
        </w:rPr>
      </w:pPr>
      <w:r w:rsidRPr="00576357">
        <w:rPr>
          <w:rFonts w:asciiTheme="majorHAnsi" w:hAnsiTheme="majorHAnsi" w:cstheme="majorHAnsi"/>
          <w:sz w:val="23"/>
          <w:szCs w:val="23"/>
        </w:rPr>
        <w:t>1)</w:t>
      </w:r>
      <w:r w:rsidRPr="00576357">
        <w:rPr>
          <w:rFonts w:asciiTheme="majorHAnsi" w:hAnsiTheme="majorHAnsi" w:cstheme="majorHAnsi"/>
          <w:sz w:val="23"/>
          <w:szCs w:val="23"/>
        </w:rPr>
        <w:tab/>
        <w:t xml:space="preserve">Segmento AB: las calificaciones que denotan un riesgo menor al de “impago inminente” (usualmente inician con las letras A y B) y </w:t>
      </w:r>
    </w:p>
    <w:p w14:paraId="7C681EFC" w14:textId="77777777" w:rsidR="009C192E" w:rsidRPr="00576357" w:rsidRDefault="009C192E" w:rsidP="009C192E">
      <w:pPr>
        <w:ind w:left="426"/>
        <w:rPr>
          <w:rFonts w:asciiTheme="majorHAnsi" w:hAnsiTheme="majorHAnsi" w:cstheme="majorHAnsi"/>
          <w:sz w:val="23"/>
          <w:szCs w:val="23"/>
        </w:rPr>
      </w:pPr>
      <w:r w:rsidRPr="00576357">
        <w:rPr>
          <w:rFonts w:asciiTheme="majorHAnsi" w:hAnsiTheme="majorHAnsi" w:cstheme="majorHAnsi"/>
          <w:sz w:val="23"/>
          <w:szCs w:val="23"/>
        </w:rPr>
        <w:t>2)</w:t>
      </w:r>
      <w:r w:rsidRPr="00576357">
        <w:rPr>
          <w:rFonts w:asciiTheme="majorHAnsi" w:hAnsiTheme="majorHAnsi" w:cstheme="majorHAnsi"/>
          <w:sz w:val="23"/>
          <w:szCs w:val="23"/>
        </w:rPr>
        <w:tab/>
        <w:t xml:space="preserve">Segmento CD: las calificaciones que denotan un “impago probable” y calificaciones de mayor riesgo (usualmente inician con las letras C, D y siguientes). </w:t>
      </w:r>
    </w:p>
    <w:p w14:paraId="4179A75A" w14:textId="77777777" w:rsidR="009C192E" w:rsidRPr="00576357" w:rsidRDefault="009C192E" w:rsidP="00681541">
      <w:pPr>
        <w:pStyle w:val="Ttulo2"/>
        <w:numPr>
          <w:ilvl w:val="0"/>
          <w:numId w:val="40"/>
        </w:numPr>
        <w:ind w:left="567" w:hanging="578"/>
        <w:rPr>
          <w:rFonts w:asciiTheme="majorHAnsi" w:hAnsiTheme="majorHAnsi" w:cstheme="majorHAnsi"/>
          <w:sz w:val="23"/>
          <w:szCs w:val="23"/>
        </w:rPr>
      </w:pPr>
      <w:bookmarkStart w:id="21" w:name="_Toc227326027"/>
      <w:r w:rsidRPr="00576357">
        <w:rPr>
          <w:rFonts w:asciiTheme="majorHAnsi" w:hAnsiTheme="majorHAnsi" w:cstheme="majorHAnsi"/>
          <w:sz w:val="23"/>
          <w:szCs w:val="23"/>
        </w:rPr>
        <w:t>Homologación del Segmento AB</w:t>
      </w:r>
      <w:bookmarkEnd w:id="21"/>
      <w:r w:rsidRPr="00576357">
        <w:rPr>
          <w:rFonts w:asciiTheme="majorHAnsi" w:hAnsiTheme="majorHAnsi" w:cstheme="majorHAnsi"/>
          <w:sz w:val="23"/>
          <w:szCs w:val="23"/>
        </w:rPr>
        <w:t xml:space="preserve"> </w:t>
      </w:r>
    </w:p>
    <w:p w14:paraId="731600A2"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 xml:space="preserve">La homologación del segmento AB se realiza de la siguiente forma:  </w:t>
      </w:r>
    </w:p>
    <w:p w14:paraId="2E2337FF" w14:textId="77777777" w:rsidR="009C192E" w:rsidRPr="00576357" w:rsidRDefault="009C192E" w:rsidP="009C192E">
      <w:pPr>
        <w:ind w:left="426"/>
        <w:rPr>
          <w:rFonts w:asciiTheme="majorHAnsi" w:hAnsiTheme="majorHAnsi" w:cstheme="majorHAnsi"/>
          <w:sz w:val="23"/>
          <w:szCs w:val="23"/>
        </w:rPr>
      </w:pPr>
      <w:r w:rsidRPr="00576357">
        <w:rPr>
          <w:rFonts w:asciiTheme="majorHAnsi" w:hAnsiTheme="majorHAnsi" w:cstheme="majorHAnsi"/>
          <w:sz w:val="23"/>
          <w:szCs w:val="23"/>
        </w:rPr>
        <w:t>1)</w:t>
      </w:r>
      <w:r w:rsidRPr="00576357">
        <w:rPr>
          <w:rFonts w:asciiTheme="majorHAnsi" w:hAnsiTheme="majorHAnsi" w:cstheme="majorHAnsi"/>
          <w:sz w:val="23"/>
          <w:szCs w:val="23"/>
        </w:rPr>
        <w:tab/>
        <w:t xml:space="preserve">Se determina la calificación de riesgo país de Costa Rica en la escala principal tomando en cuenta el Artículo 13. Uso de calificaciones del Acuerdo SUGEF 1-26. </w:t>
      </w:r>
    </w:p>
    <w:p w14:paraId="1827EFE8" w14:textId="77777777" w:rsidR="009C192E" w:rsidRPr="00576357" w:rsidRDefault="009C192E" w:rsidP="009C192E">
      <w:pPr>
        <w:ind w:left="426"/>
        <w:rPr>
          <w:rFonts w:asciiTheme="majorHAnsi" w:hAnsiTheme="majorHAnsi" w:cstheme="majorHAnsi"/>
          <w:sz w:val="23"/>
          <w:szCs w:val="23"/>
        </w:rPr>
      </w:pPr>
      <w:r w:rsidRPr="00576357">
        <w:rPr>
          <w:rFonts w:asciiTheme="majorHAnsi" w:hAnsiTheme="majorHAnsi" w:cstheme="majorHAnsi"/>
          <w:sz w:val="23"/>
          <w:szCs w:val="23"/>
        </w:rPr>
        <w:t>2)</w:t>
      </w:r>
      <w:r w:rsidRPr="00576357">
        <w:rPr>
          <w:rFonts w:asciiTheme="majorHAnsi" w:hAnsiTheme="majorHAnsi" w:cstheme="majorHAnsi"/>
          <w:sz w:val="23"/>
          <w:szCs w:val="23"/>
        </w:rPr>
        <w:tab/>
        <w:t xml:space="preserve">Se determina la cantidad de calificaciones de la escala principal igual a la calificación determinada en el numeral 1) de este apartado y hasta la calificación B-. A la calificación de riesgo país de Costa Rica se le asigna el número 1, a la siguiente </w:t>
      </w:r>
      <w:r w:rsidRPr="00576357">
        <w:rPr>
          <w:rFonts w:asciiTheme="majorHAnsi" w:hAnsiTheme="majorHAnsi" w:cstheme="majorHAnsi"/>
          <w:sz w:val="23"/>
          <w:szCs w:val="23"/>
        </w:rPr>
        <w:lastRenderedPageBreak/>
        <w:t xml:space="preserve">calificación el número 2 y así sucesivamente hasta asignarle un número a la calificación B-. </w:t>
      </w:r>
    </w:p>
    <w:p w14:paraId="4F2B4895" w14:textId="77777777" w:rsidR="009C192E" w:rsidRPr="00576357" w:rsidRDefault="009C192E" w:rsidP="009C192E">
      <w:pPr>
        <w:ind w:left="426"/>
        <w:rPr>
          <w:rFonts w:asciiTheme="majorHAnsi" w:hAnsiTheme="majorHAnsi" w:cstheme="majorHAnsi"/>
          <w:sz w:val="23"/>
          <w:szCs w:val="23"/>
        </w:rPr>
      </w:pPr>
      <w:r w:rsidRPr="00576357">
        <w:rPr>
          <w:rFonts w:asciiTheme="majorHAnsi" w:hAnsiTheme="majorHAnsi" w:cstheme="majorHAnsi"/>
          <w:sz w:val="23"/>
          <w:szCs w:val="23"/>
        </w:rPr>
        <w:t>3)</w:t>
      </w:r>
      <w:r w:rsidRPr="00576357">
        <w:rPr>
          <w:rFonts w:asciiTheme="majorHAnsi" w:hAnsiTheme="majorHAnsi" w:cstheme="majorHAnsi"/>
          <w:sz w:val="23"/>
          <w:szCs w:val="23"/>
        </w:rPr>
        <w:tab/>
        <w:t xml:space="preserve">A cada calificación del segmento AB se le asigna un número: a la mejor calificación se le asigna el número 1, a la siguiente calificación el número 2 y así sucesivamente hasta asignarle un número a la calificación de mayor riesgo del segmento AB. </w:t>
      </w:r>
    </w:p>
    <w:p w14:paraId="4A8C69E6" w14:textId="77777777" w:rsidR="009C192E" w:rsidRPr="00576357" w:rsidRDefault="009C192E" w:rsidP="009C192E">
      <w:pPr>
        <w:ind w:left="426"/>
        <w:rPr>
          <w:rFonts w:asciiTheme="majorHAnsi" w:hAnsiTheme="majorHAnsi" w:cstheme="majorHAnsi"/>
          <w:sz w:val="23"/>
          <w:szCs w:val="23"/>
        </w:rPr>
      </w:pPr>
      <w:r w:rsidRPr="00576357">
        <w:rPr>
          <w:rFonts w:asciiTheme="majorHAnsi" w:hAnsiTheme="majorHAnsi" w:cstheme="majorHAnsi"/>
          <w:sz w:val="23"/>
          <w:szCs w:val="23"/>
        </w:rPr>
        <w:t>4)</w:t>
      </w:r>
      <w:r w:rsidRPr="00576357">
        <w:rPr>
          <w:rFonts w:asciiTheme="majorHAnsi" w:hAnsiTheme="majorHAnsi" w:cstheme="majorHAnsi"/>
          <w:sz w:val="23"/>
          <w:szCs w:val="23"/>
        </w:rPr>
        <w:tab/>
        <w:t xml:space="preserve">Se divide la cantidad de calificaciones en el segmento AB entre la cantidad de calificaciones determinada en el numeral 2) de este apartado. </w:t>
      </w:r>
    </w:p>
    <w:p w14:paraId="07C77A5E" w14:textId="77777777" w:rsidR="009C192E" w:rsidRPr="00576357" w:rsidRDefault="009C192E" w:rsidP="009C192E">
      <w:pPr>
        <w:ind w:left="426"/>
        <w:rPr>
          <w:rFonts w:asciiTheme="majorHAnsi" w:hAnsiTheme="majorHAnsi" w:cstheme="majorHAnsi"/>
          <w:sz w:val="23"/>
          <w:szCs w:val="23"/>
        </w:rPr>
      </w:pPr>
      <w:r w:rsidRPr="00576357">
        <w:rPr>
          <w:rFonts w:asciiTheme="majorHAnsi" w:hAnsiTheme="majorHAnsi" w:cstheme="majorHAnsi"/>
          <w:sz w:val="23"/>
          <w:szCs w:val="23"/>
        </w:rPr>
        <w:t>5)</w:t>
      </w:r>
      <w:r w:rsidRPr="00576357">
        <w:rPr>
          <w:rFonts w:asciiTheme="majorHAnsi" w:hAnsiTheme="majorHAnsi" w:cstheme="majorHAnsi"/>
          <w:sz w:val="23"/>
          <w:szCs w:val="23"/>
        </w:rPr>
        <w:tab/>
        <w:t>A cada calificación de la escala principal se le asigna un rango de números del conjunto de números determinado en el numeral 3) de este apartado según los siguientes dos numerales.</w:t>
      </w:r>
    </w:p>
    <w:p w14:paraId="0AAE2B83" w14:textId="77777777" w:rsidR="009C192E" w:rsidRPr="00576357" w:rsidRDefault="009C192E" w:rsidP="009C192E">
      <w:pPr>
        <w:ind w:left="426"/>
        <w:rPr>
          <w:rFonts w:asciiTheme="majorHAnsi" w:hAnsiTheme="majorHAnsi" w:cstheme="majorHAnsi"/>
          <w:sz w:val="23"/>
          <w:szCs w:val="23"/>
        </w:rPr>
      </w:pPr>
      <w:r w:rsidRPr="00576357">
        <w:rPr>
          <w:rFonts w:asciiTheme="majorHAnsi" w:hAnsiTheme="majorHAnsi" w:cstheme="majorHAnsi"/>
          <w:sz w:val="23"/>
          <w:szCs w:val="23"/>
        </w:rPr>
        <w:t>6)</w:t>
      </w:r>
      <w:r w:rsidRPr="00576357">
        <w:rPr>
          <w:rFonts w:asciiTheme="majorHAnsi" w:hAnsiTheme="majorHAnsi" w:cstheme="majorHAnsi"/>
          <w:sz w:val="23"/>
          <w:szCs w:val="23"/>
        </w:rPr>
        <w:tab/>
        <w:t xml:space="preserve">El límite inferior del rango de números asignado a cada calificación de la escala principal se determina de la siguiente forma: para la mejor calificación es 1 y para las siguientes calificaciones es igual al límite superior de la calificación anterior más 1. </w:t>
      </w:r>
    </w:p>
    <w:p w14:paraId="56C7FF61" w14:textId="77777777" w:rsidR="009C192E" w:rsidRPr="00576357" w:rsidRDefault="009C192E" w:rsidP="009C192E">
      <w:pPr>
        <w:ind w:left="426"/>
        <w:rPr>
          <w:rFonts w:asciiTheme="majorHAnsi" w:hAnsiTheme="majorHAnsi" w:cstheme="majorHAnsi"/>
          <w:sz w:val="23"/>
          <w:szCs w:val="23"/>
        </w:rPr>
      </w:pPr>
      <w:r w:rsidRPr="00576357">
        <w:rPr>
          <w:rFonts w:asciiTheme="majorHAnsi" w:hAnsiTheme="majorHAnsi" w:cstheme="majorHAnsi"/>
          <w:sz w:val="23"/>
          <w:szCs w:val="23"/>
        </w:rPr>
        <w:t>7)</w:t>
      </w:r>
      <w:r w:rsidRPr="00576357">
        <w:rPr>
          <w:rFonts w:asciiTheme="majorHAnsi" w:hAnsiTheme="majorHAnsi" w:cstheme="majorHAnsi"/>
          <w:sz w:val="23"/>
          <w:szCs w:val="23"/>
        </w:rPr>
        <w:tab/>
        <w:t xml:space="preserve">El límite superior del rango de números asignado a cada calificación de la escala principal es igual al valor redondeado al número natural más cercano del resultado que se obtiene de multiplicar el valor obtenido en el numeral 4) de este apartado con el número asignado en el numeral 2) de este apartado a cada calificación igual a la calificación determinada en el numeral 1) de este apartado y hasta la calificación B-. </w:t>
      </w:r>
    </w:p>
    <w:p w14:paraId="519D0E52" w14:textId="77777777" w:rsidR="009C192E" w:rsidRPr="00576357" w:rsidRDefault="009C192E" w:rsidP="009C192E">
      <w:pPr>
        <w:ind w:left="426"/>
        <w:rPr>
          <w:rFonts w:asciiTheme="majorHAnsi" w:hAnsiTheme="majorHAnsi" w:cstheme="majorHAnsi"/>
          <w:sz w:val="23"/>
          <w:szCs w:val="23"/>
        </w:rPr>
      </w:pPr>
      <w:r w:rsidRPr="00576357">
        <w:rPr>
          <w:rFonts w:asciiTheme="majorHAnsi" w:hAnsiTheme="majorHAnsi" w:cstheme="majorHAnsi"/>
          <w:sz w:val="23"/>
          <w:szCs w:val="23"/>
        </w:rPr>
        <w:t xml:space="preserve">A cada calificación de la escala principal se le asignan las calificaciones del segmento AB que según al rango de números asignado en el numeral 5) de este apartado y que le corresponden revirtiendo el procedimiento del numeral 3) de este apartado. </w:t>
      </w:r>
    </w:p>
    <w:p w14:paraId="113B30B7" w14:textId="77777777" w:rsidR="009C192E" w:rsidRPr="00576357" w:rsidRDefault="009C192E" w:rsidP="00681541">
      <w:pPr>
        <w:pStyle w:val="Ttulo2"/>
        <w:numPr>
          <w:ilvl w:val="0"/>
          <w:numId w:val="40"/>
        </w:numPr>
        <w:ind w:left="567" w:hanging="578"/>
        <w:rPr>
          <w:rFonts w:asciiTheme="majorHAnsi" w:hAnsiTheme="majorHAnsi" w:cstheme="majorHAnsi"/>
          <w:sz w:val="23"/>
          <w:szCs w:val="23"/>
        </w:rPr>
      </w:pPr>
      <w:bookmarkStart w:id="22" w:name="_Toc227326028"/>
      <w:r w:rsidRPr="00576357">
        <w:rPr>
          <w:rFonts w:asciiTheme="majorHAnsi" w:hAnsiTheme="majorHAnsi" w:cstheme="majorHAnsi"/>
          <w:sz w:val="23"/>
          <w:szCs w:val="23"/>
        </w:rPr>
        <w:t>Homologación del Segmento CD</w:t>
      </w:r>
      <w:bookmarkEnd w:id="22"/>
      <w:r w:rsidRPr="00576357">
        <w:rPr>
          <w:rFonts w:asciiTheme="majorHAnsi" w:hAnsiTheme="majorHAnsi" w:cstheme="majorHAnsi"/>
          <w:sz w:val="23"/>
          <w:szCs w:val="23"/>
        </w:rPr>
        <w:t xml:space="preserve"> </w:t>
      </w:r>
    </w:p>
    <w:p w14:paraId="26C8968D"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 xml:space="preserve">El segmento CD se asigna en su totalidad a la categoría de riesgo 6, por lo cual no es necesario determinar la equivalencia hacia calificaciones específicas de la escala principal.  </w:t>
      </w:r>
    </w:p>
    <w:p w14:paraId="7844704B"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br w:type="page"/>
      </w:r>
    </w:p>
    <w:p w14:paraId="7494DB9D" w14:textId="77777777" w:rsidR="009C192E" w:rsidRPr="00576357" w:rsidRDefault="009C192E" w:rsidP="009C192E">
      <w:pPr>
        <w:pStyle w:val="Ttulo1"/>
        <w:rPr>
          <w:rFonts w:asciiTheme="majorHAnsi" w:hAnsiTheme="majorHAnsi" w:cstheme="majorHAnsi"/>
          <w:sz w:val="23"/>
          <w:szCs w:val="23"/>
        </w:rPr>
      </w:pPr>
      <w:bookmarkStart w:id="23" w:name="_Toc88480395"/>
      <w:bookmarkStart w:id="24" w:name="_Toc198728732"/>
      <w:bookmarkStart w:id="25" w:name="_Toc227326029"/>
      <w:bookmarkStart w:id="26" w:name="_Hlk225427236"/>
      <w:r w:rsidRPr="00576357">
        <w:rPr>
          <w:rFonts w:asciiTheme="majorHAnsi" w:hAnsiTheme="majorHAnsi" w:cstheme="majorHAnsi"/>
          <w:sz w:val="23"/>
          <w:szCs w:val="23"/>
        </w:rPr>
        <w:lastRenderedPageBreak/>
        <w:t>V)</w:t>
      </w:r>
      <w:r w:rsidRPr="00576357">
        <w:rPr>
          <w:rFonts w:asciiTheme="majorHAnsi" w:eastAsia="Arial" w:hAnsiTheme="majorHAnsi" w:cstheme="majorHAnsi"/>
          <w:sz w:val="23"/>
          <w:szCs w:val="23"/>
        </w:rPr>
        <w:t xml:space="preserve"> </w:t>
      </w:r>
      <w:r w:rsidRPr="00576357">
        <w:rPr>
          <w:rFonts w:asciiTheme="majorHAnsi" w:hAnsiTheme="majorHAnsi" w:cstheme="majorHAnsi"/>
          <w:sz w:val="23"/>
          <w:szCs w:val="23"/>
        </w:rPr>
        <w:t>EXPEDIENTE DEL CLIENTE</w:t>
      </w:r>
      <w:bookmarkEnd w:id="23"/>
      <w:bookmarkEnd w:id="24"/>
      <w:bookmarkEnd w:id="25"/>
    </w:p>
    <w:bookmarkEnd w:id="26"/>
    <w:p w14:paraId="0DBA054F" w14:textId="77777777" w:rsidR="009C192E" w:rsidRPr="00576357" w:rsidRDefault="009C192E" w:rsidP="009C192E">
      <w:pPr>
        <w:ind w:left="1134" w:hanging="1134"/>
        <w:rPr>
          <w:rFonts w:asciiTheme="majorHAnsi" w:hAnsiTheme="majorHAnsi" w:cstheme="majorHAnsi"/>
          <w:sz w:val="23"/>
          <w:szCs w:val="23"/>
        </w:rPr>
      </w:pPr>
      <w:r w:rsidRPr="00576357">
        <w:rPr>
          <w:rFonts w:asciiTheme="majorHAnsi" w:hAnsiTheme="majorHAnsi" w:cstheme="majorHAnsi"/>
          <w:sz w:val="23"/>
          <w:szCs w:val="23"/>
          <w:u w:val="single" w:color="000000"/>
        </w:rPr>
        <w:t>Objetivo</w:t>
      </w:r>
      <w:r w:rsidRPr="00576357">
        <w:rPr>
          <w:rFonts w:asciiTheme="majorHAnsi" w:hAnsiTheme="majorHAnsi" w:cstheme="majorHAnsi"/>
          <w:b/>
          <w:sz w:val="23"/>
          <w:szCs w:val="23"/>
        </w:rPr>
        <w:t>:</w:t>
      </w:r>
      <w:r w:rsidRPr="00576357">
        <w:rPr>
          <w:rFonts w:asciiTheme="majorHAnsi" w:hAnsiTheme="majorHAnsi" w:cstheme="majorHAnsi"/>
          <w:b/>
          <w:sz w:val="23"/>
          <w:szCs w:val="23"/>
        </w:rPr>
        <w:tab/>
      </w:r>
      <w:r w:rsidRPr="00576357">
        <w:rPr>
          <w:rFonts w:asciiTheme="majorHAnsi" w:hAnsiTheme="majorHAnsi" w:cstheme="majorHAnsi"/>
          <w:sz w:val="23"/>
          <w:szCs w:val="23"/>
        </w:rPr>
        <w:t>Mantener un expediente integral con la información sobre sus clientes de acuerdo con sus políticas, y requerimientos legales y regulatorios, pudiendo ser de forma digital, física o una combinación de ambas</w:t>
      </w:r>
      <w:r w:rsidRPr="00576357">
        <w:rPr>
          <w:rFonts w:asciiTheme="majorHAnsi" w:hAnsiTheme="majorHAnsi" w:cstheme="majorHAnsi"/>
          <w:b/>
          <w:sz w:val="23"/>
          <w:szCs w:val="23"/>
        </w:rPr>
        <w:t xml:space="preserve">. </w:t>
      </w:r>
    </w:p>
    <w:p w14:paraId="346A5123"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 xml:space="preserve">Con el fin de promover el uso eficiente de la información que mantiene la entidad financiera sobre sus clientes, sea que la información haya sido requerida en atención de diversas exigencias regulatorias o por política interna de la entidad. Además, promover la reducción de costos de gestión documental, mediante el uso de documentos y firmas digitales, y reducir eventuales duplicidades en los requerimientos de información.  </w:t>
      </w:r>
    </w:p>
    <w:p w14:paraId="6DB77059"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 xml:space="preserve">La SUGEF entiende por expediente del cliente al conjunto de información que la entidad, de acuerdo con sus políticas y requerimientos legales y regulatorios, debe mantener sobre sus clientes.  </w:t>
      </w:r>
    </w:p>
    <w:p w14:paraId="315DEEDC"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 xml:space="preserve">La entidad debe estar en capacidad de poner a disposición de la Superintendencia, cuando ella lo solicite, la totalidad de información que conforma el expediente del cliente. </w:t>
      </w:r>
    </w:p>
    <w:p w14:paraId="7BA13061" w14:textId="77777777" w:rsidR="009C192E" w:rsidRPr="00576357" w:rsidRDefault="009C192E" w:rsidP="00681541">
      <w:pPr>
        <w:pStyle w:val="Ttulo2"/>
        <w:numPr>
          <w:ilvl w:val="0"/>
          <w:numId w:val="41"/>
        </w:numPr>
        <w:ind w:left="567" w:hanging="578"/>
        <w:rPr>
          <w:rFonts w:asciiTheme="majorHAnsi" w:hAnsiTheme="majorHAnsi" w:cstheme="majorHAnsi"/>
          <w:sz w:val="23"/>
          <w:szCs w:val="23"/>
        </w:rPr>
      </w:pPr>
      <w:bookmarkStart w:id="27" w:name="_Toc227326030"/>
      <w:r w:rsidRPr="00576357">
        <w:rPr>
          <w:rFonts w:asciiTheme="majorHAnsi" w:eastAsia="Arial" w:hAnsiTheme="majorHAnsi" w:cstheme="majorHAnsi"/>
          <w:sz w:val="23"/>
          <w:szCs w:val="23"/>
        </w:rPr>
        <w:tab/>
      </w:r>
      <w:r w:rsidRPr="00576357">
        <w:rPr>
          <w:rFonts w:asciiTheme="majorHAnsi" w:hAnsiTheme="majorHAnsi" w:cstheme="majorHAnsi"/>
          <w:sz w:val="23"/>
          <w:szCs w:val="23"/>
        </w:rPr>
        <w:t>Consideraciones generales:</w:t>
      </w:r>
      <w:bookmarkEnd w:id="27"/>
      <w:r w:rsidRPr="00576357">
        <w:rPr>
          <w:rFonts w:asciiTheme="majorHAnsi" w:hAnsiTheme="majorHAnsi" w:cstheme="majorHAnsi"/>
          <w:sz w:val="23"/>
          <w:szCs w:val="23"/>
        </w:rPr>
        <w:t xml:space="preserve">  </w:t>
      </w:r>
    </w:p>
    <w:p w14:paraId="71C9FDDC"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 xml:space="preserve">En el marco de sanas prácticas de Gobierno Corporativo, corresponde a cada entidad supervisada aprobar las políticas sobre documentación de créditos, incluyendo la información que exigirá y mantendrá en el expediente de crédito de cada deudor, así como los criterios de actualización de dicha información. </w:t>
      </w:r>
    </w:p>
    <w:p w14:paraId="6D1CCE3D"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 xml:space="preserve">El expediente del cliente debe contener, al menos, la siguiente información: </w:t>
      </w:r>
    </w:p>
    <w:p w14:paraId="0520FAF7" w14:textId="77777777" w:rsidR="009C192E" w:rsidRPr="00576357" w:rsidRDefault="009C192E" w:rsidP="00576357">
      <w:pPr>
        <w:numPr>
          <w:ilvl w:val="0"/>
          <w:numId w:val="6"/>
        </w:numPr>
        <w:tabs>
          <w:tab w:val="left" w:pos="1276"/>
        </w:tabs>
        <w:spacing w:before="0" w:line="240" w:lineRule="auto"/>
        <w:ind w:left="851" w:hanging="284"/>
        <w:rPr>
          <w:rFonts w:asciiTheme="majorHAnsi" w:hAnsiTheme="majorHAnsi" w:cstheme="majorHAnsi"/>
          <w:sz w:val="23"/>
          <w:szCs w:val="23"/>
        </w:rPr>
      </w:pPr>
      <w:r w:rsidRPr="00576357">
        <w:rPr>
          <w:rFonts w:asciiTheme="majorHAnsi" w:hAnsiTheme="majorHAnsi" w:cstheme="majorHAnsi"/>
          <w:b/>
          <w:sz w:val="23"/>
          <w:szCs w:val="23"/>
        </w:rPr>
        <w:tab/>
        <w:t xml:space="preserve">Información general del cliente </w:t>
      </w:r>
    </w:p>
    <w:p w14:paraId="5D48927F" w14:textId="77777777" w:rsidR="009C192E" w:rsidRPr="00576357" w:rsidRDefault="009C192E" w:rsidP="009C192E">
      <w:pPr>
        <w:ind w:left="567"/>
        <w:rPr>
          <w:rFonts w:asciiTheme="majorHAnsi" w:hAnsiTheme="majorHAnsi" w:cstheme="majorHAnsi"/>
          <w:sz w:val="23"/>
          <w:szCs w:val="23"/>
        </w:rPr>
      </w:pPr>
      <w:r w:rsidRPr="00576357">
        <w:rPr>
          <w:rFonts w:asciiTheme="majorHAnsi" w:hAnsiTheme="majorHAnsi" w:cstheme="majorHAnsi"/>
          <w:sz w:val="23"/>
          <w:szCs w:val="23"/>
        </w:rPr>
        <w:t xml:space="preserve">Se refiere principalmente a información necesaria para la identificación y ubicación del cliente. Alguna de esta información es necesaria para el cumplimiento de la política Conozca a su cliente, la cual se detalla en el Acuerdo CONASSIF 12-21, y se </w:t>
      </w:r>
      <w:r w:rsidRPr="00576357">
        <w:rPr>
          <w:rFonts w:asciiTheme="majorHAnsi" w:hAnsiTheme="majorHAnsi" w:cstheme="majorHAnsi"/>
          <w:sz w:val="23"/>
          <w:szCs w:val="23"/>
        </w:rPr>
        <w:lastRenderedPageBreak/>
        <w:t xml:space="preserve">exige legal y reglamentariamente en disposiciones referentes a la prevención de actividades de legitimación de capitales.   </w:t>
      </w:r>
    </w:p>
    <w:p w14:paraId="4428F7E4" w14:textId="77777777" w:rsidR="009C192E" w:rsidRPr="00576357" w:rsidRDefault="009C192E" w:rsidP="00576357">
      <w:pPr>
        <w:numPr>
          <w:ilvl w:val="0"/>
          <w:numId w:val="6"/>
        </w:numPr>
        <w:tabs>
          <w:tab w:val="left" w:pos="1276"/>
        </w:tabs>
        <w:spacing w:before="0" w:line="240" w:lineRule="auto"/>
        <w:ind w:left="1134" w:hanging="425"/>
        <w:rPr>
          <w:rFonts w:asciiTheme="majorHAnsi" w:hAnsiTheme="majorHAnsi" w:cstheme="majorHAnsi"/>
          <w:b/>
          <w:sz w:val="23"/>
          <w:szCs w:val="23"/>
        </w:rPr>
      </w:pPr>
      <w:r w:rsidRPr="00576357">
        <w:rPr>
          <w:rFonts w:asciiTheme="majorHAnsi" w:hAnsiTheme="majorHAnsi" w:cstheme="majorHAnsi"/>
          <w:b/>
          <w:sz w:val="23"/>
          <w:szCs w:val="23"/>
        </w:rPr>
        <w:tab/>
        <w:t xml:space="preserve">Información sobre el grupo de interés económico y el grupo vinculado </w:t>
      </w:r>
    </w:p>
    <w:p w14:paraId="72BAB2ED" w14:textId="77777777" w:rsidR="009C192E" w:rsidRPr="00576357" w:rsidRDefault="009C192E" w:rsidP="009C192E">
      <w:pPr>
        <w:ind w:left="567"/>
        <w:rPr>
          <w:rFonts w:asciiTheme="majorHAnsi" w:hAnsiTheme="majorHAnsi" w:cstheme="majorHAnsi"/>
          <w:sz w:val="23"/>
          <w:szCs w:val="23"/>
        </w:rPr>
      </w:pPr>
      <w:r w:rsidRPr="00576357">
        <w:rPr>
          <w:rFonts w:asciiTheme="majorHAnsi" w:hAnsiTheme="majorHAnsi" w:cstheme="majorHAnsi"/>
          <w:sz w:val="23"/>
          <w:szCs w:val="23"/>
        </w:rPr>
        <w:t xml:space="preserve">Se refiere principalmente a la identificación de los miembros integrantes del grupo vinculado a la entidad o al grupo de interés económico del deudor, así como al tipo de vinculación y otra documentación que la entidad haya dispuesto.  </w:t>
      </w:r>
    </w:p>
    <w:p w14:paraId="7F6F2AC6" w14:textId="77777777" w:rsidR="009C192E" w:rsidRPr="00576357" w:rsidRDefault="009C192E" w:rsidP="009C192E">
      <w:pPr>
        <w:ind w:left="567"/>
        <w:rPr>
          <w:rFonts w:asciiTheme="majorHAnsi" w:hAnsiTheme="majorHAnsi" w:cstheme="majorHAnsi"/>
          <w:sz w:val="23"/>
          <w:szCs w:val="23"/>
        </w:rPr>
      </w:pPr>
      <w:r w:rsidRPr="00576357">
        <w:rPr>
          <w:rFonts w:asciiTheme="majorHAnsi" w:hAnsiTheme="majorHAnsi" w:cstheme="majorHAnsi"/>
          <w:sz w:val="23"/>
          <w:szCs w:val="23"/>
        </w:rPr>
        <w:t xml:space="preserve">Entre otros aspectos, se incluye: </w:t>
      </w:r>
    </w:p>
    <w:p w14:paraId="66C8F7B9" w14:textId="77777777" w:rsidR="009C192E" w:rsidRPr="00576357" w:rsidRDefault="009C192E" w:rsidP="009C192E">
      <w:pPr>
        <w:numPr>
          <w:ilvl w:val="1"/>
          <w:numId w:val="6"/>
        </w:numPr>
        <w:tabs>
          <w:tab w:val="left" w:pos="1418"/>
        </w:tabs>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ab/>
        <w:t xml:space="preserve">Conformación del grupo de interés económico o grupo vinculado a la entidad supervisada y la información pertinente sobre las personas integrantes; </w:t>
      </w:r>
    </w:p>
    <w:p w14:paraId="46D44F8B" w14:textId="77777777" w:rsidR="009C192E" w:rsidRPr="00576357" w:rsidRDefault="009C192E" w:rsidP="009C192E">
      <w:pPr>
        <w:numPr>
          <w:ilvl w:val="1"/>
          <w:numId w:val="6"/>
        </w:numPr>
        <w:tabs>
          <w:tab w:val="left" w:pos="1701"/>
        </w:tabs>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Indicación sobre si el deudor está sujeto al Artículo 117 de la Ley No. 1644 y la información pertinente. </w:t>
      </w:r>
    </w:p>
    <w:p w14:paraId="59FC7172" w14:textId="77777777" w:rsidR="009C192E" w:rsidRPr="00576357" w:rsidRDefault="009C192E" w:rsidP="00576357">
      <w:pPr>
        <w:numPr>
          <w:ilvl w:val="0"/>
          <w:numId w:val="6"/>
        </w:numPr>
        <w:tabs>
          <w:tab w:val="left" w:pos="1276"/>
        </w:tabs>
        <w:spacing w:before="0" w:line="240" w:lineRule="auto"/>
        <w:ind w:left="1134" w:hanging="283"/>
        <w:rPr>
          <w:rFonts w:asciiTheme="majorHAnsi" w:hAnsiTheme="majorHAnsi" w:cstheme="majorHAnsi"/>
          <w:b/>
          <w:sz w:val="23"/>
          <w:szCs w:val="23"/>
        </w:rPr>
      </w:pPr>
      <w:r w:rsidRPr="00576357">
        <w:rPr>
          <w:rFonts w:asciiTheme="majorHAnsi" w:hAnsiTheme="majorHAnsi" w:cstheme="majorHAnsi"/>
          <w:b/>
          <w:sz w:val="23"/>
          <w:szCs w:val="23"/>
        </w:rPr>
        <w:t xml:space="preserve">  Información sobre la aprobación de las operaciones crediticias </w:t>
      </w:r>
    </w:p>
    <w:p w14:paraId="4498F61C" w14:textId="77777777" w:rsidR="009C192E" w:rsidRPr="00576357" w:rsidRDefault="009C192E" w:rsidP="009C192E">
      <w:pPr>
        <w:ind w:left="1134" w:hanging="567"/>
        <w:rPr>
          <w:rFonts w:asciiTheme="majorHAnsi" w:hAnsiTheme="majorHAnsi" w:cstheme="majorHAnsi"/>
          <w:sz w:val="23"/>
          <w:szCs w:val="23"/>
        </w:rPr>
      </w:pPr>
      <w:r w:rsidRPr="00576357">
        <w:rPr>
          <w:rFonts w:asciiTheme="majorHAnsi" w:hAnsiTheme="majorHAnsi" w:cstheme="majorHAnsi"/>
          <w:sz w:val="23"/>
          <w:szCs w:val="23"/>
        </w:rPr>
        <w:t xml:space="preserve">Incluye entre otros aspectos: </w:t>
      </w:r>
    </w:p>
    <w:p w14:paraId="3B2665E4" w14:textId="77777777" w:rsidR="009C192E" w:rsidRPr="00576357" w:rsidRDefault="009C192E" w:rsidP="00D405D6">
      <w:pPr>
        <w:numPr>
          <w:ilvl w:val="1"/>
          <w:numId w:val="7"/>
        </w:numPr>
        <w:spacing w:before="0" w:after="0" w:line="276"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Contrato de la operación crediticia y adendas. </w:t>
      </w:r>
    </w:p>
    <w:p w14:paraId="4B1FADE0" w14:textId="77777777" w:rsidR="009C192E" w:rsidRPr="00576357" w:rsidRDefault="009C192E" w:rsidP="00D405D6">
      <w:pPr>
        <w:numPr>
          <w:ilvl w:val="1"/>
          <w:numId w:val="7"/>
        </w:numPr>
        <w:spacing w:before="0" w:after="0" w:line="276"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Aprobación por parte de la instancia que corresponda. </w:t>
      </w:r>
    </w:p>
    <w:p w14:paraId="195E403F" w14:textId="77777777" w:rsidR="009C192E" w:rsidRPr="00576357" w:rsidRDefault="009C192E" w:rsidP="00D405D6">
      <w:pPr>
        <w:numPr>
          <w:ilvl w:val="1"/>
          <w:numId w:val="7"/>
        </w:numPr>
        <w:spacing w:before="0" w:after="0" w:line="276"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Otra información, según políticas de la entidad. </w:t>
      </w:r>
    </w:p>
    <w:p w14:paraId="4FD36A82" w14:textId="77777777" w:rsidR="009C192E" w:rsidRPr="00576357" w:rsidRDefault="009C192E" w:rsidP="00576357">
      <w:pPr>
        <w:numPr>
          <w:ilvl w:val="0"/>
          <w:numId w:val="6"/>
        </w:numPr>
        <w:tabs>
          <w:tab w:val="left" w:pos="1276"/>
        </w:tabs>
        <w:spacing w:before="0" w:line="240" w:lineRule="auto"/>
        <w:ind w:left="1134" w:hanging="141"/>
        <w:rPr>
          <w:rFonts w:asciiTheme="majorHAnsi" w:hAnsiTheme="majorHAnsi" w:cstheme="majorHAnsi"/>
          <w:b/>
          <w:sz w:val="23"/>
          <w:szCs w:val="23"/>
        </w:rPr>
      </w:pPr>
      <w:r w:rsidRPr="00576357">
        <w:rPr>
          <w:rFonts w:asciiTheme="majorHAnsi" w:hAnsiTheme="majorHAnsi" w:cstheme="majorHAnsi"/>
          <w:b/>
          <w:sz w:val="23"/>
          <w:szCs w:val="23"/>
        </w:rPr>
        <w:t xml:space="preserve">  Información utilizada para el análisis de capacidad de pago </w:t>
      </w:r>
    </w:p>
    <w:p w14:paraId="7CA9CAD9" w14:textId="77777777" w:rsidR="009C192E" w:rsidRPr="00576357" w:rsidRDefault="009C192E" w:rsidP="009C192E">
      <w:pPr>
        <w:ind w:left="567"/>
        <w:rPr>
          <w:rFonts w:asciiTheme="majorHAnsi" w:hAnsiTheme="majorHAnsi" w:cstheme="majorHAnsi"/>
          <w:sz w:val="23"/>
          <w:szCs w:val="23"/>
        </w:rPr>
      </w:pPr>
      <w:r w:rsidRPr="00576357">
        <w:rPr>
          <w:rFonts w:asciiTheme="majorHAnsi" w:hAnsiTheme="majorHAnsi" w:cstheme="majorHAnsi"/>
          <w:sz w:val="23"/>
          <w:szCs w:val="23"/>
        </w:rPr>
        <w:t xml:space="preserve">Incluye información que, de acuerdo con las políticas de la entidad, o por disposición reglamentaria, es utilizada para el análisis de la capacidad de pago: </w:t>
      </w:r>
    </w:p>
    <w:p w14:paraId="18D7EDEE" w14:textId="77777777" w:rsidR="009C192E" w:rsidRPr="00576357" w:rsidRDefault="009C192E" w:rsidP="00681541">
      <w:pPr>
        <w:numPr>
          <w:ilvl w:val="0"/>
          <w:numId w:val="17"/>
        </w:numPr>
        <w:tabs>
          <w:tab w:val="left" w:pos="1560"/>
          <w:tab w:val="left" w:pos="1985"/>
          <w:tab w:val="left" w:pos="2127"/>
        </w:tabs>
        <w:spacing w:before="0" w:after="0" w:line="276" w:lineRule="auto"/>
        <w:ind w:left="1701" w:hanging="708"/>
        <w:rPr>
          <w:rFonts w:asciiTheme="majorHAnsi" w:hAnsiTheme="majorHAnsi" w:cstheme="majorHAnsi"/>
          <w:sz w:val="23"/>
          <w:szCs w:val="23"/>
        </w:rPr>
      </w:pPr>
      <w:r w:rsidRPr="00576357">
        <w:rPr>
          <w:rFonts w:asciiTheme="majorHAnsi" w:hAnsiTheme="majorHAnsi" w:cstheme="majorHAnsi"/>
          <w:sz w:val="23"/>
          <w:szCs w:val="23"/>
        </w:rPr>
        <w:tab/>
        <w:t xml:space="preserve">Información financiera del deudor o codeudor y de fiadores o avalistas (si existen). </w:t>
      </w:r>
    </w:p>
    <w:p w14:paraId="2ECF8A1F" w14:textId="77777777" w:rsidR="009C192E" w:rsidRPr="00576357" w:rsidRDefault="009C192E" w:rsidP="00681541">
      <w:pPr>
        <w:numPr>
          <w:ilvl w:val="0"/>
          <w:numId w:val="17"/>
        </w:numPr>
        <w:spacing w:before="0" w:after="0" w:line="276"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Información sobre antecedentes del deudor y del negocio.  </w:t>
      </w:r>
    </w:p>
    <w:p w14:paraId="6AF285C0" w14:textId="77777777" w:rsidR="009C192E" w:rsidRPr="00576357" w:rsidRDefault="009C192E" w:rsidP="00681541">
      <w:pPr>
        <w:numPr>
          <w:ilvl w:val="0"/>
          <w:numId w:val="17"/>
        </w:numPr>
        <w:spacing w:before="0" w:after="0" w:line="276"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Información sobre la situación del entorno sectorial.  </w:t>
      </w:r>
    </w:p>
    <w:p w14:paraId="75020351" w14:textId="77777777" w:rsidR="009C192E" w:rsidRPr="00576357" w:rsidRDefault="009C192E" w:rsidP="00681541">
      <w:pPr>
        <w:numPr>
          <w:ilvl w:val="0"/>
          <w:numId w:val="17"/>
        </w:numPr>
        <w:spacing w:before="0" w:after="0" w:line="276" w:lineRule="auto"/>
        <w:ind w:left="1701" w:hanging="567"/>
        <w:rPr>
          <w:rFonts w:asciiTheme="majorHAnsi" w:hAnsiTheme="majorHAnsi" w:cstheme="majorHAnsi"/>
          <w:sz w:val="23"/>
          <w:szCs w:val="23"/>
        </w:rPr>
      </w:pPr>
      <w:r w:rsidRPr="00576357">
        <w:rPr>
          <w:rFonts w:asciiTheme="majorHAnsi" w:hAnsiTheme="majorHAnsi" w:cstheme="majorHAnsi"/>
          <w:sz w:val="23"/>
          <w:szCs w:val="23"/>
        </w:rPr>
        <w:lastRenderedPageBreak/>
        <w:t xml:space="preserve">Información sobre otros factores que pueden incidir sobre la capacidad de pago del deudor. </w:t>
      </w:r>
    </w:p>
    <w:p w14:paraId="69464245" w14:textId="77777777" w:rsidR="009C192E" w:rsidRPr="00576357" w:rsidRDefault="009C192E" w:rsidP="009C192E">
      <w:pPr>
        <w:numPr>
          <w:ilvl w:val="0"/>
          <w:numId w:val="6"/>
        </w:numPr>
        <w:tabs>
          <w:tab w:val="left" w:pos="1134"/>
        </w:tabs>
        <w:spacing w:before="0" w:line="240" w:lineRule="auto"/>
        <w:ind w:left="1134"/>
        <w:rPr>
          <w:rFonts w:asciiTheme="majorHAnsi" w:hAnsiTheme="majorHAnsi" w:cstheme="majorHAnsi"/>
          <w:b/>
          <w:sz w:val="23"/>
          <w:szCs w:val="23"/>
        </w:rPr>
      </w:pPr>
      <w:r w:rsidRPr="00576357">
        <w:rPr>
          <w:rFonts w:asciiTheme="majorHAnsi" w:hAnsiTheme="majorHAnsi" w:cstheme="majorHAnsi"/>
          <w:b/>
          <w:sz w:val="23"/>
          <w:szCs w:val="23"/>
        </w:rPr>
        <w:t xml:space="preserve">  Resultados del análisis de capacidad de pago del deudor o codeudor</w:t>
      </w:r>
    </w:p>
    <w:p w14:paraId="4769370B" w14:textId="77777777" w:rsidR="009C192E" w:rsidRPr="00576357" w:rsidRDefault="009C192E" w:rsidP="009C192E">
      <w:pPr>
        <w:tabs>
          <w:tab w:val="left" w:pos="1134"/>
        </w:tabs>
        <w:ind w:left="1134" w:hanging="567"/>
        <w:rPr>
          <w:rFonts w:asciiTheme="majorHAnsi" w:hAnsiTheme="majorHAnsi" w:cstheme="majorHAnsi"/>
          <w:sz w:val="23"/>
          <w:szCs w:val="23"/>
        </w:rPr>
      </w:pPr>
      <w:r w:rsidRPr="00576357">
        <w:rPr>
          <w:rFonts w:asciiTheme="majorHAnsi" w:hAnsiTheme="majorHAnsi" w:cstheme="majorHAnsi"/>
          <w:sz w:val="23"/>
          <w:szCs w:val="23"/>
        </w:rPr>
        <w:t xml:space="preserve">Incluye entre otros aspectos: </w:t>
      </w:r>
    </w:p>
    <w:p w14:paraId="2A718301" w14:textId="77777777" w:rsidR="009C192E" w:rsidRPr="00576357" w:rsidRDefault="009C192E" w:rsidP="00681541">
      <w:pPr>
        <w:numPr>
          <w:ilvl w:val="0"/>
          <w:numId w:val="18"/>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Informe que sustenta el otorgamiento de crédito al deudor, así como los informes periódicos de revisión y seguimiento que se han llevado a cabo. </w:t>
      </w:r>
    </w:p>
    <w:p w14:paraId="5FBB8751" w14:textId="77777777" w:rsidR="009C192E" w:rsidRPr="00576357" w:rsidRDefault="009C192E" w:rsidP="00681541">
      <w:pPr>
        <w:numPr>
          <w:ilvl w:val="0"/>
          <w:numId w:val="18"/>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Escenarios de estrés aplicados al deudor, en el análisis de su capacidad de pago. </w:t>
      </w:r>
    </w:p>
    <w:p w14:paraId="384312FB" w14:textId="77777777" w:rsidR="009C192E" w:rsidRPr="00576357" w:rsidRDefault="009C192E" w:rsidP="00681541">
      <w:pPr>
        <w:numPr>
          <w:ilvl w:val="0"/>
          <w:numId w:val="18"/>
        </w:numPr>
        <w:tabs>
          <w:tab w:val="left" w:pos="1560"/>
        </w:tabs>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ab/>
        <w:t xml:space="preserve">Información sobre la vulnerabilidad a cambios en la tasa de interés, tipo de cambio y otras variables críticas. </w:t>
      </w:r>
    </w:p>
    <w:p w14:paraId="003BF7E3" w14:textId="77777777" w:rsidR="009C192E" w:rsidRPr="00576357" w:rsidRDefault="009C192E" w:rsidP="00681541">
      <w:pPr>
        <w:numPr>
          <w:ilvl w:val="0"/>
          <w:numId w:val="18"/>
        </w:numPr>
        <w:spacing w:before="0" w:line="240" w:lineRule="auto"/>
        <w:ind w:left="1701" w:hanging="634"/>
        <w:rPr>
          <w:rFonts w:asciiTheme="majorHAnsi" w:hAnsiTheme="majorHAnsi" w:cstheme="majorHAnsi"/>
          <w:sz w:val="23"/>
          <w:szCs w:val="23"/>
        </w:rPr>
      </w:pPr>
      <w:r w:rsidRPr="00576357">
        <w:rPr>
          <w:rFonts w:asciiTheme="majorHAnsi" w:hAnsiTheme="majorHAnsi" w:cstheme="majorHAnsi"/>
          <w:sz w:val="23"/>
          <w:szCs w:val="23"/>
        </w:rPr>
        <w:t xml:space="preserve">Indicación de si el deudor es “deudor con exposición a riesgo cambiario” o “deudor sin exposición a riesgo cambiario”, según las definiciones establecidas en el Artículo 3. Definiciones del </w:t>
      </w:r>
      <w:r w:rsidRPr="00576357">
        <w:rPr>
          <w:rFonts w:asciiTheme="majorHAnsi" w:hAnsiTheme="majorHAnsi" w:cstheme="majorHAnsi"/>
          <w:i/>
          <w:iCs/>
          <w:sz w:val="23"/>
          <w:szCs w:val="23"/>
        </w:rPr>
        <w:t>Reglamento sobre Administración Integral de Riesgos</w:t>
      </w:r>
      <w:r w:rsidRPr="00576357">
        <w:rPr>
          <w:rFonts w:asciiTheme="majorHAnsi" w:hAnsiTheme="majorHAnsi" w:cstheme="majorHAnsi"/>
          <w:sz w:val="23"/>
          <w:szCs w:val="23"/>
        </w:rPr>
        <w:t xml:space="preserve">, Acuerdo Sugef 2-10. </w:t>
      </w:r>
    </w:p>
    <w:p w14:paraId="17A164A2" w14:textId="77777777" w:rsidR="009C192E" w:rsidRPr="00576357" w:rsidRDefault="009C192E" w:rsidP="00681541">
      <w:pPr>
        <w:numPr>
          <w:ilvl w:val="0"/>
          <w:numId w:val="18"/>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Indicación de si el deudor es “Deudor con bajo riesgo cambiario del crédito” o “Deudor con alto riesgo cambiario del crédito”, según lo dispuesto en el Sección VII “METODOLOGÍAS DE ANÁLISIS DE ESTRÉS”, de estos Lineamientos Generales. </w:t>
      </w:r>
    </w:p>
    <w:p w14:paraId="259E51ED" w14:textId="77777777" w:rsidR="009C192E" w:rsidRPr="00576357" w:rsidRDefault="009C192E" w:rsidP="00681541">
      <w:pPr>
        <w:numPr>
          <w:ilvl w:val="0"/>
          <w:numId w:val="18"/>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Calificación de capacidad de pago y categoría de riesgo asignada al deudor, y fecha de la última revisión por parte de la entidad. </w:t>
      </w:r>
    </w:p>
    <w:p w14:paraId="45B9C659" w14:textId="77777777" w:rsidR="009C192E" w:rsidRPr="00576357" w:rsidRDefault="009C192E" w:rsidP="009C192E">
      <w:pPr>
        <w:numPr>
          <w:ilvl w:val="0"/>
          <w:numId w:val="6"/>
        </w:numPr>
        <w:tabs>
          <w:tab w:val="left" w:pos="1134"/>
        </w:tabs>
        <w:spacing w:before="0" w:line="240" w:lineRule="auto"/>
        <w:ind w:left="1134"/>
        <w:rPr>
          <w:rFonts w:asciiTheme="majorHAnsi" w:hAnsiTheme="majorHAnsi" w:cstheme="majorHAnsi"/>
          <w:sz w:val="23"/>
          <w:szCs w:val="23"/>
        </w:rPr>
      </w:pPr>
      <w:r w:rsidRPr="00576357">
        <w:rPr>
          <w:rFonts w:asciiTheme="majorHAnsi" w:hAnsiTheme="majorHAnsi" w:cstheme="majorHAnsi"/>
          <w:sz w:val="23"/>
          <w:szCs w:val="23"/>
        </w:rPr>
        <w:tab/>
      </w:r>
      <w:r w:rsidRPr="00576357">
        <w:rPr>
          <w:rFonts w:asciiTheme="majorHAnsi" w:hAnsiTheme="majorHAnsi" w:cstheme="majorHAnsi"/>
          <w:b/>
          <w:sz w:val="23"/>
          <w:szCs w:val="23"/>
        </w:rPr>
        <w:t xml:space="preserve">Información sobre garantías </w:t>
      </w:r>
    </w:p>
    <w:p w14:paraId="02FB1ACE" w14:textId="77777777" w:rsidR="009C192E" w:rsidRPr="00576357" w:rsidRDefault="009C192E" w:rsidP="009C192E">
      <w:pPr>
        <w:ind w:left="567"/>
        <w:rPr>
          <w:rFonts w:asciiTheme="majorHAnsi" w:hAnsiTheme="majorHAnsi" w:cstheme="majorHAnsi"/>
          <w:sz w:val="23"/>
          <w:szCs w:val="23"/>
        </w:rPr>
      </w:pPr>
      <w:r w:rsidRPr="00576357">
        <w:rPr>
          <w:rFonts w:asciiTheme="majorHAnsi" w:hAnsiTheme="majorHAnsi" w:cstheme="majorHAnsi"/>
          <w:sz w:val="23"/>
          <w:szCs w:val="23"/>
        </w:rPr>
        <w:t xml:space="preserve">Esta sección se refiere a la identificación de las garantías de las operaciones crediticias. Incluye no solo documentación formal sobre la conformación de las garantías, sino también avalúos y otras referencias de valor utilizadas por la entidad, así como los análisis efectuados en torno al uso y valoración de las garantías. </w:t>
      </w:r>
    </w:p>
    <w:p w14:paraId="0EB91C59" w14:textId="77777777" w:rsidR="009C192E" w:rsidRPr="00576357" w:rsidRDefault="009C192E" w:rsidP="009C192E">
      <w:pPr>
        <w:pStyle w:val="Ttulo1"/>
        <w:rPr>
          <w:rFonts w:asciiTheme="majorHAnsi" w:hAnsiTheme="majorHAnsi" w:cstheme="majorHAnsi"/>
          <w:sz w:val="23"/>
          <w:szCs w:val="23"/>
        </w:rPr>
      </w:pPr>
      <w:bookmarkStart w:id="28" w:name="_Toc88480397"/>
      <w:bookmarkStart w:id="29" w:name="_Toc198728734"/>
      <w:bookmarkStart w:id="30" w:name="_Toc227326031"/>
      <w:bookmarkStart w:id="31" w:name="_Hlk225427266"/>
      <w:r w:rsidRPr="00576357">
        <w:rPr>
          <w:rFonts w:asciiTheme="majorHAnsi" w:hAnsiTheme="majorHAnsi" w:cstheme="majorHAnsi"/>
          <w:sz w:val="23"/>
          <w:szCs w:val="23"/>
        </w:rPr>
        <w:lastRenderedPageBreak/>
        <w:t>VI)</w:t>
      </w:r>
      <w:r w:rsidRPr="00576357">
        <w:rPr>
          <w:rFonts w:asciiTheme="majorHAnsi" w:eastAsia="Arial" w:hAnsiTheme="majorHAnsi" w:cstheme="majorHAnsi"/>
          <w:sz w:val="23"/>
          <w:szCs w:val="23"/>
        </w:rPr>
        <w:t xml:space="preserve"> </w:t>
      </w:r>
      <w:r w:rsidRPr="00576357">
        <w:rPr>
          <w:rFonts w:asciiTheme="majorHAnsi" w:hAnsiTheme="majorHAnsi" w:cstheme="majorHAnsi"/>
          <w:sz w:val="23"/>
          <w:szCs w:val="23"/>
        </w:rPr>
        <w:t>METODOLOGÍAS DE ANÁLISIS DE CAPACIDAD DE PAGO</w:t>
      </w:r>
      <w:bookmarkEnd w:id="28"/>
      <w:bookmarkEnd w:id="29"/>
      <w:bookmarkEnd w:id="30"/>
    </w:p>
    <w:bookmarkEnd w:id="31"/>
    <w:p w14:paraId="6E813069" w14:textId="77777777" w:rsidR="009C192E" w:rsidRPr="00576357" w:rsidRDefault="009C192E" w:rsidP="009C192E">
      <w:pPr>
        <w:ind w:left="1134" w:hanging="1127"/>
        <w:rPr>
          <w:rFonts w:asciiTheme="majorHAnsi" w:hAnsiTheme="majorHAnsi" w:cstheme="majorHAnsi"/>
          <w:sz w:val="23"/>
          <w:szCs w:val="23"/>
        </w:rPr>
      </w:pPr>
      <w:r w:rsidRPr="00576357">
        <w:rPr>
          <w:rFonts w:asciiTheme="majorHAnsi" w:hAnsiTheme="majorHAnsi" w:cstheme="majorHAnsi"/>
          <w:sz w:val="23"/>
          <w:szCs w:val="23"/>
          <w:u w:val="single" w:color="000000"/>
        </w:rPr>
        <w:t>Objetivo</w:t>
      </w:r>
      <w:r w:rsidRPr="00576357">
        <w:rPr>
          <w:rFonts w:asciiTheme="majorHAnsi" w:hAnsiTheme="majorHAnsi" w:cstheme="majorHAnsi"/>
          <w:b/>
          <w:sz w:val="23"/>
          <w:szCs w:val="23"/>
        </w:rPr>
        <w:t>:</w:t>
      </w:r>
      <w:r w:rsidRPr="00576357">
        <w:rPr>
          <w:rFonts w:asciiTheme="majorHAnsi" w:hAnsiTheme="majorHAnsi" w:cstheme="majorHAnsi"/>
          <w:b/>
          <w:sz w:val="23"/>
          <w:szCs w:val="23"/>
        </w:rPr>
        <w:tab/>
      </w:r>
      <w:r w:rsidRPr="00576357">
        <w:rPr>
          <w:rFonts w:asciiTheme="majorHAnsi" w:hAnsiTheme="majorHAnsi" w:cstheme="majorHAnsi"/>
          <w:sz w:val="23"/>
          <w:szCs w:val="23"/>
        </w:rPr>
        <w:t xml:space="preserve">Establecer aspectos generales de la metodología para valorar la capacidad de pago de los deudores, su documentación y seguimiento. </w:t>
      </w:r>
    </w:p>
    <w:p w14:paraId="6D2B212E"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 xml:space="preserve">Las entidades supervisadas deben contar con metodologías de análisis de capacidad de pago, aprobadas por el Órgano de Dirección, documentadas, divulgadas y entendidas internamente, congruentes con su línea de negocio o productos crediticios y sujetos a mecanismos de validación y control.  </w:t>
      </w:r>
    </w:p>
    <w:p w14:paraId="2AA4D76D" w14:textId="77777777" w:rsidR="009C192E" w:rsidRPr="00576357" w:rsidRDefault="009C192E" w:rsidP="00681541">
      <w:pPr>
        <w:numPr>
          <w:ilvl w:val="0"/>
          <w:numId w:val="32"/>
        </w:numPr>
        <w:spacing w:before="0" w:line="240" w:lineRule="auto"/>
        <w:ind w:left="567" w:hanging="567"/>
        <w:rPr>
          <w:rFonts w:asciiTheme="majorHAnsi" w:hAnsiTheme="majorHAnsi" w:cstheme="majorHAnsi"/>
          <w:sz w:val="23"/>
          <w:szCs w:val="23"/>
        </w:rPr>
      </w:pPr>
      <w:r w:rsidRPr="00576357">
        <w:rPr>
          <w:rFonts w:asciiTheme="majorHAnsi" w:hAnsiTheme="majorHAnsi" w:cstheme="majorHAnsi"/>
          <w:sz w:val="23"/>
          <w:szCs w:val="23"/>
        </w:rPr>
        <w:t xml:space="preserve">Estas metodologías pueden basarse en criterios estadísticos aplicados a este tipo de negocios o ante justificaciones muy específicas utilizar criterios subjetivos, derivados de la experiencia de la entidad financiera en el negocio crediticio. El uso de criterios estadísticos exige que la entidad financiera cuente con la técnica apropiada, las bases de datos y la infraestructura de soporte adecuada para dichas metodologías, de manera que es de esperar que su adopción por parte de la entidad se base en una valoración costo-beneficio.  Además, a pesar de que la entidad utilice metodologías con base estadística, éstas deben complementarse siempre en la interpretación de sus resultados basados en el juicio o criterio experto. </w:t>
      </w:r>
      <w:proofErr w:type="gramStart"/>
      <w:r w:rsidRPr="00576357">
        <w:rPr>
          <w:rFonts w:asciiTheme="majorHAnsi" w:hAnsiTheme="majorHAnsi" w:cstheme="majorHAnsi"/>
          <w:sz w:val="23"/>
          <w:szCs w:val="23"/>
        </w:rPr>
        <w:t>Aspectos a considerar</w:t>
      </w:r>
      <w:proofErr w:type="gramEnd"/>
      <w:r w:rsidRPr="00576357">
        <w:rPr>
          <w:rFonts w:asciiTheme="majorHAnsi" w:hAnsiTheme="majorHAnsi" w:cstheme="majorHAnsi"/>
          <w:sz w:val="23"/>
          <w:szCs w:val="23"/>
        </w:rPr>
        <w:t xml:space="preserve"> para las metodologías basadas en criterios subjetivos derivados de la experiencia de la entidad financiera en el negocio crediticio o basadas en criterios estadísticos. </w:t>
      </w:r>
    </w:p>
    <w:p w14:paraId="10E931DD"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 xml:space="preserve">Las entidades deben considerar y documentar los siguientes aspectos, aplicables a cualquier tipo de metodología, que defina utilizar la entidad: </w:t>
      </w:r>
    </w:p>
    <w:p w14:paraId="5D2AA6C7" w14:textId="77777777" w:rsidR="009C192E" w:rsidRPr="00576357" w:rsidRDefault="009C192E" w:rsidP="00681541">
      <w:pPr>
        <w:numPr>
          <w:ilvl w:val="1"/>
          <w:numId w:val="32"/>
        </w:numPr>
        <w:spacing w:before="0" w:line="240" w:lineRule="auto"/>
        <w:ind w:left="1134" w:hanging="567"/>
        <w:rPr>
          <w:rFonts w:asciiTheme="majorHAnsi" w:hAnsiTheme="majorHAnsi" w:cstheme="majorHAnsi"/>
          <w:sz w:val="23"/>
          <w:szCs w:val="23"/>
        </w:rPr>
      </w:pPr>
      <w:r w:rsidRPr="00576357">
        <w:rPr>
          <w:rFonts w:asciiTheme="majorHAnsi" w:hAnsiTheme="majorHAnsi" w:cstheme="majorHAnsi"/>
          <w:b/>
          <w:sz w:val="23"/>
          <w:szCs w:val="23"/>
        </w:rPr>
        <w:t xml:space="preserve">Generalidades </w:t>
      </w:r>
    </w:p>
    <w:p w14:paraId="484D02AC" w14:textId="77777777" w:rsidR="009C192E" w:rsidRPr="00576357" w:rsidRDefault="009C192E" w:rsidP="00681541">
      <w:pPr>
        <w:numPr>
          <w:ilvl w:val="2"/>
          <w:numId w:val="32"/>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Acuerdo de aprobación por parte del Órgano de Dirección. </w:t>
      </w:r>
    </w:p>
    <w:p w14:paraId="4D6C6D48" w14:textId="77777777" w:rsidR="009C192E" w:rsidRPr="00576357" w:rsidRDefault="009C192E" w:rsidP="00681541">
      <w:pPr>
        <w:numPr>
          <w:ilvl w:val="2"/>
          <w:numId w:val="32"/>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Nombre y atestados de la empresa desarrolladora - proveedora, o del área interna, o de los autores de la metodología. </w:t>
      </w:r>
    </w:p>
    <w:p w14:paraId="53A9331B" w14:textId="77777777" w:rsidR="009C192E" w:rsidRPr="00576357" w:rsidRDefault="009C192E" w:rsidP="00681541">
      <w:pPr>
        <w:numPr>
          <w:ilvl w:val="2"/>
          <w:numId w:val="32"/>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Número de versión de la metodología, en caso de utilizarse. </w:t>
      </w:r>
    </w:p>
    <w:p w14:paraId="1D1A6562" w14:textId="77777777" w:rsidR="009C192E" w:rsidRPr="00576357" w:rsidRDefault="009C192E" w:rsidP="00681541">
      <w:pPr>
        <w:numPr>
          <w:ilvl w:val="1"/>
          <w:numId w:val="32"/>
        </w:numPr>
        <w:spacing w:before="0" w:line="240" w:lineRule="auto"/>
        <w:ind w:left="1134" w:hanging="567"/>
        <w:rPr>
          <w:rFonts w:asciiTheme="majorHAnsi" w:hAnsiTheme="majorHAnsi" w:cstheme="majorHAnsi"/>
          <w:b/>
          <w:sz w:val="23"/>
          <w:szCs w:val="23"/>
        </w:rPr>
      </w:pPr>
      <w:r w:rsidRPr="00576357">
        <w:rPr>
          <w:rFonts w:asciiTheme="majorHAnsi" w:hAnsiTheme="majorHAnsi" w:cstheme="majorHAnsi"/>
          <w:b/>
          <w:sz w:val="23"/>
          <w:szCs w:val="23"/>
        </w:rPr>
        <w:t xml:space="preserve">Documentación detallada de la metodología </w:t>
      </w:r>
    </w:p>
    <w:p w14:paraId="18B01A86" w14:textId="77777777" w:rsidR="009C192E" w:rsidRPr="00576357" w:rsidRDefault="009C192E" w:rsidP="00681541">
      <w:pPr>
        <w:numPr>
          <w:ilvl w:val="2"/>
          <w:numId w:val="32"/>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lastRenderedPageBreak/>
        <w:t xml:space="preserve">Características de la metodología y fundamentos.  </w:t>
      </w:r>
    </w:p>
    <w:p w14:paraId="36F649D1" w14:textId="77777777" w:rsidR="009C192E" w:rsidRPr="00576357" w:rsidRDefault="009C192E" w:rsidP="00681541">
      <w:pPr>
        <w:numPr>
          <w:ilvl w:val="2"/>
          <w:numId w:val="32"/>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Alcance de la metodología en cuanto a si aplica deudor por deudor o a carteras crediticias de similares características. </w:t>
      </w:r>
    </w:p>
    <w:p w14:paraId="217AA72D" w14:textId="77777777" w:rsidR="009C192E" w:rsidRPr="00576357" w:rsidRDefault="009C192E" w:rsidP="00681541">
      <w:pPr>
        <w:numPr>
          <w:ilvl w:val="2"/>
          <w:numId w:val="32"/>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Descripción de la cartera crediticia a la cual se le aplicará la metodología de acuerdo con las políticas de la entidad. </w:t>
      </w:r>
    </w:p>
    <w:p w14:paraId="796C316D" w14:textId="77777777" w:rsidR="009C192E" w:rsidRPr="00576357" w:rsidRDefault="009C192E" w:rsidP="00681541">
      <w:pPr>
        <w:numPr>
          <w:ilvl w:val="2"/>
          <w:numId w:val="32"/>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Sistema de calificación de la capacidad de pago del deudor, según la política de la entidad. </w:t>
      </w:r>
    </w:p>
    <w:p w14:paraId="46B118C2" w14:textId="77777777" w:rsidR="009C192E" w:rsidRPr="00576357" w:rsidRDefault="009C192E" w:rsidP="00681541">
      <w:pPr>
        <w:numPr>
          <w:ilvl w:val="2"/>
          <w:numId w:val="32"/>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Información mínima que debe disponerse del deudor o del tipo de cartera crediticia, así como fuentes de información que alimentan la metodología. </w:t>
      </w:r>
    </w:p>
    <w:p w14:paraId="130FB58D" w14:textId="77777777" w:rsidR="009C192E" w:rsidRPr="00576357" w:rsidRDefault="009C192E" w:rsidP="00681541">
      <w:pPr>
        <w:numPr>
          <w:ilvl w:val="2"/>
          <w:numId w:val="32"/>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Procedimiento de calificación.  </w:t>
      </w:r>
    </w:p>
    <w:p w14:paraId="5CB4AB5A" w14:textId="77777777" w:rsidR="009C192E" w:rsidRPr="00576357" w:rsidRDefault="009C192E" w:rsidP="00681541">
      <w:pPr>
        <w:numPr>
          <w:ilvl w:val="1"/>
          <w:numId w:val="32"/>
        </w:numPr>
        <w:spacing w:before="0" w:line="240" w:lineRule="auto"/>
        <w:ind w:left="1134" w:hanging="567"/>
        <w:rPr>
          <w:rFonts w:asciiTheme="majorHAnsi" w:hAnsiTheme="majorHAnsi" w:cstheme="majorHAnsi"/>
          <w:b/>
          <w:sz w:val="23"/>
          <w:szCs w:val="23"/>
        </w:rPr>
      </w:pPr>
      <w:r w:rsidRPr="00576357">
        <w:rPr>
          <w:rFonts w:asciiTheme="majorHAnsi" w:hAnsiTheme="majorHAnsi" w:cstheme="majorHAnsi"/>
          <w:b/>
          <w:sz w:val="23"/>
          <w:szCs w:val="23"/>
        </w:rPr>
        <w:t xml:space="preserve">Uso de la metodología </w:t>
      </w:r>
    </w:p>
    <w:p w14:paraId="1A1E8054" w14:textId="77777777" w:rsidR="009C192E" w:rsidRPr="00576357" w:rsidRDefault="009C192E" w:rsidP="00681541">
      <w:pPr>
        <w:numPr>
          <w:ilvl w:val="2"/>
          <w:numId w:val="32"/>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Período durante el cual se ha aplicado la metodología para la calificación de capacidad de pago. </w:t>
      </w:r>
    </w:p>
    <w:p w14:paraId="1F2DC7D2" w14:textId="77777777" w:rsidR="009C192E" w:rsidRPr="00576357" w:rsidRDefault="009C192E" w:rsidP="00681541">
      <w:pPr>
        <w:numPr>
          <w:ilvl w:val="2"/>
          <w:numId w:val="32"/>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Descripción detallada de la base de datos utilizada para la calibración y períodos cubiertos. </w:t>
      </w:r>
    </w:p>
    <w:p w14:paraId="3A578AB2" w14:textId="77777777" w:rsidR="009C192E" w:rsidRPr="00576357" w:rsidRDefault="009C192E" w:rsidP="00681541">
      <w:pPr>
        <w:numPr>
          <w:ilvl w:val="2"/>
          <w:numId w:val="32"/>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Análisis descriptivo de la evolución del comportamiento de pago y la composición de la cartera. </w:t>
      </w:r>
    </w:p>
    <w:p w14:paraId="4B70AC79" w14:textId="77777777" w:rsidR="009C192E" w:rsidRPr="00576357" w:rsidRDefault="009C192E" w:rsidP="00681541">
      <w:pPr>
        <w:numPr>
          <w:ilvl w:val="1"/>
          <w:numId w:val="32"/>
        </w:numPr>
        <w:spacing w:before="0" w:line="240" w:lineRule="auto"/>
        <w:ind w:left="1134" w:hanging="567"/>
        <w:rPr>
          <w:rFonts w:asciiTheme="majorHAnsi" w:hAnsiTheme="majorHAnsi" w:cstheme="majorHAnsi"/>
          <w:b/>
          <w:sz w:val="23"/>
          <w:szCs w:val="23"/>
        </w:rPr>
      </w:pPr>
      <w:r w:rsidRPr="00576357">
        <w:rPr>
          <w:rFonts w:asciiTheme="majorHAnsi" w:hAnsiTheme="majorHAnsi" w:cstheme="majorHAnsi"/>
          <w:b/>
          <w:sz w:val="23"/>
          <w:szCs w:val="23"/>
        </w:rPr>
        <w:t xml:space="preserve">Validación interna </w:t>
      </w:r>
    </w:p>
    <w:p w14:paraId="3C9587AE" w14:textId="77777777" w:rsidR="009C192E" w:rsidRPr="00576357" w:rsidRDefault="009C192E" w:rsidP="00681541">
      <w:pPr>
        <w:numPr>
          <w:ilvl w:val="2"/>
          <w:numId w:val="32"/>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Clientes valorados. </w:t>
      </w:r>
    </w:p>
    <w:p w14:paraId="4F83035D" w14:textId="77777777" w:rsidR="009C192E" w:rsidRPr="00576357" w:rsidRDefault="009C192E" w:rsidP="00681541">
      <w:pPr>
        <w:numPr>
          <w:ilvl w:val="2"/>
          <w:numId w:val="32"/>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Resultados de los procesos de control y revisión de la aplicación de la metodología de capacidad de pago del deudor. </w:t>
      </w:r>
    </w:p>
    <w:p w14:paraId="7024E8DD" w14:textId="77777777" w:rsidR="009C192E" w:rsidRPr="00576357" w:rsidRDefault="009C192E" w:rsidP="00681541">
      <w:pPr>
        <w:numPr>
          <w:ilvl w:val="2"/>
          <w:numId w:val="32"/>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Criterios de selección de muestras en el seguimiento de la evaluación de la capacidad de pago. </w:t>
      </w:r>
    </w:p>
    <w:p w14:paraId="53065D92" w14:textId="77777777" w:rsidR="009C192E" w:rsidRPr="00576357" w:rsidRDefault="009C192E" w:rsidP="00681541">
      <w:pPr>
        <w:numPr>
          <w:ilvl w:val="2"/>
          <w:numId w:val="32"/>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lastRenderedPageBreak/>
        <w:t xml:space="preserve">Otros mecanismos utilizados por la entidad para la valoración interna de las metodologías y sus resultados. </w:t>
      </w:r>
    </w:p>
    <w:p w14:paraId="36408A79" w14:textId="77777777" w:rsidR="009C192E" w:rsidRPr="00576357" w:rsidRDefault="009C192E" w:rsidP="00681541">
      <w:pPr>
        <w:numPr>
          <w:ilvl w:val="1"/>
          <w:numId w:val="32"/>
        </w:numPr>
        <w:spacing w:before="0" w:line="240" w:lineRule="auto"/>
        <w:ind w:left="1134" w:hanging="567"/>
        <w:rPr>
          <w:rFonts w:asciiTheme="majorHAnsi" w:hAnsiTheme="majorHAnsi" w:cstheme="majorHAnsi"/>
          <w:b/>
          <w:sz w:val="23"/>
          <w:szCs w:val="23"/>
        </w:rPr>
      </w:pPr>
      <w:r w:rsidRPr="00576357">
        <w:rPr>
          <w:rFonts w:asciiTheme="majorHAnsi" w:hAnsiTheme="majorHAnsi" w:cstheme="majorHAnsi"/>
          <w:b/>
          <w:sz w:val="23"/>
          <w:szCs w:val="23"/>
        </w:rPr>
        <w:t xml:space="preserve">Entorno tecnológico, sistemas y mantenimiento de información </w:t>
      </w:r>
    </w:p>
    <w:p w14:paraId="650D1507" w14:textId="77777777" w:rsidR="009C192E" w:rsidRPr="00576357" w:rsidRDefault="009C192E" w:rsidP="00681541">
      <w:pPr>
        <w:numPr>
          <w:ilvl w:val="2"/>
          <w:numId w:val="32"/>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Resultados sobre los estudios realizados en las bases de datos sobre la consistencia, integridad y fiabilidad de la información mantenida en las mismas. </w:t>
      </w:r>
    </w:p>
    <w:p w14:paraId="41EC9BEA" w14:textId="77777777" w:rsidR="009C192E" w:rsidRPr="00576357" w:rsidRDefault="009C192E" w:rsidP="00681541">
      <w:pPr>
        <w:numPr>
          <w:ilvl w:val="2"/>
          <w:numId w:val="32"/>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Análisis de los procesos utilizados para obtener, a partir de las aplicaciones y bases de datos de la entidad, las bases de datos de calibración. </w:t>
      </w:r>
    </w:p>
    <w:p w14:paraId="2D2628D7" w14:textId="77777777" w:rsidR="009C192E" w:rsidRPr="00576357" w:rsidRDefault="009C192E" w:rsidP="00681541">
      <w:pPr>
        <w:numPr>
          <w:ilvl w:val="2"/>
          <w:numId w:val="32"/>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Descripción de los sistemas y las bases de datos utilizadas para el almacenamiento de la información, sitio alterno, tanto en lo referente al sistema de calificación, como a cualquier otro aspecto relevante, indicando los responsables. </w:t>
      </w:r>
    </w:p>
    <w:p w14:paraId="2BF988DD" w14:textId="77777777" w:rsidR="009C192E" w:rsidRPr="00576357" w:rsidRDefault="009C192E" w:rsidP="00681541">
      <w:pPr>
        <w:numPr>
          <w:ilvl w:val="1"/>
          <w:numId w:val="32"/>
        </w:numPr>
        <w:spacing w:before="0" w:line="240" w:lineRule="auto"/>
        <w:ind w:left="1134" w:hanging="567"/>
        <w:rPr>
          <w:rFonts w:asciiTheme="majorHAnsi" w:hAnsiTheme="majorHAnsi" w:cstheme="majorHAnsi"/>
          <w:b/>
          <w:sz w:val="23"/>
          <w:szCs w:val="23"/>
        </w:rPr>
      </w:pPr>
      <w:r w:rsidRPr="00576357">
        <w:rPr>
          <w:rFonts w:asciiTheme="majorHAnsi" w:hAnsiTheme="majorHAnsi" w:cstheme="majorHAnsi"/>
          <w:b/>
          <w:sz w:val="23"/>
          <w:szCs w:val="23"/>
        </w:rPr>
        <w:t xml:space="preserve">Aspectos cualitativos </w:t>
      </w:r>
    </w:p>
    <w:p w14:paraId="1F044813" w14:textId="77777777" w:rsidR="009C192E" w:rsidRPr="00576357" w:rsidRDefault="009C192E" w:rsidP="00681541">
      <w:pPr>
        <w:numPr>
          <w:ilvl w:val="2"/>
          <w:numId w:val="32"/>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Resumen de las políticas crediticias de la entidad. Entre otros aspectos, la entidad debe definir, como mínimo, en función de los resultados históricos y su experiencia en la colocación de los créditos, los parámetros para indicadores como: cuota/ingreso, (DTI: </w:t>
      </w:r>
      <w:proofErr w:type="spellStart"/>
      <w:r w:rsidRPr="00576357">
        <w:rPr>
          <w:rFonts w:asciiTheme="majorHAnsi" w:hAnsiTheme="majorHAnsi" w:cstheme="majorHAnsi"/>
          <w:sz w:val="23"/>
          <w:szCs w:val="23"/>
        </w:rPr>
        <w:t>Debt</w:t>
      </w:r>
      <w:proofErr w:type="spellEnd"/>
      <w:r w:rsidRPr="00576357">
        <w:rPr>
          <w:rFonts w:asciiTheme="majorHAnsi" w:hAnsiTheme="majorHAnsi" w:cstheme="majorHAnsi"/>
          <w:sz w:val="23"/>
          <w:szCs w:val="23"/>
        </w:rPr>
        <w:t xml:space="preserve"> </w:t>
      </w:r>
      <w:proofErr w:type="spellStart"/>
      <w:r w:rsidRPr="00576357">
        <w:rPr>
          <w:rFonts w:asciiTheme="majorHAnsi" w:hAnsiTheme="majorHAnsi" w:cstheme="majorHAnsi"/>
          <w:sz w:val="23"/>
          <w:szCs w:val="23"/>
        </w:rPr>
        <w:t>to</w:t>
      </w:r>
      <w:proofErr w:type="spellEnd"/>
      <w:r w:rsidRPr="00576357">
        <w:rPr>
          <w:rFonts w:asciiTheme="majorHAnsi" w:hAnsiTheme="majorHAnsi" w:cstheme="majorHAnsi"/>
          <w:sz w:val="23"/>
          <w:szCs w:val="23"/>
        </w:rPr>
        <w:t xml:space="preserve"> </w:t>
      </w:r>
      <w:proofErr w:type="spellStart"/>
      <w:r w:rsidRPr="00576357">
        <w:rPr>
          <w:rFonts w:asciiTheme="majorHAnsi" w:hAnsiTheme="majorHAnsi" w:cstheme="majorHAnsi"/>
          <w:sz w:val="23"/>
          <w:szCs w:val="23"/>
        </w:rPr>
        <w:t>Income</w:t>
      </w:r>
      <w:proofErr w:type="spellEnd"/>
      <w:r w:rsidRPr="00576357">
        <w:rPr>
          <w:rFonts w:asciiTheme="majorHAnsi" w:hAnsiTheme="majorHAnsi" w:cstheme="majorHAnsi"/>
          <w:sz w:val="23"/>
          <w:szCs w:val="23"/>
        </w:rPr>
        <w:t xml:space="preserve">) y relaciones préstamo a valor (LTV: Loan </w:t>
      </w:r>
      <w:proofErr w:type="spellStart"/>
      <w:r w:rsidRPr="00576357">
        <w:rPr>
          <w:rFonts w:asciiTheme="majorHAnsi" w:hAnsiTheme="majorHAnsi" w:cstheme="majorHAnsi"/>
          <w:sz w:val="23"/>
          <w:szCs w:val="23"/>
        </w:rPr>
        <w:t>to</w:t>
      </w:r>
      <w:proofErr w:type="spellEnd"/>
      <w:r w:rsidRPr="00576357">
        <w:rPr>
          <w:rFonts w:asciiTheme="majorHAnsi" w:hAnsiTheme="majorHAnsi" w:cstheme="majorHAnsi"/>
          <w:sz w:val="23"/>
          <w:szCs w:val="23"/>
        </w:rPr>
        <w:t xml:space="preserve"> </w:t>
      </w:r>
      <w:proofErr w:type="spellStart"/>
      <w:r w:rsidRPr="00576357">
        <w:rPr>
          <w:rFonts w:asciiTheme="majorHAnsi" w:hAnsiTheme="majorHAnsi" w:cstheme="majorHAnsi"/>
          <w:sz w:val="23"/>
          <w:szCs w:val="23"/>
        </w:rPr>
        <w:t>Value</w:t>
      </w:r>
      <w:proofErr w:type="spellEnd"/>
      <w:r w:rsidRPr="00576357">
        <w:rPr>
          <w:rFonts w:asciiTheme="majorHAnsi" w:hAnsiTheme="majorHAnsi" w:cstheme="majorHAnsi"/>
          <w:sz w:val="23"/>
          <w:szCs w:val="23"/>
        </w:rPr>
        <w:t xml:space="preserve">). Los parámetros deben estar debidamente fundamentados. </w:t>
      </w:r>
    </w:p>
    <w:p w14:paraId="024DC6D1" w14:textId="77777777" w:rsidR="009C192E" w:rsidRPr="00576357" w:rsidRDefault="009C192E" w:rsidP="00681541">
      <w:pPr>
        <w:numPr>
          <w:ilvl w:val="2"/>
          <w:numId w:val="32"/>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Tratamiento de las excepciones a la política y procedimientos. </w:t>
      </w:r>
    </w:p>
    <w:p w14:paraId="7CD0DF18" w14:textId="77777777" w:rsidR="009C192E" w:rsidRPr="00576357" w:rsidRDefault="009C192E" w:rsidP="00681541">
      <w:pPr>
        <w:numPr>
          <w:ilvl w:val="2"/>
          <w:numId w:val="32"/>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Involucramiento de la alta dirección en la aplicación del modelo. </w:t>
      </w:r>
    </w:p>
    <w:p w14:paraId="740B8B23" w14:textId="77777777" w:rsidR="009C192E" w:rsidRPr="00576357" w:rsidRDefault="009C192E" w:rsidP="00681541">
      <w:pPr>
        <w:numPr>
          <w:ilvl w:val="2"/>
          <w:numId w:val="32"/>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Estructura organizativa donde se describan las responsabilidades y funciones de las distintas áreas implicadas en la gestión y control del riesgo de crédito, así como los comités establecidos. </w:t>
      </w:r>
    </w:p>
    <w:p w14:paraId="79E5B260" w14:textId="77777777" w:rsidR="009C192E" w:rsidRPr="00576357" w:rsidRDefault="009C192E" w:rsidP="00681541">
      <w:pPr>
        <w:numPr>
          <w:ilvl w:val="2"/>
          <w:numId w:val="32"/>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lastRenderedPageBreak/>
        <w:t xml:space="preserve">Detalle de los recursos humanos en las distintas áreas relacionadas con la implementación y el control de la metodología, incluyendo los responsables y las funciones asignadas para garantizar la consistencia en la concesión de operaciones, la fiabilidad de los datos utilizados para analizar la operación, etc. </w:t>
      </w:r>
    </w:p>
    <w:p w14:paraId="7BF90608" w14:textId="77777777" w:rsidR="009C192E" w:rsidRPr="00576357" w:rsidRDefault="009C192E" w:rsidP="00681541">
      <w:pPr>
        <w:numPr>
          <w:ilvl w:val="2"/>
          <w:numId w:val="32"/>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Descripción de la información que genera la metodología y sus usos, indicando las diferentes instancias de toma de decisiones a los cuales se debe informar de los resultados y recomendar acciones correctivas, por ejemplo, los informes enviados a la alta dirección, los informes de gestión, etc. </w:t>
      </w:r>
    </w:p>
    <w:p w14:paraId="1B69562C" w14:textId="77777777" w:rsidR="009C192E" w:rsidRPr="00576357" w:rsidRDefault="009C192E" w:rsidP="00681541">
      <w:pPr>
        <w:numPr>
          <w:ilvl w:val="2"/>
          <w:numId w:val="32"/>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Manuales internos y otra documentación relacionada con la metodología. </w:t>
      </w:r>
    </w:p>
    <w:p w14:paraId="331B93CD" w14:textId="77777777" w:rsidR="009C192E" w:rsidRPr="00576357" w:rsidRDefault="009C192E" w:rsidP="00681541">
      <w:pPr>
        <w:numPr>
          <w:ilvl w:val="1"/>
          <w:numId w:val="32"/>
        </w:numPr>
        <w:spacing w:before="0" w:line="240" w:lineRule="auto"/>
        <w:ind w:left="1134" w:hanging="567"/>
        <w:rPr>
          <w:rFonts w:asciiTheme="majorHAnsi" w:hAnsiTheme="majorHAnsi" w:cstheme="majorHAnsi"/>
          <w:b/>
          <w:sz w:val="23"/>
          <w:szCs w:val="23"/>
        </w:rPr>
      </w:pPr>
      <w:r w:rsidRPr="00576357">
        <w:rPr>
          <w:rFonts w:asciiTheme="majorHAnsi" w:hAnsiTheme="majorHAnsi" w:cstheme="majorHAnsi"/>
          <w:b/>
          <w:sz w:val="23"/>
          <w:szCs w:val="23"/>
        </w:rPr>
        <w:t xml:space="preserve">Revisiones independientes </w:t>
      </w:r>
    </w:p>
    <w:p w14:paraId="4401F3B1" w14:textId="77777777" w:rsidR="009C192E" w:rsidRPr="00576357" w:rsidRDefault="009C192E" w:rsidP="00681541">
      <w:pPr>
        <w:numPr>
          <w:ilvl w:val="2"/>
          <w:numId w:val="32"/>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Informes de revisiones independientes (Auditoría Interna, Auditoría Externa, Consultores), objetivos de las revisiones y conclusiones obtenidas. </w:t>
      </w:r>
    </w:p>
    <w:p w14:paraId="748056E2" w14:textId="78C8386C" w:rsidR="009C192E" w:rsidRPr="00576357" w:rsidRDefault="009C192E" w:rsidP="00681541">
      <w:pPr>
        <w:numPr>
          <w:ilvl w:val="2"/>
          <w:numId w:val="32"/>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Informes de seguimiento de las acciones correctivas adoptadas por la administración. </w:t>
      </w:r>
    </w:p>
    <w:p w14:paraId="7A921AF4" w14:textId="77777777" w:rsidR="009C192E" w:rsidRPr="00576357" w:rsidRDefault="009C192E" w:rsidP="009C192E">
      <w:pPr>
        <w:pStyle w:val="Ttulo2"/>
        <w:ind w:left="567" w:hanging="578"/>
        <w:rPr>
          <w:rFonts w:asciiTheme="majorHAnsi" w:hAnsiTheme="majorHAnsi" w:cstheme="majorHAnsi"/>
          <w:sz w:val="23"/>
          <w:szCs w:val="23"/>
        </w:rPr>
      </w:pPr>
      <w:bookmarkStart w:id="32" w:name="_Toc227326032"/>
      <w:proofErr w:type="gramStart"/>
      <w:r w:rsidRPr="00576357">
        <w:rPr>
          <w:rFonts w:asciiTheme="majorHAnsi" w:hAnsiTheme="majorHAnsi" w:cstheme="majorHAnsi"/>
          <w:sz w:val="23"/>
          <w:szCs w:val="23"/>
        </w:rPr>
        <w:t>Aspectos a considerar</w:t>
      </w:r>
      <w:proofErr w:type="gramEnd"/>
      <w:r w:rsidRPr="00576357">
        <w:rPr>
          <w:rFonts w:asciiTheme="majorHAnsi" w:hAnsiTheme="majorHAnsi" w:cstheme="majorHAnsi"/>
          <w:sz w:val="23"/>
          <w:szCs w:val="23"/>
        </w:rPr>
        <w:t xml:space="preserve"> para metodologías estadísticas</w:t>
      </w:r>
      <w:bookmarkEnd w:id="32"/>
      <w:r w:rsidRPr="00576357">
        <w:rPr>
          <w:rFonts w:asciiTheme="majorHAnsi" w:hAnsiTheme="majorHAnsi" w:cstheme="majorHAnsi"/>
          <w:sz w:val="23"/>
          <w:szCs w:val="23"/>
        </w:rPr>
        <w:t xml:space="preserve"> </w:t>
      </w:r>
    </w:p>
    <w:p w14:paraId="5220F069"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 xml:space="preserve">En adición a lo indicado en el literal A anterior, las entidades deben considerar y documentar, como mínimo, los siguientes aspectos que le son aplicables a metodologías con fundamento estadístico: </w:t>
      </w:r>
    </w:p>
    <w:p w14:paraId="54B3CA07" w14:textId="77777777" w:rsidR="009C192E" w:rsidRPr="00576357" w:rsidRDefault="009C192E" w:rsidP="00681541">
      <w:pPr>
        <w:numPr>
          <w:ilvl w:val="0"/>
          <w:numId w:val="42"/>
        </w:numPr>
        <w:spacing w:before="0" w:line="240" w:lineRule="auto"/>
        <w:ind w:left="1134" w:hanging="567"/>
        <w:rPr>
          <w:rFonts w:asciiTheme="majorHAnsi" w:hAnsiTheme="majorHAnsi" w:cstheme="majorHAnsi"/>
          <w:b/>
          <w:sz w:val="23"/>
          <w:szCs w:val="23"/>
        </w:rPr>
      </w:pPr>
      <w:r w:rsidRPr="00576357">
        <w:rPr>
          <w:rFonts w:asciiTheme="majorHAnsi" w:hAnsiTheme="majorHAnsi" w:cstheme="majorHAnsi"/>
          <w:b/>
          <w:sz w:val="23"/>
          <w:szCs w:val="23"/>
        </w:rPr>
        <w:t xml:space="preserve">Descripción detallada de la metodología </w:t>
      </w:r>
    </w:p>
    <w:p w14:paraId="105A5F3D" w14:textId="77777777" w:rsidR="009C192E" w:rsidRPr="00576357" w:rsidRDefault="009C192E" w:rsidP="00681541">
      <w:pPr>
        <w:numPr>
          <w:ilvl w:val="0"/>
          <w:numId w:val="43"/>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Fundamento matemático y estadístico. Por ejemplo, la técnica utilizada para la conformación de carteras homogéneas. </w:t>
      </w:r>
    </w:p>
    <w:p w14:paraId="760461D3" w14:textId="77777777" w:rsidR="009C192E" w:rsidRPr="00576357" w:rsidRDefault="009C192E" w:rsidP="00681541">
      <w:pPr>
        <w:numPr>
          <w:ilvl w:val="0"/>
          <w:numId w:val="43"/>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Criterios para discriminar entre los niveles de capacidad de pago. </w:t>
      </w:r>
    </w:p>
    <w:p w14:paraId="2129E479" w14:textId="77777777" w:rsidR="009C192E" w:rsidRPr="00576357" w:rsidRDefault="009C192E" w:rsidP="00681541">
      <w:pPr>
        <w:numPr>
          <w:ilvl w:val="0"/>
          <w:numId w:val="43"/>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lastRenderedPageBreak/>
        <w:t xml:space="preserve">Test estadísticos.  </w:t>
      </w:r>
    </w:p>
    <w:p w14:paraId="5F2EC382" w14:textId="77777777" w:rsidR="009C192E" w:rsidRPr="00576357" w:rsidRDefault="009C192E" w:rsidP="00681541">
      <w:pPr>
        <w:numPr>
          <w:ilvl w:val="0"/>
          <w:numId w:val="43"/>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Descripción de las salidas del modelo. </w:t>
      </w:r>
    </w:p>
    <w:p w14:paraId="200F2BFE" w14:textId="77777777" w:rsidR="009C192E" w:rsidRPr="00576357" w:rsidRDefault="009C192E" w:rsidP="00681541">
      <w:pPr>
        <w:numPr>
          <w:ilvl w:val="0"/>
          <w:numId w:val="42"/>
        </w:numPr>
        <w:spacing w:before="0" w:line="240" w:lineRule="auto"/>
        <w:ind w:left="1134" w:hanging="567"/>
        <w:rPr>
          <w:rFonts w:asciiTheme="majorHAnsi" w:hAnsiTheme="majorHAnsi" w:cstheme="majorHAnsi"/>
          <w:b/>
          <w:sz w:val="23"/>
          <w:szCs w:val="23"/>
        </w:rPr>
      </w:pPr>
      <w:r w:rsidRPr="00576357">
        <w:rPr>
          <w:rFonts w:asciiTheme="majorHAnsi" w:hAnsiTheme="majorHAnsi" w:cstheme="majorHAnsi"/>
          <w:b/>
          <w:sz w:val="23"/>
          <w:szCs w:val="23"/>
        </w:rPr>
        <w:t xml:space="preserve">Entorno tecnológico, sistemas y mantenimiento de información </w:t>
      </w:r>
    </w:p>
    <w:p w14:paraId="011779FB" w14:textId="77777777" w:rsidR="009C192E" w:rsidRPr="00576357" w:rsidRDefault="009C192E" w:rsidP="00681541">
      <w:pPr>
        <w:numPr>
          <w:ilvl w:val="0"/>
          <w:numId w:val="44"/>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Identificación y descripción de las fuentes externas utilizadas en el modelo. </w:t>
      </w:r>
    </w:p>
    <w:p w14:paraId="7CAF4954" w14:textId="77777777" w:rsidR="009C192E" w:rsidRPr="00576357" w:rsidRDefault="009C192E" w:rsidP="00681541">
      <w:pPr>
        <w:numPr>
          <w:ilvl w:val="0"/>
          <w:numId w:val="42"/>
        </w:numPr>
        <w:spacing w:before="0" w:line="240" w:lineRule="auto"/>
        <w:ind w:left="1134" w:hanging="567"/>
        <w:rPr>
          <w:rFonts w:asciiTheme="majorHAnsi" w:hAnsiTheme="majorHAnsi" w:cstheme="majorHAnsi"/>
          <w:b/>
          <w:sz w:val="23"/>
          <w:szCs w:val="23"/>
        </w:rPr>
      </w:pPr>
      <w:r w:rsidRPr="00576357">
        <w:rPr>
          <w:rFonts w:asciiTheme="majorHAnsi" w:hAnsiTheme="majorHAnsi" w:cstheme="majorHAnsi"/>
          <w:b/>
          <w:sz w:val="23"/>
          <w:szCs w:val="23"/>
        </w:rPr>
        <w:t xml:space="preserve">Resultados del “back </w:t>
      </w:r>
      <w:proofErr w:type="spellStart"/>
      <w:r w:rsidRPr="00576357">
        <w:rPr>
          <w:rFonts w:asciiTheme="majorHAnsi" w:hAnsiTheme="majorHAnsi" w:cstheme="majorHAnsi"/>
          <w:b/>
          <w:sz w:val="23"/>
          <w:szCs w:val="23"/>
        </w:rPr>
        <w:t>testing</w:t>
      </w:r>
      <w:proofErr w:type="spellEnd"/>
      <w:r w:rsidRPr="00576357">
        <w:rPr>
          <w:rFonts w:asciiTheme="majorHAnsi" w:hAnsiTheme="majorHAnsi" w:cstheme="majorHAnsi"/>
          <w:b/>
          <w:sz w:val="23"/>
          <w:szCs w:val="23"/>
        </w:rPr>
        <w:t xml:space="preserve">” y otras pruebas </w:t>
      </w:r>
    </w:p>
    <w:p w14:paraId="6B9D0FBA" w14:textId="77777777" w:rsidR="009C192E" w:rsidRPr="00576357" w:rsidRDefault="009C192E" w:rsidP="00681541">
      <w:pPr>
        <w:numPr>
          <w:ilvl w:val="0"/>
          <w:numId w:val="45"/>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Evolución de la metodología, calibraciones y cambios producidos en las ponderaciones. </w:t>
      </w:r>
    </w:p>
    <w:p w14:paraId="037153D3" w14:textId="77777777" w:rsidR="009C192E" w:rsidRPr="00576357" w:rsidRDefault="009C192E" w:rsidP="00681541">
      <w:pPr>
        <w:numPr>
          <w:ilvl w:val="0"/>
          <w:numId w:val="45"/>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Plan de pruebas, alcance y periodicidad. </w:t>
      </w:r>
    </w:p>
    <w:p w14:paraId="2DA985DE" w14:textId="77777777" w:rsidR="009C192E" w:rsidRPr="00576357" w:rsidRDefault="009C192E" w:rsidP="00681541">
      <w:pPr>
        <w:numPr>
          <w:ilvl w:val="0"/>
          <w:numId w:val="45"/>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Indicar las fechas de las recalibraciones, nombre de los responsables e instancia de aprobación. </w:t>
      </w:r>
    </w:p>
    <w:p w14:paraId="5B8162AC" w14:textId="77777777" w:rsidR="009C192E" w:rsidRPr="00576357" w:rsidRDefault="009C192E" w:rsidP="00681541">
      <w:pPr>
        <w:numPr>
          <w:ilvl w:val="0"/>
          <w:numId w:val="45"/>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Resultados de la revisiones independientes, internas o externas, sobre aspectos como la fiabilidad de la información mantenida en las bases de datos, los procedimientos informáticos utilizados para obtener las bases de datos de calibración, diseño del modelo, calibración, etc. </w:t>
      </w:r>
    </w:p>
    <w:p w14:paraId="0DB35633" w14:textId="77777777" w:rsidR="009C192E" w:rsidRPr="00576357" w:rsidRDefault="009C192E" w:rsidP="00681541">
      <w:pPr>
        <w:numPr>
          <w:ilvl w:val="0"/>
          <w:numId w:val="45"/>
        </w:numPr>
        <w:spacing w:before="0" w:line="240" w:lineRule="auto"/>
        <w:ind w:left="1701" w:hanging="567"/>
        <w:rPr>
          <w:rFonts w:asciiTheme="majorHAnsi" w:hAnsiTheme="majorHAnsi" w:cstheme="majorHAnsi"/>
          <w:sz w:val="23"/>
          <w:szCs w:val="23"/>
        </w:rPr>
      </w:pPr>
      <w:r w:rsidRPr="00576357">
        <w:rPr>
          <w:rFonts w:asciiTheme="majorHAnsi" w:hAnsiTheme="majorHAnsi" w:cstheme="majorHAnsi"/>
          <w:sz w:val="23"/>
          <w:szCs w:val="23"/>
        </w:rPr>
        <w:t xml:space="preserve">Informe del seguimiento sobre las acciones correctivas adoptadas a partir de los resultados de las revisiones. </w:t>
      </w:r>
    </w:p>
    <w:p w14:paraId="33FEA3B7"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br w:type="page"/>
      </w:r>
    </w:p>
    <w:p w14:paraId="4ADB7E5E" w14:textId="77777777" w:rsidR="009C192E" w:rsidRPr="00576357" w:rsidRDefault="009C192E" w:rsidP="009C192E">
      <w:pPr>
        <w:pStyle w:val="Ttulo1"/>
        <w:rPr>
          <w:rFonts w:asciiTheme="majorHAnsi" w:hAnsiTheme="majorHAnsi" w:cstheme="majorHAnsi"/>
          <w:sz w:val="23"/>
          <w:szCs w:val="23"/>
          <w:vertAlign w:val="superscript"/>
        </w:rPr>
      </w:pPr>
      <w:bookmarkStart w:id="33" w:name="_Toc88480398"/>
      <w:bookmarkStart w:id="34" w:name="_Toc198728735"/>
      <w:bookmarkStart w:id="35" w:name="_Toc227326033"/>
      <w:bookmarkStart w:id="36" w:name="_Hlk225427298"/>
      <w:r w:rsidRPr="00576357">
        <w:rPr>
          <w:rFonts w:asciiTheme="majorHAnsi" w:hAnsiTheme="majorHAnsi" w:cstheme="majorHAnsi"/>
          <w:sz w:val="23"/>
          <w:szCs w:val="23"/>
        </w:rPr>
        <w:lastRenderedPageBreak/>
        <w:t>VII) METODOLOGÍAS DE ANÁLISIS DE ESTRÉS</w:t>
      </w:r>
      <w:bookmarkEnd w:id="33"/>
      <w:bookmarkEnd w:id="34"/>
      <w:bookmarkEnd w:id="35"/>
    </w:p>
    <w:bookmarkEnd w:id="36"/>
    <w:p w14:paraId="618BC2A6" w14:textId="77777777" w:rsidR="009C192E" w:rsidRPr="00576357" w:rsidRDefault="009C192E" w:rsidP="009C192E">
      <w:pPr>
        <w:ind w:left="1134" w:hanging="1134"/>
        <w:rPr>
          <w:rFonts w:asciiTheme="majorHAnsi" w:hAnsiTheme="majorHAnsi" w:cstheme="majorHAnsi"/>
          <w:sz w:val="23"/>
          <w:szCs w:val="23"/>
        </w:rPr>
      </w:pPr>
      <w:r w:rsidRPr="00576357">
        <w:rPr>
          <w:rFonts w:asciiTheme="majorHAnsi" w:hAnsiTheme="majorHAnsi" w:cstheme="majorHAnsi"/>
          <w:sz w:val="23"/>
          <w:szCs w:val="23"/>
          <w:u w:val="single" w:color="000000"/>
        </w:rPr>
        <w:t>Objetivo</w:t>
      </w:r>
      <w:r w:rsidRPr="00576357">
        <w:rPr>
          <w:rFonts w:asciiTheme="majorHAnsi" w:hAnsiTheme="majorHAnsi" w:cstheme="majorHAnsi"/>
          <w:sz w:val="23"/>
          <w:szCs w:val="23"/>
        </w:rPr>
        <w:t>:</w:t>
      </w:r>
      <w:r w:rsidRPr="00576357">
        <w:rPr>
          <w:rFonts w:asciiTheme="majorHAnsi" w:hAnsiTheme="majorHAnsi" w:cstheme="majorHAnsi"/>
          <w:sz w:val="23"/>
          <w:szCs w:val="23"/>
        </w:rPr>
        <w:tab/>
        <w:t xml:space="preserve">Establecer aspectos mínimos a considerar en el desarrollo de metodologías de análisis de estrés de capacidad de pago de los deudores. </w:t>
      </w:r>
    </w:p>
    <w:p w14:paraId="49B746BA" w14:textId="77777777" w:rsidR="009C192E" w:rsidRPr="00576357" w:rsidRDefault="009C192E" w:rsidP="00681541">
      <w:pPr>
        <w:pStyle w:val="Ttulo2"/>
        <w:numPr>
          <w:ilvl w:val="0"/>
          <w:numId w:val="46"/>
        </w:numPr>
        <w:ind w:left="567" w:hanging="578"/>
        <w:rPr>
          <w:rFonts w:asciiTheme="majorHAnsi" w:hAnsiTheme="majorHAnsi" w:cstheme="majorHAnsi"/>
          <w:sz w:val="23"/>
          <w:szCs w:val="23"/>
        </w:rPr>
      </w:pPr>
      <w:bookmarkStart w:id="37" w:name="_Toc227326034"/>
      <w:r w:rsidRPr="00576357">
        <w:rPr>
          <w:rFonts w:asciiTheme="majorHAnsi" w:hAnsiTheme="majorHAnsi" w:cstheme="majorHAnsi"/>
          <w:sz w:val="23"/>
          <w:szCs w:val="23"/>
        </w:rPr>
        <w:t>Alcance</w:t>
      </w:r>
      <w:bookmarkEnd w:id="37"/>
      <w:r w:rsidRPr="00576357">
        <w:rPr>
          <w:rFonts w:asciiTheme="majorHAnsi" w:hAnsiTheme="majorHAnsi" w:cstheme="majorHAnsi"/>
          <w:sz w:val="23"/>
          <w:szCs w:val="23"/>
        </w:rPr>
        <w:t xml:space="preserve"> </w:t>
      </w:r>
    </w:p>
    <w:p w14:paraId="1721210B"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 xml:space="preserve">Los análisis de estrés forman parte del conjunto de herramientas utilizadas por la entidad para la evaluación de la capacidad de pago de sus deudores. Las metodologías utilizadas, pueden basarse en técnicas o herramientas estadísticas. </w:t>
      </w:r>
    </w:p>
    <w:p w14:paraId="6CFD63CF" w14:textId="77777777" w:rsidR="009C192E" w:rsidRPr="00576357" w:rsidRDefault="009C192E" w:rsidP="00681541">
      <w:pPr>
        <w:pStyle w:val="Ttulo2"/>
        <w:numPr>
          <w:ilvl w:val="0"/>
          <w:numId w:val="46"/>
        </w:numPr>
        <w:ind w:left="567" w:hanging="578"/>
        <w:rPr>
          <w:rFonts w:asciiTheme="majorHAnsi" w:hAnsiTheme="majorHAnsi" w:cstheme="majorHAnsi"/>
          <w:sz w:val="23"/>
          <w:szCs w:val="23"/>
        </w:rPr>
      </w:pPr>
      <w:bookmarkStart w:id="38" w:name="_Toc227326035"/>
      <w:r w:rsidRPr="00576357">
        <w:rPr>
          <w:rFonts w:asciiTheme="majorHAnsi" w:hAnsiTheme="majorHAnsi" w:cstheme="majorHAnsi"/>
          <w:sz w:val="23"/>
          <w:szCs w:val="23"/>
        </w:rPr>
        <w:t>Definición de escenarios</w:t>
      </w:r>
      <w:bookmarkEnd w:id="38"/>
      <w:r w:rsidRPr="00576357">
        <w:rPr>
          <w:rFonts w:asciiTheme="majorHAnsi" w:hAnsiTheme="majorHAnsi" w:cstheme="majorHAnsi"/>
          <w:sz w:val="23"/>
          <w:szCs w:val="23"/>
        </w:rPr>
        <w:t xml:space="preserve"> </w:t>
      </w:r>
    </w:p>
    <w:p w14:paraId="4FEADA9C"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 xml:space="preserve">Es responsabilidad de cada entidad financiera, la definición de los escenarios de estrés de capacidad de pago de sus deudores, para lo cual podrá utilizar el marco metodológico que estime pertinente. Los escenarios de estrés de capacidad de pago de sus deudores deben estar aprobados por el Órgano de Dirección y actualizados de forma constante. </w:t>
      </w:r>
    </w:p>
    <w:p w14:paraId="7FD1676A"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 xml:space="preserve">Así mismo, es responsabilidad de cada entidad financiera, establecer los mecanismos que le permita adecuar oportunamente los escenarios de estrés de acuerdo con cambios en su modelo de negocio o en su entorno. </w:t>
      </w:r>
    </w:p>
    <w:p w14:paraId="1F79380F"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 xml:space="preserve">Los escenarios pueden basarse en evidencia histórica, según eventos adversos ocurridos en el pasado; o en situaciones hipotéticas que no tienen precedente histórico, pero que permiten considerar escenarios extremos pero plausibles. </w:t>
      </w:r>
    </w:p>
    <w:p w14:paraId="08685651"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 xml:space="preserve">El enfoque de escenarios históricos es más simple e intuitivo, pues consiste en evaluar el impacto sobre la capacidad de pago del deudor, de cambios en las variables críticas de riesgo observados durante momentos de turbulencia de mercado o crisis económica. La desventaja de los escenarios históricos es que, aun siendo escenarios extremos, pueden no ser lo relevantes o lo suficientemente adversos para las condiciones del entorno prevalecientes. </w:t>
      </w:r>
    </w:p>
    <w:p w14:paraId="25C4241D"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lastRenderedPageBreak/>
        <w:t xml:space="preserve">Los escenarios hipotéticos consisten en una mirada prospectiva y permiten la simulación de efectos asociados a uno o varios eventos simultáneos, de muy baja probabilidad, pero de alto impacto. Este enfoque posibilita la identificación de vulnerabilidades del deudor a diferentes factores de riesgo. La desventaja de los escenarios hipotéticos es que se basan en situaciones simuladas y supuestos ad hoc, las cuales requieren de conocimientos y habilidades de modelación. </w:t>
      </w:r>
    </w:p>
    <w:p w14:paraId="70AA3956"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 xml:space="preserve">También suelen utilizarse análisis de estrés inversos, en los cuales se parte de la afectación crítica del deudor para atender sus obligaciones financieras y se determina el resultado implícito de la variable crítica que podría ocasionar tal resultado.  </w:t>
      </w:r>
    </w:p>
    <w:p w14:paraId="4D66790D"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 xml:space="preserve">Como complemento a lo anterior, la entidad debe utilizar como mínimo los siguientes escenarios de estrés.  El cambio establecido en las variables críticas representa la severidad que la entidad debe aplicar, sobre la capacidad de sus deudores, de conformidad con las condiciones del entorno. La entidad puede utilizar impactos de menor severidad, siempre que previamente lo justifique técnicamente ante la Superintendencia.  </w:t>
      </w:r>
    </w:p>
    <w:tbl>
      <w:tblPr>
        <w:tblStyle w:val="TableGrid"/>
        <w:tblW w:w="9063" w:type="dxa"/>
        <w:tblInd w:w="146" w:type="dxa"/>
        <w:tblCellMar>
          <w:left w:w="106" w:type="dxa"/>
          <w:right w:w="58" w:type="dxa"/>
        </w:tblCellMar>
        <w:tblLook w:val="04A0" w:firstRow="1" w:lastRow="0" w:firstColumn="1" w:lastColumn="0" w:noHBand="0" w:noVBand="1"/>
      </w:tblPr>
      <w:tblGrid>
        <w:gridCol w:w="1409"/>
        <w:gridCol w:w="1984"/>
        <w:gridCol w:w="1985"/>
        <w:gridCol w:w="3685"/>
      </w:tblGrid>
      <w:tr w:rsidR="009C192E" w:rsidRPr="00576357" w14:paraId="49F42087" w14:textId="77777777" w:rsidTr="00576357">
        <w:trPr>
          <w:trHeight w:val="468"/>
        </w:trPr>
        <w:tc>
          <w:tcPr>
            <w:tcW w:w="1409" w:type="dxa"/>
            <w:tcBorders>
              <w:top w:val="single" w:sz="4" w:space="0" w:color="000000"/>
              <w:left w:val="single" w:sz="4" w:space="0" w:color="000000"/>
              <w:bottom w:val="single" w:sz="4" w:space="0" w:color="000000"/>
              <w:right w:val="single" w:sz="4" w:space="0" w:color="000000"/>
            </w:tcBorders>
            <w:shd w:val="clear" w:color="auto" w:fill="EAEDF1" w:themeFill="text2" w:themeFillTint="1A"/>
            <w:vAlign w:val="center"/>
          </w:tcPr>
          <w:p w14:paraId="6F3EB545" w14:textId="77777777" w:rsidR="009C192E" w:rsidRPr="00576357" w:rsidRDefault="009C192E" w:rsidP="00576357">
            <w:pPr>
              <w:spacing w:before="0" w:after="0"/>
              <w:jc w:val="center"/>
              <w:rPr>
                <w:rFonts w:asciiTheme="majorHAnsi" w:hAnsiTheme="majorHAnsi" w:cstheme="majorHAnsi"/>
                <w:sz w:val="21"/>
                <w:szCs w:val="21"/>
              </w:rPr>
            </w:pPr>
            <w:r w:rsidRPr="00576357">
              <w:rPr>
                <w:rFonts w:asciiTheme="majorHAnsi" w:hAnsiTheme="majorHAnsi" w:cstheme="majorHAnsi"/>
                <w:b/>
                <w:sz w:val="21"/>
                <w:szCs w:val="21"/>
              </w:rPr>
              <w:t>Escenario de tensión</w:t>
            </w:r>
          </w:p>
        </w:tc>
        <w:tc>
          <w:tcPr>
            <w:tcW w:w="1984" w:type="dxa"/>
            <w:tcBorders>
              <w:top w:val="single" w:sz="4" w:space="0" w:color="000000"/>
              <w:left w:val="single" w:sz="4" w:space="0" w:color="000000"/>
              <w:bottom w:val="single" w:sz="4" w:space="0" w:color="000000"/>
              <w:right w:val="single" w:sz="4" w:space="0" w:color="000000"/>
            </w:tcBorders>
            <w:shd w:val="clear" w:color="auto" w:fill="EAEDF1" w:themeFill="text2" w:themeFillTint="1A"/>
            <w:vAlign w:val="center"/>
          </w:tcPr>
          <w:p w14:paraId="53BD1831" w14:textId="77777777" w:rsidR="009C192E" w:rsidRPr="00576357" w:rsidRDefault="009C192E" w:rsidP="00576357">
            <w:pPr>
              <w:spacing w:before="0" w:after="0"/>
              <w:jc w:val="center"/>
              <w:rPr>
                <w:rFonts w:asciiTheme="majorHAnsi" w:hAnsiTheme="majorHAnsi" w:cstheme="majorHAnsi"/>
                <w:sz w:val="21"/>
                <w:szCs w:val="21"/>
              </w:rPr>
            </w:pPr>
            <w:r w:rsidRPr="00576357">
              <w:rPr>
                <w:rFonts w:asciiTheme="majorHAnsi" w:hAnsiTheme="majorHAnsi" w:cstheme="majorHAnsi"/>
                <w:b/>
                <w:sz w:val="21"/>
                <w:szCs w:val="21"/>
              </w:rPr>
              <w:t>Objetivo</w:t>
            </w:r>
          </w:p>
        </w:tc>
        <w:tc>
          <w:tcPr>
            <w:tcW w:w="1985" w:type="dxa"/>
            <w:tcBorders>
              <w:top w:val="single" w:sz="4" w:space="0" w:color="000000"/>
              <w:left w:val="single" w:sz="4" w:space="0" w:color="000000"/>
              <w:bottom w:val="single" w:sz="4" w:space="0" w:color="000000"/>
              <w:right w:val="single" w:sz="4" w:space="0" w:color="000000"/>
            </w:tcBorders>
            <w:shd w:val="clear" w:color="auto" w:fill="EAEDF1" w:themeFill="text2" w:themeFillTint="1A"/>
            <w:vAlign w:val="center"/>
          </w:tcPr>
          <w:p w14:paraId="18560105" w14:textId="77777777" w:rsidR="009C192E" w:rsidRPr="00576357" w:rsidRDefault="009C192E" w:rsidP="00576357">
            <w:pPr>
              <w:spacing w:before="0" w:after="0"/>
              <w:jc w:val="center"/>
              <w:rPr>
                <w:rFonts w:asciiTheme="majorHAnsi" w:hAnsiTheme="majorHAnsi" w:cstheme="majorHAnsi"/>
                <w:sz w:val="21"/>
                <w:szCs w:val="21"/>
              </w:rPr>
            </w:pPr>
            <w:r w:rsidRPr="00576357">
              <w:rPr>
                <w:rFonts w:asciiTheme="majorHAnsi" w:hAnsiTheme="majorHAnsi" w:cstheme="majorHAnsi"/>
                <w:b/>
                <w:sz w:val="21"/>
                <w:szCs w:val="21"/>
              </w:rPr>
              <w:t>Variable crítica</w:t>
            </w:r>
          </w:p>
        </w:tc>
        <w:tc>
          <w:tcPr>
            <w:tcW w:w="3685" w:type="dxa"/>
            <w:tcBorders>
              <w:top w:val="single" w:sz="4" w:space="0" w:color="000000"/>
              <w:left w:val="single" w:sz="4" w:space="0" w:color="000000"/>
              <w:bottom w:val="single" w:sz="4" w:space="0" w:color="000000"/>
              <w:right w:val="single" w:sz="4" w:space="0" w:color="000000"/>
            </w:tcBorders>
            <w:shd w:val="clear" w:color="auto" w:fill="EAEDF1" w:themeFill="text2" w:themeFillTint="1A"/>
            <w:vAlign w:val="center"/>
          </w:tcPr>
          <w:p w14:paraId="3671E1E7" w14:textId="77777777" w:rsidR="009C192E" w:rsidRPr="00576357" w:rsidRDefault="009C192E" w:rsidP="00576357">
            <w:pPr>
              <w:spacing w:before="0" w:after="0"/>
              <w:jc w:val="center"/>
              <w:rPr>
                <w:rFonts w:asciiTheme="majorHAnsi" w:hAnsiTheme="majorHAnsi" w:cstheme="majorHAnsi"/>
                <w:sz w:val="21"/>
                <w:szCs w:val="21"/>
              </w:rPr>
            </w:pPr>
            <w:r w:rsidRPr="00576357">
              <w:rPr>
                <w:rFonts w:asciiTheme="majorHAnsi" w:hAnsiTheme="majorHAnsi" w:cstheme="majorHAnsi"/>
                <w:b/>
                <w:sz w:val="21"/>
                <w:szCs w:val="21"/>
              </w:rPr>
              <w:t>Impactos</w:t>
            </w:r>
          </w:p>
        </w:tc>
      </w:tr>
      <w:tr w:rsidR="009C192E" w:rsidRPr="00576357" w14:paraId="6DFA146E" w14:textId="77777777" w:rsidTr="00576357">
        <w:trPr>
          <w:trHeight w:val="2827"/>
        </w:trPr>
        <w:tc>
          <w:tcPr>
            <w:tcW w:w="1409" w:type="dxa"/>
            <w:tcBorders>
              <w:top w:val="single" w:sz="4" w:space="0" w:color="000000"/>
              <w:left w:val="single" w:sz="4" w:space="0" w:color="000000"/>
              <w:bottom w:val="single" w:sz="4" w:space="0" w:color="000000"/>
              <w:right w:val="single" w:sz="4" w:space="0" w:color="000000"/>
            </w:tcBorders>
          </w:tcPr>
          <w:p w14:paraId="3590AB11" w14:textId="77777777" w:rsidR="009C192E" w:rsidRPr="00576357" w:rsidRDefault="009C192E" w:rsidP="00576357">
            <w:pPr>
              <w:spacing w:before="0" w:after="0"/>
              <w:rPr>
                <w:rFonts w:asciiTheme="majorHAnsi" w:hAnsiTheme="majorHAnsi" w:cstheme="majorHAnsi"/>
                <w:sz w:val="21"/>
                <w:szCs w:val="21"/>
              </w:rPr>
            </w:pPr>
            <w:r w:rsidRPr="00576357">
              <w:rPr>
                <w:rFonts w:asciiTheme="majorHAnsi" w:hAnsiTheme="majorHAnsi" w:cstheme="majorHAnsi"/>
                <w:sz w:val="21"/>
                <w:szCs w:val="21"/>
              </w:rPr>
              <w:t xml:space="preserve">Variaciones en el tipo de cambio.  </w:t>
            </w:r>
          </w:p>
        </w:tc>
        <w:tc>
          <w:tcPr>
            <w:tcW w:w="1984" w:type="dxa"/>
            <w:tcBorders>
              <w:top w:val="single" w:sz="4" w:space="0" w:color="000000"/>
              <w:left w:val="single" w:sz="4" w:space="0" w:color="000000"/>
              <w:bottom w:val="single" w:sz="4" w:space="0" w:color="000000"/>
              <w:right w:val="single" w:sz="4" w:space="0" w:color="000000"/>
            </w:tcBorders>
          </w:tcPr>
          <w:p w14:paraId="09FF84B8" w14:textId="77777777" w:rsidR="009C192E" w:rsidRPr="00576357" w:rsidRDefault="009C192E" w:rsidP="00576357">
            <w:pPr>
              <w:spacing w:before="0" w:after="0"/>
              <w:rPr>
                <w:rFonts w:asciiTheme="majorHAnsi" w:hAnsiTheme="majorHAnsi" w:cstheme="majorHAnsi"/>
                <w:sz w:val="21"/>
                <w:szCs w:val="21"/>
              </w:rPr>
            </w:pPr>
            <w:r w:rsidRPr="00576357">
              <w:rPr>
                <w:rFonts w:asciiTheme="majorHAnsi" w:hAnsiTheme="majorHAnsi" w:cstheme="majorHAnsi"/>
                <w:sz w:val="21"/>
                <w:szCs w:val="21"/>
              </w:rPr>
              <w:t xml:space="preserve">Evaluar el impacto sobre la capacidad de pago, de fluctuaciones adversas en el tipo de cambio. Tanto el aumento como la disminución del tipo de cambio pueden resultar adversos, según la exposición cambiaria del deudor. </w:t>
            </w:r>
          </w:p>
        </w:tc>
        <w:tc>
          <w:tcPr>
            <w:tcW w:w="1985" w:type="dxa"/>
            <w:tcBorders>
              <w:top w:val="single" w:sz="4" w:space="0" w:color="000000"/>
              <w:left w:val="single" w:sz="4" w:space="0" w:color="000000"/>
              <w:bottom w:val="single" w:sz="4" w:space="0" w:color="000000"/>
              <w:right w:val="single" w:sz="4" w:space="0" w:color="000000"/>
            </w:tcBorders>
          </w:tcPr>
          <w:p w14:paraId="2A933CA5" w14:textId="77777777" w:rsidR="009C192E" w:rsidRPr="00576357" w:rsidRDefault="009C192E" w:rsidP="00576357">
            <w:pPr>
              <w:spacing w:before="0" w:after="0"/>
              <w:ind w:left="181" w:hanging="181"/>
              <w:rPr>
                <w:rFonts w:asciiTheme="majorHAnsi" w:hAnsiTheme="majorHAnsi" w:cstheme="majorHAnsi"/>
                <w:sz w:val="21"/>
                <w:szCs w:val="21"/>
              </w:rPr>
            </w:pPr>
            <w:r w:rsidRPr="00576357">
              <w:rPr>
                <w:rFonts w:asciiTheme="majorHAnsi" w:eastAsia="Segoe UI Symbol" w:hAnsiTheme="majorHAnsi" w:cstheme="majorHAnsi"/>
                <w:sz w:val="21"/>
                <w:szCs w:val="21"/>
              </w:rPr>
              <w:t>•</w:t>
            </w:r>
            <w:r w:rsidRPr="00576357">
              <w:rPr>
                <w:rFonts w:asciiTheme="majorHAnsi" w:eastAsia="Arial" w:hAnsiTheme="majorHAnsi" w:cstheme="majorHAnsi"/>
                <w:sz w:val="21"/>
                <w:szCs w:val="21"/>
              </w:rPr>
              <w:t xml:space="preserve"> </w:t>
            </w:r>
            <w:r w:rsidRPr="00576357">
              <w:rPr>
                <w:rFonts w:asciiTheme="majorHAnsi" w:eastAsia="Arial" w:hAnsiTheme="majorHAnsi" w:cstheme="majorHAnsi"/>
                <w:sz w:val="21"/>
                <w:szCs w:val="21"/>
              </w:rPr>
              <w:tab/>
            </w:r>
            <w:r w:rsidRPr="00576357">
              <w:rPr>
                <w:rFonts w:asciiTheme="majorHAnsi" w:hAnsiTheme="majorHAnsi" w:cstheme="majorHAnsi"/>
                <w:sz w:val="21"/>
                <w:szCs w:val="21"/>
              </w:rPr>
              <w:t xml:space="preserve">Tipo de cambio </w:t>
            </w:r>
          </w:p>
        </w:tc>
        <w:tc>
          <w:tcPr>
            <w:tcW w:w="3685" w:type="dxa"/>
            <w:tcBorders>
              <w:top w:val="single" w:sz="4" w:space="0" w:color="000000"/>
              <w:left w:val="single" w:sz="4" w:space="0" w:color="000000"/>
              <w:bottom w:val="single" w:sz="4" w:space="0" w:color="000000"/>
              <w:right w:val="single" w:sz="4" w:space="0" w:color="000000"/>
            </w:tcBorders>
          </w:tcPr>
          <w:p w14:paraId="6D8A4973" w14:textId="77777777" w:rsidR="009C192E" w:rsidRPr="00576357" w:rsidRDefault="009C192E" w:rsidP="00576357">
            <w:pPr>
              <w:spacing w:before="0" w:after="0"/>
              <w:rPr>
                <w:rFonts w:asciiTheme="majorHAnsi" w:hAnsiTheme="majorHAnsi" w:cstheme="majorHAnsi"/>
                <w:sz w:val="21"/>
                <w:szCs w:val="21"/>
              </w:rPr>
            </w:pPr>
            <w:r w:rsidRPr="00576357">
              <w:rPr>
                <w:rFonts w:asciiTheme="majorHAnsi" w:hAnsiTheme="majorHAnsi" w:cstheme="majorHAnsi"/>
                <w:b/>
                <w:sz w:val="21"/>
                <w:szCs w:val="21"/>
              </w:rPr>
              <w:t>Situación base:</w:t>
            </w:r>
            <w:r w:rsidRPr="00576357">
              <w:rPr>
                <w:rFonts w:asciiTheme="majorHAnsi" w:hAnsiTheme="majorHAnsi" w:cstheme="majorHAnsi"/>
                <w:sz w:val="21"/>
                <w:szCs w:val="21"/>
              </w:rPr>
              <w:t xml:space="preserve"> tipo de cambio vigente. </w:t>
            </w:r>
          </w:p>
          <w:p w14:paraId="6D30B3DD" w14:textId="77777777" w:rsidR="009C192E" w:rsidRPr="00576357" w:rsidRDefault="009C192E" w:rsidP="00576357">
            <w:pPr>
              <w:spacing w:before="0" w:after="0"/>
              <w:rPr>
                <w:rFonts w:asciiTheme="majorHAnsi" w:hAnsiTheme="majorHAnsi" w:cstheme="majorHAnsi"/>
                <w:sz w:val="21"/>
                <w:szCs w:val="21"/>
              </w:rPr>
            </w:pPr>
            <w:r w:rsidRPr="00576357">
              <w:rPr>
                <w:rFonts w:asciiTheme="majorHAnsi" w:hAnsiTheme="majorHAnsi" w:cstheme="majorHAnsi"/>
                <w:sz w:val="21"/>
                <w:szCs w:val="21"/>
              </w:rPr>
              <w:t xml:space="preserve"> </w:t>
            </w:r>
          </w:p>
          <w:p w14:paraId="0071257E" w14:textId="77777777" w:rsidR="009C192E" w:rsidRPr="00576357" w:rsidRDefault="009C192E" w:rsidP="00576357">
            <w:pPr>
              <w:spacing w:before="0" w:after="0"/>
              <w:rPr>
                <w:rFonts w:asciiTheme="majorHAnsi" w:hAnsiTheme="majorHAnsi" w:cstheme="majorHAnsi"/>
                <w:sz w:val="21"/>
                <w:szCs w:val="21"/>
              </w:rPr>
            </w:pPr>
            <w:r w:rsidRPr="00576357">
              <w:rPr>
                <w:rFonts w:asciiTheme="majorHAnsi" w:hAnsiTheme="majorHAnsi" w:cstheme="majorHAnsi"/>
                <w:b/>
                <w:sz w:val="21"/>
                <w:szCs w:val="21"/>
              </w:rPr>
              <w:t xml:space="preserve">Impacto moderado: </w:t>
            </w:r>
            <w:r w:rsidRPr="00576357">
              <w:rPr>
                <w:rFonts w:asciiTheme="majorHAnsi" w:hAnsiTheme="majorHAnsi" w:cstheme="majorHAnsi"/>
                <w:sz w:val="21"/>
                <w:szCs w:val="21"/>
              </w:rPr>
              <w:t xml:space="preserve">Aumento o disminución inmediato (“shock”) del tipo de cambio del + / - 15%. </w:t>
            </w:r>
          </w:p>
          <w:p w14:paraId="0FB7FE29" w14:textId="77777777" w:rsidR="009C192E" w:rsidRPr="00576357" w:rsidRDefault="009C192E" w:rsidP="00576357">
            <w:pPr>
              <w:spacing w:before="0" w:after="0"/>
              <w:rPr>
                <w:rFonts w:asciiTheme="majorHAnsi" w:hAnsiTheme="majorHAnsi" w:cstheme="majorHAnsi"/>
                <w:sz w:val="21"/>
                <w:szCs w:val="21"/>
              </w:rPr>
            </w:pPr>
            <w:r w:rsidRPr="00576357">
              <w:rPr>
                <w:rFonts w:asciiTheme="majorHAnsi" w:hAnsiTheme="majorHAnsi" w:cstheme="majorHAnsi"/>
                <w:sz w:val="21"/>
                <w:szCs w:val="21"/>
              </w:rPr>
              <w:t xml:space="preserve"> </w:t>
            </w:r>
          </w:p>
          <w:p w14:paraId="209E24E4" w14:textId="77777777" w:rsidR="009C192E" w:rsidRPr="00576357" w:rsidRDefault="009C192E" w:rsidP="00576357">
            <w:pPr>
              <w:spacing w:before="0" w:after="0"/>
              <w:rPr>
                <w:rFonts w:asciiTheme="majorHAnsi" w:hAnsiTheme="majorHAnsi" w:cstheme="majorHAnsi"/>
                <w:sz w:val="21"/>
                <w:szCs w:val="21"/>
              </w:rPr>
            </w:pPr>
            <w:r w:rsidRPr="00576357">
              <w:rPr>
                <w:rFonts w:asciiTheme="majorHAnsi" w:hAnsiTheme="majorHAnsi" w:cstheme="majorHAnsi"/>
                <w:b/>
                <w:sz w:val="21"/>
                <w:szCs w:val="21"/>
              </w:rPr>
              <w:t>Impacto severo:</w:t>
            </w:r>
            <w:r w:rsidRPr="00576357">
              <w:rPr>
                <w:rFonts w:asciiTheme="majorHAnsi" w:hAnsiTheme="majorHAnsi" w:cstheme="majorHAnsi"/>
                <w:sz w:val="21"/>
                <w:szCs w:val="21"/>
              </w:rPr>
              <w:t xml:space="preserve"> Aumento o disminución inmediato (“shock”) del tipo de cambio del +/- 30%. </w:t>
            </w:r>
          </w:p>
        </w:tc>
      </w:tr>
      <w:tr w:rsidR="009C192E" w:rsidRPr="00576357" w14:paraId="06C45C64" w14:textId="77777777" w:rsidTr="00576357">
        <w:trPr>
          <w:trHeight w:val="1964"/>
        </w:trPr>
        <w:tc>
          <w:tcPr>
            <w:tcW w:w="1409" w:type="dxa"/>
            <w:tcBorders>
              <w:top w:val="single" w:sz="4" w:space="0" w:color="000000"/>
              <w:left w:val="single" w:sz="4" w:space="0" w:color="000000"/>
              <w:bottom w:val="single" w:sz="4" w:space="0" w:color="000000"/>
              <w:right w:val="single" w:sz="4" w:space="0" w:color="000000"/>
            </w:tcBorders>
          </w:tcPr>
          <w:p w14:paraId="2DEEC11A" w14:textId="77777777" w:rsidR="009C192E" w:rsidRPr="00576357" w:rsidRDefault="009C192E" w:rsidP="00576357">
            <w:pPr>
              <w:spacing w:before="0" w:after="0"/>
              <w:rPr>
                <w:rFonts w:asciiTheme="majorHAnsi" w:hAnsiTheme="majorHAnsi" w:cstheme="majorHAnsi"/>
                <w:sz w:val="21"/>
                <w:szCs w:val="21"/>
              </w:rPr>
            </w:pPr>
            <w:r w:rsidRPr="00576357">
              <w:rPr>
                <w:rFonts w:asciiTheme="majorHAnsi" w:hAnsiTheme="majorHAnsi" w:cstheme="majorHAnsi"/>
                <w:sz w:val="21"/>
                <w:szCs w:val="21"/>
              </w:rPr>
              <w:lastRenderedPageBreak/>
              <w:t xml:space="preserve">Variaciones en la tasa de interés. </w:t>
            </w:r>
          </w:p>
        </w:tc>
        <w:tc>
          <w:tcPr>
            <w:tcW w:w="1984" w:type="dxa"/>
            <w:tcBorders>
              <w:top w:val="single" w:sz="4" w:space="0" w:color="000000"/>
              <w:left w:val="single" w:sz="4" w:space="0" w:color="000000"/>
              <w:bottom w:val="single" w:sz="4" w:space="0" w:color="000000"/>
              <w:right w:val="single" w:sz="4" w:space="0" w:color="000000"/>
            </w:tcBorders>
          </w:tcPr>
          <w:p w14:paraId="3B72CB5A" w14:textId="77777777" w:rsidR="009C192E" w:rsidRPr="00576357" w:rsidRDefault="009C192E" w:rsidP="00576357">
            <w:pPr>
              <w:spacing w:before="0" w:after="0"/>
              <w:rPr>
                <w:rFonts w:asciiTheme="majorHAnsi" w:hAnsiTheme="majorHAnsi" w:cstheme="majorHAnsi"/>
                <w:sz w:val="21"/>
                <w:szCs w:val="21"/>
              </w:rPr>
            </w:pPr>
            <w:r w:rsidRPr="00576357">
              <w:rPr>
                <w:rFonts w:asciiTheme="majorHAnsi" w:hAnsiTheme="majorHAnsi" w:cstheme="majorHAnsi"/>
                <w:sz w:val="21"/>
                <w:szCs w:val="21"/>
              </w:rPr>
              <w:t xml:space="preserve">Evaluar el impacto sobre la capacidad de pago, de fluctuaciones adversas en las tasas de interés. </w:t>
            </w:r>
          </w:p>
        </w:tc>
        <w:tc>
          <w:tcPr>
            <w:tcW w:w="1985" w:type="dxa"/>
            <w:tcBorders>
              <w:top w:val="single" w:sz="4" w:space="0" w:color="000000"/>
              <w:left w:val="single" w:sz="4" w:space="0" w:color="000000"/>
              <w:bottom w:val="single" w:sz="4" w:space="0" w:color="000000"/>
              <w:right w:val="single" w:sz="4" w:space="0" w:color="000000"/>
            </w:tcBorders>
          </w:tcPr>
          <w:p w14:paraId="3DF00B6B" w14:textId="77777777" w:rsidR="009C192E" w:rsidRPr="00576357" w:rsidRDefault="009C192E" w:rsidP="00681541">
            <w:pPr>
              <w:numPr>
                <w:ilvl w:val="0"/>
                <w:numId w:val="11"/>
              </w:numPr>
              <w:spacing w:before="0" w:after="0" w:line="240" w:lineRule="auto"/>
              <w:ind w:left="181"/>
              <w:rPr>
                <w:rFonts w:asciiTheme="majorHAnsi" w:hAnsiTheme="majorHAnsi" w:cstheme="majorHAnsi"/>
                <w:sz w:val="21"/>
                <w:szCs w:val="21"/>
              </w:rPr>
            </w:pPr>
            <w:r w:rsidRPr="00576357">
              <w:rPr>
                <w:rFonts w:asciiTheme="majorHAnsi" w:hAnsiTheme="majorHAnsi" w:cstheme="majorHAnsi"/>
                <w:sz w:val="21"/>
                <w:szCs w:val="21"/>
              </w:rPr>
              <w:t xml:space="preserve">Tasa básica pasiva (utilizada como tasa ajustable de referencia en créditos en moneda nacional). </w:t>
            </w:r>
          </w:p>
          <w:p w14:paraId="3CF2EBE7" w14:textId="77777777" w:rsidR="009C192E" w:rsidRPr="00576357" w:rsidRDefault="009C192E" w:rsidP="00681541">
            <w:pPr>
              <w:numPr>
                <w:ilvl w:val="0"/>
                <w:numId w:val="11"/>
              </w:numPr>
              <w:spacing w:before="0" w:after="0" w:line="240" w:lineRule="auto"/>
              <w:ind w:left="181"/>
              <w:rPr>
                <w:rFonts w:asciiTheme="majorHAnsi" w:hAnsiTheme="majorHAnsi" w:cstheme="majorHAnsi"/>
                <w:sz w:val="21"/>
                <w:szCs w:val="21"/>
              </w:rPr>
            </w:pPr>
            <w:r w:rsidRPr="00576357">
              <w:rPr>
                <w:rFonts w:asciiTheme="majorHAnsi" w:hAnsiTheme="majorHAnsi" w:cstheme="majorHAnsi"/>
                <w:sz w:val="21"/>
                <w:szCs w:val="21"/>
              </w:rPr>
              <w:t xml:space="preserve">Otras tasas de interés usadas como referencia de tasa ajustable para créditos en moneda extranjera. </w:t>
            </w:r>
          </w:p>
        </w:tc>
        <w:tc>
          <w:tcPr>
            <w:tcW w:w="3685" w:type="dxa"/>
            <w:tcBorders>
              <w:top w:val="single" w:sz="4" w:space="0" w:color="000000"/>
              <w:left w:val="single" w:sz="4" w:space="0" w:color="000000"/>
              <w:bottom w:val="single" w:sz="4" w:space="0" w:color="000000"/>
              <w:right w:val="single" w:sz="4" w:space="0" w:color="000000"/>
            </w:tcBorders>
          </w:tcPr>
          <w:p w14:paraId="4E50C333" w14:textId="77777777" w:rsidR="009C192E" w:rsidRPr="00576357" w:rsidRDefault="009C192E" w:rsidP="00576357">
            <w:pPr>
              <w:spacing w:before="0" w:after="0"/>
              <w:rPr>
                <w:rFonts w:asciiTheme="majorHAnsi" w:hAnsiTheme="majorHAnsi" w:cstheme="majorHAnsi"/>
                <w:sz w:val="21"/>
                <w:szCs w:val="21"/>
              </w:rPr>
            </w:pPr>
            <w:r w:rsidRPr="00576357">
              <w:rPr>
                <w:rFonts w:asciiTheme="majorHAnsi" w:hAnsiTheme="majorHAnsi" w:cstheme="majorHAnsi"/>
                <w:b/>
                <w:sz w:val="21"/>
                <w:szCs w:val="21"/>
              </w:rPr>
              <w:t>Situación base:</w:t>
            </w:r>
            <w:r w:rsidRPr="00576357">
              <w:rPr>
                <w:rFonts w:asciiTheme="majorHAnsi" w:hAnsiTheme="majorHAnsi" w:cstheme="majorHAnsi"/>
                <w:sz w:val="21"/>
                <w:szCs w:val="21"/>
              </w:rPr>
              <w:t xml:space="preserve"> tasas de interés de referencia vigentes para créditos (monedas nacional y extranjera). </w:t>
            </w:r>
          </w:p>
          <w:p w14:paraId="0B5D63E8" w14:textId="77777777" w:rsidR="009C192E" w:rsidRPr="00576357" w:rsidRDefault="009C192E" w:rsidP="00576357">
            <w:pPr>
              <w:spacing w:before="0" w:after="0"/>
              <w:rPr>
                <w:rFonts w:asciiTheme="majorHAnsi" w:hAnsiTheme="majorHAnsi" w:cstheme="majorHAnsi"/>
                <w:sz w:val="21"/>
                <w:szCs w:val="21"/>
              </w:rPr>
            </w:pPr>
            <w:r w:rsidRPr="00576357">
              <w:rPr>
                <w:rFonts w:asciiTheme="majorHAnsi" w:hAnsiTheme="majorHAnsi" w:cstheme="majorHAnsi"/>
                <w:sz w:val="21"/>
                <w:szCs w:val="21"/>
              </w:rPr>
              <w:t xml:space="preserve"> </w:t>
            </w:r>
          </w:p>
          <w:p w14:paraId="18CE6FBC" w14:textId="77777777" w:rsidR="009C192E" w:rsidRPr="00576357" w:rsidRDefault="009C192E" w:rsidP="00576357">
            <w:pPr>
              <w:spacing w:before="0" w:after="0"/>
              <w:rPr>
                <w:rFonts w:asciiTheme="majorHAnsi" w:hAnsiTheme="majorHAnsi" w:cstheme="majorHAnsi"/>
                <w:sz w:val="21"/>
                <w:szCs w:val="21"/>
              </w:rPr>
            </w:pPr>
            <w:r w:rsidRPr="00576357">
              <w:rPr>
                <w:rFonts w:asciiTheme="majorHAnsi" w:hAnsiTheme="majorHAnsi" w:cstheme="majorHAnsi"/>
                <w:b/>
                <w:sz w:val="21"/>
                <w:szCs w:val="21"/>
              </w:rPr>
              <w:t xml:space="preserve">Impacto moderado: </w:t>
            </w:r>
            <w:r w:rsidRPr="00576357">
              <w:rPr>
                <w:rFonts w:asciiTheme="majorHAnsi" w:hAnsiTheme="majorHAnsi" w:cstheme="majorHAnsi"/>
                <w:sz w:val="21"/>
                <w:szCs w:val="21"/>
              </w:rPr>
              <w:t xml:space="preserve">Aumento o disminución inmediato (“shock”) sobre las tasas de interés de referencia para créditos: </w:t>
            </w:r>
          </w:p>
          <w:p w14:paraId="42A13878" w14:textId="77777777" w:rsidR="009C192E" w:rsidRPr="00576357" w:rsidRDefault="009C192E" w:rsidP="00576357">
            <w:pPr>
              <w:spacing w:before="0" w:after="0"/>
              <w:rPr>
                <w:rFonts w:asciiTheme="majorHAnsi" w:hAnsiTheme="majorHAnsi" w:cstheme="majorHAnsi"/>
                <w:sz w:val="21"/>
                <w:szCs w:val="21"/>
              </w:rPr>
            </w:pPr>
            <w:r w:rsidRPr="00576357">
              <w:rPr>
                <w:rFonts w:asciiTheme="majorHAnsi" w:hAnsiTheme="majorHAnsi" w:cstheme="majorHAnsi"/>
                <w:sz w:val="21"/>
                <w:szCs w:val="21"/>
              </w:rPr>
              <w:t xml:space="preserve"> </w:t>
            </w:r>
          </w:p>
          <w:p w14:paraId="3E001DC6" w14:textId="77777777" w:rsidR="009C192E" w:rsidRPr="00576357" w:rsidRDefault="009C192E" w:rsidP="00681541">
            <w:pPr>
              <w:numPr>
                <w:ilvl w:val="0"/>
                <w:numId w:val="12"/>
              </w:numPr>
              <w:spacing w:before="0" w:after="0" w:line="240" w:lineRule="auto"/>
              <w:ind w:left="181"/>
              <w:rPr>
                <w:rFonts w:asciiTheme="majorHAnsi" w:hAnsiTheme="majorHAnsi" w:cstheme="majorHAnsi"/>
                <w:sz w:val="21"/>
                <w:szCs w:val="21"/>
              </w:rPr>
            </w:pPr>
            <w:r w:rsidRPr="00576357">
              <w:rPr>
                <w:rFonts w:asciiTheme="majorHAnsi" w:hAnsiTheme="majorHAnsi" w:cstheme="majorHAnsi"/>
                <w:sz w:val="21"/>
                <w:szCs w:val="21"/>
              </w:rPr>
              <w:t xml:space="preserve">Cambio para colones de + / - 2 puntos porcentuales. </w:t>
            </w:r>
          </w:p>
          <w:p w14:paraId="25830807" w14:textId="77777777" w:rsidR="009C192E" w:rsidRPr="00576357" w:rsidRDefault="009C192E" w:rsidP="00576357">
            <w:pPr>
              <w:spacing w:before="0" w:after="0"/>
              <w:ind w:left="181" w:hanging="181"/>
              <w:rPr>
                <w:rFonts w:asciiTheme="majorHAnsi" w:hAnsiTheme="majorHAnsi" w:cstheme="majorHAnsi"/>
                <w:sz w:val="21"/>
                <w:szCs w:val="21"/>
              </w:rPr>
            </w:pPr>
          </w:p>
          <w:p w14:paraId="2ED7B8E1" w14:textId="77777777" w:rsidR="009C192E" w:rsidRPr="00576357" w:rsidRDefault="009C192E" w:rsidP="00681541">
            <w:pPr>
              <w:numPr>
                <w:ilvl w:val="0"/>
                <w:numId w:val="12"/>
              </w:numPr>
              <w:spacing w:before="0" w:after="0" w:line="240" w:lineRule="auto"/>
              <w:ind w:left="181"/>
              <w:rPr>
                <w:rFonts w:asciiTheme="majorHAnsi" w:hAnsiTheme="majorHAnsi" w:cstheme="majorHAnsi"/>
                <w:sz w:val="21"/>
                <w:szCs w:val="21"/>
              </w:rPr>
            </w:pPr>
            <w:r w:rsidRPr="00576357">
              <w:rPr>
                <w:rFonts w:asciiTheme="majorHAnsi" w:hAnsiTheme="majorHAnsi" w:cstheme="majorHAnsi"/>
                <w:sz w:val="21"/>
                <w:szCs w:val="21"/>
              </w:rPr>
              <w:t xml:space="preserve">Cambio para moneda extranjera de + / - 1 punto porcentual. </w:t>
            </w:r>
          </w:p>
          <w:p w14:paraId="24DC5C64" w14:textId="77777777" w:rsidR="009C192E" w:rsidRPr="00576357" w:rsidRDefault="009C192E" w:rsidP="00576357">
            <w:pPr>
              <w:spacing w:before="0" w:after="0"/>
              <w:ind w:left="181" w:hanging="181"/>
              <w:rPr>
                <w:rFonts w:asciiTheme="majorHAnsi" w:hAnsiTheme="majorHAnsi" w:cstheme="majorHAnsi"/>
                <w:sz w:val="21"/>
                <w:szCs w:val="21"/>
              </w:rPr>
            </w:pPr>
          </w:p>
          <w:p w14:paraId="34D13B33" w14:textId="77777777" w:rsidR="009C192E" w:rsidRPr="00576357" w:rsidRDefault="009C192E" w:rsidP="00576357">
            <w:pPr>
              <w:spacing w:before="0" w:after="0"/>
              <w:rPr>
                <w:rFonts w:asciiTheme="majorHAnsi" w:hAnsiTheme="majorHAnsi" w:cstheme="majorHAnsi"/>
                <w:sz w:val="21"/>
                <w:szCs w:val="21"/>
              </w:rPr>
            </w:pPr>
            <w:r w:rsidRPr="00576357">
              <w:rPr>
                <w:rFonts w:asciiTheme="majorHAnsi" w:hAnsiTheme="majorHAnsi" w:cstheme="majorHAnsi"/>
                <w:b/>
                <w:sz w:val="21"/>
                <w:szCs w:val="21"/>
              </w:rPr>
              <w:t xml:space="preserve">Impacto severo: </w:t>
            </w:r>
            <w:r w:rsidRPr="00576357">
              <w:rPr>
                <w:rFonts w:asciiTheme="majorHAnsi" w:hAnsiTheme="majorHAnsi" w:cstheme="majorHAnsi"/>
                <w:sz w:val="21"/>
                <w:szCs w:val="21"/>
              </w:rPr>
              <w:t xml:space="preserve">Aumento o disminución inmediato (“shock”) sobre las tasas de interés de referencia para créditos: </w:t>
            </w:r>
          </w:p>
          <w:p w14:paraId="59D8E952" w14:textId="77777777" w:rsidR="009C192E" w:rsidRPr="00576357" w:rsidRDefault="009C192E" w:rsidP="00576357">
            <w:pPr>
              <w:spacing w:before="0" w:after="0"/>
              <w:ind w:left="181" w:hanging="181"/>
              <w:rPr>
                <w:rFonts w:asciiTheme="majorHAnsi" w:hAnsiTheme="majorHAnsi" w:cstheme="majorHAnsi"/>
                <w:sz w:val="21"/>
                <w:szCs w:val="21"/>
              </w:rPr>
            </w:pPr>
            <w:r w:rsidRPr="00576357">
              <w:rPr>
                <w:rFonts w:asciiTheme="majorHAnsi" w:hAnsiTheme="majorHAnsi" w:cstheme="majorHAnsi"/>
                <w:sz w:val="21"/>
                <w:szCs w:val="21"/>
              </w:rPr>
              <w:t xml:space="preserve"> </w:t>
            </w:r>
          </w:p>
          <w:p w14:paraId="717BC7CD" w14:textId="77777777" w:rsidR="009C192E" w:rsidRPr="00576357" w:rsidRDefault="009C192E" w:rsidP="00681541">
            <w:pPr>
              <w:numPr>
                <w:ilvl w:val="0"/>
                <w:numId w:val="12"/>
              </w:numPr>
              <w:spacing w:before="0" w:after="0" w:line="240" w:lineRule="auto"/>
              <w:ind w:left="181"/>
              <w:rPr>
                <w:rFonts w:asciiTheme="majorHAnsi" w:hAnsiTheme="majorHAnsi" w:cstheme="majorHAnsi"/>
                <w:sz w:val="21"/>
                <w:szCs w:val="21"/>
              </w:rPr>
            </w:pPr>
            <w:r w:rsidRPr="00576357">
              <w:rPr>
                <w:rFonts w:asciiTheme="majorHAnsi" w:hAnsiTheme="majorHAnsi" w:cstheme="majorHAnsi"/>
                <w:sz w:val="21"/>
                <w:szCs w:val="21"/>
              </w:rPr>
              <w:t xml:space="preserve">Cambio para colones de + / - 4 puntos porcentuales. </w:t>
            </w:r>
          </w:p>
          <w:p w14:paraId="34ACFB95" w14:textId="77777777" w:rsidR="009C192E" w:rsidRPr="00576357" w:rsidRDefault="009C192E" w:rsidP="00576357">
            <w:pPr>
              <w:spacing w:before="0" w:after="0"/>
              <w:ind w:left="181" w:hanging="181"/>
              <w:rPr>
                <w:rFonts w:asciiTheme="majorHAnsi" w:hAnsiTheme="majorHAnsi" w:cstheme="majorHAnsi"/>
                <w:sz w:val="21"/>
                <w:szCs w:val="21"/>
              </w:rPr>
            </w:pPr>
            <w:r w:rsidRPr="00576357">
              <w:rPr>
                <w:rFonts w:asciiTheme="majorHAnsi" w:hAnsiTheme="majorHAnsi" w:cstheme="majorHAnsi"/>
                <w:sz w:val="21"/>
                <w:szCs w:val="21"/>
              </w:rPr>
              <w:t xml:space="preserve"> </w:t>
            </w:r>
          </w:p>
          <w:p w14:paraId="6B3C638F" w14:textId="77777777" w:rsidR="009C192E" w:rsidRPr="00576357" w:rsidRDefault="009C192E" w:rsidP="00681541">
            <w:pPr>
              <w:numPr>
                <w:ilvl w:val="0"/>
                <w:numId w:val="12"/>
              </w:numPr>
              <w:spacing w:before="0" w:after="0" w:line="240" w:lineRule="auto"/>
              <w:ind w:left="181"/>
              <w:rPr>
                <w:rFonts w:asciiTheme="majorHAnsi" w:hAnsiTheme="majorHAnsi" w:cstheme="majorHAnsi"/>
                <w:sz w:val="21"/>
                <w:szCs w:val="21"/>
              </w:rPr>
            </w:pPr>
            <w:r w:rsidRPr="00576357">
              <w:rPr>
                <w:rFonts w:asciiTheme="majorHAnsi" w:hAnsiTheme="majorHAnsi" w:cstheme="majorHAnsi"/>
                <w:sz w:val="21"/>
                <w:szCs w:val="21"/>
              </w:rPr>
              <w:t xml:space="preserve">Cambio para moneda extranjera de + / - 2 puntos porcentuales. </w:t>
            </w:r>
          </w:p>
        </w:tc>
      </w:tr>
    </w:tbl>
    <w:p w14:paraId="36190A1F"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 xml:space="preserve">Las entidades deben estimar la severidad total, sobre la capacidad de pago de sus deudores, al considerar los cambios -simultáneos e inmediatos- en las variables críticas previamente citadas. </w:t>
      </w:r>
    </w:p>
    <w:p w14:paraId="79A61E07"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 xml:space="preserve">Otras variables de estrés que las entidades pueden utilizar en sus escenarios de tensión, que inciden sobre la capacidad de los deudores, son: la actividad económica, la inflación y el desempleo.  </w:t>
      </w:r>
    </w:p>
    <w:p w14:paraId="74DAD96B" w14:textId="77777777" w:rsidR="009C192E" w:rsidRPr="00576357" w:rsidRDefault="009C192E" w:rsidP="009C192E">
      <w:pPr>
        <w:pStyle w:val="Ttulo2"/>
        <w:ind w:left="567" w:hanging="578"/>
        <w:rPr>
          <w:rFonts w:asciiTheme="majorHAnsi" w:hAnsiTheme="majorHAnsi" w:cstheme="majorHAnsi"/>
          <w:sz w:val="23"/>
          <w:szCs w:val="23"/>
        </w:rPr>
      </w:pPr>
      <w:bookmarkStart w:id="39" w:name="_Toc227326036"/>
      <w:r w:rsidRPr="00576357">
        <w:rPr>
          <w:rFonts w:asciiTheme="majorHAnsi" w:hAnsiTheme="majorHAnsi" w:cstheme="majorHAnsi"/>
          <w:sz w:val="23"/>
          <w:szCs w:val="23"/>
        </w:rPr>
        <w:lastRenderedPageBreak/>
        <w:t>Indicadores relevantes</w:t>
      </w:r>
      <w:bookmarkEnd w:id="39"/>
      <w:r w:rsidRPr="00576357">
        <w:rPr>
          <w:rFonts w:asciiTheme="majorHAnsi" w:hAnsiTheme="majorHAnsi" w:cstheme="majorHAnsi"/>
          <w:sz w:val="23"/>
          <w:szCs w:val="23"/>
        </w:rPr>
        <w:t xml:space="preserve"> </w:t>
      </w:r>
    </w:p>
    <w:p w14:paraId="0AD3C6D9"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 xml:space="preserve">La definición de uno o varios indicadores relevantes tiene el objetivo de establecer una métrica que recoja los impactos de los análisis de estrés. Los indicadores y sus niveles críticos serán determinados por la entidad, en congruencia con el tipo de deudor o los atributos de este o de un tipo de cartera o producto mejor representen la exposición al riesgo de crédito para la entidad. Algunos indicadores relevantes que podrían ser impactados prospectivamente por la variación de los factores de riesgo bajo tensión, son los siguientes: </w:t>
      </w:r>
    </w:p>
    <w:p w14:paraId="798038BD" w14:textId="77777777" w:rsidR="009C192E" w:rsidRPr="00576357" w:rsidRDefault="009C192E" w:rsidP="009C192E">
      <w:pPr>
        <w:numPr>
          <w:ilvl w:val="2"/>
          <w:numId w:val="9"/>
        </w:numPr>
        <w:spacing w:before="0" w:line="240" w:lineRule="auto"/>
        <w:ind w:left="1134" w:hanging="567"/>
        <w:rPr>
          <w:rFonts w:asciiTheme="majorHAnsi" w:hAnsiTheme="majorHAnsi" w:cstheme="majorHAnsi"/>
          <w:sz w:val="23"/>
          <w:szCs w:val="23"/>
        </w:rPr>
      </w:pPr>
      <w:r w:rsidRPr="00576357">
        <w:rPr>
          <w:rFonts w:asciiTheme="majorHAnsi" w:hAnsiTheme="majorHAnsi" w:cstheme="majorHAnsi"/>
          <w:sz w:val="23"/>
          <w:szCs w:val="23"/>
        </w:rPr>
        <w:t xml:space="preserve">indicadores de cobertura de cuota/ingreso (DTI), </w:t>
      </w:r>
    </w:p>
    <w:p w14:paraId="470D968F" w14:textId="77777777" w:rsidR="009C192E" w:rsidRPr="00576357" w:rsidRDefault="009C192E" w:rsidP="009C192E">
      <w:pPr>
        <w:numPr>
          <w:ilvl w:val="2"/>
          <w:numId w:val="9"/>
        </w:numPr>
        <w:spacing w:before="0" w:line="240" w:lineRule="auto"/>
        <w:ind w:left="1134" w:hanging="567"/>
        <w:rPr>
          <w:rFonts w:asciiTheme="majorHAnsi" w:hAnsiTheme="majorHAnsi" w:cstheme="majorHAnsi"/>
          <w:sz w:val="23"/>
          <w:szCs w:val="23"/>
        </w:rPr>
      </w:pPr>
      <w:r w:rsidRPr="00576357">
        <w:rPr>
          <w:rFonts w:asciiTheme="majorHAnsi" w:hAnsiTheme="majorHAnsi" w:cstheme="majorHAnsi"/>
          <w:sz w:val="23"/>
          <w:szCs w:val="23"/>
        </w:rPr>
        <w:t xml:space="preserve">relaciones de apalancamiento, </w:t>
      </w:r>
    </w:p>
    <w:p w14:paraId="6F55B500" w14:textId="77777777" w:rsidR="009C192E" w:rsidRPr="00576357" w:rsidRDefault="009C192E" w:rsidP="009C192E">
      <w:pPr>
        <w:numPr>
          <w:ilvl w:val="2"/>
          <w:numId w:val="9"/>
        </w:numPr>
        <w:spacing w:before="0" w:line="240" w:lineRule="auto"/>
        <w:ind w:left="1134" w:hanging="567"/>
        <w:rPr>
          <w:rFonts w:asciiTheme="majorHAnsi" w:hAnsiTheme="majorHAnsi" w:cstheme="majorHAnsi"/>
          <w:sz w:val="23"/>
          <w:szCs w:val="23"/>
        </w:rPr>
      </w:pPr>
      <w:r w:rsidRPr="00576357">
        <w:rPr>
          <w:rFonts w:asciiTheme="majorHAnsi" w:hAnsiTheme="majorHAnsi" w:cstheme="majorHAnsi"/>
          <w:sz w:val="23"/>
          <w:szCs w:val="23"/>
        </w:rPr>
        <w:t xml:space="preserve">relaciones préstamo a valor (LTV), </w:t>
      </w:r>
    </w:p>
    <w:p w14:paraId="460DC506" w14:textId="77777777" w:rsidR="009C192E" w:rsidRPr="00576357" w:rsidRDefault="009C192E" w:rsidP="009C192E">
      <w:pPr>
        <w:numPr>
          <w:ilvl w:val="2"/>
          <w:numId w:val="9"/>
        </w:numPr>
        <w:spacing w:before="0" w:line="240" w:lineRule="auto"/>
        <w:ind w:left="1134" w:hanging="567"/>
        <w:rPr>
          <w:rFonts w:asciiTheme="majorHAnsi" w:hAnsiTheme="majorHAnsi" w:cstheme="majorHAnsi"/>
          <w:sz w:val="23"/>
          <w:szCs w:val="23"/>
        </w:rPr>
      </w:pPr>
      <w:r w:rsidRPr="00576357">
        <w:rPr>
          <w:rFonts w:asciiTheme="majorHAnsi" w:hAnsiTheme="majorHAnsi" w:cstheme="majorHAnsi"/>
          <w:sz w:val="23"/>
          <w:szCs w:val="23"/>
        </w:rPr>
        <w:t xml:space="preserve">niveles de morosidad, </w:t>
      </w:r>
    </w:p>
    <w:p w14:paraId="194C531F" w14:textId="77777777" w:rsidR="009C192E" w:rsidRPr="00576357" w:rsidRDefault="009C192E" w:rsidP="009C192E">
      <w:pPr>
        <w:numPr>
          <w:ilvl w:val="2"/>
          <w:numId w:val="9"/>
        </w:numPr>
        <w:spacing w:before="0" w:line="240" w:lineRule="auto"/>
        <w:ind w:left="1134" w:hanging="567"/>
        <w:rPr>
          <w:rFonts w:asciiTheme="majorHAnsi" w:hAnsiTheme="majorHAnsi" w:cstheme="majorHAnsi"/>
          <w:sz w:val="23"/>
          <w:szCs w:val="23"/>
        </w:rPr>
      </w:pPr>
      <w:r w:rsidRPr="00576357">
        <w:rPr>
          <w:rFonts w:asciiTheme="majorHAnsi" w:hAnsiTheme="majorHAnsi" w:cstheme="majorHAnsi"/>
          <w:sz w:val="23"/>
          <w:szCs w:val="23"/>
        </w:rPr>
        <w:t xml:space="preserve">tasas de pérdida. </w:t>
      </w:r>
    </w:p>
    <w:p w14:paraId="201D7ADF"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Para el caso de indicadores de cobertura de la carga financiera, la entidad debe realizar su mejor estimación del ingreso neto y/o del FCL</w:t>
      </w:r>
      <w:r w:rsidRPr="00576357">
        <w:rPr>
          <w:rFonts w:asciiTheme="majorHAnsi" w:hAnsiTheme="majorHAnsi" w:cstheme="majorHAnsi"/>
          <w:color w:val="1F497C"/>
          <w:sz w:val="23"/>
          <w:szCs w:val="23"/>
        </w:rPr>
        <w:t xml:space="preserve"> </w:t>
      </w:r>
      <w:r w:rsidRPr="00576357">
        <w:rPr>
          <w:rFonts w:asciiTheme="majorHAnsi" w:hAnsiTheme="majorHAnsi" w:cstheme="majorHAnsi"/>
          <w:sz w:val="23"/>
          <w:szCs w:val="23"/>
        </w:rPr>
        <w:t xml:space="preserve">del deudor, así como considerar todas las deudas actuales como las que son objeto de análisis. Esta información es un insumo fundamental para la toma de decisiones, al menos al momento de analizar la capacidad de pago del deudor previo al otorgamiento de cualquier operación crediticia, y en etapas posteriores frente a readecuaciones, refinanciamientos u otras modificaciones en las condiciones de pago de los créditos. </w:t>
      </w:r>
    </w:p>
    <w:p w14:paraId="25FF6FBD" w14:textId="77777777" w:rsidR="009C192E" w:rsidRPr="00576357" w:rsidRDefault="009C192E" w:rsidP="009C192E">
      <w:pPr>
        <w:pStyle w:val="Ttulo2"/>
        <w:ind w:left="567" w:hanging="578"/>
        <w:rPr>
          <w:rFonts w:asciiTheme="majorHAnsi" w:hAnsiTheme="majorHAnsi" w:cstheme="majorHAnsi"/>
          <w:sz w:val="23"/>
          <w:szCs w:val="23"/>
        </w:rPr>
      </w:pPr>
      <w:bookmarkStart w:id="40" w:name="_Toc227326037"/>
      <w:r w:rsidRPr="00576357">
        <w:rPr>
          <w:rFonts w:asciiTheme="majorHAnsi" w:hAnsiTheme="majorHAnsi" w:cstheme="majorHAnsi"/>
          <w:sz w:val="23"/>
          <w:szCs w:val="23"/>
        </w:rPr>
        <w:t>Impacto en la capacidad de pago del deudor</w:t>
      </w:r>
      <w:bookmarkEnd w:id="40"/>
      <w:r w:rsidRPr="00576357">
        <w:rPr>
          <w:rFonts w:asciiTheme="majorHAnsi" w:hAnsiTheme="majorHAnsi" w:cstheme="majorHAnsi"/>
          <w:sz w:val="23"/>
          <w:szCs w:val="23"/>
        </w:rPr>
        <w:t xml:space="preserve"> </w:t>
      </w:r>
    </w:p>
    <w:p w14:paraId="536E7E60"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 xml:space="preserve">Corresponde a cada entidad financiera definir la categorización que estime pertinente respecto al grado de vulnerabilidad del deudor frente a las fluctuaciones adversas en las variables críticas. </w:t>
      </w:r>
    </w:p>
    <w:p w14:paraId="50F3051C"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lastRenderedPageBreak/>
        <w:t xml:space="preserve">Sin embargo, en lo que respecta al riesgo cambiario del crédito, al menos deben considerarse los siguientes dos grados de vulnerabilidad: </w:t>
      </w:r>
    </w:p>
    <w:p w14:paraId="1617F404" w14:textId="77777777" w:rsidR="009C192E" w:rsidRPr="00576357" w:rsidRDefault="009C192E" w:rsidP="009C192E">
      <w:pPr>
        <w:numPr>
          <w:ilvl w:val="1"/>
          <w:numId w:val="10"/>
        </w:numPr>
        <w:spacing w:before="0" w:line="240" w:lineRule="auto"/>
        <w:ind w:left="1134" w:hanging="567"/>
        <w:rPr>
          <w:rFonts w:asciiTheme="majorHAnsi" w:hAnsiTheme="majorHAnsi" w:cstheme="majorHAnsi"/>
          <w:sz w:val="23"/>
          <w:szCs w:val="23"/>
        </w:rPr>
      </w:pPr>
      <w:r w:rsidRPr="00576357">
        <w:rPr>
          <w:rFonts w:asciiTheme="majorHAnsi" w:hAnsiTheme="majorHAnsi" w:cstheme="majorHAnsi"/>
          <w:sz w:val="23"/>
          <w:szCs w:val="23"/>
        </w:rPr>
        <w:t xml:space="preserve">Deudor con bajo riesgo cambiario del crédito: deudor cuyo indicador o indicadores relevantes definidos por la entidad, bajo condiciones de estrés del tipo de cambio, son iguales o menores (o mayores) al nivel crítico definido por la entidad; </w:t>
      </w:r>
    </w:p>
    <w:p w14:paraId="2FF9060F" w14:textId="77777777" w:rsidR="009C192E" w:rsidRPr="00576357" w:rsidRDefault="009C192E" w:rsidP="009C192E">
      <w:pPr>
        <w:numPr>
          <w:ilvl w:val="1"/>
          <w:numId w:val="10"/>
        </w:numPr>
        <w:spacing w:before="0" w:line="240" w:lineRule="auto"/>
        <w:ind w:left="1134" w:hanging="567"/>
        <w:rPr>
          <w:rFonts w:asciiTheme="majorHAnsi" w:hAnsiTheme="majorHAnsi" w:cstheme="majorHAnsi"/>
          <w:sz w:val="23"/>
          <w:szCs w:val="23"/>
        </w:rPr>
      </w:pPr>
      <w:r w:rsidRPr="00576357">
        <w:rPr>
          <w:rFonts w:asciiTheme="majorHAnsi" w:hAnsiTheme="majorHAnsi" w:cstheme="majorHAnsi"/>
          <w:sz w:val="23"/>
          <w:szCs w:val="23"/>
        </w:rPr>
        <w:t xml:space="preserve">Deudor con alto riesgo cambiario del crédito: deudor cuyo indicador o indicadores relevantes definidos por la entidad, bajo condiciones de estrés del tipo de cambio, son mayores (o menores) al nivel crítico definido por la entidad. </w:t>
      </w:r>
    </w:p>
    <w:p w14:paraId="7F6A47A9" w14:textId="77777777" w:rsidR="009C192E" w:rsidRPr="00576357" w:rsidRDefault="009C192E" w:rsidP="009C192E">
      <w:pPr>
        <w:pStyle w:val="Ttulo2"/>
        <w:ind w:left="567" w:hanging="578"/>
        <w:rPr>
          <w:rFonts w:asciiTheme="majorHAnsi" w:hAnsiTheme="majorHAnsi" w:cstheme="majorHAnsi"/>
          <w:sz w:val="23"/>
          <w:szCs w:val="23"/>
        </w:rPr>
      </w:pPr>
      <w:bookmarkStart w:id="41" w:name="_Toc227326038"/>
      <w:r w:rsidRPr="00576357">
        <w:rPr>
          <w:rFonts w:asciiTheme="majorHAnsi" w:hAnsiTheme="majorHAnsi" w:cstheme="majorHAnsi"/>
          <w:sz w:val="23"/>
          <w:szCs w:val="23"/>
        </w:rPr>
        <w:t>Otras exposiciones de riesgo de crédito</w:t>
      </w:r>
      <w:bookmarkEnd w:id="41"/>
      <w:r w:rsidRPr="00576357">
        <w:rPr>
          <w:rFonts w:asciiTheme="majorHAnsi" w:hAnsiTheme="majorHAnsi" w:cstheme="majorHAnsi"/>
          <w:sz w:val="23"/>
          <w:szCs w:val="23"/>
        </w:rPr>
        <w:t xml:space="preserve"> </w:t>
      </w:r>
    </w:p>
    <w:p w14:paraId="2B4C12E9"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En el caso que sean relevantes las exposiciones con el exterior, la entidad debe incluir en su prueba de estrés los escenarios apropiados para reflejar el riesgo país y el riesgo de transferencia, así como el impacto de las concentraciones de riesgo significativas, a criterio de la entidad.</w:t>
      </w:r>
    </w:p>
    <w:p w14:paraId="207E3982" w14:textId="77777777" w:rsidR="009C192E" w:rsidRPr="00576357" w:rsidRDefault="009C192E" w:rsidP="009C192E">
      <w:pPr>
        <w:jc w:val="left"/>
        <w:rPr>
          <w:rFonts w:asciiTheme="majorHAnsi" w:hAnsiTheme="majorHAnsi" w:cstheme="majorHAnsi"/>
          <w:sz w:val="23"/>
          <w:szCs w:val="23"/>
        </w:rPr>
      </w:pPr>
      <w:r w:rsidRPr="00576357">
        <w:rPr>
          <w:rFonts w:asciiTheme="majorHAnsi" w:hAnsiTheme="majorHAnsi" w:cstheme="majorHAnsi"/>
          <w:sz w:val="23"/>
          <w:szCs w:val="23"/>
        </w:rPr>
        <w:br w:type="page"/>
      </w:r>
    </w:p>
    <w:p w14:paraId="2570E0EF" w14:textId="77777777" w:rsidR="009C192E" w:rsidRPr="00576357" w:rsidRDefault="009C192E" w:rsidP="009C192E">
      <w:pPr>
        <w:pStyle w:val="Ttulo1"/>
        <w:rPr>
          <w:rFonts w:asciiTheme="majorHAnsi" w:hAnsiTheme="majorHAnsi" w:cstheme="majorHAnsi"/>
          <w:sz w:val="23"/>
          <w:szCs w:val="23"/>
          <w:u w:val="single"/>
        </w:rPr>
      </w:pPr>
      <w:bookmarkStart w:id="42" w:name="_Toc227326039"/>
      <w:r w:rsidRPr="00576357">
        <w:rPr>
          <w:rFonts w:asciiTheme="majorHAnsi" w:hAnsiTheme="majorHAnsi" w:cstheme="majorHAnsi"/>
          <w:sz w:val="23"/>
          <w:szCs w:val="23"/>
        </w:rPr>
        <w:lastRenderedPageBreak/>
        <w:t>VIII) CÁLCULO DEL INDICADOR DE COBERTURA DEL SERVICIO DE LOS CRÉDITOS DIRECTOS (CSD)</w:t>
      </w:r>
      <w:bookmarkEnd w:id="42"/>
    </w:p>
    <w:p w14:paraId="7671E6D8" w14:textId="77777777" w:rsidR="009C192E" w:rsidRPr="00576357" w:rsidRDefault="009C192E" w:rsidP="009C192E">
      <w:pPr>
        <w:ind w:left="1134" w:hanging="1128"/>
        <w:rPr>
          <w:rFonts w:asciiTheme="majorHAnsi" w:hAnsiTheme="majorHAnsi" w:cstheme="majorHAnsi"/>
          <w:sz w:val="23"/>
          <w:szCs w:val="23"/>
        </w:rPr>
      </w:pPr>
      <w:r w:rsidRPr="00576357">
        <w:rPr>
          <w:rFonts w:asciiTheme="majorHAnsi" w:hAnsiTheme="majorHAnsi" w:cstheme="majorHAnsi"/>
          <w:sz w:val="23"/>
          <w:szCs w:val="23"/>
          <w:u w:val="single"/>
        </w:rPr>
        <w:t>Objetivo</w:t>
      </w:r>
      <w:r w:rsidRPr="00576357">
        <w:rPr>
          <w:rFonts w:asciiTheme="majorHAnsi" w:hAnsiTheme="majorHAnsi" w:cstheme="majorHAnsi"/>
          <w:b/>
          <w:sz w:val="23"/>
          <w:szCs w:val="23"/>
        </w:rPr>
        <w:t>:</w:t>
      </w:r>
      <w:r w:rsidRPr="00576357">
        <w:rPr>
          <w:rFonts w:asciiTheme="majorHAnsi" w:hAnsiTheme="majorHAnsi" w:cstheme="majorHAnsi"/>
          <w:b/>
          <w:sz w:val="23"/>
          <w:szCs w:val="23"/>
        </w:rPr>
        <w:tab/>
      </w:r>
      <w:r w:rsidRPr="00576357">
        <w:rPr>
          <w:rFonts w:asciiTheme="majorHAnsi" w:hAnsiTheme="majorHAnsi" w:cstheme="majorHAnsi"/>
          <w:sz w:val="23"/>
          <w:szCs w:val="23"/>
        </w:rPr>
        <w:t xml:space="preserve">Establecer la metodología de cálculo del Indicador de Cobertura del Servicio de los Créditos Directos (CSD). </w:t>
      </w:r>
    </w:p>
    <w:p w14:paraId="0AB1EB40" w14:textId="77777777" w:rsidR="009C192E" w:rsidRPr="00576357" w:rsidRDefault="009C192E" w:rsidP="009C192E">
      <w:pPr>
        <w:numPr>
          <w:ilvl w:val="1"/>
          <w:numId w:val="8"/>
        </w:numPr>
        <w:tabs>
          <w:tab w:val="left" w:pos="1134"/>
        </w:tabs>
        <w:spacing w:before="0" w:line="240" w:lineRule="auto"/>
        <w:ind w:left="567" w:hanging="567"/>
        <w:rPr>
          <w:rFonts w:asciiTheme="majorHAnsi" w:hAnsiTheme="majorHAnsi" w:cstheme="majorHAnsi"/>
          <w:sz w:val="23"/>
          <w:szCs w:val="23"/>
        </w:rPr>
      </w:pPr>
      <w:r w:rsidRPr="00576357">
        <w:rPr>
          <w:rFonts w:asciiTheme="majorHAnsi" w:hAnsiTheme="majorHAnsi" w:cstheme="majorHAnsi"/>
          <w:sz w:val="23"/>
          <w:szCs w:val="23"/>
        </w:rPr>
        <w:tab/>
        <w:t xml:space="preserve">Para el cálculo del indicador CSD debe observarse lo siguiente: </w:t>
      </w:r>
    </w:p>
    <w:p w14:paraId="669AB69D" w14:textId="77777777" w:rsidR="009C192E" w:rsidRPr="00576357" w:rsidRDefault="009C192E" w:rsidP="00681541">
      <w:pPr>
        <w:numPr>
          <w:ilvl w:val="2"/>
          <w:numId w:val="33"/>
        </w:numPr>
        <w:spacing w:before="0" w:line="240" w:lineRule="auto"/>
        <w:ind w:left="1134" w:hanging="567"/>
        <w:rPr>
          <w:rFonts w:asciiTheme="majorHAnsi" w:hAnsiTheme="majorHAnsi" w:cstheme="majorHAnsi"/>
          <w:sz w:val="23"/>
          <w:szCs w:val="23"/>
        </w:rPr>
      </w:pPr>
      <w:r w:rsidRPr="00576357">
        <w:rPr>
          <w:rFonts w:asciiTheme="majorHAnsi" w:hAnsiTheme="majorHAnsi" w:cstheme="majorHAnsi"/>
          <w:sz w:val="23"/>
          <w:szCs w:val="23"/>
        </w:rPr>
        <w:t xml:space="preserve">El cálculo debe realizarse para los deudores personas físicas, en la etapa de análisis para la aprobación de una operación crediticia. </w:t>
      </w:r>
    </w:p>
    <w:p w14:paraId="585C7FFF" w14:textId="77777777" w:rsidR="009C192E" w:rsidRPr="00576357" w:rsidRDefault="009C192E" w:rsidP="00681541">
      <w:pPr>
        <w:numPr>
          <w:ilvl w:val="2"/>
          <w:numId w:val="33"/>
        </w:numPr>
        <w:spacing w:before="0" w:line="240" w:lineRule="auto"/>
        <w:ind w:left="1134" w:hanging="567"/>
        <w:rPr>
          <w:rFonts w:asciiTheme="majorHAnsi" w:hAnsiTheme="majorHAnsi" w:cstheme="majorHAnsi"/>
          <w:sz w:val="23"/>
          <w:szCs w:val="23"/>
        </w:rPr>
      </w:pPr>
      <w:r w:rsidRPr="00576357">
        <w:rPr>
          <w:rFonts w:asciiTheme="majorHAnsi" w:hAnsiTheme="majorHAnsi" w:cstheme="majorHAnsi"/>
          <w:sz w:val="23"/>
          <w:szCs w:val="23"/>
        </w:rPr>
        <w:t xml:space="preserve">El indicador CSD se determina como el cociente entre la cuota del servicio de los créditos directos, y el ingreso bruto del deudor.  </w:t>
      </w:r>
    </w:p>
    <w:p w14:paraId="6FA7471B" w14:textId="77777777" w:rsidR="009C192E" w:rsidRPr="00576357" w:rsidRDefault="009C192E" w:rsidP="009C192E">
      <w:pPr>
        <w:numPr>
          <w:ilvl w:val="1"/>
          <w:numId w:val="8"/>
        </w:numPr>
        <w:tabs>
          <w:tab w:val="left" w:pos="1134"/>
        </w:tabs>
        <w:spacing w:before="0" w:line="240" w:lineRule="auto"/>
        <w:ind w:left="567" w:hanging="567"/>
        <w:rPr>
          <w:rFonts w:asciiTheme="majorHAnsi" w:hAnsiTheme="majorHAnsi" w:cstheme="majorHAnsi"/>
          <w:sz w:val="23"/>
          <w:szCs w:val="23"/>
        </w:rPr>
      </w:pPr>
      <w:r w:rsidRPr="00576357">
        <w:rPr>
          <w:rFonts w:asciiTheme="majorHAnsi" w:hAnsiTheme="majorHAnsi" w:cstheme="majorHAnsi"/>
          <w:sz w:val="23"/>
          <w:szCs w:val="23"/>
        </w:rPr>
        <w:t xml:space="preserve">La cuota del servicio de los créditos directos tiene tres componentes; la carga mensual al momento de la evaluación, la cuota mensual estimada de la operación en análisis y la cuota mensual estimada de otras deudas con organizaciones financieras o no financieras no supervisadas ni reguladas por SUGEF: </w:t>
      </w:r>
    </w:p>
    <w:p w14:paraId="7F5FBF1B" w14:textId="77777777" w:rsidR="009C192E" w:rsidRPr="00576357" w:rsidRDefault="009C192E" w:rsidP="00681541">
      <w:pPr>
        <w:numPr>
          <w:ilvl w:val="2"/>
          <w:numId w:val="34"/>
        </w:numPr>
        <w:spacing w:before="0" w:line="240" w:lineRule="auto"/>
        <w:ind w:left="1134" w:hanging="567"/>
        <w:rPr>
          <w:rFonts w:asciiTheme="majorHAnsi" w:hAnsiTheme="majorHAnsi" w:cstheme="majorHAnsi"/>
          <w:sz w:val="23"/>
          <w:szCs w:val="23"/>
        </w:rPr>
      </w:pPr>
      <w:r w:rsidRPr="00576357">
        <w:rPr>
          <w:rFonts w:asciiTheme="majorHAnsi" w:hAnsiTheme="majorHAnsi" w:cstheme="majorHAnsi"/>
          <w:sz w:val="23"/>
          <w:szCs w:val="23"/>
        </w:rPr>
        <w:t xml:space="preserve">Carga mensual al momento de la evaluación: Corresponde a la suma de las cuotas (principal y productos) de todas las operaciones crediticias vigentes, reportadas en el CIC, al momento de la evaluación; para el caso de las tarjetas de crédito la cuota será equivalente al 4% del saldo principal directo. </w:t>
      </w:r>
    </w:p>
    <w:p w14:paraId="17336905" w14:textId="77777777" w:rsidR="009C192E" w:rsidRPr="00576357" w:rsidRDefault="009C192E" w:rsidP="00681541">
      <w:pPr>
        <w:numPr>
          <w:ilvl w:val="2"/>
          <w:numId w:val="34"/>
        </w:numPr>
        <w:spacing w:before="0" w:line="240" w:lineRule="auto"/>
        <w:ind w:left="1134" w:hanging="567"/>
        <w:rPr>
          <w:rFonts w:asciiTheme="majorHAnsi" w:hAnsiTheme="majorHAnsi" w:cstheme="majorHAnsi"/>
          <w:sz w:val="23"/>
          <w:szCs w:val="23"/>
        </w:rPr>
      </w:pPr>
      <w:r w:rsidRPr="00576357">
        <w:rPr>
          <w:rFonts w:asciiTheme="majorHAnsi" w:hAnsiTheme="majorHAnsi" w:cstheme="majorHAnsi"/>
          <w:sz w:val="23"/>
          <w:szCs w:val="23"/>
        </w:rPr>
        <w:t xml:space="preserve">Cuota mensual estimada de la operación en análisis: Es la cuota correspondiente a la operación en análisis, para el caso de la evaluación de las tarjetas de crédito la cuota será equivalente al 1% del monto autorizado de la línea de crédito. </w:t>
      </w:r>
    </w:p>
    <w:p w14:paraId="2A50A22F" w14:textId="77777777" w:rsidR="009C192E" w:rsidRPr="00576357" w:rsidRDefault="009C192E" w:rsidP="00681541">
      <w:pPr>
        <w:numPr>
          <w:ilvl w:val="2"/>
          <w:numId w:val="34"/>
        </w:numPr>
        <w:spacing w:before="0" w:line="240" w:lineRule="auto"/>
        <w:ind w:left="1134" w:hanging="567"/>
        <w:rPr>
          <w:rFonts w:asciiTheme="majorHAnsi" w:hAnsiTheme="majorHAnsi" w:cstheme="majorHAnsi"/>
          <w:sz w:val="23"/>
          <w:szCs w:val="23"/>
        </w:rPr>
      </w:pPr>
      <w:r w:rsidRPr="00576357">
        <w:rPr>
          <w:rFonts w:asciiTheme="majorHAnsi" w:hAnsiTheme="majorHAnsi" w:cstheme="majorHAnsi"/>
          <w:sz w:val="23"/>
          <w:szCs w:val="23"/>
        </w:rPr>
        <w:t xml:space="preserve">Cuota mensual estimada de otras deudas con organizaciones financieras o no financieras no supervisadas ni reguladas: corresponde información obtenida por la entidad de conformidad con sus metodologías crediticias para otorgamiento de créditos. </w:t>
      </w:r>
    </w:p>
    <w:p w14:paraId="726AB5D8" w14:textId="77777777" w:rsidR="009C192E" w:rsidRPr="00576357" w:rsidRDefault="009C192E" w:rsidP="009C192E">
      <w:pPr>
        <w:ind w:left="1134"/>
        <w:rPr>
          <w:rFonts w:asciiTheme="majorHAnsi" w:hAnsiTheme="majorHAnsi" w:cstheme="majorHAnsi"/>
          <w:sz w:val="23"/>
          <w:szCs w:val="23"/>
        </w:rPr>
      </w:pPr>
      <w:r w:rsidRPr="00576357">
        <w:rPr>
          <w:rFonts w:asciiTheme="majorHAnsi" w:hAnsiTheme="majorHAnsi" w:cstheme="majorHAnsi"/>
          <w:sz w:val="23"/>
          <w:szCs w:val="23"/>
        </w:rPr>
        <w:lastRenderedPageBreak/>
        <w:t xml:space="preserve">Para la determinación de la cuota del servicio de los créditos directos se deben considerar tanto las deudas como las </w:t>
      </w:r>
      <w:proofErr w:type="spellStart"/>
      <w:r w:rsidRPr="00576357">
        <w:rPr>
          <w:rFonts w:asciiTheme="majorHAnsi" w:hAnsiTheme="majorHAnsi" w:cstheme="majorHAnsi"/>
          <w:sz w:val="23"/>
          <w:szCs w:val="23"/>
        </w:rPr>
        <w:t>codeudas</w:t>
      </w:r>
      <w:proofErr w:type="spellEnd"/>
      <w:r w:rsidRPr="00576357">
        <w:rPr>
          <w:rFonts w:asciiTheme="majorHAnsi" w:hAnsiTheme="majorHAnsi" w:cstheme="majorHAnsi"/>
          <w:sz w:val="23"/>
          <w:szCs w:val="23"/>
        </w:rPr>
        <w:t xml:space="preserve">. </w:t>
      </w:r>
    </w:p>
    <w:p w14:paraId="02CF1855" w14:textId="77777777" w:rsidR="009C192E" w:rsidRPr="00576357" w:rsidRDefault="009C192E" w:rsidP="009C192E">
      <w:pPr>
        <w:numPr>
          <w:ilvl w:val="1"/>
          <w:numId w:val="8"/>
        </w:numPr>
        <w:tabs>
          <w:tab w:val="left" w:pos="1134"/>
        </w:tabs>
        <w:spacing w:before="0" w:line="240" w:lineRule="auto"/>
        <w:ind w:left="567" w:hanging="567"/>
        <w:rPr>
          <w:rFonts w:asciiTheme="majorHAnsi" w:hAnsiTheme="majorHAnsi" w:cstheme="majorHAnsi"/>
          <w:sz w:val="23"/>
          <w:szCs w:val="23"/>
        </w:rPr>
      </w:pPr>
      <w:r w:rsidRPr="00576357">
        <w:rPr>
          <w:rFonts w:asciiTheme="majorHAnsi" w:hAnsiTheme="majorHAnsi" w:cstheme="majorHAnsi"/>
          <w:sz w:val="23"/>
          <w:szCs w:val="23"/>
        </w:rPr>
        <w:t>El ingreso bruto mensual del deudor, estimado por la entidad según sus metodologías para la evaluación de la capacidad de los deudores, las cuales deben estar aprobadas por el</w:t>
      </w:r>
      <w:r w:rsidRPr="00576357">
        <w:rPr>
          <w:rFonts w:asciiTheme="majorHAnsi" w:eastAsia="Cambria" w:hAnsiTheme="majorHAnsi" w:cstheme="majorHAnsi"/>
          <w:i/>
          <w:sz w:val="23"/>
          <w:szCs w:val="23"/>
        </w:rPr>
        <w:t xml:space="preserve"> </w:t>
      </w:r>
      <w:r w:rsidRPr="00576357">
        <w:rPr>
          <w:rFonts w:asciiTheme="majorHAnsi" w:hAnsiTheme="majorHAnsi" w:cstheme="majorHAnsi"/>
          <w:sz w:val="23"/>
          <w:szCs w:val="23"/>
        </w:rPr>
        <w:t xml:space="preserve">Órgano de Dirección.  </w:t>
      </w:r>
    </w:p>
    <w:p w14:paraId="5DE527E7" w14:textId="77777777" w:rsidR="009C192E" w:rsidRPr="00576357" w:rsidRDefault="009C192E" w:rsidP="009C192E">
      <w:pPr>
        <w:ind w:left="567"/>
        <w:rPr>
          <w:rFonts w:asciiTheme="majorHAnsi" w:hAnsiTheme="majorHAnsi" w:cstheme="majorHAnsi"/>
          <w:sz w:val="23"/>
          <w:szCs w:val="23"/>
        </w:rPr>
      </w:pPr>
      <w:r w:rsidRPr="00576357">
        <w:rPr>
          <w:rFonts w:asciiTheme="majorHAnsi" w:hAnsiTheme="majorHAnsi" w:cstheme="majorHAnsi"/>
          <w:sz w:val="23"/>
          <w:szCs w:val="23"/>
        </w:rPr>
        <w:t xml:space="preserve">En caso de que el deudor reporte alguna actividad económica, </w:t>
      </w:r>
      <w:r w:rsidRPr="00576357">
        <w:rPr>
          <w:rFonts w:asciiTheme="majorHAnsi" w:eastAsia="Cambria" w:hAnsiTheme="majorHAnsi" w:cstheme="majorHAnsi"/>
          <w:sz w:val="23"/>
          <w:szCs w:val="23"/>
        </w:rPr>
        <w:t>pero la entidad no cuente con la información sobre el ingreso bruto del deudor, se tomará como referencia de</w:t>
      </w:r>
      <w:r w:rsidRPr="00576357">
        <w:rPr>
          <w:rFonts w:asciiTheme="majorHAnsi" w:eastAsia="Cambria" w:hAnsiTheme="majorHAnsi" w:cstheme="majorHAnsi"/>
          <w:i/>
          <w:sz w:val="23"/>
          <w:szCs w:val="23"/>
        </w:rPr>
        <w:t xml:space="preserve"> </w:t>
      </w:r>
      <w:r w:rsidRPr="00576357">
        <w:rPr>
          <w:rFonts w:asciiTheme="majorHAnsi" w:hAnsiTheme="majorHAnsi" w:cstheme="majorHAnsi"/>
          <w:sz w:val="23"/>
          <w:szCs w:val="23"/>
        </w:rPr>
        <w:t xml:space="preserve">ingreso </w:t>
      </w:r>
      <w:r w:rsidRPr="00576357">
        <w:rPr>
          <w:rFonts w:asciiTheme="majorHAnsi" w:eastAsia="Cambria" w:hAnsiTheme="majorHAnsi" w:cstheme="majorHAnsi"/>
          <w:sz w:val="23"/>
          <w:szCs w:val="23"/>
        </w:rPr>
        <w:t>bruto el 50</w:t>
      </w:r>
      <w:r w:rsidRPr="00576357">
        <w:rPr>
          <w:rFonts w:asciiTheme="majorHAnsi" w:hAnsiTheme="majorHAnsi" w:cstheme="majorHAnsi"/>
          <w:sz w:val="23"/>
          <w:szCs w:val="23"/>
        </w:rPr>
        <w:t xml:space="preserve">% del salario base mensual, definido por el Poder Judicial. </w:t>
      </w:r>
      <w:r w:rsidRPr="00576357">
        <w:rPr>
          <w:rFonts w:asciiTheme="majorHAnsi" w:hAnsiTheme="majorHAnsi" w:cstheme="majorHAnsi"/>
          <w:sz w:val="23"/>
          <w:szCs w:val="23"/>
        </w:rPr>
        <w:br w:type="page"/>
      </w:r>
    </w:p>
    <w:p w14:paraId="3B38BD82" w14:textId="77777777" w:rsidR="009C192E" w:rsidRPr="00576357" w:rsidRDefault="009C192E" w:rsidP="009C192E">
      <w:pPr>
        <w:pStyle w:val="Ttulo1"/>
        <w:rPr>
          <w:rFonts w:asciiTheme="majorHAnsi" w:hAnsiTheme="majorHAnsi" w:cstheme="majorHAnsi"/>
          <w:sz w:val="23"/>
          <w:szCs w:val="23"/>
          <w:lang w:val="es-ES"/>
        </w:rPr>
      </w:pPr>
      <w:bookmarkStart w:id="43" w:name="_Toc227326040"/>
      <w:bookmarkStart w:id="44" w:name="_Toc198728738"/>
      <w:bookmarkStart w:id="45" w:name="_Hlk225427414"/>
      <w:r w:rsidRPr="00576357">
        <w:rPr>
          <w:rFonts w:asciiTheme="majorHAnsi" w:hAnsiTheme="majorHAnsi" w:cstheme="majorHAnsi"/>
          <w:sz w:val="23"/>
          <w:szCs w:val="23"/>
          <w:lang w:val="es-ES"/>
        </w:rPr>
        <w:lastRenderedPageBreak/>
        <w:t>IX) CRITERIO DE CLASIFICACIÓN DE LAS ETAPAS</w:t>
      </w:r>
      <w:bookmarkEnd w:id="43"/>
      <w:r w:rsidRPr="00576357">
        <w:rPr>
          <w:rFonts w:asciiTheme="majorHAnsi" w:hAnsiTheme="majorHAnsi" w:cstheme="majorHAnsi"/>
          <w:sz w:val="23"/>
          <w:szCs w:val="23"/>
          <w:lang w:val="es-ES"/>
        </w:rPr>
        <w:t xml:space="preserve"> </w:t>
      </w:r>
      <w:bookmarkEnd w:id="44"/>
      <w:bookmarkEnd w:id="45"/>
    </w:p>
    <w:p w14:paraId="0ACB06FC" w14:textId="77777777" w:rsidR="009C192E" w:rsidRPr="00576357" w:rsidRDefault="009C192E" w:rsidP="009C192E">
      <w:pPr>
        <w:ind w:left="1134" w:hanging="1134"/>
        <w:rPr>
          <w:rFonts w:asciiTheme="majorHAnsi" w:hAnsiTheme="majorHAnsi" w:cstheme="majorHAnsi"/>
          <w:sz w:val="23"/>
          <w:szCs w:val="23"/>
        </w:rPr>
      </w:pPr>
      <w:r w:rsidRPr="00576357">
        <w:rPr>
          <w:rFonts w:asciiTheme="majorHAnsi" w:hAnsiTheme="majorHAnsi" w:cstheme="majorHAnsi"/>
          <w:sz w:val="23"/>
          <w:szCs w:val="23"/>
          <w:u w:val="single"/>
        </w:rPr>
        <w:t>Objetivo</w:t>
      </w:r>
      <w:r w:rsidRPr="00576357">
        <w:rPr>
          <w:rFonts w:asciiTheme="majorHAnsi" w:hAnsiTheme="majorHAnsi" w:cstheme="majorHAnsi"/>
          <w:sz w:val="23"/>
          <w:szCs w:val="23"/>
        </w:rPr>
        <w:t>:</w:t>
      </w:r>
      <w:r w:rsidRPr="00576357">
        <w:rPr>
          <w:rFonts w:asciiTheme="majorHAnsi" w:hAnsiTheme="majorHAnsi" w:cstheme="majorHAnsi"/>
          <w:sz w:val="23"/>
          <w:szCs w:val="23"/>
        </w:rPr>
        <w:tab/>
        <w:t>Establecer criterios para clasificar las operaciones de la cartera de crédito en las etapas consistentes con NIIF 9.</w:t>
      </w:r>
    </w:p>
    <w:p w14:paraId="29D7B476" w14:textId="77777777" w:rsidR="009C192E" w:rsidRPr="00576357" w:rsidRDefault="009C192E" w:rsidP="00681541">
      <w:pPr>
        <w:pStyle w:val="Ttulo2"/>
        <w:numPr>
          <w:ilvl w:val="0"/>
          <w:numId w:val="47"/>
        </w:numPr>
        <w:ind w:left="567" w:hanging="578"/>
        <w:rPr>
          <w:rFonts w:asciiTheme="majorHAnsi" w:hAnsiTheme="majorHAnsi" w:cstheme="majorHAnsi"/>
          <w:sz w:val="23"/>
          <w:szCs w:val="23"/>
        </w:rPr>
      </w:pPr>
      <w:bookmarkStart w:id="46" w:name="_Toc227326041"/>
      <w:r w:rsidRPr="00576357">
        <w:rPr>
          <w:rFonts w:asciiTheme="majorHAnsi" w:hAnsiTheme="majorHAnsi" w:cstheme="majorHAnsi"/>
          <w:sz w:val="23"/>
          <w:szCs w:val="23"/>
        </w:rPr>
        <w:t>Operaciones en riesgo normal (Etapa 1)</w:t>
      </w:r>
      <w:bookmarkEnd w:id="46"/>
    </w:p>
    <w:p w14:paraId="5332CE36"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Se incluyen las operaciones sin evidencia de incremento significativo de riesgo de crédito desde su reconocimiento inicial.</w:t>
      </w:r>
    </w:p>
    <w:p w14:paraId="5F1DC20F" w14:textId="77777777" w:rsidR="009C192E" w:rsidRPr="00576357" w:rsidRDefault="009C192E" w:rsidP="009C192E">
      <w:pPr>
        <w:pStyle w:val="Ttulo2"/>
        <w:ind w:left="567" w:hanging="578"/>
        <w:rPr>
          <w:rFonts w:asciiTheme="majorHAnsi" w:hAnsiTheme="majorHAnsi" w:cstheme="majorHAnsi"/>
          <w:sz w:val="23"/>
          <w:szCs w:val="23"/>
        </w:rPr>
      </w:pPr>
      <w:bookmarkStart w:id="47" w:name="_Toc227326042"/>
      <w:r w:rsidRPr="00576357">
        <w:rPr>
          <w:rFonts w:asciiTheme="majorHAnsi" w:hAnsiTheme="majorHAnsi" w:cstheme="majorHAnsi"/>
          <w:sz w:val="23"/>
          <w:szCs w:val="23"/>
        </w:rPr>
        <w:t>Operaciones en riesgo en vigilancia especial (Etapa 2)</w:t>
      </w:r>
      <w:bookmarkEnd w:id="47"/>
    </w:p>
    <w:p w14:paraId="13AAAE7E"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Corresponde a las operaciones que presentan un incremento significativo de riesgo de crédito respecto a la valoración de riesgo realizada en el reconocimiento inicial de la operación, sin llegar a ser operaciones dudosas o fallidas. La clasificación se realizará por el importe total.</w:t>
      </w:r>
    </w:p>
    <w:p w14:paraId="15F4C09D"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Algunos de los indicadores de incremento significativo de riesgo se describen a continuación: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C192E" w:rsidRPr="00576357" w14:paraId="06C7A5A7" w14:textId="77777777" w:rsidTr="00F268BB">
        <w:tc>
          <w:tcPr>
            <w:tcW w:w="8828" w:type="dxa"/>
          </w:tcPr>
          <w:p w14:paraId="698DFA49" w14:textId="77777777" w:rsidR="009C192E" w:rsidRPr="00576357" w:rsidRDefault="009C192E" w:rsidP="00681541">
            <w:pPr>
              <w:pStyle w:val="Prrafodelista"/>
              <w:numPr>
                <w:ilvl w:val="0"/>
                <w:numId w:val="15"/>
              </w:numPr>
              <w:ind w:left="590" w:hanging="567"/>
              <w:contextualSpacing w:val="0"/>
              <w:jc w:val="both"/>
              <w:rPr>
                <w:rFonts w:asciiTheme="majorHAnsi" w:hAnsiTheme="majorHAnsi" w:cstheme="majorHAnsi"/>
                <w:sz w:val="23"/>
                <w:szCs w:val="23"/>
              </w:rPr>
            </w:pPr>
            <w:r w:rsidRPr="00576357">
              <w:rPr>
                <w:rFonts w:asciiTheme="majorHAnsi" w:hAnsiTheme="majorHAnsi" w:cstheme="majorHAnsi"/>
                <w:sz w:val="23"/>
                <w:szCs w:val="23"/>
              </w:rPr>
              <w:t>Cambios adversos en la situación financiera.</w:t>
            </w:r>
          </w:p>
        </w:tc>
      </w:tr>
      <w:tr w:rsidR="009C192E" w:rsidRPr="00576357" w14:paraId="65BD878C" w14:textId="77777777" w:rsidTr="00F268BB">
        <w:tc>
          <w:tcPr>
            <w:tcW w:w="8828" w:type="dxa"/>
          </w:tcPr>
          <w:p w14:paraId="342AB70F" w14:textId="77777777" w:rsidR="009C192E" w:rsidRPr="00576357" w:rsidRDefault="009C192E" w:rsidP="00681541">
            <w:pPr>
              <w:pStyle w:val="Prrafodelista"/>
              <w:numPr>
                <w:ilvl w:val="0"/>
                <w:numId w:val="15"/>
              </w:numPr>
              <w:ind w:left="590" w:hanging="567"/>
              <w:contextualSpacing w:val="0"/>
              <w:jc w:val="both"/>
              <w:rPr>
                <w:rFonts w:asciiTheme="majorHAnsi" w:hAnsiTheme="majorHAnsi" w:cstheme="majorHAnsi"/>
                <w:sz w:val="23"/>
                <w:szCs w:val="23"/>
              </w:rPr>
            </w:pPr>
            <w:r w:rsidRPr="00576357">
              <w:rPr>
                <w:rFonts w:asciiTheme="majorHAnsi" w:hAnsiTheme="majorHAnsi" w:cstheme="majorHAnsi"/>
                <w:sz w:val="23"/>
                <w:szCs w:val="23"/>
              </w:rPr>
              <w:t>Caída significativa de la facturación o flujo de caja.</w:t>
            </w:r>
          </w:p>
        </w:tc>
      </w:tr>
      <w:tr w:rsidR="009C192E" w:rsidRPr="00576357" w14:paraId="089C4B91" w14:textId="77777777" w:rsidTr="00F268BB">
        <w:tc>
          <w:tcPr>
            <w:tcW w:w="8828" w:type="dxa"/>
          </w:tcPr>
          <w:p w14:paraId="3306028B" w14:textId="77777777" w:rsidR="009C192E" w:rsidRPr="00576357" w:rsidRDefault="009C192E" w:rsidP="00681541">
            <w:pPr>
              <w:pStyle w:val="Prrafodelista"/>
              <w:numPr>
                <w:ilvl w:val="0"/>
                <w:numId w:val="15"/>
              </w:numPr>
              <w:ind w:left="590" w:hanging="567"/>
              <w:contextualSpacing w:val="0"/>
              <w:jc w:val="both"/>
              <w:rPr>
                <w:rFonts w:asciiTheme="majorHAnsi" w:hAnsiTheme="majorHAnsi" w:cstheme="majorHAnsi"/>
                <w:sz w:val="23"/>
                <w:szCs w:val="23"/>
              </w:rPr>
            </w:pPr>
            <w:r w:rsidRPr="00576357">
              <w:rPr>
                <w:rFonts w:asciiTheme="majorHAnsi" w:hAnsiTheme="majorHAnsi" w:cstheme="majorHAnsi"/>
                <w:sz w:val="23"/>
                <w:szCs w:val="23"/>
              </w:rPr>
              <w:t>Estrechamiento significativo de márgenes de comercialización o rentabilidad.</w:t>
            </w:r>
          </w:p>
        </w:tc>
      </w:tr>
      <w:tr w:rsidR="009C192E" w:rsidRPr="00576357" w14:paraId="2E352062" w14:textId="77777777" w:rsidTr="00F268BB">
        <w:tc>
          <w:tcPr>
            <w:tcW w:w="8828" w:type="dxa"/>
          </w:tcPr>
          <w:p w14:paraId="6F0BAE93" w14:textId="77777777" w:rsidR="009C192E" w:rsidRPr="00576357" w:rsidRDefault="009C192E" w:rsidP="00681541">
            <w:pPr>
              <w:pStyle w:val="Prrafodelista"/>
              <w:numPr>
                <w:ilvl w:val="0"/>
                <w:numId w:val="15"/>
              </w:numPr>
              <w:ind w:left="590" w:hanging="567"/>
              <w:contextualSpacing w:val="0"/>
              <w:jc w:val="both"/>
              <w:rPr>
                <w:rFonts w:asciiTheme="majorHAnsi" w:hAnsiTheme="majorHAnsi" w:cstheme="majorHAnsi"/>
                <w:sz w:val="23"/>
                <w:szCs w:val="23"/>
              </w:rPr>
            </w:pPr>
            <w:r w:rsidRPr="00576357">
              <w:rPr>
                <w:rFonts w:asciiTheme="majorHAnsi" w:hAnsiTheme="majorHAnsi" w:cstheme="majorHAnsi"/>
                <w:sz w:val="23"/>
                <w:szCs w:val="23"/>
              </w:rPr>
              <w:t>Cambios significativos en el costo de crédito del grupo homogéneo de riesgo de pertenencia (segmento).</w:t>
            </w:r>
          </w:p>
        </w:tc>
      </w:tr>
      <w:tr w:rsidR="009C192E" w:rsidRPr="00576357" w14:paraId="6A7FE915" w14:textId="77777777" w:rsidTr="00F268BB">
        <w:tc>
          <w:tcPr>
            <w:tcW w:w="8828" w:type="dxa"/>
          </w:tcPr>
          <w:p w14:paraId="4728277E" w14:textId="77777777" w:rsidR="009C192E" w:rsidRPr="00576357" w:rsidRDefault="009C192E" w:rsidP="00681541">
            <w:pPr>
              <w:pStyle w:val="Prrafodelista"/>
              <w:numPr>
                <w:ilvl w:val="0"/>
                <w:numId w:val="15"/>
              </w:numPr>
              <w:ind w:left="590" w:hanging="567"/>
              <w:contextualSpacing w:val="0"/>
              <w:jc w:val="both"/>
              <w:rPr>
                <w:rFonts w:asciiTheme="majorHAnsi" w:hAnsiTheme="majorHAnsi" w:cstheme="majorHAnsi"/>
                <w:sz w:val="23"/>
                <w:szCs w:val="23"/>
              </w:rPr>
            </w:pPr>
            <w:r w:rsidRPr="00576357">
              <w:rPr>
                <w:rFonts w:asciiTheme="majorHAnsi" w:hAnsiTheme="majorHAnsi" w:cstheme="majorHAnsi"/>
                <w:sz w:val="23"/>
                <w:szCs w:val="23"/>
              </w:rPr>
              <w:t>Disminución real o esperada de la calificación crediticia del titular o la operación.</w:t>
            </w:r>
          </w:p>
        </w:tc>
      </w:tr>
      <w:tr w:rsidR="009C192E" w:rsidRPr="00576357" w14:paraId="38B92D89" w14:textId="77777777" w:rsidTr="00F268BB">
        <w:tc>
          <w:tcPr>
            <w:tcW w:w="8828" w:type="dxa"/>
          </w:tcPr>
          <w:p w14:paraId="481DC270" w14:textId="77777777" w:rsidR="009C192E" w:rsidRPr="00576357" w:rsidRDefault="009C192E" w:rsidP="00681541">
            <w:pPr>
              <w:pStyle w:val="Prrafodelista"/>
              <w:numPr>
                <w:ilvl w:val="0"/>
                <w:numId w:val="15"/>
              </w:numPr>
              <w:ind w:left="590" w:hanging="567"/>
              <w:contextualSpacing w:val="0"/>
              <w:jc w:val="both"/>
              <w:rPr>
                <w:rFonts w:asciiTheme="majorHAnsi" w:hAnsiTheme="majorHAnsi" w:cstheme="majorHAnsi"/>
                <w:sz w:val="23"/>
                <w:szCs w:val="23"/>
              </w:rPr>
            </w:pPr>
            <w:r w:rsidRPr="00576357">
              <w:rPr>
                <w:rFonts w:asciiTheme="majorHAnsi" w:hAnsiTheme="majorHAnsi" w:cstheme="majorHAnsi"/>
                <w:sz w:val="23"/>
                <w:szCs w:val="23"/>
              </w:rPr>
              <w:t>Baja significativa real o esperada del precio o calificación externa o de operaciones similares.</w:t>
            </w:r>
          </w:p>
        </w:tc>
      </w:tr>
      <w:tr w:rsidR="009C192E" w:rsidRPr="00576357" w14:paraId="3D64830D" w14:textId="77777777" w:rsidTr="00F268BB">
        <w:tc>
          <w:tcPr>
            <w:tcW w:w="8828" w:type="dxa"/>
          </w:tcPr>
          <w:p w14:paraId="3314BB5C" w14:textId="77777777" w:rsidR="009C192E" w:rsidRPr="00576357" w:rsidRDefault="009C192E" w:rsidP="00681541">
            <w:pPr>
              <w:pStyle w:val="Prrafodelista"/>
              <w:numPr>
                <w:ilvl w:val="0"/>
                <w:numId w:val="15"/>
              </w:numPr>
              <w:ind w:left="590" w:hanging="567"/>
              <w:contextualSpacing w:val="0"/>
              <w:jc w:val="both"/>
              <w:rPr>
                <w:rFonts w:asciiTheme="majorHAnsi" w:hAnsiTheme="majorHAnsi" w:cstheme="majorHAnsi"/>
                <w:sz w:val="23"/>
                <w:szCs w:val="23"/>
              </w:rPr>
            </w:pPr>
            <w:r w:rsidRPr="00576357">
              <w:rPr>
                <w:rFonts w:asciiTheme="majorHAnsi" w:hAnsiTheme="majorHAnsi" w:cstheme="majorHAnsi"/>
                <w:sz w:val="23"/>
                <w:szCs w:val="23"/>
              </w:rPr>
              <w:t>Cambios adversos en el entorno económico o de mercado que puedan impactar significativamente en la capacidad de repago del titular.</w:t>
            </w:r>
          </w:p>
        </w:tc>
      </w:tr>
      <w:tr w:rsidR="009C192E" w:rsidRPr="00576357" w14:paraId="46EDE2AD" w14:textId="77777777" w:rsidTr="00F268BB">
        <w:tc>
          <w:tcPr>
            <w:tcW w:w="8828" w:type="dxa"/>
          </w:tcPr>
          <w:p w14:paraId="54046044" w14:textId="77777777" w:rsidR="009C192E" w:rsidRPr="00576357" w:rsidRDefault="009C192E" w:rsidP="00681541">
            <w:pPr>
              <w:pStyle w:val="Prrafodelista"/>
              <w:numPr>
                <w:ilvl w:val="0"/>
                <w:numId w:val="15"/>
              </w:numPr>
              <w:ind w:left="590" w:hanging="567"/>
              <w:contextualSpacing w:val="0"/>
              <w:jc w:val="both"/>
              <w:rPr>
                <w:rFonts w:asciiTheme="majorHAnsi" w:hAnsiTheme="majorHAnsi" w:cstheme="majorHAnsi"/>
                <w:sz w:val="23"/>
                <w:szCs w:val="23"/>
              </w:rPr>
            </w:pPr>
            <w:r w:rsidRPr="00576357">
              <w:rPr>
                <w:rFonts w:asciiTheme="majorHAnsi" w:hAnsiTheme="majorHAnsi" w:cstheme="majorHAnsi"/>
                <w:sz w:val="23"/>
                <w:szCs w:val="23"/>
              </w:rPr>
              <w:t>Cambios adversos en las condiciones de acceso al mercado o empeoramiento de las condiciones de financiamiento.</w:t>
            </w:r>
          </w:p>
        </w:tc>
      </w:tr>
      <w:tr w:rsidR="009C192E" w:rsidRPr="00576357" w14:paraId="269DE47E" w14:textId="77777777" w:rsidTr="00F268BB">
        <w:tc>
          <w:tcPr>
            <w:tcW w:w="8828" w:type="dxa"/>
          </w:tcPr>
          <w:p w14:paraId="2F1DD5C0" w14:textId="77777777" w:rsidR="009C192E" w:rsidRPr="00576357" w:rsidRDefault="009C192E" w:rsidP="00681541">
            <w:pPr>
              <w:pStyle w:val="Prrafodelista"/>
              <w:numPr>
                <w:ilvl w:val="0"/>
                <w:numId w:val="15"/>
              </w:numPr>
              <w:ind w:left="590" w:hanging="567"/>
              <w:contextualSpacing w:val="0"/>
              <w:jc w:val="both"/>
              <w:rPr>
                <w:rFonts w:asciiTheme="majorHAnsi" w:hAnsiTheme="majorHAnsi" w:cstheme="majorHAnsi"/>
                <w:sz w:val="23"/>
                <w:szCs w:val="23"/>
              </w:rPr>
            </w:pPr>
            <w:r w:rsidRPr="00576357">
              <w:rPr>
                <w:rFonts w:asciiTheme="majorHAnsi" w:hAnsiTheme="majorHAnsi" w:cstheme="majorHAnsi"/>
                <w:sz w:val="23"/>
                <w:szCs w:val="23"/>
              </w:rPr>
              <w:t>Para operaciones con garantía real, empeoramiento de la LTV.</w:t>
            </w:r>
          </w:p>
        </w:tc>
      </w:tr>
      <w:tr w:rsidR="009C192E" w:rsidRPr="00576357" w14:paraId="28D6616F" w14:textId="77777777" w:rsidTr="00F268BB">
        <w:tc>
          <w:tcPr>
            <w:tcW w:w="8828" w:type="dxa"/>
          </w:tcPr>
          <w:p w14:paraId="12538307" w14:textId="77777777" w:rsidR="009C192E" w:rsidRPr="00576357" w:rsidRDefault="009C192E" w:rsidP="00681541">
            <w:pPr>
              <w:pStyle w:val="Prrafodelista"/>
              <w:numPr>
                <w:ilvl w:val="0"/>
                <w:numId w:val="15"/>
              </w:numPr>
              <w:ind w:left="590" w:hanging="567"/>
              <w:contextualSpacing w:val="0"/>
              <w:jc w:val="both"/>
              <w:rPr>
                <w:rFonts w:asciiTheme="majorHAnsi" w:hAnsiTheme="majorHAnsi" w:cstheme="majorHAnsi"/>
                <w:sz w:val="23"/>
                <w:szCs w:val="23"/>
              </w:rPr>
            </w:pPr>
            <w:r w:rsidRPr="00576357">
              <w:rPr>
                <w:rFonts w:asciiTheme="majorHAnsi" w:hAnsiTheme="majorHAnsi" w:cstheme="majorHAnsi"/>
                <w:sz w:val="23"/>
                <w:szCs w:val="23"/>
              </w:rPr>
              <w:lastRenderedPageBreak/>
              <w:t>Aumento significativo del riesgo de otras operaciones del titular o cambios significativos en el comportamiento esperado de pago.</w:t>
            </w:r>
          </w:p>
        </w:tc>
      </w:tr>
      <w:tr w:rsidR="009C192E" w:rsidRPr="00576357" w14:paraId="0A540F9B" w14:textId="77777777" w:rsidTr="00F268BB">
        <w:tc>
          <w:tcPr>
            <w:tcW w:w="8828" w:type="dxa"/>
          </w:tcPr>
          <w:p w14:paraId="4364BA83" w14:textId="77777777" w:rsidR="009C192E" w:rsidRPr="00576357" w:rsidRDefault="009C192E" w:rsidP="00681541">
            <w:pPr>
              <w:pStyle w:val="Prrafodelista"/>
              <w:numPr>
                <w:ilvl w:val="0"/>
                <w:numId w:val="15"/>
              </w:numPr>
              <w:ind w:left="590" w:hanging="567"/>
              <w:contextualSpacing w:val="0"/>
              <w:jc w:val="both"/>
              <w:rPr>
                <w:rFonts w:asciiTheme="majorHAnsi" w:hAnsiTheme="majorHAnsi" w:cstheme="majorHAnsi"/>
                <w:sz w:val="23"/>
                <w:szCs w:val="23"/>
              </w:rPr>
            </w:pPr>
            <w:r w:rsidRPr="00576357">
              <w:rPr>
                <w:rFonts w:asciiTheme="majorHAnsi" w:hAnsiTheme="majorHAnsi" w:cstheme="majorHAnsi"/>
                <w:sz w:val="23"/>
                <w:szCs w:val="23"/>
              </w:rPr>
              <w:t>Aumento significativo del riesgo del sector al que pertenece el titular (región).</w:t>
            </w:r>
          </w:p>
        </w:tc>
      </w:tr>
      <w:tr w:rsidR="009C192E" w:rsidRPr="00576357" w14:paraId="28C94D12" w14:textId="77777777" w:rsidTr="00F268BB">
        <w:tc>
          <w:tcPr>
            <w:tcW w:w="8828" w:type="dxa"/>
          </w:tcPr>
          <w:p w14:paraId="55E762E2" w14:textId="77777777" w:rsidR="009C192E" w:rsidRPr="00576357" w:rsidRDefault="009C192E" w:rsidP="00681541">
            <w:pPr>
              <w:pStyle w:val="Prrafodelista"/>
              <w:numPr>
                <w:ilvl w:val="0"/>
                <w:numId w:val="15"/>
              </w:numPr>
              <w:ind w:left="590" w:hanging="567"/>
              <w:contextualSpacing w:val="0"/>
              <w:jc w:val="both"/>
              <w:rPr>
                <w:rFonts w:asciiTheme="majorHAnsi" w:hAnsiTheme="majorHAnsi" w:cstheme="majorHAnsi"/>
                <w:sz w:val="23"/>
                <w:szCs w:val="23"/>
              </w:rPr>
            </w:pPr>
            <w:r w:rsidRPr="00576357">
              <w:rPr>
                <w:rFonts w:asciiTheme="majorHAnsi" w:hAnsiTheme="majorHAnsi" w:cstheme="majorHAnsi"/>
                <w:sz w:val="23"/>
                <w:szCs w:val="23"/>
              </w:rPr>
              <w:t>Aumento significativo del riesgo de las entidades relacionadas al grupo de interés o grupo económico.</w:t>
            </w:r>
          </w:p>
        </w:tc>
      </w:tr>
      <w:tr w:rsidR="009C192E" w:rsidRPr="00576357" w14:paraId="5552ED34" w14:textId="77777777" w:rsidTr="00F268BB">
        <w:tc>
          <w:tcPr>
            <w:tcW w:w="8828" w:type="dxa"/>
          </w:tcPr>
          <w:p w14:paraId="4D9E84A1" w14:textId="77777777" w:rsidR="009C192E" w:rsidRPr="00576357" w:rsidRDefault="009C192E" w:rsidP="00681541">
            <w:pPr>
              <w:pStyle w:val="Prrafodelista"/>
              <w:numPr>
                <w:ilvl w:val="0"/>
                <w:numId w:val="15"/>
              </w:numPr>
              <w:ind w:left="590" w:hanging="567"/>
              <w:contextualSpacing w:val="0"/>
              <w:jc w:val="both"/>
              <w:rPr>
                <w:rFonts w:asciiTheme="majorHAnsi" w:hAnsiTheme="majorHAnsi" w:cstheme="majorHAnsi"/>
                <w:sz w:val="23"/>
                <w:szCs w:val="23"/>
              </w:rPr>
            </w:pPr>
            <w:r w:rsidRPr="00576357">
              <w:rPr>
                <w:rFonts w:asciiTheme="majorHAnsi" w:hAnsiTheme="majorHAnsi" w:cstheme="majorHAnsi"/>
                <w:sz w:val="23"/>
                <w:szCs w:val="23"/>
              </w:rPr>
              <w:t>Cambios adversos en el entorno regulatorio o tecnológico.</w:t>
            </w:r>
          </w:p>
        </w:tc>
      </w:tr>
      <w:tr w:rsidR="009C192E" w:rsidRPr="00576357" w14:paraId="0C717C78" w14:textId="77777777" w:rsidTr="00F268BB">
        <w:tc>
          <w:tcPr>
            <w:tcW w:w="8828" w:type="dxa"/>
          </w:tcPr>
          <w:p w14:paraId="6962C020" w14:textId="77777777" w:rsidR="009C192E" w:rsidRPr="00576357" w:rsidRDefault="009C192E" w:rsidP="00681541">
            <w:pPr>
              <w:pStyle w:val="Prrafodelista"/>
              <w:numPr>
                <w:ilvl w:val="0"/>
                <w:numId w:val="15"/>
              </w:numPr>
              <w:ind w:left="590" w:hanging="567"/>
              <w:contextualSpacing w:val="0"/>
              <w:jc w:val="both"/>
              <w:rPr>
                <w:rFonts w:asciiTheme="majorHAnsi" w:hAnsiTheme="majorHAnsi" w:cstheme="majorHAnsi"/>
                <w:sz w:val="23"/>
                <w:szCs w:val="23"/>
              </w:rPr>
            </w:pPr>
            <w:r w:rsidRPr="00576357">
              <w:rPr>
                <w:rFonts w:asciiTheme="majorHAnsi" w:hAnsiTheme="majorHAnsi" w:cstheme="majorHAnsi"/>
                <w:sz w:val="23"/>
                <w:szCs w:val="23"/>
              </w:rPr>
              <w:t>Litigios pendientes.</w:t>
            </w:r>
          </w:p>
        </w:tc>
      </w:tr>
    </w:tbl>
    <w:p w14:paraId="78C0D032" w14:textId="77777777" w:rsidR="009C192E" w:rsidRPr="00576357" w:rsidRDefault="009C192E" w:rsidP="009C192E">
      <w:pPr>
        <w:ind w:left="567"/>
        <w:rPr>
          <w:rFonts w:asciiTheme="majorHAnsi" w:hAnsiTheme="majorHAnsi" w:cstheme="majorHAnsi"/>
          <w:b/>
          <w:sz w:val="23"/>
          <w:szCs w:val="23"/>
        </w:rPr>
      </w:pPr>
    </w:p>
    <w:p w14:paraId="18000EBE" w14:textId="77777777" w:rsidR="009C192E" w:rsidRPr="00576357" w:rsidRDefault="009C192E" w:rsidP="009C192E">
      <w:pPr>
        <w:pStyle w:val="Ttulo2"/>
        <w:ind w:left="567" w:hanging="578"/>
        <w:rPr>
          <w:rFonts w:asciiTheme="majorHAnsi" w:hAnsiTheme="majorHAnsi" w:cstheme="majorHAnsi"/>
          <w:sz w:val="23"/>
          <w:szCs w:val="23"/>
        </w:rPr>
      </w:pPr>
      <w:bookmarkStart w:id="48" w:name="_Toc227326043"/>
      <w:r w:rsidRPr="00576357">
        <w:rPr>
          <w:rFonts w:asciiTheme="majorHAnsi" w:hAnsiTheme="majorHAnsi" w:cstheme="majorHAnsi"/>
          <w:sz w:val="23"/>
          <w:szCs w:val="23"/>
        </w:rPr>
        <w:t>Operaciones en riesgo dudoso (Etapa 3)</w:t>
      </w:r>
      <w:bookmarkEnd w:id="48"/>
    </w:p>
    <w:p w14:paraId="55425D2C"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Corresponde a las operaciones con deterioro crediticio en las que ha ocurrido un evento de incumplimiento: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C192E" w:rsidRPr="00576357" w14:paraId="295E8474" w14:textId="77777777" w:rsidTr="00F268BB">
        <w:tc>
          <w:tcPr>
            <w:tcW w:w="8828" w:type="dxa"/>
          </w:tcPr>
          <w:p w14:paraId="6DFD4C21" w14:textId="77777777" w:rsidR="009C192E" w:rsidRPr="00576357" w:rsidRDefault="009C192E" w:rsidP="00681541">
            <w:pPr>
              <w:pStyle w:val="Prrafodelista"/>
              <w:numPr>
                <w:ilvl w:val="0"/>
                <w:numId w:val="15"/>
              </w:numPr>
              <w:ind w:left="590" w:hanging="567"/>
              <w:contextualSpacing w:val="0"/>
              <w:jc w:val="both"/>
              <w:rPr>
                <w:rFonts w:asciiTheme="majorHAnsi" w:hAnsiTheme="majorHAnsi" w:cstheme="majorHAnsi"/>
                <w:sz w:val="23"/>
                <w:szCs w:val="23"/>
              </w:rPr>
            </w:pPr>
            <w:r w:rsidRPr="00576357">
              <w:rPr>
                <w:rFonts w:asciiTheme="majorHAnsi" w:hAnsiTheme="majorHAnsi" w:cstheme="majorHAnsi"/>
                <w:sz w:val="23"/>
                <w:szCs w:val="23"/>
              </w:rPr>
              <w:t>Patrimonio neto negativo o disminución por pérdidas en al menos el 50% en el último ejercicio.</w:t>
            </w:r>
          </w:p>
        </w:tc>
      </w:tr>
      <w:tr w:rsidR="009C192E" w:rsidRPr="00576357" w14:paraId="2BDC786F" w14:textId="77777777" w:rsidTr="00F268BB">
        <w:tc>
          <w:tcPr>
            <w:tcW w:w="8828" w:type="dxa"/>
          </w:tcPr>
          <w:p w14:paraId="2A0C105D" w14:textId="77777777" w:rsidR="009C192E" w:rsidRPr="00576357" w:rsidRDefault="009C192E" w:rsidP="00681541">
            <w:pPr>
              <w:pStyle w:val="Prrafodelista"/>
              <w:numPr>
                <w:ilvl w:val="0"/>
                <w:numId w:val="15"/>
              </w:numPr>
              <w:ind w:left="590" w:hanging="567"/>
              <w:contextualSpacing w:val="0"/>
              <w:jc w:val="both"/>
              <w:rPr>
                <w:rFonts w:asciiTheme="majorHAnsi" w:hAnsiTheme="majorHAnsi" w:cstheme="majorHAnsi"/>
                <w:sz w:val="23"/>
                <w:szCs w:val="23"/>
              </w:rPr>
            </w:pPr>
            <w:r w:rsidRPr="00576357">
              <w:rPr>
                <w:rFonts w:asciiTheme="majorHAnsi" w:hAnsiTheme="majorHAnsi" w:cstheme="majorHAnsi"/>
                <w:sz w:val="23"/>
                <w:szCs w:val="23"/>
              </w:rPr>
              <w:t>Pérdidas continuadas, descenso significativo de la facturación o de los flujos de efectivo recurrentes.</w:t>
            </w:r>
          </w:p>
        </w:tc>
      </w:tr>
      <w:tr w:rsidR="009C192E" w:rsidRPr="00576357" w14:paraId="0DFB0DF0" w14:textId="77777777" w:rsidTr="00F268BB">
        <w:tc>
          <w:tcPr>
            <w:tcW w:w="8828" w:type="dxa"/>
          </w:tcPr>
          <w:p w14:paraId="4404FA17" w14:textId="77777777" w:rsidR="009C192E" w:rsidRPr="00576357" w:rsidRDefault="009C192E" w:rsidP="00681541">
            <w:pPr>
              <w:pStyle w:val="Prrafodelista"/>
              <w:numPr>
                <w:ilvl w:val="0"/>
                <w:numId w:val="15"/>
              </w:numPr>
              <w:ind w:left="590" w:hanging="567"/>
              <w:contextualSpacing w:val="0"/>
              <w:jc w:val="both"/>
              <w:rPr>
                <w:rFonts w:asciiTheme="majorHAnsi" w:hAnsiTheme="majorHAnsi" w:cstheme="majorHAnsi"/>
                <w:sz w:val="23"/>
                <w:szCs w:val="23"/>
              </w:rPr>
            </w:pPr>
            <w:r w:rsidRPr="00576357">
              <w:rPr>
                <w:rFonts w:asciiTheme="majorHAnsi" w:hAnsiTheme="majorHAnsi" w:cstheme="majorHAnsi"/>
                <w:sz w:val="23"/>
                <w:szCs w:val="23"/>
              </w:rPr>
              <w:t>Retraso generalizado de los pagos o flujos de caja insuficientes para atender las deudas.</w:t>
            </w:r>
          </w:p>
        </w:tc>
      </w:tr>
      <w:tr w:rsidR="009C192E" w:rsidRPr="00576357" w14:paraId="3CE869DC" w14:textId="77777777" w:rsidTr="00F268BB">
        <w:tc>
          <w:tcPr>
            <w:tcW w:w="8828" w:type="dxa"/>
          </w:tcPr>
          <w:p w14:paraId="735271E6" w14:textId="77777777" w:rsidR="009C192E" w:rsidRPr="00576357" w:rsidRDefault="009C192E" w:rsidP="00681541">
            <w:pPr>
              <w:pStyle w:val="Prrafodelista"/>
              <w:numPr>
                <w:ilvl w:val="0"/>
                <w:numId w:val="15"/>
              </w:numPr>
              <w:ind w:left="590" w:hanging="567"/>
              <w:contextualSpacing w:val="0"/>
              <w:jc w:val="both"/>
              <w:rPr>
                <w:rFonts w:asciiTheme="majorHAnsi" w:hAnsiTheme="majorHAnsi" w:cstheme="majorHAnsi"/>
                <w:sz w:val="23"/>
                <w:szCs w:val="23"/>
              </w:rPr>
            </w:pPr>
            <w:r w:rsidRPr="00576357">
              <w:rPr>
                <w:rFonts w:asciiTheme="majorHAnsi" w:hAnsiTheme="majorHAnsi" w:cstheme="majorHAnsi"/>
                <w:sz w:val="23"/>
                <w:szCs w:val="23"/>
              </w:rPr>
              <w:t>Estructura económico-financiera significativamente inadecuada.</w:t>
            </w:r>
          </w:p>
        </w:tc>
      </w:tr>
      <w:tr w:rsidR="009C192E" w:rsidRPr="00576357" w14:paraId="04678473" w14:textId="77777777" w:rsidTr="00F268BB">
        <w:tc>
          <w:tcPr>
            <w:tcW w:w="8828" w:type="dxa"/>
          </w:tcPr>
          <w:p w14:paraId="3B31E694" w14:textId="77777777" w:rsidR="009C192E" w:rsidRPr="00576357" w:rsidRDefault="009C192E" w:rsidP="00681541">
            <w:pPr>
              <w:pStyle w:val="Prrafodelista"/>
              <w:numPr>
                <w:ilvl w:val="0"/>
                <w:numId w:val="15"/>
              </w:numPr>
              <w:ind w:left="590" w:hanging="567"/>
              <w:contextualSpacing w:val="0"/>
              <w:jc w:val="both"/>
              <w:rPr>
                <w:rFonts w:asciiTheme="majorHAnsi" w:hAnsiTheme="majorHAnsi" w:cstheme="majorHAnsi"/>
                <w:sz w:val="23"/>
                <w:szCs w:val="23"/>
              </w:rPr>
            </w:pPr>
            <w:r w:rsidRPr="00576357">
              <w:rPr>
                <w:rFonts w:asciiTheme="majorHAnsi" w:hAnsiTheme="majorHAnsi" w:cstheme="majorHAnsi"/>
                <w:sz w:val="23"/>
                <w:szCs w:val="23"/>
              </w:rPr>
              <w:t>Calificación crediticia interna o externa que evidencie impago.</w:t>
            </w:r>
          </w:p>
        </w:tc>
      </w:tr>
      <w:tr w:rsidR="009C192E" w:rsidRPr="00576357" w14:paraId="4544B99C" w14:textId="77777777" w:rsidTr="00F268BB">
        <w:tc>
          <w:tcPr>
            <w:tcW w:w="8828" w:type="dxa"/>
          </w:tcPr>
          <w:p w14:paraId="1250EA99" w14:textId="77777777" w:rsidR="009C192E" w:rsidRPr="00576357" w:rsidRDefault="009C192E" w:rsidP="00681541">
            <w:pPr>
              <w:pStyle w:val="Prrafodelista"/>
              <w:numPr>
                <w:ilvl w:val="0"/>
                <w:numId w:val="15"/>
              </w:numPr>
              <w:ind w:left="590" w:hanging="567"/>
              <w:contextualSpacing w:val="0"/>
              <w:jc w:val="both"/>
              <w:rPr>
                <w:rFonts w:asciiTheme="majorHAnsi" w:hAnsiTheme="majorHAnsi" w:cstheme="majorHAnsi"/>
                <w:sz w:val="23"/>
                <w:szCs w:val="23"/>
              </w:rPr>
            </w:pPr>
            <w:r w:rsidRPr="00576357">
              <w:rPr>
                <w:rFonts w:asciiTheme="majorHAnsi" w:hAnsiTheme="majorHAnsi" w:cstheme="majorHAnsi"/>
                <w:sz w:val="23"/>
                <w:szCs w:val="23"/>
              </w:rPr>
              <w:t>Existen importes vencidos significativos frente a organismos públicos o empleados.</w:t>
            </w:r>
          </w:p>
        </w:tc>
      </w:tr>
    </w:tbl>
    <w:p w14:paraId="78918131" w14:textId="77777777" w:rsidR="009C192E" w:rsidRPr="00576357" w:rsidRDefault="009C192E" w:rsidP="009C192E">
      <w:pPr>
        <w:pStyle w:val="Ttulo2"/>
        <w:spacing w:before="240"/>
        <w:ind w:left="567" w:hanging="578"/>
        <w:rPr>
          <w:rFonts w:asciiTheme="majorHAnsi" w:hAnsiTheme="majorHAnsi" w:cstheme="majorHAnsi"/>
          <w:sz w:val="23"/>
          <w:szCs w:val="23"/>
        </w:rPr>
      </w:pPr>
      <w:bookmarkStart w:id="49" w:name="_Toc227326044"/>
      <w:r w:rsidRPr="00576357">
        <w:rPr>
          <w:rFonts w:asciiTheme="majorHAnsi" w:hAnsiTheme="majorHAnsi" w:cstheme="majorHAnsi"/>
          <w:sz w:val="23"/>
          <w:szCs w:val="23"/>
        </w:rPr>
        <w:t>Factores automáticos de clasificación en esta categoría</w:t>
      </w:r>
      <w:bookmarkEnd w:id="4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C192E" w:rsidRPr="00576357" w14:paraId="49FF7013" w14:textId="77777777" w:rsidTr="00F268BB">
        <w:tc>
          <w:tcPr>
            <w:tcW w:w="8828" w:type="dxa"/>
          </w:tcPr>
          <w:p w14:paraId="011627BF" w14:textId="77777777" w:rsidR="009C192E" w:rsidRPr="00576357" w:rsidRDefault="009C192E" w:rsidP="00681541">
            <w:pPr>
              <w:pStyle w:val="Prrafodelista"/>
              <w:numPr>
                <w:ilvl w:val="0"/>
                <w:numId w:val="15"/>
              </w:numPr>
              <w:ind w:left="590" w:hanging="567"/>
              <w:contextualSpacing w:val="0"/>
              <w:jc w:val="both"/>
              <w:rPr>
                <w:rFonts w:asciiTheme="majorHAnsi" w:hAnsiTheme="majorHAnsi" w:cstheme="majorHAnsi"/>
                <w:sz w:val="23"/>
                <w:szCs w:val="23"/>
              </w:rPr>
            </w:pPr>
            <w:r w:rsidRPr="00576357">
              <w:rPr>
                <w:rFonts w:asciiTheme="majorHAnsi" w:hAnsiTheme="majorHAnsi" w:cstheme="majorHAnsi"/>
                <w:sz w:val="23"/>
                <w:szCs w:val="23"/>
              </w:rPr>
              <w:t>Operaciones con saldos sobre los que haya decidido reclamar judicialmente.</w:t>
            </w:r>
          </w:p>
        </w:tc>
      </w:tr>
      <w:tr w:rsidR="009C192E" w:rsidRPr="00576357" w14:paraId="05A177FB" w14:textId="77777777" w:rsidTr="00F268BB">
        <w:tc>
          <w:tcPr>
            <w:tcW w:w="8828" w:type="dxa"/>
          </w:tcPr>
          <w:p w14:paraId="677B70C1" w14:textId="77777777" w:rsidR="009C192E" w:rsidRPr="00576357" w:rsidRDefault="009C192E" w:rsidP="00681541">
            <w:pPr>
              <w:pStyle w:val="Prrafodelista"/>
              <w:numPr>
                <w:ilvl w:val="0"/>
                <w:numId w:val="15"/>
              </w:numPr>
              <w:ind w:left="590" w:hanging="567"/>
              <w:contextualSpacing w:val="0"/>
              <w:jc w:val="both"/>
              <w:rPr>
                <w:rFonts w:asciiTheme="majorHAnsi" w:hAnsiTheme="majorHAnsi" w:cstheme="majorHAnsi"/>
                <w:sz w:val="23"/>
                <w:szCs w:val="23"/>
              </w:rPr>
            </w:pPr>
            <w:r w:rsidRPr="00576357">
              <w:rPr>
                <w:rFonts w:asciiTheme="majorHAnsi" w:hAnsiTheme="majorHAnsi" w:cstheme="majorHAnsi"/>
                <w:sz w:val="23"/>
                <w:szCs w:val="23"/>
              </w:rPr>
              <w:t>Operaciones en las que se ha iniciado el proceso de ejecución de la garantía real.</w:t>
            </w:r>
          </w:p>
        </w:tc>
      </w:tr>
      <w:tr w:rsidR="009C192E" w:rsidRPr="00576357" w14:paraId="5C287880" w14:textId="77777777" w:rsidTr="00F268BB">
        <w:tc>
          <w:tcPr>
            <w:tcW w:w="8828" w:type="dxa"/>
          </w:tcPr>
          <w:p w14:paraId="1E847FD3" w14:textId="77777777" w:rsidR="009C192E" w:rsidRPr="00576357" w:rsidRDefault="009C192E" w:rsidP="00681541">
            <w:pPr>
              <w:pStyle w:val="Prrafodelista"/>
              <w:numPr>
                <w:ilvl w:val="0"/>
                <w:numId w:val="15"/>
              </w:numPr>
              <w:ind w:left="590" w:hanging="567"/>
              <w:contextualSpacing w:val="0"/>
              <w:jc w:val="both"/>
              <w:rPr>
                <w:rFonts w:asciiTheme="majorHAnsi" w:hAnsiTheme="majorHAnsi" w:cstheme="majorHAnsi"/>
                <w:sz w:val="23"/>
                <w:szCs w:val="23"/>
              </w:rPr>
            </w:pPr>
            <w:r w:rsidRPr="00576357">
              <w:rPr>
                <w:rFonts w:asciiTheme="majorHAnsi" w:hAnsiTheme="majorHAnsi" w:cstheme="majorHAnsi"/>
                <w:sz w:val="23"/>
                <w:szCs w:val="23"/>
              </w:rPr>
              <w:t>Declaración (o intención de presentarla) concursal sin petición de liquidación.</w:t>
            </w:r>
          </w:p>
        </w:tc>
      </w:tr>
      <w:tr w:rsidR="009C192E" w:rsidRPr="00576357" w14:paraId="7B117DDC" w14:textId="77777777" w:rsidTr="00F268BB">
        <w:tc>
          <w:tcPr>
            <w:tcW w:w="8828" w:type="dxa"/>
          </w:tcPr>
          <w:p w14:paraId="17A39ED8" w14:textId="77777777" w:rsidR="009C192E" w:rsidRPr="00576357" w:rsidRDefault="009C192E" w:rsidP="00681541">
            <w:pPr>
              <w:pStyle w:val="Prrafodelista"/>
              <w:numPr>
                <w:ilvl w:val="0"/>
                <w:numId w:val="15"/>
              </w:numPr>
              <w:ind w:left="590" w:hanging="567"/>
              <w:contextualSpacing w:val="0"/>
              <w:jc w:val="both"/>
              <w:rPr>
                <w:rFonts w:asciiTheme="majorHAnsi" w:hAnsiTheme="majorHAnsi" w:cstheme="majorHAnsi"/>
                <w:sz w:val="23"/>
                <w:szCs w:val="23"/>
              </w:rPr>
            </w:pPr>
            <w:r w:rsidRPr="00576357">
              <w:rPr>
                <w:rFonts w:asciiTheme="majorHAnsi" w:hAnsiTheme="majorHAnsi" w:cstheme="majorHAnsi"/>
                <w:sz w:val="23"/>
                <w:szCs w:val="23"/>
              </w:rPr>
              <w:t>Garantías a titulares en concurso con petición (o intención) de liquidación.</w:t>
            </w:r>
          </w:p>
        </w:tc>
      </w:tr>
    </w:tbl>
    <w:p w14:paraId="1B621152" w14:textId="512DCCB9" w:rsidR="009C192E" w:rsidRPr="00576357" w:rsidRDefault="009C192E" w:rsidP="009C192E">
      <w:pPr>
        <w:jc w:val="left"/>
        <w:rPr>
          <w:rFonts w:asciiTheme="majorHAnsi" w:hAnsiTheme="majorHAnsi" w:cstheme="majorHAnsi"/>
          <w:sz w:val="23"/>
          <w:szCs w:val="23"/>
        </w:rPr>
      </w:pPr>
    </w:p>
    <w:p w14:paraId="1C3F4338" w14:textId="77777777" w:rsidR="009C192E" w:rsidRPr="00576357" w:rsidRDefault="009C192E" w:rsidP="009C192E">
      <w:pPr>
        <w:pStyle w:val="Ttulo1"/>
        <w:rPr>
          <w:rFonts w:asciiTheme="majorHAnsi" w:hAnsiTheme="majorHAnsi" w:cstheme="majorHAnsi"/>
          <w:sz w:val="23"/>
          <w:szCs w:val="23"/>
        </w:rPr>
      </w:pPr>
      <w:bookmarkStart w:id="50" w:name="_Toc227326045"/>
      <w:bookmarkStart w:id="51" w:name="_Hlk223422671"/>
      <w:r w:rsidRPr="00576357">
        <w:rPr>
          <w:rFonts w:asciiTheme="majorHAnsi" w:hAnsiTheme="majorHAnsi" w:cstheme="majorHAnsi"/>
          <w:sz w:val="23"/>
          <w:szCs w:val="23"/>
        </w:rPr>
        <w:lastRenderedPageBreak/>
        <w:t>X) TASAS DE INCUMPLIMIENTO-PERFIL DE RIESGO</w:t>
      </w:r>
      <w:bookmarkEnd w:id="50"/>
    </w:p>
    <w:p w14:paraId="4202794F" w14:textId="77777777" w:rsidR="009C192E" w:rsidRPr="00576357" w:rsidRDefault="009C192E" w:rsidP="009C192E">
      <w:pPr>
        <w:ind w:left="1134" w:hanging="1275"/>
        <w:rPr>
          <w:rFonts w:asciiTheme="majorHAnsi" w:hAnsiTheme="majorHAnsi" w:cstheme="majorHAnsi"/>
          <w:sz w:val="23"/>
          <w:szCs w:val="23"/>
        </w:rPr>
      </w:pPr>
      <w:r w:rsidRPr="00576357">
        <w:rPr>
          <w:rFonts w:asciiTheme="majorHAnsi" w:hAnsiTheme="majorHAnsi" w:cstheme="majorHAnsi"/>
          <w:sz w:val="23"/>
          <w:szCs w:val="23"/>
          <w:u w:val="single"/>
        </w:rPr>
        <w:t>Objetivo</w:t>
      </w:r>
      <w:r w:rsidRPr="00576357">
        <w:rPr>
          <w:rFonts w:asciiTheme="majorHAnsi" w:hAnsiTheme="majorHAnsi" w:cstheme="majorHAnsi"/>
          <w:sz w:val="23"/>
          <w:szCs w:val="23"/>
        </w:rPr>
        <w:t>:</w:t>
      </w:r>
      <w:r w:rsidRPr="00576357">
        <w:rPr>
          <w:rFonts w:asciiTheme="majorHAnsi" w:hAnsiTheme="majorHAnsi" w:cstheme="majorHAnsi"/>
          <w:sz w:val="23"/>
          <w:szCs w:val="23"/>
        </w:rPr>
        <w:tab/>
        <w:t>Presentar las tasas de incumplimiento correspondientes a cada segmento de crédito, asociadas a perfiles de riesgo específicos, con el objetivo de mejorar la precisión en el cálculo de estimaciones crediticias y garantizar su aplicación uniforme en los procesos de gestión del riesgo.</w:t>
      </w:r>
    </w:p>
    <w:p w14:paraId="73F4ADDA" w14:textId="77777777" w:rsidR="009C192E" w:rsidRDefault="009C192E" w:rsidP="00681541">
      <w:pPr>
        <w:pStyle w:val="Ttulo2"/>
        <w:numPr>
          <w:ilvl w:val="0"/>
          <w:numId w:val="48"/>
        </w:numPr>
        <w:ind w:left="567" w:hanging="578"/>
        <w:rPr>
          <w:rFonts w:asciiTheme="majorHAnsi" w:hAnsiTheme="majorHAnsi" w:cstheme="majorHAnsi"/>
          <w:sz w:val="23"/>
          <w:szCs w:val="23"/>
        </w:rPr>
      </w:pPr>
      <w:bookmarkStart w:id="52" w:name="_Toc227326046"/>
      <w:r w:rsidRPr="00576357">
        <w:rPr>
          <w:rFonts w:asciiTheme="majorHAnsi" w:hAnsiTheme="majorHAnsi" w:cstheme="majorHAnsi"/>
          <w:sz w:val="23"/>
          <w:szCs w:val="23"/>
        </w:rPr>
        <w:t>Riesgo alto</w:t>
      </w:r>
      <w:bookmarkEnd w:id="52"/>
    </w:p>
    <w:tbl>
      <w:tblPr>
        <w:tblW w:w="910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117"/>
        <w:gridCol w:w="733"/>
        <w:gridCol w:w="880"/>
        <w:gridCol w:w="880"/>
        <w:gridCol w:w="880"/>
        <w:gridCol w:w="903"/>
        <w:gridCol w:w="903"/>
        <w:gridCol w:w="916"/>
        <w:gridCol w:w="890"/>
      </w:tblGrid>
      <w:tr w:rsidR="00576357" w:rsidRPr="00576357" w14:paraId="32069CDD" w14:textId="77777777" w:rsidTr="00576357">
        <w:trPr>
          <w:jc w:val="center"/>
        </w:trPr>
        <w:tc>
          <w:tcPr>
            <w:tcW w:w="2117" w:type="dxa"/>
            <w:tcBorders>
              <w:top w:val="single" w:sz="8" w:space="0" w:color="000000"/>
              <w:left w:val="single" w:sz="8" w:space="0" w:color="000000"/>
              <w:bottom w:val="single" w:sz="8" w:space="0" w:color="000000"/>
              <w:right w:val="single" w:sz="8" w:space="0" w:color="000000"/>
            </w:tcBorders>
            <w:shd w:val="clear" w:color="auto" w:fill="153D63"/>
            <w:hideMark/>
          </w:tcPr>
          <w:p w14:paraId="07D37EFD"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b/>
                <w:sz w:val="18"/>
                <w:szCs w:val="18"/>
                <w:lang w:val="en-US" w:eastAsia="es-ES"/>
              </w:rPr>
              <w:t>Riesgo alto</w:t>
            </w:r>
          </w:p>
        </w:tc>
        <w:tc>
          <w:tcPr>
            <w:tcW w:w="733" w:type="dxa"/>
            <w:tcBorders>
              <w:top w:val="single" w:sz="8" w:space="0" w:color="000000"/>
              <w:left w:val="single" w:sz="8" w:space="0" w:color="000000"/>
              <w:bottom w:val="single" w:sz="8" w:space="0" w:color="000000"/>
              <w:right w:val="single" w:sz="8" w:space="0" w:color="000000"/>
            </w:tcBorders>
            <w:shd w:val="clear" w:color="auto" w:fill="153D63"/>
            <w:hideMark/>
          </w:tcPr>
          <w:p w14:paraId="57BB5659"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b/>
                <w:sz w:val="18"/>
                <w:szCs w:val="18"/>
                <w:lang w:val="en-US" w:eastAsia="es-ES"/>
              </w:rPr>
              <w:t>1</w:t>
            </w:r>
          </w:p>
        </w:tc>
        <w:tc>
          <w:tcPr>
            <w:tcW w:w="880" w:type="dxa"/>
            <w:tcBorders>
              <w:top w:val="single" w:sz="8" w:space="0" w:color="000000"/>
              <w:left w:val="single" w:sz="8" w:space="0" w:color="000000"/>
              <w:bottom w:val="single" w:sz="8" w:space="0" w:color="000000"/>
              <w:right w:val="single" w:sz="8" w:space="0" w:color="000000"/>
            </w:tcBorders>
            <w:shd w:val="clear" w:color="auto" w:fill="153D63"/>
            <w:hideMark/>
          </w:tcPr>
          <w:p w14:paraId="48EC7524"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b/>
                <w:sz w:val="18"/>
                <w:szCs w:val="18"/>
                <w:lang w:val="en-US" w:eastAsia="es-ES"/>
              </w:rPr>
              <w:t>2</w:t>
            </w:r>
          </w:p>
        </w:tc>
        <w:tc>
          <w:tcPr>
            <w:tcW w:w="880" w:type="dxa"/>
            <w:tcBorders>
              <w:top w:val="single" w:sz="8" w:space="0" w:color="000000"/>
              <w:left w:val="single" w:sz="8" w:space="0" w:color="000000"/>
              <w:bottom w:val="single" w:sz="8" w:space="0" w:color="000000"/>
              <w:right w:val="single" w:sz="8" w:space="0" w:color="000000"/>
            </w:tcBorders>
            <w:shd w:val="clear" w:color="auto" w:fill="153D63"/>
            <w:hideMark/>
          </w:tcPr>
          <w:p w14:paraId="3256B3A1"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b/>
                <w:sz w:val="18"/>
                <w:szCs w:val="18"/>
                <w:lang w:val="en-US" w:eastAsia="es-ES"/>
              </w:rPr>
              <w:t>3</w:t>
            </w:r>
          </w:p>
        </w:tc>
        <w:tc>
          <w:tcPr>
            <w:tcW w:w="880" w:type="dxa"/>
            <w:tcBorders>
              <w:top w:val="single" w:sz="8" w:space="0" w:color="000000"/>
              <w:left w:val="single" w:sz="8" w:space="0" w:color="000000"/>
              <w:bottom w:val="single" w:sz="8" w:space="0" w:color="000000"/>
              <w:right w:val="single" w:sz="8" w:space="0" w:color="000000"/>
            </w:tcBorders>
            <w:shd w:val="clear" w:color="auto" w:fill="153D63"/>
            <w:hideMark/>
          </w:tcPr>
          <w:p w14:paraId="43360141"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b/>
                <w:sz w:val="18"/>
                <w:szCs w:val="18"/>
                <w:lang w:val="en-US" w:eastAsia="es-ES"/>
              </w:rPr>
              <w:t>4</w:t>
            </w:r>
          </w:p>
        </w:tc>
        <w:tc>
          <w:tcPr>
            <w:tcW w:w="903" w:type="dxa"/>
            <w:tcBorders>
              <w:top w:val="single" w:sz="8" w:space="0" w:color="000000"/>
              <w:left w:val="single" w:sz="8" w:space="0" w:color="000000"/>
              <w:bottom w:val="single" w:sz="8" w:space="0" w:color="000000"/>
              <w:right w:val="single" w:sz="8" w:space="0" w:color="000000"/>
            </w:tcBorders>
            <w:shd w:val="clear" w:color="auto" w:fill="153D63"/>
            <w:hideMark/>
          </w:tcPr>
          <w:p w14:paraId="09DAE552"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b/>
                <w:sz w:val="18"/>
                <w:szCs w:val="18"/>
                <w:lang w:val="en-US" w:eastAsia="es-ES"/>
              </w:rPr>
              <w:t>5</w:t>
            </w:r>
          </w:p>
        </w:tc>
        <w:tc>
          <w:tcPr>
            <w:tcW w:w="903" w:type="dxa"/>
            <w:tcBorders>
              <w:top w:val="single" w:sz="8" w:space="0" w:color="000000"/>
              <w:left w:val="single" w:sz="8" w:space="0" w:color="000000"/>
              <w:bottom w:val="single" w:sz="8" w:space="0" w:color="000000"/>
              <w:right w:val="single" w:sz="8" w:space="0" w:color="000000"/>
            </w:tcBorders>
            <w:shd w:val="clear" w:color="auto" w:fill="153D63"/>
            <w:hideMark/>
          </w:tcPr>
          <w:p w14:paraId="2D9C31F0"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b/>
                <w:sz w:val="18"/>
                <w:szCs w:val="18"/>
                <w:lang w:val="en-US" w:eastAsia="es-ES"/>
              </w:rPr>
              <w:t>6</w:t>
            </w:r>
          </w:p>
        </w:tc>
        <w:tc>
          <w:tcPr>
            <w:tcW w:w="916" w:type="dxa"/>
            <w:tcBorders>
              <w:top w:val="single" w:sz="8" w:space="0" w:color="000000"/>
              <w:left w:val="single" w:sz="8" w:space="0" w:color="000000"/>
              <w:bottom w:val="single" w:sz="8" w:space="0" w:color="000000"/>
              <w:right w:val="single" w:sz="8" w:space="0" w:color="000000"/>
            </w:tcBorders>
            <w:shd w:val="clear" w:color="auto" w:fill="153D63"/>
            <w:hideMark/>
          </w:tcPr>
          <w:p w14:paraId="5C349209"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b/>
                <w:sz w:val="18"/>
                <w:szCs w:val="18"/>
                <w:lang w:val="en-US" w:eastAsia="es-ES"/>
              </w:rPr>
              <w:t>7</w:t>
            </w:r>
          </w:p>
        </w:tc>
        <w:tc>
          <w:tcPr>
            <w:tcW w:w="890" w:type="dxa"/>
            <w:tcBorders>
              <w:top w:val="single" w:sz="8" w:space="0" w:color="000000"/>
              <w:left w:val="single" w:sz="8" w:space="0" w:color="000000"/>
              <w:bottom w:val="single" w:sz="8" w:space="0" w:color="000000"/>
              <w:right w:val="single" w:sz="8" w:space="0" w:color="000000"/>
            </w:tcBorders>
            <w:shd w:val="clear" w:color="auto" w:fill="153D63"/>
            <w:hideMark/>
          </w:tcPr>
          <w:p w14:paraId="67D358E8"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b/>
                <w:sz w:val="18"/>
                <w:szCs w:val="18"/>
                <w:lang w:val="en-US" w:eastAsia="es-ES"/>
              </w:rPr>
              <w:t>8</w:t>
            </w:r>
          </w:p>
        </w:tc>
      </w:tr>
      <w:tr w:rsidR="00576357" w:rsidRPr="00576357" w14:paraId="354B951B" w14:textId="77777777" w:rsidTr="00576357">
        <w:trPr>
          <w:jc w:val="center"/>
        </w:trPr>
        <w:tc>
          <w:tcPr>
            <w:tcW w:w="2117" w:type="dxa"/>
            <w:tcBorders>
              <w:top w:val="single" w:sz="8" w:space="0" w:color="000000"/>
              <w:left w:val="single" w:sz="8" w:space="0" w:color="000000"/>
              <w:bottom w:val="single" w:sz="8" w:space="0" w:color="000000"/>
              <w:right w:val="single" w:sz="8" w:space="0" w:color="000000"/>
            </w:tcBorders>
            <w:hideMark/>
          </w:tcPr>
          <w:p w14:paraId="42BCA94B" w14:textId="77777777" w:rsidR="00576357" w:rsidRPr="00576357" w:rsidRDefault="00576357" w:rsidP="00576357">
            <w:pPr>
              <w:spacing w:before="0" w:after="0" w:line="240" w:lineRule="auto"/>
              <w:jc w:val="left"/>
              <w:rPr>
                <w:rFonts w:ascii="Roboto" w:hAnsi="Roboto"/>
                <w:sz w:val="18"/>
                <w:szCs w:val="18"/>
                <w:lang w:val="es-CR" w:eastAsia="es-ES"/>
              </w:rPr>
            </w:pPr>
            <w:r w:rsidRPr="00576357">
              <w:rPr>
                <w:rFonts w:ascii="Roboto" w:hAnsi="Roboto"/>
                <w:sz w:val="18"/>
                <w:szCs w:val="18"/>
                <w:lang w:val="es-CR" w:eastAsia="es-ES"/>
              </w:rPr>
              <w:t xml:space="preserve">Créditos </w:t>
            </w:r>
            <w:proofErr w:type="spellStart"/>
            <w:r w:rsidRPr="00576357">
              <w:rPr>
                <w:rFonts w:ascii="Roboto" w:hAnsi="Roboto"/>
                <w:sz w:val="18"/>
                <w:szCs w:val="18"/>
                <w:lang w:val="es-CR" w:eastAsia="es-ES"/>
              </w:rPr>
              <w:t>revolutivos</w:t>
            </w:r>
            <w:proofErr w:type="spellEnd"/>
            <w:r w:rsidRPr="00576357">
              <w:rPr>
                <w:rFonts w:ascii="Roboto" w:hAnsi="Roboto"/>
                <w:sz w:val="18"/>
                <w:szCs w:val="18"/>
                <w:lang w:val="es-CR" w:eastAsia="es-ES"/>
              </w:rPr>
              <w:t xml:space="preserve"> de consumo </w:t>
            </w:r>
          </w:p>
        </w:tc>
        <w:tc>
          <w:tcPr>
            <w:tcW w:w="733" w:type="dxa"/>
            <w:tcBorders>
              <w:top w:val="single" w:sz="8" w:space="0" w:color="000000"/>
              <w:left w:val="single" w:sz="8" w:space="0" w:color="000000"/>
              <w:bottom w:val="single" w:sz="8" w:space="0" w:color="000000"/>
              <w:right w:val="single" w:sz="8" w:space="0" w:color="000000"/>
            </w:tcBorders>
            <w:vAlign w:val="center"/>
            <w:hideMark/>
          </w:tcPr>
          <w:p w14:paraId="5AB7885F"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7,50%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4DF79474"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50,00%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2E070E38"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60,00%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5FB93948"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70,00%</w:t>
            </w:r>
          </w:p>
        </w:tc>
        <w:tc>
          <w:tcPr>
            <w:tcW w:w="903" w:type="dxa"/>
            <w:tcBorders>
              <w:top w:val="single" w:sz="8" w:space="0" w:color="000000"/>
              <w:left w:val="single" w:sz="8" w:space="0" w:color="000000"/>
              <w:bottom w:val="single" w:sz="8" w:space="0" w:color="000000"/>
              <w:right w:val="single" w:sz="8" w:space="0" w:color="000000"/>
            </w:tcBorders>
            <w:vAlign w:val="center"/>
            <w:hideMark/>
          </w:tcPr>
          <w:p w14:paraId="5FD76F2C"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90,00%</w:t>
            </w:r>
          </w:p>
        </w:tc>
        <w:tc>
          <w:tcPr>
            <w:tcW w:w="903" w:type="dxa"/>
            <w:tcBorders>
              <w:top w:val="single" w:sz="8" w:space="0" w:color="000000"/>
              <w:left w:val="single" w:sz="8" w:space="0" w:color="000000"/>
              <w:bottom w:val="single" w:sz="8" w:space="0" w:color="000000"/>
              <w:right w:val="single" w:sz="8" w:space="0" w:color="000000"/>
            </w:tcBorders>
            <w:vAlign w:val="center"/>
            <w:hideMark/>
          </w:tcPr>
          <w:p w14:paraId="66D0DA07"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100,00%</w:t>
            </w:r>
          </w:p>
        </w:tc>
        <w:tc>
          <w:tcPr>
            <w:tcW w:w="916" w:type="dxa"/>
            <w:tcBorders>
              <w:top w:val="single" w:sz="8" w:space="0" w:color="000000"/>
              <w:left w:val="single" w:sz="8" w:space="0" w:color="000000"/>
              <w:bottom w:val="single" w:sz="8" w:space="0" w:color="000000"/>
              <w:right w:val="single" w:sz="8" w:space="0" w:color="000000"/>
            </w:tcBorders>
            <w:vAlign w:val="center"/>
            <w:hideMark/>
          </w:tcPr>
          <w:p w14:paraId="75491FB9"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100,00%</w:t>
            </w:r>
          </w:p>
        </w:tc>
        <w:tc>
          <w:tcPr>
            <w:tcW w:w="890" w:type="dxa"/>
            <w:tcBorders>
              <w:top w:val="single" w:sz="8" w:space="0" w:color="000000"/>
              <w:left w:val="single" w:sz="8" w:space="0" w:color="000000"/>
              <w:bottom w:val="single" w:sz="8" w:space="0" w:color="000000"/>
              <w:right w:val="single" w:sz="8" w:space="0" w:color="000000"/>
            </w:tcBorders>
            <w:vAlign w:val="center"/>
            <w:hideMark/>
          </w:tcPr>
          <w:p w14:paraId="1152EC9A"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100,00%</w:t>
            </w:r>
          </w:p>
        </w:tc>
      </w:tr>
      <w:tr w:rsidR="00576357" w:rsidRPr="00576357" w14:paraId="45D1C395" w14:textId="77777777" w:rsidTr="00576357">
        <w:trPr>
          <w:jc w:val="center"/>
        </w:trPr>
        <w:tc>
          <w:tcPr>
            <w:tcW w:w="2117" w:type="dxa"/>
            <w:tcBorders>
              <w:top w:val="single" w:sz="8" w:space="0" w:color="000000"/>
              <w:left w:val="single" w:sz="8" w:space="0" w:color="000000"/>
              <w:bottom w:val="single" w:sz="8" w:space="0" w:color="000000"/>
              <w:right w:val="single" w:sz="8" w:space="0" w:color="000000"/>
            </w:tcBorders>
            <w:hideMark/>
          </w:tcPr>
          <w:p w14:paraId="2FA3F963" w14:textId="77777777" w:rsidR="00576357" w:rsidRPr="00576357" w:rsidRDefault="00576357" w:rsidP="00576357">
            <w:pPr>
              <w:spacing w:before="0" w:after="0" w:line="240" w:lineRule="auto"/>
              <w:jc w:val="left"/>
              <w:rPr>
                <w:rFonts w:ascii="Roboto" w:hAnsi="Roboto"/>
                <w:sz w:val="18"/>
                <w:szCs w:val="18"/>
                <w:lang w:val="en-US" w:eastAsia="es-ES"/>
              </w:rPr>
            </w:pPr>
            <w:r w:rsidRPr="00576357">
              <w:rPr>
                <w:rFonts w:ascii="Roboto" w:hAnsi="Roboto"/>
                <w:sz w:val="18"/>
                <w:szCs w:val="18"/>
                <w:lang w:val="es-CR" w:eastAsia="es-ES"/>
              </w:rPr>
              <w:t>Préstamos de consumo</w:t>
            </w:r>
          </w:p>
        </w:tc>
        <w:tc>
          <w:tcPr>
            <w:tcW w:w="733" w:type="dxa"/>
            <w:tcBorders>
              <w:top w:val="single" w:sz="8" w:space="0" w:color="000000"/>
              <w:left w:val="single" w:sz="8" w:space="0" w:color="000000"/>
              <w:bottom w:val="single" w:sz="8" w:space="0" w:color="000000"/>
              <w:right w:val="single" w:sz="8" w:space="0" w:color="000000"/>
            </w:tcBorders>
            <w:vAlign w:val="center"/>
            <w:hideMark/>
          </w:tcPr>
          <w:p w14:paraId="40A316DE"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6,00%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4BB11C90"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25,00%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64A198F3"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50,00%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26759DE9"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60,00%</w:t>
            </w:r>
          </w:p>
        </w:tc>
        <w:tc>
          <w:tcPr>
            <w:tcW w:w="903" w:type="dxa"/>
            <w:tcBorders>
              <w:top w:val="single" w:sz="8" w:space="0" w:color="000000"/>
              <w:left w:val="single" w:sz="8" w:space="0" w:color="000000"/>
              <w:bottom w:val="single" w:sz="8" w:space="0" w:color="000000"/>
              <w:right w:val="single" w:sz="8" w:space="0" w:color="000000"/>
            </w:tcBorders>
            <w:vAlign w:val="center"/>
            <w:hideMark/>
          </w:tcPr>
          <w:p w14:paraId="0937C23F"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100,00%</w:t>
            </w:r>
          </w:p>
        </w:tc>
        <w:tc>
          <w:tcPr>
            <w:tcW w:w="903" w:type="dxa"/>
            <w:tcBorders>
              <w:top w:val="single" w:sz="8" w:space="0" w:color="000000"/>
              <w:left w:val="single" w:sz="8" w:space="0" w:color="000000"/>
              <w:bottom w:val="single" w:sz="8" w:space="0" w:color="000000"/>
              <w:right w:val="single" w:sz="8" w:space="0" w:color="000000"/>
            </w:tcBorders>
            <w:vAlign w:val="center"/>
            <w:hideMark/>
          </w:tcPr>
          <w:p w14:paraId="3B23B31E"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100,00%</w:t>
            </w:r>
          </w:p>
        </w:tc>
        <w:tc>
          <w:tcPr>
            <w:tcW w:w="916" w:type="dxa"/>
            <w:tcBorders>
              <w:top w:val="single" w:sz="8" w:space="0" w:color="000000"/>
              <w:left w:val="single" w:sz="8" w:space="0" w:color="000000"/>
              <w:bottom w:val="single" w:sz="8" w:space="0" w:color="000000"/>
              <w:right w:val="single" w:sz="8" w:space="0" w:color="000000"/>
            </w:tcBorders>
            <w:vAlign w:val="center"/>
            <w:hideMark/>
          </w:tcPr>
          <w:p w14:paraId="639B63A2"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100,00%</w:t>
            </w:r>
          </w:p>
        </w:tc>
        <w:tc>
          <w:tcPr>
            <w:tcW w:w="890" w:type="dxa"/>
            <w:tcBorders>
              <w:top w:val="single" w:sz="8" w:space="0" w:color="000000"/>
              <w:left w:val="single" w:sz="8" w:space="0" w:color="000000"/>
              <w:bottom w:val="single" w:sz="8" w:space="0" w:color="000000"/>
              <w:right w:val="single" w:sz="8" w:space="0" w:color="000000"/>
            </w:tcBorders>
            <w:vAlign w:val="center"/>
            <w:hideMark/>
          </w:tcPr>
          <w:p w14:paraId="5B4A209B"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100,00%</w:t>
            </w:r>
          </w:p>
        </w:tc>
      </w:tr>
      <w:tr w:rsidR="00576357" w:rsidRPr="00576357" w14:paraId="088EF9F8" w14:textId="77777777" w:rsidTr="00576357">
        <w:trPr>
          <w:jc w:val="center"/>
        </w:trPr>
        <w:tc>
          <w:tcPr>
            <w:tcW w:w="2117" w:type="dxa"/>
            <w:tcBorders>
              <w:top w:val="single" w:sz="8" w:space="0" w:color="000000"/>
              <w:left w:val="single" w:sz="8" w:space="0" w:color="000000"/>
              <w:bottom w:val="single" w:sz="8" w:space="0" w:color="000000"/>
              <w:right w:val="single" w:sz="8" w:space="0" w:color="000000"/>
            </w:tcBorders>
            <w:hideMark/>
          </w:tcPr>
          <w:p w14:paraId="1B490CD7" w14:textId="77777777" w:rsidR="00576357" w:rsidRPr="00576357" w:rsidRDefault="00576357" w:rsidP="00576357">
            <w:pPr>
              <w:spacing w:before="0" w:after="0" w:line="240" w:lineRule="auto"/>
              <w:jc w:val="left"/>
              <w:rPr>
                <w:rFonts w:ascii="Roboto" w:hAnsi="Roboto"/>
                <w:sz w:val="18"/>
                <w:szCs w:val="18"/>
                <w:lang w:val="en-US" w:eastAsia="es-ES"/>
              </w:rPr>
            </w:pPr>
            <w:r w:rsidRPr="00576357">
              <w:rPr>
                <w:rFonts w:ascii="Roboto" w:hAnsi="Roboto"/>
                <w:sz w:val="18"/>
                <w:szCs w:val="18"/>
                <w:lang w:val="es-CR" w:eastAsia="es-ES"/>
              </w:rPr>
              <w:t>Préstamos vehiculares</w:t>
            </w:r>
          </w:p>
        </w:tc>
        <w:tc>
          <w:tcPr>
            <w:tcW w:w="733" w:type="dxa"/>
            <w:tcBorders>
              <w:top w:val="single" w:sz="8" w:space="0" w:color="000000"/>
              <w:left w:val="single" w:sz="8" w:space="0" w:color="000000"/>
              <w:bottom w:val="single" w:sz="8" w:space="0" w:color="000000"/>
              <w:right w:val="single" w:sz="8" w:space="0" w:color="000000"/>
            </w:tcBorders>
            <w:vAlign w:val="center"/>
            <w:hideMark/>
          </w:tcPr>
          <w:p w14:paraId="5C7E422F"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3,00%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72BDFA1C"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20,00%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7D30F9BB"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35,00%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5AE97AFC"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70,00%</w:t>
            </w:r>
          </w:p>
        </w:tc>
        <w:tc>
          <w:tcPr>
            <w:tcW w:w="903" w:type="dxa"/>
            <w:tcBorders>
              <w:top w:val="single" w:sz="8" w:space="0" w:color="000000"/>
              <w:left w:val="single" w:sz="8" w:space="0" w:color="000000"/>
              <w:bottom w:val="single" w:sz="8" w:space="0" w:color="000000"/>
              <w:right w:val="single" w:sz="8" w:space="0" w:color="000000"/>
            </w:tcBorders>
            <w:vAlign w:val="center"/>
            <w:hideMark/>
          </w:tcPr>
          <w:p w14:paraId="4A1FFFB8"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90,00%</w:t>
            </w:r>
          </w:p>
        </w:tc>
        <w:tc>
          <w:tcPr>
            <w:tcW w:w="903" w:type="dxa"/>
            <w:tcBorders>
              <w:top w:val="single" w:sz="8" w:space="0" w:color="000000"/>
              <w:left w:val="single" w:sz="8" w:space="0" w:color="000000"/>
              <w:bottom w:val="single" w:sz="8" w:space="0" w:color="000000"/>
              <w:right w:val="single" w:sz="8" w:space="0" w:color="000000"/>
            </w:tcBorders>
            <w:vAlign w:val="center"/>
            <w:hideMark/>
          </w:tcPr>
          <w:p w14:paraId="48A21E72"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95,00%</w:t>
            </w:r>
          </w:p>
        </w:tc>
        <w:tc>
          <w:tcPr>
            <w:tcW w:w="916" w:type="dxa"/>
            <w:tcBorders>
              <w:top w:val="single" w:sz="8" w:space="0" w:color="000000"/>
              <w:left w:val="single" w:sz="8" w:space="0" w:color="000000"/>
              <w:bottom w:val="single" w:sz="8" w:space="0" w:color="000000"/>
              <w:right w:val="single" w:sz="8" w:space="0" w:color="000000"/>
            </w:tcBorders>
            <w:vAlign w:val="center"/>
            <w:hideMark/>
          </w:tcPr>
          <w:p w14:paraId="0E76C4C6"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100,00%</w:t>
            </w:r>
          </w:p>
        </w:tc>
        <w:tc>
          <w:tcPr>
            <w:tcW w:w="890" w:type="dxa"/>
            <w:tcBorders>
              <w:top w:val="single" w:sz="8" w:space="0" w:color="000000"/>
              <w:left w:val="single" w:sz="8" w:space="0" w:color="000000"/>
              <w:bottom w:val="single" w:sz="8" w:space="0" w:color="000000"/>
              <w:right w:val="single" w:sz="8" w:space="0" w:color="000000"/>
            </w:tcBorders>
            <w:vAlign w:val="center"/>
            <w:hideMark/>
          </w:tcPr>
          <w:p w14:paraId="7D678CBC"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100,00%</w:t>
            </w:r>
          </w:p>
        </w:tc>
      </w:tr>
      <w:tr w:rsidR="00576357" w:rsidRPr="00576357" w14:paraId="27A80F84" w14:textId="77777777" w:rsidTr="00576357">
        <w:trPr>
          <w:jc w:val="center"/>
        </w:trPr>
        <w:tc>
          <w:tcPr>
            <w:tcW w:w="2117" w:type="dxa"/>
            <w:tcBorders>
              <w:top w:val="single" w:sz="8" w:space="0" w:color="000000"/>
              <w:left w:val="single" w:sz="8" w:space="0" w:color="000000"/>
              <w:bottom w:val="single" w:sz="8" w:space="0" w:color="000000"/>
              <w:right w:val="single" w:sz="8" w:space="0" w:color="000000"/>
            </w:tcBorders>
            <w:hideMark/>
          </w:tcPr>
          <w:p w14:paraId="70184155" w14:textId="77777777" w:rsidR="00576357" w:rsidRPr="00576357" w:rsidRDefault="00576357" w:rsidP="00576357">
            <w:pPr>
              <w:spacing w:before="0" w:after="0" w:line="240" w:lineRule="auto"/>
              <w:jc w:val="left"/>
              <w:rPr>
                <w:rFonts w:ascii="Roboto" w:hAnsi="Roboto"/>
                <w:sz w:val="18"/>
                <w:szCs w:val="18"/>
                <w:lang w:val="en-US" w:eastAsia="es-ES"/>
              </w:rPr>
            </w:pPr>
            <w:r w:rsidRPr="00576357">
              <w:rPr>
                <w:rFonts w:ascii="Roboto" w:hAnsi="Roboto"/>
                <w:sz w:val="18"/>
                <w:szCs w:val="18"/>
                <w:lang w:val="es-CR" w:eastAsia="es-ES"/>
              </w:rPr>
              <w:t>Créditos de vivienda</w:t>
            </w:r>
          </w:p>
        </w:tc>
        <w:tc>
          <w:tcPr>
            <w:tcW w:w="733" w:type="dxa"/>
            <w:tcBorders>
              <w:top w:val="single" w:sz="8" w:space="0" w:color="000000"/>
              <w:left w:val="single" w:sz="8" w:space="0" w:color="000000"/>
              <w:bottom w:val="single" w:sz="8" w:space="0" w:color="000000"/>
              <w:right w:val="single" w:sz="8" w:space="0" w:color="000000"/>
            </w:tcBorders>
            <w:vAlign w:val="center"/>
            <w:hideMark/>
          </w:tcPr>
          <w:p w14:paraId="6D8F5A74"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1,00%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2F8E08A8"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15,00%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76EED9E3"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25,00%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4429D6E5"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30,00%</w:t>
            </w:r>
          </w:p>
        </w:tc>
        <w:tc>
          <w:tcPr>
            <w:tcW w:w="903" w:type="dxa"/>
            <w:tcBorders>
              <w:top w:val="single" w:sz="8" w:space="0" w:color="000000"/>
              <w:left w:val="single" w:sz="8" w:space="0" w:color="000000"/>
              <w:bottom w:val="single" w:sz="8" w:space="0" w:color="000000"/>
              <w:right w:val="single" w:sz="8" w:space="0" w:color="000000"/>
            </w:tcBorders>
            <w:vAlign w:val="center"/>
            <w:hideMark/>
          </w:tcPr>
          <w:p w14:paraId="1425EBBB"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80,00%</w:t>
            </w:r>
          </w:p>
        </w:tc>
        <w:tc>
          <w:tcPr>
            <w:tcW w:w="903" w:type="dxa"/>
            <w:tcBorders>
              <w:top w:val="single" w:sz="8" w:space="0" w:color="000000"/>
              <w:left w:val="single" w:sz="8" w:space="0" w:color="000000"/>
              <w:bottom w:val="single" w:sz="8" w:space="0" w:color="000000"/>
              <w:right w:val="single" w:sz="8" w:space="0" w:color="000000"/>
            </w:tcBorders>
            <w:vAlign w:val="center"/>
            <w:hideMark/>
          </w:tcPr>
          <w:p w14:paraId="0DD124ED"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85,00%</w:t>
            </w:r>
          </w:p>
        </w:tc>
        <w:tc>
          <w:tcPr>
            <w:tcW w:w="916" w:type="dxa"/>
            <w:tcBorders>
              <w:top w:val="single" w:sz="8" w:space="0" w:color="000000"/>
              <w:left w:val="single" w:sz="8" w:space="0" w:color="000000"/>
              <w:bottom w:val="single" w:sz="8" w:space="0" w:color="000000"/>
              <w:right w:val="single" w:sz="8" w:space="0" w:color="000000"/>
            </w:tcBorders>
            <w:vAlign w:val="center"/>
            <w:hideMark/>
          </w:tcPr>
          <w:p w14:paraId="2B825038"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100,00%</w:t>
            </w:r>
          </w:p>
        </w:tc>
        <w:tc>
          <w:tcPr>
            <w:tcW w:w="890" w:type="dxa"/>
            <w:tcBorders>
              <w:top w:val="single" w:sz="8" w:space="0" w:color="000000"/>
              <w:left w:val="single" w:sz="8" w:space="0" w:color="000000"/>
              <w:bottom w:val="single" w:sz="8" w:space="0" w:color="000000"/>
              <w:right w:val="single" w:sz="8" w:space="0" w:color="000000"/>
            </w:tcBorders>
            <w:vAlign w:val="center"/>
            <w:hideMark/>
          </w:tcPr>
          <w:p w14:paraId="414C500E"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100,00%</w:t>
            </w:r>
          </w:p>
        </w:tc>
      </w:tr>
      <w:tr w:rsidR="00576357" w:rsidRPr="00576357" w14:paraId="4E6E625E" w14:textId="77777777" w:rsidTr="00576357">
        <w:trPr>
          <w:jc w:val="center"/>
        </w:trPr>
        <w:tc>
          <w:tcPr>
            <w:tcW w:w="2117" w:type="dxa"/>
            <w:tcBorders>
              <w:top w:val="single" w:sz="8" w:space="0" w:color="000000"/>
              <w:left w:val="single" w:sz="8" w:space="0" w:color="000000"/>
              <w:bottom w:val="single" w:sz="8" w:space="0" w:color="000000"/>
              <w:right w:val="single" w:sz="8" w:space="0" w:color="000000"/>
            </w:tcBorders>
            <w:hideMark/>
          </w:tcPr>
          <w:p w14:paraId="7567FA0A" w14:textId="77777777" w:rsidR="00576357" w:rsidRPr="00576357" w:rsidRDefault="00576357" w:rsidP="00576357">
            <w:pPr>
              <w:spacing w:before="0" w:after="0" w:line="240" w:lineRule="auto"/>
              <w:jc w:val="left"/>
              <w:rPr>
                <w:rFonts w:ascii="Roboto" w:hAnsi="Roboto"/>
                <w:sz w:val="18"/>
                <w:szCs w:val="18"/>
                <w:lang w:val="en-US" w:eastAsia="es-ES"/>
              </w:rPr>
            </w:pPr>
            <w:r w:rsidRPr="00576357">
              <w:rPr>
                <w:rFonts w:ascii="Roboto" w:hAnsi="Roboto"/>
                <w:sz w:val="18"/>
                <w:szCs w:val="18"/>
                <w:lang w:val="es-CR" w:eastAsia="es-ES"/>
              </w:rPr>
              <w:t>Créditos Empresarial 1</w:t>
            </w:r>
          </w:p>
        </w:tc>
        <w:tc>
          <w:tcPr>
            <w:tcW w:w="733" w:type="dxa"/>
            <w:tcBorders>
              <w:top w:val="single" w:sz="8" w:space="0" w:color="000000"/>
              <w:left w:val="single" w:sz="8" w:space="0" w:color="000000"/>
              <w:bottom w:val="single" w:sz="8" w:space="0" w:color="000000"/>
              <w:right w:val="single" w:sz="8" w:space="0" w:color="000000"/>
            </w:tcBorders>
            <w:vAlign w:val="center"/>
            <w:hideMark/>
          </w:tcPr>
          <w:p w14:paraId="30F04F97"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5,00%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0E2A145F"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25,00%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7F5C430B"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70,00%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11850897"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85,00%</w:t>
            </w:r>
          </w:p>
        </w:tc>
        <w:tc>
          <w:tcPr>
            <w:tcW w:w="903" w:type="dxa"/>
            <w:tcBorders>
              <w:top w:val="single" w:sz="8" w:space="0" w:color="000000"/>
              <w:left w:val="single" w:sz="8" w:space="0" w:color="000000"/>
              <w:bottom w:val="single" w:sz="8" w:space="0" w:color="000000"/>
              <w:right w:val="single" w:sz="8" w:space="0" w:color="000000"/>
            </w:tcBorders>
            <w:vAlign w:val="center"/>
            <w:hideMark/>
          </w:tcPr>
          <w:p w14:paraId="37A74B9E"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100,00%</w:t>
            </w:r>
          </w:p>
        </w:tc>
        <w:tc>
          <w:tcPr>
            <w:tcW w:w="903" w:type="dxa"/>
            <w:tcBorders>
              <w:top w:val="single" w:sz="8" w:space="0" w:color="000000"/>
              <w:left w:val="single" w:sz="8" w:space="0" w:color="000000"/>
              <w:bottom w:val="single" w:sz="8" w:space="0" w:color="000000"/>
              <w:right w:val="single" w:sz="8" w:space="0" w:color="000000"/>
            </w:tcBorders>
            <w:vAlign w:val="center"/>
            <w:hideMark/>
          </w:tcPr>
          <w:p w14:paraId="280CC02C"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100,00%</w:t>
            </w:r>
          </w:p>
        </w:tc>
        <w:tc>
          <w:tcPr>
            <w:tcW w:w="916" w:type="dxa"/>
            <w:tcBorders>
              <w:top w:val="single" w:sz="8" w:space="0" w:color="000000"/>
              <w:left w:val="single" w:sz="8" w:space="0" w:color="000000"/>
              <w:bottom w:val="single" w:sz="8" w:space="0" w:color="000000"/>
              <w:right w:val="single" w:sz="8" w:space="0" w:color="000000"/>
            </w:tcBorders>
            <w:vAlign w:val="center"/>
            <w:hideMark/>
          </w:tcPr>
          <w:p w14:paraId="0C350E50"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100,00%</w:t>
            </w:r>
          </w:p>
        </w:tc>
        <w:tc>
          <w:tcPr>
            <w:tcW w:w="890" w:type="dxa"/>
            <w:tcBorders>
              <w:top w:val="single" w:sz="8" w:space="0" w:color="000000"/>
              <w:left w:val="single" w:sz="8" w:space="0" w:color="000000"/>
              <w:bottom w:val="single" w:sz="8" w:space="0" w:color="000000"/>
              <w:right w:val="single" w:sz="8" w:space="0" w:color="000000"/>
            </w:tcBorders>
            <w:vAlign w:val="center"/>
            <w:hideMark/>
          </w:tcPr>
          <w:p w14:paraId="6A72BA9F"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100,00%</w:t>
            </w:r>
          </w:p>
        </w:tc>
      </w:tr>
      <w:tr w:rsidR="00576357" w:rsidRPr="00576357" w14:paraId="66642F40" w14:textId="77777777" w:rsidTr="00576357">
        <w:trPr>
          <w:jc w:val="center"/>
        </w:trPr>
        <w:tc>
          <w:tcPr>
            <w:tcW w:w="2117" w:type="dxa"/>
            <w:tcBorders>
              <w:top w:val="single" w:sz="8" w:space="0" w:color="000000"/>
              <w:left w:val="single" w:sz="8" w:space="0" w:color="000000"/>
              <w:bottom w:val="single" w:sz="8" w:space="0" w:color="000000"/>
              <w:right w:val="single" w:sz="8" w:space="0" w:color="000000"/>
            </w:tcBorders>
            <w:hideMark/>
          </w:tcPr>
          <w:p w14:paraId="7BC08C9B" w14:textId="77777777" w:rsidR="00576357" w:rsidRPr="00576357" w:rsidRDefault="00576357" w:rsidP="00576357">
            <w:pPr>
              <w:spacing w:before="0" w:after="0" w:line="240" w:lineRule="auto"/>
              <w:jc w:val="left"/>
              <w:rPr>
                <w:rFonts w:ascii="Roboto" w:hAnsi="Roboto"/>
                <w:sz w:val="18"/>
                <w:szCs w:val="18"/>
                <w:lang w:val="en-US" w:eastAsia="es-ES"/>
              </w:rPr>
            </w:pPr>
            <w:r w:rsidRPr="00576357">
              <w:rPr>
                <w:rFonts w:ascii="Roboto" w:hAnsi="Roboto"/>
                <w:sz w:val="18"/>
                <w:szCs w:val="18"/>
                <w:lang w:val="es-CR" w:eastAsia="es-ES"/>
              </w:rPr>
              <w:t>Créditos Empresarial 2</w:t>
            </w:r>
          </w:p>
        </w:tc>
        <w:tc>
          <w:tcPr>
            <w:tcW w:w="733" w:type="dxa"/>
            <w:tcBorders>
              <w:top w:val="single" w:sz="8" w:space="0" w:color="000000"/>
              <w:left w:val="single" w:sz="8" w:space="0" w:color="000000"/>
              <w:bottom w:val="single" w:sz="8" w:space="0" w:color="000000"/>
              <w:right w:val="single" w:sz="8" w:space="0" w:color="000000"/>
            </w:tcBorders>
            <w:vAlign w:val="center"/>
            <w:hideMark/>
          </w:tcPr>
          <w:p w14:paraId="24DF1C0F"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3,50%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1E4427C5"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20,00%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37B66C83"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30,00%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6C6D9D0D"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40,00%</w:t>
            </w:r>
          </w:p>
        </w:tc>
        <w:tc>
          <w:tcPr>
            <w:tcW w:w="903" w:type="dxa"/>
            <w:tcBorders>
              <w:top w:val="single" w:sz="8" w:space="0" w:color="000000"/>
              <w:left w:val="single" w:sz="8" w:space="0" w:color="000000"/>
              <w:bottom w:val="single" w:sz="8" w:space="0" w:color="000000"/>
              <w:right w:val="single" w:sz="8" w:space="0" w:color="000000"/>
            </w:tcBorders>
            <w:vAlign w:val="center"/>
            <w:hideMark/>
          </w:tcPr>
          <w:p w14:paraId="442EF628"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90,00%</w:t>
            </w:r>
          </w:p>
        </w:tc>
        <w:tc>
          <w:tcPr>
            <w:tcW w:w="903" w:type="dxa"/>
            <w:tcBorders>
              <w:top w:val="single" w:sz="8" w:space="0" w:color="000000"/>
              <w:left w:val="single" w:sz="8" w:space="0" w:color="000000"/>
              <w:bottom w:val="single" w:sz="8" w:space="0" w:color="000000"/>
              <w:right w:val="single" w:sz="8" w:space="0" w:color="000000"/>
            </w:tcBorders>
            <w:vAlign w:val="center"/>
            <w:hideMark/>
          </w:tcPr>
          <w:p w14:paraId="58A62EE0"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90,00%</w:t>
            </w:r>
          </w:p>
        </w:tc>
        <w:tc>
          <w:tcPr>
            <w:tcW w:w="916" w:type="dxa"/>
            <w:tcBorders>
              <w:top w:val="single" w:sz="8" w:space="0" w:color="000000"/>
              <w:left w:val="single" w:sz="8" w:space="0" w:color="000000"/>
              <w:bottom w:val="single" w:sz="8" w:space="0" w:color="000000"/>
              <w:right w:val="single" w:sz="8" w:space="0" w:color="000000"/>
            </w:tcBorders>
            <w:vAlign w:val="center"/>
            <w:hideMark/>
          </w:tcPr>
          <w:p w14:paraId="7A61391D"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100,00%</w:t>
            </w:r>
          </w:p>
        </w:tc>
        <w:tc>
          <w:tcPr>
            <w:tcW w:w="890" w:type="dxa"/>
            <w:tcBorders>
              <w:top w:val="single" w:sz="8" w:space="0" w:color="000000"/>
              <w:left w:val="single" w:sz="8" w:space="0" w:color="000000"/>
              <w:bottom w:val="single" w:sz="8" w:space="0" w:color="000000"/>
              <w:right w:val="single" w:sz="8" w:space="0" w:color="000000"/>
            </w:tcBorders>
            <w:vAlign w:val="center"/>
            <w:hideMark/>
          </w:tcPr>
          <w:p w14:paraId="7ED90365"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100,00%</w:t>
            </w:r>
          </w:p>
        </w:tc>
      </w:tr>
      <w:tr w:rsidR="00576357" w:rsidRPr="00576357" w14:paraId="770BD65D" w14:textId="77777777" w:rsidTr="00576357">
        <w:trPr>
          <w:jc w:val="center"/>
        </w:trPr>
        <w:tc>
          <w:tcPr>
            <w:tcW w:w="2117" w:type="dxa"/>
            <w:tcBorders>
              <w:top w:val="single" w:sz="8" w:space="0" w:color="000000"/>
              <w:left w:val="single" w:sz="8" w:space="0" w:color="000000"/>
              <w:bottom w:val="single" w:sz="8" w:space="0" w:color="000000"/>
              <w:right w:val="single" w:sz="8" w:space="0" w:color="000000"/>
            </w:tcBorders>
            <w:hideMark/>
          </w:tcPr>
          <w:p w14:paraId="2C75AA4E" w14:textId="77777777" w:rsidR="00576357" w:rsidRPr="00576357" w:rsidRDefault="00576357" w:rsidP="00576357">
            <w:pPr>
              <w:spacing w:line="240" w:lineRule="auto"/>
              <w:jc w:val="left"/>
              <w:rPr>
                <w:rFonts w:ascii="Roboto" w:hAnsi="Roboto"/>
                <w:sz w:val="18"/>
                <w:szCs w:val="18"/>
                <w:lang w:val="en-US" w:eastAsia="es-ES"/>
              </w:rPr>
            </w:pPr>
            <w:r w:rsidRPr="00576357">
              <w:rPr>
                <w:rFonts w:ascii="Roboto" w:hAnsi="Roboto"/>
                <w:sz w:val="18"/>
                <w:szCs w:val="18"/>
                <w:lang w:val="es-CR" w:eastAsia="es-ES"/>
              </w:rPr>
              <w:t>Créditos Empresarial 3</w:t>
            </w:r>
          </w:p>
        </w:tc>
        <w:tc>
          <w:tcPr>
            <w:tcW w:w="733" w:type="dxa"/>
            <w:tcBorders>
              <w:top w:val="single" w:sz="8" w:space="0" w:color="000000"/>
              <w:left w:val="single" w:sz="8" w:space="0" w:color="000000"/>
              <w:bottom w:val="single" w:sz="8" w:space="0" w:color="000000"/>
              <w:right w:val="single" w:sz="8" w:space="0" w:color="000000"/>
            </w:tcBorders>
            <w:vAlign w:val="center"/>
            <w:hideMark/>
          </w:tcPr>
          <w:p w14:paraId="39133612" w14:textId="77777777" w:rsidR="00576357" w:rsidRPr="00576357" w:rsidRDefault="00576357" w:rsidP="00576357">
            <w:pPr>
              <w:spacing w:line="240" w:lineRule="auto"/>
              <w:jc w:val="center"/>
              <w:rPr>
                <w:rFonts w:ascii="Roboto" w:hAnsi="Roboto"/>
                <w:sz w:val="18"/>
                <w:szCs w:val="18"/>
                <w:lang w:val="en-US" w:eastAsia="es-ES"/>
              </w:rPr>
            </w:pPr>
            <w:r w:rsidRPr="00576357">
              <w:rPr>
                <w:rFonts w:ascii="Roboto" w:hAnsi="Roboto"/>
                <w:sz w:val="18"/>
                <w:szCs w:val="18"/>
                <w:lang w:val="en-US" w:eastAsia="es-ES"/>
              </w:rPr>
              <w:t>3,00%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310E322C" w14:textId="77777777" w:rsidR="00576357" w:rsidRPr="00576357" w:rsidRDefault="00576357" w:rsidP="00576357">
            <w:pPr>
              <w:spacing w:line="240" w:lineRule="auto"/>
              <w:jc w:val="center"/>
              <w:rPr>
                <w:rFonts w:ascii="Roboto" w:hAnsi="Roboto"/>
                <w:sz w:val="18"/>
                <w:szCs w:val="18"/>
                <w:lang w:val="en-US" w:eastAsia="es-ES"/>
              </w:rPr>
            </w:pPr>
            <w:r w:rsidRPr="00576357">
              <w:rPr>
                <w:rFonts w:ascii="Roboto" w:hAnsi="Roboto"/>
                <w:sz w:val="18"/>
                <w:szCs w:val="18"/>
                <w:lang w:val="en-US" w:eastAsia="es-ES"/>
              </w:rPr>
              <w:t>30,00%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08A78F77" w14:textId="77777777" w:rsidR="00576357" w:rsidRPr="00576357" w:rsidRDefault="00576357" w:rsidP="00576357">
            <w:pPr>
              <w:spacing w:line="240" w:lineRule="auto"/>
              <w:jc w:val="center"/>
              <w:rPr>
                <w:rFonts w:ascii="Roboto" w:hAnsi="Roboto"/>
                <w:sz w:val="18"/>
                <w:szCs w:val="18"/>
                <w:lang w:val="en-US" w:eastAsia="es-ES"/>
              </w:rPr>
            </w:pPr>
            <w:r w:rsidRPr="00576357">
              <w:rPr>
                <w:rFonts w:ascii="Roboto" w:hAnsi="Roboto"/>
                <w:sz w:val="18"/>
                <w:szCs w:val="18"/>
                <w:lang w:val="en-US" w:eastAsia="es-ES"/>
              </w:rPr>
              <w:t>55,00%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1F3774AA" w14:textId="77777777" w:rsidR="00576357" w:rsidRPr="00576357" w:rsidRDefault="00576357" w:rsidP="00576357">
            <w:pPr>
              <w:spacing w:line="240" w:lineRule="auto"/>
              <w:jc w:val="center"/>
              <w:rPr>
                <w:rFonts w:ascii="Roboto" w:hAnsi="Roboto"/>
                <w:sz w:val="18"/>
                <w:szCs w:val="18"/>
                <w:lang w:val="en-US" w:eastAsia="es-ES"/>
              </w:rPr>
            </w:pPr>
            <w:r w:rsidRPr="00576357">
              <w:rPr>
                <w:rFonts w:ascii="Roboto" w:hAnsi="Roboto"/>
                <w:sz w:val="18"/>
                <w:szCs w:val="18"/>
                <w:lang w:val="en-US" w:eastAsia="es-ES"/>
              </w:rPr>
              <w:t>70,00%</w:t>
            </w:r>
          </w:p>
        </w:tc>
        <w:tc>
          <w:tcPr>
            <w:tcW w:w="903" w:type="dxa"/>
            <w:tcBorders>
              <w:top w:val="single" w:sz="8" w:space="0" w:color="000000"/>
              <w:left w:val="single" w:sz="8" w:space="0" w:color="000000"/>
              <w:bottom w:val="single" w:sz="8" w:space="0" w:color="000000"/>
              <w:right w:val="single" w:sz="8" w:space="0" w:color="000000"/>
            </w:tcBorders>
            <w:vAlign w:val="center"/>
            <w:hideMark/>
          </w:tcPr>
          <w:p w14:paraId="2D836C95" w14:textId="77777777" w:rsidR="00576357" w:rsidRPr="00576357" w:rsidRDefault="00576357" w:rsidP="00576357">
            <w:pPr>
              <w:spacing w:line="240" w:lineRule="auto"/>
              <w:jc w:val="center"/>
              <w:rPr>
                <w:rFonts w:ascii="Roboto" w:hAnsi="Roboto"/>
                <w:sz w:val="18"/>
                <w:szCs w:val="18"/>
                <w:lang w:val="en-US" w:eastAsia="es-ES"/>
              </w:rPr>
            </w:pPr>
            <w:r w:rsidRPr="00576357">
              <w:rPr>
                <w:rFonts w:ascii="Roboto" w:hAnsi="Roboto"/>
                <w:sz w:val="18"/>
                <w:szCs w:val="18"/>
                <w:lang w:val="en-US" w:eastAsia="es-ES"/>
              </w:rPr>
              <w:t>80,00%</w:t>
            </w:r>
          </w:p>
        </w:tc>
        <w:tc>
          <w:tcPr>
            <w:tcW w:w="903" w:type="dxa"/>
            <w:tcBorders>
              <w:top w:val="single" w:sz="8" w:space="0" w:color="000000"/>
              <w:left w:val="single" w:sz="8" w:space="0" w:color="000000"/>
              <w:bottom w:val="single" w:sz="8" w:space="0" w:color="000000"/>
              <w:right w:val="single" w:sz="8" w:space="0" w:color="000000"/>
            </w:tcBorders>
            <w:vAlign w:val="center"/>
            <w:hideMark/>
          </w:tcPr>
          <w:p w14:paraId="25E96D44" w14:textId="77777777" w:rsidR="00576357" w:rsidRPr="00576357" w:rsidRDefault="00576357" w:rsidP="00576357">
            <w:pPr>
              <w:spacing w:line="240" w:lineRule="auto"/>
              <w:jc w:val="center"/>
              <w:rPr>
                <w:rFonts w:ascii="Roboto" w:hAnsi="Roboto"/>
                <w:sz w:val="18"/>
                <w:szCs w:val="18"/>
                <w:lang w:val="en-US" w:eastAsia="es-ES"/>
              </w:rPr>
            </w:pPr>
            <w:r w:rsidRPr="00576357">
              <w:rPr>
                <w:rFonts w:ascii="Roboto" w:hAnsi="Roboto"/>
                <w:sz w:val="18"/>
                <w:szCs w:val="18"/>
                <w:lang w:val="en-US" w:eastAsia="es-ES"/>
              </w:rPr>
              <w:t>90,00%</w:t>
            </w:r>
          </w:p>
        </w:tc>
        <w:tc>
          <w:tcPr>
            <w:tcW w:w="916" w:type="dxa"/>
            <w:tcBorders>
              <w:top w:val="single" w:sz="8" w:space="0" w:color="000000"/>
              <w:left w:val="single" w:sz="8" w:space="0" w:color="000000"/>
              <w:bottom w:val="single" w:sz="8" w:space="0" w:color="000000"/>
              <w:right w:val="single" w:sz="8" w:space="0" w:color="000000"/>
            </w:tcBorders>
            <w:vAlign w:val="center"/>
            <w:hideMark/>
          </w:tcPr>
          <w:p w14:paraId="07119B14" w14:textId="77777777" w:rsidR="00576357" w:rsidRPr="00576357" w:rsidRDefault="00576357" w:rsidP="00576357">
            <w:pPr>
              <w:spacing w:line="240" w:lineRule="auto"/>
              <w:jc w:val="center"/>
              <w:rPr>
                <w:rFonts w:ascii="Roboto" w:hAnsi="Roboto"/>
                <w:sz w:val="18"/>
                <w:szCs w:val="18"/>
                <w:lang w:val="en-US" w:eastAsia="es-ES"/>
              </w:rPr>
            </w:pPr>
            <w:r w:rsidRPr="00576357">
              <w:rPr>
                <w:rFonts w:ascii="Roboto" w:hAnsi="Roboto"/>
                <w:sz w:val="18"/>
                <w:szCs w:val="18"/>
                <w:lang w:val="en-US" w:eastAsia="es-ES"/>
              </w:rPr>
              <w:t>100,00%</w:t>
            </w:r>
          </w:p>
        </w:tc>
        <w:tc>
          <w:tcPr>
            <w:tcW w:w="890" w:type="dxa"/>
            <w:tcBorders>
              <w:top w:val="single" w:sz="8" w:space="0" w:color="000000"/>
              <w:left w:val="single" w:sz="8" w:space="0" w:color="000000"/>
              <w:bottom w:val="single" w:sz="8" w:space="0" w:color="000000"/>
              <w:right w:val="single" w:sz="8" w:space="0" w:color="000000"/>
            </w:tcBorders>
            <w:vAlign w:val="center"/>
            <w:hideMark/>
          </w:tcPr>
          <w:p w14:paraId="49770BC8" w14:textId="77777777" w:rsidR="00576357" w:rsidRPr="00576357" w:rsidRDefault="00576357" w:rsidP="00576357">
            <w:pPr>
              <w:spacing w:line="240" w:lineRule="auto"/>
              <w:jc w:val="center"/>
              <w:rPr>
                <w:rFonts w:ascii="Roboto" w:hAnsi="Roboto"/>
                <w:sz w:val="18"/>
                <w:szCs w:val="18"/>
                <w:lang w:val="en-US" w:eastAsia="es-ES"/>
              </w:rPr>
            </w:pPr>
            <w:r w:rsidRPr="00576357">
              <w:rPr>
                <w:rFonts w:ascii="Roboto" w:hAnsi="Roboto"/>
                <w:sz w:val="18"/>
                <w:szCs w:val="18"/>
                <w:lang w:val="en-US" w:eastAsia="es-ES"/>
              </w:rPr>
              <w:t>100,00%</w:t>
            </w:r>
          </w:p>
        </w:tc>
      </w:tr>
    </w:tbl>
    <w:p w14:paraId="6A9866AD" w14:textId="77777777" w:rsidR="00576357" w:rsidRPr="00576357" w:rsidRDefault="00576357" w:rsidP="00576357">
      <w:pPr>
        <w:spacing w:line="240" w:lineRule="auto"/>
        <w:rPr>
          <w:lang w:val="es-CR" w:eastAsia="es-ES"/>
        </w:rPr>
      </w:pPr>
    </w:p>
    <w:p w14:paraId="3D1D4532" w14:textId="77777777" w:rsidR="009C192E" w:rsidRDefault="009C192E" w:rsidP="00681541">
      <w:pPr>
        <w:pStyle w:val="Ttulo2"/>
        <w:numPr>
          <w:ilvl w:val="0"/>
          <w:numId w:val="48"/>
        </w:numPr>
        <w:spacing w:before="240"/>
        <w:ind w:left="567" w:hanging="578"/>
        <w:rPr>
          <w:rFonts w:asciiTheme="majorHAnsi" w:hAnsiTheme="majorHAnsi" w:cstheme="majorHAnsi"/>
          <w:sz w:val="23"/>
          <w:szCs w:val="23"/>
        </w:rPr>
      </w:pPr>
      <w:bookmarkStart w:id="53" w:name="_Toc227326047"/>
      <w:r w:rsidRPr="00576357">
        <w:rPr>
          <w:rFonts w:asciiTheme="majorHAnsi" w:hAnsiTheme="majorHAnsi" w:cstheme="majorHAnsi"/>
          <w:sz w:val="23"/>
          <w:szCs w:val="23"/>
        </w:rPr>
        <w:t>Riesgo medio-alto</w:t>
      </w:r>
      <w:bookmarkEnd w:id="53"/>
    </w:p>
    <w:tbl>
      <w:tblPr>
        <w:tblW w:w="910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117"/>
        <w:gridCol w:w="733"/>
        <w:gridCol w:w="880"/>
        <w:gridCol w:w="880"/>
        <w:gridCol w:w="880"/>
        <w:gridCol w:w="903"/>
        <w:gridCol w:w="903"/>
        <w:gridCol w:w="916"/>
        <w:gridCol w:w="890"/>
      </w:tblGrid>
      <w:tr w:rsidR="00576357" w:rsidRPr="00576357" w14:paraId="2A40C8CF" w14:textId="77777777" w:rsidTr="00576357">
        <w:trPr>
          <w:jc w:val="center"/>
        </w:trPr>
        <w:tc>
          <w:tcPr>
            <w:tcW w:w="2117" w:type="dxa"/>
            <w:tcBorders>
              <w:top w:val="single" w:sz="8" w:space="0" w:color="000000"/>
              <w:left w:val="single" w:sz="8" w:space="0" w:color="000000"/>
              <w:bottom w:val="single" w:sz="8" w:space="0" w:color="000000"/>
              <w:right w:val="single" w:sz="8" w:space="0" w:color="000000"/>
            </w:tcBorders>
            <w:shd w:val="clear" w:color="auto" w:fill="153D63"/>
            <w:hideMark/>
          </w:tcPr>
          <w:p w14:paraId="340F9DF0"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b/>
                <w:sz w:val="18"/>
                <w:szCs w:val="18"/>
                <w:lang w:val="en-US" w:eastAsia="es-ES"/>
              </w:rPr>
              <w:t>Riesgo alto</w:t>
            </w:r>
          </w:p>
        </w:tc>
        <w:tc>
          <w:tcPr>
            <w:tcW w:w="733" w:type="dxa"/>
            <w:tcBorders>
              <w:top w:val="single" w:sz="8" w:space="0" w:color="000000"/>
              <w:left w:val="single" w:sz="8" w:space="0" w:color="000000"/>
              <w:bottom w:val="single" w:sz="8" w:space="0" w:color="000000"/>
              <w:right w:val="single" w:sz="8" w:space="0" w:color="000000"/>
            </w:tcBorders>
            <w:shd w:val="clear" w:color="auto" w:fill="153D63"/>
            <w:hideMark/>
          </w:tcPr>
          <w:p w14:paraId="562AD647"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b/>
                <w:sz w:val="18"/>
                <w:szCs w:val="18"/>
                <w:lang w:val="en-US" w:eastAsia="es-ES"/>
              </w:rPr>
              <w:t>1</w:t>
            </w:r>
          </w:p>
        </w:tc>
        <w:tc>
          <w:tcPr>
            <w:tcW w:w="880" w:type="dxa"/>
            <w:tcBorders>
              <w:top w:val="single" w:sz="8" w:space="0" w:color="000000"/>
              <w:left w:val="single" w:sz="8" w:space="0" w:color="000000"/>
              <w:bottom w:val="single" w:sz="8" w:space="0" w:color="000000"/>
              <w:right w:val="single" w:sz="8" w:space="0" w:color="000000"/>
            </w:tcBorders>
            <w:shd w:val="clear" w:color="auto" w:fill="153D63"/>
            <w:hideMark/>
          </w:tcPr>
          <w:p w14:paraId="446B56AE"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b/>
                <w:sz w:val="18"/>
                <w:szCs w:val="18"/>
                <w:lang w:val="en-US" w:eastAsia="es-ES"/>
              </w:rPr>
              <w:t>2</w:t>
            </w:r>
          </w:p>
        </w:tc>
        <w:tc>
          <w:tcPr>
            <w:tcW w:w="880" w:type="dxa"/>
            <w:tcBorders>
              <w:top w:val="single" w:sz="8" w:space="0" w:color="000000"/>
              <w:left w:val="single" w:sz="8" w:space="0" w:color="000000"/>
              <w:bottom w:val="single" w:sz="8" w:space="0" w:color="000000"/>
              <w:right w:val="single" w:sz="8" w:space="0" w:color="000000"/>
            </w:tcBorders>
            <w:shd w:val="clear" w:color="auto" w:fill="153D63"/>
            <w:hideMark/>
          </w:tcPr>
          <w:p w14:paraId="64E938D6"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b/>
                <w:sz w:val="18"/>
                <w:szCs w:val="18"/>
                <w:lang w:val="en-US" w:eastAsia="es-ES"/>
              </w:rPr>
              <w:t>3</w:t>
            </w:r>
          </w:p>
        </w:tc>
        <w:tc>
          <w:tcPr>
            <w:tcW w:w="880" w:type="dxa"/>
            <w:tcBorders>
              <w:top w:val="single" w:sz="8" w:space="0" w:color="000000"/>
              <w:left w:val="single" w:sz="8" w:space="0" w:color="000000"/>
              <w:bottom w:val="single" w:sz="8" w:space="0" w:color="000000"/>
              <w:right w:val="single" w:sz="8" w:space="0" w:color="000000"/>
            </w:tcBorders>
            <w:shd w:val="clear" w:color="auto" w:fill="153D63"/>
            <w:hideMark/>
          </w:tcPr>
          <w:p w14:paraId="62364B99"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b/>
                <w:sz w:val="18"/>
                <w:szCs w:val="18"/>
                <w:lang w:val="en-US" w:eastAsia="es-ES"/>
              </w:rPr>
              <w:t>4</w:t>
            </w:r>
          </w:p>
        </w:tc>
        <w:tc>
          <w:tcPr>
            <w:tcW w:w="903" w:type="dxa"/>
            <w:tcBorders>
              <w:top w:val="single" w:sz="8" w:space="0" w:color="000000"/>
              <w:left w:val="single" w:sz="8" w:space="0" w:color="000000"/>
              <w:bottom w:val="single" w:sz="8" w:space="0" w:color="000000"/>
              <w:right w:val="single" w:sz="8" w:space="0" w:color="000000"/>
            </w:tcBorders>
            <w:shd w:val="clear" w:color="auto" w:fill="153D63"/>
            <w:hideMark/>
          </w:tcPr>
          <w:p w14:paraId="57FF0EF6"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b/>
                <w:sz w:val="18"/>
                <w:szCs w:val="18"/>
                <w:lang w:val="en-US" w:eastAsia="es-ES"/>
              </w:rPr>
              <w:t>5</w:t>
            </w:r>
          </w:p>
        </w:tc>
        <w:tc>
          <w:tcPr>
            <w:tcW w:w="903" w:type="dxa"/>
            <w:tcBorders>
              <w:top w:val="single" w:sz="8" w:space="0" w:color="000000"/>
              <w:left w:val="single" w:sz="8" w:space="0" w:color="000000"/>
              <w:bottom w:val="single" w:sz="8" w:space="0" w:color="000000"/>
              <w:right w:val="single" w:sz="8" w:space="0" w:color="000000"/>
            </w:tcBorders>
            <w:shd w:val="clear" w:color="auto" w:fill="153D63"/>
            <w:hideMark/>
          </w:tcPr>
          <w:p w14:paraId="6EEDE029"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b/>
                <w:sz w:val="18"/>
                <w:szCs w:val="18"/>
                <w:lang w:val="en-US" w:eastAsia="es-ES"/>
              </w:rPr>
              <w:t>6</w:t>
            </w:r>
          </w:p>
        </w:tc>
        <w:tc>
          <w:tcPr>
            <w:tcW w:w="916" w:type="dxa"/>
            <w:tcBorders>
              <w:top w:val="single" w:sz="8" w:space="0" w:color="000000"/>
              <w:left w:val="single" w:sz="8" w:space="0" w:color="000000"/>
              <w:bottom w:val="single" w:sz="8" w:space="0" w:color="000000"/>
              <w:right w:val="single" w:sz="8" w:space="0" w:color="000000"/>
            </w:tcBorders>
            <w:shd w:val="clear" w:color="auto" w:fill="153D63"/>
            <w:hideMark/>
          </w:tcPr>
          <w:p w14:paraId="36BD7B35"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b/>
                <w:sz w:val="18"/>
                <w:szCs w:val="18"/>
                <w:lang w:val="en-US" w:eastAsia="es-ES"/>
              </w:rPr>
              <w:t>7</w:t>
            </w:r>
          </w:p>
        </w:tc>
        <w:tc>
          <w:tcPr>
            <w:tcW w:w="890" w:type="dxa"/>
            <w:tcBorders>
              <w:top w:val="single" w:sz="8" w:space="0" w:color="000000"/>
              <w:left w:val="single" w:sz="8" w:space="0" w:color="000000"/>
              <w:bottom w:val="single" w:sz="8" w:space="0" w:color="000000"/>
              <w:right w:val="single" w:sz="8" w:space="0" w:color="000000"/>
            </w:tcBorders>
            <w:shd w:val="clear" w:color="auto" w:fill="153D63"/>
            <w:hideMark/>
          </w:tcPr>
          <w:p w14:paraId="1E2C72E7"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b/>
                <w:sz w:val="18"/>
                <w:szCs w:val="18"/>
                <w:lang w:val="en-US" w:eastAsia="es-ES"/>
              </w:rPr>
              <w:t>8</w:t>
            </w:r>
          </w:p>
        </w:tc>
      </w:tr>
      <w:tr w:rsidR="00576357" w:rsidRPr="00576357" w14:paraId="02F0425E" w14:textId="77777777" w:rsidTr="00576357">
        <w:trPr>
          <w:jc w:val="center"/>
        </w:trPr>
        <w:tc>
          <w:tcPr>
            <w:tcW w:w="2117" w:type="dxa"/>
            <w:tcBorders>
              <w:top w:val="single" w:sz="8" w:space="0" w:color="000000"/>
              <w:left w:val="single" w:sz="8" w:space="0" w:color="000000"/>
              <w:bottom w:val="single" w:sz="8" w:space="0" w:color="000000"/>
              <w:right w:val="single" w:sz="8" w:space="0" w:color="000000"/>
            </w:tcBorders>
            <w:hideMark/>
          </w:tcPr>
          <w:p w14:paraId="12646C38" w14:textId="77777777" w:rsidR="00576357" w:rsidRPr="00576357" w:rsidRDefault="00576357" w:rsidP="00576357">
            <w:pPr>
              <w:spacing w:before="0" w:after="0" w:line="240" w:lineRule="auto"/>
              <w:jc w:val="left"/>
              <w:rPr>
                <w:rFonts w:ascii="Roboto" w:hAnsi="Roboto"/>
                <w:sz w:val="18"/>
                <w:szCs w:val="18"/>
                <w:lang w:val="es-CR" w:eastAsia="es-ES"/>
              </w:rPr>
            </w:pPr>
            <w:r w:rsidRPr="00576357">
              <w:rPr>
                <w:rFonts w:ascii="Roboto" w:hAnsi="Roboto"/>
                <w:sz w:val="18"/>
                <w:szCs w:val="18"/>
                <w:lang w:val="es-CR" w:eastAsia="es-ES"/>
              </w:rPr>
              <w:t xml:space="preserve">Créditos </w:t>
            </w:r>
            <w:proofErr w:type="spellStart"/>
            <w:r w:rsidRPr="00576357">
              <w:rPr>
                <w:rFonts w:ascii="Roboto" w:hAnsi="Roboto"/>
                <w:sz w:val="18"/>
                <w:szCs w:val="18"/>
                <w:lang w:val="es-CR" w:eastAsia="es-ES"/>
              </w:rPr>
              <w:t>revolutivos</w:t>
            </w:r>
            <w:proofErr w:type="spellEnd"/>
            <w:r w:rsidRPr="00576357">
              <w:rPr>
                <w:rFonts w:ascii="Roboto" w:hAnsi="Roboto"/>
                <w:sz w:val="18"/>
                <w:szCs w:val="18"/>
                <w:lang w:val="es-CR" w:eastAsia="es-ES"/>
              </w:rPr>
              <w:t xml:space="preserve"> de consumo </w:t>
            </w:r>
          </w:p>
        </w:tc>
        <w:tc>
          <w:tcPr>
            <w:tcW w:w="733" w:type="dxa"/>
            <w:tcBorders>
              <w:top w:val="single" w:sz="8" w:space="0" w:color="000000"/>
              <w:left w:val="single" w:sz="8" w:space="0" w:color="000000"/>
              <w:bottom w:val="single" w:sz="8" w:space="0" w:color="000000"/>
              <w:right w:val="single" w:sz="8" w:space="0" w:color="000000"/>
            </w:tcBorders>
            <w:vAlign w:val="center"/>
            <w:hideMark/>
          </w:tcPr>
          <w:p w14:paraId="31984A9B"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7,50%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3A72E0DE"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50,00%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64298634"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60,00%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280E65C3"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70,00%</w:t>
            </w:r>
          </w:p>
        </w:tc>
        <w:tc>
          <w:tcPr>
            <w:tcW w:w="903" w:type="dxa"/>
            <w:tcBorders>
              <w:top w:val="single" w:sz="8" w:space="0" w:color="000000"/>
              <w:left w:val="single" w:sz="8" w:space="0" w:color="000000"/>
              <w:bottom w:val="single" w:sz="8" w:space="0" w:color="000000"/>
              <w:right w:val="single" w:sz="8" w:space="0" w:color="000000"/>
            </w:tcBorders>
            <w:vAlign w:val="center"/>
            <w:hideMark/>
          </w:tcPr>
          <w:p w14:paraId="4B62C0C2"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90,00%</w:t>
            </w:r>
          </w:p>
        </w:tc>
        <w:tc>
          <w:tcPr>
            <w:tcW w:w="903" w:type="dxa"/>
            <w:tcBorders>
              <w:top w:val="single" w:sz="8" w:space="0" w:color="000000"/>
              <w:left w:val="single" w:sz="8" w:space="0" w:color="000000"/>
              <w:bottom w:val="single" w:sz="8" w:space="0" w:color="000000"/>
              <w:right w:val="single" w:sz="8" w:space="0" w:color="000000"/>
            </w:tcBorders>
            <w:vAlign w:val="center"/>
            <w:hideMark/>
          </w:tcPr>
          <w:p w14:paraId="2689A0EE"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100,00%</w:t>
            </w:r>
          </w:p>
        </w:tc>
        <w:tc>
          <w:tcPr>
            <w:tcW w:w="916" w:type="dxa"/>
            <w:tcBorders>
              <w:top w:val="single" w:sz="8" w:space="0" w:color="000000"/>
              <w:left w:val="single" w:sz="8" w:space="0" w:color="000000"/>
              <w:bottom w:val="single" w:sz="8" w:space="0" w:color="000000"/>
              <w:right w:val="single" w:sz="8" w:space="0" w:color="000000"/>
            </w:tcBorders>
            <w:vAlign w:val="center"/>
            <w:hideMark/>
          </w:tcPr>
          <w:p w14:paraId="08EF84C2"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100,00%</w:t>
            </w:r>
          </w:p>
        </w:tc>
        <w:tc>
          <w:tcPr>
            <w:tcW w:w="890" w:type="dxa"/>
            <w:tcBorders>
              <w:top w:val="single" w:sz="8" w:space="0" w:color="000000"/>
              <w:left w:val="single" w:sz="8" w:space="0" w:color="000000"/>
              <w:bottom w:val="single" w:sz="8" w:space="0" w:color="000000"/>
              <w:right w:val="single" w:sz="8" w:space="0" w:color="000000"/>
            </w:tcBorders>
            <w:vAlign w:val="center"/>
            <w:hideMark/>
          </w:tcPr>
          <w:p w14:paraId="67C4C617"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100,00%</w:t>
            </w:r>
          </w:p>
        </w:tc>
      </w:tr>
      <w:tr w:rsidR="00576357" w:rsidRPr="00576357" w14:paraId="18C1E48F" w14:textId="77777777" w:rsidTr="00576357">
        <w:trPr>
          <w:jc w:val="center"/>
        </w:trPr>
        <w:tc>
          <w:tcPr>
            <w:tcW w:w="2117" w:type="dxa"/>
            <w:tcBorders>
              <w:top w:val="single" w:sz="8" w:space="0" w:color="000000"/>
              <w:left w:val="single" w:sz="8" w:space="0" w:color="000000"/>
              <w:bottom w:val="single" w:sz="8" w:space="0" w:color="000000"/>
              <w:right w:val="single" w:sz="8" w:space="0" w:color="000000"/>
            </w:tcBorders>
            <w:hideMark/>
          </w:tcPr>
          <w:p w14:paraId="562EB3BD" w14:textId="77777777" w:rsidR="00576357" w:rsidRPr="00576357" w:rsidRDefault="00576357" w:rsidP="00576357">
            <w:pPr>
              <w:spacing w:before="0" w:after="0" w:line="240" w:lineRule="auto"/>
              <w:jc w:val="left"/>
              <w:rPr>
                <w:rFonts w:ascii="Roboto" w:hAnsi="Roboto"/>
                <w:sz w:val="18"/>
                <w:szCs w:val="18"/>
                <w:lang w:val="en-US" w:eastAsia="es-ES"/>
              </w:rPr>
            </w:pPr>
            <w:r w:rsidRPr="00576357">
              <w:rPr>
                <w:rFonts w:ascii="Roboto" w:hAnsi="Roboto"/>
                <w:sz w:val="18"/>
                <w:szCs w:val="18"/>
                <w:lang w:val="es-CR" w:eastAsia="es-ES"/>
              </w:rPr>
              <w:t>Préstamos de consumo</w:t>
            </w:r>
          </w:p>
        </w:tc>
        <w:tc>
          <w:tcPr>
            <w:tcW w:w="733" w:type="dxa"/>
            <w:tcBorders>
              <w:top w:val="single" w:sz="8" w:space="0" w:color="000000"/>
              <w:left w:val="single" w:sz="8" w:space="0" w:color="000000"/>
              <w:bottom w:val="single" w:sz="8" w:space="0" w:color="000000"/>
              <w:right w:val="single" w:sz="8" w:space="0" w:color="000000"/>
            </w:tcBorders>
            <w:vAlign w:val="center"/>
            <w:hideMark/>
          </w:tcPr>
          <w:p w14:paraId="58B23E37"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6,00%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4909ABAE"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25,00%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130C1B0A"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50,00%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52760687"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60,00%</w:t>
            </w:r>
          </w:p>
        </w:tc>
        <w:tc>
          <w:tcPr>
            <w:tcW w:w="903" w:type="dxa"/>
            <w:tcBorders>
              <w:top w:val="single" w:sz="8" w:space="0" w:color="000000"/>
              <w:left w:val="single" w:sz="8" w:space="0" w:color="000000"/>
              <w:bottom w:val="single" w:sz="8" w:space="0" w:color="000000"/>
              <w:right w:val="single" w:sz="8" w:space="0" w:color="000000"/>
            </w:tcBorders>
            <w:vAlign w:val="center"/>
            <w:hideMark/>
          </w:tcPr>
          <w:p w14:paraId="14E55637"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100,00%</w:t>
            </w:r>
          </w:p>
        </w:tc>
        <w:tc>
          <w:tcPr>
            <w:tcW w:w="903" w:type="dxa"/>
            <w:tcBorders>
              <w:top w:val="single" w:sz="8" w:space="0" w:color="000000"/>
              <w:left w:val="single" w:sz="8" w:space="0" w:color="000000"/>
              <w:bottom w:val="single" w:sz="8" w:space="0" w:color="000000"/>
              <w:right w:val="single" w:sz="8" w:space="0" w:color="000000"/>
            </w:tcBorders>
            <w:vAlign w:val="center"/>
            <w:hideMark/>
          </w:tcPr>
          <w:p w14:paraId="3D294868"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100,00%</w:t>
            </w:r>
          </w:p>
        </w:tc>
        <w:tc>
          <w:tcPr>
            <w:tcW w:w="916" w:type="dxa"/>
            <w:tcBorders>
              <w:top w:val="single" w:sz="8" w:space="0" w:color="000000"/>
              <w:left w:val="single" w:sz="8" w:space="0" w:color="000000"/>
              <w:bottom w:val="single" w:sz="8" w:space="0" w:color="000000"/>
              <w:right w:val="single" w:sz="8" w:space="0" w:color="000000"/>
            </w:tcBorders>
            <w:vAlign w:val="center"/>
            <w:hideMark/>
          </w:tcPr>
          <w:p w14:paraId="73CBA21B"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100,00%</w:t>
            </w:r>
          </w:p>
        </w:tc>
        <w:tc>
          <w:tcPr>
            <w:tcW w:w="890" w:type="dxa"/>
            <w:tcBorders>
              <w:top w:val="single" w:sz="8" w:space="0" w:color="000000"/>
              <w:left w:val="single" w:sz="8" w:space="0" w:color="000000"/>
              <w:bottom w:val="single" w:sz="8" w:space="0" w:color="000000"/>
              <w:right w:val="single" w:sz="8" w:space="0" w:color="000000"/>
            </w:tcBorders>
            <w:vAlign w:val="center"/>
            <w:hideMark/>
          </w:tcPr>
          <w:p w14:paraId="6616EE53"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100,00%</w:t>
            </w:r>
          </w:p>
        </w:tc>
      </w:tr>
      <w:tr w:rsidR="00576357" w:rsidRPr="00576357" w14:paraId="380DAEF6" w14:textId="77777777" w:rsidTr="00576357">
        <w:trPr>
          <w:jc w:val="center"/>
        </w:trPr>
        <w:tc>
          <w:tcPr>
            <w:tcW w:w="2117" w:type="dxa"/>
            <w:tcBorders>
              <w:top w:val="single" w:sz="8" w:space="0" w:color="000000"/>
              <w:left w:val="single" w:sz="8" w:space="0" w:color="000000"/>
              <w:bottom w:val="single" w:sz="8" w:space="0" w:color="000000"/>
              <w:right w:val="single" w:sz="8" w:space="0" w:color="000000"/>
            </w:tcBorders>
            <w:hideMark/>
          </w:tcPr>
          <w:p w14:paraId="616A05D5" w14:textId="77777777" w:rsidR="00576357" w:rsidRPr="00576357" w:rsidRDefault="00576357" w:rsidP="00576357">
            <w:pPr>
              <w:spacing w:before="0" w:after="0" w:line="240" w:lineRule="auto"/>
              <w:jc w:val="left"/>
              <w:rPr>
                <w:rFonts w:ascii="Roboto" w:hAnsi="Roboto"/>
                <w:sz w:val="18"/>
                <w:szCs w:val="18"/>
                <w:lang w:val="en-US" w:eastAsia="es-ES"/>
              </w:rPr>
            </w:pPr>
            <w:r w:rsidRPr="00576357">
              <w:rPr>
                <w:rFonts w:ascii="Roboto" w:hAnsi="Roboto"/>
                <w:sz w:val="18"/>
                <w:szCs w:val="18"/>
                <w:lang w:val="es-CR" w:eastAsia="es-ES"/>
              </w:rPr>
              <w:t>Préstamos vehiculares</w:t>
            </w:r>
          </w:p>
        </w:tc>
        <w:tc>
          <w:tcPr>
            <w:tcW w:w="733" w:type="dxa"/>
            <w:tcBorders>
              <w:top w:val="single" w:sz="8" w:space="0" w:color="000000"/>
              <w:left w:val="single" w:sz="8" w:space="0" w:color="000000"/>
              <w:bottom w:val="single" w:sz="8" w:space="0" w:color="000000"/>
              <w:right w:val="single" w:sz="8" w:space="0" w:color="000000"/>
            </w:tcBorders>
            <w:vAlign w:val="center"/>
            <w:hideMark/>
          </w:tcPr>
          <w:p w14:paraId="3B6EABF3"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3,00%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1FC74E83"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20,00%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3C1BCB23"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35,00%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114CC580"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70,00%</w:t>
            </w:r>
          </w:p>
        </w:tc>
        <w:tc>
          <w:tcPr>
            <w:tcW w:w="903" w:type="dxa"/>
            <w:tcBorders>
              <w:top w:val="single" w:sz="8" w:space="0" w:color="000000"/>
              <w:left w:val="single" w:sz="8" w:space="0" w:color="000000"/>
              <w:bottom w:val="single" w:sz="8" w:space="0" w:color="000000"/>
              <w:right w:val="single" w:sz="8" w:space="0" w:color="000000"/>
            </w:tcBorders>
            <w:vAlign w:val="center"/>
            <w:hideMark/>
          </w:tcPr>
          <w:p w14:paraId="4941736D"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90,00%</w:t>
            </w:r>
          </w:p>
        </w:tc>
        <w:tc>
          <w:tcPr>
            <w:tcW w:w="903" w:type="dxa"/>
            <w:tcBorders>
              <w:top w:val="single" w:sz="8" w:space="0" w:color="000000"/>
              <w:left w:val="single" w:sz="8" w:space="0" w:color="000000"/>
              <w:bottom w:val="single" w:sz="8" w:space="0" w:color="000000"/>
              <w:right w:val="single" w:sz="8" w:space="0" w:color="000000"/>
            </w:tcBorders>
            <w:vAlign w:val="center"/>
            <w:hideMark/>
          </w:tcPr>
          <w:p w14:paraId="6EF5F1B7"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95,00%</w:t>
            </w:r>
          </w:p>
        </w:tc>
        <w:tc>
          <w:tcPr>
            <w:tcW w:w="916" w:type="dxa"/>
            <w:tcBorders>
              <w:top w:val="single" w:sz="8" w:space="0" w:color="000000"/>
              <w:left w:val="single" w:sz="8" w:space="0" w:color="000000"/>
              <w:bottom w:val="single" w:sz="8" w:space="0" w:color="000000"/>
              <w:right w:val="single" w:sz="8" w:space="0" w:color="000000"/>
            </w:tcBorders>
            <w:vAlign w:val="center"/>
            <w:hideMark/>
          </w:tcPr>
          <w:p w14:paraId="6C46E081"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100,00%</w:t>
            </w:r>
          </w:p>
        </w:tc>
        <w:tc>
          <w:tcPr>
            <w:tcW w:w="890" w:type="dxa"/>
            <w:tcBorders>
              <w:top w:val="single" w:sz="8" w:space="0" w:color="000000"/>
              <w:left w:val="single" w:sz="8" w:space="0" w:color="000000"/>
              <w:bottom w:val="single" w:sz="8" w:space="0" w:color="000000"/>
              <w:right w:val="single" w:sz="8" w:space="0" w:color="000000"/>
            </w:tcBorders>
            <w:vAlign w:val="center"/>
            <w:hideMark/>
          </w:tcPr>
          <w:p w14:paraId="761FABC6"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100,00%</w:t>
            </w:r>
          </w:p>
        </w:tc>
      </w:tr>
      <w:tr w:rsidR="00576357" w:rsidRPr="00576357" w14:paraId="02DD594D" w14:textId="77777777" w:rsidTr="00576357">
        <w:trPr>
          <w:jc w:val="center"/>
        </w:trPr>
        <w:tc>
          <w:tcPr>
            <w:tcW w:w="2117" w:type="dxa"/>
            <w:tcBorders>
              <w:top w:val="single" w:sz="8" w:space="0" w:color="000000"/>
              <w:left w:val="single" w:sz="8" w:space="0" w:color="000000"/>
              <w:bottom w:val="single" w:sz="8" w:space="0" w:color="000000"/>
              <w:right w:val="single" w:sz="8" w:space="0" w:color="000000"/>
            </w:tcBorders>
            <w:hideMark/>
          </w:tcPr>
          <w:p w14:paraId="7FFDD9B9" w14:textId="77777777" w:rsidR="00576357" w:rsidRPr="00576357" w:rsidRDefault="00576357" w:rsidP="00576357">
            <w:pPr>
              <w:spacing w:before="0" w:after="0" w:line="240" w:lineRule="auto"/>
              <w:jc w:val="left"/>
              <w:rPr>
                <w:rFonts w:ascii="Roboto" w:hAnsi="Roboto"/>
                <w:sz w:val="18"/>
                <w:szCs w:val="18"/>
                <w:lang w:val="en-US" w:eastAsia="es-ES"/>
              </w:rPr>
            </w:pPr>
            <w:r w:rsidRPr="00576357">
              <w:rPr>
                <w:rFonts w:ascii="Roboto" w:hAnsi="Roboto"/>
                <w:sz w:val="18"/>
                <w:szCs w:val="18"/>
                <w:lang w:val="es-CR" w:eastAsia="es-ES"/>
              </w:rPr>
              <w:t>Créditos de vivienda</w:t>
            </w:r>
          </w:p>
        </w:tc>
        <w:tc>
          <w:tcPr>
            <w:tcW w:w="733" w:type="dxa"/>
            <w:tcBorders>
              <w:top w:val="single" w:sz="8" w:space="0" w:color="000000"/>
              <w:left w:val="single" w:sz="8" w:space="0" w:color="000000"/>
              <w:bottom w:val="single" w:sz="8" w:space="0" w:color="000000"/>
              <w:right w:val="single" w:sz="8" w:space="0" w:color="000000"/>
            </w:tcBorders>
            <w:vAlign w:val="center"/>
            <w:hideMark/>
          </w:tcPr>
          <w:p w14:paraId="48967D8D"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1,00%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505B6110"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15,00%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5CA790A8"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25,00%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236561D0"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30,00%</w:t>
            </w:r>
          </w:p>
        </w:tc>
        <w:tc>
          <w:tcPr>
            <w:tcW w:w="903" w:type="dxa"/>
            <w:tcBorders>
              <w:top w:val="single" w:sz="8" w:space="0" w:color="000000"/>
              <w:left w:val="single" w:sz="8" w:space="0" w:color="000000"/>
              <w:bottom w:val="single" w:sz="8" w:space="0" w:color="000000"/>
              <w:right w:val="single" w:sz="8" w:space="0" w:color="000000"/>
            </w:tcBorders>
            <w:vAlign w:val="center"/>
            <w:hideMark/>
          </w:tcPr>
          <w:p w14:paraId="036627CE"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80,00%</w:t>
            </w:r>
          </w:p>
        </w:tc>
        <w:tc>
          <w:tcPr>
            <w:tcW w:w="903" w:type="dxa"/>
            <w:tcBorders>
              <w:top w:val="single" w:sz="8" w:space="0" w:color="000000"/>
              <w:left w:val="single" w:sz="8" w:space="0" w:color="000000"/>
              <w:bottom w:val="single" w:sz="8" w:space="0" w:color="000000"/>
              <w:right w:val="single" w:sz="8" w:space="0" w:color="000000"/>
            </w:tcBorders>
            <w:vAlign w:val="center"/>
            <w:hideMark/>
          </w:tcPr>
          <w:p w14:paraId="0111C901"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85,00%</w:t>
            </w:r>
          </w:p>
        </w:tc>
        <w:tc>
          <w:tcPr>
            <w:tcW w:w="916" w:type="dxa"/>
            <w:tcBorders>
              <w:top w:val="single" w:sz="8" w:space="0" w:color="000000"/>
              <w:left w:val="single" w:sz="8" w:space="0" w:color="000000"/>
              <w:bottom w:val="single" w:sz="8" w:space="0" w:color="000000"/>
              <w:right w:val="single" w:sz="8" w:space="0" w:color="000000"/>
            </w:tcBorders>
            <w:vAlign w:val="center"/>
            <w:hideMark/>
          </w:tcPr>
          <w:p w14:paraId="2258E390"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100,00%</w:t>
            </w:r>
          </w:p>
        </w:tc>
        <w:tc>
          <w:tcPr>
            <w:tcW w:w="890" w:type="dxa"/>
            <w:tcBorders>
              <w:top w:val="single" w:sz="8" w:space="0" w:color="000000"/>
              <w:left w:val="single" w:sz="8" w:space="0" w:color="000000"/>
              <w:bottom w:val="single" w:sz="8" w:space="0" w:color="000000"/>
              <w:right w:val="single" w:sz="8" w:space="0" w:color="000000"/>
            </w:tcBorders>
            <w:vAlign w:val="center"/>
            <w:hideMark/>
          </w:tcPr>
          <w:p w14:paraId="471EC7A1"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100,00%</w:t>
            </w:r>
          </w:p>
        </w:tc>
      </w:tr>
      <w:tr w:rsidR="00576357" w:rsidRPr="00576357" w14:paraId="6C63227D" w14:textId="77777777" w:rsidTr="00576357">
        <w:trPr>
          <w:jc w:val="center"/>
        </w:trPr>
        <w:tc>
          <w:tcPr>
            <w:tcW w:w="2117" w:type="dxa"/>
            <w:tcBorders>
              <w:top w:val="single" w:sz="8" w:space="0" w:color="000000"/>
              <w:left w:val="single" w:sz="8" w:space="0" w:color="000000"/>
              <w:bottom w:val="single" w:sz="8" w:space="0" w:color="000000"/>
              <w:right w:val="single" w:sz="8" w:space="0" w:color="000000"/>
            </w:tcBorders>
            <w:hideMark/>
          </w:tcPr>
          <w:p w14:paraId="00B786B0" w14:textId="77777777" w:rsidR="00576357" w:rsidRPr="00576357" w:rsidRDefault="00576357" w:rsidP="00576357">
            <w:pPr>
              <w:spacing w:before="0" w:after="0" w:line="240" w:lineRule="auto"/>
              <w:jc w:val="left"/>
              <w:rPr>
                <w:rFonts w:ascii="Roboto" w:hAnsi="Roboto"/>
                <w:sz w:val="18"/>
                <w:szCs w:val="18"/>
                <w:lang w:val="en-US" w:eastAsia="es-ES"/>
              </w:rPr>
            </w:pPr>
            <w:r w:rsidRPr="00576357">
              <w:rPr>
                <w:rFonts w:ascii="Roboto" w:hAnsi="Roboto"/>
                <w:sz w:val="18"/>
                <w:szCs w:val="18"/>
                <w:lang w:val="es-CR" w:eastAsia="es-ES"/>
              </w:rPr>
              <w:t>Créditos Empresarial 1</w:t>
            </w:r>
          </w:p>
        </w:tc>
        <w:tc>
          <w:tcPr>
            <w:tcW w:w="733" w:type="dxa"/>
            <w:tcBorders>
              <w:top w:val="single" w:sz="8" w:space="0" w:color="000000"/>
              <w:left w:val="single" w:sz="8" w:space="0" w:color="000000"/>
              <w:bottom w:val="single" w:sz="8" w:space="0" w:color="000000"/>
              <w:right w:val="single" w:sz="8" w:space="0" w:color="000000"/>
            </w:tcBorders>
            <w:vAlign w:val="center"/>
            <w:hideMark/>
          </w:tcPr>
          <w:p w14:paraId="1BB6CBC2"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5,00%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4EB39654"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25,00%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5A9AFECD"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70,00%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072DDE62"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85,00%</w:t>
            </w:r>
          </w:p>
        </w:tc>
        <w:tc>
          <w:tcPr>
            <w:tcW w:w="903" w:type="dxa"/>
            <w:tcBorders>
              <w:top w:val="single" w:sz="8" w:space="0" w:color="000000"/>
              <w:left w:val="single" w:sz="8" w:space="0" w:color="000000"/>
              <w:bottom w:val="single" w:sz="8" w:space="0" w:color="000000"/>
              <w:right w:val="single" w:sz="8" w:space="0" w:color="000000"/>
            </w:tcBorders>
            <w:vAlign w:val="center"/>
            <w:hideMark/>
          </w:tcPr>
          <w:p w14:paraId="05B91C43"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100,00%</w:t>
            </w:r>
          </w:p>
        </w:tc>
        <w:tc>
          <w:tcPr>
            <w:tcW w:w="903" w:type="dxa"/>
            <w:tcBorders>
              <w:top w:val="single" w:sz="8" w:space="0" w:color="000000"/>
              <w:left w:val="single" w:sz="8" w:space="0" w:color="000000"/>
              <w:bottom w:val="single" w:sz="8" w:space="0" w:color="000000"/>
              <w:right w:val="single" w:sz="8" w:space="0" w:color="000000"/>
            </w:tcBorders>
            <w:vAlign w:val="center"/>
            <w:hideMark/>
          </w:tcPr>
          <w:p w14:paraId="297DF4D5"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100,00%</w:t>
            </w:r>
          </w:p>
        </w:tc>
        <w:tc>
          <w:tcPr>
            <w:tcW w:w="916" w:type="dxa"/>
            <w:tcBorders>
              <w:top w:val="single" w:sz="8" w:space="0" w:color="000000"/>
              <w:left w:val="single" w:sz="8" w:space="0" w:color="000000"/>
              <w:bottom w:val="single" w:sz="8" w:space="0" w:color="000000"/>
              <w:right w:val="single" w:sz="8" w:space="0" w:color="000000"/>
            </w:tcBorders>
            <w:vAlign w:val="center"/>
            <w:hideMark/>
          </w:tcPr>
          <w:p w14:paraId="60265596"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100,00%</w:t>
            </w:r>
          </w:p>
        </w:tc>
        <w:tc>
          <w:tcPr>
            <w:tcW w:w="890" w:type="dxa"/>
            <w:tcBorders>
              <w:top w:val="single" w:sz="8" w:space="0" w:color="000000"/>
              <w:left w:val="single" w:sz="8" w:space="0" w:color="000000"/>
              <w:bottom w:val="single" w:sz="8" w:space="0" w:color="000000"/>
              <w:right w:val="single" w:sz="8" w:space="0" w:color="000000"/>
            </w:tcBorders>
            <w:vAlign w:val="center"/>
            <w:hideMark/>
          </w:tcPr>
          <w:p w14:paraId="39AE3CE6"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100,00%</w:t>
            </w:r>
          </w:p>
        </w:tc>
      </w:tr>
      <w:tr w:rsidR="00576357" w:rsidRPr="00576357" w14:paraId="2786A847" w14:textId="77777777" w:rsidTr="00576357">
        <w:trPr>
          <w:jc w:val="center"/>
        </w:trPr>
        <w:tc>
          <w:tcPr>
            <w:tcW w:w="2117" w:type="dxa"/>
            <w:tcBorders>
              <w:top w:val="single" w:sz="8" w:space="0" w:color="000000"/>
              <w:left w:val="single" w:sz="8" w:space="0" w:color="000000"/>
              <w:bottom w:val="single" w:sz="8" w:space="0" w:color="000000"/>
              <w:right w:val="single" w:sz="8" w:space="0" w:color="000000"/>
            </w:tcBorders>
            <w:hideMark/>
          </w:tcPr>
          <w:p w14:paraId="322EF492" w14:textId="77777777" w:rsidR="00576357" w:rsidRPr="00576357" w:rsidRDefault="00576357" w:rsidP="00576357">
            <w:pPr>
              <w:spacing w:before="0" w:after="0" w:line="240" w:lineRule="auto"/>
              <w:jc w:val="left"/>
              <w:rPr>
                <w:rFonts w:ascii="Roboto" w:hAnsi="Roboto"/>
                <w:sz w:val="18"/>
                <w:szCs w:val="18"/>
                <w:lang w:val="en-US" w:eastAsia="es-ES"/>
              </w:rPr>
            </w:pPr>
            <w:r w:rsidRPr="00576357">
              <w:rPr>
                <w:rFonts w:ascii="Roboto" w:hAnsi="Roboto"/>
                <w:sz w:val="18"/>
                <w:szCs w:val="18"/>
                <w:lang w:val="es-CR" w:eastAsia="es-ES"/>
              </w:rPr>
              <w:t>Créditos Empresarial 2</w:t>
            </w:r>
          </w:p>
        </w:tc>
        <w:tc>
          <w:tcPr>
            <w:tcW w:w="733" w:type="dxa"/>
            <w:tcBorders>
              <w:top w:val="single" w:sz="8" w:space="0" w:color="000000"/>
              <w:left w:val="single" w:sz="8" w:space="0" w:color="000000"/>
              <w:bottom w:val="single" w:sz="8" w:space="0" w:color="000000"/>
              <w:right w:val="single" w:sz="8" w:space="0" w:color="000000"/>
            </w:tcBorders>
            <w:vAlign w:val="center"/>
            <w:hideMark/>
          </w:tcPr>
          <w:p w14:paraId="4E6952E4"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3,50%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399DC41A"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20,00%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7478FA06"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30,00%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601CBD8D"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40,00%</w:t>
            </w:r>
          </w:p>
        </w:tc>
        <w:tc>
          <w:tcPr>
            <w:tcW w:w="903" w:type="dxa"/>
            <w:tcBorders>
              <w:top w:val="single" w:sz="8" w:space="0" w:color="000000"/>
              <w:left w:val="single" w:sz="8" w:space="0" w:color="000000"/>
              <w:bottom w:val="single" w:sz="8" w:space="0" w:color="000000"/>
              <w:right w:val="single" w:sz="8" w:space="0" w:color="000000"/>
            </w:tcBorders>
            <w:vAlign w:val="center"/>
            <w:hideMark/>
          </w:tcPr>
          <w:p w14:paraId="49A0B05A"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90,00%</w:t>
            </w:r>
          </w:p>
        </w:tc>
        <w:tc>
          <w:tcPr>
            <w:tcW w:w="903" w:type="dxa"/>
            <w:tcBorders>
              <w:top w:val="single" w:sz="8" w:space="0" w:color="000000"/>
              <w:left w:val="single" w:sz="8" w:space="0" w:color="000000"/>
              <w:bottom w:val="single" w:sz="8" w:space="0" w:color="000000"/>
              <w:right w:val="single" w:sz="8" w:space="0" w:color="000000"/>
            </w:tcBorders>
            <w:vAlign w:val="center"/>
            <w:hideMark/>
          </w:tcPr>
          <w:p w14:paraId="349A3647"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90,00%</w:t>
            </w:r>
          </w:p>
        </w:tc>
        <w:tc>
          <w:tcPr>
            <w:tcW w:w="916" w:type="dxa"/>
            <w:tcBorders>
              <w:top w:val="single" w:sz="8" w:space="0" w:color="000000"/>
              <w:left w:val="single" w:sz="8" w:space="0" w:color="000000"/>
              <w:bottom w:val="single" w:sz="8" w:space="0" w:color="000000"/>
              <w:right w:val="single" w:sz="8" w:space="0" w:color="000000"/>
            </w:tcBorders>
            <w:vAlign w:val="center"/>
            <w:hideMark/>
          </w:tcPr>
          <w:p w14:paraId="1B210382"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100,00%</w:t>
            </w:r>
          </w:p>
        </w:tc>
        <w:tc>
          <w:tcPr>
            <w:tcW w:w="890" w:type="dxa"/>
            <w:tcBorders>
              <w:top w:val="single" w:sz="8" w:space="0" w:color="000000"/>
              <w:left w:val="single" w:sz="8" w:space="0" w:color="000000"/>
              <w:bottom w:val="single" w:sz="8" w:space="0" w:color="000000"/>
              <w:right w:val="single" w:sz="8" w:space="0" w:color="000000"/>
            </w:tcBorders>
            <w:vAlign w:val="center"/>
            <w:hideMark/>
          </w:tcPr>
          <w:p w14:paraId="5C90512A"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100,00%</w:t>
            </w:r>
          </w:p>
        </w:tc>
      </w:tr>
      <w:tr w:rsidR="00576357" w:rsidRPr="00576357" w14:paraId="0BC988D6" w14:textId="77777777" w:rsidTr="00576357">
        <w:trPr>
          <w:jc w:val="center"/>
        </w:trPr>
        <w:tc>
          <w:tcPr>
            <w:tcW w:w="2117" w:type="dxa"/>
            <w:tcBorders>
              <w:top w:val="single" w:sz="8" w:space="0" w:color="000000"/>
              <w:left w:val="single" w:sz="8" w:space="0" w:color="000000"/>
              <w:bottom w:val="single" w:sz="8" w:space="0" w:color="000000"/>
              <w:right w:val="single" w:sz="8" w:space="0" w:color="000000"/>
            </w:tcBorders>
            <w:hideMark/>
          </w:tcPr>
          <w:p w14:paraId="73F27478" w14:textId="77777777" w:rsidR="00576357" w:rsidRPr="00576357" w:rsidRDefault="00576357" w:rsidP="00576357">
            <w:pPr>
              <w:spacing w:before="0" w:after="0" w:line="240" w:lineRule="auto"/>
              <w:jc w:val="left"/>
              <w:rPr>
                <w:rFonts w:ascii="Roboto" w:hAnsi="Roboto"/>
                <w:sz w:val="18"/>
                <w:szCs w:val="18"/>
                <w:lang w:val="en-US" w:eastAsia="es-ES"/>
              </w:rPr>
            </w:pPr>
            <w:r w:rsidRPr="00576357">
              <w:rPr>
                <w:rFonts w:ascii="Roboto" w:hAnsi="Roboto"/>
                <w:sz w:val="18"/>
                <w:szCs w:val="18"/>
                <w:lang w:val="es-CR" w:eastAsia="es-ES"/>
              </w:rPr>
              <w:t>Créditos Empresarial 3</w:t>
            </w:r>
          </w:p>
        </w:tc>
        <w:tc>
          <w:tcPr>
            <w:tcW w:w="733" w:type="dxa"/>
            <w:tcBorders>
              <w:top w:val="single" w:sz="8" w:space="0" w:color="000000"/>
              <w:left w:val="single" w:sz="8" w:space="0" w:color="000000"/>
              <w:bottom w:val="single" w:sz="8" w:space="0" w:color="000000"/>
              <w:right w:val="single" w:sz="8" w:space="0" w:color="000000"/>
            </w:tcBorders>
            <w:vAlign w:val="center"/>
            <w:hideMark/>
          </w:tcPr>
          <w:p w14:paraId="376B2724"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3,00%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24C95A2F"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30,00%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5B958933"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55,00%</w:t>
            </w:r>
          </w:p>
        </w:tc>
        <w:tc>
          <w:tcPr>
            <w:tcW w:w="880" w:type="dxa"/>
            <w:tcBorders>
              <w:top w:val="single" w:sz="8" w:space="0" w:color="000000"/>
              <w:left w:val="single" w:sz="8" w:space="0" w:color="000000"/>
              <w:bottom w:val="single" w:sz="8" w:space="0" w:color="000000"/>
              <w:right w:val="single" w:sz="8" w:space="0" w:color="000000"/>
            </w:tcBorders>
            <w:vAlign w:val="center"/>
            <w:hideMark/>
          </w:tcPr>
          <w:p w14:paraId="12BD5859"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70,00%</w:t>
            </w:r>
          </w:p>
        </w:tc>
        <w:tc>
          <w:tcPr>
            <w:tcW w:w="903" w:type="dxa"/>
            <w:tcBorders>
              <w:top w:val="single" w:sz="8" w:space="0" w:color="000000"/>
              <w:left w:val="single" w:sz="8" w:space="0" w:color="000000"/>
              <w:bottom w:val="single" w:sz="8" w:space="0" w:color="000000"/>
              <w:right w:val="single" w:sz="8" w:space="0" w:color="000000"/>
            </w:tcBorders>
            <w:vAlign w:val="center"/>
            <w:hideMark/>
          </w:tcPr>
          <w:p w14:paraId="04F31A9D"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80,00%</w:t>
            </w:r>
          </w:p>
        </w:tc>
        <w:tc>
          <w:tcPr>
            <w:tcW w:w="903" w:type="dxa"/>
            <w:tcBorders>
              <w:top w:val="single" w:sz="8" w:space="0" w:color="000000"/>
              <w:left w:val="single" w:sz="8" w:space="0" w:color="000000"/>
              <w:bottom w:val="single" w:sz="8" w:space="0" w:color="000000"/>
              <w:right w:val="single" w:sz="8" w:space="0" w:color="000000"/>
            </w:tcBorders>
            <w:vAlign w:val="center"/>
            <w:hideMark/>
          </w:tcPr>
          <w:p w14:paraId="7D50A910"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90,00%</w:t>
            </w:r>
          </w:p>
        </w:tc>
        <w:tc>
          <w:tcPr>
            <w:tcW w:w="916" w:type="dxa"/>
            <w:tcBorders>
              <w:top w:val="single" w:sz="8" w:space="0" w:color="000000"/>
              <w:left w:val="single" w:sz="8" w:space="0" w:color="000000"/>
              <w:bottom w:val="single" w:sz="8" w:space="0" w:color="000000"/>
              <w:right w:val="single" w:sz="8" w:space="0" w:color="000000"/>
            </w:tcBorders>
            <w:vAlign w:val="center"/>
            <w:hideMark/>
          </w:tcPr>
          <w:p w14:paraId="1A72B537"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100,00%</w:t>
            </w:r>
          </w:p>
        </w:tc>
        <w:tc>
          <w:tcPr>
            <w:tcW w:w="890" w:type="dxa"/>
            <w:tcBorders>
              <w:top w:val="single" w:sz="8" w:space="0" w:color="000000"/>
              <w:left w:val="single" w:sz="8" w:space="0" w:color="000000"/>
              <w:bottom w:val="single" w:sz="8" w:space="0" w:color="000000"/>
              <w:right w:val="single" w:sz="8" w:space="0" w:color="000000"/>
            </w:tcBorders>
            <w:vAlign w:val="center"/>
            <w:hideMark/>
          </w:tcPr>
          <w:p w14:paraId="3D9EAFC2" w14:textId="77777777" w:rsidR="00576357" w:rsidRPr="00576357" w:rsidRDefault="00576357" w:rsidP="00576357">
            <w:pPr>
              <w:spacing w:before="0" w:after="0" w:line="240" w:lineRule="auto"/>
              <w:jc w:val="center"/>
              <w:rPr>
                <w:rFonts w:ascii="Roboto" w:hAnsi="Roboto"/>
                <w:sz w:val="18"/>
                <w:szCs w:val="18"/>
                <w:lang w:val="en-US" w:eastAsia="es-ES"/>
              </w:rPr>
            </w:pPr>
            <w:r w:rsidRPr="00576357">
              <w:rPr>
                <w:rFonts w:ascii="Roboto" w:hAnsi="Roboto"/>
                <w:sz w:val="18"/>
                <w:szCs w:val="18"/>
                <w:lang w:val="en-US" w:eastAsia="es-ES"/>
              </w:rPr>
              <w:t>100,00%</w:t>
            </w:r>
          </w:p>
        </w:tc>
      </w:tr>
    </w:tbl>
    <w:p w14:paraId="01EB39FF" w14:textId="77777777" w:rsidR="00576357" w:rsidRPr="00576357" w:rsidRDefault="00576357" w:rsidP="00576357">
      <w:pPr>
        <w:rPr>
          <w:lang w:val="es-CR" w:eastAsia="es-ES"/>
        </w:rPr>
      </w:pPr>
    </w:p>
    <w:p w14:paraId="68D23323" w14:textId="77777777" w:rsidR="009C192E" w:rsidRPr="00576357" w:rsidRDefault="009C192E" w:rsidP="009C192E">
      <w:pPr>
        <w:pStyle w:val="Ttulo2"/>
        <w:spacing w:before="240"/>
        <w:ind w:left="567" w:hanging="578"/>
        <w:rPr>
          <w:rFonts w:asciiTheme="majorHAnsi" w:hAnsiTheme="majorHAnsi" w:cstheme="majorHAnsi"/>
          <w:sz w:val="23"/>
          <w:szCs w:val="23"/>
        </w:rPr>
      </w:pPr>
      <w:bookmarkStart w:id="54" w:name="_Toc227326048"/>
      <w:r w:rsidRPr="00576357">
        <w:rPr>
          <w:rFonts w:asciiTheme="majorHAnsi" w:hAnsiTheme="majorHAnsi" w:cstheme="majorHAnsi"/>
          <w:sz w:val="23"/>
          <w:szCs w:val="23"/>
        </w:rPr>
        <w:lastRenderedPageBreak/>
        <w:t>Riesgo medio-bajo</w:t>
      </w:r>
      <w:bookmarkEnd w:id="54"/>
    </w:p>
    <w:tbl>
      <w:tblPr>
        <w:tblW w:w="909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146"/>
        <w:gridCol w:w="941"/>
        <w:gridCol w:w="843"/>
        <w:gridCol w:w="842"/>
        <w:gridCol w:w="842"/>
        <w:gridCol w:w="842"/>
        <w:gridCol w:w="842"/>
        <w:gridCol w:w="842"/>
        <w:gridCol w:w="952"/>
      </w:tblGrid>
      <w:tr w:rsidR="00576357" w:rsidRPr="00576357" w14:paraId="412B9A79" w14:textId="77777777" w:rsidTr="00576357">
        <w:trPr>
          <w:jc w:val="center"/>
        </w:trPr>
        <w:tc>
          <w:tcPr>
            <w:tcW w:w="2146" w:type="dxa"/>
            <w:shd w:val="clear" w:color="auto" w:fill="153D63"/>
          </w:tcPr>
          <w:p w14:paraId="797539D6" w14:textId="77777777" w:rsidR="00576357" w:rsidRPr="00576357" w:rsidRDefault="00576357" w:rsidP="00576357">
            <w:pPr>
              <w:spacing w:before="0" w:after="0" w:line="240" w:lineRule="auto"/>
              <w:jc w:val="center"/>
              <w:rPr>
                <w:rFonts w:ascii="Roboto" w:hAnsi="Roboto"/>
                <w:b/>
                <w:sz w:val="18"/>
                <w:szCs w:val="18"/>
                <w:lang w:val="en-US" w:eastAsia="es-ES"/>
              </w:rPr>
            </w:pPr>
            <w:r w:rsidRPr="00576357">
              <w:rPr>
                <w:rFonts w:ascii="Roboto" w:hAnsi="Roboto"/>
                <w:b/>
                <w:sz w:val="18"/>
                <w:szCs w:val="18"/>
                <w:lang w:val="en-US" w:eastAsia="es-ES"/>
              </w:rPr>
              <w:t>Riesgo medio-bajo</w:t>
            </w:r>
          </w:p>
        </w:tc>
        <w:tc>
          <w:tcPr>
            <w:tcW w:w="941" w:type="dxa"/>
            <w:shd w:val="clear" w:color="auto" w:fill="153D63"/>
          </w:tcPr>
          <w:p w14:paraId="2138C7FF" w14:textId="77777777" w:rsidR="00576357" w:rsidRPr="00576357" w:rsidRDefault="00576357" w:rsidP="00576357">
            <w:pPr>
              <w:spacing w:before="0" w:after="0" w:line="240" w:lineRule="auto"/>
              <w:jc w:val="center"/>
              <w:rPr>
                <w:rFonts w:ascii="Roboto" w:hAnsi="Roboto"/>
                <w:b/>
                <w:sz w:val="18"/>
                <w:szCs w:val="18"/>
                <w:lang w:val="en-US" w:eastAsia="es-ES"/>
              </w:rPr>
            </w:pPr>
            <w:r w:rsidRPr="00576357">
              <w:rPr>
                <w:rFonts w:ascii="Roboto" w:hAnsi="Roboto"/>
                <w:b/>
                <w:sz w:val="18"/>
                <w:szCs w:val="18"/>
                <w:lang w:val="en-US" w:eastAsia="es-ES"/>
              </w:rPr>
              <w:t>1</w:t>
            </w:r>
          </w:p>
        </w:tc>
        <w:tc>
          <w:tcPr>
            <w:tcW w:w="843" w:type="dxa"/>
            <w:shd w:val="clear" w:color="auto" w:fill="153D63"/>
          </w:tcPr>
          <w:p w14:paraId="1A5D41DA" w14:textId="77777777" w:rsidR="00576357" w:rsidRPr="00576357" w:rsidRDefault="00576357" w:rsidP="00576357">
            <w:pPr>
              <w:spacing w:before="0" w:after="0" w:line="240" w:lineRule="auto"/>
              <w:jc w:val="center"/>
              <w:rPr>
                <w:rFonts w:ascii="Roboto" w:hAnsi="Roboto"/>
                <w:b/>
                <w:sz w:val="18"/>
                <w:szCs w:val="18"/>
                <w:lang w:val="en-US" w:eastAsia="es-ES"/>
              </w:rPr>
            </w:pPr>
            <w:r w:rsidRPr="00576357">
              <w:rPr>
                <w:rFonts w:ascii="Roboto" w:hAnsi="Roboto"/>
                <w:b/>
                <w:sz w:val="18"/>
                <w:szCs w:val="18"/>
                <w:lang w:val="en-US" w:eastAsia="es-ES"/>
              </w:rPr>
              <w:t>2</w:t>
            </w:r>
          </w:p>
        </w:tc>
        <w:tc>
          <w:tcPr>
            <w:tcW w:w="842" w:type="dxa"/>
            <w:shd w:val="clear" w:color="auto" w:fill="153D63"/>
          </w:tcPr>
          <w:p w14:paraId="06B4153A" w14:textId="77777777" w:rsidR="00576357" w:rsidRPr="00576357" w:rsidRDefault="00576357" w:rsidP="00576357">
            <w:pPr>
              <w:spacing w:before="0" w:after="0" w:line="240" w:lineRule="auto"/>
              <w:jc w:val="center"/>
              <w:rPr>
                <w:rFonts w:ascii="Roboto" w:hAnsi="Roboto"/>
                <w:b/>
                <w:sz w:val="18"/>
                <w:szCs w:val="18"/>
                <w:lang w:val="en-US" w:eastAsia="es-ES"/>
              </w:rPr>
            </w:pPr>
            <w:r w:rsidRPr="00576357">
              <w:rPr>
                <w:rFonts w:ascii="Roboto" w:hAnsi="Roboto"/>
                <w:b/>
                <w:sz w:val="18"/>
                <w:szCs w:val="18"/>
                <w:lang w:val="en-US" w:eastAsia="es-ES"/>
              </w:rPr>
              <w:t>3</w:t>
            </w:r>
          </w:p>
        </w:tc>
        <w:tc>
          <w:tcPr>
            <w:tcW w:w="842" w:type="dxa"/>
            <w:shd w:val="clear" w:color="auto" w:fill="153D63"/>
          </w:tcPr>
          <w:p w14:paraId="459EFB0E" w14:textId="77777777" w:rsidR="00576357" w:rsidRPr="00576357" w:rsidRDefault="00576357" w:rsidP="00576357">
            <w:pPr>
              <w:spacing w:before="0" w:after="0" w:line="240" w:lineRule="auto"/>
              <w:jc w:val="center"/>
              <w:rPr>
                <w:rFonts w:ascii="Roboto" w:hAnsi="Roboto"/>
                <w:b/>
                <w:sz w:val="18"/>
                <w:szCs w:val="18"/>
                <w:lang w:val="en-US" w:eastAsia="es-ES"/>
              </w:rPr>
            </w:pPr>
            <w:r w:rsidRPr="00576357">
              <w:rPr>
                <w:rFonts w:ascii="Roboto" w:hAnsi="Roboto"/>
                <w:b/>
                <w:sz w:val="18"/>
                <w:szCs w:val="18"/>
                <w:lang w:val="en-US" w:eastAsia="es-ES"/>
              </w:rPr>
              <w:t>4</w:t>
            </w:r>
          </w:p>
        </w:tc>
        <w:tc>
          <w:tcPr>
            <w:tcW w:w="842" w:type="dxa"/>
            <w:shd w:val="clear" w:color="auto" w:fill="153D63"/>
          </w:tcPr>
          <w:p w14:paraId="7F122FA2" w14:textId="77777777" w:rsidR="00576357" w:rsidRPr="00576357" w:rsidRDefault="00576357" w:rsidP="00576357">
            <w:pPr>
              <w:spacing w:before="0" w:after="0" w:line="240" w:lineRule="auto"/>
              <w:jc w:val="center"/>
              <w:rPr>
                <w:rFonts w:ascii="Roboto" w:hAnsi="Roboto"/>
                <w:b/>
                <w:sz w:val="18"/>
                <w:szCs w:val="18"/>
                <w:lang w:val="en-US" w:eastAsia="es-ES"/>
              </w:rPr>
            </w:pPr>
            <w:r w:rsidRPr="00576357">
              <w:rPr>
                <w:rFonts w:ascii="Roboto" w:hAnsi="Roboto"/>
                <w:b/>
                <w:sz w:val="18"/>
                <w:szCs w:val="18"/>
                <w:lang w:val="en-US" w:eastAsia="es-ES"/>
              </w:rPr>
              <w:t>5</w:t>
            </w:r>
          </w:p>
        </w:tc>
        <w:tc>
          <w:tcPr>
            <w:tcW w:w="842" w:type="dxa"/>
            <w:shd w:val="clear" w:color="auto" w:fill="153D63"/>
          </w:tcPr>
          <w:p w14:paraId="77BA5B1A" w14:textId="77777777" w:rsidR="00576357" w:rsidRPr="00576357" w:rsidRDefault="00576357" w:rsidP="00576357">
            <w:pPr>
              <w:spacing w:before="0" w:after="0" w:line="240" w:lineRule="auto"/>
              <w:jc w:val="center"/>
              <w:rPr>
                <w:rFonts w:ascii="Roboto" w:hAnsi="Roboto"/>
                <w:b/>
                <w:sz w:val="18"/>
                <w:szCs w:val="18"/>
                <w:lang w:val="en-US" w:eastAsia="es-ES"/>
              </w:rPr>
            </w:pPr>
            <w:r w:rsidRPr="00576357">
              <w:rPr>
                <w:rFonts w:ascii="Roboto" w:hAnsi="Roboto"/>
                <w:b/>
                <w:sz w:val="18"/>
                <w:szCs w:val="18"/>
                <w:lang w:val="en-US" w:eastAsia="es-ES"/>
              </w:rPr>
              <w:t>6</w:t>
            </w:r>
          </w:p>
        </w:tc>
        <w:tc>
          <w:tcPr>
            <w:tcW w:w="842" w:type="dxa"/>
            <w:shd w:val="clear" w:color="auto" w:fill="153D63"/>
          </w:tcPr>
          <w:p w14:paraId="4345DB06" w14:textId="77777777" w:rsidR="00576357" w:rsidRPr="00576357" w:rsidRDefault="00576357" w:rsidP="00576357">
            <w:pPr>
              <w:spacing w:before="0" w:after="0" w:line="240" w:lineRule="auto"/>
              <w:jc w:val="center"/>
              <w:rPr>
                <w:rFonts w:ascii="Roboto" w:hAnsi="Roboto"/>
                <w:b/>
                <w:sz w:val="18"/>
                <w:szCs w:val="18"/>
                <w:lang w:val="en-US" w:eastAsia="es-ES"/>
              </w:rPr>
            </w:pPr>
            <w:r w:rsidRPr="00576357">
              <w:rPr>
                <w:rFonts w:ascii="Roboto" w:hAnsi="Roboto"/>
                <w:b/>
                <w:sz w:val="18"/>
                <w:szCs w:val="18"/>
                <w:lang w:val="en-US" w:eastAsia="es-ES"/>
              </w:rPr>
              <w:t>7</w:t>
            </w:r>
          </w:p>
        </w:tc>
        <w:tc>
          <w:tcPr>
            <w:tcW w:w="952" w:type="dxa"/>
            <w:shd w:val="clear" w:color="auto" w:fill="153D63"/>
          </w:tcPr>
          <w:p w14:paraId="69F04247" w14:textId="77777777" w:rsidR="00576357" w:rsidRPr="00576357" w:rsidRDefault="00576357" w:rsidP="00576357">
            <w:pPr>
              <w:spacing w:before="0" w:after="0" w:line="240" w:lineRule="auto"/>
              <w:jc w:val="center"/>
              <w:rPr>
                <w:rFonts w:ascii="Roboto" w:hAnsi="Roboto"/>
                <w:b/>
                <w:sz w:val="18"/>
                <w:szCs w:val="18"/>
                <w:lang w:val="en-US" w:eastAsia="es-ES"/>
              </w:rPr>
            </w:pPr>
            <w:r w:rsidRPr="00576357">
              <w:rPr>
                <w:rFonts w:ascii="Roboto" w:hAnsi="Roboto"/>
                <w:b/>
                <w:sz w:val="18"/>
                <w:szCs w:val="18"/>
                <w:lang w:val="en-US" w:eastAsia="es-ES"/>
              </w:rPr>
              <w:t>8</w:t>
            </w:r>
          </w:p>
        </w:tc>
      </w:tr>
      <w:tr w:rsidR="00576357" w:rsidRPr="00576357" w14:paraId="647ACE23" w14:textId="77777777" w:rsidTr="00576357">
        <w:trPr>
          <w:jc w:val="center"/>
        </w:trPr>
        <w:tc>
          <w:tcPr>
            <w:tcW w:w="2146" w:type="dxa"/>
            <w:shd w:val="clear" w:color="auto" w:fill="153D63"/>
          </w:tcPr>
          <w:p w14:paraId="40D1F763" w14:textId="77777777" w:rsidR="00576357" w:rsidRPr="00576357" w:rsidRDefault="00576357" w:rsidP="00576357">
            <w:pPr>
              <w:spacing w:before="0" w:after="0" w:line="240" w:lineRule="auto"/>
              <w:jc w:val="center"/>
              <w:rPr>
                <w:rFonts w:ascii="Roboto" w:hAnsi="Roboto"/>
                <w:b/>
                <w:sz w:val="18"/>
                <w:szCs w:val="18"/>
                <w:lang w:val="en-US" w:eastAsia="es-ES"/>
              </w:rPr>
            </w:pPr>
          </w:p>
        </w:tc>
        <w:tc>
          <w:tcPr>
            <w:tcW w:w="941" w:type="dxa"/>
            <w:shd w:val="clear" w:color="auto" w:fill="153D63"/>
          </w:tcPr>
          <w:p w14:paraId="520C6C3A" w14:textId="77777777" w:rsidR="00576357" w:rsidRPr="00576357" w:rsidRDefault="00576357" w:rsidP="00576357">
            <w:pPr>
              <w:spacing w:before="0" w:after="0" w:line="240" w:lineRule="auto"/>
              <w:jc w:val="center"/>
              <w:rPr>
                <w:rFonts w:ascii="Roboto" w:hAnsi="Roboto"/>
                <w:b/>
                <w:sz w:val="18"/>
                <w:szCs w:val="18"/>
                <w:lang w:val="en-US" w:eastAsia="es-ES"/>
              </w:rPr>
            </w:pPr>
          </w:p>
        </w:tc>
        <w:tc>
          <w:tcPr>
            <w:tcW w:w="843" w:type="dxa"/>
            <w:shd w:val="clear" w:color="auto" w:fill="153D63"/>
          </w:tcPr>
          <w:p w14:paraId="41A0D00D" w14:textId="77777777" w:rsidR="00576357" w:rsidRPr="00576357" w:rsidRDefault="00576357" w:rsidP="00576357">
            <w:pPr>
              <w:spacing w:before="0" w:after="0" w:line="240" w:lineRule="auto"/>
              <w:jc w:val="center"/>
              <w:rPr>
                <w:rFonts w:ascii="Roboto" w:hAnsi="Roboto"/>
                <w:b/>
                <w:sz w:val="18"/>
                <w:szCs w:val="18"/>
                <w:lang w:val="en-US" w:eastAsia="es-ES"/>
              </w:rPr>
            </w:pPr>
          </w:p>
        </w:tc>
        <w:tc>
          <w:tcPr>
            <w:tcW w:w="842" w:type="dxa"/>
            <w:shd w:val="clear" w:color="auto" w:fill="153D63"/>
          </w:tcPr>
          <w:p w14:paraId="515A5A8A" w14:textId="77777777" w:rsidR="00576357" w:rsidRPr="00576357" w:rsidRDefault="00576357" w:rsidP="00576357">
            <w:pPr>
              <w:spacing w:before="0" w:after="0" w:line="240" w:lineRule="auto"/>
              <w:jc w:val="center"/>
              <w:rPr>
                <w:rFonts w:ascii="Roboto" w:hAnsi="Roboto"/>
                <w:b/>
                <w:sz w:val="18"/>
                <w:szCs w:val="18"/>
                <w:lang w:val="en-US" w:eastAsia="es-ES"/>
              </w:rPr>
            </w:pPr>
          </w:p>
        </w:tc>
        <w:tc>
          <w:tcPr>
            <w:tcW w:w="842" w:type="dxa"/>
            <w:shd w:val="clear" w:color="auto" w:fill="153D63"/>
          </w:tcPr>
          <w:p w14:paraId="1250357B" w14:textId="77777777" w:rsidR="00576357" w:rsidRPr="00576357" w:rsidRDefault="00576357" w:rsidP="00576357">
            <w:pPr>
              <w:spacing w:before="0" w:after="0" w:line="240" w:lineRule="auto"/>
              <w:jc w:val="center"/>
              <w:rPr>
                <w:rFonts w:ascii="Roboto" w:hAnsi="Roboto"/>
                <w:b/>
                <w:sz w:val="18"/>
                <w:szCs w:val="18"/>
                <w:lang w:val="en-US" w:eastAsia="es-ES"/>
              </w:rPr>
            </w:pPr>
          </w:p>
        </w:tc>
        <w:tc>
          <w:tcPr>
            <w:tcW w:w="842" w:type="dxa"/>
            <w:shd w:val="clear" w:color="auto" w:fill="153D63"/>
          </w:tcPr>
          <w:p w14:paraId="2A205EE4" w14:textId="77777777" w:rsidR="00576357" w:rsidRPr="00576357" w:rsidRDefault="00576357" w:rsidP="00576357">
            <w:pPr>
              <w:spacing w:before="0" w:after="0" w:line="240" w:lineRule="auto"/>
              <w:jc w:val="center"/>
              <w:rPr>
                <w:rFonts w:ascii="Roboto" w:hAnsi="Roboto"/>
                <w:b/>
                <w:sz w:val="18"/>
                <w:szCs w:val="18"/>
                <w:lang w:val="en-US" w:eastAsia="es-ES"/>
              </w:rPr>
            </w:pPr>
          </w:p>
        </w:tc>
        <w:tc>
          <w:tcPr>
            <w:tcW w:w="842" w:type="dxa"/>
            <w:shd w:val="clear" w:color="auto" w:fill="153D63"/>
          </w:tcPr>
          <w:p w14:paraId="36E514F0" w14:textId="77777777" w:rsidR="00576357" w:rsidRPr="00576357" w:rsidRDefault="00576357" w:rsidP="00576357">
            <w:pPr>
              <w:spacing w:before="0" w:after="0" w:line="240" w:lineRule="auto"/>
              <w:jc w:val="center"/>
              <w:rPr>
                <w:rFonts w:ascii="Roboto" w:hAnsi="Roboto"/>
                <w:b/>
                <w:sz w:val="18"/>
                <w:szCs w:val="18"/>
                <w:lang w:val="en-US" w:eastAsia="es-ES"/>
              </w:rPr>
            </w:pPr>
          </w:p>
        </w:tc>
        <w:tc>
          <w:tcPr>
            <w:tcW w:w="842" w:type="dxa"/>
            <w:shd w:val="clear" w:color="auto" w:fill="153D63"/>
          </w:tcPr>
          <w:p w14:paraId="0D61194D" w14:textId="77777777" w:rsidR="00576357" w:rsidRPr="00576357" w:rsidRDefault="00576357" w:rsidP="00576357">
            <w:pPr>
              <w:spacing w:before="0" w:after="0" w:line="240" w:lineRule="auto"/>
              <w:jc w:val="center"/>
              <w:rPr>
                <w:rFonts w:ascii="Roboto" w:hAnsi="Roboto"/>
                <w:b/>
                <w:sz w:val="18"/>
                <w:szCs w:val="18"/>
                <w:lang w:val="en-US" w:eastAsia="es-ES"/>
              </w:rPr>
            </w:pPr>
          </w:p>
        </w:tc>
        <w:tc>
          <w:tcPr>
            <w:tcW w:w="952" w:type="dxa"/>
            <w:shd w:val="clear" w:color="auto" w:fill="153D63"/>
          </w:tcPr>
          <w:p w14:paraId="611457D7" w14:textId="77777777" w:rsidR="00576357" w:rsidRPr="00576357" w:rsidRDefault="00576357" w:rsidP="00576357">
            <w:pPr>
              <w:spacing w:before="0" w:after="0" w:line="240" w:lineRule="auto"/>
              <w:jc w:val="center"/>
              <w:rPr>
                <w:rFonts w:ascii="Roboto" w:hAnsi="Roboto"/>
                <w:b/>
                <w:sz w:val="18"/>
                <w:szCs w:val="18"/>
                <w:lang w:val="en-US" w:eastAsia="es-ES"/>
              </w:rPr>
            </w:pPr>
          </w:p>
        </w:tc>
      </w:tr>
      <w:tr w:rsidR="00576357" w:rsidRPr="00576357" w14:paraId="08A8F5D2" w14:textId="77777777" w:rsidTr="00F268BB">
        <w:trPr>
          <w:jc w:val="center"/>
        </w:trPr>
        <w:tc>
          <w:tcPr>
            <w:tcW w:w="2146" w:type="dxa"/>
          </w:tcPr>
          <w:p w14:paraId="5642F84B" w14:textId="77777777" w:rsidR="00576357" w:rsidRPr="00576357" w:rsidRDefault="00576357" w:rsidP="00576357">
            <w:pPr>
              <w:spacing w:before="0" w:after="0" w:line="240" w:lineRule="auto"/>
              <w:jc w:val="left"/>
              <w:rPr>
                <w:rFonts w:ascii="Roboto" w:hAnsi="Roboto"/>
                <w:sz w:val="18"/>
                <w:szCs w:val="18"/>
                <w:lang w:val="es-CR" w:eastAsia="es-ES"/>
              </w:rPr>
            </w:pPr>
            <w:r w:rsidRPr="00576357">
              <w:rPr>
                <w:rFonts w:ascii="Roboto" w:hAnsi="Roboto"/>
                <w:sz w:val="18"/>
                <w:szCs w:val="18"/>
                <w:lang w:val="es-CR" w:eastAsia="es-ES"/>
              </w:rPr>
              <w:t xml:space="preserve">Créditos </w:t>
            </w:r>
            <w:proofErr w:type="spellStart"/>
            <w:r w:rsidRPr="00576357">
              <w:rPr>
                <w:rFonts w:ascii="Roboto" w:hAnsi="Roboto"/>
                <w:sz w:val="18"/>
                <w:szCs w:val="18"/>
                <w:lang w:val="es-CR" w:eastAsia="es-ES"/>
              </w:rPr>
              <w:t>revolutivos</w:t>
            </w:r>
            <w:proofErr w:type="spellEnd"/>
            <w:r w:rsidRPr="00576357">
              <w:rPr>
                <w:rFonts w:ascii="Roboto" w:hAnsi="Roboto"/>
                <w:sz w:val="18"/>
                <w:szCs w:val="18"/>
                <w:lang w:val="es-CR" w:eastAsia="es-ES"/>
              </w:rPr>
              <w:t xml:space="preserve"> de consumo </w:t>
            </w:r>
          </w:p>
        </w:tc>
        <w:tc>
          <w:tcPr>
            <w:tcW w:w="941" w:type="dxa"/>
            <w:vAlign w:val="center"/>
          </w:tcPr>
          <w:p w14:paraId="623C3E72"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3,00%</w:t>
            </w:r>
          </w:p>
        </w:tc>
        <w:tc>
          <w:tcPr>
            <w:tcW w:w="843" w:type="dxa"/>
            <w:vAlign w:val="center"/>
          </w:tcPr>
          <w:p w14:paraId="3C347627"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15,00%</w:t>
            </w:r>
          </w:p>
        </w:tc>
        <w:tc>
          <w:tcPr>
            <w:tcW w:w="842" w:type="dxa"/>
            <w:vAlign w:val="center"/>
          </w:tcPr>
          <w:p w14:paraId="43A58EBC"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25,00%</w:t>
            </w:r>
          </w:p>
        </w:tc>
        <w:tc>
          <w:tcPr>
            <w:tcW w:w="842" w:type="dxa"/>
            <w:vAlign w:val="center"/>
          </w:tcPr>
          <w:p w14:paraId="41619099"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30,00%</w:t>
            </w:r>
          </w:p>
        </w:tc>
        <w:tc>
          <w:tcPr>
            <w:tcW w:w="842" w:type="dxa"/>
            <w:vAlign w:val="center"/>
          </w:tcPr>
          <w:p w14:paraId="56F5104D"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60,00%</w:t>
            </w:r>
          </w:p>
        </w:tc>
        <w:tc>
          <w:tcPr>
            <w:tcW w:w="842" w:type="dxa"/>
            <w:vAlign w:val="center"/>
          </w:tcPr>
          <w:p w14:paraId="127F4832"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80,00%</w:t>
            </w:r>
          </w:p>
        </w:tc>
        <w:tc>
          <w:tcPr>
            <w:tcW w:w="842" w:type="dxa"/>
            <w:vAlign w:val="center"/>
          </w:tcPr>
          <w:p w14:paraId="3801610F"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85,00%</w:t>
            </w:r>
          </w:p>
        </w:tc>
        <w:tc>
          <w:tcPr>
            <w:tcW w:w="952" w:type="dxa"/>
            <w:vAlign w:val="center"/>
          </w:tcPr>
          <w:p w14:paraId="27F54D73"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95,00%</w:t>
            </w:r>
          </w:p>
        </w:tc>
      </w:tr>
      <w:tr w:rsidR="00576357" w:rsidRPr="00576357" w14:paraId="59DECF03" w14:textId="77777777" w:rsidTr="00F268BB">
        <w:trPr>
          <w:jc w:val="center"/>
        </w:trPr>
        <w:tc>
          <w:tcPr>
            <w:tcW w:w="2146" w:type="dxa"/>
          </w:tcPr>
          <w:p w14:paraId="54EB1FE0" w14:textId="77777777" w:rsidR="00576357" w:rsidRPr="00576357" w:rsidRDefault="00576357" w:rsidP="00576357">
            <w:pPr>
              <w:spacing w:before="0" w:after="0" w:line="240" w:lineRule="auto"/>
              <w:jc w:val="left"/>
              <w:rPr>
                <w:rFonts w:ascii="Roboto" w:hAnsi="Roboto"/>
                <w:sz w:val="18"/>
                <w:szCs w:val="18"/>
                <w:lang w:val="es-CR" w:eastAsia="es-ES"/>
              </w:rPr>
            </w:pPr>
            <w:r w:rsidRPr="00576357">
              <w:rPr>
                <w:rFonts w:ascii="Roboto" w:hAnsi="Roboto"/>
                <w:sz w:val="18"/>
                <w:szCs w:val="18"/>
                <w:lang w:val="es-CR" w:eastAsia="es-ES"/>
              </w:rPr>
              <w:t>Préstamos de consumo</w:t>
            </w:r>
          </w:p>
        </w:tc>
        <w:tc>
          <w:tcPr>
            <w:tcW w:w="941" w:type="dxa"/>
            <w:vAlign w:val="center"/>
          </w:tcPr>
          <w:p w14:paraId="5B32C31E"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2,00%</w:t>
            </w:r>
          </w:p>
        </w:tc>
        <w:tc>
          <w:tcPr>
            <w:tcW w:w="843" w:type="dxa"/>
            <w:vAlign w:val="center"/>
          </w:tcPr>
          <w:p w14:paraId="45744192"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7,50%</w:t>
            </w:r>
          </w:p>
        </w:tc>
        <w:tc>
          <w:tcPr>
            <w:tcW w:w="842" w:type="dxa"/>
            <w:vAlign w:val="center"/>
          </w:tcPr>
          <w:p w14:paraId="1804588E"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20,00%</w:t>
            </w:r>
          </w:p>
        </w:tc>
        <w:tc>
          <w:tcPr>
            <w:tcW w:w="842" w:type="dxa"/>
            <w:vAlign w:val="center"/>
          </w:tcPr>
          <w:p w14:paraId="79C6033E"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30,00%</w:t>
            </w:r>
          </w:p>
        </w:tc>
        <w:tc>
          <w:tcPr>
            <w:tcW w:w="842" w:type="dxa"/>
            <w:vAlign w:val="center"/>
          </w:tcPr>
          <w:p w14:paraId="3C77628D"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60,00%</w:t>
            </w:r>
          </w:p>
        </w:tc>
        <w:tc>
          <w:tcPr>
            <w:tcW w:w="842" w:type="dxa"/>
            <w:vAlign w:val="center"/>
          </w:tcPr>
          <w:p w14:paraId="4B0C8CF8"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75,00%</w:t>
            </w:r>
          </w:p>
        </w:tc>
        <w:tc>
          <w:tcPr>
            <w:tcW w:w="842" w:type="dxa"/>
            <w:vAlign w:val="center"/>
          </w:tcPr>
          <w:p w14:paraId="3B88E674"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85,00%</w:t>
            </w:r>
          </w:p>
        </w:tc>
        <w:tc>
          <w:tcPr>
            <w:tcW w:w="952" w:type="dxa"/>
            <w:vAlign w:val="center"/>
          </w:tcPr>
          <w:p w14:paraId="0DFDBA40"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95,00%</w:t>
            </w:r>
          </w:p>
        </w:tc>
      </w:tr>
      <w:tr w:rsidR="00576357" w:rsidRPr="00576357" w14:paraId="06CC83CF" w14:textId="77777777" w:rsidTr="00F268BB">
        <w:trPr>
          <w:jc w:val="center"/>
        </w:trPr>
        <w:tc>
          <w:tcPr>
            <w:tcW w:w="2146" w:type="dxa"/>
          </w:tcPr>
          <w:p w14:paraId="53B894E8" w14:textId="77777777" w:rsidR="00576357" w:rsidRPr="00576357" w:rsidRDefault="00576357" w:rsidP="00576357">
            <w:pPr>
              <w:spacing w:before="0" w:after="0" w:line="240" w:lineRule="auto"/>
              <w:jc w:val="left"/>
              <w:rPr>
                <w:rFonts w:ascii="Roboto" w:hAnsi="Roboto"/>
                <w:sz w:val="18"/>
                <w:szCs w:val="18"/>
                <w:lang w:val="es-CR" w:eastAsia="es-ES"/>
              </w:rPr>
            </w:pPr>
            <w:r w:rsidRPr="00576357">
              <w:rPr>
                <w:rFonts w:ascii="Roboto" w:hAnsi="Roboto"/>
                <w:sz w:val="18"/>
                <w:szCs w:val="18"/>
                <w:lang w:val="es-CR" w:eastAsia="es-ES"/>
              </w:rPr>
              <w:t>Préstamos vehiculares</w:t>
            </w:r>
          </w:p>
        </w:tc>
        <w:tc>
          <w:tcPr>
            <w:tcW w:w="941" w:type="dxa"/>
            <w:vAlign w:val="center"/>
          </w:tcPr>
          <w:p w14:paraId="6B357AEB"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1,00%</w:t>
            </w:r>
          </w:p>
        </w:tc>
        <w:tc>
          <w:tcPr>
            <w:tcW w:w="843" w:type="dxa"/>
            <w:vAlign w:val="center"/>
          </w:tcPr>
          <w:p w14:paraId="7DB98620"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7,50%</w:t>
            </w:r>
          </w:p>
        </w:tc>
        <w:tc>
          <w:tcPr>
            <w:tcW w:w="842" w:type="dxa"/>
            <w:vAlign w:val="center"/>
          </w:tcPr>
          <w:p w14:paraId="515B6419"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15,00%</w:t>
            </w:r>
          </w:p>
        </w:tc>
        <w:tc>
          <w:tcPr>
            <w:tcW w:w="842" w:type="dxa"/>
            <w:vAlign w:val="center"/>
          </w:tcPr>
          <w:p w14:paraId="3A1BF145"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25,00%</w:t>
            </w:r>
          </w:p>
        </w:tc>
        <w:tc>
          <w:tcPr>
            <w:tcW w:w="842" w:type="dxa"/>
            <w:vAlign w:val="center"/>
          </w:tcPr>
          <w:p w14:paraId="5D03A3E7"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50,00%</w:t>
            </w:r>
          </w:p>
        </w:tc>
        <w:tc>
          <w:tcPr>
            <w:tcW w:w="842" w:type="dxa"/>
            <w:vAlign w:val="center"/>
          </w:tcPr>
          <w:p w14:paraId="6FB3CBD4"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65,00%</w:t>
            </w:r>
          </w:p>
        </w:tc>
        <w:tc>
          <w:tcPr>
            <w:tcW w:w="842" w:type="dxa"/>
            <w:vAlign w:val="center"/>
          </w:tcPr>
          <w:p w14:paraId="5F9F67F8"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75,00%</w:t>
            </w:r>
          </w:p>
        </w:tc>
        <w:tc>
          <w:tcPr>
            <w:tcW w:w="952" w:type="dxa"/>
            <w:vAlign w:val="center"/>
          </w:tcPr>
          <w:p w14:paraId="01647AED"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90,00%</w:t>
            </w:r>
          </w:p>
        </w:tc>
      </w:tr>
      <w:tr w:rsidR="00576357" w:rsidRPr="00576357" w14:paraId="48301C16" w14:textId="77777777" w:rsidTr="00F268BB">
        <w:trPr>
          <w:jc w:val="center"/>
        </w:trPr>
        <w:tc>
          <w:tcPr>
            <w:tcW w:w="2146" w:type="dxa"/>
          </w:tcPr>
          <w:p w14:paraId="6EE94808" w14:textId="77777777" w:rsidR="00576357" w:rsidRPr="00576357" w:rsidRDefault="00576357" w:rsidP="00576357">
            <w:pPr>
              <w:spacing w:before="0" w:after="0" w:line="240" w:lineRule="auto"/>
              <w:jc w:val="left"/>
              <w:rPr>
                <w:rFonts w:ascii="Roboto" w:hAnsi="Roboto"/>
                <w:sz w:val="18"/>
                <w:szCs w:val="18"/>
                <w:lang w:val="es-CR" w:eastAsia="es-ES"/>
              </w:rPr>
            </w:pPr>
            <w:r w:rsidRPr="00576357">
              <w:rPr>
                <w:rFonts w:ascii="Roboto" w:hAnsi="Roboto"/>
                <w:sz w:val="18"/>
                <w:szCs w:val="18"/>
                <w:lang w:val="es-CR" w:eastAsia="es-ES"/>
              </w:rPr>
              <w:t>Créditos de vivienda</w:t>
            </w:r>
          </w:p>
        </w:tc>
        <w:tc>
          <w:tcPr>
            <w:tcW w:w="941" w:type="dxa"/>
            <w:vAlign w:val="center"/>
          </w:tcPr>
          <w:p w14:paraId="067D4A37"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0,25%</w:t>
            </w:r>
          </w:p>
        </w:tc>
        <w:tc>
          <w:tcPr>
            <w:tcW w:w="843" w:type="dxa"/>
            <w:vAlign w:val="center"/>
          </w:tcPr>
          <w:p w14:paraId="0F94E00C"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3,50%</w:t>
            </w:r>
          </w:p>
        </w:tc>
        <w:tc>
          <w:tcPr>
            <w:tcW w:w="842" w:type="dxa"/>
            <w:vAlign w:val="center"/>
          </w:tcPr>
          <w:p w14:paraId="5D63EB73"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7,50%</w:t>
            </w:r>
          </w:p>
        </w:tc>
        <w:tc>
          <w:tcPr>
            <w:tcW w:w="842" w:type="dxa"/>
            <w:vAlign w:val="center"/>
          </w:tcPr>
          <w:p w14:paraId="5D4C725E"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10,00%</w:t>
            </w:r>
          </w:p>
        </w:tc>
        <w:tc>
          <w:tcPr>
            <w:tcW w:w="842" w:type="dxa"/>
            <w:vAlign w:val="center"/>
          </w:tcPr>
          <w:p w14:paraId="58CC66F3"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40,00%</w:t>
            </w:r>
          </w:p>
        </w:tc>
        <w:tc>
          <w:tcPr>
            <w:tcW w:w="842" w:type="dxa"/>
            <w:vAlign w:val="center"/>
          </w:tcPr>
          <w:p w14:paraId="34965A36"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55,00%</w:t>
            </w:r>
          </w:p>
        </w:tc>
        <w:tc>
          <w:tcPr>
            <w:tcW w:w="842" w:type="dxa"/>
            <w:vAlign w:val="center"/>
          </w:tcPr>
          <w:p w14:paraId="070F8C9B"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70,00%</w:t>
            </w:r>
          </w:p>
        </w:tc>
        <w:tc>
          <w:tcPr>
            <w:tcW w:w="952" w:type="dxa"/>
            <w:vAlign w:val="center"/>
          </w:tcPr>
          <w:p w14:paraId="7A91D89E"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90,00%</w:t>
            </w:r>
          </w:p>
        </w:tc>
      </w:tr>
      <w:tr w:rsidR="00576357" w:rsidRPr="00576357" w14:paraId="49F69CE1" w14:textId="77777777" w:rsidTr="00F268BB">
        <w:trPr>
          <w:jc w:val="center"/>
        </w:trPr>
        <w:tc>
          <w:tcPr>
            <w:tcW w:w="2146" w:type="dxa"/>
          </w:tcPr>
          <w:p w14:paraId="78B2470A" w14:textId="77777777" w:rsidR="00576357" w:rsidRPr="00576357" w:rsidRDefault="00576357" w:rsidP="00576357">
            <w:pPr>
              <w:spacing w:before="0" w:after="0" w:line="240" w:lineRule="auto"/>
              <w:jc w:val="left"/>
              <w:rPr>
                <w:rFonts w:ascii="Roboto" w:hAnsi="Roboto"/>
                <w:sz w:val="18"/>
                <w:szCs w:val="18"/>
                <w:lang w:val="es-CR" w:eastAsia="es-ES"/>
              </w:rPr>
            </w:pPr>
            <w:r w:rsidRPr="00576357">
              <w:rPr>
                <w:rFonts w:ascii="Roboto" w:hAnsi="Roboto"/>
                <w:sz w:val="18"/>
                <w:szCs w:val="18"/>
                <w:lang w:val="es-CR" w:eastAsia="es-ES"/>
              </w:rPr>
              <w:t>Créditos Empresarial 1</w:t>
            </w:r>
          </w:p>
        </w:tc>
        <w:tc>
          <w:tcPr>
            <w:tcW w:w="941" w:type="dxa"/>
            <w:vAlign w:val="center"/>
          </w:tcPr>
          <w:p w14:paraId="6A5C3CAC"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1,00%</w:t>
            </w:r>
          </w:p>
        </w:tc>
        <w:tc>
          <w:tcPr>
            <w:tcW w:w="843" w:type="dxa"/>
            <w:vAlign w:val="center"/>
          </w:tcPr>
          <w:p w14:paraId="6F907E01"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7,50%</w:t>
            </w:r>
          </w:p>
        </w:tc>
        <w:tc>
          <w:tcPr>
            <w:tcW w:w="842" w:type="dxa"/>
            <w:vAlign w:val="center"/>
          </w:tcPr>
          <w:p w14:paraId="153EDF4E"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20,00%</w:t>
            </w:r>
          </w:p>
        </w:tc>
        <w:tc>
          <w:tcPr>
            <w:tcW w:w="842" w:type="dxa"/>
            <w:vAlign w:val="center"/>
          </w:tcPr>
          <w:p w14:paraId="28097F64"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30,00%</w:t>
            </w:r>
          </w:p>
        </w:tc>
        <w:tc>
          <w:tcPr>
            <w:tcW w:w="842" w:type="dxa"/>
            <w:vAlign w:val="center"/>
          </w:tcPr>
          <w:p w14:paraId="0F68E0D2"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70,00%</w:t>
            </w:r>
          </w:p>
        </w:tc>
        <w:tc>
          <w:tcPr>
            <w:tcW w:w="842" w:type="dxa"/>
            <w:vAlign w:val="center"/>
          </w:tcPr>
          <w:p w14:paraId="45858253"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80,00%</w:t>
            </w:r>
          </w:p>
        </w:tc>
        <w:tc>
          <w:tcPr>
            <w:tcW w:w="842" w:type="dxa"/>
            <w:vAlign w:val="center"/>
          </w:tcPr>
          <w:p w14:paraId="2DE5802C"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85,00%</w:t>
            </w:r>
          </w:p>
        </w:tc>
        <w:tc>
          <w:tcPr>
            <w:tcW w:w="952" w:type="dxa"/>
            <w:vAlign w:val="center"/>
          </w:tcPr>
          <w:p w14:paraId="5872DF8A"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95,00%</w:t>
            </w:r>
          </w:p>
        </w:tc>
      </w:tr>
      <w:tr w:rsidR="00576357" w:rsidRPr="00576357" w14:paraId="4F8C5E75" w14:textId="77777777" w:rsidTr="00F268BB">
        <w:trPr>
          <w:jc w:val="center"/>
        </w:trPr>
        <w:tc>
          <w:tcPr>
            <w:tcW w:w="2146" w:type="dxa"/>
          </w:tcPr>
          <w:p w14:paraId="14ED4539" w14:textId="77777777" w:rsidR="00576357" w:rsidRPr="00576357" w:rsidRDefault="00576357" w:rsidP="00576357">
            <w:pPr>
              <w:spacing w:before="0" w:after="0" w:line="240" w:lineRule="auto"/>
              <w:jc w:val="left"/>
              <w:rPr>
                <w:rFonts w:ascii="Roboto" w:hAnsi="Roboto"/>
                <w:sz w:val="18"/>
                <w:szCs w:val="18"/>
                <w:lang w:val="es-CR" w:eastAsia="es-ES"/>
              </w:rPr>
            </w:pPr>
            <w:r w:rsidRPr="00576357">
              <w:rPr>
                <w:rFonts w:ascii="Roboto" w:hAnsi="Roboto"/>
                <w:sz w:val="18"/>
                <w:szCs w:val="18"/>
                <w:lang w:val="es-CR" w:eastAsia="es-ES"/>
              </w:rPr>
              <w:t>Créditos Empresarial 2</w:t>
            </w:r>
          </w:p>
        </w:tc>
        <w:tc>
          <w:tcPr>
            <w:tcW w:w="941" w:type="dxa"/>
            <w:vAlign w:val="center"/>
          </w:tcPr>
          <w:p w14:paraId="6D855B3E"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1,50%</w:t>
            </w:r>
          </w:p>
        </w:tc>
        <w:tc>
          <w:tcPr>
            <w:tcW w:w="843" w:type="dxa"/>
            <w:vAlign w:val="center"/>
          </w:tcPr>
          <w:p w14:paraId="300A5AED"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2,50%</w:t>
            </w:r>
          </w:p>
        </w:tc>
        <w:tc>
          <w:tcPr>
            <w:tcW w:w="842" w:type="dxa"/>
            <w:vAlign w:val="center"/>
          </w:tcPr>
          <w:p w14:paraId="184F0440"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10,00%</w:t>
            </w:r>
          </w:p>
        </w:tc>
        <w:tc>
          <w:tcPr>
            <w:tcW w:w="842" w:type="dxa"/>
            <w:vAlign w:val="center"/>
          </w:tcPr>
          <w:p w14:paraId="2A62D009"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20,00%</w:t>
            </w:r>
          </w:p>
        </w:tc>
        <w:tc>
          <w:tcPr>
            <w:tcW w:w="842" w:type="dxa"/>
            <w:vAlign w:val="center"/>
          </w:tcPr>
          <w:p w14:paraId="2BD3B95F"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50,00%</w:t>
            </w:r>
          </w:p>
        </w:tc>
        <w:tc>
          <w:tcPr>
            <w:tcW w:w="842" w:type="dxa"/>
            <w:vAlign w:val="center"/>
          </w:tcPr>
          <w:p w14:paraId="747B2BA7"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75,00%</w:t>
            </w:r>
          </w:p>
        </w:tc>
        <w:tc>
          <w:tcPr>
            <w:tcW w:w="842" w:type="dxa"/>
            <w:vAlign w:val="center"/>
          </w:tcPr>
          <w:p w14:paraId="3446A413"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90,00%</w:t>
            </w:r>
          </w:p>
        </w:tc>
        <w:tc>
          <w:tcPr>
            <w:tcW w:w="952" w:type="dxa"/>
            <w:vAlign w:val="center"/>
          </w:tcPr>
          <w:p w14:paraId="151130DE"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100,00%</w:t>
            </w:r>
          </w:p>
        </w:tc>
      </w:tr>
      <w:tr w:rsidR="00576357" w:rsidRPr="00576357" w14:paraId="3630862C" w14:textId="77777777" w:rsidTr="00F268BB">
        <w:trPr>
          <w:jc w:val="center"/>
        </w:trPr>
        <w:tc>
          <w:tcPr>
            <w:tcW w:w="2146" w:type="dxa"/>
          </w:tcPr>
          <w:p w14:paraId="571095FB" w14:textId="77777777" w:rsidR="00576357" w:rsidRPr="00576357" w:rsidRDefault="00576357" w:rsidP="00576357">
            <w:pPr>
              <w:spacing w:before="0" w:after="0" w:line="240" w:lineRule="auto"/>
              <w:jc w:val="left"/>
              <w:rPr>
                <w:rFonts w:ascii="Roboto" w:hAnsi="Roboto"/>
                <w:sz w:val="18"/>
                <w:szCs w:val="18"/>
                <w:lang w:val="es-CR" w:eastAsia="es-ES"/>
              </w:rPr>
            </w:pPr>
            <w:r w:rsidRPr="00576357">
              <w:rPr>
                <w:rFonts w:ascii="Roboto" w:hAnsi="Roboto"/>
                <w:sz w:val="18"/>
                <w:szCs w:val="18"/>
                <w:lang w:val="es-CR" w:eastAsia="es-ES"/>
              </w:rPr>
              <w:t>Créditos Empresarial 3</w:t>
            </w:r>
          </w:p>
        </w:tc>
        <w:tc>
          <w:tcPr>
            <w:tcW w:w="941" w:type="dxa"/>
            <w:vAlign w:val="center"/>
          </w:tcPr>
          <w:p w14:paraId="3256921B"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0,50%</w:t>
            </w:r>
          </w:p>
        </w:tc>
        <w:tc>
          <w:tcPr>
            <w:tcW w:w="843" w:type="dxa"/>
            <w:vAlign w:val="center"/>
          </w:tcPr>
          <w:p w14:paraId="3E2FDA12"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10,00%</w:t>
            </w:r>
          </w:p>
        </w:tc>
        <w:tc>
          <w:tcPr>
            <w:tcW w:w="842" w:type="dxa"/>
            <w:vAlign w:val="center"/>
          </w:tcPr>
          <w:p w14:paraId="4CCDAA39"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15,00%</w:t>
            </w:r>
          </w:p>
        </w:tc>
        <w:tc>
          <w:tcPr>
            <w:tcW w:w="842" w:type="dxa"/>
            <w:vAlign w:val="center"/>
          </w:tcPr>
          <w:p w14:paraId="090823B4"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20,00%</w:t>
            </w:r>
          </w:p>
        </w:tc>
        <w:tc>
          <w:tcPr>
            <w:tcW w:w="842" w:type="dxa"/>
            <w:vAlign w:val="center"/>
          </w:tcPr>
          <w:p w14:paraId="184E5F73"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40,00%</w:t>
            </w:r>
          </w:p>
        </w:tc>
        <w:tc>
          <w:tcPr>
            <w:tcW w:w="842" w:type="dxa"/>
            <w:vAlign w:val="center"/>
          </w:tcPr>
          <w:p w14:paraId="11B074F4"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55,00%</w:t>
            </w:r>
          </w:p>
        </w:tc>
        <w:tc>
          <w:tcPr>
            <w:tcW w:w="842" w:type="dxa"/>
            <w:vAlign w:val="center"/>
          </w:tcPr>
          <w:p w14:paraId="398374A1"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75,00%</w:t>
            </w:r>
          </w:p>
        </w:tc>
        <w:tc>
          <w:tcPr>
            <w:tcW w:w="952" w:type="dxa"/>
            <w:vAlign w:val="center"/>
          </w:tcPr>
          <w:p w14:paraId="031E22FA"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90,00%</w:t>
            </w:r>
          </w:p>
        </w:tc>
      </w:tr>
    </w:tbl>
    <w:p w14:paraId="6E1D3A10" w14:textId="77777777" w:rsidR="009C192E" w:rsidRPr="00576357" w:rsidRDefault="009C192E" w:rsidP="00576357">
      <w:pPr>
        <w:rPr>
          <w:rFonts w:asciiTheme="majorHAnsi" w:hAnsiTheme="majorHAnsi" w:cstheme="majorHAnsi"/>
          <w:b/>
          <w:bCs/>
          <w:sz w:val="23"/>
          <w:szCs w:val="23"/>
        </w:rPr>
      </w:pPr>
    </w:p>
    <w:p w14:paraId="049FC508" w14:textId="5FD3B9CB" w:rsidR="009C192E" w:rsidRPr="00576357" w:rsidRDefault="00576357" w:rsidP="009C192E">
      <w:pPr>
        <w:pStyle w:val="Ttulo2"/>
        <w:ind w:left="567" w:hanging="578"/>
        <w:rPr>
          <w:rFonts w:asciiTheme="majorHAnsi" w:hAnsiTheme="majorHAnsi" w:cstheme="majorHAnsi"/>
          <w:sz w:val="23"/>
          <w:szCs w:val="23"/>
        </w:rPr>
      </w:pPr>
      <w:bookmarkStart w:id="55" w:name="_Toc227326049"/>
      <w:r>
        <w:rPr>
          <w:rFonts w:asciiTheme="majorHAnsi" w:hAnsiTheme="majorHAnsi" w:cstheme="majorHAnsi"/>
          <w:sz w:val="23"/>
          <w:szCs w:val="23"/>
        </w:rPr>
        <w:t>R</w:t>
      </w:r>
      <w:r w:rsidR="009C192E" w:rsidRPr="00576357">
        <w:rPr>
          <w:rFonts w:asciiTheme="majorHAnsi" w:hAnsiTheme="majorHAnsi" w:cstheme="majorHAnsi"/>
          <w:sz w:val="23"/>
          <w:szCs w:val="23"/>
        </w:rPr>
        <w:t>iesgo bajo</w:t>
      </w:r>
      <w:bookmarkEnd w:id="55"/>
    </w:p>
    <w:tbl>
      <w:tblPr>
        <w:tblW w:w="922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10"/>
        <w:gridCol w:w="705"/>
        <w:gridCol w:w="900"/>
        <w:gridCol w:w="750"/>
        <w:gridCol w:w="810"/>
        <w:gridCol w:w="915"/>
        <w:gridCol w:w="915"/>
        <w:gridCol w:w="1003"/>
        <w:gridCol w:w="915"/>
      </w:tblGrid>
      <w:tr w:rsidR="00576357" w:rsidRPr="00576357" w14:paraId="233879EC" w14:textId="77777777" w:rsidTr="00576357">
        <w:trPr>
          <w:jc w:val="center"/>
        </w:trPr>
        <w:tc>
          <w:tcPr>
            <w:tcW w:w="2310" w:type="dxa"/>
            <w:shd w:val="clear" w:color="auto" w:fill="153D63"/>
          </w:tcPr>
          <w:p w14:paraId="532048F2" w14:textId="77777777" w:rsidR="00576357" w:rsidRPr="00576357" w:rsidRDefault="00576357" w:rsidP="00576357">
            <w:pPr>
              <w:spacing w:before="0" w:after="0" w:line="240" w:lineRule="auto"/>
              <w:jc w:val="center"/>
              <w:rPr>
                <w:rFonts w:ascii="Roboto" w:hAnsi="Roboto"/>
                <w:b/>
                <w:sz w:val="18"/>
                <w:szCs w:val="18"/>
                <w:lang w:val="en-US" w:eastAsia="es-ES"/>
              </w:rPr>
            </w:pPr>
            <w:r w:rsidRPr="00576357">
              <w:rPr>
                <w:rFonts w:ascii="Roboto" w:hAnsi="Roboto"/>
                <w:b/>
                <w:sz w:val="18"/>
                <w:szCs w:val="18"/>
                <w:lang w:val="en-US" w:eastAsia="es-ES"/>
              </w:rPr>
              <w:t>Riesgo bajo</w:t>
            </w:r>
          </w:p>
        </w:tc>
        <w:tc>
          <w:tcPr>
            <w:tcW w:w="705" w:type="dxa"/>
            <w:shd w:val="clear" w:color="auto" w:fill="153D63"/>
          </w:tcPr>
          <w:p w14:paraId="189B4322" w14:textId="77777777" w:rsidR="00576357" w:rsidRPr="00576357" w:rsidRDefault="00576357" w:rsidP="00576357">
            <w:pPr>
              <w:spacing w:before="0" w:after="0" w:line="240" w:lineRule="auto"/>
              <w:jc w:val="center"/>
              <w:rPr>
                <w:rFonts w:ascii="Roboto" w:hAnsi="Roboto"/>
                <w:b/>
                <w:sz w:val="18"/>
                <w:szCs w:val="18"/>
                <w:lang w:val="en-US" w:eastAsia="es-ES"/>
              </w:rPr>
            </w:pPr>
            <w:r w:rsidRPr="00576357">
              <w:rPr>
                <w:rFonts w:ascii="Roboto" w:hAnsi="Roboto"/>
                <w:b/>
                <w:sz w:val="18"/>
                <w:szCs w:val="18"/>
                <w:lang w:val="en-US" w:eastAsia="es-ES"/>
              </w:rPr>
              <w:t>1</w:t>
            </w:r>
          </w:p>
        </w:tc>
        <w:tc>
          <w:tcPr>
            <w:tcW w:w="900" w:type="dxa"/>
            <w:shd w:val="clear" w:color="auto" w:fill="153D63"/>
          </w:tcPr>
          <w:p w14:paraId="176B3350" w14:textId="77777777" w:rsidR="00576357" w:rsidRPr="00576357" w:rsidRDefault="00576357" w:rsidP="00576357">
            <w:pPr>
              <w:spacing w:before="0" w:after="0" w:line="240" w:lineRule="auto"/>
              <w:jc w:val="center"/>
              <w:rPr>
                <w:rFonts w:ascii="Roboto" w:hAnsi="Roboto"/>
                <w:b/>
                <w:sz w:val="18"/>
                <w:szCs w:val="18"/>
                <w:lang w:val="en-US" w:eastAsia="es-ES"/>
              </w:rPr>
            </w:pPr>
            <w:r w:rsidRPr="00576357">
              <w:rPr>
                <w:rFonts w:ascii="Roboto" w:hAnsi="Roboto"/>
                <w:b/>
                <w:sz w:val="18"/>
                <w:szCs w:val="18"/>
                <w:lang w:val="en-US" w:eastAsia="es-ES"/>
              </w:rPr>
              <w:t>2</w:t>
            </w:r>
          </w:p>
        </w:tc>
        <w:tc>
          <w:tcPr>
            <w:tcW w:w="750" w:type="dxa"/>
            <w:shd w:val="clear" w:color="auto" w:fill="153D63"/>
          </w:tcPr>
          <w:p w14:paraId="069C543D" w14:textId="77777777" w:rsidR="00576357" w:rsidRPr="00576357" w:rsidRDefault="00576357" w:rsidP="00576357">
            <w:pPr>
              <w:spacing w:before="0" w:after="0" w:line="240" w:lineRule="auto"/>
              <w:jc w:val="center"/>
              <w:rPr>
                <w:rFonts w:ascii="Roboto" w:hAnsi="Roboto"/>
                <w:b/>
                <w:sz w:val="18"/>
                <w:szCs w:val="18"/>
                <w:lang w:val="en-US" w:eastAsia="es-ES"/>
              </w:rPr>
            </w:pPr>
            <w:r w:rsidRPr="00576357">
              <w:rPr>
                <w:rFonts w:ascii="Roboto" w:hAnsi="Roboto"/>
                <w:b/>
                <w:sz w:val="18"/>
                <w:szCs w:val="18"/>
                <w:lang w:val="en-US" w:eastAsia="es-ES"/>
              </w:rPr>
              <w:t>3</w:t>
            </w:r>
          </w:p>
        </w:tc>
        <w:tc>
          <w:tcPr>
            <w:tcW w:w="810" w:type="dxa"/>
            <w:shd w:val="clear" w:color="auto" w:fill="153D63"/>
          </w:tcPr>
          <w:p w14:paraId="36586946" w14:textId="77777777" w:rsidR="00576357" w:rsidRPr="00576357" w:rsidRDefault="00576357" w:rsidP="00576357">
            <w:pPr>
              <w:spacing w:before="0" w:after="0" w:line="240" w:lineRule="auto"/>
              <w:jc w:val="center"/>
              <w:rPr>
                <w:rFonts w:ascii="Roboto" w:hAnsi="Roboto"/>
                <w:b/>
                <w:sz w:val="18"/>
                <w:szCs w:val="18"/>
                <w:lang w:val="en-US" w:eastAsia="es-ES"/>
              </w:rPr>
            </w:pPr>
            <w:r w:rsidRPr="00576357">
              <w:rPr>
                <w:rFonts w:ascii="Roboto" w:hAnsi="Roboto"/>
                <w:b/>
                <w:sz w:val="18"/>
                <w:szCs w:val="18"/>
                <w:lang w:val="en-US" w:eastAsia="es-ES"/>
              </w:rPr>
              <w:t>4</w:t>
            </w:r>
          </w:p>
        </w:tc>
        <w:tc>
          <w:tcPr>
            <w:tcW w:w="915" w:type="dxa"/>
            <w:shd w:val="clear" w:color="auto" w:fill="153D63"/>
          </w:tcPr>
          <w:p w14:paraId="78CB7659" w14:textId="77777777" w:rsidR="00576357" w:rsidRPr="00576357" w:rsidRDefault="00576357" w:rsidP="00576357">
            <w:pPr>
              <w:spacing w:before="0" w:after="0" w:line="240" w:lineRule="auto"/>
              <w:jc w:val="center"/>
              <w:rPr>
                <w:rFonts w:ascii="Roboto" w:hAnsi="Roboto"/>
                <w:b/>
                <w:sz w:val="18"/>
                <w:szCs w:val="18"/>
                <w:lang w:val="en-US" w:eastAsia="es-ES"/>
              </w:rPr>
            </w:pPr>
            <w:r w:rsidRPr="00576357">
              <w:rPr>
                <w:rFonts w:ascii="Roboto" w:hAnsi="Roboto"/>
                <w:b/>
                <w:sz w:val="18"/>
                <w:szCs w:val="18"/>
                <w:lang w:val="en-US" w:eastAsia="es-ES"/>
              </w:rPr>
              <w:t>5</w:t>
            </w:r>
          </w:p>
        </w:tc>
        <w:tc>
          <w:tcPr>
            <w:tcW w:w="915" w:type="dxa"/>
            <w:shd w:val="clear" w:color="auto" w:fill="153D63"/>
          </w:tcPr>
          <w:p w14:paraId="30881EF5" w14:textId="77777777" w:rsidR="00576357" w:rsidRPr="00576357" w:rsidRDefault="00576357" w:rsidP="00576357">
            <w:pPr>
              <w:spacing w:before="0" w:after="0" w:line="240" w:lineRule="auto"/>
              <w:jc w:val="center"/>
              <w:rPr>
                <w:rFonts w:ascii="Roboto" w:hAnsi="Roboto"/>
                <w:b/>
                <w:sz w:val="18"/>
                <w:szCs w:val="18"/>
                <w:lang w:val="en-US" w:eastAsia="es-ES"/>
              </w:rPr>
            </w:pPr>
            <w:r w:rsidRPr="00576357">
              <w:rPr>
                <w:rFonts w:ascii="Roboto" w:hAnsi="Roboto"/>
                <w:b/>
                <w:sz w:val="18"/>
                <w:szCs w:val="18"/>
                <w:lang w:val="en-US" w:eastAsia="es-ES"/>
              </w:rPr>
              <w:t>6</w:t>
            </w:r>
          </w:p>
        </w:tc>
        <w:tc>
          <w:tcPr>
            <w:tcW w:w="1003" w:type="dxa"/>
            <w:shd w:val="clear" w:color="auto" w:fill="153D63"/>
          </w:tcPr>
          <w:p w14:paraId="711862C2" w14:textId="77777777" w:rsidR="00576357" w:rsidRPr="00576357" w:rsidRDefault="00576357" w:rsidP="00576357">
            <w:pPr>
              <w:spacing w:before="0" w:after="0" w:line="240" w:lineRule="auto"/>
              <w:jc w:val="center"/>
              <w:rPr>
                <w:rFonts w:ascii="Roboto" w:hAnsi="Roboto"/>
                <w:b/>
                <w:sz w:val="18"/>
                <w:szCs w:val="18"/>
                <w:lang w:val="en-US" w:eastAsia="es-ES"/>
              </w:rPr>
            </w:pPr>
            <w:r w:rsidRPr="00576357">
              <w:rPr>
                <w:rFonts w:ascii="Roboto" w:hAnsi="Roboto"/>
                <w:b/>
                <w:sz w:val="18"/>
                <w:szCs w:val="18"/>
                <w:lang w:val="en-US" w:eastAsia="es-ES"/>
              </w:rPr>
              <w:t>7</w:t>
            </w:r>
          </w:p>
        </w:tc>
        <w:tc>
          <w:tcPr>
            <w:tcW w:w="915" w:type="dxa"/>
            <w:shd w:val="clear" w:color="auto" w:fill="153D63"/>
          </w:tcPr>
          <w:p w14:paraId="4F91B0CD" w14:textId="77777777" w:rsidR="00576357" w:rsidRPr="00576357" w:rsidRDefault="00576357" w:rsidP="00576357">
            <w:pPr>
              <w:spacing w:before="0" w:after="0" w:line="240" w:lineRule="auto"/>
              <w:jc w:val="center"/>
              <w:rPr>
                <w:rFonts w:ascii="Roboto" w:hAnsi="Roboto"/>
                <w:b/>
                <w:sz w:val="18"/>
                <w:szCs w:val="18"/>
                <w:lang w:val="en-US" w:eastAsia="es-ES"/>
              </w:rPr>
            </w:pPr>
            <w:r w:rsidRPr="00576357">
              <w:rPr>
                <w:rFonts w:ascii="Roboto" w:hAnsi="Roboto"/>
                <w:b/>
                <w:sz w:val="18"/>
                <w:szCs w:val="18"/>
                <w:lang w:val="en-US" w:eastAsia="es-ES"/>
              </w:rPr>
              <w:t>8</w:t>
            </w:r>
          </w:p>
        </w:tc>
      </w:tr>
      <w:tr w:rsidR="00576357" w:rsidRPr="00576357" w14:paraId="5B8BBCF6" w14:textId="77777777" w:rsidTr="00576357">
        <w:trPr>
          <w:jc w:val="center"/>
        </w:trPr>
        <w:tc>
          <w:tcPr>
            <w:tcW w:w="2310" w:type="dxa"/>
          </w:tcPr>
          <w:p w14:paraId="48AA1738" w14:textId="77777777" w:rsidR="00576357" w:rsidRPr="00576357" w:rsidRDefault="00576357" w:rsidP="00576357">
            <w:pPr>
              <w:spacing w:before="0" w:after="0" w:line="240" w:lineRule="auto"/>
              <w:jc w:val="left"/>
              <w:rPr>
                <w:rFonts w:ascii="Roboto" w:hAnsi="Roboto"/>
                <w:sz w:val="18"/>
                <w:szCs w:val="18"/>
                <w:lang w:val="es-CR" w:eastAsia="es-ES"/>
              </w:rPr>
            </w:pPr>
            <w:r w:rsidRPr="00576357">
              <w:rPr>
                <w:rFonts w:ascii="Roboto" w:hAnsi="Roboto"/>
                <w:sz w:val="18"/>
                <w:szCs w:val="18"/>
                <w:lang w:val="es-CR" w:eastAsia="es-ES"/>
              </w:rPr>
              <w:t xml:space="preserve">Créditos </w:t>
            </w:r>
            <w:proofErr w:type="spellStart"/>
            <w:r w:rsidRPr="00576357">
              <w:rPr>
                <w:rFonts w:ascii="Roboto" w:hAnsi="Roboto"/>
                <w:sz w:val="18"/>
                <w:szCs w:val="18"/>
                <w:lang w:val="es-CR" w:eastAsia="es-ES"/>
              </w:rPr>
              <w:t>revolutivos</w:t>
            </w:r>
            <w:proofErr w:type="spellEnd"/>
            <w:r w:rsidRPr="00576357">
              <w:rPr>
                <w:rFonts w:ascii="Roboto" w:hAnsi="Roboto"/>
                <w:sz w:val="18"/>
                <w:szCs w:val="18"/>
                <w:lang w:val="es-CR" w:eastAsia="es-ES"/>
              </w:rPr>
              <w:t xml:space="preserve"> de consumo </w:t>
            </w:r>
          </w:p>
        </w:tc>
        <w:tc>
          <w:tcPr>
            <w:tcW w:w="705" w:type="dxa"/>
            <w:vAlign w:val="center"/>
          </w:tcPr>
          <w:p w14:paraId="404999EF"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0,50%</w:t>
            </w:r>
          </w:p>
        </w:tc>
        <w:tc>
          <w:tcPr>
            <w:tcW w:w="900" w:type="dxa"/>
            <w:vAlign w:val="center"/>
          </w:tcPr>
          <w:p w14:paraId="62A33073"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2,50%</w:t>
            </w:r>
          </w:p>
        </w:tc>
        <w:tc>
          <w:tcPr>
            <w:tcW w:w="750" w:type="dxa"/>
            <w:vAlign w:val="center"/>
          </w:tcPr>
          <w:p w14:paraId="2986A8AF"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5,00%</w:t>
            </w:r>
          </w:p>
        </w:tc>
        <w:tc>
          <w:tcPr>
            <w:tcW w:w="810" w:type="dxa"/>
            <w:vAlign w:val="center"/>
          </w:tcPr>
          <w:p w14:paraId="2E02138C"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10,00%</w:t>
            </w:r>
          </w:p>
        </w:tc>
        <w:tc>
          <w:tcPr>
            <w:tcW w:w="915" w:type="dxa"/>
            <w:vAlign w:val="center"/>
          </w:tcPr>
          <w:p w14:paraId="20B4B0C3"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40,00%</w:t>
            </w:r>
          </w:p>
        </w:tc>
        <w:tc>
          <w:tcPr>
            <w:tcW w:w="915" w:type="dxa"/>
            <w:vAlign w:val="center"/>
          </w:tcPr>
          <w:p w14:paraId="4EEDE695"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70,00%</w:t>
            </w:r>
          </w:p>
        </w:tc>
        <w:tc>
          <w:tcPr>
            <w:tcW w:w="1003" w:type="dxa"/>
            <w:vAlign w:val="center"/>
          </w:tcPr>
          <w:p w14:paraId="17B3AF62"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75,00%</w:t>
            </w:r>
          </w:p>
        </w:tc>
        <w:tc>
          <w:tcPr>
            <w:tcW w:w="915" w:type="dxa"/>
            <w:vAlign w:val="center"/>
          </w:tcPr>
          <w:p w14:paraId="635C007E"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85,00%</w:t>
            </w:r>
          </w:p>
        </w:tc>
      </w:tr>
      <w:tr w:rsidR="00576357" w:rsidRPr="00576357" w14:paraId="6DDD8757" w14:textId="77777777" w:rsidTr="00576357">
        <w:trPr>
          <w:trHeight w:val="300"/>
          <w:jc w:val="center"/>
        </w:trPr>
        <w:tc>
          <w:tcPr>
            <w:tcW w:w="2310" w:type="dxa"/>
          </w:tcPr>
          <w:p w14:paraId="1ADD0562" w14:textId="77777777" w:rsidR="00576357" w:rsidRPr="00576357" w:rsidRDefault="00576357" w:rsidP="00576357">
            <w:pPr>
              <w:spacing w:before="0" w:after="0" w:line="240" w:lineRule="auto"/>
              <w:jc w:val="left"/>
              <w:rPr>
                <w:rFonts w:ascii="Roboto" w:hAnsi="Roboto"/>
                <w:sz w:val="18"/>
                <w:szCs w:val="18"/>
                <w:lang w:val="es-CR" w:eastAsia="es-ES"/>
              </w:rPr>
            </w:pPr>
            <w:r w:rsidRPr="00576357">
              <w:rPr>
                <w:rFonts w:ascii="Roboto" w:hAnsi="Roboto"/>
                <w:sz w:val="18"/>
                <w:szCs w:val="18"/>
                <w:lang w:val="es-CR" w:eastAsia="es-ES"/>
              </w:rPr>
              <w:t>Préstamos de consumo</w:t>
            </w:r>
          </w:p>
        </w:tc>
        <w:tc>
          <w:tcPr>
            <w:tcW w:w="705" w:type="dxa"/>
            <w:vAlign w:val="center"/>
          </w:tcPr>
          <w:p w14:paraId="2C24362D"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0,60%</w:t>
            </w:r>
          </w:p>
        </w:tc>
        <w:tc>
          <w:tcPr>
            <w:tcW w:w="900" w:type="dxa"/>
            <w:vAlign w:val="center"/>
          </w:tcPr>
          <w:p w14:paraId="043F3152"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2,50%</w:t>
            </w:r>
          </w:p>
        </w:tc>
        <w:tc>
          <w:tcPr>
            <w:tcW w:w="750" w:type="dxa"/>
            <w:vAlign w:val="center"/>
          </w:tcPr>
          <w:p w14:paraId="0753C985"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5,00%</w:t>
            </w:r>
          </w:p>
        </w:tc>
        <w:tc>
          <w:tcPr>
            <w:tcW w:w="810" w:type="dxa"/>
            <w:vAlign w:val="center"/>
          </w:tcPr>
          <w:p w14:paraId="3466A5AB"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10,00%</w:t>
            </w:r>
          </w:p>
        </w:tc>
        <w:tc>
          <w:tcPr>
            <w:tcW w:w="915" w:type="dxa"/>
            <w:vAlign w:val="center"/>
          </w:tcPr>
          <w:p w14:paraId="60EE6D5B"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40,00%</w:t>
            </w:r>
          </w:p>
        </w:tc>
        <w:tc>
          <w:tcPr>
            <w:tcW w:w="915" w:type="dxa"/>
            <w:vAlign w:val="center"/>
          </w:tcPr>
          <w:p w14:paraId="35E62CE7"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60,00%</w:t>
            </w:r>
          </w:p>
        </w:tc>
        <w:tc>
          <w:tcPr>
            <w:tcW w:w="1003" w:type="dxa"/>
            <w:vAlign w:val="center"/>
          </w:tcPr>
          <w:p w14:paraId="5A556286"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70,00%</w:t>
            </w:r>
          </w:p>
        </w:tc>
        <w:tc>
          <w:tcPr>
            <w:tcW w:w="915" w:type="dxa"/>
            <w:vAlign w:val="center"/>
          </w:tcPr>
          <w:p w14:paraId="18B188E5"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90,00%</w:t>
            </w:r>
          </w:p>
        </w:tc>
      </w:tr>
      <w:tr w:rsidR="00576357" w:rsidRPr="00576357" w14:paraId="1144BFC2" w14:textId="77777777" w:rsidTr="00576357">
        <w:trPr>
          <w:jc w:val="center"/>
        </w:trPr>
        <w:tc>
          <w:tcPr>
            <w:tcW w:w="2310" w:type="dxa"/>
          </w:tcPr>
          <w:p w14:paraId="669DFFC0" w14:textId="77777777" w:rsidR="00576357" w:rsidRPr="00576357" w:rsidRDefault="00576357" w:rsidP="00576357">
            <w:pPr>
              <w:spacing w:before="0" w:after="0" w:line="240" w:lineRule="auto"/>
              <w:jc w:val="left"/>
              <w:rPr>
                <w:rFonts w:ascii="Roboto" w:hAnsi="Roboto"/>
                <w:sz w:val="18"/>
                <w:szCs w:val="18"/>
                <w:lang w:val="es-CR" w:eastAsia="es-ES"/>
              </w:rPr>
            </w:pPr>
            <w:r w:rsidRPr="00576357">
              <w:rPr>
                <w:rFonts w:ascii="Roboto" w:hAnsi="Roboto"/>
                <w:sz w:val="18"/>
                <w:szCs w:val="18"/>
                <w:lang w:val="es-CR" w:eastAsia="es-ES"/>
              </w:rPr>
              <w:t>Préstamos vehiculares</w:t>
            </w:r>
          </w:p>
        </w:tc>
        <w:tc>
          <w:tcPr>
            <w:tcW w:w="705" w:type="dxa"/>
            <w:vAlign w:val="center"/>
          </w:tcPr>
          <w:p w14:paraId="56695F5C"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0,50%</w:t>
            </w:r>
          </w:p>
        </w:tc>
        <w:tc>
          <w:tcPr>
            <w:tcW w:w="900" w:type="dxa"/>
            <w:vAlign w:val="center"/>
          </w:tcPr>
          <w:p w14:paraId="237C3ADE"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2,50%</w:t>
            </w:r>
          </w:p>
        </w:tc>
        <w:tc>
          <w:tcPr>
            <w:tcW w:w="750" w:type="dxa"/>
            <w:vAlign w:val="center"/>
          </w:tcPr>
          <w:p w14:paraId="6FEB2672"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5,00%</w:t>
            </w:r>
          </w:p>
        </w:tc>
        <w:tc>
          <w:tcPr>
            <w:tcW w:w="810" w:type="dxa"/>
            <w:vAlign w:val="center"/>
          </w:tcPr>
          <w:p w14:paraId="2B2ECE6A"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10,00%</w:t>
            </w:r>
          </w:p>
        </w:tc>
        <w:tc>
          <w:tcPr>
            <w:tcW w:w="915" w:type="dxa"/>
            <w:vAlign w:val="center"/>
          </w:tcPr>
          <w:p w14:paraId="3DB17AAC"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30,00%</w:t>
            </w:r>
          </w:p>
        </w:tc>
        <w:tc>
          <w:tcPr>
            <w:tcW w:w="915" w:type="dxa"/>
            <w:vAlign w:val="center"/>
          </w:tcPr>
          <w:p w14:paraId="5CBBDADF"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50,00%</w:t>
            </w:r>
          </w:p>
        </w:tc>
        <w:tc>
          <w:tcPr>
            <w:tcW w:w="1003" w:type="dxa"/>
            <w:vAlign w:val="center"/>
          </w:tcPr>
          <w:p w14:paraId="2DC8744E"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65,00%</w:t>
            </w:r>
          </w:p>
        </w:tc>
        <w:tc>
          <w:tcPr>
            <w:tcW w:w="915" w:type="dxa"/>
            <w:vAlign w:val="center"/>
          </w:tcPr>
          <w:p w14:paraId="7E229F43"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95,00%</w:t>
            </w:r>
          </w:p>
        </w:tc>
      </w:tr>
      <w:tr w:rsidR="00576357" w:rsidRPr="00576357" w14:paraId="1A871D5A" w14:textId="77777777" w:rsidTr="00576357">
        <w:trPr>
          <w:jc w:val="center"/>
        </w:trPr>
        <w:tc>
          <w:tcPr>
            <w:tcW w:w="2310" w:type="dxa"/>
          </w:tcPr>
          <w:p w14:paraId="157D370B" w14:textId="77777777" w:rsidR="00576357" w:rsidRPr="00576357" w:rsidRDefault="00576357" w:rsidP="00576357">
            <w:pPr>
              <w:spacing w:before="0" w:after="0" w:line="240" w:lineRule="auto"/>
              <w:jc w:val="left"/>
              <w:rPr>
                <w:rFonts w:ascii="Roboto" w:hAnsi="Roboto"/>
                <w:sz w:val="18"/>
                <w:szCs w:val="18"/>
                <w:lang w:val="es-CR" w:eastAsia="es-ES"/>
              </w:rPr>
            </w:pPr>
            <w:r w:rsidRPr="00576357">
              <w:rPr>
                <w:rFonts w:ascii="Roboto" w:hAnsi="Roboto"/>
                <w:sz w:val="18"/>
                <w:szCs w:val="18"/>
                <w:lang w:val="es-CR" w:eastAsia="es-ES"/>
              </w:rPr>
              <w:t>Créditos de vivienda</w:t>
            </w:r>
          </w:p>
        </w:tc>
        <w:tc>
          <w:tcPr>
            <w:tcW w:w="705" w:type="dxa"/>
            <w:vAlign w:val="center"/>
          </w:tcPr>
          <w:p w14:paraId="7FB551FF"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0,10%</w:t>
            </w:r>
          </w:p>
        </w:tc>
        <w:tc>
          <w:tcPr>
            <w:tcW w:w="900" w:type="dxa"/>
            <w:vAlign w:val="center"/>
          </w:tcPr>
          <w:p w14:paraId="6A179BE5"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2,50%</w:t>
            </w:r>
          </w:p>
        </w:tc>
        <w:tc>
          <w:tcPr>
            <w:tcW w:w="750" w:type="dxa"/>
            <w:vAlign w:val="center"/>
          </w:tcPr>
          <w:p w14:paraId="26C48E90"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5,00%</w:t>
            </w:r>
          </w:p>
        </w:tc>
        <w:tc>
          <w:tcPr>
            <w:tcW w:w="810" w:type="dxa"/>
            <w:vAlign w:val="center"/>
          </w:tcPr>
          <w:p w14:paraId="5D9DF324"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10,00%</w:t>
            </w:r>
          </w:p>
        </w:tc>
        <w:tc>
          <w:tcPr>
            <w:tcW w:w="915" w:type="dxa"/>
            <w:vAlign w:val="center"/>
          </w:tcPr>
          <w:p w14:paraId="0F859B33"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20,00%</w:t>
            </w:r>
          </w:p>
        </w:tc>
        <w:tc>
          <w:tcPr>
            <w:tcW w:w="915" w:type="dxa"/>
            <w:vAlign w:val="center"/>
          </w:tcPr>
          <w:p w14:paraId="139FB551"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35,00%</w:t>
            </w:r>
          </w:p>
        </w:tc>
        <w:tc>
          <w:tcPr>
            <w:tcW w:w="1003" w:type="dxa"/>
            <w:vAlign w:val="center"/>
          </w:tcPr>
          <w:p w14:paraId="70FBAA55"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50,00%</w:t>
            </w:r>
          </w:p>
        </w:tc>
        <w:tc>
          <w:tcPr>
            <w:tcW w:w="915" w:type="dxa"/>
            <w:vAlign w:val="center"/>
          </w:tcPr>
          <w:p w14:paraId="01C26AC8"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85,00%</w:t>
            </w:r>
          </w:p>
        </w:tc>
      </w:tr>
      <w:tr w:rsidR="00576357" w:rsidRPr="00576357" w14:paraId="2B892F57" w14:textId="77777777" w:rsidTr="00576357">
        <w:trPr>
          <w:jc w:val="center"/>
        </w:trPr>
        <w:tc>
          <w:tcPr>
            <w:tcW w:w="2310" w:type="dxa"/>
          </w:tcPr>
          <w:p w14:paraId="4C7DBCFF" w14:textId="77777777" w:rsidR="00576357" w:rsidRPr="00576357" w:rsidRDefault="00576357" w:rsidP="00576357">
            <w:pPr>
              <w:spacing w:before="0" w:after="0" w:line="240" w:lineRule="auto"/>
              <w:jc w:val="left"/>
              <w:rPr>
                <w:rFonts w:ascii="Roboto" w:hAnsi="Roboto"/>
                <w:sz w:val="18"/>
                <w:szCs w:val="18"/>
                <w:lang w:val="es-CR" w:eastAsia="es-ES"/>
              </w:rPr>
            </w:pPr>
            <w:r w:rsidRPr="00576357">
              <w:rPr>
                <w:rFonts w:ascii="Roboto" w:hAnsi="Roboto"/>
                <w:sz w:val="18"/>
                <w:szCs w:val="18"/>
                <w:lang w:val="es-CR" w:eastAsia="es-ES"/>
              </w:rPr>
              <w:t>Créditos Empresarial 1</w:t>
            </w:r>
          </w:p>
        </w:tc>
        <w:tc>
          <w:tcPr>
            <w:tcW w:w="705" w:type="dxa"/>
            <w:vAlign w:val="center"/>
          </w:tcPr>
          <w:p w14:paraId="0EC84F11"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0,30%</w:t>
            </w:r>
          </w:p>
        </w:tc>
        <w:tc>
          <w:tcPr>
            <w:tcW w:w="900" w:type="dxa"/>
            <w:vAlign w:val="center"/>
          </w:tcPr>
          <w:p w14:paraId="358DFD24"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2,50%</w:t>
            </w:r>
          </w:p>
        </w:tc>
        <w:tc>
          <w:tcPr>
            <w:tcW w:w="750" w:type="dxa"/>
            <w:vAlign w:val="center"/>
          </w:tcPr>
          <w:p w14:paraId="2335303C"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5,00%</w:t>
            </w:r>
          </w:p>
        </w:tc>
        <w:tc>
          <w:tcPr>
            <w:tcW w:w="810" w:type="dxa"/>
            <w:vAlign w:val="center"/>
          </w:tcPr>
          <w:p w14:paraId="4A8845B0"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10,00%</w:t>
            </w:r>
          </w:p>
        </w:tc>
        <w:tc>
          <w:tcPr>
            <w:tcW w:w="915" w:type="dxa"/>
            <w:vAlign w:val="center"/>
          </w:tcPr>
          <w:p w14:paraId="68E64D3F"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30,00%</w:t>
            </w:r>
          </w:p>
        </w:tc>
        <w:tc>
          <w:tcPr>
            <w:tcW w:w="915" w:type="dxa"/>
            <w:vAlign w:val="center"/>
          </w:tcPr>
          <w:p w14:paraId="662E61B2"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50,00%</w:t>
            </w:r>
          </w:p>
        </w:tc>
        <w:tc>
          <w:tcPr>
            <w:tcW w:w="1003" w:type="dxa"/>
            <w:vAlign w:val="center"/>
          </w:tcPr>
          <w:p w14:paraId="1C66D484"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70,00%</w:t>
            </w:r>
          </w:p>
        </w:tc>
        <w:tc>
          <w:tcPr>
            <w:tcW w:w="915" w:type="dxa"/>
            <w:vAlign w:val="center"/>
          </w:tcPr>
          <w:p w14:paraId="2FF3802E"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90,00%</w:t>
            </w:r>
          </w:p>
        </w:tc>
      </w:tr>
      <w:tr w:rsidR="00576357" w:rsidRPr="00576357" w14:paraId="5DEF0CCA" w14:textId="77777777" w:rsidTr="00576357">
        <w:trPr>
          <w:jc w:val="center"/>
        </w:trPr>
        <w:tc>
          <w:tcPr>
            <w:tcW w:w="2310" w:type="dxa"/>
          </w:tcPr>
          <w:p w14:paraId="48E9F326" w14:textId="77777777" w:rsidR="00576357" w:rsidRPr="00576357" w:rsidRDefault="00576357" w:rsidP="00576357">
            <w:pPr>
              <w:spacing w:before="0" w:after="0" w:line="240" w:lineRule="auto"/>
              <w:jc w:val="left"/>
              <w:rPr>
                <w:rFonts w:ascii="Roboto" w:hAnsi="Roboto"/>
                <w:sz w:val="18"/>
                <w:szCs w:val="18"/>
                <w:lang w:val="es-CR" w:eastAsia="es-ES"/>
              </w:rPr>
            </w:pPr>
            <w:r w:rsidRPr="00576357">
              <w:rPr>
                <w:rFonts w:ascii="Roboto" w:hAnsi="Roboto"/>
                <w:sz w:val="18"/>
                <w:szCs w:val="18"/>
                <w:lang w:val="es-CR" w:eastAsia="es-ES"/>
              </w:rPr>
              <w:t>Créditos Empresarial 2</w:t>
            </w:r>
          </w:p>
        </w:tc>
        <w:tc>
          <w:tcPr>
            <w:tcW w:w="705" w:type="dxa"/>
            <w:vAlign w:val="center"/>
          </w:tcPr>
          <w:p w14:paraId="5221CAC7"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0,50%</w:t>
            </w:r>
          </w:p>
        </w:tc>
        <w:tc>
          <w:tcPr>
            <w:tcW w:w="900" w:type="dxa"/>
            <w:vAlign w:val="center"/>
          </w:tcPr>
          <w:p w14:paraId="756D0331"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1,50%</w:t>
            </w:r>
          </w:p>
        </w:tc>
        <w:tc>
          <w:tcPr>
            <w:tcW w:w="750" w:type="dxa"/>
            <w:vAlign w:val="center"/>
          </w:tcPr>
          <w:p w14:paraId="722052E7"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2,00%</w:t>
            </w:r>
          </w:p>
        </w:tc>
        <w:tc>
          <w:tcPr>
            <w:tcW w:w="810" w:type="dxa"/>
            <w:vAlign w:val="center"/>
          </w:tcPr>
          <w:p w14:paraId="5D195B88"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10,00%</w:t>
            </w:r>
          </w:p>
        </w:tc>
        <w:tc>
          <w:tcPr>
            <w:tcW w:w="915" w:type="dxa"/>
            <w:vAlign w:val="center"/>
          </w:tcPr>
          <w:p w14:paraId="30D954BD"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25,00%</w:t>
            </w:r>
          </w:p>
        </w:tc>
        <w:tc>
          <w:tcPr>
            <w:tcW w:w="915" w:type="dxa"/>
            <w:vAlign w:val="center"/>
          </w:tcPr>
          <w:p w14:paraId="1C949275"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60,00%</w:t>
            </w:r>
          </w:p>
        </w:tc>
        <w:tc>
          <w:tcPr>
            <w:tcW w:w="1003" w:type="dxa"/>
            <w:vAlign w:val="center"/>
          </w:tcPr>
          <w:p w14:paraId="0AC34409"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80,00%</w:t>
            </w:r>
          </w:p>
        </w:tc>
        <w:tc>
          <w:tcPr>
            <w:tcW w:w="915" w:type="dxa"/>
            <w:vAlign w:val="center"/>
          </w:tcPr>
          <w:p w14:paraId="0015C339"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100,00%</w:t>
            </w:r>
          </w:p>
        </w:tc>
      </w:tr>
      <w:tr w:rsidR="00576357" w:rsidRPr="00576357" w14:paraId="09D7DA6A" w14:textId="77777777" w:rsidTr="00576357">
        <w:trPr>
          <w:jc w:val="center"/>
        </w:trPr>
        <w:tc>
          <w:tcPr>
            <w:tcW w:w="2310" w:type="dxa"/>
          </w:tcPr>
          <w:p w14:paraId="36CA8C3C" w14:textId="77777777" w:rsidR="00576357" w:rsidRPr="00576357" w:rsidRDefault="00576357" w:rsidP="00576357">
            <w:pPr>
              <w:spacing w:before="0" w:after="0" w:line="240" w:lineRule="auto"/>
              <w:jc w:val="left"/>
              <w:rPr>
                <w:rFonts w:ascii="Roboto" w:hAnsi="Roboto"/>
                <w:sz w:val="18"/>
                <w:szCs w:val="18"/>
                <w:lang w:val="es-CR" w:eastAsia="es-ES"/>
              </w:rPr>
            </w:pPr>
            <w:r w:rsidRPr="00576357">
              <w:rPr>
                <w:rFonts w:ascii="Roboto" w:hAnsi="Roboto"/>
                <w:sz w:val="18"/>
                <w:szCs w:val="18"/>
                <w:lang w:val="es-CR" w:eastAsia="es-ES"/>
              </w:rPr>
              <w:t>Créditos Empresarial 3</w:t>
            </w:r>
          </w:p>
        </w:tc>
        <w:tc>
          <w:tcPr>
            <w:tcW w:w="705" w:type="dxa"/>
            <w:vAlign w:val="center"/>
          </w:tcPr>
          <w:p w14:paraId="13729BA9"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0,25%</w:t>
            </w:r>
          </w:p>
        </w:tc>
        <w:tc>
          <w:tcPr>
            <w:tcW w:w="900" w:type="dxa"/>
            <w:vAlign w:val="center"/>
          </w:tcPr>
          <w:p w14:paraId="2ECA6F46"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0,50%</w:t>
            </w:r>
          </w:p>
        </w:tc>
        <w:tc>
          <w:tcPr>
            <w:tcW w:w="750" w:type="dxa"/>
            <w:vAlign w:val="center"/>
          </w:tcPr>
          <w:p w14:paraId="271B91D8"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1,00%</w:t>
            </w:r>
          </w:p>
        </w:tc>
        <w:tc>
          <w:tcPr>
            <w:tcW w:w="810" w:type="dxa"/>
            <w:vAlign w:val="center"/>
          </w:tcPr>
          <w:p w14:paraId="67B6D4E5"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3,00%</w:t>
            </w:r>
          </w:p>
        </w:tc>
        <w:tc>
          <w:tcPr>
            <w:tcW w:w="915" w:type="dxa"/>
            <w:vAlign w:val="center"/>
          </w:tcPr>
          <w:p w14:paraId="6C1255B1"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20,00%</w:t>
            </w:r>
          </w:p>
        </w:tc>
        <w:tc>
          <w:tcPr>
            <w:tcW w:w="915" w:type="dxa"/>
            <w:vAlign w:val="center"/>
          </w:tcPr>
          <w:p w14:paraId="166E54D9"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40,00%</w:t>
            </w:r>
          </w:p>
        </w:tc>
        <w:tc>
          <w:tcPr>
            <w:tcW w:w="1003" w:type="dxa"/>
            <w:vAlign w:val="center"/>
          </w:tcPr>
          <w:p w14:paraId="21B9D1E4"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60,00%</w:t>
            </w:r>
          </w:p>
        </w:tc>
        <w:tc>
          <w:tcPr>
            <w:tcW w:w="915" w:type="dxa"/>
            <w:vAlign w:val="center"/>
          </w:tcPr>
          <w:p w14:paraId="70B5CF1F" w14:textId="77777777" w:rsidR="00576357" w:rsidRPr="00576357" w:rsidRDefault="00576357" w:rsidP="00576357">
            <w:pPr>
              <w:spacing w:before="0" w:after="0" w:line="240" w:lineRule="auto"/>
              <w:jc w:val="center"/>
              <w:rPr>
                <w:rFonts w:ascii="Roboto" w:hAnsi="Roboto"/>
                <w:sz w:val="18"/>
                <w:szCs w:val="18"/>
                <w:lang w:val="es-CR" w:eastAsia="es-ES"/>
              </w:rPr>
            </w:pPr>
            <w:r w:rsidRPr="00576357">
              <w:rPr>
                <w:rFonts w:ascii="Roboto" w:hAnsi="Roboto"/>
                <w:sz w:val="18"/>
                <w:szCs w:val="18"/>
                <w:lang w:val="es-CR" w:eastAsia="es-ES"/>
              </w:rPr>
              <w:t>75,00%</w:t>
            </w:r>
          </w:p>
        </w:tc>
      </w:tr>
    </w:tbl>
    <w:p w14:paraId="1651CAA7" w14:textId="77777777" w:rsidR="009C192E" w:rsidRPr="00576357" w:rsidRDefault="009C192E" w:rsidP="009C192E">
      <w:pPr>
        <w:pStyle w:val="Prrafodelista"/>
        <w:spacing w:after="240"/>
        <w:contextualSpacing w:val="0"/>
        <w:jc w:val="both"/>
        <w:rPr>
          <w:rFonts w:asciiTheme="majorHAnsi" w:hAnsiTheme="majorHAnsi" w:cstheme="majorHAnsi"/>
          <w:b/>
          <w:bCs/>
          <w:sz w:val="23"/>
          <w:szCs w:val="23"/>
        </w:rPr>
      </w:pPr>
    </w:p>
    <w:p w14:paraId="5AD81F11" w14:textId="274B1358" w:rsidR="009C192E" w:rsidRDefault="009C192E" w:rsidP="009C192E">
      <w:pPr>
        <w:spacing w:after="160" w:line="278" w:lineRule="auto"/>
        <w:jc w:val="left"/>
        <w:rPr>
          <w:rFonts w:asciiTheme="majorHAnsi" w:hAnsiTheme="majorHAnsi" w:cstheme="majorHAnsi"/>
          <w:b/>
          <w:bCs/>
          <w:sz w:val="23"/>
          <w:szCs w:val="23"/>
        </w:rPr>
      </w:pPr>
    </w:p>
    <w:p w14:paraId="3F97C46E" w14:textId="77777777" w:rsidR="00576357" w:rsidRDefault="00576357" w:rsidP="009C192E">
      <w:pPr>
        <w:spacing w:after="160" w:line="278" w:lineRule="auto"/>
        <w:jc w:val="left"/>
        <w:rPr>
          <w:rFonts w:asciiTheme="majorHAnsi" w:hAnsiTheme="majorHAnsi" w:cstheme="majorHAnsi"/>
          <w:b/>
          <w:bCs/>
          <w:sz w:val="23"/>
          <w:szCs w:val="23"/>
        </w:rPr>
      </w:pPr>
    </w:p>
    <w:p w14:paraId="39F09F75" w14:textId="77777777" w:rsidR="00576357" w:rsidRDefault="00576357" w:rsidP="009C192E">
      <w:pPr>
        <w:spacing w:after="160" w:line="278" w:lineRule="auto"/>
        <w:jc w:val="left"/>
        <w:rPr>
          <w:rFonts w:asciiTheme="majorHAnsi" w:hAnsiTheme="majorHAnsi" w:cstheme="majorHAnsi"/>
          <w:b/>
          <w:bCs/>
          <w:sz w:val="23"/>
          <w:szCs w:val="23"/>
        </w:rPr>
      </w:pPr>
    </w:p>
    <w:p w14:paraId="7A28A59D" w14:textId="77777777" w:rsidR="00576357" w:rsidRPr="00576357" w:rsidRDefault="00576357" w:rsidP="009C192E">
      <w:pPr>
        <w:spacing w:after="160" w:line="278" w:lineRule="auto"/>
        <w:jc w:val="left"/>
        <w:rPr>
          <w:rFonts w:asciiTheme="majorHAnsi" w:hAnsiTheme="majorHAnsi" w:cstheme="majorHAnsi"/>
          <w:b/>
          <w:bCs/>
          <w:sz w:val="23"/>
          <w:szCs w:val="23"/>
        </w:rPr>
      </w:pPr>
    </w:p>
    <w:p w14:paraId="302CA412" w14:textId="77777777" w:rsidR="009C192E" w:rsidRPr="00576357" w:rsidRDefault="009C192E" w:rsidP="009C192E">
      <w:pPr>
        <w:pStyle w:val="Ttulo1"/>
        <w:rPr>
          <w:rFonts w:asciiTheme="majorHAnsi" w:hAnsiTheme="majorHAnsi" w:cstheme="majorHAnsi"/>
          <w:sz w:val="23"/>
          <w:szCs w:val="23"/>
        </w:rPr>
      </w:pPr>
      <w:bookmarkStart w:id="56" w:name="_Toc227326050"/>
      <w:bookmarkEnd w:id="51"/>
      <w:r w:rsidRPr="00576357">
        <w:rPr>
          <w:rFonts w:asciiTheme="majorHAnsi" w:hAnsiTheme="majorHAnsi" w:cstheme="majorHAnsi"/>
          <w:sz w:val="23"/>
          <w:szCs w:val="23"/>
        </w:rPr>
        <w:lastRenderedPageBreak/>
        <w:t>XI) CRITERIOS PARA LA NO OBJECIÓN POR PRIMERA VEZ AL USO DE MODELOS INTERNOS</w:t>
      </w:r>
      <w:bookmarkEnd w:id="56"/>
    </w:p>
    <w:p w14:paraId="3B9F18A9" w14:textId="77777777" w:rsidR="009C192E" w:rsidRPr="00576357" w:rsidRDefault="009C192E" w:rsidP="009C192E">
      <w:pPr>
        <w:ind w:left="1134" w:hanging="1134"/>
        <w:rPr>
          <w:rFonts w:asciiTheme="majorHAnsi" w:hAnsiTheme="majorHAnsi" w:cstheme="majorHAnsi"/>
          <w:sz w:val="23"/>
          <w:szCs w:val="23"/>
        </w:rPr>
      </w:pPr>
      <w:r w:rsidRPr="00576357">
        <w:rPr>
          <w:rFonts w:asciiTheme="majorHAnsi" w:hAnsiTheme="majorHAnsi" w:cstheme="majorHAnsi"/>
          <w:sz w:val="23"/>
          <w:szCs w:val="23"/>
          <w:u w:val="single"/>
        </w:rPr>
        <w:t>Objetivo</w:t>
      </w:r>
      <w:r w:rsidRPr="00576357">
        <w:rPr>
          <w:rFonts w:asciiTheme="majorHAnsi" w:hAnsiTheme="majorHAnsi" w:cstheme="majorHAnsi"/>
          <w:sz w:val="23"/>
          <w:szCs w:val="23"/>
        </w:rPr>
        <w:t>:</w:t>
      </w:r>
      <w:r w:rsidRPr="00576357">
        <w:rPr>
          <w:rFonts w:asciiTheme="majorHAnsi" w:hAnsiTheme="majorHAnsi" w:cstheme="majorHAnsi"/>
          <w:sz w:val="23"/>
          <w:szCs w:val="23"/>
        </w:rPr>
        <w:tab/>
        <w:t>Establecer los requisitos técnicos, documentales, operativos y de gobernanza que las entidades deberán cumplir para acreditar que sus modelos internos son idóneos, robustos, explicables y alineados con el riesgo observado, para efectos de solicitar por primera vez la no objeción al uso de modelos internos ante la Superintendencia.</w:t>
      </w:r>
    </w:p>
    <w:p w14:paraId="6181E83B"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La evaluación tiene como objetivo valorar la robustez técnica del modelo y la alineación de sus resultados con las pérdidas esperadas realmente observadas por la entidad. La entidad deberá asegurarse de cumplir satisfactoriamente con todos los aspectos enumerados en este apartado. Asimismo, el experto independiente deberá abordarlos de forma detallada en su informe.</w:t>
      </w:r>
    </w:p>
    <w:p w14:paraId="4FB6FB4C" w14:textId="77777777" w:rsidR="009C192E" w:rsidRPr="00576357" w:rsidRDefault="009C192E" w:rsidP="009C192E">
      <w:pPr>
        <w:rPr>
          <w:rFonts w:asciiTheme="majorHAnsi" w:hAnsiTheme="majorHAnsi" w:cstheme="majorHAnsi"/>
          <w:bCs/>
          <w:sz w:val="23"/>
          <w:szCs w:val="23"/>
        </w:rPr>
      </w:pPr>
      <w:r w:rsidRPr="00576357">
        <w:rPr>
          <w:rFonts w:asciiTheme="majorHAnsi" w:hAnsiTheme="majorHAnsi" w:cstheme="majorHAnsi"/>
          <w:bCs/>
          <w:sz w:val="23"/>
          <w:szCs w:val="23"/>
        </w:rPr>
        <w:t>La entidad deberá construir un único documento de carácter técnico en el que se aborden cada uno de los rubros señalados a continuación, todos ellos acompañados de las respectivas evidencias. Esta información deberá presentarse en el momento T</w:t>
      </w:r>
      <w:r w:rsidRPr="00576357">
        <w:rPr>
          <w:rFonts w:asciiTheme="majorHAnsi" w:hAnsiTheme="majorHAnsi" w:cstheme="majorHAnsi"/>
          <w:bCs/>
          <w:sz w:val="23"/>
          <w:szCs w:val="23"/>
          <w:vertAlign w:val="subscript"/>
        </w:rPr>
        <w:t>24</w:t>
      </w:r>
      <w:r w:rsidRPr="00576357">
        <w:rPr>
          <w:rFonts w:asciiTheme="majorHAnsi" w:hAnsiTheme="majorHAnsi" w:cstheme="majorHAnsi"/>
          <w:bCs/>
          <w:sz w:val="23"/>
          <w:szCs w:val="23"/>
        </w:rPr>
        <w:t>, es decir, una vez transcurrido el período de prueba de 24 meses establecido para medir la idoneidad técnica del modelo, y su contenido deberá encontrarse actualizado al cierre de dicho período.</w:t>
      </w:r>
    </w:p>
    <w:p w14:paraId="39D3609C" w14:textId="77777777" w:rsidR="009C192E" w:rsidRPr="00576357" w:rsidRDefault="009C192E" w:rsidP="009C192E">
      <w:pPr>
        <w:rPr>
          <w:rFonts w:asciiTheme="majorHAnsi" w:hAnsiTheme="majorHAnsi" w:cstheme="majorHAnsi"/>
          <w:bCs/>
          <w:sz w:val="23"/>
          <w:szCs w:val="23"/>
        </w:rPr>
      </w:pPr>
      <w:r w:rsidRPr="00576357">
        <w:rPr>
          <w:rFonts w:asciiTheme="majorHAnsi" w:hAnsiTheme="majorHAnsi" w:cstheme="majorHAnsi"/>
          <w:bCs/>
          <w:sz w:val="23"/>
          <w:szCs w:val="23"/>
        </w:rPr>
        <w:t>A continuación, se enumeran los aspectos mínimos que la Superintendencia revisará para determinar, por primera vez, la no objeción al uso de modelos internos (para cada modelo dentro del cálculo de pérdida esperada).</w:t>
      </w:r>
    </w:p>
    <w:p w14:paraId="7D2E1DE1" w14:textId="77777777" w:rsidR="009C192E" w:rsidRPr="00576357" w:rsidRDefault="009C192E" w:rsidP="00681541">
      <w:pPr>
        <w:pStyle w:val="Ttulo2"/>
        <w:numPr>
          <w:ilvl w:val="0"/>
          <w:numId w:val="49"/>
        </w:numPr>
        <w:tabs>
          <w:tab w:val="left" w:pos="426"/>
        </w:tabs>
        <w:ind w:left="567" w:hanging="578"/>
        <w:rPr>
          <w:rFonts w:asciiTheme="majorHAnsi" w:hAnsiTheme="majorHAnsi" w:cstheme="majorHAnsi"/>
          <w:bCs/>
          <w:sz w:val="23"/>
          <w:szCs w:val="23"/>
        </w:rPr>
      </w:pPr>
      <w:bookmarkStart w:id="57" w:name="_Toc227326051"/>
      <w:r w:rsidRPr="00576357">
        <w:rPr>
          <w:rFonts w:asciiTheme="majorHAnsi" w:hAnsiTheme="majorHAnsi" w:cstheme="majorHAnsi"/>
          <w:sz w:val="23"/>
          <w:szCs w:val="23"/>
        </w:rPr>
        <w:tab/>
        <w:t>Sobre los encargados del desarrollo e implementación de los modelos internos</w:t>
      </w:r>
      <w:bookmarkEnd w:id="57"/>
      <w:r w:rsidRPr="00576357">
        <w:rPr>
          <w:rFonts w:asciiTheme="majorHAnsi" w:hAnsiTheme="majorHAnsi" w:cstheme="majorHAnsi"/>
          <w:sz w:val="23"/>
          <w:szCs w:val="23"/>
        </w:rPr>
        <w:t xml:space="preserve"> </w:t>
      </w:r>
    </w:p>
    <w:p w14:paraId="6D3D3F71" w14:textId="77777777" w:rsidR="009C192E" w:rsidRPr="00576357" w:rsidRDefault="009C192E" w:rsidP="00681541">
      <w:pPr>
        <w:pStyle w:val="Prrafodelista"/>
        <w:numPr>
          <w:ilvl w:val="1"/>
          <w:numId w:val="20"/>
        </w:numPr>
        <w:spacing w:after="240"/>
        <w:ind w:left="1134" w:hanging="567"/>
        <w:contextualSpacing w:val="0"/>
        <w:jc w:val="both"/>
        <w:rPr>
          <w:rFonts w:asciiTheme="majorHAnsi" w:hAnsiTheme="majorHAnsi" w:cstheme="majorHAnsi"/>
          <w:sz w:val="23"/>
          <w:szCs w:val="23"/>
        </w:rPr>
      </w:pPr>
      <w:r w:rsidRPr="00576357">
        <w:rPr>
          <w:rFonts w:asciiTheme="majorHAnsi" w:hAnsiTheme="majorHAnsi" w:cstheme="majorHAnsi"/>
          <w:sz w:val="23"/>
          <w:szCs w:val="23"/>
        </w:rPr>
        <w:t>Evidencia de la idoneidad técnica del equipo responsable, incluyendo atestados académicos, experiencia profesional y preparación adicional en materia de modelación de riesgos crediticios.</w:t>
      </w:r>
    </w:p>
    <w:p w14:paraId="61B7B1E2" w14:textId="77777777" w:rsidR="009C192E" w:rsidRPr="00576357" w:rsidRDefault="009C192E" w:rsidP="00681541">
      <w:pPr>
        <w:pStyle w:val="Prrafodelista"/>
        <w:numPr>
          <w:ilvl w:val="1"/>
          <w:numId w:val="20"/>
        </w:numPr>
        <w:spacing w:after="240"/>
        <w:ind w:left="1134" w:hanging="567"/>
        <w:contextualSpacing w:val="0"/>
        <w:jc w:val="both"/>
        <w:rPr>
          <w:rFonts w:asciiTheme="majorHAnsi" w:hAnsiTheme="majorHAnsi" w:cstheme="majorHAnsi"/>
          <w:sz w:val="23"/>
          <w:szCs w:val="23"/>
        </w:rPr>
      </w:pPr>
      <w:r w:rsidRPr="00576357">
        <w:rPr>
          <w:rFonts w:asciiTheme="majorHAnsi" w:hAnsiTheme="majorHAnsi" w:cstheme="majorHAnsi"/>
          <w:sz w:val="23"/>
          <w:szCs w:val="23"/>
        </w:rPr>
        <w:lastRenderedPageBreak/>
        <w:t>Cuando el desarrollo o implementación sea realizado por proveedores externos, se deberá contar con: contratos formalizados, acuerdos de nivel de servicio (SLA) y soporte técnico claramente definidos.</w:t>
      </w:r>
    </w:p>
    <w:p w14:paraId="5F30113A" w14:textId="77777777" w:rsidR="009C192E" w:rsidRPr="00576357" w:rsidRDefault="009C192E" w:rsidP="00681541">
      <w:pPr>
        <w:pStyle w:val="Prrafodelista"/>
        <w:numPr>
          <w:ilvl w:val="1"/>
          <w:numId w:val="20"/>
        </w:numPr>
        <w:spacing w:after="240"/>
        <w:ind w:left="1134" w:hanging="567"/>
        <w:contextualSpacing w:val="0"/>
        <w:jc w:val="both"/>
        <w:rPr>
          <w:rFonts w:asciiTheme="majorHAnsi" w:hAnsiTheme="majorHAnsi" w:cstheme="majorHAnsi"/>
          <w:sz w:val="23"/>
          <w:szCs w:val="23"/>
        </w:rPr>
      </w:pPr>
      <w:r w:rsidRPr="00576357">
        <w:rPr>
          <w:rFonts w:asciiTheme="majorHAnsi" w:hAnsiTheme="majorHAnsi" w:cstheme="majorHAnsi"/>
          <w:sz w:val="23"/>
          <w:szCs w:val="23"/>
        </w:rPr>
        <w:t>Evidencia de procesos de capacitación y transferencia de conocimientos del proveedor hacia el personal de la entidad, para garantizar la apropiación técnica del modelo por parte del personal interno.</w:t>
      </w:r>
    </w:p>
    <w:p w14:paraId="5211CE03" w14:textId="77777777" w:rsidR="009C192E" w:rsidRPr="00576357" w:rsidRDefault="009C192E" w:rsidP="00681541">
      <w:pPr>
        <w:pStyle w:val="Ttulo2"/>
        <w:numPr>
          <w:ilvl w:val="0"/>
          <w:numId w:val="49"/>
        </w:numPr>
        <w:tabs>
          <w:tab w:val="left" w:pos="567"/>
        </w:tabs>
        <w:ind w:left="567" w:hanging="578"/>
        <w:rPr>
          <w:rFonts w:asciiTheme="majorHAnsi" w:hAnsiTheme="majorHAnsi" w:cstheme="majorHAnsi"/>
          <w:sz w:val="23"/>
          <w:szCs w:val="23"/>
        </w:rPr>
      </w:pPr>
      <w:bookmarkStart w:id="58" w:name="_Toc227326052"/>
      <w:r w:rsidRPr="00576357">
        <w:rPr>
          <w:rFonts w:asciiTheme="majorHAnsi" w:hAnsiTheme="majorHAnsi" w:cstheme="majorHAnsi"/>
          <w:sz w:val="23"/>
          <w:szCs w:val="23"/>
        </w:rPr>
        <w:t>Sobre el respaldo documental de cada uno de los modelos (PD, LGD, EAD, proyecciones macroeconómicas, ensamble de los modelos para la pérdida esperada, entre otros)</w:t>
      </w:r>
      <w:bookmarkEnd w:id="58"/>
    </w:p>
    <w:p w14:paraId="1019312B" w14:textId="77777777" w:rsidR="009C192E" w:rsidRPr="00576357" w:rsidRDefault="009C192E" w:rsidP="00681541">
      <w:pPr>
        <w:pStyle w:val="Prrafodelista"/>
        <w:numPr>
          <w:ilvl w:val="0"/>
          <w:numId w:val="50"/>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 xml:space="preserve">Manuales de usuario que documenten los procesos operativos del modelo, incluyendo: la instalación con la base de datos, procesos automáticos y manuales, procedimiento de uso e interpretación. </w:t>
      </w:r>
    </w:p>
    <w:p w14:paraId="317FFD90" w14:textId="77777777" w:rsidR="009C192E" w:rsidRPr="00576357" w:rsidRDefault="009C192E" w:rsidP="00681541">
      <w:pPr>
        <w:pStyle w:val="Prrafodelista"/>
        <w:numPr>
          <w:ilvl w:val="0"/>
          <w:numId w:val="50"/>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 xml:space="preserve">Descripción del entorno tecnológico, detallando: Arquitectura utilizada. Sistemas fuente involucrados (por ejemplo, otorgamiento, gestión, seguimiento). Procesos de extracción y controles de integridad y trazabilidad de la información. </w:t>
      </w:r>
    </w:p>
    <w:p w14:paraId="162F46F8" w14:textId="77777777" w:rsidR="009C192E" w:rsidRPr="00576357" w:rsidRDefault="009C192E" w:rsidP="009C192E">
      <w:pPr>
        <w:pStyle w:val="Ttulo2"/>
        <w:tabs>
          <w:tab w:val="left" w:pos="993"/>
        </w:tabs>
        <w:ind w:left="567" w:hanging="578"/>
        <w:rPr>
          <w:rFonts w:asciiTheme="majorHAnsi" w:hAnsiTheme="majorHAnsi" w:cstheme="majorHAnsi"/>
          <w:sz w:val="23"/>
          <w:szCs w:val="23"/>
        </w:rPr>
      </w:pPr>
      <w:bookmarkStart w:id="59" w:name="_Toc227326053"/>
      <w:r w:rsidRPr="00576357">
        <w:rPr>
          <w:rFonts w:asciiTheme="majorHAnsi" w:hAnsiTheme="majorHAnsi" w:cstheme="majorHAnsi"/>
          <w:sz w:val="23"/>
          <w:szCs w:val="23"/>
        </w:rPr>
        <w:t>Sobre la gobernanza de los modelos y la aprobación del Órgano de Dirección y nivel de entendimiento de los modelos</w:t>
      </w:r>
      <w:bookmarkEnd w:id="59"/>
      <w:r w:rsidRPr="00576357">
        <w:rPr>
          <w:rFonts w:asciiTheme="majorHAnsi" w:hAnsiTheme="majorHAnsi" w:cstheme="majorHAnsi"/>
          <w:sz w:val="23"/>
          <w:szCs w:val="23"/>
        </w:rPr>
        <w:t xml:space="preserve"> </w:t>
      </w:r>
    </w:p>
    <w:p w14:paraId="2EC260C7" w14:textId="77777777" w:rsidR="009C192E" w:rsidRPr="00576357" w:rsidRDefault="009C192E" w:rsidP="00681541">
      <w:pPr>
        <w:pStyle w:val="Prrafodelista"/>
        <w:numPr>
          <w:ilvl w:val="0"/>
          <w:numId w:val="51"/>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Políticas que aseguren una adecuada gestión del riesgo del modelo, estableciendo procesos, estructura de gobernanza e instancias formales de aprobación.</w:t>
      </w:r>
    </w:p>
    <w:p w14:paraId="72076D1C" w14:textId="77777777" w:rsidR="009C192E" w:rsidRPr="00576357" w:rsidRDefault="009C192E" w:rsidP="00681541">
      <w:pPr>
        <w:pStyle w:val="Prrafodelista"/>
        <w:numPr>
          <w:ilvl w:val="0"/>
          <w:numId w:val="51"/>
        </w:numPr>
        <w:spacing w:after="240"/>
        <w:ind w:left="1134" w:hanging="567"/>
        <w:contextualSpacing w:val="0"/>
        <w:jc w:val="both"/>
        <w:rPr>
          <w:rFonts w:asciiTheme="majorHAnsi" w:hAnsiTheme="majorHAnsi" w:cstheme="majorHAnsi"/>
          <w:sz w:val="23"/>
          <w:szCs w:val="23"/>
        </w:rPr>
      </w:pPr>
      <w:r w:rsidRPr="00576357">
        <w:rPr>
          <w:rFonts w:asciiTheme="majorHAnsi" w:hAnsiTheme="majorHAnsi" w:cstheme="majorHAnsi"/>
          <w:sz w:val="23"/>
          <w:szCs w:val="23"/>
        </w:rPr>
        <w:t>Actas de Órgano de Dirección, Comités de Riesgo y de otros comités relevantes donde conste la aprobación formal de los modelos para su uso operativo previa a la implementación de estos, así como cada vez que el mismo requiera una calibración.</w:t>
      </w:r>
    </w:p>
    <w:p w14:paraId="21F1BB91" w14:textId="77777777" w:rsidR="009C192E" w:rsidRPr="00576357" w:rsidRDefault="009C192E" w:rsidP="00681541">
      <w:pPr>
        <w:pStyle w:val="Prrafodelista"/>
        <w:numPr>
          <w:ilvl w:val="0"/>
          <w:numId w:val="51"/>
        </w:numPr>
        <w:spacing w:after="240"/>
        <w:ind w:left="1134" w:hanging="567"/>
        <w:contextualSpacing w:val="0"/>
        <w:jc w:val="both"/>
        <w:rPr>
          <w:rFonts w:asciiTheme="majorHAnsi" w:hAnsiTheme="majorHAnsi" w:cstheme="majorHAnsi"/>
          <w:sz w:val="23"/>
          <w:szCs w:val="23"/>
        </w:rPr>
      </w:pPr>
      <w:r w:rsidRPr="00576357">
        <w:rPr>
          <w:rFonts w:asciiTheme="majorHAnsi" w:hAnsiTheme="majorHAnsi" w:cstheme="majorHAnsi"/>
          <w:sz w:val="23"/>
          <w:szCs w:val="23"/>
        </w:rPr>
        <w:t>Informes técnicos que sustenten la recomendación de los modelos para aprobación del Órgano de Dirección, incluyendo: análisis metodológicos, resultados de validación y evaluación de riesgos.</w:t>
      </w:r>
    </w:p>
    <w:p w14:paraId="51B56ED5" w14:textId="77777777" w:rsidR="009C192E" w:rsidRPr="00576357" w:rsidRDefault="009C192E" w:rsidP="00681541">
      <w:pPr>
        <w:pStyle w:val="Prrafodelista"/>
        <w:numPr>
          <w:ilvl w:val="0"/>
          <w:numId w:val="51"/>
        </w:numPr>
        <w:spacing w:after="240"/>
        <w:ind w:left="1134" w:hanging="567"/>
        <w:contextualSpacing w:val="0"/>
        <w:jc w:val="both"/>
        <w:rPr>
          <w:rFonts w:asciiTheme="majorHAnsi" w:hAnsiTheme="majorHAnsi" w:cstheme="majorHAnsi"/>
          <w:sz w:val="23"/>
          <w:szCs w:val="23"/>
        </w:rPr>
      </w:pPr>
      <w:r w:rsidRPr="00576357">
        <w:rPr>
          <w:rFonts w:asciiTheme="majorHAnsi" w:hAnsiTheme="majorHAnsi" w:cstheme="majorHAnsi"/>
          <w:sz w:val="23"/>
          <w:szCs w:val="23"/>
        </w:rPr>
        <w:lastRenderedPageBreak/>
        <w:t xml:space="preserve">Comentarios, hallazgos y retroalimentación recibidos de: Auditoría Interna, Comité de Riesgos y Órgano de Dirección, como parte del proceso de revisión y supervisión de los modelos. </w:t>
      </w:r>
    </w:p>
    <w:p w14:paraId="3869D452" w14:textId="77777777" w:rsidR="009C192E" w:rsidRPr="00576357" w:rsidRDefault="009C192E" w:rsidP="00681541">
      <w:pPr>
        <w:pStyle w:val="Prrafodelista"/>
        <w:numPr>
          <w:ilvl w:val="0"/>
          <w:numId w:val="51"/>
        </w:numPr>
        <w:spacing w:after="240"/>
        <w:ind w:left="1134" w:hanging="567"/>
        <w:contextualSpacing w:val="0"/>
        <w:jc w:val="both"/>
        <w:rPr>
          <w:rFonts w:asciiTheme="majorHAnsi" w:hAnsiTheme="majorHAnsi" w:cstheme="majorHAnsi"/>
          <w:sz w:val="23"/>
          <w:szCs w:val="23"/>
        </w:rPr>
      </w:pPr>
      <w:r w:rsidRPr="00576357">
        <w:rPr>
          <w:rFonts w:asciiTheme="majorHAnsi" w:hAnsiTheme="majorHAnsi" w:cstheme="majorHAnsi"/>
          <w:sz w:val="23"/>
          <w:szCs w:val="23"/>
        </w:rPr>
        <w:t>Evidencia de capacitaciones impartidas al Órgano de Dirección y el material utilizado para garantizar el entendimiento técnico y funcional de los modelos.</w:t>
      </w:r>
    </w:p>
    <w:p w14:paraId="4F0319B1" w14:textId="77777777" w:rsidR="009C192E" w:rsidRPr="00576357" w:rsidRDefault="009C192E" w:rsidP="00681541">
      <w:pPr>
        <w:pStyle w:val="Prrafodelista"/>
        <w:numPr>
          <w:ilvl w:val="0"/>
          <w:numId w:val="51"/>
        </w:numPr>
        <w:spacing w:after="240"/>
        <w:ind w:left="1134" w:hanging="567"/>
        <w:contextualSpacing w:val="0"/>
        <w:jc w:val="both"/>
        <w:rPr>
          <w:rFonts w:asciiTheme="majorHAnsi" w:hAnsiTheme="majorHAnsi" w:cstheme="majorHAnsi"/>
          <w:sz w:val="23"/>
          <w:szCs w:val="23"/>
        </w:rPr>
      </w:pPr>
      <w:r w:rsidRPr="00576357">
        <w:rPr>
          <w:rFonts w:asciiTheme="majorHAnsi" w:hAnsiTheme="majorHAnsi" w:cstheme="majorHAnsi"/>
          <w:sz w:val="23"/>
          <w:szCs w:val="23"/>
        </w:rPr>
        <w:t>Evidencia del involucramiento de las tres líneas de defensa en el ciclo de vida de los modelos, asegurando una adecuada separación de funciones entre:  diseño/desarrollo, seguimiento y validación.</w:t>
      </w:r>
    </w:p>
    <w:p w14:paraId="44FD7537" w14:textId="77777777" w:rsidR="009C192E" w:rsidRPr="00576357" w:rsidRDefault="009C192E" w:rsidP="009C192E">
      <w:pPr>
        <w:pStyle w:val="Ttulo2"/>
        <w:ind w:left="567" w:hanging="578"/>
        <w:rPr>
          <w:rFonts w:asciiTheme="majorHAnsi" w:hAnsiTheme="majorHAnsi" w:cstheme="majorHAnsi"/>
          <w:sz w:val="23"/>
          <w:szCs w:val="23"/>
        </w:rPr>
      </w:pPr>
      <w:bookmarkStart w:id="60" w:name="_Toc227326054"/>
      <w:r w:rsidRPr="00576357">
        <w:rPr>
          <w:rFonts w:asciiTheme="majorHAnsi" w:hAnsiTheme="majorHAnsi" w:cstheme="majorHAnsi"/>
          <w:sz w:val="23"/>
          <w:szCs w:val="23"/>
        </w:rPr>
        <w:t>Sobre el marco oficial y documentado para pruebas de validación y calibración de los modelos</w:t>
      </w:r>
      <w:bookmarkEnd w:id="60"/>
    </w:p>
    <w:p w14:paraId="4A86979F" w14:textId="77777777" w:rsidR="009C192E" w:rsidRPr="00576357" w:rsidRDefault="009C192E" w:rsidP="00681541">
      <w:pPr>
        <w:pStyle w:val="Prrafodelista"/>
        <w:numPr>
          <w:ilvl w:val="2"/>
          <w:numId w:val="20"/>
        </w:numPr>
        <w:spacing w:after="240"/>
        <w:ind w:left="1276" w:hanging="567"/>
        <w:contextualSpacing w:val="0"/>
        <w:jc w:val="both"/>
        <w:rPr>
          <w:rFonts w:asciiTheme="majorHAnsi" w:hAnsiTheme="majorHAnsi" w:cstheme="majorHAnsi"/>
          <w:sz w:val="23"/>
          <w:szCs w:val="23"/>
        </w:rPr>
      </w:pPr>
      <w:r w:rsidRPr="00576357">
        <w:rPr>
          <w:rFonts w:asciiTheme="majorHAnsi" w:hAnsiTheme="majorHAnsi" w:cstheme="majorHAnsi"/>
          <w:sz w:val="23"/>
          <w:szCs w:val="23"/>
        </w:rPr>
        <w:t>Contar con una política interna que defina de manera explícita el proceso de validación y calibración de los modelos, incluyendo como mínimo:</w:t>
      </w:r>
    </w:p>
    <w:p w14:paraId="28738408" w14:textId="77777777" w:rsidR="009C192E" w:rsidRPr="00576357" w:rsidRDefault="009C192E" w:rsidP="009C192E">
      <w:pPr>
        <w:tabs>
          <w:tab w:val="left" w:pos="1701"/>
        </w:tabs>
        <w:ind w:left="1276"/>
        <w:rPr>
          <w:rFonts w:asciiTheme="majorHAnsi" w:hAnsiTheme="majorHAnsi" w:cstheme="majorHAnsi"/>
          <w:sz w:val="23"/>
          <w:szCs w:val="23"/>
        </w:rPr>
      </w:pPr>
      <w:r w:rsidRPr="00576357">
        <w:rPr>
          <w:rFonts w:asciiTheme="majorHAnsi" w:hAnsiTheme="majorHAnsi" w:cstheme="majorHAnsi"/>
          <w:sz w:val="23"/>
          <w:szCs w:val="23"/>
        </w:rPr>
        <w:t xml:space="preserve">a) </w:t>
      </w:r>
      <w:r w:rsidRPr="00576357">
        <w:rPr>
          <w:rFonts w:asciiTheme="majorHAnsi" w:hAnsiTheme="majorHAnsi" w:cstheme="majorHAnsi"/>
          <w:sz w:val="23"/>
          <w:szCs w:val="23"/>
        </w:rPr>
        <w:tab/>
        <w:t xml:space="preserve">La descripción detallada de las metodologías utilizadas para evaluar el desempeño del </w:t>
      </w:r>
      <w:r w:rsidRPr="00576357">
        <w:rPr>
          <w:rFonts w:asciiTheme="majorHAnsi" w:hAnsiTheme="majorHAnsi" w:cstheme="majorHAnsi"/>
          <w:color w:val="000000" w:themeColor="text1"/>
          <w:sz w:val="23"/>
          <w:szCs w:val="23"/>
        </w:rPr>
        <w:t xml:space="preserve">modelo (pruebas </w:t>
      </w:r>
      <w:r w:rsidRPr="00576357">
        <w:rPr>
          <w:rFonts w:asciiTheme="majorHAnsi" w:hAnsiTheme="majorHAnsi" w:cstheme="majorHAnsi"/>
          <w:sz w:val="23"/>
          <w:szCs w:val="23"/>
        </w:rPr>
        <w:t>de poder predictivo, estabilidad, discriminación y precisión).</w:t>
      </w:r>
    </w:p>
    <w:p w14:paraId="729CF581" w14:textId="77777777" w:rsidR="009C192E" w:rsidRPr="00576357" w:rsidRDefault="009C192E" w:rsidP="009C192E">
      <w:pPr>
        <w:tabs>
          <w:tab w:val="left" w:pos="1701"/>
        </w:tabs>
        <w:ind w:left="1276"/>
        <w:rPr>
          <w:rFonts w:asciiTheme="majorHAnsi" w:hAnsiTheme="majorHAnsi" w:cstheme="majorHAnsi"/>
          <w:sz w:val="23"/>
          <w:szCs w:val="23"/>
        </w:rPr>
      </w:pPr>
      <w:r w:rsidRPr="00576357">
        <w:rPr>
          <w:rFonts w:asciiTheme="majorHAnsi" w:hAnsiTheme="majorHAnsi" w:cstheme="majorHAnsi"/>
          <w:sz w:val="23"/>
          <w:szCs w:val="23"/>
        </w:rPr>
        <w:t>b)</w:t>
      </w:r>
      <w:r w:rsidRPr="00576357">
        <w:rPr>
          <w:rFonts w:asciiTheme="majorHAnsi" w:hAnsiTheme="majorHAnsi" w:cstheme="majorHAnsi"/>
          <w:sz w:val="23"/>
          <w:szCs w:val="23"/>
        </w:rPr>
        <w:tab/>
        <w:t>Los procedimientos de calibración, especificando cómo se ajustan los parámetros del modelo para mejorar su alineación con los datos observados y su capacidad explicativa.</w:t>
      </w:r>
    </w:p>
    <w:p w14:paraId="0A834476" w14:textId="77777777" w:rsidR="009C192E" w:rsidRPr="00576357" w:rsidRDefault="009C192E" w:rsidP="009C192E">
      <w:pPr>
        <w:tabs>
          <w:tab w:val="left" w:pos="1701"/>
        </w:tabs>
        <w:ind w:left="1276"/>
        <w:rPr>
          <w:rFonts w:asciiTheme="majorHAnsi" w:hAnsiTheme="majorHAnsi" w:cstheme="majorHAnsi"/>
          <w:bCs/>
          <w:color w:val="000000" w:themeColor="text1"/>
          <w:sz w:val="23"/>
          <w:szCs w:val="23"/>
        </w:rPr>
      </w:pPr>
      <w:r w:rsidRPr="00576357">
        <w:rPr>
          <w:rFonts w:asciiTheme="majorHAnsi" w:hAnsiTheme="majorHAnsi" w:cstheme="majorHAnsi"/>
          <w:sz w:val="23"/>
          <w:szCs w:val="23"/>
        </w:rPr>
        <w:t>c)</w:t>
      </w:r>
      <w:r w:rsidRPr="00576357">
        <w:rPr>
          <w:rFonts w:asciiTheme="majorHAnsi" w:hAnsiTheme="majorHAnsi" w:cstheme="majorHAnsi"/>
          <w:sz w:val="23"/>
          <w:szCs w:val="23"/>
        </w:rPr>
        <w:tab/>
        <w:t>La periodicidad para la ejecución de pruebas de validación, al menos</w:t>
      </w:r>
      <w:r w:rsidRPr="00576357">
        <w:rPr>
          <w:rFonts w:asciiTheme="majorHAnsi" w:hAnsiTheme="majorHAnsi" w:cstheme="majorHAnsi"/>
          <w:bCs/>
          <w:color w:val="000000" w:themeColor="text1"/>
          <w:sz w:val="23"/>
          <w:szCs w:val="23"/>
        </w:rPr>
        <w:t xml:space="preserve"> semestralmente. </w:t>
      </w:r>
    </w:p>
    <w:p w14:paraId="68E61A3D" w14:textId="77777777" w:rsidR="009C192E" w:rsidRPr="00576357" w:rsidRDefault="009C192E" w:rsidP="009C192E">
      <w:pPr>
        <w:tabs>
          <w:tab w:val="left" w:pos="1701"/>
        </w:tabs>
        <w:ind w:left="1276"/>
        <w:rPr>
          <w:rFonts w:asciiTheme="majorHAnsi" w:hAnsiTheme="majorHAnsi" w:cstheme="majorHAnsi"/>
          <w:bCs/>
          <w:color w:val="000000" w:themeColor="text1"/>
          <w:sz w:val="23"/>
          <w:szCs w:val="23"/>
        </w:rPr>
      </w:pPr>
      <w:r w:rsidRPr="00576357">
        <w:rPr>
          <w:rFonts w:asciiTheme="majorHAnsi" w:hAnsiTheme="majorHAnsi" w:cstheme="majorHAnsi"/>
          <w:sz w:val="23"/>
          <w:szCs w:val="23"/>
        </w:rPr>
        <w:t>d)</w:t>
      </w:r>
      <w:r w:rsidRPr="00576357" w:rsidDel="004E62DE">
        <w:rPr>
          <w:rFonts w:asciiTheme="majorHAnsi" w:hAnsiTheme="majorHAnsi" w:cstheme="majorHAnsi"/>
          <w:sz w:val="23"/>
          <w:szCs w:val="23"/>
        </w:rPr>
        <w:t xml:space="preserve"> </w:t>
      </w:r>
      <w:r w:rsidRPr="00576357">
        <w:rPr>
          <w:rFonts w:asciiTheme="majorHAnsi" w:hAnsiTheme="majorHAnsi" w:cstheme="majorHAnsi"/>
          <w:sz w:val="23"/>
          <w:szCs w:val="23"/>
        </w:rPr>
        <w:tab/>
        <w:t>La</w:t>
      </w:r>
      <w:r w:rsidRPr="00576357">
        <w:rPr>
          <w:rFonts w:asciiTheme="majorHAnsi" w:hAnsiTheme="majorHAnsi" w:cstheme="majorHAnsi"/>
          <w:bCs/>
          <w:sz w:val="23"/>
          <w:szCs w:val="23"/>
        </w:rPr>
        <w:t xml:space="preserve"> identificación de las áreas o funciones responsables de llevar a cabo estas actividades, asegurando que sean independientes del equipo desarrollador y que exista una adecuada segregación funcional conforme al principio de las tres líneas de defensa.</w:t>
      </w:r>
    </w:p>
    <w:p w14:paraId="5E8978EA" w14:textId="77777777" w:rsidR="009C192E" w:rsidRPr="00576357" w:rsidRDefault="009C192E" w:rsidP="009C192E">
      <w:pPr>
        <w:pStyle w:val="Ttulo2"/>
        <w:ind w:left="709" w:hanging="720"/>
        <w:rPr>
          <w:rFonts w:asciiTheme="majorHAnsi" w:hAnsiTheme="majorHAnsi" w:cstheme="majorHAnsi"/>
          <w:sz w:val="23"/>
          <w:szCs w:val="23"/>
        </w:rPr>
      </w:pPr>
      <w:bookmarkStart w:id="61" w:name="_Toc227326055"/>
      <w:r w:rsidRPr="00576357">
        <w:rPr>
          <w:rFonts w:asciiTheme="majorHAnsi" w:hAnsiTheme="majorHAnsi" w:cstheme="majorHAnsi"/>
          <w:sz w:val="23"/>
          <w:szCs w:val="23"/>
        </w:rPr>
        <w:t>Sobre la integración de los modelos en las políticas internas y pruebas de uso</w:t>
      </w:r>
      <w:bookmarkEnd w:id="61"/>
      <w:r w:rsidRPr="00576357">
        <w:rPr>
          <w:rFonts w:asciiTheme="majorHAnsi" w:hAnsiTheme="majorHAnsi" w:cstheme="majorHAnsi"/>
          <w:sz w:val="23"/>
          <w:szCs w:val="23"/>
        </w:rPr>
        <w:t xml:space="preserve"> </w:t>
      </w:r>
    </w:p>
    <w:p w14:paraId="5AF09248" w14:textId="77777777" w:rsidR="009C192E" w:rsidRPr="00576357" w:rsidRDefault="009C192E" w:rsidP="00681541">
      <w:pPr>
        <w:pStyle w:val="Prrafodelista"/>
        <w:numPr>
          <w:ilvl w:val="0"/>
          <w:numId w:val="52"/>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lastRenderedPageBreak/>
        <w:t>Evidencia de la incorporación de las metodologías internas en las políticas crediticias de la entidad, incluyendo su aplicación en procesos como admisión, seguimiento y recuperación de créditos.</w:t>
      </w:r>
    </w:p>
    <w:p w14:paraId="5A28B5DD" w14:textId="77777777" w:rsidR="009C192E" w:rsidRPr="00576357" w:rsidRDefault="009C192E" w:rsidP="00681541">
      <w:pPr>
        <w:pStyle w:val="Prrafodelista"/>
        <w:numPr>
          <w:ilvl w:val="0"/>
          <w:numId w:val="52"/>
        </w:numPr>
        <w:spacing w:after="240"/>
        <w:ind w:left="1134" w:hanging="567"/>
        <w:contextualSpacing w:val="0"/>
        <w:jc w:val="both"/>
        <w:rPr>
          <w:rFonts w:asciiTheme="majorHAnsi" w:hAnsiTheme="majorHAnsi" w:cstheme="majorHAnsi"/>
          <w:color w:val="000000" w:themeColor="text1"/>
          <w:sz w:val="23"/>
          <w:szCs w:val="23"/>
        </w:rPr>
      </w:pPr>
      <w:r w:rsidRPr="00576357">
        <w:rPr>
          <w:rFonts w:asciiTheme="majorHAnsi" w:hAnsiTheme="majorHAnsi" w:cstheme="majorHAnsi"/>
          <w:color w:val="000000" w:themeColor="text1"/>
          <w:sz w:val="23"/>
          <w:szCs w:val="23"/>
        </w:rPr>
        <w:t xml:space="preserve">Documentación técnica que demuestre el vínculo explícito entre los modelos y el apetito de riesgo definido por la entidad, demostrando cómo los resultados de los modelos contribuyen a la toma de decisiones estratégicas y operativas. </w:t>
      </w:r>
    </w:p>
    <w:p w14:paraId="66D5B3BA" w14:textId="77777777" w:rsidR="009C192E" w:rsidRPr="00576357" w:rsidRDefault="009C192E" w:rsidP="00681541">
      <w:pPr>
        <w:pStyle w:val="Prrafodelista"/>
        <w:numPr>
          <w:ilvl w:val="0"/>
          <w:numId w:val="52"/>
        </w:numPr>
        <w:spacing w:after="240"/>
        <w:ind w:left="1134" w:hanging="567"/>
        <w:contextualSpacing w:val="0"/>
        <w:jc w:val="both"/>
        <w:rPr>
          <w:rFonts w:asciiTheme="majorHAnsi" w:hAnsiTheme="majorHAnsi" w:cstheme="majorHAnsi"/>
          <w:sz w:val="23"/>
          <w:szCs w:val="23"/>
        </w:rPr>
      </w:pPr>
      <w:r w:rsidRPr="00576357">
        <w:rPr>
          <w:rFonts w:asciiTheme="majorHAnsi" w:hAnsiTheme="majorHAnsi" w:cstheme="majorHAnsi"/>
          <w:sz w:val="23"/>
          <w:szCs w:val="23"/>
        </w:rPr>
        <w:t>Documentación técnica que demuestre la integración efectiva y sostenida de los modelos en la gestión diaria del riesgo de crédito durante al menos dos años consecutivos (período de prueba T</w:t>
      </w:r>
      <w:r w:rsidRPr="00576357">
        <w:rPr>
          <w:rFonts w:asciiTheme="majorHAnsi" w:hAnsiTheme="majorHAnsi" w:cstheme="majorHAnsi"/>
          <w:sz w:val="23"/>
          <w:szCs w:val="23"/>
          <w:vertAlign w:val="subscript"/>
        </w:rPr>
        <w:t>0</w:t>
      </w:r>
      <w:r w:rsidRPr="00576357">
        <w:rPr>
          <w:rFonts w:asciiTheme="majorHAnsi" w:hAnsiTheme="majorHAnsi" w:cstheme="majorHAnsi"/>
          <w:sz w:val="23"/>
          <w:szCs w:val="23"/>
        </w:rPr>
        <w:t xml:space="preserve"> a T</w:t>
      </w:r>
      <w:r w:rsidRPr="00576357">
        <w:rPr>
          <w:rFonts w:asciiTheme="majorHAnsi" w:hAnsiTheme="majorHAnsi" w:cstheme="majorHAnsi"/>
          <w:sz w:val="23"/>
          <w:szCs w:val="23"/>
          <w:vertAlign w:val="subscript"/>
        </w:rPr>
        <w:t>24</w:t>
      </w:r>
      <w:r w:rsidRPr="00576357">
        <w:rPr>
          <w:rFonts w:asciiTheme="majorHAnsi" w:hAnsiTheme="majorHAnsi" w:cstheme="majorHAnsi"/>
          <w:sz w:val="23"/>
          <w:szCs w:val="23"/>
        </w:rPr>
        <w:t xml:space="preserve">). Esto incluye la utilización de componentes como PD, LGD u otros, en etapas clave como otorgamiento </w:t>
      </w:r>
      <w:r w:rsidRPr="00576357">
        <w:rPr>
          <w:rFonts w:asciiTheme="majorHAnsi" w:hAnsiTheme="majorHAnsi" w:cstheme="majorHAnsi"/>
          <w:color w:val="000000" w:themeColor="text1"/>
          <w:sz w:val="23"/>
          <w:szCs w:val="23"/>
        </w:rPr>
        <w:t xml:space="preserve">(fijación de precios, establecimiento de límites) seguimiento </w:t>
      </w:r>
      <w:r w:rsidRPr="00576357">
        <w:rPr>
          <w:rFonts w:asciiTheme="majorHAnsi" w:hAnsiTheme="majorHAnsi" w:cstheme="majorHAnsi"/>
          <w:sz w:val="23"/>
          <w:szCs w:val="23"/>
        </w:rPr>
        <w:t xml:space="preserve">de cartera y priorización en la recuperación, entre otros. </w:t>
      </w:r>
    </w:p>
    <w:p w14:paraId="2F5CDB9C" w14:textId="77777777" w:rsidR="009C192E" w:rsidRPr="00576357" w:rsidRDefault="009C192E" w:rsidP="009C192E">
      <w:pPr>
        <w:pStyle w:val="Ttulo2"/>
        <w:rPr>
          <w:rFonts w:asciiTheme="majorHAnsi" w:hAnsiTheme="majorHAnsi" w:cstheme="majorHAnsi"/>
          <w:sz w:val="23"/>
          <w:szCs w:val="23"/>
        </w:rPr>
      </w:pPr>
      <w:bookmarkStart w:id="62" w:name="_Toc227326056"/>
      <w:r w:rsidRPr="00576357">
        <w:rPr>
          <w:rFonts w:asciiTheme="majorHAnsi" w:hAnsiTheme="majorHAnsi" w:cstheme="majorHAnsi"/>
          <w:sz w:val="23"/>
          <w:szCs w:val="23"/>
        </w:rPr>
        <w:tab/>
        <w:t>Sobre la base de datos</w:t>
      </w:r>
      <w:bookmarkEnd w:id="62"/>
    </w:p>
    <w:p w14:paraId="1861BEE0" w14:textId="77777777" w:rsidR="009C192E" w:rsidRPr="00576357" w:rsidRDefault="009C192E" w:rsidP="00681541">
      <w:pPr>
        <w:pStyle w:val="Prrafodelista"/>
        <w:numPr>
          <w:ilvl w:val="0"/>
          <w:numId w:val="53"/>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Políticas internas formalmente aprobadas que regulen el aseguramiento de la calidad de los datos, incluyendo responsabilidades, procedimientos de validación y mecanismos de mejora continua.</w:t>
      </w:r>
    </w:p>
    <w:p w14:paraId="78E44A9F" w14:textId="77777777" w:rsidR="009C192E" w:rsidRPr="00576357" w:rsidRDefault="009C192E" w:rsidP="00681541">
      <w:pPr>
        <w:pStyle w:val="Prrafodelista"/>
        <w:numPr>
          <w:ilvl w:val="0"/>
          <w:numId w:val="53"/>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Métricas de calidad de los datos que conforman las bases utilizadas en los modelos, con evidencia que respalde la información. Estas métricas deben incluir indicadores de completitud, integridad, consistencia, exactitud y tasas de error, entre otros.</w:t>
      </w:r>
    </w:p>
    <w:p w14:paraId="690FBF41" w14:textId="77777777" w:rsidR="009C192E" w:rsidRPr="00576357" w:rsidRDefault="009C192E" w:rsidP="00681541">
      <w:pPr>
        <w:pStyle w:val="Prrafodelista"/>
        <w:numPr>
          <w:ilvl w:val="0"/>
          <w:numId w:val="53"/>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Evaluación global y certificación de la calidad de los datos por parte de la función de validación interna de la entidad. Esta certificación debe contemplar, para cada base de datos empleada, la existencia de procedimientos de control y evaluación, así como criterios y planes de acción para corregir deficiencias o ausencias de información.</w:t>
      </w:r>
    </w:p>
    <w:p w14:paraId="1C290671" w14:textId="77777777" w:rsidR="009C192E" w:rsidRPr="00576357" w:rsidRDefault="009C192E" w:rsidP="00681541">
      <w:pPr>
        <w:pStyle w:val="Prrafodelista"/>
        <w:numPr>
          <w:ilvl w:val="0"/>
          <w:numId w:val="53"/>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Resultados de la pérdida esperada y de cada uno de sus componentes (PD, LGD, EAD), desagregados a nivel de operación, junto con los valores de las variables predictoras utilizadas en los modelos correspondientes, al corte de T</w:t>
      </w:r>
      <w:r w:rsidRPr="00576357">
        <w:rPr>
          <w:rFonts w:asciiTheme="majorHAnsi" w:hAnsiTheme="majorHAnsi" w:cstheme="majorHAnsi"/>
          <w:bCs/>
          <w:sz w:val="23"/>
          <w:szCs w:val="23"/>
          <w:vertAlign w:val="subscript"/>
        </w:rPr>
        <w:t>24.</w:t>
      </w:r>
      <w:r w:rsidRPr="00576357">
        <w:rPr>
          <w:rFonts w:asciiTheme="majorHAnsi" w:hAnsiTheme="majorHAnsi" w:cstheme="majorHAnsi"/>
          <w:bCs/>
          <w:sz w:val="23"/>
          <w:szCs w:val="23"/>
        </w:rPr>
        <w:t xml:space="preserve"> </w:t>
      </w:r>
    </w:p>
    <w:p w14:paraId="6CE8F11E" w14:textId="77777777" w:rsidR="009C192E" w:rsidRPr="00576357" w:rsidRDefault="009C192E" w:rsidP="00681541">
      <w:pPr>
        <w:pStyle w:val="Prrafodelista"/>
        <w:numPr>
          <w:ilvl w:val="0"/>
          <w:numId w:val="53"/>
        </w:numPr>
        <w:spacing w:after="240"/>
        <w:ind w:left="1134" w:hanging="567"/>
        <w:contextualSpacing w:val="0"/>
        <w:jc w:val="both"/>
        <w:rPr>
          <w:rFonts w:asciiTheme="majorHAnsi" w:hAnsiTheme="majorHAnsi" w:cstheme="majorHAnsi"/>
          <w:sz w:val="23"/>
          <w:szCs w:val="23"/>
        </w:rPr>
      </w:pPr>
      <w:r w:rsidRPr="00576357">
        <w:rPr>
          <w:rFonts w:asciiTheme="majorHAnsi" w:hAnsiTheme="majorHAnsi" w:cstheme="majorHAnsi"/>
          <w:color w:val="000000" w:themeColor="text1"/>
          <w:sz w:val="23"/>
          <w:szCs w:val="23"/>
        </w:rPr>
        <w:lastRenderedPageBreak/>
        <w:t xml:space="preserve">Detalle de los períodos utilizados para la construcción del modelo. Las </w:t>
      </w:r>
      <w:r w:rsidRPr="00576357">
        <w:rPr>
          <w:rFonts w:asciiTheme="majorHAnsi" w:hAnsiTheme="majorHAnsi" w:cstheme="majorHAnsi"/>
          <w:sz w:val="23"/>
          <w:szCs w:val="23"/>
        </w:rPr>
        <w:t xml:space="preserve">bases de datos deben contener, como mínimo, cinco años de información histórica, asegurando representatividad y robustez estadística. </w:t>
      </w:r>
    </w:p>
    <w:p w14:paraId="3F770475" w14:textId="77777777" w:rsidR="009C192E" w:rsidRPr="00576357" w:rsidRDefault="009C192E" w:rsidP="009C192E">
      <w:pPr>
        <w:pStyle w:val="Ttulo2"/>
        <w:tabs>
          <w:tab w:val="left" w:pos="567"/>
        </w:tabs>
        <w:ind w:left="709" w:hanging="720"/>
        <w:rPr>
          <w:rFonts w:asciiTheme="majorHAnsi" w:hAnsiTheme="majorHAnsi" w:cstheme="majorHAnsi"/>
          <w:sz w:val="23"/>
          <w:szCs w:val="23"/>
        </w:rPr>
      </w:pPr>
      <w:bookmarkStart w:id="63" w:name="_Toc227326057"/>
      <w:r w:rsidRPr="00576357">
        <w:rPr>
          <w:rFonts w:asciiTheme="majorHAnsi" w:hAnsiTheme="majorHAnsi" w:cstheme="majorHAnsi"/>
          <w:sz w:val="23"/>
          <w:szCs w:val="23"/>
        </w:rPr>
        <w:tab/>
        <w:t>Sobre el proceso de depuración, tratamiento de datos ausentes o atípicos y transformación de datos</w:t>
      </w:r>
      <w:bookmarkEnd w:id="63"/>
    </w:p>
    <w:p w14:paraId="53F2E062" w14:textId="77777777" w:rsidR="009C192E" w:rsidRPr="00576357" w:rsidRDefault="009C192E" w:rsidP="00681541">
      <w:pPr>
        <w:pStyle w:val="Prrafodelista"/>
        <w:numPr>
          <w:ilvl w:val="0"/>
          <w:numId w:val="54"/>
        </w:numPr>
        <w:spacing w:after="240"/>
        <w:ind w:left="1134" w:hanging="567"/>
        <w:contextualSpacing w:val="0"/>
        <w:jc w:val="both"/>
        <w:rPr>
          <w:rFonts w:asciiTheme="majorHAnsi" w:hAnsiTheme="majorHAnsi" w:cstheme="majorHAnsi"/>
          <w:bCs/>
          <w:color w:val="000000" w:themeColor="text1"/>
          <w:sz w:val="23"/>
          <w:szCs w:val="23"/>
        </w:rPr>
      </w:pPr>
      <w:r w:rsidRPr="00576357">
        <w:rPr>
          <w:rFonts w:asciiTheme="majorHAnsi" w:hAnsiTheme="majorHAnsi" w:cstheme="majorHAnsi"/>
          <w:bCs/>
          <w:color w:val="000000" w:themeColor="text1"/>
          <w:sz w:val="23"/>
          <w:szCs w:val="23"/>
        </w:rPr>
        <w:t xml:space="preserve">Evidencia documental del proceso de detección y tratamiento de valores atípicos y datos ausentes, incluyendo la descripción de las técnicas estadísticas utilizadas (por ejemplo, imputación de valores ausentes, </w:t>
      </w:r>
      <w:proofErr w:type="spellStart"/>
      <w:r w:rsidRPr="00576357">
        <w:rPr>
          <w:rFonts w:asciiTheme="majorHAnsi" w:hAnsiTheme="majorHAnsi" w:cstheme="majorHAnsi"/>
          <w:bCs/>
          <w:color w:val="000000" w:themeColor="text1"/>
          <w:sz w:val="23"/>
          <w:szCs w:val="23"/>
        </w:rPr>
        <w:t>winsorización</w:t>
      </w:r>
      <w:proofErr w:type="spellEnd"/>
      <w:r w:rsidRPr="00576357">
        <w:rPr>
          <w:rFonts w:asciiTheme="majorHAnsi" w:hAnsiTheme="majorHAnsi" w:cstheme="majorHAnsi"/>
          <w:bCs/>
          <w:color w:val="000000" w:themeColor="text1"/>
          <w:sz w:val="23"/>
          <w:szCs w:val="23"/>
        </w:rPr>
        <w:t xml:space="preserve">, análisis de </w:t>
      </w:r>
      <w:proofErr w:type="spellStart"/>
      <w:r w:rsidRPr="00576357">
        <w:rPr>
          <w:rFonts w:asciiTheme="majorHAnsi" w:hAnsiTheme="majorHAnsi" w:cstheme="majorHAnsi"/>
          <w:bCs/>
          <w:i/>
          <w:iCs/>
          <w:color w:val="000000" w:themeColor="text1"/>
          <w:sz w:val="23"/>
          <w:szCs w:val="23"/>
        </w:rPr>
        <w:t>outliers</w:t>
      </w:r>
      <w:proofErr w:type="spellEnd"/>
      <w:r w:rsidRPr="00576357">
        <w:rPr>
          <w:rFonts w:asciiTheme="majorHAnsi" w:hAnsiTheme="majorHAnsi" w:cstheme="majorHAnsi"/>
          <w:bCs/>
          <w:color w:val="000000" w:themeColor="text1"/>
          <w:sz w:val="23"/>
          <w:szCs w:val="23"/>
        </w:rPr>
        <w:t xml:space="preserve">) y los resultados obtenidos. La entidad debe demostrar si los datos atípicos o ausentes corresponden a errores operativos en el registro de los datos o si efectivamente fueron datos observados. </w:t>
      </w:r>
    </w:p>
    <w:p w14:paraId="2796EE50" w14:textId="77777777" w:rsidR="009C192E" w:rsidRPr="00576357" w:rsidRDefault="009C192E" w:rsidP="00681541">
      <w:pPr>
        <w:pStyle w:val="Prrafodelista"/>
        <w:numPr>
          <w:ilvl w:val="0"/>
          <w:numId w:val="54"/>
        </w:numPr>
        <w:spacing w:after="240"/>
        <w:ind w:left="1134" w:hanging="567"/>
        <w:contextualSpacing w:val="0"/>
        <w:jc w:val="both"/>
        <w:rPr>
          <w:rFonts w:asciiTheme="majorHAnsi" w:hAnsiTheme="majorHAnsi" w:cstheme="majorHAnsi"/>
          <w:bCs/>
          <w:color w:val="000000" w:themeColor="text1"/>
          <w:sz w:val="23"/>
          <w:szCs w:val="23"/>
        </w:rPr>
      </w:pPr>
      <w:r w:rsidRPr="00576357">
        <w:rPr>
          <w:rFonts w:asciiTheme="majorHAnsi" w:hAnsiTheme="majorHAnsi" w:cstheme="majorHAnsi"/>
          <w:bCs/>
          <w:color w:val="000000" w:themeColor="text1"/>
          <w:sz w:val="23"/>
          <w:szCs w:val="23"/>
        </w:rPr>
        <w:t>Documentación sobre las transformaciones aplicadas a los datos, tales como normalización, estandarización, discretización, codificación de variables cualitativas, entre otras. Asimismo, se debe incluir la justificación técnica de dichas transformaciones y el proceso de creación de variables derivadas, cuando corresponda.</w:t>
      </w:r>
    </w:p>
    <w:p w14:paraId="64413D51" w14:textId="77777777" w:rsidR="009C192E" w:rsidRPr="00576357" w:rsidRDefault="009C192E" w:rsidP="009C192E">
      <w:pPr>
        <w:pStyle w:val="Ttulo2"/>
        <w:rPr>
          <w:rFonts w:asciiTheme="majorHAnsi" w:hAnsiTheme="majorHAnsi" w:cstheme="majorHAnsi"/>
          <w:sz w:val="23"/>
          <w:szCs w:val="23"/>
        </w:rPr>
      </w:pPr>
      <w:bookmarkStart w:id="64" w:name="_Toc227326058"/>
      <w:r w:rsidRPr="00576357">
        <w:rPr>
          <w:rFonts w:asciiTheme="majorHAnsi" w:hAnsiTheme="majorHAnsi" w:cstheme="majorHAnsi"/>
          <w:sz w:val="23"/>
          <w:szCs w:val="23"/>
        </w:rPr>
        <w:tab/>
        <w:t>Sobre la definición de la variable dependiente</w:t>
      </w:r>
      <w:bookmarkEnd w:id="64"/>
    </w:p>
    <w:p w14:paraId="35DA267E" w14:textId="77777777" w:rsidR="009C192E" w:rsidRPr="00576357" w:rsidRDefault="009C192E" w:rsidP="00681541">
      <w:pPr>
        <w:pStyle w:val="Prrafodelista"/>
        <w:numPr>
          <w:ilvl w:val="0"/>
          <w:numId w:val="66"/>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 xml:space="preserve">Evidencia documental del análisis realizado para la selección de la variable dependiente en cada modelo, incluyendo la justificación técnica y conceptual de su elección. </w:t>
      </w:r>
    </w:p>
    <w:p w14:paraId="0D036FFE" w14:textId="77777777" w:rsidR="009C192E" w:rsidRPr="00576357" w:rsidRDefault="009C192E" w:rsidP="00681541">
      <w:pPr>
        <w:pStyle w:val="Prrafodelista"/>
        <w:numPr>
          <w:ilvl w:val="0"/>
          <w:numId w:val="66"/>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Resultados de análisis comparativos entre distintas alternativas de definición de la variable dependiente, considerando escenarios diversos que permitan validar su pertinencia y robustez.</w:t>
      </w:r>
    </w:p>
    <w:p w14:paraId="57EC09EF" w14:textId="77777777" w:rsidR="009C192E" w:rsidRPr="00576357" w:rsidRDefault="009C192E" w:rsidP="009C192E">
      <w:pPr>
        <w:pStyle w:val="Ttulo2"/>
        <w:rPr>
          <w:rFonts w:asciiTheme="majorHAnsi" w:hAnsiTheme="majorHAnsi" w:cstheme="majorHAnsi"/>
          <w:sz w:val="23"/>
          <w:szCs w:val="23"/>
        </w:rPr>
      </w:pPr>
      <w:bookmarkStart w:id="65" w:name="_Toc227326059"/>
      <w:r w:rsidRPr="00576357">
        <w:rPr>
          <w:rFonts w:asciiTheme="majorHAnsi" w:hAnsiTheme="majorHAnsi" w:cstheme="majorHAnsi"/>
          <w:sz w:val="23"/>
          <w:szCs w:val="23"/>
        </w:rPr>
        <w:tab/>
        <w:t>Sobre el análisis descriptivo de las variables candidatas para los modelos</w:t>
      </w:r>
      <w:bookmarkEnd w:id="65"/>
    </w:p>
    <w:p w14:paraId="15460B8A" w14:textId="77777777" w:rsidR="009C192E" w:rsidRPr="00576357" w:rsidRDefault="009C192E" w:rsidP="00681541">
      <w:pPr>
        <w:pStyle w:val="Prrafodelista"/>
        <w:numPr>
          <w:ilvl w:val="0"/>
          <w:numId w:val="65"/>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 xml:space="preserve">Glosario completo de todas las variables consideradas como candidatas para los modelos, incluyendo al menos: nombre, descripción, tipo de variable (numérica, categórica, binaria, entre otros), unidad de medida, relación esperada con la variable dependiente (signo y lógica económica-financiera), y </w:t>
      </w:r>
      <w:r w:rsidRPr="00576357">
        <w:rPr>
          <w:rFonts w:asciiTheme="majorHAnsi" w:hAnsiTheme="majorHAnsi" w:cstheme="majorHAnsi"/>
          <w:bCs/>
          <w:sz w:val="23"/>
          <w:szCs w:val="23"/>
        </w:rPr>
        <w:lastRenderedPageBreak/>
        <w:t xml:space="preserve">una indicación sobre si la variable fue finalmente incluida en el modelo o descartada, junto con la justificación correspondiente. </w:t>
      </w:r>
    </w:p>
    <w:p w14:paraId="3B356E52" w14:textId="77777777" w:rsidR="009C192E" w:rsidRPr="00576357" w:rsidRDefault="009C192E" w:rsidP="00681541">
      <w:pPr>
        <w:pStyle w:val="Prrafodelista"/>
        <w:numPr>
          <w:ilvl w:val="0"/>
          <w:numId w:val="65"/>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Análisis estadístico descriptivo de las variables incluidas en los modelos finales, que contemple medidas como media, mediana, desviación estándar, percentiles, distribución, y presencia de valores extremos o ausentes, entre otros aspectos relevantes para la comprensión del comportamiento de las variables.</w:t>
      </w:r>
    </w:p>
    <w:p w14:paraId="0BD61AAE" w14:textId="77777777" w:rsidR="009C192E" w:rsidRPr="00576357" w:rsidRDefault="009C192E" w:rsidP="009C192E">
      <w:pPr>
        <w:pStyle w:val="Ttulo2"/>
        <w:rPr>
          <w:rFonts w:asciiTheme="majorHAnsi" w:hAnsiTheme="majorHAnsi" w:cstheme="majorHAnsi"/>
          <w:sz w:val="23"/>
          <w:szCs w:val="23"/>
        </w:rPr>
      </w:pPr>
      <w:bookmarkStart w:id="66" w:name="_Toc227326060"/>
      <w:r w:rsidRPr="00576357">
        <w:rPr>
          <w:rFonts w:asciiTheme="majorHAnsi" w:hAnsiTheme="majorHAnsi" w:cstheme="majorHAnsi"/>
          <w:sz w:val="23"/>
          <w:szCs w:val="23"/>
        </w:rPr>
        <w:tab/>
        <w:t>Sobre el proceso de segmentación de los datos en aprendizaje y validación</w:t>
      </w:r>
      <w:bookmarkEnd w:id="66"/>
    </w:p>
    <w:p w14:paraId="2FCA455A" w14:textId="77777777" w:rsidR="009C192E" w:rsidRPr="00576357" w:rsidRDefault="009C192E" w:rsidP="00681541">
      <w:pPr>
        <w:pStyle w:val="Prrafodelista"/>
        <w:numPr>
          <w:ilvl w:val="0"/>
          <w:numId w:val="64"/>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Evidencia documental que describa la definición de las muestras utilizadas para el entrenamiento (aprendizaje) y la validación de los modelos, incluyendo la proporción asignada a cada conjunto.</w:t>
      </w:r>
    </w:p>
    <w:p w14:paraId="7DD353C0" w14:textId="77777777" w:rsidR="009C192E" w:rsidRPr="00576357" w:rsidRDefault="009C192E" w:rsidP="00681541">
      <w:pPr>
        <w:pStyle w:val="Prrafodelista"/>
        <w:numPr>
          <w:ilvl w:val="0"/>
          <w:numId w:val="64"/>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Descripción de las técnicas utilizadas para garantizar un muestreo probabilístico aleatorio, asegurando la representatividad de las muestras y evitando sesgos en la segmentación.</w:t>
      </w:r>
    </w:p>
    <w:p w14:paraId="2F40E696" w14:textId="77777777" w:rsidR="009C192E" w:rsidRPr="00576357" w:rsidRDefault="009C192E" w:rsidP="00681541">
      <w:pPr>
        <w:pStyle w:val="Prrafodelista"/>
        <w:numPr>
          <w:ilvl w:val="0"/>
          <w:numId w:val="64"/>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Documentación sobre el tratamiento del desbalance de clases, en caso de que exista, incluyendo las técnicas aplicadas y su impacto en el desempeño del modelo.</w:t>
      </w:r>
    </w:p>
    <w:p w14:paraId="67DAC974" w14:textId="77777777" w:rsidR="009C192E" w:rsidRPr="00576357" w:rsidRDefault="009C192E" w:rsidP="009C192E">
      <w:pPr>
        <w:pStyle w:val="Ttulo2"/>
        <w:tabs>
          <w:tab w:val="left" w:pos="1134"/>
        </w:tabs>
        <w:ind w:left="567" w:hanging="578"/>
        <w:rPr>
          <w:rFonts w:asciiTheme="majorHAnsi" w:hAnsiTheme="majorHAnsi" w:cstheme="majorHAnsi"/>
          <w:sz w:val="23"/>
          <w:szCs w:val="23"/>
        </w:rPr>
      </w:pPr>
      <w:bookmarkStart w:id="67" w:name="_Toc227326061"/>
      <w:r w:rsidRPr="00576357">
        <w:rPr>
          <w:rFonts w:asciiTheme="majorHAnsi" w:hAnsiTheme="majorHAnsi" w:cstheme="majorHAnsi"/>
          <w:sz w:val="23"/>
          <w:szCs w:val="23"/>
        </w:rPr>
        <w:t>Sobre el análisis multivariante para la selección de variables</w:t>
      </w:r>
      <w:bookmarkEnd w:id="67"/>
    </w:p>
    <w:p w14:paraId="4F6F537C" w14:textId="77777777" w:rsidR="009C192E" w:rsidRPr="00576357" w:rsidRDefault="009C192E" w:rsidP="00681541">
      <w:pPr>
        <w:pStyle w:val="Prrafodelista"/>
        <w:numPr>
          <w:ilvl w:val="0"/>
          <w:numId w:val="63"/>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Evidencia documental sobre las técnicas estadísticas (paramétricas y no paramétricas), utilizadas para la selección de variables incluidas en los modelos, tales como regresión paso a paso (</w:t>
      </w:r>
      <w:proofErr w:type="spellStart"/>
      <w:r w:rsidRPr="00576357">
        <w:rPr>
          <w:rFonts w:asciiTheme="majorHAnsi" w:hAnsiTheme="majorHAnsi" w:cstheme="majorHAnsi"/>
          <w:bCs/>
          <w:i/>
          <w:iCs/>
          <w:sz w:val="23"/>
          <w:szCs w:val="23"/>
        </w:rPr>
        <w:t>stepwise</w:t>
      </w:r>
      <w:proofErr w:type="spellEnd"/>
      <w:r w:rsidRPr="00576357">
        <w:rPr>
          <w:rFonts w:asciiTheme="majorHAnsi" w:hAnsiTheme="majorHAnsi" w:cstheme="majorHAnsi"/>
          <w:bCs/>
          <w:i/>
          <w:iCs/>
          <w:sz w:val="23"/>
          <w:szCs w:val="23"/>
        </w:rPr>
        <w:t xml:space="preserve"> </w:t>
      </w:r>
      <w:proofErr w:type="spellStart"/>
      <w:r w:rsidRPr="00576357">
        <w:rPr>
          <w:rFonts w:asciiTheme="majorHAnsi" w:hAnsiTheme="majorHAnsi" w:cstheme="majorHAnsi"/>
          <w:bCs/>
          <w:i/>
          <w:iCs/>
          <w:sz w:val="23"/>
          <w:szCs w:val="23"/>
        </w:rPr>
        <w:t>regression</w:t>
      </w:r>
      <w:proofErr w:type="spellEnd"/>
      <w:r w:rsidRPr="00576357">
        <w:rPr>
          <w:rFonts w:asciiTheme="majorHAnsi" w:hAnsiTheme="majorHAnsi" w:cstheme="majorHAnsi"/>
          <w:bCs/>
          <w:sz w:val="23"/>
          <w:szCs w:val="23"/>
        </w:rPr>
        <w:t>), análisis de componentes principales (PCA), análisis de correlación, reducción de dimensionalidad, regularización (</w:t>
      </w:r>
      <w:r w:rsidRPr="00576357">
        <w:rPr>
          <w:rFonts w:asciiTheme="majorHAnsi" w:hAnsiTheme="majorHAnsi" w:cstheme="majorHAnsi"/>
          <w:bCs/>
          <w:i/>
          <w:iCs/>
          <w:sz w:val="23"/>
          <w:szCs w:val="23"/>
        </w:rPr>
        <w:t>Lasso, Ridge</w:t>
      </w:r>
      <w:r w:rsidRPr="00576357">
        <w:rPr>
          <w:rFonts w:asciiTheme="majorHAnsi" w:hAnsiTheme="majorHAnsi" w:cstheme="majorHAnsi"/>
          <w:bCs/>
          <w:sz w:val="23"/>
          <w:szCs w:val="23"/>
        </w:rPr>
        <w:t>), entre otras.</w:t>
      </w:r>
    </w:p>
    <w:p w14:paraId="7CE2AEE9" w14:textId="77777777" w:rsidR="009C192E" w:rsidRPr="00576357" w:rsidRDefault="009C192E" w:rsidP="00681541">
      <w:pPr>
        <w:pStyle w:val="Prrafodelista"/>
        <w:numPr>
          <w:ilvl w:val="0"/>
          <w:numId w:val="63"/>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Resultados obtenidos de dichos análisis, incluyendo criterios de selección (por ejemplo, significancia estadística, mejora en métricas de desempeño, reducción de multicolinealidad), así como la justificación técnica para la inclusión o exclusión de cada variable.</w:t>
      </w:r>
    </w:p>
    <w:p w14:paraId="1F5D0BF2" w14:textId="77777777" w:rsidR="009C192E" w:rsidRPr="00576357" w:rsidRDefault="009C192E" w:rsidP="009C192E">
      <w:pPr>
        <w:pStyle w:val="Ttulo2"/>
        <w:tabs>
          <w:tab w:val="left" w:pos="1134"/>
        </w:tabs>
        <w:ind w:left="567" w:hanging="578"/>
        <w:rPr>
          <w:rFonts w:asciiTheme="majorHAnsi" w:hAnsiTheme="majorHAnsi" w:cstheme="majorHAnsi"/>
          <w:sz w:val="23"/>
          <w:szCs w:val="23"/>
        </w:rPr>
      </w:pPr>
      <w:bookmarkStart w:id="68" w:name="_Toc227326062"/>
      <w:r w:rsidRPr="00576357">
        <w:rPr>
          <w:rFonts w:asciiTheme="majorHAnsi" w:hAnsiTheme="majorHAnsi" w:cstheme="majorHAnsi"/>
          <w:sz w:val="23"/>
          <w:szCs w:val="23"/>
        </w:rPr>
        <w:lastRenderedPageBreak/>
        <w:t>Sobre la conveniencia de la técnica estadística utilizada para los modelos</w:t>
      </w:r>
      <w:bookmarkEnd w:id="68"/>
    </w:p>
    <w:p w14:paraId="4F9FFA96" w14:textId="77777777" w:rsidR="009C192E" w:rsidRPr="00576357" w:rsidRDefault="009C192E" w:rsidP="00681541">
      <w:pPr>
        <w:pStyle w:val="Prrafodelista"/>
        <w:numPr>
          <w:ilvl w:val="0"/>
          <w:numId w:val="62"/>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 xml:space="preserve">Explicación metodológica clara de la técnica de modelado seleccionada, incluyendo sus fundamentos teóricos, supuestos, ventajas y limitaciones, así como los motivos específicos que justifican su elección en el contexto del modelo desarrollado. </w:t>
      </w:r>
    </w:p>
    <w:p w14:paraId="475D24C2" w14:textId="77777777" w:rsidR="009C192E" w:rsidRPr="00576357" w:rsidRDefault="009C192E" w:rsidP="00681541">
      <w:pPr>
        <w:pStyle w:val="Prrafodelista"/>
        <w:numPr>
          <w:ilvl w:val="0"/>
          <w:numId w:val="62"/>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 xml:space="preserve">Evidencia documental de que se evaluaron y compararon otras técnicas estadísticas, presentando métricas de desempeño (por ejemplo, </w:t>
      </w:r>
      <w:r w:rsidRPr="00576357">
        <w:rPr>
          <w:rFonts w:asciiTheme="majorHAnsi" w:hAnsiTheme="majorHAnsi" w:cstheme="majorHAnsi"/>
          <w:bCs/>
          <w:color w:val="000000" w:themeColor="text1"/>
          <w:sz w:val="23"/>
          <w:szCs w:val="23"/>
        </w:rPr>
        <w:t xml:space="preserve">precisión, área bajo la curva ROC (AUROC), </w:t>
      </w:r>
      <w:r w:rsidRPr="00576357">
        <w:rPr>
          <w:rFonts w:asciiTheme="majorHAnsi" w:hAnsiTheme="majorHAnsi" w:cstheme="majorHAnsi"/>
          <w:bCs/>
          <w:sz w:val="23"/>
          <w:szCs w:val="23"/>
        </w:rPr>
        <w:t>sensibilidad, especificidad, error cuadrático medio, entre otras) que demuestren que la técnica elegida es la más adecuada en términos de robustez, interpretabilidad y alineación con los objetivos del modelo.</w:t>
      </w:r>
    </w:p>
    <w:p w14:paraId="5B57FF44" w14:textId="77777777" w:rsidR="009C192E" w:rsidRPr="00576357" w:rsidRDefault="009C192E" w:rsidP="00681541">
      <w:pPr>
        <w:pStyle w:val="Prrafodelista"/>
        <w:numPr>
          <w:ilvl w:val="0"/>
          <w:numId w:val="62"/>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 xml:space="preserve">En caso de utilizar modelos de alta complejidad, se deberá justificar su implementación frente a alternativas más simples. La alta complejidad se entiende como el uso y </w:t>
      </w:r>
      <w:r w:rsidRPr="00576357">
        <w:rPr>
          <w:rFonts w:asciiTheme="majorHAnsi" w:hAnsiTheme="majorHAnsi" w:cstheme="majorHAnsi"/>
          <w:bCs/>
          <w:color w:val="000000" w:themeColor="text1"/>
          <w:sz w:val="23"/>
          <w:szCs w:val="23"/>
        </w:rPr>
        <w:t xml:space="preserve">aplicación de metodologías cuantitativas </w:t>
      </w:r>
      <w:r w:rsidRPr="00576357">
        <w:rPr>
          <w:rFonts w:asciiTheme="majorHAnsi" w:hAnsiTheme="majorHAnsi" w:cstheme="majorHAnsi"/>
          <w:bCs/>
          <w:sz w:val="23"/>
          <w:szCs w:val="23"/>
        </w:rPr>
        <w:t>sofisticadas, tales como redes neuronales profundas, modelos de aprendizaje automático con múltiples capas o parámetros, simulaciones estocásticas avanzadas o técnicas de optimización no lineales. La elección de estos modelos debe estar respaldada por una evaluación comparativa que demuestre mejoras sustanciales en el desempeño, sin comprometer la interpretabilidad ni la trazabilidad del modelo.</w:t>
      </w:r>
    </w:p>
    <w:p w14:paraId="59E8B6E8" w14:textId="77777777" w:rsidR="009C192E" w:rsidRPr="00576357" w:rsidRDefault="009C192E" w:rsidP="009C192E">
      <w:pPr>
        <w:pStyle w:val="Ttulo2"/>
        <w:tabs>
          <w:tab w:val="left" w:pos="1134"/>
        </w:tabs>
        <w:ind w:left="567" w:hanging="578"/>
        <w:rPr>
          <w:rFonts w:asciiTheme="majorHAnsi" w:hAnsiTheme="majorHAnsi" w:cstheme="majorHAnsi"/>
          <w:sz w:val="23"/>
          <w:szCs w:val="23"/>
        </w:rPr>
      </w:pPr>
      <w:bookmarkStart w:id="69" w:name="_Toc227326063"/>
      <w:r w:rsidRPr="00576357">
        <w:rPr>
          <w:rFonts w:asciiTheme="majorHAnsi" w:hAnsiTheme="majorHAnsi" w:cstheme="majorHAnsi"/>
          <w:sz w:val="23"/>
          <w:szCs w:val="23"/>
        </w:rPr>
        <w:t>Sobre la significancia de coeficientes, lógica económica- financiera e identificación de variables más relevantes para los modelos</w:t>
      </w:r>
      <w:bookmarkEnd w:id="69"/>
    </w:p>
    <w:p w14:paraId="4FBDCF00" w14:textId="77777777" w:rsidR="009C192E" w:rsidRPr="00576357" w:rsidRDefault="009C192E" w:rsidP="00681541">
      <w:pPr>
        <w:pStyle w:val="Prrafodelista"/>
        <w:numPr>
          <w:ilvl w:val="0"/>
          <w:numId w:val="61"/>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En el caso de modelos de regresión, se deberán presentar los coeficientes estimados junto con sus respectivos niveles de significancia estadística (por ejemplo, valores- p o intervalos de confianza). La selección de variables debe estar sustentada en su significancia estadística y en su coherencia económico-financiera respecto de la variable dependiente, evitando incluir variables irrelevantes o redundantes.</w:t>
      </w:r>
    </w:p>
    <w:p w14:paraId="3FBB2258" w14:textId="77777777" w:rsidR="009C192E" w:rsidRPr="00576357" w:rsidRDefault="009C192E" w:rsidP="00681541">
      <w:pPr>
        <w:pStyle w:val="Prrafodelista"/>
        <w:numPr>
          <w:ilvl w:val="0"/>
          <w:numId w:val="61"/>
        </w:numPr>
        <w:spacing w:after="240"/>
        <w:ind w:left="1134" w:hanging="567"/>
        <w:contextualSpacing w:val="0"/>
        <w:jc w:val="both"/>
        <w:rPr>
          <w:rFonts w:asciiTheme="majorHAnsi" w:hAnsiTheme="majorHAnsi" w:cstheme="majorHAnsi"/>
          <w:bCs/>
          <w:color w:val="000000" w:themeColor="text1"/>
          <w:sz w:val="23"/>
          <w:szCs w:val="23"/>
        </w:rPr>
      </w:pPr>
      <w:r w:rsidRPr="00576357">
        <w:rPr>
          <w:rFonts w:asciiTheme="majorHAnsi" w:hAnsiTheme="majorHAnsi" w:cstheme="majorHAnsi"/>
          <w:bCs/>
          <w:sz w:val="23"/>
          <w:szCs w:val="23"/>
        </w:rPr>
        <w:t xml:space="preserve">Para modelos de </w:t>
      </w:r>
      <w:r w:rsidRPr="00576357">
        <w:rPr>
          <w:rFonts w:asciiTheme="majorHAnsi" w:hAnsiTheme="majorHAnsi" w:cstheme="majorHAnsi"/>
          <w:bCs/>
          <w:i/>
          <w:iCs/>
          <w:sz w:val="23"/>
          <w:szCs w:val="23"/>
        </w:rPr>
        <w:t xml:space="preserve">Machine </w:t>
      </w:r>
      <w:proofErr w:type="spellStart"/>
      <w:r w:rsidRPr="00576357">
        <w:rPr>
          <w:rFonts w:asciiTheme="majorHAnsi" w:hAnsiTheme="majorHAnsi" w:cstheme="majorHAnsi"/>
          <w:bCs/>
          <w:i/>
          <w:iCs/>
          <w:sz w:val="23"/>
          <w:szCs w:val="23"/>
        </w:rPr>
        <w:t>Learning</w:t>
      </w:r>
      <w:proofErr w:type="spellEnd"/>
      <w:r w:rsidRPr="00576357">
        <w:rPr>
          <w:rFonts w:asciiTheme="majorHAnsi" w:hAnsiTheme="majorHAnsi" w:cstheme="majorHAnsi"/>
          <w:bCs/>
          <w:sz w:val="23"/>
          <w:szCs w:val="23"/>
        </w:rPr>
        <w:t xml:space="preserve"> que no generan coeficientes directamente interpretables, se deberá </w:t>
      </w:r>
      <w:r w:rsidRPr="00576357">
        <w:rPr>
          <w:rFonts w:asciiTheme="majorHAnsi" w:hAnsiTheme="majorHAnsi" w:cstheme="majorHAnsi"/>
          <w:bCs/>
          <w:color w:val="000000" w:themeColor="text1"/>
          <w:sz w:val="23"/>
          <w:szCs w:val="23"/>
        </w:rPr>
        <w:t xml:space="preserve">indicar la técnica utilizada para evaluar la importancia de las variables (por ejemplo, valores </w:t>
      </w:r>
      <w:r w:rsidRPr="00576357">
        <w:rPr>
          <w:rFonts w:asciiTheme="majorHAnsi" w:hAnsiTheme="majorHAnsi" w:cstheme="majorHAnsi"/>
          <w:bCs/>
          <w:i/>
          <w:iCs/>
          <w:color w:val="000000" w:themeColor="text1"/>
          <w:sz w:val="23"/>
          <w:szCs w:val="23"/>
        </w:rPr>
        <w:t>SHAP</w:t>
      </w:r>
      <w:r w:rsidRPr="00576357">
        <w:rPr>
          <w:rFonts w:asciiTheme="majorHAnsi" w:hAnsiTheme="majorHAnsi" w:cstheme="majorHAnsi"/>
          <w:bCs/>
          <w:color w:val="000000" w:themeColor="text1"/>
          <w:sz w:val="23"/>
          <w:szCs w:val="23"/>
        </w:rPr>
        <w:t xml:space="preserve">, entre otros). Se espera que las </w:t>
      </w:r>
      <w:r w:rsidRPr="00576357">
        <w:rPr>
          <w:rFonts w:asciiTheme="majorHAnsi" w:hAnsiTheme="majorHAnsi" w:cstheme="majorHAnsi"/>
          <w:bCs/>
          <w:color w:val="000000" w:themeColor="text1"/>
          <w:sz w:val="23"/>
          <w:szCs w:val="23"/>
        </w:rPr>
        <w:lastRenderedPageBreak/>
        <w:t>variables seleccionadas tengan una contribución relevante al desempeño del modelo y que su inclusión sea consistente con criterios económicos y financieros sólidos.</w:t>
      </w:r>
    </w:p>
    <w:p w14:paraId="092160AA" w14:textId="77777777" w:rsidR="009C192E" w:rsidRPr="00576357" w:rsidRDefault="009C192E" w:rsidP="009C192E">
      <w:pPr>
        <w:pStyle w:val="Ttulo2"/>
        <w:tabs>
          <w:tab w:val="left" w:pos="1134"/>
        </w:tabs>
        <w:ind w:left="567" w:hanging="578"/>
        <w:rPr>
          <w:rFonts w:asciiTheme="majorHAnsi" w:hAnsiTheme="majorHAnsi" w:cstheme="majorHAnsi"/>
          <w:sz w:val="23"/>
          <w:szCs w:val="23"/>
        </w:rPr>
      </w:pPr>
      <w:bookmarkStart w:id="70" w:name="_Toc227326064"/>
      <w:r w:rsidRPr="00576357">
        <w:rPr>
          <w:rFonts w:asciiTheme="majorHAnsi" w:hAnsiTheme="majorHAnsi" w:cstheme="majorHAnsi"/>
          <w:sz w:val="23"/>
          <w:szCs w:val="23"/>
        </w:rPr>
        <w:t>Sobre la consistencia en puntos de corte para la segmentación de la cartera en categorías de riesgo</w:t>
      </w:r>
      <w:bookmarkEnd w:id="70"/>
    </w:p>
    <w:p w14:paraId="6086134D" w14:textId="77777777" w:rsidR="009C192E" w:rsidRPr="00576357" w:rsidRDefault="009C192E" w:rsidP="00681541">
      <w:pPr>
        <w:pStyle w:val="Prrafodelista"/>
        <w:numPr>
          <w:ilvl w:val="0"/>
          <w:numId w:val="60"/>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 xml:space="preserve">Documento técnico que describa la metodología estadística utilizada para definir los puntos de corte entre categorías de riesgo. La cantidad de categorías no deberá ser inferior a la establecida en el modelo estándar conforme lo establecido en el Acuerdo 1-26. </w:t>
      </w:r>
    </w:p>
    <w:p w14:paraId="129F5DFF" w14:textId="77777777" w:rsidR="009C192E" w:rsidRPr="00576357" w:rsidRDefault="009C192E" w:rsidP="00681541">
      <w:pPr>
        <w:pStyle w:val="Prrafodelista"/>
        <w:numPr>
          <w:ilvl w:val="0"/>
          <w:numId w:val="60"/>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Explicación detallada de la definición de los puntos de corte, respaldada con cifras, análisis de impacto y justificación técnica. Este análisis debe demostrar que los puntos de corte permiten una adecuada diferenciación del riesgo crediticio entre categorías.</w:t>
      </w:r>
    </w:p>
    <w:p w14:paraId="06E5BE21" w14:textId="77777777" w:rsidR="009C192E" w:rsidRPr="00576357" w:rsidRDefault="009C192E" w:rsidP="00681541">
      <w:pPr>
        <w:pStyle w:val="Prrafodelista"/>
        <w:numPr>
          <w:ilvl w:val="0"/>
          <w:numId w:val="60"/>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La entidad deberá garantizar la coherencia en el tratamiento de las distintas categorías de riesgo, asegurando que las estimaciones de pérdida (individuales o colectivas) para una operación clasificada en una categoría de mayor riesgo sean superiores a las que corresponderían si estuviera en una categoría de menor riesgo. Esto incluye validar que la segmentación respete la lógica económica-financiera y los principios de prudencia en la estimación de provisiones.</w:t>
      </w:r>
    </w:p>
    <w:p w14:paraId="36BBBE32" w14:textId="77777777" w:rsidR="009C192E" w:rsidRPr="00576357" w:rsidRDefault="009C192E" w:rsidP="009C192E">
      <w:pPr>
        <w:pStyle w:val="Ttulo2"/>
        <w:tabs>
          <w:tab w:val="left" w:pos="1134"/>
        </w:tabs>
        <w:ind w:left="567" w:hanging="578"/>
        <w:rPr>
          <w:rFonts w:asciiTheme="majorHAnsi" w:hAnsiTheme="majorHAnsi" w:cstheme="majorHAnsi"/>
          <w:sz w:val="23"/>
          <w:szCs w:val="23"/>
        </w:rPr>
      </w:pPr>
      <w:bookmarkStart w:id="71" w:name="_Toc227326065"/>
      <w:r w:rsidRPr="00576357">
        <w:rPr>
          <w:rFonts w:asciiTheme="majorHAnsi" w:hAnsiTheme="majorHAnsi" w:cstheme="majorHAnsi"/>
          <w:sz w:val="23"/>
          <w:szCs w:val="23"/>
        </w:rPr>
        <w:t>Sobre los resultados de las pruebas de ajuste de los modelos</w:t>
      </w:r>
      <w:bookmarkEnd w:id="71"/>
    </w:p>
    <w:p w14:paraId="5B7C6592" w14:textId="77777777" w:rsidR="009C192E" w:rsidRPr="00576357" w:rsidRDefault="009C192E" w:rsidP="00681541">
      <w:pPr>
        <w:pStyle w:val="Prrafodelista"/>
        <w:numPr>
          <w:ilvl w:val="0"/>
          <w:numId w:val="59"/>
        </w:numPr>
        <w:spacing w:after="240"/>
        <w:ind w:left="1134" w:hanging="567"/>
        <w:contextualSpacing w:val="0"/>
        <w:jc w:val="both"/>
        <w:rPr>
          <w:rFonts w:asciiTheme="majorHAnsi" w:hAnsiTheme="majorHAnsi" w:cstheme="majorHAnsi"/>
          <w:bCs/>
          <w:color w:val="000000" w:themeColor="text1"/>
          <w:sz w:val="23"/>
          <w:szCs w:val="23"/>
        </w:rPr>
      </w:pPr>
      <w:r w:rsidRPr="00576357">
        <w:rPr>
          <w:rFonts w:asciiTheme="majorHAnsi" w:hAnsiTheme="majorHAnsi" w:cstheme="majorHAnsi"/>
          <w:bCs/>
          <w:sz w:val="23"/>
          <w:szCs w:val="23"/>
        </w:rPr>
        <w:t xml:space="preserve">Informes técnicos que presenten los resultados de las pruebas de ajuste y desempeño de los modelos, utilizando indicadores </w:t>
      </w:r>
      <w:r w:rsidRPr="00576357">
        <w:rPr>
          <w:rFonts w:asciiTheme="majorHAnsi" w:hAnsiTheme="majorHAnsi" w:cstheme="majorHAnsi"/>
          <w:bCs/>
          <w:color w:val="000000" w:themeColor="text1"/>
          <w:sz w:val="23"/>
          <w:szCs w:val="23"/>
        </w:rPr>
        <w:t xml:space="preserve">apropiados según el tipo de modelo (clasificación, regresión o series de tiempo) y la técnica implementada (estadística clásica o </w:t>
      </w:r>
      <w:r w:rsidRPr="00576357">
        <w:rPr>
          <w:rFonts w:asciiTheme="majorHAnsi" w:hAnsiTheme="majorHAnsi" w:cstheme="majorHAnsi"/>
          <w:bCs/>
          <w:i/>
          <w:iCs/>
          <w:color w:val="000000" w:themeColor="text1"/>
          <w:sz w:val="23"/>
          <w:szCs w:val="23"/>
        </w:rPr>
        <w:t xml:space="preserve">Machine </w:t>
      </w:r>
      <w:proofErr w:type="spellStart"/>
      <w:r w:rsidRPr="00576357">
        <w:rPr>
          <w:rFonts w:asciiTheme="majorHAnsi" w:hAnsiTheme="majorHAnsi" w:cstheme="majorHAnsi"/>
          <w:bCs/>
          <w:i/>
          <w:iCs/>
          <w:color w:val="000000" w:themeColor="text1"/>
          <w:sz w:val="23"/>
          <w:szCs w:val="23"/>
        </w:rPr>
        <w:t>Learning</w:t>
      </w:r>
      <w:proofErr w:type="spellEnd"/>
      <w:r w:rsidRPr="00576357">
        <w:rPr>
          <w:rFonts w:asciiTheme="majorHAnsi" w:hAnsiTheme="majorHAnsi" w:cstheme="majorHAnsi"/>
          <w:bCs/>
          <w:color w:val="000000" w:themeColor="text1"/>
          <w:sz w:val="23"/>
          <w:szCs w:val="23"/>
        </w:rPr>
        <w:t>). Entre los indicadores esperados se incluyen, según corresponda:</w:t>
      </w:r>
    </w:p>
    <w:p w14:paraId="4E5170F9" w14:textId="77777777" w:rsidR="009C192E" w:rsidRPr="00576357" w:rsidRDefault="009C192E" w:rsidP="00681541">
      <w:pPr>
        <w:pStyle w:val="Prrafodelista"/>
        <w:numPr>
          <w:ilvl w:val="2"/>
          <w:numId w:val="67"/>
        </w:numPr>
        <w:spacing w:after="240"/>
        <w:ind w:left="1701"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Modelos de clasificación: AUC (Área bajo la curva ROC), KS (</w:t>
      </w:r>
      <w:r w:rsidRPr="00576357">
        <w:rPr>
          <w:rFonts w:asciiTheme="majorHAnsi" w:hAnsiTheme="majorHAnsi" w:cstheme="majorHAnsi"/>
          <w:bCs/>
          <w:i/>
          <w:iCs/>
          <w:sz w:val="23"/>
          <w:szCs w:val="23"/>
        </w:rPr>
        <w:t>Kolmogorov-Smirnov</w:t>
      </w:r>
      <w:r w:rsidRPr="00576357">
        <w:rPr>
          <w:rFonts w:asciiTheme="majorHAnsi" w:hAnsiTheme="majorHAnsi" w:cstheme="majorHAnsi"/>
          <w:bCs/>
          <w:sz w:val="23"/>
          <w:szCs w:val="23"/>
        </w:rPr>
        <w:t xml:space="preserve">), Gini, </w:t>
      </w:r>
      <w:proofErr w:type="spellStart"/>
      <w:r w:rsidRPr="00576357">
        <w:rPr>
          <w:rFonts w:asciiTheme="majorHAnsi" w:hAnsiTheme="majorHAnsi" w:cstheme="majorHAnsi"/>
          <w:bCs/>
          <w:i/>
          <w:iCs/>
          <w:sz w:val="23"/>
          <w:szCs w:val="23"/>
        </w:rPr>
        <w:t>accuracy</w:t>
      </w:r>
      <w:proofErr w:type="spellEnd"/>
      <w:r w:rsidRPr="00576357">
        <w:rPr>
          <w:rFonts w:asciiTheme="majorHAnsi" w:hAnsiTheme="majorHAnsi" w:cstheme="majorHAnsi"/>
          <w:bCs/>
          <w:sz w:val="23"/>
          <w:szCs w:val="23"/>
        </w:rPr>
        <w:t>, matriz de confusión multiclase, sensibilidad (</w:t>
      </w:r>
      <w:proofErr w:type="spellStart"/>
      <w:r w:rsidRPr="00576357">
        <w:rPr>
          <w:rFonts w:asciiTheme="majorHAnsi" w:hAnsiTheme="majorHAnsi" w:cstheme="majorHAnsi"/>
          <w:bCs/>
          <w:i/>
          <w:iCs/>
          <w:sz w:val="23"/>
          <w:szCs w:val="23"/>
        </w:rPr>
        <w:t>recall</w:t>
      </w:r>
      <w:proofErr w:type="spellEnd"/>
      <w:r w:rsidRPr="00576357">
        <w:rPr>
          <w:rFonts w:asciiTheme="majorHAnsi" w:hAnsiTheme="majorHAnsi" w:cstheme="majorHAnsi"/>
          <w:bCs/>
          <w:sz w:val="23"/>
          <w:szCs w:val="23"/>
        </w:rPr>
        <w:t>), precisión, F1-score, entre otros.</w:t>
      </w:r>
    </w:p>
    <w:p w14:paraId="2567DF9E" w14:textId="77777777" w:rsidR="009C192E" w:rsidRPr="00576357" w:rsidRDefault="009C192E" w:rsidP="00681541">
      <w:pPr>
        <w:pStyle w:val="Prrafodelista"/>
        <w:numPr>
          <w:ilvl w:val="2"/>
          <w:numId w:val="67"/>
        </w:numPr>
        <w:spacing w:after="240"/>
        <w:ind w:left="1701"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lastRenderedPageBreak/>
        <w:t>Modelos de regresión: R², RMSE (</w:t>
      </w:r>
      <w:r w:rsidRPr="00576357">
        <w:rPr>
          <w:rFonts w:asciiTheme="majorHAnsi" w:hAnsiTheme="majorHAnsi" w:cstheme="majorHAnsi"/>
          <w:bCs/>
          <w:i/>
          <w:iCs/>
          <w:sz w:val="23"/>
          <w:szCs w:val="23"/>
        </w:rPr>
        <w:t xml:space="preserve">Root Mean </w:t>
      </w:r>
      <w:proofErr w:type="spellStart"/>
      <w:r w:rsidRPr="00576357">
        <w:rPr>
          <w:rFonts w:asciiTheme="majorHAnsi" w:hAnsiTheme="majorHAnsi" w:cstheme="majorHAnsi"/>
          <w:bCs/>
          <w:i/>
          <w:iCs/>
          <w:sz w:val="23"/>
          <w:szCs w:val="23"/>
        </w:rPr>
        <w:t>Squared</w:t>
      </w:r>
      <w:proofErr w:type="spellEnd"/>
      <w:r w:rsidRPr="00576357">
        <w:rPr>
          <w:rFonts w:asciiTheme="majorHAnsi" w:hAnsiTheme="majorHAnsi" w:cstheme="majorHAnsi"/>
          <w:bCs/>
          <w:i/>
          <w:iCs/>
          <w:sz w:val="23"/>
          <w:szCs w:val="23"/>
        </w:rPr>
        <w:t xml:space="preserve"> Error</w:t>
      </w:r>
      <w:r w:rsidRPr="00576357">
        <w:rPr>
          <w:rFonts w:asciiTheme="majorHAnsi" w:hAnsiTheme="majorHAnsi" w:cstheme="majorHAnsi"/>
          <w:bCs/>
          <w:sz w:val="23"/>
          <w:szCs w:val="23"/>
        </w:rPr>
        <w:t>), MAE (</w:t>
      </w:r>
      <w:r w:rsidRPr="00576357">
        <w:rPr>
          <w:rFonts w:asciiTheme="majorHAnsi" w:hAnsiTheme="majorHAnsi" w:cstheme="majorHAnsi"/>
          <w:bCs/>
          <w:i/>
          <w:iCs/>
          <w:sz w:val="23"/>
          <w:szCs w:val="23"/>
        </w:rPr>
        <w:t>Mean Absolute Error</w:t>
      </w:r>
      <w:r w:rsidRPr="00576357">
        <w:rPr>
          <w:rFonts w:asciiTheme="majorHAnsi" w:hAnsiTheme="majorHAnsi" w:cstheme="majorHAnsi"/>
          <w:bCs/>
          <w:sz w:val="23"/>
          <w:szCs w:val="23"/>
        </w:rPr>
        <w:t>), Durbin-Watson, pruebas de normalidad de residuos, pruebas de heterocedasticidad, multicolinealidad.</w:t>
      </w:r>
    </w:p>
    <w:p w14:paraId="1CFA7E1A" w14:textId="77777777" w:rsidR="009C192E" w:rsidRPr="00576357" w:rsidRDefault="009C192E" w:rsidP="00681541">
      <w:pPr>
        <w:pStyle w:val="Prrafodelista"/>
        <w:numPr>
          <w:ilvl w:val="2"/>
          <w:numId w:val="67"/>
        </w:numPr>
        <w:spacing w:after="240"/>
        <w:ind w:left="1701"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 xml:space="preserve">Modelos de series de tiempo: ACF/PACF, pruebas de estacionariedad (por ejemplo, </w:t>
      </w:r>
      <w:r w:rsidRPr="00576357">
        <w:rPr>
          <w:rFonts w:asciiTheme="majorHAnsi" w:hAnsiTheme="majorHAnsi" w:cstheme="majorHAnsi"/>
          <w:bCs/>
          <w:i/>
          <w:iCs/>
          <w:sz w:val="23"/>
          <w:szCs w:val="23"/>
        </w:rPr>
        <w:t>Dickey-Fuller</w:t>
      </w:r>
      <w:r w:rsidRPr="00576357">
        <w:rPr>
          <w:rFonts w:asciiTheme="majorHAnsi" w:hAnsiTheme="majorHAnsi" w:cstheme="majorHAnsi"/>
          <w:bCs/>
          <w:sz w:val="23"/>
          <w:szCs w:val="23"/>
        </w:rPr>
        <w:t>), errores de predicción, entre otros.</w:t>
      </w:r>
    </w:p>
    <w:p w14:paraId="50C46CC8" w14:textId="77777777" w:rsidR="009C192E" w:rsidRPr="00576357" w:rsidRDefault="009C192E" w:rsidP="00681541">
      <w:pPr>
        <w:pStyle w:val="Prrafodelista"/>
        <w:numPr>
          <w:ilvl w:val="2"/>
          <w:numId w:val="67"/>
        </w:numPr>
        <w:spacing w:after="240"/>
        <w:ind w:left="1701"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 xml:space="preserve">Modelos complejos o de </w:t>
      </w:r>
      <w:r w:rsidRPr="00576357">
        <w:rPr>
          <w:rFonts w:asciiTheme="majorHAnsi" w:hAnsiTheme="majorHAnsi" w:cstheme="majorHAnsi"/>
          <w:bCs/>
          <w:i/>
          <w:iCs/>
          <w:sz w:val="23"/>
          <w:szCs w:val="23"/>
        </w:rPr>
        <w:t xml:space="preserve">Machine </w:t>
      </w:r>
      <w:proofErr w:type="spellStart"/>
      <w:r w:rsidRPr="00576357">
        <w:rPr>
          <w:rFonts w:asciiTheme="majorHAnsi" w:hAnsiTheme="majorHAnsi" w:cstheme="majorHAnsi"/>
          <w:bCs/>
          <w:i/>
          <w:iCs/>
          <w:sz w:val="23"/>
          <w:szCs w:val="23"/>
        </w:rPr>
        <w:t>Learning</w:t>
      </w:r>
      <w:proofErr w:type="spellEnd"/>
      <w:r w:rsidRPr="00576357">
        <w:rPr>
          <w:rFonts w:asciiTheme="majorHAnsi" w:hAnsiTheme="majorHAnsi" w:cstheme="majorHAnsi"/>
          <w:bCs/>
          <w:sz w:val="23"/>
          <w:szCs w:val="23"/>
        </w:rPr>
        <w:t xml:space="preserve">: valores </w:t>
      </w:r>
      <w:r w:rsidRPr="00576357">
        <w:rPr>
          <w:rFonts w:asciiTheme="majorHAnsi" w:hAnsiTheme="majorHAnsi" w:cstheme="majorHAnsi"/>
          <w:bCs/>
          <w:i/>
          <w:iCs/>
          <w:sz w:val="23"/>
          <w:szCs w:val="23"/>
        </w:rPr>
        <w:t>SHAP</w:t>
      </w:r>
      <w:r w:rsidRPr="00576357">
        <w:rPr>
          <w:rFonts w:asciiTheme="majorHAnsi" w:hAnsiTheme="majorHAnsi" w:cstheme="majorHAnsi"/>
          <w:bCs/>
          <w:sz w:val="23"/>
          <w:szCs w:val="23"/>
        </w:rPr>
        <w:t xml:space="preserve">, </w:t>
      </w:r>
      <w:proofErr w:type="spellStart"/>
      <w:r w:rsidRPr="00576357">
        <w:rPr>
          <w:rFonts w:asciiTheme="majorHAnsi" w:hAnsiTheme="majorHAnsi" w:cstheme="majorHAnsi"/>
          <w:bCs/>
          <w:i/>
          <w:iCs/>
          <w:sz w:val="23"/>
          <w:szCs w:val="23"/>
        </w:rPr>
        <w:t>feature</w:t>
      </w:r>
      <w:proofErr w:type="spellEnd"/>
      <w:r w:rsidRPr="00576357">
        <w:rPr>
          <w:rFonts w:asciiTheme="majorHAnsi" w:hAnsiTheme="majorHAnsi" w:cstheme="majorHAnsi"/>
          <w:bCs/>
          <w:i/>
          <w:iCs/>
          <w:sz w:val="23"/>
          <w:szCs w:val="23"/>
        </w:rPr>
        <w:t xml:space="preserve"> </w:t>
      </w:r>
      <w:proofErr w:type="spellStart"/>
      <w:r w:rsidRPr="00576357">
        <w:rPr>
          <w:rFonts w:asciiTheme="majorHAnsi" w:hAnsiTheme="majorHAnsi" w:cstheme="majorHAnsi"/>
          <w:bCs/>
          <w:i/>
          <w:iCs/>
          <w:sz w:val="23"/>
          <w:szCs w:val="23"/>
        </w:rPr>
        <w:t>importance</w:t>
      </w:r>
      <w:proofErr w:type="spellEnd"/>
      <w:r w:rsidRPr="00576357">
        <w:rPr>
          <w:rFonts w:asciiTheme="majorHAnsi" w:hAnsiTheme="majorHAnsi" w:cstheme="majorHAnsi"/>
          <w:bCs/>
          <w:sz w:val="23"/>
          <w:szCs w:val="23"/>
        </w:rPr>
        <w:t>, métricas de validación cruzada, entre otros.</w:t>
      </w:r>
    </w:p>
    <w:p w14:paraId="1A8E1D7C" w14:textId="77777777" w:rsidR="009C192E" w:rsidRPr="00576357" w:rsidRDefault="009C192E" w:rsidP="00681541">
      <w:pPr>
        <w:pStyle w:val="Prrafodelista"/>
        <w:numPr>
          <w:ilvl w:val="0"/>
          <w:numId w:val="59"/>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Informes sobre la evolución de estos indicadores a lo largo del tiempo, que permitan evaluar la estabilidad, robustez y vigencia del modelo en diferentes contextos operativos y ciclos económicos.</w:t>
      </w:r>
    </w:p>
    <w:p w14:paraId="590DD5F1" w14:textId="77777777" w:rsidR="009C192E" w:rsidRPr="00576357" w:rsidRDefault="009C192E" w:rsidP="009C192E">
      <w:pPr>
        <w:pStyle w:val="Ttulo2"/>
        <w:tabs>
          <w:tab w:val="left" w:pos="1134"/>
        </w:tabs>
        <w:ind w:left="567" w:hanging="578"/>
        <w:rPr>
          <w:rFonts w:asciiTheme="majorHAnsi" w:hAnsiTheme="majorHAnsi" w:cstheme="majorHAnsi"/>
          <w:sz w:val="23"/>
          <w:szCs w:val="23"/>
        </w:rPr>
      </w:pPr>
      <w:bookmarkStart w:id="72" w:name="_Toc227326066"/>
      <w:r w:rsidRPr="00576357">
        <w:rPr>
          <w:rFonts w:asciiTheme="majorHAnsi" w:hAnsiTheme="majorHAnsi" w:cstheme="majorHAnsi"/>
          <w:sz w:val="23"/>
          <w:szCs w:val="23"/>
        </w:rPr>
        <w:t>Sobre modificaciones en la población evaluada</w:t>
      </w:r>
      <w:bookmarkEnd w:id="72"/>
    </w:p>
    <w:p w14:paraId="02D56BBA" w14:textId="77777777" w:rsidR="009C192E" w:rsidRPr="00576357" w:rsidRDefault="009C192E" w:rsidP="00681541">
      <w:pPr>
        <w:pStyle w:val="Prrafodelista"/>
        <w:numPr>
          <w:ilvl w:val="0"/>
          <w:numId w:val="58"/>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 xml:space="preserve">Evidencia documental que demuestre cómo la entidad monitorea los cambios en la población objetivo del modelo, incluyendo factores como variaciones en variables macroeconómicas, cambios en el mercado meta, comportamiento de los clientes, entre otros elementos relevantes. Por ejemplo: Seguimiento a indicadores de estabilidad poblacional, tales como </w:t>
      </w:r>
      <w:proofErr w:type="spellStart"/>
      <w:r w:rsidRPr="00576357">
        <w:rPr>
          <w:rFonts w:asciiTheme="majorHAnsi" w:hAnsiTheme="majorHAnsi" w:cstheme="majorHAnsi"/>
          <w:bCs/>
          <w:i/>
          <w:iCs/>
          <w:sz w:val="23"/>
          <w:szCs w:val="23"/>
        </w:rPr>
        <w:t>Population</w:t>
      </w:r>
      <w:proofErr w:type="spellEnd"/>
      <w:r w:rsidRPr="00576357">
        <w:rPr>
          <w:rFonts w:asciiTheme="majorHAnsi" w:hAnsiTheme="majorHAnsi" w:cstheme="majorHAnsi"/>
          <w:bCs/>
          <w:i/>
          <w:iCs/>
          <w:sz w:val="23"/>
          <w:szCs w:val="23"/>
        </w:rPr>
        <w:t xml:space="preserve"> </w:t>
      </w:r>
      <w:proofErr w:type="spellStart"/>
      <w:r w:rsidRPr="00576357">
        <w:rPr>
          <w:rFonts w:asciiTheme="majorHAnsi" w:hAnsiTheme="majorHAnsi" w:cstheme="majorHAnsi"/>
          <w:bCs/>
          <w:i/>
          <w:iCs/>
          <w:sz w:val="23"/>
          <w:szCs w:val="23"/>
        </w:rPr>
        <w:t>Stability</w:t>
      </w:r>
      <w:proofErr w:type="spellEnd"/>
      <w:r w:rsidRPr="00576357">
        <w:rPr>
          <w:rFonts w:asciiTheme="majorHAnsi" w:hAnsiTheme="majorHAnsi" w:cstheme="majorHAnsi"/>
          <w:bCs/>
          <w:i/>
          <w:iCs/>
          <w:sz w:val="23"/>
          <w:szCs w:val="23"/>
        </w:rPr>
        <w:t xml:space="preserve"> </w:t>
      </w:r>
      <w:proofErr w:type="spellStart"/>
      <w:r w:rsidRPr="00576357">
        <w:rPr>
          <w:rFonts w:asciiTheme="majorHAnsi" w:hAnsiTheme="majorHAnsi" w:cstheme="majorHAnsi"/>
          <w:bCs/>
          <w:i/>
          <w:iCs/>
          <w:sz w:val="23"/>
          <w:szCs w:val="23"/>
        </w:rPr>
        <w:t>Index</w:t>
      </w:r>
      <w:proofErr w:type="spellEnd"/>
      <w:r w:rsidRPr="00576357">
        <w:rPr>
          <w:rFonts w:asciiTheme="majorHAnsi" w:hAnsiTheme="majorHAnsi" w:cstheme="majorHAnsi"/>
          <w:bCs/>
          <w:sz w:val="23"/>
          <w:szCs w:val="23"/>
        </w:rPr>
        <w:t xml:space="preserve"> (PSI).</w:t>
      </w:r>
    </w:p>
    <w:p w14:paraId="509264A2" w14:textId="77777777" w:rsidR="009C192E" w:rsidRPr="00576357" w:rsidRDefault="009C192E" w:rsidP="00681541">
      <w:pPr>
        <w:pStyle w:val="Prrafodelista"/>
        <w:numPr>
          <w:ilvl w:val="0"/>
          <w:numId w:val="58"/>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 xml:space="preserve">Evaluación del impacto de los cambios indicados en el punto anterior sobre la capacidad predictiva del modelo, incluyendo análisis de degradación del desempeño y, en </w:t>
      </w:r>
      <w:r w:rsidRPr="00576357">
        <w:rPr>
          <w:rFonts w:asciiTheme="majorHAnsi" w:hAnsiTheme="majorHAnsi" w:cstheme="majorHAnsi"/>
          <w:bCs/>
          <w:color w:val="000000" w:themeColor="text1"/>
          <w:sz w:val="23"/>
          <w:szCs w:val="23"/>
        </w:rPr>
        <w:t xml:space="preserve">caso de materializarse la pérdida de capacidad de predicción, se debe presentar evidencia de ajustes, recalibraciones o reentrenamientos realizados para preservar la efectividad </w:t>
      </w:r>
      <w:r w:rsidRPr="00576357">
        <w:rPr>
          <w:rFonts w:asciiTheme="majorHAnsi" w:hAnsiTheme="majorHAnsi" w:cstheme="majorHAnsi"/>
          <w:bCs/>
          <w:sz w:val="23"/>
          <w:szCs w:val="23"/>
        </w:rPr>
        <w:t>del modelo.</w:t>
      </w:r>
    </w:p>
    <w:p w14:paraId="1B2B7F2F" w14:textId="77777777" w:rsidR="009C192E" w:rsidRPr="00576357" w:rsidRDefault="009C192E" w:rsidP="009C192E">
      <w:pPr>
        <w:pStyle w:val="Ttulo2"/>
        <w:tabs>
          <w:tab w:val="left" w:pos="1134"/>
        </w:tabs>
        <w:ind w:left="567" w:hanging="578"/>
        <w:rPr>
          <w:rFonts w:asciiTheme="majorHAnsi" w:hAnsiTheme="majorHAnsi" w:cstheme="majorHAnsi"/>
          <w:sz w:val="23"/>
          <w:szCs w:val="23"/>
        </w:rPr>
      </w:pPr>
      <w:bookmarkStart w:id="73" w:name="_Toc227326067"/>
      <w:r w:rsidRPr="00576357">
        <w:rPr>
          <w:rFonts w:asciiTheme="majorHAnsi" w:hAnsiTheme="majorHAnsi" w:cstheme="majorHAnsi"/>
          <w:sz w:val="23"/>
          <w:szCs w:val="23"/>
        </w:rPr>
        <w:t>Sobre la generación de validaciones periódicas</w:t>
      </w:r>
      <w:bookmarkEnd w:id="73"/>
    </w:p>
    <w:p w14:paraId="6EBB00DE" w14:textId="77777777" w:rsidR="009C192E" w:rsidRPr="00576357" w:rsidRDefault="009C192E" w:rsidP="00681541">
      <w:pPr>
        <w:pStyle w:val="Prrafodelista"/>
        <w:numPr>
          <w:ilvl w:val="0"/>
          <w:numId w:val="57"/>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 xml:space="preserve">Evidencia documental de la realización de pruebas de validación tipo </w:t>
      </w:r>
      <w:proofErr w:type="spellStart"/>
      <w:r w:rsidRPr="00576357">
        <w:rPr>
          <w:rFonts w:asciiTheme="majorHAnsi" w:hAnsiTheme="majorHAnsi" w:cstheme="majorHAnsi"/>
          <w:bCs/>
          <w:i/>
          <w:iCs/>
          <w:sz w:val="23"/>
          <w:szCs w:val="23"/>
        </w:rPr>
        <w:t>backtesting</w:t>
      </w:r>
      <w:proofErr w:type="spellEnd"/>
      <w:r w:rsidRPr="00576357">
        <w:rPr>
          <w:rFonts w:asciiTheme="majorHAnsi" w:hAnsiTheme="majorHAnsi" w:cstheme="majorHAnsi"/>
          <w:bCs/>
          <w:sz w:val="23"/>
          <w:szCs w:val="23"/>
        </w:rPr>
        <w:t>, con una periodicidad mínima semestral. Estas pruebas deben incluir los resultados obtenidos, su interpretación técnica y los ajustes realizados en los modelos como consecuencia de los hallazgos.</w:t>
      </w:r>
    </w:p>
    <w:p w14:paraId="171D39D7" w14:textId="77777777" w:rsidR="009C192E" w:rsidRPr="00576357" w:rsidRDefault="009C192E" w:rsidP="00681541">
      <w:pPr>
        <w:pStyle w:val="Prrafodelista"/>
        <w:numPr>
          <w:ilvl w:val="0"/>
          <w:numId w:val="57"/>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lastRenderedPageBreak/>
        <w:t>Las validaciones deben aplicarse a todos los modelos utilizados por la entidad (PD, LGD, EAD, proyecciones macroeconómicas, pérdida esperada, entre otros), y no limitarse únicamente al cálculo ensamblado de pérdida esperada.</w:t>
      </w:r>
    </w:p>
    <w:p w14:paraId="5740A3E1" w14:textId="77777777" w:rsidR="009C192E" w:rsidRPr="00576357" w:rsidRDefault="009C192E" w:rsidP="00681541">
      <w:pPr>
        <w:pStyle w:val="Prrafodelista"/>
        <w:numPr>
          <w:ilvl w:val="0"/>
          <w:numId w:val="57"/>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Se espera que los informes de validación incluyan métricas de desempeño estadísticas relevantes, análisis de desviaciones, evaluación de estabilidad temporal y recomendaciones de mejora, como parte de un proceso sistemático de revisión y actualización de modelos.</w:t>
      </w:r>
    </w:p>
    <w:p w14:paraId="65DBC01C" w14:textId="77777777" w:rsidR="009C192E" w:rsidRPr="00576357" w:rsidRDefault="009C192E" w:rsidP="009C192E">
      <w:pPr>
        <w:pStyle w:val="Ttulo2"/>
        <w:tabs>
          <w:tab w:val="left" w:pos="1134"/>
        </w:tabs>
        <w:ind w:left="567" w:hanging="578"/>
        <w:rPr>
          <w:rFonts w:asciiTheme="majorHAnsi" w:hAnsiTheme="majorHAnsi" w:cstheme="majorHAnsi"/>
          <w:sz w:val="23"/>
          <w:szCs w:val="23"/>
        </w:rPr>
      </w:pPr>
      <w:bookmarkStart w:id="74" w:name="_Toc227326068"/>
      <w:r w:rsidRPr="00576357">
        <w:rPr>
          <w:rFonts w:asciiTheme="majorHAnsi" w:hAnsiTheme="majorHAnsi" w:cstheme="majorHAnsi"/>
          <w:sz w:val="23"/>
          <w:szCs w:val="23"/>
        </w:rPr>
        <w:t>Sobre la generación de pruebas de estrés</w:t>
      </w:r>
      <w:bookmarkEnd w:id="74"/>
    </w:p>
    <w:p w14:paraId="3A65D60D" w14:textId="77777777" w:rsidR="009C192E" w:rsidRPr="00576357" w:rsidRDefault="009C192E" w:rsidP="00681541">
      <w:pPr>
        <w:pStyle w:val="Prrafodelista"/>
        <w:numPr>
          <w:ilvl w:val="0"/>
          <w:numId w:val="56"/>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Evidencia documental de la realización de pruebas de estrés aplicadas a los modelos, incluyendo la descripción detallada de los escenarios utilizados (por ejemplo, deterioro macroeconómico, aumento de tasas de interés, caída en precios de activos, entre otros), así como los supuestos y parámetros considerados.</w:t>
      </w:r>
    </w:p>
    <w:p w14:paraId="6FD18F6E" w14:textId="77777777" w:rsidR="009C192E" w:rsidRPr="00576357" w:rsidRDefault="009C192E" w:rsidP="00681541">
      <w:pPr>
        <w:pStyle w:val="Prrafodelista"/>
        <w:numPr>
          <w:ilvl w:val="0"/>
          <w:numId w:val="56"/>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Resultados obtenidos en cada escenario, con su respectiva interpretación técnica, que permita evaluar el comportamiento del modelo bajo condiciones extremas o no esperadas. Estas pruebas deben demostrar que el modelo mantiene su operatividad, coherencia y capacidad predictiva incluso en contextos de tensión, lo cual respalda su validez, pertinencia y utilidad como herramienta de gestión del riesgo.</w:t>
      </w:r>
    </w:p>
    <w:p w14:paraId="55785F94" w14:textId="77777777" w:rsidR="009C192E" w:rsidRPr="00576357" w:rsidRDefault="009C192E" w:rsidP="009C192E">
      <w:pPr>
        <w:pStyle w:val="Ttulo2"/>
        <w:tabs>
          <w:tab w:val="left" w:pos="1134"/>
        </w:tabs>
        <w:ind w:left="567" w:hanging="567"/>
        <w:rPr>
          <w:rFonts w:asciiTheme="majorHAnsi" w:hAnsiTheme="majorHAnsi" w:cstheme="majorHAnsi"/>
          <w:sz w:val="23"/>
          <w:szCs w:val="23"/>
        </w:rPr>
      </w:pPr>
      <w:bookmarkStart w:id="75" w:name="_Toc227326069"/>
      <w:r w:rsidRPr="00576357">
        <w:rPr>
          <w:rFonts w:asciiTheme="majorHAnsi" w:hAnsiTheme="majorHAnsi" w:cstheme="majorHAnsi"/>
          <w:sz w:val="23"/>
          <w:szCs w:val="23"/>
        </w:rPr>
        <w:t>Sobre NIIF 9 y otras disposiciones específicas</w:t>
      </w:r>
      <w:bookmarkEnd w:id="75"/>
    </w:p>
    <w:p w14:paraId="05F78AE9" w14:textId="77777777" w:rsidR="009C192E" w:rsidRPr="00576357" w:rsidRDefault="009C192E" w:rsidP="00681541">
      <w:pPr>
        <w:pStyle w:val="Prrafodelista"/>
        <w:numPr>
          <w:ilvl w:val="0"/>
          <w:numId w:val="55"/>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Evidencia de que el cálculo de la pérdida esperada resulta de la interacción entre los componentes PD, LGD y EAD, conforme a los principios de NIIF 9.</w:t>
      </w:r>
    </w:p>
    <w:p w14:paraId="0498AD78" w14:textId="77777777" w:rsidR="009C192E" w:rsidRPr="00576357" w:rsidRDefault="009C192E" w:rsidP="00681541">
      <w:pPr>
        <w:pStyle w:val="Prrafodelista"/>
        <w:numPr>
          <w:ilvl w:val="0"/>
          <w:numId w:val="55"/>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Evaluación del riesgo crediticio que permita diferenciar el cálculo de la pérdida esperada a 12 meses (Etapa 1) y a lo largo de la vida del crédito (Etapas 2 y 3), conforme al modelo de deterioro crediticio de NIIF 9.</w:t>
      </w:r>
    </w:p>
    <w:p w14:paraId="70437722" w14:textId="77777777" w:rsidR="009C192E" w:rsidRPr="00576357" w:rsidRDefault="009C192E" w:rsidP="00681541">
      <w:pPr>
        <w:pStyle w:val="Prrafodelista"/>
        <w:numPr>
          <w:ilvl w:val="0"/>
          <w:numId w:val="55"/>
        </w:numPr>
        <w:spacing w:after="240"/>
        <w:ind w:left="1134" w:hanging="567"/>
        <w:contextualSpacing w:val="0"/>
        <w:jc w:val="both"/>
        <w:rPr>
          <w:rFonts w:asciiTheme="majorHAnsi" w:hAnsiTheme="majorHAnsi" w:cstheme="majorHAnsi"/>
          <w:bCs/>
          <w:color w:val="000000" w:themeColor="text1"/>
          <w:sz w:val="23"/>
          <w:szCs w:val="23"/>
        </w:rPr>
      </w:pPr>
      <w:r w:rsidRPr="00576357">
        <w:rPr>
          <w:rFonts w:asciiTheme="majorHAnsi" w:hAnsiTheme="majorHAnsi" w:cstheme="majorHAnsi"/>
          <w:bCs/>
          <w:color w:val="000000" w:themeColor="text1"/>
          <w:sz w:val="23"/>
          <w:szCs w:val="23"/>
        </w:rPr>
        <w:t>Si la definición de default es superior a los 30 o 90 días de mora para el paso a Etapas 2 o 3, respectivamente, debe existir documentación de soporte que refute la presunción de los 30 o 90 días vencidos, tal como lo establece NIIF 9.</w:t>
      </w:r>
    </w:p>
    <w:p w14:paraId="673E4970" w14:textId="77777777" w:rsidR="009C192E" w:rsidRPr="00576357" w:rsidRDefault="009C192E" w:rsidP="00681541">
      <w:pPr>
        <w:pStyle w:val="Prrafodelista"/>
        <w:numPr>
          <w:ilvl w:val="0"/>
          <w:numId w:val="55"/>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lastRenderedPageBreak/>
        <w:t>Aplicación de una tasa de interés efectiva (TIE) apropiada para cada una de las operaciones, que refleje fielmente las condiciones contractuales del instrumento (incluyendo primas, costos de transacción y otros ajustes), calculada al momento del reconocimiento inicial, no se permite el uso de tasas de interés genéricas, promedio o de mercado. Particularmente para Etapa 3, la TIE podrá aplicarse al importe neto, es decir, al importe bruto descontando la pérdida esperada (valor recuperable del activo deteriorado).</w:t>
      </w:r>
    </w:p>
    <w:p w14:paraId="5B9431B7" w14:textId="77777777" w:rsidR="009C192E" w:rsidRPr="00576357" w:rsidRDefault="009C192E" w:rsidP="00681541">
      <w:pPr>
        <w:pStyle w:val="Prrafodelista"/>
        <w:numPr>
          <w:ilvl w:val="0"/>
          <w:numId w:val="55"/>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Comprobación de que el modelo haya aplicado correctamente el SPPI test (</w:t>
      </w:r>
      <w:proofErr w:type="spellStart"/>
      <w:r w:rsidRPr="00576357">
        <w:rPr>
          <w:rFonts w:asciiTheme="majorHAnsi" w:hAnsiTheme="majorHAnsi" w:cstheme="majorHAnsi"/>
          <w:bCs/>
          <w:i/>
          <w:iCs/>
          <w:sz w:val="23"/>
          <w:szCs w:val="23"/>
        </w:rPr>
        <w:t>Solely</w:t>
      </w:r>
      <w:proofErr w:type="spellEnd"/>
      <w:r w:rsidRPr="00576357">
        <w:rPr>
          <w:rFonts w:asciiTheme="majorHAnsi" w:hAnsiTheme="majorHAnsi" w:cstheme="majorHAnsi"/>
          <w:bCs/>
          <w:i/>
          <w:iCs/>
          <w:sz w:val="23"/>
          <w:szCs w:val="23"/>
        </w:rPr>
        <w:t xml:space="preserve"> </w:t>
      </w:r>
      <w:proofErr w:type="spellStart"/>
      <w:r w:rsidRPr="00576357">
        <w:rPr>
          <w:rFonts w:asciiTheme="majorHAnsi" w:hAnsiTheme="majorHAnsi" w:cstheme="majorHAnsi"/>
          <w:bCs/>
          <w:i/>
          <w:iCs/>
          <w:sz w:val="23"/>
          <w:szCs w:val="23"/>
        </w:rPr>
        <w:t>Payments</w:t>
      </w:r>
      <w:proofErr w:type="spellEnd"/>
      <w:r w:rsidRPr="00576357">
        <w:rPr>
          <w:rFonts w:asciiTheme="majorHAnsi" w:hAnsiTheme="majorHAnsi" w:cstheme="majorHAnsi"/>
          <w:bCs/>
          <w:i/>
          <w:iCs/>
          <w:sz w:val="23"/>
          <w:szCs w:val="23"/>
        </w:rPr>
        <w:t xml:space="preserve"> </w:t>
      </w:r>
      <w:proofErr w:type="spellStart"/>
      <w:r w:rsidRPr="00576357">
        <w:rPr>
          <w:rFonts w:asciiTheme="majorHAnsi" w:hAnsiTheme="majorHAnsi" w:cstheme="majorHAnsi"/>
          <w:bCs/>
          <w:i/>
          <w:iCs/>
          <w:sz w:val="23"/>
          <w:szCs w:val="23"/>
        </w:rPr>
        <w:t>of</w:t>
      </w:r>
      <w:proofErr w:type="spellEnd"/>
      <w:r w:rsidRPr="00576357">
        <w:rPr>
          <w:rFonts w:asciiTheme="majorHAnsi" w:hAnsiTheme="majorHAnsi" w:cstheme="majorHAnsi"/>
          <w:bCs/>
          <w:i/>
          <w:iCs/>
          <w:sz w:val="23"/>
          <w:szCs w:val="23"/>
        </w:rPr>
        <w:t xml:space="preserve"> Principal and </w:t>
      </w:r>
      <w:proofErr w:type="spellStart"/>
      <w:r w:rsidRPr="00576357">
        <w:rPr>
          <w:rFonts w:asciiTheme="majorHAnsi" w:hAnsiTheme="majorHAnsi" w:cstheme="majorHAnsi"/>
          <w:bCs/>
          <w:i/>
          <w:iCs/>
          <w:sz w:val="23"/>
          <w:szCs w:val="23"/>
        </w:rPr>
        <w:t>Interest</w:t>
      </w:r>
      <w:proofErr w:type="spellEnd"/>
      <w:r w:rsidRPr="00576357">
        <w:rPr>
          <w:rFonts w:asciiTheme="majorHAnsi" w:hAnsiTheme="majorHAnsi" w:cstheme="majorHAnsi"/>
          <w:bCs/>
          <w:i/>
          <w:iCs/>
          <w:sz w:val="23"/>
          <w:szCs w:val="23"/>
        </w:rPr>
        <w:t>)</w:t>
      </w:r>
      <w:r w:rsidRPr="00576357">
        <w:rPr>
          <w:rFonts w:asciiTheme="majorHAnsi" w:hAnsiTheme="majorHAnsi" w:cstheme="majorHAnsi"/>
          <w:bCs/>
          <w:sz w:val="23"/>
          <w:szCs w:val="23"/>
        </w:rPr>
        <w:t xml:space="preserve"> para determinar si los flujos contractuales del instrumento financiero corresponden únicamente a pagos de principal e intereses. Esta evaluación es esencial para definir si el activo puede ser medido a costo amortizado o a valor razonable con cambios en ORI, y, por tanto, si está sujeto al modelo de pérdida esperada (PE) conforme a NIIF 9.</w:t>
      </w:r>
    </w:p>
    <w:p w14:paraId="5F442620" w14:textId="77777777" w:rsidR="009C192E" w:rsidRPr="00576357" w:rsidRDefault="009C192E" w:rsidP="00681541">
      <w:pPr>
        <w:pStyle w:val="Prrafodelista"/>
        <w:numPr>
          <w:ilvl w:val="0"/>
          <w:numId w:val="55"/>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Análisis técnico de la recuperación esperada y del valor temporal del dinero en la medición de la LGD, asegurando que los flujos de efectivo se estimen con precisión y se descuenten a la tasa de interés efectiva correspondiente. La LGD debe reflejar las condiciones actuales y futuras razonables, lo que implica considerar diversos escenarios en su definición.</w:t>
      </w:r>
    </w:p>
    <w:p w14:paraId="54778200" w14:textId="77777777" w:rsidR="009C192E" w:rsidRPr="00576357" w:rsidRDefault="009C192E" w:rsidP="00681541">
      <w:pPr>
        <w:pStyle w:val="Prrafodelista"/>
        <w:numPr>
          <w:ilvl w:val="0"/>
          <w:numId w:val="55"/>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Existencia de un tratamiento diferenciado entre préstamos con tabla de amortización y aquellos sin ella (por ejemplo, consumos mediante tarjetas de crédito), que permita identificar adecuadamente tanto la exposición real como la potencial en el cálculo de la EAD. En ese sentido, se deben considerar los términos contractuales de las operaciones crediticias, así como expectativas razonables, tales como probabilidades de pagos anticipados, uso de facilidades adicionales, entre otras.</w:t>
      </w:r>
    </w:p>
    <w:p w14:paraId="07C314D1" w14:textId="77777777" w:rsidR="009C192E" w:rsidRPr="00576357" w:rsidRDefault="009C192E" w:rsidP="00681541">
      <w:pPr>
        <w:pStyle w:val="Prrafodelista"/>
        <w:numPr>
          <w:ilvl w:val="0"/>
          <w:numId w:val="55"/>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Identificación clara de los parámetros y criterios utilizados, tanto cuantitativos, como cualitativos, para determinar el aumento significativo del riesgo crediticio, que justifique el paso entre etapas.</w:t>
      </w:r>
    </w:p>
    <w:p w14:paraId="62024F18" w14:textId="77777777" w:rsidR="009C192E" w:rsidRPr="00576357" w:rsidRDefault="009C192E" w:rsidP="00681541">
      <w:pPr>
        <w:pStyle w:val="Prrafodelista"/>
        <w:numPr>
          <w:ilvl w:val="0"/>
          <w:numId w:val="55"/>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 xml:space="preserve">Evaluación sobre si se ha definido e implementado un período probatorio (también conocido como período de cura) para confirmar que un cliente ha </w:t>
      </w:r>
      <w:r w:rsidRPr="00576357">
        <w:rPr>
          <w:rFonts w:asciiTheme="majorHAnsi" w:hAnsiTheme="majorHAnsi" w:cstheme="majorHAnsi"/>
          <w:bCs/>
          <w:sz w:val="23"/>
          <w:szCs w:val="23"/>
        </w:rPr>
        <w:lastRenderedPageBreak/>
        <w:t>salido efectivamente de la condición de default, antes de reclasificarlo a una etapa anterior en el modelo de deterioro crediticio (por ejemplo, de Etapa 3 a Etapa 2).</w:t>
      </w:r>
    </w:p>
    <w:p w14:paraId="0DA13C44" w14:textId="77777777" w:rsidR="009C192E" w:rsidRPr="00576357" w:rsidRDefault="009C192E" w:rsidP="00681541">
      <w:pPr>
        <w:pStyle w:val="Prrafodelista"/>
        <w:numPr>
          <w:ilvl w:val="0"/>
          <w:numId w:val="55"/>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Ejecución de la evaluación del incremento significativo en el riesgo de crédito por instrumento financiero individual, no a nivel de cliente.</w:t>
      </w:r>
    </w:p>
    <w:p w14:paraId="7D91A96F" w14:textId="77777777" w:rsidR="009C192E" w:rsidRPr="00576357" w:rsidRDefault="009C192E" w:rsidP="00681541">
      <w:pPr>
        <w:pStyle w:val="Prrafodelista"/>
        <w:numPr>
          <w:ilvl w:val="0"/>
          <w:numId w:val="55"/>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Validación de que el incremento significativo de riesgo está establecido como un incremento en la probabilidad de la pérdida y no en la cantidad de la pérdida, conforme a los principios de NIIF 9.</w:t>
      </w:r>
    </w:p>
    <w:p w14:paraId="581DF205" w14:textId="77777777" w:rsidR="009C192E" w:rsidRPr="00576357" w:rsidRDefault="009C192E" w:rsidP="00681541">
      <w:pPr>
        <w:pStyle w:val="Prrafodelista"/>
        <w:numPr>
          <w:ilvl w:val="0"/>
          <w:numId w:val="55"/>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 xml:space="preserve">Evidencia de que la pérdida esperada refleja el valor del dinero en el tiempo utilizando la tasa de interés efectiva de cada operación, de tal forma que esta refleje su </w:t>
      </w:r>
      <w:r w:rsidRPr="00576357">
        <w:rPr>
          <w:rFonts w:asciiTheme="majorHAnsi" w:hAnsiTheme="majorHAnsi" w:cstheme="majorHAnsi"/>
          <w:sz w:val="23"/>
          <w:szCs w:val="23"/>
        </w:rPr>
        <w:t>valor actual</w:t>
      </w:r>
      <w:r w:rsidRPr="00576357">
        <w:rPr>
          <w:rFonts w:asciiTheme="majorHAnsi" w:hAnsiTheme="majorHAnsi" w:cstheme="majorHAnsi"/>
          <w:bCs/>
          <w:sz w:val="23"/>
          <w:szCs w:val="23"/>
        </w:rPr>
        <w:t>, considerando el momento en que podría ocurrir el default.</w:t>
      </w:r>
    </w:p>
    <w:p w14:paraId="0FDA9CD6" w14:textId="77777777" w:rsidR="009C192E" w:rsidRPr="00576357" w:rsidRDefault="009C192E" w:rsidP="00681541">
      <w:pPr>
        <w:pStyle w:val="Prrafodelista"/>
        <w:numPr>
          <w:ilvl w:val="0"/>
          <w:numId w:val="55"/>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Comprobación de que la definición de incremento significativo de riesgo mide el cambio de riesgo entre la fecha de reconocimiento inicial y la actual.</w:t>
      </w:r>
    </w:p>
    <w:p w14:paraId="50BF6A40" w14:textId="77777777" w:rsidR="009C192E" w:rsidRPr="00576357" w:rsidRDefault="009C192E" w:rsidP="00681541">
      <w:pPr>
        <w:pStyle w:val="Prrafodelista"/>
        <w:numPr>
          <w:ilvl w:val="0"/>
          <w:numId w:val="55"/>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 xml:space="preserve">Ante una modificación contractual de una operación crediticia sin baja en cuentas del activo, se debe comparar el riesgo de default actual (modificado con las nuevas condiciones) con el original (sin modificar) para evaluar si ha habido un incremento significativo en el riesgo de crédito. Es decir, cuando se modifica un contrato, la entidad debe reevaluar el riesgo de crédito del instrumento y determinar si este ha aumentado significativamente, lo que implicaría mover el instrumento de Etapa y calcular la pérdida esperada por toda la vida del activo. </w:t>
      </w:r>
    </w:p>
    <w:p w14:paraId="5A5BEF0B" w14:textId="77777777" w:rsidR="009C192E" w:rsidRPr="00576357" w:rsidRDefault="009C192E" w:rsidP="00681541">
      <w:pPr>
        <w:pStyle w:val="Prrafodelista"/>
        <w:numPr>
          <w:ilvl w:val="0"/>
          <w:numId w:val="55"/>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Incorporación explícita de las condiciones actuales (y futuras) y, de ser necesario, aplicación de ajustes específicos (</w:t>
      </w:r>
      <w:proofErr w:type="spellStart"/>
      <w:r w:rsidRPr="00576357">
        <w:rPr>
          <w:rFonts w:asciiTheme="majorHAnsi" w:hAnsiTheme="majorHAnsi" w:cstheme="majorHAnsi"/>
          <w:bCs/>
          <w:i/>
          <w:iCs/>
          <w:sz w:val="23"/>
          <w:szCs w:val="23"/>
        </w:rPr>
        <w:t>post</w:t>
      </w:r>
      <w:r w:rsidRPr="00576357">
        <w:rPr>
          <w:rFonts w:ascii="Cambria Math" w:hAnsi="Cambria Math" w:cs="Cambria Math"/>
          <w:bCs/>
          <w:i/>
          <w:iCs/>
          <w:sz w:val="23"/>
          <w:szCs w:val="23"/>
        </w:rPr>
        <w:t>‑</w:t>
      </w:r>
      <w:r w:rsidRPr="00576357">
        <w:rPr>
          <w:rFonts w:asciiTheme="majorHAnsi" w:hAnsiTheme="majorHAnsi" w:cstheme="majorHAnsi"/>
          <w:bCs/>
          <w:i/>
          <w:iCs/>
          <w:sz w:val="23"/>
          <w:szCs w:val="23"/>
        </w:rPr>
        <w:t>model</w:t>
      </w:r>
      <w:proofErr w:type="spellEnd"/>
      <w:r w:rsidRPr="00576357">
        <w:rPr>
          <w:rFonts w:asciiTheme="majorHAnsi" w:hAnsiTheme="majorHAnsi" w:cstheme="majorHAnsi"/>
          <w:bCs/>
          <w:i/>
          <w:iCs/>
          <w:sz w:val="23"/>
          <w:szCs w:val="23"/>
        </w:rPr>
        <w:t xml:space="preserve"> </w:t>
      </w:r>
      <w:proofErr w:type="spellStart"/>
      <w:r w:rsidRPr="00576357">
        <w:rPr>
          <w:rFonts w:asciiTheme="majorHAnsi" w:hAnsiTheme="majorHAnsi" w:cstheme="majorHAnsi"/>
          <w:bCs/>
          <w:i/>
          <w:iCs/>
          <w:sz w:val="23"/>
          <w:szCs w:val="23"/>
        </w:rPr>
        <w:t>adjustments</w:t>
      </w:r>
      <w:proofErr w:type="spellEnd"/>
      <w:r w:rsidRPr="00576357">
        <w:rPr>
          <w:rFonts w:asciiTheme="majorHAnsi" w:hAnsiTheme="majorHAnsi" w:cstheme="majorHAnsi"/>
          <w:bCs/>
          <w:sz w:val="23"/>
          <w:szCs w:val="23"/>
        </w:rPr>
        <w:t xml:space="preserve">) para reflejar adecuadamente el riesgo crediticio observado en la fecha de reporte, especialmente cuando la realidad actual o futuras expectativas se apartan de las </w:t>
      </w:r>
      <w:r w:rsidRPr="00576357">
        <w:rPr>
          <w:rFonts w:asciiTheme="majorHAnsi" w:hAnsiTheme="majorHAnsi" w:cstheme="majorHAnsi"/>
          <w:bCs/>
          <w:color w:val="000000" w:themeColor="text1"/>
          <w:sz w:val="23"/>
          <w:szCs w:val="23"/>
        </w:rPr>
        <w:t>tendencias históricas</w:t>
      </w:r>
      <w:r w:rsidRPr="00576357">
        <w:rPr>
          <w:rFonts w:asciiTheme="majorHAnsi" w:hAnsiTheme="majorHAnsi" w:cstheme="majorHAnsi"/>
          <w:bCs/>
          <w:sz w:val="23"/>
          <w:szCs w:val="23"/>
        </w:rPr>
        <w:t>.</w:t>
      </w:r>
    </w:p>
    <w:p w14:paraId="13EE5204" w14:textId="77777777" w:rsidR="009C192E" w:rsidRPr="00576357" w:rsidRDefault="009C192E" w:rsidP="00681541">
      <w:pPr>
        <w:pStyle w:val="Prrafodelista"/>
        <w:numPr>
          <w:ilvl w:val="0"/>
          <w:numId w:val="55"/>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 xml:space="preserve">Modelación de las probabilidades de incumplimiento bajo un enfoque </w:t>
      </w:r>
      <w:r w:rsidRPr="00576357">
        <w:rPr>
          <w:rFonts w:asciiTheme="majorHAnsi" w:hAnsiTheme="majorHAnsi" w:cstheme="majorHAnsi"/>
          <w:bCs/>
          <w:i/>
          <w:iCs/>
          <w:sz w:val="23"/>
          <w:szCs w:val="23"/>
        </w:rPr>
        <w:t>Point-in-Time</w:t>
      </w:r>
      <w:r w:rsidRPr="00576357">
        <w:rPr>
          <w:rFonts w:asciiTheme="majorHAnsi" w:hAnsiTheme="majorHAnsi" w:cstheme="majorHAnsi"/>
          <w:bCs/>
          <w:sz w:val="23"/>
          <w:szCs w:val="23"/>
        </w:rPr>
        <w:t xml:space="preserve"> (PIT), incorporando factores prospectivos mediante escenarios macroeconómicos alternativos, que reflejen condiciones futuras esperadas. Además de los escenarios base, NIIF 9 exige incluir al menos un escenario </w:t>
      </w:r>
      <w:r w:rsidRPr="00576357">
        <w:rPr>
          <w:rFonts w:asciiTheme="majorHAnsi" w:hAnsiTheme="majorHAnsi" w:cstheme="majorHAnsi"/>
          <w:bCs/>
          <w:sz w:val="23"/>
          <w:szCs w:val="23"/>
        </w:rPr>
        <w:lastRenderedPageBreak/>
        <w:t>adverso y uno optimista, ponderados según juicio apoyado en evidencia, para estimar las pérdidas esperadas futuras.</w:t>
      </w:r>
    </w:p>
    <w:p w14:paraId="38CD0ED6" w14:textId="77777777" w:rsidR="009C192E" w:rsidRPr="00576357" w:rsidRDefault="009C192E" w:rsidP="00681541">
      <w:pPr>
        <w:pStyle w:val="Prrafodelista"/>
        <w:numPr>
          <w:ilvl w:val="0"/>
          <w:numId w:val="55"/>
        </w:numPr>
        <w:spacing w:after="240"/>
        <w:ind w:left="1134" w:hanging="567"/>
        <w:contextualSpacing w:val="0"/>
        <w:jc w:val="both"/>
        <w:rPr>
          <w:rFonts w:asciiTheme="majorHAnsi" w:hAnsiTheme="majorHAnsi" w:cstheme="majorHAnsi"/>
          <w:bCs/>
          <w:color w:val="000000" w:themeColor="text1"/>
          <w:sz w:val="23"/>
          <w:szCs w:val="23"/>
        </w:rPr>
      </w:pPr>
      <w:r w:rsidRPr="00576357">
        <w:rPr>
          <w:rFonts w:asciiTheme="majorHAnsi" w:hAnsiTheme="majorHAnsi" w:cstheme="majorHAnsi"/>
          <w:bCs/>
          <w:sz w:val="23"/>
          <w:szCs w:val="23"/>
        </w:rPr>
        <w:t xml:space="preserve">La pérdida esperada refleja toda la información razonable y sustentable disponible, sin incurrir en costos o esfuerzos desproporcionados. Esto implica, </w:t>
      </w:r>
      <w:r w:rsidRPr="00576357">
        <w:rPr>
          <w:rFonts w:asciiTheme="majorHAnsi" w:hAnsiTheme="majorHAnsi" w:cstheme="majorHAnsi"/>
          <w:bCs/>
          <w:color w:val="000000" w:themeColor="text1"/>
          <w:sz w:val="23"/>
          <w:szCs w:val="23"/>
        </w:rPr>
        <w:t xml:space="preserve">por lo tanto, que no se espera que la entidad deba obtener, procesar o modelar cierta información que implicaría incurrir en </w:t>
      </w:r>
      <w:r w:rsidRPr="00576357">
        <w:rPr>
          <w:rFonts w:asciiTheme="majorHAnsi" w:hAnsiTheme="majorHAnsi" w:cstheme="majorHAnsi"/>
          <w:color w:val="000000" w:themeColor="text1"/>
          <w:sz w:val="23"/>
          <w:szCs w:val="23"/>
        </w:rPr>
        <w:t>gastos financieros, operativos o técnicos</w:t>
      </w:r>
      <w:r w:rsidRPr="00576357">
        <w:rPr>
          <w:rFonts w:asciiTheme="majorHAnsi" w:hAnsiTheme="majorHAnsi" w:cstheme="majorHAnsi"/>
          <w:bCs/>
          <w:color w:val="000000" w:themeColor="text1"/>
          <w:sz w:val="23"/>
          <w:szCs w:val="23"/>
        </w:rPr>
        <w:t xml:space="preserve"> que no son proporcionales al beneficio que esa información aportaría a la estimación de la pérdida esperada.</w:t>
      </w:r>
    </w:p>
    <w:p w14:paraId="2DBF081A" w14:textId="77777777" w:rsidR="009C192E" w:rsidRPr="00576357" w:rsidRDefault="009C192E" w:rsidP="00681541">
      <w:pPr>
        <w:pStyle w:val="Prrafodelista"/>
        <w:numPr>
          <w:ilvl w:val="0"/>
          <w:numId w:val="55"/>
        </w:numPr>
        <w:spacing w:after="240"/>
        <w:ind w:left="1134" w:hanging="567"/>
        <w:contextualSpacing w:val="0"/>
        <w:jc w:val="both"/>
        <w:rPr>
          <w:rFonts w:asciiTheme="majorHAnsi" w:hAnsiTheme="majorHAnsi" w:cstheme="majorHAnsi"/>
          <w:color w:val="000000" w:themeColor="text1"/>
          <w:sz w:val="23"/>
          <w:szCs w:val="23"/>
        </w:rPr>
      </w:pPr>
      <w:r w:rsidRPr="00576357">
        <w:rPr>
          <w:rFonts w:asciiTheme="majorHAnsi" w:hAnsiTheme="majorHAnsi" w:cstheme="majorHAnsi"/>
          <w:color w:val="000000" w:themeColor="text1"/>
          <w:sz w:val="23"/>
          <w:szCs w:val="23"/>
        </w:rPr>
        <w:t>La PD mínima en los modelos internos debe ser de 0.05%.</w:t>
      </w:r>
      <w:r w:rsidRPr="00576357">
        <w:rPr>
          <w:rFonts w:asciiTheme="majorHAnsi" w:hAnsiTheme="majorHAnsi" w:cstheme="majorHAnsi"/>
          <w:strike/>
          <w:color w:val="000000" w:themeColor="text1"/>
          <w:sz w:val="23"/>
          <w:szCs w:val="23"/>
        </w:rPr>
        <w:t xml:space="preserve"> </w:t>
      </w:r>
    </w:p>
    <w:p w14:paraId="14A6978D" w14:textId="77777777" w:rsidR="009C192E" w:rsidRPr="00576357" w:rsidRDefault="009C192E" w:rsidP="009C192E">
      <w:pPr>
        <w:spacing w:after="160" w:line="278" w:lineRule="auto"/>
        <w:jc w:val="left"/>
        <w:rPr>
          <w:rFonts w:asciiTheme="majorHAnsi" w:hAnsiTheme="majorHAnsi" w:cstheme="majorHAnsi"/>
          <w:color w:val="000000" w:themeColor="text1"/>
          <w:sz w:val="23"/>
          <w:szCs w:val="23"/>
        </w:rPr>
      </w:pPr>
      <w:r w:rsidRPr="00576357">
        <w:rPr>
          <w:rFonts w:asciiTheme="majorHAnsi" w:hAnsiTheme="majorHAnsi" w:cstheme="majorHAnsi"/>
          <w:color w:val="000000" w:themeColor="text1"/>
          <w:sz w:val="23"/>
          <w:szCs w:val="23"/>
        </w:rPr>
        <w:br w:type="page"/>
      </w:r>
    </w:p>
    <w:p w14:paraId="5610C859" w14:textId="77777777" w:rsidR="009C192E" w:rsidRPr="00576357" w:rsidRDefault="009C192E" w:rsidP="009C192E">
      <w:pPr>
        <w:pStyle w:val="Ttulo1"/>
        <w:rPr>
          <w:rFonts w:asciiTheme="majorHAnsi" w:hAnsiTheme="majorHAnsi" w:cstheme="majorHAnsi"/>
          <w:sz w:val="23"/>
          <w:szCs w:val="23"/>
        </w:rPr>
      </w:pPr>
      <w:bookmarkStart w:id="76" w:name="_Toc227326070"/>
      <w:r w:rsidRPr="00576357">
        <w:rPr>
          <w:rFonts w:asciiTheme="majorHAnsi" w:hAnsiTheme="majorHAnsi" w:cstheme="majorHAnsi"/>
          <w:sz w:val="23"/>
          <w:szCs w:val="23"/>
        </w:rPr>
        <w:lastRenderedPageBreak/>
        <w:t>XII) CRITERIOS PARA MANTENER LA NO OBJECIÓN AL USO DE MODELOS INTERNOS</w:t>
      </w:r>
      <w:bookmarkEnd w:id="76"/>
    </w:p>
    <w:p w14:paraId="5CE2ED26" w14:textId="77777777" w:rsidR="009C192E" w:rsidRPr="00576357" w:rsidRDefault="009C192E" w:rsidP="009C192E">
      <w:pPr>
        <w:ind w:left="1134" w:hanging="1134"/>
        <w:rPr>
          <w:rFonts w:asciiTheme="majorHAnsi" w:hAnsiTheme="majorHAnsi" w:cstheme="majorHAnsi"/>
          <w:sz w:val="23"/>
          <w:szCs w:val="23"/>
          <w:u w:val="single" w:color="000000"/>
        </w:rPr>
      </w:pPr>
      <w:r w:rsidRPr="00576357">
        <w:rPr>
          <w:rFonts w:asciiTheme="majorHAnsi" w:hAnsiTheme="majorHAnsi" w:cstheme="majorHAnsi"/>
          <w:sz w:val="23"/>
          <w:szCs w:val="23"/>
          <w:u w:val="single"/>
        </w:rPr>
        <w:t>Objetivo</w:t>
      </w:r>
      <w:r w:rsidRPr="00576357">
        <w:rPr>
          <w:rFonts w:asciiTheme="majorHAnsi" w:hAnsiTheme="majorHAnsi" w:cstheme="majorHAnsi"/>
          <w:sz w:val="23"/>
          <w:szCs w:val="23"/>
        </w:rPr>
        <w:t>:</w:t>
      </w:r>
      <w:r w:rsidRPr="00576357">
        <w:rPr>
          <w:rFonts w:asciiTheme="majorHAnsi" w:hAnsiTheme="majorHAnsi" w:cstheme="majorHAnsi"/>
          <w:sz w:val="23"/>
          <w:szCs w:val="23"/>
        </w:rPr>
        <w:tab/>
        <w:t>Establecer los parámetros técnicos, operativos y de documentación que las entidades deberán cumplir para demostrar que los modelos internos mantienen su idoneidad, capacidad predictiva y consistencia metodológica en el tiempo, con el fin de garantizar que continúan siendo aptos para el cálculo de la pérdida esperada y para preservar el criterio de no objeción otorgado por la Superintendencia.</w:t>
      </w:r>
    </w:p>
    <w:p w14:paraId="08B0BD73" w14:textId="77777777" w:rsidR="009C192E" w:rsidRPr="00576357" w:rsidRDefault="009C192E" w:rsidP="009C192E">
      <w:pPr>
        <w:rPr>
          <w:rFonts w:asciiTheme="majorHAnsi" w:hAnsiTheme="majorHAnsi" w:cstheme="majorHAnsi"/>
          <w:bCs/>
          <w:sz w:val="23"/>
          <w:szCs w:val="23"/>
        </w:rPr>
      </w:pPr>
      <w:r w:rsidRPr="00576357">
        <w:rPr>
          <w:rFonts w:asciiTheme="majorHAnsi" w:hAnsiTheme="majorHAnsi" w:cstheme="majorHAnsi"/>
          <w:sz w:val="23"/>
          <w:szCs w:val="23"/>
        </w:rPr>
        <w:t>La evaluación tiene como</w:t>
      </w:r>
      <w:r w:rsidRPr="00576357">
        <w:rPr>
          <w:rFonts w:asciiTheme="majorHAnsi" w:hAnsiTheme="majorHAnsi" w:cstheme="majorHAnsi"/>
          <w:bCs/>
          <w:sz w:val="23"/>
          <w:szCs w:val="23"/>
        </w:rPr>
        <w:t xml:space="preserve"> objetivo verificar que el modelo mantiene capacidad predictiva en el tiempo y demuestra idoneidad en la medición de la pérdida esperada. La información correspondiente deberá ser suministrada cuando así lo requiera la Superintendencia. La entidad deberá asegurarse de cumplir satisfactoriamente con todos los aspectos enumerados en este apartado. Asimismo, el experto independiente deberá abordarlos de forma detallada en su informe bianual, conforme a lo establecido en el Artículo 31. </w:t>
      </w:r>
      <w:r w:rsidRPr="00576357">
        <w:rPr>
          <w:rFonts w:asciiTheme="majorHAnsi" w:hAnsiTheme="majorHAnsi" w:cstheme="majorHAnsi"/>
          <w:sz w:val="23"/>
          <w:szCs w:val="23"/>
        </w:rPr>
        <w:t xml:space="preserve"> </w:t>
      </w:r>
      <w:r w:rsidRPr="00576357">
        <w:rPr>
          <w:rFonts w:asciiTheme="majorHAnsi" w:hAnsiTheme="majorHAnsi" w:cstheme="majorHAnsi"/>
          <w:bCs/>
          <w:sz w:val="23"/>
          <w:szCs w:val="23"/>
        </w:rPr>
        <w:t>Evaluación del modelo por parte de un experto independiente, de este Reglamento.</w:t>
      </w:r>
    </w:p>
    <w:p w14:paraId="7F6094CE" w14:textId="77777777" w:rsidR="009C192E" w:rsidRPr="00576357" w:rsidRDefault="009C192E" w:rsidP="009C192E">
      <w:pPr>
        <w:rPr>
          <w:rFonts w:asciiTheme="majorHAnsi" w:hAnsiTheme="majorHAnsi" w:cstheme="majorHAnsi"/>
          <w:bCs/>
          <w:sz w:val="23"/>
          <w:szCs w:val="23"/>
        </w:rPr>
      </w:pPr>
      <w:r w:rsidRPr="00576357">
        <w:rPr>
          <w:rFonts w:asciiTheme="majorHAnsi" w:hAnsiTheme="majorHAnsi" w:cstheme="majorHAnsi"/>
          <w:bCs/>
          <w:sz w:val="23"/>
          <w:szCs w:val="23"/>
        </w:rPr>
        <w:t>La entidad deberá elaborar un único documento de carácter técnico en el que se aborde cada uno de los siguientes aspectos, los cuales deberán estar acompañados de las respectivas evidencias.</w:t>
      </w:r>
    </w:p>
    <w:p w14:paraId="37398D3C" w14:textId="77777777" w:rsidR="009C192E" w:rsidRDefault="009C192E" w:rsidP="009C192E">
      <w:pPr>
        <w:rPr>
          <w:rFonts w:asciiTheme="majorHAnsi" w:hAnsiTheme="majorHAnsi" w:cstheme="majorHAnsi"/>
          <w:bCs/>
          <w:sz w:val="23"/>
          <w:szCs w:val="23"/>
        </w:rPr>
      </w:pPr>
      <w:r w:rsidRPr="00576357">
        <w:rPr>
          <w:rFonts w:asciiTheme="majorHAnsi" w:hAnsiTheme="majorHAnsi" w:cstheme="majorHAnsi"/>
          <w:bCs/>
          <w:sz w:val="23"/>
          <w:szCs w:val="23"/>
        </w:rPr>
        <w:t>A continuación, se enumeran los aspectos mínimos que la Superintendencia revisará para determinar si se mantiene el criterio de no objeción para el uso de modelos internos de forma posterior a la implementación por primera vez (para cada modelo dentro del cálculo de pérdida esperada).</w:t>
      </w:r>
    </w:p>
    <w:p w14:paraId="14D1426C" w14:textId="77777777" w:rsidR="00576357" w:rsidRPr="00576357" w:rsidRDefault="00576357" w:rsidP="009C192E">
      <w:pPr>
        <w:rPr>
          <w:rFonts w:asciiTheme="majorHAnsi" w:hAnsiTheme="majorHAnsi" w:cstheme="majorHAnsi"/>
          <w:bCs/>
          <w:sz w:val="23"/>
          <w:szCs w:val="23"/>
        </w:rPr>
      </w:pPr>
    </w:p>
    <w:p w14:paraId="35EC0DF0" w14:textId="77777777" w:rsidR="009C192E" w:rsidRPr="00576357" w:rsidRDefault="009C192E" w:rsidP="00681541">
      <w:pPr>
        <w:pStyle w:val="Ttulo2"/>
        <w:numPr>
          <w:ilvl w:val="0"/>
          <w:numId w:val="68"/>
        </w:numPr>
        <w:tabs>
          <w:tab w:val="left" w:pos="1134"/>
        </w:tabs>
        <w:ind w:left="567" w:hanging="578"/>
        <w:rPr>
          <w:rFonts w:asciiTheme="majorHAnsi" w:hAnsiTheme="majorHAnsi" w:cstheme="majorHAnsi"/>
          <w:bCs/>
          <w:sz w:val="23"/>
          <w:szCs w:val="23"/>
        </w:rPr>
      </w:pPr>
      <w:bookmarkStart w:id="77" w:name="_Toc227326071"/>
      <w:r w:rsidRPr="00576357">
        <w:rPr>
          <w:rFonts w:asciiTheme="majorHAnsi" w:hAnsiTheme="majorHAnsi" w:cstheme="majorHAnsi"/>
          <w:sz w:val="23"/>
          <w:szCs w:val="23"/>
        </w:rPr>
        <w:t>Sobre ajustes/ recalibraciones en los modelos</w:t>
      </w:r>
      <w:bookmarkEnd w:id="77"/>
    </w:p>
    <w:p w14:paraId="3BDF938B" w14:textId="77777777" w:rsidR="009C192E" w:rsidRPr="00576357" w:rsidRDefault="009C192E" w:rsidP="00681541">
      <w:pPr>
        <w:pStyle w:val="Prrafodelista"/>
        <w:numPr>
          <w:ilvl w:val="1"/>
          <w:numId w:val="29"/>
        </w:numPr>
        <w:spacing w:after="240"/>
        <w:ind w:left="1134" w:hanging="567"/>
        <w:contextualSpacing w:val="0"/>
        <w:jc w:val="both"/>
        <w:rPr>
          <w:rFonts w:asciiTheme="majorHAnsi" w:hAnsiTheme="majorHAnsi" w:cstheme="majorHAnsi"/>
          <w:sz w:val="23"/>
          <w:szCs w:val="23"/>
        </w:rPr>
      </w:pPr>
      <w:r w:rsidRPr="00576357">
        <w:rPr>
          <w:rFonts w:asciiTheme="majorHAnsi" w:hAnsiTheme="majorHAnsi" w:cstheme="majorHAnsi"/>
          <w:sz w:val="23"/>
          <w:szCs w:val="23"/>
        </w:rPr>
        <w:t xml:space="preserve">Contar con políticas que incorporen la definición de modificación o recalibración significativa, en términos absolutos y relativos, tanto a nivel de grupos homogéneos o segmentos de riesgo de crédito como a nivel del total de riesgos. </w:t>
      </w:r>
      <w:r w:rsidRPr="00576357">
        <w:rPr>
          <w:rFonts w:asciiTheme="majorHAnsi" w:hAnsiTheme="majorHAnsi" w:cstheme="majorHAnsi"/>
          <w:sz w:val="23"/>
          <w:szCs w:val="23"/>
        </w:rPr>
        <w:lastRenderedPageBreak/>
        <w:t>Asimismo, deberá definirse qué constituye una modificación o recalibración menor o no significativa.</w:t>
      </w:r>
    </w:p>
    <w:p w14:paraId="0B2C0FCB" w14:textId="77777777" w:rsidR="009C192E" w:rsidRPr="00576357" w:rsidRDefault="009C192E" w:rsidP="00681541">
      <w:pPr>
        <w:pStyle w:val="Prrafodelista"/>
        <w:numPr>
          <w:ilvl w:val="1"/>
          <w:numId w:val="29"/>
        </w:numPr>
        <w:spacing w:after="240"/>
        <w:ind w:left="1134" w:hanging="567"/>
        <w:contextualSpacing w:val="0"/>
        <w:jc w:val="both"/>
        <w:rPr>
          <w:rFonts w:asciiTheme="majorHAnsi" w:hAnsiTheme="majorHAnsi" w:cstheme="majorHAnsi"/>
          <w:sz w:val="23"/>
          <w:szCs w:val="23"/>
        </w:rPr>
      </w:pPr>
      <w:r w:rsidRPr="00576357">
        <w:rPr>
          <w:rFonts w:asciiTheme="majorHAnsi" w:hAnsiTheme="majorHAnsi" w:cstheme="majorHAnsi"/>
          <w:sz w:val="23"/>
          <w:szCs w:val="23"/>
        </w:rPr>
        <w:t xml:space="preserve">Cuando la entidad realice una modificación o recalibración significativa, deberá comunicarlo a la Superintendencia para su valoración y no objeción. Este comunicado deberá incluir, de forma detallada: </w:t>
      </w:r>
    </w:p>
    <w:p w14:paraId="34669F7C" w14:textId="77777777" w:rsidR="009C192E" w:rsidRPr="00576357" w:rsidRDefault="009C192E" w:rsidP="00681541">
      <w:pPr>
        <w:pStyle w:val="Prrafodelista"/>
        <w:numPr>
          <w:ilvl w:val="0"/>
          <w:numId w:val="21"/>
        </w:numPr>
        <w:spacing w:after="240"/>
        <w:ind w:left="1701"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La justificación técnica del cambio realizado.</w:t>
      </w:r>
    </w:p>
    <w:p w14:paraId="60012F7D" w14:textId="77777777" w:rsidR="009C192E" w:rsidRPr="00576357" w:rsidRDefault="009C192E" w:rsidP="00681541">
      <w:pPr>
        <w:pStyle w:val="Prrafodelista"/>
        <w:numPr>
          <w:ilvl w:val="0"/>
          <w:numId w:val="21"/>
        </w:numPr>
        <w:spacing w:after="240"/>
        <w:ind w:left="1701"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La medición del impacto en el componente correspondiente (PD, LGD, EAD, entre otros) y en la pérdida esperada en su conjunto.</w:t>
      </w:r>
    </w:p>
    <w:p w14:paraId="2887A747" w14:textId="77777777" w:rsidR="009C192E" w:rsidRPr="00576357" w:rsidRDefault="009C192E" w:rsidP="00681541">
      <w:pPr>
        <w:pStyle w:val="Prrafodelista"/>
        <w:numPr>
          <w:ilvl w:val="0"/>
          <w:numId w:val="21"/>
        </w:numPr>
        <w:spacing w:after="240"/>
        <w:ind w:left="1701"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El criterio técnico del área interna de validación en la entidad.</w:t>
      </w:r>
    </w:p>
    <w:p w14:paraId="7729129A" w14:textId="77777777" w:rsidR="009C192E" w:rsidRPr="00576357" w:rsidRDefault="009C192E" w:rsidP="00681541">
      <w:pPr>
        <w:pStyle w:val="Prrafodelista"/>
        <w:numPr>
          <w:ilvl w:val="0"/>
          <w:numId w:val="21"/>
        </w:numPr>
        <w:spacing w:after="240"/>
        <w:ind w:left="1701"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 xml:space="preserve">El criterio técnico del experto independiente sobre la modificación. </w:t>
      </w:r>
    </w:p>
    <w:p w14:paraId="7DBB868B" w14:textId="77777777" w:rsidR="009C192E" w:rsidRPr="00576357" w:rsidRDefault="009C192E" w:rsidP="00681541">
      <w:pPr>
        <w:pStyle w:val="Prrafodelista"/>
        <w:numPr>
          <w:ilvl w:val="0"/>
          <w:numId w:val="21"/>
        </w:numPr>
        <w:spacing w:after="240"/>
        <w:ind w:left="1701"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 xml:space="preserve">La aprobación del cambio por parte del Órgano de Dirección. </w:t>
      </w:r>
    </w:p>
    <w:p w14:paraId="1E257237" w14:textId="77777777" w:rsidR="009C192E" w:rsidRDefault="009C192E" w:rsidP="00681541">
      <w:pPr>
        <w:pStyle w:val="Prrafodelista"/>
        <w:numPr>
          <w:ilvl w:val="1"/>
          <w:numId w:val="29"/>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Todo ajuste significativo que realice la entidad sin comunicarlo formalmente a la Superintendencia será motivo para que se revoque la no objeción al uso de modelos internos.</w:t>
      </w:r>
    </w:p>
    <w:p w14:paraId="318FBE08" w14:textId="77777777" w:rsidR="00576357" w:rsidRPr="00576357" w:rsidRDefault="00576357" w:rsidP="00576357">
      <w:pPr>
        <w:pStyle w:val="Prrafodelista"/>
        <w:spacing w:after="240"/>
        <w:ind w:left="1134"/>
        <w:contextualSpacing w:val="0"/>
        <w:jc w:val="both"/>
        <w:rPr>
          <w:rFonts w:asciiTheme="majorHAnsi" w:hAnsiTheme="majorHAnsi" w:cstheme="majorHAnsi"/>
          <w:bCs/>
          <w:sz w:val="23"/>
          <w:szCs w:val="23"/>
        </w:rPr>
      </w:pPr>
    </w:p>
    <w:p w14:paraId="1D9B7B3A" w14:textId="77777777" w:rsidR="009C192E" w:rsidRPr="00576357" w:rsidRDefault="009C192E" w:rsidP="00681541">
      <w:pPr>
        <w:pStyle w:val="Ttulo2"/>
        <w:numPr>
          <w:ilvl w:val="0"/>
          <w:numId w:val="68"/>
        </w:numPr>
        <w:tabs>
          <w:tab w:val="left" w:pos="1134"/>
        </w:tabs>
        <w:ind w:left="567" w:hanging="578"/>
        <w:rPr>
          <w:rFonts w:asciiTheme="majorHAnsi" w:hAnsiTheme="majorHAnsi" w:cstheme="majorHAnsi"/>
          <w:sz w:val="23"/>
          <w:szCs w:val="23"/>
        </w:rPr>
      </w:pPr>
      <w:bookmarkStart w:id="78" w:name="_Toc227326072"/>
      <w:r w:rsidRPr="00576357">
        <w:rPr>
          <w:rFonts w:asciiTheme="majorHAnsi" w:hAnsiTheme="majorHAnsi" w:cstheme="majorHAnsi"/>
          <w:sz w:val="23"/>
          <w:szCs w:val="23"/>
        </w:rPr>
        <w:t>Sobre pruebas generadas de monitoreo elaboradas por la entidad</w:t>
      </w:r>
      <w:bookmarkEnd w:id="78"/>
    </w:p>
    <w:p w14:paraId="70D33257" w14:textId="77777777" w:rsidR="009C192E" w:rsidRPr="00576357" w:rsidRDefault="009C192E" w:rsidP="00681541">
      <w:pPr>
        <w:pStyle w:val="Prrafodelista"/>
        <w:numPr>
          <w:ilvl w:val="0"/>
          <w:numId w:val="69"/>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Evaluar periódicamente el entorno tecnológico relacionado a los datos o con los modelos, identificando si se han presentado cambios relevantes en este.</w:t>
      </w:r>
    </w:p>
    <w:p w14:paraId="713F1E60" w14:textId="77777777" w:rsidR="009C192E" w:rsidRPr="00576357" w:rsidRDefault="009C192E" w:rsidP="00681541">
      <w:pPr>
        <w:pStyle w:val="Prrafodelista"/>
        <w:numPr>
          <w:ilvl w:val="0"/>
          <w:numId w:val="69"/>
        </w:numPr>
        <w:spacing w:after="240"/>
        <w:ind w:left="1134" w:hanging="567"/>
        <w:contextualSpacing w:val="0"/>
        <w:jc w:val="both"/>
        <w:rPr>
          <w:rFonts w:asciiTheme="majorHAnsi" w:hAnsiTheme="majorHAnsi" w:cstheme="majorHAnsi"/>
          <w:sz w:val="23"/>
          <w:szCs w:val="23"/>
        </w:rPr>
      </w:pPr>
      <w:r w:rsidRPr="00576357">
        <w:rPr>
          <w:rFonts w:asciiTheme="majorHAnsi" w:hAnsiTheme="majorHAnsi" w:cstheme="majorHAnsi"/>
          <w:sz w:val="23"/>
          <w:szCs w:val="23"/>
        </w:rPr>
        <w:t>Contar con certificación de la calidad de los datos emitida por el área de validación interna para cada base de datos empleada, incluyendo:</w:t>
      </w:r>
    </w:p>
    <w:p w14:paraId="1D7D42F0" w14:textId="77777777" w:rsidR="009C192E" w:rsidRPr="00576357" w:rsidRDefault="009C192E" w:rsidP="00681541">
      <w:pPr>
        <w:pStyle w:val="Prrafodelista"/>
        <w:numPr>
          <w:ilvl w:val="0"/>
          <w:numId w:val="30"/>
        </w:numPr>
        <w:spacing w:after="240"/>
        <w:ind w:left="1701"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 xml:space="preserve">Procedimientos formales de control y de evaluación de la calidad de la información, conteniendo criterios y planes de acción para su rectificación en casos de deficiencias o ausencia de datos. </w:t>
      </w:r>
    </w:p>
    <w:p w14:paraId="697DA09D" w14:textId="77777777" w:rsidR="009C192E" w:rsidRPr="00576357" w:rsidRDefault="009C192E" w:rsidP="00681541">
      <w:pPr>
        <w:pStyle w:val="Prrafodelista"/>
        <w:numPr>
          <w:ilvl w:val="0"/>
          <w:numId w:val="30"/>
        </w:numPr>
        <w:spacing w:after="240"/>
        <w:ind w:left="1701"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lastRenderedPageBreak/>
        <w:t xml:space="preserve">La evaluación de la calidad de datos debe ser un proceso continuo en la entidad.   </w:t>
      </w:r>
    </w:p>
    <w:p w14:paraId="1387A66B" w14:textId="77777777" w:rsidR="009C192E" w:rsidRPr="00576357" w:rsidRDefault="009C192E" w:rsidP="00681541">
      <w:pPr>
        <w:pStyle w:val="Prrafodelista"/>
        <w:numPr>
          <w:ilvl w:val="0"/>
          <w:numId w:val="69"/>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 xml:space="preserve">Presentar informes técnicos con los resultados de las pruebas retrospectivas, donde se le dé seguimiento a indicadores estadísticos formales de diagnóstico y desempeño en las metodologías. Estos informes permiten evaluar si la robustez metodológica del modelo y el desempeño predictivo del modelo </w:t>
      </w:r>
    </w:p>
    <w:p w14:paraId="56080241" w14:textId="77777777" w:rsidR="009C192E" w:rsidRPr="00576357" w:rsidRDefault="009C192E" w:rsidP="00681541">
      <w:pPr>
        <w:pStyle w:val="Prrafodelista"/>
        <w:numPr>
          <w:ilvl w:val="0"/>
          <w:numId w:val="31"/>
        </w:numPr>
        <w:spacing w:after="240"/>
        <w:ind w:left="1701" w:hanging="567"/>
        <w:contextualSpacing w:val="0"/>
        <w:jc w:val="both"/>
        <w:rPr>
          <w:rFonts w:asciiTheme="majorHAnsi" w:hAnsiTheme="majorHAnsi" w:cstheme="majorHAnsi"/>
          <w:sz w:val="23"/>
          <w:szCs w:val="23"/>
        </w:rPr>
      </w:pPr>
      <w:r w:rsidRPr="00576357">
        <w:rPr>
          <w:rFonts w:asciiTheme="majorHAnsi" w:hAnsiTheme="majorHAnsi" w:cstheme="majorHAnsi"/>
          <w:sz w:val="23"/>
          <w:szCs w:val="23"/>
        </w:rPr>
        <w:t xml:space="preserve">Modelos de clasificación: AUC (Área bajo la curva ROC), KS (Kolmogorov-Smirnov), Gini, </w:t>
      </w:r>
      <w:proofErr w:type="spellStart"/>
      <w:r w:rsidRPr="00576357">
        <w:rPr>
          <w:rFonts w:asciiTheme="majorHAnsi" w:hAnsiTheme="majorHAnsi" w:cstheme="majorHAnsi"/>
          <w:sz w:val="23"/>
          <w:szCs w:val="23"/>
        </w:rPr>
        <w:t>accuracy</w:t>
      </w:r>
      <w:proofErr w:type="spellEnd"/>
      <w:r w:rsidRPr="00576357">
        <w:rPr>
          <w:rFonts w:asciiTheme="majorHAnsi" w:hAnsiTheme="majorHAnsi" w:cstheme="majorHAnsi"/>
          <w:sz w:val="23"/>
          <w:szCs w:val="23"/>
        </w:rPr>
        <w:t>, matriz de confusión multiclase, sensibilidad (</w:t>
      </w:r>
      <w:proofErr w:type="spellStart"/>
      <w:r w:rsidRPr="00576357">
        <w:rPr>
          <w:rFonts w:asciiTheme="majorHAnsi" w:hAnsiTheme="majorHAnsi" w:cstheme="majorHAnsi"/>
          <w:sz w:val="23"/>
          <w:szCs w:val="23"/>
        </w:rPr>
        <w:t>recall</w:t>
      </w:r>
      <w:proofErr w:type="spellEnd"/>
      <w:r w:rsidRPr="00576357">
        <w:rPr>
          <w:rFonts w:asciiTheme="majorHAnsi" w:hAnsiTheme="majorHAnsi" w:cstheme="majorHAnsi"/>
          <w:sz w:val="23"/>
          <w:szCs w:val="23"/>
        </w:rPr>
        <w:t>), precisión, F1-score, entre otros.</w:t>
      </w:r>
    </w:p>
    <w:p w14:paraId="0C4B57F9" w14:textId="77777777" w:rsidR="009C192E" w:rsidRPr="00576357" w:rsidRDefault="009C192E" w:rsidP="00681541">
      <w:pPr>
        <w:pStyle w:val="Prrafodelista"/>
        <w:numPr>
          <w:ilvl w:val="0"/>
          <w:numId w:val="31"/>
        </w:numPr>
        <w:spacing w:after="240"/>
        <w:ind w:left="1701" w:hanging="567"/>
        <w:contextualSpacing w:val="0"/>
        <w:jc w:val="both"/>
        <w:rPr>
          <w:rFonts w:asciiTheme="majorHAnsi" w:hAnsiTheme="majorHAnsi" w:cstheme="majorHAnsi"/>
          <w:sz w:val="23"/>
          <w:szCs w:val="23"/>
        </w:rPr>
      </w:pPr>
      <w:r w:rsidRPr="00576357">
        <w:rPr>
          <w:rFonts w:asciiTheme="majorHAnsi" w:hAnsiTheme="majorHAnsi" w:cstheme="majorHAnsi"/>
          <w:sz w:val="23"/>
          <w:szCs w:val="23"/>
        </w:rPr>
        <w:t xml:space="preserve">Modelos de regresión: R², RMSE (Root Mean </w:t>
      </w:r>
      <w:proofErr w:type="spellStart"/>
      <w:r w:rsidRPr="00576357">
        <w:rPr>
          <w:rFonts w:asciiTheme="majorHAnsi" w:hAnsiTheme="majorHAnsi" w:cstheme="majorHAnsi"/>
          <w:sz w:val="23"/>
          <w:szCs w:val="23"/>
        </w:rPr>
        <w:t>Squared</w:t>
      </w:r>
      <w:proofErr w:type="spellEnd"/>
      <w:r w:rsidRPr="00576357">
        <w:rPr>
          <w:rFonts w:asciiTheme="majorHAnsi" w:hAnsiTheme="majorHAnsi" w:cstheme="majorHAnsi"/>
          <w:sz w:val="23"/>
          <w:szCs w:val="23"/>
        </w:rPr>
        <w:t xml:space="preserve"> Error), MAE (Mean Absolute Error), Durbin-Watson, pruebas de normalidad de residuos, pruebas de heterocedasticidad, multicolinealidad, entre otros.</w:t>
      </w:r>
    </w:p>
    <w:p w14:paraId="417AB590" w14:textId="77777777" w:rsidR="009C192E" w:rsidRPr="00576357" w:rsidRDefault="009C192E" w:rsidP="00681541">
      <w:pPr>
        <w:pStyle w:val="Prrafodelista"/>
        <w:numPr>
          <w:ilvl w:val="0"/>
          <w:numId w:val="31"/>
        </w:numPr>
        <w:spacing w:after="240"/>
        <w:ind w:left="1701" w:hanging="567"/>
        <w:contextualSpacing w:val="0"/>
        <w:jc w:val="both"/>
        <w:rPr>
          <w:rFonts w:asciiTheme="majorHAnsi" w:hAnsiTheme="majorHAnsi" w:cstheme="majorHAnsi"/>
          <w:sz w:val="23"/>
          <w:szCs w:val="23"/>
        </w:rPr>
      </w:pPr>
      <w:r w:rsidRPr="00576357">
        <w:rPr>
          <w:rFonts w:asciiTheme="majorHAnsi" w:hAnsiTheme="majorHAnsi" w:cstheme="majorHAnsi"/>
          <w:sz w:val="23"/>
          <w:szCs w:val="23"/>
        </w:rPr>
        <w:t>Modelos de series de tiempo: ACF (Función de autocorrelación) /PACF (Función de autocorrelación parcial), pruebas de estacionariedad (por ejemplo, Dickey-Fuller), errores de predicción, entre otros.</w:t>
      </w:r>
    </w:p>
    <w:p w14:paraId="1B942171" w14:textId="77777777" w:rsidR="009C192E" w:rsidRPr="00576357" w:rsidRDefault="009C192E" w:rsidP="00681541">
      <w:pPr>
        <w:pStyle w:val="Prrafodelista"/>
        <w:numPr>
          <w:ilvl w:val="0"/>
          <w:numId w:val="31"/>
        </w:numPr>
        <w:spacing w:after="240"/>
        <w:ind w:left="1701"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 xml:space="preserve">Modelos complejos o de Machine </w:t>
      </w:r>
      <w:proofErr w:type="spellStart"/>
      <w:r w:rsidRPr="00576357">
        <w:rPr>
          <w:rFonts w:asciiTheme="majorHAnsi" w:hAnsiTheme="majorHAnsi" w:cstheme="majorHAnsi"/>
          <w:bCs/>
          <w:sz w:val="23"/>
          <w:szCs w:val="23"/>
        </w:rPr>
        <w:t>Learning</w:t>
      </w:r>
      <w:proofErr w:type="spellEnd"/>
      <w:r w:rsidRPr="00576357">
        <w:rPr>
          <w:rFonts w:asciiTheme="majorHAnsi" w:hAnsiTheme="majorHAnsi" w:cstheme="majorHAnsi"/>
          <w:bCs/>
          <w:sz w:val="23"/>
          <w:szCs w:val="23"/>
        </w:rPr>
        <w:t xml:space="preserve">: valores SHAP (Shapley </w:t>
      </w:r>
      <w:proofErr w:type="spellStart"/>
      <w:r w:rsidRPr="00576357">
        <w:rPr>
          <w:rFonts w:asciiTheme="majorHAnsi" w:hAnsiTheme="majorHAnsi" w:cstheme="majorHAnsi"/>
          <w:bCs/>
          <w:sz w:val="23"/>
          <w:szCs w:val="23"/>
        </w:rPr>
        <w:t>additive</w:t>
      </w:r>
      <w:proofErr w:type="spellEnd"/>
      <w:r w:rsidRPr="00576357">
        <w:rPr>
          <w:rFonts w:asciiTheme="majorHAnsi" w:hAnsiTheme="majorHAnsi" w:cstheme="majorHAnsi"/>
          <w:bCs/>
          <w:sz w:val="23"/>
          <w:szCs w:val="23"/>
        </w:rPr>
        <w:t xml:space="preserve"> </w:t>
      </w:r>
      <w:proofErr w:type="spellStart"/>
      <w:r w:rsidRPr="00576357">
        <w:rPr>
          <w:rFonts w:asciiTheme="majorHAnsi" w:hAnsiTheme="majorHAnsi" w:cstheme="majorHAnsi"/>
          <w:bCs/>
          <w:sz w:val="23"/>
          <w:szCs w:val="23"/>
        </w:rPr>
        <w:t>explanations</w:t>
      </w:r>
      <w:proofErr w:type="spellEnd"/>
      <w:r w:rsidRPr="00576357">
        <w:rPr>
          <w:rFonts w:asciiTheme="majorHAnsi" w:hAnsiTheme="majorHAnsi" w:cstheme="majorHAnsi"/>
          <w:bCs/>
          <w:sz w:val="23"/>
          <w:szCs w:val="23"/>
        </w:rPr>
        <w:t xml:space="preserve">), </w:t>
      </w:r>
      <w:proofErr w:type="spellStart"/>
      <w:r w:rsidRPr="00576357">
        <w:rPr>
          <w:rFonts w:asciiTheme="majorHAnsi" w:hAnsiTheme="majorHAnsi" w:cstheme="majorHAnsi"/>
          <w:bCs/>
          <w:sz w:val="23"/>
          <w:szCs w:val="23"/>
        </w:rPr>
        <w:t>feature</w:t>
      </w:r>
      <w:proofErr w:type="spellEnd"/>
      <w:r w:rsidRPr="00576357">
        <w:rPr>
          <w:rFonts w:asciiTheme="majorHAnsi" w:hAnsiTheme="majorHAnsi" w:cstheme="majorHAnsi"/>
          <w:bCs/>
          <w:sz w:val="23"/>
          <w:szCs w:val="23"/>
        </w:rPr>
        <w:t xml:space="preserve"> </w:t>
      </w:r>
      <w:proofErr w:type="spellStart"/>
      <w:r w:rsidRPr="00576357">
        <w:rPr>
          <w:rFonts w:asciiTheme="majorHAnsi" w:hAnsiTheme="majorHAnsi" w:cstheme="majorHAnsi"/>
          <w:bCs/>
          <w:sz w:val="23"/>
          <w:szCs w:val="23"/>
        </w:rPr>
        <w:t>importance</w:t>
      </w:r>
      <w:proofErr w:type="spellEnd"/>
      <w:r w:rsidRPr="00576357">
        <w:rPr>
          <w:rFonts w:asciiTheme="majorHAnsi" w:hAnsiTheme="majorHAnsi" w:cstheme="majorHAnsi"/>
          <w:bCs/>
          <w:sz w:val="23"/>
          <w:szCs w:val="23"/>
        </w:rPr>
        <w:t>, métricas de validación cruzada, entre otros.</w:t>
      </w:r>
    </w:p>
    <w:p w14:paraId="1CD3B482" w14:textId="77777777" w:rsidR="009C192E" w:rsidRPr="00576357" w:rsidRDefault="009C192E" w:rsidP="00681541">
      <w:pPr>
        <w:pStyle w:val="Prrafodelista"/>
        <w:numPr>
          <w:ilvl w:val="0"/>
          <w:numId w:val="31"/>
        </w:numPr>
        <w:spacing w:after="240"/>
        <w:ind w:left="1701"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Indicadores de estabilidad poblacional.</w:t>
      </w:r>
    </w:p>
    <w:p w14:paraId="00C0AB82" w14:textId="77777777" w:rsidR="009C192E" w:rsidRDefault="009C192E" w:rsidP="00681541">
      <w:pPr>
        <w:pStyle w:val="Prrafodelista"/>
        <w:numPr>
          <w:ilvl w:val="0"/>
          <w:numId w:val="69"/>
        </w:numPr>
        <w:spacing w:after="240"/>
        <w:ind w:left="1134" w:hanging="567"/>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Aportar actas del Comité de Riesgos, del Órgano de Dirección u otros comités en el que se presenten los resultados de estas evaluaciones y las decisiones que se determinen producto de los análisis realizados.</w:t>
      </w:r>
    </w:p>
    <w:p w14:paraId="753FC584" w14:textId="77777777" w:rsidR="00576357" w:rsidRPr="00576357" w:rsidRDefault="00576357" w:rsidP="00576357">
      <w:pPr>
        <w:pStyle w:val="Prrafodelista"/>
        <w:spacing w:after="240"/>
        <w:ind w:left="1134"/>
        <w:contextualSpacing w:val="0"/>
        <w:jc w:val="both"/>
        <w:rPr>
          <w:rFonts w:asciiTheme="majorHAnsi" w:hAnsiTheme="majorHAnsi" w:cstheme="majorHAnsi"/>
          <w:bCs/>
          <w:sz w:val="23"/>
          <w:szCs w:val="23"/>
        </w:rPr>
      </w:pPr>
    </w:p>
    <w:p w14:paraId="7A804A41" w14:textId="77777777" w:rsidR="009C192E" w:rsidRPr="00576357" w:rsidRDefault="009C192E" w:rsidP="009C192E">
      <w:pPr>
        <w:pStyle w:val="Ttulo2"/>
        <w:tabs>
          <w:tab w:val="left" w:pos="1134"/>
        </w:tabs>
        <w:ind w:left="567" w:hanging="578"/>
        <w:rPr>
          <w:rFonts w:asciiTheme="majorHAnsi" w:hAnsiTheme="majorHAnsi" w:cstheme="majorHAnsi"/>
          <w:sz w:val="23"/>
          <w:szCs w:val="23"/>
        </w:rPr>
      </w:pPr>
      <w:bookmarkStart w:id="79" w:name="_Toc227326073"/>
      <w:r w:rsidRPr="00576357">
        <w:rPr>
          <w:rFonts w:asciiTheme="majorHAnsi" w:hAnsiTheme="majorHAnsi" w:cstheme="majorHAnsi"/>
          <w:sz w:val="23"/>
          <w:szCs w:val="23"/>
        </w:rPr>
        <w:t>Sobre la generación de pruebas de estrés</w:t>
      </w:r>
      <w:bookmarkEnd w:id="79"/>
    </w:p>
    <w:p w14:paraId="26AD8A04" w14:textId="77777777" w:rsidR="009C192E" w:rsidRPr="00576357" w:rsidRDefault="009C192E" w:rsidP="00681541">
      <w:pPr>
        <w:pStyle w:val="Prrafodelista"/>
        <w:numPr>
          <w:ilvl w:val="0"/>
          <w:numId w:val="70"/>
        </w:numPr>
        <w:spacing w:after="240"/>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 xml:space="preserve">Presentar evidencia de la realización de pruebas de estrés aplicadas a los modelos, detallando los escenarios utilizados, los resultados obtenidos y su </w:t>
      </w:r>
      <w:r w:rsidRPr="00576357">
        <w:rPr>
          <w:rFonts w:asciiTheme="majorHAnsi" w:hAnsiTheme="majorHAnsi" w:cstheme="majorHAnsi"/>
          <w:bCs/>
          <w:sz w:val="23"/>
          <w:szCs w:val="23"/>
        </w:rPr>
        <w:lastRenderedPageBreak/>
        <w:t>interpretación Estas pruebas deben demostrar que el modelo mantiene su operatividad y capacidad predictiva aún en escenarios de tensión, lo que garantiza su validez y pertinencia.</w:t>
      </w:r>
    </w:p>
    <w:p w14:paraId="6A9477C5" w14:textId="77777777" w:rsidR="009C192E" w:rsidRDefault="009C192E" w:rsidP="00681541">
      <w:pPr>
        <w:pStyle w:val="Prrafodelista"/>
        <w:numPr>
          <w:ilvl w:val="0"/>
          <w:numId w:val="70"/>
        </w:numPr>
        <w:spacing w:after="240"/>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Aportar actas del Comité de Riesgos, del Órgano de Dirección u otros comités donde se documenten los resultados de estas evaluaciones y las decisiones que se alcancen o se tomen producto de los análisis realizados.</w:t>
      </w:r>
    </w:p>
    <w:p w14:paraId="0F83754B" w14:textId="77777777" w:rsidR="00576357" w:rsidRPr="00576357" w:rsidRDefault="00576357" w:rsidP="00576357">
      <w:pPr>
        <w:rPr>
          <w:rFonts w:asciiTheme="majorHAnsi" w:hAnsiTheme="majorHAnsi" w:cstheme="majorHAnsi"/>
          <w:bCs/>
          <w:sz w:val="23"/>
          <w:szCs w:val="23"/>
        </w:rPr>
      </w:pPr>
    </w:p>
    <w:p w14:paraId="5CC3A2DF" w14:textId="1F924BB1" w:rsidR="009C192E" w:rsidRPr="00576357" w:rsidRDefault="009C192E" w:rsidP="009C192E">
      <w:pPr>
        <w:pStyle w:val="Ttulo2"/>
        <w:tabs>
          <w:tab w:val="left" w:pos="1134"/>
        </w:tabs>
        <w:ind w:left="567" w:hanging="578"/>
        <w:rPr>
          <w:rFonts w:asciiTheme="majorHAnsi" w:hAnsiTheme="majorHAnsi" w:cstheme="majorHAnsi"/>
          <w:sz w:val="23"/>
          <w:szCs w:val="23"/>
        </w:rPr>
      </w:pPr>
      <w:bookmarkStart w:id="80" w:name="_Toc227326074"/>
      <w:r w:rsidRPr="00576357">
        <w:rPr>
          <w:rFonts w:asciiTheme="majorHAnsi" w:hAnsiTheme="majorHAnsi" w:cstheme="majorHAnsi"/>
          <w:sz w:val="23"/>
          <w:szCs w:val="23"/>
        </w:rPr>
        <w:t>Sobre el Informe Anual de Riesgos</w:t>
      </w:r>
      <w:bookmarkEnd w:id="80"/>
    </w:p>
    <w:p w14:paraId="584C2AD7" w14:textId="77777777" w:rsidR="009C192E" w:rsidRPr="00576357" w:rsidRDefault="009C192E" w:rsidP="00681541">
      <w:pPr>
        <w:pStyle w:val="Prrafodelista"/>
        <w:numPr>
          <w:ilvl w:val="0"/>
          <w:numId w:val="71"/>
        </w:numPr>
        <w:spacing w:after="240"/>
        <w:contextualSpacing w:val="0"/>
        <w:jc w:val="both"/>
        <w:rPr>
          <w:rFonts w:asciiTheme="majorHAnsi" w:hAnsiTheme="majorHAnsi" w:cstheme="majorHAnsi"/>
          <w:sz w:val="23"/>
          <w:szCs w:val="23"/>
        </w:rPr>
      </w:pPr>
      <w:r w:rsidRPr="00576357">
        <w:rPr>
          <w:rFonts w:asciiTheme="majorHAnsi" w:hAnsiTheme="majorHAnsi" w:cstheme="majorHAnsi"/>
          <w:bCs/>
          <w:sz w:val="23"/>
          <w:szCs w:val="23"/>
        </w:rPr>
        <w:t>Incluir en el Informe Anual de Riesgos una sección especifica que haga referencia al modelo interno utilizado, al cumplimiento de los requerimientos establecidos en la regulación y a los ajustes realizados cuando existan recalibraciones o modificaciones relevantes.</w:t>
      </w:r>
    </w:p>
    <w:p w14:paraId="7D144E2C" w14:textId="77777777" w:rsidR="009C192E" w:rsidRPr="00576357" w:rsidRDefault="009C192E" w:rsidP="009C192E">
      <w:pPr>
        <w:spacing w:after="160" w:line="278" w:lineRule="auto"/>
        <w:jc w:val="left"/>
        <w:rPr>
          <w:rFonts w:asciiTheme="majorHAnsi" w:hAnsiTheme="majorHAnsi" w:cstheme="majorHAnsi"/>
          <w:sz w:val="23"/>
          <w:szCs w:val="23"/>
        </w:rPr>
      </w:pPr>
      <w:r w:rsidRPr="00576357">
        <w:rPr>
          <w:rFonts w:asciiTheme="majorHAnsi" w:hAnsiTheme="majorHAnsi" w:cstheme="majorHAnsi"/>
          <w:sz w:val="23"/>
          <w:szCs w:val="23"/>
        </w:rPr>
        <w:br w:type="page"/>
      </w:r>
    </w:p>
    <w:p w14:paraId="0F07E68C" w14:textId="77777777" w:rsidR="009C192E" w:rsidRPr="00576357" w:rsidRDefault="009C192E" w:rsidP="009C192E">
      <w:pPr>
        <w:pStyle w:val="Ttulo1"/>
        <w:rPr>
          <w:rFonts w:asciiTheme="majorHAnsi" w:hAnsiTheme="majorHAnsi" w:cstheme="majorHAnsi"/>
          <w:sz w:val="23"/>
          <w:szCs w:val="23"/>
        </w:rPr>
      </w:pPr>
      <w:bookmarkStart w:id="81" w:name="_Toc227326075"/>
      <w:r w:rsidRPr="00576357">
        <w:rPr>
          <w:rFonts w:asciiTheme="majorHAnsi" w:hAnsiTheme="majorHAnsi" w:cstheme="majorHAnsi"/>
          <w:sz w:val="23"/>
          <w:szCs w:val="23"/>
        </w:rPr>
        <w:lastRenderedPageBreak/>
        <w:t>XIII) CRITERIOS PARA DEFINIR LA IDONEIDAD EN LA SELECCIÓN DEL EXPERTO INDEPENDIENTE ENCARGADO DE EVALUAR LOS MODELOS INTERNOS</w:t>
      </w:r>
      <w:bookmarkEnd w:id="81"/>
    </w:p>
    <w:p w14:paraId="3D244660" w14:textId="77777777" w:rsidR="009C192E" w:rsidRPr="00576357" w:rsidRDefault="009C192E" w:rsidP="009C192E">
      <w:pPr>
        <w:ind w:left="1134" w:hanging="1134"/>
        <w:rPr>
          <w:rFonts w:asciiTheme="majorHAnsi" w:hAnsiTheme="majorHAnsi" w:cstheme="majorHAnsi"/>
          <w:bCs/>
          <w:sz w:val="23"/>
          <w:szCs w:val="23"/>
        </w:rPr>
      </w:pPr>
      <w:r w:rsidRPr="00576357">
        <w:rPr>
          <w:rFonts w:asciiTheme="majorHAnsi" w:hAnsiTheme="majorHAnsi" w:cstheme="majorHAnsi"/>
          <w:sz w:val="23"/>
          <w:szCs w:val="23"/>
          <w:u w:val="single"/>
        </w:rPr>
        <w:t>Objetivo:</w:t>
      </w:r>
      <w:r w:rsidRPr="00576357">
        <w:rPr>
          <w:rFonts w:asciiTheme="majorHAnsi" w:hAnsiTheme="majorHAnsi" w:cstheme="majorHAnsi"/>
          <w:bCs/>
          <w:sz w:val="23"/>
          <w:szCs w:val="23"/>
        </w:rPr>
        <w:tab/>
        <w:t>Establecer los requisitos legales, éticos, técnicos y operativos que deberá cumplir el experto independiente (persona física o jurídica) para evaluar, de forma objetiva e independiente, las metodologías internas de riesgo utilizadas por las entidades supervisadas; así como las obligaciones sobre contratación, rotación, entregables, desempeño y prohibiciones aplicables para asegurar la calidad, imparcialidad y trazabilidad de sus evaluaciones.</w:t>
      </w:r>
    </w:p>
    <w:p w14:paraId="33ACAF96" w14:textId="77777777" w:rsidR="009C192E" w:rsidRPr="00576357" w:rsidRDefault="009C192E" w:rsidP="00681541">
      <w:pPr>
        <w:pStyle w:val="Ttulo2"/>
        <w:numPr>
          <w:ilvl w:val="0"/>
          <w:numId w:val="72"/>
        </w:numPr>
        <w:tabs>
          <w:tab w:val="left" w:pos="1134"/>
        </w:tabs>
        <w:ind w:left="567" w:hanging="578"/>
        <w:rPr>
          <w:rFonts w:asciiTheme="majorHAnsi" w:hAnsiTheme="majorHAnsi" w:cstheme="majorHAnsi"/>
          <w:sz w:val="23"/>
          <w:szCs w:val="23"/>
        </w:rPr>
      </w:pPr>
      <w:bookmarkStart w:id="82" w:name="_Toc227326076"/>
      <w:r w:rsidRPr="00576357">
        <w:rPr>
          <w:rFonts w:asciiTheme="majorHAnsi" w:hAnsiTheme="majorHAnsi" w:cstheme="majorHAnsi"/>
          <w:sz w:val="23"/>
          <w:szCs w:val="23"/>
        </w:rPr>
        <w:t>Experto independiente</w:t>
      </w:r>
      <w:bookmarkEnd w:id="82"/>
    </w:p>
    <w:p w14:paraId="02D8D7C0" w14:textId="77777777" w:rsidR="009C192E" w:rsidRPr="00576357" w:rsidRDefault="009C192E" w:rsidP="009C192E">
      <w:pPr>
        <w:ind w:firstLine="14"/>
        <w:rPr>
          <w:rFonts w:asciiTheme="majorHAnsi" w:hAnsiTheme="majorHAnsi" w:cstheme="majorHAnsi"/>
          <w:sz w:val="23"/>
          <w:szCs w:val="23"/>
        </w:rPr>
      </w:pPr>
      <w:r w:rsidRPr="00576357">
        <w:rPr>
          <w:rFonts w:asciiTheme="majorHAnsi" w:hAnsiTheme="majorHAnsi" w:cstheme="majorHAnsi"/>
          <w:sz w:val="23"/>
          <w:szCs w:val="23"/>
        </w:rPr>
        <w:t>Se entenderá por experto independiente a la persona física o jurídica, externa a la entidad supervisada y sin conflicto de interés, que cuenta con la idoneidad técnica, profesional y ética necesaria para evaluar metodologías internas de riesgo utilizadas por las entidades supervisadas. Su función consiste en verificar la solidez metodológica, la calidad de la información, el cumplimiento normativo y la adecuada implementación de los modelos internos, de manera objetiva e independiente.</w:t>
      </w:r>
    </w:p>
    <w:p w14:paraId="53D99473" w14:textId="77777777" w:rsidR="009C192E" w:rsidRPr="00576357" w:rsidRDefault="009C192E" w:rsidP="00681541">
      <w:pPr>
        <w:pStyle w:val="Ttulo2"/>
        <w:numPr>
          <w:ilvl w:val="0"/>
          <w:numId w:val="72"/>
        </w:numPr>
        <w:tabs>
          <w:tab w:val="left" w:pos="1134"/>
        </w:tabs>
        <w:ind w:left="567" w:hanging="578"/>
        <w:rPr>
          <w:rFonts w:asciiTheme="majorHAnsi" w:hAnsiTheme="majorHAnsi" w:cstheme="majorHAnsi"/>
          <w:sz w:val="23"/>
          <w:szCs w:val="23"/>
        </w:rPr>
      </w:pPr>
      <w:bookmarkStart w:id="83" w:name="_Toc227326077"/>
      <w:r w:rsidRPr="00576357">
        <w:rPr>
          <w:rFonts w:asciiTheme="majorHAnsi" w:hAnsiTheme="majorHAnsi" w:cstheme="majorHAnsi"/>
          <w:sz w:val="23"/>
          <w:szCs w:val="23"/>
        </w:rPr>
        <w:t>Requisitos legales y éticos</w:t>
      </w:r>
      <w:bookmarkEnd w:id="83"/>
    </w:p>
    <w:p w14:paraId="5D20E65B" w14:textId="77777777" w:rsidR="009C192E" w:rsidRPr="00576357" w:rsidRDefault="009C192E" w:rsidP="009C192E">
      <w:pPr>
        <w:ind w:left="567" w:hanging="553"/>
        <w:rPr>
          <w:rFonts w:asciiTheme="majorHAnsi" w:hAnsiTheme="majorHAnsi" w:cstheme="majorHAnsi"/>
          <w:b/>
          <w:sz w:val="23"/>
          <w:szCs w:val="23"/>
        </w:rPr>
      </w:pPr>
      <w:r w:rsidRPr="00576357">
        <w:rPr>
          <w:rFonts w:asciiTheme="majorHAnsi" w:hAnsiTheme="majorHAnsi" w:cstheme="majorHAnsi"/>
          <w:bCs/>
          <w:sz w:val="23"/>
          <w:szCs w:val="23"/>
        </w:rPr>
        <w:t>El experto independiente deberá cumplir, al menos, con lo siguiente:</w:t>
      </w:r>
    </w:p>
    <w:p w14:paraId="52321516" w14:textId="77777777" w:rsidR="009C192E" w:rsidRPr="00576357" w:rsidRDefault="009C192E" w:rsidP="00681541">
      <w:pPr>
        <w:pStyle w:val="Prrafodelista"/>
        <w:numPr>
          <w:ilvl w:val="0"/>
          <w:numId w:val="23"/>
        </w:numPr>
        <w:spacing w:after="240"/>
        <w:ind w:left="1134" w:hanging="553"/>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No haber sido declarado insolvente o en estado de quiebra durante los diez años previos a la contratación.</w:t>
      </w:r>
    </w:p>
    <w:p w14:paraId="665FD9A3" w14:textId="77777777" w:rsidR="009C192E" w:rsidRPr="00576357" w:rsidRDefault="009C192E" w:rsidP="00681541">
      <w:pPr>
        <w:pStyle w:val="Prrafodelista"/>
        <w:numPr>
          <w:ilvl w:val="0"/>
          <w:numId w:val="23"/>
        </w:numPr>
        <w:spacing w:after="240"/>
        <w:ind w:left="1134" w:hanging="553"/>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No haber sido condenado por delitos contra la fe pública, la propiedad, o la buena fe en los negocios, durante los últimos diez años.</w:t>
      </w:r>
    </w:p>
    <w:p w14:paraId="062D2A98" w14:textId="77777777" w:rsidR="009C192E" w:rsidRPr="00576357" w:rsidRDefault="009C192E" w:rsidP="00681541">
      <w:pPr>
        <w:pStyle w:val="Prrafodelista"/>
        <w:numPr>
          <w:ilvl w:val="0"/>
          <w:numId w:val="23"/>
        </w:numPr>
        <w:spacing w:after="240"/>
        <w:ind w:left="1134" w:hanging="553"/>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Estar inscrito y activo en el colegio profesional competente en la materia (Colegio de Contadores Públicos de Costa Rica, Colegio de Ciencias Económicas, u organismo profesional homólogo en el caso de firmas extranjeras.</w:t>
      </w:r>
    </w:p>
    <w:p w14:paraId="0DC7BDAC" w14:textId="77777777" w:rsidR="009C192E" w:rsidRPr="00576357" w:rsidRDefault="009C192E" w:rsidP="00681541">
      <w:pPr>
        <w:pStyle w:val="Ttulo2"/>
        <w:numPr>
          <w:ilvl w:val="0"/>
          <w:numId w:val="72"/>
        </w:numPr>
        <w:tabs>
          <w:tab w:val="left" w:pos="1134"/>
        </w:tabs>
        <w:ind w:left="567" w:hanging="578"/>
        <w:rPr>
          <w:rFonts w:asciiTheme="majorHAnsi" w:hAnsiTheme="majorHAnsi" w:cstheme="majorHAnsi"/>
          <w:sz w:val="23"/>
          <w:szCs w:val="23"/>
        </w:rPr>
      </w:pPr>
      <w:bookmarkStart w:id="84" w:name="_Toc227326078"/>
      <w:r w:rsidRPr="00576357">
        <w:rPr>
          <w:rFonts w:asciiTheme="majorHAnsi" w:hAnsiTheme="majorHAnsi" w:cstheme="majorHAnsi"/>
          <w:sz w:val="23"/>
          <w:szCs w:val="23"/>
        </w:rPr>
        <w:t>Requisitos técnicos y de experiencia</w:t>
      </w:r>
      <w:bookmarkEnd w:id="84"/>
    </w:p>
    <w:p w14:paraId="42C428A8" w14:textId="77777777" w:rsidR="009C192E" w:rsidRPr="00576357" w:rsidRDefault="009C192E" w:rsidP="009C192E">
      <w:pPr>
        <w:ind w:left="567" w:hanging="553"/>
        <w:rPr>
          <w:rFonts w:asciiTheme="majorHAnsi" w:hAnsiTheme="majorHAnsi" w:cstheme="majorHAnsi"/>
          <w:bCs/>
          <w:sz w:val="23"/>
          <w:szCs w:val="23"/>
        </w:rPr>
      </w:pPr>
      <w:r w:rsidRPr="00576357">
        <w:rPr>
          <w:rFonts w:asciiTheme="majorHAnsi" w:hAnsiTheme="majorHAnsi" w:cstheme="majorHAnsi"/>
          <w:bCs/>
          <w:sz w:val="23"/>
          <w:szCs w:val="23"/>
        </w:rPr>
        <w:lastRenderedPageBreak/>
        <w:t>El candidato deberá acreditar:</w:t>
      </w:r>
    </w:p>
    <w:p w14:paraId="7A587F35" w14:textId="77777777" w:rsidR="009C192E" w:rsidRPr="00576357" w:rsidRDefault="009C192E" w:rsidP="00681541">
      <w:pPr>
        <w:pStyle w:val="Prrafodelista"/>
        <w:numPr>
          <w:ilvl w:val="0"/>
          <w:numId w:val="22"/>
        </w:numPr>
        <w:spacing w:after="240"/>
        <w:ind w:left="1134" w:hanging="553"/>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 xml:space="preserve">Experiencia demostrable mínima de cinco años en la validación de modelos internos de riesgo (crédito, mercado, operativo), incluyendo al menos metodologías estadísticas, econométricas o de </w:t>
      </w:r>
      <w:r w:rsidRPr="00576357">
        <w:rPr>
          <w:rFonts w:asciiTheme="majorHAnsi" w:hAnsiTheme="majorHAnsi" w:cstheme="majorHAnsi"/>
          <w:bCs/>
          <w:i/>
          <w:iCs/>
          <w:sz w:val="23"/>
          <w:szCs w:val="23"/>
        </w:rPr>
        <w:t xml:space="preserve">machine </w:t>
      </w:r>
      <w:proofErr w:type="spellStart"/>
      <w:r w:rsidRPr="00576357">
        <w:rPr>
          <w:rFonts w:asciiTheme="majorHAnsi" w:hAnsiTheme="majorHAnsi" w:cstheme="majorHAnsi"/>
          <w:bCs/>
          <w:i/>
          <w:iCs/>
          <w:sz w:val="23"/>
          <w:szCs w:val="23"/>
        </w:rPr>
        <w:t>learning</w:t>
      </w:r>
      <w:proofErr w:type="spellEnd"/>
      <w:r w:rsidRPr="00576357">
        <w:rPr>
          <w:rFonts w:asciiTheme="majorHAnsi" w:hAnsiTheme="majorHAnsi" w:cstheme="majorHAnsi"/>
          <w:bCs/>
          <w:sz w:val="23"/>
          <w:szCs w:val="23"/>
        </w:rPr>
        <w:t>. Se requiere que mantengan una actualización continua en el campo de la especialidad y en el conocimiento del negocio de las entidades supervisadas.</w:t>
      </w:r>
    </w:p>
    <w:p w14:paraId="30150DB7" w14:textId="77777777" w:rsidR="009C192E" w:rsidRPr="00576357" w:rsidRDefault="009C192E" w:rsidP="00681541">
      <w:pPr>
        <w:pStyle w:val="Prrafodelista"/>
        <w:numPr>
          <w:ilvl w:val="0"/>
          <w:numId w:val="22"/>
        </w:numPr>
        <w:spacing w:after="240"/>
        <w:ind w:left="1134" w:hanging="553"/>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Experiencia previa en procesos de validación o auditoría técnica de modelos en entidades financieras supervisadas, nacionales o internacionales.</w:t>
      </w:r>
    </w:p>
    <w:p w14:paraId="32BBE9E4" w14:textId="77777777" w:rsidR="009C192E" w:rsidRPr="00576357" w:rsidRDefault="009C192E" w:rsidP="00681541">
      <w:pPr>
        <w:pStyle w:val="Prrafodelista"/>
        <w:numPr>
          <w:ilvl w:val="0"/>
          <w:numId w:val="22"/>
        </w:numPr>
        <w:spacing w:after="240"/>
        <w:ind w:left="1134" w:hanging="553"/>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 xml:space="preserve">Certificaciones profesionales relevantes (por ejemplo, </w:t>
      </w:r>
      <w:proofErr w:type="spellStart"/>
      <w:r w:rsidRPr="00576357">
        <w:rPr>
          <w:rFonts w:asciiTheme="majorHAnsi" w:hAnsiTheme="majorHAnsi" w:cstheme="majorHAnsi"/>
          <w:bCs/>
          <w:sz w:val="23"/>
          <w:szCs w:val="23"/>
        </w:rPr>
        <w:t>Financial</w:t>
      </w:r>
      <w:proofErr w:type="spellEnd"/>
      <w:r w:rsidRPr="00576357">
        <w:rPr>
          <w:rFonts w:asciiTheme="majorHAnsi" w:hAnsiTheme="majorHAnsi" w:cstheme="majorHAnsi"/>
          <w:bCs/>
          <w:sz w:val="23"/>
          <w:szCs w:val="23"/>
        </w:rPr>
        <w:t xml:space="preserve"> Risk Management, CFA, certificaciones en modelación cuantitativa).</w:t>
      </w:r>
    </w:p>
    <w:p w14:paraId="6E08A372" w14:textId="77777777" w:rsidR="009C192E" w:rsidRPr="00576357" w:rsidRDefault="009C192E" w:rsidP="00681541">
      <w:pPr>
        <w:pStyle w:val="Prrafodelista"/>
        <w:numPr>
          <w:ilvl w:val="0"/>
          <w:numId w:val="22"/>
        </w:numPr>
        <w:spacing w:after="240"/>
        <w:ind w:left="1134" w:hanging="553"/>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Disponibilidad de un equipo multidisciplinario con experiencia en riesgos financieros, estadística aplicada, programación y regulación financiera.</w:t>
      </w:r>
    </w:p>
    <w:p w14:paraId="5C734187" w14:textId="77777777" w:rsidR="009C192E" w:rsidRPr="00576357" w:rsidRDefault="009C192E" w:rsidP="00681541">
      <w:pPr>
        <w:pStyle w:val="Ttulo2"/>
        <w:numPr>
          <w:ilvl w:val="0"/>
          <w:numId w:val="72"/>
        </w:numPr>
        <w:tabs>
          <w:tab w:val="left" w:pos="1134"/>
        </w:tabs>
        <w:ind w:left="567" w:hanging="578"/>
        <w:rPr>
          <w:rFonts w:asciiTheme="majorHAnsi" w:hAnsiTheme="majorHAnsi" w:cstheme="majorHAnsi"/>
          <w:sz w:val="23"/>
          <w:szCs w:val="23"/>
        </w:rPr>
      </w:pPr>
      <w:bookmarkStart w:id="85" w:name="_Toc227326079"/>
      <w:r w:rsidRPr="00576357">
        <w:rPr>
          <w:rFonts w:asciiTheme="majorHAnsi" w:hAnsiTheme="majorHAnsi" w:cstheme="majorHAnsi"/>
          <w:sz w:val="23"/>
          <w:szCs w:val="23"/>
        </w:rPr>
        <w:t>Sistema de registro y acreditación</w:t>
      </w:r>
      <w:bookmarkEnd w:id="85"/>
    </w:p>
    <w:p w14:paraId="4CA5AE49" w14:textId="77777777" w:rsidR="009C192E" w:rsidRPr="00576357" w:rsidRDefault="009C192E" w:rsidP="00681541">
      <w:pPr>
        <w:pStyle w:val="Prrafodelista"/>
        <w:numPr>
          <w:ilvl w:val="0"/>
          <w:numId w:val="24"/>
        </w:numPr>
        <w:spacing w:after="240"/>
        <w:ind w:left="1134" w:hanging="553"/>
        <w:contextualSpacing w:val="0"/>
        <w:jc w:val="both"/>
        <w:rPr>
          <w:rFonts w:asciiTheme="majorHAnsi" w:hAnsiTheme="majorHAnsi" w:cstheme="majorHAnsi"/>
          <w:sz w:val="23"/>
          <w:szCs w:val="23"/>
        </w:rPr>
      </w:pPr>
      <w:r w:rsidRPr="00576357">
        <w:rPr>
          <w:rFonts w:asciiTheme="majorHAnsi" w:hAnsiTheme="majorHAnsi" w:cstheme="majorHAnsi"/>
          <w:sz w:val="23"/>
          <w:szCs w:val="23"/>
        </w:rPr>
        <w:t xml:space="preserve">La Superintendencia establecerá un </w:t>
      </w:r>
      <w:r w:rsidRPr="00576357">
        <w:rPr>
          <w:rFonts w:asciiTheme="majorHAnsi" w:hAnsiTheme="majorHAnsi" w:cstheme="majorHAnsi"/>
          <w:i/>
          <w:iCs/>
          <w:sz w:val="23"/>
          <w:szCs w:val="23"/>
        </w:rPr>
        <w:t>Registro de Evaluadores Técnicos de Modelos Internos</w:t>
      </w:r>
      <w:r w:rsidRPr="00576357">
        <w:rPr>
          <w:rFonts w:asciiTheme="majorHAnsi" w:hAnsiTheme="majorHAnsi" w:cstheme="majorHAnsi"/>
          <w:sz w:val="23"/>
          <w:szCs w:val="23"/>
        </w:rPr>
        <w:t>, en el cual se inscribirán los profesionales o firmas que cumplan con los requisitos solicitados en estos lineamientos.</w:t>
      </w:r>
    </w:p>
    <w:p w14:paraId="0B1C02FC" w14:textId="77777777" w:rsidR="009C192E" w:rsidRPr="00576357" w:rsidRDefault="009C192E" w:rsidP="00681541">
      <w:pPr>
        <w:pStyle w:val="Prrafodelista"/>
        <w:numPr>
          <w:ilvl w:val="0"/>
          <w:numId w:val="24"/>
        </w:numPr>
        <w:spacing w:after="240"/>
        <w:ind w:left="1134" w:hanging="553"/>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El registro será público, actualizado periódicamente e incluirá las áreas de especialización, referencias y evaluaciones de desempeño.</w:t>
      </w:r>
    </w:p>
    <w:p w14:paraId="4CAB3691" w14:textId="77777777" w:rsidR="009C192E" w:rsidRPr="00576357" w:rsidRDefault="009C192E" w:rsidP="009C192E">
      <w:pPr>
        <w:pStyle w:val="Ttulo2"/>
        <w:tabs>
          <w:tab w:val="left" w:pos="1134"/>
        </w:tabs>
        <w:ind w:left="567" w:hanging="578"/>
        <w:rPr>
          <w:rFonts w:asciiTheme="majorHAnsi" w:hAnsiTheme="majorHAnsi" w:cstheme="majorHAnsi"/>
          <w:sz w:val="23"/>
          <w:szCs w:val="23"/>
        </w:rPr>
      </w:pPr>
      <w:bookmarkStart w:id="86" w:name="_Toc227326080"/>
      <w:r w:rsidRPr="00576357">
        <w:rPr>
          <w:rFonts w:asciiTheme="majorHAnsi" w:hAnsiTheme="majorHAnsi" w:cstheme="majorHAnsi"/>
          <w:sz w:val="23"/>
          <w:szCs w:val="23"/>
        </w:rPr>
        <w:t>Aprobación, contratación y rotación</w:t>
      </w:r>
      <w:bookmarkEnd w:id="86"/>
    </w:p>
    <w:p w14:paraId="5F593B48" w14:textId="77777777" w:rsidR="009C192E" w:rsidRPr="00576357" w:rsidRDefault="009C192E" w:rsidP="00681541">
      <w:pPr>
        <w:pStyle w:val="Prrafodelista"/>
        <w:numPr>
          <w:ilvl w:val="0"/>
          <w:numId w:val="25"/>
        </w:numPr>
        <w:spacing w:after="240"/>
        <w:ind w:left="1134" w:hanging="553"/>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La contratación del experto independiente deberá ser aprobada por el Órgano de Dirección de la entidad supervisada, dejando constancia formal de dicha aprobación.</w:t>
      </w:r>
    </w:p>
    <w:p w14:paraId="7D44147E" w14:textId="77777777" w:rsidR="009C192E" w:rsidRPr="00576357" w:rsidRDefault="009C192E" w:rsidP="00681541">
      <w:pPr>
        <w:pStyle w:val="Prrafodelista"/>
        <w:numPr>
          <w:ilvl w:val="0"/>
          <w:numId w:val="25"/>
        </w:numPr>
        <w:spacing w:after="240"/>
        <w:ind w:left="1134" w:hanging="553"/>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 xml:space="preserve">La entidad supervisada deberá conservar la documentación que respalde la verificación del cumplimiento de los requisitos del experto independiente y de su equipo. </w:t>
      </w:r>
    </w:p>
    <w:p w14:paraId="37D30FB9" w14:textId="77777777" w:rsidR="009C192E" w:rsidRPr="00576357" w:rsidRDefault="009C192E" w:rsidP="00681541">
      <w:pPr>
        <w:pStyle w:val="Prrafodelista"/>
        <w:numPr>
          <w:ilvl w:val="0"/>
          <w:numId w:val="25"/>
        </w:numPr>
        <w:spacing w:after="240"/>
        <w:ind w:left="1134" w:hanging="553"/>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lastRenderedPageBreak/>
        <w:t>La entidad supervisada deberá comunicar a la Superintendencia el nombre de la persona física o jurídica designada como experto independiente, así como cualquier cambio posterior.</w:t>
      </w:r>
    </w:p>
    <w:p w14:paraId="370F000D" w14:textId="77777777" w:rsidR="009C192E" w:rsidRPr="00576357" w:rsidRDefault="009C192E" w:rsidP="00681541">
      <w:pPr>
        <w:pStyle w:val="Prrafodelista"/>
        <w:numPr>
          <w:ilvl w:val="0"/>
          <w:numId w:val="25"/>
        </w:numPr>
        <w:shd w:val="clear" w:color="auto" w:fill="FFFFFF" w:themeFill="background1"/>
        <w:spacing w:after="240"/>
        <w:ind w:left="1134" w:hanging="553"/>
        <w:contextualSpacing w:val="0"/>
        <w:jc w:val="both"/>
        <w:rPr>
          <w:rFonts w:asciiTheme="majorHAnsi" w:hAnsiTheme="majorHAnsi" w:cstheme="majorHAnsi"/>
          <w:sz w:val="23"/>
          <w:szCs w:val="23"/>
        </w:rPr>
      </w:pPr>
      <w:r w:rsidRPr="00576357">
        <w:rPr>
          <w:rFonts w:asciiTheme="majorHAnsi" w:hAnsiTheme="majorHAnsi" w:cstheme="majorHAnsi"/>
          <w:sz w:val="23"/>
          <w:szCs w:val="23"/>
        </w:rPr>
        <w:t>Deberá existir rotación del experto independiente o de la firma contratada al menos cada dos evaluaciones (equivalente a cuatro años, considerando la presentación de los informes bianuales).</w:t>
      </w:r>
    </w:p>
    <w:p w14:paraId="5581D660" w14:textId="77777777" w:rsidR="009C192E" w:rsidRPr="00576357" w:rsidRDefault="009C192E" w:rsidP="00681541">
      <w:pPr>
        <w:pStyle w:val="Prrafodelista"/>
        <w:numPr>
          <w:ilvl w:val="0"/>
          <w:numId w:val="25"/>
        </w:numPr>
        <w:shd w:val="clear" w:color="auto" w:fill="FFFFFF" w:themeFill="background1"/>
        <w:spacing w:after="240"/>
        <w:ind w:left="1134" w:hanging="553"/>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 xml:space="preserve">El evaluador externo deberá presentar una declaración jurada de independencia, en la que manifieste no tener conflictos de interés con la entidad supervisada ni con las otras empresas del conglomerado.  </w:t>
      </w:r>
    </w:p>
    <w:p w14:paraId="710A110A" w14:textId="77777777" w:rsidR="009C192E" w:rsidRPr="00576357" w:rsidRDefault="009C192E" w:rsidP="009C192E">
      <w:pPr>
        <w:pStyle w:val="Ttulo2"/>
        <w:tabs>
          <w:tab w:val="left" w:pos="1134"/>
        </w:tabs>
        <w:ind w:left="567" w:hanging="578"/>
        <w:rPr>
          <w:rFonts w:asciiTheme="majorHAnsi" w:hAnsiTheme="majorHAnsi" w:cstheme="majorHAnsi"/>
          <w:sz w:val="23"/>
          <w:szCs w:val="23"/>
        </w:rPr>
      </w:pPr>
      <w:bookmarkStart w:id="87" w:name="_Toc227326081"/>
      <w:r w:rsidRPr="00576357">
        <w:rPr>
          <w:rFonts w:asciiTheme="majorHAnsi" w:hAnsiTheme="majorHAnsi" w:cstheme="majorHAnsi"/>
          <w:sz w:val="23"/>
          <w:szCs w:val="23"/>
        </w:rPr>
        <w:t>Requisitos sobre entregables</w:t>
      </w:r>
      <w:bookmarkEnd w:id="87"/>
    </w:p>
    <w:p w14:paraId="2A3CA99D" w14:textId="77777777" w:rsidR="009C192E" w:rsidRPr="00576357" w:rsidRDefault="009C192E" w:rsidP="009C192E">
      <w:pPr>
        <w:pStyle w:val="Prrafodelista"/>
        <w:spacing w:after="240"/>
        <w:ind w:left="567" w:hanging="553"/>
        <w:contextualSpacing w:val="0"/>
        <w:jc w:val="both"/>
        <w:rPr>
          <w:rFonts w:asciiTheme="majorHAnsi" w:hAnsiTheme="majorHAnsi" w:cstheme="majorHAnsi"/>
          <w:sz w:val="23"/>
          <w:szCs w:val="23"/>
        </w:rPr>
      </w:pPr>
      <w:r w:rsidRPr="00576357">
        <w:rPr>
          <w:rFonts w:asciiTheme="majorHAnsi" w:hAnsiTheme="majorHAnsi" w:cstheme="majorHAnsi"/>
          <w:sz w:val="23"/>
          <w:szCs w:val="23"/>
        </w:rPr>
        <w:t>Según corresponda, el experto independiente deberá emitir:</w:t>
      </w:r>
    </w:p>
    <w:p w14:paraId="7443C4F9" w14:textId="77777777" w:rsidR="009C192E" w:rsidRPr="00576357" w:rsidRDefault="009C192E" w:rsidP="00681541">
      <w:pPr>
        <w:pStyle w:val="Prrafodelista"/>
        <w:numPr>
          <w:ilvl w:val="1"/>
          <w:numId w:val="26"/>
        </w:numPr>
        <w:spacing w:after="240"/>
        <w:ind w:left="1134" w:hanging="553"/>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 xml:space="preserve">Informe técnico de alto alcance para la solicitud de no objeción por primera vez al uso de modelos internos, en el que se verifique el cumplimiento de lo establecido en el apartado XI) </w:t>
      </w:r>
      <w:r w:rsidRPr="00576357">
        <w:rPr>
          <w:rFonts w:asciiTheme="majorHAnsi" w:hAnsiTheme="majorHAnsi" w:cstheme="majorHAnsi"/>
          <w:bCs/>
          <w:i/>
          <w:iCs/>
          <w:sz w:val="23"/>
          <w:szCs w:val="23"/>
        </w:rPr>
        <w:t>Criterios para la no objeción por primera vez al uso de modelos internos</w:t>
      </w:r>
      <w:r w:rsidRPr="00576357">
        <w:rPr>
          <w:rFonts w:asciiTheme="majorHAnsi" w:hAnsiTheme="majorHAnsi" w:cstheme="majorHAnsi"/>
          <w:bCs/>
          <w:sz w:val="23"/>
          <w:szCs w:val="23"/>
        </w:rPr>
        <w:t xml:space="preserve"> de estos Lineamientos y se emita una opinión técnica sobre los aspectos aplicables relacionados con NIIF 9. </w:t>
      </w:r>
    </w:p>
    <w:p w14:paraId="66E87599" w14:textId="77777777" w:rsidR="009C192E" w:rsidRPr="00576357" w:rsidRDefault="009C192E" w:rsidP="00681541">
      <w:pPr>
        <w:pStyle w:val="Prrafodelista"/>
        <w:numPr>
          <w:ilvl w:val="1"/>
          <w:numId w:val="26"/>
        </w:numPr>
        <w:spacing w:after="240"/>
        <w:ind w:left="1134" w:hanging="553"/>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 xml:space="preserve">Informe bianual de alto alcance para el mantenimiento del criterio de no objeción al uso de modelos internos, en el que se verificará el buen cumplimiento de todos los rubros a supervisarse según lo establecido en el apartado XII) </w:t>
      </w:r>
      <w:r w:rsidRPr="00576357">
        <w:rPr>
          <w:rFonts w:asciiTheme="majorHAnsi" w:hAnsiTheme="majorHAnsi" w:cstheme="majorHAnsi"/>
          <w:bCs/>
          <w:i/>
          <w:iCs/>
          <w:sz w:val="23"/>
          <w:szCs w:val="23"/>
        </w:rPr>
        <w:t>Criterios para mantener la no objeción al uso de modelos internos</w:t>
      </w:r>
      <w:r w:rsidRPr="00576357">
        <w:rPr>
          <w:rFonts w:asciiTheme="majorHAnsi" w:hAnsiTheme="majorHAnsi" w:cstheme="majorHAnsi"/>
          <w:bCs/>
          <w:sz w:val="23"/>
          <w:szCs w:val="23"/>
        </w:rPr>
        <w:t xml:space="preserve"> de estos Lineamientos</w:t>
      </w:r>
      <w:r w:rsidRPr="00576357">
        <w:rPr>
          <w:rFonts w:asciiTheme="majorHAnsi" w:hAnsiTheme="majorHAnsi" w:cstheme="majorHAnsi"/>
          <w:b/>
          <w:sz w:val="23"/>
          <w:szCs w:val="23"/>
        </w:rPr>
        <w:t>.</w:t>
      </w:r>
    </w:p>
    <w:p w14:paraId="7EF45335" w14:textId="77777777" w:rsidR="009C192E" w:rsidRPr="00576357" w:rsidRDefault="009C192E" w:rsidP="00681541">
      <w:pPr>
        <w:pStyle w:val="Prrafodelista"/>
        <w:numPr>
          <w:ilvl w:val="1"/>
          <w:numId w:val="26"/>
        </w:numPr>
        <w:spacing w:after="240"/>
        <w:ind w:left="1134" w:hanging="553"/>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Informes adicionales, tanto para la solicitud de no objeción por primera vez como para el mantenimiento en el uso de los modelos internos, relativos a la calidad de las bases de datos utilizadas y el entorno tecnológico asociado a dichas bases y los modelos.</w:t>
      </w:r>
    </w:p>
    <w:p w14:paraId="7E291648" w14:textId="77777777" w:rsidR="009C192E" w:rsidRPr="00576357" w:rsidRDefault="009C192E" w:rsidP="00681541">
      <w:pPr>
        <w:pStyle w:val="Prrafodelista"/>
        <w:numPr>
          <w:ilvl w:val="1"/>
          <w:numId w:val="26"/>
        </w:numPr>
        <w:spacing w:after="240"/>
        <w:ind w:left="1134" w:hanging="553"/>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 xml:space="preserve">Ante una modificación o recalibración significativa realizada después de la no objeción al uso de modelos internos, deberá presentarse un criterio técnico que incluya la valoración del experto independiente sobre el impacto de dicho ajuste </w:t>
      </w:r>
      <w:r w:rsidRPr="00576357">
        <w:rPr>
          <w:rFonts w:asciiTheme="majorHAnsi" w:hAnsiTheme="majorHAnsi" w:cstheme="majorHAnsi"/>
          <w:bCs/>
          <w:sz w:val="23"/>
          <w:szCs w:val="23"/>
        </w:rPr>
        <w:lastRenderedPageBreak/>
        <w:t>a nivel metodológico y en resultados. Este deberá ser presentado cuando la entidad solicite a la Superintendencia la aprobación de la modificación.</w:t>
      </w:r>
    </w:p>
    <w:p w14:paraId="0948B614" w14:textId="77777777" w:rsidR="009C192E" w:rsidRPr="00576357" w:rsidRDefault="009C192E" w:rsidP="009C192E">
      <w:pPr>
        <w:pStyle w:val="Prrafodelista"/>
        <w:spacing w:after="240"/>
        <w:ind w:left="0" w:firstLine="14"/>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Todos los informes deberán ser firmados por el responsable técnico del equipo evaluador y acompañados de una declaración de veracidad y responsabilidad profesional.</w:t>
      </w:r>
    </w:p>
    <w:p w14:paraId="457DE2B9" w14:textId="77777777" w:rsidR="009C192E" w:rsidRPr="00576357" w:rsidRDefault="009C192E" w:rsidP="009C192E">
      <w:pPr>
        <w:pStyle w:val="Ttulo2"/>
        <w:tabs>
          <w:tab w:val="left" w:pos="1134"/>
        </w:tabs>
        <w:ind w:left="567" w:hanging="578"/>
        <w:rPr>
          <w:rFonts w:asciiTheme="majorHAnsi" w:hAnsiTheme="majorHAnsi" w:cstheme="majorHAnsi"/>
          <w:sz w:val="23"/>
          <w:szCs w:val="23"/>
        </w:rPr>
      </w:pPr>
      <w:bookmarkStart w:id="88" w:name="_Toc227326082"/>
      <w:r w:rsidRPr="00576357">
        <w:rPr>
          <w:rFonts w:asciiTheme="majorHAnsi" w:hAnsiTheme="majorHAnsi" w:cstheme="majorHAnsi"/>
          <w:sz w:val="23"/>
          <w:szCs w:val="23"/>
        </w:rPr>
        <w:t>Desempeño del experto independiente</w:t>
      </w:r>
      <w:bookmarkEnd w:id="88"/>
    </w:p>
    <w:p w14:paraId="096FBBA9" w14:textId="77777777" w:rsidR="009C192E" w:rsidRPr="00576357" w:rsidRDefault="009C192E" w:rsidP="00681541">
      <w:pPr>
        <w:pStyle w:val="Prrafodelista"/>
        <w:numPr>
          <w:ilvl w:val="0"/>
          <w:numId w:val="27"/>
        </w:numPr>
        <w:spacing w:after="240"/>
        <w:ind w:left="1134" w:hanging="553"/>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La Superintendencia podrá realizar una evaluación técnica del desempeño del experto independiente, basado en los informes presentados. La evaluación considerará el rigor metodológico, la calidad de los datos utilizados, la solidez de las metodologías estadísticas aplicadas, el cumplimiento de los criterios establecidos en la NIIF 9, y la verificación de que todos los rubros de evaluación hayan sido abordados de manera exhaustiva.</w:t>
      </w:r>
    </w:p>
    <w:p w14:paraId="1E7EFDD1" w14:textId="77777777" w:rsidR="009C192E" w:rsidRPr="00576357" w:rsidRDefault="009C192E" w:rsidP="00681541">
      <w:pPr>
        <w:pStyle w:val="Prrafodelista"/>
        <w:numPr>
          <w:ilvl w:val="0"/>
          <w:numId w:val="27"/>
        </w:numPr>
        <w:spacing w:after="240"/>
        <w:ind w:left="1134" w:hanging="553"/>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En ningún caso los informes presentados se considerarán como cumplimiento de requisitos formales o de lista de verificación; se espera un análisis profundo, crítico y técnicamente fundamentado.</w:t>
      </w:r>
    </w:p>
    <w:p w14:paraId="08DBEFFB" w14:textId="77777777" w:rsidR="009C192E" w:rsidRPr="00576357" w:rsidRDefault="009C192E" w:rsidP="00681541">
      <w:pPr>
        <w:pStyle w:val="Prrafodelista"/>
        <w:numPr>
          <w:ilvl w:val="0"/>
          <w:numId w:val="27"/>
        </w:numPr>
        <w:spacing w:after="240"/>
        <w:ind w:left="1134" w:hanging="553"/>
        <w:contextualSpacing w:val="0"/>
        <w:jc w:val="both"/>
        <w:rPr>
          <w:rFonts w:asciiTheme="majorHAnsi" w:hAnsiTheme="majorHAnsi" w:cstheme="majorHAnsi"/>
          <w:sz w:val="23"/>
          <w:szCs w:val="23"/>
        </w:rPr>
      </w:pPr>
      <w:r w:rsidRPr="00576357">
        <w:rPr>
          <w:rFonts w:asciiTheme="majorHAnsi" w:hAnsiTheme="majorHAnsi" w:cstheme="majorHAnsi"/>
          <w:sz w:val="23"/>
          <w:szCs w:val="23"/>
        </w:rPr>
        <w:t>La Superintendencia podrá solicitar la sustitución del experto independiente, suspender su inscripción en el registro o adoptar otras medidas conforme a la normativa aplicable, cuando se identifiquen deficiencias técnicas, omisiones relevantes o falta de objetividad en los informes presentados, incluida la posibilidad de objetar el uso de los modelos internos.</w:t>
      </w:r>
    </w:p>
    <w:p w14:paraId="7892145F" w14:textId="77777777" w:rsidR="009C192E" w:rsidRPr="00576357" w:rsidRDefault="009C192E" w:rsidP="009C192E">
      <w:pPr>
        <w:pStyle w:val="Ttulo2"/>
        <w:tabs>
          <w:tab w:val="left" w:pos="1134"/>
        </w:tabs>
        <w:ind w:left="567" w:hanging="578"/>
        <w:rPr>
          <w:rFonts w:asciiTheme="majorHAnsi" w:hAnsiTheme="majorHAnsi" w:cstheme="majorHAnsi"/>
          <w:sz w:val="23"/>
          <w:szCs w:val="23"/>
        </w:rPr>
      </w:pPr>
      <w:bookmarkStart w:id="89" w:name="_Toc227326083"/>
      <w:r w:rsidRPr="00576357">
        <w:rPr>
          <w:rFonts w:asciiTheme="majorHAnsi" w:hAnsiTheme="majorHAnsi" w:cstheme="majorHAnsi"/>
          <w:sz w:val="23"/>
          <w:szCs w:val="23"/>
        </w:rPr>
        <w:t>Prohibiciones y otras disposiciones</w:t>
      </w:r>
      <w:bookmarkEnd w:id="89"/>
    </w:p>
    <w:p w14:paraId="17247674" w14:textId="77777777" w:rsidR="009C192E" w:rsidRPr="00576357" w:rsidRDefault="009C192E" w:rsidP="009C192E">
      <w:pPr>
        <w:pStyle w:val="Prrafodelista"/>
        <w:spacing w:after="240"/>
        <w:ind w:left="0"/>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 xml:space="preserve">Para garantizar el principio de independencia e imparcialidad, no podrán ser seleccionados quienes: </w:t>
      </w:r>
    </w:p>
    <w:p w14:paraId="6CE0F004" w14:textId="77777777" w:rsidR="009C192E" w:rsidRPr="00576357" w:rsidRDefault="009C192E" w:rsidP="00681541">
      <w:pPr>
        <w:pStyle w:val="Prrafodelista"/>
        <w:numPr>
          <w:ilvl w:val="1"/>
          <w:numId w:val="28"/>
        </w:numPr>
        <w:spacing w:after="240"/>
        <w:ind w:left="1134" w:hanging="555"/>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 xml:space="preserve">Hayan desempeñado cargos de dirección en la entidad supervisada o hayan mantenido relaciones comerciales, financieras o profesionales con esta durante los últimos cinco años previos al momento de la revisión. </w:t>
      </w:r>
    </w:p>
    <w:p w14:paraId="0C64CC48" w14:textId="77777777" w:rsidR="009C192E" w:rsidRPr="00576357" w:rsidRDefault="009C192E" w:rsidP="00681541">
      <w:pPr>
        <w:pStyle w:val="Prrafodelista"/>
        <w:numPr>
          <w:ilvl w:val="1"/>
          <w:numId w:val="28"/>
        </w:numPr>
        <w:spacing w:after="240"/>
        <w:ind w:left="1134" w:hanging="555"/>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lastRenderedPageBreak/>
        <w:t>Se prohíbe expresamente que el candidato haya participado en cualquier etapa del diseño, construcción, ajuste o validación de los modelos que serán objeto de evaluación.</w:t>
      </w:r>
    </w:p>
    <w:p w14:paraId="11FD9F54" w14:textId="77777777" w:rsidR="009C192E" w:rsidRPr="00576357" w:rsidRDefault="009C192E" w:rsidP="00681541">
      <w:pPr>
        <w:pStyle w:val="Prrafodelista"/>
        <w:numPr>
          <w:ilvl w:val="1"/>
          <w:numId w:val="28"/>
        </w:numPr>
        <w:spacing w:after="240"/>
        <w:ind w:left="1134" w:hanging="555"/>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Mantengan operaciones de crédito activas con la entidad supervisada, sus accionistas o empresas vinculadas, en condiciones distintas a las establecidas para clientes regulares, o se encuentren clasificados en una categoría de riesgo que comprometa la recuperación del crédito. Asimismo, se prohíbe la tenencia de valores de oferta pública emitidos por dichas entidades.</w:t>
      </w:r>
      <w:r w:rsidRPr="00576357">
        <w:rPr>
          <w:rFonts w:asciiTheme="majorHAnsi" w:hAnsiTheme="majorHAnsi" w:cstheme="majorHAnsi"/>
          <w:bCs/>
          <w:sz w:val="23"/>
          <w:szCs w:val="23"/>
        </w:rPr>
        <w:tab/>
      </w:r>
    </w:p>
    <w:p w14:paraId="49D623B2" w14:textId="77777777" w:rsidR="009C192E" w:rsidRPr="00576357" w:rsidRDefault="009C192E" w:rsidP="00681541">
      <w:pPr>
        <w:pStyle w:val="Prrafodelista"/>
        <w:numPr>
          <w:ilvl w:val="1"/>
          <w:numId w:val="28"/>
        </w:numPr>
        <w:spacing w:after="240"/>
        <w:ind w:left="1134" w:hanging="555"/>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Integren organismos de administración de la entidad.</w:t>
      </w:r>
    </w:p>
    <w:p w14:paraId="372436C3" w14:textId="77777777" w:rsidR="009C192E" w:rsidRPr="00576357" w:rsidRDefault="009C192E" w:rsidP="00681541">
      <w:pPr>
        <w:pStyle w:val="Prrafodelista"/>
        <w:numPr>
          <w:ilvl w:val="1"/>
          <w:numId w:val="28"/>
        </w:numPr>
        <w:spacing w:after="240"/>
        <w:ind w:left="1134" w:hanging="555"/>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Mantengan oficinas comerciales dentro de las instalaciones de la entidad.</w:t>
      </w:r>
    </w:p>
    <w:p w14:paraId="03559B2E" w14:textId="77777777" w:rsidR="009C192E" w:rsidRPr="00576357" w:rsidRDefault="009C192E" w:rsidP="00681541">
      <w:pPr>
        <w:pStyle w:val="Prrafodelista"/>
        <w:numPr>
          <w:ilvl w:val="1"/>
          <w:numId w:val="28"/>
        </w:numPr>
        <w:spacing w:after="240"/>
        <w:ind w:left="1134" w:hanging="555"/>
        <w:contextualSpacing w:val="0"/>
        <w:jc w:val="both"/>
        <w:rPr>
          <w:rFonts w:asciiTheme="majorHAnsi" w:hAnsiTheme="majorHAnsi" w:cstheme="majorHAnsi"/>
          <w:bCs/>
          <w:sz w:val="23"/>
          <w:szCs w:val="23"/>
        </w:rPr>
      </w:pPr>
      <w:bookmarkStart w:id="90" w:name="_Hlk223018719"/>
      <w:r w:rsidRPr="00576357">
        <w:rPr>
          <w:rFonts w:asciiTheme="majorHAnsi" w:hAnsiTheme="majorHAnsi" w:cstheme="majorHAnsi"/>
          <w:bCs/>
          <w:sz w:val="23"/>
          <w:szCs w:val="23"/>
        </w:rPr>
        <w:t>Adicionalmente, las firmas de auditorías o auditores expertos independientes deberán cumplir con las obligaciones y deberes establecidos en la Ley de Creación del Colegio de Contadores Públicos de Costa Rica, así como con las normas emitidas por dicho Colegio y con los principios éticos rectores de su profesión</w:t>
      </w:r>
      <w:bookmarkEnd w:id="90"/>
      <w:r w:rsidRPr="00576357">
        <w:rPr>
          <w:rFonts w:asciiTheme="majorHAnsi" w:hAnsiTheme="majorHAnsi" w:cstheme="majorHAnsi"/>
          <w:bCs/>
          <w:sz w:val="23"/>
          <w:szCs w:val="23"/>
        </w:rPr>
        <w:t>.</w:t>
      </w:r>
    </w:p>
    <w:p w14:paraId="062EDA01" w14:textId="77777777" w:rsidR="009C192E" w:rsidRPr="00576357" w:rsidRDefault="009C192E" w:rsidP="00681541">
      <w:pPr>
        <w:pStyle w:val="Prrafodelista"/>
        <w:numPr>
          <w:ilvl w:val="1"/>
          <w:numId w:val="28"/>
        </w:numPr>
        <w:spacing w:after="240"/>
        <w:ind w:left="1134" w:hanging="555"/>
        <w:contextualSpacing w:val="0"/>
        <w:jc w:val="both"/>
        <w:rPr>
          <w:rFonts w:asciiTheme="majorHAnsi" w:hAnsiTheme="majorHAnsi" w:cstheme="majorHAnsi"/>
          <w:bCs/>
          <w:sz w:val="23"/>
          <w:szCs w:val="23"/>
        </w:rPr>
      </w:pPr>
      <w:r w:rsidRPr="00576357">
        <w:rPr>
          <w:rFonts w:asciiTheme="majorHAnsi" w:hAnsiTheme="majorHAnsi" w:cstheme="majorHAnsi"/>
          <w:bCs/>
          <w:sz w:val="23"/>
          <w:szCs w:val="23"/>
        </w:rPr>
        <w:t>La remuneración del experto independiente no podrá estar condicionada, directa o indirectamente, a los resultados, conclusiones o recomendaciones derivadas de su trabajo de evaluación.</w:t>
      </w:r>
    </w:p>
    <w:p w14:paraId="4E6E04DF" w14:textId="125965A8"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 xml:space="preserve">Rige a partir del </w:t>
      </w:r>
      <w:r w:rsidR="00D405D6">
        <w:rPr>
          <w:rFonts w:asciiTheme="majorHAnsi" w:hAnsiTheme="majorHAnsi" w:cstheme="majorHAnsi"/>
          <w:sz w:val="23"/>
          <w:szCs w:val="23"/>
        </w:rPr>
        <w:t>22</w:t>
      </w:r>
      <w:r w:rsidRPr="00576357">
        <w:rPr>
          <w:rFonts w:asciiTheme="majorHAnsi" w:hAnsiTheme="majorHAnsi" w:cstheme="majorHAnsi"/>
          <w:sz w:val="23"/>
          <w:szCs w:val="23"/>
        </w:rPr>
        <w:t xml:space="preserve"> de </w:t>
      </w:r>
      <w:r w:rsidR="00D405D6">
        <w:rPr>
          <w:rFonts w:asciiTheme="majorHAnsi" w:hAnsiTheme="majorHAnsi" w:cstheme="majorHAnsi"/>
          <w:sz w:val="23"/>
          <w:szCs w:val="23"/>
        </w:rPr>
        <w:t>junio</w:t>
      </w:r>
      <w:r w:rsidRPr="00576357">
        <w:rPr>
          <w:rFonts w:asciiTheme="majorHAnsi" w:hAnsiTheme="majorHAnsi" w:cstheme="majorHAnsi"/>
          <w:sz w:val="23"/>
          <w:szCs w:val="23"/>
        </w:rPr>
        <w:t xml:space="preserve"> de 202</w:t>
      </w:r>
      <w:r w:rsidR="00D405D6">
        <w:rPr>
          <w:rFonts w:asciiTheme="majorHAnsi" w:hAnsiTheme="majorHAnsi" w:cstheme="majorHAnsi"/>
          <w:sz w:val="23"/>
          <w:szCs w:val="23"/>
        </w:rPr>
        <w:t>6</w:t>
      </w:r>
      <w:r w:rsidRPr="00576357">
        <w:rPr>
          <w:rFonts w:asciiTheme="majorHAnsi" w:hAnsiTheme="majorHAnsi" w:cstheme="majorHAnsi"/>
          <w:sz w:val="23"/>
          <w:szCs w:val="23"/>
        </w:rPr>
        <w:t>.</w:t>
      </w:r>
    </w:p>
    <w:p w14:paraId="6DBDB4CD" w14:textId="77777777" w:rsidR="009C192E" w:rsidRPr="00576357" w:rsidRDefault="009C192E" w:rsidP="009C192E">
      <w:pPr>
        <w:rPr>
          <w:rFonts w:asciiTheme="majorHAnsi" w:hAnsiTheme="majorHAnsi" w:cstheme="majorHAnsi"/>
          <w:sz w:val="23"/>
          <w:szCs w:val="23"/>
        </w:rPr>
      </w:pPr>
      <w:r w:rsidRPr="00576357">
        <w:rPr>
          <w:rFonts w:asciiTheme="majorHAnsi" w:hAnsiTheme="majorHAnsi" w:cstheme="majorHAnsi"/>
          <w:sz w:val="23"/>
          <w:szCs w:val="23"/>
        </w:rPr>
        <w:t>Publíquese en el Diario Oficial La Gaceta.</w:t>
      </w:r>
    </w:p>
    <w:p w14:paraId="2A29CD03" w14:textId="77777777" w:rsidR="00D405D6" w:rsidRDefault="00D405D6" w:rsidP="000124EB">
      <w:pPr>
        <w:pStyle w:val="Negrita"/>
        <w:rPr>
          <w:rFonts w:asciiTheme="majorHAnsi" w:hAnsiTheme="majorHAnsi" w:cstheme="majorHAnsi"/>
          <w:sz w:val="23"/>
          <w:szCs w:val="23"/>
        </w:rPr>
      </w:pPr>
    </w:p>
    <w:p w14:paraId="1F7690A5" w14:textId="3E825CAA" w:rsidR="000124EB" w:rsidRPr="00576357" w:rsidRDefault="00EC529F" w:rsidP="00D405D6">
      <w:pPr>
        <w:pStyle w:val="Negrita"/>
        <w:jc w:val="center"/>
        <w:rPr>
          <w:rFonts w:asciiTheme="majorHAnsi" w:hAnsiTheme="majorHAnsi" w:cstheme="majorHAnsi"/>
          <w:sz w:val="23"/>
          <w:szCs w:val="23"/>
        </w:rPr>
      </w:pPr>
      <w:r w:rsidRPr="00576357">
        <w:rPr>
          <w:rFonts w:asciiTheme="majorHAnsi" w:hAnsiTheme="majorHAnsi" w:cstheme="majorHAnsi"/>
          <w:noProof/>
          <w:sz w:val="23"/>
          <w:szCs w:val="23"/>
        </w:rPr>
        <w:drawing>
          <wp:inline distT="0" distB="0" distL="0" distR="0" wp14:anchorId="09EBF9D3" wp14:editId="71729A3A">
            <wp:extent cx="1699200" cy="454904"/>
            <wp:effectExtent l="0" t="0" r="0" b="2540"/>
            <wp:docPr id="1693236987"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236987" name="Imagen 1" descr="Interfaz de usuario gráfica, Texto, Aplicación&#10;&#10;El contenido generado por IA puede ser incorrec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37377" cy="465124"/>
                    </a:xfrm>
                    <a:prstGeom prst="rect">
                      <a:avLst/>
                    </a:prstGeom>
                    <a:noFill/>
                    <a:ln>
                      <a:noFill/>
                    </a:ln>
                  </pic:spPr>
                </pic:pic>
              </a:graphicData>
            </a:graphic>
          </wp:inline>
        </w:drawing>
      </w:r>
    </w:p>
    <w:p w14:paraId="2297BA6C" w14:textId="3BEA0052" w:rsidR="0088599E" w:rsidRDefault="00D405D6" w:rsidP="00D405D6">
      <w:pPr>
        <w:pStyle w:val="Negrita"/>
        <w:spacing w:line="240" w:lineRule="auto"/>
        <w:jc w:val="center"/>
        <w:rPr>
          <w:rFonts w:asciiTheme="majorHAnsi" w:hAnsiTheme="majorHAnsi" w:cstheme="majorHAnsi"/>
          <w:sz w:val="23"/>
          <w:szCs w:val="23"/>
        </w:rPr>
      </w:pPr>
      <w:r>
        <w:rPr>
          <w:rFonts w:asciiTheme="majorHAnsi" w:hAnsiTheme="majorHAnsi" w:cstheme="majorHAnsi"/>
          <w:sz w:val="23"/>
          <w:szCs w:val="23"/>
        </w:rPr>
        <w:t>Hazel Valverde Richmond</w:t>
      </w:r>
    </w:p>
    <w:p w14:paraId="7A8ED087" w14:textId="4CC391F4" w:rsidR="00D405D6" w:rsidRDefault="00D405D6" w:rsidP="00D405D6">
      <w:pPr>
        <w:pStyle w:val="Negrita"/>
        <w:spacing w:line="240" w:lineRule="auto"/>
        <w:jc w:val="center"/>
        <w:rPr>
          <w:rFonts w:asciiTheme="majorHAnsi" w:hAnsiTheme="majorHAnsi" w:cstheme="majorHAnsi"/>
          <w:sz w:val="23"/>
          <w:szCs w:val="23"/>
        </w:rPr>
      </w:pPr>
      <w:r>
        <w:rPr>
          <w:rFonts w:asciiTheme="majorHAnsi" w:hAnsiTheme="majorHAnsi" w:cstheme="majorHAnsi"/>
          <w:sz w:val="23"/>
          <w:szCs w:val="23"/>
        </w:rPr>
        <w:t>Superintendente</w:t>
      </w:r>
    </w:p>
    <w:p w14:paraId="284EBC85" w14:textId="5B175629" w:rsidR="00D405D6" w:rsidRPr="00576357" w:rsidRDefault="00D405D6" w:rsidP="00D405D6">
      <w:pPr>
        <w:pStyle w:val="Negrita"/>
        <w:spacing w:line="240" w:lineRule="auto"/>
        <w:jc w:val="center"/>
        <w:rPr>
          <w:rFonts w:asciiTheme="majorHAnsi" w:hAnsiTheme="majorHAnsi" w:cstheme="majorHAnsi"/>
          <w:sz w:val="23"/>
          <w:szCs w:val="23"/>
        </w:rPr>
      </w:pPr>
      <w:r>
        <w:rPr>
          <w:rFonts w:asciiTheme="majorHAnsi" w:hAnsiTheme="majorHAnsi" w:cstheme="majorHAnsi"/>
          <w:sz w:val="23"/>
          <w:szCs w:val="23"/>
        </w:rPr>
        <w:t>Superintendencia General de Entidades Financieras</w:t>
      </w:r>
    </w:p>
    <w:sectPr w:rsidR="00D405D6" w:rsidRPr="00576357" w:rsidSect="009C192E">
      <w:headerReference w:type="default" r:id="rId14"/>
      <w:footerReference w:type="even" r:id="rId15"/>
      <w:footerReference w:type="default" r:id="rId16"/>
      <w:headerReference w:type="first" r:id="rId17"/>
      <w:footerReference w:type="first" r:id="rId18"/>
      <w:pgSz w:w="12240" w:h="15840"/>
      <w:pgMar w:top="1134" w:right="1610" w:bottom="1418" w:left="1418" w:header="1247" w:footer="289"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F83CD" w14:textId="77777777" w:rsidR="00C14238" w:rsidRDefault="00C14238" w:rsidP="009349F3">
      <w:pPr>
        <w:spacing w:line="240" w:lineRule="auto"/>
      </w:pPr>
      <w:r>
        <w:separator/>
      </w:r>
    </w:p>
  </w:endnote>
  <w:endnote w:type="continuationSeparator" w:id="0">
    <w:p w14:paraId="1D2B4A18" w14:textId="77777777" w:rsidR="00C14238" w:rsidRDefault="00C14238" w:rsidP="009349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636990731"/>
      <w:docPartObj>
        <w:docPartGallery w:val="Page Numbers (Bottom of Page)"/>
        <w:docPartUnique/>
      </w:docPartObj>
    </w:sdtPr>
    <w:sdtContent>
      <w:p w14:paraId="284F942F" w14:textId="77777777" w:rsidR="003D3706" w:rsidRDefault="003D3706" w:rsidP="00F26B75">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0FF49F40" w14:textId="77777777" w:rsidR="00F17C5B" w:rsidRDefault="00987AAD" w:rsidP="003D3706">
    <w:pPr>
      <w:pStyle w:val="Piedepgina"/>
      <w:ind w:right="360"/>
    </w:pPr>
    <w:r>
      <w:rPr>
        <w:noProof/>
      </w:rPr>
      <mc:AlternateContent>
        <mc:Choice Requires="wps">
          <w:drawing>
            <wp:anchor distT="0" distB="0" distL="0" distR="0" simplePos="0" relativeHeight="251658241" behindDoc="0" locked="0" layoutInCell="1" allowOverlap="1" wp14:anchorId="51057EE1" wp14:editId="7D65CC8B">
              <wp:simplePos x="635" y="635"/>
              <wp:positionH relativeFrom="page">
                <wp:align>center</wp:align>
              </wp:positionH>
              <wp:positionV relativeFrom="page">
                <wp:align>bottom</wp:align>
              </wp:positionV>
              <wp:extent cx="378460" cy="345440"/>
              <wp:effectExtent l="0" t="0" r="2540" b="0"/>
              <wp:wrapNone/>
              <wp:docPr id="743811236" name="Cuadro de texto 5" descr="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78460" cy="345440"/>
                      </a:xfrm>
                      <a:prstGeom prst="rect">
                        <a:avLst/>
                      </a:prstGeom>
                      <a:noFill/>
                      <a:ln>
                        <a:noFill/>
                      </a:ln>
                    </wps:spPr>
                    <wps:txbx>
                      <w:txbxContent>
                        <w:p w14:paraId="046514D7" w14:textId="77777777" w:rsidR="00987AAD" w:rsidRPr="00987AAD" w:rsidRDefault="00987AAD" w:rsidP="00987AAD">
                          <w:pPr>
                            <w:rPr>
                              <w:rFonts w:ascii="Calibri" w:eastAsia="Calibri" w:hAnsi="Calibri" w:cs="Calibri"/>
                              <w:noProof/>
                              <w:color w:val="000000"/>
                              <w:sz w:val="20"/>
                              <w:szCs w:val="20"/>
                            </w:rPr>
                          </w:pPr>
                          <w:r w:rsidRPr="00987AAD">
                            <w:rPr>
                              <w:rFonts w:ascii="Calibri" w:eastAsia="Calibri" w:hAnsi="Calibri" w:cs="Calibri"/>
                              <w:noProof/>
                              <w:color w:val="000000"/>
                              <w:sz w:val="20"/>
                              <w:szCs w:val="20"/>
                            </w:rPr>
                            <w:t>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51057EE1">
              <v:stroke joinstyle="miter"/>
              <v:path gradientshapeok="t" o:connecttype="rect"/>
            </v:shapetype>
            <v:shape id="Cuadro de texto 5" style="position:absolute;left:0;text-align:left;margin-left:0;margin-top:0;width:29.8pt;height:27.2pt;z-index:251658241;visibility:visible;mso-wrap-style:none;mso-wrap-distance-left:0;mso-wrap-distance-top:0;mso-wrap-distance-right:0;mso-wrap-distance-bottom:0;mso-position-horizontal:center;mso-position-horizontal-relative:page;mso-position-vertical:bottom;mso-position-vertical-relative:page;v-text-anchor:bottom" alt="Públic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">
              <v:textbox style="mso-fit-shape-to-text:t" inset="0,0,0,15pt">
                <w:txbxContent>
                  <w:p w:rsidRPr="00987AAD" w:rsidR="00987AAD" w:rsidP="00987AAD" w:rsidRDefault="00987AAD" w14:paraId="046514D7" w14:textId="77777777">
                    <w:pPr>
                      <w:rPr>
                        <w:rFonts w:ascii="Calibri" w:hAnsi="Calibri" w:eastAsia="Calibri" w:cs="Calibri"/>
                        <w:noProof/>
                        <w:color w:val="000000"/>
                        <w:sz w:val="20"/>
                        <w:szCs w:val="20"/>
                      </w:rPr>
                    </w:pPr>
                    <w:r w:rsidRPr="00987AAD">
                      <w:rPr>
                        <w:rFonts w:ascii="Calibri" w:hAnsi="Calibri" w:eastAsia="Calibri" w:cs="Calibri"/>
                        <w:noProof/>
                        <w:color w:val="000000"/>
                        <w:sz w:val="20"/>
                        <w:szCs w:val="20"/>
                      </w:rPr>
                      <w:t>Público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jc w:val="center"/>
      <w:tblLook w:val="04A0" w:firstRow="1" w:lastRow="0" w:firstColumn="1" w:lastColumn="0" w:noHBand="0" w:noVBand="1"/>
    </w:tblPr>
    <w:tblGrid>
      <w:gridCol w:w="204"/>
      <w:gridCol w:w="1923"/>
      <w:gridCol w:w="2268"/>
      <w:gridCol w:w="2268"/>
      <w:gridCol w:w="3969"/>
    </w:tblGrid>
    <w:tr w:rsidR="00121E48" w:rsidRPr="003A12C6" w14:paraId="3812D32C" w14:textId="77777777" w:rsidTr="008D55B6">
      <w:trPr>
        <w:trHeight w:val="412"/>
        <w:jc w:val="center"/>
      </w:trPr>
      <w:tc>
        <w:tcPr>
          <w:tcW w:w="2127" w:type="dxa"/>
          <w:gridSpan w:val="2"/>
          <w:vAlign w:val="center"/>
        </w:tcPr>
        <w:p w14:paraId="04BC92B5" w14:textId="77777777" w:rsidR="00121E48" w:rsidRPr="00764B98" w:rsidRDefault="00121E48" w:rsidP="00121E48">
          <w:pPr>
            <w:spacing w:before="0" w:after="0"/>
            <w:jc w:val="center"/>
            <w:rPr>
              <w:rFonts w:ascii="Arial" w:hAnsi="Arial" w:cs="Arial"/>
              <w:noProof/>
              <w:color w:val="262626" w:themeColor="text1" w:themeTint="D9"/>
              <w:sz w:val="16"/>
              <w:szCs w:val="16"/>
            </w:rPr>
          </w:pPr>
          <w:r w:rsidRPr="00764B98">
            <w:rPr>
              <w:rFonts w:ascii="Arial" w:hAnsi="Arial" w:cs="Arial"/>
              <w:color w:val="0D0D0D" w:themeColor="text1" w:themeTint="F2"/>
              <w:sz w:val="16"/>
              <w:szCs w:val="16"/>
            </w:rPr>
            <w:t xml:space="preserve">Página </w:t>
          </w:r>
          <w:r w:rsidRPr="00764B98">
            <w:rPr>
              <w:rFonts w:ascii="Arial" w:hAnsi="Arial" w:cs="Arial"/>
              <w:b/>
              <w:bCs/>
              <w:color w:val="0D0D0D" w:themeColor="text1" w:themeTint="F2"/>
              <w:sz w:val="16"/>
              <w:szCs w:val="16"/>
            </w:rPr>
            <w:fldChar w:fldCharType="begin"/>
          </w:r>
          <w:r w:rsidRPr="00764B98">
            <w:rPr>
              <w:rFonts w:ascii="Arial" w:hAnsi="Arial" w:cs="Arial"/>
              <w:b/>
              <w:bCs/>
              <w:color w:val="0D0D0D" w:themeColor="text1" w:themeTint="F2"/>
              <w:sz w:val="16"/>
              <w:szCs w:val="16"/>
            </w:rPr>
            <w:instrText>PAGE  \* Arabic  \* MERGEFORMAT</w:instrText>
          </w:r>
          <w:r w:rsidRPr="00764B98">
            <w:rPr>
              <w:rFonts w:ascii="Arial" w:hAnsi="Arial" w:cs="Arial"/>
              <w:b/>
              <w:bCs/>
              <w:color w:val="0D0D0D" w:themeColor="text1" w:themeTint="F2"/>
              <w:sz w:val="16"/>
              <w:szCs w:val="16"/>
            </w:rPr>
            <w:fldChar w:fldCharType="separate"/>
          </w:r>
          <w:r w:rsidRPr="00764B98">
            <w:rPr>
              <w:rFonts w:ascii="Arial" w:hAnsi="Arial" w:cs="Arial"/>
              <w:b/>
              <w:bCs/>
              <w:color w:val="0D0D0D" w:themeColor="text1" w:themeTint="F2"/>
              <w:sz w:val="16"/>
              <w:szCs w:val="16"/>
            </w:rPr>
            <w:t>2</w:t>
          </w:r>
          <w:r w:rsidRPr="00764B98">
            <w:rPr>
              <w:rFonts w:ascii="Arial" w:hAnsi="Arial" w:cs="Arial"/>
              <w:b/>
              <w:bCs/>
              <w:color w:val="0D0D0D" w:themeColor="text1" w:themeTint="F2"/>
              <w:sz w:val="16"/>
              <w:szCs w:val="16"/>
            </w:rPr>
            <w:fldChar w:fldCharType="end"/>
          </w:r>
          <w:r w:rsidRPr="00764B98">
            <w:rPr>
              <w:rFonts w:ascii="Arial" w:hAnsi="Arial" w:cs="Arial"/>
              <w:color w:val="0D0D0D" w:themeColor="text1" w:themeTint="F2"/>
              <w:sz w:val="16"/>
              <w:szCs w:val="16"/>
            </w:rPr>
            <w:t xml:space="preserve"> de </w:t>
          </w:r>
          <w:r w:rsidRPr="00764B98">
            <w:rPr>
              <w:rFonts w:ascii="Arial" w:hAnsi="Arial" w:cs="Arial"/>
              <w:b/>
              <w:bCs/>
              <w:color w:val="0D0D0D" w:themeColor="text1" w:themeTint="F2"/>
              <w:sz w:val="16"/>
              <w:szCs w:val="16"/>
            </w:rPr>
            <w:fldChar w:fldCharType="begin"/>
          </w:r>
          <w:r w:rsidRPr="00764B98">
            <w:rPr>
              <w:rFonts w:ascii="Arial" w:hAnsi="Arial" w:cs="Arial"/>
              <w:b/>
              <w:bCs/>
              <w:color w:val="0D0D0D" w:themeColor="text1" w:themeTint="F2"/>
              <w:sz w:val="16"/>
              <w:szCs w:val="16"/>
            </w:rPr>
            <w:instrText>NUMPAGES  \* Arabic  \* MERGEFORMAT</w:instrText>
          </w:r>
          <w:r w:rsidRPr="00764B98">
            <w:rPr>
              <w:rFonts w:ascii="Arial" w:hAnsi="Arial" w:cs="Arial"/>
              <w:b/>
              <w:bCs/>
              <w:color w:val="0D0D0D" w:themeColor="text1" w:themeTint="F2"/>
              <w:sz w:val="16"/>
              <w:szCs w:val="16"/>
            </w:rPr>
            <w:fldChar w:fldCharType="separate"/>
          </w:r>
          <w:r w:rsidRPr="00764B98">
            <w:rPr>
              <w:rFonts w:ascii="Arial" w:hAnsi="Arial" w:cs="Arial"/>
              <w:b/>
              <w:bCs/>
              <w:color w:val="0D0D0D" w:themeColor="text1" w:themeTint="F2"/>
              <w:sz w:val="16"/>
              <w:szCs w:val="16"/>
            </w:rPr>
            <w:t>2</w:t>
          </w:r>
          <w:r w:rsidRPr="00764B98">
            <w:rPr>
              <w:rFonts w:ascii="Arial" w:hAnsi="Arial" w:cs="Arial"/>
              <w:b/>
              <w:bCs/>
              <w:color w:val="0D0D0D" w:themeColor="text1" w:themeTint="F2"/>
              <w:sz w:val="16"/>
              <w:szCs w:val="16"/>
            </w:rPr>
            <w:fldChar w:fldCharType="end"/>
          </w:r>
        </w:p>
      </w:tc>
      <w:tc>
        <w:tcPr>
          <w:tcW w:w="2268" w:type="dxa"/>
          <w:vAlign w:val="center"/>
        </w:tcPr>
        <w:p w14:paraId="5154EE03" w14:textId="77777777" w:rsidR="00121E48" w:rsidRPr="00CF477D" w:rsidRDefault="00121E48" w:rsidP="00121E48">
          <w:pPr>
            <w:spacing w:before="0" w:after="0"/>
            <w:jc w:val="center"/>
            <w:rPr>
              <w:rFonts w:ascii="Arial" w:hAnsi="Arial" w:cs="Arial"/>
              <w:noProof/>
              <w:color w:val="262626" w:themeColor="text1" w:themeTint="D9"/>
              <w:szCs w:val="22"/>
            </w:rPr>
          </w:pPr>
        </w:p>
      </w:tc>
      <w:tc>
        <w:tcPr>
          <w:tcW w:w="2268" w:type="dxa"/>
          <w:vAlign w:val="center"/>
        </w:tcPr>
        <w:p w14:paraId="423BD523" w14:textId="77777777" w:rsidR="00121E48" w:rsidRPr="00CF477D" w:rsidRDefault="00121E48" w:rsidP="00121E48">
          <w:pPr>
            <w:spacing w:before="0" w:after="0"/>
            <w:jc w:val="center"/>
            <w:rPr>
              <w:rFonts w:ascii="Arial" w:hAnsi="Arial" w:cs="Arial"/>
              <w:noProof/>
              <w:color w:val="262626" w:themeColor="text1" w:themeTint="D9"/>
              <w:szCs w:val="22"/>
            </w:rPr>
          </w:pPr>
        </w:p>
      </w:tc>
      <w:tc>
        <w:tcPr>
          <w:tcW w:w="3969" w:type="dxa"/>
          <w:vAlign w:val="center"/>
        </w:tcPr>
        <w:p w14:paraId="0C6C76B6" w14:textId="77777777" w:rsidR="00121E48" w:rsidRPr="00CF477D" w:rsidRDefault="00000000" w:rsidP="00121E48">
          <w:pPr>
            <w:spacing w:before="0" w:after="0"/>
            <w:jc w:val="center"/>
            <w:rPr>
              <w:rFonts w:ascii="Arial" w:hAnsi="Arial" w:cs="Arial"/>
              <w:noProof/>
              <w:color w:val="262626" w:themeColor="text1" w:themeTint="D9"/>
              <w:szCs w:val="22"/>
            </w:rPr>
          </w:pPr>
          <w:sdt>
            <w:sdtPr>
              <w:rPr>
                <w:rFonts w:ascii="Arial" w:hAnsi="Arial" w:cs="Arial"/>
                <w:color w:val="0D0D0D" w:themeColor="text1" w:themeTint="F2"/>
                <w:sz w:val="16"/>
                <w:szCs w:val="16"/>
              </w:rPr>
              <w:alias w:val="Confidencialidad"/>
              <w:tag w:val="Confidencialidad"/>
              <w:id w:val="-565417452"/>
              <w:placeholder>
                <w:docPart w:val="033395312525402F903E8B82594D48F2"/>
              </w:placeholder>
              <w:temporary/>
              <w15:color w:val="808080"/>
              <w:dropDownList>
                <w:listItem w:value="Elija nivel de confidencialidad"/>
                <w:listItem w:displayText="PUBLICO" w:value="PUBLICO"/>
                <w:listItem w:displayText="USO INTERNO" w:value="USO INTERNO"/>
                <w:listItem w:displayText="PROPIETARIO" w:value="PROPIETARIO"/>
                <w:listItem w:displayText="CONFIDENCIAL" w:value="CONFIDENCIAL"/>
                <w:listItem w:displayText="MAXIMA SEGURIDAD" w:value="MAXIMA SEGURIDAD"/>
              </w:dropDownList>
            </w:sdtPr>
            <w:sdtContent>
              <w:r w:rsidR="00121E48" w:rsidRPr="00764B98">
                <w:rPr>
                  <w:rFonts w:ascii="Arial" w:hAnsi="Arial" w:cs="Arial"/>
                  <w:color w:val="0D0D0D" w:themeColor="text1" w:themeTint="F2"/>
                  <w:sz w:val="16"/>
                  <w:szCs w:val="16"/>
                </w:rPr>
                <w:t>Público</w:t>
              </w:r>
            </w:sdtContent>
          </w:sdt>
        </w:p>
      </w:tc>
    </w:tr>
    <w:tr w:rsidR="00121E48" w:rsidRPr="003A12C6" w14:paraId="2DF8A3AB" w14:textId="77777777" w:rsidTr="00FD2389">
      <w:trPr>
        <w:trHeight w:val="412"/>
        <w:jc w:val="center"/>
      </w:trPr>
      <w:tc>
        <w:tcPr>
          <w:tcW w:w="10632" w:type="dxa"/>
          <w:gridSpan w:val="5"/>
          <w:vAlign w:val="center"/>
        </w:tcPr>
        <w:p w14:paraId="453C1B85" w14:textId="77777777" w:rsidR="00121E48" w:rsidRPr="00E829C8" w:rsidRDefault="00121E48" w:rsidP="00121E48">
          <w:pPr>
            <w:spacing w:before="0" w:after="0"/>
            <w:jc w:val="center"/>
            <w:rPr>
              <w:rFonts w:ascii="Arial" w:hAnsi="Arial" w:cs="Arial"/>
              <w:color w:val="44546A" w:themeColor="text2"/>
              <w:sz w:val="16"/>
              <w:szCs w:val="16"/>
              <w:lang w:bidi="es-ES"/>
            </w:rPr>
          </w:pPr>
          <w:r>
            <w:rPr>
              <w:noProof/>
            </w:rPr>
            <mc:AlternateContent>
              <mc:Choice Requires="wps">
                <w:drawing>
                  <wp:anchor distT="0" distB="0" distL="114300" distR="114300" simplePos="0" relativeHeight="251679751" behindDoc="0" locked="0" layoutInCell="1" allowOverlap="1" wp14:anchorId="743C521D" wp14:editId="492723DC">
                    <wp:simplePos x="0" y="0"/>
                    <wp:positionH relativeFrom="column">
                      <wp:posOffset>10160</wp:posOffset>
                    </wp:positionH>
                    <wp:positionV relativeFrom="paragraph">
                      <wp:posOffset>109855</wp:posOffset>
                    </wp:positionV>
                    <wp:extent cx="6610350" cy="45085"/>
                    <wp:effectExtent l="0" t="0" r="0" b="0"/>
                    <wp:wrapNone/>
                    <wp:docPr id="552809930" name="Shape 109"/>
                    <wp:cNvGraphicFramePr/>
                    <a:graphic xmlns:a="http://schemas.openxmlformats.org/drawingml/2006/main">
                      <a:graphicData uri="http://schemas.microsoft.com/office/word/2010/wordprocessingShape">
                        <wps:wsp>
                          <wps:cNvSpPr/>
                          <wps:spPr>
                            <a:xfrm>
                              <a:off x="0" y="0"/>
                              <a:ext cx="6610350" cy="45085"/>
                            </a:xfrm>
                            <a:custGeom>
                              <a:avLst/>
                              <a:gdLst/>
                              <a:ahLst/>
                              <a:cxnLst/>
                              <a:rect l="0" t="0" r="0" b="0"/>
                              <a:pathLst>
                                <a:path w="6102972">
                                  <a:moveTo>
                                    <a:pt x="0" y="0"/>
                                  </a:moveTo>
                                  <a:lnTo>
                                    <a:pt x="6102972" y="0"/>
                                  </a:lnTo>
                                </a:path>
                              </a:pathLst>
                            </a:custGeom>
                            <a:ln w="6350" cap="flat">
                              <a:miter lim="127000"/>
                            </a:ln>
                          </wps:spPr>
                          <wps:style>
                            <a:lnRef idx="1">
                              <a:srgbClr val="0F395D"/>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svg="http://schemas.microsoft.com/office/drawing/2016/SVG/main" xmlns:pic="http://schemas.openxmlformats.org/drawingml/2006/picture" xmlns:a="http://schemas.openxmlformats.org/drawingml/2006/main">
                <w:pict>
                  <v:shape id="Shape 109" style="position:absolute;margin-left:.8pt;margin-top:8.65pt;width:520.5pt;height:3.55pt;z-index:2516797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102972,45085" o:spid="_x0000_s1026" filled="f" strokecolor="#0f395d" strokeweight=".5pt" path="m,l610297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" w14:anchorId="3CF388E9">
                    <v:stroke miterlimit="83231f" joinstyle="miter"/>
                    <v:path textboxrect="0,0,6102972,45085" arrowok="t"/>
                  </v:shape>
                </w:pict>
              </mc:Fallback>
            </mc:AlternateContent>
          </w:r>
        </w:p>
      </w:tc>
    </w:tr>
    <w:tr w:rsidR="00FD2389" w:rsidRPr="003A12C6" w14:paraId="1B69CA49" w14:textId="77777777" w:rsidTr="008D55B6">
      <w:trPr>
        <w:gridBefore w:val="1"/>
        <w:wBefore w:w="204" w:type="dxa"/>
        <w:trHeight w:val="567"/>
        <w:jc w:val="center"/>
      </w:trPr>
      <w:tc>
        <w:tcPr>
          <w:tcW w:w="1923" w:type="dxa"/>
          <w:vAlign w:val="center"/>
        </w:tcPr>
        <w:p w14:paraId="36ABB59B" w14:textId="77777777" w:rsidR="00FD2389" w:rsidRDefault="00FD2389" w:rsidP="00FD2389">
          <w:pPr>
            <w:spacing w:before="0" w:after="0"/>
            <w:jc w:val="left"/>
            <w:rPr>
              <w:rFonts w:ascii="Arial" w:hAnsi="Arial" w:cs="Arial"/>
              <w:noProof/>
              <w:color w:val="44546A" w:themeColor="text2"/>
              <w:sz w:val="16"/>
              <w:szCs w:val="16"/>
              <w:lang w:bidi="es-ES"/>
            </w:rPr>
          </w:pPr>
          <w:r>
            <w:rPr>
              <w:rFonts w:ascii="Arial" w:hAnsi="Arial" w:cs="Arial"/>
              <w:noProof/>
              <w:color w:val="44546A" w:themeColor="text2"/>
              <w:sz w:val="16"/>
              <w:szCs w:val="16"/>
              <w:lang w:bidi="es-ES"/>
            </w:rPr>
            <w:drawing>
              <wp:anchor distT="0" distB="0" distL="114300" distR="114300" simplePos="0" relativeHeight="251695111" behindDoc="1" locked="0" layoutInCell="1" allowOverlap="1" wp14:anchorId="67D7F4CE" wp14:editId="62D77B18">
                <wp:simplePos x="0" y="0"/>
                <wp:positionH relativeFrom="column">
                  <wp:posOffset>500380</wp:posOffset>
                </wp:positionH>
                <wp:positionV relativeFrom="paragraph">
                  <wp:posOffset>68580</wp:posOffset>
                </wp:positionV>
                <wp:extent cx="284400" cy="255600"/>
                <wp:effectExtent l="0" t="0" r="1905" b="0"/>
                <wp:wrapTight wrapText="bothSides">
                  <wp:wrapPolygon edited="0">
                    <wp:start x="5799" y="0"/>
                    <wp:lineTo x="0" y="3224"/>
                    <wp:lineTo x="0" y="12896"/>
                    <wp:lineTo x="1450" y="19343"/>
                    <wp:lineTo x="17396" y="19343"/>
                    <wp:lineTo x="20295" y="11284"/>
                    <wp:lineTo x="20295" y="3224"/>
                    <wp:lineTo x="14497" y="0"/>
                    <wp:lineTo x="5799" y="0"/>
                  </wp:wrapPolygon>
                </wp:wrapTight>
                <wp:docPr id="1999399958"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3557320" name="Gráfico 1113557320"/>
                        <pic:cNvPicPr/>
                      </pic:nvPicPr>
                      <pic:blipFill>
                        <a:blip r:embed="rId1">
                          <a:extLst>
                            <a:ext uri="{96DAC541-7B7A-43D3-8B79-37D633B846F1}">
                              <asvg:svgBlip xmlns:asvg="http://schemas.microsoft.com/office/drawing/2016/SVG/main" r:embed="rId2"/>
                            </a:ext>
                          </a:extLst>
                        </a:blip>
                        <a:stretch>
                          <a:fillRect/>
                        </a:stretch>
                      </pic:blipFill>
                      <pic:spPr>
                        <a:xfrm>
                          <a:off x="0" y="0"/>
                          <a:ext cx="284400" cy="255600"/>
                        </a:xfrm>
                        <a:prstGeom prst="rect">
                          <a:avLst/>
                        </a:prstGeom>
                      </pic:spPr>
                    </pic:pic>
                  </a:graphicData>
                </a:graphic>
                <wp14:sizeRelH relativeFrom="margin">
                  <wp14:pctWidth>0</wp14:pctWidth>
                </wp14:sizeRelH>
                <wp14:sizeRelV relativeFrom="margin">
                  <wp14:pctHeight>0</wp14:pctHeight>
                </wp14:sizeRelV>
              </wp:anchor>
            </w:drawing>
          </w:r>
        </w:p>
      </w:tc>
      <w:tc>
        <w:tcPr>
          <w:tcW w:w="2268" w:type="dxa"/>
          <w:vAlign w:val="center"/>
        </w:tcPr>
        <w:p w14:paraId="7462D705" w14:textId="77777777" w:rsidR="00FD2389" w:rsidRPr="00AD6490" w:rsidRDefault="00FD2389" w:rsidP="00FD2389">
          <w:pPr>
            <w:spacing w:before="0" w:after="0"/>
            <w:jc w:val="left"/>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696135" behindDoc="1" locked="0" layoutInCell="1" allowOverlap="1" wp14:anchorId="5A16F950" wp14:editId="3E676561">
                <wp:simplePos x="0" y="0"/>
                <wp:positionH relativeFrom="column">
                  <wp:posOffset>528955</wp:posOffset>
                </wp:positionH>
                <wp:positionV relativeFrom="paragraph">
                  <wp:posOffset>68580</wp:posOffset>
                </wp:positionV>
                <wp:extent cx="284400" cy="255600"/>
                <wp:effectExtent l="0" t="0" r="1905" b="0"/>
                <wp:wrapTight wrapText="bothSides">
                  <wp:wrapPolygon edited="0">
                    <wp:start x="2899" y="0"/>
                    <wp:lineTo x="0" y="4836"/>
                    <wp:lineTo x="0" y="17731"/>
                    <wp:lineTo x="5799" y="19343"/>
                    <wp:lineTo x="14497" y="19343"/>
                    <wp:lineTo x="20295" y="17731"/>
                    <wp:lineTo x="20295" y="4836"/>
                    <wp:lineTo x="17396" y="0"/>
                    <wp:lineTo x="2899" y="0"/>
                  </wp:wrapPolygon>
                </wp:wrapTight>
                <wp:docPr id="998987722" name="Gráfico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4372963" name="Gráfico 354372963"/>
                        <pic:cNvPicPr/>
                      </pic:nvPicPr>
                      <pic:blipFill>
                        <a:blip r:embed="rId3">
                          <a:extLst>
                            <a:ext uri="{96DAC541-7B7A-43D3-8B79-37D633B846F1}">
                              <asvg:svgBlip xmlns:asvg="http://schemas.microsoft.com/office/drawing/2016/SVG/main" r:embed="rId4"/>
                            </a:ext>
                          </a:extLst>
                        </a:blip>
                        <a:stretch>
                          <a:fillRect/>
                        </a:stretch>
                      </pic:blipFill>
                      <pic:spPr>
                        <a:xfrm>
                          <a:off x="0" y="0"/>
                          <a:ext cx="284400" cy="255600"/>
                        </a:xfrm>
                        <a:prstGeom prst="rect">
                          <a:avLst/>
                        </a:prstGeom>
                      </pic:spPr>
                    </pic:pic>
                  </a:graphicData>
                </a:graphic>
                <wp14:sizeRelH relativeFrom="margin">
                  <wp14:pctWidth>0</wp14:pctWidth>
                </wp14:sizeRelH>
                <wp14:sizeRelV relativeFrom="margin">
                  <wp14:pctHeight>0</wp14:pctHeight>
                </wp14:sizeRelV>
              </wp:anchor>
            </w:drawing>
          </w:r>
        </w:p>
      </w:tc>
      <w:tc>
        <w:tcPr>
          <w:tcW w:w="2268" w:type="dxa"/>
          <w:vAlign w:val="center"/>
        </w:tcPr>
        <w:p w14:paraId="0EDFC13F" w14:textId="77777777" w:rsidR="00FD2389" w:rsidRDefault="00FD2389" w:rsidP="00FD2389">
          <w:pPr>
            <w:spacing w:before="0" w:after="0"/>
            <w:jc w:val="left"/>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697159" behindDoc="1" locked="0" layoutInCell="1" allowOverlap="1" wp14:anchorId="31D65312" wp14:editId="063DB40E">
                <wp:simplePos x="0" y="0"/>
                <wp:positionH relativeFrom="column">
                  <wp:posOffset>489585</wp:posOffset>
                </wp:positionH>
                <wp:positionV relativeFrom="paragraph">
                  <wp:posOffset>68580</wp:posOffset>
                </wp:positionV>
                <wp:extent cx="284400" cy="255600"/>
                <wp:effectExtent l="0" t="0" r="1905" b="0"/>
                <wp:wrapTight wrapText="bothSides">
                  <wp:wrapPolygon edited="0">
                    <wp:start x="2899" y="0"/>
                    <wp:lineTo x="0" y="4836"/>
                    <wp:lineTo x="0" y="17731"/>
                    <wp:lineTo x="5799" y="19343"/>
                    <wp:lineTo x="14497" y="19343"/>
                    <wp:lineTo x="20295" y="17731"/>
                    <wp:lineTo x="20295" y="4836"/>
                    <wp:lineTo x="17396" y="0"/>
                    <wp:lineTo x="2899" y="0"/>
                  </wp:wrapPolygon>
                </wp:wrapTight>
                <wp:docPr id="1061810238"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4158457" name=""/>
                        <pic:cNvPicPr/>
                      </pic:nvPicPr>
                      <pic:blipFill>
                        <a:blip r:embed="rId5">
                          <a:extLst>
                            <a:ext uri="{96DAC541-7B7A-43D3-8B79-37D633B846F1}">
                              <asvg:svgBlip xmlns:asvg="http://schemas.microsoft.com/office/drawing/2016/SVG/main" r:embed="rId6"/>
                            </a:ext>
                          </a:extLst>
                        </a:blip>
                        <a:stretch>
                          <a:fillRect/>
                        </a:stretch>
                      </pic:blipFill>
                      <pic:spPr>
                        <a:xfrm>
                          <a:off x="0" y="0"/>
                          <a:ext cx="284400" cy="255600"/>
                        </a:xfrm>
                        <a:prstGeom prst="rect">
                          <a:avLst/>
                        </a:prstGeom>
                      </pic:spPr>
                    </pic:pic>
                  </a:graphicData>
                </a:graphic>
                <wp14:sizeRelH relativeFrom="margin">
                  <wp14:pctWidth>0</wp14:pctWidth>
                </wp14:sizeRelH>
                <wp14:sizeRelV relativeFrom="margin">
                  <wp14:pctHeight>0</wp14:pctHeight>
                </wp14:sizeRelV>
              </wp:anchor>
            </w:drawing>
          </w:r>
        </w:p>
      </w:tc>
      <w:tc>
        <w:tcPr>
          <w:tcW w:w="3969" w:type="dxa"/>
        </w:tcPr>
        <w:p w14:paraId="39054D0D" w14:textId="77777777" w:rsidR="00FD2389" w:rsidRPr="00AD6490" w:rsidRDefault="00FD2389" w:rsidP="00FD2389">
          <w:pPr>
            <w:spacing w:before="0" w:after="0"/>
            <w:jc w:val="left"/>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698183" behindDoc="1" locked="0" layoutInCell="1" allowOverlap="1" wp14:anchorId="648DBA0C" wp14:editId="2C275652">
                <wp:simplePos x="0" y="0"/>
                <wp:positionH relativeFrom="column">
                  <wp:posOffset>922020</wp:posOffset>
                </wp:positionH>
                <wp:positionV relativeFrom="paragraph">
                  <wp:posOffset>106680</wp:posOffset>
                </wp:positionV>
                <wp:extent cx="284400" cy="255600"/>
                <wp:effectExtent l="0" t="0" r="1905" b="0"/>
                <wp:wrapTight wrapText="bothSides">
                  <wp:wrapPolygon edited="0">
                    <wp:start x="7248" y="0"/>
                    <wp:lineTo x="0" y="1612"/>
                    <wp:lineTo x="0" y="17731"/>
                    <wp:lineTo x="5799" y="19343"/>
                    <wp:lineTo x="13047" y="19343"/>
                    <wp:lineTo x="20295" y="16119"/>
                    <wp:lineTo x="20295" y="3224"/>
                    <wp:lineTo x="13047" y="0"/>
                    <wp:lineTo x="7248" y="0"/>
                  </wp:wrapPolygon>
                </wp:wrapTight>
                <wp:docPr id="424449934"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3945771" name=""/>
                        <pic:cNvPicPr/>
                      </pic:nvPicPr>
                      <pic:blipFill>
                        <a:blip r:embed="rId7">
                          <a:extLst>
                            <a:ext uri="{96DAC541-7B7A-43D3-8B79-37D633B846F1}">
                              <asvg:svgBlip xmlns:asvg="http://schemas.microsoft.com/office/drawing/2016/SVG/main" r:embed="rId8"/>
                            </a:ext>
                          </a:extLst>
                        </a:blip>
                        <a:stretch>
                          <a:fillRect/>
                        </a:stretch>
                      </pic:blipFill>
                      <pic:spPr>
                        <a:xfrm>
                          <a:off x="0" y="0"/>
                          <a:ext cx="284400" cy="255600"/>
                        </a:xfrm>
                        <a:prstGeom prst="rect">
                          <a:avLst/>
                        </a:prstGeom>
                      </pic:spPr>
                    </pic:pic>
                  </a:graphicData>
                </a:graphic>
                <wp14:sizeRelH relativeFrom="margin">
                  <wp14:pctWidth>0</wp14:pctWidth>
                </wp14:sizeRelH>
                <wp14:sizeRelV relativeFrom="margin">
                  <wp14:pctHeight>0</wp14:pctHeight>
                </wp14:sizeRelV>
              </wp:anchor>
            </w:drawing>
          </w:r>
        </w:p>
      </w:tc>
    </w:tr>
    <w:tr w:rsidR="00FD2389" w:rsidRPr="003A12C6" w14:paraId="1468126D" w14:textId="77777777" w:rsidTr="008D55B6">
      <w:trPr>
        <w:gridBefore w:val="1"/>
        <w:wBefore w:w="204" w:type="dxa"/>
        <w:trHeight w:val="720"/>
        <w:jc w:val="center"/>
      </w:trPr>
      <w:tc>
        <w:tcPr>
          <w:tcW w:w="1923" w:type="dxa"/>
        </w:tcPr>
        <w:p w14:paraId="44820ED6" w14:textId="77777777" w:rsidR="00FD2389" w:rsidRPr="00AD6490" w:rsidRDefault="00000000" w:rsidP="00FD2389">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Email"/>
              <w:tag w:val="Email"/>
              <w:id w:val="442120039"/>
              <w:placeholder>
                <w:docPart w:val="A6660D59152849018CECE2841C4246F8"/>
              </w:placeholder>
              <w:temporary/>
              <w:text/>
            </w:sdtPr>
            <w:sdtContent>
              <w:r w:rsidR="00FD2389" w:rsidRPr="0045250D">
                <w:rPr>
                  <w:rFonts w:ascii="Arial" w:hAnsi="Arial" w:cs="Arial"/>
                  <w:noProof/>
                  <w:color w:val="44546A" w:themeColor="text2"/>
                  <w:sz w:val="16"/>
                  <w:szCs w:val="16"/>
                  <w:lang w:bidi="es-ES"/>
                </w:rPr>
                <w:t>sugefcr@sugef.fi.cr</w:t>
              </w:r>
            </w:sdtContent>
          </w:sdt>
        </w:p>
      </w:tc>
      <w:tc>
        <w:tcPr>
          <w:tcW w:w="2268" w:type="dxa"/>
        </w:tcPr>
        <w:p w14:paraId="4C800A0C" w14:textId="77777777" w:rsidR="00FD2389" w:rsidRPr="00AD6490" w:rsidRDefault="00000000" w:rsidP="00FD2389">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Telefono"/>
              <w:tag w:val="Telefono"/>
              <w:id w:val="1213232884"/>
              <w:placeholder>
                <w:docPart w:val="A6660D59152849018CECE2841C4246F8"/>
              </w:placeholder>
              <w:temporary/>
              <w:text/>
            </w:sdtPr>
            <w:sdtContent>
              <w:r w:rsidR="00FD2389" w:rsidRPr="00CC2B85">
                <w:rPr>
                  <w:rFonts w:ascii="Arial" w:hAnsi="Arial" w:cs="Arial"/>
                  <w:noProof/>
                  <w:color w:val="44546A" w:themeColor="text2"/>
                  <w:sz w:val="16"/>
                  <w:szCs w:val="16"/>
                  <w:lang w:bidi="es-ES"/>
                </w:rPr>
                <w:t>(506)-2243-4848</w:t>
              </w:r>
            </w:sdtContent>
          </w:sdt>
        </w:p>
      </w:tc>
      <w:tc>
        <w:tcPr>
          <w:tcW w:w="2268" w:type="dxa"/>
        </w:tcPr>
        <w:p w14:paraId="670E542F" w14:textId="77777777" w:rsidR="00FD2389" w:rsidRPr="00AD6490" w:rsidRDefault="00000000" w:rsidP="00FD2389">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PaginaWeb"/>
              <w:tag w:val="PaginaWeb"/>
              <w:id w:val="-1809304808"/>
              <w:placeholder>
                <w:docPart w:val="A6660D59152849018CECE2841C4246F8"/>
              </w:placeholder>
              <w:temporary/>
              <w:text/>
            </w:sdtPr>
            <w:sdtContent>
              <w:r w:rsidR="00FD2389" w:rsidRPr="007041AA">
                <w:rPr>
                  <w:rFonts w:ascii="Arial" w:hAnsi="Arial" w:cs="Arial"/>
                  <w:noProof/>
                  <w:color w:val="44546A" w:themeColor="text2"/>
                  <w:sz w:val="16"/>
                  <w:szCs w:val="16"/>
                  <w:lang w:bidi="es-ES"/>
                </w:rPr>
                <w:t>https://www.sugef.fi.cr</w:t>
              </w:r>
            </w:sdtContent>
          </w:sdt>
        </w:p>
      </w:tc>
      <w:tc>
        <w:tcPr>
          <w:tcW w:w="3969" w:type="dxa"/>
        </w:tcPr>
        <w:p w14:paraId="2BC08982" w14:textId="77777777" w:rsidR="00FD2389" w:rsidRPr="00AD6490" w:rsidRDefault="00000000" w:rsidP="00FD2389">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Direccion"/>
              <w:tag w:val="Direccion"/>
              <w:id w:val="2016960150"/>
              <w:placeholder>
                <w:docPart w:val="A6660D59152849018CECE2841C4246F8"/>
              </w:placeholder>
              <w:temporary/>
              <w:text w:multiLine="1"/>
            </w:sdtPr>
            <w:sdtContent>
              <w:r w:rsidR="00FD2389" w:rsidRPr="005C74D3">
                <w:rPr>
                  <w:rFonts w:ascii="Arial" w:hAnsi="Arial" w:cs="Arial"/>
                  <w:noProof/>
                  <w:color w:val="44546A" w:themeColor="text2"/>
                  <w:sz w:val="16"/>
                  <w:szCs w:val="16"/>
                  <w:lang w:bidi="es-ES"/>
                </w:rPr>
                <w:t>Av. 13 y 17, calle 3a, Barrio Tournón, San José</w:t>
              </w:r>
            </w:sdtContent>
          </w:sdt>
        </w:p>
      </w:tc>
    </w:tr>
    <w:tr w:rsidR="00FD2389" w:rsidRPr="003A12C6" w14:paraId="52F6542D" w14:textId="77777777" w:rsidTr="008D55B6">
      <w:trPr>
        <w:gridBefore w:val="1"/>
        <w:wBefore w:w="204" w:type="dxa"/>
        <w:trHeight w:val="444"/>
        <w:jc w:val="center"/>
      </w:trPr>
      <w:tc>
        <w:tcPr>
          <w:tcW w:w="1923" w:type="dxa"/>
          <w:vAlign w:val="center"/>
        </w:tcPr>
        <w:p w14:paraId="77979D09" w14:textId="77777777" w:rsidR="00FD2389" w:rsidRPr="002C5114" w:rsidRDefault="00FD2389" w:rsidP="00FD2389">
          <w:pPr>
            <w:spacing w:before="0" w:after="0"/>
            <w:jc w:val="left"/>
            <w:rPr>
              <w:noProof/>
            </w:rPr>
          </w:pPr>
        </w:p>
      </w:tc>
      <w:tc>
        <w:tcPr>
          <w:tcW w:w="2268" w:type="dxa"/>
          <w:vAlign w:val="center"/>
        </w:tcPr>
        <w:p w14:paraId="0E706061" w14:textId="77777777" w:rsidR="00FD2389" w:rsidRPr="0001267A" w:rsidRDefault="00FD2389" w:rsidP="00FD2389">
          <w:pPr>
            <w:spacing w:before="0" w:after="0"/>
            <w:jc w:val="left"/>
            <w:rPr>
              <w:noProof/>
            </w:rPr>
          </w:pPr>
        </w:p>
      </w:tc>
      <w:tc>
        <w:tcPr>
          <w:tcW w:w="2268" w:type="dxa"/>
          <w:vAlign w:val="center"/>
        </w:tcPr>
        <w:p w14:paraId="082E1154" w14:textId="77777777" w:rsidR="00FD2389" w:rsidRPr="00A820E1" w:rsidRDefault="00FD2389" w:rsidP="00FD2389">
          <w:pPr>
            <w:spacing w:before="0" w:after="0"/>
            <w:jc w:val="left"/>
            <w:rPr>
              <w:rFonts w:ascii="Arial" w:hAnsi="Arial" w:cs="Arial"/>
              <w:b/>
              <w:bCs/>
              <w:noProof/>
              <w:color w:val="44546A" w:themeColor="text2"/>
              <w:sz w:val="16"/>
              <w:szCs w:val="16"/>
              <w:lang w:bidi="es-ES"/>
            </w:rPr>
          </w:pPr>
        </w:p>
      </w:tc>
      <w:sdt>
        <w:sdtPr>
          <w:rPr>
            <w:rFonts w:ascii="Arial" w:hAnsi="Arial" w:cs="Arial"/>
            <w:b/>
            <w:bCs/>
            <w:color w:val="44546A" w:themeColor="text2"/>
            <w:sz w:val="16"/>
            <w:szCs w:val="16"/>
            <w:lang w:bidi="es-ES"/>
          </w:rPr>
          <w:alias w:val="Consecutivo"/>
          <w:tag w:val="Consecutivo"/>
          <w:id w:val="-1332674139"/>
          <w:placeholder>
            <w:docPart w:val="A6660D59152849018CECE2841C4246F8"/>
          </w:placeholder>
          <w:temporary/>
          <w:text/>
        </w:sdtPr>
        <w:sdtContent>
          <w:tc>
            <w:tcPr>
              <w:tcW w:w="3969" w:type="dxa"/>
            </w:tcPr>
            <w:p w14:paraId="6A5B7DCF" w14:textId="77777777" w:rsidR="00FD2389" w:rsidRPr="00597860" w:rsidRDefault="00FD2389" w:rsidP="00FD2389">
              <w:pPr>
                <w:spacing w:before="0" w:after="0"/>
                <w:jc w:val="right"/>
                <w:rPr>
                  <w:rFonts w:ascii="Arial" w:hAnsi="Arial" w:cs="Arial"/>
                  <w:b/>
                  <w:bCs/>
                  <w:color w:val="44546A" w:themeColor="text2"/>
                  <w:sz w:val="16"/>
                  <w:szCs w:val="16"/>
                  <w:lang w:bidi="es-ES"/>
                </w:rPr>
              </w:pPr>
              <w:r>
                <w:rPr>
                  <w:rFonts w:ascii="Arial" w:hAnsi="Arial" w:cs="Arial"/>
                  <w:b/>
                  <w:bCs/>
                  <w:color w:val="44546A" w:themeColor="text2"/>
                  <w:sz w:val="16"/>
                  <w:szCs w:val="16"/>
                  <w:lang w:bidi="es-ES"/>
                </w:rPr>
                <w:t>SGF-RES-0024-2026</w:t>
              </w:r>
            </w:p>
          </w:tc>
        </w:sdtContent>
      </w:sdt>
    </w:tr>
  </w:tbl>
  <w:p w14:paraId="4F08245A" w14:textId="77777777" w:rsidR="00BA0B9B" w:rsidRPr="00121E48" w:rsidRDefault="00121E48" w:rsidP="00121E48">
    <w:pPr>
      <w:pStyle w:val="Piedepgina"/>
      <w:spacing w:before="0" w:after="0"/>
    </w:pPr>
    <w:r>
      <w:rPr>
        <w:rFonts w:ascii="Roboto" w:hAnsi="Roboto"/>
        <w:noProof/>
        <w:sz w:val="24"/>
      </w:rPr>
      <w:drawing>
        <wp:anchor distT="0" distB="0" distL="114300" distR="114300" simplePos="0" relativeHeight="251680775" behindDoc="1" locked="0" layoutInCell="1" allowOverlap="1" wp14:anchorId="07CA1A47" wp14:editId="6F5ED28F">
          <wp:simplePos x="0" y="0"/>
          <wp:positionH relativeFrom="page">
            <wp:align>right</wp:align>
          </wp:positionH>
          <wp:positionV relativeFrom="page">
            <wp:align>bottom</wp:align>
          </wp:positionV>
          <wp:extent cx="7761600" cy="198000"/>
          <wp:effectExtent l="0" t="0" r="0" b="0"/>
          <wp:wrapTight wrapText="bothSides">
            <wp:wrapPolygon edited="0">
              <wp:start x="0" y="0"/>
              <wp:lineTo x="0" y="18752"/>
              <wp:lineTo x="21473" y="18752"/>
              <wp:lineTo x="21473" y="0"/>
              <wp:lineTo x="0" y="0"/>
            </wp:wrapPolygon>
          </wp:wrapTight>
          <wp:docPr id="2135470944" name="Imagen 2" descr="Forma, Rectángul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374218" name="Imagen 2" descr="Forma, Rectángulo&#10;&#10;El contenido generado por IA puede ser incorrecto."/>
                  <pic:cNvPicPr/>
                </pic:nvPicPr>
                <pic:blipFill>
                  <a:blip r:embed="rId9">
                    <a:extLst>
                      <a:ext uri="{28A0092B-C50C-407E-A947-70E740481C1C}">
                        <a14:useLocalDpi xmlns:a14="http://schemas.microsoft.com/office/drawing/2010/main" val="0"/>
                      </a:ext>
                    </a:extLst>
                  </a:blip>
                  <a:stretch>
                    <a:fillRect/>
                  </a:stretch>
                </pic:blipFill>
                <pic:spPr>
                  <a:xfrm>
                    <a:off x="0" y="0"/>
                    <a:ext cx="7761600" cy="19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jc w:val="center"/>
      <w:tblLook w:val="04A0" w:firstRow="1" w:lastRow="0" w:firstColumn="1" w:lastColumn="0" w:noHBand="0" w:noVBand="1"/>
    </w:tblPr>
    <w:tblGrid>
      <w:gridCol w:w="205"/>
      <w:gridCol w:w="1922"/>
      <w:gridCol w:w="2268"/>
      <w:gridCol w:w="2268"/>
      <w:gridCol w:w="3969"/>
    </w:tblGrid>
    <w:tr w:rsidR="00121E48" w:rsidRPr="003A12C6" w14:paraId="762AD692" w14:textId="77777777" w:rsidTr="005110E8">
      <w:trPr>
        <w:trHeight w:val="412"/>
        <w:jc w:val="center"/>
      </w:trPr>
      <w:tc>
        <w:tcPr>
          <w:tcW w:w="2127" w:type="dxa"/>
          <w:gridSpan w:val="2"/>
          <w:vAlign w:val="center"/>
        </w:tcPr>
        <w:p w14:paraId="59C6551B" w14:textId="77777777" w:rsidR="00121E48" w:rsidRPr="00764B98" w:rsidRDefault="00121E48" w:rsidP="00121E48">
          <w:pPr>
            <w:spacing w:before="0" w:after="0"/>
            <w:jc w:val="center"/>
            <w:rPr>
              <w:rFonts w:ascii="Arial" w:hAnsi="Arial" w:cs="Arial"/>
              <w:noProof/>
              <w:color w:val="262626" w:themeColor="text1" w:themeTint="D9"/>
              <w:sz w:val="16"/>
              <w:szCs w:val="16"/>
            </w:rPr>
          </w:pPr>
          <w:r w:rsidRPr="00764B98">
            <w:rPr>
              <w:rFonts w:ascii="Arial" w:hAnsi="Arial" w:cs="Arial"/>
              <w:color w:val="0D0D0D" w:themeColor="text1" w:themeTint="F2"/>
              <w:sz w:val="16"/>
              <w:szCs w:val="16"/>
            </w:rPr>
            <w:t xml:space="preserve">Página </w:t>
          </w:r>
          <w:r w:rsidRPr="00764B98">
            <w:rPr>
              <w:rFonts w:ascii="Arial" w:hAnsi="Arial" w:cs="Arial"/>
              <w:b/>
              <w:bCs/>
              <w:color w:val="0D0D0D" w:themeColor="text1" w:themeTint="F2"/>
              <w:sz w:val="16"/>
              <w:szCs w:val="16"/>
            </w:rPr>
            <w:fldChar w:fldCharType="begin"/>
          </w:r>
          <w:r w:rsidRPr="00764B98">
            <w:rPr>
              <w:rFonts w:ascii="Arial" w:hAnsi="Arial" w:cs="Arial"/>
              <w:b/>
              <w:bCs/>
              <w:color w:val="0D0D0D" w:themeColor="text1" w:themeTint="F2"/>
              <w:sz w:val="16"/>
              <w:szCs w:val="16"/>
            </w:rPr>
            <w:instrText>PAGE  \* Arabic  \* MERGEFORMAT</w:instrText>
          </w:r>
          <w:r w:rsidRPr="00764B98">
            <w:rPr>
              <w:rFonts w:ascii="Arial" w:hAnsi="Arial" w:cs="Arial"/>
              <w:b/>
              <w:bCs/>
              <w:color w:val="0D0D0D" w:themeColor="text1" w:themeTint="F2"/>
              <w:sz w:val="16"/>
              <w:szCs w:val="16"/>
            </w:rPr>
            <w:fldChar w:fldCharType="separate"/>
          </w:r>
          <w:r w:rsidRPr="00764B98">
            <w:rPr>
              <w:rFonts w:ascii="Arial" w:hAnsi="Arial" w:cs="Arial"/>
              <w:b/>
              <w:bCs/>
              <w:color w:val="0D0D0D" w:themeColor="text1" w:themeTint="F2"/>
              <w:sz w:val="16"/>
              <w:szCs w:val="16"/>
            </w:rPr>
            <w:t>1</w:t>
          </w:r>
          <w:r w:rsidRPr="00764B98">
            <w:rPr>
              <w:rFonts w:ascii="Arial" w:hAnsi="Arial" w:cs="Arial"/>
              <w:b/>
              <w:bCs/>
              <w:color w:val="0D0D0D" w:themeColor="text1" w:themeTint="F2"/>
              <w:sz w:val="16"/>
              <w:szCs w:val="16"/>
            </w:rPr>
            <w:fldChar w:fldCharType="end"/>
          </w:r>
          <w:r w:rsidRPr="00764B98">
            <w:rPr>
              <w:rFonts w:ascii="Arial" w:hAnsi="Arial" w:cs="Arial"/>
              <w:color w:val="0D0D0D" w:themeColor="text1" w:themeTint="F2"/>
              <w:sz w:val="16"/>
              <w:szCs w:val="16"/>
            </w:rPr>
            <w:t xml:space="preserve"> de </w:t>
          </w:r>
          <w:r w:rsidRPr="00764B98">
            <w:rPr>
              <w:rFonts w:ascii="Arial" w:hAnsi="Arial" w:cs="Arial"/>
              <w:b/>
              <w:bCs/>
              <w:color w:val="0D0D0D" w:themeColor="text1" w:themeTint="F2"/>
              <w:sz w:val="16"/>
              <w:szCs w:val="16"/>
            </w:rPr>
            <w:fldChar w:fldCharType="begin"/>
          </w:r>
          <w:r w:rsidRPr="00764B98">
            <w:rPr>
              <w:rFonts w:ascii="Arial" w:hAnsi="Arial" w:cs="Arial"/>
              <w:b/>
              <w:bCs/>
              <w:color w:val="0D0D0D" w:themeColor="text1" w:themeTint="F2"/>
              <w:sz w:val="16"/>
              <w:szCs w:val="16"/>
            </w:rPr>
            <w:instrText>NUMPAGES  \* Arabic  \* MERGEFORMAT</w:instrText>
          </w:r>
          <w:r w:rsidRPr="00764B98">
            <w:rPr>
              <w:rFonts w:ascii="Arial" w:hAnsi="Arial" w:cs="Arial"/>
              <w:b/>
              <w:bCs/>
              <w:color w:val="0D0D0D" w:themeColor="text1" w:themeTint="F2"/>
              <w:sz w:val="16"/>
              <w:szCs w:val="16"/>
            </w:rPr>
            <w:fldChar w:fldCharType="separate"/>
          </w:r>
          <w:r w:rsidRPr="00764B98">
            <w:rPr>
              <w:rFonts w:ascii="Arial" w:hAnsi="Arial" w:cs="Arial"/>
              <w:b/>
              <w:bCs/>
              <w:color w:val="0D0D0D" w:themeColor="text1" w:themeTint="F2"/>
              <w:sz w:val="16"/>
              <w:szCs w:val="16"/>
            </w:rPr>
            <w:t>2</w:t>
          </w:r>
          <w:r w:rsidRPr="00764B98">
            <w:rPr>
              <w:rFonts w:ascii="Arial" w:hAnsi="Arial" w:cs="Arial"/>
              <w:b/>
              <w:bCs/>
              <w:color w:val="0D0D0D" w:themeColor="text1" w:themeTint="F2"/>
              <w:sz w:val="16"/>
              <w:szCs w:val="16"/>
            </w:rPr>
            <w:fldChar w:fldCharType="end"/>
          </w:r>
        </w:p>
      </w:tc>
      <w:tc>
        <w:tcPr>
          <w:tcW w:w="2268" w:type="dxa"/>
          <w:vAlign w:val="center"/>
        </w:tcPr>
        <w:p w14:paraId="28BBCA3F" w14:textId="77777777" w:rsidR="00121E48" w:rsidRPr="00CF477D" w:rsidRDefault="00121E48" w:rsidP="00121E48">
          <w:pPr>
            <w:spacing w:before="0" w:after="0"/>
            <w:jc w:val="center"/>
            <w:rPr>
              <w:rFonts w:ascii="Arial" w:hAnsi="Arial" w:cs="Arial"/>
              <w:noProof/>
              <w:color w:val="262626" w:themeColor="text1" w:themeTint="D9"/>
              <w:szCs w:val="22"/>
            </w:rPr>
          </w:pPr>
        </w:p>
      </w:tc>
      <w:tc>
        <w:tcPr>
          <w:tcW w:w="2268" w:type="dxa"/>
          <w:vAlign w:val="center"/>
        </w:tcPr>
        <w:p w14:paraId="474A99C5" w14:textId="77777777" w:rsidR="00121E48" w:rsidRPr="00CF477D" w:rsidRDefault="00121E48" w:rsidP="00121E48">
          <w:pPr>
            <w:spacing w:before="0" w:after="0"/>
            <w:jc w:val="center"/>
            <w:rPr>
              <w:rFonts w:ascii="Arial" w:hAnsi="Arial" w:cs="Arial"/>
              <w:noProof/>
              <w:color w:val="262626" w:themeColor="text1" w:themeTint="D9"/>
              <w:szCs w:val="22"/>
            </w:rPr>
          </w:pPr>
        </w:p>
      </w:tc>
      <w:tc>
        <w:tcPr>
          <w:tcW w:w="3969" w:type="dxa"/>
          <w:vAlign w:val="center"/>
        </w:tcPr>
        <w:p w14:paraId="13F9EDF7" w14:textId="77777777" w:rsidR="00121E48" w:rsidRPr="00CF477D" w:rsidRDefault="00000000" w:rsidP="00121E48">
          <w:pPr>
            <w:spacing w:before="0" w:after="0"/>
            <w:jc w:val="center"/>
            <w:rPr>
              <w:rFonts w:ascii="Arial" w:hAnsi="Arial" w:cs="Arial"/>
              <w:noProof/>
              <w:color w:val="262626" w:themeColor="text1" w:themeTint="D9"/>
              <w:szCs w:val="22"/>
            </w:rPr>
          </w:pPr>
          <w:sdt>
            <w:sdtPr>
              <w:rPr>
                <w:rFonts w:ascii="Arial" w:hAnsi="Arial" w:cs="Arial"/>
                <w:color w:val="0D0D0D" w:themeColor="text1" w:themeTint="F2"/>
                <w:sz w:val="16"/>
                <w:szCs w:val="16"/>
              </w:rPr>
              <w:alias w:val="Confidencialidad"/>
              <w:tag w:val="Confidencialidad"/>
              <w:id w:val="208307041"/>
              <w:placeholder>
                <w:docPart w:val="A80EEA89FC1D4759A5F2AF3C7D9788CF"/>
              </w:placeholder>
              <w:temporary/>
              <w15:color w:val="808080"/>
              <w:dropDownList>
                <w:listItem w:value="Elija nivel de confidencialidad"/>
                <w:listItem w:displayText="PUBLICO" w:value="PUBLICO"/>
                <w:listItem w:displayText="USO INTERNO" w:value="USO INTERNO"/>
                <w:listItem w:displayText="PROPIETARIO" w:value="PROPIETARIO"/>
                <w:listItem w:displayText="CONFIDENCIAL" w:value="CONFIDENCIAL"/>
                <w:listItem w:displayText="MAXIMA SEGURIDAD" w:value="MAXIMA SEGURIDAD"/>
              </w:dropDownList>
            </w:sdtPr>
            <w:sdtContent>
              <w:r w:rsidR="00121E48" w:rsidRPr="00764B98">
                <w:rPr>
                  <w:rFonts w:ascii="Arial" w:hAnsi="Arial" w:cs="Arial"/>
                  <w:color w:val="0D0D0D" w:themeColor="text1" w:themeTint="F2"/>
                  <w:sz w:val="16"/>
                  <w:szCs w:val="16"/>
                </w:rPr>
                <w:t>Público</w:t>
              </w:r>
            </w:sdtContent>
          </w:sdt>
        </w:p>
      </w:tc>
    </w:tr>
    <w:tr w:rsidR="00121E48" w:rsidRPr="003A12C6" w14:paraId="37155045" w14:textId="77777777" w:rsidTr="00FD2389">
      <w:trPr>
        <w:trHeight w:val="412"/>
        <w:jc w:val="center"/>
      </w:trPr>
      <w:tc>
        <w:tcPr>
          <w:tcW w:w="10632" w:type="dxa"/>
          <w:gridSpan w:val="5"/>
          <w:vAlign w:val="center"/>
        </w:tcPr>
        <w:p w14:paraId="6476A7EE" w14:textId="77777777" w:rsidR="00121E48" w:rsidRPr="00E829C8" w:rsidRDefault="00121E48" w:rsidP="00121E48">
          <w:pPr>
            <w:spacing w:before="0" w:after="0"/>
            <w:jc w:val="center"/>
            <w:rPr>
              <w:rFonts w:ascii="Arial" w:hAnsi="Arial" w:cs="Arial"/>
              <w:color w:val="44546A" w:themeColor="text2"/>
              <w:sz w:val="16"/>
              <w:szCs w:val="16"/>
              <w:lang w:bidi="es-ES"/>
            </w:rPr>
          </w:pPr>
          <w:r>
            <w:rPr>
              <w:noProof/>
            </w:rPr>
            <mc:AlternateContent>
              <mc:Choice Requires="wps">
                <w:drawing>
                  <wp:anchor distT="0" distB="0" distL="114300" distR="114300" simplePos="0" relativeHeight="251672583" behindDoc="0" locked="0" layoutInCell="1" allowOverlap="1" wp14:anchorId="29C611FE" wp14:editId="2EACF8AF">
                    <wp:simplePos x="0" y="0"/>
                    <wp:positionH relativeFrom="column">
                      <wp:posOffset>10160</wp:posOffset>
                    </wp:positionH>
                    <wp:positionV relativeFrom="paragraph">
                      <wp:posOffset>109855</wp:posOffset>
                    </wp:positionV>
                    <wp:extent cx="6610350" cy="45085"/>
                    <wp:effectExtent l="0" t="0" r="0" b="0"/>
                    <wp:wrapNone/>
                    <wp:docPr id="493583711" name="Shape 109"/>
                    <wp:cNvGraphicFramePr/>
                    <a:graphic xmlns:a="http://schemas.openxmlformats.org/drawingml/2006/main">
                      <a:graphicData uri="http://schemas.microsoft.com/office/word/2010/wordprocessingShape">
                        <wps:wsp>
                          <wps:cNvSpPr/>
                          <wps:spPr>
                            <a:xfrm>
                              <a:off x="0" y="0"/>
                              <a:ext cx="6610350" cy="45085"/>
                            </a:xfrm>
                            <a:custGeom>
                              <a:avLst/>
                              <a:gdLst/>
                              <a:ahLst/>
                              <a:cxnLst/>
                              <a:rect l="0" t="0" r="0" b="0"/>
                              <a:pathLst>
                                <a:path w="6102972">
                                  <a:moveTo>
                                    <a:pt x="0" y="0"/>
                                  </a:moveTo>
                                  <a:lnTo>
                                    <a:pt x="6102972" y="0"/>
                                  </a:lnTo>
                                </a:path>
                              </a:pathLst>
                            </a:custGeom>
                            <a:ln w="6350" cap="flat">
                              <a:miter lim="127000"/>
                            </a:ln>
                          </wps:spPr>
                          <wps:style>
                            <a:lnRef idx="1">
                              <a:srgbClr val="0F395D"/>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svg="http://schemas.microsoft.com/office/drawing/2016/SVG/main" xmlns:pic="http://schemas.openxmlformats.org/drawingml/2006/picture" xmlns:a="http://schemas.openxmlformats.org/drawingml/2006/main">
                <w:pict>
                  <v:shape id="Shape 109" style="position:absolute;margin-left:.8pt;margin-top:8.65pt;width:520.5pt;height:3.55pt;z-index:2516725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102972,45085" o:spid="_x0000_s1026" filled="f" strokecolor="#0f395d" strokeweight=".5pt" path="m,l610297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" w14:anchorId="73FDD51E">
                    <v:stroke miterlimit="83231f" joinstyle="miter"/>
                    <v:path textboxrect="0,0,6102972,45085" arrowok="t"/>
                  </v:shape>
                </w:pict>
              </mc:Fallback>
            </mc:AlternateContent>
          </w:r>
        </w:p>
      </w:tc>
    </w:tr>
    <w:tr w:rsidR="00FD2389" w:rsidRPr="003A12C6" w14:paraId="0DCE4A21" w14:textId="77777777" w:rsidTr="008D55B6">
      <w:trPr>
        <w:gridBefore w:val="1"/>
        <w:wBefore w:w="205" w:type="dxa"/>
        <w:trHeight w:val="567"/>
        <w:jc w:val="center"/>
      </w:trPr>
      <w:tc>
        <w:tcPr>
          <w:tcW w:w="1922" w:type="dxa"/>
          <w:vAlign w:val="center"/>
        </w:tcPr>
        <w:p w14:paraId="47B535BE" w14:textId="77777777" w:rsidR="00FD2389" w:rsidRDefault="00FD2389" w:rsidP="00FD2389">
          <w:pPr>
            <w:spacing w:before="0" w:after="0"/>
            <w:jc w:val="center"/>
            <w:rPr>
              <w:rFonts w:ascii="Arial" w:hAnsi="Arial" w:cs="Arial"/>
              <w:noProof/>
              <w:color w:val="44546A" w:themeColor="text2"/>
              <w:sz w:val="16"/>
              <w:szCs w:val="16"/>
              <w:lang w:bidi="es-ES"/>
            </w:rPr>
          </w:pPr>
          <w:r>
            <w:rPr>
              <w:rFonts w:ascii="Arial" w:hAnsi="Arial" w:cs="Arial"/>
              <w:noProof/>
              <w:color w:val="44546A" w:themeColor="text2"/>
              <w:sz w:val="16"/>
              <w:szCs w:val="16"/>
              <w:lang w:bidi="es-ES"/>
            </w:rPr>
            <w:drawing>
              <wp:anchor distT="0" distB="0" distL="114300" distR="114300" simplePos="0" relativeHeight="251685895" behindDoc="1" locked="0" layoutInCell="1" allowOverlap="1" wp14:anchorId="7BEA5DA2" wp14:editId="0FDA9339">
                <wp:simplePos x="0" y="0"/>
                <wp:positionH relativeFrom="column">
                  <wp:posOffset>500380</wp:posOffset>
                </wp:positionH>
                <wp:positionV relativeFrom="paragraph">
                  <wp:posOffset>68580</wp:posOffset>
                </wp:positionV>
                <wp:extent cx="284400" cy="255600"/>
                <wp:effectExtent l="0" t="0" r="1905" b="0"/>
                <wp:wrapTight wrapText="bothSides">
                  <wp:wrapPolygon edited="0">
                    <wp:start x="5799" y="0"/>
                    <wp:lineTo x="0" y="3224"/>
                    <wp:lineTo x="0" y="12896"/>
                    <wp:lineTo x="1450" y="19343"/>
                    <wp:lineTo x="17396" y="19343"/>
                    <wp:lineTo x="20295" y="11284"/>
                    <wp:lineTo x="20295" y="3224"/>
                    <wp:lineTo x="14497" y="0"/>
                    <wp:lineTo x="5799" y="0"/>
                  </wp:wrapPolygon>
                </wp:wrapTight>
                <wp:docPr id="1440254406"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3557320" name="Gráfico 1113557320"/>
                        <pic:cNvPicPr/>
                      </pic:nvPicPr>
                      <pic:blipFill>
                        <a:blip r:embed="rId1">
                          <a:extLst>
                            <a:ext uri="{96DAC541-7B7A-43D3-8B79-37D633B846F1}">
                              <asvg:svgBlip xmlns:asvg="http://schemas.microsoft.com/office/drawing/2016/SVG/main" r:embed="rId2"/>
                            </a:ext>
                          </a:extLst>
                        </a:blip>
                        <a:stretch>
                          <a:fillRect/>
                        </a:stretch>
                      </pic:blipFill>
                      <pic:spPr>
                        <a:xfrm>
                          <a:off x="0" y="0"/>
                          <a:ext cx="284400" cy="255600"/>
                        </a:xfrm>
                        <a:prstGeom prst="rect">
                          <a:avLst/>
                        </a:prstGeom>
                      </pic:spPr>
                    </pic:pic>
                  </a:graphicData>
                </a:graphic>
                <wp14:sizeRelH relativeFrom="margin">
                  <wp14:pctWidth>0</wp14:pctWidth>
                </wp14:sizeRelH>
                <wp14:sizeRelV relativeFrom="margin">
                  <wp14:pctHeight>0</wp14:pctHeight>
                </wp14:sizeRelV>
              </wp:anchor>
            </w:drawing>
          </w:r>
        </w:p>
      </w:tc>
      <w:tc>
        <w:tcPr>
          <w:tcW w:w="2268" w:type="dxa"/>
          <w:vAlign w:val="center"/>
        </w:tcPr>
        <w:p w14:paraId="0DDB893A" w14:textId="77777777" w:rsidR="00FD2389" w:rsidRPr="00AD6490" w:rsidRDefault="00FD2389" w:rsidP="00FD2389">
          <w:pPr>
            <w:spacing w:before="0" w:after="0"/>
            <w:jc w:val="center"/>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687943" behindDoc="1" locked="0" layoutInCell="1" allowOverlap="1" wp14:anchorId="54C772C7" wp14:editId="7C7AD8C2">
                <wp:simplePos x="0" y="0"/>
                <wp:positionH relativeFrom="column">
                  <wp:posOffset>528955</wp:posOffset>
                </wp:positionH>
                <wp:positionV relativeFrom="paragraph">
                  <wp:posOffset>68580</wp:posOffset>
                </wp:positionV>
                <wp:extent cx="284400" cy="255600"/>
                <wp:effectExtent l="0" t="0" r="1905" b="0"/>
                <wp:wrapTight wrapText="bothSides">
                  <wp:wrapPolygon edited="0">
                    <wp:start x="2899" y="0"/>
                    <wp:lineTo x="0" y="4836"/>
                    <wp:lineTo x="0" y="17731"/>
                    <wp:lineTo x="5799" y="19343"/>
                    <wp:lineTo x="14497" y="19343"/>
                    <wp:lineTo x="20295" y="17731"/>
                    <wp:lineTo x="20295" y="4836"/>
                    <wp:lineTo x="17396" y="0"/>
                    <wp:lineTo x="2899" y="0"/>
                  </wp:wrapPolygon>
                </wp:wrapTight>
                <wp:docPr id="471059027" name="Gráfico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4372963" name="Gráfico 354372963"/>
                        <pic:cNvPicPr/>
                      </pic:nvPicPr>
                      <pic:blipFill>
                        <a:blip r:embed="rId3">
                          <a:extLst>
                            <a:ext uri="{96DAC541-7B7A-43D3-8B79-37D633B846F1}">
                              <asvg:svgBlip xmlns:asvg="http://schemas.microsoft.com/office/drawing/2016/SVG/main" r:embed="rId4"/>
                            </a:ext>
                          </a:extLst>
                        </a:blip>
                        <a:stretch>
                          <a:fillRect/>
                        </a:stretch>
                      </pic:blipFill>
                      <pic:spPr>
                        <a:xfrm>
                          <a:off x="0" y="0"/>
                          <a:ext cx="284400" cy="255600"/>
                        </a:xfrm>
                        <a:prstGeom prst="rect">
                          <a:avLst/>
                        </a:prstGeom>
                      </pic:spPr>
                    </pic:pic>
                  </a:graphicData>
                </a:graphic>
                <wp14:sizeRelH relativeFrom="margin">
                  <wp14:pctWidth>0</wp14:pctWidth>
                </wp14:sizeRelH>
                <wp14:sizeRelV relativeFrom="margin">
                  <wp14:pctHeight>0</wp14:pctHeight>
                </wp14:sizeRelV>
              </wp:anchor>
            </w:drawing>
          </w:r>
        </w:p>
      </w:tc>
      <w:tc>
        <w:tcPr>
          <w:tcW w:w="2268" w:type="dxa"/>
          <w:vAlign w:val="center"/>
        </w:tcPr>
        <w:p w14:paraId="3A2C2952" w14:textId="77777777" w:rsidR="00FD2389" w:rsidRPr="00AD6490" w:rsidRDefault="00FD2389" w:rsidP="00FD2389">
          <w:pPr>
            <w:spacing w:before="0" w:after="0"/>
            <w:jc w:val="center"/>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686919" behindDoc="1" locked="0" layoutInCell="1" allowOverlap="1" wp14:anchorId="0BDE1714" wp14:editId="664B9408">
                <wp:simplePos x="0" y="0"/>
                <wp:positionH relativeFrom="column">
                  <wp:posOffset>489585</wp:posOffset>
                </wp:positionH>
                <wp:positionV relativeFrom="paragraph">
                  <wp:posOffset>68580</wp:posOffset>
                </wp:positionV>
                <wp:extent cx="284400" cy="255600"/>
                <wp:effectExtent l="0" t="0" r="1905" b="0"/>
                <wp:wrapTight wrapText="bothSides">
                  <wp:wrapPolygon edited="0">
                    <wp:start x="2899" y="0"/>
                    <wp:lineTo x="0" y="4836"/>
                    <wp:lineTo x="0" y="17731"/>
                    <wp:lineTo x="5799" y="19343"/>
                    <wp:lineTo x="14497" y="19343"/>
                    <wp:lineTo x="20295" y="17731"/>
                    <wp:lineTo x="20295" y="4836"/>
                    <wp:lineTo x="17396" y="0"/>
                    <wp:lineTo x="2899" y="0"/>
                  </wp:wrapPolygon>
                </wp:wrapTight>
                <wp:docPr id="297219339"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4158457" name=""/>
                        <pic:cNvPicPr/>
                      </pic:nvPicPr>
                      <pic:blipFill>
                        <a:blip r:embed="rId5">
                          <a:extLst>
                            <a:ext uri="{96DAC541-7B7A-43D3-8B79-37D633B846F1}">
                              <asvg:svgBlip xmlns:asvg="http://schemas.microsoft.com/office/drawing/2016/SVG/main" r:embed="rId6"/>
                            </a:ext>
                          </a:extLst>
                        </a:blip>
                        <a:stretch>
                          <a:fillRect/>
                        </a:stretch>
                      </pic:blipFill>
                      <pic:spPr>
                        <a:xfrm>
                          <a:off x="0" y="0"/>
                          <a:ext cx="284400" cy="255600"/>
                        </a:xfrm>
                        <a:prstGeom prst="rect">
                          <a:avLst/>
                        </a:prstGeom>
                      </pic:spPr>
                    </pic:pic>
                  </a:graphicData>
                </a:graphic>
                <wp14:sizeRelH relativeFrom="margin">
                  <wp14:pctWidth>0</wp14:pctWidth>
                </wp14:sizeRelH>
                <wp14:sizeRelV relativeFrom="margin">
                  <wp14:pctHeight>0</wp14:pctHeight>
                </wp14:sizeRelV>
              </wp:anchor>
            </w:drawing>
          </w:r>
        </w:p>
      </w:tc>
      <w:tc>
        <w:tcPr>
          <w:tcW w:w="3969" w:type="dxa"/>
        </w:tcPr>
        <w:p w14:paraId="4B3A11EB" w14:textId="77777777" w:rsidR="00FD2389" w:rsidRPr="00AD6490" w:rsidRDefault="00FD2389" w:rsidP="00FD2389">
          <w:pPr>
            <w:spacing w:before="0" w:after="0"/>
            <w:jc w:val="center"/>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688967" behindDoc="1" locked="0" layoutInCell="1" allowOverlap="1" wp14:anchorId="7F9A6B8C" wp14:editId="14E1C7D5">
                <wp:simplePos x="0" y="0"/>
                <wp:positionH relativeFrom="column">
                  <wp:posOffset>922020</wp:posOffset>
                </wp:positionH>
                <wp:positionV relativeFrom="paragraph">
                  <wp:posOffset>106680</wp:posOffset>
                </wp:positionV>
                <wp:extent cx="284400" cy="255600"/>
                <wp:effectExtent l="0" t="0" r="1905" b="0"/>
                <wp:wrapTight wrapText="bothSides">
                  <wp:wrapPolygon edited="0">
                    <wp:start x="7248" y="0"/>
                    <wp:lineTo x="0" y="1612"/>
                    <wp:lineTo x="0" y="17731"/>
                    <wp:lineTo x="5799" y="19343"/>
                    <wp:lineTo x="13047" y="19343"/>
                    <wp:lineTo x="20295" y="16119"/>
                    <wp:lineTo x="20295" y="3224"/>
                    <wp:lineTo x="13047" y="0"/>
                    <wp:lineTo x="7248" y="0"/>
                  </wp:wrapPolygon>
                </wp:wrapTight>
                <wp:docPr id="1011489983"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3945771" name=""/>
                        <pic:cNvPicPr/>
                      </pic:nvPicPr>
                      <pic:blipFill>
                        <a:blip r:embed="rId7">
                          <a:extLst>
                            <a:ext uri="{96DAC541-7B7A-43D3-8B79-37D633B846F1}">
                              <asvg:svgBlip xmlns:asvg="http://schemas.microsoft.com/office/drawing/2016/SVG/main" r:embed="rId8"/>
                            </a:ext>
                          </a:extLst>
                        </a:blip>
                        <a:stretch>
                          <a:fillRect/>
                        </a:stretch>
                      </pic:blipFill>
                      <pic:spPr>
                        <a:xfrm>
                          <a:off x="0" y="0"/>
                          <a:ext cx="284400" cy="255600"/>
                        </a:xfrm>
                        <a:prstGeom prst="rect">
                          <a:avLst/>
                        </a:prstGeom>
                      </pic:spPr>
                    </pic:pic>
                  </a:graphicData>
                </a:graphic>
                <wp14:sizeRelH relativeFrom="margin">
                  <wp14:pctWidth>0</wp14:pctWidth>
                </wp14:sizeRelH>
                <wp14:sizeRelV relativeFrom="margin">
                  <wp14:pctHeight>0</wp14:pctHeight>
                </wp14:sizeRelV>
              </wp:anchor>
            </w:drawing>
          </w:r>
        </w:p>
      </w:tc>
    </w:tr>
    <w:tr w:rsidR="00121E48" w:rsidRPr="003A12C6" w14:paraId="1132C320" w14:textId="77777777" w:rsidTr="008D55B6">
      <w:trPr>
        <w:gridBefore w:val="1"/>
        <w:wBefore w:w="205" w:type="dxa"/>
        <w:trHeight w:val="720"/>
        <w:jc w:val="center"/>
      </w:trPr>
      <w:tc>
        <w:tcPr>
          <w:tcW w:w="1922" w:type="dxa"/>
        </w:tcPr>
        <w:p w14:paraId="3DFE7ABA" w14:textId="77777777" w:rsidR="00121E48" w:rsidRPr="00AD6490" w:rsidRDefault="00000000" w:rsidP="00FD2389">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Email"/>
              <w:tag w:val="Email"/>
              <w:id w:val="-534973392"/>
              <w:placeholder>
                <w:docPart w:val="8744CFEC20384CA69F5B0A699537BBFE"/>
              </w:placeholder>
              <w:text/>
            </w:sdtPr>
            <w:sdtContent>
              <w:r w:rsidR="00121E48" w:rsidRPr="00EB2D24">
                <w:rPr>
                  <w:rFonts w:ascii="Arial" w:hAnsi="Arial" w:cs="Arial"/>
                  <w:noProof/>
                  <w:color w:val="44546A" w:themeColor="text2"/>
                  <w:sz w:val="16"/>
                  <w:szCs w:val="16"/>
                  <w:lang w:bidi="es-ES"/>
                </w:rPr>
                <w:t>sugefcr@sugef.fi.cr</w:t>
              </w:r>
            </w:sdtContent>
          </w:sdt>
        </w:p>
      </w:tc>
      <w:tc>
        <w:tcPr>
          <w:tcW w:w="2268" w:type="dxa"/>
        </w:tcPr>
        <w:p w14:paraId="66B707E3" w14:textId="77777777" w:rsidR="00121E48" w:rsidRPr="00AD6490" w:rsidRDefault="00000000" w:rsidP="00FD2389">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Telefono"/>
              <w:tag w:val="Telefono"/>
              <w:id w:val="-1961568027"/>
              <w:placeholder>
                <w:docPart w:val="8744CFEC20384CA69F5B0A699537BBFE"/>
              </w:placeholder>
              <w:text/>
            </w:sdtPr>
            <w:sdtContent>
              <w:r w:rsidR="00121E48" w:rsidRPr="00D663C1">
                <w:rPr>
                  <w:rFonts w:ascii="Arial" w:hAnsi="Arial" w:cs="Arial"/>
                  <w:noProof/>
                  <w:color w:val="44546A" w:themeColor="text2"/>
                  <w:sz w:val="16"/>
                  <w:szCs w:val="16"/>
                  <w:lang w:bidi="es-ES"/>
                </w:rPr>
                <w:t>(506)-2243-4848</w:t>
              </w:r>
            </w:sdtContent>
          </w:sdt>
        </w:p>
      </w:tc>
      <w:tc>
        <w:tcPr>
          <w:tcW w:w="2268" w:type="dxa"/>
        </w:tcPr>
        <w:p w14:paraId="16B672E6" w14:textId="77777777" w:rsidR="00121E48" w:rsidRPr="00AD6490" w:rsidRDefault="00000000" w:rsidP="00FD2389">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PaginaWeb"/>
              <w:tag w:val="PaginaWeb"/>
              <w:id w:val="998462331"/>
              <w:placeholder>
                <w:docPart w:val="A4C1489DAC464959A985A33EE720A5A6"/>
              </w:placeholder>
              <w:text/>
            </w:sdtPr>
            <w:sdtContent>
              <w:r w:rsidR="00121E48" w:rsidRPr="00AD6490">
                <w:rPr>
                  <w:rFonts w:ascii="Arial" w:hAnsi="Arial" w:cs="Arial"/>
                  <w:noProof/>
                  <w:color w:val="44546A" w:themeColor="text2"/>
                  <w:sz w:val="16"/>
                  <w:szCs w:val="16"/>
                  <w:lang w:bidi="es-ES"/>
                </w:rPr>
                <w:t>https://www.sugef.fi.cr</w:t>
              </w:r>
            </w:sdtContent>
          </w:sdt>
        </w:p>
      </w:tc>
      <w:tc>
        <w:tcPr>
          <w:tcW w:w="3969" w:type="dxa"/>
        </w:tcPr>
        <w:p w14:paraId="70629674" w14:textId="77777777" w:rsidR="00121E48" w:rsidRPr="00AD6490" w:rsidRDefault="00000000" w:rsidP="00FD2389">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Direccion"/>
              <w:tag w:val="Direccion"/>
              <w:id w:val="-1702084135"/>
              <w:placeholder>
                <w:docPart w:val="8744CFEC20384CA69F5B0A699537BBFE"/>
              </w:placeholder>
              <w:text w:multiLine="1"/>
            </w:sdtPr>
            <w:sdtContent>
              <w:r w:rsidR="00121E48" w:rsidRPr="001378ED">
                <w:rPr>
                  <w:rFonts w:ascii="Arial" w:hAnsi="Arial" w:cs="Arial"/>
                  <w:noProof/>
                  <w:color w:val="44546A" w:themeColor="text2"/>
                  <w:sz w:val="16"/>
                  <w:szCs w:val="16"/>
                  <w:lang w:bidi="es-ES"/>
                </w:rPr>
                <w:t>Av. 13 y 17, calle 3a, Barrio Tournón, San José</w:t>
              </w:r>
            </w:sdtContent>
          </w:sdt>
        </w:p>
      </w:tc>
    </w:tr>
  </w:tbl>
  <w:p w14:paraId="63745427" w14:textId="77777777" w:rsidR="00BA0B9B" w:rsidRPr="00121E48" w:rsidRDefault="00121E48" w:rsidP="00121E48">
    <w:pPr>
      <w:pStyle w:val="Piedepgina"/>
      <w:spacing w:before="0" w:after="0"/>
    </w:pPr>
    <w:r>
      <w:rPr>
        <w:rFonts w:ascii="Roboto" w:hAnsi="Roboto"/>
        <w:noProof/>
        <w:sz w:val="24"/>
      </w:rPr>
      <w:drawing>
        <wp:anchor distT="0" distB="0" distL="114300" distR="114300" simplePos="0" relativeHeight="251673607" behindDoc="1" locked="0" layoutInCell="1" allowOverlap="1" wp14:anchorId="0810B9CD" wp14:editId="04B4AC7E">
          <wp:simplePos x="0" y="0"/>
          <wp:positionH relativeFrom="page">
            <wp:align>right</wp:align>
          </wp:positionH>
          <wp:positionV relativeFrom="page">
            <wp:align>bottom</wp:align>
          </wp:positionV>
          <wp:extent cx="7761600" cy="198000"/>
          <wp:effectExtent l="0" t="0" r="0" b="0"/>
          <wp:wrapTight wrapText="bothSides">
            <wp:wrapPolygon edited="0">
              <wp:start x="0" y="0"/>
              <wp:lineTo x="0" y="18752"/>
              <wp:lineTo x="21473" y="18752"/>
              <wp:lineTo x="21473" y="0"/>
              <wp:lineTo x="0" y="0"/>
            </wp:wrapPolygon>
          </wp:wrapTight>
          <wp:docPr id="1176267214" name="Imagen 2" descr="Forma, Rectángul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374218" name="Imagen 2" descr="Forma, Rectángulo&#10;&#10;El contenido generado por IA puede ser incorrecto."/>
                  <pic:cNvPicPr/>
                </pic:nvPicPr>
                <pic:blipFill>
                  <a:blip r:embed="rId9">
                    <a:extLst>
                      <a:ext uri="{28A0092B-C50C-407E-A947-70E740481C1C}">
                        <a14:useLocalDpi xmlns:a14="http://schemas.microsoft.com/office/drawing/2010/main" val="0"/>
                      </a:ext>
                    </a:extLst>
                  </a:blip>
                  <a:stretch>
                    <a:fillRect/>
                  </a:stretch>
                </pic:blipFill>
                <pic:spPr>
                  <a:xfrm>
                    <a:off x="0" y="0"/>
                    <a:ext cx="7761600" cy="19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12CE1" w14:textId="77777777" w:rsidR="00C14238" w:rsidRDefault="00C14238" w:rsidP="009349F3">
      <w:pPr>
        <w:spacing w:line="240" w:lineRule="auto"/>
      </w:pPr>
      <w:r>
        <w:separator/>
      </w:r>
    </w:p>
  </w:footnote>
  <w:footnote w:type="continuationSeparator" w:id="0">
    <w:p w14:paraId="2021C754" w14:textId="77777777" w:rsidR="00C14238" w:rsidRDefault="00C14238" w:rsidP="009349F3">
      <w:pPr>
        <w:spacing w:line="240" w:lineRule="auto"/>
      </w:pPr>
      <w:r>
        <w:continuationSeparator/>
      </w:r>
    </w:p>
  </w:footnote>
  <w:footnote w:id="1">
    <w:p w14:paraId="1FEA80E7" w14:textId="77777777" w:rsidR="009C192E" w:rsidRPr="008930F9" w:rsidRDefault="009C192E" w:rsidP="009C192E">
      <w:pPr>
        <w:pStyle w:val="Textonotapie"/>
        <w:jc w:val="both"/>
        <w:rPr>
          <w:rFonts w:ascii="Roboto" w:hAnsi="Roboto"/>
        </w:rPr>
      </w:pPr>
      <w:r w:rsidRPr="008930F9">
        <w:rPr>
          <w:rStyle w:val="Refdenotaalpie"/>
          <w:rFonts w:ascii="Roboto" w:hAnsi="Roboto"/>
        </w:rPr>
        <w:footnoteRef/>
      </w:r>
      <w:r w:rsidRPr="008930F9">
        <w:rPr>
          <w:rFonts w:ascii="Roboto" w:hAnsi="Roboto"/>
        </w:rPr>
        <w:t xml:space="preserve"> </w:t>
      </w:r>
      <w:r w:rsidRPr="008930F9">
        <w:rPr>
          <w:rFonts w:ascii="Roboto" w:hAnsi="Roboto"/>
          <w:i/>
          <w:iCs/>
        </w:rPr>
        <w:t xml:space="preserve"> </w:t>
      </w:r>
      <w:r w:rsidRPr="008930F9">
        <w:rPr>
          <w:rFonts w:ascii="Roboto" w:hAnsi="Roboto"/>
        </w:rPr>
        <w:t>Morosidad: mayor número de días de atraso en el pago de principal, intereses, otros productos y cuentas por cobrar asociados a la operación crediticia, contados a partir del primer día de atraso. que presenta el deudor en la atención de sus operaciones crediticias en la entidad a una fecha determinada según las condiciones contractuales de pago.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5A65A" w14:textId="77777777" w:rsidR="009349F3" w:rsidRDefault="00844730" w:rsidP="007C6EFA">
    <w:pPr>
      <w:pStyle w:val="Encabezado"/>
    </w:pPr>
    <w:r>
      <w:rPr>
        <w:noProof/>
      </w:rPr>
      <w:drawing>
        <wp:anchor distT="0" distB="0" distL="114300" distR="114300" simplePos="0" relativeHeight="251664391" behindDoc="0" locked="0" layoutInCell="1" allowOverlap="1" wp14:anchorId="29E65802" wp14:editId="09D70291">
          <wp:simplePos x="0" y="0"/>
          <wp:positionH relativeFrom="margin">
            <wp:posOffset>-1063625</wp:posOffset>
          </wp:positionH>
          <wp:positionV relativeFrom="paragraph">
            <wp:posOffset>-775550</wp:posOffset>
          </wp:positionV>
          <wp:extent cx="7739380" cy="1137285"/>
          <wp:effectExtent l="0" t="0" r="0" b="5715"/>
          <wp:wrapNone/>
          <wp:docPr id="171150646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137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49F3">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D34A5" w14:textId="77777777" w:rsidR="002161A6" w:rsidRDefault="00770A48">
    <w:pPr>
      <w:pStyle w:val="Encabezado"/>
    </w:pPr>
    <w:r>
      <w:rPr>
        <w:noProof/>
      </w:rPr>
      <w:drawing>
        <wp:anchor distT="0" distB="0" distL="114300" distR="114300" simplePos="0" relativeHeight="251663367" behindDoc="0" locked="0" layoutInCell="1" allowOverlap="1" wp14:anchorId="2AA2EBB6" wp14:editId="3D27E01C">
          <wp:simplePos x="0" y="0"/>
          <wp:positionH relativeFrom="column">
            <wp:posOffset>-1066165</wp:posOffset>
          </wp:positionH>
          <wp:positionV relativeFrom="paragraph">
            <wp:posOffset>-773645</wp:posOffset>
          </wp:positionV>
          <wp:extent cx="7739380" cy="1137285"/>
          <wp:effectExtent l="0" t="0" r="0" b="5715"/>
          <wp:wrapNone/>
          <wp:docPr id="120490414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13728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6DE3"/>
    <w:multiLevelType w:val="hybridMultilevel"/>
    <w:tmpl w:val="6D8295C2"/>
    <w:lvl w:ilvl="0" w:tplc="169A6AC2">
      <w:start w:val="1"/>
      <w:numFmt w:val="upperLetter"/>
      <w:lvlText w:val="%1)"/>
      <w:lvlJc w:val="left"/>
      <w:pPr>
        <w:ind w:left="131" w:firstLine="0"/>
      </w:pPr>
      <w:rPr>
        <w:rFonts w:ascii="Roboto" w:eastAsia="Times New Roman" w:hAnsi="Roboto" w:cs="Times New Roman" w:hint="default"/>
        <w:b/>
        <w:i w:val="0"/>
        <w:strike w:val="0"/>
        <w:dstrike w:val="0"/>
        <w:color w:val="000000"/>
        <w:sz w:val="24"/>
        <w:u w:val="none" w:color="000000"/>
        <w:vertAlign w:val="baseline"/>
      </w:rPr>
    </w:lvl>
    <w:lvl w:ilvl="1" w:tplc="9792469A">
      <w:start w:val="1"/>
      <w:numFmt w:val="decimal"/>
      <w:lvlText w:val="%2)"/>
      <w:lvlJc w:val="left"/>
      <w:pPr>
        <w:ind w:left="720" w:hanging="360"/>
      </w:pPr>
      <w:rPr>
        <w:b/>
        <w:bCs w:val="0"/>
      </w:rPr>
    </w:lvl>
    <w:lvl w:ilvl="2" w:tplc="905C99A0">
      <w:start w:val="1"/>
      <w:numFmt w:val="lowerLetter"/>
      <w:lvlText w:val="%3)"/>
      <w:lvlJc w:val="left"/>
      <w:pPr>
        <w:ind w:left="1274" w:hanging="360"/>
      </w:pPr>
      <w:rPr>
        <w:b/>
        <w:bCs/>
      </w:rPr>
    </w:lvl>
    <w:lvl w:ilvl="3" w:tplc="140A000F" w:tentative="1">
      <w:start w:val="1"/>
      <w:numFmt w:val="decimal"/>
      <w:lvlText w:val="%4."/>
      <w:lvlJc w:val="left"/>
      <w:pPr>
        <w:ind w:left="2160" w:hanging="360"/>
      </w:pPr>
    </w:lvl>
    <w:lvl w:ilvl="4" w:tplc="140A0019" w:tentative="1">
      <w:start w:val="1"/>
      <w:numFmt w:val="lowerLetter"/>
      <w:lvlText w:val="%5."/>
      <w:lvlJc w:val="left"/>
      <w:pPr>
        <w:ind w:left="2880" w:hanging="360"/>
      </w:pPr>
    </w:lvl>
    <w:lvl w:ilvl="5" w:tplc="140A001B" w:tentative="1">
      <w:start w:val="1"/>
      <w:numFmt w:val="lowerRoman"/>
      <w:lvlText w:val="%6."/>
      <w:lvlJc w:val="right"/>
      <w:pPr>
        <w:ind w:left="3600" w:hanging="180"/>
      </w:pPr>
    </w:lvl>
    <w:lvl w:ilvl="6" w:tplc="140A000F" w:tentative="1">
      <w:start w:val="1"/>
      <w:numFmt w:val="decimal"/>
      <w:lvlText w:val="%7."/>
      <w:lvlJc w:val="left"/>
      <w:pPr>
        <w:ind w:left="4320" w:hanging="360"/>
      </w:pPr>
    </w:lvl>
    <w:lvl w:ilvl="7" w:tplc="140A0019" w:tentative="1">
      <w:start w:val="1"/>
      <w:numFmt w:val="lowerLetter"/>
      <w:lvlText w:val="%8."/>
      <w:lvlJc w:val="left"/>
      <w:pPr>
        <w:ind w:left="5040" w:hanging="360"/>
      </w:pPr>
    </w:lvl>
    <w:lvl w:ilvl="8" w:tplc="140A001B" w:tentative="1">
      <w:start w:val="1"/>
      <w:numFmt w:val="lowerRoman"/>
      <w:lvlText w:val="%9."/>
      <w:lvlJc w:val="right"/>
      <w:pPr>
        <w:ind w:left="5760" w:hanging="180"/>
      </w:pPr>
    </w:lvl>
  </w:abstractNum>
  <w:abstractNum w:abstractNumId="1" w15:restartNumberingAfterBreak="0">
    <w:nsid w:val="02E40EAB"/>
    <w:multiLevelType w:val="hybridMultilevel"/>
    <w:tmpl w:val="C4744002"/>
    <w:lvl w:ilvl="0" w:tplc="B1442FD6">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6FC3D88">
      <w:start w:val="1"/>
      <w:numFmt w:val="lowerLetter"/>
      <w:lvlText w:val="%2"/>
      <w:lvlJc w:val="left"/>
      <w:pPr>
        <w:ind w:left="6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89207FA">
      <w:start w:val="1"/>
      <w:numFmt w:val="decimal"/>
      <w:lvlText w:val="%3)"/>
      <w:lvlJc w:val="left"/>
      <w:pPr>
        <w:ind w:left="928" w:hanging="360"/>
      </w:pPr>
      <w:rPr>
        <w:b w:val="0"/>
        <w:bCs/>
        <w:color w:val="auto"/>
        <w:u w:val="none"/>
      </w:rPr>
    </w:lvl>
    <w:lvl w:ilvl="3" w:tplc="82CC63BA">
      <w:start w:val="1"/>
      <w:numFmt w:val="decimal"/>
      <w:lvlText w:val="%4"/>
      <w:lvlJc w:val="left"/>
      <w:pPr>
        <w:ind w:left="1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28E305E">
      <w:start w:val="1"/>
      <w:numFmt w:val="lowerLetter"/>
      <w:lvlText w:val="%5"/>
      <w:lvlJc w:val="left"/>
      <w:pPr>
        <w:ind w:left="2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AC6734A">
      <w:start w:val="1"/>
      <w:numFmt w:val="lowerRoman"/>
      <w:lvlText w:val="%6"/>
      <w:lvlJc w:val="left"/>
      <w:pPr>
        <w:ind w:left="3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7969AB8">
      <w:start w:val="1"/>
      <w:numFmt w:val="decimal"/>
      <w:lvlText w:val="%7"/>
      <w:lvlJc w:val="left"/>
      <w:pPr>
        <w:ind w:left="4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E529596">
      <w:start w:val="1"/>
      <w:numFmt w:val="lowerLetter"/>
      <w:lvlText w:val="%8"/>
      <w:lvlJc w:val="left"/>
      <w:pPr>
        <w:ind w:left="4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83E227E">
      <w:start w:val="1"/>
      <w:numFmt w:val="lowerRoman"/>
      <w:lvlText w:val="%9"/>
      <w:lvlJc w:val="left"/>
      <w:pPr>
        <w:ind w:left="5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15:restartNumberingAfterBreak="0">
    <w:nsid w:val="04B12EF3"/>
    <w:multiLevelType w:val="hybridMultilevel"/>
    <w:tmpl w:val="64C0B2D4"/>
    <w:lvl w:ilvl="0" w:tplc="E10036B0">
      <w:start w:val="1"/>
      <w:numFmt w:val="decimal"/>
      <w:lvlText w:val="%1)"/>
      <w:lvlJc w:val="left"/>
      <w:pPr>
        <w:ind w:left="372" w:hanging="360"/>
      </w:pPr>
      <w:rPr>
        <w:rFonts w:hint="default"/>
        <w:b/>
        <w:bCs w:val="0"/>
        <w:color w:val="auto"/>
        <w:u w:val="none"/>
      </w:rPr>
    </w:lvl>
    <w:lvl w:ilvl="1" w:tplc="FFFFFFFF">
      <w:start w:val="1"/>
      <w:numFmt w:val="decimal"/>
      <w:lvlText w:val="%2."/>
      <w:lvlJc w:val="left"/>
      <w:pPr>
        <w:ind w:left="372" w:hanging="360"/>
      </w:pPr>
    </w:lvl>
    <w:lvl w:ilvl="2" w:tplc="FFFFFFFF">
      <w:start w:val="1"/>
      <w:numFmt w:val="bullet"/>
      <w:lvlText w:val=""/>
      <w:lvlJc w:val="left"/>
      <w:pPr>
        <w:ind w:left="1812" w:hanging="360"/>
      </w:pPr>
      <w:rPr>
        <w:rFonts w:ascii="Wingdings" w:hAnsi="Wingdings" w:hint="default"/>
      </w:rPr>
    </w:lvl>
    <w:lvl w:ilvl="3" w:tplc="FFFFFFFF" w:tentative="1">
      <w:start w:val="1"/>
      <w:numFmt w:val="bullet"/>
      <w:lvlText w:val=""/>
      <w:lvlJc w:val="left"/>
      <w:pPr>
        <w:ind w:left="2532" w:hanging="360"/>
      </w:pPr>
      <w:rPr>
        <w:rFonts w:ascii="Symbol" w:hAnsi="Symbol" w:hint="default"/>
      </w:rPr>
    </w:lvl>
    <w:lvl w:ilvl="4" w:tplc="FFFFFFFF" w:tentative="1">
      <w:start w:val="1"/>
      <w:numFmt w:val="bullet"/>
      <w:lvlText w:val="o"/>
      <w:lvlJc w:val="left"/>
      <w:pPr>
        <w:ind w:left="3252" w:hanging="360"/>
      </w:pPr>
      <w:rPr>
        <w:rFonts w:ascii="Courier New" w:hAnsi="Courier New" w:cs="Courier New" w:hint="default"/>
      </w:rPr>
    </w:lvl>
    <w:lvl w:ilvl="5" w:tplc="FFFFFFFF" w:tentative="1">
      <w:start w:val="1"/>
      <w:numFmt w:val="bullet"/>
      <w:lvlText w:val=""/>
      <w:lvlJc w:val="left"/>
      <w:pPr>
        <w:ind w:left="3972" w:hanging="360"/>
      </w:pPr>
      <w:rPr>
        <w:rFonts w:ascii="Wingdings" w:hAnsi="Wingdings" w:hint="default"/>
      </w:rPr>
    </w:lvl>
    <w:lvl w:ilvl="6" w:tplc="FFFFFFFF" w:tentative="1">
      <w:start w:val="1"/>
      <w:numFmt w:val="bullet"/>
      <w:lvlText w:val=""/>
      <w:lvlJc w:val="left"/>
      <w:pPr>
        <w:ind w:left="4692" w:hanging="360"/>
      </w:pPr>
      <w:rPr>
        <w:rFonts w:ascii="Symbol" w:hAnsi="Symbol" w:hint="default"/>
      </w:rPr>
    </w:lvl>
    <w:lvl w:ilvl="7" w:tplc="FFFFFFFF" w:tentative="1">
      <w:start w:val="1"/>
      <w:numFmt w:val="bullet"/>
      <w:lvlText w:val="o"/>
      <w:lvlJc w:val="left"/>
      <w:pPr>
        <w:ind w:left="5412" w:hanging="360"/>
      </w:pPr>
      <w:rPr>
        <w:rFonts w:ascii="Courier New" w:hAnsi="Courier New" w:cs="Courier New" w:hint="default"/>
      </w:rPr>
    </w:lvl>
    <w:lvl w:ilvl="8" w:tplc="FFFFFFFF" w:tentative="1">
      <w:start w:val="1"/>
      <w:numFmt w:val="bullet"/>
      <w:lvlText w:val=""/>
      <w:lvlJc w:val="left"/>
      <w:pPr>
        <w:ind w:left="6132" w:hanging="360"/>
      </w:pPr>
      <w:rPr>
        <w:rFonts w:ascii="Wingdings" w:hAnsi="Wingdings" w:hint="default"/>
      </w:rPr>
    </w:lvl>
  </w:abstractNum>
  <w:abstractNum w:abstractNumId="3" w15:restartNumberingAfterBreak="0">
    <w:nsid w:val="060B7336"/>
    <w:multiLevelType w:val="hybridMultilevel"/>
    <w:tmpl w:val="3EE680CE"/>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061C126B"/>
    <w:multiLevelType w:val="hybridMultilevel"/>
    <w:tmpl w:val="CAFA8A80"/>
    <w:lvl w:ilvl="0" w:tplc="FFFFFFFF">
      <w:start w:val="1"/>
      <w:numFmt w:val="lowerLetter"/>
      <w:lvlText w:val="%1)"/>
      <w:lvlJc w:val="left"/>
      <w:pPr>
        <w:ind w:left="1994"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C40B01"/>
    <w:multiLevelType w:val="hybridMultilevel"/>
    <w:tmpl w:val="08284DAE"/>
    <w:lvl w:ilvl="0" w:tplc="9A70608C">
      <w:start w:val="1"/>
      <w:numFmt w:val="decimal"/>
      <w:lvlText w:val="%1)"/>
      <w:lvlJc w:val="left"/>
      <w:pPr>
        <w:ind w:left="3338" w:hanging="360"/>
      </w:pPr>
      <w:rPr>
        <w:b/>
        <w:bCs w:val="0"/>
        <w:color w:val="auto"/>
        <w:u w:val="no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0D147BFA"/>
    <w:multiLevelType w:val="hybridMultilevel"/>
    <w:tmpl w:val="8034E7D8"/>
    <w:lvl w:ilvl="0" w:tplc="B25C2836">
      <w:start w:val="3"/>
      <w:numFmt w:val="upperLetter"/>
      <w:lvlText w:val="%1."/>
      <w:lvlJc w:val="left"/>
      <w:pPr>
        <w:ind w:left="863"/>
      </w:pPr>
      <w:rPr>
        <w:rFonts w:ascii="Roboto" w:eastAsia="Times New Roman" w:hAnsi="Roboto" w:cs="Times New Roman" w:hint="default"/>
        <w:b/>
        <w:i w:val="0"/>
        <w:strike w:val="0"/>
        <w:dstrike w:val="0"/>
        <w:color w:val="000000"/>
        <w:sz w:val="24"/>
        <w:u w:val="none" w:color="000000"/>
        <w:bdr w:val="none" w:sz="0" w:space="0" w:color="auto"/>
        <w:shd w:val="clear" w:color="auto" w:fill="auto"/>
        <w:vertAlign w:val="baseline"/>
      </w:rPr>
    </w:lvl>
    <w:lvl w:ilvl="1" w:tplc="C63C853A">
      <w:start w:val="1"/>
      <w:numFmt w:val="upperLetter"/>
      <w:lvlText w:val="%2)"/>
      <w:lvlJc w:val="left"/>
      <w:pPr>
        <w:ind w:left="360" w:hanging="360"/>
      </w:pPr>
      <w:rPr>
        <w:rFonts w:hint="default"/>
        <w:b/>
        <w:bCs/>
        <w:color w:val="auto"/>
        <w:u w:val="none"/>
      </w:rPr>
    </w:lvl>
    <w:lvl w:ilvl="2" w:tplc="435EFE4A">
      <w:start w:val="1"/>
      <w:numFmt w:val="lowerLetter"/>
      <w:lvlText w:val="%3)"/>
      <w:lvlJc w:val="left"/>
      <w:pPr>
        <w:ind w:left="1068"/>
      </w:pPr>
      <w:rPr>
        <w:rFonts w:ascii="Roboto" w:eastAsia="Times New Roman" w:hAnsi="Roboto" w:cs="Times New Roman" w:hint="default"/>
        <w:b w:val="0"/>
        <w:i w:val="0"/>
        <w:strike w:val="0"/>
        <w:dstrike w:val="0"/>
        <w:color w:val="000000"/>
        <w:sz w:val="24"/>
        <w:u w:val="none" w:color="000000"/>
        <w:bdr w:val="none" w:sz="0" w:space="0" w:color="auto"/>
        <w:shd w:val="clear" w:color="auto" w:fill="auto"/>
        <w:vertAlign w:val="baseline"/>
      </w:rPr>
    </w:lvl>
    <w:lvl w:ilvl="3" w:tplc="A55AFB6C">
      <w:start w:val="1"/>
      <w:numFmt w:val="decimal"/>
      <w:lvlText w:val="%4"/>
      <w:lvlJc w:val="left"/>
      <w:pPr>
        <w:ind w:left="1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E001250">
      <w:start w:val="1"/>
      <w:numFmt w:val="lowerLetter"/>
      <w:lvlText w:val="%5"/>
      <w:lvlJc w:val="left"/>
      <w:pPr>
        <w:ind w:left="2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BCE2754">
      <w:start w:val="1"/>
      <w:numFmt w:val="lowerRoman"/>
      <w:lvlText w:val="%6"/>
      <w:lvlJc w:val="left"/>
      <w:pPr>
        <w:ind w:left="3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EFCC064">
      <w:start w:val="1"/>
      <w:numFmt w:val="decimal"/>
      <w:lvlText w:val="%7"/>
      <w:lvlJc w:val="left"/>
      <w:pPr>
        <w:ind w:left="3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A8E964A">
      <w:start w:val="1"/>
      <w:numFmt w:val="lowerLetter"/>
      <w:lvlText w:val="%8"/>
      <w:lvlJc w:val="left"/>
      <w:pPr>
        <w:ind w:left="4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A0C72B4">
      <w:start w:val="1"/>
      <w:numFmt w:val="lowerRoman"/>
      <w:lvlText w:val="%9"/>
      <w:lvlJc w:val="left"/>
      <w:pPr>
        <w:ind w:left="5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 w15:restartNumberingAfterBreak="0">
    <w:nsid w:val="0D150447"/>
    <w:multiLevelType w:val="hybridMultilevel"/>
    <w:tmpl w:val="797C2280"/>
    <w:lvl w:ilvl="0" w:tplc="E5129A26">
      <w:start w:val="3"/>
      <w:numFmt w:val="lowerLetter"/>
      <w:lvlText w:val="%1)"/>
      <w:lvlJc w:val="left"/>
      <w:pPr>
        <w:ind w:left="850"/>
      </w:pPr>
      <w:rPr>
        <w:rFonts w:ascii="Roboto" w:eastAsia="Times New Roman" w:hAnsi="Roboto" w:cs="Times New Roman" w:hint="default"/>
        <w:b/>
        <w:i w:val="0"/>
        <w:strike w:val="0"/>
        <w:dstrike w:val="0"/>
        <w:color w:val="000000"/>
        <w:sz w:val="24"/>
        <w:u w:val="none" w:color="000000"/>
        <w:bdr w:val="none" w:sz="0" w:space="0" w:color="auto"/>
        <w:shd w:val="clear" w:color="auto" w:fill="auto"/>
        <w:vertAlign w:val="baseline"/>
      </w:rPr>
    </w:lvl>
    <w:lvl w:ilvl="1" w:tplc="905C99A0">
      <w:start w:val="1"/>
      <w:numFmt w:val="lowerLetter"/>
      <w:lvlText w:val="%2)"/>
      <w:lvlJc w:val="left"/>
      <w:pPr>
        <w:ind w:left="1918" w:hanging="360"/>
      </w:pPr>
      <w:rPr>
        <w:b/>
        <w:bCs/>
      </w:rPr>
    </w:lvl>
    <w:lvl w:ilvl="2" w:tplc="B4B63E50">
      <w:start w:val="1"/>
      <w:numFmt w:val="lowerRoman"/>
      <w:lvlText w:val="%3"/>
      <w:lvlJc w:val="left"/>
      <w:pPr>
        <w:ind w:left="20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F30EF4A">
      <w:start w:val="1"/>
      <w:numFmt w:val="decimal"/>
      <w:lvlText w:val="%4"/>
      <w:lvlJc w:val="left"/>
      <w:pPr>
        <w:ind w:left="27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654E02E">
      <w:start w:val="1"/>
      <w:numFmt w:val="lowerLetter"/>
      <w:lvlText w:val="%5"/>
      <w:lvlJc w:val="left"/>
      <w:pPr>
        <w:ind w:left="34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AA8ABEE">
      <w:start w:val="1"/>
      <w:numFmt w:val="lowerRoman"/>
      <w:lvlText w:val="%6"/>
      <w:lvlJc w:val="left"/>
      <w:pPr>
        <w:ind w:left="41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62E43A0">
      <w:start w:val="1"/>
      <w:numFmt w:val="decimal"/>
      <w:lvlText w:val="%7"/>
      <w:lvlJc w:val="left"/>
      <w:pPr>
        <w:ind w:left="49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88C7BD0">
      <w:start w:val="1"/>
      <w:numFmt w:val="lowerLetter"/>
      <w:lvlText w:val="%8"/>
      <w:lvlJc w:val="left"/>
      <w:pPr>
        <w:ind w:left="56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2CEEAFE">
      <w:start w:val="1"/>
      <w:numFmt w:val="lowerRoman"/>
      <w:lvlText w:val="%9"/>
      <w:lvlJc w:val="left"/>
      <w:pPr>
        <w:ind w:left="63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 w15:restartNumberingAfterBreak="0">
    <w:nsid w:val="0FED2211"/>
    <w:multiLevelType w:val="hybridMultilevel"/>
    <w:tmpl w:val="2C228608"/>
    <w:lvl w:ilvl="0" w:tplc="570E48AE">
      <w:start w:val="1"/>
      <w:numFmt w:val="decimal"/>
      <w:lvlText w:val="%1)"/>
      <w:lvlJc w:val="left"/>
      <w:pPr>
        <w:ind w:left="372" w:hanging="360"/>
      </w:pPr>
      <w:rPr>
        <w:rFonts w:hint="default"/>
        <w:b/>
        <w:bCs w:val="0"/>
        <w:color w:val="auto"/>
        <w:u w:val="none"/>
      </w:rPr>
    </w:lvl>
    <w:lvl w:ilvl="1" w:tplc="FFFFFFFF">
      <w:start w:val="1"/>
      <w:numFmt w:val="bullet"/>
      <w:lvlText w:val="o"/>
      <w:lvlJc w:val="left"/>
      <w:pPr>
        <w:ind w:left="1092" w:hanging="360"/>
      </w:pPr>
      <w:rPr>
        <w:rFonts w:ascii="Courier New" w:hAnsi="Courier New" w:cs="Courier New" w:hint="default"/>
      </w:rPr>
    </w:lvl>
    <w:lvl w:ilvl="2" w:tplc="FFFFFFFF">
      <w:start w:val="1"/>
      <w:numFmt w:val="bullet"/>
      <w:lvlText w:val=""/>
      <w:lvlJc w:val="left"/>
      <w:pPr>
        <w:ind w:left="1812" w:hanging="360"/>
      </w:pPr>
      <w:rPr>
        <w:rFonts w:ascii="Wingdings" w:hAnsi="Wingdings" w:hint="default"/>
      </w:rPr>
    </w:lvl>
    <w:lvl w:ilvl="3" w:tplc="FFFFFFFF" w:tentative="1">
      <w:start w:val="1"/>
      <w:numFmt w:val="bullet"/>
      <w:lvlText w:val=""/>
      <w:lvlJc w:val="left"/>
      <w:pPr>
        <w:ind w:left="2532" w:hanging="360"/>
      </w:pPr>
      <w:rPr>
        <w:rFonts w:ascii="Symbol" w:hAnsi="Symbol" w:hint="default"/>
      </w:rPr>
    </w:lvl>
    <w:lvl w:ilvl="4" w:tplc="FFFFFFFF" w:tentative="1">
      <w:start w:val="1"/>
      <w:numFmt w:val="bullet"/>
      <w:lvlText w:val="o"/>
      <w:lvlJc w:val="left"/>
      <w:pPr>
        <w:ind w:left="3252" w:hanging="360"/>
      </w:pPr>
      <w:rPr>
        <w:rFonts w:ascii="Courier New" w:hAnsi="Courier New" w:cs="Courier New" w:hint="default"/>
      </w:rPr>
    </w:lvl>
    <w:lvl w:ilvl="5" w:tplc="FFFFFFFF" w:tentative="1">
      <w:start w:val="1"/>
      <w:numFmt w:val="bullet"/>
      <w:lvlText w:val=""/>
      <w:lvlJc w:val="left"/>
      <w:pPr>
        <w:ind w:left="3972" w:hanging="360"/>
      </w:pPr>
      <w:rPr>
        <w:rFonts w:ascii="Wingdings" w:hAnsi="Wingdings" w:hint="default"/>
      </w:rPr>
    </w:lvl>
    <w:lvl w:ilvl="6" w:tplc="FFFFFFFF" w:tentative="1">
      <w:start w:val="1"/>
      <w:numFmt w:val="bullet"/>
      <w:lvlText w:val=""/>
      <w:lvlJc w:val="left"/>
      <w:pPr>
        <w:ind w:left="4692" w:hanging="360"/>
      </w:pPr>
      <w:rPr>
        <w:rFonts w:ascii="Symbol" w:hAnsi="Symbol" w:hint="default"/>
      </w:rPr>
    </w:lvl>
    <w:lvl w:ilvl="7" w:tplc="FFFFFFFF" w:tentative="1">
      <w:start w:val="1"/>
      <w:numFmt w:val="bullet"/>
      <w:lvlText w:val="o"/>
      <w:lvlJc w:val="left"/>
      <w:pPr>
        <w:ind w:left="5412" w:hanging="360"/>
      </w:pPr>
      <w:rPr>
        <w:rFonts w:ascii="Courier New" w:hAnsi="Courier New" w:cs="Courier New" w:hint="default"/>
      </w:rPr>
    </w:lvl>
    <w:lvl w:ilvl="8" w:tplc="FFFFFFFF" w:tentative="1">
      <w:start w:val="1"/>
      <w:numFmt w:val="bullet"/>
      <w:lvlText w:val=""/>
      <w:lvlJc w:val="left"/>
      <w:pPr>
        <w:ind w:left="6132" w:hanging="360"/>
      </w:pPr>
      <w:rPr>
        <w:rFonts w:ascii="Wingdings" w:hAnsi="Wingdings" w:hint="default"/>
      </w:rPr>
    </w:lvl>
  </w:abstractNum>
  <w:abstractNum w:abstractNumId="9" w15:restartNumberingAfterBreak="0">
    <w:nsid w:val="10B826F9"/>
    <w:multiLevelType w:val="hybridMultilevel"/>
    <w:tmpl w:val="B436F158"/>
    <w:lvl w:ilvl="0" w:tplc="140A0017">
      <w:start w:val="1"/>
      <w:numFmt w:val="lowerLetter"/>
      <w:lvlText w:val="%1)"/>
      <w:lvlJc w:val="left"/>
      <w:pPr>
        <w:ind w:left="36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184B1AF5"/>
    <w:multiLevelType w:val="hybridMultilevel"/>
    <w:tmpl w:val="D62E29A4"/>
    <w:lvl w:ilvl="0" w:tplc="D0B41B90">
      <w:start w:val="1"/>
      <w:numFmt w:val="lowerLetter"/>
      <w:lvlText w:val="%1)"/>
      <w:lvlJc w:val="left"/>
      <w:pPr>
        <w:ind w:left="1069" w:hanging="360"/>
      </w:pPr>
      <w:rPr>
        <w:rFonts w:hint="default"/>
        <w:b/>
        <w:bCs w:val="0"/>
        <w:i w:val="0"/>
        <w:strike w:val="0"/>
        <w:dstrike w:val="0"/>
        <w:color w:val="auto"/>
        <w:sz w:val="24"/>
        <w:szCs w:val="24"/>
        <w:u w:val="none"/>
        <w:bdr w:val="none" w:sz="0" w:space="0" w:color="auto"/>
        <w:shd w:val="clear" w:color="auto" w:fill="auto"/>
        <w:vertAlign w:val="baseline"/>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2" w15:restartNumberingAfterBreak="0">
    <w:nsid w:val="188146A8"/>
    <w:multiLevelType w:val="hybridMultilevel"/>
    <w:tmpl w:val="DA14D53A"/>
    <w:lvl w:ilvl="0" w:tplc="9D94D60A">
      <w:start w:val="1"/>
      <w:numFmt w:val="bullet"/>
      <w:lvlText w:val="•"/>
      <w:lvlJc w:val="left"/>
      <w:pPr>
        <w:ind w:left="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CD304A24">
      <w:start w:val="1"/>
      <w:numFmt w:val="bullet"/>
      <w:lvlText w:val="o"/>
      <w:lvlJc w:val="left"/>
      <w:pPr>
        <w:ind w:left="108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BDB455BC">
      <w:start w:val="1"/>
      <w:numFmt w:val="bullet"/>
      <w:lvlText w:val="▪"/>
      <w:lvlJc w:val="left"/>
      <w:pPr>
        <w:ind w:left="180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9D8C6C20">
      <w:start w:val="1"/>
      <w:numFmt w:val="bullet"/>
      <w:lvlText w:val="•"/>
      <w:lvlJc w:val="left"/>
      <w:pPr>
        <w:ind w:left="252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A53EB810">
      <w:start w:val="1"/>
      <w:numFmt w:val="bullet"/>
      <w:lvlText w:val="o"/>
      <w:lvlJc w:val="left"/>
      <w:pPr>
        <w:ind w:left="324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E452C7C2">
      <w:start w:val="1"/>
      <w:numFmt w:val="bullet"/>
      <w:lvlText w:val="▪"/>
      <w:lvlJc w:val="left"/>
      <w:pPr>
        <w:ind w:left="396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E11C8F54">
      <w:start w:val="1"/>
      <w:numFmt w:val="bullet"/>
      <w:lvlText w:val="•"/>
      <w:lvlJc w:val="left"/>
      <w:pPr>
        <w:ind w:left="468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F54645DA">
      <w:start w:val="1"/>
      <w:numFmt w:val="bullet"/>
      <w:lvlText w:val="o"/>
      <w:lvlJc w:val="left"/>
      <w:pPr>
        <w:ind w:left="540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4EF6AFA8">
      <w:start w:val="1"/>
      <w:numFmt w:val="bullet"/>
      <w:lvlText w:val="▪"/>
      <w:lvlJc w:val="left"/>
      <w:pPr>
        <w:ind w:left="612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13" w15:restartNumberingAfterBreak="0">
    <w:nsid w:val="1A53266D"/>
    <w:multiLevelType w:val="hybridMultilevel"/>
    <w:tmpl w:val="04C08AE6"/>
    <w:lvl w:ilvl="0" w:tplc="140A0011">
      <w:start w:val="1"/>
      <w:numFmt w:val="decimal"/>
      <w:lvlText w:val="%1)"/>
      <w:lvlJc w:val="left"/>
      <w:pPr>
        <w:ind w:left="927" w:hanging="360"/>
      </w:pPr>
      <w:rPr>
        <w:rFonts w:hint="default"/>
        <w:b/>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14" w15:restartNumberingAfterBreak="0">
    <w:nsid w:val="1AB254B8"/>
    <w:multiLevelType w:val="hybridMultilevel"/>
    <w:tmpl w:val="CAFA8A80"/>
    <w:lvl w:ilvl="0" w:tplc="905C99A0">
      <w:start w:val="1"/>
      <w:numFmt w:val="lowerLetter"/>
      <w:lvlText w:val="%1)"/>
      <w:lvlJc w:val="left"/>
      <w:pPr>
        <w:ind w:left="1994" w:hanging="360"/>
      </w:pPr>
      <w:rPr>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1CCF6B16"/>
    <w:multiLevelType w:val="hybridMultilevel"/>
    <w:tmpl w:val="DE6A28E4"/>
    <w:lvl w:ilvl="0" w:tplc="2C1A70AC">
      <w:start w:val="1"/>
      <w:numFmt w:val="decimal"/>
      <w:lvlText w:val="%1)"/>
      <w:lvlJc w:val="left"/>
      <w:pPr>
        <w:ind w:left="3338" w:hanging="360"/>
      </w:pPr>
      <w:rPr>
        <w:b/>
        <w:bCs w:val="0"/>
        <w:color w:val="auto"/>
        <w:u w:val="no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1D766704"/>
    <w:multiLevelType w:val="hybridMultilevel"/>
    <w:tmpl w:val="405EBB3A"/>
    <w:lvl w:ilvl="0" w:tplc="BA2CBDE2">
      <w:start w:val="1"/>
      <w:numFmt w:val="decimal"/>
      <w:lvlText w:val="%1."/>
      <w:lvlJc w:val="left"/>
      <w:pPr>
        <w:ind w:left="927" w:hanging="36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17" w15:restartNumberingAfterBreak="0">
    <w:nsid w:val="1D811AF5"/>
    <w:multiLevelType w:val="hybridMultilevel"/>
    <w:tmpl w:val="1B1C6770"/>
    <w:lvl w:ilvl="0" w:tplc="9A30A73E">
      <w:start w:val="1"/>
      <w:numFmt w:val="lowerLetter"/>
      <w:lvlText w:val="%1)"/>
      <w:lvlJc w:val="left"/>
      <w:pPr>
        <w:ind w:left="1634"/>
      </w:pPr>
      <w:rPr>
        <w:rFonts w:hint="default"/>
        <w:b/>
        <w:bCs/>
        <w:i w:val="0"/>
        <w:strike w:val="0"/>
        <w:dstrike w:val="0"/>
        <w:color w:val="auto"/>
        <w:sz w:val="24"/>
        <w:u w:val="none"/>
        <w:bdr w:val="none" w:sz="0" w:space="0" w:color="auto"/>
        <w:shd w:val="clear" w:color="auto" w:fill="auto"/>
        <w:vertAlign w:val="baseli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1EF428C3"/>
    <w:multiLevelType w:val="hybridMultilevel"/>
    <w:tmpl w:val="02A60E68"/>
    <w:lvl w:ilvl="0" w:tplc="FF5E41C6">
      <w:start w:val="1"/>
      <w:numFmt w:val="decimal"/>
      <w:lvlText w:val="%1)"/>
      <w:lvlJc w:val="left"/>
      <w:pPr>
        <w:ind w:left="3338" w:hanging="360"/>
      </w:pPr>
      <w:rPr>
        <w:b/>
        <w:bCs w:val="0"/>
        <w:color w:val="auto"/>
        <w:u w:val="no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1F2E7146"/>
    <w:multiLevelType w:val="hybridMultilevel"/>
    <w:tmpl w:val="BE185A4C"/>
    <w:lvl w:ilvl="0" w:tplc="0046EEE6">
      <w:start w:val="2"/>
      <w:numFmt w:val="decimal"/>
      <w:lvlText w:val="%1."/>
      <w:lvlJc w:val="left"/>
      <w:pPr>
        <w:ind w:left="85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905C99A0">
      <w:start w:val="1"/>
      <w:numFmt w:val="lowerLetter"/>
      <w:lvlText w:val="%2)"/>
      <w:lvlJc w:val="left"/>
      <w:pPr>
        <w:ind w:left="1354" w:hanging="360"/>
      </w:pPr>
      <w:rPr>
        <w:b/>
        <w:bCs/>
      </w:rPr>
    </w:lvl>
    <w:lvl w:ilvl="2" w:tplc="A3707702">
      <w:start w:val="1"/>
      <w:numFmt w:val="lowerRoman"/>
      <w:lvlText w:val="%3"/>
      <w:lvlJc w:val="left"/>
      <w:pPr>
        <w:ind w:left="171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4A634DC">
      <w:start w:val="1"/>
      <w:numFmt w:val="decimal"/>
      <w:lvlText w:val="%4"/>
      <w:lvlJc w:val="left"/>
      <w:pPr>
        <w:ind w:left="243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5DEF132">
      <w:start w:val="1"/>
      <w:numFmt w:val="lowerLetter"/>
      <w:lvlText w:val="%5"/>
      <w:lvlJc w:val="left"/>
      <w:pPr>
        <w:ind w:left="315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15ACB5E">
      <w:start w:val="1"/>
      <w:numFmt w:val="lowerRoman"/>
      <w:lvlText w:val="%6"/>
      <w:lvlJc w:val="left"/>
      <w:pPr>
        <w:ind w:left="387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C50B806">
      <w:start w:val="1"/>
      <w:numFmt w:val="decimal"/>
      <w:lvlText w:val="%7"/>
      <w:lvlJc w:val="left"/>
      <w:pPr>
        <w:ind w:left="459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DB89B60">
      <w:start w:val="1"/>
      <w:numFmt w:val="lowerLetter"/>
      <w:lvlText w:val="%8"/>
      <w:lvlJc w:val="left"/>
      <w:pPr>
        <w:ind w:left="531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0C629E4">
      <w:start w:val="1"/>
      <w:numFmt w:val="lowerRoman"/>
      <w:lvlText w:val="%9"/>
      <w:lvlJc w:val="left"/>
      <w:pPr>
        <w:ind w:left="603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0" w15:restartNumberingAfterBreak="0">
    <w:nsid w:val="23D84461"/>
    <w:multiLevelType w:val="hybridMultilevel"/>
    <w:tmpl w:val="E4B47F0C"/>
    <w:lvl w:ilvl="0" w:tplc="72382C60">
      <w:start w:val="1"/>
      <w:numFmt w:val="decimal"/>
      <w:lvlText w:val="%1)"/>
      <w:lvlJc w:val="left"/>
      <w:pPr>
        <w:ind w:left="3338" w:hanging="360"/>
      </w:pPr>
      <w:rPr>
        <w:b/>
        <w:bCs w:val="0"/>
        <w:color w:val="auto"/>
        <w:u w:val="no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24923909"/>
    <w:multiLevelType w:val="hybridMultilevel"/>
    <w:tmpl w:val="AC085512"/>
    <w:lvl w:ilvl="0" w:tplc="2710FD54">
      <w:start w:val="1"/>
      <w:numFmt w:val="decimal"/>
      <w:lvlText w:val="%1)"/>
      <w:lvlJc w:val="left"/>
      <w:pPr>
        <w:ind w:left="928" w:hanging="360"/>
      </w:pPr>
      <w:rPr>
        <w:b/>
        <w:bCs w:val="0"/>
        <w:color w:val="auto"/>
        <w:u w:val="none"/>
      </w:rPr>
    </w:lvl>
    <w:lvl w:ilvl="1" w:tplc="140A0019" w:tentative="1">
      <w:start w:val="1"/>
      <w:numFmt w:val="lowerLetter"/>
      <w:lvlText w:val="%2."/>
      <w:lvlJc w:val="left"/>
      <w:pPr>
        <w:ind w:left="-970" w:hanging="360"/>
      </w:pPr>
    </w:lvl>
    <w:lvl w:ilvl="2" w:tplc="140A001B" w:tentative="1">
      <w:start w:val="1"/>
      <w:numFmt w:val="lowerRoman"/>
      <w:lvlText w:val="%3."/>
      <w:lvlJc w:val="right"/>
      <w:pPr>
        <w:ind w:left="-250" w:hanging="180"/>
      </w:pPr>
    </w:lvl>
    <w:lvl w:ilvl="3" w:tplc="140A000F" w:tentative="1">
      <w:start w:val="1"/>
      <w:numFmt w:val="decimal"/>
      <w:lvlText w:val="%4."/>
      <w:lvlJc w:val="left"/>
      <w:pPr>
        <w:ind w:left="470" w:hanging="360"/>
      </w:pPr>
    </w:lvl>
    <w:lvl w:ilvl="4" w:tplc="140A0019" w:tentative="1">
      <w:start w:val="1"/>
      <w:numFmt w:val="lowerLetter"/>
      <w:lvlText w:val="%5."/>
      <w:lvlJc w:val="left"/>
      <w:pPr>
        <w:ind w:left="1190" w:hanging="360"/>
      </w:pPr>
    </w:lvl>
    <w:lvl w:ilvl="5" w:tplc="140A001B" w:tentative="1">
      <w:start w:val="1"/>
      <w:numFmt w:val="lowerRoman"/>
      <w:lvlText w:val="%6."/>
      <w:lvlJc w:val="right"/>
      <w:pPr>
        <w:ind w:left="1910" w:hanging="180"/>
      </w:pPr>
    </w:lvl>
    <w:lvl w:ilvl="6" w:tplc="140A000F" w:tentative="1">
      <w:start w:val="1"/>
      <w:numFmt w:val="decimal"/>
      <w:lvlText w:val="%7."/>
      <w:lvlJc w:val="left"/>
      <w:pPr>
        <w:ind w:left="2630" w:hanging="360"/>
      </w:pPr>
    </w:lvl>
    <w:lvl w:ilvl="7" w:tplc="140A0019" w:tentative="1">
      <w:start w:val="1"/>
      <w:numFmt w:val="lowerLetter"/>
      <w:lvlText w:val="%8."/>
      <w:lvlJc w:val="left"/>
      <w:pPr>
        <w:ind w:left="3350" w:hanging="360"/>
      </w:pPr>
    </w:lvl>
    <w:lvl w:ilvl="8" w:tplc="140A001B" w:tentative="1">
      <w:start w:val="1"/>
      <w:numFmt w:val="lowerRoman"/>
      <w:lvlText w:val="%9."/>
      <w:lvlJc w:val="right"/>
      <w:pPr>
        <w:ind w:left="4070" w:hanging="180"/>
      </w:pPr>
    </w:lvl>
  </w:abstractNum>
  <w:abstractNum w:abstractNumId="22" w15:restartNumberingAfterBreak="0">
    <w:nsid w:val="272B64E0"/>
    <w:multiLevelType w:val="hybridMultilevel"/>
    <w:tmpl w:val="03ECBDCE"/>
    <w:lvl w:ilvl="0" w:tplc="FB4E635A">
      <w:start w:val="1"/>
      <w:numFmt w:val="decimal"/>
      <w:lvlText w:val="%1)"/>
      <w:lvlJc w:val="left"/>
      <w:pPr>
        <w:ind w:left="3338" w:hanging="360"/>
      </w:pPr>
      <w:rPr>
        <w:b/>
        <w:bCs w:val="0"/>
        <w:color w:val="auto"/>
        <w:u w:val="no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275A7020"/>
    <w:multiLevelType w:val="hybridMultilevel"/>
    <w:tmpl w:val="93662D7A"/>
    <w:lvl w:ilvl="0" w:tplc="140A0011">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2C353837"/>
    <w:multiLevelType w:val="hybridMultilevel"/>
    <w:tmpl w:val="52E8F4EE"/>
    <w:lvl w:ilvl="0" w:tplc="FFFFFFFF">
      <w:start w:val="3"/>
      <w:numFmt w:val="upperLetter"/>
      <w:lvlText w:val="%1."/>
      <w:lvlJc w:val="left"/>
      <w:pPr>
        <w:ind w:left="863"/>
      </w:pPr>
      <w:rPr>
        <w:rFonts w:ascii="Roboto" w:eastAsia="Times New Roman" w:hAnsi="Roboto" w:cs="Times New Roman" w:hint="default"/>
        <w:b/>
        <w:i w:val="0"/>
        <w:strike w:val="0"/>
        <w:dstrike w:val="0"/>
        <w:color w:val="000000"/>
        <w:sz w:val="24"/>
        <w:u w:val="none" w:color="000000"/>
        <w:bdr w:val="none" w:sz="0" w:space="0" w:color="auto"/>
        <w:shd w:val="clear" w:color="auto" w:fill="auto"/>
        <w:vertAlign w:val="baseline"/>
      </w:rPr>
    </w:lvl>
    <w:lvl w:ilvl="1" w:tplc="FFFFFFFF">
      <w:start w:val="1"/>
      <w:numFmt w:val="upperLetter"/>
      <w:lvlText w:val="%2)"/>
      <w:lvlJc w:val="left"/>
      <w:pPr>
        <w:ind w:left="3338" w:hanging="360"/>
      </w:pPr>
      <w:rPr>
        <w:rFonts w:hint="default"/>
        <w:b/>
        <w:bCs/>
      </w:rPr>
    </w:lvl>
    <w:lvl w:ilvl="2" w:tplc="F3D4AD82">
      <w:start w:val="1"/>
      <w:numFmt w:val="decimal"/>
      <w:lvlText w:val="%3)"/>
      <w:lvlJc w:val="left"/>
      <w:pPr>
        <w:ind w:left="3338" w:hanging="360"/>
      </w:pPr>
      <w:rPr>
        <w:b/>
        <w:bCs w:val="0"/>
        <w:color w:val="auto"/>
        <w:u w:val="none"/>
      </w:rPr>
    </w:lvl>
    <w:lvl w:ilvl="3" w:tplc="FFFFFFFF">
      <w:start w:val="1"/>
      <w:numFmt w:val="decimal"/>
      <w:lvlText w:val="%4"/>
      <w:lvlJc w:val="left"/>
      <w:pPr>
        <w:ind w:left="1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FFFFFFF">
      <w:start w:val="1"/>
      <w:numFmt w:val="lowerLetter"/>
      <w:lvlText w:val="%5"/>
      <w:lvlJc w:val="left"/>
      <w:pPr>
        <w:ind w:left="2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FFFFFFF">
      <w:start w:val="1"/>
      <w:numFmt w:val="lowerRoman"/>
      <w:lvlText w:val="%6"/>
      <w:lvlJc w:val="left"/>
      <w:pPr>
        <w:ind w:left="3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FFFFFFF">
      <w:start w:val="1"/>
      <w:numFmt w:val="decimal"/>
      <w:lvlText w:val="%7"/>
      <w:lvlJc w:val="left"/>
      <w:pPr>
        <w:ind w:left="3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FFFFFFF">
      <w:start w:val="1"/>
      <w:numFmt w:val="lowerLetter"/>
      <w:lvlText w:val="%8"/>
      <w:lvlJc w:val="left"/>
      <w:pPr>
        <w:ind w:left="4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FFFFFFF">
      <w:start w:val="1"/>
      <w:numFmt w:val="lowerRoman"/>
      <w:lvlText w:val="%9"/>
      <w:lvlJc w:val="left"/>
      <w:pPr>
        <w:ind w:left="5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5" w15:restartNumberingAfterBreak="0">
    <w:nsid w:val="2E204416"/>
    <w:multiLevelType w:val="hybridMultilevel"/>
    <w:tmpl w:val="44DE7830"/>
    <w:lvl w:ilvl="0" w:tplc="32E62C28">
      <w:start w:val="1"/>
      <w:numFmt w:val="upperLetter"/>
      <w:pStyle w:val="Ttulo2"/>
      <w:lvlText w:val="%1)"/>
      <w:lvlJc w:val="left"/>
      <w:pPr>
        <w:ind w:left="371" w:hanging="360"/>
      </w:pPr>
      <w:rPr>
        <w:rFonts w:hint="default"/>
        <w:color w:val="auto"/>
        <w:u w:val="none"/>
      </w:rPr>
    </w:lvl>
    <w:lvl w:ilvl="1" w:tplc="140A0019" w:tentative="1">
      <w:start w:val="1"/>
      <w:numFmt w:val="lowerLetter"/>
      <w:lvlText w:val="%2."/>
      <w:lvlJc w:val="left"/>
      <w:pPr>
        <w:ind w:left="1091" w:hanging="360"/>
      </w:pPr>
    </w:lvl>
    <w:lvl w:ilvl="2" w:tplc="140A001B" w:tentative="1">
      <w:start w:val="1"/>
      <w:numFmt w:val="lowerRoman"/>
      <w:lvlText w:val="%3."/>
      <w:lvlJc w:val="right"/>
      <w:pPr>
        <w:ind w:left="1811" w:hanging="180"/>
      </w:pPr>
    </w:lvl>
    <w:lvl w:ilvl="3" w:tplc="140A000F" w:tentative="1">
      <w:start w:val="1"/>
      <w:numFmt w:val="decimal"/>
      <w:lvlText w:val="%4."/>
      <w:lvlJc w:val="left"/>
      <w:pPr>
        <w:ind w:left="2531" w:hanging="360"/>
      </w:pPr>
    </w:lvl>
    <w:lvl w:ilvl="4" w:tplc="140A0019" w:tentative="1">
      <w:start w:val="1"/>
      <w:numFmt w:val="lowerLetter"/>
      <w:lvlText w:val="%5."/>
      <w:lvlJc w:val="left"/>
      <w:pPr>
        <w:ind w:left="3251" w:hanging="360"/>
      </w:pPr>
    </w:lvl>
    <w:lvl w:ilvl="5" w:tplc="140A001B" w:tentative="1">
      <w:start w:val="1"/>
      <w:numFmt w:val="lowerRoman"/>
      <w:lvlText w:val="%6."/>
      <w:lvlJc w:val="right"/>
      <w:pPr>
        <w:ind w:left="3971" w:hanging="180"/>
      </w:pPr>
    </w:lvl>
    <w:lvl w:ilvl="6" w:tplc="140A000F" w:tentative="1">
      <w:start w:val="1"/>
      <w:numFmt w:val="decimal"/>
      <w:lvlText w:val="%7."/>
      <w:lvlJc w:val="left"/>
      <w:pPr>
        <w:ind w:left="4691" w:hanging="360"/>
      </w:pPr>
    </w:lvl>
    <w:lvl w:ilvl="7" w:tplc="140A0019" w:tentative="1">
      <w:start w:val="1"/>
      <w:numFmt w:val="lowerLetter"/>
      <w:lvlText w:val="%8."/>
      <w:lvlJc w:val="left"/>
      <w:pPr>
        <w:ind w:left="5411" w:hanging="360"/>
      </w:pPr>
    </w:lvl>
    <w:lvl w:ilvl="8" w:tplc="140A001B" w:tentative="1">
      <w:start w:val="1"/>
      <w:numFmt w:val="lowerRoman"/>
      <w:lvlText w:val="%9."/>
      <w:lvlJc w:val="right"/>
      <w:pPr>
        <w:ind w:left="6131" w:hanging="180"/>
      </w:pPr>
    </w:lvl>
  </w:abstractNum>
  <w:abstractNum w:abstractNumId="26" w15:restartNumberingAfterBreak="0">
    <w:nsid w:val="34BC4A16"/>
    <w:multiLevelType w:val="hybridMultilevel"/>
    <w:tmpl w:val="C0F4FFAA"/>
    <w:lvl w:ilvl="0" w:tplc="D12E7654">
      <w:start w:val="1"/>
      <w:numFmt w:val="bullet"/>
      <w:lvlText w:val="•"/>
      <w:lvlJc w:val="left"/>
      <w:pPr>
        <w:ind w:left="72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0B2E542E">
      <w:start w:val="1"/>
      <w:numFmt w:val="bullet"/>
      <w:lvlText w:val="o"/>
      <w:lvlJc w:val="left"/>
      <w:pPr>
        <w:ind w:left="144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E1C26150">
      <w:start w:val="1"/>
      <w:numFmt w:val="bullet"/>
      <w:lvlText w:val="▪"/>
      <w:lvlJc w:val="left"/>
      <w:pPr>
        <w:ind w:left="216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C61C9316">
      <w:start w:val="1"/>
      <w:numFmt w:val="bullet"/>
      <w:lvlText w:val="•"/>
      <w:lvlJc w:val="left"/>
      <w:pPr>
        <w:ind w:left="288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2806EB36">
      <w:start w:val="1"/>
      <w:numFmt w:val="bullet"/>
      <w:lvlText w:val="o"/>
      <w:lvlJc w:val="left"/>
      <w:pPr>
        <w:ind w:left="360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03043220">
      <w:start w:val="1"/>
      <w:numFmt w:val="bullet"/>
      <w:lvlText w:val="▪"/>
      <w:lvlJc w:val="left"/>
      <w:pPr>
        <w:ind w:left="432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443055D4">
      <w:start w:val="1"/>
      <w:numFmt w:val="bullet"/>
      <w:lvlText w:val="•"/>
      <w:lvlJc w:val="left"/>
      <w:pPr>
        <w:ind w:left="504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32D2F13A">
      <w:start w:val="1"/>
      <w:numFmt w:val="bullet"/>
      <w:lvlText w:val="o"/>
      <w:lvlJc w:val="left"/>
      <w:pPr>
        <w:ind w:left="576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F2682104">
      <w:start w:val="1"/>
      <w:numFmt w:val="bullet"/>
      <w:lvlText w:val="▪"/>
      <w:lvlJc w:val="left"/>
      <w:pPr>
        <w:ind w:left="648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27" w15:restartNumberingAfterBreak="0">
    <w:nsid w:val="373C3DE3"/>
    <w:multiLevelType w:val="hybridMultilevel"/>
    <w:tmpl w:val="CD584AC2"/>
    <w:lvl w:ilvl="0" w:tplc="5A0298AA">
      <w:start w:val="1"/>
      <w:numFmt w:val="decimal"/>
      <w:lvlText w:val="%1)"/>
      <w:lvlJc w:val="left"/>
      <w:pPr>
        <w:ind w:left="3338" w:hanging="360"/>
      </w:pPr>
      <w:rPr>
        <w:b/>
        <w:bCs w:val="0"/>
        <w:color w:val="auto"/>
        <w:u w:val="no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38793380"/>
    <w:multiLevelType w:val="hybridMultilevel"/>
    <w:tmpl w:val="FF389932"/>
    <w:lvl w:ilvl="0" w:tplc="ABF09D2E">
      <w:start w:val="1"/>
      <w:numFmt w:val="decimal"/>
      <w:lvlText w:val="%1)"/>
      <w:lvlJc w:val="left"/>
      <w:pPr>
        <w:ind w:left="3338" w:hanging="360"/>
      </w:pPr>
      <w:rPr>
        <w:b/>
        <w:bCs w:val="0"/>
        <w:color w:val="auto"/>
        <w:u w:val="no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390705B6"/>
    <w:multiLevelType w:val="hybridMultilevel"/>
    <w:tmpl w:val="57B4E940"/>
    <w:lvl w:ilvl="0" w:tplc="D76CE790">
      <w:start w:val="1"/>
      <w:numFmt w:val="decimal"/>
      <w:lvlText w:val="%1)"/>
      <w:lvlJc w:val="left"/>
      <w:pPr>
        <w:ind w:left="1440" w:hanging="360"/>
      </w:pPr>
      <w:rPr>
        <w:b/>
        <w:bCs w:val="0"/>
        <w:color w:val="auto"/>
        <w:u w:val="none"/>
      </w:rPr>
    </w:lvl>
    <w:lvl w:ilvl="1" w:tplc="FFFFFFFF" w:tentative="1">
      <w:start w:val="1"/>
      <w:numFmt w:val="lowerLetter"/>
      <w:lvlText w:val="%2."/>
      <w:lvlJc w:val="left"/>
      <w:pPr>
        <w:ind w:left="-458" w:hanging="360"/>
      </w:pPr>
    </w:lvl>
    <w:lvl w:ilvl="2" w:tplc="FFFFFFFF" w:tentative="1">
      <w:start w:val="1"/>
      <w:numFmt w:val="lowerRoman"/>
      <w:lvlText w:val="%3."/>
      <w:lvlJc w:val="right"/>
      <w:pPr>
        <w:ind w:left="262" w:hanging="180"/>
      </w:pPr>
    </w:lvl>
    <w:lvl w:ilvl="3" w:tplc="FFFFFFFF" w:tentative="1">
      <w:start w:val="1"/>
      <w:numFmt w:val="decimal"/>
      <w:lvlText w:val="%4."/>
      <w:lvlJc w:val="left"/>
      <w:pPr>
        <w:ind w:left="982" w:hanging="360"/>
      </w:pPr>
    </w:lvl>
    <w:lvl w:ilvl="4" w:tplc="FFFFFFFF" w:tentative="1">
      <w:start w:val="1"/>
      <w:numFmt w:val="lowerLetter"/>
      <w:lvlText w:val="%5."/>
      <w:lvlJc w:val="left"/>
      <w:pPr>
        <w:ind w:left="1702" w:hanging="360"/>
      </w:pPr>
    </w:lvl>
    <w:lvl w:ilvl="5" w:tplc="FFFFFFFF" w:tentative="1">
      <w:start w:val="1"/>
      <w:numFmt w:val="lowerRoman"/>
      <w:lvlText w:val="%6."/>
      <w:lvlJc w:val="right"/>
      <w:pPr>
        <w:ind w:left="2422" w:hanging="180"/>
      </w:pPr>
    </w:lvl>
    <w:lvl w:ilvl="6" w:tplc="FFFFFFFF" w:tentative="1">
      <w:start w:val="1"/>
      <w:numFmt w:val="decimal"/>
      <w:lvlText w:val="%7."/>
      <w:lvlJc w:val="left"/>
      <w:pPr>
        <w:ind w:left="3142" w:hanging="360"/>
      </w:pPr>
    </w:lvl>
    <w:lvl w:ilvl="7" w:tplc="FFFFFFFF" w:tentative="1">
      <w:start w:val="1"/>
      <w:numFmt w:val="lowerLetter"/>
      <w:lvlText w:val="%8."/>
      <w:lvlJc w:val="left"/>
      <w:pPr>
        <w:ind w:left="3862" w:hanging="360"/>
      </w:pPr>
    </w:lvl>
    <w:lvl w:ilvl="8" w:tplc="FFFFFFFF" w:tentative="1">
      <w:start w:val="1"/>
      <w:numFmt w:val="lowerRoman"/>
      <w:lvlText w:val="%9."/>
      <w:lvlJc w:val="right"/>
      <w:pPr>
        <w:ind w:left="4582" w:hanging="180"/>
      </w:pPr>
    </w:lvl>
  </w:abstractNum>
  <w:abstractNum w:abstractNumId="30" w15:restartNumberingAfterBreak="0">
    <w:nsid w:val="390D704E"/>
    <w:multiLevelType w:val="hybridMultilevel"/>
    <w:tmpl w:val="1C986FE6"/>
    <w:lvl w:ilvl="0" w:tplc="FFFFFFFF">
      <w:start w:val="3"/>
      <w:numFmt w:val="upperLetter"/>
      <w:lvlText w:val="%1."/>
      <w:lvlJc w:val="left"/>
      <w:pPr>
        <w:ind w:left="863"/>
      </w:pPr>
      <w:rPr>
        <w:rFonts w:ascii="Roboto" w:eastAsia="Times New Roman" w:hAnsi="Roboto" w:cs="Times New Roman" w:hint="default"/>
        <w:b/>
        <w:i w:val="0"/>
        <w:strike w:val="0"/>
        <w:dstrike w:val="0"/>
        <w:color w:val="000000"/>
        <w:sz w:val="24"/>
        <w:u w:val="none" w:color="000000"/>
        <w:bdr w:val="none" w:sz="0" w:space="0" w:color="auto"/>
        <w:shd w:val="clear" w:color="auto" w:fill="auto"/>
        <w:vertAlign w:val="baseline"/>
      </w:rPr>
    </w:lvl>
    <w:lvl w:ilvl="1" w:tplc="FFFFFFFF">
      <w:start w:val="1"/>
      <w:numFmt w:val="upperLetter"/>
      <w:lvlText w:val="%2)"/>
      <w:lvlJc w:val="left"/>
      <w:pPr>
        <w:ind w:left="3338" w:hanging="360"/>
      </w:pPr>
      <w:rPr>
        <w:rFonts w:hint="default"/>
        <w:b/>
        <w:bCs/>
      </w:rPr>
    </w:lvl>
    <w:lvl w:ilvl="2" w:tplc="22C4254C">
      <w:start w:val="1"/>
      <w:numFmt w:val="decimal"/>
      <w:lvlText w:val="%3)"/>
      <w:lvlJc w:val="left"/>
      <w:pPr>
        <w:ind w:left="1070" w:hanging="360"/>
      </w:pPr>
      <w:rPr>
        <w:b/>
        <w:bCs w:val="0"/>
        <w:color w:val="auto"/>
        <w:u w:val="none"/>
      </w:rPr>
    </w:lvl>
    <w:lvl w:ilvl="3" w:tplc="FFFFFFFF">
      <w:start w:val="1"/>
      <w:numFmt w:val="decimal"/>
      <w:lvlText w:val="%4"/>
      <w:lvlJc w:val="left"/>
      <w:pPr>
        <w:ind w:left="1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FFFFFFF">
      <w:start w:val="1"/>
      <w:numFmt w:val="lowerLetter"/>
      <w:lvlText w:val="%5"/>
      <w:lvlJc w:val="left"/>
      <w:pPr>
        <w:ind w:left="2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FFFFFFF">
      <w:start w:val="1"/>
      <w:numFmt w:val="lowerRoman"/>
      <w:lvlText w:val="%6"/>
      <w:lvlJc w:val="left"/>
      <w:pPr>
        <w:ind w:left="3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FFFFFFF">
      <w:start w:val="1"/>
      <w:numFmt w:val="decimal"/>
      <w:lvlText w:val="%7"/>
      <w:lvlJc w:val="left"/>
      <w:pPr>
        <w:ind w:left="3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FFFFFFF">
      <w:start w:val="1"/>
      <w:numFmt w:val="lowerLetter"/>
      <w:lvlText w:val="%8"/>
      <w:lvlJc w:val="left"/>
      <w:pPr>
        <w:ind w:left="4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FFFFFFF">
      <w:start w:val="1"/>
      <w:numFmt w:val="lowerRoman"/>
      <w:lvlText w:val="%9"/>
      <w:lvlJc w:val="left"/>
      <w:pPr>
        <w:ind w:left="5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1" w15:restartNumberingAfterBreak="0">
    <w:nsid w:val="3B376750"/>
    <w:multiLevelType w:val="hybridMultilevel"/>
    <w:tmpl w:val="BE74DE98"/>
    <w:lvl w:ilvl="0" w:tplc="FB44F49E">
      <w:start w:val="1"/>
      <w:numFmt w:val="decimal"/>
      <w:lvlText w:val="%1)"/>
      <w:lvlJc w:val="left"/>
      <w:pPr>
        <w:ind w:left="3338" w:hanging="360"/>
      </w:pPr>
      <w:rPr>
        <w:b/>
        <w:bCs w:val="0"/>
        <w:color w:val="auto"/>
        <w:u w:val="no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3B433678"/>
    <w:multiLevelType w:val="hybridMultilevel"/>
    <w:tmpl w:val="004A6A5A"/>
    <w:lvl w:ilvl="0" w:tplc="FFFFFFFF">
      <w:start w:val="1"/>
      <w:numFmt w:val="decimal"/>
      <w:lvlText w:val="%1."/>
      <w:lvlJc w:val="left"/>
      <w:pPr>
        <w:ind w:left="372" w:hanging="360"/>
      </w:pPr>
      <w:rPr>
        <w:rFonts w:hint="default"/>
      </w:rPr>
    </w:lvl>
    <w:lvl w:ilvl="1" w:tplc="552CF1AE">
      <w:start w:val="1"/>
      <w:numFmt w:val="decimal"/>
      <w:lvlText w:val="%2)"/>
      <w:lvlJc w:val="left"/>
      <w:pPr>
        <w:ind w:left="786" w:hanging="360"/>
      </w:pPr>
      <w:rPr>
        <w:b/>
        <w:bCs w:val="0"/>
        <w:color w:val="auto"/>
        <w:u w:val="none"/>
      </w:rPr>
    </w:lvl>
    <w:lvl w:ilvl="2" w:tplc="FFFFFFFF">
      <w:start w:val="1"/>
      <w:numFmt w:val="bullet"/>
      <w:lvlText w:val=""/>
      <w:lvlJc w:val="left"/>
      <w:pPr>
        <w:ind w:left="1812" w:hanging="360"/>
      </w:pPr>
      <w:rPr>
        <w:rFonts w:ascii="Wingdings" w:hAnsi="Wingdings" w:hint="default"/>
      </w:rPr>
    </w:lvl>
    <w:lvl w:ilvl="3" w:tplc="FFFFFFFF" w:tentative="1">
      <w:start w:val="1"/>
      <w:numFmt w:val="bullet"/>
      <w:lvlText w:val=""/>
      <w:lvlJc w:val="left"/>
      <w:pPr>
        <w:ind w:left="2532" w:hanging="360"/>
      </w:pPr>
      <w:rPr>
        <w:rFonts w:ascii="Symbol" w:hAnsi="Symbol" w:hint="default"/>
      </w:rPr>
    </w:lvl>
    <w:lvl w:ilvl="4" w:tplc="FFFFFFFF" w:tentative="1">
      <w:start w:val="1"/>
      <w:numFmt w:val="bullet"/>
      <w:lvlText w:val="o"/>
      <w:lvlJc w:val="left"/>
      <w:pPr>
        <w:ind w:left="3252" w:hanging="360"/>
      </w:pPr>
      <w:rPr>
        <w:rFonts w:ascii="Courier New" w:hAnsi="Courier New" w:cs="Courier New" w:hint="default"/>
      </w:rPr>
    </w:lvl>
    <w:lvl w:ilvl="5" w:tplc="FFFFFFFF" w:tentative="1">
      <w:start w:val="1"/>
      <w:numFmt w:val="bullet"/>
      <w:lvlText w:val=""/>
      <w:lvlJc w:val="left"/>
      <w:pPr>
        <w:ind w:left="3972" w:hanging="360"/>
      </w:pPr>
      <w:rPr>
        <w:rFonts w:ascii="Wingdings" w:hAnsi="Wingdings" w:hint="default"/>
      </w:rPr>
    </w:lvl>
    <w:lvl w:ilvl="6" w:tplc="FFFFFFFF" w:tentative="1">
      <w:start w:val="1"/>
      <w:numFmt w:val="bullet"/>
      <w:lvlText w:val=""/>
      <w:lvlJc w:val="left"/>
      <w:pPr>
        <w:ind w:left="4692" w:hanging="360"/>
      </w:pPr>
      <w:rPr>
        <w:rFonts w:ascii="Symbol" w:hAnsi="Symbol" w:hint="default"/>
      </w:rPr>
    </w:lvl>
    <w:lvl w:ilvl="7" w:tplc="FFFFFFFF" w:tentative="1">
      <w:start w:val="1"/>
      <w:numFmt w:val="bullet"/>
      <w:lvlText w:val="o"/>
      <w:lvlJc w:val="left"/>
      <w:pPr>
        <w:ind w:left="5412" w:hanging="360"/>
      </w:pPr>
      <w:rPr>
        <w:rFonts w:ascii="Courier New" w:hAnsi="Courier New" w:cs="Courier New" w:hint="default"/>
      </w:rPr>
    </w:lvl>
    <w:lvl w:ilvl="8" w:tplc="FFFFFFFF" w:tentative="1">
      <w:start w:val="1"/>
      <w:numFmt w:val="bullet"/>
      <w:lvlText w:val=""/>
      <w:lvlJc w:val="left"/>
      <w:pPr>
        <w:ind w:left="6132" w:hanging="360"/>
      </w:pPr>
      <w:rPr>
        <w:rFonts w:ascii="Wingdings" w:hAnsi="Wingdings" w:hint="default"/>
      </w:rPr>
    </w:lvl>
  </w:abstractNum>
  <w:abstractNum w:abstractNumId="33" w15:restartNumberingAfterBreak="0">
    <w:nsid w:val="3FB36564"/>
    <w:multiLevelType w:val="hybridMultilevel"/>
    <w:tmpl w:val="C8C6F5C4"/>
    <w:lvl w:ilvl="0" w:tplc="42CE68D4">
      <w:start w:val="1"/>
      <w:numFmt w:val="lowerRoman"/>
      <w:lvlText w:val="%1)"/>
      <w:lvlJc w:val="left"/>
      <w:pPr>
        <w:ind w:left="1418"/>
      </w:pPr>
      <w:rPr>
        <w:rFonts w:hint="default"/>
        <w:b w:val="0"/>
        <w:bCs w:val="0"/>
        <w:i w:val="0"/>
        <w:strike w:val="0"/>
        <w:dstrike w:val="0"/>
        <w:color w:val="000000"/>
        <w:sz w:val="24"/>
        <w:u w:val="none" w:color="000000"/>
        <w:bdr w:val="none" w:sz="0" w:space="0" w:color="auto"/>
        <w:shd w:val="clear" w:color="auto" w:fill="auto"/>
        <w:vertAlign w:val="baseline"/>
        <w:lang w:val="es-CR"/>
      </w:rPr>
    </w:lvl>
    <w:lvl w:ilvl="1" w:tplc="B382F1B2">
      <w:start w:val="1"/>
      <w:numFmt w:val="lowerLetter"/>
      <w:lvlText w:val="%2"/>
      <w:lvlJc w:val="left"/>
      <w:pPr>
        <w:ind w:left="18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8EE0400">
      <w:start w:val="1"/>
      <w:numFmt w:val="lowerRoman"/>
      <w:lvlText w:val="%3"/>
      <w:lvlJc w:val="left"/>
      <w:pPr>
        <w:ind w:left="25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7C4F368">
      <w:start w:val="1"/>
      <w:numFmt w:val="decimal"/>
      <w:lvlText w:val="%4"/>
      <w:lvlJc w:val="left"/>
      <w:pPr>
        <w:ind w:left="32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BDE2D48">
      <w:start w:val="1"/>
      <w:numFmt w:val="lowerLetter"/>
      <w:lvlText w:val="%5"/>
      <w:lvlJc w:val="left"/>
      <w:pPr>
        <w:ind w:left="39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E24DB08">
      <w:start w:val="1"/>
      <w:numFmt w:val="lowerRoman"/>
      <w:lvlText w:val="%6"/>
      <w:lvlJc w:val="left"/>
      <w:pPr>
        <w:ind w:left="46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4085BD4">
      <w:start w:val="1"/>
      <w:numFmt w:val="decimal"/>
      <w:lvlText w:val="%7"/>
      <w:lvlJc w:val="left"/>
      <w:pPr>
        <w:ind w:left="54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0401B3E">
      <w:start w:val="1"/>
      <w:numFmt w:val="lowerLetter"/>
      <w:lvlText w:val="%8"/>
      <w:lvlJc w:val="left"/>
      <w:pPr>
        <w:ind w:left="61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2E80698">
      <w:start w:val="1"/>
      <w:numFmt w:val="lowerRoman"/>
      <w:lvlText w:val="%9"/>
      <w:lvlJc w:val="left"/>
      <w:pPr>
        <w:ind w:left="68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4" w15:restartNumberingAfterBreak="0">
    <w:nsid w:val="3FFA1D07"/>
    <w:multiLevelType w:val="hybridMultilevel"/>
    <w:tmpl w:val="2F82EF98"/>
    <w:lvl w:ilvl="0" w:tplc="49E06E54">
      <w:start w:val="1"/>
      <w:numFmt w:val="lowerLetter"/>
      <w:lvlText w:val="%1)"/>
      <w:lvlJc w:val="left"/>
      <w:pPr>
        <w:ind w:left="1069" w:hanging="360"/>
      </w:pPr>
      <w:rPr>
        <w:rFonts w:hint="default"/>
        <w:b/>
        <w:bCs/>
        <w:i w:val="0"/>
        <w:strike w:val="0"/>
        <w:dstrike w:val="0"/>
        <w:color w:val="auto"/>
        <w:sz w:val="24"/>
        <w:szCs w:val="24"/>
        <w:u w:val="none"/>
        <w:bdr w:val="none" w:sz="0" w:space="0" w:color="auto"/>
        <w:shd w:val="clear" w:color="auto" w:fill="auto"/>
        <w:vertAlign w:val="baseline"/>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35" w15:restartNumberingAfterBreak="0">
    <w:nsid w:val="41047DF3"/>
    <w:multiLevelType w:val="hybridMultilevel"/>
    <w:tmpl w:val="5222755E"/>
    <w:lvl w:ilvl="0" w:tplc="3D184B04">
      <w:start w:val="1"/>
      <w:numFmt w:val="decimal"/>
      <w:lvlText w:val="%1)"/>
      <w:lvlJc w:val="left"/>
      <w:pPr>
        <w:ind w:left="372" w:hanging="360"/>
      </w:pPr>
      <w:rPr>
        <w:rFonts w:hint="default"/>
        <w:b/>
        <w:bCs w:val="0"/>
        <w:color w:val="auto"/>
        <w:u w:val="none"/>
      </w:rPr>
    </w:lvl>
    <w:lvl w:ilvl="1" w:tplc="FFFFFFFF">
      <w:start w:val="1"/>
      <w:numFmt w:val="decimal"/>
      <w:lvlText w:val="%2."/>
      <w:lvlJc w:val="left"/>
      <w:pPr>
        <w:ind w:left="372" w:hanging="360"/>
      </w:pPr>
    </w:lvl>
    <w:lvl w:ilvl="2" w:tplc="FFFFFFFF">
      <w:start w:val="1"/>
      <w:numFmt w:val="bullet"/>
      <w:lvlText w:val=""/>
      <w:lvlJc w:val="left"/>
      <w:pPr>
        <w:ind w:left="1812" w:hanging="360"/>
      </w:pPr>
      <w:rPr>
        <w:rFonts w:ascii="Wingdings" w:hAnsi="Wingdings" w:hint="default"/>
      </w:rPr>
    </w:lvl>
    <w:lvl w:ilvl="3" w:tplc="FFFFFFFF" w:tentative="1">
      <w:start w:val="1"/>
      <w:numFmt w:val="bullet"/>
      <w:lvlText w:val=""/>
      <w:lvlJc w:val="left"/>
      <w:pPr>
        <w:ind w:left="2532" w:hanging="360"/>
      </w:pPr>
      <w:rPr>
        <w:rFonts w:ascii="Symbol" w:hAnsi="Symbol" w:hint="default"/>
      </w:rPr>
    </w:lvl>
    <w:lvl w:ilvl="4" w:tplc="FFFFFFFF" w:tentative="1">
      <w:start w:val="1"/>
      <w:numFmt w:val="bullet"/>
      <w:lvlText w:val="o"/>
      <w:lvlJc w:val="left"/>
      <w:pPr>
        <w:ind w:left="3252" w:hanging="360"/>
      </w:pPr>
      <w:rPr>
        <w:rFonts w:ascii="Courier New" w:hAnsi="Courier New" w:cs="Courier New" w:hint="default"/>
      </w:rPr>
    </w:lvl>
    <w:lvl w:ilvl="5" w:tplc="FFFFFFFF" w:tentative="1">
      <w:start w:val="1"/>
      <w:numFmt w:val="bullet"/>
      <w:lvlText w:val=""/>
      <w:lvlJc w:val="left"/>
      <w:pPr>
        <w:ind w:left="3972" w:hanging="360"/>
      </w:pPr>
      <w:rPr>
        <w:rFonts w:ascii="Wingdings" w:hAnsi="Wingdings" w:hint="default"/>
      </w:rPr>
    </w:lvl>
    <w:lvl w:ilvl="6" w:tplc="FFFFFFFF" w:tentative="1">
      <w:start w:val="1"/>
      <w:numFmt w:val="bullet"/>
      <w:lvlText w:val=""/>
      <w:lvlJc w:val="left"/>
      <w:pPr>
        <w:ind w:left="4692" w:hanging="360"/>
      </w:pPr>
      <w:rPr>
        <w:rFonts w:ascii="Symbol" w:hAnsi="Symbol" w:hint="default"/>
      </w:rPr>
    </w:lvl>
    <w:lvl w:ilvl="7" w:tplc="FFFFFFFF" w:tentative="1">
      <w:start w:val="1"/>
      <w:numFmt w:val="bullet"/>
      <w:lvlText w:val="o"/>
      <w:lvlJc w:val="left"/>
      <w:pPr>
        <w:ind w:left="5412" w:hanging="360"/>
      </w:pPr>
      <w:rPr>
        <w:rFonts w:ascii="Courier New" w:hAnsi="Courier New" w:cs="Courier New" w:hint="default"/>
      </w:rPr>
    </w:lvl>
    <w:lvl w:ilvl="8" w:tplc="FFFFFFFF" w:tentative="1">
      <w:start w:val="1"/>
      <w:numFmt w:val="bullet"/>
      <w:lvlText w:val=""/>
      <w:lvlJc w:val="left"/>
      <w:pPr>
        <w:ind w:left="6132" w:hanging="360"/>
      </w:pPr>
      <w:rPr>
        <w:rFonts w:ascii="Wingdings" w:hAnsi="Wingdings" w:hint="default"/>
      </w:rPr>
    </w:lvl>
  </w:abstractNum>
  <w:abstractNum w:abstractNumId="36" w15:restartNumberingAfterBreak="0">
    <w:nsid w:val="43B25760"/>
    <w:multiLevelType w:val="hybridMultilevel"/>
    <w:tmpl w:val="A70E6FD6"/>
    <w:lvl w:ilvl="0" w:tplc="D7243F0A">
      <w:start w:val="1"/>
      <w:numFmt w:val="upperLetter"/>
      <w:lvlText w:val="%1)"/>
      <w:lvlJc w:val="left"/>
      <w:pPr>
        <w:ind w:left="360" w:hanging="360"/>
      </w:pPr>
      <w:rPr>
        <w:rFonts w:hint="default"/>
        <w:b/>
        <w:bCs w:val="0"/>
        <w:strike w:val="0"/>
        <w:color w:val="0070C0"/>
        <w:u w:val="single"/>
      </w:rPr>
    </w:lvl>
    <w:lvl w:ilvl="1" w:tplc="24D6B176">
      <w:start w:val="1"/>
      <w:numFmt w:val="decimal"/>
      <w:lvlText w:val="%2)"/>
      <w:lvlJc w:val="left"/>
      <w:pPr>
        <w:ind w:left="3338" w:hanging="360"/>
      </w:pPr>
      <w:rPr>
        <w:b/>
        <w:bCs w:val="0"/>
        <w:color w:val="auto"/>
        <w:u w:val="none"/>
      </w:rPr>
    </w:lvl>
    <w:lvl w:ilvl="2" w:tplc="CAC8E8AA">
      <w:start w:val="1"/>
      <w:numFmt w:val="decimal"/>
      <w:lvlText w:val="%3)"/>
      <w:lvlJc w:val="left"/>
      <w:pPr>
        <w:ind w:left="927" w:hanging="360"/>
      </w:pPr>
      <w:rPr>
        <w:color w:val="auto"/>
        <w:u w:val="none"/>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7" w15:restartNumberingAfterBreak="0">
    <w:nsid w:val="443F5BC8"/>
    <w:multiLevelType w:val="hybridMultilevel"/>
    <w:tmpl w:val="597416F8"/>
    <w:lvl w:ilvl="0" w:tplc="5EB845F0">
      <w:start w:val="1"/>
      <w:numFmt w:val="upperLetter"/>
      <w:lvlText w:val="%1)"/>
      <w:lvlJc w:val="left"/>
      <w:pPr>
        <w:ind w:left="349" w:hanging="360"/>
      </w:pPr>
      <w:rPr>
        <w:rFonts w:hint="default"/>
      </w:rPr>
    </w:lvl>
    <w:lvl w:ilvl="1" w:tplc="140A0019" w:tentative="1">
      <w:start w:val="1"/>
      <w:numFmt w:val="lowerLetter"/>
      <w:lvlText w:val="%2."/>
      <w:lvlJc w:val="left"/>
      <w:pPr>
        <w:ind w:left="1069" w:hanging="360"/>
      </w:pPr>
    </w:lvl>
    <w:lvl w:ilvl="2" w:tplc="140A001B" w:tentative="1">
      <w:start w:val="1"/>
      <w:numFmt w:val="lowerRoman"/>
      <w:lvlText w:val="%3."/>
      <w:lvlJc w:val="right"/>
      <w:pPr>
        <w:ind w:left="1789" w:hanging="180"/>
      </w:pPr>
    </w:lvl>
    <w:lvl w:ilvl="3" w:tplc="140A000F" w:tentative="1">
      <w:start w:val="1"/>
      <w:numFmt w:val="decimal"/>
      <w:lvlText w:val="%4."/>
      <w:lvlJc w:val="left"/>
      <w:pPr>
        <w:ind w:left="2509" w:hanging="360"/>
      </w:pPr>
    </w:lvl>
    <w:lvl w:ilvl="4" w:tplc="140A0019" w:tentative="1">
      <w:start w:val="1"/>
      <w:numFmt w:val="lowerLetter"/>
      <w:lvlText w:val="%5."/>
      <w:lvlJc w:val="left"/>
      <w:pPr>
        <w:ind w:left="3229" w:hanging="360"/>
      </w:pPr>
    </w:lvl>
    <w:lvl w:ilvl="5" w:tplc="140A001B" w:tentative="1">
      <w:start w:val="1"/>
      <w:numFmt w:val="lowerRoman"/>
      <w:lvlText w:val="%6."/>
      <w:lvlJc w:val="right"/>
      <w:pPr>
        <w:ind w:left="3949" w:hanging="180"/>
      </w:pPr>
    </w:lvl>
    <w:lvl w:ilvl="6" w:tplc="140A000F" w:tentative="1">
      <w:start w:val="1"/>
      <w:numFmt w:val="decimal"/>
      <w:lvlText w:val="%7."/>
      <w:lvlJc w:val="left"/>
      <w:pPr>
        <w:ind w:left="4669" w:hanging="360"/>
      </w:pPr>
    </w:lvl>
    <w:lvl w:ilvl="7" w:tplc="140A0019" w:tentative="1">
      <w:start w:val="1"/>
      <w:numFmt w:val="lowerLetter"/>
      <w:lvlText w:val="%8."/>
      <w:lvlJc w:val="left"/>
      <w:pPr>
        <w:ind w:left="5389" w:hanging="360"/>
      </w:pPr>
    </w:lvl>
    <w:lvl w:ilvl="8" w:tplc="140A001B" w:tentative="1">
      <w:start w:val="1"/>
      <w:numFmt w:val="lowerRoman"/>
      <w:lvlText w:val="%9."/>
      <w:lvlJc w:val="right"/>
      <w:pPr>
        <w:ind w:left="6109" w:hanging="180"/>
      </w:pPr>
    </w:lvl>
  </w:abstractNum>
  <w:abstractNum w:abstractNumId="38" w15:restartNumberingAfterBreak="0">
    <w:nsid w:val="443F7572"/>
    <w:multiLevelType w:val="hybridMultilevel"/>
    <w:tmpl w:val="3656E872"/>
    <w:lvl w:ilvl="0" w:tplc="1946099C">
      <w:start w:val="1"/>
      <w:numFmt w:val="lowerLetter"/>
      <w:lvlText w:val="%1)"/>
      <w:lvlJc w:val="left"/>
      <w:pPr>
        <w:ind w:left="1069" w:hanging="360"/>
      </w:pPr>
      <w:rPr>
        <w:rFonts w:hint="default"/>
        <w:b/>
        <w:bCs/>
        <w:i w:val="0"/>
        <w:strike w:val="0"/>
        <w:dstrike w:val="0"/>
        <w:color w:val="auto"/>
        <w:sz w:val="24"/>
        <w:szCs w:val="24"/>
        <w:u w:val="none"/>
        <w:bdr w:val="none" w:sz="0" w:space="0" w:color="auto"/>
        <w:shd w:val="clear" w:color="auto" w:fill="auto"/>
        <w:vertAlign w:val="baseline"/>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39" w15:restartNumberingAfterBreak="0">
    <w:nsid w:val="476A6A21"/>
    <w:multiLevelType w:val="hybridMultilevel"/>
    <w:tmpl w:val="A014B414"/>
    <w:lvl w:ilvl="0" w:tplc="9792469A">
      <w:start w:val="1"/>
      <w:numFmt w:val="decimal"/>
      <w:lvlText w:val="%1)"/>
      <w:lvlJc w:val="left"/>
      <w:pPr>
        <w:ind w:left="1440" w:hanging="360"/>
      </w:pPr>
      <w:rPr>
        <w:b/>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49A0362B"/>
    <w:multiLevelType w:val="hybridMultilevel"/>
    <w:tmpl w:val="CAFA8A80"/>
    <w:lvl w:ilvl="0" w:tplc="FFFFFFFF">
      <w:start w:val="1"/>
      <w:numFmt w:val="lowerLetter"/>
      <w:lvlText w:val="%1)"/>
      <w:lvlJc w:val="left"/>
      <w:pPr>
        <w:ind w:left="1994"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A4C13C5"/>
    <w:multiLevelType w:val="hybridMultilevel"/>
    <w:tmpl w:val="78B081DA"/>
    <w:lvl w:ilvl="0" w:tplc="EF00626E">
      <w:start w:val="1"/>
      <w:numFmt w:val="decimal"/>
      <w:lvlText w:val="%1)"/>
      <w:lvlJc w:val="left"/>
      <w:pPr>
        <w:ind w:left="3338" w:hanging="360"/>
      </w:pPr>
      <w:rPr>
        <w:b/>
        <w:bCs w:val="0"/>
        <w:color w:val="auto"/>
        <w:u w:val="no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 w15:restartNumberingAfterBreak="0">
    <w:nsid w:val="4F5E0152"/>
    <w:multiLevelType w:val="hybridMultilevel"/>
    <w:tmpl w:val="2ED4E920"/>
    <w:lvl w:ilvl="0" w:tplc="3A3EB328">
      <w:start w:val="1"/>
      <w:numFmt w:val="lowerLetter"/>
      <w:lvlText w:val="%1)"/>
      <w:lvlJc w:val="left"/>
      <w:pPr>
        <w:ind w:left="1070" w:hanging="360"/>
      </w:pPr>
      <w:rPr>
        <w:rFonts w:ascii="Roboto" w:eastAsia="Times New Roman" w:hAnsi="Roboto" w:cs="Times New Roman" w:hint="default"/>
        <w:b/>
        <w:i w:val="0"/>
        <w:strike w:val="0"/>
        <w:dstrike w:val="0"/>
        <w:color w:val="000000"/>
        <w:sz w:val="24"/>
        <w:u w:val="none" w:color="000000"/>
        <w:bdr w:val="none" w:sz="0" w:space="0" w:color="auto"/>
        <w:shd w:val="clear" w:color="auto" w:fill="auto"/>
        <w:vertAlign w:val="baseline"/>
      </w:rPr>
    </w:lvl>
    <w:lvl w:ilvl="1" w:tplc="140A0019" w:tentative="1">
      <w:start w:val="1"/>
      <w:numFmt w:val="lowerLetter"/>
      <w:lvlText w:val="%2."/>
      <w:lvlJc w:val="left"/>
      <w:pPr>
        <w:ind w:left="1790" w:hanging="360"/>
      </w:pPr>
    </w:lvl>
    <w:lvl w:ilvl="2" w:tplc="140A001B" w:tentative="1">
      <w:start w:val="1"/>
      <w:numFmt w:val="lowerRoman"/>
      <w:lvlText w:val="%3."/>
      <w:lvlJc w:val="right"/>
      <w:pPr>
        <w:ind w:left="2510" w:hanging="180"/>
      </w:pPr>
    </w:lvl>
    <w:lvl w:ilvl="3" w:tplc="140A000F" w:tentative="1">
      <w:start w:val="1"/>
      <w:numFmt w:val="decimal"/>
      <w:lvlText w:val="%4."/>
      <w:lvlJc w:val="left"/>
      <w:pPr>
        <w:ind w:left="3230" w:hanging="360"/>
      </w:pPr>
    </w:lvl>
    <w:lvl w:ilvl="4" w:tplc="140A0019" w:tentative="1">
      <w:start w:val="1"/>
      <w:numFmt w:val="lowerLetter"/>
      <w:lvlText w:val="%5."/>
      <w:lvlJc w:val="left"/>
      <w:pPr>
        <w:ind w:left="3950" w:hanging="360"/>
      </w:pPr>
    </w:lvl>
    <w:lvl w:ilvl="5" w:tplc="140A001B" w:tentative="1">
      <w:start w:val="1"/>
      <w:numFmt w:val="lowerRoman"/>
      <w:lvlText w:val="%6."/>
      <w:lvlJc w:val="right"/>
      <w:pPr>
        <w:ind w:left="4670" w:hanging="180"/>
      </w:pPr>
    </w:lvl>
    <w:lvl w:ilvl="6" w:tplc="140A000F" w:tentative="1">
      <w:start w:val="1"/>
      <w:numFmt w:val="decimal"/>
      <w:lvlText w:val="%7."/>
      <w:lvlJc w:val="left"/>
      <w:pPr>
        <w:ind w:left="5390" w:hanging="360"/>
      </w:pPr>
    </w:lvl>
    <w:lvl w:ilvl="7" w:tplc="140A0019" w:tentative="1">
      <w:start w:val="1"/>
      <w:numFmt w:val="lowerLetter"/>
      <w:lvlText w:val="%8."/>
      <w:lvlJc w:val="left"/>
      <w:pPr>
        <w:ind w:left="6110" w:hanging="360"/>
      </w:pPr>
    </w:lvl>
    <w:lvl w:ilvl="8" w:tplc="140A001B" w:tentative="1">
      <w:start w:val="1"/>
      <w:numFmt w:val="lowerRoman"/>
      <w:lvlText w:val="%9."/>
      <w:lvlJc w:val="right"/>
      <w:pPr>
        <w:ind w:left="6830" w:hanging="180"/>
      </w:pPr>
    </w:lvl>
  </w:abstractNum>
  <w:abstractNum w:abstractNumId="43"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abstractNum w:abstractNumId="44" w15:restartNumberingAfterBreak="0">
    <w:nsid w:val="53617662"/>
    <w:multiLevelType w:val="hybridMultilevel"/>
    <w:tmpl w:val="9A9CE1A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5" w15:restartNumberingAfterBreak="0">
    <w:nsid w:val="581F685F"/>
    <w:multiLevelType w:val="hybridMultilevel"/>
    <w:tmpl w:val="B32E7310"/>
    <w:lvl w:ilvl="0" w:tplc="905C99A0">
      <w:start w:val="1"/>
      <w:numFmt w:val="lowerLetter"/>
      <w:lvlText w:val="%1)"/>
      <w:lvlJc w:val="left"/>
      <w:pPr>
        <w:ind w:left="851"/>
      </w:pPr>
      <w:rPr>
        <w:rFonts w:hint="default"/>
        <w:b/>
        <w:bCs/>
        <w:i w:val="0"/>
        <w:strike w:val="0"/>
        <w:dstrike w:val="0"/>
        <w:color w:val="000000"/>
        <w:sz w:val="24"/>
        <w:u w:val="none" w:color="000000"/>
        <w:bdr w:val="none" w:sz="0" w:space="0" w:color="auto"/>
        <w:shd w:val="clear" w:color="auto" w:fill="auto"/>
        <w:vertAlign w:val="baseline"/>
      </w:rPr>
    </w:lvl>
    <w:lvl w:ilvl="1" w:tplc="E0D4A6C4">
      <w:start w:val="1"/>
      <w:numFmt w:val="lowerLetter"/>
      <w:lvlText w:val="%2"/>
      <w:lvlJc w:val="left"/>
      <w:pPr>
        <w:ind w:left="13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9BC33D4">
      <w:start w:val="1"/>
      <w:numFmt w:val="lowerRoman"/>
      <w:lvlText w:val="%3"/>
      <w:lvlJc w:val="left"/>
      <w:pPr>
        <w:ind w:left="20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E6AD9D2">
      <w:start w:val="1"/>
      <w:numFmt w:val="decimal"/>
      <w:lvlText w:val="%4"/>
      <w:lvlJc w:val="left"/>
      <w:pPr>
        <w:ind w:left="28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A18BAA4">
      <w:start w:val="1"/>
      <w:numFmt w:val="lowerLetter"/>
      <w:lvlText w:val="%5"/>
      <w:lvlJc w:val="left"/>
      <w:pPr>
        <w:ind w:left="35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C365830">
      <w:start w:val="1"/>
      <w:numFmt w:val="lowerRoman"/>
      <w:lvlText w:val="%6"/>
      <w:lvlJc w:val="left"/>
      <w:pPr>
        <w:ind w:left="42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D907C72">
      <w:start w:val="1"/>
      <w:numFmt w:val="decimal"/>
      <w:lvlText w:val="%7"/>
      <w:lvlJc w:val="left"/>
      <w:pPr>
        <w:ind w:left="49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EB0F726">
      <w:start w:val="1"/>
      <w:numFmt w:val="lowerLetter"/>
      <w:lvlText w:val="%8"/>
      <w:lvlJc w:val="left"/>
      <w:pPr>
        <w:ind w:left="56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E8256D2">
      <w:start w:val="1"/>
      <w:numFmt w:val="lowerRoman"/>
      <w:lvlText w:val="%9"/>
      <w:lvlJc w:val="left"/>
      <w:pPr>
        <w:ind w:left="64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6" w15:restartNumberingAfterBreak="0">
    <w:nsid w:val="587C644E"/>
    <w:multiLevelType w:val="hybridMultilevel"/>
    <w:tmpl w:val="AB8205AC"/>
    <w:lvl w:ilvl="0" w:tplc="0F1AA506">
      <w:start w:val="1"/>
      <w:numFmt w:val="decimal"/>
      <w:lvlText w:val="%1)"/>
      <w:lvlJc w:val="left"/>
      <w:pPr>
        <w:ind w:left="928" w:hanging="360"/>
      </w:pPr>
      <w:rPr>
        <w:b/>
        <w:bCs w:val="0"/>
        <w:color w:val="auto"/>
        <w:u w:val="none"/>
      </w:rPr>
    </w:lvl>
    <w:lvl w:ilvl="1" w:tplc="140A0019" w:tentative="1">
      <w:start w:val="1"/>
      <w:numFmt w:val="lowerLetter"/>
      <w:lvlText w:val="%2."/>
      <w:lvlJc w:val="left"/>
      <w:pPr>
        <w:ind w:left="-970" w:hanging="360"/>
      </w:pPr>
    </w:lvl>
    <w:lvl w:ilvl="2" w:tplc="140A001B" w:tentative="1">
      <w:start w:val="1"/>
      <w:numFmt w:val="lowerRoman"/>
      <w:lvlText w:val="%3."/>
      <w:lvlJc w:val="right"/>
      <w:pPr>
        <w:ind w:left="-250" w:hanging="180"/>
      </w:pPr>
    </w:lvl>
    <w:lvl w:ilvl="3" w:tplc="140A000F" w:tentative="1">
      <w:start w:val="1"/>
      <w:numFmt w:val="decimal"/>
      <w:lvlText w:val="%4."/>
      <w:lvlJc w:val="left"/>
      <w:pPr>
        <w:ind w:left="470" w:hanging="360"/>
      </w:pPr>
    </w:lvl>
    <w:lvl w:ilvl="4" w:tplc="140A0019" w:tentative="1">
      <w:start w:val="1"/>
      <w:numFmt w:val="lowerLetter"/>
      <w:lvlText w:val="%5."/>
      <w:lvlJc w:val="left"/>
      <w:pPr>
        <w:ind w:left="1190" w:hanging="360"/>
      </w:pPr>
    </w:lvl>
    <w:lvl w:ilvl="5" w:tplc="140A001B" w:tentative="1">
      <w:start w:val="1"/>
      <w:numFmt w:val="lowerRoman"/>
      <w:lvlText w:val="%6."/>
      <w:lvlJc w:val="right"/>
      <w:pPr>
        <w:ind w:left="1910" w:hanging="180"/>
      </w:pPr>
    </w:lvl>
    <w:lvl w:ilvl="6" w:tplc="140A000F" w:tentative="1">
      <w:start w:val="1"/>
      <w:numFmt w:val="decimal"/>
      <w:lvlText w:val="%7."/>
      <w:lvlJc w:val="left"/>
      <w:pPr>
        <w:ind w:left="2630" w:hanging="360"/>
      </w:pPr>
    </w:lvl>
    <w:lvl w:ilvl="7" w:tplc="140A0019" w:tentative="1">
      <w:start w:val="1"/>
      <w:numFmt w:val="lowerLetter"/>
      <w:lvlText w:val="%8."/>
      <w:lvlJc w:val="left"/>
      <w:pPr>
        <w:ind w:left="3350" w:hanging="360"/>
      </w:pPr>
    </w:lvl>
    <w:lvl w:ilvl="8" w:tplc="140A001B" w:tentative="1">
      <w:start w:val="1"/>
      <w:numFmt w:val="lowerRoman"/>
      <w:lvlText w:val="%9."/>
      <w:lvlJc w:val="right"/>
      <w:pPr>
        <w:ind w:left="4070" w:hanging="180"/>
      </w:pPr>
    </w:lvl>
  </w:abstractNum>
  <w:abstractNum w:abstractNumId="47" w15:restartNumberingAfterBreak="0">
    <w:nsid w:val="59C51C8C"/>
    <w:multiLevelType w:val="hybridMultilevel"/>
    <w:tmpl w:val="573E72C6"/>
    <w:lvl w:ilvl="0" w:tplc="B40A69EE">
      <w:start w:val="1"/>
      <w:numFmt w:val="decimal"/>
      <w:lvlText w:val="%1)"/>
      <w:lvlJc w:val="left"/>
      <w:pPr>
        <w:ind w:left="-458" w:hanging="360"/>
      </w:pPr>
      <w:rPr>
        <w:b/>
        <w:bCs w:val="0"/>
        <w:color w:val="auto"/>
        <w:u w:val="none"/>
      </w:rPr>
    </w:lvl>
    <w:lvl w:ilvl="1" w:tplc="140A0019" w:tentative="1">
      <w:start w:val="1"/>
      <w:numFmt w:val="lowerLetter"/>
      <w:lvlText w:val="%2."/>
      <w:lvlJc w:val="left"/>
      <w:pPr>
        <w:ind w:left="-2356" w:hanging="360"/>
      </w:pPr>
    </w:lvl>
    <w:lvl w:ilvl="2" w:tplc="140A001B" w:tentative="1">
      <w:start w:val="1"/>
      <w:numFmt w:val="lowerRoman"/>
      <w:lvlText w:val="%3."/>
      <w:lvlJc w:val="right"/>
      <w:pPr>
        <w:ind w:left="-1636" w:hanging="180"/>
      </w:pPr>
    </w:lvl>
    <w:lvl w:ilvl="3" w:tplc="140A000F" w:tentative="1">
      <w:start w:val="1"/>
      <w:numFmt w:val="decimal"/>
      <w:lvlText w:val="%4."/>
      <w:lvlJc w:val="left"/>
      <w:pPr>
        <w:ind w:left="-916" w:hanging="360"/>
      </w:pPr>
    </w:lvl>
    <w:lvl w:ilvl="4" w:tplc="140A0019" w:tentative="1">
      <w:start w:val="1"/>
      <w:numFmt w:val="lowerLetter"/>
      <w:lvlText w:val="%5."/>
      <w:lvlJc w:val="left"/>
      <w:pPr>
        <w:ind w:left="-196" w:hanging="360"/>
      </w:pPr>
    </w:lvl>
    <w:lvl w:ilvl="5" w:tplc="140A001B" w:tentative="1">
      <w:start w:val="1"/>
      <w:numFmt w:val="lowerRoman"/>
      <w:lvlText w:val="%6."/>
      <w:lvlJc w:val="right"/>
      <w:pPr>
        <w:ind w:left="524" w:hanging="180"/>
      </w:pPr>
    </w:lvl>
    <w:lvl w:ilvl="6" w:tplc="140A000F" w:tentative="1">
      <w:start w:val="1"/>
      <w:numFmt w:val="decimal"/>
      <w:lvlText w:val="%7."/>
      <w:lvlJc w:val="left"/>
      <w:pPr>
        <w:ind w:left="1244" w:hanging="360"/>
      </w:pPr>
    </w:lvl>
    <w:lvl w:ilvl="7" w:tplc="140A0019" w:tentative="1">
      <w:start w:val="1"/>
      <w:numFmt w:val="lowerLetter"/>
      <w:lvlText w:val="%8."/>
      <w:lvlJc w:val="left"/>
      <w:pPr>
        <w:ind w:left="1964" w:hanging="360"/>
      </w:pPr>
    </w:lvl>
    <w:lvl w:ilvl="8" w:tplc="140A001B" w:tentative="1">
      <w:start w:val="1"/>
      <w:numFmt w:val="lowerRoman"/>
      <w:lvlText w:val="%9."/>
      <w:lvlJc w:val="right"/>
      <w:pPr>
        <w:ind w:left="2684" w:hanging="180"/>
      </w:pPr>
    </w:lvl>
  </w:abstractNum>
  <w:abstractNum w:abstractNumId="48" w15:restartNumberingAfterBreak="0">
    <w:nsid w:val="5A052EC7"/>
    <w:multiLevelType w:val="hybridMultilevel"/>
    <w:tmpl w:val="FA2646C6"/>
    <w:lvl w:ilvl="0" w:tplc="ABC67DE6">
      <w:start w:val="1"/>
      <w:numFmt w:val="decimal"/>
      <w:lvlText w:val="%1)"/>
      <w:lvlJc w:val="left"/>
      <w:pPr>
        <w:ind w:left="3338" w:hanging="360"/>
      </w:pPr>
      <w:rPr>
        <w:b/>
        <w:bCs w:val="0"/>
        <w:color w:val="auto"/>
        <w:u w:val="no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9" w15:restartNumberingAfterBreak="0">
    <w:nsid w:val="5AC61B6F"/>
    <w:multiLevelType w:val="hybridMultilevel"/>
    <w:tmpl w:val="246C9090"/>
    <w:lvl w:ilvl="0" w:tplc="4BA8B94E">
      <w:start w:val="1"/>
      <w:numFmt w:val="decimal"/>
      <w:lvlText w:val="%1)"/>
      <w:lvlJc w:val="left"/>
      <w:pPr>
        <w:ind w:left="1092" w:hanging="360"/>
      </w:pPr>
      <w:rPr>
        <w:rFonts w:hint="default"/>
        <w:b/>
        <w:bCs w:val="0"/>
        <w:color w:val="auto"/>
        <w:u w:val="none"/>
      </w:rPr>
    </w:lvl>
    <w:lvl w:ilvl="1" w:tplc="FFFFFFFF">
      <w:start w:val="1"/>
      <w:numFmt w:val="bullet"/>
      <w:lvlText w:val="o"/>
      <w:lvlJc w:val="left"/>
      <w:pPr>
        <w:ind w:left="1812" w:hanging="360"/>
      </w:pPr>
      <w:rPr>
        <w:rFonts w:ascii="Courier New" w:hAnsi="Courier New" w:cs="Courier New" w:hint="default"/>
      </w:rPr>
    </w:lvl>
    <w:lvl w:ilvl="2" w:tplc="FFFFFFFF">
      <w:start w:val="1"/>
      <w:numFmt w:val="bullet"/>
      <w:lvlText w:val=""/>
      <w:lvlJc w:val="left"/>
      <w:pPr>
        <w:ind w:left="2532" w:hanging="360"/>
      </w:pPr>
      <w:rPr>
        <w:rFonts w:ascii="Wingdings" w:hAnsi="Wingdings" w:hint="default"/>
      </w:rPr>
    </w:lvl>
    <w:lvl w:ilvl="3" w:tplc="FFFFFFFF" w:tentative="1">
      <w:start w:val="1"/>
      <w:numFmt w:val="bullet"/>
      <w:lvlText w:val=""/>
      <w:lvlJc w:val="left"/>
      <w:pPr>
        <w:ind w:left="3252" w:hanging="360"/>
      </w:pPr>
      <w:rPr>
        <w:rFonts w:ascii="Symbol" w:hAnsi="Symbol" w:hint="default"/>
      </w:rPr>
    </w:lvl>
    <w:lvl w:ilvl="4" w:tplc="FFFFFFFF" w:tentative="1">
      <w:start w:val="1"/>
      <w:numFmt w:val="bullet"/>
      <w:lvlText w:val="o"/>
      <w:lvlJc w:val="left"/>
      <w:pPr>
        <w:ind w:left="3972" w:hanging="360"/>
      </w:pPr>
      <w:rPr>
        <w:rFonts w:ascii="Courier New" w:hAnsi="Courier New" w:cs="Courier New" w:hint="default"/>
      </w:rPr>
    </w:lvl>
    <w:lvl w:ilvl="5" w:tplc="FFFFFFFF" w:tentative="1">
      <w:start w:val="1"/>
      <w:numFmt w:val="bullet"/>
      <w:lvlText w:val=""/>
      <w:lvlJc w:val="left"/>
      <w:pPr>
        <w:ind w:left="4692" w:hanging="360"/>
      </w:pPr>
      <w:rPr>
        <w:rFonts w:ascii="Wingdings" w:hAnsi="Wingdings" w:hint="default"/>
      </w:rPr>
    </w:lvl>
    <w:lvl w:ilvl="6" w:tplc="FFFFFFFF" w:tentative="1">
      <w:start w:val="1"/>
      <w:numFmt w:val="bullet"/>
      <w:lvlText w:val=""/>
      <w:lvlJc w:val="left"/>
      <w:pPr>
        <w:ind w:left="5412" w:hanging="360"/>
      </w:pPr>
      <w:rPr>
        <w:rFonts w:ascii="Symbol" w:hAnsi="Symbol" w:hint="default"/>
      </w:rPr>
    </w:lvl>
    <w:lvl w:ilvl="7" w:tplc="FFFFFFFF" w:tentative="1">
      <w:start w:val="1"/>
      <w:numFmt w:val="bullet"/>
      <w:lvlText w:val="o"/>
      <w:lvlJc w:val="left"/>
      <w:pPr>
        <w:ind w:left="6132" w:hanging="360"/>
      </w:pPr>
      <w:rPr>
        <w:rFonts w:ascii="Courier New" w:hAnsi="Courier New" w:cs="Courier New" w:hint="default"/>
      </w:rPr>
    </w:lvl>
    <w:lvl w:ilvl="8" w:tplc="FFFFFFFF" w:tentative="1">
      <w:start w:val="1"/>
      <w:numFmt w:val="bullet"/>
      <w:lvlText w:val=""/>
      <w:lvlJc w:val="left"/>
      <w:pPr>
        <w:ind w:left="6852" w:hanging="360"/>
      </w:pPr>
      <w:rPr>
        <w:rFonts w:ascii="Wingdings" w:hAnsi="Wingdings" w:hint="default"/>
      </w:rPr>
    </w:lvl>
  </w:abstractNum>
  <w:abstractNum w:abstractNumId="50" w15:restartNumberingAfterBreak="0">
    <w:nsid w:val="5CF73E9F"/>
    <w:multiLevelType w:val="hybridMultilevel"/>
    <w:tmpl w:val="DB3AF038"/>
    <w:lvl w:ilvl="0" w:tplc="1F14CB9C">
      <w:start w:val="1"/>
      <w:numFmt w:val="decimal"/>
      <w:lvlText w:val="%1)"/>
      <w:lvlJc w:val="left"/>
      <w:pPr>
        <w:ind w:left="3338" w:hanging="360"/>
      </w:pPr>
      <w:rPr>
        <w:b/>
        <w:bCs w:val="0"/>
        <w:color w:val="auto"/>
        <w:u w:val="no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1" w15:restartNumberingAfterBreak="0">
    <w:nsid w:val="5FF056EE"/>
    <w:multiLevelType w:val="hybridMultilevel"/>
    <w:tmpl w:val="4D8EB7C2"/>
    <w:lvl w:ilvl="0" w:tplc="30C44FE8">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5D64032">
      <w:start w:val="1"/>
      <w:numFmt w:val="decimal"/>
      <w:lvlText w:val="%2)"/>
      <w:lvlJc w:val="left"/>
      <w:pPr>
        <w:ind w:left="3338" w:hanging="360"/>
      </w:pPr>
      <w:rPr>
        <w:b w:val="0"/>
        <w:bCs/>
      </w:rPr>
    </w:lvl>
    <w:lvl w:ilvl="2" w:tplc="316430BE">
      <w:start w:val="1"/>
      <w:numFmt w:val="lowerRoman"/>
      <w:lvlText w:val="%3"/>
      <w:lvlJc w:val="left"/>
      <w:pPr>
        <w:ind w:left="15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68CBC56">
      <w:start w:val="1"/>
      <w:numFmt w:val="decimal"/>
      <w:lvlText w:val="%4"/>
      <w:lvlJc w:val="left"/>
      <w:pPr>
        <w:ind w:left="23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B42B83A">
      <w:start w:val="1"/>
      <w:numFmt w:val="lowerLetter"/>
      <w:lvlText w:val="%5"/>
      <w:lvlJc w:val="left"/>
      <w:pPr>
        <w:ind w:left="30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E1C0E08">
      <w:start w:val="1"/>
      <w:numFmt w:val="lowerRoman"/>
      <w:lvlText w:val="%6"/>
      <w:lvlJc w:val="left"/>
      <w:pPr>
        <w:ind w:left="37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C4C8484">
      <w:start w:val="1"/>
      <w:numFmt w:val="decimal"/>
      <w:lvlText w:val="%7"/>
      <w:lvlJc w:val="left"/>
      <w:pPr>
        <w:ind w:left="44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0B61680">
      <w:start w:val="1"/>
      <w:numFmt w:val="lowerLetter"/>
      <w:lvlText w:val="%8"/>
      <w:lvlJc w:val="left"/>
      <w:pPr>
        <w:ind w:left="51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9CE26F6">
      <w:start w:val="1"/>
      <w:numFmt w:val="lowerRoman"/>
      <w:lvlText w:val="%9"/>
      <w:lvlJc w:val="left"/>
      <w:pPr>
        <w:ind w:left="59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2" w15:restartNumberingAfterBreak="0">
    <w:nsid w:val="640A2F69"/>
    <w:multiLevelType w:val="hybridMultilevel"/>
    <w:tmpl w:val="D366888C"/>
    <w:lvl w:ilvl="0" w:tplc="E4B21E44">
      <w:start w:val="1"/>
      <w:numFmt w:val="decimal"/>
      <w:lvlText w:val="%1)"/>
      <w:lvlJc w:val="left"/>
      <w:pPr>
        <w:ind w:left="-4254" w:hanging="360"/>
      </w:pPr>
      <w:rPr>
        <w:b/>
        <w:bCs w:val="0"/>
        <w:color w:val="auto"/>
        <w:u w:val="none"/>
      </w:rPr>
    </w:lvl>
    <w:lvl w:ilvl="1" w:tplc="140A0019" w:tentative="1">
      <w:start w:val="1"/>
      <w:numFmt w:val="lowerLetter"/>
      <w:lvlText w:val="%2."/>
      <w:lvlJc w:val="left"/>
      <w:pPr>
        <w:ind w:left="-6152" w:hanging="360"/>
      </w:pPr>
    </w:lvl>
    <w:lvl w:ilvl="2" w:tplc="140A001B" w:tentative="1">
      <w:start w:val="1"/>
      <w:numFmt w:val="lowerRoman"/>
      <w:lvlText w:val="%3."/>
      <w:lvlJc w:val="right"/>
      <w:pPr>
        <w:ind w:left="-5432" w:hanging="180"/>
      </w:pPr>
    </w:lvl>
    <w:lvl w:ilvl="3" w:tplc="140A000F" w:tentative="1">
      <w:start w:val="1"/>
      <w:numFmt w:val="decimal"/>
      <w:lvlText w:val="%4."/>
      <w:lvlJc w:val="left"/>
      <w:pPr>
        <w:ind w:left="-4712" w:hanging="360"/>
      </w:pPr>
    </w:lvl>
    <w:lvl w:ilvl="4" w:tplc="140A0019" w:tentative="1">
      <w:start w:val="1"/>
      <w:numFmt w:val="lowerLetter"/>
      <w:lvlText w:val="%5."/>
      <w:lvlJc w:val="left"/>
      <w:pPr>
        <w:ind w:left="-3992" w:hanging="360"/>
      </w:pPr>
    </w:lvl>
    <w:lvl w:ilvl="5" w:tplc="140A001B" w:tentative="1">
      <w:start w:val="1"/>
      <w:numFmt w:val="lowerRoman"/>
      <w:lvlText w:val="%6."/>
      <w:lvlJc w:val="right"/>
      <w:pPr>
        <w:ind w:left="-3272" w:hanging="180"/>
      </w:pPr>
    </w:lvl>
    <w:lvl w:ilvl="6" w:tplc="140A000F" w:tentative="1">
      <w:start w:val="1"/>
      <w:numFmt w:val="decimal"/>
      <w:lvlText w:val="%7."/>
      <w:lvlJc w:val="left"/>
      <w:pPr>
        <w:ind w:left="-2552" w:hanging="360"/>
      </w:pPr>
    </w:lvl>
    <w:lvl w:ilvl="7" w:tplc="140A0019" w:tentative="1">
      <w:start w:val="1"/>
      <w:numFmt w:val="lowerLetter"/>
      <w:lvlText w:val="%8."/>
      <w:lvlJc w:val="left"/>
      <w:pPr>
        <w:ind w:left="-1832" w:hanging="360"/>
      </w:pPr>
    </w:lvl>
    <w:lvl w:ilvl="8" w:tplc="140A001B" w:tentative="1">
      <w:start w:val="1"/>
      <w:numFmt w:val="lowerRoman"/>
      <w:lvlText w:val="%9."/>
      <w:lvlJc w:val="right"/>
      <w:pPr>
        <w:ind w:left="-1112" w:hanging="180"/>
      </w:pPr>
    </w:lvl>
  </w:abstractNum>
  <w:abstractNum w:abstractNumId="53" w15:restartNumberingAfterBreak="0">
    <w:nsid w:val="65943B4A"/>
    <w:multiLevelType w:val="hybridMultilevel"/>
    <w:tmpl w:val="2E108398"/>
    <w:lvl w:ilvl="0" w:tplc="C1347DCC">
      <w:start w:val="1"/>
      <w:numFmt w:val="decimal"/>
      <w:lvlText w:val="%1)"/>
      <w:lvlJc w:val="left"/>
      <w:pPr>
        <w:ind w:left="1440" w:hanging="360"/>
      </w:pPr>
      <w:rPr>
        <w:b/>
        <w:bCs w:val="0"/>
        <w:color w:val="auto"/>
        <w:u w:val="none"/>
      </w:rPr>
    </w:lvl>
    <w:lvl w:ilvl="1" w:tplc="140A0019" w:tentative="1">
      <w:start w:val="1"/>
      <w:numFmt w:val="lowerLetter"/>
      <w:lvlText w:val="%2."/>
      <w:lvlJc w:val="left"/>
      <w:pPr>
        <w:ind w:left="-458" w:hanging="360"/>
      </w:pPr>
    </w:lvl>
    <w:lvl w:ilvl="2" w:tplc="140A001B" w:tentative="1">
      <w:start w:val="1"/>
      <w:numFmt w:val="lowerRoman"/>
      <w:lvlText w:val="%3."/>
      <w:lvlJc w:val="right"/>
      <w:pPr>
        <w:ind w:left="262" w:hanging="180"/>
      </w:pPr>
    </w:lvl>
    <w:lvl w:ilvl="3" w:tplc="140A000F" w:tentative="1">
      <w:start w:val="1"/>
      <w:numFmt w:val="decimal"/>
      <w:lvlText w:val="%4."/>
      <w:lvlJc w:val="left"/>
      <w:pPr>
        <w:ind w:left="982" w:hanging="360"/>
      </w:pPr>
    </w:lvl>
    <w:lvl w:ilvl="4" w:tplc="140A0019" w:tentative="1">
      <w:start w:val="1"/>
      <w:numFmt w:val="lowerLetter"/>
      <w:lvlText w:val="%5."/>
      <w:lvlJc w:val="left"/>
      <w:pPr>
        <w:ind w:left="1702" w:hanging="360"/>
      </w:pPr>
    </w:lvl>
    <w:lvl w:ilvl="5" w:tplc="140A001B" w:tentative="1">
      <w:start w:val="1"/>
      <w:numFmt w:val="lowerRoman"/>
      <w:lvlText w:val="%6."/>
      <w:lvlJc w:val="right"/>
      <w:pPr>
        <w:ind w:left="2422" w:hanging="180"/>
      </w:pPr>
    </w:lvl>
    <w:lvl w:ilvl="6" w:tplc="140A000F" w:tentative="1">
      <w:start w:val="1"/>
      <w:numFmt w:val="decimal"/>
      <w:lvlText w:val="%7."/>
      <w:lvlJc w:val="left"/>
      <w:pPr>
        <w:ind w:left="3142" w:hanging="360"/>
      </w:pPr>
    </w:lvl>
    <w:lvl w:ilvl="7" w:tplc="140A0019" w:tentative="1">
      <w:start w:val="1"/>
      <w:numFmt w:val="lowerLetter"/>
      <w:lvlText w:val="%8."/>
      <w:lvlJc w:val="left"/>
      <w:pPr>
        <w:ind w:left="3862" w:hanging="360"/>
      </w:pPr>
    </w:lvl>
    <w:lvl w:ilvl="8" w:tplc="140A001B" w:tentative="1">
      <w:start w:val="1"/>
      <w:numFmt w:val="lowerRoman"/>
      <w:lvlText w:val="%9."/>
      <w:lvlJc w:val="right"/>
      <w:pPr>
        <w:ind w:left="4582" w:hanging="180"/>
      </w:pPr>
    </w:lvl>
  </w:abstractNum>
  <w:abstractNum w:abstractNumId="54" w15:restartNumberingAfterBreak="0">
    <w:nsid w:val="67C8373F"/>
    <w:multiLevelType w:val="hybridMultilevel"/>
    <w:tmpl w:val="553EA10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5" w15:restartNumberingAfterBreak="0">
    <w:nsid w:val="6B5867B7"/>
    <w:multiLevelType w:val="hybridMultilevel"/>
    <w:tmpl w:val="D8F60BC2"/>
    <w:lvl w:ilvl="0" w:tplc="CAA813E0">
      <w:start w:val="1"/>
      <w:numFmt w:val="decimal"/>
      <w:lvlText w:val="%1)"/>
      <w:lvlJc w:val="left"/>
      <w:pPr>
        <w:ind w:left="993"/>
      </w:pPr>
      <w:rPr>
        <w:rFonts w:hint="default"/>
        <w:b/>
        <w:bCs w:val="0"/>
        <w:i w:val="0"/>
        <w:strike w:val="0"/>
        <w:dstrike w:val="0"/>
        <w:color w:val="auto"/>
        <w:sz w:val="24"/>
        <w:u w:val="none"/>
        <w:bdr w:val="none" w:sz="0" w:space="0" w:color="auto"/>
        <w:shd w:val="clear" w:color="auto" w:fill="auto"/>
        <w:vertAlign w:val="baseline"/>
      </w:rPr>
    </w:lvl>
    <w:lvl w:ilvl="1" w:tplc="91C6F880">
      <w:start w:val="1"/>
      <w:numFmt w:val="lowerLetter"/>
      <w:lvlText w:val="%2)"/>
      <w:lvlJc w:val="left"/>
      <w:pPr>
        <w:ind w:left="2913" w:hanging="360"/>
      </w:pPr>
      <w:rPr>
        <w:rFonts w:ascii="Roboto" w:eastAsia="Times New Roman" w:hAnsi="Roboto" w:cs="Times New Roman" w:hint="default"/>
        <w:b w:val="0"/>
        <w:i w:val="0"/>
        <w:strike w:val="0"/>
        <w:dstrike w:val="0"/>
        <w:color w:val="auto"/>
        <w:sz w:val="24"/>
        <w:szCs w:val="24"/>
        <w:u w:val="none"/>
        <w:bdr w:val="none" w:sz="0" w:space="0" w:color="auto"/>
        <w:shd w:val="clear" w:color="auto" w:fill="auto"/>
        <w:vertAlign w:val="baseline"/>
      </w:rPr>
    </w:lvl>
    <w:lvl w:ilvl="2" w:tplc="0BA640A2">
      <w:start w:val="1"/>
      <w:numFmt w:val="lowerRoman"/>
      <w:lvlText w:val="%3"/>
      <w:lvlJc w:val="left"/>
      <w:pPr>
        <w:ind w:left="1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7848A6A">
      <w:start w:val="1"/>
      <w:numFmt w:val="decimal"/>
      <w:lvlText w:val="%4"/>
      <w:lvlJc w:val="left"/>
      <w:pPr>
        <w:ind w:left="2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538E1D6">
      <w:start w:val="1"/>
      <w:numFmt w:val="lowerLetter"/>
      <w:lvlText w:val="%5"/>
      <w:lvlJc w:val="left"/>
      <w:pPr>
        <w:ind w:left="3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A2CD750">
      <w:start w:val="1"/>
      <w:numFmt w:val="lowerRoman"/>
      <w:lvlText w:val="%6"/>
      <w:lvlJc w:val="left"/>
      <w:pPr>
        <w:ind w:left="4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DCE268E">
      <w:start w:val="1"/>
      <w:numFmt w:val="decimal"/>
      <w:lvlText w:val="%7"/>
      <w:lvlJc w:val="left"/>
      <w:pPr>
        <w:ind w:left="48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B4A59E8">
      <w:start w:val="1"/>
      <w:numFmt w:val="lowerLetter"/>
      <w:lvlText w:val="%8"/>
      <w:lvlJc w:val="left"/>
      <w:pPr>
        <w:ind w:left="55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038EBD6">
      <w:start w:val="1"/>
      <w:numFmt w:val="lowerRoman"/>
      <w:lvlText w:val="%9"/>
      <w:lvlJc w:val="left"/>
      <w:pPr>
        <w:ind w:left="62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6" w15:restartNumberingAfterBreak="0">
    <w:nsid w:val="6C2E66F5"/>
    <w:multiLevelType w:val="hybridMultilevel"/>
    <w:tmpl w:val="EB106734"/>
    <w:lvl w:ilvl="0" w:tplc="A1FA76DC">
      <w:start w:val="1"/>
      <w:numFmt w:val="decimal"/>
      <w:lvlText w:val="%1)"/>
      <w:lvlJc w:val="left"/>
      <w:pPr>
        <w:ind w:left="1440" w:hanging="360"/>
      </w:pPr>
      <w:rPr>
        <w:b/>
        <w:bCs w:val="0"/>
        <w:color w:val="auto"/>
        <w:u w:val="none"/>
      </w:rPr>
    </w:lvl>
    <w:lvl w:ilvl="1" w:tplc="140A0019" w:tentative="1">
      <w:start w:val="1"/>
      <w:numFmt w:val="lowerLetter"/>
      <w:lvlText w:val="%2."/>
      <w:lvlJc w:val="left"/>
      <w:pPr>
        <w:ind w:left="-458" w:hanging="360"/>
      </w:pPr>
    </w:lvl>
    <w:lvl w:ilvl="2" w:tplc="140A001B" w:tentative="1">
      <w:start w:val="1"/>
      <w:numFmt w:val="lowerRoman"/>
      <w:lvlText w:val="%3."/>
      <w:lvlJc w:val="right"/>
      <w:pPr>
        <w:ind w:left="262" w:hanging="180"/>
      </w:pPr>
    </w:lvl>
    <w:lvl w:ilvl="3" w:tplc="140A000F" w:tentative="1">
      <w:start w:val="1"/>
      <w:numFmt w:val="decimal"/>
      <w:lvlText w:val="%4."/>
      <w:lvlJc w:val="left"/>
      <w:pPr>
        <w:ind w:left="982" w:hanging="360"/>
      </w:pPr>
    </w:lvl>
    <w:lvl w:ilvl="4" w:tplc="140A0019" w:tentative="1">
      <w:start w:val="1"/>
      <w:numFmt w:val="lowerLetter"/>
      <w:lvlText w:val="%5."/>
      <w:lvlJc w:val="left"/>
      <w:pPr>
        <w:ind w:left="1702" w:hanging="360"/>
      </w:pPr>
    </w:lvl>
    <w:lvl w:ilvl="5" w:tplc="140A001B" w:tentative="1">
      <w:start w:val="1"/>
      <w:numFmt w:val="lowerRoman"/>
      <w:lvlText w:val="%6."/>
      <w:lvlJc w:val="right"/>
      <w:pPr>
        <w:ind w:left="2422" w:hanging="180"/>
      </w:pPr>
    </w:lvl>
    <w:lvl w:ilvl="6" w:tplc="140A000F" w:tentative="1">
      <w:start w:val="1"/>
      <w:numFmt w:val="decimal"/>
      <w:lvlText w:val="%7."/>
      <w:lvlJc w:val="left"/>
      <w:pPr>
        <w:ind w:left="3142" w:hanging="360"/>
      </w:pPr>
    </w:lvl>
    <w:lvl w:ilvl="7" w:tplc="140A0019" w:tentative="1">
      <w:start w:val="1"/>
      <w:numFmt w:val="lowerLetter"/>
      <w:lvlText w:val="%8."/>
      <w:lvlJc w:val="left"/>
      <w:pPr>
        <w:ind w:left="3862" w:hanging="360"/>
      </w:pPr>
    </w:lvl>
    <w:lvl w:ilvl="8" w:tplc="140A001B" w:tentative="1">
      <w:start w:val="1"/>
      <w:numFmt w:val="lowerRoman"/>
      <w:lvlText w:val="%9."/>
      <w:lvlJc w:val="right"/>
      <w:pPr>
        <w:ind w:left="4582" w:hanging="180"/>
      </w:pPr>
    </w:lvl>
  </w:abstractNum>
  <w:abstractNum w:abstractNumId="57" w15:restartNumberingAfterBreak="0">
    <w:nsid w:val="6CC16BA8"/>
    <w:multiLevelType w:val="hybridMultilevel"/>
    <w:tmpl w:val="F392C45E"/>
    <w:lvl w:ilvl="0" w:tplc="F8A6AABC">
      <w:start w:val="1"/>
      <w:numFmt w:val="decimal"/>
      <w:lvlText w:val="%1)"/>
      <w:lvlJc w:val="left"/>
      <w:pPr>
        <w:ind w:left="854" w:hanging="360"/>
      </w:pPr>
    </w:lvl>
    <w:lvl w:ilvl="1" w:tplc="140A0019" w:tentative="1">
      <w:start w:val="1"/>
      <w:numFmt w:val="lowerLetter"/>
      <w:lvlText w:val="%2."/>
      <w:lvlJc w:val="left"/>
      <w:pPr>
        <w:ind w:left="1574" w:hanging="360"/>
      </w:pPr>
    </w:lvl>
    <w:lvl w:ilvl="2" w:tplc="140A001B" w:tentative="1">
      <w:start w:val="1"/>
      <w:numFmt w:val="lowerRoman"/>
      <w:lvlText w:val="%3."/>
      <w:lvlJc w:val="right"/>
      <w:pPr>
        <w:ind w:left="2294" w:hanging="180"/>
      </w:pPr>
    </w:lvl>
    <w:lvl w:ilvl="3" w:tplc="140A000F" w:tentative="1">
      <w:start w:val="1"/>
      <w:numFmt w:val="decimal"/>
      <w:lvlText w:val="%4."/>
      <w:lvlJc w:val="left"/>
      <w:pPr>
        <w:ind w:left="3014" w:hanging="360"/>
      </w:pPr>
    </w:lvl>
    <w:lvl w:ilvl="4" w:tplc="140A0019" w:tentative="1">
      <w:start w:val="1"/>
      <w:numFmt w:val="lowerLetter"/>
      <w:lvlText w:val="%5."/>
      <w:lvlJc w:val="left"/>
      <w:pPr>
        <w:ind w:left="3734" w:hanging="360"/>
      </w:pPr>
    </w:lvl>
    <w:lvl w:ilvl="5" w:tplc="140A001B" w:tentative="1">
      <w:start w:val="1"/>
      <w:numFmt w:val="lowerRoman"/>
      <w:lvlText w:val="%6."/>
      <w:lvlJc w:val="right"/>
      <w:pPr>
        <w:ind w:left="4454" w:hanging="180"/>
      </w:pPr>
    </w:lvl>
    <w:lvl w:ilvl="6" w:tplc="140A000F" w:tentative="1">
      <w:start w:val="1"/>
      <w:numFmt w:val="decimal"/>
      <w:lvlText w:val="%7."/>
      <w:lvlJc w:val="left"/>
      <w:pPr>
        <w:ind w:left="5174" w:hanging="360"/>
      </w:pPr>
    </w:lvl>
    <w:lvl w:ilvl="7" w:tplc="140A0019" w:tentative="1">
      <w:start w:val="1"/>
      <w:numFmt w:val="lowerLetter"/>
      <w:lvlText w:val="%8."/>
      <w:lvlJc w:val="left"/>
      <w:pPr>
        <w:ind w:left="5894" w:hanging="360"/>
      </w:pPr>
    </w:lvl>
    <w:lvl w:ilvl="8" w:tplc="140A001B" w:tentative="1">
      <w:start w:val="1"/>
      <w:numFmt w:val="lowerRoman"/>
      <w:lvlText w:val="%9."/>
      <w:lvlJc w:val="right"/>
      <w:pPr>
        <w:ind w:left="6614" w:hanging="180"/>
      </w:pPr>
    </w:lvl>
  </w:abstractNum>
  <w:abstractNum w:abstractNumId="58" w15:restartNumberingAfterBreak="0">
    <w:nsid w:val="6E6A268D"/>
    <w:multiLevelType w:val="hybridMultilevel"/>
    <w:tmpl w:val="65C47DFE"/>
    <w:lvl w:ilvl="0" w:tplc="FFFFFFFF">
      <w:start w:val="1"/>
      <w:numFmt w:val="decimal"/>
      <w:lvlText w:val="%1."/>
      <w:lvlJc w:val="left"/>
      <w:pPr>
        <w:ind w:left="372" w:hanging="360"/>
      </w:pPr>
      <w:rPr>
        <w:rFonts w:hint="default"/>
      </w:rPr>
    </w:lvl>
    <w:lvl w:ilvl="1" w:tplc="01E2BCEE">
      <w:start w:val="1"/>
      <w:numFmt w:val="decimal"/>
      <w:lvlText w:val="%2)"/>
      <w:lvlJc w:val="left"/>
      <w:pPr>
        <w:ind w:left="786" w:hanging="360"/>
      </w:pPr>
      <w:rPr>
        <w:b/>
        <w:bCs w:val="0"/>
        <w:color w:val="auto"/>
        <w:u w:val="none"/>
      </w:rPr>
    </w:lvl>
    <w:lvl w:ilvl="2" w:tplc="FFFFFFFF">
      <w:start w:val="1"/>
      <w:numFmt w:val="bullet"/>
      <w:lvlText w:val=""/>
      <w:lvlJc w:val="left"/>
      <w:pPr>
        <w:ind w:left="1812" w:hanging="360"/>
      </w:pPr>
      <w:rPr>
        <w:rFonts w:ascii="Wingdings" w:hAnsi="Wingdings" w:hint="default"/>
      </w:rPr>
    </w:lvl>
    <w:lvl w:ilvl="3" w:tplc="FFFFFFFF" w:tentative="1">
      <w:start w:val="1"/>
      <w:numFmt w:val="bullet"/>
      <w:lvlText w:val=""/>
      <w:lvlJc w:val="left"/>
      <w:pPr>
        <w:ind w:left="2532" w:hanging="360"/>
      </w:pPr>
      <w:rPr>
        <w:rFonts w:ascii="Symbol" w:hAnsi="Symbol" w:hint="default"/>
      </w:rPr>
    </w:lvl>
    <w:lvl w:ilvl="4" w:tplc="FFFFFFFF" w:tentative="1">
      <w:start w:val="1"/>
      <w:numFmt w:val="bullet"/>
      <w:lvlText w:val="o"/>
      <w:lvlJc w:val="left"/>
      <w:pPr>
        <w:ind w:left="3252" w:hanging="360"/>
      </w:pPr>
      <w:rPr>
        <w:rFonts w:ascii="Courier New" w:hAnsi="Courier New" w:cs="Courier New" w:hint="default"/>
      </w:rPr>
    </w:lvl>
    <w:lvl w:ilvl="5" w:tplc="FFFFFFFF" w:tentative="1">
      <w:start w:val="1"/>
      <w:numFmt w:val="bullet"/>
      <w:lvlText w:val=""/>
      <w:lvlJc w:val="left"/>
      <w:pPr>
        <w:ind w:left="3972" w:hanging="360"/>
      </w:pPr>
      <w:rPr>
        <w:rFonts w:ascii="Wingdings" w:hAnsi="Wingdings" w:hint="default"/>
      </w:rPr>
    </w:lvl>
    <w:lvl w:ilvl="6" w:tplc="FFFFFFFF" w:tentative="1">
      <w:start w:val="1"/>
      <w:numFmt w:val="bullet"/>
      <w:lvlText w:val=""/>
      <w:lvlJc w:val="left"/>
      <w:pPr>
        <w:ind w:left="4692" w:hanging="360"/>
      </w:pPr>
      <w:rPr>
        <w:rFonts w:ascii="Symbol" w:hAnsi="Symbol" w:hint="default"/>
      </w:rPr>
    </w:lvl>
    <w:lvl w:ilvl="7" w:tplc="FFFFFFFF" w:tentative="1">
      <w:start w:val="1"/>
      <w:numFmt w:val="bullet"/>
      <w:lvlText w:val="o"/>
      <w:lvlJc w:val="left"/>
      <w:pPr>
        <w:ind w:left="5412" w:hanging="360"/>
      </w:pPr>
      <w:rPr>
        <w:rFonts w:ascii="Courier New" w:hAnsi="Courier New" w:cs="Courier New" w:hint="default"/>
      </w:rPr>
    </w:lvl>
    <w:lvl w:ilvl="8" w:tplc="FFFFFFFF" w:tentative="1">
      <w:start w:val="1"/>
      <w:numFmt w:val="bullet"/>
      <w:lvlText w:val=""/>
      <w:lvlJc w:val="left"/>
      <w:pPr>
        <w:ind w:left="6132" w:hanging="360"/>
      </w:pPr>
      <w:rPr>
        <w:rFonts w:ascii="Wingdings" w:hAnsi="Wingdings" w:hint="default"/>
      </w:rPr>
    </w:lvl>
  </w:abstractNum>
  <w:abstractNum w:abstractNumId="59" w15:restartNumberingAfterBreak="0">
    <w:nsid w:val="7006719B"/>
    <w:multiLevelType w:val="hybridMultilevel"/>
    <w:tmpl w:val="AF38678E"/>
    <w:lvl w:ilvl="0" w:tplc="FFFFFFFF">
      <w:start w:val="1"/>
      <w:numFmt w:val="upperLetter"/>
      <w:lvlText w:val="%1)"/>
      <w:lvlJc w:val="left"/>
      <w:pPr>
        <w:ind w:left="360" w:hanging="360"/>
      </w:pPr>
      <w:rPr>
        <w:rFonts w:hint="default"/>
        <w:b/>
        <w:bCs w:val="0"/>
        <w:strike w:val="0"/>
        <w:color w:val="0070C0"/>
        <w:u w:val="single"/>
      </w:rPr>
    </w:lvl>
    <w:lvl w:ilvl="1" w:tplc="FFFFFFFF">
      <w:start w:val="1"/>
      <w:numFmt w:val="decimal"/>
      <w:lvlText w:val="%2)"/>
      <w:lvlJc w:val="left"/>
      <w:pPr>
        <w:ind w:left="3338" w:hanging="360"/>
      </w:pPr>
      <w:rPr>
        <w:b/>
        <w:bCs w:val="0"/>
        <w:color w:val="0070C0"/>
        <w:u w:val="single"/>
      </w:rPr>
    </w:lvl>
    <w:lvl w:ilvl="2" w:tplc="51E07AEE">
      <w:start w:val="1"/>
      <w:numFmt w:val="lowerLetter"/>
      <w:lvlText w:val="%3)"/>
      <w:lvlJc w:val="left"/>
      <w:pPr>
        <w:ind w:left="927" w:hanging="360"/>
      </w:pPr>
      <w:rPr>
        <w:color w:val="auto"/>
        <w:u w:val="none"/>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0" w15:restartNumberingAfterBreak="0">
    <w:nsid w:val="71035C23"/>
    <w:multiLevelType w:val="hybridMultilevel"/>
    <w:tmpl w:val="4E6C0D48"/>
    <w:lvl w:ilvl="0" w:tplc="D60873C6">
      <w:start w:val="1"/>
      <w:numFmt w:val="decimal"/>
      <w:lvlText w:val="%1)"/>
      <w:lvlJc w:val="left"/>
      <w:pPr>
        <w:ind w:left="3338" w:hanging="360"/>
      </w:pPr>
      <w:rPr>
        <w:b/>
        <w:bCs w:val="0"/>
        <w:color w:val="auto"/>
        <w:u w:val="no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1" w15:restartNumberingAfterBreak="0">
    <w:nsid w:val="71354CF4"/>
    <w:multiLevelType w:val="hybridMultilevel"/>
    <w:tmpl w:val="E00E135C"/>
    <w:lvl w:ilvl="0" w:tplc="0AD6F04E">
      <w:start w:val="1"/>
      <w:numFmt w:val="decimal"/>
      <w:lvlText w:val="%1)"/>
      <w:lvlJc w:val="left"/>
      <w:pPr>
        <w:ind w:left="372" w:hanging="360"/>
      </w:pPr>
      <w:rPr>
        <w:rFonts w:hint="default"/>
        <w:b/>
        <w:bCs/>
        <w:color w:val="auto"/>
        <w:u w:val="none"/>
      </w:rPr>
    </w:lvl>
    <w:lvl w:ilvl="1" w:tplc="FFFFFFFF">
      <w:start w:val="1"/>
      <w:numFmt w:val="bullet"/>
      <w:lvlText w:val="o"/>
      <w:lvlJc w:val="left"/>
      <w:pPr>
        <w:ind w:left="1092" w:hanging="360"/>
      </w:pPr>
      <w:rPr>
        <w:rFonts w:ascii="Courier New" w:hAnsi="Courier New" w:cs="Courier New" w:hint="default"/>
      </w:rPr>
    </w:lvl>
    <w:lvl w:ilvl="2" w:tplc="FFFFFFFF">
      <w:start w:val="1"/>
      <w:numFmt w:val="bullet"/>
      <w:lvlText w:val=""/>
      <w:lvlJc w:val="left"/>
      <w:pPr>
        <w:ind w:left="1812" w:hanging="360"/>
      </w:pPr>
      <w:rPr>
        <w:rFonts w:ascii="Wingdings" w:hAnsi="Wingdings" w:hint="default"/>
      </w:rPr>
    </w:lvl>
    <w:lvl w:ilvl="3" w:tplc="FFFFFFFF" w:tentative="1">
      <w:start w:val="1"/>
      <w:numFmt w:val="bullet"/>
      <w:lvlText w:val=""/>
      <w:lvlJc w:val="left"/>
      <w:pPr>
        <w:ind w:left="2532" w:hanging="360"/>
      </w:pPr>
      <w:rPr>
        <w:rFonts w:ascii="Symbol" w:hAnsi="Symbol" w:hint="default"/>
      </w:rPr>
    </w:lvl>
    <w:lvl w:ilvl="4" w:tplc="FFFFFFFF" w:tentative="1">
      <w:start w:val="1"/>
      <w:numFmt w:val="bullet"/>
      <w:lvlText w:val="o"/>
      <w:lvlJc w:val="left"/>
      <w:pPr>
        <w:ind w:left="3252" w:hanging="360"/>
      </w:pPr>
      <w:rPr>
        <w:rFonts w:ascii="Courier New" w:hAnsi="Courier New" w:cs="Courier New" w:hint="default"/>
      </w:rPr>
    </w:lvl>
    <w:lvl w:ilvl="5" w:tplc="FFFFFFFF" w:tentative="1">
      <w:start w:val="1"/>
      <w:numFmt w:val="bullet"/>
      <w:lvlText w:val=""/>
      <w:lvlJc w:val="left"/>
      <w:pPr>
        <w:ind w:left="3972" w:hanging="360"/>
      </w:pPr>
      <w:rPr>
        <w:rFonts w:ascii="Wingdings" w:hAnsi="Wingdings" w:hint="default"/>
      </w:rPr>
    </w:lvl>
    <w:lvl w:ilvl="6" w:tplc="FFFFFFFF" w:tentative="1">
      <w:start w:val="1"/>
      <w:numFmt w:val="bullet"/>
      <w:lvlText w:val=""/>
      <w:lvlJc w:val="left"/>
      <w:pPr>
        <w:ind w:left="4692" w:hanging="360"/>
      </w:pPr>
      <w:rPr>
        <w:rFonts w:ascii="Symbol" w:hAnsi="Symbol" w:hint="default"/>
      </w:rPr>
    </w:lvl>
    <w:lvl w:ilvl="7" w:tplc="FFFFFFFF" w:tentative="1">
      <w:start w:val="1"/>
      <w:numFmt w:val="bullet"/>
      <w:lvlText w:val="o"/>
      <w:lvlJc w:val="left"/>
      <w:pPr>
        <w:ind w:left="5412" w:hanging="360"/>
      </w:pPr>
      <w:rPr>
        <w:rFonts w:ascii="Courier New" w:hAnsi="Courier New" w:cs="Courier New" w:hint="default"/>
      </w:rPr>
    </w:lvl>
    <w:lvl w:ilvl="8" w:tplc="FFFFFFFF" w:tentative="1">
      <w:start w:val="1"/>
      <w:numFmt w:val="bullet"/>
      <w:lvlText w:val=""/>
      <w:lvlJc w:val="left"/>
      <w:pPr>
        <w:ind w:left="6132" w:hanging="360"/>
      </w:pPr>
      <w:rPr>
        <w:rFonts w:ascii="Wingdings" w:hAnsi="Wingdings" w:hint="default"/>
      </w:rPr>
    </w:lvl>
  </w:abstractNum>
  <w:abstractNum w:abstractNumId="62" w15:restartNumberingAfterBreak="0">
    <w:nsid w:val="75CC776A"/>
    <w:multiLevelType w:val="hybridMultilevel"/>
    <w:tmpl w:val="879C0770"/>
    <w:lvl w:ilvl="0" w:tplc="A03CC0B4">
      <w:start w:val="1"/>
      <w:numFmt w:val="upperLetter"/>
      <w:lvlText w:val="%1)"/>
      <w:lvlJc w:val="left"/>
      <w:pPr>
        <w:ind w:left="360" w:hanging="360"/>
      </w:pPr>
      <w:rPr>
        <w:rFonts w:hint="default"/>
        <w:b/>
        <w:bCs w:val="0"/>
        <w:strike w:val="0"/>
      </w:rPr>
    </w:lvl>
    <w:lvl w:ilvl="1" w:tplc="D036493E">
      <w:start w:val="1"/>
      <w:numFmt w:val="decimal"/>
      <w:lvlText w:val="%2)"/>
      <w:lvlJc w:val="left"/>
      <w:pPr>
        <w:ind w:left="3338" w:hanging="360"/>
      </w:pPr>
      <w:rPr>
        <w:b/>
        <w:bCs w:val="0"/>
        <w:color w:val="auto"/>
        <w:u w:val="none"/>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3" w15:restartNumberingAfterBreak="0">
    <w:nsid w:val="76D065E2"/>
    <w:multiLevelType w:val="hybridMultilevel"/>
    <w:tmpl w:val="1FB004A0"/>
    <w:lvl w:ilvl="0" w:tplc="E5D82064">
      <w:start w:val="1"/>
      <w:numFmt w:val="decimal"/>
      <w:lvlText w:val="%1)"/>
      <w:lvlJc w:val="left"/>
      <w:pPr>
        <w:ind w:left="3338" w:hanging="360"/>
      </w:pPr>
      <w:rPr>
        <w:b/>
        <w:bCs w:val="0"/>
        <w:color w:val="auto"/>
        <w:u w:val="no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4" w15:restartNumberingAfterBreak="0">
    <w:nsid w:val="77DD34E0"/>
    <w:multiLevelType w:val="hybridMultilevel"/>
    <w:tmpl w:val="C9D809A4"/>
    <w:lvl w:ilvl="0" w:tplc="4C8A98AA">
      <w:start w:val="1"/>
      <w:numFmt w:val="lowerLetter"/>
      <w:lvlText w:val="%1)"/>
      <w:lvlJc w:val="left"/>
      <w:pPr>
        <w:ind w:left="1634"/>
      </w:pPr>
      <w:rPr>
        <w:rFonts w:hint="default"/>
        <w:b/>
        <w:bCs/>
        <w:i w:val="0"/>
        <w:strike w:val="0"/>
        <w:dstrike w:val="0"/>
        <w:color w:val="auto"/>
        <w:sz w:val="24"/>
        <w:u w:val="none"/>
        <w:bdr w:val="none" w:sz="0" w:space="0" w:color="auto"/>
        <w:shd w:val="clear" w:color="auto" w:fill="auto"/>
        <w:vertAlign w:val="baseli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7D074025"/>
    <w:multiLevelType w:val="hybridMultilevel"/>
    <w:tmpl w:val="0E58AA3C"/>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6" w15:restartNumberingAfterBreak="0">
    <w:nsid w:val="7F0B2655"/>
    <w:multiLevelType w:val="hybridMultilevel"/>
    <w:tmpl w:val="53623AFA"/>
    <w:lvl w:ilvl="0" w:tplc="61940132">
      <w:start w:val="1"/>
      <w:numFmt w:val="lowerLetter"/>
      <w:lvlText w:val="%1)"/>
      <w:lvlJc w:val="left"/>
      <w:pPr>
        <w:ind w:left="103" w:hanging="360"/>
      </w:pPr>
      <w:rPr>
        <w:rFonts w:hint="default"/>
      </w:rPr>
    </w:lvl>
    <w:lvl w:ilvl="1" w:tplc="140A0019" w:tentative="1">
      <w:start w:val="1"/>
      <w:numFmt w:val="lowerLetter"/>
      <w:lvlText w:val="%2."/>
      <w:lvlJc w:val="left"/>
      <w:pPr>
        <w:ind w:left="823" w:hanging="360"/>
      </w:pPr>
    </w:lvl>
    <w:lvl w:ilvl="2" w:tplc="140A001B" w:tentative="1">
      <w:start w:val="1"/>
      <w:numFmt w:val="lowerRoman"/>
      <w:lvlText w:val="%3."/>
      <w:lvlJc w:val="right"/>
      <w:pPr>
        <w:ind w:left="1543" w:hanging="180"/>
      </w:pPr>
    </w:lvl>
    <w:lvl w:ilvl="3" w:tplc="140A000F" w:tentative="1">
      <w:start w:val="1"/>
      <w:numFmt w:val="decimal"/>
      <w:lvlText w:val="%4."/>
      <w:lvlJc w:val="left"/>
      <w:pPr>
        <w:ind w:left="2263" w:hanging="360"/>
      </w:pPr>
    </w:lvl>
    <w:lvl w:ilvl="4" w:tplc="140A0019" w:tentative="1">
      <w:start w:val="1"/>
      <w:numFmt w:val="lowerLetter"/>
      <w:lvlText w:val="%5."/>
      <w:lvlJc w:val="left"/>
      <w:pPr>
        <w:ind w:left="2983" w:hanging="360"/>
      </w:pPr>
    </w:lvl>
    <w:lvl w:ilvl="5" w:tplc="140A001B" w:tentative="1">
      <w:start w:val="1"/>
      <w:numFmt w:val="lowerRoman"/>
      <w:lvlText w:val="%6."/>
      <w:lvlJc w:val="right"/>
      <w:pPr>
        <w:ind w:left="3703" w:hanging="180"/>
      </w:pPr>
    </w:lvl>
    <w:lvl w:ilvl="6" w:tplc="140A000F" w:tentative="1">
      <w:start w:val="1"/>
      <w:numFmt w:val="decimal"/>
      <w:lvlText w:val="%7."/>
      <w:lvlJc w:val="left"/>
      <w:pPr>
        <w:ind w:left="4423" w:hanging="360"/>
      </w:pPr>
    </w:lvl>
    <w:lvl w:ilvl="7" w:tplc="140A0019" w:tentative="1">
      <w:start w:val="1"/>
      <w:numFmt w:val="lowerLetter"/>
      <w:lvlText w:val="%8."/>
      <w:lvlJc w:val="left"/>
      <w:pPr>
        <w:ind w:left="5143" w:hanging="360"/>
      </w:pPr>
    </w:lvl>
    <w:lvl w:ilvl="8" w:tplc="140A001B" w:tentative="1">
      <w:start w:val="1"/>
      <w:numFmt w:val="lowerRoman"/>
      <w:lvlText w:val="%9."/>
      <w:lvlJc w:val="right"/>
      <w:pPr>
        <w:ind w:left="5863" w:hanging="180"/>
      </w:pPr>
    </w:lvl>
  </w:abstractNum>
  <w:num w:numId="1" w16cid:durableId="326252103">
    <w:abstractNumId w:val="10"/>
  </w:num>
  <w:num w:numId="2" w16cid:durableId="1486699651">
    <w:abstractNumId w:val="43"/>
  </w:num>
  <w:num w:numId="3" w16cid:durableId="559050030">
    <w:abstractNumId w:val="33"/>
  </w:num>
  <w:num w:numId="4" w16cid:durableId="1428888555">
    <w:abstractNumId w:val="19"/>
  </w:num>
  <w:num w:numId="5" w16cid:durableId="1064834764">
    <w:abstractNumId w:val="45"/>
  </w:num>
  <w:num w:numId="6" w16cid:durableId="778181492">
    <w:abstractNumId w:val="55"/>
  </w:num>
  <w:num w:numId="7" w16cid:durableId="2038962800">
    <w:abstractNumId w:val="7"/>
  </w:num>
  <w:num w:numId="8" w16cid:durableId="1245802745">
    <w:abstractNumId w:val="6"/>
  </w:num>
  <w:num w:numId="9" w16cid:durableId="1815831146">
    <w:abstractNumId w:val="1"/>
  </w:num>
  <w:num w:numId="10" w16cid:durableId="1755665405">
    <w:abstractNumId w:val="51"/>
  </w:num>
  <w:num w:numId="11" w16cid:durableId="1834683042">
    <w:abstractNumId w:val="12"/>
  </w:num>
  <w:num w:numId="12" w16cid:durableId="798033044">
    <w:abstractNumId w:val="26"/>
  </w:num>
  <w:num w:numId="13" w16cid:durableId="1276061032">
    <w:abstractNumId w:val="42"/>
  </w:num>
  <w:num w:numId="14" w16cid:durableId="1887063459">
    <w:abstractNumId w:val="13"/>
  </w:num>
  <w:num w:numId="15" w16cid:durableId="1006907577">
    <w:abstractNumId w:val="3"/>
  </w:num>
  <w:num w:numId="16" w16cid:durableId="1486706064">
    <w:abstractNumId w:val="23"/>
  </w:num>
  <w:num w:numId="17" w16cid:durableId="770664191">
    <w:abstractNumId w:val="17"/>
  </w:num>
  <w:num w:numId="18" w16cid:durableId="1108089449">
    <w:abstractNumId w:val="64"/>
  </w:num>
  <w:num w:numId="19" w16cid:durableId="648363661">
    <w:abstractNumId w:val="65"/>
  </w:num>
  <w:num w:numId="20" w16cid:durableId="532768726">
    <w:abstractNumId w:val="36"/>
  </w:num>
  <w:num w:numId="21" w16cid:durableId="1632008221">
    <w:abstractNumId w:val="38"/>
  </w:num>
  <w:num w:numId="22" w16cid:durableId="528110937">
    <w:abstractNumId w:val="49"/>
  </w:num>
  <w:num w:numId="23" w16cid:durableId="809904064">
    <w:abstractNumId w:val="8"/>
  </w:num>
  <w:num w:numId="24" w16cid:durableId="2009870000">
    <w:abstractNumId w:val="61"/>
  </w:num>
  <w:num w:numId="25" w16cid:durableId="1539852122">
    <w:abstractNumId w:val="2"/>
  </w:num>
  <w:num w:numId="26" w16cid:durableId="1695115157">
    <w:abstractNumId w:val="32"/>
  </w:num>
  <w:num w:numId="27" w16cid:durableId="768934201">
    <w:abstractNumId w:val="35"/>
  </w:num>
  <w:num w:numId="28" w16cid:durableId="654114857">
    <w:abstractNumId w:val="58"/>
  </w:num>
  <w:num w:numId="29" w16cid:durableId="2078016744">
    <w:abstractNumId w:val="62"/>
  </w:num>
  <w:num w:numId="30" w16cid:durableId="1562406339">
    <w:abstractNumId w:val="11"/>
  </w:num>
  <w:num w:numId="31" w16cid:durableId="1283537887">
    <w:abstractNumId w:val="34"/>
  </w:num>
  <w:num w:numId="32" w16cid:durableId="134152521">
    <w:abstractNumId w:val="0"/>
  </w:num>
  <w:num w:numId="33" w16cid:durableId="659506539">
    <w:abstractNumId w:val="30"/>
  </w:num>
  <w:num w:numId="34" w16cid:durableId="1671641327">
    <w:abstractNumId w:val="24"/>
  </w:num>
  <w:num w:numId="35" w16cid:durableId="916750265">
    <w:abstractNumId w:val="66"/>
  </w:num>
  <w:num w:numId="36" w16cid:durableId="1006400056">
    <w:abstractNumId w:val="37"/>
  </w:num>
  <w:num w:numId="37" w16cid:durableId="2112815619">
    <w:abstractNumId w:val="25"/>
  </w:num>
  <w:num w:numId="38" w16cid:durableId="2030990137">
    <w:abstractNumId w:val="25"/>
    <w:lvlOverride w:ilvl="0">
      <w:startOverride w:val="1"/>
    </w:lvlOverride>
  </w:num>
  <w:num w:numId="39" w16cid:durableId="1579627989">
    <w:abstractNumId w:val="16"/>
  </w:num>
  <w:num w:numId="40" w16cid:durableId="525603141">
    <w:abstractNumId w:val="25"/>
    <w:lvlOverride w:ilvl="0">
      <w:startOverride w:val="1"/>
    </w:lvlOverride>
  </w:num>
  <w:num w:numId="41" w16cid:durableId="2124372861">
    <w:abstractNumId w:val="25"/>
    <w:lvlOverride w:ilvl="0">
      <w:startOverride w:val="1"/>
    </w:lvlOverride>
  </w:num>
  <w:num w:numId="42" w16cid:durableId="1509903092">
    <w:abstractNumId w:val="39"/>
  </w:num>
  <w:num w:numId="43" w16cid:durableId="2058165667">
    <w:abstractNumId w:val="14"/>
  </w:num>
  <w:num w:numId="44" w16cid:durableId="1067143877">
    <w:abstractNumId w:val="40"/>
  </w:num>
  <w:num w:numId="45" w16cid:durableId="1443644905">
    <w:abstractNumId w:val="4"/>
  </w:num>
  <w:num w:numId="46" w16cid:durableId="1838231776">
    <w:abstractNumId w:val="25"/>
    <w:lvlOverride w:ilvl="0">
      <w:startOverride w:val="1"/>
    </w:lvlOverride>
  </w:num>
  <w:num w:numId="47" w16cid:durableId="1389038970">
    <w:abstractNumId w:val="25"/>
    <w:lvlOverride w:ilvl="0">
      <w:startOverride w:val="1"/>
    </w:lvlOverride>
  </w:num>
  <w:num w:numId="48" w16cid:durableId="1304000802">
    <w:abstractNumId w:val="25"/>
    <w:lvlOverride w:ilvl="0">
      <w:startOverride w:val="1"/>
    </w:lvlOverride>
  </w:num>
  <w:num w:numId="49" w16cid:durableId="1025593544">
    <w:abstractNumId w:val="25"/>
    <w:lvlOverride w:ilvl="0">
      <w:startOverride w:val="1"/>
    </w:lvlOverride>
  </w:num>
  <w:num w:numId="50" w16cid:durableId="320430138">
    <w:abstractNumId w:val="41"/>
  </w:num>
  <w:num w:numId="51" w16cid:durableId="901646038">
    <w:abstractNumId w:val="56"/>
  </w:num>
  <w:num w:numId="52" w16cid:durableId="1427775702">
    <w:abstractNumId w:val="47"/>
  </w:num>
  <w:num w:numId="53" w16cid:durableId="1391073028">
    <w:abstractNumId w:val="21"/>
  </w:num>
  <w:num w:numId="54" w16cid:durableId="1984431112">
    <w:abstractNumId w:val="52"/>
  </w:num>
  <w:num w:numId="55" w16cid:durableId="52126799">
    <w:abstractNumId w:val="60"/>
  </w:num>
  <w:num w:numId="56" w16cid:durableId="1954357785">
    <w:abstractNumId w:val="50"/>
  </w:num>
  <w:num w:numId="57" w16cid:durableId="1673988219">
    <w:abstractNumId w:val="63"/>
  </w:num>
  <w:num w:numId="58" w16cid:durableId="454327325">
    <w:abstractNumId w:val="31"/>
  </w:num>
  <w:num w:numId="59" w16cid:durableId="848641653">
    <w:abstractNumId w:val="48"/>
  </w:num>
  <w:num w:numId="60" w16cid:durableId="84965781">
    <w:abstractNumId w:val="22"/>
  </w:num>
  <w:num w:numId="61" w16cid:durableId="1729448801">
    <w:abstractNumId w:val="18"/>
  </w:num>
  <w:num w:numId="62" w16cid:durableId="2123331729">
    <w:abstractNumId w:val="15"/>
  </w:num>
  <w:num w:numId="63" w16cid:durableId="149292670">
    <w:abstractNumId w:val="28"/>
  </w:num>
  <w:num w:numId="64" w16cid:durableId="2050033054">
    <w:abstractNumId w:val="20"/>
  </w:num>
  <w:num w:numId="65" w16cid:durableId="707685549">
    <w:abstractNumId w:val="5"/>
  </w:num>
  <w:num w:numId="66" w16cid:durableId="1197503194">
    <w:abstractNumId w:val="46"/>
  </w:num>
  <w:num w:numId="67" w16cid:durableId="583802032">
    <w:abstractNumId w:val="59"/>
  </w:num>
  <w:num w:numId="68" w16cid:durableId="1337725571">
    <w:abstractNumId w:val="25"/>
    <w:lvlOverride w:ilvl="0">
      <w:startOverride w:val="1"/>
    </w:lvlOverride>
  </w:num>
  <w:num w:numId="69" w16cid:durableId="26106463">
    <w:abstractNumId w:val="27"/>
  </w:num>
  <w:num w:numId="70" w16cid:durableId="1987738200">
    <w:abstractNumId w:val="53"/>
  </w:num>
  <w:num w:numId="71" w16cid:durableId="1400440580">
    <w:abstractNumId w:val="29"/>
  </w:num>
  <w:num w:numId="72" w16cid:durableId="762334045">
    <w:abstractNumId w:val="25"/>
    <w:lvlOverride w:ilvl="0">
      <w:startOverride w:val="1"/>
    </w:lvlOverride>
  </w:num>
  <w:num w:numId="73" w16cid:durableId="1348482131">
    <w:abstractNumId w:val="9"/>
  </w:num>
  <w:num w:numId="74" w16cid:durableId="471022724">
    <w:abstractNumId w:val="44"/>
  </w:num>
  <w:num w:numId="75" w16cid:durableId="672688450">
    <w:abstractNumId w:val="54"/>
  </w:num>
  <w:num w:numId="76" w16cid:durableId="895429453">
    <w:abstractNumId w:val="57"/>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54E"/>
    <w:rsid w:val="000124EB"/>
    <w:rsid w:val="0003240E"/>
    <w:rsid w:val="00035148"/>
    <w:rsid w:val="00036731"/>
    <w:rsid w:val="0004153D"/>
    <w:rsid w:val="000616E7"/>
    <w:rsid w:val="000703DF"/>
    <w:rsid w:val="000848E2"/>
    <w:rsid w:val="000E1D57"/>
    <w:rsid w:val="000E57D6"/>
    <w:rsid w:val="000F03A3"/>
    <w:rsid w:val="00121E48"/>
    <w:rsid w:val="00124693"/>
    <w:rsid w:val="00136FB0"/>
    <w:rsid w:val="00144513"/>
    <w:rsid w:val="00164012"/>
    <w:rsid w:val="0016679A"/>
    <w:rsid w:val="001855CF"/>
    <w:rsid w:val="001B253F"/>
    <w:rsid w:val="001D7D76"/>
    <w:rsid w:val="001F154E"/>
    <w:rsid w:val="00200E4A"/>
    <w:rsid w:val="002141F3"/>
    <w:rsid w:val="002150CA"/>
    <w:rsid w:val="002161A6"/>
    <w:rsid w:val="00221CC5"/>
    <w:rsid w:val="002311E1"/>
    <w:rsid w:val="00233BD3"/>
    <w:rsid w:val="00244797"/>
    <w:rsid w:val="0026120D"/>
    <w:rsid w:val="00270075"/>
    <w:rsid w:val="0027276B"/>
    <w:rsid w:val="002841A4"/>
    <w:rsid w:val="002B45E7"/>
    <w:rsid w:val="002E4EBC"/>
    <w:rsid w:val="002E7C7D"/>
    <w:rsid w:val="00300CAF"/>
    <w:rsid w:val="003032F1"/>
    <w:rsid w:val="00326852"/>
    <w:rsid w:val="00330DCB"/>
    <w:rsid w:val="00344687"/>
    <w:rsid w:val="00366014"/>
    <w:rsid w:val="00376CCB"/>
    <w:rsid w:val="00377E4C"/>
    <w:rsid w:val="00384426"/>
    <w:rsid w:val="003862FE"/>
    <w:rsid w:val="003952A7"/>
    <w:rsid w:val="003A22FC"/>
    <w:rsid w:val="003A2D9C"/>
    <w:rsid w:val="003A2E5C"/>
    <w:rsid w:val="003B12E1"/>
    <w:rsid w:val="003B2913"/>
    <w:rsid w:val="003C4040"/>
    <w:rsid w:val="003D1277"/>
    <w:rsid w:val="003D3706"/>
    <w:rsid w:val="003F0D92"/>
    <w:rsid w:val="00406995"/>
    <w:rsid w:val="004117A5"/>
    <w:rsid w:val="00414EFF"/>
    <w:rsid w:val="0041694D"/>
    <w:rsid w:val="00431F6D"/>
    <w:rsid w:val="00477A1D"/>
    <w:rsid w:val="00497412"/>
    <w:rsid w:val="004B27D7"/>
    <w:rsid w:val="004C3603"/>
    <w:rsid w:val="004D22D6"/>
    <w:rsid w:val="004E4599"/>
    <w:rsid w:val="004F7333"/>
    <w:rsid w:val="005110E8"/>
    <w:rsid w:val="00517D62"/>
    <w:rsid w:val="00522D34"/>
    <w:rsid w:val="00546826"/>
    <w:rsid w:val="00576357"/>
    <w:rsid w:val="005A3058"/>
    <w:rsid w:val="005A7144"/>
    <w:rsid w:val="005B6A38"/>
    <w:rsid w:val="005D60C6"/>
    <w:rsid w:val="005F0EFD"/>
    <w:rsid w:val="00605231"/>
    <w:rsid w:val="006058E7"/>
    <w:rsid w:val="006114DD"/>
    <w:rsid w:val="006314CA"/>
    <w:rsid w:val="0064517A"/>
    <w:rsid w:val="006602EB"/>
    <w:rsid w:val="006662A9"/>
    <w:rsid w:val="00681541"/>
    <w:rsid w:val="00681A86"/>
    <w:rsid w:val="006972C9"/>
    <w:rsid w:val="006B4C1A"/>
    <w:rsid w:val="006B4F01"/>
    <w:rsid w:val="006D4913"/>
    <w:rsid w:val="006E644C"/>
    <w:rsid w:val="006F26B3"/>
    <w:rsid w:val="00710250"/>
    <w:rsid w:val="00727077"/>
    <w:rsid w:val="00751091"/>
    <w:rsid w:val="00756150"/>
    <w:rsid w:val="00757AEA"/>
    <w:rsid w:val="00760C59"/>
    <w:rsid w:val="00764B98"/>
    <w:rsid w:val="00766F36"/>
    <w:rsid w:val="00770A48"/>
    <w:rsid w:val="00792ABA"/>
    <w:rsid w:val="007C6EFA"/>
    <w:rsid w:val="007D02E4"/>
    <w:rsid w:val="007E72D3"/>
    <w:rsid w:val="007E7DA5"/>
    <w:rsid w:val="007F3BB7"/>
    <w:rsid w:val="007F4039"/>
    <w:rsid w:val="007F790D"/>
    <w:rsid w:val="008043BC"/>
    <w:rsid w:val="00811018"/>
    <w:rsid w:val="00814F71"/>
    <w:rsid w:val="008200B7"/>
    <w:rsid w:val="0082691C"/>
    <w:rsid w:val="008272E5"/>
    <w:rsid w:val="00844730"/>
    <w:rsid w:val="00844C15"/>
    <w:rsid w:val="00855792"/>
    <w:rsid w:val="00874C4F"/>
    <w:rsid w:val="0088599E"/>
    <w:rsid w:val="00890284"/>
    <w:rsid w:val="008925FF"/>
    <w:rsid w:val="008B01AE"/>
    <w:rsid w:val="008B3BC7"/>
    <w:rsid w:val="008D55B6"/>
    <w:rsid w:val="008D5F84"/>
    <w:rsid w:val="008E09B8"/>
    <w:rsid w:val="00900B79"/>
    <w:rsid w:val="00901120"/>
    <w:rsid w:val="00902010"/>
    <w:rsid w:val="00904FD2"/>
    <w:rsid w:val="00914AD9"/>
    <w:rsid w:val="009166D0"/>
    <w:rsid w:val="009349F3"/>
    <w:rsid w:val="00945205"/>
    <w:rsid w:val="00952FE1"/>
    <w:rsid w:val="00973505"/>
    <w:rsid w:val="00977857"/>
    <w:rsid w:val="00987AAD"/>
    <w:rsid w:val="00987D59"/>
    <w:rsid w:val="0099181E"/>
    <w:rsid w:val="009A27B7"/>
    <w:rsid w:val="009A63B5"/>
    <w:rsid w:val="009B2522"/>
    <w:rsid w:val="009C192E"/>
    <w:rsid w:val="009D4C67"/>
    <w:rsid w:val="009F555C"/>
    <w:rsid w:val="009F7126"/>
    <w:rsid w:val="00A12FC3"/>
    <w:rsid w:val="00A139F7"/>
    <w:rsid w:val="00A24821"/>
    <w:rsid w:val="00A33A1F"/>
    <w:rsid w:val="00A65FB5"/>
    <w:rsid w:val="00A66281"/>
    <w:rsid w:val="00A7153E"/>
    <w:rsid w:val="00A820E1"/>
    <w:rsid w:val="00A900A6"/>
    <w:rsid w:val="00AE42B3"/>
    <w:rsid w:val="00AF007C"/>
    <w:rsid w:val="00AF06C5"/>
    <w:rsid w:val="00B232F6"/>
    <w:rsid w:val="00B2799E"/>
    <w:rsid w:val="00B3000F"/>
    <w:rsid w:val="00B70F5E"/>
    <w:rsid w:val="00B7752A"/>
    <w:rsid w:val="00B800F4"/>
    <w:rsid w:val="00BA0B9B"/>
    <w:rsid w:val="00BA2362"/>
    <w:rsid w:val="00BA2916"/>
    <w:rsid w:val="00BC3B1B"/>
    <w:rsid w:val="00BC77AC"/>
    <w:rsid w:val="00BE09C4"/>
    <w:rsid w:val="00C14238"/>
    <w:rsid w:val="00C217BF"/>
    <w:rsid w:val="00C351E0"/>
    <w:rsid w:val="00C357F0"/>
    <w:rsid w:val="00C43642"/>
    <w:rsid w:val="00C46CE7"/>
    <w:rsid w:val="00C56B40"/>
    <w:rsid w:val="00C60009"/>
    <w:rsid w:val="00C6482D"/>
    <w:rsid w:val="00C778B9"/>
    <w:rsid w:val="00CB3316"/>
    <w:rsid w:val="00CB664F"/>
    <w:rsid w:val="00CC5446"/>
    <w:rsid w:val="00CE1AB5"/>
    <w:rsid w:val="00D1584B"/>
    <w:rsid w:val="00D402E5"/>
    <w:rsid w:val="00D405D6"/>
    <w:rsid w:val="00D523B4"/>
    <w:rsid w:val="00D9365C"/>
    <w:rsid w:val="00DA0AB1"/>
    <w:rsid w:val="00DA1158"/>
    <w:rsid w:val="00DD2427"/>
    <w:rsid w:val="00DE2D06"/>
    <w:rsid w:val="00DE424E"/>
    <w:rsid w:val="00DF3F7B"/>
    <w:rsid w:val="00E05277"/>
    <w:rsid w:val="00E42C29"/>
    <w:rsid w:val="00E4511A"/>
    <w:rsid w:val="00E504A3"/>
    <w:rsid w:val="00E70FE4"/>
    <w:rsid w:val="00E848F2"/>
    <w:rsid w:val="00EA754E"/>
    <w:rsid w:val="00EC529F"/>
    <w:rsid w:val="00EE13E7"/>
    <w:rsid w:val="00F064F4"/>
    <w:rsid w:val="00F11540"/>
    <w:rsid w:val="00F17C5B"/>
    <w:rsid w:val="00F22F21"/>
    <w:rsid w:val="00F369D7"/>
    <w:rsid w:val="00F5558E"/>
    <w:rsid w:val="00F67069"/>
    <w:rsid w:val="00F83D98"/>
    <w:rsid w:val="00F95A2E"/>
    <w:rsid w:val="00F97E3B"/>
    <w:rsid w:val="00FC60EC"/>
    <w:rsid w:val="00FD2389"/>
    <w:rsid w:val="00FE28B1"/>
    <w:rsid w:val="00FF571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1A28F"/>
  <w15:chartTrackingRefBased/>
  <w15:docId w15:val="{FEC99EF7-474E-4FEB-A478-8521A00FC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4F7333"/>
    <w:pPr>
      <w:spacing w:before="240" w:after="240" w:line="280" w:lineRule="exact"/>
      <w:jc w:val="both"/>
    </w:pPr>
    <w:rPr>
      <w:rFonts w:eastAsia="Times New Roman" w:cs="Times New Roman"/>
      <w:szCs w:val="24"/>
      <w:lang w:val="es-ES"/>
    </w:rPr>
  </w:style>
  <w:style w:type="paragraph" w:styleId="Ttulo1">
    <w:name w:val="heading 1"/>
    <w:basedOn w:val="Normal"/>
    <w:next w:val="Normal"/>
    <w:link w:val="Ttulo1Car"/>
    <w:uiPriority w:val="9"/>
    <w:qFormat/>
    <w:rsid w:val="009C192E"/>
    <w:pPr>
      <w:pBdr>
        <w:top w:val="single" w:sz="4" w:space="1" w:color="auto"/>
        <w:left w:val="single" w:sz="4" w:space="4" w:color="auto"/>
        <w:bottom w:val="single" w:sz="4" w:space="1" w:color="auto"/>
        <w:right w:val="single" w:sz="4" w:space="4" w:color="auto"/>
      </w:pBdr>
      <w:spacing w:before="120" w:after="120" w:line="240" w:lineRule="auto"/>
      <w:ind w:firstLine="6"/>
      <w:jc w:val="center"/>
      <w:outlineLvl w:val="0"/>
    </w:pPr>
    <w:rPr>
      <w:rFonts w:ascii="Roboto" w:hAnsi="Roboto"/>
      <w:b/>
      <w:bCs/>
      <w:sz w:val="24"/>
      <w:lang w:val="es-CR" w:eastAsia="es-ES"/>
    </w:rPr>
  </w:style>
  <w:style w:type="paragraph" w:styleId="Ttulo2">
    <w:name w:val="heading 2"/>
    <w:basedOn w:val="Normal"/>
    <w:next w:val="Normal"/>
    <w:link w:val="Ttulo2Car"/>
    <w:unhideWhenUsed/>
    <w:qFormat/>
    <w:rsid w:val="009C192E"/>
    <w:pPr>
      <w:numPr>
        <w:numId w:val="37"/>
      </w:numPr>
      <w:spacing w:before="0" w:line="240" w:lineRule="auto"/>
      <w:outlineLvl w:val="1"/>
    </w:pPr>
    <w:rPr>
      <w:rFonts w:ascii="Roboto" w:hAnsi="Roboto"/>
      <w:b/>
      <w:sz w:val="24"/>
      <w:lang w:val="es-CR" w:eastAsia="es-ES"/>
    </w:rPr>
  </w:style>
  <w:style w:type="paragraph" w:styleId="Ttulo3">
    <w:name w:val="heading 3"/>
    <w:basedOn w:val="Normal"/>
    <w:next w:val="Normal"/>
    <w:link w:val="Ttulo3Car"/>
    <w:uiPriority w:val="9"/>
    <w:unhideWhenUsed/>
    <w:qFormat/>
    <w:rsid w:val="009C192E"/>
    <w:pPr>
      <w:keepNext/>
      <w:keepLines/>
      <w:spacing w:before="160" w:after="80" w:line="240" w:lineRule="auto"/>
      <w:jc w:val="center"/>
      <w:outlineLvl w:val="2"/>
    </w:pPr>
    <w:rPr>
      <w:rFonts w:ascii="Times New Roman" w:eastAsiaTheme="majorEastAsia" w:hAnsi="Times New Roman" w:cstheme="majorBidi"/>
      <w:color w:val="2E74B5" w:themeColor="accent1" w:themeShade="BF"/>
      <w:sz w:val="28"/>
      <w:szCs w:val="28"/>
      <w:lang w:val="es-CR" w:eastAsia="es-ES"/>
    </w:rPr>
  </w:style>
  <w:style w:type="paragraph" w:styleId="Ttulo4">
    <w:name w:val="heading 4"/>
    <w:basedOn w:val="Normal"/>
    <w:next w:val="Normal"/>
    <w:link w:val="Ttulo4Car"/>
    <w:uiPriority w:val="9"/>
    <w:semiHidden/>
    <w:unhideWhenUsed/>
    <w:qFormat/>
    <w:rsid w:val="009C192E"/>
    <w:pPr>
      <w:keepNext/>
      <w:keepLines/>
      <w:spacing w:before="80" w:after="40" w:line="240" w:lineRule="auto"/>
      <w:jc w:val="center"/>
      <w:outlineLvl w:val="3"/>
    </w:pPr>
    <w:rPr>
      <w:rFonts w:ascii="Times New Roman" w:eastAsiaTheme="majorEastAsia" w:hAnsi="Times New Roman" w:cstheme="majorBidi"/>
      <w:i/>
      <w:iCs/>
      <w:color w:val="2E74B5" w:themeColor="accent1" w:themeShade="BF"/>
      <w:sz w:val="20"/>
      <w:szCs w:val="20"/>
      <w:lang w:val="es-CR" w:eastAsia="es-ES"/>
    </w:rPr>
  </w:style>
  <w:style w:type="paragraph" w:styleId="Ttulo5">
    <w:name w:val="heading 5"/>
    <w:basedOn w:val="Normal"/>
    <w:next w:val="Normal"/>
    <w:link w:val="Ttulo5Car"/>
    <w:uiPriority w:val="9"/>
    <w:semiHidden/>
    <w:unhideWhenUsed/>
    <w:qFormat/>
    <w:rsid w:val="009C192E"/>
    <w:pPr>
      <w:keepNext/>
      <w:keepLines/>
      <w:spacing w:before="80" w:after="40" w:line="240" w:lineRule="auto"/>
      <w:jc w:val="center"/>
      <w:outlineLvl w:val="4"/>
    </w:pPr>
    <w:rPr>
      <w:rFonts w:ascii="Times New Roman" w:eastAsiaTheme="majorEastAsia" w:hAnsi="Times New Roman" w:cstheme="majorBidi"/>
      <w:color w:val="2E74B5" w:themeColor="accent1" w:themeShade="BF"/>
      <w:sz w:val="20"/>
      <w:szCs w:val="20"/>
      <w:lang w:val="es-CR" w:eastAsia="es-ES"/>
    </w:rPr>
  </w:style>
  <w:style w:type="paragraph" w:styleId="Ttulo6">
    <w:name w:val="heading 6"/>
    <w:basedOn w:val="Normal"/>
    <w:next w:val="Normal"/>
    <w:link w:val="Ttulo6Car"/>
    <w:uiPriority w:val="9"/>
    <w:semiHidden/>
    <w:unhideWhenUsed/>
    <w:qFormat/>
    <w:rsid w:val="009C192E"/>
    <w:pPr>
      <w:keepNext/>
      <w:keepLines/>
      <w:spacing w:before="40" w:after="0" w:line="240" w:lineRule="auto"/>
      <w:jc w:val="center"/>
      <w:outlineLvl w:val="5"/>
    </w:pPr>
    <w:rPr>
      <w:rFonts w:ascii="Times New Roman" w:eastAsiaTheme="majorEastAsia" w:hAnsi="Times New Roman" w:cstheme="majorBidi"/>
      <w:i/>
      <w:iCs/>
      <w:color w:val="595959" w:themeColor="text1" w:themeTint="A6"/>
      <w:sz w:val="20"/>
      <w:szCs w:val="20"/>
      <w:lang w:val="es-CR" w:eastAsia="es-ES"/>
    </w:rPr>
  </w:style>
  <w:style w:type="paragraph" w:styleId="Ttulo7">
    <w:name w:val="heading 7"/>
    <w:basedOn w:val="Normal"/>
    <w:next w:val="Normal"/>
    <w:link w:val="Ttulo7Car"/>
    <w:uiPriority w:val="9"/>
    <w:semiHidden/>
    <w:unhideWhenUsed/>
    <w:qFormat/>
    <w:rsid w:val="009C192E"/>
    <w:pPr>
      <w:keepNext/>
      <w:keepLines/>
      <w:spacing w:before="40" w:after="0" w:line="240" w:lineRule="auto"/>
      <w:jc w:val="center"/>
      <w:outlineLvl w:val="6"/>
    </w:pPr>
    <w:rPr>
      <w:rFonts w:ascii="Times New Roman" w:eastAsiaTheme="majorEastAsia" w:hAnsi="Times New Roman" w:cstheme="majorBidi"/>
      <w:color w:val="595959" w:themeColor="text1" w:themeTint="A6"/>
      <w:sz w:val="20"/>
      <w:szCs w:val="20"/>
      <w:lang w:val="es-CR" w:eastAsia="es-ES"/>
    </w:rPr>
  </w:style>
  <w:style w:type="paragraph" w:styleId="Ttulo8">
    <w:name w:val="heading 8"/>
    <w:basedOn w:val="Normal"/>
    <w:next w:val="Normal"/>
    <w:link w:val="Ttulo8Car"/>
    <w:uiPriority w:val="9"/>
    <w:semiHidden/>
    <w:unhideWhenUsed/>
    <w:qFormat/>
    <w:rsid w:val="009C192E"/>
    <w:pPr>
      <w:keepNext/>
      <w:keepLines/>
      <w:spacing w:before="0" w:after="0" w:line="240" w:lineRule="auto"/>
      <w:jc w:val="center"/>
      <w:outlineLvl w:val="7"/>
    </w:pPr>
    <w:rPr>
      <w:rFonts w:ascii="Times New Roman" w:eastAsiaTheme="majorEastAsia" w:hAnsi="Times New Roman" w:cstheme="majorBidi"/>
      <w:i/>
      <w:iCs/>
      <w:color w:val="272727" w:themeColor="text1" w:themeTint="D8"/>
      <w:sz w:val="20"/>
      <w:szCs w:val="20"/>
      <w:lang w:val="es-CR" w:eastAsia="es-ES"/>
    </w:rPr>
  </w:style>
  <w:style w:type="paragraph" w:styleId="Ttulo9">
    <w:name w:val="heading 9"/>
    <w:basedOn w:val="Normal"/>
    <w:next w:val="Normal"/>
    <w:link w:val="Ttulo9Car"/>
    <w:uiPriority w:val="9"/>
    <w:semiHidden/>
    <w:unhideWhenUsed/>
    <w:qFormat/>
    <w:rsid w:val="009C192E"/>
    <w:pPr>
      <w:keepNext/>
      <w:keepLines/>
      <w:spacing w:before="0" w:after="0" w:line="240" w:lineRule="auto"/>
      <w:jc w:val="center"/>
      <w:outlineLvl w:val="8"/>
    </w:pPr>
    <w:rPr>
      <w:rFonts w:ascii="Times New Roman" w:eastAsiaTheme="majorEastAsia" w:hAnsi="Times New Roman" w:cstheme="majorBidi"/>
      <w:color w:val="272727" w:themeColor="text1" w:themeTint="D8"/>
      <w:sz w:val="20"/>
      <w:szCs w:val="20"/>
      <w:lang w:val="es-C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49F3"/>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9349F3"/>
  </w:style>
  <w:style w:type="paragraph" w:styleId="Piedepgina">
    <w:name w:val="footer"/>
    <w:basedOn w:val="Normal"/>
    <w:link w:val="PiedepginaCar"/>
    <w:uiPriority w:val="99"/>
    <w:unhideWhenUsed/>
    <w:rsid w:val="009349F3"/>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9349F3"/>
  </w:style>
  <w:style w:type="table" w:styleId="Tablaconcuadrcula">
    <w:name w:val="Table Grid"/>
    <w:basedOn w:val="Tablanormal"/>
    <w:uiPriority w:val="39"/>
    <w:rsid w:val="00934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17D62"/>
    <w:rPr>
      <w:color w:val="0563C1" w:themeColor="hyperlink"/>
      <w:u w:val="single"/>
    </w:rPr>
  </w:style>
  <w:style w:type="paragraph" w:customStyle="1" w:styleId="Texto">
    <w:name w:val="Texto"/>
    <w:basedOn w:val="Normal"/>
    <w:link w:val="TextoChar"/>
    <w:qFormat/>
    <w:rsid w:val="006972C9"/>
    <w:pPr>
      <w:spacing w:before="120" w:after="120" w:line="360" w:lineRule="auto"/>
    </w:pPr>
  </w:style>
  <w:style w:type="paragraph" w:customStyle="1" w:styleId="Negrita">
    <w:name w:val="Negrita"/>
    <w:basedOn w:val="Texto"/>
    <w:link w:val="NegritaChar1"/>
    <w:uiPriority w:val="1"/>
    <w:qFormat/>
    <w:rsid w:val="006972C9"/>
    <w:pPr>
      <w:spacing w:before="0" w:after="0"/>
    </w:pPr>
    <w:rPr>
      <w:b/>
    </w:rPr>
  </w:style>
  <w:style w:type="paragraph" w:customStyle="1" w:styleId="numeracion">
    <w:name w:val="numeracion"/>
    <w:basedOn w:val="Texto"/>
    <w:uiPriority w:val="1"/>
    <w:qFormat/>
    <w:rsid w:val="006972C9"/>
    <w:pPr>
      <w:numPr>
        <w:numId w:val="1"/>
      </w:numPr>
      <w:ind w:left="432" w:firstLine="0"/>
    </w:pPr>
  </w:style>
  <w:style w:type="paragraph" w:customStyle="1" w:styleId="vinetas">
    <w:name w:val="vinetas"/>
    <w:basedOn w:val="numeracion"/>
    <w:uiPriority w:val="1"/>
    <w:qFormat/>
    <w:rsid w:val="006972C9"/>
    <w:pPr>
      <w:numPr>
        <w:numId w:val="2"/>
      </w:numPr>
      <w:ind w:left="792"/>
    </w:pPr>
  </w:style>
  <w:style w:type="paragraph" w:customStyle="1" w:styleId="CC">
    <w:name w:val="CC"/>
    <w:basedOn w:val="Texto"/>
    <w:link w:val="CCChar"/>
    <w:qFormat/>
    <w:rsid w:val="006972C9"/>
    <w:pPr>
      <w:spacing w:before="0" w:after="0"/>
    </w:pPr>
    <w:rPr>
      <w:sz w:val="18"/>
      <w:szCs w:val="18"/>
    </w:rPr>
  </w:style>
  <w:style w:type="character" w:customStyle="1" w:styleId="TextoChar">
    <w:name w:val="Texto Char"/>
    <w:basedOn w:val="Fuentedeprrafopredeter"/>
    <w:link w:val="Texto"/>
    <w:rsid w:val="006972C9"/>
    <w:rPr>
      <w:rFonts w:ascii="Cambria" w:eastAsia="Times New Roman" w:hAnsi="Cambria" w:cs="Times New Roman"/>
      <w:szCs w:val="24"/>
      <w:lang w:val="es-ES"/>
    </w:rPr>
  </w:style>
  <w:style w:type="character" w:customStyle="1" w:styleId="CCChar">
    <w:name w:val="CC Char"/>
    <w:basedOn w:val="TextoChar"/>
    <w:link w:val="CC"/>
    <w:rsid w:val="006972C9"/>
    <w:rPr>
      <w:rFonts w:ascii="Cambria" w:eastAsia="Times New Roman" w:hAnsi="Cambria" w:cs="Times New Roman"/>
      <w:sz w:val="18"/>
      <w:szCs w:val="18"/>
      <w:lang w:val="es-ES"/>
    </w:rPr>
  </w:style>
  <w:style w:type="paragraph" w:customStyle="1" w:styleId="encabezado0">
    <w:name w:val="encabezado"/>
    <w:basedOn w:val="Texto"/>
    <w:uiPriority w:val="1"/>
    <w:qFormat/>
    <w:rsid w:val="006972C9"/>
    <w:pPr>
      <w:spacing w:before="0" w:after="0"/>
    </w:pPr>
  </w:style>
  <w:style w:type="character" w:customStyle="1" w:styleId="NegritaChar1">
    <w:name w:val="Negrita Char1"/>
    <w:basedOn w:val="Fuentedeprrafopredeter"/>
    <w:link w:val="Negrita"/>
    <w:uiPriority w:val="1"/>
    <w:rsid w:val="006972C9"/>
    <w:rPr>
      <w:rFonts w:ascii="Cambria" w:eastAsia="Times New Roman" w:hAnsi="Cambria" w:cs="Times New Roman"/>
      <w:b/>
      <w:szCs w:val="24"/>
      <w:lang w:val="es-ES"/>
    </w:rPr>
  </w:style>
  <w:style w:type="paragraph" w:customStyle="1" w:styleId="CentradoResaltado">
    <w:name w:val="Centrado Resaltado"/>
    <w:basedOn w:val="Normal"/>
    <w:link w:val="CentradoResaltadoChar"/>
    <w:uiPriority w:val="1"/>
    <w:qFormat/>
    <w:rsid w:val="006972C9"/>
    <w:pPr>
      <w:jc w:val="center"/>
    </w:pPr>
    <w:rPr>
      <w:b/>
    </w:rPr>
  </w:style>
  <w:style w:type="character" w:customStyle="1" w:styleId="CentradoResaltadoChar">
    <w:name w:val="Centrado Resaltado Char"/>
    <w:basedOn w:val="Fuentedeprrafopredeter"/>
    <w:link w:val="CentradoResaltado"/>
    <w:uiPriority w:val="1"/>
    <w:rsid w:val="006972C9"/>
    <w:rPr>
      <w:rFonts w:ascii="Cambria" w:eastAsia="Times New Roman" w:hAnsi="Cambria" w:cs="Times New Roman"/>
      <w:b/>
      <w:szCs w:val="24"/>
      <w:lang w:val="es-ES"/>
    </w:rPr>
  </w:style>
  <w:style w:type="character" w:styleId="Textodelmarcadordeposicin">
    <w:name w:val="Placeholder Text"/>
    <w:basedOn w:val="Fuentedeprrafopredeter"/>
    <w:uiPriority w:val="99"/>
    <w:semiHidden/>
    <w:rsid w:val="006972C9"/>
    <w:rPr>
      <w:color w:val="808080"/>
    </w:rPr>
  </w:style>
  <w:style w:type="paragraph" w:customStyle="1" w:styleId="Informacindecontacto">
    <w:name w:val="Información de contacto"/>
    <w:basedOn w:val="Normal"/>
    <w:uiPriority w:val="11"/>
    <w:qFormat/>
    <w:rsid w:val="00376CCB"/>
    <w:pPr>
      <w:spacing w:line="240" w:lineRule="auto"/>
      <w:contextualSpacing/>
      <w:jc w:val="center"/>
    </w:pPr>
    <w:rPr>
      <w:rFonts w:eastAsiaTheme="minorEastAsia" w:cstheme="minorBidi"/>
      <w:color w:val="44546A" w:themeColor="text2"/>
      <w:sz w:val="18"/>
      <w:szCs w:val="22"/>
      <w:lang w:eastAsia="ja-JP"/>
    </w:rPr>
  </w:style>
  <w:style w:type="paragraph" w:customStyle="1" w:styleId="Consecutivo">
    <w:name w:val="Consecutivo"/>
    <w:basedOn w:val="Informacindecontacto"/>
    <w:uiPriority w:val="1"/>
    <w:rsid w:val="004F7333"/>
    <w:pPr>
      <w:spacing w:before="0" w:after="0"/>
      <w:jc w:val="both"/>
    </w:pPr>
    <w:rPr>
      <w:rFonts w:ascii="Arial" w:hAnsi="Arial" w:cs="Arial"/>
      <w:color w:val="003366"/>
      <w:sz w:val="13"/>
      <w:szCs w:val="20"/>
    </w:rPr>
  </w:style>
  <w:style w:type="paragraph" w:customStyle="1" w:styleId="Uso">
    <w:name w:val="Uso"/>
    <w:basedOn w:val="Normal"/>
    <w:uiPriority w:val="1"/>
    <w:rsid w:val="003D3706"/>
    <w:pPr>
      <w:spacing w:before="0" w:after="0" w:line="200" w:lineRule="exact"/>
    </w:pPr>
    <w:rPr>
      <w:color w:val="808080" w:themeColor="background1" w:themeShade="80"/>
      <w:sz w:val="13"/>
    </w:rPr>
  </w:style>
  <w:style w:type="character" w:styleId="Nmerodepgina">
    <w:name w:val="page number"/>
    <w:basedOn w:val="Fuentedeprrafopredeter"/>
    <w:unhideWhenUsed/>
    <w:rsid w:val="003D3706"/>
    <w:rPr>
      <w:rFonts w:asciiTheme="majorHAnsi" w:hAnsiTheme="majorHAnsi"/>
      <w:color w:val="003366"/>
      <w:sz w:val="15"/>
    </w:rPr>
  </w:style>
  <w:style w:type="character" w:customStyle="1" w:styleId="Ttulo1Car">
    <w:name w:val="Título 1 Car"/>
    <w:basedOn w:val="Fuentedeprrafopredeter"/>
    <w:link w:val="Ttulo1"/>
    <w:uiPriority w:val="9"/>
    <w:rsid w:val="009C192E"/>
    <w:rPr>
      <w:rFonts w:ascii="Roboto" w:eastAsia="Times New Roman" w:hAnsi="Roboto" w:cs="Times New Roman"/>
      <w:b/>
      <w:bCs/>
      <w:sz w:val="24"/>
      <w:szCs w:val="24"/>
      <w:lang w:eastAsia="es-ES"/>
    </w:rPr>
  </w:style>
  <w:style w:type="character" w:customStyle="1" w:styleId="Ttulo2Car">
    <w:name w:val="Título 2 Car"/>
    <w:basedOn w:val="Fuentedeprrafopredeter"/>
    <w:link w:val="Ttulo2"/>
    <w:rsid w:val="009C192E"/>
    <w:rPr>
      <w:rFonts w:ascii="Roboto" w:eastAsia="Times New Roman" w:hAnsi="Roboto" w:cs="Times New Roman"/>
      <w:b/>
      <w:sz w:val="24"/>
      <w:szCs w:val="24"/>
      <w:lang w:eastAsia="es-ES"/>
    </w:rPr>
  </w:style>
  <w:style w:type="character" w:customStyle="1" w:styleId="Ttulo3Car">
    <w:name w:val="Título 3 Car"/>
    <w:basedOn w:val="Fuentedeprrafopredeter"/>
    <w:link w:val="Ttulo3"/>
    <w:uiPriority w:val="9"/>
    <w:rsid w:val="009C192E"/>
    <w:rPr>
      <w:rFonts w:ascii="Times New Roman" w:eastAsiaTheme="majorEastAsia" w:hAnsi="Times New Roman" w:cstheme="majorBidi"/>
      <w:color w:val="2E74B5" w:themeColor="accent1" w:themeShade="BF"/>
      <w:sz w:val="28"/>
      <w:szCs w:val="28"/>
      <w:lang w:eastAsia="es-ES"/>
    </w:rPr>
  </w:style>
  <w:style w:type="character" w:customStyle="1" w:styleId="Ttulo4Car">
    <w:name w:val="Título 4 Car"/>
    <w:basedOn w:val="Fuentedeprrafopredeter"/>
    <w:link w:val="Ttulo4"/>
    <w:uiPriority w:val="9"/>
    <w:semiHidden/>
    <w:rsid w:val="009C192E"/>
    <w:rPr>
      <w:rFonts w:ascii="Times New Roman" w:eastAsiaTheme="majorEastAsia" w:hAnsi="Times New Roman" w:cstheme="majorBidi"/>
      <w:i/>
      <w:iCs/>
      <w:color w:val="2E74B5" w:themeColor="accent1" w:themeShade="BF"/>
      <w:sz w:val="20"/>
      <w:szCs w:val="20"/>
      <w:lang w:eastAsia="es-ES"/>
    </w:rPr>
  </w:style>
  <w:style w:type="character" w:customStyle="1" w:styleId="Ttulo5Car">
    <w:name w:val="Título 5 Car"/>
    <w:basedOn w:val="Fuentedeprrafopredeter"/>
    <w:link w:val="Ttulo5"/>
    <w:uiPriority w:val="9"/>
    <w:semiHidden/>
    <w:rsid w:val="009C192E"/>
    <w:rPr>
      <w:rFonts w:ascii="Times New Roman" w:eastAsiaTheme="majorEastAsia" w:hAnsi="Times New Roman" w:cstheme="majorBidi"/>
      <w:color w:val="2E74B5" w:themeColor="accent1" w:themeShade="BF"/>
      <w:sz w:val="20"/>
      <w:szCs w:val="20"/>
      <w:lang w:eastAsia="es-ES"/>
    </w:rPr>
  </w:style>
  <w:style w:type="character" w:customStyle="1" w:styleId="Ttulo6Car">
    <w:name w:val="Título 6 Car"/>
    <w:basedOn w:val="Fuentedeprrafopredeter"/>
    <w:link w:val="Ttulo6"/>
    <w:uiPriority w:val="9"/>
    <w:semiHidden/>
    <w:rsid w:val="009C192E"/>
    <w:rPr>
      <w:rFonts w:ascii="Times New Roman" w:eastAsiaTheme="majorEastAsia" w:hAnsi="Times New Roman" w:cstheme="majorBidi"/>
      <w:i/>
      <w:iCs/>
      <w:color w:val="595959" w:themeColor="text1" w:themeTint="A6"/>
      <w:sz w:val="20"/>
      <w:szCs w:val="20"/>
      <w:lang w:eastAsia="es-ES"/>
    </w:rPr>
  </w:style>
  <w:style w:type="character" w:customStyle="1" w:styleId="Ttulo7Car">
    <w:name w:val="Título 7 Car"/>
    <w:basedOn w:val="Fuentedeprrafopredeter"/>
    <w:link w:val="Ttulo7"/>
    <w:uiPriority w:val="9"/>
    <w:semiHidden/>
    <w:rsid w:val="009C192E"/>
    <w:rPr>
      <w:rFonts w:ascii="Times New Roman" w:eastAsiaTheme="majorEastAsia" w:hAnsi="Times New Roman" w:cstheme="majorBidi"/>
      <w:color w:val="595959" w:themeColor="text1" w:themeTint="A6"/>
      <w:sz w:val="20"/>
      <w:szCs w:val="20"/>
      <w:lang w:eastAsia="es-ES"/>
    </w:rPr>
  </w:style>
  <w:style w:type="character" w:customStyle="1" w:styleId="Ttulo8Car">
    <w:name w:val="Título 8 Car"/>
    <w:basedOn w:val="Fuentedeprrafopredeter"/>
    <w:link w:val="Ttulo8"/>
    <w:uiPriority w:val="9"/>
    <w:semiHidden/>
    <w:rsid w:val="009C192E"/>
    <w:rPr>
      <w:rFonts w:ascii="Times New Roman" w:eastAsiaTheme="majorEastAsia" w:hAnsi="Times New Roman" w:cstheme="majorBidi"/>
      <w:i/>
      <w:iCs/>
      <w:color w:val="272727" w:themeColor="text1" w:themeTint="D8"/>
      <w:sz w:val="20"/>
      <w:szCs w:val="20"/>
      <w:lang w:eastAsia="es-ES"/>
    </w:rPr>
  </w:style>
  <w:style w:type="character" w:customStyle="1" w:styleId="Ttulo9Car">
    <w:name w:val="Título 9 Car"/>
    <w:basedOn w:val="Fuentedeprrafopredeter"/>
    <w:link w:val="Ttulo9"/>
    <w:uiPriority w:val="9"/>
    <w:semiHidden/>
    <w:rsid w:val="009C192E"/>
    <w:rPr>
      <w:rFonts w:ascii="Times New Roman" w:eastAsiaTheme="majorEastAsia" w:hAnsi="Times New Roman" w:cstheme="majorBidi"/>
      <w:color w:val="272727" w:themeColor="text1" w:themeTint="D8"/>
      <w:sz w:val="20"/>
      <w:szCs w:val="20"/>
      <w:lang w:eastAsia="es-ES"/>
    </w:rPr>
  </w:style>
  <w:style w:type="paragraph" w:styleId="Ttulo">
    <w:name w:val="Title"/>
    <w:basedOn w:val="Normal"/>
    <w:next w:val="Normal"/>
    <w:link w:val="TtuloCar"/>
    <w:uiPriority w:val="10"/>
    <w:qFormat/>
    <w:rsid w:val="009C192E"/>
    <w:pPr>
      <w:spacing w:before="0" w:after="80" w:line="240" w:lineRule="auto"/>
      <w:contextualSpacing/>
      <w:jc w:val="center"/>
    </w:pPr>
    <w:rPr>
      <w:rFonts w:asciiTheme="majorHAnsi" w:eastAsiaTheme="majorEastAsia" w:hAnsiTheme="majorHAnsi" w:cstheme="majorBidi"/>
      <w:spacing w:val="-10"/>
      <w:kern w:val="28"/>
      <w:sz w:val="56"/>
      <w:szCs w:val="56"/>
      <w:lang w:val="es-CR" w:eastAsia="es-ES"/>
    </w:rPr>
  </w:style>
  <w:style w:type="character" w:customStyle="1" w:styleId="TtuloCar">
    <w:name w:val="Título Car"/>
    <w:basedOn w:val="Fuentedeprrafopredeter"/>
    <w:link w:val="Ttulo"/>
    <w:uiPriority w:val="10"/>
    <w:rsid w:val="009C192E"/>
    <w:rPr>
      <w:rFonts w:asciiTheme="majorHAnsi" w:eastAsiaTheme="majorEastAsia" w:hAnsiTheme="majorHAnsi" w:cstheme="majorBidi"/>
      <w:spacing w:val="-10"/>
      <w:kern w:val="28"/>
      <w:sz w:val="56"/>
      <w:szCs w:val="56"/>
      <w:lang w:eastAsia="es-ES"/>
    </w:rPr>
  </w:style>
  <w:style w:type="paragraph" w:styleId="Subttulo">
    <w:name w:val="Subtitle"/>
    <w:basedOn w:val="Normal"/>
    <w:next w:val="Normal"/>
    <w:link w:val="SubttuloCar"/>
    <w:uiPriority w:val="11"/>
    <w:qFormat/>
    <w:rsid w:val="009C192E"/>
    <w:pPr>
      <w:numPr>
        <w:ilvl w:val="1"/>
      </w:numPr>
      <w:spacing w:before="0" w:after="0" w:line="240" w:lineRule="auto"/>
      <w:jc w:val="center"/>
    </w:pPr>
    <w:rPr>
      <w:rFonts w:ascii="Times New Roman" w:eastAsiaTheme="majorEastAsia" w:hAnsi="Times New Roman" w:cstheme="majorBidi"/>
      <w:color w:val="595959" w:themeColor="text1" w:themeTint="A6"/>
      <w:spacing w:val="15"/>
      <w:sz w:val="28"/>
      <w:szCs w:val="28"/>
      <w:lang w:val="es-CR" w:eastAsia="es-ES"/>
    </w:rPr>
  </w:style>
  <w:style w:type="character" w:customStyle="1" w:styleId="SubttuloCar">
    <w:name w:val="Subtítulo Car"/>
    <w:basedOn w:val="Fuentedeprrafopredeter"/>
    <w:link w:val="Subttulo"/>
    <w:uiPriority w:val="11"/>
    <w:rsid w:val="009C192E"/>
    <w:rPr>
      <w:rFonts w:ascii="Times New Roman" w:eastAsiaTheme="majorEastAsia" w:hAnsi="Times New Roman" w:cstheme="majorBidi"/>
      <w:color w:val="595959" w:themeColor="text1" w:themeTint="A6"/>
      <w:spacing w:val="15"/>
      <w:sz w:val="28"/>
      <w:szCs w:val="28"/>
      <w:lang w:eastAsia="es-ES"/>
    </w:rPr>
  </w:style>
  <w:style w:type="paragraph" w:styleId="Cita">
    <w:name w:val="Quote"/>
    <w:basedOn w:val="Normal"/>
    <w:next w:val="Normal"/>
    <w:link w:val="CitaCar"/>
    <w:uiPriority w:val="29"/>
    <w:qFormat/>
    <w:rsid w:val="009C192E"/>
    <w:pPr>
      <w:spacing w:before="160" w:after="0" w:line="240" w:lineRule="auto"/>
      <w:jc w:val="center"/>
    </w:pPr>
    <w:rPr>
      <w:rFonts w:ascii="Times New Roman" w:hAnsi="Times New Roman"/>
      <w:i/>
      <w:iCs/>
      <w:color w:val="404040" w:themeColor="text1" w:themeTint="BF"/>
      <w:sz w:val="20"/>
      <w:szCs w:val="20"/>
      <w:lang w:val="es-CR" w:eastAsia="es-ES"/>
    </w:rPr>
  </w:style>
  <w:style w:type="character" w:customStyle="1" w:styleId="CitaCar">
    <w:name w:val="Cita Car"/>
    <w:basedOn w:val="Fuentedeprrafopredeter"/>
    <w:link w:val="Cita"/>
    <w:uiPriority w:val="29"/>
    <w:rsid w:val="009C192E"/>
    <w:rPr>
      <w:rFonts w:ascii="Times New Roman" w:eastAsia="Times New Roman" w:hAnsi="Times New Roman" w:cs="Times New Roman"/>
      <w:i/>
      <w:iCs/>
      <w:color w:val="404040" w:themeColor="text1" w:themeTint="BF"/>
      <w:sz w:val="20"/>
      <w:szCs w:val="20"/>
      <w:lang w:eastAsia="es-ES"/>
    </w:rPr>
  </w:style>
  <w:style w:type="paragraph" w:styleId="Prrafodelista">
    <w:name w:val="List Paragraph"/>
    <w:aliases w:val="Informe,figuras y gráficos,Viñetas,Bulletr List Paragraph,3,titulo 5,Con viñetas,Normal con viñetas,Use Case List Paragraph,Bullet 1,List Paragraph 1,Numbered List Paragraph,Main numbered paragraph,Bullets,List Paragraph (numbered (a))"/>
    <w:basedOn w:val="Normal"/>
    <w:link w:val="PrrafodelistaCar"/>
    <w:uiPriority w:val="34"/>
    <w:qFormat/>
    <w:rsid w:val="009C192E"/>
    <w:pPr>
      <w:spacing w:before="0" w:after="0" w:line="240" w:lineRule="auto"/>
      <w:ind w:left="720"/>
      <w:contextualSpacing/>
      <w:jc w:val="center"/>
    </w:pPr>
    <w:rPr>
      <w:rFonts w:ascii="Times New Roman" w:hAnsi="Times New Roman"/>
      <w:sz w:val="20"/>
      <w:szCs w:val="20"/>
      <w:lang w:val="es-CR" w:eastAsia="es-ES"/>
    </w:rPr>
  </w:style>
  <w:style w:type="character" w:styleId="nfasisintenso">
    <w:name w:val="Intense Emphasis"/>
    <w:basedOn w:val="Fuentedeprrafopredeter"/>
    <w:uiPriority w:val="21"/>
    <w:qFormat/>
    <w:rsid w:val="009C192E"/>
    <w:rPr>
      <w:i/>
      <w:iCs/>
      <w:color w:val="2E74B5" w:themeColor="accent1" w:themeShade="BF"/>
    </w:rPr>
  </w:style>
  <w:style w:type="paragraph" w:styleId="Citadestacada">
    <w:name w:val="Intense Quote"/>
    <w:basedOn w:val="Normal"/>
    <w:next w:val="Normal"/>
    <w:link w:val="CitadestacadaCar"/>
    <w:uiPriority w:val="30"/>
    <w:qFormat/>
    <w:rsid w:val="009C192E"/>
    <w:pPr>
      <w:pBdr>
        <w:top w:val="single" w:sz="4" w:space="10" w:color="2E74B5" w:themeColor="accent1" w:themeShade="BF"/>
        <w:bottom w:val="single" w:sz="4" w:space="10" w:color="2E74B5" w:themeColor="accent1" w:themeShade="BF"/>
      </w:pBdr>
      <w:spacing w:before="360" w:after="360" w:line="240" w:lineRule="auto"/>
      <w:ind w:left="864" w:right="864"/>
      <w:jc w:val="center"/>
    </w:pPr>
    <w:rPr>
      <w:rFonts w:ascii="Times New Roman" w:hAnsi="Times New Roman"/>
      <w:i/>
      <w:iCs/>
      <w:color w:val="2E74B5" w:themeColor="accent1" w:themeShade="BF"/>
      <w:sz w:val="20"/>
      <w:szCs w:val="20"/>
      <w:lang w:val="es-CR" w:eastAsia="es-ES"/>
    </w:rPr>
  </w:style>
  <w:style w:type="character" w:customStyle="1" w:styleId="CitadestacadaCar">
    <w:name w:val="Cita destacada Car"/>
    <w:basedOn w:val="Fuentedeprrafopredeter"/>
    <w:link w:val="Citadestacada"/>
    <w:uiPriority w:val="30"/>
    <w:rsid w:val="009C192E"/>
    <w:rPr>
      <w:rFonts w:ascii="Times New Roman" w:eastAsia="Times New Roman" w:hAnsi="Times New Roman" w:cs="Times New Roman"/>
      <w:i/>
      <w:iCs/>
      <w:color w:val="2E74B5" w:themeColor="accent1" w:themeShade="BF"/>
      <w:sz w:val="20"/>
      <w:szCs w:val="20"/>
      <w:lang w:eastAsia="es-ES"/>
    </w:rPr>
  </w:style>
  <w:style w:type="character" w:styleId="Referenciaintensa">
    <w:name w:val="Intense Reference"/>
    <w:basedOn w:val="Fuentedeprrafopredeter"/>
    <w:uiPriority w:val="32"/>
    <w:qFormat/>
    <w:rsid w:val="009C192E"/>
    <w:rPr>
      <w:b/>
      <w:bCs/>
      <w:smallCaps/>
      <w:color w:val="2E74B5" w:themeColor="accent1" w:themeShade="BF"/>
      <w:spacing w:val="5"/>
    </w:rPr>
  </w:style>
  <w:style w:type="character" w:customStyle="1" w:styleId="PrrafodelistaCar">
    <w:name w:val="Párrafo de lista Car"/>
    <w:aliases w:val="Informe Car,figuras y gráficos Car,Viñetas Car,Bulletr List Paragraph Car,3 Car,titulo 5 Car,Con viñetas Car,Normal con viñetas Car,Use Case List Paragraph Car,Bullet 1 Car,List Paragraph 1 Car,Numbered List Paragraph Car"/>
    <w:link w:val="Prrafodelista"/>
    <w:uiPriority w:val="34"/>
    <w:qFormat/>
    <w:locked/>
    <w:rsid w:val="009C192E"/>
    <w:rPr>
      <w:rFonts w:ascii="Times New Roman" w:eastAsia="Times New Roman" w:hAnsi="Times New Roman" w:cs="Times New Roman"/>
      <w:sz w:val="20"/>
      <w:szCs w:val="20"/>
      <w:lang w:eastAsia="es-ES"/>
    </w:rPr>
  </w:style>
  <w:style w:type="paragraph" w:styleId="Textodeglobo">
    <w:name w:val="Balloon Text"/>
    <w:basedOn w:val="Normal"/>
    <w:link w:val="TextodegloboCar"/>
    <w:uiPriority w:val="99"/>
    <w:semiHidden/>
    <w:unhideWhenUsed/>
    <w:rsid w:val="009C192E"/>
    <w:pPr>
      <w:spacing w:before="0" w:after="0" w:line="240" w:lineRule="auto"/>
      <w:jc w:val="center"/>
    </w:pPr>
    <w:rPr>
      <w:rFonts w:ascii="Tahoma" w:hAnsi="Tahoma" w:cs="Tahoma"/>
      <w:sz w:val="16"/>
      <w:szCs w:val="16"/>
      <w:lang w:val="es-CR" w:eastAsia="es-ES"/>
    </w:rPr>
  </w:style>
  <w:style w:type="character" w:customStyle="1" w:styleId="TextodegloboCar">
    <w:name w:val="Texto de globo Car"/>
    <w:basedOn w:val="Fuentedeprrafopredeter"/>
    <w:link w:val="Textodeglobo"/>
    <w:uiPriority w:val="99"/>
    <w:semiHidden/>
    <w:rsid w:val="009C192E"/>
    <w:rPr>
      <w:rFonts w:ascii="Tahoma" w:eastAsia="Times New Roman" w:hAnsi="Tahoma" w:cs="Tahoma"/>
      <w:sz w:val="16"/>
      <w:szCs w:val="16"/>
      <w:lang w:eastAsia="es-ES"/>
    </w:rPr>
  </w:style>
  <w:style w:type="paragraph" w:styleId="Textonotapie">
    <w:name w:val="footnote text"/>
    <w:aliases w:val="Car1"/>
    <w:basedOn w:val="Normal"/>
    <w:link w:val="TextonotapieCar"/>
    <w:uiPriority w:val="99"/>
    <w:unhideWhenUsed/>
    <w:rsid w:val="009C192E"/>
    <w:pPr>
      <w:spacing w:before="0" w:after="0" w:line="240" w:lineRule="auto"/>
      <w:jc w:val="center"/>
    </w:pPr>
    <w:rPr>
      <w:rFonts w:ascii="Times New Roman" w:hAnsi="Times New Roman"/>
      <w:sz w:val="20"/>
      <w:szCs w:val="20"/>
      <w:lang w:val="es-CR" w:eastAsia="es-ES"/>
    </w:rPr>
  </w:style>
  <w:style w:type="character" w:customStyle="1" w:styleId="TextonotapieCar">
    <w:name w:val="Texto nota pie Car"/>
    <w:aliases w:val="Car1 Car"/>
    <w:basedOn w:val="Fuentedeprrafopredeter"/>
    <w:link w:val="Textonotapie"/>
    <w:uiPriority w:val="99"/>
    <w:rsid w:val="009C192E"/>
    <w:rPr>
      <w:rFonts w:ascii="Times New Roman" w:eastAsia="Times New Roman" w:hAnsi="Times New Roman" w:cs="Times New Roman"/>
      <w:sz w:val="20"/>
      <w:szCs w:val="20"/>
      <w:lang w:eastAsia="es-ES"/>
    </w:rPr>
  </w:style>
  <w:style w:type="character" w:styleId="Refdenotaalpie">
    <w:name w:val="footnote reference"/>
    <w:uiPriority w:val="99"/>
    <w:semiHidden/>
    <w:unhideWhenUsed/>
    <w:rsid w:val="009C192E"/>
    <w:rPr>
      <w:vertAlign w:val="superscript"/>
    </w:rPr>
  </w:style>
  <w:style w:type="paragraph" w:customStyle="1" w:styleId="TableParagraph">
    <w:name w:val="Table Paragraph"/>
    <w:basedOn w:val="Normal"/>
    <w:uiPriority w:val="1"/>
    <w:qFormat/>
    <w:rsid w:val="009C192E"/>
    <w:pPr>
      <w:widowControl w:val="0"/>
      <w:autoSpaceDE w:val="0"/>
      <w:autoSpaceDN w:val="0"/>
      <w:spacing w:before="0" w:after="0" w:line="240" w:lineRule="auto"/>
      <w:jc w:val="left"/>
    </w:pPr>
    <w:rPr>
      <w:rFonts w:ascii="Times New Roman" w:hAnsi="Times New Roman"/>
      <w:szCs w:val="22"/>
      <w:lang w:val="en-US"/>
    </w:rPr>
  </w:style>
  <w:style w:type="paragraph" w:customStyle="1" w:styleId="Default">
    <w:name w:val="Default"/>
    <w:rsid w:val="009C192E"/>
    <w:pPr>
      <w:autoSpaceDE w:val="0"/>
      <w:autoSpaceDN w:val="0"/>
      <w:adjustRightInd w:val="0"/>
      <w:spacing w:after="0" w:line="240" w:lineRule="auto"/>
    </w:pPr>
    <w:rPr>
      <w:rFonts w:ascii="Arial" w:eastAsia="Calibri" w:hAnsi="Arial" w:cs="Arial"/>
      <w:color w:val="000000"/>
      <w:sz w:val="24"/>
      <w:szCs w:val="24"/>
      <w:lang w:val="es-ES" w:eastAsia="es-ES"/>
    </w:rPr>
  </w:style>
  <w:style w:type="paragraph" w:styleId="Sinespaciado">
    <w:name w:val="No Spacing"/>
    <w:uiPriority w:val="1"/>
    <w:qFormat/>
    <w:rsid w:val="009C192E"/>
    <w:pPr>
      <w:spacing w:after="0" w:line="240" w:lineRule="auto"/>
    </w:pPr>
    <w:rPr>
      <w:rFonts w:ascii="Calibri" w:eastAsia="Calibri" w:hAnsi="Calibri" w:cs="Times New Roman"/>
    </w:rPr>
  </w:style>
  <w:style w:type="character" w:styleId="Refdecomentario">
    <w:name w:val="annotation reference"/>
    <w:basedOn w:val="Fuentedeprrafopredeter"/>
    <w:uiPriority w:val="99"/>
    <w:semiHidden/>
    <w:unhideWhenUsed/>
    <w:rsid w:val="009C192E"/>
    <w:rPr>
      <w:sz w:val="16"/>
      <w:szCs w:val="16"/>
    </w:rPr>
  </w:style>
  <w:style w:type="paragraph" w:styleId="Textocomentario">
    <w:name w:val="annotation text"/>
    <w:basedOn w:val="Normal"/>
    <w:link w:val="TextocomentarioCar"/>
    <w:uiPriority w:val="99"/>
    <w:unhideWhenUsed/>
    <w:rsid w:val="009C192E"/>
    <w:pPr>
      <w:spacing w:before="0" w:after="0" w:line="240" w:lineRule="auto"/>
      <w:jc w:val="center"/>
    </w:pPr>
    <w:rPr>
      <w:rFonts w:ascii="Times New Roman" w:hAnsi="Times New Roman"/>
      <w:sz w:val="20"/>
      <w:szCs w:val="20"/>
      <w:lang w:val="es-CR" w:eastAsia="es-ES"/>
    </w:rPr>
  </w:style>
  <w:style w:type="character" w:customStyle="1" w:styleId="TextocomentarioCar">
    <w:name w:val="Texto comentario Car"/>
    <w:basedOn w:val="Fuentedeprrafopredeter"/>
    <w:link w:val="Textocomentario"/>
    <w:uiPriority w:val="99"/>
    <w:rsid w:val="009C192E"/>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9C192E"/>
    <w:rPr>
      <w:b/>
      <w:bCs/>
    </w:rPr>
  </w:style>
  <w:style w:type="character" w:customStyle="1" w:styleId="AsuntodelcomentarioCar">
    <w:name w:val="Asunto del comentario Car"/>
    <w:basedOn w:val="TextocomentarioCar"/>
    <w:link w:val="Asuntodelcomentario"/>
    <w:uiPriority w:val="99"/>
    <w:semiHidden/>
    <w:rsid w:val="009C192E"/>
    <w:rPr>
      <w:rFonts w:ascii="Times New Roman" w:eastAsia="Times New Roman" w:hAnsi="Times New Roman" w:cs="Times New Roman"/>
      <w:b/>
      <w:bCs/>
      <w:sz w:val="20"/>
      <w:szCs w:val="20"/>
      <w:lang w:eastAsia="es-ES"/>
    </w:rPr>
  </w:style>
  <w:style w:type="paragraph" w:styleId="NormalWeb">
    <w:name w:val="Normal (Web)"/>
    <w:basedOn w:val="Normal"/>
    <w:uiPriority w:val="99"/>
    <w:unhideWhenUsed/>
    <w:rsid w:val="009C192E"/>
    <w:pPr>
      <w:spacing w:before="100" w:beforeAutospacing="1" w:after="100" w:afterAutospacing="1" w:line="240" w:lineRule="auto"/>
      <w:jc w:val="left"/>
    </w:pPr>
    <w:rPr>
      <w:rFonts w:ascii="Arial" w:hAnsi="Arial" w:cs="Arial"/>
      <w:sz w:val="18"/>
      <w:szCs w:val="18"/>
      <w:lang w:val="es-CR" w:eastAsia="es-CR"/>
    </w:rPr>
  </w:style>
  <w:style w:type="paragraph" w:styleId="TtuloTDC">
    <w:name w:val="TOC Heading"/>
    <w:basedOn w:val="Ttulo1"/>
    <w:next w:val="Normal"/>
    <w:uiPriority w:val="39"/>
    <w:unhideWhenUsed/>
    <w:qFormat/>
    <w:rsid w:val="009C192E"/>
    <w:pPr>
      <w:widowControl w:val="0"/>
      <w:spacing w:before="0" w:after="0" w:line="259" w:lineRule="auto"/>
      <w:outlineLvl w:val="9"/>
    </w:pPr>
    <w:rPr>
      <w:bCs w:val="0"/>
      <w:lang w:eastAsia="es-CR"/>
    </w:rPr>
  </w:style>
  <w:style w:type="paragraph" w:styleId="TDC1">
    <w:name w:val="toc 1"/>
    <w:basedOn w:val="Normal"/>
    <w:next w:val="Normal"/>
    <w:autoRedefine/>
    <w:uiPriority w:val="39"/>
    <w:unhideWhenUsed/>
    <w:rsid w:val="009C192E"/>
    <w:pPr>
      <w:spacing w:before="0" w:after="100" w:line="240" w:lineRule="auto"/>
      <w:jc w:val="center"/>
    </w:pPr>
    <w:rPr>
      <w:rFonts w:ascii="Times New Roman" w:hAnsi="Times New Roman"/>
      <w:sz w:val="20"/>
      <w:szCs w:val="20"/>
      <w:lang w:val="es-CR" w:eastAsia="es-ES"/>
    </w:rPr>
  </w:style>
  <w:style w:type="paragraph" w:styleId="TDC2">
    <w:name w:val="toc 2"/>
    <w:basedOn w:val="Normal"/>
    <w:next w:val="Normal"/>
    <w:autoRedefine/>
    <w:uiPriority w:val="39"/>
    <w:unhideWhenUsed/>
    <w:rsid w:val="009C192E"/>
    <w:pPr>
      <w:spacing w:before="0" w:after="100" w:line="240" w:lineRule="auto"/>
      <w:ind w:left="200"/>
      <w:jc w:val="center"/>
    </w:pPr>
    <w:rPr>
      <w:rFonts w:ascii="Times New Roman" w:hAnsi="Times New Roman"/>
      <w:sz w:val="20"/>
      <w:szCs w:val="20"/>
      <w:lang w:val="es-CR" w:eastAsia="es-ES"/>
    </w:rPr>
  </w:style>
  <w:style w:type="paragraph" w:styleId="TDC3">
    <w:name w:val="toc 3"/>
    <w:basedOn w:val="Normal"/>
    <w:next w:val="Normal"/>
    <w:autoRedefine/>
    <w:uiPriority w:val="39"/>
    <w:unhideWhenUsed/>
    <w:rsid w:val="009C192E"/>
    <w:pPr>
      <w:spacing w:before="0" w:after="100" w:line="240" w:lineRule="auto"/>
      <w:ind w:left="400"/>
      <w:jc w:val="center"/>
    </w:pPr>
    <w:rPr>
      <w:rFonts w:ascii="Times New Roman" w:hAnsi="Times New Roman"/>
      <w:sz w:val="20"/>
      <w:szCs w:val="20"/>
      <w:lang w:val="es-CR" w:eastAsia="es-ES"/>
    </w:rPr>
  </w:style>
  <w:style w:type="table" w:customStyle="1" w:styleId="TableGrid">
    <w:name w:val="TableGrid"/>
    <w:rsid w:val="009C192E"/>
    <w:pPr>
      <w:spacing w:after="0" w:line="240" w:lineRule="auto"/>
    </w:pPr>
    <w:rPr>
      <w:rFonts w:eastAsiaTheme="minorEastAsia"/>
      <w:lang w:val="es-ES" w:eastAsia="es-ES"/>
    </w:rPr>
    <w:tblPr>
      <w:tblCellMar>
        <w:top w:w="0" w:type="dxa"/>
        <w:left w:w="0" w:type="dxa"/>
        <w:bottom w:w="0" w:type="dxa"/>
        <w:right w:w="0" w:type="dxa"/>
      </w:tblCellMar>
    </w:tblPr>
  </w:style>
  <w:style w:type="paragraph" w:styleId="TDC4">
    <w:name w:val="toc 4"/>
    <w:basedOn w:val="Normal"/>
    <w:next w:val="Normal"/>
    <w:autoRedefine/>
    <w:uiPriority w:val="39"/>
    <w:unhideWhenUsed/>
    <w:rsid w:val="009C192E"/>
    <w:pPr>
      <w:spacing w:before="0" w:after="100" w:line="259" w:lineRule="auto"/>
      <w:ind w:left="660"/>
      <w:jc w:val="left"/>
    </w:pPr>
    <w:rPr>
      <w:rFonts w:eastAsiaTheme="minorEastAsia" w:cstheme="minorBidi"/>
      <w:szCs w:val="22"/>
      <w:lang w:val="es-CR" w:eastAsia="es-CR"/>
    </w:rPr>
  </w:style>
  <w:style w:type="paragraph" w:styleId="TDC5">
    <w:name w:val="toc 5"/>
    <w:basedOn w:val="Normal"/>
    <w:next w:val="Normal"/>
    <w:autoRedefine/>
    <w:uiPriority w:val="39"/>
    <w:unhideWhenUsed/>
    <w:rsid w:val="009C192E"/>
    <w:pPr>
      <w:spacing w:before="0" w:after="100" w:line="259" w:lineRule="auto"/>
      <w:ind w:left="880"/>
      <w:jc w:val="left"/>
    </w:pPr>
    <w:rPr>
      <w:rFonts w:eastAsiaTheme="minorEastAsia" w:cstheme="minorBidi"/>
      <w:szCs w:val="22"/>
      <w:lang w:val="es-CR" w:eastAsia="es-CR"/>
    </w:rPr>
  </w:style>
  <w:style w:type="paragraph" w:styleId="TDC6">
    <w:name w:val="toc 6"/>
    <w:basedOn w:val="Normal"/>
    <w:next w:val="Normal"/>
    <w:autoRedefine/>
    <w:uiPriority w:val="39"/>
    <w:unhideWhenUsed/>
    <w:rsid w:val="009C192E"/>
    <w:pPr>
      <w:spacing w:before="0" w:after="100" w:line="259" w:lineRule="auto"/>
      <w:ind w:left="1100"/>
      <w:jc w:val="left"/>
    </w:pPr>
    <w:rPr>
      <w:rFonts w:eastAsiaTheme="minorEastAsia" w:cstheme="minorBidi"/>
      <w:szCs w:val="22"/>
      <w:lang w:val="es-CR" w:eastAsia="es-CR"/>
    </w:rPr>
  </w:style>
  <w:style w:type="paragraph" w:styleId="TDC7">
    <w:name w:val="toc 7"/>
    <w:basedOn w:val="Normal"/>
    <w:next w:val="Normal"/>
    <w:autoRedefine/>
    <w:uiPriority w:val="39"/>
    <w:unhideWhenUsed/>
    <w:rsid w:val="009C192E"/>
    <w:pPr>
      <w:spacing w:before="0" w:after="100" w:line="259" w:lineRule="auto"/>
      <w:ind w:left="1320"/>
      <w:jc w:val="left"/>
    </w:pPr>
    <w:rPr>
      <w:rFonts w:eastAsiaTheme="minorEastAsia" w:cstheme="minorBidi"/>
      <w:szCs w:val="22"/>
      <w:lang w:val="es-CR" w:eastAsia="es-CR"/>
    </w:rPr>
  </w:style>
  <w:style w:type="paragraph" w:styleId="TDC8">
    <w:name w:val="toc 8"/>
    <w:basedOn w:val="Normal"/>
    <w:next w:val="Normal"/>
    <w:autoRedefine/>
    <w:uiPriority w:val="39"/>
    <w:unhideWhenUsed/>
    <w:rsid w:val="009C192E"/>
    <w:pPr>
      <w:spacing w:before="0" w:after="100" w:line="259" w:lineRule="auto"/>
      <w:ind w:left="1540"/>
      <w:jc w:val="left"/>
    </w:pPr>
    <w:rPr>
      <w:rFonts w:eastAsiaTheme="minorEastAsia" w:cstheme="minorBidi"/>
      <w:szCs w:val="22"/>
      <w:lang w:val="es-CR" w:eastAsia="es-CR"/>
    </w:rPr>
  </w:style>
  <w:style w:type="paragraph" w:styleId="TDC9">
    <w:name w:val="toc 9"/>
    <w:basedOn w:val="Normal"/>
    <w:next w:val="Normal"/>
    <w:autoRedefine/>
    <w:uiPriority w:val="39"/>
    <w:unhideWhenUsed/>
    <w:rsid w:val="009C192E"/>
    <w:pPr>
      <w:spacing w:before="0" w:after="100" w:line="259" w:lineRule="auto"/>
      <w:ind w:left="1760"/>
      <w:jc w:val="left"/>
    </w:pPr>
    <w:rPr>
      <w:rFonts w:eastAsiaTheme="minorEastAsia" w:cstheme="minorBidi"/>
      <w:szCs w:val="22"/>
      <w:lang w:val="es-CR" w:eastAsia="es-CR"/>
    </w:rPr>
  </w:style>
  <w:style w:type="character" w:styleId="Mencinsinresolver">
    <w:name w:val="Unresolved Mention"/>
    <w:basedOn w:val="Fuentedeprrafopredeter"/>
    <w:uiPriority w:val="99"/>
    <w:semiHidden/>
    <w:unhideWhenUsed/>
    <w:rsid w:val="009C192E"/>
    <w:rPr>
      <w:color w:val="605E5C"/>
      <w:shd w:val="clear" w:color="auto" w:fill="E1DFDD"/>
    </w:rPr>
  </w:style>
  <w:style w:type="paragraph" w:styleId="Revisin">
    <w:name w:val="Revision"/>
    <w:hidden/>
    <w:uiPriority w:val="99"/>
    <w:semiHidden/>
    <w:rsid w:val="009C192E"/>
    <w:pPr>
      <w:spacing w:after="0" w:line="240" w:lineRule="auto"/>
    </w:pPr>
    <w:rPr>
      <w:rFonts w:ascii="Times New Roman" w:eastAsia="Times New Roman"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8" Type="http://schemas.openxmlformats.org/officeDocument/2006/relationships/image" Target="media/image11.svg"/><Relationship Id="rId3" Type="http://schemas.openxmlformats.org/officeDocument/2006/relationships/image" Target="media/image6.png"/><Relationship Id="rId7" Type="http://schemas.openxmlformats.org/officeDocument/2006/relationships/image" Target="media/image10.pn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9.svg"/><Relationship Id="rId5" Type="http://schemas.openxmlformats.org/officeDocument/2006/relationships/image" Target="media/image8.png"/><Relationship Id="rId4" Type="http://schemas.openxmlformats.org/officeDocument/2006/relationships/image" Target="media/image7.svg"/><Relationship Id="rId9" Type="http://schemas.openxmlformats.org/officeDocument/2006/relationships/image" Target="media/image12.png"/></Relationships>
</file>

<file path=word/_rels/footer3.xml.rels><?xml version="1.0" encoding="UTF-8" standalone="yes"?>
<Relationships xmlns="http://schemas.openxmlformats.org/package/2006/relationships"><Relationship Id="rId8" Type="http://schemas.openxmlformats.org/officeDocument/2006/relationships/image" Target="media/image11.svg"/><Relationship Id="rId3" Type="http://schemas.openxmlformats.org/officeDocument/2006/relationships/image" Target="media/image6.png"/><Relationship Id="rId7" Type="http://schemas.openxmlformats.org/officeDocument/2006/relationships/image" Target="media/image10.pn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9.svg"/><Relationship Id="rId5" Type="http://schemas.openxmlformats.org/officeDocument/2006/relationships/image" Target="media/image8.png"/><Relationship Id="rId4" Type="http://schemas.openxmlformats.org/officeDocument/2006/relationships/image" Target="media/image7.svg"/><Relationship Id="rId9"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69C54830724E9DA436EDD426B4DB79"/>
        <w:category>
          <w:name w:val="General"/>
          <w:gallery w:val="placeholder"/>
        </w:category>
        <w:types>
          <w:type w:val="bbPlcHdr"/>
        </w:types>
        <w:behaviors>
          <w:behavior w:val="content"/>
        </w:behaviors>
        <w:guid w:val="{C288C2E4-AB15-43A1-A8DE-49E8A910898E}"/>
      </w:docPartPr>
      <w:docPartBody>
        <w:p w:rsidR="00235C68" w:rsidRDefault="001A0E3D" w:rsidP="001A0E3D">
          <w:pPr>
            <w:pStyle w:val="FF69C54830724E9DA436EDD426B4DB79"/>
          </w:pPr>
          <w:r w:rsidRPr="001E0779">
            <w:rPr>
              <w:rStyle w:val="Textodelmarcadordeposicin"/>
            </w:rPr>
            <w:t>Haga clic aquí para escribir texto.</w:t>
          </w:r>
        </w:p>
      </w:docPartBody>
    </w:docPart>
    <w:docPart>
      <w:docPartPr>
        <w:name w:val="A80EEA89FC1D4759A5F2AF3C7D9788CF"/>
        <w:category>
          <w:name w:val="General"/>
          <w:gallery w:val="placeholder"/>
        </w:category>
        <w:types>
          <w:type w:val="bbPlcHdr"/>
        </w:types>
        <w:behaviors>
          <w:behavior w:val="content"/>
        </w:behaviors>
        <w:guid w:val="{D9659E55-8510-4A9D-90C3-E26199013276}"/>
      </w:docPartPr>
      <w:docPartBody>
        <w:p w:rsidR="00837311" w:rsidRDefault="000A741E" w:rsidP="000A741E">
          <w:pPr>
            <w:pStyle w:val="A80EEA89FC1D4759A5F2AF3C7D9788CF"/>
          </w:pPr>
          <w:r>
            <w:rPr>
              <w:rStyle w:val="Textodelmarcadordeposicin"/>
            </w:rPr>
            <w:t>Elija un elemento.</w:t>
          </w:r>
        </w:p>
      </w:docPartBody>
    </w:docPart>
    <w:docPart>
      <w:docPartPr>
        <w:name w:val="8744CFEC20384CA69F5B0A699537BBFE"/>
        <w:category>
          <w:name w:val="General"/>
          <w:gallery w:val="placeholder"/>
        </w:category>
        <w:types>
          <w:type w:val="bbPlcHdr"/>
        </w:types>
        <w:behaviors>
          <w:behavior w:val="content"/>
        </w:behaviors>
        <w:guid w:val="{BA36B9F2-F017-428D-827D-A71AAAB5443C}"/>
      </w:docPartPr>
      <w:docPartBody>
        <w:p w:rsidR="00837311" w:rsidRDefault="000A741E" w:rsidP="000A741E">
          <w:pPr>
            <w:pStyle w:val="8744CFEC20384CA69F5B0A699537BBFE"/>
          </w:pPr>
          <w:r w:rsidRPr="00CB6A0D">
            <w:rPr>
              <w:rStyle w:val="Textodelmarcadordeposicin"/>
            </w:rPr>
            <w:t>Haga clic o pulse aquí para escribir texto.</w:t>
          </w:r>
        </w:p>
      </w:docPartBody>
    </w:docPart>
    <w:docPart>
      <w:docPartPr>
        <w:name w:val="A4C1489DAC464959A985A33EE720A5A6"/>
        <w:category>
          <w:name w:val="General"/>
          <w:gallery w:val="placeholder"/>
        </w:category>
        <w:types>
          <w:type w:val="bbPlcHdr"/>
        </w:types>
        <w:behaviors>
          <w:behavior w:val="content"/>
        </w:behaviors>
        <w:guid w:val="{980130CB-812F-47AC-BE41-1041B7E64938}"/>
      </w:docPartPr>
      <w:docPartBody>
        <w:p w:rsidR="00837311" w:rsidRDefault="000A741E" w:rsidP="000A741E">
          <w:pPr>
            <w:pStyle w:val="A4C1489DAC464959A985A33EE720A5A6"/>
          </w:pPr>
          <w:r w:rsidRPr="00CB6A0D">
            <w:rPr>
              <w:rStyle w:val="Textodelmarcadordeposicin"/>
            </w:rPr>
            <w:t>Haga clic o pulse aquí para escribir texto.</w:t>
          </w:r>
        </w:p>
      </w:docPartBody>
    </w:docPart>
    <w:docPart>
      <w:docPartPr>
        <w:name w:val="033395312525402F903E8B82594D48F2"/>
        <w:category>
          <w:name w:val="General"/>
          <w:gallery w:val="placeholder"/>
        </w:category>
        <w:types>
          <w:type w:val="bbPlcHdr"/>
        </w:types>
        <w:behaviors>
          <w:behavior w:val="content"/>
        </w:behaviors>
        <w:guid w:val="{AAD116E1-F0E5-4146-9667-A53C180D847B}"/>
      </w:docPartPr>
      <w:docPartBody>
        <w:p w:rsidR="00837311" w:rsidRDefault="000A741E" w:rsidP="000A741E">
          <w:pPr>
            <w:pStyle w:val="033395312525402F903E8B82594D48F2"/>
          </w:pPr>
          <w:r>
            <w:rPr>
              <w:rStyle w:val="Textodelmarcadordeposicin"/>
            </w:rPr>
            <w:t>Elija un elemento.</w:t>
          </w:r>
        </w:p>
      </w:docPartBody>
    </w:docPart>
    <w:docPart>
      <w:docPartPr>
        <w:name w:val="A6660D59152849018CECE2841C4246F8"/>
        <w:category>
          <w:name w:val="General"/>
          <w:gallery w:val="placeholder"/>
        </w:category>
        <w:types>
          <w:type w:val="bbPlcHdr"/>
        </w:types>
        <w:behaviors>
          <w:behavior w:val="content"/>
        </w:behaviors>
        <w:guid w:val="{E7D8713A-DFD5-4D6F-A85F-93E496C6687B}"/>
      </w:docPartPr>
      <w:docPartBody>
        <w:p w:rsidR="003F0D60" w:rsidRDefault="00823742" w:rsidP="00823742">
          <w:pPr>
            <w:pStyle w:val="A6660D59152849018CECE2841C4246F8"/>
          </w:pPr>
          <w:r w:rsidRPr="00CB6A0D">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26D"/>
    <w:rsid w:val="0003240E"/>
    <w:rsid w:val="00051C8F"/>
    <w:rsid w:val="000874C9"/>
    <w:rsid w:val="000A6A88"/>
    <w:rsid w:val="000A741E"/>
    <w:rsid w:val="000B5501"/>
    <w:rsid w:val="001009B3"/>
    <w:rsid w:val="0012303F"/>
    <w:rsid w:val="00156857"/>
    <w:rsid w:val="00164012"/>
    <w:rsid w:val="001A0E3D"/>
    <w:rsid w:val="001A75AD"/>
    <w:rsid w:val="001E1909"/>
    <w:rsid w:val="001F154E"/>
    <w:rsid w:val="00212CFA"/>
    <w:rsid w:val="00235C68"/>
    <w:rsid w:val="00244797"/>
    <w:rsid w:val="002841A4"/>
    <w:rsid w:val="002B45E7"/>
    <w:rsid w:val="002C1011"/>
    <w:rsid w:val="002C7BF4"/>
    <w:rsid w:val="00300CAF"/>
    <w:rsid w:val="003032F1"/>
    <w:rsid w:val="00377E4C"/>
    <w:rsid w:val="003B12E1"/>
    <w:rsid w:val="003C4040"/>
    <w:rsid w:val="003F0D60"/>
    <w:rsid w:val="00406995"/>
    <w:rsid w:val="004646E8"/>
    <w:rsid w:val="00477A1D"/>
    <w:rsid w:val="004B2C4A"/>
    <w:rsid w:val="004C3603"/>
    <w:rsid w:val="00552C06"/>
    <w:rsid w:val="005A7144"/>
    <w:rsid w:val="007B5EA2"/>
    <w:rsid w:val="007F4039"/>
    <w:rsid w:val="007F7316"/>
    <w:rsid w:val="00805484"/>
    <w:rsid w:val="00823742"/>
    <w:rsid w:val="00837311"/>
    <w:rsid w:val="00844C15"/>
    <w:rsid w:val="00873F61"/>
    <w:rsid w:val="008925FF"/>
    <w:rsid w:val="008B01AE"/>
    <w:rsid w:val="008C5B2B"/>
    <w:rsid w:val="00914AD9"/>
    <w:rsid w:val="009166D0"/>
    <w:rsid w:val="00952FE1"/>
    <w:rsid w:val="00975961"/>
    <w:rsid w:val="009D4C67"/>
    <w:rsid w:val="009F555C"/>
    <w:rsid w:val="00A12FC3"/>
    <w:rsid w:val="00AE42B3"/>
    <w:rsid w:val="00AF007C"/>
    <w:rsid w:val="00B27BBE"/>
    <w:rsid w:val="00B518F8"/>
    <w:rsid w:val="00B800F4"/>
    <w:rsid w:val="00BB3E82"/>
    <w:rsid w:val="00BC2957"/>
    <w:rsid w:val="00C46DF8"/>
    <w:rsid w:val="00C60009"/>
    <w:rsid w:val="00C778B9"/>
    <w:rsid w:val="00CC5446"/>
    <w:rsid w:val="00D37FA6"/>
    <w:rsid w:val="00D60C62"/>
    <w:rsid w:val="00D83160"/>
    <w:rsid w:val="00E504A3"/>
    <w:rsid w:val="00E6396E"/>
    <w:rsid w:val="00EA526D"/>
    <w:rsid w:val="00EF2D6F"/>
    <w:rsid w:val="00F11540"/>
    <w:rsid w:val="00F21DAF"/>
    <w:rsid w:val="00F510CA"/>
    <w:rsid w:val="00F96176"/>
    <w:rsid w:val="00F97E3B"/>
    <w:rsid w:val="00FC60EC"/>
    <w:rsid w:val="00FE28B1"/>
    <w:rsid w:val="00FE5E3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23742"/>
    <w:rPr>
      <w:color w:val="808080"/>
    </w:rPr>
  </w:style>
  <w:style w:type="paragraph" w:customStyle="1" w:styleId="FF69C54830724E9DA436EDD426B4DB79">
    <w:name w:val="FF69C54830724E9DA436EDD426B4DB79"/>
    <w:rsid w:val="001A0E3D"/>
  </w:style>
  <w:style w:type="paragraph" w:customStyle="1" w:styleId="A80EEA89FC1D4759A5F2AF3C7D9788CF">
    <w:name w:val="A80EEA89FC1D4759A5F2AF3C7D9788CF"/>
    <w:rsid w:val="000A741E"/>
  </w:style>
  <w:style w:type="paragraph" w:customStyle="1" w:styleId="8744CFEC20384CA69F5B0A699537BBFE">
    <w:name w:val="8744CFEC20384CA69F5B0A699537BBFE"/>
    <w:rsid w:val="000A741E"/>
  </w:style>
  <w:style w:type="paragraph" w:customStyle="1" w:styleId="A4C1489DAC464959A985A33EE720A5A6">
    <w:name w:val="A4C1489DAC464959A985A33EE720A5A6"/>
    <w:rsid w:val="000A741E"/>
  </w:style>
  <w:style w:type="paragraph" w:customStyle="1" w:styleId="033395312525402F903E8B82594D48F2">
    <w:name w:val="033395312525402F903E8B82594D48F2"/>
    <w:rsid w:val="000A741E"/>
  </w:style>
  <w:style w:type="paragraph" w:customStyle="1" w:styleId="A6660D59152849018CECE2841C4246F8">
    <w:name w:val="A6660D59152849018CECE2841C4246F8"/>
    <w:rsid w:val="008237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/5eYKgzxRt6458H16+NTTa4kUmHjKH+K2vBkEHVnT6A=</DigestValue>
    </Reference>
    <Reference Type="http://uri.etsi.org/01903#SignedProperties" URI="#idSignedProperties">
      <Transforms>
        <Transform Algorithm="http://www.w3.org/TR/2001/REC-xml-c14n-20010315"/>
      </Transforms>
      <DigestMethod Algorithm="http://www.w3.org/2001/04/xmlenc#sha256"/>
      <DigestValue>kmova9Ts3KCfJeS+St7HoOR5G2rkbfb35vaI+UiH9DI=</DigestValue>
    </Reference>
  </SignedInfo>
  <SignatureValue>JCqgqLODHzN77BWF309MYwURIlS1Gr/M6R5JH5RYhqxM2agLzqMA0ZoZHVQ2wRNKK21EqG4XTXo5KFSifbZWxzVRaZBLCNaO863DIaqh+PDsnmf44yFwzqPhqLzUWpOC9TB3yPYQ5KM4ixLTy3xE7o9i/CQoMJa7MkMIVUEvNxqFEGoeGOAGCxOx+vZhHbf12WmphUehtMWl/BwwwehYtbI816QfKuGm2EtzVt1UDcL4szLw/+DmNuv340c6xQ2RV30qeOIC5Rave4sZy56UHIP4yz/NBQVDAftd0JyzGuALp8XN8mAOeNZBrBk+2Hkpswks50zPXKcK0qnmLI3eww==</SignatureValue>
  <KeyInfo>
    <X509Data>
      <X509Certificate>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8Pita32nZW9GJTm2mPdJAVvhDA1x8TrPpAhfRbxaH7VWrSzVSsRSasIfWTeLcTJjn+UloqK3fFdzz67rgNXQlqRUeSDf8x0fgaL8jWLP4xdBovbKA3UpFBh7lEgEnScdZR/CriGTg5j8OAWWE4Bcs3zTLE90LCkyD0je7ilkeETJLfQFAQbrGPhHT5TpoI4S3jnLxowkdfLyOqbdUmuMA555hadZ5CMGnWpIturpNWSs2OKyR9EBia55ExrLgerOzKF3OP1csODmNkXaSsvoH5SiVV3agiz8GRsvuo8pzFNWtG0/2ohjfxLbZ0qaBPsnivD7zhF87brm52R4CJ3rnQ==</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Transform>
          <Transform Algorithm="http://www.w3.org/TR/2001/REC-xml-c14n-20010315"/>
        </Transforms>
        <DigestMethod Algorithm="http://www.w3.org/2001/04/xmlenc#sha256"/>
        <DigestValue>Y1pK+kDZhgne2OKJbxebyFsDIuLL533JX3rZyEN0LRg=</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9"/>
          </Transform>
          <Transform Algorithm="http://www.w3.org/TR/2001/REC-xml-c14n-20010315"/>
        </Transforms>
        <DigestMethod Algorithm="http://www.w3.org/2001/04/xmlenc#sha256"/>
        <DigestValue>nDbEvMYxNplIirLelMe24NWPTeBZ/3f7PIN29lfXRnc=</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/tIzXws+dZ+0Bj8E5OzMSdnCdvAcmg8KUnhkLhwRLIU=</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9"/>
          </Transform>
          <Transform Algorithm="http://www.w3.org/TR/2001/REC-xml-c14n-20010315"/>
        </Transforms>
        <DigestMethod Algorithm="http://www.w3.org/2001/04/xmlenc#sha256"/>
        <DigestValue>nDbEvMYxNplIirLelMe24NWPTeBZ/3f7PIN29lfXRnc=</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/tIzXws+dZ+0Bj8E5OzMSdnCdvAcmg8KUnhkLhwRLIU=</DigestValue>
      </Reference>
      <Reference URI="/word/document.xml?ContentType=application/vnd.openxmlformats-officedocument.wordprocessingml.document.main+xml">
        <DigestMethod Algorithm="http://www.w3.org/2001/04/xmlenc#sha256"/>
        <DigestValue>GBBM3Kuno9pPdx90tgJDFCdN9sGC9dmNmbsi9YBz+1U=</DigestValue>
      </Reference>
      <Reference URI="/word/settings.xml?ContentType=application/vnd.openxmlformats-officedocument.wordprocessingml.settings+xml">
        <DigestMethod Algorithm="http://www.w3.org/2001/04/xmlenc#sha256"/>
        <DigestValue>wTWk1DISxnAVj2E1EmuDAETY2V8bhv6dhOx7p+6OZCY=</DigestValue>
      </Reference>
      <Reference URI="/word/media/image2.png?ContentType=image/png">
        <DigestMethod Algorithm="http://www.w3.org/2001/04/xmlenc#sha256"/>
        <DigestValue>/2igGQRmXCxo7zLqzYJUwTD6vK8odIIArIh2sEbYrXA=</DigestValue>
      </Reference>
      <Reference URI="/word/footer3.xml?ContentType=application/vnd.openxmlformats-officedocument.wordprocessingml.footer+xml">
        <DigestMethod Algorithm="http://www.w3.org/2001/04/xmlenc#sha256"/>
        <DigestValue>zHYMZfkSz71roMh4Efg+oLm9mpHX3qCpdWG5tk+74vs=</DigestValue>
      </Reference>
      <Reference URI="/word/media/image11.svg?ContentType=image/svg+xml">
        <DigestMethod Algorithm="http://www.w3.org/2001/04/xmlenc#sha256"/>
        <DigestValue>RGy52InbrXCWWKeagu4O2LLaSdGXGD3zKqGGArdssdA=</DigestValue>
      </Reference>
      <Reference URI="/word/media/image6.png?ContentType=image/png">
        <DigestMethod Algorithm="http://www.w3.org/2001/04/xmlenc#sha256"/>
        <DigestValue>i7Ogckxf+Q6ue49YrZNoa/2QgPJFfd1IGrP88/SKjx8=</DigestValue>
      </Reference>
      <Reference URI="/word/media/image10.png?ContentType=image/png">
        <DigestMethod Algorithm="http://www.w3.org/2001/04/xmlenc#sha256"/>
        <DigestValue>GM6f759CpweftE3moQxYxSjnBlU9o8xRHyJT1vbCLJI=</DigestValue>
      </Reference>
      <Reference URI="/word/media/image5.svg?ContentType=image/svg+xml">
        <DigestMethod Algorithm="http://www.w3.org/2001/04/xmlenc#sha256"/>
        <DigestValue>fA5/xp7lMj9ohuM9HiwSbBnSXnONnXKg/Nce1yValq0=</DigestValue>
      </Reference>
      <Reference URI="/word/media/image4.png?ContentType=image/png">
        <DigestMethod Algorithm="http://www.w3.org/2001/04/xmlenc#sha256"/>
        <DigestValue>1YHlgAMbSxWsQouhi5PJvbgX6S9YSlIQDNsbh59O8mk=</DigestValue>
      </Reference>
      <Reference URI="/word/media/image9.svg?ContentType=image/svg+xml">
        <DigestMethod Algorithm="http://www.w3.org/2001/04/xmlenc#sha256"/>
        <DigestValue>4VL/NnwEYPP9KW1/9KZpJf02eLZ5xzOjbGkX3G276TY=</DigestValue>
      </Reference>
      <Reference URI="/word/media/image8.png?ContentType=image/png">
        <DigestMethod Algorithm="http://www.w3.org/2001/04/xmlenc#sha256"/>
        <DigestValue>495WZhwMyrwvuQFG8wzM3XUTDr4a2YVsuCmE1XKhiEg=</DigestValue>
      </Reference>
      <Reference URI="/word/media/image7.svg?ContentType=image/svg+xml">
        <DigestMethod Algorithm="http://www.w3.org/2001/04/xmlenc#sha256"/>
        <DigestValue>3DPSAUOlM0cW5Or2JSH9Th8Kc3s5ZpH8RMY2KADFWoo=</DigestValue>
      </Reference>
      <Reference URI="/word/media/image12.png?ContentType=image/png">
        <DigestMethod Algorithm="http://www.w3.org/2001/04/xmlenc#sha256"/>
        <DigestValue>4MEvG/Z8Z5q/eTLC1X1uYt3UoV7KckqgoLqfFur13MA=</DigestValue>
      </Reference>
      <Reference URI="/word/theme/theme1.xml?ContentType=application/vnd.openxmlformats-officedocument.theme+xml">
        <DigestMethod Algorithm="http://www.w3.org/2001/04/xmlenc#sha256"/>
        <DigestValue>qU3uxoX5aqe0QNlFV0I0IBZeEghaHEvniet64B41Jlk=</DigestValue>
      </Reference>
      <Reference URI="/word/styles.xml?ContentType=application/vnd.openxmlformats-officedocument.wordprocessingml.styles+xml">
        <DigestMethod Algorithm="http://www.w3.org/2001/04/xmlenc#sha256"/>
        <DigestValue>FZlAQz0+Hx0Q0O8qLXMabaDKh2qsa9bGSEjmwD7Zly4=</DigestValue>
      </Reference>
      <Reference URI="/word/media/image1.png?ContentType=image/png">
        <DigestMethod Algorithm="http://www.w3.org/2001/04/xmlenc#sha256"/>
        <DigestValue>SQqY2CzAP8VIQ9SHqfgrDUQYW9t/RihBRGC9qZo2pSs=</DigestValue>
      </Reference>
      <Reference URI="/word/header2.xml?ContentType=application/vnd.openxmlformats-officedocument.wordprocessingml.header+xml">
        <DigestMethod Algorithm="http://www.w3.org/2001/04/xmlenc#sha256"/>
        <DigestValue>mkQCloVpX8VOl6LpAh3R3vhZYf8YeTglm+pCrUqNFs0=</DigestValue>
      </Reference>
      <Reference URI="/word/media/image3.png?ContentType=image/png">
        <DigestMethod Algorithm="http://www.w3.org/2001/04/xmlenc#sha256"/>
        <DigestValue>dszGCqyELNj74/4Pa3UFpqqxYR51V5OPnbsB8yxuZ1Q=</DigestValue>
      </Reference>
      <Reference URI="/word/footer2.xml?ContentType=application/vnd.openxmlformats-officedocument.wordprocessingml.footer+xml">
        <DigestMethod Algorithm="http://www.w3.org/2001/04/xmlenc#sha256"/>
        <DigestValue>ppIRB1wY5MA03Inxj4q/FCT07MmGC2A31NVAw7faq/A=</DigestValue>
      </Reference>
      <Reference URI="/word/glossary/document.xml?ContentType=application/vnd.openxmlformats-officedocument.wordprocessingml.document.glossary+xml">
        <DigestMethod Algorithm="http://www.w3.org/2001/04/xmlenc#sha256"/>
        <DigestValue>pBGFimNv9JL5mUyrDmh6lacwlj49FSUkH56NA8HxgO8=</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grYgv+y3KB6CR8qsrGDRqphaHq3tbE1HdWojIwviwQ4=</DigestValue>
      </Reference>
      <Reference URI="/word/glossary/styles.xml?ContentType=application/vnd.openxmlformats-officedocument.wordprocessingml.styles+xml">
        <DigestMethod Algorithm="http://www.w3.org/2001/04/xmlenc#sha256"/>
        <DigestValue>BmL6wGfPW8VisyGj7VXOwTNHdJouyeANqouOVvS6unc=</DigestValue>
      </Reference>
      <Reference URI="/word/glossary/fontTable.xml?ContentType=application/vnd.openxmlformats-officedocument.wordprocessingml.fontTable+xml">
        <DigestMethod Algorithm="http://www.w3.org/2001/04/xmlenc#sha256"/>
        <DigestValue>/KyjFJn2yzwGF8w2cLNNWaeQR+7AWv+6NE4qtyrg/gE=</DigestValue>
      </Reference>
      <Reference URI="/word/numbering.xml?ContentType=application/vnd.openxmlformats-officedocument.wordprocessingml.numbering+xml">
        <DigestMethod Algorithm="http://www.w3.org/2001/04/xmlenc#sha256"/>
        <DigestValue>KLQn8m8lcXDnH/RRme3F466FDNOu1yDLyF+ZPGCtQz0=</DigestValue>
      </Reference>
      <Reference URI="/word/endnotes.xml?ContentType=application/vnd.openxmlformats-officedocument.wordprocessingml.endnotes+xml">
        <DigestMethod Algorithm="http://www.w3.org/2001/04/xmlenc#sha256"/>
        <DigestValue>T03H6WpD6UShnOKGf8MMuRgyaJFP4cSYXyjBWrnS8/Q=</DigestValue>
      </Reference>
      <Reference URI="/word/footer1.xml?ContentType=application/vnd.openxmlformats-officedocument.wordprocessingml.footer+xml">
        <DigestMethod Algorithm="http://www.w3.org/2001/04/xmlenc#sha256"/>
        <DigestValue>YXJmqzafJvVfcV1QK9jBPDMIDqulQ6/uxVN/er79Qfs=</DigestValue>
      </Reference>
      <Reference URI="/word/footnotes.xml?ContentType=application/vnd.openxmlformats-officedocument.wordprocessingml.footnotes+xml">
        <DigestMethod Algorithm="http://www.w3.org/2001/04/xmlenc#sha256"/>
        <DigestValue>nZI9OHgEKh1iiNFOq5pef4wTiTHeheiyLP4E96S+/Hk=</DigestValue>
      </Reference>
      <Reference URI="/word/fontTable.xml?ContentType=application/vnd.openxmlformats-officedocument.wordprocessingml.fontTable+xml">
        <DigestMethod Algorithm="http://www.w3.org/2001/04/xmlenc#sha256"/>
        <DigestValue>3eaDR+eajXqyE23KD3JSDH+RF40tDdKr4MvurkNt10w=</DigestValue>
      </Reference>
      <Reference URI="/word/webSettings.xml?ContentType=application/vnd.openxmlformats-officedocument.wordprocessingml.webSettings+xml">
        <DigestMethod Algorithm="http://www.w3.org/2001/04/xmlenc#sha256"/>
        <DigestValue>8vb+dnljSWO/SbrmX5QfQZNN5Czus6gGr6xLq5InSFM=</DigestValue>
      </Reference>
      <Reference URI="/word/header1.xml?ContentType=application/vnd.openxmlformats-officedocument.wordprocessingml.header+xml">
        <DigestMethod Algorithm="http://www.w3.org/2001/04/xmlenc#sha256"/>
        <DigestValue>GE3+yu6cmzdk4U9J2LAjhT+KU2hKf4SoAwYLZfwXEOw=</DigestValue>
      </Reference>
    </Manifest>
    <SignatureProperties>
      <SignatureProperty Id="idSignatureTime" Target="#idPackageSignature">
        <mdssi:SignatureTime xmlns:mdssi="http://schemas.openxmlformats.org/package/2006/digital-signature">
          <mdssi:Format>YYYY-MM-DDThh:mm:ssTZD</mdssi:Format>
          <mdssi:Value>2026-06-22T15:46:44Z</mdssi:Value>
        </mdssi:SignatureTime>
      </SignatureProperty>
    </SignatureProperties>
  </Object>
  <Object>
    <xd:QualifyingProperties xmlns:xd="http://uri.etsi.org/01903/v1.3.2#" Target="#idPackageSignature">
      <xd:SignedProperties Id="idSignedProperties">
        <xd:SignedSignatureProperties>
          <xd:SigningTime>2026-06-22T15:46:44Z</xd:SigningTime>
          <xd:SigningCertificate>
            <xd:Cert>
              <xd:CertDigest>
                <DigestMethod Algorithm="http://www.w3.org/2001/04/xmlenc#sha256"/>
                <DigestValue>mT1HWBT1T7FaSABb7JLUSJJKNS6Rvx65j1diRr1OmHI=</DigestValue>
              </xd:CertDigest>
              <xd:IssuerSerial>
                <X509IssuerName>CN=CA SINPE - PERSONA FISICA v2, OU=DIVISION SISTEMAS DE PAGO, O=BANCO CENTRAL DE COSTA RICA, C=CR, SERIALNUMBER=CPJ-4-000-004017</X509IssuerName>
                <X509SerialNumber>446020147032350198942113799177566441746425968</X509SerialNumber>
              </xd:IssuerSerial>
            </xd:Cert>
          </xd:SigningCertificate>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GFLRD81ft+5Myf3yGh0HrAE2aujejLLHJbF8by8uN7ECBC72+1cYDzIwMjYwNjIyMTU0NjUy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</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</xd:EncapsulatedCRLValue>
                <xd:EncapsulatedCRLValue>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</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YA/HoZn4Eq8lAcMlTXUazbonXAFOlnXV9nRewS8SIzM=</DigestValue>
                </xd:DigestAlgAndValue>
                <xd:CRLIdentifier>
                  <xd:Issuer>SERIALNUMBER=CPJ-2-100-098311,C=CR,O=MICITT,OU=DCFD,CN=CA POLITICA PERSONA FISICA - COSTA RICA v2</xd:Issuer>
                  <xd:IssueTime>2026-05-15T15:09:53Z</xd:IssueTime>
                  <xd:Number>74</xd:Number>
                </xd:CRLIdentifier>
              </xd:CRLRef>
              <xd:CRLRef>
                <xd:DigestAlgAndValue>
                  <DigestMethod Algorithm="http://www.w3.org/2001/04/xmlenc#sha256"/>
                  <DigestValue>2Xq9MvwWWfNMB/lONSxhbrFi+tkU+63+UCKHM1hooXk=</DigestValue>
                </xd:DigestAlgAndValue>
                <xd:CRLIdentifier>
                  <xd:Issuer>SERIALNUMBER=CPJ-2-100-098311,OU=DCFD,O=MICITT,C=CR,CN=CA RAIZ NACIONAL - COSTA RICA v2</xd:Issuer>
                  <xd:IssueTime>2026-03-20T18:09:42Z</xd:IssueTime>
                  <xd:Number>39</xd:Number>
                </xd:CRLIdentifier>
              </xd:CRLRef>
            </xd:CRLRefs>
            <xd:OCSPRefs>
              <xd:OCSPRef>
                <xd:OCSPIdentifier>
                  <xd:ResponderID>
                    <xd:ByKey>q5AY/BhchdQif8uVNgcIKNcGBEk=</xd:ByKey>
                  </xd:ResponderID>
                  <xd:ProducedAt>2026-06-22T15:46:52Z</xd:ProducedAt>
                </xd:OCSPIdentifier>
                <xd:DigestAlgAndValue>
                  <DigestMethod Algorithm="http://www.w3.org/2001/04/xmlenc#sha256"/>
                  <DigestValue>g0vZAH5a9Qg1pdzsgnYlSjW8RI+EghBCY3MoK9r2pWI=</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</xd:EncapsulatedCRLValue>
              <xd:EncapsulatedCRLValue>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</xd:EncapsulatedCRLValue>
            </xd:CRLValues>
            <xd:OCSPValues>
              <xd:EncapsulatedOCSPValue>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</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BKBkBGIwYAIBAQYIYIE8AQEBAQUwMTANBglghkgBZQMEAgEFAAQgFYbn6tQ/zb3nnK0kra6ukTI7
GQjXIujU+MvMvQy0M7oCBC72+1gYDzIwMjYwNjIyMTU0NjUyWjAEgAIB9AEB/6CCB8Iwgge+MIIF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CSqGSIb3DQEJAzENBgsqhkiG9w0BCRABBDAcBgkqhkiG9w0BCQUxDxcNMjYwNjIyMTU0NjUyWjAv
BgkqhkiG9w0BCQQxIgQgrlf90M/D/50GBWwp1XuKPWai7ukp74hEr7A3veZY968wNwYLKoZIhvcN
AQkQAi8xKDAmMCQwIgQgrKszXYj6Q2nTJpWV/NZakemXG2IrBO983WoSsYOW808wDQYJKoZIhvcN
AQEBBQAEggEAvstKyLQ/p0ylpvKjfzO2Z86g8jsmy7HxhQPHJ8wSYTVOuEDfaohTYATDqo4v39TC
94Hd1+R/hiKbMqHsUIU9mLn5Tf5Udq9PoY/nCqwZiUHrJjXDvA9I7WG/OMLEohdEGhqms59ixYQk
SZ9rW8mZL7ZiwNqoWZon4KKmNcICLQyh7zQ73MarTQHHnqtTJRnf1DjBbkYqTQzpiqdwBc6+1cOD
5ZQ2cw2mKY2h2WP7VuKBG2wE7q1imVTdnUTXlkSbXmlL+irz3rOquT4E0rHJZFARzaTF1sUh8X+z
6AndU+NNVjuIjuNkaHBLNefAQuJT49DuHzpXp/S1FsA8jU9ZTw==</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esolución GEC" ma:contentTypeID="0x0101004F2517C60535184CB5A5BE0BA417A382030204002086A79D24D5964FAACFFF36FCD343C1" ma:contentTypeVersion="302" ma:contentTypeDescription="Create a new document." ma:contentTypeScope="" ma:versionID="bac79542e72e670bf16e14379d02c919">
  <xsd:schema xmlns:xsd="http://www.w3.org/2001/XMLSchema" xmlns:xs="http://www.w3.org/2001/XMLSchema" xmlns:p="http://schemas.microsoft.com/office/2006/metadata/properties" xmlns:ns2="ef69d38d-c069-47fd-a86d-65acf93227a5" targetNamespace="http://schemas.microsoft.com/office/2006/metadata/properties" ma:root="true" ma:fieldsID="955beafb214db8c3487c53078e9e44d6" ns2:_="">
    <xsd:import namespace="ef69d38d-c069-47fd-a86d-65acf93227a5"/>
    <xsd:element name="properties">
      <xsd:complexType>
        <xsd:sequence>
          <xsd:element name="documentManagement">
            <xsd:complexType>
              <xsd:all>
                <xsd:element ref="ns2:riddaCaracterArchivistico" minOccurs="0"/>
                <xsd:element ref="ns2:riddaConservacion" minOccurs="0"/>
                <xsd:element ref="ns2:riddaRetencion" minOccurs="0"/>
                <xsd:element ref="ns2:riddaFechaFinRetencion" minOccurs="0"/>
                <xsd:element ref="ns2:riddaFechaFinConservacion" minOccurs="0"/>
                <xsd:element ref="ns2:riddaTipoConservacion" minOccurs="0"/>
                <xsd:element ref="ns2:riddaIdDocDigitalArchivo" minOccurs="0"/>
                <xsd:element ref="ns2:TaxCatchAll" minOccurs="0"/>
                <xsd:element ref="ns2:TaxCatchAllLabel" minOccurs="0"/>
                <xsd:element ref="ns2:f66f20a3ae0942cf8c7b1e4524698e23" minOccurs="0"/>
                <xsd:element ref="ns2:gecAnio" minOccurs="0"/>
                <xsd:element ref="ns2:gecAsuntoComunicado" minOccurs="0"/>
                <xsd:element ref="ns2:gecEntidadExterna" minOccurs="0"/>
                <xsd:element ref="ns2:gecFechaDeEnvio" minOccurs="0"/>
                <xsd:element ref="ns2:gecInformativoPara" minOccurs="0"/>
                <xsd:element ref="ns2:gecNumReferencia" minOccurs="0"/>
                <xsd:element ref="ns2:gecObservaciones" minOccurs="0"/>
                <xsd:element ref="ns2:gecProposito" minOccurs="0"/>
                <xsd:element ref="ns2:gecUnidadesDestino" minOccurs="0"/>
                <xsd:element ref="ns2:gecIdSeguimiento" minOccurs="0"/>
                <xsd:element ref="ns2:gecDestinatariosExternos" minOccurs="0"/>
                <xsd:element ref="ns2:gecAcuseEnvioPara" minOccurs="0"/>
                <xsd:element ref="ns2:riddaCodProceso" minOccurs="0"/>
                <xsd:element ref="ns2:riddaCodSerie" minOccurs="0"/>
                <xsd:element ref="ns2:riddaDescripcion" minOccurs="0"/>
                <xsd:element ref="ns2:riddaEtapaProcesoArchivado" minOccurs="0"/>
                <xsd:element ref="ns2:riddaFechaDeclaracionRegistro" minOccurs="0"/>
                <xsd:element ref="ns2:riddaFondoDoc" minOccurs="0"/>
                <xsd:element ref="ns2:riddaProceso" minOccurs="0"/>
                <xsd:element ref="ns2:riddaSerieDoc" minOccurs="0"/>
                <xsd:element ref="ns2:gecNumConsecutivo" minOccurs="0"/>
                <xsd:element ref="ns2:gecUnidadesDestinoReenvio" minOccurs="0"/>
                <xsd:element ref="ns2:gecConsecutivoTareaRelacionada" minOccurs="0"/>
                <xsd:element ref="ns2:gecIdRegistroTareaRelacionada" minOccurs="0"/>
                <xsd:element ref="ns2:EstadoProcesoAprobacion" minOccurs="0"/>
                <xsd:element ref="ns2:bef7db0c786e492cad3db1ccd686cf22" minOccurs="0"/>
                <xsd:element ref="ns2:SolicitudAprobacion" minOccurs="0"/>
                <xsd:element ref="ns2:gecAlmacenDatosComunicado" minOccurs="0"/>
                <xsd:element ref="ns2:EstadoProcesoFirma" minOccurs="0"/>
                <xsd:element ref="ns2:Firmantes" minOccurs="0"/>
                <xsd:element ref="ns2:NombreOrigen" minOccurs="0"/>
                <xsd:element ref="ns2:OrdenProcesoFirma" minOccurs="0"/>
                <xsd:element ref="ns2:Responsable" minOccurs="0"/>
                <xsd:element ref="ns2:gecEstadoProcesoComunicado" minOccurs="0"/>
                <xsd:element ref="ns2:gecEmisorSaliente" minOccurs="0"/>
                <xsd:element ref="ns2:gecSecretaria" minOccurs="0"/>
                <xsd:element ref="ns2:gecResponsableContenido" minOccurs="0"/>
                <xsd:element ref="ns2:FirmarDocumento" minOccurs="0"/>
                <xsd:element ref="ns2:jca3d13e67284488a5352eb1b17b79e8" minOccurs="0"/>
                <xsd:element ref="ns2:lba1809b66b148389e645e1b3de1f464" minOccurs="0"/>
                <xsd:element ref="ns2:l01b9427a7834fab972123760ef165a9" minOccurs="0"/>
                <xsd:element ref="ns2:relFormularioAsignad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9d38d-c069-47fd-a86d-65acf93227a5" elementFormDefault="qualified">
    <xsd:import namespace="http://schemas.microsoft.com/office/2006/documentManagement/types"/>
    <xsd:import namespace="http://schemas.microsoft.com/office/infopath/2007/PartnerControls"/>
    <xsd:element name="riddaCaracterArchivistico" ma:index="2" nillable="true" ma:displayName="Carácter archivístico" ma:default="Sí" ma:format="Dropdown" ma:hidden="true" ma:internalName="riddaCaracterArchivistico" ma:readOnly="false">
      <xsd:simpleType>
        <xsd:restriction base="dms:Choice">
          <xsd:enumeration value="Sí"/>
          <xsd:enumeration value="No"/>
        </xsd:restriction>
      </xsd:simpleType>
    </xsd:element>
    <xsd:element name="riddaConservacion" ma:index="3" nillable="true" ma:displayName="Plazo de conservación" ma:decimals="0" ma:hidden="true" ma:internalName="riddaConservacion" ma:readOnly="false" ma:percentage="FALSE">
      <xsd:simpleType>
        <xsd:restriction base="dms:Number">
          <xsd:maxInclusive value="100"/>
          <xsd:minInclusive value="0"/>
        </xsd:restriction>
      </xsd:simpleType>
    </xsd:element>
    <xsd:element name="riddaRetencion" ma:index="4" nillable="true" ma:displayName="Tiempo de retención" ma:decimals="0" ma:hidden="true" ma:internalName="riddaRetencion" ma:readOnly="false" ma:percentage="FALSE">
      <xsd:simpleType>
        <xsd:restriction base="dms:Number">
          <xsd:maxInclusive value="100"/>
          <xsd:minInclusive value="1"/>
        </xsd:restriction>
      </xsd:simpleType>
    </xsd:element>
    <xsd:element name="riddaFechaFinRetencion" ma:index="6" nillable="true" ma:displayName="Fecha transferencia archivo digital" ma:format="DateOnly" ma:hidden="true" ma:internalName="riddaFechaFinRetencion" ma:readOnly="false">
      <xsd:simpleType>
        <xsd:restriction base="dms:DateTime"/>
      </xsd:simpleType>
    </xsd:element>
    <xsd:element name="riddaFechaFinConservacion" ma:index="7" nillable="true" ma:displayName="Fecha eliminación o transferencia AN" ma:format="DateOnly" ma:hidden="true" ma:internalName="riddaFechaFinConservacion" ma:readOnly="false">
      <xsd:simpleType>
        <xsd:restriction base="dms:DateTime"/>
      </xsd:simpleType>
    </xsd:element>
    <xsd:element name="riddaTipoConservacion" ma:index="8" nillable="true" ma:displayName="Tipo de conservación" ma:format="Dropdown" ma:hidden="true" ma:internalName="riddaTipoConservacion" ma:readOnly="false">
      <xsd:simpleType>
        <xsd:restriction base="dms:Choice">
          <xsd:enumeration value="Eliminación"/>
          <xsd:enumeration value="Permanente AC (100 años)"/>
          <xsd:enumeration value="Valor científico cultural AN"/>
        </xsd:restriction>
      </xsd:simpleType>
    </xsd:element>
    <xsd:element name="riddaIdDocDigitalArchivo" ma:index="9" nillable="true" ma:displayName="ID de documento digital de archivo" ma:hidden="true" ma:internalName="riddaIdDocDigitalArchivo" ma:readOnly="false">
      <xsd:simpleType>
        <xsd:restriction base="dms:Text">
          <xsd:maxLength value="255"/>
        </xsd:restriction>
      </xsd:simpleType>
    </xsd:element>
    <xsd:element name="TaxCatchAll" ma:index="15" nillable="true" ma:displayName="Taxonomy Catch All Column" ma:hidden="true" ma:list="{ac46b07e-a706-41a9-b2ad-ede7d51b1c20}" ma:internalName="TaxCatchAll" ma:showField="CatchAllData" ma:web="61037e24-c9ed-469c-b7d4-2cd898b3a224">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ac46b07e-a706-41a9-b2ad-ede7d51b1c20}" ma:internalName="TaxCatchAllLabel" ma:readOnly="true" ma:showField="CatchAllDataLabel" ma:web="61037e24-c9ed-469c-b7d4-2cd898b3a224">
      <xsd:complexType>
        <xsd:complexContent>
          <xsd:extension base="dms:MultiChoiceLookup">
            <xsd:sequence>
              <xsd:element name="Value" type="dms:Lookup" maxOccurs="unbounded" minOccurs="0" nillable="true"/>
            </xsd:sequence>
          </xsd:extension>
        </xsd:complexContent>
      </xsd:complexType>
    </xsd:element>
    <xsd:element name="f66f20a3ae0942cf8c7b1e4524698e23" ma:index="18" nillable="true" ma:taxonomy="true" ma:internalName="f66f20a3ae0942cf8c7b1e4524698e23" ma:taxonomyFieldName="riddaUnidadGeneradora" ma:displayName="Unidad generadora" ma:readOnly="false" ma:fieldId="{f66f20a3-ae09-42cf-8c7b-1e4524698e23}" ma:taxonomyMulti="true" ma:sspId="b0adf84e-870a-453e-bcaf-71f8aafc2679" ma:termSetId="6c47b102-04db-4200-9731-ede5ce455e31" ma:anchorId="00000000-0000-0000-0000-000000000000" ma:open="false" ma:isKeyword="false">
      <xsd:complexType>
        <xsd:sequence>
          <xsd:element ref="pc:Terms" minOccurs="0" maxOccurs="1"/>
        </xsd:sequence>
      </xsd:complexType>
    </xsd:element>
    <xsd:element name="gecAnio" ma:index="20" nillable="true" ma:displayName="Año" ma:default="2026" ma:format="Dropdown" ma:hidden="true" ma:indexed="true" ma:internalName="gecAnio" ma:readOnly="false">
      <xsd:simpleType>
        <xsd:union memberTypes="dms:Text">
          <xsd:simpleType>
            <xsd:restriction base="dms:Choice">
              <xsd:enumeration value="2020"/>
              <xsd:enumeration value="2021"/>
              <xsd:enumeration value="2022"/>
              <xsd:enumeration value="2023"/>
              <xsd:enumeration value="2024"/>
              <xsd:enumeration value="2025"/>
              <xsd:enumeration value="2026"/>
              <xsd:enumeration value="2027"/>
              <xsd:enumeration value="2028"/>
              <xsd:enumeration value="2029"/>
              <xsd:enumeration value="2030"/>
              <xsd:enumeration value="2031"/>
              <xsd:enumeration value="2032"/>
              <xsd:enumeration value="2033"/>
              <xsd:enumeration value="2034"/>
              <xsd:enumeration value="2035"/>
              <xsd:enumeration value="2036"/>
              <xsd:enumeration value="2037"/>
              <xsd:enumeration value="2038"/>
              <xsd:enumeration value="2039"/>
              <xsd:enumeration value="2040"/>
              <xsd:enumeration value="2041"/>
              <xsd:enumeration value="2042"/>
              <xsd:enumeration value="2043"/>
              <xsd:enumeration value="2044"/>
              <xsd:enumeration value="2045"/>
              <xsd:enumeration value="2046"/>
              <xsd:enumeration value="2047"/>
              <xsd:enumeration value="2048"/>
              <xsd:enumeration value="2049"/>
              <xsd:enumeration value="2050"/>
            </xsd:restriction>
          </xsd:simpleType>
        </xsd:union>
      </xsd:simpleType>
    </xsd:element>
    <xsd:element name="gecAsuntoComunicado" ma:index="21" nillable="true" ma:displayName="Asunto comunicado" ma:hidden="true" ma:internalName="gecAsuntoComunicado" ma:readOnly="false">
      <xsd:simpleType>
        <xsd:restriction base="dms:Text">
          <xsd:maxLength value="255"/>
        </xsd:restriction>
      </xsd:simpleType>
    </xsd:element>
    <xsd:element name="gecEntidadExterna" ma:index="22" nillable="true" ma:displayName="Entidad externa" ma:default="&lt;Vacía&gt;" ma:hidden="true" ma:internalName="gecEntidadExterna" ma:readOnly="false">
      <xsd:complexType>
        <xsd:complexContent>
          <xsd:extension base="dms:MultiChoiceFillIn">
            <xsd:sequence>
              <xsd:element name="Value" maxOccurs="unbounded" minOccurs="0" nillable="true">
                <xsd:simpleType>
                  <xsd:union memberTypes="dms:Text">
                    <xsd:simpleType>
                      <xsd:restriction base="dms:Choice">
                        <xsd:enumeration value="&lt;Vacía&gt;"/>
                      </xsd:restriction>
                    </xsd:simpleType>
                  </xsd:union>
                </xsd:simpleType>
              </xsd:element>
            </xsd:sequence>
          </xsd:extension>
        </xsd:complexContent>
      </xsd:complexType>
    </xsd:element>
    <xsd:element name="gecFechaDeEnvio" ma:index="23" nillable="true" ma:displayName="Fecha de envío" ma:format="DateTime" ma:hidden="true" ma:internalName="gecFechaDeEnvio" ma:readOnly="false">
      <xsd:simpleType>
        <xsd:restriction base="dms:DateTime"/>
      </xsd:simpleType>
    </xsd:element>
    <xsd:element name="gecInformativoPara" ma:index="24" nillable="true" ma:displayName="Informativo para (Unidades destino CC)" ma:hidden="true" ma:internalName="gecInformativoPara" ma:readOnly="false">
      <xsd:complexType>
        <xsd:complexContent>
          <xsd:extension base="dms:MultiChoiceFillIn">
            <xsd:sequence>
              <xsd:element name="Value" maxOccurs="unbounded" minOccurs="0" nillable="true">
                <xsd:simpleType>
                  <xsd:union memberTypes="dms:Text">
                    <xsd:simpleType>
                      <xsd:restriction base="dms:Choice">
                        <xsd:enumeration value="&lt;Vacío&gt;"/>
                      </xsd:restriction>
                    </xsd:simpleType>
                  </xsd:union>
                </xsd:simpleType>
              </xsd:element>
            </xsd:sequence>
          </xsd:extension>
        </xsd:complexContent>
      </xsd:complexType>
    </xsd:element>
    <xsd:element name="gecNumReferencia" ma:index="25" nillable="true" ma:displayName="Número de referencia" ma:hidden="true" ma:internalName="gecNumReferencia" ma:readOnly="false">
      <xsd:simpleType>
        <xsd:restriction base="dms:Text">
          <xsd:maxLength value="255"/>
        </xsd:restriction>
      </xsd:simpleType>
    </xsd:element>
    <xsd:element name="gecObservaciones" ma:index="26" nillable="true" ma:displayName="Observaciones" ma:hidden="true" ma:internalName="gecObservaciones" ma:readOnly="false">
      <xsd:simpleType>
        <xsd:restriction base="dms:Note"/>
      </xsd:simpleType>
    </xsd:element>
    <xsd:element name="gecProposito" ma:index="27" nillable="true" ma:displayName="Proposito" ma:format="Dropdown" ma:hidden="true" ma:internalName="gecProposito" ma:readOnly="false">
      <xsd:simpleType>
        <xsd:restriction base="dms:Choice">
          <xsd:enumeration value="Informar"/>
          <xsd:enumeration value="Resolver"/>
        </xsd:restriction>
      </xsd:simpleType>
    </xsd:element>
    <xsd:element name="gecUnidadesDestino" ma:index="28" nillable="true" ma:displayName="Unidades Destino" ma:hidden="true" ma:internalName="gecUnidadesDestino" ma:readOnly="false">
      <xsd:complexType>
        <xsd:complexContent>
          <xsd:extension base="dms:MultiChoiceFillIn">
            <xsd:sequence>
              <xsd:element name="Value" maxOccurs="unbounded" minOccurs="0" nillable="true">
                <xsd:simpleType>
                  <xsd:union memberTypes="dms:Text">
                    <xsd:simpleType>
                      <xsd:restriction base="dms:Choice">
                        <xsd:enumeration value="&lt;Vacío&gt;"/>
                      </xsd:restriction>
                    </xsd:simpleType>
                  </xsd:union>
                </xsd:simpleType>
              </xsd:element>
            </xsd:sequence>
          </xsd:extension>
        </xsd:complexContent>
      </xsd:complexType>
    </xsd:element>
    <xsd:element name="gecIdSeguimiento" ma:index="29" nillable="true" ma:displayName="ID Seguimiento" ma:hidden="true" ma:internalName="gecIdSeguimiento" ma:readOnly="false">
      <xsd:simpleType>
        <xsd:restriction base="dms:Text">
          <xsd:maxLength value="255"/>
        </xsd:restriction>
      </xsd:simpleType>
    </xsd:element>
    <xsd:element name="gecDestinatariosExternos" ma:index="30" nillable="true" ma:displayName="Destinatarios Externos" ma:hidden="true" ma:internalName="gecDestinatariosExternos" ma:readOnly="false">
      <xsd:simpleType>
        <xsd:restriction base="dms:Note"/>
      </xsd:simpleType>
    </xsd:element>
    <xsd:element name="gecAcuseEnvioPara" ma:index="31" nillable="true" ma:displayName="Acuse de envío para" ma:hidden="true" ma:list="UserInfo" ma:SharePointGroup="0" ma:internalName="gecAcuseEnvioPara"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ddaCodProceso" ma:index="32" nillable="true" ma:displayName="Código de proceso" ma:hidden="true" ma:internalName="riddaCodProceso" ma:readOnly="false">
      <xsd:simpleType>
        <xsd:restriction base="dms:Text">
          <xsd:maxLength value="255"/>
        </xsd:restriction>
      </xsd:simpleType>
    </xsd:element>
    <xsd:element name="riddaCodSerie" ma:index="33" nillable="true" ma:displayName="Código de serie" ma:hidden="true" ma:internalName="riddaCodSerie" ma:readOnly="false">
      <xsd:simpleType>
        <xsd:restriction base="dms:Text">
          <xsd:maxLength value="255"/>
        </xsd:restriction>
      </xsd:simpleType>
    </xsd:element>
    <xsd:element name="riddaDescripcion" ma:index="34" nillable="true" ma:displayName="Descripción" ma:hidden="true" ma:internalName="riddaDescripcion" ma:readOnly="false">
      <xsd:simpleType>
        <xsd:restriction base="dms:Text">
          <xsd:maxLength value="255"/>
        </xsd:restriction>
      </xsd:simpleType>
    </xsd:element>
    <xsd:element name="riddaEtapaProcesoArchivado" ma:index="35" nillable="true" ma:displayName="Proceso de archivado" ma:default="⭕ Sin iniciar||" ma:hidden="true" ma:internalName="riddaEtapaProcesoArchivado" ma:readOnly="false">
      <xsd:simpleType>
        <xsd:restriction base="dms:Text">
          <xsd:maxLength value="255"/>
        </xsd:restriction>
      </xsd:simpleType>
    </xsd:element>
    <xsd:element name="riddaFechaDeclaracionRegistro" ma:index="36" nillable="true" ma:displayName="Fecha de declaración de registro" ma:format="DateOnly" ma:hidden="true" ma:internalName="riddaFechaDeclaracionRegistro" ma:readOnly="false">
      <xsd:simpleType>
        <xsd:restriction base="dms:DateTime"/>
      </xsd:simpleType>
    </xsd:element>
    <xsd:element name="riddaFondoDoc" ma:index="37" nillable="true" ma:displayName="Fondo documental" ma:hidden="true" ma:internalName="riddaFondoDoc" ma:readOnly="false">
      <xsd:simpleType>
        <xsd:restriction base="dms:Text">
          <xsd:maxLength value="255"/>
        </xsd:restriction>
      </xsd:simpleType>
    </xsd:element>
    <xsd:element name="riddaProceso" ma:index="38" nillable="true" ma:displayName="Proceso" ma:hidden="true" ma:internalName="riddaProceso" ma:readOnly="false">
      <xsd:simpleType>
        <xsd:restriction base="dms:Text">
          <xsd:maxLength value="255"/>
        </xsd:restriction>
      </xsd:simpleType>
    </xsd:element>
    <xsd:element name="riddaSerieDoc" ma:index="39" nillable="true" ma:displayName="Serie documental" ma:hidden="true" ma:internalName="riddaSerieDoc" ma:readOnly="false">
      <xsd:simpleType>
        <xsd:restriction base="dms:Text">
          <xsd:maxLength value="255"/>
        </xsd:restriction>
      </xsd:simpleType>
    </xsd:element>
    <xsd:element name="gecNumConsecutivo" ma:index="40" nillable="true" ma:displayName="No. Consecutivo" ma:hidden="true" ma:internalName="gecNumConsecutivo" ma:readOnly="false">
      <xsd:simpleType>
        <xsd:restriction base="dms:Text">
          <xsd:maxLength value="255"/>
        </xsd:restriction>
      </xsd:simpleType>
    </xsd:element>
    <xsd:element name="gecUnidadesDestinoReenvio" ma:index="41" nillable="true" ma:displayName="Unidades destino reenvío" ma:hidden="true" ma:internalName="gecUnidadesDestinoReenvio" ma:readOnly="false">
      <xsd:complexType>
        <xsd:complexContent>
          <xsd:extension base="dms:MultiChoiceFillIn">
            <xsd:sequence>
              <xsd:element name="Value" maxOccurs="unbounded" minOccurs="0" nillable="true">
                <xsd:simpleType>
                  <xsd:union memberTypes="dms:Text">
                    <xsd:simpleType>
                      <xsd:restriction base="dms:Choice">
                        <xsd:enumeration value="&lt;Vacío&gt;"/>
                      </xsd:restriction>
                    </xsd:simpleType>
                  </xsd:union>
                </xsd:simpleType>
              </xsd:element>
            </xsd:sequence>
          </xsd:extension>
        </xsd:complexContent>
      </xsd:complexType>
    </xsd:element>
    <xsd:element name="gecConsecutivoTareaRelacionada" ma:index="42" nillable="true" ma:displayName="Consecutivo de Tarea Relacionada" ma:hidden="true" ma:internalName="gecConsecutivoTareaRelacionada" ma:readOnly="false">
      <xsd:simpleType>
        <xsd:restriction base="dms:Text">
          <xsd:maxLength value="255"/>
        </xsd:restriction>
      </xsd:simpleType>
    </xsd:element>
    <xsd:element name="gecIdRegistroTareaRelacionada" ma:index="43" nillable="true" ma:displayName="Identificador de Tarea Relacionada" ma:hidden="true" ma:internalName="gecIdRegistroTareaRelacionada" ma:readOnly="false">
      <xsd:simpleType>
        <xsd:restriction base="dms:Text">
          <xsd:maxLength value="255"/>
        </xsd:restriction>
      </xsd:simpleType>
    </xsd:element>
    <xsd:element name="EstadoProcesoAprobacion" ma:index="44" nillable="true" ma:displayName="Estado del proceso de aprobación" ma:hidden="true" ma:internalName="EstadoProcesoAprobacion" ma:readOnly="false">
      <xsd:simpleType>
        <xsd:restriction base="dms:Text">
          <xsd:maxLength value="255"/>
        </xsd:restriction>
      </xsd:simpleType>
    </xsd:element>
    <xsd:element name="bef7db0c786e492cad3db1ccd686cf22" ma:index="45" nillable="true" ma:taxonomy="true" ma:internalName="bef7db0c786e492cad3db1ccd686cf22" ma:taxonomyFieldName="riddaClasificacionSegInf" ma:displayName="Clasificación seguridad de la información" ma:readOnly="false" ma:default="1;#Soporte de información|8aff0eaf-e51c-4567-aa77-0955e95d8682" ma:fieldId="{bef7db0c-786e-492c-ad3d-b1ccd686cf22}" ma:sspId="b0adf84e-870a-453e-bcaf-71f8aafc2679" ma:termSetId="a3c5b20b-c658-46c2-a440-7c7ad7e38711" ma:anchorId="00000000-0000-0000-0000-000000000000" ma:open="false" ma:isKeyword="false">
      <xsd:complexType>
        <xsd:sequence>
          <xsd:element ref="pc:Terms" minOccurs="0" maxOccurs="1"/>
        </xsd:sequence>
      </xsd:complexType>
    </xsd:element>
    <xsd:element name="SolicitudAprobacion" ma:index="47" nillable="true" ma:displayName="Solicitud de aprobación" ma:hidden="true" ma:internalName="SolicitudAprobacion" ma:readOnly="false">
      <xsd:simpleType>
        <xsd:restriction base="dms:Text">
          <xsd:maxLength value="255"/>
        </xsd:restriction>
      </xsd:simpleType>
    </xsd:element>
    <xsd:element name="gecAlmacenDatosComunicado" ma:index="48" nillable="true" ma:displayName="Almacen de datos de comunicado" ma:hidden="true" ma:internalName="gecAlmacenDatosComunicado" ma:readOnly="false">
      <xsd:simpleType>
        <xsd:restriction base="dms:Note"/>
      </xsd:simpleType>
    </xsd:element>
    <xsd:element name="EstadoProcesoFirma" ma:index="49" nillable="true" ma:displayName="Estado proceso de firma" ma:format="Dropdown" ma:hidden="true" ma:internalName="EstadoProcesoFirma" ma:readOnly="false">
      <xsd:simpleType>
        <xsd:restriction base="dms:Choice">
          <xsd:enumeration value="Iniciado"/>
          <xsd:enumeration value="Cancelado"/>
          <xsd:enumeration value="Finalizado"/>
        </xsd:restriction>
      </xsd:simpleType>
    </xsd:element>
    <xsd:element name="Firmantes" ma:index="50" nillable="true" ma:displayName="Firmantes" ma:hidden="true" ma:list="UserInfo" ma:SharePointGroup="0" ma:internalName="Firmante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mbreOrigen" ma:index="51" nillable="true" ma:displayName="Nombre de origen" ma:hidden="true" ma:internalName="NombreOrigen" ma:readOnly="false">
      <xsd:simpleType>
        <xsd:restriction base="dms:Text">
          <xsd:maxLength value="255"/>
        </xsd:restriction>
      </xsd:simpleType>
    </xsd:element>
    <xsd:element name="OrdenProcesoFirma" ma:index="52" nillable="true" ma:displayName="Orden proceso de firma" ma:default="Secuencial" ma:format="Dropdown" ma:hidden="true" ma:internalName="OrdenProcesoFirma" ma:readOnly="false">
      <xsd:simpleType>
        <xsd:restriction base="dms:Choice">
          <xsd:enumeration value="Paralelo"/>
          <xsd:enumeration value="Secuencial"/>
        </xsd:restriction>
      </xsd:simpleType>
    </xsd:element>
    <xsd:element name="Responsable" ma:index="53" nillable="true" ma:displayName="Responsable" ma:hidden="true" ma:list="UserInfo" ma:SharePointGroup="0" ma:internalName="Responsabl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ecEstadoProcesoComunicado" ma:index="54" nillable="true" ma:displayName="Estado proceso del comunicado" ma:hidden="true" ma:internalName="gecEstadoProcesoComunicado" ma:readOnly="false">
      <xsd:simpleType>
        <xsd:restriction base="dms:Text">
          <xsd:maxLength value="255"/>
        </xsd:restriction>
      </xsd:simpleType>
    </xsd:element>
    <xsd:element name="gecEmisorSaliente" ma:index="55" nillable="true" ma:displayName="Emisor saliente" ma:hidden="true" ma:internalName="gecEmisorSaliente" ma:readOnly="false">
      <xsd:simpleType>
        <xsd:restriction base="dms:Text">
          <xsd:maxLength value="255"/>
        </xsd:restriction>
      </xsd:simpleType>
    </xsd:element>
    <xsd:element name="gecSecretaria" ma:index="56" nillable="true" ma:displayName="Secretaria" ma:hidden="true" ma:internalName="gecSecretaria" ma:readOnly="false">
      <xsd:complexType>
        <xsd:complexContent>
          <xsd:extension base="dms:MultiChoiceFillIn">
            <xsd:sequence>
              <xsd:element name="Value" maxOccurs="unbounded" minOccurs="0" nillable="true">
                <xsd:simpleType>
                  <xsd:union memberTypes="dms:Text">
                    <xsd:simpleType>
                      <xsd:restriction base="dms:Choice">
                        <xsd:enumeration value="&lt;Vacío&gt;"/>
                      </xsd:restriction>
                    </xsd:simpleType>
                  </xsd:union>
                </xsd:simpleType>
              </xsd:element>
            </xsd:sequence>
          </xsd:extension>
        </xsd:complexContent>
      </xsd:complexType>
    </xsd:element>
    <xsd:element name="gecResponsableContenido" ma:index="57" nillable="true" ma:displayName="Responsable del contenido" ma:hidden="true" ma:internalName="gecResponsableContenido" ma:readOnly="false">
      <xsd:complexType>
        <xsd:complexContent>
          <xsd:extension base="dms:MultiChoiceFillIn">
            <xsd:sequence>
              <xsd:element name="Value" maxOccurs="unbounded" minOccurs="0" nillable="true">
                <xsd:simpleType>
                  <xsd:union memberTypes="dms:Text">
                    <xsd:simpleType>
                      <xsd:restriction base="dms:Choice">
                        <xsd:enumeration value="&lt;Vacío&gt;"/>
                      </xsd:restriction>
                    </xsd:simpleType>
                  </xsd:union>
                </xsd:simpleType>
              </xsd:element>
            </xsd:sequence>
          </xsd:extension>
        </xsd:complexContent>
      </xsd:complexType>
    </xsd:element>
    <xsd:element name="FirmarDocumento" ma:index="58" nillable="true" ma:displayName="Firmar documento" ma:hidden="true" ma:internalName="FirmarDocumento" ma:readOnly="false">
      <xsd:simpleType>
        <xsd:restriction base="dms:Text">
          <xsd:maxLength value="255"/>
        </xsd:restriction>
      </xsd:simpleType>
    </xsd:element>
    <xsd:element name="jca3d13e67284488a5352eb1b17b79e8" ma:index="60" ma:taxonomy="true" ma:internalName="jca3d13e67284488a5352eb1b17b79e8" ma:taxonomyFieldName="riddaConfidencialidad" ma:displayName="Confidencialidad" ma:fieldId="{3ca3d13e-6728-4488-a535-2eb1b17b79e8}" ma:sspId="b0adf84e-870a-453e-bcaf-71f8aafc2679" ma:termSetId="fec21262-d3f1-4324-a4bb-a0fd74a0629e" ma:anchorId="00000000-0000-0000-0000-000000000000" ma:open="false" ma:isKeyword="false">
      <xsd:complexType>
        <xsd:sequence>
          <xsd:element ref="pc:Terms" minOccurs="0" maxOccurs="1"/>
        </xsd:sequence>
      </xsd:complexType>
    </xsd:element>
    <xsd:element name="lba1809b66b148389e645e1b3de1f464" ma:index="62" nillable="true" ma:taxonomy="true" ma:internalName="lba1809b66b148389e645e1b3de1f464" ma:taxonomyFieldName="riddaDisponibilidad" ma:displayName="Disponibilidad" ma:readOnly="false" ma:fieldId="{5ba1809b-66b1-4838-9e64-5e1b3de1f464}" ma:sspId="b0adf84e-870a-453e-bcaf-71f8aafc2679" ma:termSetId="5d9142c7-bc7f-416a-8074-8d812de61759" ma:anchorId="00000000-0000-0000-0000-000000000000" ma:open="false" ma:isKeyword="false">
      <xsd:complexType>
        <xsd:sequence>
          <xsd:element ref="pc:Terms" minOccurs="0" maxOccurs="1"/>
        </xsd:sequence>
      </xsd:complexType>
    </xsd:element>
    <xsd:element name="l01b9427a7834fab972123760ef165a9" ma:index="64" nillable="true" ma:taxonomy="true" ma:internalName="l01b9427a7834fab972123760ef165a9" ma:taxonomyFieldName="riddaIntegridad" ma:displayName="Integridad" ma:readOnly="false" ma:default="12;#Alta|0fd17ec2-e5d0-4d9f-8e18-466324d0fdd4" ma:fieldId="{501b9427-a783-4fab-9721-23760ef165a9}" ma:sspId="b0adf84e-870a-453e-bcaf-71f8aafc2679" ma:termSetId="09b5aa48-4557-43d1-9b62-91503247b9f0" ma:anchorId="00000000-0000-0000-0000-000000000000" ma:open="false" ma:isKeyword="false">
      <xsd:complexType>
        <xsd:sequence>
          <xsd:element ref="pc:Terms" minOccurs="0" maxOccurs="1"/>
        </xsd:sequence>
      </xsd:complexType>
    </xsd:element>
    <xsd:element name="relFormularioAsignado" ma:index="66" nillable="true" ma:displayName="Formulario asignado" ma:hidden="true" ma:internalName="relFormularioAsignado"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b0adf84e-870a-453e-bcaf-71f8aafc2679" ContentTypeId="0x0101004F2517C60535184CB5A5BE0BA417A382030204" PreviousValue="true"/>
</file>

<file path=customXml/item5.xml><?xml version="1.0" encoding="utf-8"?>
<p:properties xmlns:p="http://schemas.microsoft.com/office/2006/metadata/properties" xmlns:xsi="http://www.w3.org/2001/XMLSchema-instance" xmlns:pc="http://schemas.microsoft.com/office/infopath/2007/PartnerControls">
  <documentManagement>
    <TaxCatchAll xmlns="ef69d38d-c069-47fd-a86d-65acf93227a5">
      <Value>12</Value>
      <Value>9</Value>
      <Value>1</Value>
      <Value>2</Value>
    </TaxCatchAll>
    <riddaFechaFinRetencion xmlns="ef69d38d-c069-47fd-a86d-65acf93227a5" xsi:nil="true"/>
    <riddaFechaFinConservacion xmlns="ef69d38d-c069-47fd-a86d-65acf93227a5" xsi:nil="true"/>
    <OrdenProcesoFirma xmlns="ef69d38d-c069-47fd-a86d-65acf93227a5">Secuencial</OrdenProcesoFirma>
    <gecEmisorSaliente xmlns="ef69d38d-c069-47fd-a86d-65acf93227a5">PATRICIA JOVEL PINEDA &lt;JOVELPP@sugef.fi.cr&gt;</gecEmisorSaliente>
    <gecIdSeguimiento xmlns="ef69d38d-c069-47fd-a86d-65acf93227a5">9153c0ef-156e-419e-bb00-83341a8f2b80</gecIdSeguimiento>
    <gecAcuseEnvioPara xmlns="ef69d38d-c069-47fd-a86d-65acf93227a5">
      <UserInfo>
        <DisplayName>i:0#.f|membership|aguilarcc@sugef.fi.cr</DisplayName>
        <AccountId>255</AccountId>
        <AccountType/>
      </UserInfo>
    </gecAcuseEnvioPara>
    <gecUnidadesDestinoReenvio xmlns="ef69d38d-c069-47fd-a86d-65acf93227a5" xsi:nil="true"/>
    <gecEstadoProcesoComunicado xmlns="ef69d38d-c069-47fd-a86d-65acf93227a5">Sin enviar</gecEstadoProcesoComunicado>
    <l01b9427a7834fab972123760ef165a9 xmlns="ef69d38d-c069-47fd-a86d-65acf93227a5">
      <Terms xmlns="http://schemas.microsoft.com/office/infopath/2007/PartnerControls">
        <TermInfo xmlns="http://schemas.microsoft.com/office/infopath/2007/PartnerControls">
          <TermName xmlns="http://schemas.microsoft.com/office/infopath/2007/PartnerControls">Alta</TermName>
          <TermId xmlns="http://schemas.microsoft.com/office/infopath/2007/PartnerControls">0fd17ec2-e5d0-4d9f-8e18-466324d0fdd4</TermId>
        </TermInfo>
      </Terms>
    </l01b9427a7834fab972123760ef165a9>
    <riddaEtapaProcesoArchivado xmlns="ef69d38d-c069-47fd-a86d-65acf93227a5">⭕ Sin iniciar||</riddaEtapaProcesoArchivado>
    <gecNumConsecutivo xmlns="ef69d38d-c069-47fd-a86d-65acf93227a5">SGF-RES-0024-2026</gecNumConsecutivo>
    <gecAlmacenDatosComunicado xmlns="ef69d38d-c069-47fd-a86d-65acf93227a5">{"gecEntidadExterna":[],"gecInformativoPara":[{"IdRegistro":"7cebf277-eee0-4073-aaed-ea65f67f4e40","Nombre":"SGF-Departamento de Normas"},{"IdRegistro":"727d2719-cd62-4877-a48b-6e20d00b412c","Nombre":"SGF-División Gestión e Innovación"}],"gecUnidadesDestino":[{"IdRegistro":"083d19ed-0048-4df4-8ea4-cab860cbdc12","Nombre":"SGF-Coordinación Administrativa"}]}</gecAlmacenDatosComunicado>
    <FirmarDocumento xmlns="ef69d38d-c069-47fd-a86d-65acf93227a5" xsi:nil="true"/>
    <riddaTipoConservacion xmlns="ef69d38d-c069-47fd-a86d-65acf93227a5">Valor científico cultural AN</riddaTipoConservacion>
    <f66f20a3ae0942cf8c7b1e4524698e23 xmlns="ef69d38d-c069-47fd-a86d-65acf93227a5">
      <Terms xmlns="http://schemas.microsoft.com/office/infopath/2007/PartnerControls"/>
    </f66f20a3ae0942cf8c7b1e4524698e23>
    <gecProposito xmlns="ef69d38d-c069-47fd-a86d-65acf93227a5">Resolver</gecProposito>
    <gecIdRegistroTareaRelacionada xmlns="ef69d38d-c069-47fd-a86d-65acf93227a5" xsi:nil="true"/>
    <SolicitudAprobacion xmlns="ef69d38d-c069-47fd-a86d-65acf93227a5" xsi:nil="true"/>
    <riddaIdDocDigitalArchivo xmlns="ef69d38d-c069-47fd-a86d-65acf93227a5" xsi:nil="true"/>
    <gecAsuntoComunicado xmlns="ef69d38d-c069-47fd-a86d-65acf93227a5">RESOLUCIÓN. ENTIDADES SUPERVISADAS. Atiende oficio SGF-DGI-NOR-OFC-0032-2026 consulta externa de los Lineamientos Generales para la aplicación del Acuerdo SUGEF 1-26</gecAsuntoComunicado>
    <gecNumReferencia xmlns="ef69d38d-c069-47fd-a86d-65acf93227a5">SGF-DGI-NOR-OFC-0032-2026</gecNumReferencia>
    <riddaDescripcion xmlns="ef69d38d-c069-47fd-a86d-65acf93227a5" xsi:nil="true"/>
    <gecSecretaria xmlns="ef69d38d-c069-47fd-a86d-65acf93227a5">
      <Value>JOVEL PINEDA PATRICIA &lt;JOVELPP@sugef.fi.cr&gt;</Value>
    </gecSecretaria>
    <riddaCodProceso xmlns="ef69d38d-c069-47fd-a86d-65acf93227a5" xsi:nil="true"/>
    <gecConsecutivoTareaRelacionada xmlns="ef69d38d-c069-47fd-a86d-65acf93227a5" xsi:nil="true"/>
    <gecDestinatariosExternos xmlns="ef69d38d-c069-47fd-a86d-65acf93227a5" xsi:nil="true"/>
    <Firmantes xmlns="ef69d38d-c069-47fd-a86d-65acf93227a5">
      <UserInfo>
        <DisplayName>i:0#.f|membership|valverderh@sugef.fi.cr</DisplayName>
        <AccountId>61</AccountId>
        <AccountType/>
      </UserInfo>
    </Firmantes>
    <NombreOrigen xmlns="ef69d38d-c069-47fd-a86d-65acf93227a5">d170d6b9-1467-4be2-9e23-a60a79c0f59b</NombreOrigen>
    <riddaConservacion xmlns="ef69d38d-c069-47fd-a86d-65acf93227a5">100</riddaConservacion>
    <riddaRetencion xmlns="ef69d38d-c069-47fd-a86d-65acf93227a5">2</riddaRetencion>
    <riddaFondoDoc xmlns="ef69d38d-c069-47fd-a86d-65acf93227a5" xsi:nil="true"/>
    <gecObservaciones xmlns="ef69d38d-c069-47fd-a86d-65acf93227a5" xsi:nil="true"/>
    <riddaCodSerie xmlns="ef69d38d-c069-47fd-a86d-65acf93227a5" xsi:nil="true"/>
    <riddaSerieDoc xmlns="ef69d38d-c069-47fd-a86d-65acf93227a5" xsi:nil="true"/>
    <EstadoProcesoFirma xmlns="ef69d38d-c069-47fd-a86d-65acf93227a5">Finalizado</EstadoProcesoFirma>
    <gecFechaDeEnvio xmlns="ef69d38d-c069-47fd-a86d-65acf93227a5" xsi:nil="true"/>
    <riddaFechaDeclaracionRegistro xmlns="ef69d38d-c069-47fd-a86d-65acf93227a5" xsi:nil="true"/>
    <riddaProceso xmlns="ef69d38d-c069-47fd-a86d-65acf93227a5" xsi:nil="true"/>
    <jca3d13e67284488a5352eb1b17b79e8 xmlns="ef69d38d-c069-47fd-a86d-65acf93227a5">
      <Terms xmlns="http://schemas.microsoft.com/office/infopath/2007/PartnerControls">
        <TermInfo xmlns="http://schemas.microsoft.com/office/infopath/2007/PartnerControls">
          <TermName xmlns="http://schemas.microsoft.com/office/infopath/2007/PartnerControls">Público</TermName>
          <TermId xmlns="http://schemas.microsoft.com/office/infopath/2007/PartnerControls">99c2402f-8ec3-4ca8-8024-be52e4e7f629</TermId>
        </TermInfo>
      </Terms>
    </jca3d13e67284488a5352eb1b17b79e8>
    <gecUnidadesDestino xmlns="ef69d38d-c069-47fd-a86d-65acf93227a5">
      <Value>SGF-Coordinación Administrativa</Value>
    </gecUnidadesDestino>
    <Responsable xmlns="ef69d38d-c069-47fd-a86d-65acf93227a5">
      <UserInfo>
        <DisplayName>JOVEL PINEDA PATRICIA</DisplayName>
        <AccountId>58</AccountId>
        <AccountType/>
      </UserInfo>
    </Responsable>
    <lba1809b66b148389e645e1b3de1f464 xmlns="ef69d38d-c069-47fd-a86d-65acf93227a5">
      <Terms xmlns="http://schemas.microsoft.com/office/infopath/2007/PartnerControls">
        <TermInfo xmlns="http://schemas.microsoft.com/office/infopath/2007/PartnerControls">
          <TermName xmlns="http://schemas.microsoft.com/office/infopath/2007/PartnerControls">Alta</TermName>
          <TermId xmlns="http://schemas.microsoft.com/office/infopath/2007/PartnerControls">7fca731c-4c62-4f1c-9061-e9f164c964b2</TermId>
        </TermInfo>
      </Terms>
    </lba1809b66b148389e645e1b3de1f464>
    <relFormularioAsignado xmlns="ef69d38d-c069-47fd-a86d-65acf93227a5">Formularios de permisos; Formulario de acciones; Formulario de modificar metadatos; Vincular tarea a comunicado de respuesta</relFormularioAsignado>
    <riddaCaracterArchivistico xmlns="ef69d38d-c069-47fd-a86d-65acf93227a5">Sí</riddaCaracterArchivistico>
    <gecEntidadExterna xmlns="ef69d38d-c069-47fd-a86d-65acf93227a5" xsi:nil="true"/>
    <gecInformativoPara xmlns="ef69d38d-c069-47fd-a86d-65acf93227a5">
      <Value>SGF-Departamento de Normas</Value>
      <Value>SGF-División Gestión e Innovación</Value>
    </gecInformativoPara>
    <gecResponsableContenido xmlns="ef69d38d-c069-47fd-a86d-65acf93227a5">
      <Value>CHAVES MESEN JOSE VICTOR &lt;CHAVESMJ@sugef.fi.cr&gt;</Value>
    </gecResponsableContenido>
    <gecAnio xmlns="ef69d38d-c069-47fd-a86d-65acf93227a5">2026</gecAnio>
    <EstadoProcesoAprobacion xmlns="ef69d38d-c069-47fd-a86d-65acf93227a5" xsi:nil="true"/>
    <bef7db0c786e492cad3db1ccd686cf22 xmlns="ef69d38d-c069-47fd-a86d-65acf93227a5">
      <Terms xmlns="http://schemas.microsoft.com/office/infopath/2007/PartnerControls">
        <TermInfo xmlns="http://schemas.microsoft.com/office/infopath/2007/PartnerControls">
          <TermName xmlns="http://schemas.microsoft.com/office/infopath/2007/PartnerControls">Soporte de información</TermName>
          <TermId xmlns="http://schemas.microsoft.com/office/infopath/2007/PartnerControls">8aff0eaf-e51c-4567-aa77-0955e95d8682</TermId>
        </TermInfo>
      </Terms>
    </bef7db0c786e492cad3db1ccd686cf22>
  </documentManagement>
</p:properties>
</file>

<file path=customXml/itemProps1.xml><?xml version="1.0" encoding="utf-8"?>
<ds:datastoreItem xmlns:ds="http://schemas.openxmlformats.org/officeDocument/2006/customXml" ds:itemID="{BDE05013-D4AF-2647-BF8B-CE2726767A8B}">
  <ds:schemaRefs>
    <ds:schemaRef ds:uri="http://schemas.openxmlformats.org/officeDocument/2006/bibliography"/>
  </ds:schemaRefs>
</ds:datastoreItem>
</file>

<file path=customXml/itemProps2.xml><?xml version="1.0" encoding="utf-8"?>
<ds:datastoreItem xmlns:ds="http://schemas.openxmlformats.org/officeDocument/2006/customXml" ds:itemID="{4ABF380A-812C-4E44-8D8E-D42A5E8F0F44}">
  <ds:schemaRefs>
    <ds:schemaRef ds:uri="http://schemas.microsoft.com/sharepoint/v3/contenttype/forms"/>
  </ds:schemaRefs>
</ds:datastoreItem>
</file>

<file path=customXml/itemProps3.xml><?xml version="1.0" encoding="utf-8"?>
<ds:datastoreItem xmlns:ds="http://schemas.openxmlformats.org/officeDocument/2006/customXml" ds:itemID="{24161AE1-897B-4EAB-AC77-ED360F13A802}"/>
</file>

<file path=customXml/itemProps4.xml><?xml version="1.0" encoding="utf-8"?>
<ds:datastoreItem xmlns:ds="http://schemas.openxmlformats.org/officeDocument/2006/customXml" ds:itemID="{79958D90-C0C4-4D12-9B1D-D55DAA9887F7}">
  <ds:schemaRefs>
    <ds:schemaRef ds:uri="Microsoft.SharePoint.Taxonomy.ContentTypeSync"/>
  </ds:schemaRefs>
</ds:datastoreItem>
</file>

<file path=customXml/itemProps5.xml><?xml version="1.0" encoding="utf-8"?>
<ds:datastoreItem xmlns:ds="http://schemas.openxmlformats.org/officeDocument/2006/customXml" ds:itemID="{C4675F91-EF2E-473C-8D6F-9421AE628834}">
  <ds:schemaRefs>
    <ds:schemaRef ds:uri="http://schemas.microsoft.com/office/2006/metadata/properties"/>
    <ds:schemaRef ds:uri="http://schemas.microsoft.com/office/infopath/2007/PartnerControls"/>
    <ds:schemaRef ds:uri="ef69d38d-c069-47fd-a86d-65acf93227a5"/>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58</Pages>
  <Words>13516</Words>
  <Characters>75152</Characters>
  <Application>Microsoft Office Word</Application>
  <DocSecurity>0</DocSecurity>
  <Lines>1878</Lines>
  <Paragraphs>1081</Paragraphs>
  <ScaleCrop>false</ScaleCrop>
  <HeadingPairs>
    <vt:vector size="2" baseType="variant">
      <vt:variant>
        <vt:lpstr>Título</vt:lpstr>
      </vt:variant>
      <vt:variant>
        <vt:i4>1</vt:i4>
      </vt:variant>
    </vt:vector>
  </HeadingPairs>
  <TitlesOfParts>
    <vt:vector size="1" baseType="lpstr">
      <vt:lpstr/>
    </vt:vector>
  </TitlesOfParts>
  <Company>BCCR</Company>
  <LinksUpToDate>false</LinksUpToDate>
  <CharactersWithSpaces>87587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JOVEL PINEDA PATRICIA</dc:creator>
  <cp:keywords/>
  <dc:description/>
  <cp:lastModifiedBy>JOVEL PINEDA PATRICIA</cp:lastModifiedBy>
  <cp:revision>8</cp:revision>
  <dcterms:created xsi:type="dcterms:W3CDTF">2026-06-20T20:17:00Z</dcterms:created>
  <dcterms:modified xsi:type="dcterms:W3CDTF">2026-06-22T15:28:00Z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185e4a50,2a0a87ee,2c55a8a4,52be8b38</vt:lpwstr>
  </property>
  <property fmtid="{D5CDD505-2E9C-101B-9397-08002B2CF9AE}" pid="3" name="ClassificationContentMarkingFooterFontProps">
    <vt:lpwstr>#000000,10,Calibri</vt:lpwstr>
  </property>
  <property fmtid="{D5CDD505-2E9C-101B-9397-08002B2CF9AE}" pid="4" name="ClassificationContentMarkingFooterText">
    <vt:lpwstr>Público</vt:lpwstr>
  </property>
  <property fmtid="{D5CDD505-2E9C-101B-9397-08002B2CF9AE}" pid="5" name="MSIP_Label_9bfceeab-f12b-49f2-b4d7-bd5af5d5f9b8_Enabled">
    <vt:lpwstr>true</vt:lpwstr>
  </property>
  <property fmtid="{D5CDD505-2E9C-101B-9397-08002B2CF9AE}" pid="6" name="MSIP_Label_9bfceeab-f12b-49f2-b4d7-bd5af5d5f9b8_SetDate">
    <vt:lpwstr>2024-12-19T22:30:32Z</vt:lpwstr>
  </property>
  <property fmtid="{D5CDD505-2E9C-101B-9397-08002B2CF9AE}" pid="7" name="MSIP_Label_9bfceeab-f12b-49f2-b4d7-bd5af5d5f9b8_Method">
    <vt:lpwstr>Privileged</vt:lpwstr>
  </property>
  <property fmtid="{D5CDD505-2E9C-101B-9397-08002B2CF9AE}" pid="8" name="MSIP_Label_9bfceeab-f12b-49f2-b4d7-bd5af5d5f9b8_Name">
    <vt:lpwstr>9bfceeab-f12b-49f2-b4d7-bd5af5d5f9b8</vt:lpwstr>
  </property>
  <property fmtid="{D5CDD505-2E9C-101B-9397-08002B2CF9AE}" pid="9" name="MSIP_Label_9bfceeab-f12b-49f2-b4d7-bd5af5d5f9b8_SiteId">
    <vt:lpwstr>618d0a45-25a6-4618-9f80-8f70a435ee52</vt:lpwstr>
  </property>
  <property fmtid="{D5CDD505-2E9C-101B-9397-08002B2CF9AE}" pid="10" name="MSIP_Label_9bfceeab-f12b-49f2-b4d7-bd5af5d5f9b8_ActionId">
    <vt:lpwstr>dbd4e385-7aa3-4b17-aaf1-0e097aac19fb</vt:lpwstr>
  </property>
  <property fmtid="{D5CDD505-2E9C-101B-9397-08002B2CF9AE}" pid="11" name="MSIP_Label_9bfceeab-f12b-49f2-b4d7-bd5af5d5f9b8_ContentBits">
    <vt:lpwstr>2</vt:lpwstr>
  </property>
  <property fmtid="{D5CDD505-2E9C-101B-9397-08002B2CF9AE}" pid="12" name="ContentTypeId">
    <vt:lpwstr>0x0101004F2517C60535184CB5A5BE0BA417A382030204002086A79D24D5964FAACFFF36FCD343C1</vt:lpwstr>
  </property>
  <property fmtid="{D5CDD505-2E9C-101B-9397-08002B2CF9AE}" pid="13" name="MediaServiceImageTags">
    <vt:lpwstr/>
  </property>
  <property fmtid="{D5CDD505-2E9C-101B-9397-08002B2CF9AE}" pid="14" name="riddaUnidadGeneradora">
    <vt:lpwstr/>
  </property>
  <property fmtid="{D5CDD505-2E9C-101B-9397-08002B2CF9AE}" pid="15" name="riddaDisponibilidad">
    <vt:lpwstr>9;#Alta|7fca731c-4c62-4f1c-9061-e9f164c964b2</vt:lpwstr>
  </property>
  <property fmtid="{D5CDD505-2E9C-101B-9397-08002B2CF9AE}" pid="16" name="riddaClasificacionSegInf">
    <vt:lpwstr>1;#Soporte de información|8aff0eaf-e51c-4567-aa77-0955e95d8682</vt:lpwstr>
  </property>
  <property fmtid="{D5CDD505-2E9C-101B-9397-08002B2CF9AE}" pid="17" name="riddaIntegridad">
    <vt:lpwstr>12;#Alta|0fd17ec2-e5d0-4d9f-8e18-466324d0fdd4</vt:lpwstr>
  </property>
  <property fmtid="{D5CDD505-2E9C-101B-9397-08002B2CF9AE}" pid="18" name="riddaConfidencialidad">
    <vt:lpwstr>2;#Público|99c2402f-8ec3-4ca8-8024-be52e4e7f629</vt:lpwstr>
  </property>
</Properties>
</file>