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Default Extension="sigs" ContentType="application/vnd.openxmlformats-package.digital-signature-origin"/>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_xmlsignatures/sig1.xml" ContentType="application/vnd.openxmlformats-package.digital-signature-xmlsignatur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Id4" /><Relationship Type="http://schemas.openxmlformats.org/package/2006/relationships/digital-signature/origin" Target="/_xmlsignatures/origin.sigs" Id="rId5"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280968" w14:textId="77777777" w:rsidR="00EC529F" w:rsidRPr="00E16E4C" w:rsidRDefault="003A2D9C" w:rsidP="00EC529F">
      <w:pPr>
        <w:tabs>
          <w:tab w:val="left" w:pos="2843"/>
        </w:tabs>
        <w:spacing w:before="0" w:after="0" w:line="240" w:lineRule="auto"/>
        <w:jc w:val="center"/>
        <w:rPr>
          <w:rFonts w:ascii="Arial" w:hAnsi="Arial" w:cs="Arial"/>
          <w:b/>
          <w:bCs/>
          <w:sz w:val="24"/>
        </w:rPr>
      </w:pPr>
      <w:r w:rsidRPr="00E16E4C">
        <w:rPr>
          <w:rFonts w:ascii="Arial" w:hAnsi="Arial" w:cs="Arial"/>
          <w:b/>
          <w:bCs/>
          <w:sz w:val="24"/>
        </w:rPr>
        <w:t>R</w:t>
      </w:r>
      <w:r>
        <w:rPr>
          <w:rFonts w:ascii="Arial" w:hAnsi="Arial" w:cs="Arial"/>
          <w:b/>
          <w:bCs/>
          <w:sz w:val="24"/>
        </w:rPr>
        <w:t>esolución</w:t>
      </w:r>
      <w:r w:rsidR="00EC529F" w:rsidRPr="00E16E4C">
        <w:rPr>
          <w:rFonts w:ascii="Arial" w:hAnsi="Arial" w:cs="Arial"/>
          <w:b/>
          <w:bCs/>
          <w:sz w:val="24"/>
        </w:rPr>
        <w:t xml:space="preserve"> </w:t>
      </w:r>
      <w:r>
        <w:rPr>
          <w:rFonts w:ascii="Arial" w:hAnsi="Arial" w:cs="Arial"/>
          <w:b/>
          <w:bCs/>
          <w:sz w:val="24"/>
        </w:rPr>
        <w:t>de</w:t>
      </w:r>
      <w:r w:rsidR="00EC529F" w:rsidRPr="00E16E4C">
        <w:rPr>
          <w:rFonts w:ascii="Arial" w:hAnsi="Arial" w:cs="Arial"/>
          <w:b/>
          <w:bCs/>
          <w:sz w:val="24"/>
        </w:rPr>
        <w:t xml:space="preserve"> </w:t>
      </w:r>
      <w:sdt>
        <w:sdtPr>
          <w:rPr>
            <w:rFonts w:ascii="Arial" w:hAnsi="Arial" w:cs="Arial"/>
            <w:b/>
            <w:bCs/>
            <w:sz w:val="24"/>
          </w:rPr>
          <w:alias w:val="UnidadAdministrativa"/>
          <w:tag w:val="UnidadAdministrativa"/>
          <w:id w:val="-44303967"/>
          <w:placeholder>
            <w:docPart w:val="DefaultPlaceholder_-1854013440"/>
          </w:placeholder>
          <w:temporary/>
          <w:text/>
        </w:sdtPr>
        <w:sdtContent>
          <w:r w:rsidR="00EC529F" w:rsidRPr="00E16E4C">
            <w:rPr>
              <w:rFonts w:ascii="Arial" w:hAnsi="Arial" w:cs="Arial"/>
              <w:b/>
              <w:bCs/>
              <w:sz w:val="24"/>
            </w:rPr>
            <w:t>Superintendencia General de Entidades Financieras</w:t>
          </w:r>
        </w:sdtContent>
      </w:sdt>
    </w:p>
    <w:p w14:paraId="48FD7E26" w14:textId="77777777" w:rsidR="00EC529F" w:rsidRPr="006B4F01" w:rsidRDefault="00000000" w:rsidP="006B4F01">
      <w:pPr>
        <w:tabs>
          <w:tab w:val="left" w:pos="2843"/>
        </w:tabs>
        <w:spacing w:before="0" w:after="0" w:line="240" w:lineRule="auto"/>
        <w:jc w:val="center"/>
        <w:rPr>
          <w:rFonts w:ascii="Arial" w:hAnsi="Arial" w:cs="Arial"/>
          <w:szCs w:val="22"/>
        </w:rPr>
      </w:pPr>
      <w:sdt>
        <w:sdtPr>
          <w:rPr>
            <w:rFonts w:ascii="Arial" w:hAnsi="Arial" w:cs="Arial"/>
            <w:szCs w:val="22"/>
          </w:rPr>
          <w:alias w:val="Consecutivo"/>
          <w:tag w:val="Consecutivo"/>
          <w:id w:val="2052717023"/>
          <w:placeholder>
            <w:docPart w:val="FF69C54830724E9DA436EDD426B4DB79"/>
          </w:placeholder>
          <w:temporary/>
          <w:text/>
        </w:sdtPr>
        <w:sdtContent>
          <w:r w:rsidR="00EC529F" w:rsidRPr="006B4F01">
            <w:rPr>
              <w:rFonts w:ascii="Arial" w:hAnsi="Arial" w:cs="Arial"/>
              <w:szCs w:val="22"/>
            </w:rPr>
            <w:t>SGF-RES-0017-2026</w:t>
          </w:r>
        </w:sdtContent>
      </w:sdt>
    </w:p>
    <w:p w14:paraId="6C37E8DA" w14:textId="6103BB79" w:rsidR="00A303B2" w:rsidRPr="00EE2C9F" w:rsidRDefault="00EE2C9F" w:rsidP="00EE2C9F">
      <w:pPr>
        <w:widowControl w:val="0"/>
        <w:spacing w:before="0" w:line="240" w:lineRule="auto"/>
        <w:jc w:val="center"/>
        <w:rPr>
          <w:rFonts w:ascii="Roboto" w:hAnsi="Roboto"/>
          <w:sz w:val="24"/>
          <w:lang w:eastAsia="es-ES"/>
        </w:rPr>
      </w:pPr>
      <w:r w:rsidRPr="00EE2C9F">
        <w:rPr>
          <w:rFonts w:ascii="Roboto" w:hAnsi="Roboto"/>
          <w:sz w:val="24"/>
          <w:lang w:eastAsia="es-ES"/>
        </w:rPr>
        <w:t>4 de junio de 2026</w:t>
      </w:r>
    </w:p>
    <w:p w14:paraId="58C30B7F" w14:textId="75646087" w:rsidR="00402E6B" w:rsidRPr="00402E6B" w:rsidRDefault="007F35A5" w:rsidP="00402E6B">
      <w:pPr>
        <w:widowControl w:val="0"/>
        <w:spacing w:before="0" w:line="240" w:lineRule="auto"/>
        <w:rPr>
          <w:rFonts w:ascii="Roboto" w:hAnsi="Roboto"/>
          <w:sz w:val="24"/>
          <w:lang w:eastAsia="es-ES"/>
        </w:rPr>
      </w:pPr>
      <w:r>
        <w:rPr>
          <w:rFonts w:ascii="Roboto" w:hAnsi="Roboto"/>
          <w:b/>
          <w:bCs/>
          <w:sz w:val="24"/>
          <w:lang w:eastAsia="es-ES"/>
        </w:rPr>
        <w:t>La Superintendente</w:t>
      </w:r>
      <w:r w:rsidR="00402E6B" w:rsidRPr="00402E6B">
        <w:rPr>
          <w:rFonts w:ascii="Roboto" w:hAnsi="Roboto"/>
          <w:b/>
          <w:bCs/>
          <w:sz w:val="24"/>
          <w:lang w:eastAsia="es-ES"/>
        </w:rPr>
        <w:t xml:space="preserve"> General de Entidades Financieras</w:t>
      </w:r>
      <w:r w:rsidR="00402E6B">
        <w:rPr>
          <w:rFonts w:ascii="Roboto" w:hAnsi="Roboto"/>
          <w:b/>
          <w:bCs/>
          <w:sz w:val="24"/>
          <w:lang w:eastAsia="es-ES"/>
        </w:rPr>
        <w:t xml:space="preserve">. </w:t>
      </w:r>
      <w:r w:rsidR="00402E6B" w:rsidRPr="00402E6B">
        <w:rPr>
          <w:rFonts w:ascii="Roboto" w:hAnsi="Roboto"/>
          <w:sz w:val="24"/>
          <w:lang w:eastAsia="es-ES"/>
        </w:rPr>
        <w:t>San José a las once horas del 04 de junio del dos mil Veintiséis.</w:t>
      </w:r>
    </w:p>
    <w:p w14:paraId="53714606" w14:textId="77777777" w:rsidR="00402E6B" w:rsidRDefault="00402E6B" w:rsidP="00402E6B">
      <w:pPr>
        <w:widowControl w:val="0"/>
        <w:spacing w:before="0" w:after="0" w:line="240" w:lineRule="auto"/>
        <w:rPr>
          <w:rFonts w:ascii="Roboto" w:eastAsia="Calibri" w:hAnsi="Roboto"/>
          <w:b/>
          <w:iCs/>
          <w:sz w:val="24"/>
          <w:lang w:val="es-CR" w:eastAsia="es-ES"/>
        </w:rPr>
      </w:pPr>
      <w:bookmarkStart w:id="0" w:name="_Toc142558586"/>
      <w:bookmarkStart w:id="1" w:name="_Toc148957159"/>
    </w:p>
    <w:p w14:paraId="4D9CDE21" w14:textId="071CDAB4" w:rsidR="00402E6B" w:rsidRPr="00402E6B" w:rsidRDefault="001F0A2F" w:rsidP="00402E6B">
      <w:pPr>
        <w:widowControl w:val="0"/>
        <w:spacing w:before="0" w:after="0" w:line="240" w:lineRule="auto"/>
        <w:jc w:val="center"/>
        <w:rPr>
          <w:rFonts w:ascii="Roboto" w:eastAsia="Calibri" w:hAnsi="Roboto"/>
          <w:sz w:val="24"/>
          <w:lang w:val="es-CR" w:eastAsia="es-ES"/>
        </w:rPr>
      </w:pPr>
      <w:r>
        <w:rPr>
          <w:rFonts w:ascii="Roboto" w:eastAsia="Calibri" w:hAnsi="Roboto"/>
          <w:b/>
          <w:iCs/>
          <w:sz w:val="24"/>
          <w:lang w:val="es-CR" w:eastAsia="es-ES"/>
        </w:rPr>
        <w:t>CONSIDERANDO</w:t>
      </w:r>
      <w:r w:rsidR="00402E6B">
        <w:rPr>
          <w:rFonts w:ascii="Roboto" w:eastAsia="Calibri" w:hAnsi="Roboto"/>
          <w:b/>
          <w:iCs/>
          <w:sz w:val="24"/>
          <w:lang w:val="es-CR" w:eastAsia="es-ES"/>
        </w:rPr>
        <w:t xml:space="preserve"> QUE</w:t>
      </w:r>
      <w:r w:rsidR="00402E6B" w:rsidRPr="00402E6B">
        <w:rPr>
          <w:rFonts w:ascii="Roboto" w:eastAsia="Calibri" w:hAnsi="Roboto"/>
          <w:b/>
          <w:iCs/>
          <w:sz w:val="24"/>
          <w:lang w:val="es-CR" w:eastAsia="es-ES"/>
        </w:rPr>
        <w:t>:</w:t>
      </w:r>
    </w:p>
    <w:p w14:paraId="16026D69" w14:textId="77777777" w:rsidR="00402E6B" w:rsidRPr="00402E6B" w:rsidRDefault="00402E6B" w:rsidP="00402E6B">
      <w:pPr>
        <w:widowControl w:val="0"/>
        <w:spacing w:before="0" w:after="0" w:line="240" w:lineRule="auto"/>
        <w:rPr>
          <w:rFonts w:ascii="Roboto" w:eastAsia="Calibri" w:hAnsi="Roboto"/>
          <w:sz w:val="24"/>
          <w:lang w:val="es-CR" w:eastAsia="es-ES"/>
        </w:rPr>
      </w:pPr>
    </w:p>
    <w:p w14:paraId="762C0B51" w14:textId="77777777" w:rsidR="00402E6B" w:rsidRPr="00402E6B" w:rsidRDefault="00402E6B" w:rsidP="00402E6B">
      <w:pPr>
        <w:widowControl w:val="0"/>
        <w:spacing w:before="0" w:after="0" w:line="240" w:lineRule="auto"/>
        <w:ind w:left="426" w:hanging="426"/>
        <w:rPr>
          <w:rFonts w:ascii="Roboto" w:hAnsi="Roboto"/>
          <w:iCs/>
          <w:sz w:val="24"/>
          <w:lang w:val="es-CR" w:eastAsia="es-ES"/>
        </w:rPr>
      </w:pPr>
      <w:r w:rsidRPr="00402E6B">
        <w:rPr>
          <w:rFonts w:ascii="Roboto" w:hAnsi="Roboto"/>
          <w:iCs/>
          <w:sz w:val="24"/>
          <w:lang w:val="es-CR" w:eastAsia="es-ES"/>
        </w:rPr>
        <w:t>A.</w:t>
      </w:r>
      <w:r w:rsidRPr="00402E6B">
        <w:rPr>
          <w:rFonts w:ascii="Roboto" w:hAnsi="Roboto"/>
          <w:iCs/>
          <w:sz w:val="24"/>
          <w:lang w:val="es-CR" w:eastAsia="es-ES"/>
        </w:rPr>
        <w:tab/>
      </w:r>
      <w:r w:rsidRPr="00402E6B">
        <w:rPr>
          <w:rFonts w:ascii="Roboto" w:eastAsia="Calibri" w:hAnsi="Roboto"/>
          <w:sz w:val="24"/>
          <w:lang w:val="es-CR" w:eastAsia="es-ES"/>
        </w:rPr>
        <w:t>El</w:t>
      </w:r>
      <w:r w:rsidRPr="00402E6B">
        <w:rPr>
          <w:rFonts w:ascii="Roboto" w:hAnsi="Roboto"/>
          <w:iCs/>
          <w:sz w:val="24"/>
          <w:lang w:val="es-CR" w:eastAsia="es-ES"/>
        </w:rPr>
        <w:t xml:space="preserve"> numeral 2 del artículo 361 de la </w:t>
      </w:r>
      <w:r w:rsidRPr="00402E6B">
        <w:rPr>
          <w:rFonts w:ascii="Roboto" w:hAnsi="Roboto"/>
          <w:i/>
          <w:sz w:val="24"/>
          <w:lang w:val="es-CR" w:eastAsia="es-ES"/>
        </w:rPr>
        <w:t>Ley General de la Administración Pública</w:t>
      </w:r>
      <w:r w:rsidRPr="00402E6B">
        <w:rPr>
          <w:rFonts w:ascii="Roboto" w:hAnsi="Roboto"/>
          <w:iCs/>
          <w:sz w:val="24"/>
          <w:lang w:val="es-CR" w:eastAsia="es-ES"/>
        </w:rPr>
        <w:t>, Ley 6227, establece que se concederá a las entidades representativas de intereses de carácter general o corporativo afectadas por la disposición, la oportunidad de exponer su parecer.</w:t>
      </w:r>
    </w:p>
    <w:p w14:paraId="12BB08C8" w14:textId="77777777" w:rsidR="00402E6B" w:rsidRPr="00402E6B" w:rsidRDefault="00402E6B" w:rsidP="00402E6B">
      <w:pPr>
        <w:widowControl w:val="0"/>
        <w:spacing w:before="0" w:after="0" w:line="240" w:lineRule="auto"/>
        <w:rPr>
          <w:rFonts w:ascii="Roboto" w:eastAsia="Calibri" w:hAnsi="Roboto"/>
          <w:sz w:val="24"/>
          <w:lang w:val="es-CR" w:eastAsia="es-ES"/>
        </w:rPr>
      </w:pPr>
    </w:p>
    <w:p w14:paraId="2C4C98EE" w14:textId="77777777" w:rsidR="00402E6B" w:rsidRPr="00402E6B" w:rsidRDefault="00402E6B" w:rsidP="00402E6B">
      <w:pPr>
        <w:widowControl w:val="0"/>
        <w:spacing w:before="0" w:after="0" w:line="240" w:lineRule="auto"/>
        <w:ind w:left="426" w:hanging="426"/>
        <w:rPr>
          <w:rFonts w:ascii="Roboto" w:hAnsi="Roboto"/>
          <w:iCs/>
          <w:sz w:val="24"/>
          <w:lang w:val="es-CR" w:eastAsia="es-ES"/>
        </w:rPr>
      </w:pPr>
      <w:r w:rsidRPr="00402E6B">
        <w:rPr>
          <w:rFonts w:ascii="Roboto" w:hAnsi="Roboto"/>
          <w:iCs/>
          <w:sz w:val="24"/>
          <w:lang w:val="es-CR" w:eastAsia="es-ES"/>
        </w:rPr>
        <w:t>B.</w:t>
      </w:r>
      <w:r w:rsidRPr="00402E6B">
        <w:rPr>
          <w:rFonts w:ascii="Roboto" w:hAnsi="Roboto"/>
          <w:iCs/>
          <w:sz w:val="24"/>
          <w:lang w:val="es-CR" w:eastAsia="es-ES"/>
        </w:rPr>
        <w:tab/>
        <w:t xml:space="preserve">Se elaboró </w:t>
      </w:r>
      <w:r w:rsidRPr="00402E6B">
        <w:rPr>
          <w:rFonts w:ascii="Roboto" w:hAnsi="Roboto"/>
          <w:sz w:val="24"/>
          <w:lang w:val="es-CR" w:eastAsia="es-ES"/>
        </w:rPr>
        <w:t>la propuesta de</w:t>
      </w:r>
      <w:bookmarkStart w:id="2" w:name="_Hlk181739185"/>
      <w:r w:rsidRPr="00402E6B">
        <w:rPr>
          <w:rFonts w:ascii="Roboto" w:hAnsi="Roboto"/>
          <w:sz w:val="24"/>
          <w:lang w:val="es-CR" w:eastAsia="es-ES"/>
        </w:rPr>
        <w:t xml:space="preserve"> </w:t>
      </w:r>
      <w:bookmarkEnd w:id="2"/>
      <w:r w:rsidRPr="00402E6B">
        <w:rPr>
          <w:rFonts w:ascii="Roboto" w:hAnsi="Roboto"/>
          <w:bCs/>
          <w:i/>
          <w:iCs/>
          <w:sz w:val="24"/>
          <w:lang w:val="es-CR" w:eastAsia="es-ES"/>
        </w:rPr>
        <w:t xml:space="preserve">Reglamento sobre aspectos mínimos de control para prevenir y mitigar estafas informáticas en perjuicio de los usuarios financieros, </w:t>
      </w:r>
      <w:r w:rsidRPr="00402E6B">
        <w:rPr>
          <w:rFonts w:ascii="Roboto" w:hAnsi="Roboto"/>
          <w:bCs/>
          <w:sz w:val="24"/>
          <w:lang w:val="es-CR" w:eastAsia="es-ES"/>
        </w:rPr>
        <w:t>Acuerdo SUGEF 5-26</w:t>
      </w:r>
      <w:r w:rsidRPr="00402E6B">
        <w:rPr>
          <w:rFonts w:ascii="Roboto" w:hAnsi="Roboto"/>
          <w:sz w:val="24"/>
          <w:lang w:val="es-CR" w:eastAsia="es-ES"/>
        </w:rPr>
        <w:t>.</w:t>
      </w:r>
    </w:p>
    <w:p w14:paraId="1193A5C0" w14:textId="77777777" w:rsidR="00402E6B" w:rsidRPr="00402E6B" w:rsidRDefault="00402E6B" w:rsidP="00402E6B">
      <w:pPr>
        <w:widowControl w:val="0"/>
        <w:spacing w:before="0" w:after="0" w:line="240" w:lineRule="auto"/>
        <w:rPr>
          <w:rFonts w:ascii="Times New Roman" w:eastAsia="Calibri" w:hAnsi="Times New Roman"/>
          <w:sz w:val="24"/>
          <w:lang w:val="es-CR" w:eastAsia="es-ES"/>
        </w:rPr>
      </w:pPr>
    </w:p>
    <w:p w14:paraId="684A6E92" w14:textId="4AE3A5EE" w:rsidR="00402E6B" w:rsidRPr="00402E6B" w:rsidRDefault="00402E6B" w:rsidP="00402E6B">
      <w:pPr>
        <w:widowControl w:val="0"/>
        <w:spacing w:before="0" w:after="0" w:line="240" w:lineRule="auto"/>
        <w:jc w:val="center"/>
        <w:rPr>
          <w:rFonts w:ascii="Roboto" w:eastAsia="Calibri" w:hAnsi="Roboto"/>
          <w:sz w:val="24"/>
          <w:lang w:val="es-CR" w:eastAsia="es-ES"/>
        </w:rPr>
      </w:pPr>
      <w:r w:rsidRPr="00402E6B">
        <w:rPr>
          <w:rFonts w:ascii="Roboto" w:eastAsia="Calibri" w:hAnsi="Roboto"/>
          <w:b/>
          <w:iCs/>
          <w:sz w:val="24"/>
          <w:lang w:val="es-CR" w:eastAsia="es-ES"/>
        </w:rPr>
        <w:t>DISPUSO:</w:t>
      </w:r>
    </w:p>
    <w:p w14:paraId="0A80BD3F" w14:textId="77777777" w:rsidR="00402E6B" w:rsidRPr="00402E6B" w:rsidRDefault="00402E6B" w:rsidP="00402E6B">
      <w:pPr>
        <w:widowControl w:val="0"/>
        <w:spacing w:before="0" w:after="0" w:line="240" w:lineRule="auto"/>
        <w:rPr>
          <w:rFonts w:ascii="Roboto" w:eastAsia="Calibri" w:hAnsi="Roboto"/>
          <w:iCs/>
          <w:sz w:val="24"/>
          <w:lang w:val="es-CR" w:eastAsia="es-ES"/>
        </w:rPr>
      </w:pPr>
    </w:p>
    <w:p w14:paraId="07E8C413" w14:textId="7B6513B9" w:rsidR="00402E6B" w:rsidRPr="00402E6B" w:rsidRDefault="00402E6B" w:rsidP="00402E6B">
      <w:pPr>
        <w:widowControl w:val="0"/>
        <w:spacing w:before="0" w:after="0" w:line="240" w:lineRule="auto"/>
        <w:rPr>
          <w:rFonts w:ascii="Roboto" w:eastAsia="Calibri" w:hAnsi="Roboto"/>
          <w:iCs/>
          <w:sz w:val="24"/>
          <w:lang w:val="es-CR" w:eastAsia="es-ES"/>
        </w:rPr>
      </w:pPr>
      <w:r w:rsidRPr="00402E6B">
        <w:rPr>
          <w:rFonts w:ascii="Roboto" w:eastAsia="Calibri" w:hAnsi="Roboto"/>
          <w:iCs/>
          <w:sz w:val="24"/>
          <w:lang w:val="es-CR" w:eastAsia="es-ES"/>
        </w:rPr>
        <w:t xml:space="preserve">remitir en consulta, en cumplimiento de lo establecido en el numeral 2, artículo 361, de la </w:t>
      </w:r>
      <w:r w:rsidRPr="00402E6B">
        <w:rPr>
          <w:rFonts w:ascii="Roboto" w:eastAsia="Calibri" w:hAnsi="Roboto"/>
          <w:i/>
          <w:sz w:val="24"/>
          <w:lang w:val="es-CR" w:eastAsia="es-ES"/>
        </w:rPr>
        <w:t>Ley General de la Administración Pública</w:t>
      </w:r>
      <w:r w:rsidRPr="00402E6B">
        <w:rPr>
          <w:rFonts w:ascii="Roboto" w:eastAsia="Calibri" w:hAnsi="Roboto"/>
          <w:iCs/>
          <w:sz w:val="24"/>
          <w:lang w:val="es-CR" w:eastAsia="es-ES"/>
        </w:rPr>
        <w:t>, Ley 6227, a las entidades supervisadas por la Superintendencia General de Entidades Financieras (S</w:t>
      </w:r>
      <w:r w:rsidR="009D3D34">
        <w:rPr>
          <w:rFonts w:ascii="Roboto" w:eastAsia="Calibri" w:hAnsi="Roboto"/>
          <w:iCs/>
          <w:sz w:val="24"/>
          <w:lang w:val="es-CR" w:eastAsia="es-ES"/>
        </w:rPr>
        <w:t>UGEF</w:t>
      </w:r>
      <w:r w:rsidRPr="00402E6B">
        <w:rPr>
          <w:rFonts w:ascii="Roboto" w:eastAsia="Calibri" w:hAnsi="Roboto"/>
          <w:iCs/>
          <w:sz w:val="24"/>
          <w:lang w:val="es-CR" w:eastAsia="es-ES"/>
        </w:rPr>
        <w:t xml:space="preserve">), la propuesta de </w:t>
      </w:r>
      <w:r w:rsidRPr="00402E6B">
        <w:rPr>
          <w:rFonts w:ascii="Roboto" w:hAnsi="Roboto"/>
          <w:bCs/>
          <w:i/>
          <w:iCs/>
          <w:sz w:val="24"/>
          <w:lang w:val="es-CR" w:eastAsia="es-ES"/>
        </w:rPr>
        <w:t xml:space="preserve">Reglamento sobre aspectos mínimos de control para prevenir y mitigar estafas informáticas en perjuicio de los usuarios financieros, </w:t>
      </w:r>
      <w:r w:rsidRPr="00402E6B">
        <w:rPr>
          <w:rFonts w:ascii="Roboto" w:hAnsi="Roboto"/>
          <w:bCs/>
          <w:sz w:val="24"/>
          <w:lang w:val="es-CR" w:eastAsia="es-ES"/>
        </w:rPr>
        <w:t>Acuerdo SUGEF 5-26</w:t>
      </w:r>
      <w:r w:rsidRPr="00402E6B">
        <w:rPr>
          <w:rFonts w:ascii="Roboto" w:eastAsia="Calibri" w:hAnsi="Roboto"/>
          <w:i/>
          <w:sz w:val="24"/>
          <w:lang w:val="es-CR" w:eastAsia="es-ES"/>
        </w:rPr>
        <w:t>,</w:t>
      </w:r>
      <w:r w:rsidRPr="00402E6B">
        <w:rPr>
          <w:rFonts w:ascii="Roboto" w:eastAsia="Calibri" w:hAnsi="Roboto"/>
          <w:iCs/>
          <w:sz w:val="24"/>
          <w:lang w:val="es-CR" w:eastAsia="es-ES"/>
        </w:rPr>
        <w:t xml:space="preserve"> en el entendido que, en un plazo máximo de diez días hábiles, contados a partir del día hábil siguiente del recibo de la respectiva comunicación, deberán adicionar sus comentarios y observaciones en el formulario que está disponible en el apartado </w:t>
      </w:r>
      <w:r w:rsidRPr="00402E6B">
        <w:rPr>
          <w:rFonts w:ascii="Roboto" w:eastAsia="Calibri" w:hAnsi="Roboto"/>
          <w:i/>
          <w:sz w:val="24"/>
          <w:lang w:val="es-CR" w:eastAsia="es-ES"/>
        </w:rPr>
        <w:t>Formularios para remitir observaciones de normativa en consulta</w:t>
      </w:r>
      <w:r w:rsidRPr="00402E6B">
        <w:rPr>
          <w:rFonts w:ascii="Roboto" w:eastAsia="Calibri" w:hAnsi="Roboto"/>
          <w:iCs/>
          <w:sz w:val="24"/>
          <w:lang w:val="es-CR" w:eastAsia="es-ES"/>
        </w:rPr>
        <w:t xml:space="preserve">, ubicado en la dirección electrónica de la página oficial de la SUGEF. </w:t>
      </w:r>
    </w:p>
    <w:p w14:paraId="07B6CA7F" w14:textId="77777777" w:rsidR="00402E6B" w:rsidRPr="00402E6B" w:rsidRDefault="00402E6B" w:rsidP="00402E6B">
      <w:pPr>
        <w:widowControl w:val="0"/>
        <w:spacing w:before="0" w:after="0" w:line="240" w:lineRule="auto"/>
        <w:rPr>
          <w:rFonts w:ascii="Roboto" w:eastAsia="Calibri" w:hAnsi="Roboto"/>
          <w:iCs/>
          <w:sz w:val="24"/>
          <w:lang w:val="es-CR" w:eastAsia="es-ES"/>
        </w:rPr>
      </w:pPr>
    </w:p>
    <w:p w14:paraId="0A832974" w14:textId="2DB26011" w:rsidR="00402E6B" w:rsidRPr="00402E6B" w:rsidRDefault="00402E6B" w:rsidP="00402E6B">
      <w:pPr>
        <w:widowControl w:val="0"/>
        <w:spacing w:before="0" w:after="0" w:line="240" w:lineRule="auto"/>
        <w:rPr>
          <w:rFonts w:ascii="Roboto" w:eastAsia="Calibri" w:hAnsi="Roboto"/>
          <w:iCs/>
          <w:sz w:val="24"/>
          <w:lang w:val="es-CR" w:eastAsia="es-ES"/>
        </w:rPr>
      </w:pPr>
      <w:r w:rsidRPr="00402E6B">
        <w:rPr>
          <w:rFonts w:ascii="Roboto" w:eastAsia="Calibri" w:hAnsi="Roboto"/>
          <w:iCs/>
          <w:sz w:val="24"/>
          <w:lang w:val="es-CR" w:eastAsia="es-ES"/>
        </w:rPr>
        <w:t xml:space="preserve">Asimismo, el correo electrónico </w:t>
      </w:r>
      <w:hyperlink r:id="rId12" w:history="1">
        <w:r w:rsidRPr="00402E6B">
          <w:rPr>
            <w:rFonts w:ascii="Roboto" w:hAnsi="Roboto"/>
            <w:color w:val="0000FF"/>
            <w:sz w:val="24"/>
            <w:u w:val="single"/>
            <w:lang w:val="es-CR" w:eastAsia="es-ES"/>
          </w:rPr>
          <w:t>normativaenconsulta@sugef.fi.cr</w:t>
        </w:r>
      </w:hyperlink>
      <w:r w:rsidRPr="00402E6B">
        <w:rPr>
          <w:rFonts w:ascii="Roboto" w:eastAsia="Calibri" w:hAnsi="Roboto"/>
          <w:iCs/>
          <w:sz w:val="24"/>
          <w:lang w:val="es-CR" w:eastAsia="es-ES"/>
        </w:rPr>
        <w:t xml:space="preserve"> </w:t>
      </w:r>
      <w:r w:rsidR="00254915">
        <w:rPr>
          <w:rFonts w:ascii="Roboto" w:eastAsia="Calibri" w:hAnsi="Roboto"/>
          <w:iCs/>
          <w:sz w:val="24"/>
          <w:lang w:val="es-CR" w:eastAsia="es-ES"/>
        </w:rPr>
        <w:t>podrá ser</w:t>
      </w:r>
      <w:r w:rsidRPr="00402E6B">
        <w:rPr>
          <w:rFonts w:ascii="Roboto" w:eastAsia="Calibri" w:hAnsi="Roboto"/>
          <w:iCs/>
          <w:sz w:val="24"/>
          <w:lang w:val="es-CR" w:eastAsia="es-ES"/>
        </w:rPr>
        <w:t xml:space="preserve"> </w:t>
      </w:r>
      <w:r w:rsidRPr="00402E6B">
        <w:rPr>
          <w:rFonts w:ascii="Roboto" w:eastAsia="Calibri" w:hAnsi="Roboto"/>
          <w:iCs/>
          <w:sz w:val="24"/>
          <w:lang w:val="es-CR" w:eastAsia="es-ES"/>
        </w:rPr>
        <w:lastRenderedPageBreak/>
        <w:t>utilizado únicamente como mecanismo de notificación sobre la completitud de dicho formulario, respecto del texto que a continuación se transcribe:</w:t>
      </w:r>
    </w:p>
    <w:p w14:paraId="64DA0D46" w14:textId="77777777" w:rsidR="00402E6B" w:rsidRPr="00402E6B" w:rsidRDefault="00402E6B" w:rsidP="00402E6B">
      <w:pPr>
        <w:widowControl w:val="0"/>
        <w:spacing w:before="0" w:after="0" w:line="240" w:lineRule="auto"/>
        <w:rPr>
          <w:rFonts w:ascii="Roboto" w:eastAsia="Calibri" w:hAnsi="Roboto"/>
          <w:iCs/>
          <w:sz w:val="24"/>
          <w:lang w:val="es-CR" w:eastAsia="es-ES"/>
        </w:rPr>
      </w:pPr>
    </w:p>
    <w:p w14:paraId="1C3C10DF" w14:textId="15A487EA" w:rsidR="00402E6B" w:rsidRPr="00402E6B" w:rsidRDefault="00402E6B" w:rsidP="00402E6B">
      <w:pPr>
        <w:widowControl w:val="0"/>
        <w:spacing w:before="0" w:after="0" w:line="240" w:lineRule="auto"/>
        <w:jc w:val="center"/>
        <w:rPr>
          <w:rFonts w:ascii="Roboto" w:eastAsia="Calibri" w:hAnsi="Roboto"/>
          <w:b/>
          <w:iCs/>
          <w:sz w:val="24"/>
          <w:lang w:val="es-CR"/>
        </w:rPr>
      </w:pPr>
      <w:r w:rsidRPr="00402E6B">
        <w:rPr>
          <w:rFonts w:ascii="Roboto" w:eastAsia="Calibri" w:hAnsi="Roboto"/>
          <w:b/>
          <w:iCs/>
          <w:sz w:val="24"/>
          <w:lang w:val="es-CR"/>
        </w:rPr>
        <w:t xml:space="preserve">“Proyecto </w:t>
      </w:r>
      <w:r w:rsidR="00837465">
        <w:rPr>
          <w:rFonts w:ascii="Roboto" w:eastAsia="Calibri" w:hAnsi="Roboto"/>
          <w:b/>
          <w:iCs/>
          <w:sz w:val="24"/>
          <w:lang w:val="es-CR"/>
        </w:rPr>
        <w:t>Normativo</w:t>
      </w:r>
      <w:r w:rsidR="00481A26">
        <w:rPr>
          <w:rFonts w:ascii="Roboto" w:eastAsia="Calibri" w:hAnsi="Roboto"/>
          <w:b/>
          <w:iCs/>
          <w:sz w:val="24"/>
          <w:lang w:val="es-CR"/>
        </w:rPr>
        <w:t>”</w:t>
      </w:r>
    </w:p>
    <w:p w14:paraId="475FF7B4" w14:textId="77777777" w:rsidR="00402E6B" w:rsidRPr="00402E6B" w:rsidRDefault="00402E6B" w:rsidP="00402E6B">
      <w:pPr>
        <w:widowControl w:val="0"/>
        <w:spacing w:before="0" w:after="0" w:line="240" w:lineRule="auto"/>
        <w:rPr>
          <w:rFonts w:ascii="Roboto" w:eastAsia="Calibri" w:hAnsi="Roboto"/>
          <w:iCs/>
          <w:sz w:val="24"/>
          <w:lang w:val="es-CR" w:eastAsia="es-ES"/>
        </w:rPr>
      </w:pPr>
    </w:p>
    <w:p w14:paraId="47AE932D" w14:textId="1246902B" w:rsidR="00402E6B" w:rsidRPr="00402E6B" w:rsidRDefault="00402E6B" w:rsidP="00402E6B">
      <w:pPr>
        <w:widowControl w:val="0"/>
        <w:spacing w:before="0" w:line="240" w:lineRule="auto"/>
        <w:rPr>
          <w:rFonts w:ascii="Roboto" w:hAnsi="Roboto"/>
          <w:sz w:val="24"/>
          <w:lang w:eastAsia="es-ES"/>
        </w:rPr>
      </w:pPr>
      <w:r w:rsidRPr="00402E6B">
        <w:rPr>
          <w:rFonts w:ascii="Roboto" w:hAnsi="Roboto"/>
          <w:sz w:val="24"/>
          <w:lang w:eastAsia="es-ES"/>
        </w:rPr>
        <w:t>La Superintenden</w:t>
      </w:r>
      <w:r w:rsidR="00307714">
        <w:rPr>
          <w:rFonts w:ascii="Roboto" w:hAnsi="Roboto"/>
          <w:sz w:val="24"/>
          <w:lang w:eastAsia="es-ES"/>
        </w:rPr>
        <w:t xml:space="preserve">te </w:t>
      </w:r>
      <w:r w:rsidRPr="00402E6B">
        <w:rPr>
          <w:rFonts w:ascii="Roboto" w:hAnsi="Roboto"/>
          <w:sz w:val="24"/>
          <w:lang w:eastAsia="es-ES"/>
        </w:rPr>
        <w:t>General de Entidades Financieras (SUGEF)</w:t>
      </w:r>
    </w:p>
    <w:p w14:paraId="0F50F693" w14:textId="77F12D21" w:rsidR="00402E6B" w:rsidRPr="00402E6B" w:rsidRDefault="00307714" w:rsidP="00402E6B">
      <w:pPr>
        <w:widowControl w:val="0"/>
        <w:spacing w:before="0" w:after="0" w:line="240" w:lineRule="auto"/>
        <w:rPr>
          <w:rFonts w:ascii="Roboto" w:eastAsia="Calibri" w:hAnsi="Roboto"/>
          <w:sz w:val="24"/>
          <w:lang w:val="es-CR" w:eastAsia="es-ES"/>
        </w:rPr>
      </w:pPr>
      <w:r>
        <w:rPr>
          <w:rFonts w:ascii="Roboto" w:eastAsia="Calibri" w:hAnsi="Roboto"/>
          <w:b/>
          <w:iCs/>
          <w:sz w:val="24"/>
          <w:lang w:val="es-CR" w:eastAsia="es-ES"/>
        </w:rPr>
        <w:t>Considerando</w:t>
      </w:r>
      <w:r w:rsidR="00402E6B" w:rsidRPr="00402E6B">
        <w:rPr>
          <w:rFonts w:ascii="Roboto" w:eastAsia="Calibri" w:hAnsi="Roboto"/>
          <w:b/>
          <w:iCs/>
          <w:sz w:val="24"/>
          <w:lang w:val="es-CR" w:eastAsia="es-ES"/>
        </w:rPr>
        <w:t xml:space="preserve"> que:</w:t>
      </w:r>
    </w:p>
    <w:p w14:paraId="301014FC" w14:textId="77777777" w:rsidR="00402E6B" w:rsidRPr="00402E6B" w:rsidRDefault="00402E6B" w:rsidP="00402E6B">
      <w:pPr>
        <w:spacing w:before="0" w:line="240" w:lineRule="auto"/>
        <w:jc w:val="left"/>
        <w:rPr>
          <w:rFonts w:ascii="Roboto" w:hAnsi="Roboto"/>
          <w:b/>
          <w:sz w:val="24"/>
          <w:lang w:val="es-CR" w:eastAsia="es-ES"/>
        </w:rPr>
      </w:pPr>
    </w:p>
    <w:p w14:paraId="7401C822" w14:textId="77777777" w:rsidR="00402E6B" w:rsidRDefault="00402E6B" w:rsidP="00402E6B">
      <w:pPr>
        <w:numPr>
          <w:ilvl w:val="0"/>
          <w:numId w:val="9"/>
        </w:numPr>
        <w:spacing w:before="0" w:after="0" w:line="240" w:lineRule="auto"/>
        <w:rPr>
          <w:rFonts w:ascii="Roboto" w:hAnsi="Roboto"/>
          <w:b/>
          <w:bCs/>
          <w:i/>
          <w:iCs/>
          <w:sz w:val="24"/>
          <w:lang w:eastAsia="es-ES"/>
        </w:rPr>
      </w:pPr>
      <w:bookmarkStart w:id="3" w:name="_Toc152077939"/>
      <w:r w:rsidRPr="00402E6B">
        <w:rPr>
          <w:rFonts w:ascii="Roboto" w:hAnsi="Roboto"/>
          <w:b/>
          <w:bCs/>
          <w:i/>
          <w:iCs/>
          <w:sz w:val="24"/>
          <w:lang w:eastAsia="es-ES"/>
        </w:rPr>
        <w:t>Consideraciones de orden legal y reglamentario</w:t>
      </w:r>
      <w:bookmarkEnd w:id="0"/>
      <w:bookmarkEnd w:id="1"/>
      <w:bookmarkEnd w:id="3"/>
    </w:p>
    <w:p w14:paraId="13D70B6A" w14:textId="77777777" w:rsidR="00402E6B" w:rsidRPr="00402E6B" w:rsidRDefault="00402E6B" w:rsidP="00402E6B">
      <w:pPr>
        <w:spacing w:before="0" w:after="0" w:line="240" w:lineRule="auto"/>
        <w:ind w:left="720"/>
        <w:rPr>
          <w:rFonts w:ascii="Roboto" w:hAnsi="Roboto"/>
          <w:b/>
          <w:bCs/>
          <w:i/>
          <w:iCs/>
          <w:sz w:val="24"/>
          <w:lang w:eastAsia="es-ES"/>
        </w:rPr>
      </w:pPr>
    </w:p>
    <w:p w14:paraId="0367B039" w14:textId="77777777" w:rsidR="00402E6B" w:rsidRDefault="00402E6B" w:rsidP="00402E6B">
      <w:pPr>
        <w:numPr>
          <w:ilvl w:val="0"/>
          <w:numId w:val="4"/>
        </w:numPr>
        <w:spacing w:before="0" w:after="0" w:line="240" w:lineRule="auto"/>
        <w:rPr>
          <w:rFonts w:ascii="Roboto" w:hAnsi="Roboto"/>
          <w:sz w:val="24"/>
          <w:lang w:eastAsia="es-ES"/>
        </w:rPr>
      </w:pPr>
      <w:r w:rsidRPr="00402E6B">
        <w:rPr>
          <w:rFonts w:ascii="Roboto" w:hAnsi="Roboto"/>
          <w:sz w:val="24"/>
          <w:lang w:eastAsia="es-ES"/>
        </w:rPr>
        <w:t xml:space="preserve">Mediante la Ley de Protección a las personas consumidoras en la custodia de su dinero que administra cualquier entidad financiera en Costa Rica, ya sea pública o privada autorizada para este fin, Ley 10889, publicada en el Alcance 40 del diario oficial </w:t>
      </w:r>
      <w:r w:rsidRPr="00402E6B">
        <w:rPr>
          <w:rFonts w:ascii="Roboto" w:hAnsi="Roboto"/>
          <w:i/>
          <w:iCs/>
          <w:sz w:val="24"/>
          <w:lang w:eastAsia="es-ES"/>
        </w:rPr>
        <w:t>La Gaceta</w:t>
      </w:r>
      <w:r w:rsidRPr="00402E6B">
        <w:rPr>
          <w:rFonts w:ascii="Roboto" w:hAnsi="Roboto"/>
          <w:sz w:val="24"/>
          <w:lang w:eastAsia="es-ES"/>
        </w:rPr>
        <w:t xml:space="preserve"> 73 del 22 de abril de 2026, se introduce un marco legal orientado a resguardar los fondos de los consumidores financieros frente a riesgos asociados a estafas informáticas y operaciones no autorizadas. </w:t>
      </w:r>
    </w:p>
    <w:p w14:paraId="3F4A51FA" w14:textId="77777777" w:rsidR="00402E6B" w:rsidRPr="00402E6B" w:rsidRDefault="00402E6B" w:rsidP="00402E6B">
      <w:pPr>
        <w:spacing w:before="0" w:after="0" w:line="240" w:lineRule="auto"/>
        <w:ind w:left="720"/>
        <w:rPr>
          <w:rFonts w:ascii="Roboto" w:hAnsi="Roboto"/>
          <w:sz w:val="24"/>
          <w:lang w:eastAsia="es-ES"/>
        </w:rPr>
      </w:pPr>
    </w:p>
    <w:p w14:paraId="3BE03587" w14:textId="77777777" w:rsidR="00402E6B" w:rsidRDefault="00402E6B" w:rsidP="00402E6B">
      <w:pPr>
        <w:numPr>
          <w:ilvl w:val="0"/>
          <w:numId w:val="4"/>
        </w:numPr>
        <w:spacing w:before="0" w:after="0" w:line="240" w:lineRule="auto"/>
        <w:rPr>
          <w:rFonts w:ascii="Roboto" w:hAnsi="Roboto"/>
          <w:sz w:val="24"/>
          <w:lang w:eastAsia="es-ES"/>
        </w:rPr>
      </w:pPr>
      <w:r w:rsidRPr="00402E6B">
        <w:rPr>
          <w:rFonts w:ascii="Roboto" w:hAnsi="Roboto"/>
          <w:sz w:val="24"/>
          <w:lang w:eastAsia="es-ES"/>
        </w:rPr>
        <w:t xml:space="preserve">La Ley 10889 reforma, entre otras disposiciones, el artículo 35 de la Ley 7472, Ley de Promoción de la Competencia y Defensa Efectiva del Consumidor, estableciendo un régimen de responsabilidad aplicable a las entidades financieras ante una eventual custodia de fondos inadecuada y ante la sustracción de dinero por parte de terceros no autorizados, bajo un enfoque de responsabilidad independiente de la existencia de culpa. </w:t>
      </w:r>
    </w:p>
    <w:p w14:paraId="34325573" w14:textId="77777777" w:rsidR="00402E6B" w:rsidRDefault="00402E6B" w:rsidP="00402E6B">
      <w:pPr>
        <w:pStyle w:val="Prrafodelista"/>
        <w:rPr>
          <w:rFonts w:ascii="Roboto" w:hAnsi="Roboto"/>
          <w:sz w:val="24"/>
          <w:lang w:eastAsia="es-ES"/>
        </w:rPr>
      </w:pPr>
    </w:p>
    <w:p w14:paraId="184F45B8" w14:textId="77777777" w:rsidR="00402E6B" w:rsidRPr="00402E6B" w:rsidRDefault="00402E6B" w:rsidP="00402E6B">
      <w:pPr>
        <w:spacing w:before="0" w:after="0" w:line="240" w:lineRule="auto"/>
        <w:ind w:left="720"/>
        <w:rPr>
          <w:rFonts w:ascii="Roboto" w:hAnsi="Roboto"/>
          <w:sz w:val="24"/>
          <w:lang w:eastAsia="es-ES"/>
        </w:rPr>
      </w:pPr>
    </w:p>
    <w:p w14:paraId="23724613" w14:textId="77777777" w:rsidR="00402E6B" w:rsidRDefault="00402E6B" w:rsidP="00402E6B">
      <w:pPr>
        <w:numPr>
          <w:ilvl w:val="0"/>
          <w:numId w:val="4"/>
        </w:numPr>
        <w:spacing w:before="0" w:after="0" w:line="240" w:lineRule="auto"/>
        <w:rPr>
          <w:rFonts w:ascii="Roboto" w:hAnsi="Roboto"/>
          <w:sz w:val="24"/>
          <w:lang w:eastAsia="es-ES"/>
        </w:rPr>
      </w:pPr>
      <w:r w:rsidRPr="00402E6B">
        <w:rPr>
          <w:rFonts w:ascii="Roboto" w:hAnsi="Roboto"/>
          <w:sz w:val="24"/>
          <w:lang w:eastAsia="es-ES"/>
        </w:rPr>
        <w:lastRenderedPageBreak/>
        <w:t xml:space="preserve">La Ley 10889 incorpora modificaciones a la Ley General de la Administración Pública y al Código Procesal Civil, específicamente al régimen procesal aplicable en materia de protección al consumidor financiero, introduciendo la inversión de la carga de la prueba en favor de las personas usuarias en casos relacionados con estafas informáticas y servicios financieros, tanto en sede administrativa como judicial. </w:t>
      </w:r>
    </w:p>
    <w:p w14:paraId="77204EFD" w14:textId="77777777" w:rsidR="00402E6B" w:rsidRPr="00402E6B" w:rsidRDefault="00402E6B" w:rsidP="00402E6B">
      <w:pPr>
        <w:spacing w:before="0" w:after="0" w:line="240" w:lineRule="auto"/>
        <w:ind w:left="720"/>
        <w:rPr>
          <w:rFonts w:ascii="Roboto" w:hAnsi="Roboto"/>
          <w:sz w:val="24"/>
          <w:lang w:eastAsia="es-ES"/>
        </w:rPr>
      </w:pPr>
    </w:p>
    <w:p w14:paraId="71F70C0F" w14:textId="77777777" w:rsidR="00402E6B" w:rsidRDefault="00402E6B" w:rsidP="00402E6B">
      <w:pPr>
        <w:numPr>
          <w:ilvl w:val="0"/>
          <w:numId w:val="4"/>
        </w:numPr>
        <w:spacing w:before="0" w:after="0" w:line="240" w:lineRule="auto"/>
        <w:rPr>
          <w:rFonts w:ascii="Roboto" w:hAnsi="Roboto"/>
          <w:sz w:val="24"/>
          <w:lang w:eastAsia="es-ES"/>
        </w:rPr>
      </w:pPr>
      <w:r w:rsidRPr="00402E6B">
        <w:rPr>
          <w:rFonts w:ascii="Roboto" w:hAnsi="Roboto"/>
          <w:sz w:val="24"/>
          <w:lang w:eastAsia="es-ES"/>
        </w:rPr>
        <w:t xml:space="preserve">La Ley 10889 establece obligaciones específicas para las entidades financieras supervisadas por esta Superintendencia, relativas a la atención de reclamos, la investigación de estafas informáticas, la implementación de mecanismos de control y monitoreo de transacciones, así como la adopción de medidas de mitigación y compensación a favor de los consumidores financieros afectados por estafas informáticas y operaciones no autorizadas. </w:t>
      </w:r>
    </w:p>
    <w:p w14:paraId="1C1A8E7F" w14:textId="77777777" w:rsidR="00402E6B" w:rsidRPr="00402E6B" w:rsidRDefault="00402E6B" w:rsidP="00402E6B">
      <w:pPr>
        <w:spacing w:before="0" w:after="0" w:line="240" w:lineRule="auto"/>
        <w:rPr>
          <w:rFonts w:ascii="Roboto" w:hAnsi="Roboto"/>
          <w:sz w:val="24"/>
          <w:lang w:eastAsia="es-ES"/>
        </w:rPr>
      </w:pPr>
    </w:p>
    <w:p w14:paraId="2D968E64" w14:textId="77777777" w:rsidR="00402E6B" w:rsidRDefault="00402E6B" w:rsidP="00402E6B">
      <w:pPr>
        <w:numPr>
          <w:ilvl w:val="0"/>
          <w:numId w:val="4"/>
        </w:numPr>
        <w:spacing w:before="0" w:after="0" w:line="240" w:lineRule="auto"/>
        <w:rPr>
          <w:rFonts w:ascii="Roboto" w:hAnsi="Roboto"/>
          <w:sz w:val="24"/>
          <w:lang w:val="es-CR" w:eastAsia="es-ES"/>
        </w:rPr>
      </w:pPr>
      <w:r w:rsidRPr="00402E6B">
        <w:rPr>
          <w:rFonts w:ascii="Roboto" w:hAnsi="Roboto"/>
          <w:sz w:val="24"/>
          <w:lang w:eastAsia="es-ES"/>
        </w:rPr>
        <w:t xml:space="preserve">De </w:t>
      </w:r>
      <w:r w:rsidRPr="00402E6B">
        <w:rPr>
          <w:rFonts w:ascii="Roboto" w:hAnsi="Roboto"/>
          <w:sz w:val="24"/>
          <w:lang w:val="es-CR" w:eastAsia="es-ES"/>
        </w:rPr>
        <w:t>conformidad con lo dispuesto en el artículo 10 de la Ley 10889, corresponde a la Superintendencia General de Entidades Financieras (SUGEF) emitir normativa de acatamiento obligatorio orientada a prevenir, reducir y procurar erradicar las estafas informáticas en perjuicio de los usuarios financieros.</w:t>
      </w:r>
    </w:p>
    <w:p w14:paraId="24C81242" w14:textId="77777777" w:rsidR="00402E6B" w:rsidRPr="00402E6B" w:rsidRDefault="00402E6B" w:rsidP="00402E6B">
      <w:pPr>
        <w:spacing w:before="0" w:after="0" w:line="240" w:lineRule="auto"/>
        <w:rPr>
          <w:rFonts w:ascii="Roboto" w:hAnsi="Roboto"/>
          <w:sz w:val="24"/>
          <w:lang w:val="es-CR" w:eastAsia="es-ES"/>
        </w:rPr>
      </w:pPr>
    </w:p>
    <w:p w14:paraId="03E15E62" w14:textId="77777777" w:rsidR="00402E6B" w:rsidRDefault="00402E6B" w:rsidP="00402E6B">
      <w:pPr>
        <w:numPr>
          <w:ilvl w:val="0"/>
          <w:numId w:val="4"/>
        </w:numPr>
        <w:spacing w:before="0" w:after="0" w:line="240" w:lineRule="auto"/>
        <w:rPr>
          <w:rFonts w:ascii="Roboto" w:hAnsi="Roboto"/>
          <w:sz w:val="24"/>
          <w:lang w:eastAsia="es-ES"/>
        </w:rPr>
      </w:pPr>
      <w:r w:rsidRPr="00402E6B">
        <w:rPr>
          <w:rFonts w:ascii="Roboto" w:hAnsi="Roboto"/>
          <w:sz w:val="24"/>
          <w:lang w:eastAsia="es-ES"/>
        </w:rPr>
        <w:t>El artículo 119 de la Ley Orgánica del Banco Central de Costa Rica (LOBCCR), Ley 7558, dispone que, con el propósito de velar por la estabilidad, la solidez y el eficiente funcionamiento del Sistema Financiero Nacional, la SUGEF ejercerá sus actividades de supervisión y fiscalización sobre todos los intermediarios financieros, con estricto apego a las disposiciones legales y reglamentarias, velando porque cumplan con los preceptos que les sean aplicables. Para efectos de la LOBCCR, los términos “fiscalización” y “supervisión” aluden, en general, a las funciones y responsabilidades atribuidas por esa ley a la Superintendencia.</w:t>
      </w:r>
    </w:p>
    <w:p w14:paraId="2BED0079" w14:textId="77777777" w:rsidR="00402E6B" w:rsidRPr="00402E6B" w:rsidRDefault="00402E6B" w:rsidP="00402E6B">
      <w:pPr>
        <w:spacing w:before="0" w:after="0" w:line="240" w:lineRule="auto"/>
        <w:rPr>
          <w:rFonts w:ascii="Roboto" w:hAnsi="Roboto"/>
          <w:sz w:val="24"/>
          <w:lang w:eastAsia="es-ES"/>
        </w:rPr>
      </w:pPr>
    </w:p>
    <w:p w14:paraId="77EE9716" w14:textId="77777777" w:rsidR="00402E6B" w:rsidRDefault="00402E6B" w:rsidP="00402E6B">
      <w:pPr>
        <w:numPr>
          <w:ilvl w:val="0"/>
          <w:numId w:val="4"/>
        </w:numPr>
        <w:spacing w:before="0" w:after="0" w:line="240" w:lineRule="auto"/>
        <w:rPr>
          <w:rFonts w:ascii="Roboto" w:hAnsi="Roboto"/>
          <w:sz w:val="24"/>
          <w:lang w:eastAsia="es-ES"/>
        </w:rPr>
      </w:pPr>
      <w:r w:rsidRPr="00402E6B">
        <w:rPr>
          <w:rFonts w:ascii="Roboto" w:hAnsi="Roboto"/>
          <w:sz w:val="24"/>
          <w:lang w:eastAsia="es-ES"/>
        </w:rPr>
        <w:lastRenderedPageBreak/>
        <w:t>De conformidad con la competencia especial conferida a la SUGEF por la Ley 10889, corresponde a esta Superintendencia establecer estándares mínimos de control que permitan mitigar los riesgos asociados a las estafas informáticas y preservar la confianza en el sistema financiero.</w:t>
      </w:r>
    </w:p>
    <w:p w14:paraId="2D3E907D" w14:textId="77777777" w:rsidR="00402E6B" w:rsidRPr="00402E6B" w:rsidRDefault="00402E6B" w:rsidP="00402E6B">
      <w:pPr>
        <w:spacing w:before="0" w:after="0" w:line="240" w:lineRule="auto"/>
        <w:rPr>
          <w:rFonts w:ascii="Roboto" w:hAnsi="Roboto"/>
          <w:sz w:val="24"/>
          <w:lang w:eastAsia="es-ES"/>
        </w:rPr>
      </w:pPr>
    </w:p>
    <w:p w14:paraId="17271DC2" w14:textId="77777777" w:rsidR="00402E6B" w:rsidRDefault="00402E6B" w:rsidP="00402E6B">
      <w:pPr>
        <w:numPr>
          <w:ilvl w:val="0"/>
          <w:numId w:val="4"/>
        </w:numPr>
        <w:spacing w:before="0" w:after="0" w:line="240" w:lineRule="auto"/>
        <w:rPr>
          <w:rFonts w:ascii="Roboto" w:hAnsi="Roboto"/>
          <w:sz w:val="24"/>
          <w:lang w:eastAsia="es-ES"/>
        </w:rPr>
      </w:pPr>
      <w:r w:rsidRPr="00402E6B">
        <w:rPr>
          <w:rFonts w:ascii="Roboto" w:hAnsi="Roboto"/>
          <w:sz w:val="24"/>
          <w:lang w:eastAsia="es-ES"/>
        </w:rPr>
        <w:t xml:space="preserve">Mediante la Ley 8148 de 24 de octubre de 2001 se adicionaron al Código Penal, Ley 4573 de 4 de mayo de 1970, los artículos 196 bis, 217 bis y 229 bis, para reprimir y sancionar los delitos informáticos, denominados: Violación de comunicaciones electrónicas, Fraude informático y Alteración de datos y sabotaje informático. Posteriormente, en el año 2012, la Ley de Reforma de varios artículos y modificación de la Sección VIII, denominada delitos informáticos y conexos, del Título VII del Código Penal, Ley 9048, publicada en el Alcance 172 de </w:t>
      </w:r>
      <w:r w:rsidRPr="00402E6B">
        <w:rPr>
          <w:rFonts w:ascii="Roboto" w:hAnsi="Roboto"/>
          <w:i/>
          <w:iCs/>
          <w:sz w:val="24"/>
          <w:lang w:eastAsia="es-ES"/>
        </w:rPr>
        <w:t>La Gaceta</w:t>
      </w:r>
      <w:r w:rsidRPr="00402E6B">
        <w:rPr>
          <w:rFonts w:ascii="Roboto" w:hAnsi="Roboto"/>
          <w:sz w:val="24"/>
          <w:lang w:eastAsia="es-ES"/>
        </w:rPr>
        <w:t xml:space="preserve"> 214, introdujo los conceptos de “estafa informática”, “daño informático”, “violación de datos personales”, “suplantación de páginas electrónicas” y “facilitación de delito informático”.</w:t>
      </w:r>
    </w:p>
    <w:p w14:paraId="70A6C972" w14:textId="77777777" w:rsidR="00402E6B" w:rsidRPr="00402E6B" w:rsidRDefault="00402E6B" w:rsidP="00402E6B">
      <w:pPr>
        <w:spacing w:before="0" w:after="0" w:line="240" w:lineRule="auto"/>
        <w:rPr>
          <w:rFonts w:ascii="Roboto" w:hAnsi="Roboto"/>
          <w:sz w:val="24"/>
          <w:lang w:eastAsia="es-ES"/>
        </w:rPr>
      </w:pPr>
    </w:p>
    <w:p w14:paraId="52AD4B34" w14:textId="77777777" w:rsidR="00402E6B" w:rsidRDefault="00402E6B" w:rsidP="00402E6B">
      <w:pPr>
        <w:numPr>
          <w:ilvl w:val="0"/>
          <w:numId w:val="9"/>
        </w:numPr>
        <w:spacing w:before="0" w:after="0" w:line="240" w:lineRule="auto"/>
        <w:jc w:val="left"/>
        <w:rPr>
          <w:rFonts w:ascii="Roboto" w:hAnsi="Roboto"/>
          <w:b/>
          <w:bCs/>
          <w:i/>
          <w:iCs/>
          <w:sz w:val="24"/>
          <w:lang w:eastAsia="es-ES"/>
        </w:rPr>
      </w:pPr>
      <w:bookmarkStart w:id="4" w:name="_Toc152077941"/>
      <w:r w:rsidRPr="00402E6B">
        <w:rPr>
          <w:rFonts w:ascii="Roboto" w:hAnsi="Roboto"/>
          <w:b/>
          <w:bCs/>
          <w:i/>
          <w:iCs/>
          <w:sz w:val="24"/>
          <w:lang w:eastAsia="es-ES"/>
        </w:rPr>
        <w:t>Consideraciones sobre las estafas informática</w:t>
      </w:r>
      <w:bookmarkEnd w:id="4"/>
      <w:r w:rsidRPr="00402E6B">
        <w:rPr>
          <w:rFonts w:ascii="Roboto" w:hAnsi="Roboto"/>
          <w:b/>
          <w:bCs/>
          <w:i/>
          <w:iCs/>
          <w:sz w:val="24"/>
          <w:lang w:eastAsia="es-ES"/>
        </w:rPr>
        <w:t>s</w:t>
      </w:r>
    </w:p>
    <w:p w14:paraId="471F5851" w14:textId="77777777" w:rsidR="00402E6B" w:rsidRPr="00402E6B" w:rsidRDefault="00402E6B" w:rsidP="00402E6B">
      <w:pPr>
        <w:spacing w:before="0" w:after="0" w:line="240" w:lineRule="auto"/>
        <w:ind w:left="720"/>
        <w:jc w:val="left"/>
        <w:rPr>
          <w:rFonts w:ascii="Roboto" w:hAnsi="Roboto"/>
          <w:b/>
          <w:bCs/>
          <w:i/>
          <w:iCs/>
          <w:sz w:val="24"/>
          <w:lang w:eastAsia="es-ES"/>
        </w:rPr>
      </w:pPr>
    </w:p>
    <w:p w14:paraId="5D2AFEC7" w14:textId="77777777" w:rsidR="00402E6B" w:rsidRDefault="00402E6B" w:rsidP="00402E6B">
      <w:pPr>
        <w:numPr>
          <w:ilvl w:val="0"/>
          <w:numId w:val="4"/>
        </w:numPr>
        <w:spacing w:before="0" w:after="0" w:line="240" w:lineRule="auto"/>
        <w:rPr>
          <w:rFonts w:ascii="Roboto" w:hAnsi="Roboto"/>
          <w:sz w:val="24"/>
          <w:lang w:eastAsia="es-ES"/>
        </w:rPr>
      </w:pPr>
      <w:r w:rsidRPr="00402E6B">
        <w:rPr>
          <w:rFonts w:ascii="Roboto" w:hAnsi="Roboto"/>
          <w:sz w:val="24"/>
          <w:lang w:eastAsia="es-ES"/>
        </w:rPr>
        <w:t>El Comité de Supervisión Bancaria de Basilea, mediante su informe titulado “Fraude digital y banca: implicaciones para la supervisión y la estabilidad financiera”, publicado en el sitio web del Banco de Pagos Internacionales (BIS), en la sección “Committees &amp; associations”, apartado “Basel Committee on Banking Supervision”, subsección “Publications”, define que las estafas informáticas, también conocidas como fraudes digitales, son todas aquellas actividades fraudulentas perpetradas por partes externas a través de medios digitales (correos electrónicos, sitios web, software malicioso, entre otros) con el objetivo de sustraer activos o credenciales de los clientes bancarios sin su consentimiento.</w:t>
      </w:r>
    </w:p>
    <w:p w14:paraId="4A981708" w14:textId="77777777" w:rsidR="00402E6B" w:rsidRPr="00402E6B" w:rsidRDefault="00402E6B" w:rsidP="00402E6B">
      <w:pPr>
        <w:spacing w:before="0" w:after="0" w:line="240" w:lineRule="auto"/>
        <w:ind w:left="720"/>
        <w:rPr>
          <w:rFonts w:ascii="Roboto" w:hAnsi="Roboto"/>
          <w:sz w:val="24"/>
          <w:lang w:eastAsia="es-ES"/>
        </w:rPr>
      </w:pPr>
    </w:p>
    <w:p w14:paraId="557CFFEB" w14:textId="77777777" w:rsidR="00402E6B" w:rsidRDefault="00402E6B" w:rsidP="00402E6B">
      <w:pPr>
        <w:numPr>
          <w:ilvl w:val="0"/>
          <w:numId w:val="4"/>
        </w:numPr>
        <w:spacing w:before="0" w:after="0" w:line="240" w:lineRule="auto"/>
        <w:rPr>
          <w:rFonts w:ascii="Roboto" w:hAnsi="Roboto"/>
          <w:sz w:val="24"/>
          <w:lang w:eastAsia="es-ES"/>
        </w:rPr>
      </w:pPr>
      <w:r w:rsidRPr="00402E6B">
        <w:rPr>
          <w:rFonts w:ascii="Roboto" w:hAnsi="Roboto"/>
          <w:sz w:val="24"/>
          <w:lang w:eastAsia="es-ES"/>
        </w:rPr>
        <w:lastRenderedPageBreak/>
        <w:t>En el informe citado en el considerando anterior, el Comité de Supervisión Bancaria de Basilea señala que el fraude digital se agrupa en las siguientes categorías:</w:t>
      </w:r>
    </w:p>
    <w:p w14:paraId="1A800E9F" w14:textId="77777777" w:rsidR="00402E6B" w:rsidRPr="00402E6B" w:rsidRDefault="00402E6B" w:rsidP="00402E6B">
      <w:pPr>
        <w:spacing w:before="0" w:after="0" w:line="240" w:lineRule="auto"/>
        <w:rPr>
          <w:rFonts w:ascii="Roboto" w:hAnsi="Roboto"/>
          <w:sz w:val="24"/>
          <w:lang w:eastAsia="es-ES"/>
        </w:rPr>
      </w:pPr>
    </w:p>
    <w:p w14:paraId="3772BC3A" w14:textId="77777777" w:rsidR="00402E6B" w:rsidRPr="00402E6B" w:rsidRDefault="00402E6B" w:rsidP="00402E6B">
      <w:pPr>
        <w:widowControl w:val="0"/>
        <w:autoSpaceDE w:val="0"/>
        <w:autoSpaceDN w:val="0"/>
        <w:spacing w:before="0" w:after="0" w:line="360" w:lineRule="auto"/>
        <w:ind w:left="706"/>
        <w:rPr>
          <w:rFonts w:ascii="Roboto" w:hAnsi="Roboto"/>
          <w:sz w:val="24"/>
          <w:lang w:eastAsia="es-ES"/>
        </w:rPr>
      </w:pPr>
      <w:r w:rsidRPr="00402E6B">
        <w:rPr>
          <w:rFonts w:ascii="Roboto" w:hAnsi="Roboto"/>
          <w:sz w:val="24"/>
          <w:lang w:eastAsia="es-ES"/>
        </w:rPr>
        <w:t>a)</w:t>
      </w:r>
      <w:r w:rsidRPr="00402E6B">
        <w:rPr>
          <w:rFonts w:ascii="Roboto" w:hAnsi="Roboto"/>
          <w:sz w:val="24"/>
          <w:lang w:eastAsia="es-ES"/>
        </w:rPr>
        <w:tab/>
        <w:t>Digital relacionado con instrumentos de pago en línea:</w:t>
      </w:r>
    </w:p>
    <w:p w14:paraId="47ABDF73" w14:textId="77777777" w:rsidR="00402E6B" w:rsidRPr="00402E6B" w:rsidRDefault="00402E6B" w:rsidP="00402E6B">
      <w:pPr>
        <w:widowControl w:val="0"/>
        <w:tabs>
          <w:tab w:val="left" w:pos="1843"/>
        </w:tabs>
        <w:autoSpaceDE w:val="0"/>
        <w:autoSpaceDN w:val="0"/>
        <w:spacing w:before="0" w:after="0" w:line="360" w:lineRule="auto"/>
        <w:ind w:left="1440"/>
        <w:rPr>
          <w:rFonts w:ascii="Roboto" w:hAnsi="Roboto"/>
          <w:sz w:val="24"/>
          <w:lang w:eastAsia="es-ES"/>
        </w:rPr>
      </w:pPr>
      <w:r w:rsidRPr="00402E6B">
        <w:rPr>
          <w:rFonts w:ascii="Roboto" w:hAnsi="Roboto"/>
          <w:sz w:val="24"/>
          <w:lang w:eastAsia="es-ES"/>
        </w:rPr>
        <w:t>i.</w:t>
      </w:r>
      <w:r w:rsidRPr="00402E6B">
        <w:rPr>
          <w:rFonts w:ascii="Roboto" w:hAnsi="Roboto"/>
          <w:sz w:val="24"/>
          <w:lang w:eastAsia="es-ES"/>
        </w:rPr>
        <w:tab/>
        <w:t>transacciones de pago no autorizadas.</w:t>
      </w:r>
    </w:p>
    <w:p w14:paraId="27A82B93" w14:textId="77777777" w:rsidR="00402E6B" w:rsidRPr="00402E6B" w:rsidRDefault="00402E6B" w:rsidP="00402E6B">
      <w:pPr>
        <w:widowControl w:val="0"/>
        <w:tabs>
          <w:tab w:val="left" w:pos="1843"/>
        </w:tabs>
        <w:autoSpaceDE w:val="0"/>
        <w:autoSpaceDN w:val="0"/>
        <w:spacing w:before="0" w:after="0" w:line="360" w:lineRule="auto"/>
        <w:ind w:left="1440"/>
        <w:rPr>
          <w:rFonts w:ascii="Roboto" w:hAnsi="Roboto"/>
          <w:sz w:val="24"/>
          <w:lang w:eastAsia="es-ES"/>
        </w:rPr>
      </w:pPr>
      <w:r w:rsidRPr="00402E6B">
        <w:rPr>
          <w:rFonts w:ascii="Roboto" w:hAnsi="Roboto"/>
          <w:sz w:val="24"/>
          <w:lang w:eastAsia="es-ES"/>
        </w:rPr>
        <w:t>ii.</w:t>
      </w:r>
      <w:r w:rsidRPr="00402E6B">
        <w:rPr>
          <w:rFonts w:ascii="Roboto" w:hAnsi="Roboto"/>
          <w:sz w:val="24"/>
          <w:lang w:eastAsia="es-ES"/>
        </w:rPr>
        <w:tab/>
        <w:t>manipulación del pagador para emitir una orden de pago.</w:t>
      </w:r>
    </w:p>
    <w:p w14:paraId="799C7659" w14:textId="77777777" w:rsidR="00402E6B" w:rsidRPr="00402E6B" w:rsidRDefault="00402E6B" w:rsidP="00402E6B">
      <w:pPr>
        <w:widowControl w:val="0"/>
        <w:autoSpaceDE w:val="0"/>
        <w:autoSpaceDN w:val="0"/>
        <w:spacing w:before="0" w:after="0" w:line="360" w:lineRule="auto"/>
        <w:ind w:left="709"/>
        <w:rPr>
          <w:rFonts w:ascii="Roboto" w:hAnsi="Roboto"/>
          <w:sz w:val="24"/>
          <w:lang w:eastAsia="es-ES"/>
        </w:rPr>
      </w:pPr>
      <w:r w:rsidRPr="00402E6B">
        <w:rPr>
          <w:rFonts w:ascii="Roboto" w:hAnsi="Roboto"/>
          <w:sz w:val="24"/>
          <w:lang w:eastAsia="es-ES"/>
        </w:rPr>
        <w:t>b)</w:t>
      </w:r>
      <w:r w:rsidRPr="00402E6B">
        <w:rPr>
          <w:rFonts w:ascii="Roboto" w:hAnsi="Roboto"/>
          <w:sz w:val="24"/>
          <w:lang w:eastAsia="es-ES"/>
        </w:rPr>
        <w:tab/>
        <w:t>Fraude digital relacionado con otros productos bancarios de clientes.</w:t>
      </w:r>
    </w:p>
    <w:p w14:paraId="02752D45" w14:textId="77777777" w:rsidR="00402E6B" w:rsidRPr="00402E6B" w:rsidRDefault="00402E6B" w:rsidP="00402E6B">
      <w:pPr>
        <w:widowControl w:val="0"/>
        <w:autoSpaceDE w:val="0"/>
        <w:autoSpaceDN w:val="0"/>
        <w:spacing w:before="0" w:after="0" w:line="360" w:lineRule="auto"/>
        <w:ind w:left="1418" w:hanging="709"/>
        <w:rPr>
          <w:rFonts w:ascii="Roboto" w:hAnsi="Roboto"/>
          <w:sz w:val="24"/>
          <w:lang w:eastAsia="es-ES"/>
        </w:rPr>
      </w:pPr>
      <w:r w:rsidRPr="00402E6B">
        <w:rPr>
          <w:rFonts w:ascii="Roboto" w:hAnsi="Roboto"/>
          <w:sz w:val="24"/>
          <w:lang w:eastAsia="es-ES"/>
        </w:rPr>
        <w:t>c)</w:t>
      </w:r>
      <w:r w:rsidRPr="00402E6B">
        <w:rPr>
          <w:rFonts w:ascii="Roboto" w:hAnsi="Roboto"/>
          <w:sz w:val="24"/>
          <w:lang w:eastAsia="es-ES"/>
        </w:rPr>
        <w:tab/>
        <w:t>Fraude digital relacionado con la entidad a través de datos de clientes o sistemas bancarios.</w:t>
      </w:r>
    </w:p>
    <w:p w14:paraId="64566A22" w14:textId="77777777" w:rsidR="00402E6B" w:rsidRDefault="00402E6B" w:rsidP="00402E6B">
      <w:pPr>
        <w:numPr>
          <w:ilvl w:val="0"/>
          <w:numId w:val="9"/>
        </w:numPr>
        <w:spacing w:before="0" w:after="0" w:line="240" w:lineRule="auto"/>
        <w:jc w:val="left"/>
        <w:rPr>
          <w:rFonts w:ascii="Roboto" w:hAnsi="Roboto"/>
          <w:b/>
          <w:bCs/>
          <w:i/>
          <w:iCs/>
          <w:sz w:val="24"/>
          <w:lang w:eastAsia="es-ES"/>
        </w:rPr>
      </w:pPr>
      <w:bookmarkStart w:id="5" w:name="_Toc152077942"/>
      <w:r w:rsidRPr="00402E6B">
        <w:rPr>
          <w:rFonts w:ascii="Roboto" w:hAnsi="Roboto"/>
          <w:b/>
          <w:bCs/>
          <w:i/>
          <w:iCs/>
          <w:sz w:val="24"/>
          <w:lang w:eastAsia="es-ES"/>
        </w:rPr>
        <w:t>Consideraciones sobre la responsabilidad objetiva</w:t>
      </w:r>
      <w:bookmarkEnd w:id="5"/>
    </w:p>
    <w:p w14:paraId="509031C5" w14:textId="77777777" w:rsidR="00402E6B" w:rsidRPr="00402E6B" w:rsidRDefault="00402E6B" w:rsidP="00402E6B">
      <w:pPr>
        <w:spacing w:before="0" w:after="0" w:line="240" w:lineRule="auto"/>
        <w:ind w:left="720"/>
        <w:jc w:val="left"/>
        <w:rPr>
          <w:rFonts w:ascii="Roboto" w:hAnsi="Roboto"/>
          <w:b/>
          <w:bCs/>
          <w:i/>
          <w:iCs/>
          <w:sz w:val="24"/>
          <w:lang w:eastAsia="es-ES"/>
        </w:rPr>
      </w:pPr>
    </w:p>
    <w:p w14:paraId="623291CA" w14:textId="77777777" w:rsidR="00402E6B" w:rsidRDefault="00402E6B" w:rsidP="00402E6B">
      <w:pPr>
        <w:numPr>
          <w:ilvl w:val="0"/>
          <w:numId w:val="4"/>
        </w:numPr>
        <w:spacing w:before="0" w:after="0" w:line="240" w:lineRule="auto"/>
        <w:rPr>
          <w:rFonts w:ascii="Roboto" w:hAnsi="Roboto"/>
          <w:sz w:val="24"/>
          <w:lang w:eastAsia="es-ES"/>
        </w:rPr>
      </w:pPr>
      <w:r w:rsidRPr="00402E6B">
        <w:rPr>
          <w:rFonts w:ascii="Roboto" w:hAnsi="Roboto"/>
          <w:sz w:val="24"/>
          <w:lang w:eastAsia="es-ES"/>
        </w:rPr>
        <w:t xml:space="preserve">La Ley de Promoción de la Competencia y Defensa Efectiva del Consumidor, Ley 7472 del 20 de diciembre de 1994, establece el marco jurídico para la protección de los derechos de las personas consumidoras, asegurando condiciones de equidad, seguridad y transparencia en las relaciones de consumo. </w:t>
      </w:r>
    </w:p>
    <w:p w14:paraId="299DD28D" w14:textId="77777777" w:rsidR="00402E6B" w:rsidRPr="00402E6B" w:rsidRDefault="00402E6B" w:rsidP="00402E6B">
      <w:pPr>
        <w:spacing w:before="0" w:after="0" w:line="240" w:lineRule="auto"/>
        <w:ind w:left="720"/>
        <w:rPr>
          <w:rFonts w:ascii="Roboto" w:hAnsi="Roboto"/>
          <w:sz w:val="24"/>
          <w:lang w:eastAsia="es-ES"/>
        </w:rPr>
      </w:pPr>
    </w:p>
    <w:p w14:paraId="490FD164" w14:textId="77777777" w:rsidR="00402E6B" w:rsidRDefault="00402E6B" w:rsidP="00402E6B">
      <w:pPr>
        <w:numPr>
          <w:ilvl w:val="0"/>
          <w:numId w:val="4"/>
        </w:numPr>
        <w:spacing w:before="0" w:after="0" w:line="240" w:lineRule="auto"/>
        <w:rPr>
          <w:rFonts w:ascii="Roboto" w:hAnsi="Roboto"/>
          <w:sz w:val="24"/>
          <w:lang w:eastAsia="es-ES"/>
        </w:rPr>
      </w:pPr>
      <w:r w:rsidRPr="00402E6B">
        <w:rPr>
          <w:rFonts w:ascii="Roboto" w:hAnsi="Roboto"/>
          <w:sz w:val="24"/>
          <w:lang w:eastAsia="es-ES"/>
        </w:rPr>
        <w:t xml:space="preserve">Mediante la Ley 10889, se reformó el artículo 35 de la Ley 7472, con el propósito de actualizar el régimen de responsabilidad aplicable en las relaciones de consumo. El artículo 35 establece un régimen de responsabilidad en materia de protección al consumidor caracterizado por su amplitud y objetividad. Dicho artículo, dispone que el productor, el proveedor y el comerciante deben responder de forma concurrente y sin necesidad de que exista culpa, cuando el consumidor resulte perjudicado por el bien o servicio, por información inadecuada o insuficiente, o por los riesgos derivados de su uso. Esta responsabilidad solo cesa si el sujeto logra demostrar que no tuvo relación alguna con el daño ocasionado. Asimismo, </w:t>
      </w:r>
      <w:r w:rsidRPr="00402E6B">
        <w:rPr>
          <w:rFonts w:ascii="Roboto" w:hAnsi="Roboto"/>
          <w:sz w:val="24"/>
          <w:lang w:eastAsia="es-ES"/>
        </w:rPr>
        <w:lastRenderedPageBreak/>
        <w:t>se extiende la responsabilidad a la estructura organizativa de las empresas, señalando que los representantes legales o encargados del negocio responden tanto por sus propios actos como por los de sus dependientes o auxiliares. De igual manera, los técnicos y responsables de los procesos de elaboración y control pueden responder solidariamente cuando se configuren infracciones que perjudiquen al consumidor.</w:t>
      </w:r>
    </w:p>
    <w:p w14:paraId="36FD7190" w14:textId="77777777" w:rsidR="00402E6B" w:rsidRPr="00402E6B" w:rsidRDefault="00402E6B" w:rsidP="00402E6B">
      <w:pPr>
        <w:spacing w:before="0" w:after="0" w:line="240" w:lineRule="auto"/>
        <w:ind w:left="720"/>
        <w:rPr>
          <w:rFonts w:ascii="Roboto" w:hAnsi="Roboto"/>
          <w:sz w:val="24"/>
          <w:lang w:eastAsia="es-ES"/>
        </w:rPr>
      </w:pPr>
    </w:p>
    <w:p w14:paraId="7EE0CF74" w14:textId="77777777" w:rsidR="00402E6B" w:rsidRDefault="00402E6B" w:rsidP="00402E6B">
      <w:pPr>
        <w:numPr>
          <w:ilvl w:val="0"/>
          <w:numId w:val="4"/>
        </w:numPr>
        <w:spacing w:before="0" w:after="0" w:line="240" w:lineRule="auto"/>
        <w:rPr>
          <w:rFonts w:ascii="Roboto" w:hAnsi="Roboto"/>
          <w:sz w:val="24"/>
          <w:lang w:eastAsia="es-ES"/>
        </w:rPr>
      </w:pPr>
      <w:r w:rsidRPr="00402E6B">
        <w:rPr>
          <w:rFonts w:ascii="Roboto" w:hAnsi="Roboto"/>
          <w:sz w:val="24"/>
          <w:lang w:eastAsia="es-ES"/>
        </w:rPr>
        <w:t>Asimismo, el artículo 35 incorpora una regla específica para las entidades financieras supervisadas, las cuales deben responder, también bajo un criterio objetivo, por los daños y perjuicios derivados de la sustracción de dinero o de la afectación patrimonial en las cuentas de las personas usuarias, así como por la inadecuada custodia de sus fondos, cuando dichas situaciones provengan de terceros no autorizados, sin importar el mecanismo utilizado. Sin embargo, estas entidades podrán eximirse de responsabilidad cuando se configure alguna causa de exoneración prevista en la legislación.</w:t>
      </w:r>
    </w:p>
    <w:p w14:paraId="2B47D95C" w14:textId="77777777" w:rsidR="00402E6B" w:rsidRPr="00402E6B" w:rsidRDefault="00402E6B" w:rsidP="00402E6B">
      <w:pPr>
        <w:spacing w:before="0" w:after="0" w:line="240" w:lineRule="auto"/>
        <w:rPr>
          <w:rFonts w:ascii="Roboto" w:hAnsi="Roboto"/>
          <w:sz w:val="24"/>
          <w:lang w:eastAsia="es-ES"/>
        </w:rPr>
      </w:pPr>
    </w:p>
    <w:p w14:paraId="11838516" w14:textId="77777777" w:rsidR="00402E6B" w:rsidRDefault="00402E6B" w:rsidP="00402E6B">
      <w:pPr>
        <w:numPr>
          <w:ilvl w:val="0"/>
          <w:numId w:val="4"/>
        </w:numPr>
        <w:spacing w:before="0" w:after="0" w:line="240" w:lineRule="auto"/>
        <w:rPr>
          <w:rFonts w:ascii="Roboto" w:hAnsi="Roboto"/>
          <w:sz w:val="24"/>
          <w:lang w:eastAsia="es-ES"/>
        </w:rPr>
      </w:pPr>
      <w:r w:rsidRPr="00402E6B">
        <w:rPr>
          <w:rFonts w:ascii="Roboto" w:hAnsi="Roboto"/>
          <w:sz w:val="24"/>
          <w:lang w:eastAsia="es-ES"/>
        </w:rPr>
        <w:t xml:space="preserve">El fundamento de lo indicado en el considerando anterior es el principio de </w:t>
      </w:r>
      <w:bookmarkStart w:id="6" w:name="_Hlk152059728"/>
      <w:r w:rsidRPr="00402E6B">
        <w:rPr>
          <w:rFonts w:ascii="Roboto" w:hAnsi="Roboto"/>
          <w:sz w:val="24"/>
          <w:lang w:eastAsia="es-ES"/>
        </w:rPr>
        <w:t>responsabilidad objetiva por riesgo creado</w:t>
      </w:r>
      <w:bookmarkEnd w:id="6"/>
      <w:r w:rsidRPr="00402E6B">
        <w:rPr>
          <w:rFonts w:ascii="Roboto" w:hAnsi="Roboto"/>
          <w:sz w:val="24"/>
          <w:lang w:eastAsia="es-ES"/>
        </w:rPr>
        <w:t xml:space="preserve">, la cual establece que quien emplea cosas peligrosas o riesgosas y expone a eventuales daños a los usuarios debe reparar los daños que cause, aun cuando haya actuado lícitamente. Para determinar esta responsabilidad, debe existir un nexo de causalidad entre la actividad riesgosa puesta en marcha y el daño ocasionado. </w:t>
      </w:r>
      <w:bookmarkStart w:id="7" w:name="_Hlk155600530"/>
    </w:p>
    <w:p w14:paraId="24857156" w14:textId="77777777" w:rsidR="005F7CC1" w:rsidRDefault="005F7CC1" w:rsidP="005F7CC1">
      <w:pPr>
        <w:pStyle w:val="Prrafodelista"/>
        <w:rPr>
          <w:rFonts w:ascii="Roboto" w:hAnsi="Roboto"/>
          <w:sz w:val="24"/>
          <w:lang w:eastAsia="es-ES"/>
        </w:rPr>
      </w:pPr>
    </w:p>
    <w:p w14:paraId="7D955EDA" w14:textId="77777777" w:rsidR="00402E6B" w:rsidRDefault="00402E6B" w:rsidP="00402E6B">
      <w:pPr>
        <w:numPr>
          <w:ilvl w:val="0"/>
          <w:numId w:val="4"/>
        </w:numPr>
        <w:spacing w:before="0" w:after="0" w:line="240" w:lineRule="auto"/>
        <w:rPr>
          <w:rFonts w:ascii="Roboto" w:hAnsi="Roboto"/>
          <w:sz w:val="24"/>
          <w:lang w:eastAsia="es-ES"/>
        </w:rPr>
      </w:pPr>
      <w:r w:rsidRPr="00402E6B">
        <w:rPr>
          <w:rFonts w:ascii="Roboto" w:hAnsi="Roboto"/>
          <w:sz w:val="24"/>
          <w:lang w:eastAsia="es-ES"/>
        </w:rPr>
        <w:t xml:space="preserve">Un derecho del consumidor de servicios financieros suministrados mediante canales digitales, y consecuente deber de las entidades financieras, es que las transacciones que se realicen contra la cuenta de fondos del usuario sean las que este ha autorizado. </w:t>
      </w:r>
      <w:bookmarkEnd w:id="7"/>
    </w:p>
    <w:p w14:paraId="0FBE9CEA" w14:textId="77777777" w:rsidR="00402E6B" w:rsidRPr="00402E6B" w:rsidRDefault="00402E6B" w:rsidP="00402E6B">
      <w:pPr>
        <w:spacing w:before="0" w:after="0" w:line="240" w:lineRule="auto"/>
        <w:ind w:left="720"/>
        <w:rPr>
          <w:rFonts w:ascii="Roboto" w:hAnsi="Roboto"/>
          <w:sz w:val="24"/>
          <w:lang w:eastAsia="es-ES"/>
        </w:rPr>
      </w:pPr>
    </w:p>
    <w:p w14:paraId="6664C46F" w14:textId="77777777" w:rsidR="00402E6B" w:rsidRDefault="00402E6B" w:rsidP="00402E6B">
      <w:pPr>
        <w:numPr>
          <w:ilvl w:val="0"/>
          <w:numId w:val="4"/>
        </w:numPr>
        <w:spacing w:before="0" w:after="0" w:line="240" w:lineRule="auto"/>
        <w:rPr>
          <w:rFonts w:ascii="Roboto" w:hAnsi="Roboto"/>
          <w:sz w:val="24"/>
          <w:lang w:eastAsia="es-ES"/>
        </w:rPr>
      </w:pPr>
      <w:r w:rsidRPr="00402E6B">
        <w:rPr>
          <w:rFonts w:ascii="Roboto" w:hAnsi="Roboto"/>
          <w:sz w:val="24"/>
          <w:lang w:eastAsia="es-ES"/>
        </w:rPr>
        <w:t>Durante los últimos años los tribunales en Costa Rica han resuelto casos a favor de usuarios financieros de entidades ante denuncias por estafas informáticas. En la argumentación de las partes se destacan debilidades incurridas por ambas partes; en lo que respecta a la entidad, las deficiencias se encuentran principalmente en la robustez de los controles en relación con la gestión preventiva y de monitoreo del perfil transaccional del cliente, aunque la entidad no haya sido vulnerada en sus sistemas informáticos.</w:t>
      </w:r>
    </w:p>
    <w:p w14:paraId="10096CD2" w14:textId="77777777" w:rsidR="00402E6B" w:rsidRPr="00402E6B" w:rsidRDefault="00402E6B" w:rsidP="00402E6B">
      <w:pPr>
        <w:spacing w:before="0" w:after="0" w:line="240" w:lineRule="auto"/>
        <w:rPr>
          <w:rFonts w:ascii="Roboto" w:hAnsi="Roboto"/>
          <w:sz w:val="24"/>
          <w:lang w:eastAsia="es-ES"/>
        </w:rPr>
      </w:pPr>
    </w:p>
    <w:p w14:paraId="42D0BE40" w14:textId="77777777" w:rsidR="00402E6B" w:rsidRDefault="00402E6B" w:rsidP="00402E6B">
      <w:pPr>
        <w:numPr>
          <w:ilvl w:val="0"/>
          <w:numId w:val="9"/>
        </w:numPr>
        <w:spacing w:before="0" w:after="0" w:line="240" w:lineRule="auto"/>
        <w:rPr>
          <w:rFonts w:ascii="Roboto" w:hAnsi="Roboto"/>
          <w:b/>
          <w:bCs/>
          <w:i/>
          <w:iCs/>
          <w:sz w:val="24"/>
          <w:lang w:eastAsia="es-ES"/>
        </w:rPr>
      </w:pPr>
      <w:bookmarkStart w:id="8" w:name="_Toc152077943"/>
      <w:r w:rsidRPr="00402E6B">
        <w:rPr>
          <w:rFonts w:ascii="Roboto" w:hAnsi="Roboto"/>
          <w:b/>
          <w:bCs/>
          <w:i/>
          <w:iCs/>
          <w:sz w:val="24"/>
          <w:lang w:eastAsia="es-ES"/>
        </w:rPr>
        <w:t>Consideraciones desde la perspectiva del supervisor financiero</w:t>
      </w:r>
      <w:bookmarkEnd w:id="8"/>
      <w:r w:rsidRPr="00402E6B">
        <w:rPr>
          <w:rFonts w:ascii="Roboto" w:hAnsi="Roboto"/>
          <w:b/>
          <w:bCs/>
          <w:i/>
          <w:iCs/>
          <w:sz w:val="24"/>
          <w:lang w:eastAsia="es-ES"/>
        </w:rPr>
        <w:t xml:space="preserve"> </w:t>
      </w:r>
    </w:p>
    <w:p w14:paraId="71789B7C" w14:textId="77777777" w:rsidR="00402E6B" w:rsidRPr="00402E6B" w:rsidRDefault="00402E6B" w:rsidP="00402E6B">
      <w:pPr>
        <w:spacing w:before="0" w:after="0" w:line="240" w:lineRule="auto"/>
        <w:ind w:left="720"/>
        <w:rPr>
          <w:rFonts w:ascii="Roboto" w:hAnsi="Roboto"/>
          <w:b/>
          <w:bCs/>
          <w:i/>
          <w:iCs/>
          <w:sz w:val="24"/>
          <w:lang w:eastAsia="es-ES"/>
        </w:rPr>
      </w:pPr>
    </w:p>
    <w:p w14:paraId="5D1F749D" w14:textId="77777777" w:rsidR="00402E6B" w:rsidRDefault="00402E6B" w:rsidP="00402E6B">
      <w:pPr>
        <w:numPr>
          <w:ilvl w:val="0"/>
          <w:numId w:val="4"/>
        </w:numPr>
        <w:spacing w:before="0" w:after="0" w:line="240" w:lineRule="auto"/>
        <w:rPr>
          <w:rFonts w:ascii="Roboto" w:hAnsi="Roboto"/>
          <w:sz w:val="24"/>
          <w:lang w:eastAsia="es-ES"/>
        </w:rPr>
      </w:pPr>
      <w:r w:rsidRPr="00402E6B">
        <w:rPr>
          <w:rFonts w:ascii="Roboto" w:hAnsi="Roboto"/>
          <w:sz w:val="24"/>
          <w:lang w:eastAsia="es-ES"/>
        </w:rPr>
        <w:t>Desde una perspectiva de estabilidad y funcionamiento eficiente del Sistema Financiero, resulta medular que los intermediarios financieros cuenten con marcos de control robustos de cara a la confianza que el público ha depositado en ellos, independientemente del canal por el que se presten los servicios financieros, en particular en el uso de los canales digitales cuyo uso es cada vez más extendido y fomentado por los propios intermediarios financieros.</w:t>
      </w:r>
    </w:p>
    <w:p w14:paraId="6A97F68C" w14:textId="77777777" w:rsidR="00402E6B" w:rsidRPr="00402E6B" w:rsidRDefault="00402E6B" w:rsidP="00402E6B">
      <w:pPr>
        <w:spacing w:before="0" w:after="0" w:line="240" w:lineRule="auto"/>
        <w:ind w:left="720"/>
        <w:rPr>
          <w:rFonts w:ascii="Roboto" w:hAnsi="Roboto"/>
          <w:sz w:val="24"/>
          <w:lang w:eastAsia="es-ES"/>
        </w:rPr>
      </w:pPr>
    </w:p>
    <w:p w14:paraId="1AC9A34C" w14:textId="77777777" w:rsidR="00402E6B" w:rsidRDefault="00402E6B" w:rsidP="00402E6B">
      <w:pPr>
        <w:numPr>
          <w:ilvl w:val="0"/>
          <w:numId w:val="4"/>
        </w:numPr>
        <w:spacing w:before="0" w:after="0" w:line="240" w:lineRule="auto"/>
        <w:rPr>
          <w:rFonts w:ascii="Roboto" w:hAnsi="Roboto"/>
          <w:sz w:val="24"/>
          <w:lang w:eastAsia="es-ES"/>
        </w:rPr>
      </w:pPr>
      <w:r w:rsidRPr="00402E6B">
        <w:rPr>
          <w:rFonts w:ascii="Roboto" w:hAnsi="Roboto"/>
          <w:sz w:val="24"/>
          <w:lang w:eastAsia="es-ES"/>
        </w:rPr>
        <w:t>El Comité de Supervisión Bancaria de Basilea, mediante su informe titulado “</w:t>
      </w:r>
      <w:r w:rsidRPr="00402E6B">
        <w:rPr>
          <w:rFonts w:ascii="Roboto" w:hAnsi="Roboto"/>
          <w:i/>
          <w:iCs/>
          <w:sz w:val="24"/>
          <w:lang w:eastAsia="es-ES"/>
        </w:rPr>
        <w:t>Fraude digital y banca: implicaciones para la supervisión y la estabilidad financiera</w:t>
      </w:r>
      <w:r w:rsidRPr="00402E6B">
        <w:rPr>
          <w:rFonts w:ascii="Roboto" w:hAnsi="Roboto"/>
          <w:sz w:val="24"/>
          <w:lang w:eastAsia="es-ES"/>
        </w:rPr>
        <w:t xml:space="preserve">”, publicado en el sitio web del Banco de Pagos Internacionales (BIS), en la sección “Committees &amp; associations”, apartado “Basel Committee on Banking Supervision”, subsección “Publications”, señala dos canales de transmisión del fraude digital para la supervisión y la estabilidad financiera: (i) las pérdidas financieras para las entidades derivadas del fraude digital sufridas por las propias entidades directamente o debido a la necesidad de reembolsar a sus clientes y que podrían reducir los recursos de capital de los bancos, así como tener efectos indirectos sobre otras entidades; y (ii) los riesgos para la reputación de las entidades y los supervisores, derivados de </w:t>
      </w:r>
      <w:r w:rsidRPr="00402E6B">
        <w:rPr>
          <w:rFonts w:ascii="Roboto" w:hAnsi="Roboto"/>
          <w:sz w:val="24"/>
          <w:lang w:eastAsia="es-ES"/>
        </w:rPr>
        <w:lastRenderedPageBreak/>
        <w:t>incidentes de fraude digital de gran repercusión que podrían provocar una pérdida de confianza más amplia en el Sistema Financiero.</w:t>
      </w:r>
    </w:p>
    <w:p w14:paraId="6ACBCCAF" w14:textId="77777777" w:rsidR="00402E6B" w:rsidRPr="00402E6B" w:rsidRDefault="00402E6B" w:rsidP="00402E6B">
      <w:pPr>
        <w:spacing w:before="0" w:after="0" w:line="240" w:lineRule="auto"/>
        <w:rPr>
          <w:rFonts w:ascii="Roboto" w:hAnsi="Roboto"/>
          <w:sz w:val="24"/>
          <w:lang w:eastAsia="es-ES"/>
        </w:rPr>
      </w:pPr>
    </w:p>
    <w:p w14:paraId="448A628A" w14:textId="77777777" w:rsidR="00402E6B" w:rsidRDefault="00402E6B" w:rsidP="00402E6B">
      <w:pPr>
        <w:numPr>
          <w:ilvl w:val="0"/>
          <w:numId w:val="4"/>
        </w:numPr>
        <w:spacing w:before="0" w:after="0" w:line="240" w:lineRule="auto"/>
        <w:rPr>
          <w:rFonts w:ascii="Roboto" w:hAnsi="Roboto"/>
          <w:sz w:val="24"/>
          <w:lang w:eastAsia="es-ES"/>
        </w:rPr>
      </w:pPr>
      <w:r w:rsidRPr="00402E6B">
        <w:rPr>
          <w:rFonts w:ascii="Roboto" w:hAnsi="Roboto"/>
          <w:sz w:val="24"/>
          <w:lang w:eastAsia="es-ES"/>
        </w:rPr>
        <w:t>En el informe citado en el considerando anterior, el Comité de Supervisión Bancaria de Basilea señala que la mayoría de las jurisdicciones miembros del Comité han implementado iniciativas para hacer frente al fraude digital, tales como: (i) capacitación de los ciudadanos; (ii) requisitos y directrices sobre controles y protocolos de seguridad; (iii) supervisión de las prácticas de gestión del riesgo de fraude digital de los bancos; (iv) colaboración entre las partes interesadas para una respuesta ecosistémica y (v) cooperación transfronteriza.</w:t>
      </w:r>
    </w:p>
    <w:p w14:paraId="65FAF9E1" w14:textId="77777777" w:rsidR="00402E6B" w:rsidRPr="00402E6B" w:rsidRDefault="00402E6B" w:rsidP="00402E6B">
      <w:pPr>
        <w:spacing w:before="0" w:after="0" w:line="240" w:lineRule="auto"/>
        <w:rPr>
          <w:rFonts w:ascii="Roboto" w:hAnsi="Roboto"/>
          <w:sz w:val="24"/>
          <w:lang w:eastAsia="es-ES"/>
        </w:rPr>
      </w:pPr>
    </w:p>
    <w:p w14:paraId="0BF3305D" w14:textId="6D1639DD" w:rsidR="00402E6B" w:rsidRDefault="00402E6B" w:rsidP="00402E6B">
      <w:pPr>
        <w:numPr>
          <w:ilvl w:val="0"/>
          <w:numId w:val="9"/>
        </w:numPr>
        <w:spacing w:before="0" w:after="0" w:line="240" w:lineRule="auto"/>
        <w:rPr>
          <w:rFonts w:ascii="Roboto" w:hAnsi="Roboto"/>
          <w:b/>
          <w:bCs/>
          <w:i/>
          <w:iCs/>
          <w:sz w:val="24"/>
          <w:lang w:eastAsia="es-ES"/>
        </w:rPr>
      </w:pPr>
      <w:r w:rsidRPr="00402E6B">
        <w:rPr>
          <w:rFonts w:ascii="Roboto" w:hAnsi="Roboto"/>
          <w:b/>
          <w:bCs/>
          <w:i/>
          <w:iCs/>
          <w:sz w:val="24"/>
          <w:lang w:eastAsia="es-ES"/>
        </w:rPr>
        <w:t>Consideraciones sobre mecanismos de autenticación robusto</w:t>
      </w:r>
      <w:r>
        <w:rPr>
          <w:rFonts w:ascii="Roboto" w:hAnsi="Roboto"/>
          <w:b/>
          <w:bCs/>
          <w:i/>
          <w:iCs/>
          <w:sz w:val="24"/>
          <w:lang w:eastAsia="es-ES"/>
        </w:rPr>
        <w:t>s</w:t>
      </w:r>
    </w:p>
    <w:p w14:paraId="66836F42" w14:textId="77777777" w:rsidR="00402E6B" w:rsidRPr="00402E6B" w:rsidRDefault="00402E6B" w:rsidP="00402E6B">
      <w:pPr>
        <w:spacing w:before="0" w:after="0" w:line="240" w:lineRule="auto"/>
        <w:ind w:left="720"/>
        <w:rPr>
          <w:rFonts w:ascii="Roboto" w:hAnsi="Roboto"/>
          <w:b/>
          <w:bCs/>
          <w:i/>
          <w:iCs/>
          <w:sz w:val="24"/>
          <w:lang w:eastAsia="es-ES"/>
        </w:rPr>
      </w:pPr>
    </w:p>
    <w:p w14:paraId="0B93064D" w14:textId="77777777" w:rsidR="00402E6B" w:rsidRDefault="00402E6B" w:rsidP="00402E6B">
      <w:pPr>
        <w:numPr>
          <w:ilvl w:val="0"/>
          <w:numId w:val="4"/>
        </w:numPr>
        <w:spacing w:before="0" w:after="0" w:line="240" w:lineRule="auto"/>
        <w:rPr>
          <w:rFonts w:ascii="Roboto" w:hAnsi="Roboto"/>
          <w:sz w:val="24"/>
          <w:lang w:eastAsia="es-ES"/>
        </w:rPr>
      </w:pPr>
      <w:r w:rsidRPr="00402E6B">
        <w:rPr>
          <w:rFonts w:ascii="Roboto" w:hAnsi="Roboto"/>
          <w:sz w:val="24"/>
          <w:lang w:eastAsia="es-ES"/>
        </w:rPr>
        <w:t xml:space="preserve">Los factores de autenticación generalmente se basan en algo que el usuario conoce y a lo que se le denomina “factor de conocimiento”; algo que el usuario tiene, llamado “factor de posesión”; y algo que el usuario es, designado como “factor de inherencia”. Actualmente es ampliamente reconocido que los mecanismos de autenticación robustos funcionan combinando dos o más de dichos factores, siendo que no se consideran mecanismos de autenticación robustos aquellos que incorporan tecnologías basadas en información que puede ser transferible a un tercero y que permitan la suplantación de identidad del usuario financiero. </w:t>
      </w:r>
    </w:p>
    <w:p w14:paraId="2E3F5E72" w14:textId="77777777" w:rsidR="00402E6B" w:rsidRPr="00402E6B" w:rsidRDefault="00402E6B" w:rsidP="00402E6B">
      <w:pPr>
        <w:spacing w:before="0" w:after="0" w:line="240" w:lineRule="auto"/>
        <w:ind w:left="720"/>
        <w:rPr>
          <w:rFonts w:ascii="Roboto" w:hAnsi="Roboto"/>
          <w:sz w:val="24"/>
          <w:lang w:eastAsia="es-ES"/>
        </w:rPr>
      </w:pPr>
    </w:p>
    <w:p w14:paraId="22657963" w14:textId="77777777" w:rsidR="00402E6B" w:rsidRDefault="00402E6B" w:rsidP="00402E6B">
      <w:pPr>
        <w:numPr>
          <w:ilvl w:val="0"/>
          <w:numId w:val="4"/>
        </w:numPr>
        <w:spacing w:before="0" w:after="0" w:line="240" w:lineRule="auto"/>
        <w:rPr>
          <w:rFonts w:ascii="Roboto" w:hAnsi="Roboto"/>
          <w:sz w:val="24"/>
          <w:lang w:eastAsia="es-ES"/>
        </w:rPr>
      </w:pPr>
      <w:r w:rsidRPr="00402E6B">
        <w:rPr>
          <w:rFonts w:ascii="Roboto" w:hAnsi="Roboto"/>
          <w:sz w:val="24"/>
          <w:lang w:eastAsia="es-ES"/>
        </w:rPr>
        <w:t>Una forma efectiva de mitigar las estafas informáticas es mediante el uso de mecanismos de autenticación robustos que incorporan tecnologías basadas en dobles factores de autenticación, los cuales, permitan validar y verificar la identidad de los usuarios financieros cuando:</w:t>
      </w:r>
    </w:p>
    <w:p w14:paraId="1FA89B05" w14:textId="77777777" w:rsidR="00402E6B" w:rsidRPr="00402E6B" w:rsidRDefault="00402E6B" w:rsidP="00402E6B">
      <w:pPr>
        <w:spacing w:before="0" w:after="0" w:line="240" w:lineRule="auto"/>
        <w:rPr>
          <w:rFonts w:ascii="Roboto" w:hAnsi="Roboto"/>
          <w:sz w:val="24"/>
          <w:lang w:eastAsia="es-ES"/>
        </w:rPr>
      </w:pPr>
    </w:p>
    <w:p w14:paraId="29EE9465" w14:textId="77777777" w:rsidR="00402E6B" w:rsidRPr="00402E6B" w:rsidRDefault="00402E6B" w:rsidP="00402E6B">
      <w:pPr>
        <w:numPr>
          <w:ilvl w:val="1"/>
          <w:numId w:val="5"/>
        </w:numPr>
        <w:spacing w:before="0" w:after="120" w:line="240" w:lineRule="auto"/>
        <w:rPr>
          <w:rFonts w:ascii="Roboto" w:hAnsi="Roboto"/>
          <w:sz w:val="24"/>
          <w:lang w:eastAsia="es-ES"/>
        </w:rPr>
      </w:pPr>
      <w:r w:rsidRPr="00402E6B">
        <w:rPr>
          <w:rFonts w:ascii="Roboto" w:hAnsi="Roboto"/>
          <w:sz w:val="24"/>
          <w:lang w:eastAsia="es-ES"/>
        </w:rPr>
        <w:t>Ingresen a los canales digitales.</w:t>
      </w:r>
    </w:p>
    <w:p w14:paraId="40BFC0D5" w14:textId="77777777" w:rsidR="00402E6B" w:rsidRPr="00402E6B" w:rsidRDefault="00402E6B" w:rsidP="00402E6B">
      <w:pPr>
        <w:numPr>
          <w:ilvl w:val="1"/>
          <w:numId w:val="5"/>
        </w:numPr>
        <w:spacing w:before="0" w:after="120" w:line="240" w:lineRule="auto"/>
        <w:rPr>
          <w:rFonts w:ascii="Roboto" w:hAnsi="Roboto"/>
          <w:sz w:val="24"/>
          <w:lang w:eastAsia="es-ES"/>
        </w:rPr>
      </w:pPr>
      <w:r w:rsidRPr="00402E6B">
        <w:rPr>
          <w:rFonts w:ascii="Roboto" w:hAnsi="Roboto"/>
          <w:sz w:val="24"/>
          <w:lang w:eastAsia="es-ES"/>
        </w:rPr>
        <w:lastRenderedPageBreak/>
        <w:t xml:space="preserve">Ejecuten transacciones y acciones que conlleven riesgo en dichos canales, </w:t>
      </w:r>
    </w:p>
    <w:p w14:paraId="17557290" w14:textId="77777777" w:rsidR="00402E6B" w:rsidRPr="00402E6B" w:rsidRDefault="00402E6B" w:rsidP="00402E6B">
      <w:pPr>
        <w:numPr>
          <w:ilvl w:val="1"/>
          <w:numId w:val="5"/>
        </w:numPr>
        <w:spacing w:before="0" w:after="0" w:line="240" w:lineRule="auto"/>
        <w:contextualSpacing/>
        <w:rPr>
          <w:rFonts w:ascii="Roboto" w:hAnsi="Roboto"/>
          <w:sz w:val="24"/>
          <w:lang w:eastAsia="es-ES"/>
        </w:rPr>
      </w:pPr>
      <w:r w:rsidRPr="00402E6B">
        <w:rPr>
          <w:rFonts w:ascii="Roboto" w:hAnsi="Roboto"/>
          <w:sz w:val="24"/>
          <w:lang w:eastAsia="es-ES"/>
        </w:rPr>
        <w:t>Utilicen mecanismos de autogestión en los canales digitales.</w:t>
      </w:r>
    </w:p>
    <w:p w14:paraId="4418C738" w14:textId="77777777" w:rsidR="00402E6B" w:rsidRPr="00402E6B" w:rsidRDefault="00402E6B" w:rsidP="00402E6B">
      <w:pPr>
        <w:spacing w:before="0" w:line="240" w:lineRule="auto"/>
        <w:contextualSpacing/>
        <w:rPr>
          <w:rFonts w:ascii="Roboto" w:hAnsi="Roboto"/>
          <w:sz w:val="20"/>
          <w:szCs w:val="20"/>
          <w:lang w:eastAsia="es-ES"/>
        </w:rPr>
      </w:pPr>
    </w:p>
    <w:p w14:paraId="059F7F12" w14:textId="77777777" w:rsidR="00402E6B" w:rsidRDefault="00402E6B" w:rsidP="00402E6B">
      <w:pPr>
        <w:numPr>
          <w:ilvl w:val="0"/>
          <w:numId w:val="9"/>
        </w:numPr>
        <w:spacing w:before="0" w:after="0" w:line="240" w:lineRule="auto"/>
        <w:jc w:val="left"/>
        <w:rPr>
          <w:rFonts w:ascii="Roboto" w:hAnsi="Roboto"/>
          <w:b/>
          <w:bCs/>
          <w:i/>
          <w:iCs/>
          <w:sz w:val="24"/>
          <w:lang w:eastAsia="es-ES"/>
        </w:rPr>
      </w:pPr>
      <w:bookmarkStart w:id="9" w:name="_Toc152077944"/>
      <w:r w:rsidRPr="00402E6B">
        <w:rPr>
          <w:rFonts w:ascii="Roboto" w:hAnsi="Roboto"/>
          <w:b/>
          <w:bCs/>
          <w:i/>
          <w:iCs/>
          <w:sz w:val="24"/>
          <w:lang w:eastAsia="es-ES"/>
        </w:rPr>
        <w:t>Consideraciones sobre el fortalecimiento de los controles</w:t>
      </w:r>
      <w:bookmarkEnd w:id="9"/>
    </w:p>
    <w:p w14:paraId="0733FC24" w14:textId="77777777" w:rsidR="00402E6B" w:rsidRPr="00402E6B" w:rsidRDefault="00402E6B" w:rsidP="00402E6B">
      <w:pPr>
        <w:spacing w:before="0" w:after="0" w:line="240" w:lineRule="auto"/>
        <w:ind w:left="720"/>
        <w:jc w:val="left"/>
        <w:rPr>
          <w:rFonts w:ascii="Roboto" w:hAnsi="Roboto"/>
          <w:b/>
          <w:bCs/>
          <w:i/>
          <w:iCs/>
          <w:sz w:val="24"/>
          <w:lang w:eastAsia="es-ES"/>
        </w:rPr>
      </w:pPr>
    </w:p>
    <w:p w14:paraId="52DA9334" w14:textId="2E639EC6" w:rsidR="00402E6B" w:rsidRDefault="00402E6B" w:rsidP="00402E6B">
      <w:pPr>
        <w:numPr>
          <w:ilvl w:val="0"/>
          <w:numId w:val="4"/>
        </w:numPr>
        <w:spacing w:before="0" w:after="0" w:line="240" w:lineRule="auto"/>
        <w:rPr>
          <w:rFonts w:ascii="Roboto" w:hAnsi="Roboto"/>
          <w:sz w:val="24"/>
          <w:lang w:eastAsia="es-ES"/>
        </w:rPr>
      </w:pPr>
      <w:r w:rsidRPr="00402E6B">
        <w:rPr>
          <w:rFonts w:ascii="Roboto" w:hAnsi="Roboto"/>
          <w:sz w:val="24"/>
          <w:lang w:eastAsia="es-ES"/>
        </w:rPr>
        <w:t xml:space="preserve">El </w:t>
      </w:r>
      <w:r w:rsidRPr="00402E6B">
        <w:rPr>
          <w:rFonts w:ascii="Roboto" w:hAnsi="Roboto"/>
          <w:i/>
          <w:iCs/>
          <w:sz w:val="24"/>
          <w:lang w:eastAsia="es-ES"/>
        </w:rPr>
        <w:t>Reglamento sobre Administración Integral de Riesgos</w:t>
      </w:r>
      <w:r w:rsidRPr="00402E6B">
        <w:rPr>
          <w:rFonts w:ascii="Roboto" w:hAnsi="Roboto"/>
          <w:sz w:val="24"/>
          <w:lang w:eastAsia="es-ES"/>
        </w:rPr>
        <w:t>, Acuerdo SUGEF 2-10, aborda parcialmente la problemática de las estafas informáticas al tipificar categorías de eventos de pérdida por riesgo operativo. En lo concerniente a clientes, productos y prácticas empresariales, dicho Acuerdo se refiere a pérdidas derivadas del incumplimiento involuntario o negligente de una obligación empresarial frente a clientes concretos (incluidos requisitos fiduciarios y de adecuación), o de la naturaleza o diseño de un producto</w:t>
      </w:r>
      <w:r>
        <w:rPr>
          <w:rFonts w:ascii="Roboto" w:hAnsi="Roboto"/>
          <w:sz w:val="24"/>
          <w:lang w:eastAsia="es-ES"/>
        </w:rPr>
        <w:t>.</w:t>
      </w:r>
    </w:p>
    <w:p w14:paraId="22FE38D4" w14:textId="77777777" w:rsidR="00402E6B" w:rsidRPr="00402E6B" w:rsidRDefault="00402E6B" w:rsidP="00402E6B">
      <w:pPr>
        <w:spacing w:before="0" w:after="0" w:line="240" w:lineRule="auto"/>
        <w:ind w:left="720"/>
        <w:rPr>
          <w:rFonts w:ascii="Roboto" w:hAnsi="Roboto"/>
          <w:sz w:val="24"/>
          <w:lang w:eastAsia="es-ES"/>
        </w:rPr>
      </w:pPr>
    </w:p>
    <w:p w14:paraId="76AE3A26" w14:textId="02166BCD" w:rsidR="00402E6B" w:rsidRPr="00EE2C9F" w:rsidRDefault="00402E6B" w:rsidP="00EE2C9F">
      <w:pPr>
        <w:numPr>
          <w:ilvl w:val="0"/>
          <w:numId w:val="4"/>
        </w:numPr>
        <w:spacing w:before="0" w:after="0" w:line="240" w:lineRule="auto"/>
        <w:rPr>
          <w:rFonts w:ascii="Roboto" w:hAnsi="Roboto"/>
          <w:sz w:val="24"/>
          <w:lang w:eastAsia="es-ES"/>
        </w:rPr>
      </w:pPr>
      <w:r w:rsidRPr="00402E6B">
        <w:rPr>
          <w:rFonts w:ascii="Roboto" w:hAnsi="Roboto"/>
          <w:sz w:val="24"/>
          <w:lang w:eastAsia="es-ES"/>
        </w:rPr>
        <w:t>En lo que respecta al marco regulatorio sobre tecnología de información aprobado por el CONASSIF, también se aborda parcialmente lo referente a las estafas informáticas, dado que se enfoca principalmente al nivel de la gestión de los riesgos tecnológicos y la seguridad cibernética de las entidades.</w:t>
      </w:r>
    </w:p>
    <w:p w14:paraId="05D27A65" w14:textId="77777777" w:rsidR="00402E6B" w:rsidRPr="00402E6B" w:rsidRDefault="00402E6B" w:rsidP="00402E6B">
      <w:pPr>
        <w:spacing w:before="0" w:after="0" w:line="240" w:lineRule="auto"/>
        <w:ind w:left="720"/>
        <w:rPr>
          <w:rFonts w:ascii="Roboto" w:hAnsi="Roboto"/>
          <w:sz w:val="24"/>
          <w:lang w:eastAsia="es-ES"/>
        </w:rPr>
      </w:pPr>
    </w:p>
    <w:p w14:paraId="1DF65626" w14:textId="77777777" w:rsidR="00402E6B" w:rsidRPr="00402E6B" w:rsidRDefault="00402E6B" w:rsidP="00402E6B">
      <w:pPr>
        <w:numPr>
          <w:ilvl w:val="0"/>
          <w:numId w:val="4"/>
        </w:numPr>
        <w:spacing w:before="0" w:after="0" w:line="240" w:lineRule="auto"/>
        <w:rPr>
          <w:rFonts w:ascii="Roboto" w:hAnsi="Roboto"/>
          <w:sz w:val="24"/>
          <w:lang w:eastAsia="es-ES"/>
        </w:rPr>
      </w:pPr>
      <w:r w:rsidRPr="00402E6B">
        <w:rPr>
          <w:rFonts w:ascii="Roboto" w:hAnsi="Roboto"/>
          <w:sz w:val="24"/>
          <w:lang w:eastAsia="es-ES"/>
        </w:rPr>
        <w:t>Es conveniente que a las entidades supervisadas se les requiera gestionar expectativas y controles mínimos para prevenir y mitigar la ocurrencia de estafas informáticas en perjuicio de los usuarios financieros y que el regulador pueda verificar que la aplicación de tales medidas sea consistente entre entidades del sistema financiero. Además, es fundamental el despliegue de programas y campañas de educación en ciberhigiene digital dirigidas a los usuarios financieros, las cuales, incluyan aspectos de concientización de los usuarios para prevenir que sean víctimas de estafas informáticas.</w:t>
      </w:r>
    </w:p>
    <w:p w14:paraId="295748FC" w14:textId="77777777" w:rsidR="00402E6B" w:rsidRPr="00402E6B" w:rsidRDefault="00402E6B" w:rsidP="00402E6B">
      <w:pPr>
        <w:spacing w:before="0" w:after="0" w:line="240" w:lineRule="auto"/>
        <w:jc w:val="left"/>
        <w:rPr>
          <w:rFonts w:ascii="Roboto" w:hAnsi="Roboto"/>
          <w:b/>
          <w:bCs/>
          <w:i/>
          <w:iCs/>
          <w:sz w:val="24"/>
          <w:lang w:eastAsia="es-ES"/>
        </w:rPr>
      </w:pPr>
      <w:bookmarkStart w:id="10" w:name="_Toc142558597"/>
      <w:bookmarkStart w:id="11" w:name="_Toc151539639"/>
    </w:p>
    <w:p w14:paraId="1497BEA5" w14:textId="77777777" w:rsidR="00402E6B" w:rsidRDefault="00402E6B" w:rsidP="00402E6B">
      <w:pPr>
        <w:numPr>
          <w:ilvl w:val="0"/>
          <w:numId w:val="9"/>
        </w:numPr>
        <w:spacing w:before="0" w:after="0" w:line="240" w:lineRule="auto"/>
        <w:jc w:val="left"/>
        <w:rPr>
          <w:rFonts w:ascii="Roboto" w:hAnsi="Roboto"/>
          <w:b/>
          <w:bCs/>
          <w:i/>
          <w:iCs/>
          <w:sz w:val="24"/>
          <w:lang w:eastAsia="es-ES"/>
        </w:rPr>
      </w:pPr>
      <w:r w:rsidRPr="00402E6B">
        <w:rPr>
          <w:rFonts w:ascii="Roboto" w:hAnsi="Roboto"/>
          <w:b/>
          <w:bCs/>
          <w:i/>
          <w:iCs/>
          <w:sz w:val="24"/>
          <w:lang w:eastAsia="es-ES"/>
        </w:rPr>
        <w:lastRenderedPageBreak/>
        <w:t>Consideraciones de costo-beneficio</w:t>
      </w:r>
      <w:bookmarkEnd w:id="10"/>
      <w:bookmarkEnd w:id="11"/>
    </w:p>
    <w:p w14:paraId="49521B8B" w14:textId="77777777" w:rsidR="00402E6B" w:rsidRPr="00402E6B" w:rsidRDefault="00402E6B" w:rsidP="00402E6B">
      <w:pPr>
        <w:spacing w:before="0" w:after="0" w:line="240" w:lineRule="auto"/>
        <w:ind w:left="720"/>
        <w:jc w:val="left"/>
        <w:rPr>
          <w:rFonts w:ascii="Roboto" w:hAnsi="Roboto"/>
          <w:b/>
          <w:bCs/>
          <w:i/>
          <w:iCs/>
          <w:sz w:val="24"/>
          <w:lang w:eastAsia="es-ES"/>
        </w:rPr>
      </w:pPr>
    </w:p>
    <w:p w14:paraId="1C798447" w14:textId="77777777" w:rsidR="00402E6B" w:rsidRPr="00402E6B" w:rsidRDefault="00402E6B" w:rsidP="00402E6B">
      <w:pPr>
        <w:numPr>
          <w:ilvl w:val="0"/>
          <w:numId w:val="4"/>
        </w:numPr>
        <w:spacing w:before="0" w:after="0" w:line="240" w:lineRule="auto"/>
        <w:rPr>
          <w:rFonts w:ascii="Roboto" w:hAnsi="Roboto"/>
          <w:sz w:val="24"/>
          <w:lang w:eastAsia="es-ES"/>
        </w:rPr>
      </w:pPr>
      <w:r w:rsidRPr="00402E6B">
        <w:rPr>
          <w:rFonts w:ascii="Roboto" w:hAnsi="Roboto"/>
          <w:sz w:val="24"/>
          <w:lang w:eastAsia="es-ES"/>
        </w:rPr>
        <w:t xml:space="preserve">La evaluación costo-beneficio de la regulación se realiza de conformidad con lo establecido en los artículos 1 y 12 de la </w:t>
      </w:r>
      <w:r w:rsidRPr="00402E6B">
        <w:rPr>
          <w:rFonts w:ascii="Roboto" w:hAnsi="Roboto"/>
          <w:i/>
          <w:iCs/>
          <w:sz w:val="24"/>
          <w:lang w:eastAsia="es-ES"/>
        </w:rPr>
        <w:t>Ley Protección al Ciudadano del Exceso de Requisitos y Trámites Administrativos</w:t>
      </w:r>
      <w:r w:rsidRPr="00402E6B">
        <w:rPr>
          <w:rFonts w:ascii="Roboto" w:hAnsi="Roboto"/>
          <w:sz w:val="24"/>
          <w:lang w:eastAsia="es-ES"/>
        </w:rPr>
        <w:t xml:space="preserve">, Ley 8220 y en los artículos 12, 12 bis, 13, 13 bis y 56 al 60 bis del </w:t>
      </w:r>
      <w:r w:rsidRPr="00402E6B">
        <w:rPr>
          <w:rFonts w:ascii="Roboto" w:hAnsi="Roboto"/>
          <w:i/>
          <w:iCs/>
          <w:sz w:val="24"/>
          <w:lang w:eastAsia="es-ES"/>
        </w:rPr>
        <w:t>Reglamento a la Ley de Protección al Ciudadano del Exceso de Requisitos y Trámites Administrativos</w:t>
      </w:r>
      <w:r w:rsidRPr="00402E6B">
        <w:rPr>
          <w:rFonts w:ascii="Roboto" w:hAnsi="Roboto"/>
          <w:sz w:val="24"/>
          <w:lang w:eastAsia="es-ES"/>
        </w:rPr>
        <w:t>, 37045-MP-MEIC. Dicha regulación indica que la Administración Pública debe realizar un análisis de impacto regulatorio mediante una evaluación costo-beneficio antes de emitir cualquier nueva regulación o reformar las existentes, cuando establezcan trámites, requisitos y procedimientos que deba cumplir el administrado ante la Administración. De dicho análisis se determinó que la regulación no establece ni modifica trámites, requisitos o procedimientos que el administrado deba cumplir ante la Administración Central.</w:t>
      </w:r>
    </w:p>
    <w:p w14:paraId="29FE1587" w14:textId="77777777" w:rsidR="00402E6B" w:rsidRDefault="00402E6B" w:rsidP="00402E6B">
      <w:pPr>
        <w:spacing w:before="0" w:line="240" w:lineRule="auto"/>
        <w:jc w:val="left"/>
        <w:rPr>
          <w:rFonts w:ascii="Roboto" w:hAnsi="Roboto"/>
          <w:b/>
          <w:bCs/>
          <w:sz w:val="24"/>
          <w:lang w:eastAsia="es-CR"/>
        </w:rPr>
      </w:pPr>
    </w:p>
    <w:p w14:paraId="7CD46471" w14:textId="5EF81885" w:rsidR="00402E6B" w:rsidRPr="00402E6B" w:rsidRDefault="004365F4" w:rsidP="00402E6B">
      <w:pPr>
        <w:spacing w:before="0" w:line="240" w:lineRule="auto"/>
        <w:jc w:val="center"/>
        <w:rPr>
          <w:rFonts w:ascii="Roboto" w:hAnsi="Roboto"/>
          <w:b/>
          <w:bCs/>
          <w:sz w:val="24"/>
          <w:lang w:eastAsia="es-CR"/>
        </w:rPr>
      </w:pPr>
      <w:r w:rsidRPr="00402E6B">
        <w:rPr>
          <w:rFonts w:ascii="Roboto" w:hAnsi="Roboto"/>
          <w:b/>
          <w:bCs/>
          <w:sz w:val="24"/>
          <w:lang w:eastAsia="es-CR"/>
        </w:rPr>
        <w:t>DISPUSO:</w:t>
      </w:r>
    </w:p>
    <w:p w14:paraId="7B1E3C48" w14:textId="779B6B3D" w:rsidR="00402E6B" w:rsidRPr="00402E6B" w:rsidRDefault="004365F4" w:rsidP="00402E6B">
      <w:pPr>
        <w:spacing w:before="0" w:line="240" w:lineRule="auto"/>
        <w:rPr>
          <w:rFonts w:ascii="Roboto" w:hAnsi="Roboto"/>
          <w:b/>
          <w:bCs/>
          <w:sz w:val="24"/>
          <w:lang w:eastAsia="es-CR"/>
        </w:rPr>
      </w:pPr>
      <w:r>
        <w:rPr>
          <w:rFonts w:ascii="Roboto" w:hAnsi="Roboto"/>
          <w:b/>
          <w:bCs/>
          <w:sz w:val="24"/>
          <w:lang w:eastAsia="es-CR"/>
        </w:rPr>
        <w:t>A</w:t>
      </w:r>
      <w:r w:rsidR="00402E6B" w:rsidRPr="00402E6B">
        <w:rPr>
          <w:rFonts w:ascii="Roboto" w:hAnsi="Roboto"/>
          <w:b/>
          <w:bCs/>
          <w:sz w:val="24"/>
          <w:lang w:eastAsia="es-CR"/>
        </w:rPr>
        <w:t>probar el Reglamento sobre aspectos mínimos de control para prevenir y mitigar estafas informáticas en perjuicio de los usuarios financieros, Acuerdo SUGEF 5-26, de conformidad con el siguiente texto:</w:t>
      </w:r>
    </w:p>
    <w:p w14:paraId="51FB9276" w14:textId="77777777" w:rsidR="00402E6B" w:rsidRPr="00402E6B" w:rsidRDefault="00402E6B" w:rsidP="00402E6B">
      <w:pPr>
        <w:spacing w:before="0" w:line="240" w:lineRule="auto"/>
        <w:jc w:val="center"/>
        <w:rPr>
          <w:rFonts w:ascii="Roboto" w:hAnsi="Roboto"/>
          <w:b/>
          <w:bCs/>
          <w:sz w:val="24"/>
          <w:lang w:eastAsia="es-ES"/>
        </w:rPr>
      </w:pPr>
      <w:bookmarkStart w:id="12" w:name="_Toc152077946"/>
      <w:r w:rsidRPr="00402E6B">
        <w:rPr>
          <w:rFonts w:ascii="Roboto" w:hAnsi="Roboto"/>
          <w:b/>
          <w:bCs/>
          <w:i/>
          <w:iCs/>
          <w:sz w:val="24"/>
          <w:lang w:eastAsia="es-ES"/>
        </w:rPr>
        <w:t>REGLAMENTO SOBRE ASPECTOS MÍNIMOS DE CONTROL PARA PREVENIR Y MITIGAR ESTAFAS INFORMÁTICAS EN PERJUICIO DE LOS USUARIOS FINANCIERO</w:t>
      </w:r>
      <w:bookmarkEnd w:id="12"/>
      <w:r w:rsidRPr="00402E6B">
        <w:rPr>
          <w:rFonts w:ascii="Roboto" w:hAnsi="Roboto"/>
          <w:b/>
          <w:bCs/>
          <w:i/>
          <w:iCs/>
          <w:sz w:val="24"/>
          <w:lang w:eastAsia="es-ES"/>
        </w:rPr>
        <w:t>S, ACUERDO SUGEF 5-26</w:t>
      </w:r>
    </w:p>
    <w:p w14:paraId="3B2E9FE5" w14:textId="77777777" w:rsidR="00402E6B" w:rsidRPr="00402E6B" w:rsidRDefault="00402E6B" w:rsidP="00402E6B">
      <w:pPr>
        <w:spacing w:before="0" w:line="240" w:lineRule="auto"/>
        <w:jc w:val="center"/>
        <w:rPr>
          <w:rFonts w:ascii="Roboto" w:hAnsi="Roboto"/>
          <w:b/>
          <w:bCs/>
          <w:i/>
          <w:iCs/>
          <w:sz w:val="24"/>
          <w:lang w:eastAsia="es-ES"/>
        </w:rPr>
      </w:pPr>
      <w:r w:rsidRPr="00402E6B">
        <w:rPr>
          <w:rFonts w:ascii="Roboto" w:hAnsi="Roboto"/>
          <w:b/>
          <w:bCs/>
          <w:i/>
          <w:iCs/>
          <w:sz w:val="24"/>
          <w:lang w:eastAsia="es-ES"/>
        </w:rPr>
        <w:t>Capítulo I Disposiciones generales</w:t>
      </w:r>
    </w:p>
    <w:p w14:paraId="06B8E4AB" w14:textId="77777777" w:rsidR="00402E6B" w:rsidRPr="00402E6B" w:rsidRDefault="00402E6B" w:rsidP="00402E6B">
      <w:pPr>
        <w:spacing w:before="0" w:line="240" w:lineRule="auto"/>
        <w:rPr>
          <w:rFonts w:ascii="Roboto" w:hAnsi="Roboto"/>
          <w:b/>
          <w:bCs/>
          <w:i/>
          <w:iCs/>
          <w:sz w:val="24"/>
          <w:lang w:eastAsia="es-ES"/>
        </w:rPr>
      </w:pPr>
      <w:r w:rsidRPr="00402E6B">
        <w:rPr>
          <w:rFonts w:ascii="Roboto" w:hAnsi="Roboto"/>
          <w:b/>
          <w:bCs/>
          <w:i/>
          <w:iCs/>
          <w:sz w:val="24"/>
          <w:lang w:eastAsia="es-ES"/>
        </w:rPr>
        <w:t xml:space="preserve">Artículo 1. Objeto y alcance </w:t>
      </w:r>
    </w:p>
    <w:p w14:paraId="7E292ABE" w14:textId="77777777" w:rsidR="00402E6B" w:rsidRPr="00402E6B" w:rsidRDefault="00402E6B" w:rsidP="00402E6B">
      <w:pPr>
        <w:spacing w:before="0" w:line="240" w:lineRule="auto"/>
        <w:rPr>
          <w:rFonts w:ascii="Roboto" w:hAnsi="Roboto"/>
          <w:i/>
          <w:iCs/>
          <w:sz w:val="24"/>
          <w:lang w:eastAsia="es-ES"/>
        </w:rPr>
      </w:pPr>
      <w:r w:rsidRPr="00402E6B">
        <w:rPr>
          <w:rFonts w:ascii="Roboto" w:hAnsi="Roboto"/>
          <w:i/>
          <w:iCs/>
          <w:sz w:val="24"/>
          <w:lang w:eastAsia="es-ES"/>
        </w:rPr>
        <w:t xml:space="preserve">Este reglamento establece las disposiciones sobre los controles mínimos con que deben contar las entidades supervisadas por la SUGEF para prevenir y mitigar la </w:t>
      </w:r>
      <w:r w:rsidRPr="00402E6B">
        <w:rPr>
          <w:rFonts w:ascii="Roboto" w:hAnsi="Roboto"/>
          <w:i/>
          <w:iCs/>
          <w:sz w:val="24"/>
          <w:lang w:eastAsia="es-ES"/>
        </w:rPr>
        <w:lastRenderedPageBreak/>
        <w:t>ocurrencia de estafas informáticas en perjuicio de los usuarios financieros; así como las disposiciones para crear mayor conciencia y educación sobre ciberhigiene digital en los usuarios financieros para la prevención de estos eventos.</w:t>
      </w:r>
    </w:p>
    <w:p w14:paraId="0C59A4D3" w14:textId="77777777" w:rsidR="00402E6B" w:rsidRPr="00402E6B" w:rsidRDefault="00402E6B" w:rsidP="00402E6B">
      <w:pPr>
        <w:spacing w:before="0" w:line="240" w:lineRule="auto"/>
        <w:rPr>
          <w:rFonts w:ascii="Roboto" w:hAnsi="Roboto"/>
          <w:i/>
          <w:iCs/>
          <w:sz w:val="24"/>
          <w:lang w:eastAsia="es-ES"/>
        </w:rPr>
      </w:pPr>
      <w:r w:rsidRPr="00402E6B">
        <w:rPr>
          <w:rFonts w:ascii="Roboto" w:hAnsi="Roboto"/>
          <w:i/>
          <w:iCs/>
          <w:sz w:val="24"/>
          <w:lang w:eastAsia="es-ES"/>
        </w:rPr>
        <w:t>Este reglamento aplica a los casos de estafas informáticas que impliquen la sustracción de dinero o la afectación del patrimonio asociado a cuentas de fondos, así como a la inadecuada custodia de los fondos depositados en dichas cuentas, administradas por las entidades supervisadas.</w:t>
      </w:r>
    </w:p>
    <w:p w14:paraId="6614F869" w14:textId="77777777" w:rsidR="00402E6B" w:rsidRPr="00402E6B" w:rsidRDefault="00402E6B" w:rsidP="00402E6B">
      <w:pPr>
        <w:spacing w:before="0" w:line="240" w:lineRule="auto"/>
        <w:jc w:val="left"/>
        <w:rPr>
          <w:rFonts w:ascii="Roboto" w:hAnsi="Roboto"/>
          <w:b/>
          <w:bCs/>
          <w:i/>
          <w:iCs/>
          <w:sz w:val="24"/>
          <w:lang w:eastAsia="es-ES"/>
        </w:rPr>
      </w:pPr>
      <w:r w:rsidRPr="00402E6B">
        <w:rPr>
          <w:rFonts w:ascii="Roboto" w:hAnsi="Roboto"/>
          <w:b/>
          <w:bCs/>
          <w:i/>
          <w:iCs/>
          <w:sz w:val="24"/>
          <w:lang w:eastAsia="es-ES"/>
        </w:rPr>
        <w:t>Artículo 2. Definiciones</w:t>
      </w:r>
    </w:p>
    <w:p w14:paraId="4D8AB21B" w14:textId="77777777" w:rsidR="00402E6B" w:rsidRPr="00402E6B" w:rsidRDefault="00402E6B" w:rsidP="004365F4">
      <w:pPr>
        <w:spacing w:before="0" w:line="240" w:lineRule="auto"/>
        <w:rPr>
          <w:rFonts w:ascii="Roboto" w:hAnsi="Roboto"/>
          <w:i/>
          <w:iCs/>
          <w:sz w:val="24"/>
          <w:lang w:eastAsia="es-CR"/>
        </w:rPr>
      </w:pPr>
      <w:r w:rsidRPr="00402E6B">
        <w:rPr>
          <w:rFonts w:ascii="Roboto" w:hAnsi="Roboto"/>
          <w:i/>
          <w:iCs/>
          <w:sz w:val="24"/>
          <w:lang w:eastAsia="es-CR"/>
        </w:rPr>
        <w:t>Para efectos del presente reglamento se utilizan las siguientes definiciones y abreviaturas:</w:t>
      </w:r>
    </w:p>
    <w:p w14:paraId="5CDF871B" w14:textId="77777777" w:rsidR="00402E6B" w:rsidRPr="00402E6B" w:rsidRDefault="00402E6B" w:rsidP="004365F4">
      <w:pPr>
        <w:widowControl w:val="0"/>
        <w:numPr>
          <w:ilvl w:val="0"/>
          <w:numId w:val="8"/>
        </w:numPr>
        <w:autoSpaceDE w:val="0"/>
        <w:autoSpaceDN w:val="0"/>
        <w:spacing w:before="0" w:after="0" w:line="240" w:lineRule="auto"/>
        <w:rPr>
          <w:rFonts w:ascii="Roboto" w:hAnsi="Roboto"/>
          <w:b/>
          <w:bCs/>
          <w:i/>
          <w:iCs/>
          <w:sz w:val="24"/>
          <w:lang w:eastAsia="es-ES"/>
        </w:rPr>
      </w:pPr>
      <w:r w:rsidRPr="00402E6B">
        <w:rPr>
          <w:rFonts w:ascii="Roboto" w:hAnsi="Roboto"/>
          <w:b/>
          <w:bCs/>
          <w:i/>
          <w:iCs/>
          <w:sz w:val="24"/>
          <w:lang w:eastAsia="es-ES"/>
        </w:rPr>
        <w:t xml:space="preserve">Canales digitales: </w:t>
      </w:r>
      <w:r w:rsidRPr="00402E6B">
        <w:rPr>
          <w:rFonts w:ascii="Roboto" w:hAnsi="Roboto"/>
          <w:i/>
          <w:iCs/>
          <w:sz w:val="24"/>
          <w:lang w:eastAsia="es-ES"/>
        </w:rPr>
        <w:t>medios electrónicos puestos a disposición de los usuarios financieros por las entidades supervisadas para el acceso, consulta, gestión y ejecución de operaciones relacionadas con cuentas de fondos y los productos y servicios financieros asociados a estas, tales como aplicaciones móviles, sitios web, plataformas en línea, entre otros.</w:t>
      </w:r>
    </w:p>
    <w:p w14:paraId="064EF3B9" w14:textId="77777777" w:rsidR="00402E6B" w:rsidRDefault="00402E6B" w:rsidP="004365F4">
      <w:pPr>
        <w:widowControl w:val="0"/>
        <w:numPr>
          <w:ilvl w:val="0"/>
          <w:numId w:val="8"/>
        </w:numPr>
        <w:autoSpaceDE w:val="0"/>
        <w:autoSpaceDN w:val="0"/>
        <w:spacing w:before="0" w:after="0" w:line="240" w:lineRule="auto"/>
        <w:rPr>
          <w:rFonts w:ascii="Roboto" w:hAnsi="Roboto"/>
          <w:i/>
          <w:iCs/>
          <w:sz w:val="24"/>
          <w:lang w:eastAsia="es-ES"/>
        </w:rPr>
      </w:pPr>
      <w:r w:rsidRPr="00402E6B">
        <w:rPr>
          <w:rFonts w:ascii="Roboto" w:hAnsi="Roboto"/>
          <w:b/>
          <w:bCs/>
          <w:i/>
          <w:iCs/>
          <w:sz w:val="24"/>
          <w:lang w:eastAsia="es-ES"/>
        </w:rPr>
        <w:t>Ciberhigiene digital:</w:t>
      </w:r>
      <w:r w:rsidRPr="00402E6B">
        <w:rPr>
          <w:rFonts w:ascii="Roboto" w:hAnsi="Roboto"/>
          <w:i/>
          <w:iCs/>
          <w:sz w:val="24"/>
          <w:lang w:eastAsia="es-ES"/>
        </w:rPr>
        <w:t xml:space="preserve"> acciones que los usuarios pueden ejecutar para mejorar su seguridad en canales digitales y mantener su sistema protegido. Significa adoptar una mentalidad y unos hábitos centrados en la seguridad que ayuden a los usuarios financieros y las entidades supervisadas a mitigar posibles estafas informáticas.</w:t>
      </w:r>
    </w:p>
    <w:p w14:paraId="40524CC4" w14:textId="77777777" w:rsidR="004365F4" w:rsidRPr="00402E6B" w:rsidRDefault="004365F4" w:rsidP="004365F4">
      <w:pPr>
        <w:widowControl w:val="0"/>
        <w:autoSpaceDE w:val="0"/>
        <w:autoSpaceDN w:val="0"/>
        <w:spacing w:before="0" w:after="0" w:line="240" w:lineRule="auto"/>
        <w:ind w:left="777"/>
        <w:rPr>
          <w:rFonts w:ascii="Roboto" w:hAnsi="Roboto"/>
          <w:i/>
          <w:iCs/>
          <w:sz w:val="24"/>
          <w:lang w:eastAsia="es-ES"/>
        </w:rPr>
      </w:pPr>
    </w:p>
    <w:p w14:paraId="1DE8BCAD" w14:textId="77777777" w:rsidR="00402E6B" w:rsidRDefault="00402E6B" w:rsidP="004365F4">
      <w:pPr>
        <w:widowControl w:val="0"/>
        <w:numPr>
          <w:ilvl w:val="0"/>
          <w:numId w:val="8"/>
        </w:numPr>
        <w:autoSpaceDE w:val="0"/>
        <w:autoSpaceDN w:val="0"/>
        <w:spacing w:before="0" w:after="0" w:line="240" w:lineRule="auto"/>
        <w:rPr>
          <w:rFonts w:ascii="Roboto" w:hAnsi="Roboto"/>
          <w:i/>
          <w:iCs/>
          <w:sz w:val="24"/>
          <w:lang w:eastAsia="es-ES"/>
        </w:rPr>
      </w:pPr>
      <w:r w:rsidRPr="00402E6B">
        <w:rPr>
          <w:rFonts w:ascii="Roboto" w:hAnsi="Roboto"/>
          <w:b/>
          <w:bCs/>
          <w:i/>
          <w:iCs/>
          <w:sz w:val="24"/>
          <w:lang w:eastAsia="es-ES"/>
        </w:rPr>
        <w:t>Estafas informáticas:</w:t>
      </w:r>
      <w:r w:rsidRPr="00402E6B">
        <w:rPr>
          <w:rFonts w:ascii="Roboto" w:hAnsi="Roboto"/>
          <w:i/>
          <w:iCs/>
          <w:sz w:val="24"/>
          <w:lang w:eastAsia="es-ES"/>
        </w:rPr>
        <w:t xml:space="preserve"> manipulación o influencia en el ingreso, en el procesamiento o en el resultado de los datos de un sistema automatizado de información, ya sea mediante el uso de datos falsos o incompletos, el uso indebido de datos, programación, valiéndose de alguna operación informática o artificio tecnológico, o bien, por cualquier otra acción que incida en el procesamiento de los datos del sistema o que dé como resultado información </w:t>
      </w:r>
      <w:r w:rsidRPr="00402E6B">
        <w:rPr>
          <w:rFonts w:ascii="Roboto" w:hAnsi="Roboto"/>
          <w:i/>
          <w:iCs/>
          <w:sz w:val="24"/>
          <w:lang w:eastAsia="es-ES"/>
        </w:rPr>
        <w:lastRenderedPageBreak/>
        <w:t>falsa, incompleta o fraudulenta, con la cual procure u obtenga un beneficio patrimonial o indebido para sí o para otro,  en perjuicio de una persona física o jurídica.</w:t>
      </w:r>
    </w:p>
    <w:p w14:paraId="16A801B7" w14:textId="77777777" w:rsidR="004365F4" w:rsidRPr="00402E6B" w:rsidRDefault="004365F4" w:rsidP="004365F4">
      <w:pPr>
        <w:widowControl w:val="0"/>
        <w:autoSpaceDE w:val="0"/>
        <w:autoSpaceDN w:val="0"/>
        <w:spacing w:before="0" w:after="0" w:line="240" w:lineRule="auto"/>
        <w:rPr>
          <w:rFonts w:ascii="Roboto" w:hAnsi="Roboto"/>
          <w:i/>
          <w:iCs/>
          <w:sz w:val="24"/>
          <w:lang w:eastAsia="es-ES"/>
        </w:rPr>
      </w:pPr>
    </w:p>
    <w:p w14:paraId="049B02BB" w14:textId="77777777" w:rsidR="00402E6B" w:rsidRDefault="00402E6B" w:rsidP="004365F4">
      <w:pPr>
        <w:widowControl w:val="0"/>
        <w:numPr>
          <w:ilvl w:val="0"/>
          <w:numId w:val="8"/>
        </w:numPr>
        <w:autoSpaceDE w:val="0"/>
        <w:autoSpaceDN w:val="0"/>
        <w:spacing w:before="0" w:after="0" w:line="240" w:lineRule="auto"/>
        <w:rPr>
          <w:rFonts w:ascii="Roboto" w:hAnsi="Roboto"/>
          <w:i/>
          <w:iCs/>
          <w:sz w:val="24"/>
          <w:lang w:eastAsia="es-ES"/>
        </w:rPr>
      </w:pPr>
      <w:r w:rsidRPr="00402E6B">
        <w:rPr>
          <w:rFonts w:ascii="Roboto" w:hAnsi="Roboto"/>
          <w:b/>
          <w:bCs/>
          <w:i/>
          <w:iCs/>
          <w:sz w:val="24"/>
          <w:lang w:eastAsia="es-ES"/>
        </w:rPr>
        <w:t>Notificaciones push:</w:t>
      </w:r>
      <w:r w:rsidRPr="00402E6B">
        <w:rPr>
          <w:rFonts w:ascii="Roboto" w:hAnsi="Roboto"/>
          <w:i/>
          <w:iCs/>
          <w:sz w:val="24"/>
          <w:lang w:eastAsia="es-ES"/>
        </w:rPr>
        <w:t xml:space="preserve"> mensaje corto que aparece como una ventana emergente en el navegador del escritorio, pantalla de inicio del dispositivo móvil o en el centro de notificaciones del dispositivo desde una aplicación móvil. Suelen ser alertas de confirmación que muestran texto y medios enriquecidos, como imágenes o botones, que permiten a un usuario financiero realizar una acción específica.</w:t>
      </w:r>
    </w:p>
    <w:p w14:paraId="1341B7A1" w14:textId="77777777" w:rsidR="004365F4" w:rsidRPr="00402E6B" w:rsidRDefault="004365F4" w:rsidP="004365F4">
      <w:pPr>
        <w:widowControl w:val="0"/>
        <w:autoSpaceDE w:val="0"/>
        <w:autoSpaceDN w:val="0"/>
        <w:spacing w:before="0" w:after="0" w:line="240" w:lineRule="auto"/>
        <w:rPr>
          <w:rFonts w:ascii="Roboto" w:hAnsi="Roboto"/>
          <w:i/>
          <w:iCs/>
          <w:sz w:val="24"/>
          <w:lang w:eastAsia="es-ES"/>
        </w:rPr>
      </w:pPr>
    </w:p>
    <w:p w14:paraId="49C47728" w14:textId="77777777" w:rsidR="00402E6B" w:rsidRDefault="00402E6B" w:rsidP="004365F4">
      <w:pPr>
        <w:widowControl w:val="0"/>
        <w:numPr>
          <w:ilvl w:val="0"/>
          <w:numId w:val="8"/>
        </w:numPr>
        <w:autoSpaceDE w:val="0"/>
        <w:autoSpaceDN w:val="0"/>
        <w:spacing w:before="0" w:after="0" w:line="240" w:lineRule="auto"/>
        <w:rPr>
          <w:rFonts w:ascii="Roboto" w:hAnsi="Roboto"/>
          <w:i/>
          <w:iCs/>
          <w:sz w:val="24"/>
          <w:lang w:eastAsia="es-ES"/>
        </w:rPr>
      </w:pPr>
      <w:r w:rsidRPr="00402E6B">
        <w:rPr>
          <w:rFonts w:ascii="Roboto" w:hAnsi="Roboto"/>
          <w:b/>
          <w:bCs/>
          <w:i/>
          <w:iCs/>
          <w:sz w:val="24"/>
          <w:lang w:eastAsia="es-ES"/>
        </w:rPr>
        <w:t>Token:</w:t>
      </w:r>
      <w:r w:rsidRPr="00402E6B">
        <w:rPr>
          <w:rFonts w:ascii="Roboto" w:hAnsi="Roboto"/>
          <w:i/>
          <w:iCs/>
          <w:sz w:val="24"/>
          <w:lang w:eastAsia="es-ES"/>
        </w:rPr>
        <w:t xml:space="preserve"> elemento físico o digital que el usuario financiero utiliza en los canales digitales que las entidades supervisadas ponen a su disposición, el cual permite autenticar su identidad o validar operaciones, y que puede consistir en códigos, dispositivos o credenciales que generan o contienen información verificable.</w:t>
      </w:r>
    </w:p>
    <w:p w14:paraId="3AE24981" w14:textId="77777777" w:rsidR="004365F4" w:rsidRPr="00402E6B" w:rsidRDefault="004365F4" w:rsidP="004365F4">
      <w:pPr>
        <w:widowControl w:val="0"/>
        <w:autoSpaceDE w:val="0"/>
        <w:autoSpaceDN w:val="0"/>
        <w:spacing w:before="0" w:after="0" w:line="240" w:lineRule="auto"/>
        <w:rPr>
          <w:rFonts w:ascii="Roboto" w:hAnsi="Roboto"/>
          <w:i/>
          <w:iCs/>
          <w:sz w:val="24"/>
          <w:lang w:eastAsia="es-ES"/>
        </w:rPr>
      </w:pPr>
    </w:p>
    <w:p w14:paraId="111C0E5A" w14:textId="77777777" w:rsidR="00402E6B" w:rsidRDefault="00402E6B" w:rsidP="004365F4">
      <w:pPr>
        <w:widowControl w:val="0"/>
        <w:numPr>
          <w:ilvl w:val="0"/>
          <w:numId w:val="8"/>
        </w:numPr>
        <w:autoSpaceDE w:val="0"/>
        <w:autoSpaceDN w:val="0"/>
        <w:spacing w:before="0" w:after="0" w:line="240" w:lineRule="auto"/>
        <w:rPr>
          <w:rFonts w:ascii="Roboto" w:hAnsi="Roboto"/>
          <w:i/>
          <w:iCs/>
          <w:sz w:val="24"/>
          <w:lang w:eastAsia="es-ES"/>
        </w:rPr>
      </w:pPr>
      <w:r w:rsidRPr="00402E6B">
        <w:rPr>
          <w:rFonts w:ascii="Roboto" w:hAnsi="Roboto"/>
          <w:b/>
          <w:bCs/>
          <w:i/>
          <w:iCs/>
          <w:sz w:val="24"/>
          <w:lang w:eastAsia="es-ES"/>
        </w:rPr>
        <w:t>URL (Localizador de Recursos Uniforme por sus siglas en inglés):</w:t>
      </w:r>
      <w:r w:rsidRPr="00402E6B">
        <w:rPr>
          <w:rFonts w:ascii="Roboto" w:hAnsi="Roboto"/>
          <w:i/>
          <w:iCs/>
          <w:sz w:val="24"/>
          <w:lang w:eastAsia="es-ES"/>
        </w:rPr>
        <w:t xml:space="preserve"> Cadena de caracteres que se utiliza para identificar la ubicación de un recurso en internet, como una página web, una imagen, un archivo de audio o cualquier otro tipo de archivo disponible en la red.</w:t>
      </w:r>
    </w:p>
    <w:p w14:paraId="5D97C496" w14:textId="77777777" w:rsidR="004365F4" w:rsidRPr="00402E6B" w:rsidRDefault="004365F4" w:rsidP="004365F4">
      <w:pPr>
        <w:widowControl w:val="0"/>
        <w:autoSpaceDE w:val="0"/>
        <w:autoSpaceDN w:val="0"/>
        <w:spacing w:before="0" w:after="0" w:line="240" w:lineRule="auto"/>
        <w:rPr>
          <w:rFonts w:ascii="Roboto" w:hAnsi="Roboto"/>
          <w:i/>
          <w:iCs/>
          <w:sz w:val="24"/>
          <w:lang w:eastAsia="es-ES"/>
        </w:rPr>
      </w:pPr>
    </w:p>
    <w:p w14:paraId="7C5F5DD8" w14:textId="77777777" w:rsidR="00402E6B" w:rsidRDefault="00402E6B" w:rsidP="004365F4">
      <w:pPr>
        <w:widowControl w:val="0"/>
        <w:numPr>
          <w:ilvl w:val="0"/>
          <w:numId w:val="8"/>
        </w:numPr>
        <w:autoSpaceDE w:val="0"/>
        <w:autoSpaceDN w:val="0"/>
        <w:spacing w:before="0" w:after="0" w:line="240" w:lineRule="auto"/>
        <w:rPr>
          <w:rFonts w:ascii="Roboto" w:hAnsi="Roboto"/>
          <w:i/>
          <w:iCs/>
          <w:sz w:val="24"/>
          <w:lang w:eastAsia="es-ES"/>
        </w:rPr>
      </w:pPr>
      <w:r w:rsidRPr="00402E6B">
        <w:rPr>
          <w:rFonts w:ascii="Roboto" w:hAnsi="Roboto"/>
          <w:b/>
          <w:bCs/>
          <w:i/>
          <w:iCs/>
          <w:sz w:val="24"/>
          <w:lang w:eastAsia="es-ES"/>
        </w:rPr>
        <w:t>User agent:</w:t>
      </w:r>
      <w:r w:rsidRPr="00402E6B">
        <w:rPr>
          <w:rFonts w:ascii="Roboto" w:hAnsi="Roboto"/>
          <w:i/>
          <w:iCs/>
          <w:sz w:val="24"/>
          <w:lang w:eastAsia="es-ES"/>
        </w:rPr>
        <w:t xml:space="preserve"> programa o aplicación que actúa en nombre del usuario financiero al utilizar los canales digitales que las entidades supervisadas ponen a su disposición, y que proporciona información técnica sobre el usuario o el dispositivo desde el cual se accede a dichos canales, como el tipo de aplicación, el sistema operativo o el dispositivo utilizado.</w:t>
      </w:r>
    </w:p>
    <w:p w14:paraId="7C3DC84D" w14:textId="77777777" w:rsidR="004365F4" w:rsidRPr="00402E6B" w:rsidRDefault="004365F4" w:rsidP="004365F4">
      <w:pPr>
        <w:widowControl w:val="0"/>
        <w:autoSpaceDE w:val="0"/>
        <w:autoSpaceDN w:val="0"/>
        <w:spacing w:before="0" w:after="0" w:line="240" w:lineRule="auto"/>
        <w:rPr>
          <w:rFonts w:ascii="Roboto" w:hAnsi="Roboto"/>
          <w:i/>
          <w:iCs/>
          <w:sz w:val="24"/>
          <w:lang w:eastAsia="es-ES"/>
        </w:rPr>
      </w:pPr>
    </w:p>
    <w:p w14:paraId="71A02EC9" w14:textId="77777777" w:rsidR="00402E6B" w:rsidRDefault="00402E6B" w:rsidP="004365F4">
      <w:pPr>
        <w:widowControl w:val="0"/>
        <w:numPr>
          <w:ilvl w:val="0"/>
          <w:numId w:val="8"/>
        </w:numPr>
        <w:autoSpaceDE w:val="0"/>
        <w:autoSpaceDN w:val="0"/>
        <w:spacing w:before="0" w:after="0" w:line="240" w:lineRule="auto"/>
        <w:rPr>
          <w:rFonts w:ascii="Roboto" w:hAnsi="Roboto"/>
          <w:i/>
          <w:iCs/>
          <w:sz w:val="24"/>
          <w:lang w:eastAsia="es-ES"/>
        </w:rPr>
      </w:pPr>
      <w:r w:rsidRPr="00402E6B">
        <w:rPr>
          <w:rFonts w:ascii="Roboto" w:hAnsi="Roboto"/>
          <w:b/>
          <w:bCs/>
          <w:i/>
          <w:iCs/>
          <w:sz w:val="24"/>
          <w:lang w:eastAsia="es-ES"/>
        </w:rPr>
        <w:t>Usuario financiero:</w:t>
      </w:r>
      <w:r w:rsidRPr="00402E6B">
        <w:rPr>
          <w:rFonts w:ascii="Roboto" w:hAnsi="Roboto"/>
          <w:i/>
          <w:iCs/>
          <w:sz w:val="24"/>
          <w:lang w:eastAsia="es-ES"/>
        </w:rPr>
        <w:t xml:space="preserve"> Persona física o jurídica que utiliza un servicio o producto brindado por una entidad supervisada.</w:t>
      </w:r>
    </w:p>
    <w:p w14:paraId="097CBE5A" w14:textId="77777777" w:rsidR="004365F4" w:rsidRPr="00402E6B" w:rsidRDefault="004365F4" w:rsidP="004365F4">
      <w:pPr>
        <w:widowControl w:val="0"/>
        <w:autoSpaceDE w:val="0"/>
        <w:autoSpaceDN w:val="0"/>
        <w:spacing w:before="0" w:after="0" w:line="240" w:lineRule="auto"/>
        <w:rPr>
          <w:rFonts w:ascii="Roboto" w:hAnsi="Roboto"/>
          <w:i/>
          <w:iCs/>
          <w:sz w:val="24"/>
          <w:lang w:eastAsia="es-ES"/>
        </w:rPr>
      </w:pPr>
    </w:p>
    <w:p w14:paraId="292FD706" w14:textId="77777777" w:rsidR="00402E6B" w:rsidRPr="00402E6B" w:rsidRDefault="00402E6B" w:rsidP="004365F4">
      <w:pPr>
        <w:spacing w:before="0" w:line="240" w:lineRule="auto"/>
        <w:jc w:val="center"/>
        <w:rPr>
          <w:rFonts w:ascii="Roboto" w:hAnsi="Roboto"/>
          <w:b/>
          <w:bCs/>
          <w:i/>
          <w:iCs/>
          <w:sz w:val="24"/>
          <w:lang w:eastAsia="es-ES"/>
        </w:rPr>
      </w:pPr>
      <w:r w:rsidRPr="00402E6B">
        <w:rPr>
          <w:rFonts w:ascii="Roboto" w:hAnsi="Roboto"/>
          <w:b/>
          <w:bCs/>
          <w:i/>
          <w:iCs/>
          <w:sz w:val="24"/>
          <w:lang w:eastAsia="es-ES"/>
        </w:rPr>
        <w:lastRenderedPageBreak/>
        <w:t>Capítulo II Estrategia de mitigación y educación en ciberhigiene digital</w:t>
      </w:r>
    </w:p>
    <w:p w14:paraId="2B58BA5A" w14:textId="77777777" w:rsidR="00402E6B" w:rsidRPr="00402E6B" w:rsidRDefault="00402E6B" w:rsidP="004365F4">
      <w:pPr>
        <w:spacing w:before="0" w:line="240" w:lineRule="auto"/>
        <w:rPr>
          <w:rFonts w:ascii="Roboto" w:hAnsi="Roboto"/>
          <w:b/>
          <w:bCs/>
          <w:i/>
          <w:iCs/>
          <w:sz w:val="24"/>
          <w:lang w:eastAsia="es-ES"/>
        </w:rPr>
      </w:pPr>
      <w:bookmarkStart w:id="13" w:name="_Hlk152065234"/>
      <w:r w:rsidRPr="00402E6B">
        <w:rPr>
          <w:rFonts w:ascii="Roboto" w:hAnsi="Roboto"/>
          <w:b/>
          <w:bCs/>
          <w:i/>
          <w:iCs/>
          <w:sz w:val="24"/>
          <w:lang w:eastAsia="es-ES"/>
        </w:rPr>
        <w:t>Artículo 3. Estrategia de mitigación de estafas informáticas</w:t>
      </w:r>
    </w:p>
    <w:bookmarkEnd w:id="13"/>
    <w:p w14:paraId="05F1D8E1" w14:textId="77777777" w:rsidR="00402E6B" w:rsidRPr="00402E6B" w:rsidRDefault="00402E6B" w:rsidP="004365F4">
      <w:pPr>
        <w:spacing w:before="0" w:line="240" w:lineRule="auto"/>
        <w:rPr>
          <w:rFonts w:ascii="Roboto" w:hAnsi="Roboto"/>
          <w:i/>
          <w:iCs/>
          <w:sz w:val="24"/>
          <w:lang w:eastAsia="es-ES"/>
        </w:rPr>
      </w:pPr>
      <w:r w:rsidRPr="00402E6B">
        <w:rPr>
          <w:rFonts w:ascii="Roboto" w:hAnsi="Roboto"/>
          <w:i/>
          <w:iCs/>
          <w:sz w:val="24"/>
          <w:lang w:eastAsia="es-ES"/>
        </w:rPr>
        <w:t>Las entidades supervisadas deben establecer una estrategia para minimizar los riesgos de estafas informáticas en perjuicio de los usuarios financieros cuando estos utilizan los canales digitales que las entidades ponen a su disposición.</w:t>
      </w:r>
    </w:p>
    <w:p w14:paraId="2A19DC79" w14:textId="77777777" w:rsidR="00402E6B" w:rsidRPr="00402E6B" w:rsidRDefault="00402E6B" w:rsidP="004365F4">
      <w:pPr>
        <w:spacing w:before="0" w:line="240" w:lineRule="auto"/>
        <w:rPr>
          <w:rFonts w:ascii="Roboto" w:hAnsi="Roboto"/>
          <w:i/>
          <w:iCs/>
          <w:sz w:val="24"/>
          <w:lang w:eastAsia="es-ES"/>
        </w:rPr>
      </w:pPr>
      <w:bookmarkStart w:id="14" w:name="_Hlk165384215"/>
      <w:r w:rsidRPr="00402E6B">
        <w:rPr>
          <w:rFonts w:ascii="Roboto" w:hAnsi="Roboto"/>
          <w:i/>
          <w:iCs/>
          <w:sz w:val="24"/>
          <w:lang w:eastAsia="es-ES"/>
        </w:rPr>
        <w:t>Dicha estrategia debe estar enmarcada en una evaluación de riesgos, realizada de manera conjunta con las unidades de negocio y las funciones de control correspondientes, así como estar alineada con las políticas de seguridad de la entidad, a fin de determinar si los controles implementados son robustos para mitigar las tipologías de estafas informáticas que afectan a los usuarios financieros.</w:t>
      </w:r>
    </w:p>
    <w:p w14:paraId="3D2BD24B" w14:textId="77777777" w:rsidR="00402E6B" w:rsidRPr="00402E6B" w:rsidRDefault="00402E6B" w:rsidP="004365F4">
      <w:pPr>
        <w:spacing w:before="0" w:line="240" w:lineRule="auto"/>
        <w:rPr>
          <w:rFonts w:ascii="Roboto" w:hAnsi="Roboto"/>
          <w:i/>
          <w:iCs/>
          <w:color w:val="000000"/>
          <w:sz w:val="24"/>
          <w:lang w:eastAsia="es-ES"/>
        </w:rPr>
      </w:pPr>
      <w:bookmarkStart w:id="15" w:name="_Hlk165384003"/>
      <w:bookmarkEnd w:id="14"/>
      <w:r w:rsidRPr="00402E6B">
        <w:rPr>
          <w:rFonts w:ascii="Roboto" w:hAnsi="Roboto"/>
          <w:i/>
          <w:iCs/>
          <w:color w:val="000000"/>
          <w:sz w:val="24"/>
          <w:lang w:eastAsia="es-ES"/>
        </w:rPr>
        <w:t>La estrategia debe estar aprobada por el Órgano de Dirección. Además, dicha estrategia debe ser objeto de revisiones y actualizaciones de forma periódica según lo defina el Órgano de Dirección, a fin de identificar nuevos riesgos y nuevas tipologías de estafas informáticas que puedan afectar a los usuarios financieros.</w:t>
      </w:r>
    </w:p>
    <w:bookmarkEnd w:id="15"/>
    <w:p w14:paraId="552F53E6" w14:textId="77777777" w:rsidR="00402E6B" w:rsidRPr="00402E6B" w:rsidRDefault="00402E6B" w:rsidP="004365F4">
      <w:pPr>
        <w:spacing w:before="0" w:line="240" w:lineRule="auto"/>
        <w:rPr>
          <w:rFonts w:ascii="Roboto" w:hAnsi="Roboto"/>
          <w:i/>
          <w:iCs/>
          <w:sz w:val="24"/>
          <w:lang w:eastAsia="es-ES"/>
        </w:rPr>
      </w:pPr>
      <w:r w:rsidRPr="00402E6B">
        <w:rPr>
          <w:rFonts w:ascii="Roboto" w:hAnsi="Roboto"/>
          <w:i/>
          <w:iCs/>
          <w:sz w:val="24"/>
          <w:lang w:eastAsia="es-ES"/>
        </w:rPr>
        <w:t>La evaluación de riesgos debe actualizarse</w:t>
      </w:r>
      <w:r w:rsidRPr="00402E6B">
        <w:rPr>
          <w:rFonts w:ascii="Roboto" w:hAnsi="Roboto"/>
          <w:i/>
          <w:iCs/>
          <w:color w:val="4472C4"/>
          <w:sz w:val="24"/>
          <w:lang w:eastAsia="es-ES"/>
        </w:rPr>
        <w:t xml:space="preserve"> </w:t>
      </w:r>
      <w:r w:rsidRPr="00402E6B">
        <w:rPr>
          <w:rFonts w:ascii="Roboto" w:hAnsi="Roboto"/>
          <w:i/>
          <w:iCs/>
          <w:sz w:val="24"/>
          <w:lang w:eastAsia="es-ES"/>
        </w:rPr>
        <w:t xml:space="preserve">según la periodicidad que defina </w:t>
      </w:r>
      <w:r w:rsidRPr="00402E6B">
        <w:rPr>
          <w:rFonts w:ascii="Roboto" w:hAnsi="Roboto"/>
          <w:i/>
          <w:iCs/>
          <w:color w:val="000000"/>
          <w:sz w:val="24"/>
          <w:lang w:eastAsia="es-ES"/>
        </w:rPr>
        <w:t>el Órgano de Dirección</w:t>
      </w:r>
      <w:r w:rsidRPr="00402E6B">
        <w:rPr>
          <w:rFonts w:ascii="Roboto" w:hAnsi="Roboto"/>
          <w:i/>
          <w:iCs/>
          <w:sz w:val="24"/>
          <w:lang w:eastAsia="es-ES"/>
        </w:rPr>
        <w:t>. Sin perjuicio de lo anterior, la evaluación de riesgos debe actualizarse cuando la entidad supervisada ponga a disposición de los usuarios financieros el uso de nuevos canales digitales, cuando esta incursione en nuevos productos o servicios financieros, así como cuando se realicen cambios en los ya existentes.</w:t>
      </w:r>
    </w:p>
    <w:p w14:paraId="13B2716E" w14:textId="77777777" w:rsidR="00402E6B" w:rsidRPr="00402E6B" w:rsidRDefault="00402E6B" w:rsidP="00402E6B">
      <w:pPr>
        <w:spacing w:before="0" w:after="0" w:line="240" w:lineRule="auto"/>
        <w:jc w:val="left"/>
        <w:rPr>
          <w:rFonts w:ascii="Roboto" w:hAnsi="Roboto"/>
          <w:b/>
          <w:bCs/>
          <w:i/>
          <w:iCs/>
          <w:sz w:val="24"/>
          <w:lang w:eastAsia="es-ES"/>
        </w:rPr>
      </w:pPr>
      <w:bookmarkStart w:id="16" w:name="_Hlk152065251"/>
      <w:r w:rsidRPr="00402E6B">
        <w:rPr>
          <w:rFonts w:ascii="Roboto" w:hAnsi="Roboto"/>
          <w:b/>
          <w:bCs/>
          <w:i/>
          <w:iCs/>
          <w:sz w:val="24"/>
          <w:lang w:eastAsia="es-ES"/>
        </w:rPr>
        <w:t>Artículo 4. Identificación de nuevas tipologías de estafas informáticas</w:t>
      </w:r>
      <w:bookmarkEnd w:id="16"/>
    </w:p>
    <w:p w14:paraId="3FB63864" w14:textId="77777777" w:rsidR="00402E6B" w:rsidRPr="00402E6B" w:rsidRDefault="00402E6B" w:rsidP="00402E6B">
      <w:pPr>
        <w:spacing w:before="0" w:after="0" w:line="240" w:lineRule="auto"/>
        <w:jc w:val="left"/>
        <w:rPr>
          <w:rFonts w:ascii="Roboto" w:hAnsi="Roboto"/>
          <w:b/>
          <w:bCs/>
          <w:i/>
          <w:iCs/>
          <w:sz w:val="24"/>
          <w:lang w:eastAsia="es-ES"/>
        </w:rPr>
      </w:pPr>
    </w:p>
    <w:p w14:paraId="4C9E2D58" w14:textId="77777777" w:rsidR="00402E6B" w:rsidRPr="00402E6B" w:rsidRDefault="00402E6B" w:rsidP="00402E6B">
      <w:pPr>
        <w:spacing w:before="0" w:after="0" w:line="240" w:lineRule="auto"/>
        <w:jc w:val="left"/>
        <w:rPr>
          <w:rFonts w:ascii="Roboto" w:hAnsi="Roboto"/>
          <w:b/>
          <w:bCs/>
          <w:i/>
          <w:iCs/>
          <w:sz w:val="24"/>
          <w:lang w:eastAsia="es-ES"/>
        </w:rPr>
      </w:pPr>
      <w:r w:rsidRPr="00402E6B">
        <w:rPr>
          <w:rFonts w:ascii="Roboto" w:hAnsi="Roboto"/>
          <w:i/>
          <w:iCs/>
          <w:sz w:val="24"/>
          <w:lang w:eastAsia="es-ES"/>
        </w:rPr>
        <w:t xml:space="preserve">Como parte de la evaluación de riesgos, las entidades supervisadas deben establecer mecanismos basados en un análisis estadístico para identificar y mitigar la ocurrencia de nuevas </w:t>
      </w:r>
      <w:r w:rsidRPr="00402E6B">
        <w:rPr>
          <w:rFonts w:ascii="Roboto" w:hAnsi="Roboto"/>
          <w:i/>
          <w:iCs/>
          <w:color w:val="000000"/>
          <w:sz w:val="24"/>
          <w:lang w:eastAsia="es-ES"/>
        </w:rPr>
        <w:t xml:space="preserve">tipologías </w:t>
      </w:r>
      <w:r w:rsidRPr="00402E6B">
        <w:rPr>
          <w:rFonts w:ascii="Roboto" w:hAnsi="Roboto"/>
          <w:i/>
          <w:iCs/>
          <w:sz w:val="24"/>
          <w:lang w:eastAsia="es-ES"/>
        </w:rPr>
        <w:t>de estafas informáticas, así como monitorear la evolución de las existentes.</w:t>
      </w:r>
    </w:p>
    <w:p w14:paraId="6B3E5AB7" w14:textId="77777777" w:rsidR="00402E6B" w:rsidRPr="00402E6B" w:rsidRDefault="00402E6B" w:rsidP="00402E6B">
      <w:pPr>
        <w:spacing w:before="0" w:line="240" w:lineRule="auto"/>
        <w:rPr>
          <w:rFonts w:ascii="Roboto" w:hAnsi="Roboto"/>
          <w:i/>
          <w:iCs/>
          <w:sz w:val="24"/>
          <w:lang w:eastAsia="es-ES"/>
        </w:rPr>
      </w:pPr>
      <w:r w:rsidRPr="00402E6B">
        <w:rPr>
          <w:rFonts w:ascii="Roboto" w:hAnsi="Roboto"/>
          <w:i/>
          <w:iCs/>
          <w:sz w:val="24"/>
          <w:lang w:eastAsia="es-ES"/>
        </w:rPr>
        <w:lastRenderedPageBreak/>
        <w:t>Para el análisis estadístico, se deberán compilar, al menos, los siguientes datos que permitan segmentar información sobre el conocimiento de cada caso de estafa informática y la concentración o comportamiento:</w:t>
      </w:r>
    </w:p>
    <w:p w14:paraId="522AFED6" w14:textId="77777777" w:rsidR="00402E6B" w:rsidRPr="00402E6B" w:rsidRDefault="00402E6B" w:rsidP="00402E6B">
      <w:pPr>
        <w:widowControl w:val="0"/>
        <w:autoSpaceDE w:val="0"/>
        <w:autoSpaceDN w:val="0"/>
        <w:spacing w:before="0" w:after="120" w:line="240" w:lineRule="auto"/>
        <w:ind w:left="792" w:hanging="432"/>
        <w:rPr>
          <w:rFonts w:ascii="Roboto" w:hAnsi="Roboto"/>
          <w:i/>
          <w:iCs/>
          <w:sz w:val="24"/>
          <w:lang w:eastAsia="es-ES"/>
        </w:rPr>
      </w:pPr>
      <w:r w:rsidRPr="00402E6B">
        <w:rPr>
          <w:rFonts w:ascii="Roboto" w:hAnsi="Roboto"/>
          <w:i/>
          <w:iCs/>
          <w:sz w:val="24"/>
          <w:lang w:eastAsia="es-ES"/>
        </w:rPr>
        <w:t>a)</w:t>
      </w:r>
      <w:r w:rsidRPr="00402E6B">
        <w:rPr>
          <w:rFonts w:ascii="Roboto" w:hAnsi="Roboto"/>
          <w:i/>
          <w:iCs/>
          <w:sz w:val="24"/>
          <w:lang w:eastAsia="es-ES"/>
        </w:rPr>
        <w:tab/>
        <w:t>Monto defraudado.</w:t>
      </w:r>
    </w:p>
    <w:p w14:paraId="567F485C" w14:textId="77777777" w:rsidR="00402E6B" w:rsidRPr="00402E6B" w:rsidRDefault="00402E6B" w:rsidP="00402E6B">
      <w:pPr>
        <w:widowControl w:val="0"/>
        <w:autoSpaceDE w:val="0"/>
        <w:autoSpaceDN w:val="0"/>
        <w:spacing w:before="0" w:after="120" w:line="240" w:lineRule="auto"/>
        <w:ind w:left="792" w:hanging="432"/>
        <w:rPr>
          <w:rFonts w:ascii="Roboto" w:hAnsi="Roboto"/>
          <w:i/>
          <w:iCs/>
          <w:color w:val="000000"/>
          <w:sz w:val="24"/>
          <w:lang w:eastAsia="es-ES"/>
        </w:rPr>
      </w:pPr>
      <w:r w:rsidRPr="00402E6B">
        <w:rPr>
          <w:rFonts w:ascii="Roboto" w:hAnsi="Roboto"/>
          <w:i/>
          <w:iCs/>
          <w:sz w:val="24"/>
          <w:lang w:eastAsia="es-ES"/>
        </w:rPr>
        <w:t>b)</w:t>
      </w:r>
      <w:r w:rsidRPr="00402E6B">
        <w:rPr>
          <w:rFonts w:ascii="Roboto" w:hAnsi="Roboto"/>
          <w:i/>
          <w:iCs/>
          <w:sz w:val="24"/>
          <w:lang w:eastAsia="es-ES"/>
        </w:rPr>
        <w:tab/>
        <w:t xml:space="preserve">Factores de autenticación </w:t>
      </w:r>
      <w:r w:rsidRPr="00402E6B">
        <w:rPr>
          <w:rFonts w:ascii="Roboto" w:hAnsi="Roboto"/>
          <w:i/>
          <w:iCs/>
          <w:color w:val="000000"/>
          <w:sz w:val="24"/>
          <w:lang w:eastAsia="es-ES"/>
        </w:rPr>
        <w:t xml:space="preserve">que se utilizaron en el momento en que sucedió la estafa informática para ingresar, realizar transacciones o ejecutar acciones en los canales digitales.  </w:t>
      </w:r>
    </w:p>
    <w:p w14:paraId="6C07CB7C" w14:textId="77777777" w:rsidR="00402E6B" w:rsidRPr="00402E6B" w:rsidRDefault="00402E6B" w:rsidP="00402E6B">
      <w:pPr>
        <w:widowControl w:val="0"/>
        <w:autoSpaceDE w:val="0"/>
        <w:autoSpaceDN w:val="0"/>
        <w:spacing w:before="0" w:after="120" w:line="240" w:lineRule="auto"/>
        <w:ind w:left="792" w:hanging="432"/>
        <w:rPr>
          <w:rFonts w:ascii="Roboto" w:hAnsi="Roboto"/>
          <w:i/>
          <w:iCs/>
          <w:sz w:val="24"/>
          <w:lang w:eastAsia="es-ES"/>
        </w:rPr>
      </w:pPr>
      <w:r w:rsidRPr="00402E6B">
        <w:rPr>
          <w:rFonts w:ascii="Roboto" w:hAnsi="Roboto"/>
          <w:i/>
          <w:iCs/>
          <w:sz w:val="24"/>
          <w:lang w:eastAsia="es-ES"/>
        </w:rPr>
        <w:t>c)</w:t>
      </w:r>
      <w:r w:rsidRPr="00402E6B">
        <w:rPr>
          <w:rFonts w:ascii="Roboto" w:hAnsi="Roboto"/>
          <w:i/>
          <w:iCs/>
          <w:sz w:val="24"/>
          <w:lang w:eastAsia="es-ES"/>
        </w:rPr>
        <w:tab/>
        <w:t>Tipología de estafa informática. Las entidades supervisadas deben definir las tipologías de estafas informáticas.</w:t>
      </w:r>
    </w:p>
    <w:p w14:paraId="02163AA1" w14:textId="77777777" w:rsidR="00402E6B" w:rsidRPr="00402E6B" w:rsidRDefault="00402E6B" w:rsidP="00402E6B">
      <w:pPr>
        <w:widowControl w:val="0"/>
        <w:autoSpaceDE w:val="0"/>
        <w:autoSpaceDN w:val="0"/>
        <w:spacing w:before="0" w:after="120" w:line="240" w:lineRule="auto"/>
        <w:ind w:left="792" w:hanging="432"/>
        <w:rPr>
          <w:rFonts w:ascii="Roboto" w:hAnsi="Roboto"/>
          <w:i/>
          <w:iCs/>
          <w:sz w:val="24"/>
          <w:lang w:eastAsia="es-ES"/>
        </w:rPr>
      </w:pPr>
      <w:r w:rsidRPr="00402E6B">
        <w:rPr>
          <w:rFonts w:ascii="Roboto" w:hAnsi="Roboto"/>
          <w:i/>
          <w:iCs/>
          <w:sz w:val="24"/>
          <w:lang w:eastAsia="es-ES"/>
        </w:rPr>
        <w:t>d)</w:t>
      </w:r>
      <w:r w:rsidRPr="00402E6B">
        <w:rPr>
          <w:rFonts w:ascii="Roboto" w:hAnsi="Roboto"/>
          <w:i/>
          <w:iCs/>
          <w:sz w:val="24"/>
          <w:lang w:eastAsia="es-ES"/>
        </w:rPr>
        <w:tab/>
        <w:t>Medio o canal utilizado para la estafa informática.</w:t>
      </w:r>
    </w:p>
    <w:p w14:paraId="29D3D93A" w14:textId="77777777" w:rsidR="00402E6B" w:rsidRPr="00402E6B" w:rsidRDefault="00402E6B" w:rsidP="00402E6B">
      <w:pPr>
        <w:widowControl w:val="0"/>
        <w:autoSpaceDE w:val="0"/>
        <w:autoSpaceDN w:val="0"/>
        <w:spacing w:before="0" w:after="120" w:line="240" w:lineRule="auto"/>
        <w:ind w:left="792" w:hanging="432"/>
        <w:rPr>
          <w:rFonts w:ascii="Roboto" w:hAnsi="Roboto"/>
          <w:i/>
          <w:iCs/>
          <w:sz w:val="24"/>
          <w:lang w:eastAsia="es-ES"/>
        </w:rPr>
      </w:pPr>
      <w:r w:rsidRPr="00402E6B">
        <w:rPr>
          <w:rFonts w:ascii="Roboto" w:hAnsi="Roboto"/>
          <w:i/>
          <w:iCs/>
          <w:sz w:val="24"/>
          <w:lang w:eastAsia="es-ES"/>
        </w:rPr>
        <w:t>e)</w:t>
      </w:r>
      <w:r w:rsidRPr="00402E6B">
        <w:rPr>
          <w:rFonts w:ascii="Roboto" w:hAnsi="Roboto"/>
          <w:i/>
          <w:iCs/>
          <w:sz w:val="24"/>
          <w:lang w:eastAsia="es-ES"/>
        </w:rPr>
        <w:tab/>
        <w:t>Descripción de la estafa informática.</w:t>
      </w:r>
    </w:p>
    <w:p w14:paraId="3F415C64" w14:textId="77777777" w:rsidR="00402E6B" w:rsidRPr="00402E6B" w:rsidRDefault="00402E6B" w:rsidP="00402E6B">
      <w:pPr>
        <w:widowControl w:val="0"/>
        <w:autoSpaceDE w:val="0"/>
        <w:autoSpaceDN w:val="0"/>
        <w:spacing w:before="0" w:after="120" w:line="240" w:lineRule="auto"/>
        <w:ind w:left="792" w:hanging="432"/>
        <w:rPr>
          <w:rFonts w:ascii="Roboto" w:hAnsi="Roboto"/>
          <w:i/>
          <w:iCs/>
          <w:sz w:val="24"/>
          <w:lang w:eastAsia="es-ES"/>
        </w:rPr>
      </w:pPr>
      <w:r w:rsidRPr="00402E6B">
        <w:rPr>
          <w:rFonts w:ascii="Roboto" w:hAnsi="Roboto"/>
          <w:i/>
          <w:iCs/>
          <w:sz w:val="24"/>
          <w:lang w:eastAsia="es-ES"/>
        </w:rPr>
        <w:t>f)</w:t>
      </w:r>
      <w:r w:rsidRPr="00402E6B">
        <w:rPr>
          <w:rFonts w:ascii="Roboto" w:hAnsi="Roboto"/>
          <w:i/>
          <w:iCs/>
          <w:sz w:val="24"/>
          <w:lang w:eastAsia="es-ES"/>
        </w:rPr>
        <w:tab/>
        <w:t>Rango de edad del usuario financiero.</w:t>
      </w:r>
    </w:p>
    <w:p w14:paraId="49823C66" w14:textId="77777777" w:rsidR="00402E6B" w:rsidRPr="00402E6B" w:rsidRDefault="00402E6B" w:rsidP="00402E6B">
      <w:pPr>
        <w:widowControl w:val="0"/>
        <w:autoSpaceDE w:val="0"/>
        <w:autoSpaceDN w:val="0"/>
        <w:spacing w:before="0" w:after="120" w:line="240" w:lineRule="auto"/>
        <w:ind w:left="792" w:hanging="432"/>
        <w:rPr>
          <w:rFonts w:ascii="Roboto" w:hAnsi="Roboto"/>
          <w:i/>
          <w:iCs/>
          <w:sz w:val="24"/>
          <w:lang w:eastAsia="es-ES"/>
        </w:rPr>
      </w:pPr>
      <w:r w:rsidRPr="00402E6B">
        <w:rPr>
          <w:rFonts w:ascii="Roboto" w:hAnsi="Roboto"/>
          <w:i/>
          <w:iCs/>
          <w:sz w:val="24"/>
          <w:lang w:eastAsia="es-ES"/>
        </w:rPr>
        <w:t>g)</w:t>
      </w:r>
      <w:r w:rsidRPr="00402E6B">
        <w:rPr>
          <w:rFonts w:ascii="Roboto" w:hAnsi="Roboto"/>
          <w:i/>
          <w:iCs/>
          <w:sz w:val="24"/>
          <w:lang w:eastAsia="es-ES"/>
        </w:rPr>
        <w:tab/>
        <w:t>El día de la semana y franja horaria en que ocurrió la estafa informática.</w:t>
      </w:r>
    </w:p>
    <w:p w14:paraId="2453E741" w14:textId="77777777" w:rsidR="00402E6B" w:rsidRPr="00402E6B" w:rsidRDefault="00402E6B" w:rsidP="00402E6B">
      <w:pPr>
        <w:widowControl w:val="0"/>
        <w:autoSpaceDE w:val="0"/>
        <w:autoSpaceDN w:val="0"/>
        <w:spacing w:before="0" w:after="120" w:line="240" w:lineRule="auto"/>
        <w:ind w:left="792" w:hanging="432"/>
        <w:rPr>
          <w:rFonts w:ascii="Roboto" w:hAnsi="Roboto"/>
          <w:i/>
          <w:iCs/>
          <w:sz w:val="24"/>
          <w:lang w:eastAsia="es-ES"/>
        </w:rPr>
      </w:pPr>
      <w:r w:rsidRPr="00402E6B">
        <w:rPr>
          <w:rFonts w:ascii="Roboto" w:hAnsi="Roboto"/>
          <w:i/>
          <w:iCs/>
          <w:sz w:val="24"/>
          <w:lang w:eastAsia="es-ES"/>
        </w:rPr>
        <w:t>h)</w:t>
      </w:r>
      <w:r w:rsidRPr="00402E6B">
        <w:rPr>
          <w:rFonts w:ascii="Roboto" w:hAnsi="Roboto"/>
          <w:i/>
          <w:iCs/>
          <w:sz w:val="24"/>
          <w:lang w:eastAsia="es-ES"/>
        </w:rPr>
        <w:tab/>
        <w:t>Fecha de reporte de la estafa informática.</w:t>
      </w:r>
    </w:p>
    <w:p w14:paraId="41DB660E" w14:textId="77777777" w:rsidR="00402E6B" w:rsidRPr="00402E6B" w:rsidRDefault="00402E6B" w:rsidP="00402E6B">
      <w:pPr>
        <w:widowControl w:val="0"/>
        <w:autoSpaceDE w:val="0"/>
        <w:autoSpaceDN w:val="0"/>
        <w:spacing w:before="0" w:line="240" w:lineRule="auto"/>
        <w:ind w:left="782" w:hanging="425"/>
        <w:rPr>
          <w:rFonts w:ascii="Roboto" w:hAnsi="Roboto"/>
          <w:i/>
          <w:iCs/>
          <w:sz w:val="24"/>
          <w:lang w:eastAsia="es-ES"/>
        </w:rPr>
      </w:pPr>
      <w:r w:rsidRPr="00402E6B">
        <w:rPr>
          <w:rFonts w:ascii="Roboto" w:hAnsi="Roboto"/>
          <w:i/>
          <w:iCs/>
          <w:sz w:val="24"/>
          <w:lang w:eastAsia="es-ES"/>
        </w:rPr>
        <w:t>i)</w:t>
      </w:r>
      <w:r w:rsidRPr="00402E6B">
        <w:rPr>
          <w:rFonts w:ascii="Roboto" w:hAnsi="Roboto"/>
          <w:i/>
          <w:iCs/>
          <w:sz w:val="24"/>
          <w:lang w:eastAsia="es-ES"/>
        </w:rPr>
        <w:tab/>
        <w:t>Fecha de resolución del caso.</w:t>
      </w:r>
    </w:p>
    <w:p w14:paraId="18E6FED4" w14:textId="77777777" w:rsidR="00402E6B" w:rsidRPr="00402E6B" w:rsidRDefault="00402E6B" w:rsidP="00402E6B">
      <w:pPr>
        <w:spacing w:before="0" w:line="240" w:lineRule="auto"/>
        <w:rPr>
          <w:rFonts w:ascii="Roboto" w:hAnsi="Roboto"/>
          <w:i/>
          <w:iCs/>
          <w:sz w:val="24"/>
          <w:lang w:eastAsia="es-ES"/>
        </w:rPr>
      </w:pPr>
      <w:bookmarkStart w:id="17" w:name="_Hlk152065242"/>
      <w:bookmarkStart w:id="18" w:name="_Hlk165464325"/>
      <w:r w:rsidRPr="00402E6B">
        <w:rPr>
          <w:rFonts w:ascii="Roboto" w:hAnsi="Roboto"/>
          <w:i/>
          <w:iCs/>
          <w:sz w:val="24"/>
          <w:lang w:eastAsia="es-ES"/>
        </w:rPr>
        <w:t>La información indicada deberá mantenerse a disposición de la SUGEF y remitirse en la forma, periodicidad y formato que esta disponga, con el fin de construir y actualizar indicadores recurrentes sobre la eficacia y eficiencia de las entidades supervisadas en la prevención y mitigación de estafas informáticas, fraudes electrónicos y rebajos no autorizados.</w:t>
      </w:r>
    </w:p>
    <w:p w14:paraId="70CAD963" w14:textId="77777777" w:rsidR="00402E6B" w:rsidRPr="00402E6B" w:rsidRDefault="00402E6B" w:rsidP="00402E6B">
      <w:pPr>
        <w:spacing w:before="0" w:line="240" w:lineRule="auto"/>
        <w:jc w:val="left"/>
        <w:rPr>
          <w:rFonts w:ascii="Roboto" w:hAnsi="Roboto"/>
          <w:b/>
          <w:bCs/>
          <w:i/>
          <w:iCs/>
          <w:sz w:val="24"/>
          <w:lang w:eastAsia="es-ES"/>
        </w:rPr>
      </w:pPr>
      <w:r w:rsidRPr="00402E6B">
        <w:rPr>
          <w:rFonts w:ascii="Roboto" w:hAnsi="Roboto"/>
          <w:b/>
          <w:bCs/>
          <w:i/>
          <w:iCs/>
          <w:sz w:val="24"/>
          <w:lang w:eastAsia="es-ES"/>
        </w:rPr>
        <w:t>Artículo 5. Educación al usuario financiero en ciberhigiene digital</w:t>
      </w:r>
    </w:p>
    <w:p w14:paraId="3102AB05" w14:textId="77777777" w:rsidR="00402E6B" w:rsidRPr="00402E6B" w:rsidRDefault="00402E6B" w:rsidP="00402E6B">
      <w:pPr>
        <w:spacing w:before="0" w:line="240" w:lineRule="auto"/>
        <w:rPr>
          <w:rFonts w:ascii="Roboto" w:hAnsi="Roboto"/>
          <w:i/>
          <w:iCs/>
          <w:sz w:val="24"/>
          <w:lang w:eastAsia="es-ES"/>
        </w:rPr>
      </w:pPr>
      <w:bookmarkStart w:id="19" w:name="_Hlk155612124"/>
      <w:bookmarkEnd w:id="17"/>
      <w:r w:rsidRPr="00402E6B">
        <w:rPr>
          <w:rFonts w:ascii="Roboto" w:hAnsi="Roboto"/>
          <w:i/>
          <w:iCs/>
          <w:sz w:val="24"/>
          <w:lang w:eastAsia="es-ES"/>
        </w:rPr>
        <w:t xml:space="preserve">Las entidades supervisadas deben establecer un programa de educación en ciberhigiene digital para el uso de los servicios y canales digitales, dirigido a los usuarios financieros. Dicho programa debe incluir aspectos relacionados </w:t>
      </w:r>
      <w:r w:rsidRPr="00402E6B">
        <w:rPr>
          <w:rFonts w:ascii="Roboto" w:hAnsi="Roboto"/>
          <w:i/>
          <w:iCs/>
          <w:color w:val="000000"/>
          <w:sz w:val="24"/>
          <w:lang w:eastAsia="es-ES"/>
        </w:rPr>
        <w:t xml:space="preserve">con </w:t>
      </w:r>
      <w:r w:rsidRPr="00402E6B">
        <w:rPr>
          <w:rFonts w:ascii="Roboto" w:hAnsi="Roboto"/>
          <w:i/>
          <w:iCs/>
          <w:color w:val="000000"/>
          <w:sz w:val="24"/>
          <w:lang w:eastAsia="es-ES"/>
        </w:rPr>
        <w:lastRenderedPageBreak/>
        <w:t xml:space="preserve">capacitación, asesoría y concientización </w:t>
      </w:r>
      <w:r w:rsidRPr="00402E6B">
        <w:rPr>
          <w:rFonts w:ascii="Roboto" w:hAnsi="Roboto"/>
          <w:i/>
          <w:iCs/>
          <w:sz w:val="24"/>
          <w:lang w:eastAsia="es-ES"/>
        </w:rPr>
        <w:t>de los usuarios financieros para prevenir que sean objeto de estafas informáticas; además, será responsabilidad de las entidades supervisadas definir el alcance del programa.</w:t>
      </w:r>
    </w:p>
    <w:bookmarkEnd w:id="19"/>
    <w:p w14:paraId="4E67A2A0" w14:textId="77777777" w:rsidR="00402E6B" w:rsidRPr="00402E6B" w:rsidRDefault="00402E6B" w:rsidP="00402E6B">
      <w:pPr>
        <w:spacing w:before="0" w:line="240" w:lineRule="auto"/>
        <w:rPr>
          <w:rFonts w:ascii="Roboto" w:hAnsi="Roboto"/>
          <w:i/>
          <w:iCs/>
          <w:sz w:val="24"/>
          <w:lang w:eastAsia="es-ES"/>
        </w:rPr>
      </w:pPr>
      <w:r w:rsidRPr="00402E6B">
        <w:rPr>
          <w:rFonts w:ascii="Roboto" w:hAnsi="Roboto"/>
          <w:i/>
          <w:iCs/>
          <w:sz w:val="24"/>
          <w:lang w:eastAsia="es-ES"/>
        </w:rPr>
        <w:t>El programa de educación en ciberhigiene digital debe implementarse de forma permanente, mediante canales de comunicación y debe considerar, al menos, los siguientes aspectos:</w:t>
      </w:r>
    </w:p>
    <w:p w14:paraId="78D6BCB9" w14:textId="77777777" w:rsidR="00402E6B" w:rsidRPr="00402E6B" w:rsidRDefault="00402E6B" w:rsidP="00402E6B">
      <w:pPr>
        <w:widowControl w:val="0"/>
        <w:autoSpaceDE w:val="0"/>
        <w:autoSpaceDN w:val="0"/>
        <w:spacing w:before="0" w:line="240" w:lineRule="auto"/>
        <w:ind w:left="782" w:hanging="425"/>
        <w:rPr>
          <w:rFonts w:ascii="Roboto" w:hAnsi="Roboto"/>
          <w:i/>
          <w:iCs/>
          <w:sz w:val="24"/>
          <w:lang w:eastAsia="es-ES"/>
        </w:rPr>
      </w:pPr>
      <w:r w:rsidRPr="00402E6B">
        <w:rPr>
          <w:rFonts w:ascii="Roboto" w:hAnsi="Roboto"/>
          <w:i/>
          <w:iCs/>
          <w:sz w:val="24"/>
          <w:lang w:eastAsia="es-ES"/>
        </w:rPr>
        <w:t>a)</w:t>
      </w:r>
      <w:r w:rsidRPr="00402E6B">
        <w:rPr>
          <w:rFonts w:ascii="Roboto" w:hAnsi="Roboto"/>
          <w:i/>
          <w:iCs/>
          <w:sz w:val="24"/>
          <w:lang w:eastAsia="es-ES"/>
        </w:rPr>
        <w:tab/>
        <w:t>Riesgos asociados con el uso de productos y servicios por medio de canales digitales, tipologías existentes de estafas informáticas, así como los derechos y obligaciones de los usuarios financieros en relación con los productos y servicios suministrados.</w:t>
      </w:r>
    </w:p>
    <w:p w14:paraId="6112F4EC" w14:textId="77777777" w:rsidR="00402E6B" w:rsidRPr="00402E6B" w:rsidRDefault="00402E6B" w:rsidP="00402E6B">
      <w:pPr>
        <w:widowControl w:val="0"/>
        <w:autoSpaceDE w:val="0"/>
        <w:autoSpaceDN w:val="0"/>
        <w:spacing w:before="0" w:line="240" w:lineRule="auto"/>
        <w:ind w:left="782" w:hanging="425"/>
        <w:rPr>
          <w:rFonts w:ascii="Roboto" w:hAnsi="Roboto"/>
          <w:i/>
          <w:iCs/>
          <w:sz w:val="24"/>
          <w:lang w:eastAsia="es-ES"/>
        </w:rPr>
      </w:pPr>
      <w:r w:rsidRPr="00402E6B">
        <w:rPr>
          <w:rFonts w:ascii="Roboto" w:hAnsi="Roboto"/>
          <w:i/>
          <w:iCs/>
          <w:sz w:val="24"/>
          <w:lang w:eastAsia="es-ES"/>
        </w:rPr>
        <w:t>b)</w:t>
      </w:r>
      <w:r w:rsidRPr="00402E6B">
        <w:rPr>
          <w:rFonts w:ascii="Roboto" w:hAnsi="Roboto"/>
          <w:i/>
          <w:iCs/>
          <w:sz w:val="24"/>
          <w:lang w:eastAsia="es-ES"/>
        </w:rPr>
        <w:tab/>
      </w:r>
      <w:r w:rsidRPr="00402E6B">
        <w:rPr>
          <w:rFonts w:ascii="Roboto" w:hAnsi="Roboto"/>
          <w:i/>
          <w:iCs/>
          <w:color w:val="000000"/>
          <w:sz w:val="24"/>
          <w:lang w:eastAsia="es-ES"/>
        </w:rPr>
        <w:t>Posibles</w:t>
      </w:r>
      <w:r w:rsidRPr="00402E6B">
        <w:rPr>
          <w:rFonts w:ascii="Roboto" w:hAnsi="Roboto"/>
          <w:i/>
          <w:iCs/>
          <w:sz w:val="24"/>
          <w:lang w:eastAsia="es-ES"/>
        </w:rPr>
        <w:t xml:space="preserve"> prácticas delictivas que utilizan los estafadores para obtener información confidencial de los usuarios financieros.</w:t>
      </w:r>
    </w:p>
    <w:p w14:paraId="2F4AFB58" w14:textId="77777777" w:rsidR="00402E6B" w:rsidRPr="00402E6B" w:rsidRDefault="00402E6B" w:rsidP="00402E6B">
      <w:pPr>
        <w:widowControl w:val="0"/>
        <w:autoSpaceDE w:val="0"/>
        <w:autoSpaceDN w:val="0"/>
        <w:spacing w:before="0" w:line="240" w:lineRule="auto"/>
        <w:ind w:left="782" w:hanging="425"/>
        <w:rPr>
          <w:rFonts w:ascii="Roboto" w:hAnsi="Roboto"/>
          <w:i/>
          <w:iCs/>
          <w:sz w:val="24"/>
          <w:lang w:eastAsia="es-ES"/>
        </w:rPr>
      </w:pPr>
      <w:r w:rsidRPr="00402E6B">
        <w:rPr>
          <w:rFonts w:ascii="Roboto" w:hAnsi="Roboto"/>
          <w:i/>
          <w:iCs/>
          <w:sz w:val="24"/>
          <w:lang w:eastAsia="es-ES"/>
        </w:rPr>
        <w:t>c)</w:t>
      </w:r>
      <w:r w:rsidRPr="00402E6B">
        <w:rPr>
          <w:rFonts w:ascii="Roboto" w:hAnsi="Roboto"/>
          <w:i/>
          <w:iCs/>
          <w:sz w:val="24"/>
          <w:lang w:eastAsia="es-ES"/>
        </w:rPr>
        <w:tab/>
        <w:t>Prácticas de protección de las credenciales del usuario financiero, así como aspectos a considerar para la adquisición de seguros o coberturas contra estafas informáticas, entre otras tipologías emergentes.</w:t>
      </w:r>
    </w:p>
    <w:p w14:paraId="6A99313D" w14:textId="77777777" w:rsidR="00402E6B" w:rsidRPr="00402E6B" w:rsidRDefault="00402E6B" w:rsidP="00402E6B">
      <w:pPr>
        <w:widowControl w:val="0"/>
        <w:autoSpaceDE w:val="0"/>
        <w:autoSpaceDN w:val="0"/>
        <w:spacing w:before="0" w:line="240" w:lineRule="auto"/>
        <w:ind w:left="782" w:hanging="425"/>
        <w:rPr>
          <w:rFonts w:ascii="Roboto" w:hAnsi="Roboto"/>
          <w:i/>
          <w:iCs/>
          <w:sz w:val="24"/>
          <w:lang w:eastAsia="es-ES"/>
        </w:rPr>
      </w:pPr>
      <w:bookmarkStart w:id="20" w:name="_Hlk165467738"/>
      <w:r w:rsidRPr="00402E6B">
        <w:rPr>
          <w:rFonts w:ascii="Roboto" w:hAnsi="Roboto"/>
          <w:i/>
          <w:iCs/>
          <w:sz w:val="24"/>
          <w:lang w:eastAsia="es-ES"/>
        </w:rPr>
        <w:t>d)</w:t>
      </w:r>
      <w:r w:rsidRPr="00402E6B">
        <w:rPr>
          <w:rFonts w:ascii="Roboto" w:hAnsi="Roboto"/>
          <w:i/>
          <w:iCs/>
          <w:sz w:val="24"/>
          <w:lang w:eastAsia="es-ES"/>
        </w:rPr>
        <w:tab/>
        <w:t xml:space="preserve">Concientización a los usuarios financieros sobre información y </w:t>
      </w:r>
      <w:r w:rsidRPr="00402E6B">
        <w:rPr>
          <w:rFonts w:ascii="Roboto" w:hAnsi="Roboto"/>
          <w:i/>
          <w:iCs/>
          <w:color w:val="000000"/>
          <w:sz w:val="24"/>
          <w:lang w:eastAsia="es-ES"/>
        </w:rPr>
        <w:t>acciones relacionadas con sus productos financieros, las cuales, la entidad supervisada nunca les solicitará por medio de canales digitales o llamadas telefónicas.</w:t>
      </w:r>
    </w:p>
    <w:bookmarkEnd w:id="20"/>
    <w:p w14:paraId="1202DBF0" w14:textId="77777777" w:rsidR="00402E6B" w:rsidRPr="00402E6B" w:rsidRDefault="00402E6B" w:rsidP="00402E6B">
      <w:pPr>
        <w:widowControl w:val="0"/>
        <w:autoSpaceDE w:val="0"/>
        <w:autoSpaceDN w:val="0"/>
        <w:spacing w:before="0" w:line="240" w:lineRule="auto"/>
        <w:ind w:left="782" w:hanging="425"/>
        <w:rPr>
          <w:rFonts w:ascii="Roboto" w:hAnsi="Roboto"/>
          <w:i/>
          <w:iCs/>
          <w:sz w:val="24"/>
          <w:lang w:eastAsia="es-ES"/>
        </w:rPr>
      </w:pPr>
      <w:r w:rsidRPr="00402E6B">
        <w:rPr>
          <w:rFonts w:ascii="Roboto" w:hAnsi="Roboto"/>
          <w:i/>
          <w:iCs/>
          <w:sz w:val="24"/>
          <w:lang w:eastAsia="es-ES"/>
        </w:rPr>
        <w:t>e)</w:t>
      </w:r>
      <w:r w:rsidRPr="00402E6B">
        <w:rPr>
          <w:rFonts w:ascii="Roboto" w:hAnsi="Roboto"/>
          <w:i/>
          <w:iCs/>
          <w:sz w:val="24"/>
          <w:lang w:eastAsia="es-ES"/>
        </w:rPr>
        <w:tab/>
        <w:t>Protección del correo electrónico que el usuario financiero tiene registrado para uso de los canales digitales de la entidad supervisada, así como la protección por medio de factores de autenticación robustos y el uso de contraseñas seguras.</w:t>
      </w:r>
    </w:p>
    <w:p w14:paraId="12BC3373" w14:textId="77777777" w:rsidR="00402E6B" w:rsidRPr="00402E6B" w:rsidRDefault="00402E6B" w:rsidP="00402E6B">
      <w:pPr>
        <w:widowControl w:val="0"/>
        <w:autoSpaceDE w:val="0"/>
        <w:autoSpaceDN w:val="0"/>
        <w:spacing w:before="0" w:line="240" w:lineRule="auto"/>
        <w:ind w:left="782" w:hanging="425"/>
        <w:rPr>
          <w:rFonts w:ascii="Roboto" w:hAnsi="Roboto"/>
          <w:i/>
          <w:iCs/>
          <w:sz w:val="24"/>
          <w:lang w:eastAsia="es-ES"/>
        </w:rPr>
      </w:pPr>
      <w:r w:rsidRPr="00402E6B">
        <w:rPr>
          <w:rFonts w:ascii="Roboto" w:hAnsi="Roboto"/>
          <w:i/>
          <w:iCs/>
          <w:sz w:val="24"/>
          <w:lang w:eastAsia="es-ES"/>
        </w:rPr>
        <w:t>f)</w:t>
      </w:r>
      <w:r w:rsidRPr="00402E6B">
        <w:rPr>
          <w:rFonts w:ascii="Roboto" w:hAnsi="Roboto"/>
          <w:i/>
          <w:iCs/>
          <w:sz w:val="24"/>
          <w:lang w:eastAsia="es-ES"/>
        </w:rPr>
        <w:tab/>
        <w:t xml:space="preserve">Recomendaciones para que el usuario financiero pueda detectar un ataque de secuestro de número telefónico (SIM Swapping), a fin de identificar la suplantación de su tarjeta SIM y aplicar oportunamente el bloqueo de las </w:t>
      </w:r>
      <w:r w:rsidRPr="00402E6B">
        <w:rPr>
          <w:rFonts w:ascii="Roboto" w:hAnsi="Roboto"/>
          <w:i/>
          <w:iCs/>
          <w:sz w:val="24"/>
          <w:lang w:eastAsia="es-ES"/>
        </w:rPr>
        <w:lastRenderedPageBreak/>
        <w:t>cuentas de fondos.</w:t>
      </w:r>
    </w:p>
    <w:p w14:paraId="590E6B2A" w14:textId="77777777" w:rsidR="00402E6B" w:rsidRPr="00402E6B" w:rsidRDefault="00402E6B" w:rsidP="00402E6B">
      <w:pPr>
        <w:widowControl w:val="0"/>
        <w:autoSpaceDE w:val="0"/>
        <w:autoSpaceDN w:val="0"/>
        <w:spacing w:before="0" w:line="240" w:lineRule="auto"/>
        <w:ind w:left="782" w:hanging="425"/>
        <w:rPr>
          <w:rFonts w:ascii="Roboto" w:hAnsi="Roboto"/>
          <w:i/>
          <w:iCs/>
          <w:color w:val="4472C4"/>
          <w:sz w:val="24"/>
          <w:lang w:eastAsia="es-ES"/>
        </w:rPr>
      </w:pPr>
      <w:r w:rsidRPr="00402E6B">
        <w:rPr>
          <w:rFonts w:ascii="Roboto" w:hAnsi="Roboto"/>
          <w:i/>
          <w:iCs/>
          <w:sz w:val="24"/>
          <w:lang w:eastAsia="es-ES"/>
        </w:rPr>
        <w:t>g)</w:t>
      </w:r>
      <w:r w:rsidRPr="00402E6B">
        <w:rPr>
          <w:rFonts w:ascii="Roboto" w:hAnsi="Roboto"/>
          <w:i/>
          <w:iCs/>
          <w:sz w:val="24"/>
          <w:lang w:eastAsia="es-ES"/>
        </w:rPr>
        <w:tab/>
        <w:t xml:space="preserve">Promover el uso de los canales digitales oficiales de la entidad supervisada. En el caso de aplicaciones, los usuarios financieros deberán estar enterados que la aplicación oficial de la entidad se debe descargar desde las tiendas oficiales de aplicaciones móviles o desde el sitio que la entidad supervisada indique. </w:t>
      </w:r>
      <w:r w:rsidRPr="00402E6B">
        <w:rPr>
          <w:rFonts w:ascii="Roboto" w:hAnsi="Roboto"/>
          <w:i/>
          <w:iCs/>
          <w:color w:val="000000"/>
          <w:sz w:val="24"/>
          <w:lang w:eastAsia="es-ES"/>
        </w:rPr>
        <w:t>Además, se debe recomendar a los usuarios financieros que el acceso a los sitios web oficiales de la entidad se realice digitando las direcciones electrónicas y evitar hacerlo por medio de enlaces o buscadores de internet.</w:t>
      </w:r>
    </w:p>
    <w:p w14:paraId="1932006E" w14:textId="77777777" w:rsidR="00402E6B" w:rsidRPr="00402E6B" w:rsidRDefault="00402E6B" w:rsidP="00402E6B">
      <w:pPr>
        <w:widowControl w:val="0"/>
        <w:autoSpaceDE w:val="0"/>
        <w:autoSpaceDN w:val="0"/>
        <w:spacing w:before="0" w:line="240" w:lineRule="auto"/>
        <w:ind w:left="782" w:hanging="425"/>
        <w:rPr>
          <w:rFonts w:ascii="Roboto" w:hAnsi="Roboto"/>
          <w:i/>
          <w:iCs/>
          <w:sz w:val="24"/>
          <w:lang w:eastAsia="es-ES"/>
        </w:rPr>
      </w:pPr>
      <w:r w:rsidRPr="00402E6B">
        <w:rPr>
          <w:rFonts w:ascii="Roboto" w:hAnsi="Roboto"/>
          <w:i/>
          <w:iCs/>
          <w:sz w:val="24"/>
          <w:lang w:eastAsia="es-ES"/>
        </w:rPr>
        <w:t>h)</w:t>
      </w:r>
      <w:r w:rsidRPr="00402E6B">
        <w:rPr>
          <w:rFonts w:ascii="Roboto" w:hAnsi="Roboto"/>
          <w:i/>
          <w:iCs/>
          <w:sz w:val="24"/>
          <w:lang w:eastAsia="es-ES"/>
        </w:rPr>
        <w:tab/>
        <w:t>Orientación a los usuarios financieros para que sean capaces de reconocer una URL fraudulenta, cuentas falsas en productos de mensajería, llamadas fraudulentas, correos falsos, instalación de aplicaciones solicitadas por los estafadores, uso de software pirata, así como para el uso de productos antimalware o antivirus y los riesgos de utilizar redes públicas.</w:t>
      </w:r>
    </w:p>
    <w:p w14:paraId="2E472B18" w14:textId="77777777" w:rsidR="00402E6B" w:rsidRPr="00402E6B" w:rsidRDefault="00402E6B" w:rsidP="00402E6B">
      <w:pPr>
        <w:spacing w:before="0" w:line="240" w:lineRule="auto"/>
        <w:rPr>
          <w:rFonts w:ascii="Roboto" w:hAnsi="Roboto"/>
          <w:i/>
          <w:iCs/>
          <w:color w:val="000000"/>
          <w:sz w:val="24"/>
          <w:lang w:eastAsia="es-ES"/>
        </w:rPr>
      </w:pPr>
      <w:r w:rsidRPr="00402E6B">
        <w:rPr>
          <w:rFonts w:ascii="Roboto" w:hAnsi="Roboto"/>
          <w:i/>
          <w:iCs/>
          <w:color w:val="000000"/>
          <w:sz w:val="24"/>
          <w:lang w:eastAsia="es-ES"/>
        </w:rPr>
        <w:t>Además,</w:t>
      </w:r>
      <w:r w:rsidRPr="00402E6B">
        <w:rPr>
          <w:rFonts w:ascii="Roboto" w:hAnsi="Roboto"/>
          <w:b/>
          <w:bCs/>
          <w:i/>
          <w:iCs/>
          <w:color w:val="000000"/>
          <w:sz w:val="24"/>
          <w:lang w:eastAsia="es-ES"/>
        </w:rPr>
        <w:t xml:space="preserve"> </w:t>
      </w:r>
      <w:r w:rsidRPr="00402E6B">
        <w:rPr>
          <w:rFonts w:ascii="Roboto" w:hAnsi="Roboto"/>
          <w:i/>
          <w:iCs/>
          <w:color w:val="000000"/>
          <w:sz w:val="24"/>
          <w:lang w:eastAsia="es-ES"/>
        </w:rPr>
        <w:t>las entidades supervisadas deben desarrollar sus propias campañas de concientización para prevenir que los usuarios financieros sean objeto de estafas informáticas, de conformidad con los aspectos particulares de sus canales digitales, sean estos propios o tercerizados, así como del tamaño, enfoque de negocio y complejidad de las operaciones de la organización. Lo anterior, sin perjuicio de las campañas de concientización que desarrollen los gremios de los que forman parte.</w:t>
      </w:r>
    </w:p>
    <w:bookmarkEnd w:id="18"/>
    <w:p w14:paraId="7B4CF4DB" w14:textId="77777777" w:rsidR="00402E6B" w:rsidRPr="00402E6B" w:rsidRDefault="00402E6B" w:rsidP="00402E6B">
      <w:pPr>
        <w:spacing w:before="0" w:after="0" w:line="240" w:lineRule="auto"/>
        <w:jc w:val="center"/>
        <w:rPr>
          <w:rFonts w:ascii="Roboto" w:hAnsi="Roboto"/>
          <w:b/>
          <w:bCs/>
          <w:i/>
          <w:iCs/>
          <w:sz w:val="24"/>
          <w:lang w:eastAsia="es-ES"/>
        </w:rPr>
      </w:pPr>
    </w:p>
    <w:p w14:paraId="525A7E27" w14:textId="77777777" w:rsidR="00402E6B" w:rsidRPr="00402E6B" w:rsidRDefault="00402E6B" w:rsidP="00402E6B">
      <w:pPr>
        <w:spacing w:before="0" w:after="0" w:line="240" w:lineRule="auto"/>
        <w:jc w:val="center"/>
        <w:rPr>
          <w:rFonts w:ascii="Roboto" w:hAnsi="Roboto"/>
          <w:b/>
          <w:bCs/>
          <w:i/>
          <w:iCs/>
          <w:sz w:val="24"/>
          <w:lang w:eastAsia="es-ES"/>
        </w:rPr>
      </w:pPr>
      <w:r w:rsidRPr="00402E6B">
        <w:rPr>
          <w:rFonts w:ascii="Roboto" w:hAnsi="Roboto"/>
          <w:b/>
          <w:bCs/>
          <w:i/>
          <w:iCs/>
          <w:sz w:val="24"/>
          <w:lang w:eastAsia="es-ES"/>
        </w:rPr>
        <w:t>Capítulo III Responsabilidad de la entidad supervisada</w:t>
      </w:r>
    </w:p>
    <w:p w14:paraId="74A67D19" w14:textId="77777777" w:rsidR="00402E6B" w:rsidRPr="00402E6B" w:rsidRDefault="00402E6B" w:rsidP="00402E6B">
      <w:pPr>
        <w:spacing w:before="0" w:after="0" w:line="240" w:lineRule="auto"/>
        <w:jc w:val="center"/>
        <w:rPr>
          <w:rFonts w:ascii="Roboto" w:hAnsi="Roboto"/>
          <w:b/>
          <w:bCs/>
          <w:i/>
          <w:iCs/>
          <w:sz w:val="24"/>
          <w:lang w:eastAsia="es-ES"/>
        </w:rPr>
      </w:pPr>
    </w:p>
    <w:p w14:paraId="321A2D9B" w14:textId="77777777" w:rsidR="00402E6B" w:rsidRPr="00402E6B" w:rsidRDefault="00402E6B" w:rsidP="00402E6B">
      <w:pPr>
        <w:spacing w:before="0" w:line="240" w:lineRule="auto"/>
        <w:rPr>
          <w:rFonts w:ascii="Roboto" w:hAnsi="Roboto"/>
          <w:b/>
          <w:bCs/>
          <w:i/>
          <w:iCs/>
          <w:sz w:val="24"/>
          <w:lang w:eastAsia="es-ES"/>
        </w:rPr>
      </w:pPr>
      <w:bookmarkStart w:id="21" w:name="_Hlk152065390"/>
      <w:bookmarkStart w:id="22" w:name="_Hlk152065257"/>
      <w:r w:rsidRPr="00402E6B">
        <w:rPr>
          <w:rFonts w:ascii="Roboto" w:hAnsi="Roboto"/>
          <w:b/>
          <w:bCs/>
          <w:i/>
          <w:iCs/>
          <w:sz w:val="24"/>
          <w:lang w:eastAsia="es-ES"/>
        </w:rPr>
        <w:t>Artículo 6. Reclamos de transacciones electrónicas no autorizadas</w:t>
      </w:r>
    </w:p>
    <w:p w14:paraId="31546129" w14:textId="77777777" w:rsidR="00402E6B" w:rsidRPr="00402E6B" w:rsidRDefault="00402E6B" w:rsidP="00402E6B">
      <w:pPr>
        <w:spacing w:before="0" w:line="240" w:lineRule="auto"/>
        <w:rPr>
          <w:rFonts w:ascii="Times New Roman" w:hAnsi="Times New Roman"/>
          <w:sz w:val="20"/>
          <w:szCs w:val="20"/>
          <w:lang w:eastAsia="es-ES"/>
        </w:rPr>
      </w:pPr>
      <w:bookmarkStart w:id="23" w:name="_Hlk160526363"/>
      <w:bookmarkEnd w:id="21"/>
      <w:r w:rsidRPr="00402E6B">
        <w:rPr>
          <w:rFonts w:ascii="Roboto" w:hAnsi="Roboto"/>
          <w:i/>
          <w:iCs/>
          <w:sz w:val="24"/>
          <w:lang w:eastAsia="es-ES"/>
        </w:rPr>
        <w:t>Cuando los usuarios financieros</w:t>
      </w:r>
      <w:r w:rsidRPr="00402E6B">
        <w:rPr>
          <w:rFonts w:ascii="Roboto" w:hAnsi="Roboto"/>
          <w:i/>
          <w:iCs/>
          <w:color w:val="000000"/>
          <w:sz w:val="24"/>
          <w:lang w:eastAsia="es-ES"/>
        </w:rPr>
        <w:t xml:space="preserve"> rechacen haber autorizado una operación,</w:t>
      </w:r>
      <w:r w:rsidRPr="00402E6B">
        <w:rPr>
          <w:rFonts w:ascii="Times New Roman" w:hAnsi="Times New Roman"/>
          <w:sz w:val="20"/>
          <w:szCs w:val="20"/>
          <w:lang w:eastAsia="es-ES"/>
        </w:rPr>
        <w:t xml:space="preserve"> </w:t>
      </w:r>
      <w:r w:rsidRPr="00402E6B">
        <w:rPr>
          <w:rFonts w:ascii="Roboto" w:hAnsi="Roboto"/>
          <w:i/>
          <w:iCs/>
          <w:color w:val="000000"/>
          <w:sz w:val="24"/>
          <w:lang w:eastAsia="es-ES"/>
        </w:rPr>
        <w:t xml:space="preserve">en la que han sido víctimas de estafas informáticas o rebajos no autorizados, o denuncien que su cuenta ha sido utilizada por terceros para realizar estas acciones en perjuicio de </w:t>
      </w:r>
      <w:r w:rsidRPr="00402E6B">
        <w:rPr>
          <w:rFonts w:ascii="Roboto" w:hAnsi="Roboto"/>
          <w:i/>
          <w:iCs/>
          <w:color w:val="000000"/>
          <w:sz w:val="24"/>
          <w:lang w:eastAsia="es-ES"/>
        </w:rPr>
        <w:lastRenderedPageBreak/>
        <w:t xml:space="preserve">terceros, </w:t>
      </w:r>
      <w:r w:rsidRPr="00402E6B">
        <w:rPr>
          <w:rFonts w:ascii="Roboto" w:hAnsi="Roboto"/>
          <w:i/>
          <w:iCs/>
          <w:color w:val="000000"/>
          <w:sz w:val="24"/>
          <w:lang w:val="es-CR" w:eastAsia="es-ES"/>
        </w:rPr>
        <w:t>podrán presentar su reclamo ante las entidades supervisadas en el plazo establecido en la Ley 10889</w:t>
      </w:r>
      <w:r w:rsidRPr="00402E6B">
        <w:rPr>
          <w:rFonts w:ascii="Roboto" w:hAnsi="Roboto"/>
          <w:i/>
          <w:iCs/>
          <w:color w:val="000000"/>
          <w:sz w:val="24"/>
          <w:lang w:eastAsia="es-ES"/>
        </w:rPr>
        <w:t>.</w:t>
      </w:r>
      <w:r w:rsidRPr="00402E6B">
        <w:rPr>
          <w:rFonts w:ascii="Times New Roman" w:hAnsi="Times New Roman"/>
          <w:sz w:val="20"/>
          <w:szCs w:val="20"/>
          <w:lang w:eastAsia="es-ES"/>
        </w:rPr>
        <w:t xml:space="preserve"> </w:t>
      </w:r>
    </w:p>
    <w:p w14:paraId="0D20312C" w14:textId="77777777" w:rsidR="00402E6B" w:rsidRPr="00402E6B" w:rsidRDefault="00402E6B" w:rsidP="00402E6B">
      <w:pPr>
        <w:spacing w:before="0" w:line="240" w:lineRule="auto"/>
        <w:rPr>
          <w:rFonts w:ascii="Roboto" w:hAnsi="Roboto"/>
          <w:i/>
          <w:iCs/>
          <w:color w:val="000000"/>
          <w:sz w:val="24"/>
          <w:lang w:eastAsia="es-ES"/>
        </w:rPr>
      </w:pPr>
      <w:r w:rsidRPr="00402E6B">
        <w:rPr>
          <w:rFonts w:ascii="Roboto" w:hAnsi="Roboto"/>
          <w:i/>
          <w:iCs/>
          <w:color w:val="000000"/>
          <w:sz w:val="24"/>
          <w:lang w:eastAsia="es-ES"/>
        </w:rPr>
        <w:t xml:space="preserve">Los reclamos deberán presentarse mediante un formulario que las entidades supervisadas pondrán a disposición del usuario financiero, el cual permita exponer de forma clara los hechos acontecidos. Además, el reclamo deberá acompañarse de una copia de la denuncia interpuesta ante el Organismo de Investigación Judicial (OIJ). </w:t>
      </w:r>
    </w:p>
    <w:p w14:paraId="270B1F35" w14:textId="77777777" w:rsidR="00402E6B" w:rsidRPr="00402E6B" w:rsidRDefault="00402E6B" w:rsidP="00402E6B">
      <w:pPr>
        <w:spacing w:before="0" w:line="240" w:lineRule="auto"/>
        <w:rPr>
          <w:rFonts w:ascii="Roboto" w:hAnsi="Roboto"/>
          <w:i/>
          <w:iCs/>
          <w:color w:val="000000"/>
          <w:sz w:val="24"/>
          <w:lang w:eastAsia="es-ES"/>
        </w:rPr>
      </w:pPr>
      <w:r w:rsidRPr="00402E6B">
        <w:rPr>
          <w:rFonts w:ascii="Roboto" w:hAnsi="Roboto"/>
          <w:i/>
          <w:iCs/>
          <w:color w:val="000000"/>
          <w:sz w:val="24"/>
          <w:lang w:eastAsia="es-CR"/>
        </w:rPr>
        <w:t>Lo anterior, deberá ser comunicado a los usuarios financieros por medio de las campañas de concientización que realicen las entidades supervisadas según lo establecido en el artículo 5 del presente reglamento a fin de que los usuarios puedan informarse sobre el adecuado cumplimiento de dichas disposiciones.</w:t>
      </w:r>
    </w:p>
    <w:bookmarkEnd w:id="23"/>
    <w:p w14:paraId="70B8ECE6" w14:textId="77777777" w:rsidR="00402E6B" w:rsidRPr="00402E6B" w:rsidRDefault="00402E6B" w:rsidP="00402E6B">
      <w:pPr>
        <w:spacing w:before="0" w:line="240" w:lineRule="auto"/>
        <w:rPr>
          <w:rFonts w:ascii="Roboto" w:hAnsi="Roboto"/>
          <w:i/>
          <w:iCs/>
          <w:sz w:val="24"/>
          <w:lang w:eastAsia="es-ES"/>
        </w:rPr>
      </w:pPr>
      <w:r w:rsidRPr="00402E6B">
        <w:rPr>
          <w:rFonts w:ascii="Roboto" w:hAnsi="Roboto"/>
          <w:i/>
          <w:iCs/>
          <w:sz w:val="24"/>
          <w:lang w:eastAsia="es-ES"/>
        </w:rPr>
        <w:t>Asimismo, sin que su uso sea obligatorio para el usuario financiero, las entidades supervisadas deberán asegurar la disponibilidad continua de canales telefónicos, medios tecnológicos y mecanismos de autogestión para la presentación de reclamos, los cuales el usuario financiero podrá utilizar o, alternativamente, presentar su reclamo de forma presencial en las oficinas de la entidad supervisada. Además, deberán mantener registros del momento y del canal mediante el cual se presentó el reclamo.</w:t>
      </w:r>
    </w:p>
    <w:p w14:paraId="016519B0" w14:textId="77777777" w:rsidR="00402E6B" w:rsidRPr="00402E6B" w:rsidRDefault="00402E6B" w:rsidP="00402E6B">
      <w:pPr>
        <w:spacing w:before="0" w:line="240" w:lineRule="auto"/>
        <w:rPr>
          <w:rFonts w:ascii="Roboto" w:hAnsi="Roboto"/>
          <w:i/>
          <w:iCs/>
          <w:sz w:val="24"/>
          <w:lang w:eastAsia="es-ES"/>
        </w:rPr>
      </w:pPr>
      <w:r w:rsidRPr="00402E6B">
        <w:rPr>
          <w:rFonts w:ascii="Roboto" w:hAnsi="Roboto"/>
          <w:i/>
          <w:iCs/>
          <w:sz w:val="24"/>
          <w:lang w:eastAsia="es-ES"/>
        </w:rPr>
        <w:t>Dichos canales deberán cumplir con los controles mínimos dispuestos en el presente reglamento para prevenir y mitigar la ocurrencia de estafas informáticas, así como con los estándares de seguridad establecidos en el marco regulatorio sobre tecnología de información aprobado por el CONASSIF.</w:t>
      </w:r>
    </w:p>
    <w:p w14:paraId="1E97183B" w14:textId="77777777" w:rsidR="00402E6B" w:rsidRPr="00402E6B" w:rsidRDefault="00402E6B" w:rsidP="00402E6B">
      <w:pPr>
        <w:spacing w:before="0" w:line="240" w:lineRule="auto"/>
        <w:rPr>
          <w:rFonts w:ascii="Roboto" w:hAnsi="Roboto"/>
          <w:b/>
          <w:bCs/>
          <w:i/>
          <w:iCs/>
          <w:sz w:val="24"/>
          <w:lang w:eastAsia="es-ES"/>
        </w:rPr>
      </w:pPr>
      <w:r w:rsidRPr="00402E6B">
        <w:rPr>
          <w:rFonts w:ascii="Roboto" w:hAnsi="Roboto"/>
          <w:b/>
          <w:bCs/>
          <w:i/>
          <w:iCs/>
          <w:sz w:val="24"/>
          <w:lang w:eastAsia="es-ES"/>
        </w:rPr>
        <w:t xml:space="preserve">Artículo 7. Codificación de recepción de reclamos y medidas de protección </w:t>
      </w:r>
    </w:p>
    <w:p w14:paraId="2589581E" w14:textId="77777777" w:rsidR="00402E6B" w:rsidRPr="00402E6B" w:rsidRDefault="00402E6B" w:rsidP="00402E6B">
      <w:pPr>
        <w:spacing w:before="0" w:line="240" w:lineRule="auto"/>
        <w:rPr>
          <w:rFonts w:ascii="Roboto" w:hAnsi="Roboto"/>
          <w:i/>
          <w:iCs/>
          <w:sz w:val="24"/>
          <w:lang w:eastAsia="es-ES"/>
        </w:rPr>
      </w:pPr>
      <w:r w:rsidRPr="00402E6B">
        <w:rPr>
          <w:rFonts w:ascii="Roboto" w:hAnsi="Roboto"/>
          <w:i/>
          <w:iCs/>
          <w:sz w:val="24"/>
          <w:lang w:eastAsia="es-ES"/>
        </w:rPr>
        <w:t xml:space="preserve">En el momento de la presentación y registro de reclamos sobre transacciones electrónicas no autorizadas, las entidades supervisadas deberán proporcionar un número o código de recepción de la notificación para seguimiento por parte de los usuarios financieros, el cual, incluya la fecha y hora en que el reclamo fue recibido. </w:t>
      </w:r>
    </w:p>
    <w:p w14:paraId="21063D39" w14:textId="77777777" w:rsidR="00402E6B" w:rsidRPr="00402E6B" w:rsidRDefault="00402E6B" w:rsidP="00402E6B">
      <w:pPr>
        <w:spacing w:before="0" w:line="240" w:lineRule="auto"/>
        <w:rPr>
          <w:rFonts w:ascii="Roboto" w:hAnsi="Roboto"/>
          <w:i/>
          <w:iCs/>
          <w:sz w:val="24"/>
          <w:lang w:eastAsia="es-ES"/>
        </w:rPr>
      </w:pPr>
      <w:r w:rsidRPr="00402E6B">
        <w:rPr>
          <w:rFonts w:ascii="Roboto" w:hAnsi="Roboto"/>
          <w:i/>
          <w:iCs/>
          <w:sz w:val="24"/>
          <w:lang w:eastAsia="es-ES"/>
        </w:rPr>
        <w:lastRenderedPageBreak/>
        <w:t>Las entidades supervisadas deberán bloquear de forma inmediata el producto o servicio suministrado respecto de su funcionalidad para realizar transacciones electrónicas a los usuarios y ofrecerles una alternativa contingente para que puedan realizar sus operaciones. Además, deberán r</w:t>
      </w:r>
      <w:r w:rsidRPr="00402E6B">
        <w:rPr>
          <w:rFonts w:ascii="Roboto" w:hAnsi="Roboto"/>
          <w:i/>
          <w:iCs/>
          <w:sz w:val="24"/>
          <w:lang w:val="es-CR" w:eastAsia="es-ES"/>
        </w:rPr>
        <w:t>emitir al usuario financiero, a la mayor brevedad posible y por el medio previamente acordado o registrado ante la entidad supervisada, una comunicación que confirme el bloqueo e indique el número o código de recepción correspondiente.</w:t>
      </w:r>
    </w:p>
    <w:p w14:paraId="07676606" w14:textId="77777777" w:rsidR="00402E6B" w:rsidRPr="00402E6B" w:rsidRDefault="00402E6B" w:rsidP="00402E6B">
      <w:pPr>
        <w:spacing w:before="0" w:line="240" w:lineRule="auto"/>
        <w:rPr>
          <w:rFonts w:ascii="Roboto" w:hAnsi="Roboto"/>
          <w:i/>
          <w:iCs/>
          <w:sz w:val="24"/>
          <w:lang w:eastAsia="es-ES"/>
        </w:rPr>
      </w:pPr>
      <w:r w:rsidRPr="00402E6B">
        <w:rPr>
          <w:rFonts w:ascii="Roboto" w:hAnsi="Roboto"/>
          <w:i/>
          <w:iCs/>
          <w:sz w:val="24"/>
          <w:lang w:eastAsia="es-ES"/>
        </w:rPr>
        <w:t>Cuando se registren transacciones no autorizadas por el usuario financiero con posterioridad a la presentación del reclamo ante la entidad supervisada, esta será responsable por dichas transacciones y por las consecuencias económicas derivadas de estas.</w:t>
      </w:r>
    </w:p>
    <w:p w14:paraId="24C1B9C1" w14:textId="77777777" w:rsidR="00402E6B" w:rsidRPr="00402E6B" w:rsidRDefault="00402E6B" w:rsidP="00402E6B">
      <w:pPr>
        <w:spacing w:before="0" w:line="240" w:lineRule="auto"/>
        <w:rPr>
          <w:rFonts w:ascii="Roboto" w:hAnsi="Roboto"/>
          <w:b/>
          <w:bCs/>
          <w:i/>
          <w:iCs/>
          <w:sz w:val="24"/>
          <w:lang w:eastAsia="es-ES"/>
        </w:rPr>
      </w:pPr>
      <w:r w:rsidRPr="00402E6B">
        <w:rPr>
          <w:rFonts w:ascii="Roboto" w:hAnsi="Roboto"/>
          <w:b/>
          <w:bCs/>
          <w:i/>
          <w:iCs/>
          <w:sz w:val="24"/>
          <w:lang w:eastAsia="es-ES"/>
        </w:rPr>
        <w:t>Artículo 8. Investigación y resolución de reclamos de los usuarios financieros</w:t>
      </w:r>
    </w:p>
    <w:bookmarkEnd w:id="22"/>
    <w:p w14:paraId="36FFDA79" w14:textId="77777777" w:rsidR="00402E6B" w:rsidRPr="00402E6B" w:rsidRDefault="00402E6B" w:rsidP="00402E6B">
      <w:pPr>
        <w:spacing w:before="0" w:line="240" w:lineRule="auto"/>
        <w:rPr>
          <w:rFonts w:ascii="Roboto" w:hAnsi="Roboto"/>
          <w:i/>
          <w:iCs/>
          <w:color w:val="000000"/>
          <w:sz w:val="24"/>
          <w:lang w:eastAsia="es-ES"/>
        </w:rPr>
      </w:pPr>
      <w:r w:rsidRPr="00402E6B">
        <w:rPr>
          <w:rFonts w:ascii="Roboto" w:hAnsi="Roboto"/>
          <w:i/>
          <w:iCs/>
          <w:color w:val="000000"/>
          <w:sz w:val="24"/>
          <w:lang w:eastAsia="es-ES"/>
        </w:rPr>
        <w:t xml:space="preserve">Ante el reclamo de los usuarios financieros, las entidades supervisadas deberán investigar los hechos y resolver si el reclamo procede o no. </w:t>
      </w:r>
    </w:p>
    <w:p w14:paraId="106D1C61" w14:textId="77777777" w:rsidR="00402E6B" w:rsidRPr="00402E6B" w:rsidRDefault="00402E6B" w:rsidP="00402E6B">
      <w:pPr>
        <w:spacing w:before="0" w:line="240" w:lineRule="auto"/>
        <w:rPr>
          <w:rFonts w:ascii="Roboto" w:hAnsi="Roboto"/>
          <w:i/>
          <w:iCs/>
          <w:color w:val="000000"/>
          <w:sz w:val="24"/>
          <w:lang w:val="es-CR" w:eastAsia="es-ES"/>
        </w:rPr>
      </w:pPr>
      <w:bookmarkStart w:id="24" w:name="_Hlk151994734"/>
      <w:r w:rsidRPr="00402E6B">
        <w:rPr>
          <w:rFonts w:ascii="Roboto" w:hAnsi="Roboto"/>
          <w:i/>
          <w:iCs/>
          <w:color w:val="000000"/>
          <w:sz w:val="24"/>
          <w:lang w:val="es-CR" w:eastAsia="es-ES"/>
        </w:rPr>
        <w:t>Las investigaciones que realicen las entidades supervisadas deberán demostrar al usuario financiero el cumplimiento de las disposiciones establecidas en el presente reglamento para prevenir y mitigar la ocurrencia de estafas informáticas, así como demostrar, con base en los controles establecidos en el artículo 12, que sus sistemas informáticos no han sido vulnerados.</w:t>
      </w:r>
    </w:p>
    <w:p w14:paraId="44E66AE3" w14:textId="77777777" w:rsidR="00402E6B" w:rsidRPr="00402E6B" w:rsidRDefault="00402E6B" w:rsidP="00402E6B">
      <w:pPr>
        <w:spacing w:before="0" w:line="240" w:lineRule="auto"/>
        <w:rPr>
          <w:rFonts w:ascii="Roboto" w:hAnsi="Roboto"/>
          <w:i/>
          <w:iCs/>
          <w:color w:val="000000"/>
          <w:sz w:val="24"/>
          <w:lang w:val="es-CR" w:eastAsia="es-ES"/>
        </w:rPr>
      </w:pPr>
      <w:r w:rsidRPr="00402E6B">
        <w:rPr>
          <w:rFonts w:ascii="Roboto" w:hAnsi="Roboto"/>
          <w:i/>
          <w:iCs/>
          <w:color w:val="000000"/>
          <w:sz w:val="24"/>
          <w:lang w:val="es-CR" w:eastAsia="es-ES"/>
        </w:rPr>
        <w:t>Una vez verificado el cumplimiento de lo señalado anteriormente, las entidades supervisadas procederán al análisis del comportamiento del usuario financiero en los hechos investigados.</w:t>
      </w:r>
    </w:p>
    <w:p w14:paraId="569F6267" w14:textId="77777777" w:rsidR="00402E6B" w:rsidRPr="00402E6B" w:rsidRDefault="00402E6B" w:rsidP="00402E6B">
      <w:pPr>
        <w:spacing w:before="0" w:line="240" w:lineRule="auto"/>
        <w:rPr>
          <w:rFonts w:ascii="Roboto" w:hAnsi="Roboto"/>
          <w:i/>
          <w:iCs/>
          <w:color w:val="000000"/>
          <w:sz w:val="24"/>
          <w:lang w:eastAsia="es-ES"/>
        </w:rPr>
      </w:pPr>
      <w:r w:rsidRPr="00402E6B">
        <w:rPr>
          <w:rFonts w:ascii="Roboto" w:hAnsi="Roboto"/>
          <w:i/>
          <w:iCs/>
          <w:color w:val="000000"/>
          <w:sz w:val="24"/>
          <w:lang w:eastAsia="es-ES"/>
        </w:rPr>
        <w:t xml:space="preserve">La investigación, resolución y el tratamiento de los reclamos procedentes y no procedentes se regirán por los plazos y demás disposiciones establecidas en Ley 10889. Asimismo, </w:t>
      </w:r>
      <w:r w:rsidRPr="00402E6B">
        <w:rPr>
          <w:rFonts w:ascii="Roboto" w:hAnsi="Roboto"/>
          <w:i/>
          <w:iCs/>
          <w:sz w:val="24"/>
          <w:lang w:eastAsia="es-ES"/>
        </w:rPr>
        <w:t xml:space="preserve">cuando las entidades supervisadas resuelvan un reclamo en forma </w:t>
      </w:r>
      <w:r w:rsidRPr="00402E6B">
        <w:rPr>
          <w:rFonts w:ascii="Roboto" w:hAnsi="Roboto"/>
          <w:i/>
          <w:iCs/>
          <w:sz w:val="24"/>
          <w:lang w:eastAsia="es-ES"/>
        </w:rPr>
        <w:lastRenderedPageBreak/>
        <w:t xml:space="preserve">extemporánea, deberán aplicar lo dispuesto en </w:t>
      </w:r>
      <w:r w:rsidRPr="00402E6B">
        <w:rPr>
          <w:rFonts w:ascii="Roboto" w:hAnsi="Roboto"/>
          <w:i/>
          <w:iCs/>
          <w:color w:val="000000"/>
          <w:sz w:val="24"/>
          <w:lang w:eastAsia="es-ES"/>
        </w:rPr>
        <w:t>dicha Ley,</w:t>
      </w:r>
      <w:r w:rsidRPr="00402E6B">
        <w:rPr>
          <w:rFonts w:ascii="Roboto" w:hAnsi="Roboto"/>
          <w:i/>
          <w:iCs/>
          <w:sz w:val="24"/>
          <w:lang w:eastAsia="es-ES"/>
        </w:rPr>
        <w:t xml:space="preserve"> sin perjuicio de la procedencia o no del reclamo principal.</w:t>
      </w:r>
    </w:p>
    <w:p w14:paraId="3B8EDE63" w14:textId="77777777" w:rsidR="00402E6B" w:rsidRPr="00402E6B" w:rsidRDefault="00402E6B" w:rsidP="00402E6B">
      <w:pPr>
        <w:spacing w:before="0" w:line="240" w:lineRule="auto"/>
        <w:rPr>
          <w:rFonts w:ascii="Roboto" w:hAnsi="Roboto"/>
          <w:b/>
          <w:bCs/>
          <w:i/>
          <w:iCs/>
          <w:sz w:val="24"/>
          <w:lang w:eastAsia="es-ES"/>
        </w:rPr>
      </w:pPr>
      <w:r w:rsidRPr="00402E6B">
        <w:rPr>
          <w:rFonts w:ascii="Roboto" w:hAnsi="Roboto"/>
          <w:b/>
          <w:bCs/>
          <w:i/>
          <w:iCs/>
          <w:sz w:val="24"/>
          <w:lang w:eastAsia="es-ES"/>
        </w:rPr>
        <w:t>Artículo 9. Causales de rechazo de los reclamos de los usuarios financieros</w:t>
      </w:r>
    </w:p>
    <w:p w14:paraId="72F6550D" w14:textId="77777777" w:rsidR="00402E6B" w:rsidRPr="00402E6B" w:rsidRDefault="00402E6B" w:rsidP="004365F4">
      <w:pPr>
        <w:spacing w:before="0" w:line="240" w:lineRule="auto"/>
        <w:rPr>
          <w:rFonts w:ascii="Roboto" w:hAnsi="Roboto"/>
          <w:i/>
          <w:iCs/>
          <w:sz w:val="24"/>
          <w:lang w:val="es-CR" w:eastAsia="es-ES"/>
        </w:rPr>
      </w:pPr>
      <w:r w:rsidRPr="00402E6B">
        <w:rPr>
          <w:rFonts w:ascii="Roboto" w:hAnsi="Roboto"/>
          <w:i/>
          <w:iCs/>
          <w:sz w:val="24"/>
          <w:lang w:val="es-CR" w:eastAsia="es-ES"/>
        </w:rPr>
        <w:t>Las entidades supervisadas podrán rechazar el reclamo cuando cuenten, para el caso analizado, con elementos probatorios específicos y suficientes que permitan determinar fehacientemente:</w:t>
      </w:r>
    </w:p>
    <w:p w14:paraId="6F29D2CC" w14:textId="77777777" w:rsidR="00402E6B" w:rsidRPr="004365F4" w:rsidRDefault="00402E6B" w:rsidP="004365F4">
      <w:pPr>
        <w:numPr>
          <w:ilvl w:val="0"/>
          <w:numId w:val="3"/>
        </w:numPr>
        <w:spacing w:before="0" w:after="0" w:line="240" w:lineRule="auto"/>
        <w:rPr>
          <w:rFonts w:ascii="Roboto" w:hAnsi="Roboto"/>
          <w:i/>
          <w:iCs/>
          <w:sz w:val="24"/>
          <w:lang w:eastAsia="es-ES"/>
        </w:rPr>
      </w:pPr>
      <w:r w:rsidRPr="00402E6B">
        <w:rPr>
          <w:rFonts w:ascii="Roboto" w:hAnsi="Roboto"/>
          <w:i/>
          <w:iCs/>
          <w:color w:val="000000"/>
          <w:sz w:val="24"/>
          <w:lang w:val="es-CR" w:eastAsia="es-ES"/>
        </w:rPr>
        <w:t>Que la entidad supervisada cumplió con las disposiciones establecidas en el presente reglamento para prevenir y mitigar la ocurrencia de estafas informáticas.</w:t>
      </w:r>
    </w:p>
    <w:p w14:paraId="310D8CCB" w14:textId="77777777" w:rsidR="004365F4" w:rsidRPr="00402E6B" w:rsidRDefault="004365F4" w:rsidP="004365F4">
      <w:pPr>
        <w:spacing w:before="0" w:after="0" w:line="240" w:lineRule="auto"/>
        <w:ind w:left="720"/>
        <w:rPr>
          <w:rFonts w:ascii="Roboto" w:hAnsi="Roboto"/>
          <w:i/>
          <w:iCs/>
          <w:sz w:val="24"/>
          <w:lang w:eastAsia="es-ES"/>
        </w:rPr>
      </w:pPr>
    </w:p>
    <w:p w14:paraId="3288DEB6" w14:textId="77777777" w:rsidR="00402E6B" w:rsidRDefault="00402E6B" w:rsidP="004365F4">
      <w:pPr>
        <w:numPr>
          <w:ilvl w:val="0"/>
          <w:numId w:val="3"/>
        </w:numPr>
        <w:spacing w:before="0" w:after="0" w:line="240" w:lineRule="auto"/>
        <w:rPr>
          <w:rFonts w:ascii="Roboto" w:hAnsi="Roboto"/>
          <w:i/>
          <w:iCs/>
          <w:sz w:val="24"/>
          <w:lang w:val="es-CR" w:eastAsia="es-ES"/>
        </w:rPr>
      </w:pPr>
      <w:r w:rsidRPr="00402E6B">
        <w:rPr>
          <w:rFonts w:ascii="Roboto" w:hAnsi="Roboto"/>
          <w:i/>
          <w:iCs/>
          <w:sz w:val="24"/>
          <w:lang w:val="es-CR" w:eastAsia="es-ES"/>
        </w:rPr>
        <w:t>Cuando haya existido autofraude, entendido como la acción intencional realizada por una persona con el fin de inducir a error a una entidad financiera, con el propósito de obtener un beneficio.</w:t>
      </w:r>
    </w:p>
    <w:p w14:paraId="5C43BE3E" w14:textId="77777777" w:rsidR="004365F4" w:rsidRPr="00402E6B" w:rsidRDefault="004365F4" w:rsidP="004365F4">
      <w:pPr>
        <w:spacing w:before="0" w:after="0" w:line="240" w:lineRule="auto"/>
        <w:rPr>
          <w:rFonts w:ascii="Roboto" w:hAnsi="Roboto"/>
          <w:i/>
          <w:iCs/>
          <w:sz w:val="24"/>
          <w:lang w:val="es-CR" w:eastAsia="es-ES"/>
        </w:rPr>
      </w:pPr>
    </w:p>
    <w:p w14:paraId="47D4B6AC" w14:textId="77777777" w:rsidR="00402E6B" w:rsidRDefault="00402E6B" w:rsidP="00402E6B">
      <w:pPr>
        <w:numPr>
          <w:ilvl w:val="0"/>
          <w:numId w:val="3"/>
        </w:numPr>
        <w:spacing w:before="0" w:after="0" w:line="240" w:lineRule="auto"/>
        <w:jc w:val="left"/>
        <w:rPr>
          <w:rFonts w:ascii="Roboto" w:hAnsi="Roboto"/>
          <w:i/>
          <w:iCs/>
          <w:sz w:val="24"/>
          <w:lang w:val="es-CR" w:eastAsia="es-ES"/>
        </w:rPr>
      </w:pPr>
      <w:r w:rsidRPr="00402E6B">
        <w:rPr>
          <w:rFonts w:ascii="Roboto" w:hAnsi="Roboto"/>
          <w:i/>
          <w:iCs/>
          <w:sz w:val="24"/>
          <w:lang w:val="es-CR" w:eastAsia="es-ES"/>
        </w:rPr>
        <w:t>Cuando haya existido dolo, entendido como toda conducta deliberada de una persona orientada a cometer un acto ilícito, con pleno conocimiento de su ilegalidad.</w:t>
      </w:r>
    </w:p>
    <w:p w14:paraId="7F9F5CE6" w14:textId="77777777" w:rsidR="004365F4" w:rsidRPr="00402E6B" w:rsidRDefault="004365F4" w:rsidP="004365F4">
      <w:pPr>
        <w:spacing w:before="0" w:after="0" w:line="240" w:lineRule="auto"/>
        <w:jc w:val="left"/>
        <w:rPr>
          <w:rFonts w:ascii="Roboto" w:hAnsi="Roboto"/>
          <w:i/>
          <w:iCs/>
          <w:sz w:val="24"/>
          <w:lang w:val="es-CR" w:eastAsia="es-ES"/>
        </w:rPr>
      </w:pPr>
    </w:p>
    <w:p w14:paraId="4670B40F" w14:textId="77777777" w:rsidR="00402E6B" w:rsidRPr="004365F4" w:rsidRDefault="00402E6B" w:rsidP="00402E6B">
      <w:pPr>
        <w:numPr>
          <w:ilvl w:val="0"/>
          <w:numId w:val="3"/>
        </w:numPr>
        <w:spacing w:before="0" w:after="0" w:line="240" w:lineRule="auto"/>
        <w:jc w:val="left"/>
        <w:rPr>
          <w:rFonts w:ascii="Roboto" w:hAnsi="Roboto"/>
          <w:i/>
          <w:iCs/>
          <w:sz w:val="24"/>
          <w:lang w:eastAsia="es-ES"/>
        </w:rPr>
      </w:pPr>
      <w:r w:rsidRPr="00402E6B">
        <w:rPr>
          <w:rFonts w:ascii="Roboto" w:hAnsi="Roboto"/>
          <w:i/>
          <w:iCs/>
          <w:sz w:val="24"/>
          <w:lang w:val="es-CR" w:eastAsia="es-ES"/>
        </w:rPr>
        <w:t>Cuando la transferencia haya sido entre cuentas del mismo titular.</w:t>
      </w:r>
    </w:p>
    <w:p w14:paraId="1F4FAAEA" w14:textId="77777777" w:rsidR="004365F4" w:rsidRPr="00402E6B" w:rsidRDefault="004365F4" w:rsidP="004365F4">
      <w:pPr>
        <w:spacing w:before="0" w:after="0" w:line="240" w:lineRule="auto"/>
        <w:jc w:val="left"/>
        <w:rPr>
          <w:rFonts w:ascii="Roboto" w:hAnsi="Roboto"/>
          <w:i/>
          <w:iCs/>
          <w:sz w:val="24"/>
          <w:lang w:eastAsia="es-ES"/>
        </w:rPr>
      </w:pPr>
    </w:p>
    <w:p w14:paraId="6CB8798A" w14:textId="77777777" w:rsidR="00402E6B" w:rsidRPr="00402E6B" w:rsidRDefault="00402E6B" w:rsidP="00402E6B">
      <w:pPr>
        <w:spacing w:before="0" w:after="0" w:line="240" w:lineRule="auto"/>
        <w:rPr>
          <w:rFonts w:ascii="Roboto" w:hAnsi="Roboto"/>
          <w:i/>
          <w:iCs/>
          <w:color w:val="000000"/>
          <w:sz w:val="24"/>
          <w:lang w:val="es-CR" w:eastAsia="es-ES"/>
        </w:rPr>
      </w:pPr>
      <w:r w:rsidRPr="00402E6B">
        <w:rPr>
          <w:rFonts w:ascii="Roboto" w:hAnsi="Roboto"/>
          <w:i/>
          <w:iCs/>
          <w:color w:val="000000"/>
          <w:sz w:val="24"/>
          <w:lang w:val="es-CR" w:eastAsia="es-ES"/>
        </w:rPr>
        <w:t>Las entidades supervisadas deberán comunicar al usuario financiero la resolución denegatoria del reclamo, la cual deberá incluir las evidencias e incidentes de seguridad que la sustentan, tales como el análisis forense o la bitácora elaborada de conformidad con los aspectos mínimos de control para prevenir y mitigar la ocurrencia de estafas informáticas en perjuicio de los usuarios financieros dispuestos en el presente reglamento, así como lo dispuesto en la Ley 10889.</w:t>
      </w:r>
    </w:p>
    <w:p w14:paraId="7C1B9805" w14:textId="77777777" w:rsidR="00402E6B" w:rsidRPr="00402E6B" w:rsidRDefault="00402E6B" w:rsidP="00402E6B">
      <w:pPr>
        <w:spacing w:before="0" w:after="0" w:line="240" w:lineRule="auto"/>
        <w:jc w:val="left"/>
        <w:rPr>
          <w:rFonts w:ascii="Roboto" w:hAnsi="Roboto"/>
          <w:i/>
          <w:iCs/>
          <w:color w:val="000000"/>
          <w:sz w:val="24"/>
          <w:lang w:val="es-CR" w:eastAsia="es-ES"/>
        </w:rPr>
      </w:pPr>
    </w:p>
    <w:p w14:paraId="49A3DF71" w14:textId="77777777" w:rsidR="00402E6B" w:rsidRPr="00402E6B" w:rsidRDefault="00402E6B" w:rsidP="00402E6B">
      <w:pPr>
        <w:spacing w:before="0" w:line="240" w:lineRule="auto"/>
        <w:rPr>
          <w:rFonts w:ascii="Roboto" w:hAnsi="Roboto"/>
          <w:i/>
          <w:iCs/>
          <w:color w:val="000000"/>
          <w:sz w:val="24"/>
          <w:lang w:val="es-CR" w:eastAsia="es-ES"/>
        </w:rPr>
      </w:pPr>
      <w:r w:rsidRPr="00402E6B">
        <w:rPr>
          <w:rFonts w:ascii="Roboto" w:hAnsi="Roboto"/>
          <w:i/>
          <w:iCs/>
          <w:color w:val="000000"/>
          <w:sz w:val="24"/>
          <w:lang w:val="es-CR" w:eastAsia="es-ES"/>
        </w:rPr>
        <w:lastRenderedPageBreak/>
        <w:t>Asimismo, las entidades supervisadas deberán remitir copia de dicha información al OIJ y a la SUGEF, para que esta última, mediante acto razonado y en el plazo establecido en la Ley 10889, valide si la decisión adoptada se encuentra debidamente ajustada y respaldada en las pruebas aportadas por la entidad supervisada.</w:t>
      </w:r>
    </w:p>
    <w:p w14:paraId="2EBFD3FC" w14:textId="77777777" w:rsidR="00402E6B" w:rsidRPr="00402E6B" w:rsidRDefault="00402E6B" w:rsidP="00402E6B">
      <w:pPr>
        <w:spacing w:before="0" w:line="240" w:lineRule="auto"/>
        <w:rPr>
          <w:rFonts w:ascii="Roboto" w:hAnsi="Roboto"/>
          <w:i/>
          <w:iCs/>
          <w:color w:val="000000"/>
          <w:sz w:val="24"/>
          <w:lang w:val="es-CR" w:eastAsia="es-ES"/>
        </w:rPr>
      </w:pPr>
      <w:r w:rsidRPr="00402E6B">
        <w:rPr>
          <w:rFonts w:ascii="Roboto" w:hAnsi="Roboto"/>
          <w:i/>
          <w:iCs/>
          <w:color w:val="000000"/>
          <w:sz w:val="24"/>
          <w:lang w:val="es-CR" w:eastAsia="es-ES"/>
        </w:rPr>
        <w:t>La SUGEF emitirá un protocolo para la atención de los casos en los que las entidades supervisadas emitan resoluciones denegatorias de reclamos, en el cual se especificará la información que estas deberán remitir, así como el canal dispuesto para su remisión a la Superintendencia.</w:t>
      </w:r>
    </w:p>
    <w:p w14:paraId="10342D89" w14:textId="77777777" w:rsidR="00402E6B" w:rsidRPr="00402E6B" w:rsidRDefault="00402E6B" w:rsidP="00402E6B">
      <w:pPr>
        <w:spacing w:before="0" w:line="240" w:lineRule="auto"/>
        <w:rPr>
          <w:rFonts w:ascii="Roboto" w:hAnsi="Roboto"/>
          <w:i/>
          <w:iCs/>
          <w:color w:val="000000"/>
          <w:sz w:val="24"/>
          <w:lang w:eastAsia="es-ES"/>
        </w:rPr>
      </w:pPr>
      <w:r w:rsidRPr="00402E6B">
        <w:rPr>
          <w:rFonts w:ascii="Roboto" w:hAnsi="Roboto"/>
          <w:i/>
          <w:iCs/>
          <w:color w:val="000000"/>
          <w:sz w:val="24"/>
          <w:lang w:val="es-CR" w:eastAsia="es-ES"/>
        </w:rPr>
        <w:t xml:space="preserve">Las actuaciones que resulten de la validación de la resolución del reclamo por parte de la SUGEF, cuando esta no ratifique la resolución denegatoria de la entidad supervisada, deberán realizarse de conformidad con lo dispuesto en la </w:t>
      </w:r>
      <w:r w:rsidRPr="00402E6B">
        <w:rPr>
          <w:rFonts w:ascii="Roboto" w:hAnsi="Roboto"/>
          <w:i/>
          <w:iCs/>
          <w:color w:val="000000"/>
          <w:sz w:val="24"/>
          <w:lang w:eastAsia="es-ES"/>
        </w:rPr>
        <w:t>Ley 10889.</w:t>
      </w:r>
    </w:p>
    <w:p w14:paraId="3CC3A315" w14:textId="77777777" w:rsidR="00402E6B" w:rsidRPr="00402E6B" w:rsidRDefault="00402E6B" w:rsidP="00402E6B">
      <w:pPr>
        <w:spacing w:before="0" w:line="240" w:lineRule="auto"/>
        <w:rPr>
          <w:rFonts w:ascii="Roboto" w:hAnsi="Roboto"/>
          <w:b/>
          <w:bCs/>
          <w:i/>
          <w:iCs/>
          <w:sz w:val="24"/>
          <w:lang w:eastAsia="es-ES"/>
        </w:rPr>
      </w:pPr>
      <w:r w:rsidRPr="00402E6B">
        <w:rPr>
          <w:rFonts w:ascii="Roboto" w:hAnsi="Roboto"/>
          <w:b/>
          <w:bCs/>
          <w:i/>
          <w:iCs/>
          <w:sz w:val="24"/>
          <w:lang w:eastAsia="es-ES"/>
        </w:rPr>
        <w:t xml:space="preserve">Artículo 10. Protocolo de emergencia y atención ante estafas informáticas </w:t>
      </w:r>
    </w:p>
    <w:p w14:paraId="38542CF4" w14:textId="77777777" w:rsidR="00402E6B" w:rsidRPr="00402E6B" w:rsidRDefault="00402E6B" w:rsidP="00402E6B">
      <w:pPr>
        <w:spacing w:before="0" w:line="240" w:lineRule="auto"/>
        <w:rPr>
          <w:rFonts w:ascii="Roboto" w:hAnsi="Roboto"/>
          <w:i/>
          <w:iCs/>
          <w:sz w:val="24"/>
          <w:lang w:eastAsia="es-ES"/>
        </w:rPr>
      </w:pPr>
      <w:r w:rsidRPr="00402E6B">
        <w:rPr>
          <w:rFonts w:ascii="Roboto" w:hAnsi="Roboto"/>
          <w:i/>
          <w:iCs/>
          <w:sz w:val="24"/>
          <w:lang w:eastAsia="es-ES"/>
        </w:rPr>
        <w:t>Las entidades supervisadas deberán definir e implementar un protocolo de emergencia para atender a los usuarios financieros que informen, ya sea de forma presencial o por cualquier canal de comunicación, que han sido víctimas de una estafa informática o que se encuentran en riesgo inmediato de serlo.</w:t>
      </w:r>
    </w:p>
    <w:p w14:paraId="104D5BB1" w14:textId="77777777" w:rsidR="00402E6B" w:rsidRPr="00402E6B" w:rsidRDefault="00402E6B" w:rsidP="00402E6B">
      <w:pPr>
        <w:spacing w:before="0" w:line="240" w:lineRule="auto"/>
        <w:rPr>
          <w:rFonts w:ascii="Roboto" w:hAnsi="Roboto"/>
          <w:i/>
          <w:iCs/>
          <w:sz w:val="24"/>
          <w:lang w:eastAsia="es-ES"/>
        </w:rPr>
      </w:pPr>
      <w:r w:rsidRPr="00402E6B">
        <w:rPr>
          <w:rFonts w:ascii="Roboto" w:hAnsi="Roboto"/>
          <w:i/>
          <w:iCs/>
          <w:color w:val="000000"/>
          <w:sz w:val="24"/>
          <w:lang w:eastAsia="es-ES"/>
        </w:rPr>
        <w:t xml:space="preserve">Dicho protocolo deberá estar alineado con los </w:t>
      </w:r>
      <w:r w:rsidRPr="00402E6B">
        <w:rPr>
          <w:rFonts w:ascii="Roboto" w:hAnsi="Roboto"/>
          <w:i/>
          <w:iCs/>
          <w:sz w:val="24"/>
          <w:lang w:eastAsia="es-ES"/>
        </w:rPr>
        <w:t xml:space="preserve">aspectos mínimos de control para prevenir y mitigar la ocurrencia de estafas informáticas en perjuicio de los usuarios financieros dispuestos en el presente reglamento. </w:t>
      </w:r>
    </w:p>
    <w:p w14:paraId="02C360FB" w14:textId="77777777" w:rsidR="00402E6B" w:rsidRPr="00402E6B" w:rsidRDefault="00402E6B" w:rsidP="00402E6B">
      <w:pPr>
        <w:spacing w:before="0" w:line="240" w:lineRule="auto"/>
        <w:rPr>
          <w:rFonts w:ascii="Roboto" w:hAnsi="Roboto"/>
          <w:i/>
          <w:iCs/>
          <w:sz w:val="24"/>
          <w:lang w:eastAsia="es-ES"/>
        </w:rPr>
      </w:pPr>
      <w:r w:rsidRPr="00402E6B">
        <w:rPr>
          <w:rFonts w:ascii="Roboto" w:hAnsi="Roboto"/>
          <w:i/>
          <w:iCs/>
          <w:sz w:val="24"/>
          <w:lang w:eastAsia="es-ES"/>
        </w:rPr>
        <w:t>El protocolo deberá ser previamente autorizado por la SUGEF, la cual comunicará el contenido de la solicitud de autorización y el canal para su remisión.</w:t>
      </w:r>
    </w:p>
    <w:p w14:paraId="1C6C4232" w14:textId="77777777" w:rsidR="00402E6B" w:rsidRPr="00402E6B" w:rsidRDefault="00402E6B" w:rsidP="00402E6B">
      <w:pPr>
        <w:spacing w:before="0" w:line="240" w:lineRule="auto"/>
        <w:rPr>
          <w:rFonts w:ascii="Roboto" w:hAnsi="Roboto"/>
          <w:i/>
          <w:iCs/>
          <w:sz w:val="24"/>
          <w:lang w:eastAsia="es-ES"/>
        </w:rPr>
      </w:pPr>
      <w:r w:rsidRPr="00402E6B">
        <w:rPr>
          <w:rFonts w:ascii="Roboto" w:hAnsi="Roboto"/>
          <w:i/>
          <w:iCs/>
          <w:sz w:val="24"/>
          <w:lang w:eastAsia="es-ES"/>
        </w:rPr>
        <w:t>La SUGEF verificará, al momento de la presentación de la solicitud de autorización, que la información se encuentre completa. Si la solicitud no contiene la totalidad de los requisitos establecidos, no será aceptada.</w:t>
      </w:r>
    </w:p>
    <w:p w14:paraId="003436D0" w14:textId="77777777" w:rsidR="00402E6B" w:rsidRPr="00402E6B" w:rsidRDefault="00402E6B" w:rsidP="00402E6B">
      <w:pPr>
        <w:spacing w:before="0" w:line="240" w:lineRule="auto"/>
        <w:rPr>
          <w:rFonts w:ascii="Roboto" w:hAnsi="Roboto"/>
          <w:i/>
          <w:iCs/>
          <w:sz w:val="24"/>
          <w:lang w:eastAsia="es-ES"/>
        </w:rPr>
      </w:pPr>
      <w:r w:rsidRPr="00402E6B">
        <w:rPr>
          <w:rFonts w:ascii="Roboto" w:hAnsi="Roboto"/>
          <w:i/>
          <w:iCs/>
          <w:sz w:val="24"/>
          <w:lang w:eastAsia="es-ES"/>
        </w:rPr>
        <w:lastRenderedPageBreak/>
        <w:t>Las entidades supervisadas deberán actualizar el protocolo al menos una vez al año y publicarlo sus páginas web, incorporando al inicio un resumen visual con los principales cambios respecto de versiones anteriores. Asimismo, deberán capacitar de forma periódica a su personal para asegurar la aplicación eficaz, ágil y consistente del protocolo.</w:t>
      </w:r>
    </w:p>
    <w:p w14:paraId="6E2767FB" w14:textId="77777777" w:rsidR="00402E6B" w:rsidRPr="00402E6B" w:rsidRDefault="00402E6B" w:rsidP="00402E6B">
      <w:pPr>
        <w:spacing w:before="0" w:after="0" w:line="240" w:lineRule="auto"/>
        <w:contextualSpacing/>
        <w:jc w:val="left"/>
        <w:rPr>
          <w:rFonts w:ascii="Roboto" w:hAnsi="Roboto"/>
          <w:b/>
          <w:bCs/>
          <w:i/>
          <w:iCs/>
          <w:color w:val="000000"/>
          <w:sz w:val="24"/>
          <w:lang w:val="es-CR" w:eastAsia="es-ES"/>
        </w:rPr>
      </w:pPr>
      <w:r w:rsidRPr="00402E6B">
        <w:rPr>
          <w:rFonts w:ascii="Roboto" w:hAnsi="Roboto"/>
          <w:b/>
          <w:bCs/>
          <w:i/>
          <w:iCs/>
          <w:color w:val="000000"/>
          <w:sz w:val="24"/>
          <w:lang w:val="es-CR" w:eastAsia="es-ES"/>
        </w:rPr>
        <w:t>Artículo 11. Devolución de montos bajo umbrales predefinidos</w:t>
      </w:r>
    </w:p>
    <w:p w14:paraId="78CCFEA5" w14:textId="77777777" w:rsidR="00402E6B" w:rsidRPr="00402E6B" w:rsidRDefault="00402E6B" w:rsidP="00402E6B">
      <w:pPr>
        <w:spacing w:before="0" w:line="240" w:lineRule="auto"/>
        <w:contextualSpacing/>
        <w:rPr>
          <w:rFonts w:ascii="Roboto" w:hAnsi="Roboto"/>
          <w:i/>
          <w:iCs/>
          <w:color w:val="000000"/>
          <w:sz w:val="24"/>
          <w:lang w:eastAsia="es-ES"/>
        </w:rPr>
      </w:pPr>
    </w:p>
    <w:p w14:paraId="6B51EEE8" w14:textId="77777777" w:rsidR="00402E6B" w:rsidRPr="00402E6B" w:rsidRDefault="00402E6B" w:rsidP="00402E6B">
      <w:pPr>
        <w:spacing w:before="0" w:line="240" w:lineRule="auto"/>
        <w:contextualSpacing/>
        <w:rPr>
          <w:rFonts w:ascii="Roboto" w:hAnsi="Roboto"/>
          <w:i/>
          <w:iCs/>
          <w:color w:val="000000"/>
          <w:sz w:val="24"/>
          <w:lang w:eastAsia="es-ES"/>
        </w:rPr>
      </w:pPr>
      <w:r w:rsidRPr="00402E6B">
        <w:rPr>
          <w:rFonts w:ascii="Roboto" w:hAnsi="Roboto"/>
          <w:i/>
          <w:iCs/>
          <w:color w:val="000000"/>
          <w:sz w:val="24"/>
          <w:lang w:eastAsia="es-ES"/>
        </w:rPr>
        <w:t>Las entidades supervisadas deberán establecer en sus políticas internas, los criterios y umbrales para determinar en qué casos devolverán al usuario financiero el monto sustraído sin necesidad de realizar un análisis detallado, cuando este sea menor al límite previamente establecido por el intermediario, con base en un análisis de costo-beneficio.</w:t>
      </w:r>
    </w:p>
    <w:p w14:paraId="41473AEF" w14:textId="77777777" w:rsidR="00402E6B" w:rsidRPr="00402E6B" w:rsidRDefault="00402E6B" w:rsidP="00402E6B">
      <w:pPr>
        <w:spacing w:before="0" w:line="240" w:lineRule="auto"/>
        <w:contextualSpacing/>
        <w:rPr>
          <w:rFonts w:ascii="Roboto" w:hAnsi="Roboto"/>
          <w:i/>
          <w:iCs/>
          <w:color w:val="000000"/>
          <w:sz w:val="24"/>
          <w:lang w:val="es-CR" w:eastAsia="es-ES"/>
        </w:rPr>
      </w:pPr>
    </w:p>
    <w:p w14:paraId="64ACB804" w14:textId="77777777" w:rsidR="00402E6B" w:rsidRPr="00402E6B" w:rsidRDefault="00402E6B" w:rsidP="00402E6B">
      <w:pPr>
        <w:spacing w:before="0" w:line="240" w:lineRule="auto"/>
        <w:rPr>
          <w:rFonts w:ascii="Roboto" w:hAnsi="Roboto"/>
          <w:b/>
          <w:bCs/>
          <w:i/>
          <w:iCs/>
          <w:sz w:val="24"/>
          <w:lang w:eastAsia="es-ES"/>
        </w:rPr>
      </w:pPr>
      <w:bookmarkStart w:id="25" w:name="_Hlk152065268"/>
      <w:bookmarkEnd w:id="24"/>
    </w:p>
    <w:p w14:paraId="511C5F72" w14:textId="77777777" w:rsidR="00402E6B" w:rsidRPr="00402E6B" w:rsidRDefault="00402E6B" w:rsidP="00402E6B">
      <w:pPr>
        <w:spacing w:before="0" w:line="240" w:lineRule="auto"/>
        <w:rPr>
          <w:rFonts w:ascii="Roboto" w:hAnsi="Roboto"/>
          <w:b/>
          <w:bCs/>
          <w:i/>
          <w:iCs/>
          <w:sz w:val="24"/>
          <w:lang w:eastAsia="es-ES"/>
        </w:rPr>
      </w:pPr>
      <w:r w:rsidRPr="00402E6B">
        <w:rPr>
          <w:rFonts w:ascii="Roboto" w:hAnsi="Roboto"/>
          <w:b/>
          <w:bCs/>
          <w:i/>
          <w:iCs/>
          <w:sz w:val="24"/>
          <w:lang w:eastAsia="es-ES"/>
        </w:rPr>
        <w:t>Artículo 12. Controles preventivos, detectivos y correctivos</w:t>
      </w:r>
    </w:p>
    <w:bookmarkEnd w:id="25"/>
    <w:p w14:paraId="48868B21" w14:textId="77777777" w:rsidR="00402E6B" w:rsidRPr="00402E6B" w:rsidRDefault="00402E6B" w:rsidP="00402E6B">
      <w:pPr>
        <w:spacing w:before="0" w:line="240" w:lineRule="auto"/>
        <w:rPr>
          <w:rFonts w:ascii="Roboto" w:hAnsi="Roboto"/>
          <w:i/>
          <w:iCs/>
          <w:sz w:val="24"/>
          <w:lang w:eastAsia="es-ES"/>
        </w:rPr>
      </w:pPr>
      <w:r w:rsidRPr="00402E6B">
        <w:rPr>
          <w:rFonts w:ascii="Roboto" w:hAnsi="Roboto"/>
          <w:i/>
          <w:iCs/>
          <w:sz w:val="24"/>
          <w:lang w:eastAsia="es-ES"/>
        </w:rPr>
        <w:t>Las entidades supervisadas deben establecer controles preventivos, detectivos y correctivos para proteger las cuentas de fondos y la información de los usuarios financieros ante la ocurrencia de estafas informáticas por medio de canales digitales.</w:t>
      </w:r>
    </w:p>
    <w:p w14:paraId="6C944E59" w14:textId="77777777" w:rsidR="00402E6B" w:rsidRPr="00402E6B" w:rsidRDefault="00402E6B" w:rsidP="00402E6B">
      <w:pPr>
        <w:spacing w:before="0" w:line="240" w:lineRule="auto"/>
        <w:rPr>
          <w:rFonts w:ascii="Roboto" w:hAnsi="Roboto"/>
          <w:i/>
          <w:iCs/>
          <w:sz w:val="24"/>
          <w:lang w:eastAsia="es-ES"/>
        </w:rPr>
      </w:pPr>
      <w:r w:rsidRPr="00402E6B">
        <w:rPr>
          <w:rFonts w:ascii="Roboto" w:hAnsi="Roboto"/>
          <w:i/>
          <w:iCs/>
          <w:sz w:val="24"/>
          <w:lang w:eastAsia="es-ES"/>
        </w:rPr>
        <w:t>Dichos controles deben permitir a las entidades supervisadas identificar y tomar medidas respecto a transacciones atípicas por medio de un análisis integral y multifactorial sobre el usuario financiero, el cual, incluya, al menos, los siguientes aspectos:</w:t>
      </w:r>
    </w:p>
    <w:p w14:paraId="108E929D" w14:textId="77777777" w:rsidR="00402E6B" w:rsidRPr="00402E6B" w:rsidRDefault="00402E6B" w:rsidP="00402E6B">
      <w:pPr>
        <w:widowControl w:val="0"/>
        <w:autoSpaceDE w:val="0"/>
        <w:autoSpaceDN w:val="0"/>
        <w:spacing w:before="0" w:line="240" w:lineRule="auto"/>
        <w:ind w:left="782" w:hanging="425"/>
        <w:rPr>
          <w:rFonts w:ascii="Roboto" w:hAnsi="Roboto"/>
          <w:i/>
          <w:iCs/>
          <w:sz w:val="24"/>
          <w:lang w:eastAsia="es-ES"/>
        </w:rPr>
      </w:pPr>
      <w:r w:rsidRPr="00402E6B">
        <w:rPr>
          <w:rFonts w:ascii="Roboto" w:hAnsi="Roboto"/>
          <w:i/>
          <w:iCs/>
          <w:sz w:val="24"/>
          <w:lang w:eastAsia="es-ES"/>
        </w:rPr>
        <w:t>a)</w:t>
      </w:r>
      <w:r w:rsidRPr="00402E6B">
        <w:rPr>
          <w:rFonts w:ascii="Roboto" w:hAnsi="Roboto"/>
          <w:i/>
          <w:iCs/>
          <w:sz w:val="24"/>
          <w:lang w:eastAsia="es-ES"/>
        </w:rPr>
        <w:tab/>
        <w:t xml:space="preserve">Patrones transaccionales de los usuarios financieros, preferencias en cuanto a días o fechas de sus operaciones, destinatarios frecuentes de envíos de fondos, monto y tipo de transacciones realizadas habitualmente (transferencias, pagos, retiros, entre otros), así como otros aspectos </w:t>
      </w:r>
      <w:r w:rsidRPr="00402E6B">
        <w:rPr>
          <w:rFonts w:ascii="Roboto" w:hAnsi="Roboto"/>
          <w:i/>
          <w:iCs/>
          <w:sz w:val="24"/>
          <w:lang w:eastAsia="es-ES"/>
        </w:rPr>
        <w:lastRenderedPageBreak/>
        <w:t>relevantes para definir su comportamiento y detectar posibles actividades atípicas.</w:t>
      </w:r>
    </w:p>
    <w:p w14:paraId="489B4243" w14:textId="77777777" w:rsidR="00402E6B" w:rsidRPr="00402E6B" w:rsidRDefault="00402E6B" w:rsidP="00402E6B">
      <w:pPr>
        <w:widowControl w:val="0"/>
        <w:autoSpaceDE w:val="0"/>
        <w:autoSpaceDN w:val="0"/>
        <w:spacing w:before="0" w:line="240" w:lineRule="auto"/>
        <w:ind w:left="782" w:hanging="425"/>
        <w:rPr>
          <w:rFonts w:ascii="Roboto" w:hAnsi="Roboto"/>
          <w:i/>
          <w:iCs/>
          <w:sz w:val="24"/>
          <w:lang w:eastAsia="es-ES"/>
        </w:rPr>
      </w:pPr>
      <w:r w:rsidRPr="00402E6B">
        <w:rPr>
          <w:rFonts w:ascii="Roboto" w:hAnsi="Roboto"/>
          <w:i/>
          <w:iCs/>
          <w:sz w:val="24"/>
          <w:lang w:eastAsia="es-ES"/>
        </w:rPr>
        <w:t>b)</w:t>
      </w:r>
      <w:r w:rsidRPr="00402E6B">
        <w:rPr>
          <w:rFonts w:ascii="Roboto" w:hAnsi="Roboto"/>
          <w:i/>
          <w:iCs/>
          <w:sz w:val="24"/>
          <w:lang w:eastAsia="es-ES"/>
        </w:rPr>
        <w:tab/>
        <w:t xml:space="preserve">Dispositivos electrónicos utilizados </w:t>
      </w:r>
      <w:r w:rsidRPr="00402E6B">
        <w:rPr>
          <w:rFonts w:ascii="Roboto" w:hAnsi="Roboto"/>
          <w:i/>
          <w:iCs/>
          <w:color w:val="000000"/>
          <w:sz w:val="24"/>
          <w:lang w:eastAsia="es-ES"/>
        </w:rPr>
        <w:t>habitualmente</w:t>
      </w:r>
      <w:r w:rsidRPr="00402E6B">
        <w:rPr>
          <w:rFonts w:ascii="Roboto" w:hAnsi="Roboto"/>
          <w:i/>
          <w:iCs/>
          <w:sz w:val="24"/>
          <w:lang w:eastAsia="es-ES"/>
        </w:rPr>
        <w:t xml:space="preserve"> por el usuario financiero para acceso a los canales digitales, considerar elementos como el historial de dispositivos electrónicos utilizados, sistema operativo y horarios habituales de uso.</w:t>
      </w:r>
    </w:p>
    <w:p w14:paraId="0749EB25" w14:textId="77777777" w:rsidR="00402E6B" w:rsidRPr="00402E6B" w:rsidRDefault="00402E6B" w:rsidP="00402E6B">
      <w:pPr>
        <w:widowControl w:val="0"/>
        <w:autoSpaceDE w:val="0"/>
        <w:autoSpaceDN w:val="0"/>
        <w:spacing w:before="0" w:line="240" w:lineRule="auto"/>
        <w:ind w:left="782" w:hanging="425"/>
        <w:rPr>
          <w:rFonts w:ascii="Roboto" w:hAnsi="Roboto"/>
          <w:i/>
          <w:iCs/>
          <w:sz w:val="24"/>
          <w:lang w:eastAsia="es-ES"/>
        </w:rPr>
      </w:pPr>
      <w:r w:rsidRPr="00402E6B">
        <w:rPr>
          <w:rFonts w:ascii="Roboto" w:hAnsi="Roboto"/>
          <w:i/>
          <w:iCs/>
          <w:sz w:val="24"/>
          <w:lang w:eastAsia="es-ES"/>
        </w:rPr>
        <w:t>c)</w:t>
      </w:r>
      <w:r w:rsidRPr="00402E6B">
        <w:rPr>
          <w:rFonts w:ascii="Roboto" w:hAnsi="Roboto"/>
          <w:i/>
          <w:iCs/>
          <w:sz w:val="24"/>
          <w:lang w:eastAsia="es-ES"/>
        </w:rPr>
        <w:tab/>
        <w:t>Variables del dispositivo electrónico utilizado como: user agent, sistema operativo del dispositivo, idioma, entre otros.</w:t>
      </w:r>
    </w:p>
    <w:p w14:paraId="39CEA603" w14:textId="77777777" w:rsidR="00402E6B" w:rsidRPr="00402E6B" w:rsidRDefault="00402E6B" w:rsidP="00402E6B">
      <w:pPr>
        <w:widowControl w:val="0"/>
        <w:autoSpaceDE w:val="0"/>
        <w:autoSpaceDN w:val="0"/>
        <w:spacing w:before="0" w:line="240" w:lineRule="auto"/>
        <w:ind w:left="782" w:hanging="425"/>
        <w:rPr>
          <w:rFonts w:ascii="Roboto" w:hAnsi="Roboto"/>
          <w:i/>
          <w:iCs/>
          <w:sz w:val="24"/>
          <w:lang w:eastAsia="es-ES"/>
        </w:rPr>
      </w:pPr>
      <w:r w:rsidRPr="00402E6B">
        <w:rPr>
          <w:rFonts w:ascii="Roboto" w:hAnsi="Roboto"/>
          <w:i/>
          <w:iCs/>
          <w:sz w:val="24"/>
          <w:lang w:eastAsia="es-ES"/>
        </w:rPr>
        <w:t>d)</w:t>
      </w:r>
      <w:r w:rsidRPr="00402E6B">
        <w:rPr>
          <w:rFonts w:ascii="Roboto" w:hAnsi="Roboto"/>
          <w:i/>
          <w:iCs/>
          <w:sz w:val="24"/>
          <w:lang w:eastAsia="es-ES"/>
        </w:rPr>
        <w:tab/>
        <w:t>Navegadores utilizados habitualmente.</w:t>
      </w:r>
    </w:p>
    <w:p w14:paraId="47C38413" w14:textId="77777777" w:rsidR="00402E6B" w:rsidRPr="00402E6B" w:rsidRDefault="00402E6B" w:rsidP="00402E6B">
      <w:pPr>
        <w:widowControl w:val="0"/>
        <w:autoSpaceDE w:val="0"/>
        <w:autoSpaceDN w:val="0"/>
        <w:spacing w:before="0" w:line="240" w:lineRule="auto"/>
        <w:ind w:left="782" w:hanging="425"/>
        <w:rPr>
          <w:rFonts w:ascii="Roboto" w:hAnsi="Roboto"/>
          <w:i/>
          <w:iCs/>
          <w:sz w:val="24"/>
          <w:lang w:eastAsia="es-ES"/>
        </w:rPr>
      </w:pPr>
      <w:r w:rsidRPr="00402E6B">
        <w:rPr>
          <w:rFonts w:ascii="Roboto" w:hAnsi="Roboto"/>
          <w:i/>
          <w:iCs/>
          <w:sz w:val="24"/>
          <w:lang w:eastAsia="es-ES"/>
        </w:rPr>
        <w:t>e)</w:t>
      </w:r>
      <w:r w:rsidRPr="00402E6B">
        <w:rPr>
          <w:rFonts w:ascii="Roboto" w:hAnsi="Roboto"/>
          <w:i/>
          <w:iCs/>
          <w:sz w:val="24"/>
          <w:lang w:eastAsia="es-ES"/>
        </w:rPr>
        <w:tab/>
        <w:t xml:space="preserve">Verificación de las formas de autenticación </w:t>
      </w:r>
      <w:r w:rsidRPr="00402E6B">
        <w:rPr>
          <w:rFonts w:ascii="Roboto" w:hAnsi="Roboto"/>
          <w:i/>
          <w:iCs/>
          <w:color w:val="000000"/>
          <w:sz w:val="24"/>
          <w:lang w:eastAsia="es-ES"/>
        </w:rPr>
        <w:t xml:space="preserve">utilizadas habitualmente por el usuario </w:t>
      </w:r>
      <w:r w:rsidRPr="00402E6B">
        <w:rPr>
          <w:rFonts w:ascii="Roboto" w:hAnsi="Roboto"/>
          <w:i/>
          <w:iCs/>
          <w:sz w:val="24"/>
          <w:lang w:eastAsia="es-ES"/>
        </w:rPr>
        <w:t>financiero.</w:t>
      </w:r>
    </w:p>
    <w:p w14:paraId="32AEB594" w14:textId="77777777" w:rsidR="00402E6B" w:rsidRPr="00402E6B" w:rsidRDefault="00402E6B" w:rsidP="00402E6B">
      <w:pPr>
        <w:widowControl w:val="0"/>
        <w:autoSpaceDE w:val="0"/>
        <w:autoSpaceDN w:val="0"/>
        <w:spacing w:before="0" w:line="240" w:lineRule="auto"/>
        <w:ind w:left="782" w:hanging="425"/>
        <w:rPr>
          <w:rFonts w:ascii="Roboto" w:hAnsi="Roboto"/>
          <w:i/>
          <w:iCs/>
          <w:sz w:val="24"/>
          <w:lang w:eastAsia="es-ES"/>
        </w:rPr>
      </w:pPr>
      <w:r w:rsidRPr="00402E6B">
        <w:rPr>
          <w:rFonts w:ascii="Roboto" w:hAnsi="Roboto"/>
          <w:i/>
          <w:iCs/>
          <w:sz w:val="24"/>
          <w:lang w:eastAsia="es-ES"/>
        </w:rPr>
        <w:t>f)</w:t>
      </w:r>
      <w:r w:rsidRPr="00402E6B">
        <w:rPr>
          <w:rFonts w:ascii="Roboto" w:hAnsi="Roboto"/>
          <w:i/>
          <w:iCs/>
          <w:sz w:val="24"/>
          <w:lang w:eastAsia="es-ES"/>
        </w:rPr>
        <w:tab/>
        <w:t>Redes de conexión, canales digitales utilizados, comportamiento de uso de los dispositivos electrónicos tales como: la forma de teclear del usuario financiero, movimiento del mouse, entre otros.</w:t>
      </w:r>
    </w:p>
    <w:p w14:paraId="7378BF16" w14:textId="77777777" w:rsidR="00402E6B" w:rsidRPr="00402E6B" w:rsidRDefault="00402E6B" w:rsidP="00402E6B">
      <w:pPr>
        <w:widowControl w:val="0"/>
        <w:autoSpaceDE w:val="0"/>
        <w:autoSpaceDN w:val="0"/>
        <w:spacing w:before="0" w:line="240" w:lineRule="auto"/>
        <w:ind w:left="782" w:hanging="425"/>
        <w:rPr>
          <w:rFonts w:ascii="Roboto" w:hAnsi="Roboto"/>
          <w:i/>
          <w:iCs/>
          <w:color w:val="4472C4"/>
          <w:sz w:val="24"/>
          <w:u w:val="single"/>
          <w:lang w:eastAsia="es-ES"/>
        </w:rPr>
      </w:pPr>
      <w:r w:rsidRPr="00402E6B">
        <w:rPr>
          <w:rFonts w:ascii="Roboto" w:hAnsi="Roboto"/>
          <w:i/>
          <w:iCs/>
          <w:sz w:val="24"/>
          <w:lang w:eastAsia="es-ES"/>
        </w:rPr>
        <w:t>g)</w:t>
      </w:r>
      <w:r w:rsidRPr="00402E6B">
        <w:rPr>
          <w:rFonts w:ascii="Roboto" w:hAnsi="Roboto"/>
          <w:i/>
          <w:iCs/>
          <w:sz w:val="24"/>
          <w:lang w:eastAsia="es-ES"/>
        </w:rPr>
        <w:tab/>
      </w:r>
      <w:r w:rsidRPr="00402E6B">
        <w:rPr>
          <w:rFonts w:ascii="Roboto" w:hAnsi="Roboto"/>
          <w:i/>
          <w:iCs/>
          <w:color w:val="000000"/>
          <w:sz w:val="24"/>
          <w:lang w:eastAsia="es-ES"/>
        </w:rPr>
        <w:t>Uso de un dispositivo electrónico para acceder a diferentes cuentas, productos o servicios que pertenecen a diferentes usuarios financieros de la entidad supervisada, a fin de analizar si se trata de actividades sospechosas.</w:t>
      </w:r>
      <w:bookmarkStart w:id="26" w:name="_Hlk155646788"/>
    </w:p>
    <w:p w14:paraId="7A47A467" w14:textId="77777777" w:rsidR="00402E6B" w:rsidRPr="00402E6B" w:rsidRDefault="00402E6B" w:rsidP="00402E6B">
      <w:pPr>
        <w:widowControl w:val="0"/>
        <w:autoSpaceDE w:val="0"/>
        <w:autoSpaceDN w:val="0"/>
        <w:spacing w:before="0" w:line="240" w:lineRule="auto"/>
        <w:ind w:left="782" w:hanging="425"/>
        <w:rPr>
          <w:rFonts w:ascii="Roboto" w:hAnsi="Roboto"/>
          <w:i/>
          <w:iCs/>
          <w:sz w:val="24"/>
          <w:lang w:eastAsia="es-ES"/>
        </w:rPr>
      </w:pPr>
      <w:r w:rsidRPr="00402E6B">
        <w:rPr>
          <w:rFonts w:ascii="Roboto" w:hAnsi="Roboto"/>
          <w:i/>
          <w:iCs/>
          <w:sz w:val="24"/>
          <w:lang w:eastAsia="es-ES"/>
        </w:rPr>
        <w:t>h)</w:t>
      </w:r>
      <w:r w:rsidRPr="00402E6B">
        <w:rPr>
          <w:rFonts w:ascii="Roboto" w:hAnsi="Roboto"/>
          <w:i/>
          <w:iCs/>
          <w:sz w:val="24"/>
          <w:lang w:eastAsia="es-ES"/>
        </w:rPr>
        <w:tab/>
        <w:t xml:space="preserve">Uso de un dispositivo electrónico que haya sido utilizado anteriormente para cometer estafas electrónicas. </w:t>
      </w:r>
    </w:p>
    <w:bookmarkEnd w:id="26"/>
    <w:p w14:paraId="297AF589" w14:textId="77777777" w:rsidR="00402E6B" w:rsidRPr="00402E6B" w:rsidRDefault="00402E6B" w:rsidP="00402E6B">
      <w:pPr>
        <w:spacing w:before="0" w:line="240" w:lineRule="auto"/>
        <w:rPr>
          <w:rFonts w:ascii="Roboto" w:hAnsi="Roboto"/>
          <w:i/>
          <w:iCs/>
          <w:sz w:val="24"/>
          <w:lang w:eastAsia="es-ES"/>
        </w:rPr>
      </w:pPr>
      <w:r w:rsidRPr="00402E6B">
        <w:rPr>
          <w:rFonts w:ascii="Roboto" w:hAnsi="Roboto"/>
          <w:i/>
          <w:iCs/>
          <w:sz w:val="24"/>
          <w:lang w:eastAsia="es-ES"/>
        </w:rPr>
        <w:t xml:space="preserve">Las entidades supervisadas deben incorporar parámetros para aprobar o denegar transacciones. En caso de que identifiquen la ocurrencia de transacciones atípicas, deberán requerir a los usuarios financieros, previo a hacerlas efectivas, una confirmación que asegure la autenticidad de estos. </w:t>
      </w:r>
    </w:p>
    <w:p w14:paraId="6D2A54D2" w14:textId="77777777" w:rsidR="00402E6B" w:rsidRPr="00402E6B" w:rsidRDefault="00402E6B" w:rsidP="00402E6B">
      <w:pPr>
        <w:spacing w:before="0" w:line="240" w:lineRule="auto"/>
        <w:rPr>
          <w:rFonts w:ascii="Roboto" w:hAnsi="Roboto"/>
          <w:i/>
          <w:iCs/>
          <w:sz w:val="24"/>
          <w:lang w:val="es-CR" w:eastAsia="es-ES"/>
        </w:rPr>
      </w:pPr>
      <w:r w:rsidRPr="00402E6B">
        <w:rPr>
          <w:rFonts w:ascii="Roboto" w:hAnsi="Roboto"/>
          <w:i/>
          <w:iCs/>
          <w:sz w:val="24"/>
          <w:lang w:val="es-CR" w:eastAsia="es-ES"/>
        </w:rPr>
        <w:lastRenderedPageBreak/>
        <w:t>Asimismo, las entidades supervisadas deberán considerar cualquier otro aspecto que establezca la SUGEF, en complemento de los indicados anteriormente.</w:t>
      </w:r>
    </w:p>
    <w:p w14:paraId="0C04E425" w14:textId="77777777" w:rsidR="00402E6B" w:rsidRPr="00402E6B" w:rsidRDefault="00402E6B" w:rsidP="00402E6B">
      <w:pPr>
        <w:spacing w:before="0" w:line="240" w:lineRule="auto"/>
        <w:rPr>
          <w:rFonts w:ascii="Roboto" w:hAnsi="Roboto"/>
          <w:b/>
          <w:bCs/>
          <w:i/>
          <w:iCs/>
          <w:sz w:val="24"/>
          <w:lang w:eastAsia="es-ES"/>
        </w:rPr>
      </w:pPr>
      <w:bookmarkStart w:id="27" w:name="_Hlk152065276"/>
      <w:r w:rsidRPr="00402E6B">
        <w:rPr>
          <w:rFonts w:ascii="Roboto" w:hAnsi="Roboto"/>
          <w:b/>
          <w:bCs/>
          <w:i/>
          <w:iCs/>
          <w:sz w:val="24"/>
          <w:lang w:eastAsia="es-ES"/>
        </w:rPr>
        <w:t>Artículo 13. Mecanismos de autenticación robustos</w:t>
      </w:r>
    </w:p>
    <w:p w14:paraId="32B109A1" w14:textId="77777777" w:rsidR="00402E6B" w:rsidRPr="00402E6B" w:rsidRDefault="00402E6B" w:rsidP="00402E6B">
      <w:pPr>
        <w:spacing w:before="0" w:line="240" w:lineRule="auto"/>
        <w:rPr>
          <w:rFonts w:ascii="Roboto" w:hAnsi="Roboto"/>
          <w:i/>
          <w:iCs/>
          <w:sz w:val="24"/>
          <w:lang w:eastAsia="es-ES"/>
        </w:rPr>
      </w:pPr>
      <w:r w:rsidRPr="00402E6B">
        <w:rPr>
          <w:rFonts w:ascii="Roboto" w:hAnsi="Roboto"/>
          <w:i/>
          <w:iCs/>
          <w:sz w:val="24"/>
          <w:lang w:eastAsia="es-ES"/>
        </w:rPr>
        <w:t>Las entidades supervisadas deben establecer mecanismos de autenticación robustos que permitan validar y verificar la identidad de los usuarios financieros cuando estos:</w:t>
      </w:r>
    </w:p>
    <w:p w14:paraId="4CCB2314" w14:textId="77777777" w:rsidR="00402E6B" w:rsidRPr="00402E6B" w:rsidRDefault="00402E6B" w:rsidP="00402E6B">
      <w:pPr>
        <w:numPr>
          <w:ilvl w:val="0"/>
          <w:numId w:val="6"/>
        </w:numPr>
        <w:spacing w:before="0" w:after="0" w:line="240" w:lineRule="auto"/>
        <w:jc w:val="left"/>
        <w:rPr>
          <w:rFonts w:ascii="Roboto" w:hAnsi="Roboto"/>
          <w:i/>
          <w:iCs/>
          <w:sz w:val="24"/>
          <w:lang w:eastAsia="es-ES"/>
        </w:rPr>
      </w:pPr>
      <w:r w:rsidRPr="00402E6B">
        <w:rPr>
          <w:rFonts w:ascii="Roboto" w:hAnsi="Roboto"/>
          <w:i/>
          <w:iCs/>
          <w:sz w:val="24"/>
          <w:lang w:eastAsia="es-ES"/>
        </w:rPr>
        <w:t>Ingresen a los canales digitales</w:t>
      </w:r>
      <w:r w:rsidRPr="00402E6B">
        <w:rPr>
          <w:rFonts w:ascii="Roboto" w:hAnsi="Roboto"/>
          <w:i/>
          <w:iCs/>
          <w:color w:val="4472C4"/>
          <w:sz w:val="24"/>
          <w:lang w:eastAsia="es-ES"/>
        </w:rPr>
        <w:t>.</w:t>
      </w:r>
    </w:p>
    <w:p w14:paraId="280D9BF2" w14:textId="77777777" w:rsidR="00402E6B" w:rsidRPr="00402E6B" w:rsidRDefault="00402E6B" w:rsidP="00402E6B">
      <w:pPr>
        <w:numPr>
          <w:ilvl w:val="0"/>
          <w:numId w:val="6"/>
        </w:numPr>
        <w:spacing w:before="0" w:after="0" w:line="240" w:lineRule="auto"/>
        <w:jc w:val="left"/>
        <w:rPr>
          <w:rFonts w:ascii="Roboto" w:hAnsi="Roboto"/>
          <w:i/>
          <w:iCs/>
          <w:sz w:val="24"/>
          <w:lang w:eastAsia="es-ES"/>
        </w:rPr>
      </w:pPr>
      <w:r w:rsidRPr="00402E6B">
        <w:rPr>
          <w:rFonts w:ascii="Roboto" w:hAnsi="Roboto"/>
          <w:i/>
          <w:iCs/>
          <w:sz w:val="24"/>
          <w:lang w:eastAsia="es-ES"/>
        </w:rPr>
        <w:t>Ejecu</w:t>
      </w:r>
      <w:r w:rsidRPr="00402E6B">
        <w:rPr>
          <w:rFonts w:ascii="Roboto" w:hAnsi="Roboto"/>
          <w:i/>
          <w:iCs/>
          <w:color w:val="000000"/>
          <w:sz w:val="24"/>
          <w:lang w:eastAsia="es-ES"/>
        </w:rPr>
        <w:t xml:space="preserve">ten </w:t>
      </w:r>
      <w:r w:rsidRPr="00402E6B">
        <w:rPr>
          <w:rFonts w:ascii="Roboto" w:hAnsi="Roboto"/>
          <w:i/>
          <w:iCs/>
          <w:sz w:val="24"/>
          <w:lang w:eastAsia="es-ES"/>
        </w:rPr>
        <w:t>transacciones y acciones que conlleven riesgo en dichos canales.</w:t>
      </w:r>
    </w:p>
    <w:p w14:paraId="2D24590C" w14:textId="77777777" w:rsidR="00402E6B" w:rsidRDefault="00402E6B" w:rsidP="00402E6B">
      <w:pPr>
        <w:numPr>
          <w:ilvl w:val="0"/>
          <w:numId w:val="6"/>
        </w:numPr>
        <w:spacing w:before="0" w:after="0" w:line="240" w:lineRule="auto"/>
        <w:jc w:val="left"/>
        <w:rPr>
          <w:rFonts w:ascii="Roboto" w:hAnsi="Roboto"/>
          <w:i/>
          <w:iCs/>
          <w:sz w:val="24"/>
          <w:lang w:eastAsia="es-ES"/>
        </w:rPr>
      </w:pPr>
      <w:r w:rsidRPr="00402E6B">
        <w:rPr>
          <w:rFonts w:ascii="Roboto" w:hAnsi="Roboto"/>
          <w:i/>
          <w:iCs/>
          <w:sz w:val="24"/>
          <w:lang w:eastAsia="es-ES"/>
        </w:rPr>
        <w:t>Utilicen mecanismos de autogestión en los canales digitales, para la creación de nuevos usuarios, cambio de token, cambio de claves, bloqueo de cuentas de fondos, recuperación de credenciales, entre otros.</w:t>
      </w:r>
    </w:p>
    <w:p w14:paraId="28CBC76F" w14:textId="77777777" w:rsidR="004365F4" w:rsidRPr="00402E6B" w:rsidRDefault="004365F4" w:rsidP="004365F4">
      <w:pPr>
        <w:spacing w:before="0" w:after="0" w:line="240" w:lineRule="auto"/>
        <w:ind w:left="720"/>
        <w:jc w:val="left"/>
        <w:rPr>
          <w:rFonts w:ascii="Roboto" w:hAnsi="Roboto"/>
          <w:i/>
          <w:iCs/>
          <w:sz w:val="24"/>
          <w:lang w:eastAsia="es-ES"/>
        </w:rPr>
      </w:pPr>
    </w:p>
    <w:p w14:paraId="6678FBCC" w14:textId="77777777" w:rsidR="00402E6B" w:rsidRPr="00402E6B" w:rsidRDefault="00402E6B" w:rsidP="00402E6B">
      <w:pPr>
        <w:spacing w:before="0" w:line="240" w:lineRule="auto"/>
        <w:rPr>
          <w:rFonts w:ascii="Roboto" w:hAnsi="Roboto"/>
          <w:i/>
          <w:iCs/>
          <w:sz w:val="24"/>
          <w:lang w:eastAsia="es-ES"/>
        </w:rPr>
      </w:pPr>
      <w:r w:rsidRPr="00402E6B">
        <w:rPr>
          <w:rFonts w:ascii="Roboto" w:hAnsi="Roboto"/>
          <w:i/>
          <w:iCs/>
          <w:sz w:val="24"/>
          <w:lang w:eastAsia="es-ES"/>
        </w:rPr>
        <w:t>Dichos mecanismos de autenticación deben incorporar tecnologías basadas en dobles factores de autenticación.</w:t>
      </w:r>
    </w:p>
    <w:p w14:paraId="4A60A42A" w14:textId="77777777" w:rsidR="00402E6B" w:rsidRPr="00402E6B" w:rsidRDefault="00402E6B" w:rsidP="00402E6B">
      <w:pPr>
        <w:spacing w:before="0" w:line="240" w:lineRule="auto"/>
        <w:rPr>
          <w:rFonts w:ascii="Roboto" w:hAnsi="Roboto"/>
          <w:i/>
          <w:iCs/>
          <w:sz w:val="24"/>
          <w:lang w:eastAsia="es-ES"/>
        </w:rPr>
      </w:pPr>
      <w:r w:rsidRPr="00402E6B">
        <w:rPr>
          <w:rFonts w:ascii="Roboto" w:hAnsi="Roboto"/>
          <w:i/>
          <w:iCs/>
          <w:sz w:val="24"/>
          <w:lang w:eastAsia="es-ES"/>
        </w:rPr>
        <w:t>Además, las entidades supervisadas deben</w:t>
      </w:r>
      <w:r w:rsidRPr="00402E6B">
        <w:rPr>
          <w:rFonts w:ascii="Roboto" w:hAnsi="Roboto"/>
          <w:i/>
          <w:iCs/>
          <w:color w:val="000000"/>
          <w:sz w:val="24"/>
          <w:lang w:eastAsia="es-ES"/>
        </w:rPr>
        <w:t xml:space="preserve"> evitar incorporar en sus mecanismos de autenticación, tecnologías basadas en información transferible a un tercero que permitan suplantar la identidad del usuario financiero.</w:t>
      </w:r>
    </w:p>
    <w:p w14:paraId="7886BE0A" w14:textId="77777777" w:rsidR="00402E6B" w:rsidRPr="00402E6B" w:rsidRDefault="00402E6B" w:rsidP="004365F4">
      <w:pPr>
        <w:spacing w:before="0" w:line="240" w:lineRule="auto"/>
        <w:rPr>
          <w:rFonts w:ascii="Roboto" w:hAnsi="Roboto"/>
          <w:b/>
          <w:bCs/>
          <w:i/>
          <w:iCs/>
          <w:sz w:val="24"/>
          <w:lang w:eastAsia="es-ES"/>
        </w:rPr>
      </w:pPr>
      <w:bookmarkStart w:id="28" w:name="_Hlk152065282"/>
      <w:bookmarkEnd w:id="27"/>
      <w:r w:rsidRPr="00402E6B">
        <w:rPr>
          <w:rFonts w:ascii="Roboto" w:hAnsi="Roboto"/>
          <w:b/>
          <w:bCs/>
          <w:i/>
          <w:iCs/>
          <w:sz w:val="24"/>
          <w:lang w:eastAsia="es-ES"/>
        </w:rPr>
        <w:t>Artículo 14. Protección de la información de los usuarios financieros</w:t>
      </w:r>
    </w:p>
    <w:p w14:paraId="64357D37" w14:textId="77777777" w:rsidR="00402E6B" w:rsidRPr="00402E6B" w:rsidRDefault="00402E6B" w:rsidP="004365F4">
      <w:pPr>
        <w:spacing w:before="0" w:line="240" w:lineRule="auto"/>
        <w:rPr>
          <w:rFonts w:ascii="Roboto" w:hAnsi="Roboto"/>
          <w:i/>
          <w:iCs/>
          <w:sz w:val="24"/>
          <w:lang w:eastAsia="es-ES"/>
        </w:rPr>
      </w:pPr>
      <w:r w:rsidRPr="00402E6B">
        <w:rPr>
          <w:rFonts w:ascii="Roboto" w:hAnsi="Roboto"/>
          <w:i/>
          <w:iCs/>
          <w:sz w:val="24"/>
          <w:lang w:eastAsia="es-ES"/>
        </w:rPr>
        <w:t>Las entidades supervisadas deben implementar en sus canales digitales, al menos, los siguientes mecanismos para proteger la información de los usuarios financieros:</w:t>
      </w:r>
    </w:p>
    <w:p w14:paraId="7311A349" w14:textId="77777777" w:rsidR="00402E6B" w:rsidRDefault="00402E6B" w:rsidP="004365F4">
      <w:pPr>
        <w:widowControl w:val="0"/>
        <w:numPr>
          <w:ilvl w:val="0"/>
          <w:numId w:val="7"/>
        </w:numPr>
        <w:autoSpaceDE w:val="0"/>
        <w:autoSpaceDN w:val="0"/>
        <w:spacing w:before="0" w:after="0" w:line="240" w:lineRule="auto"/>
        <w:rPr>
          <w:rFonts w:ascii="Roboto" w:hAnsi="Roboto"/>
          <w:i/>
          <w:iCs/>
          <w:sz w:val="24"/>
          <w:lang w:eastAsia="es-ES"/>
        </w:rPr>
      </w:pPr>
      <w:r w:rsidRPr="00402E6B">
        <w:rPr>
          <w:rFonts w:ascii="Roboto" w:hAnsi="Roboto"/>
          <w:i/>
          <w:iCs/>
          <w:sz w:val="24"/>
          <w:lang w:eastAsia="es-ES"/>
        </w:rPr>
        <w:t>Certificación de autenticidad de los sitios web y de las aplicaciones móviles.</w:t>
      </w:r>
    </w:p>
    <w:p w14:paraId="1F08C264" w14:textId="77777777" w:rsidR="004365F4" w:rsidRPr="00402E6B" w:rsidRDefault="004365F4" w:rsidP="004365F4">
      <w:pPr>
        <w:widowControl w:val="0"/>
        <w:autoSpaceDE w:val="0"/>
        <w:autoSpaceDN w:val="0"/>
        <w:spacing w:before="0" w:after="0" w:line="240" w:lineRule="auto"/>
        <w:ind w:left="644"/>
        <w:rPr>
          <w:rFonts w:ascii="Roboto" w:hAnsi="Roboto"/>
          <w:i/>
          <w:iCs/>
          <w:sz w:val="24"/>
          <w:lang w:eastAsia="es-ES"/>
        </w:rPr>
      </w:pPr>
    </w:p>
    <w:p w14:paraId="06B20E7A" w14:textId="77777777" w:rsidR="00402E6B" w:rsidRDefault="00402E6B" w:rsidP="004365F4">
      <w:pPr>
        <w:widowControl w:val="0"/>
        <w:numPr>
          <w:ilvl w:val="0"/>
          <w:numId w:val="7"/>
        </w:numPr>
        <w:autoSpaceDE w:val="0"/>
        <w:autoSpaceDN w:val="0"/>
        <w:spacing w:before="0" w:after="0" w:line="240" w:lineRule="auto"/>
        <w:rPr>
          <w:rFonts w:ascii="Roboto" w:hAnsi="Roboto"/>
          <w:i/>
          <w:iCs/>
          <w:sz w:val="24"/>
          <w:lang w:eastAsia="es-ES"/>
        </w:rPr>
      </w:pPr>
      <w:r w:rsidRPr="00402E6B">
        <w:rPr>
          <w:rFonts w:ascii="Roboto" w:hAnsi="Roboto"/>
          <w:i/>
          <w:iCs/>
          <w:sz w:val="24"/>
          <w:lang w:eastAsia="es-ES"/>
        </w:rPr>
        <w:t>Elementos que permitan a los usuarios financieros corroborar la autenticidad de los comunicados remitidos por las entidades supervisadas.</w:t>
      </w:r>
    </w:p>
    <w:p w14:paraId="591D6EEC" w14:textId="77777777" w:rsidR="004365F4" w:rsidRPr="00402E6B" w:rsidRDefault="004365F4" w:rsidP="004365F4">
      <w:pPr>
        <w:widowControl w:val="0"/>
        <w:autoSpaceDE w:val="0"/>
        <w:autoSpaceDN w:val="0"/>
        <w:spacing w:before="0" w:after="0" w:line="240" w:lineRule="auto"/>
        <w:rPr>
          <w:rFonts w:ascii="Roboto" w:hAnsi="Roboto"/>
          <w:i/>
          <w:iCs/>
          <w:sz w:val="24"/>
          <w:lang w:eastAsia="es-ES"/>
        </w:rPr>
      </w:pPr>
    </w:p>
    <w:p w14:paraId="77E2019C" w14:textId="77777777" w:rsidR="00402E6B" w:rsidRDefault="00402E6B" w:rsidP="004365F4">
      <w:pPr>
        <w:widowControl w:val="0"/>
        <w:numPr>
          <w:ilvl w:val="0"/>
          <w:numId w:val="7"/>
        </w:numPr>
        <w:autoSpaceDE w:val="0"/>
        <w:autoSpaceDN w:val="0"/>
        <w:spacing w:before="0" w:after="0" w:line="240" w:lineRule="auto"/>
        <w:rPr>
          <w:rFonts w:ascii="Roboto" w:hAnsi="Roboto"/>
          <w:i/>
          <w:iCs/>
          <w:sz w:val="24"/>
          <w:lang w:eastAsia="es-ES"/>
        </w:rPr>
      </w:pPr>
      <w:r w:rsidRPr="00402E6B">
        <w:rPr>
          <w:rFonts w:ascii="Roboto" w:hAnsi="Roboto"/>
          <w:i/>
          <w:iCs/>
          <w:sz w:val="24"/>
          <w:lang w:eastAsia="es-ES"/>
        </w:rPr>
        <w:t>Política de contraseñas robustas.</w:t>
      </w:r>
    </w:p>
    <w:p w14:paraId="74FC0E4F" w14:textId="77777777" w:rsidR="004365F4" w:rsidRPr="00402E6B" w:rsidRDefault="004365F4" w:rsidP="004365F4">
      <w:pPr>
        <w:widowControl w:val="0"/>
        <w:autoSpaceDE w:val="0"/>
        <w:autoSpaceDN w:val="0"/>
        <w:spacing w:before="0" w:after="0" w:line="240" w:lineRule="auto"/>
        <w:rPr>
          <w:rFonts w:ascii="Roboto" w:hAnsi="Roboto"/>
          <w:i/>
          <w:iCs/>
          <w:sz w:val="24"/>
          <w:lang w:eastAsia="es-ES"/>
        </w:rPr>
      </w:pPr>
    </w:p>
    <w:p w14:paraId="3464ACB7" w14:textId="77777777" w:rsidR="00402E6B" w:rsidRDefault="00402E6B" w:rsidP="004365F4">
      <w:pPr>
        <w:widowControl w:val="0"/>
        <w:numPr>
          <w:ilvl w:val="0"/>
          <w:numId w:val="7"/>
        </w:numPr>
        <w:autoSpaceDE w:val="0"/>
        <w:autoSpaceDN w:val="0"/>
        <w:spacing w:before="0" w:after="0" w:line="240" w:lineRule="auto"/>
        <w:rPr>
          <w:rFonts w:ascii="Roboto" w:hAnsi="Roboto"/>
          <w:i/>
          <w:iCs/>
          <w:sz w:val="24"/>
          <w:lang w:eastAsia="es-ES"/>
        </w:rPr>
      </w:pPr>
      <w:bookmarkStart w:id="29" w:name="_Hlk156555302"/>
      <w:r w:rsidRPr="00402E6B">
        <w:rPr>
          <w:rFonts w:ascii="Roboto" w:hAnsi="Roboto"/>
          <w:i/>
          <w:iCs/>
          <w:sz w:val="24"/>
          <w:lang w:eastAsia="es-ES"/>
        </w:rPr>
        <w:t>Límites de tiempo para que las sesiones iniciadas se cierren automáticamente cuando se detecte inactividad.</w:t>
      </w:r>
    </w:p>
    <w:p w14:paraId="73250E22" w14:textId="77777777" w:rsidR="004365F4" w:rsidRPr="00402E6B" w:rsidRDefault="004365F4" w:rsidP="004365F4">
      <w:pPr>
        <w:widowControl w:val="0"/>
        <w:autoSpaceDE w:val="0"/>
        <w:autoSpaceDN w:val="0"/>
        <w:spacing w:before="0" w:after="0" w:line="240" w:lineRule="auto"/>
        <w:rPr>
          <w:rFonts w:ascii="Roboto" w:hAnsi="Roboto"/>
          <w:i/>
          <w:iCs/>
          <w:sz w:val="24"/>
          <w:lang w:eastAsia="es-ES"/>
        </w:rPr>
      </w:pPr>
    </w:p>
    <w:bookmarkEnd w:id="29"/>
    <w:p w14:paraId="1542C9D1" w14:textId="77777777" w:rsidR="00402E6B" w:rsidRPr="00402E6B" w:rsidRDefault="00402E6B" w:rsidP="004365F4">
      <w:pPr>
        <w:widowControl w:val="0"/>
        <w:numPr>
          <w:ilvl w:val="0"/>
          <w:numId w:val="7"/>
        </w:numPr>
        <w:autoSpaceDE w:val="0"/>
        <w:autoSpaceDN w:val="0"/>
        <w:spacing w:before="0" w:after="0" w:line="240" w:lineRule="auto"/>
        <w:rPr>
          <w:rFonts w:ascii="Roboto" w:hAnsi="Roboto"/>
          <w:i/>
          <w:iCs/>
          <w:sz w:val="24"/>
          <w:lang w:eastAsia="es-ES"/>
        </w:rPr>
      </w:pPr>
      <w:r w:rsidRPr="00402E6B">
        <w:rPr>
          <w:rFonts w:ascii="Roboto" w:hAnsi="Roboto"/>
          <w:i/>
          <w:iCs/>
          <w:sz w:val="24"/>
          <w:lang w:eastAsia="es-ES"/>
        </w:rPr>
        <w:t>Límites diferenciados para la cantidad y monto de las transferencias realizadas por los usuarios financieros a terceros mediante canales digitales, tanto a nivel local como internacional, de conformidad con las opciones de configuración disponibles para los usuarios financieros.</w:t>
      </w:r>
    </w:p>
    <w:p w14:paraId="3E450887" w14:textId="77777777" w:rsidR="00402E6B" w:rsidRPr="00402E6B" w:rsidRDefault="00402E6B" w:rsidP="004365F4">
      <w:pPr>
        <w:spacing w:before="0" w:line="240" w:lineRule="auto"/>
        <w:rPr>
          <w:rFonts w:ascii="Roboto" w:hAnsi="Roboto"/>
          <w:b/>
          <w:bCs/>
          <w:i/>
          <w:iCs/>
          <w:sz w:val="24"/>
          <w:lang w:eastAsia="es-ES"/>
        </w:rPr>
      </w:pPr>
    </w:p>
    <w:p w14:paraId="33B06B7B" w14:textId="77777777" w:rsidR="00402E6B" w:rsidRPr="00402E6B" w:rsidRDefault="00402E6B" w:rsidP="00402E6B">
      <w:pPr>
        <w:spacing w:before="0" w:line="240" w:lineRule="auto"/>
        <w:rPr>
          <w:rFonts w:ascii="Roboto" w:hAnsi="Roboto"/>
          <w:b/>
          <w:bCs/>
          <w:i/>
          <w:iCs/>
          <w:sz w:val="24"/>
          <w:lang w:eastAsia="es-ES"/>
        </w:rPr>
      </w:pPr>
      <w:r w:rsidRPr="00402E6B">
        <w:rPr>
          <w:rFonts w:ascii="Roboto" w:hAnsi="Roboto"/>
          <w:b/>
          <w:bCs/>
          <w:i/>
          <w:iCs/>
          <w:sz w:val="24"/>
          <w:lang w:eastAsia="es-ES"/>
        </w:rPr>
        <w:t>Artículo 15. Notificación de transacciones</w:t>
      </w:r>
    </w:p>
    <w:p w14:paraId="1218128C" w14:textId="77777777" w:rsidR="00402E6B" w:rsidRPr="00402E6B" w:rsidRDefault="00402E6B" w:rsidP="00402E6B">
      <w:pPr>
        <w:spacing w:before="0" w:line="240" w:lineRule="auto"/>
        <w:rPr>
          <w:rFonts w:ascii="Roboto" w:hAnsi="Roboto"/>
          <w:i/>
          <w:iCs/>
          <w:sz w:val="24"/>
          <w:lang w:eastAsia="es-ES"/>
        </w:rPr>
      </w:pPr>
      <w:bookmarkStart w:id="30" w:name="_Hlk152065293"/>
      <w:bookmarkEnd w:id="28"/>
      <w:r w:rsidRPr="00402E6B">
        <w:rPr>
          <w:rFonts w:ascii="Roboto" w:hAnsi="Roboto"/>
          <w:i/>
          <w:iCs/>
          <w:sz w:val="24"/>
          <w:lang w:eastAsia="es-ES"/>
        </w:rPr>
        <w:t xml:space="preserve">Las entidades supervisadas deben </w:t>
      </w:r>
      <w:r w:rsidRPr="00402E6B">
        <w:rPr>
          <w:rFonts w:ascii="Roboto" w:hAnsi="Roboto"/>
          <w:i/>
          <w:iCs/>
          <w:color w:val="000000"/>
          <w:sz w:val="24"/>
          <w:lang w:eastAsia="es-ES"/>
        </w:rPr>
        <w:t xml:space="preserve">enviar una notificación </w:t>
      </w:r>
      <w:r w:rsidRPr="00402E6B">
        <w:rPr>
          <w:rFonts w:ascii="Roboto" w:hAnsi="Roboto"/>
          <w:i/>
          <w:iCs/>
          <w:sz w:val="24"/>
          <w:lang w:eastAsia="es-ES"/>
        </w:rPr>
        <w:t xml:space="preserve">a los usuarios financieros, en menos de un minuto, cuando se realicen transacciones en sus cuentas de fondos; asimismo, cuando sucedan eventos como: inicios de sesión, cambios de contraseñas, cambios en mecanismos de seguridad, actualización de número de teléfono o correo electrónico, aumento de límites para transacciones, nuevos dispositivos electrónicos detectados, entre otros. </w:t>
      </w:r>
    </w:p>
    <w:p w14:paraId="408C3590" w14:textId="77777777" w:rsidR="00402E6B" w:rsidRPr="00402E6B" w:rsidRDefault="00402E6B" w:rsidP="00402E6B">
      <w:pPr>
        <w:spacing w:before="0" w:line="240" w:lineRule="auto"/>
        <w:rPr>
          <w:rFonts w:ascii="Roboto" w:hAnsi="Roboto"/>
          <w:i/>
          <w:iCs/>
          <w:color w:val="000000"/>
          <w:sz w:val="24"/>
          <w:lang w:eastAsia="es-ES"/>
        </w:rPr>
      </w:pPr>
      <w:r w:rsidRPr="00402E6B">
        <w:rPr>
          <w:rFonts w:ascii="Roboto" w:hAnsi="Roboto"/>
          <w:i/>
          <w:iCs/>
          <w:color w:val="000000"/>
          <w:sz w:val="24"/>
          <w:lang w:eastAsia="es-ES"/>
        </w:rPr>
        <w:t>Dichas notificaciones deben enviarse mediante correo electrónico, mensajes de texto SMS o notificaciones push. Además, las notificaciones podrán enviarse mediante otros mecanismos que hayan sido autorizados por los usuarios financieros, en cuyo caso, las entidades supervisadas deberán informar a los usuarios financieros las implicaciones que tiene el mecanismo y la responsabilidad que tienen los usuarios de comunicar a las entidades cuando realicen cambios en sus direcciones de correo electrónico o en sus números de teléfono celular.</w:t>
      </w:r>
    </w:p>
    <w:p w14:paraId="5DEFB1B3" w14:textId="77777777" w:rsidR="00402E6B" w:rsidRPr="00402E6B" w:rsidRDefault="00402E6B" w:rsidP="00402E6B">
      <w:pPr>
        <w:spacing w:before="0" w:line="240" w:lineRule="auto"/>
        <w:rPr>
          <w:rFonts w:ascii="Roboto" w:hAnsi="Roboto"/>
          <w:i/>
          <w:iCs/>
          <w:color w:val="000000"/>
          <w:sz w:val="24"/>
          <w:lang w:eastAsia="es-ES"/>
        </w:rPr>
      </w:pPr>
      <w:bookmarkStart w:id="31" w:name="_Hlk165897355"/>
      <w:r w:rsidRPr="00402E6B">
        <w:rPr>
          <w:rFonts w:ascii="Roboto" w:hAnsi="Roboto"/>
          <w:i/>
          <w:iCs/>
          <w:color w:val="000000"/>
          <w:sz w:val="24"/>
          <w:lang w:eastAsia="es-ES"/>
        </w:rPr>
        <w:t>Cuando las entidades supervisadas envíen notificaciones a los usuarios financieros con el propósito de requerirles una confirmación o validación sobre las gestiones señaladas anteriormente u otras gestiones sensibles, deberán verificar la identidad de los usuarios financieros.</w:t>
      </w:r>
      <w:bookmarkStart w:id="32" w:name="_Hlk152065326"/>
      <w:bookmarkEnd w:id="30"/>
      <w:bookmarkEnd w:id="31"/>
    </w:p>
    <w:p w14:paraId="4F80F871" w14:textId="77777777" w:rsidR="00402E6B" w:rsidRPr="00402E6B" w:rsidRDefault="00402E6B" w:rsidP="00402E6B">
      <w:pPr>
        <w:spacing w:before="0" w:line="240" w:lineRule="auto"/>
        <w:rPr>
          <w:rFonts w:ascii="Roboto" w:hAnsi="Roboto"/>
          <w:i/>
          <w:iCs/>
          <w:color w:val="000000"/>
          <w:sz w:val="24"/>
          <w:lang w:eastAsia="es-ES"/>
        </w:rPr>
      </w:pPr>
      <w:r w:rsidRPr="00402E6B">
        <w:rPr>
          <w:rFonts w:ascii="Roboto" w:hAnsi="Roboto"/>
          <w:i/>
          <w:iCs/>
          <w:color w:val="000000"/>
          <w:sz w:val="24"/>
          <w:lang w:eastAsia="es-ES"/>
        </w:rPr>
        <w:lastRenderedPageBreak/>
        <w:t>Las entidades supervisadas deberán conservar evidencia verificable de la fecha, hora, medio y contenido mínimo de las notificaciones remitidas.</w:t>
      </w:r>
    </w:p>
    <w:p w14:paraId="21C7EDC8" w14:textId="49A05A90" w:rsidR="00402E6B" w:rsidRPr="00402E6B" w:rsidRDefault="00402E6B" w:rsidP="00402E6B">
      <w:pPr>
        <w:spacing w:before="0" w:line="240" w:lineRule="auto"/>
        <w:rPr>
          <w:rFonts w:ascii="Roboto" w:hAnsi="Roboto"/>
          <w:i/>
          <w:iCs/>
          <w:color w:val="000000"/>
          <w:sz w:val="24"/>
          <w:lang w:eastAsia="es-ES"/>
        </w:rPr>
      </w:pPr>
      <w:r w:rsidRPr="00402E6B">
        <w:rPr>
          <w:rFonts w:ascii="Roboto" w:hAnsi="Roboto"/>
          <w:b/>
          <w:bCs/>
          <w:i/>
          <w:iCs/>
          <w:color w:val="000000"/>
          <w:sz w:val="24"/>
          <w:lang w:eastAsia="es-ES"/>
        </w:rPr>
        <w:t>Artículo 16. Envío de enlaces en notificaciones</w:t>
      </w:r>
    </w:p>
    <w:bookmarkEnd w:id="32"/>
    <w:p w14:paraId="0DF9C642" w14:textId="77777777" w:rsidR="00402E6B" w:rsidRPr="00402E6B" w:rsidRDefault="00402E6B" w:rsidP="00402E6B">
      <w:pPr>
        <w:spacing w:before="0" w:line="240" w:lineRule="auto"/>
        <w:rPr>
          <w:rFonts w:ascii="Roboto" w:hAnsi="Roboto"/>
          <w:i/>
          <w:iCs/>
          <w:color w:val="000000"/>
          <w:sz w:val="24"/>
          <w:lang w:eastAsia="es-ES"/>
        </w:rPr>
      </w:pPr>
      <w:r w:rsidRPr="00402E6B">
        <w:rPr>
          <w:rFonts w:ascii="Roboto" w:hAnsi="Roboto"/>
          <w:i/>
          <w:iCs/>
          <w:color w:val="000000"/>
          <w:sz w:val="24"/>
          <w:lang w:eastAsia="es-ES"/>
        </w:rPr>
        <w:t>Las entidades supervisadas no deben incluir enlaces acortados en las notificaciones indicadas en el artículo 15 del presente reglamento cuando se envíen por medio de correos electrónicos dirigidos a los usuarios financieros.</w:t>
      </w:r>
    </w:p>
    <w:p w14:paraId="42379915" w14:textId="77777777" w:rsidR="00402E6B" w:rsidRPr="00402E6B" w:rsidRDefault="00402E6B" w:rsidP="00402E6B">
      <w:pPr>
        <w:spacing w:before="0" w:line="240" w:lineRule="auto"/>
        <w:rPr>
          <w:rFonts w:ascii="Roboto" w:hAnsi="Roboto"/>
          <w:b/>
          <w:bCs/>
          <w:i/>
          <w:iCs/>
          <w:sz w:val="24"/>
          <w:lang w:eastAsia="es-ES"/>
        </w:rPr>
      </w:pPr>
      <w:r w:rsidRPr="00402E6B">
        <w:rPr>
          <w:rFonts w:ascii="Roboto" w:hAnsi="Roboto"/>
          <w:b/>
          <w:bCs/>
          <w:i/>
          <w:iCs/>
          <w:sz w:val="24"/>
          <w:lang w:eastAsia="es-ES"/>
        </w:rPr>
        <w:t>Artículo 17. Políticas y procedimientos para bloqueos preventivos de fondos</w:t>
      </w:r>
    </w:p>
    <w:p w14:paraId="69F8A2ED" w14:textId="77777777" w:rsidR="00402E6B" w:rsidRPr="00402E6B" w:rsidRDefault="00402E6B" w:rsidP="00402E6B">
      <w:pPr>
        <w:spacing w:before="0" w:line="240" w:lineRule="auto"/>
        <w:rPr>
          <w:rFonts w:ascii="Roboto" w:hAnsi="Roboto"/>
          <w:i/>
          <w:iCs/>
          <w:sz w:val="24"/>
          <w:lang w:eastAsia="es-ES"/>
        </w:rPr>
      </w:pPr>
      <w:r w:rsidRPr="00402E6B">
        <w:rPr>
          <w:rFonts w:ascii="Roboto" w:hAnsi="Roboto"/>
          <w:i/>
          <w:iCs/>
          <w:sz w:val="24"/>
          <w:lang w:eastAsia="es-ES"/>
        </w:rPr>
        <w:t xml:space="preserve">Las entidades supervisadas deben establecer políticas y procedimientos para realizar bloqueos preventivos de fondos de transferencias cuyo origen o destino se presuma que corresponde a una estafa informática. </w:t>
      </w:r>
      <w:bookmarkStart w:id="33" w:name="_Hlk152065331"/>
    </w:p>
    <w:p w14:paraId="028F584F" w14:textId="77777777" w:rsidR="00402E6B" w:rsidRPr="00402E6B" w:rsidRDefault="00402E6B" w:rsidP="00402E6B">
      <w:pPr>
        <w:spacing w:before="0" w:line="240" w:lineRule="auto"/>
        <w:rPr>
          <w:rFonts w:ascii="Roboto" w:hAnsi="Roboto"/>
          <w:b/>
          <w:bCs/>
          <w:i/>
          <w:iCs/>
          <w:sz w:val="24"/>
          <w:lang w:eastAsia="es-ES"/>
        </w:rPr>
      </w:pPr>
      <w:r w:rsidRPr="00402E6B">
        <w:rPr>
          <w:rFonts w:ascii="Roboto" w:hAnsi="Roboto"/>
          <w:b/>
          <w:bCs/>
          <w:i/>
          <w:iCs/>
          <w:sz w:val="24"/>
          <w:lang w:eastAsia="es-ES"/>
        </w:rPr>
        <w:t xml:space="preserve">Artículo 18. Mecanismos de autogestión para el bloqueo temporal de productos y servicios financieros </w:t>
      </w:r>
    </w:p>
    <w:bookmarkEnd w:id="33"/>
    <w:p w14:paraId="503B8BFD" w14:textId="77777777" w:rsidR="00402E6B" w:rsidRPr="00402E6B" w:rsidRDefault="00402E6B" w:rsidP="00402E6B">
      <w:pPr>
        <w:spacing w:before="0" w:line="240" w:lineRule="auto"/>
        <w:rPr>
          <w:rFonts w:ascii="Roboto" w:hAnsi="Roboto"/>
          <w:i/>
          <w:iCs/>
          <w:sz w:val="24"/>
          <w:lang w:eastAsia="es-ES"/>
        </w:rPr>
      </w:pPr>
      <w:r w:rsidRPr="00402E6B">
        <w:rPr>
          <w:rFonts w:ascii="Roboto" w:hAnsi="Roboto"/>
          <w:i/>
          <w:iCs/>
          <w:sz w:val="24"/>
          <w:lang w:eastAsia="es-ES"/>
        </w:rPr>
        <w:t xml:space="preserve">Las entidades supervisadas deben habilitar en sus canales digitales y en sus centros de atención telefónica, mecanismos de autogestión que les permitan a los usuarios financieros realizar bloqueos temporales de sus productos y servicios financieros de forma expedita, particularmente respecto de su funcionalidad para realizar transacciones electrónicas desde sus cuentas de fondos, de forma expedita. </w:t>
      </w:r>
    </w:p>
    <w:p w14:paraId="17765915" w14:textId="77777777" w:rsidR="00402E6B" w:rsidRPr="00402E6B" w:rsidRDefault="00402E6B" w:rsidP="00402E6B">
      <w:pPr>
        <w:spacing w:before="0" w:line="240" w:lineRule="auto"/>
        <w:rPr>
          <w:rFonts w:ascii="Roboto" w:hAnsi="Roboto"/>
          <w:b/>
          <w:bCs/>
          <w:i/>
          <w:iCs/>
          <w:sz w:val="24"/>
          <w:lang w:eastAsia="es-ES"/>
        </w:rPr>
      </w:pPr>
      <w:bookmarkStart w:id="34" w:name="_Hlk152065345"/>
      <w:bookmarkStart w:id="35" w:name="_Hlk165298544"/>
      <w:r w:rsidRPr="00402E6B">
        <w:rPr>
          <w:rFonts w:ascii="Roboto" w:hAnsi="Roboto"/>
          <w:b/>
          <w:bCs/>
          <w:i/>
          <w:iCs/>
          <w:sz w:val="24"/>
          <w:lang w:eastAsia="es-ES"/>
        </w:rPr>
        <w:t>Artículo 19. Reporte, comunicación y registro de cuentas utilizadas en estafas informáticas</w:t>
      </w:r>
    </w:p>
    <w:bookmarkEnd w:id="34"/>
    <w:p w14:paraId="324441E3" w14:textId="77777777" w:rsidR="00402E6B" w:rsidRPr="00402E6B" w:rsidRDefault="00402E6B" w:rsidP="00402E6B">
      <w:pPr>
        <w:spacing w:before="0" w:line="240" w:lineRule="auto"/>
        <w:rPr>
          <w:rFonts w:ascii="Roboto" w:hAnsi="Roboto"/>
          <w:i/>
          <w:iCs/>
          <w:sz w:val="24"/>
          <w:lang w:val="es-CR" w:eastAsia="es-ES"/>
        </w:rPr>
      </w:pPr>
      <w:r w:rsidRPr="00402E6B">
        <w:rPr>
          <w:rFonts w:ascii="Roboto" w:hAnsi="Roboto"/>
          <w:i/>
          <w:iCs/>
          <w:sz w:val="24"/>
          <w:lang w:val="es-CR" w:eastAsia="es-ES"/>
        </w:rPr>
        <w:t>Las entidades supervisadas deberán reportar, a la SUGEF y al OIJ, mediante protocolos seguros y conforme a la normativa de protección de datos personales, las cuentas y los nombres de sus titulares, cuando exista una resolución judicial firme que determine que dichas cuentas fueron utilizadas para recibir fondos provenientes de estafas informáticas</w:t>
      </w:r>
    </w:p>
    <w:p w14:paraId="7FA07156" w14:textId="77777777" w:rsidR="00402E6B" w:rsidRPr="00402E6B" w:rsidRDefault="00402E6B" w:rsidP="00402E6B">
      <w:pPr>
        <w:spacing w:before="0" w:line="240" w:lineRule="auto"/>
        <w:rPr>
          <w:rFonts w:ascii="Roboto" w:hAnsi="Roboto"/>
          <w:i/>
          <w:iCs/>
          <w:sz w:val="24"/>
          <w:lang w:eastAsia="es-ES"/>
        </w:rPr>
      </w:pPr>
      <w:r w:rsidRPr="00402E6B">
        <w:rPr>
          <w:rFonts w:ascii="Roboto" w:hAnsi="Roboto"/>
          <w:i/>
          <w:iCs/>
          <w:sz w:val="24"/>
          <w:lang w:val="es-CR" w:eastAsia="es-ES"/>
        </w:rPr>
        <w:lastRenderedPageBreak/>
        <w:t>La SUGEF comunicará esta información a las entidades supervisadas, mediante los mecanismos que estime pertinentes y exclusivamente para fines regulatorios y de supervisión</w:t>
      </w:r>
      <w:bookmarkEnd w:id="35"/>
      <w:r w:rsidRPr="00402E6B">
        <w:rPr>
          <w:rFonts w:ascii="Roboto" w:hAnsi="Roboto"/>
          <w:i/>
          <w:iCs/>
          <w:sz w:val="24"/>
          <w:lang w:val="es-CR" w:eastAsia="es-ES"/>
        </w:rPr>
        <w:t>,</w:t>
      </w:r>
      <w:r w:rsidRPr="00402E6B">
        <w:rPr>
          <w:rFonts w:ascii="Times New Roman" w:hAnsi="Times New Roman"/>
          <w:sz w:val="20"/>
          <w:szCs w:val="20"/>
          <w:lang w:eastAsia="es-ES"/>
        </w:rPr>
        <w:t xml:space="preserve"> </w:t>
      </w:r>
      <w:r w:rsidRPr="00402E6B">
        <w:rPr>
          <w:rFonts w:ascii="Roboto" w:hAnsi="Roboto"/>
          <w:i/>
          <w:iCs/>
          <w:sz w:val="24"/>
          <w:lang w:val="es-CR" w:eastAsia="es-ES"/>
        </w:rPr>
        <w:t>para que estas adopten las medidas correspondientes de monitoreo y debida diligencia.</w:t>
      </w:r>
    </w:p>
    <w:p w14:paraId="216C7685" w14:textId="77777777" w:rsidR="002067C5" w:rsidRDefault="002067C5" w:rsidP="00EC529F">
      <w:pPr>
        <w:pStyle w:val="Negrita"/>
        <w:jc w:val="left"/>
        <w:rPr>
          <w:rFonts w:ascii="Arial" w:hAnsi="Arial" w:cs="Arial"/>
          <w:b w:val="0"/>
          <w:szCs w:val="22"/>
        </w:rPr>
      </w:pPr>
    </w:p>
    <w:p w14:paraId="2A8B50E7" w14:textId="2ED328CC" w:rsidR="002067C5" w:rsidRPr="005A029A" w:rsidRDefault="005A029A" w:rsidP="005A029A">
      <w:pPr>
        <w:pStyle w:val="Negrita"/>
        <w:jc w:val="center"/>
        <w:rPr>
          <w:rFonts w:ascii="Arial" w:hAnsi="Arial" w:cs="Arial"/>
          <w:bCs/>
          <w:szCs w:val="22"/>
        </w:rPr>
      </w:pPr>
      <w:r w:rsidRPr="005A029A">
        <w:rPr>
          <w:rFonts w:ascii="Arial" w:hAnsi="Arial" w:cs="Arial"/>
          <w:bCs/>
          <w:szCs w:val="22"/>
        </w:rPr>
        <w:t>ANEXO 1</w:t>
      </w:r>
    </w:p>
    <w:p w14:paraId="6A6DF6FE" w14:textId="77777777" w:rsidR="005A029A" w:rsidRDefault="005A029A" w:rsidP="00EC529F">
      <w:pPr>
        <w:pStyle w:val="Negrita"/>
        <w:jc w:val="left"/>
        <w:rPr>
          <w:rFonts w:ascii="Arial" w:hAnsi="Arial" w:cs="Arial"/>
          <w:b w:val="0"/>
          <w:szCs w:val="22"/>
        </w:rPr>
      </w:pPr>
    </w:p>
    <w:p w14:paraId="3CA750D2" w14:textId="77777777" w:rsidR="005A029A" w:rsidRPr="00413B54" w:rsidRDefault="005A029A" w:rsidP="005A029A">
      <w:pPr>
        <w:spacing w:after="0" w:line="240" w:lineRule="auto"/>
        <w:jc w:val="center"/>
        <w:rPr>
          <w:rFonts w:ascii="Arial" w:hAnsi="Arial" w:cs="Arial"/>
          <w:b/>
          <w:bCs/>
          <w:szCs w:val="22"/>
        </w:rPr>
      </w:pPr>
      <w:r>
        <w:rPr>
          <w:rFonts w:ascii="Arial" w:hAnsi="Arial" w:cs="Arial"/>
          <w:b/>
          <w:bCs/>
          <w:szCs w:val="22"/>
        </w:rPr>
        <w:t xml:space="preserve">PROTOCOLO PARA LA ATENCIÓN DE LOS CASOS </w:t>
      </w:r>
      <w:r w:rsidRPr="000700A1">
        <w:rPr>
          <w:rFonts w:ascii="Arial" w:hAnsi="Arial" w:cs="Arial"/>
          <w:b/>
          <w:bCs/>
          <w:szCs w:val="22"/>
        </w:rPr>
        <w:t xml:space="preserve">EN LOS QUE </w:t>
      </w:r>
      <w:r>
        <w:rPr>
          <w:rFonts w:ascii="Arial" w:hAnsi="Arial" w:cs="Arial"/>
          <w:b/>
          <w:bCs/>
          <w:szCs w:val="22"/>
        </w:rPr>
        <w:t>LOS INTERMEDIARIOS FINANCIEROS</w:t>
      </w:r>
      <w:r w:rsidRPr="000700A1">
        <w:rPr>
          <w:rFonts w:ascii="Arial" w:hAnsi="Arial" w:cs="Arial"/>
          <w:b/>
          <w:bCs/>
          <w:szCs w:val="22"/>
        </w:rPr>
        <w:t xml:space="preserve"> SUPERVISAD</w:t>
      </w:r>
      <w:r>
        <w:rPr>
          <w:rFonts w:ascii="Arial" w:hAnsi="Arial" w:cs="Arial"/>
          <w:b/>
          <w:bCs/>
          <w:szCs w:val="22"/>
        </w:rPr>
        <w:t>O</w:t>
      </w:r>
      <w:r w:rsidRPr="000700A1">
        <w:rPr>
          <w:rFonts w:ascii="Arial" w:hAnsi="Arial" w:cs="Arial"/>
          <w:b/>
          <w:bCs/>
          <w:szCs w:val="22"/>
        </w:rPr>
        <w:t>S RECHACEN RECLAMOS CONFORME A</w:t>
      </w:r>
      <w:r>
        <w:rPr>
          <w:rFonts w:ascii="Arial" w:hAnsi="Arial" w:cs="Arial"/>
          <w:b/>
          <w:bCs/>
          <w:szCs w:val="22"/>
        </w:rPr>
        <w:t xml:space="preserve"> LA LEY </w:t>
      </w:r>
      <w:r w:rsidRPr="00413B54">
        <w:rPr>
          <w:rFonts w:ascii="Arial" w:hAnsi="Arial" w:cs="Arial"/>
          <w:b/>
          <w:bCs/>
          <w:szCs w:val="22"/>
        </w:rPr>
        <w:t>10889</w:t>
      </w:r>
    </w:p>
    <w:p w14:paraId="79D45F0E" w14:textId="77777777" w:rsidR="005A029A" w:rsidRPr="00413B54" w:rsidRDefault="005A029A" w:rsidP="005A029A">
      <w:pPr>
        <w:spacing w:after="0" w:line="240" w:lineRule="auto"/>
        <w:rPr>
          <w:rFonts w:ascii="Arial" w:hAnsi="Arial" w:cs="Arial"/>
          <w:szCs w:val="22"/>
        </w:rPr>
      </w:pPr>
    </w:p>
    <w:p w14:paraId="634F82F6" w14:textId="77777777" w:rsidR="005A029A" w:rsidRPr="00155D9D" w:rsidRDefault="005A029A" w:rsidP="005A029A">
      <w:pPr>
        <w:pStyle w:val="Prrafodelista"/>
        <w:numPr>
          <w:ilvl w:val="0"/>
          <w:numId w:val="12"/>
        </w:numPr>
        <w:tabs>
          <w:tab w:val="left" w:pos="284"/>
        </w:tabs>
        <w:spacing w:before="0" w:after="0" w:line="240" w:lineRule="auto"/>
        <w:rPr>
          <w:rFonts w:ascii="Arial" w:hAnsi="Arial" w:cs="Arial"/>
          <w:szCs w:val="22"/>
        </w:rPr>
      </w:pPr>
      <w:r>
        <w:rPr>
          <w:rFonts w:ascii="Arial" w:hAnsi="Arial" w:cs="Arial"/>
          <w:szCs w:val="22"/>
        </w:rPr>
        <w:t>El intermediario financiero</w:t>
      </w:r>
      <w:r w:rsidRPr="00155D9D">
        <w:rPr>
          <w:rFonts w:ascii="Arial" w:hAnsi="Arial" w:cs="Arial"/>
          <w:szCs w:val="22"/>
        </w:rPr>
        <w:t xml:space="preserve"> deberá remitir</w:t>
      </w:r>
      <w:r>
        <w:rPr>
          <w:rFonts w:ascii="Arial" w:hAnsi="Arial" w:cs="Arial"/>
          <w:szCs w:val="22"/>
        </w:rPr>
        <w:t>,</w:t>
      </w:r>
      <w:r w:rsidRPr="00155D9D">
        <w:rPr>
          <w:rFonts w:ascii="Arial" w:hAnsi="Arial" w:cs="Arial"/>
          <w:szCs w:val="22"/>
        </w:rPr>
        <w:t xml:space="preserve"> por medio del Sistema de “Trámite de Solicitudes de Autorización (TSA)”</w:t>
      </w:r>
      <w:r>
        <w:rPr>
          <w:rFonts w:ascii="Arial" w:hAnsi="Arial" w:cs="Arial"/>
          <w:szCs w:val="22"/>
        </w:rPr>
        <w:t>,</w:t>
      </w:r>
      <w:r w:rsidRPr="00155D9D">
        <w:rPr>
          <w:rFonts w:ascii="Arial" w:hAnsi="Arial" w:cs="Arial"/>
          <w:szCs w:val="22"/>
        </w:rPr>
        <w:t xml:space="preserve"> </w:t>
      </w:r>
      <w:r>
        <w:rPr>
          <w:rFonts w:ascii="Arial" w:hAnsi="Arial" w:cs="Arial"/>
          <w:szCs w:val="22"/>
        </w:rPr>
        <w:t>el</w:t>
      </w:r>
      <w:r w:rsidRPr="00155D9D">
        <w:rPr>
          <w:rFonts w:ascii="Arial" w:hAnsi="Arial" w:cs="Arial"/>
          <w:szCs w:val="22"/>
        </w:rPr>
        <w:t xml:space="preserve"> oficio </w:t>
      </w:r>
      <w:r>
        <w:rPr>
          <w:rFonts w:ascii="Arial" w:hAnsi="Arial" w:cs="Arial"/>
          <w:szCs w:val="22"/>
        </w:rPr>
        <w:t xml:space="preserve">de remisión de la denegatoria para </w:t>
      </w:r>
      <w:r w:rsidRPr="00155D9D">
        <w:rPr>
          <w:rFonts w:ascii="Arial" w:hAnsi="Arial" w:cs="Arial"/>
          <w:szCs w:val="22"/>
        </w:rPr>
        <w:t xml:space="preserve">cada caso, debidamente firmado por </w:t>
      </w:r>
      <w:r>
        <w:rPr>
          <w:rFonts w:ascii="Arial" w:hAnsi="Arial" w:cs="Arial"/>
          <w:szCs w:val="22"/>
        </w:rPr>
        <w:t>un</w:t>
      </w:r>
      <w:r w:rsidRPr="00155D9D">
        <w:rPr>
          <w:rFonts w:ascii="Arial" w:hAnsi="Arial" w:cs="Arial"/>
          <w:szCs w:val="22"/>
        </w:rPr>
        <w:t xml:space="preserve"> representante legal de</w:t>
      </w:r>
      <w:r>
        <w:rPr>
          <w:rFonts w:ascii="Arial" w:hAnsi="Arial" w:cs="Arial"/>
          <w:szCs w:val="22"/>
        </w:rPr>
        <w:t>l supervisado</w:t>
      </w:r>
      <w:r w:rsidRPr="00155D9D">
        <w:rPr>
          <w:rFonts w:ascii="Arial" w:hAnsi="Arial" w:cs="Arial"/>
          <w:szCs w:val="22"/>
        </w:rPr>
        <w:t>, especificando:</w:t>
      </w:r>
    </w:p>
    <w:p w14:paraId="7C600057" w14:textId="77777777" w:rsidR="005A029A" w:rsidRPr="00155D9D" w:rsidRDefault="005A029A" w:rsidP="005A029A">
      <w:pPr>
        <w:pStyle w:val="Prrafodelista"/>
        <w:tabs>
          <w:tab w:val="left" w:pos="284"/>
        </w:tabs>
        <w:spacing w:after="0" w:line="240" w:lineRule="auto"/>
        <w:rPr>
          <w:rFonts w:ascii="Arial" w:hAnsi="Arial" w:cs="Arial"/>
          <w:szCs w:val="22"/>
        </w:rPr>
      </w:pPr>
    </w:p>
    <w:p w14:paraId="09F9F5CE" w14:textId="77777777" w:rsidR="005A029A" w:rsidRDefault="005A029A" w:rsidP="005A029A">
      <w:pPr>
        <w:pStyle w:val="Prrafodelista"/>
        <w:numPr>
          <w:ilvl w:val="0"/>
          <w:numId w:val="10"/>
        </w:numPr>
        <w:spacing w:before="0" w:after="0" w:line="240" w:lineRule="auto"/>
        <w:ind w:left="993" w:hanging="283"/>
        <w:rPr>
          <w:rFonts w:ascii="Arial" w:hAnsi="Arial" w:cs="Arial"/>
          <w:szCs w:val="22"/>
        </w:rPr>
      </w:pPr>
      <w:r w:rsidRPr="00C975DF">
        <w:rPr>
          <w:rFonts w:ascii="Arial" w:hAnsi="Arial" w:cs="Arial"/>
          <w:szCs w:val="22"/>
        </w:rPr>
        <w:t xml:space="preserve">Descripción de la(s) transacción(es) reclamada(s) como estafa informática, incluyendo nombre del cliente, número de identificación, cuentas IBAN involucradas, fecha, hora, monto de la transacción, nombre del comercio (cuando resulte aplicable según la naturaleza de la transacción), medio por el cual se realizó la estafa (tarjeta de débito, sitio web, aplicación móvil u otro mecanismo asociado a la cuenta </w:t>
      </w:r>
      <w:r>
        <w:rPr>
          <w:rFonts w:ascii="Arial" w:hAnsi="Arial" w:cs="Arial"/>
          <w:szCs w:val="22"/>
        </w:rPr>
        <w:t>de</w:t>
      </w:r>
      <w:r w:rsidRPr="00C975DF">
        <w:rPr>
          <w:rFonts w:ascii="Arial" w:hAnsi="Arial" w:cs="Arial"/>
          <w:szCs w:val="22"/>
        </w:rPr>
        <w:t xml:space="preserve"> fondos afectad</w:t>
      </w:r>
      <w:r>
        <w:rPr>
          <w:rFonts w:ascii="Arial" w:hAnsi="Arial" w:cs="Arial"/>
          <w:szCs w:val="22"/>
        </w:rPr>
        <w:t>a</w:t>
      </w:r>
      <w:r w:rsidRPr="00C975DF">
        <w:rPr>
          <w:rFonts w:ascii="Arial" w:hAnsi="Arial" w:cs="Arial"/>
          <w:szCs w:val="22"/>
        </w:rPr>
        <w:t>) y país en el que se llevó a cabo la transacción.</w:t>
      </w:r>
    </w:p>
    <w:p w14:paraId="55579E66" w14:textId="77777777" w:rsidR="005A029A" w:rsidRPr="000B4B76" w:rsidRDefault="005A029A" w:rsidP="005A029A">
      <w:pPr>
        <w:spacing w:after="0" w:line="240" w:lineRule="auto"/>
        <w:ind w:left="993" w:hanging="283"/>
        <w:rPr>
          <w:rFonts w:ascii="Arial" w:hAnsi="Arial" w:cs="Arial"/>
          <w:szCs w:val="22"/>
        </w:rPr>
      </w:pPr>
    </w:p>
    <w:p w14:paraId="1D64A299" w14:textId="77777777" w:rsidR="005A029A" w:rsidRDefault="005A029A" w:rsidP="005A029A">
      <w:pPr>
        <w:pStyle w:val="Prrafodelista"/>
        <w:numPr>
          <w:ilvl w:val="0"/>
          <w:numId w:val="10"/>
        </w:numPr>
        <w:spacing w:before="0" w:after="0" w:line="240" w:lineRule="auto"/>
        <w:ind w:left="993" w:hanging="283"/>
        <w:rPr>
          <w:rFonts w:ascii="Arial" w:hAnsi="Arial" w:cs="Arial"/>
          <w:szCs w:val="22"/>
        </w:rPr>
      </w:pPr>
      <w:r w:rsidRPr="00E42499">
        <w:rPr>
          <w:rFonts w:ascii="Arial" w:hAnsi="Arial" w:cs="Arial"/>
          <w:szCs w:val="22"/>
        </w:rPr>
        <w:t xml:space="preserve">Fecha de presentación del reclamo ante </w:t>
      </w:r>
      <w:r>
        <w:rPr>
          <w:rFonts w:ascii="Arial" w:hAnsi="Arial" w:cs="Arial"/>
          <w:szCs w:val="22"/>
        </w:rPr>
        <w:t>el intermediario</w:t>
      </w:r>
      <w:r w:rsidRPr="00E42499">
        <w:rPr>
          <w:rFonts w:ascii="Arial" w:hAnsi="Arial" w:cs="Arial"/>
          <w:szCs w:val="22"/>
        </w:rPr>
        <w:t xml:space="preserve"> financier</w:t>
      </w:r>
      <w:r>
        <w:rPr>
          <w:rFonts w:ascii="Arial" w:hAnsi="Arial" w:cs="Arial"/>
          <w:szCs w:val="22"/>
        </w:rPr>
        <w:t xml:space="preserve">o </w:t>
      </w:r>
      <w:r w:rsidRPr="006737F3">
        <w:rPr>
          <w:rFonts w:ascii="Arial" w:hAnsi="Arial" w:cs="Arial"/>
          <w:szCs w:val="22"/>
        </w:rPr>
        <w:t>y fecha de emisión de la resolución denegatoria</w:t>
      </w:r>
      <w:r>
        <w:rPr>
          <w:rFonts w:ascii="Arial" w:hAnsi="Arial" w:cs="Arial"/>
          <w:szCs w:val="22"/>
        </w:rPr>
        <w:t>.</w:t>
      </w:r>
    </w:p>
    <w:p w14:paraId="38BE7E81" w14:textId="77777777" w:rsidR="005A029A" w:rsidRPr="000B4B76" w:rsidRDefault="005A029A" w:rsidP="005A029A">
      <w:pPr>
        <w:pStyle w:val="Prrafodelista"/>
        <w:ind w:left="993" w:hanging="283"/>
        <w:rPr>
          <w:rFonts w:ascii="Arial" w:hAnsi="Arial" w:cs="Arial"/>
          <w:szCs w:val="22"/>
        </w:rPr>
      </w:pPr>
    </w:p>
    <w:p w14:paraId="7F07FA2B" w14:textId="77777777" w:rsidR="005A029A" w:rsidRPr="00222225" w:rsidRDefault="005A029A" w:rsidP="005A029A">
      <w:pPr>
        <w:pStyle w:val="Prrafodelista"/>
        <w:numPr>
          <w:ilvl w:val="0"/>
          <w:numId w:val="10"/>
        </w:numPr>
        <w:spacing w:before="0" w:after="0" w:line="240" w:lineRule="auto"/>
        <w:ind w:left="993" w:hanging="283"/>
        <w:rPr>
          <w:rFonts w:ascii="Arial" w:hAnsi="Arial" w:cs="Arial"/>
          <w:szCs w:val="22"/>
        </w:rPr>
      </w:pPr>
      <w:r>
        <w:rPr>
          <w:rFonts w:ascii="Arial" w:hAnsi="Arial" w:cs="Arial"/>
          <w:szCs w:val="22"/>
        </w:rPr>
        <w:t xml:space="preserve">Resumen ejecutivo con el </w:t>
      </w:r>
      <w:r w:rsidRPr="00222225">
        <w:rPr>
          <w:rFonts w:ascii="Arial" w:hAnsi="Arial" w:cs="Arial"/>
          <w:szCs w:val="22"/>
        </w:rPr>
        <w:t xml:space="preserve">motivo </w:t>
      </w:r>
      <w:r>
        <w:rPr>
          <w:rFonts w:ascii="Arial" w:hAnsi="Arial" w:cs="Arial"/>
          <w:szCs w:val="22"/>
        </w:rPr>
        <w:t xml:space="preserve">concreto </w:t>
      </w:r>
      <w:r w:rsidRPr="00222225">
        <w:rPr>
          <w:rFonts w:ascii="Arial" w:hAnsi="Arial" w:cs="Arial"/>
          <w:szCs w:val="22"/>
        </w:rPr>
        <w:t>de la denegatoria, la justificación técnica para ello y la evidencia correspondiente que sustenta dicha decisión</w:t>
      </w:r>
      <w:r>
        <w:rPr>
          <w:rFonts w:ascii="Arial" w:hAnsi="Arial" w:cs="Arial"/>
          <w:szCs w:val="22"/>
        </w:rPr>
        <w:t xml:space="preserve">, </w:t>
      </w:r>
      <w:r w:rsidRPr="00C2639E">
        <w:rPr>
          <w:rFonts w:ascii="Arial" w:hAnsi="Arial" w:cs="Arial"/>
          <w:szCs w:val="22"/>
        </w:rPr>
        <w:t xml:space="preserve">de </w:t>
      </w:r>
      <w:r w:rsidRPr="00C2639E">
        <w:rPr>
          <w:rFonts w:ascii="Arial" w:hAnsi="Arial" w:cs="Arial"/>
          <w:szCs w:val="22"/>
        </w:rPr>
        <w:lastRenderedPageBreak/>
        <w:t xml:space="preserve">forma que se identifique claramente la razón por la cual </w:t>
      </w:r>
      <w:r>
        <w:rPr>
          <w:rFonts w:ascii="Arial" w:hAnsi="Arial" w:cs="Arial"/>
          <w:szCs w:val="22"/>
        </w:rPr>
        <w:t>el supervisado</w:t>
      </w:r>
      <w:r w:rsidRPr="00C2639E">
        <w:rPr>
          <w:rFonts w:ascii="Arial" w:hAnsi="Arial" w:cs="Arial"/>
          <w:szCs w:val="22"/>
        </w:rPr>
        <w:t xml:space="preserve"> considera procedente el rechazo del reclamo conforme a la Ley 10889</w:t>
      </w:r>
      <w:r w:rsidRPr="00222225">
        <w:rPr>
          <w:rFonts w:ascii="Arial" w:hAnsi="Arial" w:cs="Arial"/>
          <w:szCs w:val="22"/>
        </w:rPr>
        <w:t xml:space="preserve">. </w:t>
      </w:r>
    </w:p>
    <w:p w14:paraId="7015459E" w14:textId="77777777" w:rsidR="005A029A" w:rsidRPr="00413B54" w:rsidRDefault="005A029A" w:rsidP="005A029A">
      <w:pPr>
        <w:tabs>
          <w:tab w:val="left" w:pos="284"/>
        </w:tabs>
        <w:spacing w:after="0" w:line="240" w:lineRule="auto"/>
        <w:ind w:left="284" w:hanging="284"/>
        <w:rPr>
          <w:rFonts w:ascii="Arial" w:hAnsi="Arial" w:cs="Arial"/>
          <w:szCs w:val="22"/>
        </w:rPr>
      </w:pPr>
    </w:p>
    <w:p w14:paraId="7B1CC44B" w14:textId="77777777" w:rsidR="005A029A" w:rsidRPr="00413B54" w:rsidRDefault="005A029A" w:rsidP="005A029A">
      <w:pPr>
        <w:tabs>
          <w:tab w:val="left" w:pos="284"/>
        </w:tabs>
        <w:spacing w:after="0" w:line="240" w:lineRule="auto"/>
        <w:ind w:left="568" w:hanging="284"/>
        <w:rPr>
          <w:rFonts w:ascii="Arial" w:hAnsi="Arial" w:cs="Arial"/>
          <w:szCs w:val="22"/>
        </w:rPr>
      </w:pPr>
      <w:r w:rsidRPr="00413B54">
        <w:rPr>
          <w:rFonts w:ascii="Arial" w:hAnsi="Arial" w:cs="Arial"/>
          <w:szCs w:val="22"/>
        </w:rPr>
        <w:t>B.</w:t>
      </w:r>
      <w:r w:rsidRPr="00413B54">
        <w:rPr>
          <w:rFonts w:ascii="Arial" w:hAnsi="Arial" w:cs="Arial"/>
          <w:szCs w:val="22"/>
        </w:rPr>
        <w:tab/>
      </w:r>
      <w:r>
        <w:rPr>
          <w:rFonts w:ascii="Arial" w:hAnsi="Arial" w:cs="Arial"/>
          <w:szCs w:val="22"/>
        </w:rPr>
        <w:t xml:space="preserve">La remisión de la denegatoria </w:t>
      </w:r>
      <w:r w:rsidRPr="00413B54">
        <w:rPr>
          <w:rFonts w:ascii="Arial" w:hAnsi="Arial" w:cs="Arial"/>
          <w:szCs w:val="22"/>
        </w:rPr>
        <w:t>deberá acompañarse de la siguiente documentación:</w:t>
      </w:r>
    </w:p>
    <w:p w14:paraId="19A361DE" w14:textId="77777777" w:rsidR="005A029A" w:rsidRDefault="005A029A" w:rsidP="005A029A">
      <w:pPr>
        <w:spacing w:after="0" w:line="240" w:lineRule="auto"/>
        <w:rPr>
          <w:rFonts w:ascii="Arial" w:hAnsi="Arial" w:cs="Arial"/>
          <w:szCs w:val="22"/>
        </w:rPr>
      </w:pPr>
    </w:p>
    <w:p w14:paraId="2BEE356D" w14:textId="77777777" w:rsidR="005A029A" w:rsidRDefault="005A029A" w:rsidP="005A029A">
      <w:pPr>
        <w:tabs>
          <w:tab w:val="left" w:pos="284"/>
        </w:tabs>
        <w:spacing w:after="0" w:line="240" w:lineRule="auto"/>
        <w:rPr>
          <w:rFonts w:ascii="Arial" w:hAnsi="Arial" w:cs="Arial"/>
          <w:szCs w:val="22"/>
        </w:rPr>
      </w:pPr>
      <w:r>
        <w:rPr>
          <w:rFonts w:ascii="Arial" w:hAnsi="Arial" w:cs="Arial"/>
          <w:b/>
          <w:bCs/>
          <w:i/>
          <w:iCs/>
          <w:szCs w:val="22"/>
        </w:rPr>
        <w:tab/>
      </w:r>
      <w:r w:rsidRPr="00E7473A">
        <w:rPr>
          <w:rFonts w:ascii="Arial" w:hAnsi="Arial" w:cs="Arial"/>
          <w:b/>
          <w:bCs/>
          <w:i/>
          <w:iCs/>
          <w:szCs w:val="22"/>
          <w:u w:val="single"/>
        </w:rPr>
        <w:t>De carácter general</w:t>
      </w:r>
      <w:r>
        <w:rPr>
          <w:rFonts w:ascii="Arial" w:hAnsi="Arial" w:cs="Arial"/>
          <w:szCs w:val="22"/>
        </w:rPr>
        <w:t>:</w:t>
      </w:r>
    </w:p>
    <w:p w14:paraId="6C845DC7" w14:textId="77777777" w:rsidR="005A029A" w:rsidRPr="00413B54" w:rsidRDefault="005A029A" w:rsidP="005A029A">
      <w:pPr>
        <w:spacing w:after="0" w:line="240" w:lineRule="auto"/>
        <w:rPr>
          <w:rFonts w:ascii="Arial" w:hAnsi="Arial" w:cs="Arial"/>
          <w:szCs w:val="22"/>
        </w:rPr>
      </w:pPr>
    </w:p>
    <w:p w14:paraId="2D0E8A90" w14:textId="77777777" w:rsidR="005A029A" w:rsidRDefault="005A029A" w:rsidP="005A029A">
      <w:pPr>
        <w:pStyle w:val="Prrafodelista"/>
        <w:numPr>
          <w:ilvl w:val="0"/>
          <w:numId w:val="10"/>
        </w:numPr>
        <w:tabs>
          <w:tab w:val="left" w:pos="567"/>
        </w:tabs>
        <w:spacing w:before="0" w:after="0" w:line="240" w:lineRule="auto"/>
        <w:ind w:left="850" w:hanging="283"/>
        <w:rPr>
          <w:rFonts w:ascii="Arial" w:hAnsi="Arial" w:cs="Arial"/>
          <w:szCs w:val="22"/>
        </w:rPr>
      </w:pPr>
      <w:r w:rsidRPr="00155D9D">
        <w:rPr>
          <w:rFonts w:ascii="Arial" w:hAnsi="Arial" w:cs="Arial"/>
          <w:szCs w:val="22"/>
        </w:rPr>
        <w:t xml:space="preserve">Copia del reclamo presentado por el usuario ante </w:t>
      </w:r>
      <w:r>
        <w:rPr>
          <w:rFonts w:ascii="Arial" w:hAnsi="Arial" w:cs="Arial"/>
          <w:szCs w:val="22"/>
        </w:rPr>
        <w:t>el intermediario financiero</w:t>
      </w:r>
      <w:r w:rsidRPr="00155D9D">
        <w:rPr>
          <w:rFonts w:ascii="Arial" w:hAnsi="Arial" w:cs="Arial"/>
          <w:szCs w:val="22"/>
        </w:rPr>
        <w:t>, especificando claramente la fecha de presentación con miras a valorar que la resolución</w:t>
      </w:r>
      <w:r>
        <w:rPr>
          <w:rFonts w:ascii="Arial" w:hAnsi="Arial" w:cs="Arial"/>
          <w:szCs w:val="22"/>
        </w:rPr>
        <w:t xml:space="preserve"> del caso por parte del supervisado</w:t>
      </w:r>
      <w:r w:rsidRPr="00155D9D">
        <w:rPr>
          <w:rFonts w:ascii="Arial" w:hAnsi="Arial" w:cs="Arial"/>
          <w:szCs w:val="22"/>
        </w:rPr>
        <w:t xml:space="preserve"> está dentro del plazo</w:t>
      </w:r>
      <w:r>
        <w:rPr>
          <w:rFonts w:ascii="Arial" w:hAnsi="Arial" w:cs="Arial"/>
          <w:szCs w:val="22"/>
        </w:rPr>
        <w:t xml:space="preserve"> de preclusión</w:t>
      </w:r>
      <w:r w:rsidRPr="00155D9D">
        <w:rPr>
          <w:rFonts w:ascii="Arial" w:hAnsi="Arial" w:cs="Arial"/>
          <w:szCs w:val="22"/>
        </w:rPr>
        <w:t xml:space="preserve"> establecido en la ley (120 días naturales, según el Art.5).</w:t>
      </w:r>
    </w:p>
    <w:p w14:paraId="21E6861D" w14:textId="77777777" w:rsidR="005A029A" w:rsidRPr="000B4B76" w:rsidRDefault="005A029A" w:rsidP="005A029A">
      <w:pPr>
        <w:tabs>
          <w:tab w:val="left" w:pos="567"/>
        </w:tabs>
        <w:spacing w:after="0" w:line="240" w:lineRule="auto"/>
        <w:ind w:left="567"/>
        <w:rPr>
          <w:rFonts w:ascii="Arial" w:hAnsi="Arial" w:cs="Arial"/>
          <w:szCs w:val="22"/>
        </w:rPr>
      </w:pPr>
    </w:p>
    <w:p w14:paraId="23B3CB2C" w14:textId="77777777" w:rsidR="005A029A" w:rsidRDefault="005A029A" w:rsidP="005A029A">
      <w:pPr>
        <w:pStyle w:val="Prrafodelista"/>
        <w:numPr>
          <w:ilvl w:val="0"/>
          <w:numId w:val="10"/>
        </w:numPr>
        <w:tabs>
          <w:tab w:val="left" w:pos="567"/>
        </w:tabs>
        <w:spacing w:before="0" w:after="0" w:line="240" w:lineRule="auto"/>
        <w:ind w:left="850" w:hanging="283"/>
        <w:rPr>
          <w:rFonts w:ascii="Arial" w:hAnsi="Arial" w:cs="Arial"/>
          <w:szCs w:val="22"/>
        </w:rPr>
      </w:pPr>
      <w:r w:rsidRPr="00155D9D">
        <w:rPr>
          <w:rFonts w:ascii="Arial" w:hAnsi="Arial" w:cs="Arial"/>
          <w:szCs w:val="22"/>
        </w:rPr>
        <w:t>Copia de</w:t>
      </w:r>
      <w:r>
        <w:rPr>
          <w:rFonts w:ascii="Arial" w:hAnsi="Arial" w:cs="Arial"/>
          <w:szCs w:val="22"/>
        </w:rPr>
        <w:t xml:space="preserve">l oficio de denegatoria </w:t>
      </w:r>
      <w:r w:rsidRPr="00155D9D">
        <w:rPr>
          <w:rFonts w:ascii="Arial" w:hAnsi="Arial" w:cs="Arial"/>
          <w:szCs w:val="22"/>
        </w:rPr>
        <w:t xml:space="preserve">formal mediante el cual </w:t>
      </w:r>
      <w:r>
        <w:rPr>
          <w:rFonts w:ascii="Arial" w:hAnsi="Arial" w:cs="Arial"/>
          <w:szCs w:val="22"/>
        </w:rPr>
        <w:t>el supervisado</w:t>
      </w:r>
      <w:r w:rsidRPr="00155D9D">
        <w:rPr>
          <w:rFonts w:ascii="Arial" w:hAnsi="Arial" w:cs="Arial"/>
          <w:szCs w:val="22"/>
        </w:rPr>
        <w:t xml:space="preserve"> resuelve el reclamo recibido, </w:t>
      </w:r>
      <w:r>
        <w:rPr>
          <w:rFonts w:ascii="Arial" w:hAnsi="Arial" w:cs="Arial"/>
          <w:szCs w:val="22"/>
        </w:rPr>
        <w:t>detallando</w:t>
      </w:r>
      <w:r w:rsidRPr="00155D9D">
        <w:rPr>
          <w:rFonts w:ascii="Arial" w:hAnsi="Arial" w:cs="Arial"/>
          <w:szCs w:val="22"/>
        </w:rPr>
        <w:t xml:space="preserve"> los elementos probatorios que sustenten la denegatoria.</w:t>
      </w:r>
    </w:p>
    <w:p w14:paraId="43861925" w14:textId="77777777" w:rsidR="005A029A" w:rsidRPr="000B4B76" w:rsidRDefault="005A029A" w:rsidP="005A029A">
      <w:pPr>
        <w:tabs>
          <w:tab w:val="left" w:pos="567"/>
        </w:tabs>
        <w:spacing w:after="0" w:line="240" w:lineRule="auto"/>
        <w:ind w:left="567"/>
        <w:rPr>
          <w:rFonts w:ascii="Arial" w:hAnsi="Arial" w:cs="Arial"/>
          <w:szCs w:val="22"/>
        </w:rPr>
      </w:pPr>
    </w:p>
    <w:p w14:paraId="0A7F8932" w14:textId="77777777" w:rsidR="005A029A" w:rsidRPr="00155D9D" w:rsidRDefault="005A029A" w:rsidP="005A029A">
      <w:pPr>
        <w:pStyle w:val="Prrafodelista"/>
        <w:numPr>
          <w:ilvl w:val="0"/>
          <w:numId w:val="10"/>
        </w:numPr>
        <w:tabs>
          <w:tab w:val="left" w:pos="567"/>
        </w:tabs>
        <w:spacing w:before="0" w:after="0" w:line="240" w:lineRule="auto"/>
        <w:ind w:left="850" w:hanging="283"/>
        <w:rPr>
          <w:rFonts w:ascii="Arial" w:hAnsi="Arial" w:cs="Arial"/>
          <w:szCs w:val="22"/>
        </w:rPr>
      </w:pPr>
      <w:r w:rsidRPr="00155D9D">
        <w:rPr>
          <w:rFonts w:ascii="Arial" w:hAnsi="Arial" w:cs="Arial"/>
          <w:szCs w:val="22"/>
        </w:rPr>
        <w:t xml:space="preserve">Copia del informe de investigación interna elaborado por </w:t>
      </w:r>
      <w:r>
        <w:rPr>
          <w:rFonts w:ascii="Arial" w:hAnsi="Arial" w:cs="Arial"/>
          <w:szCs w:val="22"/>
        </w:rPr>
        <w:t>el intermediario financiero</w:t>
      </w:r>
      <w:r w:rsidRPr="00155D9D">
        <w:rPr>
          <w:rFonts w:ascii="Arial" w:hAnsi="Arial" w:cs="Arial"/>
          <w:szCs w:val="22"/>
        </w:rPr>
        <w:t>.</w:t>
      </w:r>
    </w:p>
    <w:p w14:paraId="59BEF417" w14:textId="77777777" w:rsidR="005A029A" w:rsidRDefault="005A029A" w:rsidP="005A029A">
      <w:pPr>
        <w:spacing w:after="0" w:line="240" w:lineRule="auto"/>
        <w:rPr>
          <w:rFonts w:ascii="Arial" w:hAnsi="Arial" w:cs="Arial"/>
          <w:szCs w:val="22"/>
        </w:rPr>
      </w:pPr>
    </w:p>
    <w:p w14:paraId="0DA707A7" w14:textId="77777777" w:rsidR="005A029A" w:rsidRPr="004D3407" w:rsidRDefault="005A029A" w:rsidP="005A029A">
      <w:pPr>
        <w:tabs>
          <w:tab w:val="left" w:pos="284"/>
        </w:tabs>
        <w:spacing w:after="0" w:line="240" w:lineRule="auto"/>
        <w:rPr>
          <w:rFonts w:ascii="Arial" w:hAnsi="Arial" w:cs="Arial"/>
          <w:b/>
          <w:bCs/>
          <w:i/>
          <w:iCs/>
          <w:szCs w:val="22"/>
        </w:rPr>
      </w:pPr>
      <w:r>
        <w:rPr>
          <w:rFonts w:ascii="Arial" w:hAnsi="Arial" w:cs="Arial"/>
          <w:b/>
          <w:bCs/>
          <w:i/>
          <w:iCs/>
          <w:szCs w:val="22"/>
        </w:rPr>
        <w:tab/>
      </w:r>
      <w:r w:rsidRPr="00E7473A">
        <w:rPr>
          <w:rFonts w:ascii="Arial" w:hAnsi="Arial" w:cs="Arial"/>
          <w:b/>
          <w:bCs/>
          <w:i/>
          <w:iCs/>
          <w:szCs w:val="22"/>
          <w:u w:val="single"/>
        </w:rPr>
        <w:t>De carácter técnico</w:t>
      </w:r>
      <w:r w:rsidRPr="004D3407">
        <w:rPr>
          <w:rFonts w:ascii="Arial" w:hAnsi="Arial" w:cs="Arial"/>
          <w:b/>
          <w:bCs/>
          <w:i/>
          <w:iCs/>
          <w:szCs w:val="22"/>
        </w:rPr>
        <w:t>:</w:t>
      </w:r>
    </w:p>
    <w:p w14:paraId="5BDD375B" w14:textId="77777777" w:rsidR="005A029A" w:rsidRDefault="005A029A" w:rsidP="005A029A">
      <w:pPr>
        <w:spacing w:after="0" w:line="240" w:lineRule="auto"/>
        <w:rPr>
          <w:rFonts w:ascii="Arial" w:hAnsi="Arial" w:cs="Arial"/>
          <w:szCs w:val="22"/>
        </w:rPr>
      </w:pPr>
    </w:p>
    <w:p w14:paraId="50A185E9" w14:textId="77777777" w:rsidR="005A029A" w:rsidRDefault="005A029A" w:rsidP="005A029A">
      <w:pPr>
        <w:pStyle w:val="Prrafodelista"/>
        <w:numPr>
          <w:ilvl w:val="0"/>
          <w:numId w:val="13"/>
        </w:numPr>
        <w:spacing w:before="0" w:after="0" w:line="240" w:lineRule="auto"/>
        <w:rPr>
          <w:rFonts w:ascii="Arial" w:hAnsi="Arial" w:cs="Arial"/>
          <w:szCs w:val="22"/>
        </w:rPr>
      </w:pPr>
      <w:r w:rsidRPr="00AF6DC1">
        <w:rPr>
          <w:rFonts w:ascii="Arial" w:hAnsi="Arial" w:cs="Arial"/>
          <w:szCs w:val="22"/>
        </w:rPr>
        <w:t>Bitácora que demuestre que se usó el doble factor de autenticación habilitado por el cliente o en su defecto que el cliente no tiene configurado el doble factor de autenticación.</w:t>
      </w:r>
    </w:p>
    <w:p w14:paraId="5F9B0C0A" w14:textId="77777777" w:rsidR="005A029A" w:rsidRDefault="005A029A" w:rsidP="005A029A">
      <w:pPr>
        <w:pStyle w:val="Prrafodelista"/>
        <w:spacing w:after="0" w:line="240" w:lineRule="auto"/>
        <w:rPr>
          <w:rFonts w:ascii="Arial" w:hAnsi="Arial" w:cs="Arial"/>
          <w:szCs w:val="22"/>
        </w:rPr>
      </w:pPr>
    </w:p>
    <w:p w14:paraId="5A29D803" w14:textId="77777777" w:rsidR="005A029A" w:rsidRDefault="005A029A" w:rsidP="005A029A">
      <w:pPr>
        <w:pStyle w:val="Prrafodelista"/>
        <w:numPr>
          <w:ilvl w:val="0"/>
          <w:numId w:val="13"/>
        </w:numPr>
        <w:spacing w:before="0" w:after="0" w:line="240" w:lineRule="auto"/>
        <w:rPr>
          <w:rFonts w:ascii="Arial" w:hAnsi="Arial" w:cs="Arial"/>
          <w:szCs w:val="22"/>
        </w:rPr>
      </w:pPr>
      <w:r w:rsidRPr="00AF6DC1">
        <w:rPr>
          <w:rFonts w:ascii="Arial" w:hAnsi="Arial" w:cs="Arial"/>
          <w:szCs w:val="22"/>
        </w:rPr>
        <w:lastRenderedPageBreak/>
        <w:t>Bitácora de notificación de inicio de sesión remitida al cliente</w:t>
      </w:r>
      <w:r>
        <w:rPr>
          <w:rFonts w:ascii="Arial" w:hAnsi="Arial" w:cs="Arial"/>
          <w:szCs w:val="22"/>
        </w:rPr>
        <w:t>.</w:t>
      </w:r>
    </w:p>
    <w:p w14:paraId="1250D903" w14:textId="77777777" w:rsidR="005A029A" w:rsidRPr="000E518B" w:rsidRDefault="005A029A" w:rsidP="005A029A">
      <w:pPr>
        <w:spacing w:after="0" w:line="240" w:lineRule="auto"/>
        <w:rPr>
          <w:rFonts w:ascii="Arial" w:hAnsi="Arial" w:cs="Arial"/>
          <w:szCs w:val="22"/>
        </w:rPr>
      </w:pPr>
    </w:p>
    <w:p w14:paraId="42A20D79" w14:textId="77777777" w:rsidR="005A029A" w:rsidRDefault="005A029A" w:rsidP="005A029A">
      <w:pPr>
        <w:pStyle w:val="Prrafodelista"/>
        <w:numPr>
          <w:ilvl w:val="0"/>
          <w:numId w:val="13"/>
        </w:numPr>
        <w:spacing w:before="0" w:after="0" w:line="240" w:lineRule="auto"/>
        <w:rPr>
          <w:rFonts w:ascii="Arial" w:hAnsi="Arial" w:cs="Arial"/>
          <w:szCs w:val="22"/>
        </w:rPr>
      </w:pPr>
      <w:r w:rsidRPr="00AF6DC1">
        <w:rPr>
          <w:rFonts w:ascii="Arial" w:hAnsi="Arial" w:cs="Arial"/>
          <w:szCs w:val="22"/>
        </w:rPr>
        <w:t xml:space="preserve">Bitácora de notificación de la transacción realizada por el cliente, sin que el cliente </w:t>
      </w:r>
      <w:r>
        <w:rPr>
          <w:rFonts w:ascii="Arial" w:hAnsi="Arial" w:cs="Arial"/>
          <w:szCs w:val="22"/>
        </w:rPr>
        <w:t xml:space="preserve">la </w:t>
      </w:r>
      <w:r w:rsidRPr="00AF6DC1">
        <w:rPr>
          <w:rFonts w:ascii="Arial" w:hAnsi="Arial" w:cs="Arial"/>
          <w:szCs w:val="22"/>
        </w:rPr>
        <w:t>haya objetado.</w:t>
      </w:r>
    </w:p>
    <w:p w14:paraId="5DEBBC70" w14:textId="77777777" w:rsidR="005A029A" w:rsidRPr="000E518B" w:rsidRDefault="005A029A" w:rsidP="005A029A">
      <w:pPr>
        <w:spacing w:after="0" w:line="240" w:lineRule="auto"/>
        <w:rPr>
          <w:rFonts w:ascii="Arial" w:hAnsi="Arial" w:cs="Arial"/>
          <w:szCs w:val="22"/>
        </w:rPr>
      </w:pPr>
    </w:p>
    <w:p w14:paraId="37A8FA97" w14:textId="77777777" w:rsidR="005A029A" w:rsidRPr="000B4B76" w:rsidRDefault="005A029A" w:rsidP="005A029A">
      <w:pPr>
        <w:pStyle w:val="Prrafodelista"/>
        <w:numPr>
          <w:ilvl w:val="0"/>
          <w:numId w:val="13"/>
        </w:numPr>
        <w:spacing w:before="0" w:after="0" w:line="240" w:lineRule="auto"/>
        <w:rPr>
          <w:rFonts w:ascii="Arial" w:hAnsi="Arial" w:cs="Arial"/>
          <w:szCs w:val="22"/>
        </w:rPr>
      </w:pPr>
      <w:r w:rsidRPr="000B4B76">
        <w:rPr>
          <w:rFonts w:ascii="Arial" w:hAnsi="Arial" w:cs="Arial"/>
          <w:szCs w:val="22"/>
        </w:rPr>
        <w:t>Indicación de si el día de la transacción se presentó algún incidente de ciberseguridad:</w:t>
      </w:r>
    </w:p>
    <w:p w14:paraId="68A24DE4" w14:textId="77777777" w:rsidR="005A029A" w:rsidRDefault="005A029A" w:rsidP="005A029A">
      <w:pPr>
        <w:spacing w:after="0" w:line="240" w:lineRule="auto"/>
        <w:ind w:left="284"/>
        <w:rPr>
          <w:rFonts w:ascii="Arial" w:hAnsi="Arial" w:cs="Arial"/>
          <w:szCs w:val="22"/>
        </w:rPr>
      </w:pPr>
    </w:p>
    <w:p w14:paraId="35931845" w14:textId="77777777" w:rsidR="005A029A" w:rsidRDefault="005A029A" w:rsidP="005A029A">
      <w:pPr>
        <w:pStyle w:val="Prrafodelista"/>
        <w:numPr>
          <w:ilvl w:val="0"/>
          <w:numId w:val="15"/>
        </w:numPr>
        <w:spacing w:before="0" w:after="0" w:line="240" w:lineRule="auto"/>
        <w:rPr>
          <w:rFonts w:ascii="Arial" w:hAnsi="Arial" w:cs="Arial"/>
          <w:szCs w:val="22"/>
        </w:rPr>
      </w:pPr>
      <w:r w:rsidRPr="00617EB2">
        <w:rPr>
          <w:rFonts w:ascii="Arial" w:hAnsi="Arial" w:cs="Arial"/>
          <w:szCs w:val="22"/>
        </w:rPr>
        <w:t>En caso negativo, se debe remitir la bitácora de registro de incidentes.</w:t>
      </w:r>
    </w:p>
    <w:p w14:paraId="6716CCE1" w14:textId="77777777" w:rsidR="005A029A" w:rsidRPr="00617EB2" w:rsidRDefault="005A029A" w:rsidP="005A029A">
      <w:pPr>
        <w:pStyle w:val="Prrafodelista"/>
        <w:spacing w:after="0" w:line="240" w:lineRule="auto"/>
        <w:ind w:left="1068"/>
        <w:rPr>
          <w:rFonts w:ascii="Arial" w:hAnsi="Arial" w:cs="Arial"/>
          <w:szCs w:val="22"/>
        </w:rPr>
      </w:pPr>
    </w:p>
    <w:p w14:paraId="70BECE51" w14:textId="77777777" w:rsidR="005A029A" w:rsidRPr="00617EB2" w:rsidRDefault="005A029A" w:rsidP="005A029A">
      <w:pPr>
        <w:pStyle w:val="Prrafodelista"/>
        <w:numPr>
          <w:ilvl w:val="0"/>
          <w:numId w:val="15"/>
        </w:numPr>
        <w:spacing w:before="0" w:after="0" w:line="240" w:lineRule="auto"/>
        <w:rPr>
          <w:rFonts w:ascii="Arial" w:hAnsi="Arial" w:cs="Arial"/>
          <w:szCs w:val="22"/>
        </w:rPr>
      </w:pPr>
      <w:r w:rsidRPr="00617EB2">
        <w:rPr>
          <w:rFonts w:ascii="Arial" w:hAnsi="Arial" w:cs="Arial"/>
          <w:szCs w:val="22"/>
        </w:rPr>
        <w:t>En caso positivo, se de</w:t>
      </w:r>
      <w:r>
        <w:rPr>
          <w:rFonts w:ascii="Arial" w:hAnsi="Arial" w:cs="Arial"/>
          <w:szCs w:val="22"/>
        </w:rPr>
        <w:t>be</w:t>
      </w:r>
      <w:r w:rsidRPr="00617EB2">
        <w:rPr>
          <w:rFonts w:ascii="Arial" w:hAnsi="Arial" w:cs="Arial"/>
          <w:szCs w:val="22"/>
        </w:rPr>
        <w:t xml:space="preserve"> remitir el reporte de análisis y atención </w:t>
      </w:r>
      <w:r w:rsidRPr="00D10DC3">
        <w:rPr>
          <w:rFonts w:ascii="Arial" w:hAnsi="Arial" w:cs="Arial"/>
          <w:szCs w:val="22"/>
        </w:rPr>
        <w:t>del incidente de ciberseguridad que demuestre que no está relacionado con la est</w:t>
      </w:r>
      <w:r w:rsidRPr="00617EB2">
        <w:rPr>
          <w:rFonts w:ascii="Arial" w:hAnsi="Arial" w:cs="Arial"/>
          <w:szCs w:val="22"/>
        </w:rPr>
        <w:t>afa informática</w:t>
      </w:r>
      <w:r>
        <w:rPr>
          <w:rFonts w:ascii="Arial" w:hAnsi="Arial" w:cs="Arial"/>
          <w:szCs w:val="22"/>
        </w:rPr>
        <w:t xml:space="preserve"> aludida</w:t>
      </w:r>
      <w:r w:rsidRPr="00617EB2">
        <w:rPr>
          <w:rFonts w:ascii="Arial" w:hAnsi="Arial" w:cs="Arial"/>
          <w:szCs w:val="22"/>
        </w:rPr>
        <w:t>.</w:t>
      </w:r>
    </w:p>
    <w:p w14:paraId="62FDFFEC" w14:textId="77777777" w:rsidR="005A029A" w:rsidRDefault="005A029A" w:rsidP="005A029A">
      <w:pPr>
        <w:spacing w:after="0" w:line="240" w:lineRule="auto"/>
        <w:rPr>
          <w:rFonts w:ascii="Arial" w:hAnsi="Arial" w:cs="Arial"/>
          <w:szCs w:val="22"/>
        </w:rPr>
      </w:pPr>
    </w:p>
    <w:p w14:paraId="454FDC5F" w14:textId="77777777" w:rsidR="005A029A" w:rsidRPr="00A35379" w:rsidRDefault="005A029A" w:rsidP="005A029A">
      <w:pPr>
        <w:pStyle w:val="Prrafodelista"/>
        <w:numPr>
          <w:ilvl w:val="0"/>
          <w:numId w:val="13"/>
        </w:numPr>
        <w:spacing w:before="0" w:after="0" w:line="240" w:lineRule="auto"/>
        <w:rPr>
          <w:rFonts w:ascii="Arial" w:hAnsi="Arial" w:cs="Arial"/>
          <w:szCs w:val="22"/>
        </w:rPr>
      </w:pPr>
      <w:r>
        <w:rPr>
          <w:rFonts w:ascii="Arial" w:hAnsi="Arial" w:cs="Arial"/>
          <w:szCs w:val="22"/>
        </w:rPr>
        <w:t>Otras consideraciones</w:t>
      </w:r>
      <w:r w:rsidRPr="00A35379">
        <w:rPr>
          <w:rFonts w:ascii="Arial" w:hAnsi="Arial" w:cs="Arial"/>
          <w:szCs w:val="22"/>
        </w:rPr>
        <w:t>:</w:t>
      </w:r>
    </w:p>
    <w:p w14:paraId="23C607F9" w14:textId="77777777" w:rsidR="005A029A" w:rsidRDefault="005A029A" w:rsidP="005A029A">
      <w:pPr>
        <w:spacing w:after="0" w:line="240" w:lineRule="auto"/>
        <w:rPr>
          <w:rFonts w:ascii="Arial" w:hAnsi="Arial" w:cs="Arial"/>
          <w:szCs w:val="22"/>
        </w:rPr>
      </w:pPr>
    </w:p>
    <w:p w14:paraId="7F2C9EAA" w14:textId="77777777" w:rsidR="005A029A" w:rsidRPr="000B4B76" w:rsidRDefault="005A029A" w:rsidP="005A029A">
      <w:pPr>
        <w:pStyle w:val="Prrafodelista"/>
        <w:numPr>
          <w:ilvl w:val="0"/>
          <w:numId w:val="14"/>
        </w:numPr>
        <w:spacing w:before="0" w:after="0" w:line="240" w:lineRule="auto"/>
        <w:rPr>
          <w:rFonts w:ascii="Arial" w:hAnsi="Arial" w:cs="Arial"/>
          <w:szCs w:val="22"/>
        </w:rPr>
      </w:pPr>
      <w:r w:rsidRPr="000B4B76">
        <w:rPr>
          <w:rFonts w:ascii="Arial" w:hAnsi="Arial" w:cs="Arial"/>
          <w:szCs w:val="22"/>
        </w:rPr>
        <w:t>Si la transacción fue realizada desde un dispositivo de confianza autorizado por el cliente:</w:t>
      </w:r>
    </w:p>
    <w:p w14:paraId="6DCFDD56" w14:textId="77777777" w:rsidR="005A029A" w:rsidRDefault="005A029A" w:rsidP="005A029A">
      <w:pPr>
        <w:spacing w:after="0" w:line="240" w:lineRule="auto"/>
        <w:ind w:left="284"/>
        <w:rPr>
          <w:rFonts w:ascii="Arial" w:hAnsi="Arial" w:cs="Arial"/>
          <w:szCs w:val="22"/>
        </w:rPr>
      </w:pPr>
    </w:p>
    <w:p w14:paraId="5A6B1690" w14:textId="77777777" w:rsidR="005A029A" w:rsidRDefault="005A029A" w:rsidP="005A029A">
      <w:pPr>
        <w:pStyle w:val="Prrafodelista"/>
        <w:numPr>
          <w:ilvl w:val="0"/>
          <w:numId w:val="11"/>
        </w:numPr>
        <w:spacing w:before="0" w:after="0" w:line="240" w:lineRule="auto"/>
        <w:rPr>
          <w:rFonts w:ascii="Arial" w:hAnsi="Arial" w:cs="Arial"/>
          <w:szCs w:val="22"/>
        </w:rPr>
      </w:pPr>
      <w:r w:rsidRPr="00C7640C">
        <w:rPr>
          <w:rFonts w:ascii="Arial" w:hAnsi="Arial" w:cs="Arial"/>
          <w:szCs w:val="22"/>
        </w:rPr>
        <w:t>Bitácora donde se notificó la autorización del registro del dispositivo.</w:t>
      </w:r>
    </w:p>
    <w:p w14:paraId="594D88EC" w14:textId="77777777" w:rsidR="005A029A" w:rsidRPr="00C7640C" w:rsidRDefault="005A029A" w:rsidP="005A029A">
      <w:pPr>
        <w:pStyle w:val="Prrafodelista"/>
        <w:spacing w:after="0" w:line="240" w:lineRule="auto"/>
        <w:ind w:left="1440"/>
        <w:rPr>
          <w:rFonts w:ascii="Arial" w:hAnsi="Arial" w:cs="Arial"/>
          <w:szCs w:val="22"/>
        </w:rPr>
      </w:pPr>
    </w:p>
    <w:p w14:paraId="0E8AB42F" w14:textId="77777777" w:rsidR="005A029A" w:rsidRPr="00965A3D" w:rsidRDefault="005A029A" w:rsidP="005A029A">
      <w:pPr>
        <w:pStyle w:val="Prrafodelista"/>
        <w:numPr>
          <w:ilvl w:val="0"/>
          <w:numId w:val="11"/>
        </w:numPr>
        <w:spacing w:before="0" w:after="0" w:line="240" w:lineRule="auto"/>
        <w:rPr>
          <w:rFonts w:ascii="Arial" w:hAnsi="Arial" w:cs="Arial"/>
          <w:szCs w:val="22"/>
        </w:rPr>
      </w:pPr>
      <w:r w:rsidRPr="00C7640C">
        <w:rPr>
          <w:rFonts w:ascii="Arial" w:hAnsi="Arial" w:cs="Arial"/>
          <w:szCs w:val="22"/>
        </w:rPr>
        <w:t>Bitácora que demuestre que para la transacción se utilizó el dispositivo de confianza.</w:t>
      </w:r>
    </w:p>
    <w:p w14:paraId="7A2F1882" w14:textId="77777777" w:rsidR="005A029A" w:rsidRPr="000B4B76" w:rsidRDefault="005A029A" w:rsidP="005A029A">
      <w:pPr>
        <w:spacing w:after="0" w:line="240" w:lineRule="auto"/>
        <w:ind w:left="360"/>
        <w:rPr>
          <w:rFonts w:ascii="Arial" w:hAnsi="Arial" w:cs="Arial"/>
          <w:szCs w:val="22"/>
        </w:rPr>
      </w:pPr>
    </w:p>
    <w:p w14:paraId="7BCC1E39" w14:textId="77777777" w:rsidR="005A029A" w:rsidRDefault="005A029A" w:rsidP="005A029A">
      <w:pPr>
        <w:pStyle w:val="Prrafodelista"/>
        <w:numPr>
          <w:ilvl w:val="0"/>
          <w:numId w:val="14"/>
        </w:numPr>
        <w:spacing w:before="0" w:after="0" w:line="240" w:lineRule="auto"/>
        <w:rPr>
          <w:rFonts w:ascii="Arial" w:hAnsi="Arial" w:cs="Arial"/>
          <w:szCs w:val="22"/>
        </w:rPr>
      </w:pPr>
      <w:r w:rsidRPr="000B4B76">
        <w:rPr>
          <w:rFonts w:ascii="Arial" w:hAnsi="Arial" w:cs="Arial"/>
          <w:szCs w:val="22"/>
        </w:rPr>
        <w:t>Si la transacción fue realizada desde un dispositivo no declarado como de confianza por parte del cliente:</w:t>
      </w:r>
    </w:p>
    <w:p w14:paraId="60B0593B" w14:textId="77777777" w:rsidR="005A029A" w:rsidRPr="00F2135A" w:rsidRDefault="005A029A" w:rsidP="005A029A">
      <w:pPr>
        <w:pStyle w:val="Prrafodelista"/>
        <w:spacing w:after="0" w:line="240" w:lineRule="auto"/>
        <w:ind w:left="284"/>
        <w:rPr>
          <w:rFonts w:ascii="Arial" w:hAnsi="Arial" w:cs="Arial"/>
          <w:szCs w:val="22"/>
        </w:rPr>
      </w:pPr>
    </w:p>
    <w:p w14:paraId="685C1542" w14:textId="77777777" w:rsidR="005A029A" w:rsidRDefault="005A029A" w:rsidP="005A029A">
      <w:pPr>
        <w:pStyle w:val="Prrafodelista"/>
        <w:numPr>
          <w:ilvl w:val="0"/>
          <w:numId w:val="11"/>
        </w:numPr>
        <w:spacing w:before="0" w:after="0" w:line="240" w:lineRule="auto"/>
        <w:rPr>
          <w:rFonts w:ascii="Arial" w:hAnsi="Arial" w:cs="Arial"/>
          <w:szCs w:val="22"/>
        </w:rPr>
      </w:pPr>
      <w:r w:rsidRPr="00466213">
        <w:rPr>
          <w:rFonts w:ascii="Arial" w:hAnsi="Arial" w:cs="Arial"/>
          <w:szCs w:val="22"/>
        </w:rPr>
        <w:lastRenderedPageBreak/>
        <w:t>Bitácora de que el ingreso se realizó</w:t>
      </w:r>
      <w:r>
        <w:rPr>
          <w:rFonts w:ascii="Arial" w:hAnsi="Arial" w:cs="Arial"/>
          <w:szCs w:val="22"/>
        </w:rPr>
        <w:t xml:space="preserve"> en</w:t>
      </w:r>
      <w:r w:rsidRPr="00466213">
        <w:rPr>
          <w:rFonts w:ascii="Arial" w:hAnsi="Arial" w:cs="Arial"/>
          <w:szCs w:val="22"/>
        </w:rPr>
        <w:t xml:space="preserve"> cumplimiento </w:t>
      </w:r>
      <w:r>
        <w:rPr>
          <w:rFonts w:ascii="Arial" w:hAnsi="Arial" w:cs="Arial"/>
          <w:szCs w:val="22"/>
        </w:rPr>
        <w:t>de</w:t>
      </w:r>
      <w:r w:rsidRPr="00466213">
        <w:rPr>
          <w:rFonts w:ascii="Arial" w:hAnsi="Arial" w:cs="Arial"/>
          <w:szCs w:val="22"/>
        </w:rPr>
        <w:t xml:space="preserve"> los mecanismos de seguridad establecidos.</w:t>
      </w:r>
    </w:p>
    <w:p w14:paraId="57EF27C9" w14:textId="77777777" w:rsidR="005A029A" w:rsidRDefault="005A029A" w:rsidP="00EC529F">
      <w:pPr>
        <w:pStyle w:val="Negrita"/>
        <w:jc w:val="left"/>
        <w:rPr>
          <w:rFonts w:ascii="Arial" w:hAnsi="Arial" w:cs="Arial"/>
          <w:b w:val="0"/>
          <w:szCs w:val="22"/>
        </w:rPr>
      </w:pPr>
    </w:p>
    <w:p w14:paraId="7353EAE5" w14:textId="77777777" w:rsidR="002067C5" w:rsidRDefault="002067C5" w:rsidP="00EC529F">
      <w:pPr>
        <w:pStyle w:val="Negrita"/>
        <w:jc w:val="left"/>
        <w:rPr>
          <w:rFonts w:ascii="Arial" w:hAnsi="Arial" w:cs="Arial"/>
          <w:b w:val="0"/>
          <w:szCs w:val="22"/>
        </w:rPr>
      </w:pPr>
    </w:p>
    <w:p w14:paraId="3A73A698" w14:textId="77777777" w:rsidR="002067C5" w:rsidRDefault="002067C5" w:rsidP="00EC529F">
      <w:pPr>
        <w:pStyle w:val="Negrita"/>
        <w:jc w:val="left"/>
        <w:rPr>
          <w:rFonts w:ascii="Arial" w:hAnsi="Arial" w:cs="Arial"/>
          <w:b w:val="0"/>
          <w:szCs w:val="22"/>
        </w:rPr>
      </w:pPr>
    </w:p>
    <w:p w14:paraId="2626CFCD" w14:textId="0FFB658E" w:rsidR="00EC529F" w:rsidRDefault="008564D2" w:rsidP="00EC529F">
      <w:pPr>
        <w:pStyle w:val="Negrita"/>
        <w:jc w:val="left"/>
        <w:rPr>
          <w:rFonts w:ascii="Arial" w:hAnsi="Arial" w:cs="Arial"/>
          <w:b w:val="0"/>
          <w:szCs w:val="22"/>
        </w:rPr>
      </w:pPr>
      <w:r>
        <w:rPr>
          <w:rFonts w:ascii="Arial" w:hAnsi="Arial" w:cs="Arial"/>
          <w:b w:val="0"/>
          <w:szCs w:val="22"/>
        </w:rPr>
        <w:t>Atentamente,</w:t>
      </w:r>
    </w:p>
    <w:p w14:paraId="100E4318" w14:textId="77777777" w:rsidR="008564D2" w:rsidRPr="006B4F01" w:rsidRDefault="008564D2" w:rsidP="00EC529F">
      <w:pPr>
        <w:pStyle w:val="Negrita"/>
        <w:jc w:val="left"/>
        <w:rPr>
          <w:rFonts w:ascii="Arial" w:hAnsi="Arial" w:cs="Arial"/>
          <w:noProof/>
          <w:szCs w:val="22"/>
          <w:lang w:val="es-CR" w:eastAsia="es-CR"/>
        </w:rPr>
      </w:pPr>
    </w:p>
    <w:p w14:paraId="39FEBB92" w14:textId="77777777" w:rsidR="000124EB" w:rsidRDefault="00EC529F" w:rsidP="008564D2">
      <w:pPr>
        <w:pStyle w:val="Negrita"/>
        <w:jc w:val="center"/>
        <w:rPr>
          <w:rFonts w:ascii="Roboto" w:hAnsi="Roboto"/>
          <w:szCs w:val="22"/>
        </w:rPr>
      </w:pPr>
      <w:r w:rsidRPr="006B4F01">
        <w:rPr>
          <w:noProof/>
          <w:szCs w:val="22"/>
        </w:rPr>
        <w:drawing>
          <wp:inline distT="0" distB="0" distL="0" distR="0" wp14:anchorId="09EBF9D3" wp14:editId="71729A3A">
            <wp:extent cx="1699200" cy="454904"/>
            <wp:effectExtent l="0" t="0" r="0" b="2540"/>
            <wp:docPr id="1693236987" name="Imagen 1" descr="Interfaz de usuario gráfica, Texto,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236987" name="Imagen 1" descr="Interfaz de usuario gráfica, Texto, Aplicación&#10;&#10;El contenido generado por IA puede ser incorrect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37377" cy="465124"/>
                    </a:xfrm>
                    <a:prstGeom prst="rect">
                      <a:avLst/>
                    </a:prstGeom>
                    <a:noFill/>
                    <a:ln>
                      <a:noFill/>
                    </a:ln>
                  </pic:spPr>
                </pic:pic>
              </a:graphicData>
            </a:graphic>
          </wp:inline>
        </w:drawing>
      </w:r>
    </w:p>
    <w:p w14:paraId="7C6EB08B" w14:textId="0F248B98" w:rsidR="0088599E" w:rsidRPr="008564D2" w:rsidRDefault="00EE2C9F" w:rsidP="008564D2">
      <w:pPr>
        <w:pStyle w:val="Negrita"/>
        <w:spacing w:line="240" w:lineRule="auto"/>
        <w:jc w:val="center"/>
        <w:rPr>
          <w:rFonts w:asciiTheme="majorHAnsi" w:hAnsiTheme="majorHAnsi" w:cstheme="majorHAnsi"/>
          <w:b w:val="0"/>
          <w:bCs/>
          <w:sz w:val="24"/>
        </w:rPr>
      </w:pPr>
      <w:r w:rsidRPr="008564D2">
        <w:rPr>
          <w:rFonts w:asciiTheme="majorHAnsi" w:hAnsiTheme="majorHAnsi" w:cstheme="majorHAnsi"/>
          <w:b w:val="0"/>
          <w:bCs/>
          <w:sz w:val="24"/>
        </w:rPr>
        <w:t>Hazel Va</w:t>
      </w:r>
      <w:r w:rsidR="008564D2" w:rsidRPr="008564D2">
        <w:rPr>
          <w:rFonts w:asciiTheme="majorHAnsi" w:hAnsiTheme="majorHAnsi" w:cstheme="majorHAnsi"/>
          <w:b w:val="0"/>
          <w:bCs/>
          <w:sz w:val="24"/>
        </w:rPr>
        <w:t>lverde Richmond</w:t>
      </w:r>
    </w:p>
    <w:p w14:paraId="4D4920EA" w14:textId="44001830" w:rsidR="008564D2" w:rsidRPr="008564D2" w:rsidRDefault="008564D2" w:rsidP="008564D2">
      <w:pPr>
        <w:pStyle w:val="Negrita"/>
        <w:spacing w:line="240" w:lineRule="auto"/>
        <w:jc w:val="center"/>
        <w:rPr>
          <w:rFonts w:asciiTheme="majorHAnsi" w:hAnsiTheme="majorHAnsi" w:cstheme="majorHAnsi"/>
          <w:sz w:val="24"/>
        </w:rPr>
      </w:pPr>
      <w:r w:rsidRPr="008564D2">
        <w:rPr>
          <w:rFonts w:asciiTheme="majorHAnsi" w:hAnsiTheme="majorHAnsi" w:cstheme="majorHAnsi"/>
          <w:sz w:val="24"/>
        </w:rPr>
        <w:t>Superintendente</w:t>
      </w:r>
    </w:p>
    <w:p w14:paraId="4A75B953" w14:textId="7C19A598" w:rsidR="008564D2" w:rsidRPr="008564D2" w:rsidRDefault="008564D2" w:rsidP="008564D2">
      <w:pPr>
        <w:pStyle w:val="Negrita"/>
        <w:spacing w:line="240" w:lineRule="auto"/>
        <w:jc w:val="center"/>
        <w:rPr>
          <w:rFonts w:asciiTheme="majorHAnsi" w:hAnsiTheme="majorHAnsi" w:cstheme="majorHAnsi"/>
          <w:sz w:val="24"/>
        </w:rPr>
      </w:pPr>
      <w:r w:rsidRPr="008564D2">
        <w:rPr>
          <w:rFonts w:asciiTheme="majorHAnsi" w:hAnsiTheme="majorHAnsi" w:cstheme="majorHAnsi"/>
          <w:sz w:val="24"/>
        </w:rPr>
        <w:t>Superintendencia General de Entidades Financieras</w:t>
      </w:r>
    </w:p>
    <w:p w14:paraId="79DFBEAF" w14:textId="77777777" w:rsidR="00975D20" w:rsidRDefault="00975D20" w:rsidP="000124EB">
      <w:pPr>
        <w:pStyle w:val="Negrita"/>
        <w:rPr>
          <w:rFonts w:ascii="Roboto" w:hAnsi="Roboto"/>
          <w:szCs w:val="22"/>
        </w:rPr>
      </w:pPr>
    </w:p>
    <w:p w14:paraId="5287C992" w14:textId="77777777" w:rsidR="008564D2" w:rsidRDefault="008564D2" w:rsidP="000124EB">
      <w:pPr>
        <w:pStyle w:val="Negrita"/>
        <w:rPr>
          <w:rFonts w:ascii="Roboto" w:hAnsi="Roboto"/>
          <w:szCs w:val="22"/>
        </w:rPr>
      </w:pPr>
    </w:p>
    <w:p w14:paraId="6D510159" w14:textId="77777777" w:rsidR="00975D20" w:rsidRPr="000124EB" w:rsidRDefault="00975D20" w:rsidP="000124EB">
      <w:pPr>
        <w:pStyle w:val="Negrita"/>
        <w:rPr>
          <w:rFonts w:ascii="Roboto" w:hAnsi="Roboto"/>
          <w:szCs w:val="22"/>
        </w:rPr>
      </w:pPr>
    </w:p>
    <w:sectPr w:rsidR="00975D20" w:rsidRPr="000124EB" w:rsidSect="004365F4">
      <w:headerReference w:type="default" r:id="rId14"/>
      <w:footerReference w:type="even" r:id="rId15"/>
      <w:footerReference w:type="default" r:id="rId16"/>
      <w:headerReference w:type="first" r:id="rId17"/>
      <w:footerReference w:type="first" r:id="rId18"/>
      <w:pgSz w:w="12240" w:h="15840"/>
      <w:pgMar w:top="1985" w:right="1701" w:bottom="1701" w:left="1701" w:header="1247" w:footer="413" w:gutter="0"/>
      <w:pgNumType w:fmt="numberInDash"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51C5DF" w14:textId="77777777" w:rsidR="00AC3108" w:rsidRDefault="00AC3108" w:rsidP="009349F3">
      <w:pPr>
        <w:spacing w:line="240" w:lineRule="auto"/>
      </w:pPr>
      <w:r>
        <w:separator/>
      </w:r>
    </w:p>
  </w:endnote>
  <w:endnote w:type="continuationSeparator" w:id="0">
    <w:p w14:paraId="0F98BCC3" w14:textId="77777777" w:rsidR="00AC3108" w:rsidRDefault="00AC3108" w:rsidP="009349F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636990731"/>
      <w:docPartObj>
        <w:docPartGallery w:val="Page Numbers (Bottom of Page)"/>
        <w:docPartUnique/>
      </w:docPartObj>
    </w:sdtPr>
    <w:sdtContent>
      <w:p w14:paraId="38875D1A" w14:textId="77777777" w:rsidR="003D3706" w:rsidRDefault="003D3706" w:rsidP="00F26B75">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rPr>
          <w:fldChar w:fldCharType="end"/>
        </w:r>
      </w:p>
    </w:sdtContent>
  </w:sdt>
  <w:p w14:paraId="3C0B8C7B" w14:textId="77777777" w:rsidR="00F17C5B" w:rsidRDefault="00987AAD" w:rsidP="003D3706">
    <w:pPr>
      <w:pStyle w:val="Piedepgina"/>
      <w:ind w:right="360"/>
    </w:pPr>
    <w:r>
      <w:rPr>
        <w:noProof/>
      </w:rPr>
      <mc:AlternateContent>
        <mc:Choice Requires="wps">
          <w:drawing>
            <wp:anchor distT="0" distB="0" distL="0" distR="0" simplePos="0" relativeHeight="251658240" behindDoc="0" locked="0" layoutInCell="1" allowOverlap="1" wp14:anchorId="51057EE1" wp14:editId="7D65CC8B">
              <wp:simplePos x="635" y="635"/>
              <wp:positionH relativeFrom="page">
                <wp:align>center</wp:align>
              </wp:positionH>
              <wp:positionV relativeFrom="page">
                <wp:align>bottom</wp:align>
              </wp:positionV>
              <wp:extent cx="378460" cy="345440"/>
              <wp:effectExtent l="0" t="0" r="2540" b="0"/>
              <wp:wrapNone/>
              <wp:docPr id="743811236" name="Cuadro de texto 5" descr="Públic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78460" cy="345440"/>
                      </a:xfrm>
                      <a:prstGeom prst="rect">
                        <a:avLst/>
                      </a:prstGeom>
                      <a:noFill/>
                      <a:ln>
                        <a:noFill/>
                      </a:ln>
                    </wps:spPr>
                    <wps:txbx>
                      <w:txbxContent>
                        <w:p w14:paraId="0E171EC4" w14:textId="77777777" w:rsidR="00987AAD" w:rsidRPr="00987AAD" w:rsidRDefault="00987AAD" w:rsidP="00987AAD">
                          <w:pPr>
                            <w:rPr>
                              <w:rFonts w:ascii="Calibri" w:eastAsia="Calibri" w:hAnsi="Calibri" w:cs="Calibri"/>
                              <w:noProof/>
                              <w:color w:val="000000"/>
                              <w:sz w:val="20"/>
                              <w:szCs w:val="20"/>
                            </w:rPr>
                          </w:pPr>
                          <w:r w:rsidRPr="00987AAD">
                            <w:rPr>
                              <w:rFonts w:ascii="Calibri" w:eastAsia="Calibri" w:hAnsi="Calibri" w:cs="Calibri"/>
                              <w:noProof/>
                              <w:color w:val="000000"/>
                              <w:sz w:val="20"/>
                              <w:szCs w:val="20"/>
                            </w:rPr>
                            <w:t>Público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1057EE1" id="_x0000_t202" coordsize="21600,21600" o:spt="202" path="m,l,21600r21600,l21600,xe">
              <v:stroke joinstyle="miter"/>
              <v:path gradientshapeok="t" o:connecttype="rect"/>
            </v:shapetype>
            <v:shape id="Cuadro de texto 5" o:spid="_x0000_s1026" type="#_x0000_t202" alt="Público" style="position:absolute;left:0;text-align:left;margin-left:0;margin-top:0;width:29.8pt;height:27.2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" filled="f" stroked="f">
              <v:textbox style="mso-fit-shape-to-text:t" inset="0,0,0,15pt">
                <w:txbxContent>
                  <w:p w14:paraId="0E171EC4" w14:textId="77777777" w:rsidR="00987AAD" w:rsidRPr="00987AAD" w:rsidRDefault="00987AAD" w:rsidP="00987AAD">
                    <w:pPr>
                      <w:rPr>
                        <w:rFonts w:ascii="Calibri" w:eastAsia="Calibri" w:hAnsi="Calibri" w:cs="Calibri"/>
                        <w:noProof/>
                        <w:color w:val="000000"/>
                        <w:sz w:val="20"/>
                        <w:szCs w:val="20"/>
                      </w:rPr>
                    </w:pPr>
                    <w:r w:rsidRPr="00987AAD">
                      <w:rPr>
                        <w:rFonts w:ascii="Calibri" w:eastAsia="Calibri" w:hAnsi="Calibri" w:cs="Calibri"/>
                        <w:noProof/>
                        <w:color w:val="000000"/>
                        <w:sz w:val="20"/>
                        <w:szCs w:val="20"/>
                      </w:rPr>
                      <w:t>Público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32" w:type="dxa"/>
      <w:jc w:val="center"/>
      <w:tblLook w:val="04A0" w:firstRow="1" w:lastRow="0" w:firstColumn="1" w:lastColumn="0" w:noHBand="0" w:noVBand="1"/>
    </w:tblPr>
    <w:tblGrid>
      <w:gridCol w:w="204"/>
      <w:gridCol w:w="1923"/>
      <w:gridCol w:w="2268"/>
      <w:gridCol w:w="2268"/>
      <w:gridCol w:w="3969"/>
    </w:tblGrid>
    <w:tr w:rsidR="00121E48" w:rsidRPr="003A12C6" w14:paraId="4E288FE5" w14:textId="77777777" w:rsidTr="008D55B6">
      <w:trPr>
        <w:trHeight w:val="412"/>
        <w:jc w:val="center"/>
      </w:trPr>
      <w:tc>
        <w:tcPr>
          <w:tcW w:w="2127" w:type="dxa"/>
          <w:gridSpan w:val="2"/>
          <w:vAlign w:val="center"/>
        </w:tcPr>
        <w:p w14:paraId="395E9D11" w14:textId="77777777" w:rsidR="00121E48" w:rsidRPr="00764B98" w:rsidRDefault="00121E48" w:rsidP="00121E48">
          <w:pPr>
            <w:spacing w:before="0" w:after="0"/>
            <w:jc w:val="center"/>
            <w:rPr>
              <w:rFonts w:ascii="Arial" w:hAnsi="Arial" w:cs="Arial"/>
              <w:noProof/>
              <w:color w:val="262626" w:themeColor="text1" w:themeTint="D9"/>
              <w:sz w:val="16"/>
              <w:szCs w:val="16"/>
            </w:rPr>
          </w:pPr>
          <w:r w:rsidRPr="00764B98">
            <w:rPr>
              <w:rFonts w:ascii="Arial" w:hAnsi="Arial" w:cs="Arial"/>
              <w:color w:val="0D0D0D" w:themeColor="text1" w:themeTint="F2"/>
              <w:sz w:val="16"/>
              <w:szCs w:val="16"/>
            </w:rPr>
            <w:t xml:space="preserve">Página </w:t>
          </w:r>
          <w:r w:rsidRPr="00764B98">
            <w:rPr>
              <w:rFonts w:ascii="Arial" w:hAnsi="Arial" w:cs="Arial"/>
              <w:b/>
              <w:bCs/>
              <w:color w:val="0D0D0D" w:themeColor="text1" w:themeTint="F2"/>
              <w:sz w:val="16"/>
              <w:szCs w:val="16"/>
            </w:rPr>
            <w:fldChar w:fldCharType="begin"/>
          </w:r>
          <w:r w:rsidRPr="00764B98">
            <w:rPr>
              <w:rFonts w:ascii="Arial" w:hAnsi="Arial" w:cs="Arial"/>
              <w:b/>
              <w:bCs/>
              <w:color w:val="0D0D0D" w:themeColor="text1" w:themeTint="F2"/>
              <w:sz w:val="16"/>
              <w:szCs w:val="16"/>
            </w:rPr>
            <w:instrText>PAGE  \* Arabic  \* MERGEFORMAT</w:instrText>
          </w:r>
          <w:r w:rsidRPr="00764B98">
            <w:rPr>
              <w:rFonts w:ascii="Arial" w:hAnsi="Arial" w:cs="Arial"/>
              <w:b/>
              <w:bCs/>
              <w:color w:val="0D0D0D" w:themeColor="text1" w:themeTint="F2"/>
              <w:sz w:val="16"/>
              <w:szCs w:val="16"/>
            </w:rPr>
            <w:fldChar w:fldCharType="separate"/>
          </w:r>
          <w:r w:rsidRPr="00764B98">
            <w:rPr>
              <w:rFonts w:ascii="Arial" w:hAnsi="Arial" w:cs="Arial"/>
              <w:b/>
              <w:bCs/>
              <w:color w:val="0D0D0D" w:themeColor="text1" w:themeTint="F2"/>
              <w:sz w:val="16"/>
              <w:szCs w:val="16"/>
            </w:rPr>
            <w:t>2</w:t>
          </w:r>
          <w:r w:rsidRPr="00764B98">
            <w:rPr>
              <w:rFonts w:ascii="Arial" w:hAnsi="Arial" w:cs="Arial"/>
              <w:b/>
              <w:bCs/>
              <w:color w:val="0D0D0D" w:themeColor="text1" w:themeTint="F2"/>
              <w:sz w:val="16"/>
              <w:szCs w:val="16"/>
            </w:rPr>
            <w:fldChar w:fldCharType="end"/>
          </w:r>
          <w:r w:rsidRPr="00764B98">
            <w:rPr>
              <w:rFonts w:ascii="Arial" w:hAnsi="Arial" w:cs="Arial"/>
              <w:color w:val="0D0D0D" w:themeColor="text1" w:themeTint="F2"/>
              <w:sz w:val="16"/>
              <w:szCs w:val="16"/>
            </w:rPr>
            <w:t xml:space="preserve"> de </w:t>
          </w:r>
          <w:r w:rsidRPr="00764B98">
            <w:rPr>
              <w:rFonts w:ascii="Arial" w:hAnsi="Arial" w:cs="Arial"/>
              <w:b/>
              <w:bCs/>
              <w:color w:val="0D0D0D" w:themeColor="text1" w:themeTint="F2"/>
              <w:sz w:val="16"/>
              <w:szCs w:val="16"/>
            </w:rPr>
            <w:fldChar w:fldCharType="begin"/>
          </w:r>
          <w:r w:rsidRPr="00764B98">
            <w:rPr>
              <w:rFonts w:ascii="Arial" w:hAnsi="Arial" w:cs="Arial"/>
              <w:b/>
              <w:bCs/>
              <w:color w:val="0D0D0D" w:themeColor="text1" w:themeTint="F2"/>
              <w:sz w:val="16"/>
              <w:szCs w:val="16"/>
            </w:rPr>
            <w:instrText>NUMPAGES  \* Arabic  \* MERGEFORMAT</w:instrText>
          </w:r>
          <w:r w:rsidRPr="00764B98">
            <w:rPr>
              <w:rFonts w:ascii="Arial" w:hAnsi="Arial" w:cs="Arial"/>
              <w:b/>
              <w:bCs/>
              <w:color w:val="0D0D0D" w:themeColor="text1" w:themeTint="F2"/>
              <w:sz w:val="16"/>
              <w:szCs w:val="16"/>
            </w:rPr>
            <w:fldChar w:fldCharType="separate"/>
          </w:r>
          <w:r w:rsidRPr="00764B98">
            <w:rPr>
              <w:rFonts w:ascii="Arial" w:hAnsi="Arial" w:cs="Arial"/>
              <w:b/>
              <w:bCs/>
              <w:color w:val="0D0D0D" w:themeColor="text1" w:themeTint="F2"/>
              <w:sz w:val="16"/>
              <w:szCs w:val="16"/>
            </w:rPr>
            <w:t>2</w:t>
          </w:r>
          <w:r w:rsidRPr="00764B98">
            <w:rPr>
              <w:rFonts w:ascii="Arial" w:hAnsi="Arial" w:cs="Arial"/>
              <w:b/>
              <w:bCs/>
              <w:color w:val="0D0D0D" w:themeColor="text1" w:themeTint="F2"/>
              <w:sz w:val="16"/>
              <w:szCs w:val="16"/>
            </w:rPr>
            <w:fldChar w:fldCharType="end"/>
          </w:r>
        </w:p>
      </w:tc>
      <w:tc>
        <w:tcPr>
          <w:tcW w:w="2268" w:type="dxa"/>
          <w:vAlign w:val="center"/>
        </w:tcPr>
        <w:p w14:paraId="7DBC7861" w14:textId="77777777" w:rsidR="00121E48" w:rsidRPr="00CF477D" w:rsidRDefault="00121E48" w:rsidP="00121E48">
          <w:pPr>
            <w:spacing w:before="0" w:after="0"/>
            <w:jc w:val="center"/>
            <w:rPr>
              <w:rFonts w:ascii="Arial" w:hAnsi="Arial" w:cs="Arial"/>
              <w:noProof/>
              <w:color w:val="262626" w:themeColor="text1" w:themeTint="D9"/>
              <w:szCs w:val="22"/>
            </w:rPr>
          </w:pPr>
        </w:p>
      </w:tc>
      <w:tc>
        <w:tcPr>
          <w:tcW w:w="2268" w:type="dxa"/>
          <w:vAlign w:val="center"/>
        </w:tcPr>
        <w:p w14:paraId="42630DF6" w14:textId="77777777" w:rsidR="00121E48" w:rsidRPr="00CF477D" w:rsidRDefault="00121E48" w:rsidP="00121E48">
          <w:pPr>
            <w:spacing w:before="0" w:after="0"/>
            <w:jc w:val="center"/>
            <w:rPr>
              <w:rFonts w:ascii="Arial" w:hAnsi="Arial" w:cs="Arial"/>
              <w:noProof/>
              <w:color w:val="262626" w:themeColor="text1" w:themeTint="D9"/>
              <w:szCs w:val="22"/>
            </w:rPr>
          </w:pPr>
        </w:p>
      </w:tc>
      <w:tc>
        <w:tcPr>
          <w:tcW w:w="3969" w:type="dxa"/>
          <w:vAlign w:val="center"/>
        </w:tcPr>
        <w:p w14:paraId="6D1B5F6B" w14:textId="77777777" w:rsidR="00121E48" w:rsidRPr="00CF477D" w:rsidRDefault="00000000" w:rsidP="00121E48">
          <w:pPr>
            <w:spacing w:before="0" w:after="0"/>
            <w:jc w:val="center"/>
            <w:rPr>
              <w:rFonts w:ascii="Arial" w:hAnsi="Arial" w:cs="Arial"/>
              <w:noProof/>
              <w:color w:val="262626" w:themeColor="text1" w:themeTint="D9"/>
              <w:szCs w:val="22"/>
            </w:rPr>
          </w:pPr>
          <w:sdt>
            <w:sdtPr>
              <w:rPr>
                <w:rFonts w:ascii="Arial" w:hAnsi="Arial" w:cs="Arial"/>
                <w:color w:val="0D0D0D" w:themeColor="text1" w:themeTint="F2"/>
                <w:sz w:val="16"/>
                <w:szCs w:val="16"/>
              </w:rPr>
              <w:alias w:val="Confidencialidad"/>
              <w:tag w:val="Confidencialidad"/>
              <w:id w:val="-565417452"/>
              <w:placeholder>
                <w:docPart w:val="033395312525402F903E8B82594D48F2"/>
              </w:placeholder>
              <w:temporary/>
              <w15:color w:val="808080"/>
              <w:dropDownList>
                <w:listItem w:value="Elija nivel de confidencialidad"/>
                <w:listItem w:displayText="PUBLICO" w:value="PUBLICO"/>
                <w:listItem w:displayText="USO INTERNO" w:value="USO INTERNO"/>
                <w:listItem w:displayText="PROPIETARIO" w:value="PROPIETARIO"/>
                <w:listItem w:displayText="CONFIDENCIAL" w:value="CONFIDENCIAL"/>
                <w:listItem w:displayText="MAXIMA SEGURIDAD" w:value="MAXIMA SEGURIDAD"/>
              </w:dropDownList>
            </w:sdtPr>
            <w:sdtContent>
              <w:r w:rsidR="00121E48" w:rsidRPr="00764B98">
                <w:rPr>
                  <w:rFonts w:ascii="Arial" w:hAnsi="Arial" w:cs="Arial"/>
                  <w:color w:val="0D0D0D" w:themeColor="text1" w:themeTint="F2"/>
                  <w:sz w:val="16"/>
                  <w:szCs w:val="16"/>
                </w:rPr>
                <w:t>Público</w:t>
              </w:r>
            </w:sdtContent>
          </w:sdt>
        </w:p>
      </w:tc>
    </w:tr>
    <w:tr w:rsidR="00121E48" w:rsidRPr="003A12C6" w14:paraId="7C4E66F4" w14:textId="77777777" w:rsidTr="00FD2389">
      <w:trPr>
        <w:trHeight w:val="412"/>
        <w:jc w:val="center"/>
      </w:trPr>
      <w:tc>
        <w:tcPr>
          <w:tcW w:w="10632" w:type="dxa"/>
          <w:gridSpan w:val="5"/>
          <w:vAlign w:val="center"/>
        </w:tcPr>
        <w:p w14:paraId="05252022" w14:textId="77777777" w:rsidR="00121E48" w:rsidRPr="00E829C8" w:rsidRDefault="00121E48" w:rsidP="00121E48">
          <w:pPr>
            <w:spacing w:before="0" w:after="0"/>
            <w:jc w:val="center"/>
            <w:rPr>
              <w:rFonts w:ascii="Arial" w:hAnsi="Arial" w:cs="Arial"/>
              <w:color w:val="44546A" w:themeColor="text2"/>
              <w:sz w:val="16"/>
              <w:szCs w:val="16"/>
              <w:lang w:bidi="es-ES"/>
            </w:rPr>
          </w:pPr>
          <w:r>
            <w:rPr>
              <w:noProof/>
            </w:rPr>
            <mc:AlternateContent>
              <mc:Choice Requires="wps">
                <w:drawing>
                  <wp:anchor distT="0" distB="0" distL="114300" distR="114300" simplePos="0" relativeHeight="251658245" behindDoc="0" locked="0" layoutInCell="1" allowOverlap="1" wp14:anchorId="743C521D" wp14:editId="492723DC">
                    <wp:simplePos x="0" y="0"/>
                    <wp:positionH relativeFrom="column">
                      <wp:posOffset>10160</wp:posOffset>
                    </wp:positionH>
                    <wp:positionV relativeFrom="paragraph">
                      <wp:posOffset>109855</wp:posOffset>
                    </wp:positionV>
                    <wp:extent cx="6610350" cy="45085"/>
                    <wp:effectExtent l="0" t="0" r="0" b="0"/>
                    <wp:wrapNone/>
                    <wp:docPr id="552809930" name="Shape 109"/>
                    <wp:cNvGraphicFramePr/>
                    <a:graphic xmlns:a="http://schemas.openxmlformats.org/drawingml/2006/main">
                      <a:graphicData uri="http://schemas.microsoft.com/office/word/2010/wordprocessingShape">
                        <wps:wsp>
                          <wps:cNvSpPr/>
                          <wps:spPr>
                            <a:xfrm>
                              <a:off x="0" y="0"/>
                              <a:ext cx="6610350" cy="45085"/>
                            </a:xfrm>
                            <a:custGeom>
                              <a:avLst/>
                              <a:gdLst/>
                              <a:ahLst/>
                              <a:cxnLst/>
                              <a:rect l="0" t="0" r="0" b="0"/>
                              <a:pathLst>
                                <a:path w="6102972">
                                  <a:moveTo>
                                    <a:pt x="0" y="0"/>
                                  </a:moveTo>
                                  <a:lnTo>
                                    <a:pt x="6102972" y="0"/>
                                  </a:lnTo>
                                </a:path>
                              </a:pathLst>
                            </a:custGeom>
                            <a:ln w="6350" cap="flat">
                              <a:miter lim="127000"/>
                            </a:ln>
                          </wps:spPr>
                          <wps:style>
                            <a:lnRef idx="1">
                              <a:srgbClr val="0F395D"/>
                            </a:lnRef>
                            <a:fillRef idx="0">
                              <a:srgbClr val="000000">
                                <a:alpha val="0"/>
                              </a:srgbClr>
                            </a:fillRef>
                            <a:effectRef idx="0">
                              <a:scrgbClr r="0" g="0" b="0"/>
                            </a:effectRef>
                            <a:fontRef idx="none"/>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svg="http://schemas.microsoft.com/office/drawing/2016/SVG/main" xmlns:a14="http://schemas.microsoft.com/office/drawing/2010/main">
                <w:pict>
                  <v:shape id="Shape 109" style="position:absolute;margin-left:.8pt;margin-top:8.65pt;width:520.5pt;height:3.55pt;z-index:2516797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6102972,45085" o:spid="_x0000_s1026" filled="f" strokecolor="#0f395d" strokeweight=".5pt" path="m,l610297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" w14:anchorId="78730206">
                    <v:stroke miterlimit="83231f" joinstyle="miter"/>
                    <v:path textboxrect="0,0,6102972,45085" arrowok="t"/>
                  </v:shape>
                </w:pict>
              </mc:Fallback>
            </mc:AlternateContent>
          </w:r>
        </w:p>
      </w:tc>
    </w:tr>
    <w:tr w:rsidR="00FD2389" w:rsidRPr="003A12C6" w14:paraId="4892CB8E" w14:textId="77777777" w:rsidTr="008D55B6">
      <w:trPr>
        <w:gridBefore w:val="1"/>
        <w:wBefore w:w="204" w:type="dxa"/>
        <w:trHeight w:val="567"/>
        <w:jc w:val="center"/>
      </w:trPr>
      <w:tc>
        <w:tcPr>
          <w:tcW w:w="1923" w:type="dxa"/>
          <w:vAlign w:val="center"/>
        </w:tcPr>
        <w:p w14:paraId="66D09E17" w14:textId="77777777" w:rsidR="00FD2389" w:rsidRDefault="00FD2389" w:rsidP="00FD2389">
          <w:pPr>
            <w:spacing w:before="0" w:after="0"/>
            <w:jc w:val="left"/>
            <w:rPr>
              <w:rFonts w:ascii="Arial" w:hAnsi="Arial" w:cs="Arial"/>
              <w:noProof/>
              <w:color w:val="44546A" w:themeColor="text2"/>
              <w:sz w:val="16"/>
              <w:szCs w:val="16"/>
              <w:lang w:bidi="es-ES"/>
            </w:rPr>
          </w:pPr>
          <w:r>
            <w:rPr>
              <w:rFonts w:ascii="Arial" w:hAnsi="Arial" w:cs="Arial"/>
              <w:noProof/>
              <w:color w:val="44546A" w:themeColor="text2"/>
              <w:sz w:val="16"/>
              <w:szCs w:val="16"/>
              <w:lang w:bidi="es-ES"/>
            </w:rPr>
            <w:drawing>
              <wp:anchor distT="0" distB="0" distL="114300" distR="114300" simplePos="0" relativeHeight="251658251" behindDoc="1" locked="0" layoutInCell="1" allowOverlap="1" wp14:anchorId="67D7F4CE" wp14:editId="62D77B18">
                <wp:simplePos x="0" y="0"/>
                <wp:positionH relativeFrom="column">
                  <wp:posOffset>500380</wp:posOffset>
                </wp:positionH>
                <wp:positionV relativeFrom="paragraph">
                  <wp:posOffset>68580</wp:posOffset>
                </wp:positionV>
                <wp:extent cx="284400" cy="255600"/>
                <wp:effectExtent l="0" t="0" r="1905" b="0"/>
                <wp:wrapTight wrapText="bothSides">
                  <wp:wrapPolygon edited="0">
                    <wp:start x="5799" y="0"/>
                    <wp:lineTo x="0" y="3224"/>
                    <wp:lineTo x="0" y="12896"/>
                    <wp:lineTo x="1450" y="19343"/>
                    <wp:lineTo x="17396" y="19343"/>
                    <wp:lineTo x="20295" y="11284"/>
                    <wp:lineTo x="20295" y="3224"/>
                    <wp:lineTo x="14497" y="0"/>
                    <wp:lineTo x="5799" y="0"/>
                  </wp:wrapPolygon>
                </wp:wrapTight>
                <wp:docPr id="2069328892" name="Gráfico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3557320" name="Gráfico 1113557320"/>
                        <pic:cNvPicPr/>
                      </pic:nvPicPr>
                      <pic:blipFill>
                        <a:blip r:embed="rId1">
                          <a:extLst>
                            <a:ext uri="{96DAC541-7B7A-43D3-8B79-37D633B846F1}">
                              <asvg:svgBlip xmlns:asvg="http://schemas.microsoft.com/office/drawing/2016/SVG/main" r:embed="rId2"/>
                            </a:ext>
                          </a:extLst>
                        </a:blip>
                        <a:stretch>
                          <a:fillRect/>
                        </a:stretch>
                      </pic:blipFill>
                      <pic:spPr>
                        <a:xfrm>
                          <a:off x="0" y="0"/>
                          <a:ext cx="284400" cy="255600"/>
                        </a:xfrm>
                        <a:prstGeom prst="rect">
                          <a:avLst/>
                        </a:prstGeom>
                      </pic:spPr>
                    </pic:pic>
                  </a:graphicData>
                </a:graphic>
                <wp14:sizeRelH relativeFrom="margin">
                  <wp14:pctWidth>0</wp14:pctWidth>
                </wp14:sizeRelH>
                <wp14:sizeRelV relativeFrom="margin">
                  <wp14:pctHeight>0</wp14:pctHeight>
                </wp14:sizeRelV>
              </wp:anchor>
            </w:drawing>
          </w:r>
        </w:p>
      </w:tc>
      <w:tc>
        <w:tcPr>
          <w:tcW w:w="2268" w:type="dxa"/>
          <w:vAlign w:val="center"/>
        </w:tcPr>
        <w:p w14:paraId="6C4DD782" w14:textId="77777777" w:rsidR="00FD2389" w:rsidRPr="00AD6490" w:rsidRDefault="00FD2389" w:rsidP="00FD2389">
          <w:pPr>
            <w:spacing w:before="0" w:after="0"/>
            <w:jc w:val="left"/>
            <w:rPr>
              <w:rFonts w:ascii="Arial" w:hAnsi="Arial" w:cs="Arial"/>
              <w:noProof/>
              <w:color w:val="44546A" w:themeColor="text2"/>
              <w:sz w:val="16"/>
              <w:szCs w:val="16"/>
              <w:lang w:bidi="es-ES"/>
            </w:rPr>
          </w:pPr>
          <w:r w:rsidRPr="00AD6490">
            <w:rPr>
              <w:rFonts w:ascii="Arial" w:hAnsi="Arial" w:cs="Arial"/>
              <w:noProof/>
              <w:color w:val="44546A" w:themeColor="text2"/>
              <w:sz w:val="16"/>
              <w:szCs w:val="16"/>
              <w:lang w:bidi="es-ES"/>
            </w:rPr>
            <w:drawing>
              <wp:anchor distT="0" distB="0" distL="114300" distR="114300" simplePos="0" relativeHeight="251658252" behindDoc="1" locked="0" layoutInCell="1" allowOverlap="1" wp14:anchorId="5A16F950" wp14:editId="3E676561">
                <wp:simplePos x="0" y="0"/>
                <wp:positionH relativeFrom="column">
                  <wp:posOffset>528955</wp:posOffset>
                </wp:positionH>
                <wp:positionV relativeFrom="paragraph">
                  <wp:posOffset>68580</wp:posOffset>
                </wp:positionV>
                <wp:extent cx="284400" cy="255600"/>
                <wp:effectExtent l="0" t="0" r="1905" b="0"/>
                <wp:wrapTight wrapText="bothSides">
                  <wp:wrapPolygon edited="0">
                    <wp:start x="2899" y="0"/>
                    <wp:lineTo x="0" y="4836"/>
                    <wp:lineTo x="0" y="17731"/>
                    <wp:lineTo x="5799" y="19343"/>
                    <wp:lineTo x="14497" y="19343"/>
                    <wp:lineTo x="20295" y="17731"/>
                    <wp:lineTo x="20295" y="4836"/>
                    <wp:lineTo x="17396" y="0"/>
                    <wp:lineTo x="2899" y="0"/>
                  </wp:wrapPolygon>
                </wp:wrapTight>
                <wp:docPr id="1267027486" name="Gráfico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4372963" name="Gráfico 354372963"/>
                        <pic:cNvPicPr/>
                      </pic:nvPicPr>
                      <pic:blipFill>
                        <a:blip r:embed="rId3">
                          <a:extLst>
                            <a:ext uri="{96DAC541-7B7A-43D3-8B79-37D633B846F1}">
                              <asvg:svgBlip xmlns:asvg="http://schemas.microsoft.com/office/drawing/2016/SVG/main" r:embed="rId4"/>
                            </a:ext>
                          </a:extLst>
                        </a:blip>
                        <a:stretch>
                          <a:fillRect/>
                        </a:stretch>
                      </pic:blipFill>
                      <pic:spPr>
                        <a:xfrm>
                          <a:off x="0" y="0"/>
                          <a:ext cx="284400" cy="255600"/>
                        </a:xfrm>
                        <a:prstGeom prst="rect">
                          <a:avLst/>
                        </a:prstGeom>
                      </pic:spPr>
                    </pic:pic>
                  </a:graphicData>
                </a:graphic>
                <wp14:sizeRelH relativeFrom="margin">
                  <wp14:pctWidth>0</wp14:pctWidth>
                </wp14:sizeRelH>
                <wp14:sizeRelV relativeFrom="margin">
                  <wp14:pctHeight>0</wp14:pctHeight>
                </wp14:sizeRelV>
              </wp:anchor>
            </w:drawing>
          </w:r>
        </w:p>
      </w:tc>
      <w:tc>
        <w:tcPr>
          <w:tcW w:w="2268" w:type="dxa"/>
          <w:vAlign w:val="center"/>
        </w:tcPr>
        <w:p w14:paraId="01517970" w14:textId="77777777" w:rsidR="00FD2389" w:rsidRDefault="00FD2389" w:rsidP="00FD2389">
          <w:pPr>
            <w:spacing w:before="0" w:after="0"/>
            <w:jc w:val="left"/>
            <w:rPr>
              <w:rFonts w:ascii="Arial" w:hAnsi="Arial" w:cs="Arial"/>
              <w:noProof/>
              <w:color w:val="44546A" w:themeColor="text2"/>
              <w:sz w:val="16"/>
              <w:szCs w:val="16"/>
              <w:lang w:bidi="es-ES"/>
            </w:rPr>
          </w:pPr>
          <w:r w:rsidRPr="00AD6490">
            <w:rPr>
              <w:rFonts w:ascii="Arial" w:hAnsi="Arial" w:cs="Arial"/>
              <w:noProof/>
              <w:color w:val="44546A" w:themeColor="text2"/>
              <w:sz w:val="16"/>
              <w:szCs w:val="16"/>
              <w:lang w:bidi="es-ES"/>
            </w:rPr>
            <w:drawing>
              <wp:anchor distT="0" distB="0" distL="114300" distR="114300" simplePos="0" relativeHeight="251658253" behindDoc="1" locked="0" layoutInCell="1" allowOverlap="1" wp14:anchorId="31D65312" wp14:editId="063DB40E">
                <wp:simplePos x="0" y="0"/>
                <wp:positionH relativeFrom="column">
                  <wp:posOffset>489585</wp:posOffset>
                </wp:positionH>
                <wp:positionV relativeFrom="paragraph">
                  <wp:posOffset>68580</wp:posOffset>
                </wp:positionV>
                <wp:extent cx="284400" cy="255600"/>
                <wp:effectExtent l="0" t="0" r="1905" b="0"/>
                <wp:wrapTight wrapText="bothSides">
                  <wp:wrapPolygon edited="0">
                    <wp:start x="2899" y="0"/>
                    <wp:lineTo x="0" y="4836"/>
                    <wp:lineTo x="0" y="17731"/>
                    <wp:lineTo x="5799" y="19343"/>
                    <wp:lineTo x="14497" y="19343"/>
                    <wp:lineTo x="20295" y="17731"/>
                    <wp:lineTo x="20295" y="4836"/>
                    <wp:lineTo x="17396" y="0"/>
                    <wp:lineTo x="2899" y="0"/>
                  </wp:wrapPolygon>
                </wp:wrapTight>
                <wp:docPr id="1187103265" name="Gráfico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4158457" name=""/>
                        <pic:cNvPicPr/>
                      </pic:nvPicPr>
                      <pic:blipFill>
                        <a:blip r:embed="rId5">
                          <a:extLst>
                            <a:ext uri="{96DAC541-7B7A-43D3-8B79-37D633B846F1}">
                              <asvg:svgBlip xmlns:asvg="http://schemas.microsoft.com/office/drawing/2016/SVG/main" r:embed="rId6"/>
                            </a:ext>
                          </a:extLst>
                        </a:blip>
                        <a:stretch>
                          <a:fillRect/>
                        </a:stretch>
                      </pic:blipFill>
                      <pic:spPr>
                        <a:xfrm>
                          <a:off x="0" y="0"/>
                          <a:ext cx="284400" cy="255600"/>
                        </a:xfrm>
                        <a:prstGeom prst="rect">
                          <a:avLst/>
                        </a:prstGeom>
                      </pic:spPr>
                    </pic:pic>
                  </a:graphicData>
                </a:graphic>
                <wp14:sizeRelH relativeFrom="margin">
                  <wp14:pctWidth>0</wp14:pctWidth>
                </wp14:sizeRelH>
                <wp14:sizeRelV relativeFrom="margin">
                  <wp14:pctHeight>0</wp14:pctHeight>
                </wp14:sizeRelV>
              </wp:anchor>
            </w:drawing>
          </w:r>
        </w:p>
      </w:tc>
      <w:tc>
        <w:tcPr>
          <w:tcW w:w="3969" w:type="dxa"/>
        </w:tcPr>
        <w:p w14:paraId="2DAC5DAF" w14:textId="77777777" w:rsidR="00FD2389" w:rsidRPr="00AD6490" w:rsidRDefault="00FD2389" w:rsidP="00FD2389">
          <w:pPr>
            <w:spacing w:before="0" w:after="0"/>
            <w:jc w:val="left"/>
            <w:rPr>
              <w:rFonts w:ascii="Arial" w:hAnsi="Arial" w:cs="Arial"/>
              <w:noProof/>
              <w:color w:val="44546A" w:themeColor="text2"/>
              <w:sz w:val="16"/>
              <w:szCs w:val="16"/>
              <w:lang w:bidi="es-ES"/>
            </w:rPr>
          </w:pPr>
          <w:r w:rsidRPr="00AD6490">
            <w:rPr>
              <w:rFonts w:ascii="Arial" w:hAnsi="Arial" w:cs="Arial"/>
              <w:noProof/>
              <w:color w:val="44546A" w:themeColor="text2"/>
              <w:sz w:val="16"/>
              <w:szCs w:val="16"/>
              <w:lang w:bidi="es-ES"/>
            </w:rPr>
            <w:drawing>
              <wp:anchor distT="0" distB="0" distL="114300" distR="114300" simplePos="0" relativeHeight="251658254" behindDoc="1" locked="0" layoutInCell="1" allowOverlap="1" wp14:anchorId="648DBA0C" wp14:editId="2C275652">
                <wp:simplePos x="0" y="0"/>
                <wp:positionH relativeFrom="column">
                  <wp:posOffset>922020</wp:posOffset>
                </wp:positionH>
                <wp:positionV relativeFrom="paragraph">
                  <wp:posOffset>106680</wp:posOffset>
                </wp:positionV>
                <wp:extent cx="284400" cy="255600"/>
                <wp:effectExtent l="0" t="0" r="1905" b="0"/>
                <wp:wrapTight wrapText="bothSides">
                  <wp:wrapPolygon edited="0">
                    <wp:start x="7248" y="0"/>
                    <wp:lineTo x="0" y="1612"/>
                    <wp:lineTo x="0" y="17731"/>
                    <wp:lineTo x="5799" y="19343"/>
                    <wp:lineTo x="13047" y="19343"/>
                    <wp:lineTo x="20295" y="16119"/>
                    <wp:lineTo x="20295" y="3224"/>
                    <wp:lineTo x="13047" y="0"/>
                    <wp:lineTo x="7248" y="0"/>
                  </wp:wrapPolygon>
                </wp:wrapTight>
                <wp:docPr id="1709039042" name="Gráfico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3945771" name=""/>
                        <pic:cNvPicPr/>
                      </pic:nvPicPr>
                      <pic:blipFill>
                        <a:blip r:embed="rId7">
                          <a:extLst>
                            <a:ext uri="{96DAC541-7B7A-43D3-8B79-37D633B846F1}">
                              <asvg:svgBlip xmlns:asvg="http://schemas.microsoft.com/office/drawing/2016/SVG/main" r:embed="rId8"/>
                            </a:ext>
                          </a:extLst>
                        </a:blip>
                        <a:stretch>
                          <a:fillRect/>
                        </a:stretch>
                      </pic:blipFill>
                      <pic:spPr>
                        <a:xfrm>
                          <a:off x="0" y="0"/>
                          <a:ext cx="284400" cy="255600"/>
                        </a:xfrm>
                        <a:prstGeom prst="rect">
                          <a:avLst/>
                        </a:prstGeom>
                      </pic:spPr>
                    </pic:pic>
                  </a:graphicData>
                </a:graphic>
                <wp14:sizeRelH relativeFrom="margin">
                  <wp14:pctWidth>0</wp14:pctWidth>
                </wp14:sizeRelH>
                <wp14:sizeRelV relativeFrom="margin">
                  <wp14:pctHeight>0</wp14:pctHeight>
                </wp14:sizeRelV>
              </wp:anchor>
            </w:drawing>
          </w:r>
        </w:p>
      </w:tc>
    </w:tr>
    <w:tr w:rsidR="00FD2389" w:rsidRPr="003A12C6" w14:paraId="3A72586E" w14:textId="77777777" w:rsidTr="008D55B6">
      <w:trPr>
        <w:gridBefore w:val="1"/>
        <w:wBefore w:w="204" w:type="dxa"/>
        <w:trHeight w:val="720"/>
        <w:jc w:val="center"/>
      </w:trPr>
      <w:tc>
        <w:tcPr>
          <w:tcW w:w="1923" w:type="dxa"/>
        </w:tcPr>
        <w:p w14:paraId="4297E8C8" w14:textId="77777777" w:rsidR="00FD2389" w:rsidRPr="00AD6490" w:rsidRDefault="00000000" w:rsidP="00FD2389">
          <w:pPr>
            <w:spacing w:before="0" w:after="0"/>
            <w:jc w:val="center"/>
            <w:rPr>
              <w:rFonts w:ascii="Arial" w:hAnsi="Arial" w:cs="Arial"/>
              <w:noProof/>
              <w:color w:val="44546A" w:themeColor="text2"/>
              <w:sz w:val="16"/>
              <w:szCs w:val="16"/>
              <w:lang w:bidi="es-ES"/>
            </w:rPr>
          </w:pPr>
          <w:sdt>
            <w:sdtPr>
              <w:rPr>
                <w:rFonts w:ascii="Arial" w:hAnsi="Arial" w:cs="Arial"/>
                <w:noProof/>
                <w:color w:val="44546A" w:themeColor="text2"/>
                <w:sz w:val="16"/>
                <w:szCs w:val="16"/>
                <w:lang w:bidi="es-ES"/>
              </w:rPr>
              <w:alias w:val="Email"/>
              <w:tag w:val="Email"/>
              <w:id w:val="442120039"/>
              <w:placeholder>
                <w:docPart w:val="A6660D59152849018CECE2841C4246F8"/>
              </w:placeholder>
              <w:temporary/>
              <w:text/>
            </w:sdtPr>
            <w:sdtContent>
              <w:r w:rsidR="00FD2389" w:rsidRPr="0045250D">
                <w:rPr>
                  <w:rFonts w:ascii="Arial" w:hAnsi="Arial" w:cs="Arial"/>
                  <w:noProof/>
                  <w:color w:val="44546A" w:themeColor="text2"/>
                  <w:sz w:val="16"/>
                  <w:szCs w:val="16"/>
                  <w:lang w:bidi="es-ES"/>
                </w:rPr>
                <w:t>sugefcr@sugef.fi.cr</w:t>
              </w:r>
            </w:sdtContent>
          </w:sdt>
        </w:p>
      </w:tc>
      <w:tc>
        <w:tcPr>
          <w:tcW w:w="2268" w:type="dxa"/>
        </w:tcPr>
        <w:p w14:paraId="58CA08E3" w14:textId="77777777" w:rsidR="00FD2389" w:rsidRPr="00AD6490" w:rsidRDefault="00000000" w:rsidP="00FD2389">
          <w:pPr>
            <w:spacing w:before="0" w:after="0"/>
            <w:jc w:val="center"/>
            <w:rPr>
              <w:rFonts w:ascii="Arial" w:hAnsi="Arial" w:cs="Arial"/>
              <w:noProof/>
              <w:color w:val="44546A" w:themeColor="text2"/>
              <w:sz w:val="16"/>
              <w:szCs w:val="16"/>
              <w:lang w:bidi="es-ES"/>
            </w:rPr>
          </w:pPr>
          <w:sdt>
            <w:sdtPr>
              <w:rPr>
                <w:rFonts w:ascii="Arial" w:hAnsi="Arial" w:cs="Arial"/>
                <w:noProof/>
                <w:color w:val="44546A" w:themeColor="text2"/>
                <w:sz w:val="16"/>
                <w:szCs w:val="16"/>
                <w:lang w:bidi="es-ES"/>
              </w:rPr>
              <w:alias w:val="Telefono"/>
              <w:tag w:val="Telefono"/>
              <w:id w:val="1213232884"/>
              <w:placeholder>
                <w:docPart w:val="A6660D59152849018CECE2841C4246F8"/>
              </w:placeholder>
              <w:temporary/>
              <w:text/>
            </w:sdtPr>
            <w:sdtContent>
              <w:r w:rsidR="00FD2389" w:rsidRPr="00CC2B85">
                <w:rPr>
                  <w:rFonts w:ascii="Arial" w:hAnsi="Arial" w:cs="Arial"/>
                  <w:noProof/>
                  <w:color w:val="44546A" w:themeColor="text2"/>
                  <w:sz w:val="16"/>
                  <w:szCs w:val="16"/>
                  <w:lang w:bidi="es-ES"/>
                </w:rPr>
                <w:t>(506)-2243-4848</w:t>
              </w:r>
            </w:sdtContent>
          </w:sdt>
        </w:p>
      </w:tc>
      <w:tc>
        <w:tcPr>
          <w:tcW w:w="2268" w:type="dxa"/>
        </w:tcPr>
        <w:p w14:paraId="59C3CA33" w14:textId="77777777" w:rsidR="00FD2389" w:rsidRPr="00AD6490" w:rsidRDefault="00000000" w:rsidP="00FD2389">
          <w:pPr>
            <w:spacing w:before="0" w:after="0"/>
            <w:jc w:val="center"/>
            <w:rPr>
              <w:rFonts w:ascii="Arial" w:hAnsi="Arial" w:cs="Arial"/>
              <w:noProof/>
              <w:color w:val="44546A" w:themeColor="text2"/>
              <w:sz w:val="16"/>
              <w:szCs w:val="16"/>
              <w:lang w:bidi="es-ES"/>
            </w:rPr>
          </w:pPr>
          <w:sdt>
            <w:sdtPr>
              <w:rPr>
                <w:rFonts w:ascii="Arial" w:hAnsi="Arial" w:cs="Arial"/>
                <w:noProof/>
                <w:color w:val="44546A" w:themeColor="text2"/>
                <w:sz w:val="16"/>
                <w:szCs w:val="16"/>
                <w:lang w:bidi="es-ES"/>
              </w:rPr>
              <w:alias w:val="PaginaWeb"/>
              <w:tag w:val="PaginaWeb"/>
              <w:id w:val="-1809304808"/>
              <w:placeholder>
                <w:docPart w:val="A6660D59152849018CECE2841C4246F8"/>
              </w:placeholder>
              <w:temporary/>
              <w:text/>
            </w:sdtPr>
            <w:sdtContent>
              <w:r w:rsidR="00FD2389" w:rsidRPr="007041AA">
                <w:rPr>
                  <w:rFonts w:ascii="Arial" w:hAnsi="Arial" w:cs="Arial"/>
                  <w:noProof/>
                  <w:color w:val="44546A" w:themeColor="text2"/>
                  <w:sz w:val="16"/>
                  <w:szCs w:val="16"/>
                  <w:lang w:bidi="es-ES"/>
                </w:rPr>
                <w:t>https://www.sugef.fi.cr</w:t>
              </w:r>
            </w:sdtContent>
          </w:sdt>
        </w:p>
      </w:tc>
      <w:tc>
        <w:tcPr>
          <w:tcW w:w="3969" w:type="dxa"/>
        </w:tcPr>
        <w:p w14:paraId="4730E948" w14:textId="77777777" w:rsidR="00FD2389" w:rsidRPr="00AD6490" w:rsidRDefault="00000000" w:rsidP="00FD2389">
          <w:pPr>
            <w:spacing w:before="0" w:after="0"/>
            <w:jc w:val="center"/>
            <w:rPr>
              <w:rFonts w:ascii="Arial" w:hAnsi="Arial" w:cs="Arial"/>
              <w:noProof/>
              <w:color w:val="44546A" w:themeColor="text2"/>
              <w:sz w:val="16"/>
              <w:szCs w:val="16"/>
              <w:lang w:bidi="es-ES"/>
            </w:rPr>
          </w:pPr>
          <w:sdt>
            <w:sdtPr>
              <w:rPr>
                <w:rFonts w:ascii="Arial" w:hAnsi="Arial" w:cs="Arial"/>
                <w:noProof/>
                <w:color w:val="44546A" w:themeColor="text2"/>
                <w:sz w:val="16"/>
                <w:szCs w:val="16"/>
                <w:lang w:bidi="es-ES"/>
              </w:rPr>
              <w:alias w:val="Direccion"/>
              <w:tag w:val="Direccion"/>
              <w:id w:val="2016960150"/>
              <w:placeholder>
                <w:docPart w:val="A6660D59152849018CECE2841C4246F8"/>
              </w:placeholder>
              <w:temporary/>
              <w:text w:multiLine="1"/>
            </w:sdtPr>
            <w:sdtContent>
              <w:r w:rsidR="00FD2389" w:rsidRPr="005C74D3">
                <w:rPr>
                  <w:rFonts w:ascii="Arial" w:hAnsi="Arial" w:cs="Arial"/>
                  <w:noProof/>
                  <w:color w:val="44546A" w:themeColor="text2"/>
                  <w:sz w:val="16"/>
                  <w:szCs w:val="16"/>
                  <w:lang w:bidi="es-ES"/>
                </w:rPr>
                <w:t>Av. 13 y 17, calle 3a, Barrio Tournón, San José</w:t>
              </w:r>
            </w:sdtContent>
          </w:sdt>
        </w:p>
      </w:tc>
    </w:tr>
    <w:tr w:rsidR="00FD2389" w:rsidRPr="003A12C6" w14:paraId="0560A3CF" w14:textId="77777777" w:rsidTr="008D55B6">
      <w:trPr>
        <w:gridBefore w:val="1"/>
        <w:wBefore w:w="204" w:type="dxa"/>
        <w:trHeight w:val="444"/>
        <w:jc w:val="center"/>
      </w:trPr>
      <w:tc>
        <w:tcPr>
          <w:tcW w:w="1923" w:type="dxa"/>
          <w:vAlign w:val="center"/>
        </w:tcPr>
        <w:p w14:paraId="4FB755AB" w14:textId="77777777" w:rsidR="00FD2389" w:rsidRPr="002C5114" w:rsidRDefault="00FD2389" w:rsidP="00FD2389">
          <w:pPr>
            <w:spacing w:before="0" w:after="0"/>
            <w:jc w:val="left"/>
            <w:rPr>
              <w:noProof/>
            </w:rPr>
          </w:pPr>
        </w:p>
      </w:tc>
      <w:tc>
        <w:tcPr>
          <w:tcW w:w="2268" w:type="dxa"/>
          <w:vAlign w:val="center"/>
        </w:tcPr>
        <w:p w14:paraId="475E5591" w14:textId="77777777" w:rsidR="00FD2389" w:rsidRPr="0001267A" w:rsidRDefault="00FD2389" w:rsidP="00FD2389">
          <w:pPr>
            <w:spacing w:before="0" w:after="0"/>
            <w:jc w:val="left"/>
            <w:rPr>
              <w:noProof/>
            </w:rPr>
          </w:pPr>
        </w:p>
      </w:tc>
      <w:tc>
        <w:tcPr>
          <w:tcW w:w="2268" w:type="dxa"/>
          <w:vAlign w:val="center"/>
        </w:tcPr>
        <w:p w14:paraId="09056A5B" w14:textId="77777777" w:rsidR="00FD2389" w:rsidRPr="00A820E1" w:rsidRDefault="00FD2389" w:rsidP="00FD2389">
          <w:pPr>
            <w:spacing w:before="0" w:after="0"/>
            <w:jc w:val="left"/>
            <w:rPr>
              <w:rFonts w:ascii="Arial" w:hAnsi="Arial" w:cs="Arial"/>
              <w:b/>
              <w:bCs/>
              <w:noProof/>
              <w:color w:val="44546A" w:themeColor="text2"/>
              <w:sz w:val="16"/>
              <w:szCs w:val="16"/>
              <w:lang w:bidi="es-ES"/>
            </w:rPr>
          </w:pPr>
        </w:p>
      </w:tc>
      <w:sdt>
        <w:sdtPr>
          <w:rPr>
            <w:rFonts w:ascii="Arial" w:hAnsi="Arial" w:cs="Arial"/>
            <w:b/>
            <w:bCs/>
            <w:color w:val="44546A" w:themeColor="text2"/>
            <w:sz w:val="16"/>
            <w:szCs w:val="16"/>
            <w:lang w:bidi="es-ES"/>
          </w:rPr>
          <w:alias w:val="Consecutivo"/>
          <w:tag w:val="Consecutivo"/>
          <w:id w:val="-1332674139"/>
          <w:placeholder>
            <w:docPart w:val="A6660D59152849018CECE2841C4246F8"/>
          </w:placeholder>
          <w:temporary/>
          <w:text/>
        </w:sdtPr>
        <w:sdtContent>
          <w:tc>
            <w:tcPr>
              <w:tcW w:w="3969" w:type="dxa"/>
            </w:tcPr>
            <w:p w14:paraId="2FCDCDE5" w14:textId="77777777" w:rsidR="00FD2389" w:rsidRPr="00597860" w:rsidRDefault="00FD2389" w:rsidP="00FD2389">
              <w:pPr>
                <w:spacing w:before="0" w:after="0"/>
                <w:jc w:val="right"/>
                <w:rPr>
                  <w:rFonts w:ascii="Arial" w:hAnsi="Arial" w:cs="Arial"/>
                  <w:b/>
                  <w:bCs/>
                  <w:color w:val="44546A" w:themeColor="text2"/>
                  <w:sz w:val="16"/>
                  <w:szCs w:val="16"/>
                  <w:lang w:bidi="es-ES"/>
                </w:rPr>
              </w:pPr>
              <w:r>
                <w:rPr>
                  <w:rFonts w:ascii="Arial" w:hAnsi="Arial" w:cs="Arial"/>
                  <w:b/>
                  <w:bCs/>
                  <w:color w:val="44546A" w:themeColor="text2"/>
                  <w:sz w:val="16"/>
                  <w:szCs w:val="16"/>
                  <w:lang w:bidi="es-ES"/>
                </w:rPr>
                <w:t>SGF-RES-0017-2026</w:t>
              </w:r>
            </w:p>
          </w:tc>
        </w:sdtContent>
      </w:sdt>
    </w:tr>
  </w:tbl>
  <w:p w14:paraId="6778F8F7" w14:textId="77777777" w:rsidR="00BA0B9B" w:rsidRPr="00121E48" w:rsidRDefault="00121E48" w:rsidP="00121E48">
    <w:pPr>
      <w:pStyle w:val="Piedepgina"/>
      <w:spacing w:before="0" w:after="0"/>
    </w:pPr>
    <w:r>
      <w:rPr>
        <w:rFonts w:ascii="Roboto" w:hAnsi="Roboto"/>
        <w:noProof/>
        <w:sz w:val="24"/>
      </w:rPr>
      <w:drawing>
        <wp:anchor distT="0" distB="0" distL="114300" distR="114300" simplePos="0" relativeHeight="251658246" behindDoc="1" locked="0" layoutInCell="1" allowOverlap="1" wp14:anchorId="07CA1A47" wp14:editId="6F5ED28F">
          <wp:simplePos x="0" y="0"/>
          <wp:positionH relativeFrom="page">
            <wp:align>right</wp:align>
          </wp:positionH>
          <wp:positionV relativeFrom="page">
            <wp:align>bottom</wp:align>
          </wp:positionV>
          <wp:extent cx="7761600" cy="198000"/>
          <wp:effectExtent l="0" t="0" r="0" b="0"/>
          <wp:wrapTight wrapText="bothSides">
            <wp:wrapPolygon edited="0">
              <wp:start x="0" y="0"/>
              <wp:lineTo x="0" y="18752"/>
              <wp:lineTo x="21473" y="18752"/>
              <wp:lineTo x="21473" y="0"/>
              <wp:lineTo x="0" y="0"/>
            </wp:wrapPolygon>
          </wp:wrapTight>
          <wp:docPr id="1043932530" name="Imagen 2" descr="Forma, Rectángul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374218" name="Imagen 2" descr="Forma, Rectángulo&#10;&#10;El contenido generado por IA puede ser incorrecto."/>
                  <pic:cNvPicPr/>
                </pic:nvPicPr>
                <pic:blipFill>
                  <a:blip r:embed="rId9">
                    <a:extLst>
                      <a:ext uri="{28A0092B-C50C-407E-A947-70E740481C1C}">
                        <a14:useLocalDpi xmlns:a14="http://schemas.microsoft.com/office/drawing/2010/main" val="0"/>
                      </a:ext>
                    </a:extLst>
                  </a:blip>
                  <a:stretch>
                    <a:fillRect/>
                  </a:stretch>
                </pic:blipFill>
                <pic:spPr>
                  <a:xfrm>
                    <a:off x="0" y="0"/>
                    <a:ext cx="7761600" cy="198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32" w:type="dxa"/>
      <w:jc w:val="center"/>
      <w:tblLook w:val="04A0" w:firstRow="1" w:lastRow="0" w:firstColumn="1" w:lastColumn="0" w:noHBand="0" w:noVBand="1"/>
    </w:tblPr>
    <w:tblGrid>
      <w:gridCol w:w="205"/>
      <w:gridCol w:w="1922"/>
      <w:gridCol w:w="2268"/>
      <w:gridCol w:w="2268"/>
      <w:gridCol w:w="3969"/>
    </w:tblGrid>
    <w:tr w:rsidR="00121E48" w:rsidRPr="003A12C6" w14:paraId="7B049AEF" w14:textId="77777777" w:rsidTr="005110E8">
      <w:trPr>
        <w:trHeight w:val="412"/>
        <w:jc w:val="center"/>
      </w:trPr>
      <w:tc>
        <w:tcPr>
          <w:tcW w:w="2127" w:type="dxa"/>
          <w:gridSpan w:val="2"/>
          <w:vAlign w:val="center"/>
        </w:tcPr>
        <w:p w14:paraId="7C86E7B0" w14:textId="77777777" w:rsidR="00121E48" w:rsidRPr="00764B98" w:rsidRDefault="00121E48" w:rsidP="00121E48">
          <w:pPr>
            <w:spacing w:before="0" w:after="0"/>
            <w:jc w:val="center"/>
            <w:rPr>
              <w:rFonts w:ascii="Arial" w:hAnsi="Arial" w:cs="Arial"/>
              <w:noProof/>
              <w:color w:val="262626" w:themeColor="text1" w:themeTint="D9"/>
              <w:sz w:val="16"/>
              <w:szCs w:val="16"/>
            </w:rPr>
          </w:pPr>
          <w:r w:rsidRPr="00764B98">
            <w:rPr>
              <w:rFonts w:ascii="Arial" w:hAnsi="Arial" w:cs="Arial"/>
              <w:color w:val="0D0D0D" w:themeColor="text1" w:themeTint="F2"/>
              <w:sz w:val="16"/>
              <w:szCs w:val="16"/>
            </w:rPr>
            <w:t xml:space="preserve">Página </w:t>
          </w:r>
          <w:r w:rsidRPr="00764B98">
            <w:rPr>
              <w:rFonts w:ascii="Arial" w:hAnsi="Arial" w:cs="Arial"/>
              <w:b/>
              <w:bCs/>
              <w:color w:val="0D0D0D" w:themeColor="text1" w:themeTint="F2"/>
              <w:sz w:val="16"/>
              <w:szCs w:val="16"/>
            </w:rPr>
            <w:fldChar w:fldCharType="begin"/>
          </w:r>
          <w:r w:rsidRPr="00764B98">
            <w:rPr>
              <w:rFonts w:ascii="Arial" w:hAnsi="Arial" w:cs="Arial"/>
              <w:b/>
              <w:bCs/>
              <w:color w:val="0D0D0D" w:themeColor="text1" w:themeTint="F2"/>
              <w:sz w:val="16"/>
              <w:szCs w:val="16"/>
            </w:rPr>
            <w:instrText>PAGE  \* Arabic  \* MERGEFORMAT</w:instrText>
          </w:r>
          <w:r w:rsidRPr="00764B98">
            <w:rPr>
              <w:rFonts w:ascii="Arial" w:hAnsi="Arial" w:cs="Arial"/>
              <w:b/>
              <w:bCs/>
              <w:color w:val="0D0D0D" w:themeColor="text1" w:themeTint="F2"/>
              <w:sz w:val="16"/>
              <w:szCs w:val="16"/>
            </w:rPr>
            <w:fldChar w:fldCharType="separate"/>
          </w:r>
          <w:r w:rsidRPr="00764B98">
            <w:rPr>
              <w:rFonts w:ascii="Arial" w:hAnsi="Arial" w:cs="Arial"/>
              <w:b/>
              <w:bCs/>
              <w:color w:val="0D0D0D" w:themeColor="text1" w:themeTint="F2"/>
              <w:sz w:val="16"/>
              <w:szCs w:val="16"/>
            </w:rPr>
            <w:t>1</w:t>
          </w:r>
          <w:r w:rsidRPr="00764B98">
            <w:rPr>
              <w:rFonts w:ascii="Arial" w:hAnsi="Arial" w:cs="Arial"/>
              <w:b/>
              <w:bCs/>
              <w:color w:val="0D0D0D" w:themeColor="text1" w:themeTint="F2"/>
              <w:sz w:val="16"/>
              <w:szCs w:val="16"/>
            </w:rPr>
            <w:fldChar w:fldCharType="end"/>
          </w:r>
          <w:r w:rsidRPr="00764B98">
            <w:rPr>
              <w:rFonts w:ascii="Arial" w:hAnsi="Arial" w:cs="Arial"/>
              <w:color w:val="0D0D0D" w:themeColor="text1" w:themeTint="F2"/>
              <w:sz w:val="16"/>
              <w:szCs w:val="16"/>
            </w:rPr>
            <w:t xml:space="preserve"> de </w:t>
          </w:r>
          <w:r w:rsidRPr="00764B98">
            <w:rPr>
              <w:rFonts w:ascii="Arial" w:hAnsi="Arial" w:cs="Arial"/>
              <w:b/>
              <w:bCs/>
              <w:color w:val="0D0D0D" w:themeColor="text1" w:themeTint="F2"/>
              <w:sz w:val="16"/>
              <w:szCs w:val="16"/>
            </w:rPr>
            <w:fldChar w:fldCharType="begin"/>
          </w:r>
          <w:r w:rsidRPr="00764B98">
            <w:rPr>
              <w:rFonts w:ascii="Arial" w:hAnsi="Arial" w:cs="Arial"/>
              <w:b/>
              <w:bCs/>
              <w:color w:val="0D0D0D" w:themeColor="text1" w:themeTint="F2"/>
              <w:sz w:val="16"/>
              <w:szCs w:val="16"/>
            </w:rPr>
            <w:instrText>NUMPAGES  \* Arabic  \* MERGEFORMAT</w:instrText>
          </w:r>
          <w:r w:rsidRPr="00764B98">
            <w:rPr>
              <w:rFonts w:ascii="Arial" w:hAnsi="Arial" w:cs="Arial"/>
              <w:b/>
              <w:bCs/>
              <w:color w:val="0D0D0D" w:themeColor="text1" w:themeTint="F2"/>
              <w:sz w:val="16"/>
              <w:szCs w:val="16"/>
            </w:rPr>
            <w:fldChar w:fldCharType="separate"/>
          </w:r>
          <w:r w:rsidRPr="00764B98">
            <w:rPr>
              <w:rFonts w:ascii="Arial" w:hAnsi="Arial" w:cs="Arial"/>
              <w:b/>
              <w:bCs/>
              <w:color w:val="0D0D0D" w:themeColor="text1" w:themeTint="F2"/>
              <w:sz w:val="16"/>
              <w:szCs w:val="16"/>
            </w:rPr>
            <w:t>2</w:t>
          </w:r>
          <w:r w:rsidRPr="00764B98">
            <w:rPr>
              <w:rFonts w:ascii="Arial" w:hAnsi="Arial" w:cs="Arial"/>
              <w:b/>
              <w:bCs/>
              <w:color w:val="0D0D0D" w:themeColor="text1" w:themeTint="F2"/>
              <w:sz w:val="16"/>
              <w:szCs w:val="16"/>
            </w:rPr>
            <w:fldChar w:fldCharType="end"/>
          </w:r>
        </w:p>
      </w:tc>
      <w:tc>
        <w:tcPr>
          <w:tcW w:w="2268" w:type="dxa"/>
          <w:vAlign w:val="center"/>
        </w:tcPr>
        <w:p w14:paraId="5E734C90" w14:textId="77777777" w:rsidR="00121E48" w:rsidRPr="00CF477D" w:rsidRDefault="00121E48" w:rsidP="00121E48">
          <w:pPr>
            <w:spacing w:before="0" w:after="0"/>
            <w:jc w:val="center"/>
            <w:rPr>
              <w:rFonts w:ascii="Arial" w:hAnsi="Arial" w:cs="Arial"/>
              <w:noProof/>
              <w:color w:val="262626" w:themeColor="text1" w:themeTint="D9"/>
              <w:szCs w:val="22"/>
            </w:rPr>
          </w:pPr>
        </w:p>
      </w:tc>
      <w:tc>
        <w:tcPr>
          <w:tcW w:w="2268" w:type="dxa"/>
          <w:vAlign w:val="center"/>
        </w:tcPr>
        <w:p w14:paraId="084D1372" w14:textId="77777777" w:rsidR="00121E48" w:rsidRPr="00CF477D" w:rsidRDefault="00121E48" w:rsidP="00121E48">
          <w:pPr>
            <w:spacing w:before="0" w:after="0"/>
            <w:jc w:val="center"/>
            <w:rPr>
              <w:rFonts w:ascii="Arial" w:hAnsi="Arial" w:cs="Arial"/>
              <w:noProof/>
              <w:color w:val="262626" w:themeColor="text1" w:themeTint="D9"/>
              <w:szCs w:val="22"/>
            </w:rPr>
          </w:pPr>
        </w:p>
      </w:tc>
      <w:tc>
        <w:tcPr>
          <w:tcW w:w="3969" w:type="dxa"/>
          <w:vAlign w:val="center"/>
        </w:tcPr>
        <w:p w14:paraId="0FEFBBCF" w14:textId="77777777" w:rsidR="00121E48" w:rsidRPr="00CF477D" w:rsidRDefault="00000000" w:rsidP="00121E48">
          <w:pPr>
            <w:spacing w:before="0" w:after="0"/>
            <w:jc w:val="center"/>
            <w:rPr>
              <w:rFonts w:ascii="Arial" w:hAnsi="Arial" w:cs="Arial"/>
              <w:noProof/>
              <w:color w:val="262626" w:themeColor="text1" w:themeTint="D9"/>
              <w:szCs w:val="22"/>
            </w:rPr>
          </w:pPr>
          <w:sdt>
            <w:sdtPr>
              <w:rPr>
                <w:rFonts w:ascii="Arial" w:hAnsi="Arial" w:cs="Arial"/>
                <w:color w:val="0D0D0D" w:themeColor="text1" w:themeTint="F2"/>
                <w:sz w:val="16"/>
                <w:szCs w:val="16"/>
              </w:rPr>
              <w:alias w:val="Confidencialidad"/>
              <w:tag w:val="Confidencialidad"/>
              <w:id w:val="208307041"/>
              <w:placeholder>
                <w:docPart w:val="A80EEA89FC1D4759A5F2AF3C7D9788CF"/>
              </w:placeholder>
              <w:temporary/>
              <w15:color w:val="808080"/>
              <w:dropDownList>
                <w:listItem w:value="Elija nivel de confidencialidad"/>
                <w:listItem w:displayText="PUBLICO" w:value="PUBLICO"/>
                <w:listItem w:displayText="USO INTERNO" w:value="USO INTERNO"/>
                <w:listItem w:displayText="PROPIETARIO" w:value="PROPIETARIO"/>
                <w:listItem w:displayText="CONFIDENCIAL" w:value="CONFIDENCIAL"/>
                <w:listItem w:displayText="MAXIMA SEGURIDAD" w:value="MAXIMA SEGURIDAD"/>
              </w:dropDownList>
            </w:sdtPr>
            <w:sdtContent>
              <w:r w:rsidR="00121E48" w:rsidRPr="00764B98">
                <w:rPr>
                  <w:rFonts w:ascii="Arial" w:hAnsi="Arial" w:cs="Arial"/>
                  <w:color w:val="0D0D0D" w:themeColor="text1" w:themeTint="F2"/>
                  <w:sz w:val="16"/>
                  <w:szCs w:val="16"/>
                </w:rPr>
                <w:t>Público</w:t>
              </w:r>
            </w:sdtContent>
          </w:sdt>
        </w:p>
      </w:tc>
    </w:tr>
    <w:tr w:rsidR="00121E48" w:rsidRPr="003A12C6" w14:paraId="1C979B4C" w14:textId="77777777" w:rsidTr="00FD2389">
      <w:trPr>
        <w:trHeight w:val="412"/>
        <w:jc w:val="center"/>
      </w:trPr>
      <w:tc>
        <w:tcPr>
          <w:tcW w:w="10632" w:type="dxa"/>
          <w:gridSpan w:val="5"/>
          <w:vAlign w:val="center"/>
        </w:tcPr>
        <w:p w14:paraId="7AB8BF80" w14:textId="77777777" w:rsidR="00121E48" w:rsidRPr="00E829C8" w:rsidRDefault="00121E48" w:rsidP="00121E48">
          <w:pPr>
            <w:spacing w:before="0" w:after="0"/>
            <w:jc w:val="center"/>
            <w:rPr>
              <w:rFonts w:ascii="Arial" w:hAnsi="Arial" w:cs="Arial"/>
              <w:color w:val="44546A" w:themeColor="text2"/>
              <w:sz w:val="16"/>
              <w:szCs w:val="16"/>
              <w:lang w:bidi="es-ES"/>
            </w:rPr>
          </w:pPr>
          <w:r>
            <w:rPr>
              <w:noProof/>
            </w:rPr>
            <mc:AlternateContent>
              <mc:Choice Requires="wps">
                <w:drawing>
                  <wp:anchor distT="0" distB="0" distL="114300" distR="114300" simplePos="0" relativeHeight="251658243" behindDoc="0" locked="0" layoutInCell="1" allowOverlap="1" wp14:anchorId="29C611FE" wp14:editId="2EACF8AF">
                    <wp:simplePos x="0" y="0"/>
                    <wp:positionH relativeFrom="column">
                      <wp:posOffset>10160</wp:posOffset>
                    </wp:positionH>
                    <wp:positionV relativeFrom="paragraph">
                      <wp:posOffset>109855</wp:posOffset>
                    </wp:positionV>
                    <wp:extent cx="6610350" cy="45085"/>
                    <wp:effectExtent l="0" t="0" r="0" b="0"/>
                    <wp:wrapNone/>
                    <wp:docPr id="493583711" name="Shape 109"/>
                    <wp:cNvGraphicFramePr/>
                    <a:graphic xmlns:a="http://schemas.openxmlformats.org/drawingml/2006/main">
                      <a:graphicData uri="http://schemas.microsoft.com/office/word/2010/wordprocessingShape">
                        <wps:wsp>
                          <wps:cNvSpPr/>
                          <wps:spPr>
                            <a:xfrm>
                              <a:off x="0" y="0"/>
                              <a:ext cx="6610350" cy="45085"/>
                            </a:xfrm>
                            <a:custGeom>
                              <a:avLst/>
                              <a:gdLst/>
                              <a:ahLst/>
                              <a:cxnLst/>
                              <a:rect l="0" t="0" r="0" b="0"/>
                              <a:pathLst>
                                <a:path w="6102972">
                                  <a:moveTo>
                                    <a:pt x="0" y="0"/>
                                  </a:moveTo>
                                  <a:lnTo>
                                    <a:pt x="6102972" y="0"/>
                                  </a:lnTo>
                                </a:path>
                              </a:pathLst>
                            </a:custGeom>
                            <a:ln w="6350" cap="flat">
                              <a:miter lim="127000"/>
                            </a:ln>
                          </wps:spPr>
                          <wps:style>
                            <a:lnRef idx="1">
                              <a:srgbClr val="0F395D"/>
                            </a:lnRef>
                            <a:fillRef idx="0">
                              <a:srgbClr val="000000">
                                <a:alpha val="0"/>
                              </a:srgbClr>
                            </a:fillRef>
                            <a:effectRef idx="0">
                              <a:scrgbClr r="0" g="0" b="0"/>
                            </a:effectRef>
                            <a:fontRef idx="none"/>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svg="http://schemas.microsoft.com/office/drawing/2016/SVG/main" xmlns:a14="http://schemas.microsoft.com/office/drawing/2010/main">
                <w:pict>
                  <v:shape id="Shape 109" style="position:absolute;margin-left:.8pt;margin-top:8.65pt;width:520.5pt;height:3.55pt;z-index:2516725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6102972,45085" o:spid="_x0000_s1026" filled="f" strokecolor="#0f395d" strokeweight=".5pt" path="m,l610297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" w14:anchorId="7AF919A5">
                    <v:stroke miterlimit="83231f" joinstyle="miter"/>
                    <v:path textboxrect="0,0,6102972,45085" arrowok="t"/>
                  </v:shape>
                </w:pict>
              </mc:Fallback>
            </mc:AlternateContent>
          </w:r>
        </w:p>
      </w:tc>
    </w:tr>
    <w:tr w:rsidR="00FD2389" w:rsidRPr="003A12C6" w14:paraId="775527D1" w14:textId="77777777" w:rsidTr="008D55B6">
      <w:trPr>
        <w:gridBefore w:val="1"/>
        <w:wBefore w:w="205" w:type="dxa"/>
        <w:trHeight w:val="567"/>
        <w:jc w:val="center"/>
      </w:trPr>
      <w:tc>
        <w:tcPr>
          <w:tcW w:w="1922" w:type="dxa"/>
          <w:vAlign w:val="center"/>
        </w:tcPr>
        <w:p w14:paraId="7F2D6795" w14:textId="77777777" w:rsidR="00FD2389" w:rsidRDefault="00FD2389" w:rsidP="00FD2389">
          <w:pPr>
            <w:spacing w:before="0" w:after="0"/>
            <w:jc w:val="center"/>
            <w:rPr>
              <w:rFonts w:ascii="Arial" w:hAnsi="Arial" w:cs="Arial"/>
              <w:noProof/>
              <w:color w:val="44546A" w:themeColor="text2"/>
              <w:sz w:val="16"/>
              <w:szCs w:val="16"/>
              <w:lang w:bidi="es-ES"/>
            </w:rPr>
          </w:pPr>
          <w:r>
            <w:rPr>
              <w:rFonts w:ascii="Arial" w:hAnsi="Arial" w:cs="Arial"/>
              <w:noProof/>
              <w:color w:val="44546A" w:themeColor="text2"/>
              <w:sz w:val="16"/>
              <w:szCs w:val="16"/>
              <w:lang w:bidi="es-ES"/>
            </w:rPr>
            <w:drawing>
              <wp:anchor distT="0" distB="0" distL="114300" distR="114300" simplePos="0" relativeHeight="251658247" behindDoc="1" locked="0" layoutInCell="1" allowOverlap="1" wp14:anchorId="7BEA5DA2" wp14:editId="0FDA9339">
                <wp:simplePos x="0" y="0"/>
                <wp:positionH relativeFrom="column">
                  <wp:posOffset>500380</wp:posOffset>
                </wp:positionH>
                <wp:positionV relativeFrom="paragraph">
                  <wp:posOffset>68580</wp:posOffset>
                </wp:positionV>
                <wp:extent cx="284400" cy="255600"/>
                <wp:effectExtent l="0" t="0" r="1905" b="0"/>
                <wp:wrapTight wrapText="bothSides">
                  <wp:wrapPolygon edited="0">
                    <wp:start x="5799" y="0"/>
                    <wp:lineTo x="0" y="3224"/>
                    <wp:lineTo x="0" y="12896"/>
                    <wp:lineTo x="1450" y="19343"/>
                    <wp:lineTo x="17396" y="19343"/>
                    <wp:lineTo x="20295" y="11284"/>
                    <wp:lineTo x="20295" y="3224"/>
                    <wp:lineTo x="14497" y="0"/>
                    <wp:lineTo x="5799" y="0"/>
                  </wp:wrapPolygon>
                </wp:wrapTight>
                <wp:docPr id="892829378" name="Gráfico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3557320" name="Gráfico 1113557320"/>
                        <pic:cNvPicPr/>
                      </pic:nvPicPr>
                      <pic:blipFill>
                        <a:blip r:embed="rId1">
                          <a:extLst>
                            <a:ext uri="{96DAC541-7B7A-43D3-8B79-37D633B846F1}">
                              <asvg:svgBlip xmlns:asvg="http://schemas.microsoft.com/office/drawing/2016/SVG/main" r:embed="rId2"/>
                            </a:ext>
                          </a:extLst>
                        </a:blip>
                        <a:stretch>
                          <a:fillRect/>
                        </a:stretch>
                      </pic:blipFill>
                      <pic:spPr>
                        <a:xfrm>
                          <a:off x="0" y="0"/>
                          <a:ext cx="284400" cy="255600"/>
                        </a:xfrm>
                        <a:prstGeom prst="rect">
                          <a:avLst/>
                        </a:prstGeom>
                      </pic:spPr>
                    </pic:pic>
                  </a:graphicData>
                </a:graphic>
                <wp14:sizeRelH relativeFrom="margin">
                  <wp14:pctWidth>0</wp14:pctWidth>
                </wp14:sizeRelH>
                <wp14:sizeRelV relativeFrom="margin">
                  <wp14:pctHeight>0</wp14:pctHeight>
                </wp14:sizeRelV>
              </wp:anchor>
            </w:drawing>
          </w:r>
        </w:p>
      </w:tc>
      <w:tc>
        <w:tcPr>
          <w:tcW w:w="2268" w:type="dxa"/>
          <w:vAlign w:val="center"/>
        </w:tcPr>
        <w:p w14:paraId="0BEBA915" w14:textId="77777777" w:rsidR="00FD2389" w:rsidRPr="00AD6490" w:rsidRDefault="00FD2389" w:rsidP="00FD2389">
          <w:pPr>
            <w:spacing w:before="0" w:after="0"/>
            <w:jc w:val="center"/>
            <w:rPr>
              <w:rFonts w:ascii="Arial" w:hAnsi="Arial" w:cs="Arial"/>
              <w:noProof/>
              <w:color w:val="44546A" w:themeColor="text2"/>
              <w:sz w:val="16"/>
              <w:szCs w:val="16"/>
              <w:lang w:bidi="es-ES"/>
            </w:rPr>
          </w:pPr>
          <w:r w:rsidRPr="00AD6490">
            <w:rPr>
              <w:rFonts w:ascii="Arial" w:hAnsi="Arial" w:cs="Arial"/>
              <w:noProof/>
              <w:color w:val="44546A" w:themeColor="text2"/>
              <w:sz w:val="16"/>
              <w:szCs w:val="16"/>
              <w:lang w:bidi="es-ES"/>
            </w:rPr>
            <w:drawing>
              <wp:anchor distT="0" distB="0" distL="114300" distR="114300" simplePos="0" relativeHeight="251658249" behindDoc="1" locked="0" layoutInCell="1" allowOverlap="1" wp14:anchorId="54C772C7" wp14:editId="7C7AD8C2">
                <wp:simplePos x="0" y="0"/>
                <wp:positionH relativeFrom="column">
                  <wp:posOffset>528955</wp:posOffset>
                </wp:positionH>
                <wp:positionV relativeFrom="paragraph">
                  <wp:posOffset>68580</wp:posOffset>
                </wp:positionV>
                <wp:extent cx="284400" cy="255600"/>
                <wp:effectExtent l="0" t="0" r="1905" b="0"/>
                <wp:wrapTight wrapText="bothSides">
                  <wp:wrapPolygon edited="0">
                    <wp:start x="2899" y="0"/>
                    <wp:lineTo x="0" y="4836"/>
                    <wp:lineTo x="0" y="17731"/>
                    <wp:lineTo x="5799" y="19343"/>
                    <wp:lineTo x="14497" y="19343"/>
                    <wp:lineTo x="20295" y="17731"/>
                    <wp:lineTo x="20295" y="4836"/>
                    <wp:lineTo x="17396" y="0"/>
                    <wp:lineTo x="2899" y="0"/>
                  </wp:wrapPolygon>
                </wp:wrapTight>
                <wp:docPr id="58576244" name="Gráfico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4372963" name="Gráfico 354372963"/>
                        <pic:cNvPicPr/>
                      </pic:nvPicPr>
                      <pic:blipFill>
                        <a:blip r:embed="rId3">
                          <a:extLst>
                            <a:ext uri="{96DAC541-7B7A-43D3-8B79-37D633B846F1}">
                              <asvg:svgBlip xmlns:asvg="http://schemas.microsoft.com/office/drawing/2016/SVG/main" r:embed="rId4"/>
                            </a:ext>
                          </a:extLst>
                        </a:blip>
                        <a:stretch>
                          <a:fillRect/>
                        </a:stretch>
                      </pic:blipFill>
                      <pic:spPr>
                        <a:xfrm>
                          <a:off x="0" y="0"/>
                          <a:ext cx="284400" cy="255600"/>
                        </a:xfrm>
                        <a:prstGeom prst="rect">
                          <a:avLst/>
                        </a:prstGeom>
                      </pic:spPr>
                    </pic:pic>
                  </a:graphicData>
                </a:graphic>
                <wp14:sizeRelH relativeFrom="margin">
                  <wp14:pctWidth>0</wp14:pctWidth>
                </wp14:sizeRelH>
                <wp14:sizeRelV relativeFrom="margin">
                  <wp14:pctHeight>0</wp14:pctHeight>
                </wp14:sizeRelV>
              </wp:anchor>
            </w:drawing>
          </w:r>
        </w:p>
      </w:tc>
      <w:tc>
        <w:tcPr>
          <w:tcW w:w="2268" w:type="dxa"/>
          <w:vAlign w:val="center"/>
        </w:tcPr>
        <w:p w14:paraId="6AC2381C" w14:textId="77777777" w:rsidR="00FD2389" w:rsidRPr="00AD6490" w:rsidRDefault="00FD2389" w:rsidP="00FD2389">
          <w:pPr>
            <w:spacing w:before="0" w:after="0"/>
            <w:jc w:val="center"/>
            <w:rPr>
              <w:rFonts w:ascii="Arial" w:hAnsi="Arial" w:cs="Arial"/>
              <w:noProof/>
              <w:color w:val="44546A" w:themeColor="text2"/>
              <w:sz w:val="16"/>
              <w:szCs w:val="16"/>
              <w:lang w:bidi="es-ES"/>
            </w:rPr>
          </w:pPr>
          <w:r w:rsidRPr="00AD6490">
            <w:rPr>
              <w:rFonts w:ascii="Arial" w:hAnsi="Arial" w:cs="Arial"/>
              <w:noProof/>
              <w:color w:val="44546A" w:themeColor="text2"/>
              <w:sz w:val="16"/>
              <w:szCs w:val="16"/>
              <w:lang w:bidi="es-ES"/>
            </w:rPr>
            <w:drawing>
              <wp:anchor distT="0" distB="0" distL="114300" distR="114300" simplePos="0" relativeHeight="251658248" behindDoc="1" locked="0" layoutInCell="1" allowOverlap="1" wp14:anchorId="0BDE1714" wp14:editId="664B9408">
                <wp:simplePos x="0" y="0"/>
                <wp:positionH relativeFrom="column">
                  <wp:posOffset>489585</wp:posOffset>
                </wp:positionH>
                <wp:positionV relativeFrom="paragraph">
                  <wp:posOffset>68580</wp:posOffset>
                </wp:positionV>
                <wp:extent cx="284400" cy="255600"/>
                <wp:effectExtent l="0" t="0" r="1905" b="0"/>
                <wp:wrapTight wrapText="bothSides">
                  <wp:wrapPolygon edited="0">
                    <wp:start x="2899" y="0"/>
                    <wp:lineTo x="0" y="4836"/>
                    <wp:lineTo x="0" y="17731"/>
                    <wp:lineTo x="5799" y="19343"/>
                    <wp:lineTo x="14497" y="19343"/>
                    <wp:lineTo x="20295" y="17731"/>
                    <wp:lineTo x="20295" y="4836"/>
                    <wp:lineTo x="17396" y="0"/>
                    <wp:lineTo x="2899" y="0"/>
                  </wp:wrapPolygon>
                </wp:wrapTight>
                <wp:docPr id="1967462975" name="Gráfico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4158457" name=""/>
                        <pic:cNvPicPr/>
                      </pic:nvPicPr>
                      <pic:blipFill>
                        <a:blip r:embed="rId5">
                          <a:extLst>
                            <a:ext uri="{96DAC541-7B7A-43D3-8B79-37D633B846F1}">
                              <asvg:svgBlip xmlns:asvg="http://schemas.microsoft.com/office/drawing/2016/SVG/main" r:embed="rId6"/>
                            </a:ext>
                          </a:extLst>
                        </a:blip>
                        <a:stretch>
                          <a:fillRect/>
                        </a:stretch>
                      </pic:blipFill>
                      <pic:spPr>
                        <a:xfrm>
                          <a:off x="0" y="0"/>
                          <a:ext cx="284400" cy="255600"/>
                        </a:xfrm>
                        <a:prstGeom prst="rect">
                          <a:avLst/>
                        </a:prstGeom>
                      </pic:spPr>
                    </pic:pic>
                  </a:graphicData>
                </a:graphic>
                <wp14:sizeRelH relativeFrom="margin">
                  <wp14:pctWidth>0</wp14:pctWidth>
                </wp14:sizeRelH>
                <wp14:sizeRelV relativeFrom="margin">
                  <wp14:pctHeight>0</wp14:pctHeight>
                </wp14:sizeRelV>
              </wp:anchor>
            </w:drawing>
          </w:r>
        </w:p>
      </w:tc>
      <w:tc>
        <w:tcPr>
          <w:tcW w:w="3969" w:type="dxa"/>
        </w:tcPr>
        <w:p w14:paraId="37EF6DD4" w14:textId="77777777" w:rsidR="00FD2389" w:rsidRPr="00AD6490" w:rsidRDefault="00FD2389" w:rsidP="00FD2389">
          <w:pPr>
            <w:spacing w:before="0" w:after="0"/>
            <w:jc w:val="center"/>
            <w:rPr>
              <w:rFonts w:ascii="Arial" w:hAnsi="Arial" w:cs="Arial"/>
              <w:noProof/>
              <w:color w:val="44546A" w:themeColor="text2"/>
              <w:sz w:val="16"/>
              <w:szCs w:val="16"/>
              <w:lang w:bidi="es-ES"/>
            </w:rPr>
          </w:pPr>
          <w:r w:rsidRPr="00AD6490">
            <w:rPr>
              <w:rFonts w:ascii="Arial" w:hAnsi="Arial" w:cs="Arial"/>
              <w:noProof/>
              <w:color w:val="44546A" w:themeColor="text2"/>
              <w:sz w:val="16"/>
              <w:szCs w:val="16"/>
              <w:lang w:bidi="es-ES"/>
            </w:rPr>
            <w:drawing>
              <wp:anchor distT="0" distB="0" distL="114300" distR="114300" simplePos="0" relativeHeight="251658250" behindDoc="1" locked="0" layoutInCell="1" allowOverlap="1" wp14:anchorId="7F9A6B8C" wp14:editId="14E1C7D5">
                <wp:simplePos x="0" y="0"/>
                <wp:positionH relativeFrom="column">
                  <wp:posOffset>922020</wp:posOffset>
                </wp:positionH>
                <wp:positionV relativeFrom="paragraph">
                  <wp:posOffset>106680</wp:posOffset>
                </wp:positionV>
                <wp:extent cx="284400" cy="255600"/>
                <wp:effectExtent l="0" t="0" r="1905" b="0"/>
                <wp:wrapTight wrapText="bothSides">
                  <wp:wrapPolygon edited="0">
                    <wp:start x="7248" y="0"/>
                    <wp:lineTo x="0" y="1612"/>
                    <wp:lineTo x="0" y="17731"/>
                    <wp:lineTo x="5799" y="19343"/>
                    <wp:lineTo x="13047" y="19343"/>
                    <wp:lineTo x="20295" y="16119"/>
                    <wp:lineTo x="20295" y="3224"/>
                    <wp:lineTo x="13047" y="0"/>
                    <wp:lineTo x="7248" y="0"/>
                  </wp:wrapPolygon>
                </wp:wrapTight>
                <wp:docPr id="264040550" name="Gráfico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3945771" name=""/>
                        <pic:cNvPicPr/>
                      </pic:nvPicPr>
                      <pic:blipFill>
                        <a:blip r:embed="rId7">
                          <a:extLst>
                            <a:ext uri="{96DAC541-7B7A-43D3-8B79-37D633B846F1}">
                              <asvg:svgBlip xmlns:asvg="http://schemas.microsoft.com/office/drawing/2016/SVG/main" r:embed="rId8"/>
                            </a:ext>
                          </a:extLst>
                        </a:blip>
                        <a:stretch>
                          <a:fillRect/>
                        </a:stretch>
                      </pic:blipFill>
                      <pic:spPr>
                        <a:xfrm>
                          <a:off x="0" y="0"/>
                          <a:ext cx="284400" cy="255600"/>
                        </a:xfrm>
                        <a:prstGeom prst="rect">
                          <a:avLst/>
                        </a:prstGeom>
                      </pic:spPr>
                    </pic:pic>
                  </a:graphicData>
                </a:graphic>
                <wp14:sizeRelH relativeFrom="margin">
                  <wp14:pctWidth>0</wp14:pctWidth>
                </wp14:sizeRelH>
                <wp14:sizeRelV relativeFrom="margin">
                  <wp14:pctHeight>0</wp14:pctHeight>
                </wp14:sizeRelV>
              </wp:anchor>
            </w:drawing>
          </w:r>
        </w:p>
      </w:tc>
    </w:tr>
    <w:tr w:rsidR="00121E48" w:rsidRPr="003A12C6" w14:paraId="78A390C5" w14:textId="77777777" w:rsidTr="008D55B6">
      <w:trPr>
        <w:gridBefore w:val="1"/>
        <w:wBefore w:w="205" w:type="dxa"/>
        <w:trHeight w:val="720"/>
        <w:jc w:val="center"/>
      </w:trPr>
      <w:tc>
        <w:tcPr>
          <w:tcW w:w="1922" w:type="dxa"/>
        </w:tcPr>
        <w:p w14:paraId="18E579E9" w14:textId="77777777" w:rsidR="00121E48" w:rsidRPr="00AD6490" w:rsidRDefault="00000000" w:rsidP="00FD2389">
          <w:pPr>
            <w:spacing w:before="0" w:after="0"/>
            <w:jc w:val="center"/>
            <w:rPr>
              <w:rFonts w:ascii="Arial" w:hAnsi="Arial" w:cs="Arial"/>
              <w:noProof/>
              <w:color w:val="44546A" w:themeColor="text2"/>
              <w:sz w:val="16"/>
              <w:szCs w:val="16"/>
              <w:lang w:bidi="es-ES"/>
            </w:rPr>
          </w:pPr>
          <w:sdt>
            <w:sdtPr>
              <w:rPr>
                <w:rFonts w:ascii="Arial" w:hAnsi="Arial" w:cs="Arial"/>
                <w:noProof/>
                <w:color w:val="44546A" w:themeColor="text2"/>
                <w:sz w:val="16"/>
                <w:szCs w:val="16"/>
                <w:lang w:bidi="es-ES"/>
              </w:rPr>
              <w:alias w:val="Email"/>
              <w:tag w:val="Email"/>
              <w:id w:val="-534973392"/>
              <w:placeholder>
                <w:docPart w:val="8744CFEC20384CA69F5B0A699537BBFE"/>
              </w:placeholder>
              <w:text/>
            </w:sdtPr>
            <w:sdtContent>
              <w:r w:rsidR="00121E48" w:rsidRPr="00EB2D24">
                <w:rPr>
                  <w:rFonts w:ascii="Arial" w:hAnsi="Arial" w:cs="Arial"/>
                  <w:noProof/>
                  <w:color w:val="44546A" w:themeColor="text2"/>
                  <w:sz w:val="16"/>
                  <w:szCs w:val="16"/>
                  <w:lang w:bidi="es-ES"/>
                </w:rPr>
                <w:t>sugefcr@sugef.fi.cr</w:t>
              </w:r>
            </w:sdtContent>
          </w:sdt>
        </w:p>
      </w:tc>
      <w:tc>
        <w:tcPr>
          <w:tcW w:w="2268" w:type="dxa"/>
        </w:tcPr>
        <w:p w14:paraId="36829239" w14:textId="77777777" w:rsidR="00121E48" w:rsidRPr="00AD6490" w:rsidRDefault="00000000" w:rsidP="00FD2389">
          <w:pPr>
            <w:spacing w:before="0" w:after="0"/>
            <w:jc w:val="center"/>
            <w:rPr>
              <w:rFonts w:ascii="Arial" w:hAnsi="Arial" w:cs="Arial"/>
              <w:noProof/>
              <w:color w:val="44546A" w:themeColor="text2"/>
              <w:sz w:val="16"/>
              <w:szCs w:val="16"/>
              <w:lang w:bidi="es-ES"/>
            </w:rPr>
          </w:pPr>
          <w:sdt>
            <w:sdtPr>
              <w:rPr>
                <w:rFonts w:ascii="Arial" w:hAnsi="Arial" w:cs="Arial"/>
                <w:noProof/>
                <w:color w:val="44546A" w:themeColor="text2"/>
                <w:sz w:val="16"/>
                <w:szCs w:val="16"/>
                <w:lang w:bidi="es-ES"/>
              </w:rPr>
              <w:alias w:val="Telefono"/>
              <w:tag w:val="Telefono"/>
              <w:id w:val="-1961568027"/>
              <w:placeholder>
                <w:docPart w:val="8744CFEC20384CA69F5B0A699537BBFE"/>
              </w:placeholder>
              <w:text/>
            </w:sdtPr>
            <w:sdtContent>
              <w:r w:rsidR="00121E48" w:rsidRPr="00D663C1">
                <w:rPr>
                  <w:rFonts w:ascii="Arial" w:hAnsi="Arial" w:cs="Arial"/>
                  <w:noProof/>
                  <w:color w:val="44546A" w:themeColor="text2"/>
                  <w:sz w:val="16"/>
                  <w:szCs w:val="16"/>
                  <w:lang w:bidi="es-ES"/>
                </w:rPr>
                <w:t>(506)-2243-4848</w:t>
              </w:r>
            </w:sdtContent>
          </w:sdt>
        </w:p>
      </w:tc>
      <w:tc>
        <w:tcPr>
          <w:tcW w:w="2268" w:type="dxa"/>
        </w:tcPr>
        <w:p w14:paraId="4A305F7C" w14:textId="77777777" w:rsidR="00121E48" w:rsidRPr="00AD6490" w:rsidRDefault="00000000" w:rsidP="00FD2389">
          <w:pPr>
            <w:spacing w:before="0" w:after="0"/>
            <w:jc w:val="center"/>
            <w:rPr>
              <w:rFonts w:ascii="Arial" w:hAnsi="Arial" w:cs="Arial"/>
              <w:noProof/>
              <w:color w:val="44546A" w:themeColor="text2"/>
              <w:sz w:val="16"/>
              <w:szCs w:val="16"/>
              <w:lang w:bidi="es-ES"/>
            </w:rPr>
          </w:pPr>
          <w:sdt>
            <w:sdtPr>
              <w:rPr>
                <w:rFonts w:ascii="Arial" w:hAnsi="Arial" w:cs="Arial"/>
                <w:noProof/>
                <w:color w:val="44546A" w:themeColor="text2"/>
                <w:sz w:val="16"/>
                <w:szCs w:val="16"/>
                <w:lang w:bidi="es-ES"/>
              </w:rPr>
              <w:alias w:val="PaginaWeb"/>
              <w:tag w:val="PaginaWeb"/>
              <w:id w:val="998462331"/>
              <w:placeholder>
                <w:docPart w:val="A4C1489DAC464959A985A33EE720A5A6"/>
              </w:placeholder>
              <w:text/>
            </w:sdtPr>
            <w:sdtContent>
              <w:r w:rsidR="00121E48" w:rsidRPr="00AD6490">
                <w:rPr>
                  <w:rFonts w:ascii="Arial" w:hAnsi="Arial" w:cs="Arial"/>
                  <w:noProof/>
                  <w:color w:val="44546A" w:themeColor="text2"/>
                  <w:sz w:val="16"/>
                  <w:szCs w:val="16"/>
                  <w:lang w:bidi="es-ES"/>
                </w:rPr>
                <w:t>https://www.sugef.fi.cr</w:t>
              </w:r>
            </w:sdtContent>
          </w:sdt>
        </w:p>
      </w:tc>
      <w:tc>
        <w:tcPr>
          <w:tcW w:w="3969" w:type="dxa"/>
        </w:tcPr>
        <w:p w14:paraId="3CCBFC87" w14:textId="77777777" w:rsidR="00121E48" w:rsidRPr="00AD6490" w:rsidRDefault="00000000" w:rsidP="00FD2389">
          <w:pPr>
            <w:spacing w:before="0" w:after="0"/>
            <w:jc w:val="center"/>
            <w:rPr>
              <w:rFonts w:ascii="Arial" w:hAnsi="Arial" w:cs="Arial"/>
              <w:noProof/>
              <w:color w:val="44546A" w:themeColor="text2"/>
              <w:sz w:val="16"/>
              <w:szCs w:val="16"/>
              <w:lang w:bidi="es-ES"/>
            </w:rPr>
          </w:pPr>
          <w:sdt>
            <w:sdtPr>
              <w:rPr>
                <w:rFonts w:ascii="Arial" w:hAnsi="Arial" w:cs="Arial"/>
                <w:noProof/>
                <w:color w:val="44546A" w:themeColor="text2"/>
                <w:sz w:val="16"/>
                <w:szCs w:val="16"/>
                <w:lang w:bidi="es-ES"/>
              </w:rPr>
              <w:alias w:val="Direccion"/>
              <w:tag w:val="Direccion"/>
              <w:id w:val="-1702084135"/>
              <w:placeholder>
                <w:docPart w:val="8744CFEC20384CA69F5B0A699537BBFE"/>
              </w:placeholder>
              <w:text w:multiLine="1"/>
            </w:sdtPr>
            <w:sdtContent>
              <w:r w:rsidR="00121E48" w:rsidRPr="001378ED">
                <w:rPr>
                  <w:rFonts w:ascii="Arial" w:hAnsi="Arial" w:cs="Arial"/>
                  <w:noProof/>
                  <w:color w:val="44546A" w:themeColor="text2"/>
                  <w:sz w:val="16"/>
                  <w:szCs w:val="16"/>
                  <w:lang w:bidi="es-ES"/>
                </w:rPr>
                <w:t>Av. 13 y 17, calle 3a, Barrio Tournón, San José</w:t>
              </w:r>
            </w:sdtContent>
          </w:sdt>
        </w:p>
      </w:tc>
    </w:tr>
  </w:tbl>
  <w:p w14:paraId="35F5CB94" w14:textId="77777777" w:rsidR="00BA0B9B" w:rsidRPr="00121E48" w:rsidRDefault="00121E48" w:rsidP="00121E48">
    <w:pPr>
      <w:pStyle w:val="Piedepgina"/>
      <w:spacing w:before="0" w:after="0"/>
    </w:pPr>
    <w:r>
      <w:rPr>
        <w:rFonts w:ascii="Roboto" w:hAnsi="Roboto"/>
        <w:noProof/>
        <w:sz w:val="24"/>
      </w:rPr>
      <w:drawing>
        <wp:anchor distT="0" distB="0" distL="114300" distR="114300" simplePos="0" relativeHeight="251658244" behindDoc="1" locked="0" layoutInCell="1" allowOverlap="1" wp14:anchorId="0810B9CD" wp14:editId="04B4AC7E">
          <wp:simplePos x="0" y="0"/>
          <wp:positionH relativeFrom="page">
            <wp:align>right</wp:align>
          </wp:positionH>
          <wp:positionV relativeFrom="page">
            <wp:align>bottom</wp:align>
          </wp:positionV>
          <wp:extent cx="7761600" cy="198000"/>
          <wp:effectExtent l="0" t="0" r="0" b="0"/>
          <wp:wrapTight wrapText="bothSides">
            <wp:wrapPolygon edited="0">
              <wp:start x="0" y="0"/>
              <wp:lineTo x="0" y="18752"/>
              <wp:lineTo x="21473" y="18752"/>
              <wp:lineTo x="21473" y="0"/>
              <wp:lineTo x="0" y="0"/>
            </wp:wrapPolygon>
          </wp:wrapTight>
          <wp:docPr id="732000303" name="Imagen 2" descr="Forma, Rectángul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374218" name="Imagen 2" descr="Forma, Rectángulo&#10;&#10;El contenido generado por IA puede ser incorrecto."/>
                  <pic:cNvPicPr/>
                </pic:nvPicPr>
                <pic:blipFill>
                  <a:blip r:embed="rId9">
                    <a:extLst>
                      <a:ext uri="{28A0092B-C50C-407E-A947-70E740481C1C}">
                        <a14:useLocalDpi xmlns:a14="http://schemas.microsoft.com/office/drawing/2010/main" val="0"/>
                      </a:ext>
                    </a:extLst>
                  </a:blip>
                  <a:stretch>
                    <a:fillRect/>
                  </a:stretch>
                </pic:blipFill>
                <pic:spPr>
                  <a:xfrm>
                    <a:off x="0" y="0"/>
                    <a:ext cx="7761600" cy="198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1C16DB" w14:textId="77777777" w:rsidR="00AC3108" w:rsidRDefault="00AC3108" w:rsidP="009349F3">
      <w:pPr>
        <w:spacing w:line="240" w:lineRule="auto"/>
      </w:pPr>
      <w:r>
        <w:separator/>
      </w:r>
    </w:p>
  </w:footnote>
  <w:footnote w:type="continuationSeparator" w:id="0">
    <w:p w14:paraId="2A75215A" w14:textId="77777777" w:rsidR="00AC3108" w:rsidRDefault="00AC3108" w:rsidP="009349F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460F2" w14:textId="77777777" w:rsidR="009349F3" w:rsidRDefault="00844730" w:rsidP="007C6EFA">
    <w:pPr>
      <w:pStyle w:val="Encabezado"/>
    </w:pPr>
    <w:r>
      <w:rPr>
        <w:noProof/>
      </w:rPr>
      <w:drawing>
        <wp:anchor distT="0" distB="0" distL="114300" distR="114300" simplePos="0" relativeHeight="251658242" behindDoc="0" locked="0" layoutInCell="1" allowOverlap="1" wp14:anchorId="29E65802" wp14:editId="09D70291">
          <wp:simplePos x="0" y="0"/>
          <wp:positionH relativeFrom="margin">
            <wp:posOffset>-1063625</wp:posOffset>
          </wp:positionH>
          <wp:positionV relativeFrom="paragraph">
            <wp:posOffset>-775550</wp:posOffset>
          </wp:positionV>
          <wp:extent cx="7739380" cy="1137285"/>
          <wp:effectExtent l="0" t="0" r="0" b="5715"/>
          <wp:wrapNone/>
          <wp:docPr id="1934952729"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9380" cy="11372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349F3">
      <w:ptab w:relativeTo="margin" w:alignment="right" w:leader="none"/>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9BF25" w14:textId="77777777" w:rsidR="002161A6" w:rsidRDefault="00770A48">
    <w:pPr>
      <w:pStyle w:val="Encabezado"/>
    </w:pPr>
    <w:r>
      <w:rPr>
        <w:noProof/>
      </w:rPr>
      <w:drawing>
        <wp:anchor distT="0" distB="0" distL="114300" distR="114300" simplePos="0" relativeHeight="251658241" behindDoc="0" locked="0" layoutInCell="1" allowOverlap="1" wp14:anchorId="2AA2EBB6" wp14:editId="3D27E01C">
          <wp:simplePos x="0" y="0"/>
          <wp:positionH relativeFrom="column">
            <wp:posOffset>-1066165</wp:posOffset>
          </wp:positionH>
          <wp:positionV relativeFrom="paragraph">
            <wp:posOffset>-773645</wp:posOffset>
          </wp:positionV>
          <wp:extent cx="7739380" cy="1137285"/>
          <wp:effectExtent l="0" t="0" r="0" b="5715"/>
          <wp:wrapNone/>
          <wp:docPr id="198004144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9380" cy="113728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32C79"/>
    <w:multiLevelType w:val="hybridMultilevel"/>
    <w:tmpl w:val="AEB61A68"/>
    <w:lvl w:ilvl="0" w:tplc="140A0017">
      <w:start w:val="1"/>
      <w:numFmt w:val="lowerLetter"/>
      <w:lvlText w:val="%1)"/>
      <w:lvlJc w:val="left"/>
      <w:pPr>
        <w:ind w:left="1080" w:hanging="360"/>
      </w:pPr>
      <w:rPr>
        <w:rFonts w:hint="default"/>
      </w:rPr>
    </w:lvl>
    <w:lvl w:ilvl="1" w:tplc="140A0003">
      <w:start w:val="1"/>
      <w:numFmt w:val="bullet"/>
      <w:lvlText w:val="o"/>
      <w:lvlJc w:val="left"/>
      <w:pPr>
        <w:ind w:left="1800" w:hanging="360"/>
      </w:pPr>
      <w:rPr>
        <w:rFonts w:ascii="Courier New" w:hAnsi="Courier New" w:cs="Courier New" w:hint="default"/>
      </w:rPr>
    </w:lvl>
    <w:lvl w:ilvl="2" w:tplc="140A0005">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1" w15:restartNumberingAfterBreak="0">
    <w:nsid w:val="14775C3B"/>
    <w:multiLevelType w:val="hybridMultilevel"/>
    <w:tmpl w:val="3F04111A"/>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2" w15:restartNumberingAfterBreak="0">
    <w:nsid w:val="16C66D12"/>
    <w:multiLevelType w:val="hybridMultilevel"/>
    <w:tmpl w:val="58B23A5A"/>
    <w:lvl w:ilvl="0" w:tplc="EF205014">
      <w:start w:val="1"/>
      <w:numFmt w:val="decimal"/>
      <w:pStyle w:val="numeracion"/>
      <w:lvlText w:val="%1."/>
      <w:lvlJc w:val="left"/>
      <w:pPr>
        <w:ind w:left="1526" w:hanging="360"/>
      </w:pPr>
      <w:rPr>
        <w:rFonts w:ascii="Calibri" w:hAnsi="Calibri" w:hint="default"/>
      </w:rPr>
    </w:lvl>
    <w:lvl w:ilvl="1" w:tplc="0C0A0019" w:tentative="1">
      <w:start w:val="1"/>
      <w:numFmt w:val="lowerLetter"/>
      <w:lvlText w:val="%2."/>
      <w:lvlJc w:val="left"/>
      <w:pPr>
        <w:ind w:left="2246" w:hanging="360"/>
      </w:pPr>
    </w:lvl>
    <w:lvl w:ilvl="2" w:tplc="0C0A001B" w:tentative="1">
      <w:start w:val="1"/>
      <w:numFmt w:val="lowerRoman"/>
      <w:lvlText w:val="%3."/>
      <w:lvlJc w:val="right"/>
      <w:pPr>
        <w:ind w:left="2966" w:hanging="180"/>
      </w:pPr>
    </w:lvl>
    <w:lvl w:ilvl="3" w:tplc="0C0A000F" w:tentative="1">
      <w:start w:val="1"/>
      <w:numFmt w:val="decimal"/>
      <w:lvlText w:val="%4."/>
      <w:lvlJc w:val="left"/>
      <w:pPr>
        <w:ind w:left="3686" w:hanging="360"/>
      </w:pPr>
    </w:lvl>
    <w:lvl w:ilvl="4" w:tplc="0C0A0019" w:tentative="1">
      <w:start w:val="1"/>
      <w:numFmt w:val="lowerLetter"/>
      <w:lvlText w:val="%5."/>
      <w:lvlJc w:val="left"/>
      <w:pPr>
        <w:ind w:left="4406" w:hanging="360"/>
      </w:pPr>
    </w:lvl>
    <w:lvl w:ilvl="5" w:tplc="0C0A001B" w:tentative="1">
      <w:start w:val="1"/>
      <w:numFmt w:val="lowerRoman"/>
      <w:lvlText w:val="%6."/>
      <w:lvlJc w:val="right"/>
      <w:pPr>
        <w:ind w:left="5126" w:hanging="180"/>
      </w:pPr>
    </w:lvl>
    <w:lvl w:ilvl="6" w:tplc="0C0A000F" w:tentative="1">
      <w:start w:val="1"/>
      <w:numFmt w:val="decimal"/>
      <w:lvlText w:val="%7."/>
      <w:lvlJc w:val="left"/>
      <w:pPr>
        <w:ind w:left="5846" w:hanging="360"/>
      </w:pPr>
    </w:lvl>
    <w:lvl w:ilvl="7" w:tplc="0C0A0019" w:tentative="1">
      <w:start w:val="1"/>
      <w:numFmt w:val="lowerLetter"/>
      <w:lvlText w:val="%8."/>
      <w:lvlJc w:val="left"/>
      <w:pPr>
        <w:ind w:left="6566" w:hanging="360"/>
      </w:pPr>
    </w:lvl>
    <w:lvl w:ilvl="8" w:tplc="0C0A001B" w:tentative="1">
      <w:start w:val="1"/>
      <w:numFmt w:val="lowerRoman"/>
      <w:lvlText w:val="%9."/>
      <w:lvlJc w:val="right"/>
      <w:pPr>
        <w:ind w:left="7286" w:hanging="180"/>
      </w:pPr>
    </w:lvl>
  </w:abstractNum>
  <w:abstractNum w:abstractNumId="3" w15:restartNumberingAfterBreak="0">
    <w:nsid w:val="1DDA6E33"/>
    <w:multiLevelType w:val="hybridMultilevel"/>
    <w:tmpl w:val="C89A4FEE"/>
    <w:lvl w:ilvl="0" w:tplc="140A0015">
      <w:start w:val="1"/>
      <w:numFmt w:val="upp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2E390CA9"/>
    <w:multiLevelType w:val="hybridMultilevel"/>
    <w:tmpl w:val="E634E784"/>
    <w:lvl w:ilvl="0" w:tplc="140A0017">
      <w:start w:val="1"/>
      <w:numFmt w:val="lowerLetter"/>
      <w:lvlText w:val="%1)"/>
      <w:lvlJc w:val="left"/>
      <w:pPr>
        <w:ind w:left="1068" w:hanging="360"/>
      </w:pPr>
      <w:rPr>
        <w:rFonts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5" w15:restartNumberingAfterBreak="0">
    <w:nsid w:val="34CD4DF8"/>
    <w:multiLevelType w:val="hybridMultilevel"/>
    <w:tmpl w:val="586EF562"/>
    <w:lvl w:ilvl="0" w:tplc="51C43C80">
      <w:start w:val="1"/>
      <w:numFmt w:val="lowerLetter"/>
      <w:lvlText w:val="%1)"/>
      <w:lvlJc w:val="left"/>
      <w:pPr>
        <w:ind w:left="777" w:hanging="420"/>
      </w:pPr>
      <w:rPr>
        <w:rFonts w:hint="default"/>
        <w:b w:val="0"/>
        <w:bCs w:val="0"/>
      </w:rPr>
    </w:lvl>
    <w:lvl w:ilvl="1" w:tplc="140A0019" w:tentative="1">
      <w:start w:val="1"/>
      <w:numFmt w:val="lowerLetter"/>
      <w:lvlText w:val="%2."/>
      <w:lvlJc w:val="left"/>
      <w:pPr>
        <w:ind w:left="1437" w:hanging="360"/>
      </w:pPr>
    </w:lvl>
    <w:lvl w:ilvl="2" w:tplc="140A001B" w:tentative="1">
      <w:start w:val="1"/>
      <w:numFmt w:val="lowerRoman"/>
      <w:lvlText w:val="%3."/>
      <w:lvlJc w:val="right"/>
      <w:pPr>
        <w:ind w:left="2157" w:hanging="180"/>
      </w:pPr>
    </w:lvl>
    <w:lvl w:ilvl="3" w:tplc="140A000F" w:tentative="1">
      <w:start w:val="1"/>
      <w:numFmt w:val="decimal"/>
      <w:lvlText w:val="%4."/>
      <w:lvlJc w:val="left"/>
      <w:pPr>
        <w:ind w:left="2877" w:hanging="360"/>
      </w:pPr>
    </w:lvl>
    <w:lvl w:ilvl="4" w:tplc="140A0019" w:tentative="1">
      <w:start w:val="1"/>
      <w:numFmt w:val="lowerLetter"/>
      <w:lvlText w:val="%5."/>
      <w:lvlJc w:val="left"/>
      <w:pPr>
        <w:ind w:left="3597" w:hanging="360"/>
      </w:pPr>
    </w:lvl>
    <w:lvl w:ilvl="5" w:tplc="140A001B" w:tentative="1">
      <w:start w:val="1"/>
      <w:numFmt w:val="lowerRoman"/>
      <w:lvlText w:val="%6."/>
      <w:lvlJc w:val="right"/>
      <w:pPr>
        <w:ind w:left="4317" w:hanging="180"/>
      </w:pPr>
    </w:lvl>
    <w:lvl w:ilvl="6" w:tplc="140A000F" w:tentative="1">
      <w:start w:val="1"/>
      <w:numFmt w:val="decimal"/>
      <w:lvlText w:val="%7."/>
      <w:lvlJc w:val="left"/>
      <w:pPr>
        <w:ind w:left="5037" w:hanging="360"/>
      </w:pPr>
    </w:lvl>
    <w:lvl w:ilvl="7" w:tplc="140A0019" w:tentative="1">
      <w:start w:val="1"/>
      <w:numFmt w:val="lowerLetter"/>
      <w:lvlText w:val="%8."/>
      <w:lvlJc w:val="left"/>
      <w:pPr>
        <w:ind w:left="5757" w:hanging="360"/>
      </w:pPr>
    </w:lvl>
    <w:lvl w:ilvl="8" w:tplc="140A001B" w:tentative="1">
      <w:start w:val="1"/>
      <w:numFmt w:val="lowerRoman"/>
      <w:lvlText w:val="%9."/>
      <w:lvlJc w:val="right"/>
      <w:pPr>
        <w:ind w:left="6477" w:hanging="180"/>
      </w:pPr>
    </w:lvl>
  </w:abstractNum>
  <w:abstractNum w:abstractNumId="6" w15:restartNumberingAfterBreak="0">
    <w:nsid w:val="3B7704B3"/>
    <w:multiLevelType w:val="hybridMultilevel"/>
    <w:tmpl w:val="DE32B7B2"/>
    <w:lvl w:ilvl="0" w:tplc="140A0013">
      <w:start w:val="1"/>
      <w:numFmt w:val="upperRoman"/>
      <w:lvlText w:val="%1."/>
      <w:lvlJc w:val="righ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445365E5"/>
    <w:multiLevelType w:val="hybridMultilevel"/>
    <w:tmpl w:val="773A8250"/>
    <w:lvl w:ilvl="0" w:tplc="7AF21A64">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45CC70D7"/>
    <w:multiLevelType w:val="hybridMultilevel"/>
    <w:tmpl w:val="C58AF0CC"/>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4ACB0902"/>
    <w:multiLevelType w:val="hybridMultilevel"/>
    <w:tmpl w:val="85A22928"/>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4F7E5714"/>
    <w:multiLevelType w:val="hybridMultilevel"/>
    <w:tmpl w:val="BA0C01BC"/>
    <w:lvl w:ilvl="0" w:tplc="140A0001">
      <w:start w:val="1"/>
      <w:numFmt w:val="bullet"/>
      <w:lvlText w:val=""/>
      <w:lvlJc w:val="left"/>
      <w:pPr>
        <w:ind w:left="1920" w:hanging="360"/>
      </w:pPr>
      <w:rPr>
        <w:rFonts w:ascii="Symbol" w:hAnsi="Symbol" w:hint="default"/>
      </w:rPr>
    </w:lvl>
    <w:lvl w:ilvl="1" w:tplc="140A0003" w:tentative="1">
      <w:start w:val="1"/>
      <w:numFmt w:val="bullet"/>
      <w:lvlText w:val="o"/>
      <w:lvlJc w:val="left"/>
      <w:pPr>
        <w:ind w:left="2640" w:hanging="360"/>
      </w:pPr>
      <w:rPr>
        <w:rFonts w:ascii="Courier New" w:hAnsi="Courier New" w:cs="Courier New" w:hint="default"/>
      </w:rPr>
    </w:lvl>
    <w:lvl w:ilvl="2" w:tplc="140A0005" w:tentative="1">
      <w:start w:val="1"/>
      <w:numFmt w:val="bullet"/>
      <w:lvlText w:val=""/>
      <w:lvlJc w:val="left"/>
      <w:pPr>
        <w:ind w:left="3360" w:hanging="360"/>
      </w:pPr>
      <w:rPr>
        <w:rFonts w:ascii="Wingdings" w:hAnsi="Wingdings" w:hint="default"/>
      </w:rPr>
    </w:lvl>
    <w:lvl w:ilvl="3" w:tplc="140A0001" w:tentative="1">
      <w:start w:val="1"/>
      <w:numFmt w:val="bullet"/>
      <w:lvlText w:val=""/>
      <w:lvlJc w:val="left"/>
      <w:pPr>
        <w:ind w:left="4080" w:hanging="360"/>
      </w:pPr>
      <w:rPr>
        <w:rFonts w:ascii="Symbol" w:hAnsi="Symbol" w:hint="default"/>
      </w:rPr>
    </w:lvl>
    <w:lvl w:ilvl="4" w:tplc="140A0003" w:tentative="1">
      <w:start w:val="1"/>
      <w:numFmt w:val="bullet"/>
      <w:lvlText w:val="o"/>
      <w:lvlJc w:val="left"/>
      <w:pPr>
        <w:ind w:left="4800" w:hanging="360"/>
      </w:pPr>
      <w:rPr>
        <w:rFonts w:ascii="Courier New" w:hAnsi="Courier New" w:cs="Courier New" w:hint="default"/>
      </w:rPr>
    </w:lvl>
    <w:lvl w:ilvl="5" w:tplc="140A0005" w:tentative="1">
      <w:start w:val="1"/>
      <w:numFmt w:val="bullet"/>
      <w:lvlText w:val=""/>
      <w:lvlJc w:val="left"/>
      <w:pPr>
        <w:ind w:left="5520" w:hanging="360"/>
      </w:pPr>
      <w:rPr>
        <w:rFonts w:ascii="Wingdings" w:hAnsi="Wingdings" w:hint="default"/>
      </w:rPr>
    </w:lvl>
    <w:lvl w:ilvl="6" w:tplc="140A0001" w:tentative="1">
      <w:start w:val="1"/>
      <w:numFmt w:val="bullet"/>
      <w:lvlText w:val=""/>
      <w:lvlJc w:val="left"/>
      <w:pPr>
        <w:ind w:left="6240" w:hanging="360"/>
      </w:pPr>
      <w:rPr>
        <w:rFonts w:ascii="Symbol" w:hAnsi="Symbol" w:hint="default"/>
      </w:rPr>
    </w:lvl>
    <w:lvl w:ilvl="7" w:tplc="140A0003" w:tentative="1">
      <w:start w:val="1"/>
      <w:numFmt w:val="bullet"/>
      <w:lvlText w:val="o"/>
      <w:lvlJc w:val="left"/>
      <w:pPr>
        <w:ind w:left="6960" w:hanging="360"/>
      </w:pPr>
      <w:rPr>
        <w:rFonts w:ascii="Courier New" w:hAnsi="Courier New" w:cs="Courier New" w:hint="default"/>
      </w:rPr>
    </w:lvl>
    <w:lvl w:ilvl="8" w:tplc="140A0005" w:tentative="1">
      <w:start w:val="1"/>
      <w:numFmt w:val="bullet"/>
      <w:lvlText w:val=""/>
      <w:lvlJc w:val="left"/>
      <w:pPr>
        <w:ind w:left="7680" w:hanging="360"/>
      </w:pPr>
      <w:rPr>
        <w:rFonts w:ascii="Wingdings" w:hAnsi="Wingdings" w:hint="default"/>
      </w:rPr>
    </w:lvl>
  </w:abstractNum>
  <w:abstractNum w:abstractNumId="11" w15:restartNumberingAfterBreak="0">
    <w:nsid w:val="527939E7"/>
    <w:multiLevelType w:val="hybridMultilevel"/>
    <w:tmpl w:val="6FD836C4"/>
    <w:lvl w:ilvl="0" w:tplc="525ADCAC">
      <w:start w:val="1"/>
      <w:numFmt w:val="bullet"/>
      <w:pStyle w:val="vinetas"/>
      <w:lvlText w:val=""/>
      <w:lvlJc w:val="left"/>
      <w:pPr>
        <w:ind w:left="1526" w:hanging="360"/>
      </w:pPr>
      <w:rPr>
        <w:rFonts w:ascii="Wingdings 3" w:hAnsi="Wingdings 3" w:hint="default"/>
        <w:color w:val="auto"/>
        <w:sz w:val="28"/>
      </w:rPr>
    </w:lvl>
    <w:lvl w:ilvl="1" w:tplc="0C0A0003" w:tentative="1">
      <w:start w:val="1"/>
      <w:numFmt w:val="bullet"/>
      <w:lvlText w:val="o"/>
      <w:lvlJc w:val="left"/>
      <w:pPr>
        <w:ind w:left="2606" w:hanging="360"/>
      </w:pPr>
      <w:rPr>
        <w:rFonts w:ascii="Courier New" w:hAnsi="Courier New" w:cs="Courier New" w:hint="default"/>
      </w:rPr>
    </w:lvl>
    <w:lvl w:ilvl="2" w:tplc="0C0A0005" w:tentative="1">
      <w:start w:val="1"/>
      <w:numFmt w:val="bullet"/>
      <w:lvlText w:val=""/>
      <w:lvlJc w:val="left"/>
      <w:pPr>
        <w:ind w:left="3326" w:hanging="360"/>
      </w:pPr>
      <w:rPr>
        <w:rFonts w:ascii="Wingdings" w:hAnsi="Wingdings" w:hint="default"/>
      </w:rPr>
    </w:lvl>
    <w:lvl w:ilvl="3" w:tplc="0C0A0001" w:tentative="1">
      <w:start w:val="1"/>
      <w:numFmt w:val="bullet"/>
      <w:lvlText w:val=""/>
      <w:lvlJc w:val="left"/>
      <w:pPr>
        <w:ind w:left="4046" w:hanging="360"/>
      </w:pPr>
      <w:rPr>
        <w:rFonts w:ascii="Symbol" w:hAnsi="Symbol" w:hint="default"/>
      </w:rPr>
    </w:lvl>
    <w:lvl w:ilvl="4" w:tplc="0C0A0003" w:tentative="1">
      <w:start w:val="1"/>
      <w:numFmt w:val="bullet"/>
      <w:lvlText w:val="o"/>
      <w:lvlJc w:val="left"/>
      <w:pPr>
        <w:ind w:left="4766" w:hanging="360"/>
      </w:pPr>
      <w:rPr>
        <w:rFonts w:ascii="Courier New" w:hAnsi="Courier New" w:cs="Courier New" w:hint="default"/>
      </w:rPr>
    </w:lvl>
    <w:lvl w:ilvl="5" w:tplc="0C0A0005" w:tentative="1">
      <w:start w:val="1"/>
      <w:numFmt w:val="bullet"/>
      <w:lvlText w:val=""/>
      <w:lvlJc w:val="left"/>
      <w:pPr>
        <w:ind w:left="5486" w:hanging="360"/>
      </w:pPr>
      <w:rPr>
        <w:rFonts w:ascii="Wingdings" w:hAnsi="Wingdings" w:hint="default"/>
      </w:rPr>
    </w:lvl>
    <w:lvl w:ilvl="6" w:tplc="0C0A0001" w:tentative="1">
      <w:start w:val="1"/>
      <w:numFmt w:val="bullet"/>
      <w:lvlText w:val=""/>
      <w:lvlJc w:val="left"/>
      <w:pPr>
        <w:ind w:left="6206" w:hanging="360"/>
      </w:pPr>
      <w:rPr>
        <w:rFonts w:ascii="Symbol" w:hAnsi="Symbol" w:hint="default"/>
      </w:rPr>
    </w:lvl>
    <w:lvl w:ilvl="7" w:tplc="0C0A0003" w:tentative="1">
      <w:start w:val="1"/>
      <w:numFmt w:val="bullet"/>
      <w:lvlText w:val="o"/>
      <w:lvlJc w:val="left"/>
      <w:pPr>
        <w:ind w:left="6926" w:hanging="360"/>
      </w:pPr>
      <w:rPr>
        <w:rFonts w:ascii="Courier New" w:hAnsi="Courier New" w:cs="Courier New" w:hint="default"/>
      </w:rPr>
    </w:lvl>
    <w:lvl w:ilvl="8" w:tplc="0C0A0005" w:tentative="1">
      <w:start w:val="1"/>
      <w:numFmt w:val="bullet"/>
      <w:lvlText w:val=""/>
      <w:lvlJc w:val="left"/>
      <w:pPr>
        <w:ind w:left="7646" w:hanging="360"/>
      </w:pPr>
      <w:rPr>
        <w:rFonts w:ascii="Wingdings" w:hAnsi="Wingdings" w:hint="default"/>
      </w:rPr>
    </w:lvl>
  </w:abstractNum>
  <w:abstractNum w:abstractNumId="12" w15:restartNumberingAfterBreak="0">
    <w:nsid w:val="57E53495"/>
    <w:multiLevelType w:val="hybridMultilevel"/>
    <w:tmpl w:val="00F032DC"/>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635E49F2"/>
    <w:multiLevelType w:val="hybridMultilevel"/>
    <w:tmpl w:val="E73A4D88"/>
    <w:lvl w:ilvl="0" w:tplc="E644523C">
      <w:start w:val="1"/>
      <w:numFmt w:val="lowerLetter"/>
      <w:lvlText w:val="%1)"/>
      <w:lvlJc w:val="left"/>
      <w:pPr>
        <w:ind w:left="644" w:hanging="360"/>
      </w:pPr>
      <w:rPr>
        <w:strike w:val="0"/>
      </w:rPr>
    </w:lvl>
    <w:lvl w:ilvl="1" w:tplc="140A0019" w:tentative="1">
      <w:start w:val="1"/>
      <w:numFmt w:val="lowerLetter"/>
      <w:lvlText w:val="%2."/>
      <w:lvlJc w:val="left"/>
      <w:pPr>
        <w:ind w:left="1364" w:hanging="360"/>
      </w:pPr>
    </w:lvl>
    <w:lvl w:ilvl="2" w:tplc="140A001B" w:tentative="1">
      <w:start w:val="1"/>
      <w:numFmt w:val="lowerRoman"/>
      <w:lvlText w:val="%3."/>
      <w:lvlJc w:val="right"/>
      <w:pPr>
        <w:ind w:left="2084" w:hanging="180"/>
      </w:pPr>
    </w:lvl>
    <w:lvl w:ilvl="3" w:tplc="140A000F" w:tentative="1">
      <w:start w:val="1"/>
      <w:numFmt w:val="decimal"/>
      <w:lvlText w:val="%4."/>
      <w:lvlJc w:val="left"/>
      <w:pPr>
        <w:ind w:left="2804" w:hanging="360"/>
      </w:pPr>
    </w:lvl>
    <w:lvl w:ilvl="4" w:tplc="140A0019" w:tentative="1">
      <w:start w:val="1"/>
      <w:numFmt w:val="lowerLetter"/>
      <w:lvlText w:val="%5."/>
      <w:lvlJc w:val="left"/>
      <w:pPr>
        <w:ind w:left="3524" w:hanging="360"/>
      </w:pPr>
    </w:lvl>
    <w:lvl w:ilvl="5" w:tplc="140A001B" w:tentative="1">
      <w:start w:val="1"/>
      <w:numFmt w:val="lowerRoman"/>
      <w:lvlText w:val="%6."/>
      <w:lvlJc w:val="right"/>
      <w:pPr>
        <w:ind w:left="4244" w:hanging="180"/>
      </w:pPr>
    </w:lvl>
    <w:lvl w:ilvl="6" w:tplc="140A000F" w:tentative="1">
      <w:start w:val="1"/>
      <w:numFmt w:val="decimal"/>
      <w:lvlText w:val="%7."/>
      <w:lvlJc w:val="left"/>
      <w:pPr>
        <w:ind w:left="4964" w:hanging="360"/>
      </w:pPr>
    </w:lvl>
    <w:lvl w:ilvl="7" w:tplc="140A0019" w:tentative="1">
      <w:start w:val="1"/>
      <w:numFmt w:val="lowerLetter"/>
      <w:lvlText w:val="%8."/>
      <w:lvlJc w:val="left"/>
      <w:pPr>
        <w:ind w:left="5684" w:hanging="360"/>
      </w:pPr>
    </w:lvl>
    <w:lvl w:ilvl="8" w:tplc="140A001B" w:tentative="1">
      <w:start w:val="1"/>
      <w:numFmt w:val="lowerRoman"/>
      <w:lvlText w:val="%9."/>
      <w:lvlJc w:val="right"/>
      <w:pPr>
        <w:ind w:left="6404" w:hanging="180"/>
      </w:pPr>
    </w:lvl>
  </w:abstractNum>
  <w:abstractNum w:abstractNumId="14" w15:restartNumberingAfterBreak="0">
    <w:nsid w:val="6D006A1D"/>
    <w:multiLevelType w:val="hybridMultilevel"/>
    <w:tmpl w:val="20F83466"/>
    <w:lvl w:ilvl="0" w:tplc="140A0017">
      <w:start w:val="1"/>
      <w:numFmt w:val="lowerLetter"/>
      <w:lvlText w:val="%1)"/>
      <w:lvlJc w:val="left"/>
      <w:pPr>
        <w:ind w:left="720" w:hanging="360"/>
      </w:pPr>
    </w:lvl>
    <w:lvl w:ilvl="1" w:tplc="140A0017">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326252103">
    <w:abstractNumId w:val="2"/>
  </w:num>
  <w:num w:numId="2" w16cid:durableId="1486699651">
    <w:abstractNumId w:val="11"/>
  </w:num>
  <w:num w:numId="3" w16cid:durableId="141625179">
    <w:abstractNumId w:val="12"/>
  </w:num>
  <w:num w:numId="4" w16cid:durableId="1681156881">
    <w:abstractNumId w:val="6"/>
  </w:num>
  <w:num w:numId="5" w16cid:durableId="1930306477">
    <w:abstractNumId w:val="14"/>
  </w:num>
  <w:num w:numId="6" w16cid:durableId="685399748">
    <w:abstractNumId w:val="9"/>
  </w:num>
  <w:num w:numId="7" w16cid:durableId="7680942">
    <w:abstractNumId w:val="13"/>
  </w:num>
  <w:num w:numId="8" w16cid:durableId="448280347">
    <w:abstractNumId w:val="5"/>
  </w:num>
  <w:num w:numId="9" w16cid:durableId="1615476379">
    <w:abstractNumId w:val="3"/>
  </w:num>
  <w:num w:numId="10" w16cid:durableId="1963339030">
    <w:abstractNumId w:val="10"/>
  </w:num>
  <w:num w:numId="11" w16cid:durableId="722144530">
    <w:abstractNumId w:val="1"/>
  </w:num>
  <w:num w:numId="12" w16cid:durableId="1190218792">
    <w:abstractNumId w:val="8"/>
  </w:num>
  <w:num w:numId="13" w16cid:durableId="1320964900">
    <w:abstractNumId w:val="7"/>
  </w:num>
  <w:num w:numId="14" w16cid:durableId="1590772820">
    <w:abstractNumId w:val="0"/>
  </w:num>
  <w:num w:numId="15" w16cid:durableId="15247858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754E"/>
    <w:rsid w:val="000124EB"/>
    <w:rsid w:val="00013F5D"/>
    <w:rsid w:val="0003240E"/>
    <w:rsid w:val="00035148"/>
    <w:rsid w:val="00036731"/>
    <w:rsid w:val="0004153D"/>
    <w:rsid w:val="000616E7"/>
    <w:rsid w:val="000703DF"/>
    <w:rsid w:val="000848E2"/>
    <w:rsid w:val="000E1D57"/>
    <w:rsid w:val="000E57D6"/>
    <w:rsid w:val="000F03A3"/>
    <w:rsid w:val="00121E48"/>
    <w:rsid w:val="00124693"/>
    <w:rsid w:val="00136FB0"/>
    <w:rsid w:val="00164012"/>
    <w:rsid w:val="0016679A"/>
    <w:rsid w:val="001855CF"/>
    <w:rsid w:val="00194166"/>
    <w:rsid w:val="00197008"/>
    <w:rsid w:val="001B253F"/>
    <w:rsid w:val="001D7D76"/>
    <w:rsid w:val="001F0A2F"/>
    <w:rsid w:val="001F154E"/>
    <w:rsid w:val="00200E4A"/>
    <w:rsid w:val="002067C5"/>
    <w:rsid w:val="002141F3"/>
    <w:rsid w:val="002150CA"/>
    <w:rsid w:val="002161A6"/>
    <w:rsid w:val="00221CC5"/>
    <w:rsid w:val="002311E1"/>
    <w:rsid w:val="00233BD3"/>
    <w:rsid w:val="00244797"/>
    <w:rsid w:val="00254915"/>
    <w:rsid w:val="0026120D"/>
    <w:rsid w:val="00270075"/>
    <w:rsid w:val="0027276B"/>
    <w:rsid w:val="002841A4"/>
    <w:rsid w:val="002B45E7"/>
    <w:rsid w:val="002E4EBC"/>
    <w:rsid w:val="002E7C7D"/>
    <w:rsid w:val="00300CAF"/>
    <w:rsid w:val="003032F1"/>
    <w:rsid w:val="00307714"/>
    <w:rsid w:val="00326852"/>
    <w:rsid w:val="00330DCB"/>
    <w:rsid w:val="00344687"/>
    <w:rsid w:val="00366014"/>
    <w:rsid w:val="00376CCB"/>
    <w:rsid w:val="00377E4C"/>
    <w:rsid w:val="00384426"/>
    <w:rsid w:val="003862FE"/>
    <w:rsid w:val="003952A7"/>
    <w:rsid w:val="003A22FC"/>
    <w:rsid w:val="003A2D9C"/>
    <w:rsid w:val="003A2E5C"/>
    <w:rsid w:val="003B12E1"/>
    <w:rsid w:val="003B2913"/>
    <w:rsid w:val="003C4040"/>
    <w:rsid w:val="003D1277"/>
    <w:rsid w:val="003D3706"/>
    <w:rsid w:val="003F0D92"/>
    <w:rsid w:val="00402E6B"/>
    <w:rsid w:val="00406995"/>
    <w:rsid w:val="004117A5"/>
    <w:rsid w:val="00414EFF"/>
    <w:rsid w:val="0041694D"/>
    <w:rsid w:val="00431F6D"/>
    <w:rsid w:val="004365F4"/>
    <w:rsid w:val="004749D6"/>
    <w:rsid w:val="00477A1D"/>
    <w:rsid w:val="00481A26"/>
    <w:rsid w:val="00497412"/>
    <w:rsid w:val="004B27D7"/>
    <w:rsid w:val="004C3603"/>
    <w:rsid w:val="004C7109"/>
    <w:rsid w:val="004D22D6"/>
    <w:rsid w:val="004E4599"/>
    <w:rsid w:val="004F7333"/>
    <w:rsid w:val="005110E8"/>
    <w:rsid w:val="00516C54"/>
    <w:rsid w:val="00517D62"/>
    <w:rsid w:val="00522D34"/>
    <w:rsid w:val="005A029A"/>
    <w:rsid w:val="005A7144"/>
    <w:rsid w:val="005B6A38"/>
    <w:rsid w:val="005D60C6"/>
    <w:rsid w:val="005E4627"/>
    <w:rsid w:val="005F0EFD"/>
    <w:rsid w:val="005F7CC1"/>
    <w:rsid w:val="00605231"/>
    <w:rsid w:val="00605355"/>
    <w:rsid w:val="006058E7"/>
    <w:rsid w:val="006114DD"/>
    <w:rsid w:val="006314CA"/>
    <w:rsid w:val="0064517A"/>
    <w:rsid w:val="006602EB"/>
    <w:rsid w:val="006662A9"/>
    <w:rsid w:val="00681A86"/>
    <w:rsid w:val="006972C9"/>
    <w:rsid w:val="006B2784"/>
    <w:rsid w:val="006B4C1A"/>
    <w:rsid w:val="006B4F01"/>
    <w:rsid w:val="006D4913"/>
    <w:rsid w:val="006E644C"/>
    <w:rsid w:val="006F26B3"/>
    <w:rsid w:val="00710250"/>
    <w:rsid w:val="00727077"/>
    <w:rsid w:val="00751091"/>
    <w:rsid w:val="00756150"/>
    <w:rsid w:val="00757AEA"/>
    <w:rsid w:val="00760C59"/>
    <w:rsid w:val="00764B98"/>
    <w:rsid w:val="00766F36"/>
    <w:rsid w:val="00770A48"/>
    <w:rsid w:val="00792ABA"/>
    <w:rsid w:val="007C6EFA"/>
    <w:rsid w:val="007D02E4"/>
    <w:rsid w:val="007E72D3"/>
    <w:rsid w:val="007E7DA5"/>
    <w:rsid w:val="007F35A5"/>
    <w:rsid w:val="007F3BB7"/>
    <w:rsid w:val="007F790D"/>
    <w:rsid w:val="008043BC"/>
    <w:rsid w:val="00811018"/>
    <w:rsid w:val="00814F71"/>
    <w:rsid w:val="008200B7"/>
    <w:rsid w:val="0082691C"/>
    <w:rsid w:val="008272E5"/>
    <w:rsid w:val="00837465"/>
    <w:rsid w:val="00844730"/>
    <w:rsid w:val="00844C15"/>
    <w:rsid w:val="00855792"/>
    <w:rsid w:val="008564D2"/>
    <w:rsid w:val="00874C4F"/>
    <w:rsid w:val="0088599E"/>
    <w:rsid w:val="008925FF"/>
    <w:rsid w:val="008B01AE"/>
    <w:rsid w:val="008B3BC7"/>
    <w:rsid w:val="008B777E"/>
    <w:rsid w:val="008D55B6"/>
    <w:rsid w:val="008D5F84"/>
    <w:rsid w:val="008E09B8"/>
    <w:rsid w:val="00900B79"/>
    <w:rsid w:val="00901120"/>
    <w:rsid w:val="00902010"/>
    <w:rsid w:val="00904FD2"/>
    <w:rsid w:val="00914AD9"/>
    <w:rsid w:val="009166D0"/>
    <w:rsid w:val="009349F3"/>
    <w:rsid w:val="00945205"/>
    <w:rsid w:val="00952FE1"/>
    <w:rsid w:val="00973505"/>
    <w:rsid w:val="00975D20"/>
    <w:rsid w:val="00977857"/>
    <w:rsid w:val="00987AAD"/>
    <w:rsid w:val="00987D59"/>
    <w:rsid w:val="0099181E"/>
    <w:rsid w:val="009A27B7"/>
    <w:rsid w:val="009A63B5"/>
    <w:rsid w:val="009B2522"/>
    <w:rsid w:val="009B6865"/>
    <w:rsid w:val="009B7930"/>
    <w:rsid w:val="009D3D34"/>
    <w:rsid w:val="009D4C67"/>
    <w:rsid w:val="009E16AF"/>
    <w:rsid w:val="009F555C"/>
    <w:rsid w:val="009F7126"/>
    <w:rsid w:val="00A12FC3"/>
    <w:rsid w:val="00A139F7"/>
    <w:rsid w:val="00A24821"/>
    <w:rsid w:val="00A303B2"/>
    <w:rsid w:val="00A33A1F"/>
    <w:rsid w:val="00A65FB5"/>
    <w:rsid w:val="00A66281"/>
    <w:rsid w:val="00A7153E"/>
    <w:rsid w:val="00A820E1"/>
    <w:rsid w:val="00A900A6"/>
    <w:rsid w:val="00A96A39"/>
    <w:rsid w:val="00AC3108"/>
    <w:rsid w:val="00AE42B3"/>
    <w:rsid w:val="00AF007C"/>
    <w:rsid w:val="00AF06C5"/>
    <w:rsid w:val="00B232F6"/>
    <w:rsid w:val="00B2799E"/>
    <w:rsid w:val="00B3000F"/>
    <w:rsid w:val="00B70F5E"/>
    <w:rsid w:val="00B7752A"/>
    <w:rsid w:val="00B800F4"/>
    <w:rsid w:val="00BA0B9B"/>
    <w:rsid w:val="00BA2362"/>
    <w:rsid w:val="00BA2916"/>
    <w:rsid w:val="00BC3B1B"/>
    <w:rsid w:val="00BC77AC"/>
    <w:rsid w:val="00BE09C4"/>
    <w:rsid w:val="00C217BF"/>
    <w:rsid w:val="00C351E0"/>
    <w:rsid w:val="00C357F0"/>
    <w:rsid w:val="00C43642"/>
    <w:rsid w:val="00C46CE7"/>
    <w:rsid w:val="00C56B40"/>
    <w:rsid w:val="00C60009"/>
    <w:rsid w:val="00C6482D"/>
    <w:rsid w:val="00C778B9"/>
    <w:rsid w:val="00CB3316"/>
    <w:rsid w:val="00CB664F"/>
    <w:rsid w:val="00CC5446"/>
    <w:rsid w:val="00CE1AB5"/>
    <w:rsid w:val="00CF06FB"/>
    <w:rsid w:val="00D1584B"/>
    <w:rsid w:val="00D402E5"/>
    <w:rsid w:val="00D523B4"/>
    <w:rsid w:val="00D9365C"/>
    <w:rsid w:val="00DA0AB1"/>
    <w:rsid w:val="00DA1158"/>
    <w:rsid w:val="00DD2427"/>
    <w:rsid w:val="00DE2D06"/>
    <w:rsid w:val="00DE424E"/>
    <w:rsid w:val="00DF3F7B"/>
    <w:rsid w:val="00E05277"/>
    <w:rsid w:val="00E42C29"/>
    <w:rsid w:val="00E4511A"/>
    <w:rsid w:val="00E504A3"/>
    <w:rsid w:val="00E555A0"/>
    <w:rsid w:val="00E70FE4"/>
    <w:rsid w:val="00E763DA"/>
    <w:rsid w:val="00EA754E"/>
    <w:rsid w:val="00EC529F"/>
    <w:rsid w:val="00EE13E7"/>
    <w:rsid w:val="00EE2C9F"/>
    <w:rsid w:val="00F064F4"/>
    <w:rsid w:val="00F11540"/>
    <w:rsid w:val="00F17C5B"/>
    <w:rsid w:val="00F22F21"/>
    <w:rsid w:val="00F25934"/>
    <w:rsid w:val="00F369D7"/>
    <w:rsid w:val="00F5558E"/>
    <w:rsid w:val="00F67069"/>
    <w:rsid w:val="00F83D98"/>
    <w:rsid w:val="00F95A2E"/>
    <w:rsid w:val="00F97E3B"/>
    <w:rsid w:val="00FD2389"/>
    <w:rsid w:val="00FE28B1"/>
    <w:rsid w:val="00FF571A"/>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9FB462"/>
  <w15:chartTrackingRefBased/>
  <w15:docId w15:val="{FEC99EF7-474E-4FEB-A478-8521A00FC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4F7333"/>
    <w:pPr>
      <w:spacing w:before="240" w:after="240" w:line="280" w:lineRule="exact"/>
      <w:jc w:val="both"/>
    </w:pPr>
    <w:rPr>
      <w:rFonts w:eastAsia="Times New Roman" w:cs="Times New Roman"/>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349F3"/>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9349F3"/>
  </w:style>
  <w:style w:type="paragraph" w:styleId="Piedepgina">
    <w:name w:val="footer"/>
    <w:basedOn w:val="Normal"/>
    <w:link w:val="PiedepginaCar"/>
    <w:uiPriority w:val="99"/>
    <w:unhideWhenUsed/>
    <w:rsid w:val="009349F3"/>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9349F3"/>
  </w:style>
  <w:style w:type="table" w:styleId="Tablaconcuadrcula">
    <w:name w:val="Table Grid"/>
    <w:basedOn w:val="Tablanormal"/>
    <w:uiPriority w:val="39"/>
    <w:rsid w:val="009349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517D62"/>
    <w:rPr>
      <w:color w:val="0563C1" w:themeColor="hyperlink"/>
      <w:u w:val="single"/>
    </w:rPr>
  </w:style>
  <w:style w:type="paragraph" w:customStyle="1" w:styleId="Texto">
    <w:name w:val="Texto"/>
    <w:basedOn w:val="Normal"/>
    <w:link w:val="TextoChar"/>
    <w:qFormat/>
    <w:rsid w:val="006972C9"/>
    <w:pPr>
      <w:spacing w:before="120" w:after="120" w:line="360" w:lineRule="auto"/>
    </w:pPr>
  </w:style>
  <w:style w:type="paragraph" w:customStyle="1" w:styleId="Negrita">
    <w:name w:val="Negrita"/>
    <w:basedOn w:val="Texto"/>
    <w:link w:val="NegritaChar1"/>
    <w:uiPriority w:val="1"/>
    <w:qFormat/>
    <w:rsid w:val="006972C9"/>
    <w:pPr>
      <w:spacing w:before="0" w:after="0"/>
    </w:pPr>
    <w:rPr>
      <w:b/>
    </w:rPr>
  </w:style>
  <w:style w:type="paragraph" w:customStyle="1" w:styleId="numeracion">
    <w:name w:val="numeracion"/>
    <w:basedOn w:val="Texto"/>
    <w:uiPriority w:val="1"/>
    <w:qFormat/>
    <w:rsid w:val="006972C9"/>
    <w:pPr>
      <w:numPr>
        <w:numId w:val="1"/>
      </w:numPr>
      <w:ind w:left="432" w:firstLine="0"/>
    </w:pPr>
  </w:style>
  <w:style w:type="paragraph" w:customStyle="1" w:styleId="vinetas">
    <w:name w:val="vinetas"/>
    <w:basedOn w:val="numeracion"/>
    <w:uiPriority w:val="1"/>
    <w:qFormat/>
    <w:rsid w:val="006972C9"/>
    <w:pPr>
      <w:numPr>
        <w:numId w:val="2"/>
      </w:numPr>
      <w:ind w:left="792"/>
    </w:pPr>
  </w:style>
  <w:style w:type="paragraph" w:customStyle="1" w:styleId="CC">
    <w:name w:val="CC"/>
    <w:basedOn w:val="Texto"/>
    <w:link w:val="CCChar"/>
    <w:qFormat/>
    <w:rsid w:val="006972C9"/>
    <w:pPr>
      <w:spacing w:before="0" w:after="0"/>
    </w:pPr>
    <w:rPr>
      <w:sz w:val="18"/>
      <w:szCs w:val="18"/>
    </w:rPr>
  </w:style>
  <w:style w:type="character" w:customStyle="1" w:styleId="TextoChar">
    <w:name w:val="Texto Char"/>
    <w:basedOn w:val="Fuentedeprrafopredeter"/>
    <w:link w:val="Texto"/>
    <w:rsid w:val="006972C9"/>
    <w:rPr>
      <w:rFonts w:ascii="Cambria" w:eastAsia="Times New Roman" w:hAnsi="Cambria" w:cs="Times New Roman"/>
      <w:szCs w:val="24"/>
      <w:lang w:val="es-ES"/>
    </w:rPr>
  </w:style>
  <w:style w:type="character" w:customStyle="1" w:styleId="CCChar">
    <w:name w:val="CC Char"/>
    <w:basedOn w:val="TextoChar"/>
    <w:link w:val="CC"/>
    <w:rsid w:val="006972C9"/>
    <w:rPr>
      <w:rFonts w:ascii="Cambria" w:eastAsia="Times New Roman" w:hAnsi="Cambria" w:cs="Times New Roman"/>
      <w:sz w:val="18"/>
      <w:szCs w:val="18"/>
      <w:lang w:val="es-ES"/>
    </w:rPr>
  </w:style>
  <w:style w:type="paragraph" w:customStyle="1" w:styleId="encabezado0">
    <w:name w:val="encabezado"/>
    <w:basedOn w:val="Texto"/>
    <w:uiPriority w:val="1"/>
    <w:qFormat/>
    <w:rsid w:val="006972C9"/>
    <w:pPr>
      <w:spacing w:before="0" w:after="0"/>
    </w:pPr>
  </w:style>
  <w:style w:type="character" w:customStyle="1" w:styleId="NegritaChar1">
    <w:name w:val="Negrita Char1"/>
    <w:basedOn w:val="Fuentedeprrafopredeter"/>
    <w:link w:val="Negrita"/>
    <w:uiPriority w:val="1"/>
    <w:rsid w:val="006972C9"/>
    <w:rPr>
      <w:rFonts w:ascii="Cambria" w:eastAsia="Times New Roman" w:hAnsi="Cambria" w:cs="Times New Roman"/>
      <w:b/>
      <w:szCs w:val="24"/>
      <w:lang w:val="es-ES"/>
    </w:rPr>
  </w:style>
  <w:style w:type="paragraph" w:customStyle="1" w:styleId="CentradoResaltado">
    <w:name w:val="Centrado Resaltado"/>
    <w:basedOn w:val="Normal"/>
    <w:link w:val="CentradoResaltadoChar"/>
    <w:uiPriority w:val="1"/>
    <w:qFormat/>
    <w:rsid w:val="006972C9"/>
    <w:pPr>
      <w:jc w:val="center"/>
    </w:pPr>
    <w:rPr>
      <w:b/>
    </w:rPr>
  </w:style>
  <w:style w:type="character" w:customStyle="1" w:styleId="CentradoResaltadoChar">
    <w:name w:val="Centrado Resaltado Char"/>
    <w:basedOn w:val="Fuentedeprrafopredeter"/>
    <w:link w:val="CentradoResaltado"/>
    <w:uiPriority w:val="1"/>
    <w:rsid w:val="006972C9"/>
    <w:rPr>
      <w:rFonts w:ascii="Cambria" w:eastAsia="Times New Roman" w:hAnsi="Cambria" w:cs="Times New Roman"/>
      <w:b/>
      <w:szCs w:val="24"/>
      <w:lang w:val="es-ES"/>
    </w:rPr>
  </w:style>
  <w:style w:type="character" w:styleId="Textodelmarcadordeposicin">
    <w:name w:val="Placeholder Text"/>
    <w:basedOn w:val="Fuentedeprrafopredeter"/>
    <w:uiPriority w:val="99"/>
    <w:semiHidden/>
    <w:rsid w:val="006972C9"/>
    <w:rPr>
      <w:color w:val="808080"/>
    </w:rPr>
  </w:style>
  <w:style w:type="paragraph" w:customStyle="1" w:styleId="Informacindecontacto">
    <w:name w:val="Información de contacto"/>
    <w:basedOn w:val="Normal"/>
    <w:uiPriority w:val="11"/>
    <w:qFormat/>
    <w:rsid w:val="00376CCB"/>
    <w:pPr>
      <w:spacing w:line="240" w:lineRule="auto"/>
      <w:contextualSpacing/>
      <w:jc w:val="center"/>
    </w:pPr>
    <w:rPr>
      <w:rFonts w:eastAsiaTheme="minorEastAsia" w:cstheme="minorBidi"/>
      <w:color w:val="44546A" w:themeColor="text2"/>
      <w:sz w:val="18"/>
      <w:szCs w:val="22"/>
      <w:lang w:eastAsia="ja-JP"/>
    </w:rPr>
  </w:style>
  <w:style w:type="paragraph" w:customStyle="1" w:styleId="Consecutivo">
    <w:name w:val="Consecutivo"/>
    <w:basedOn w:val="Informacindecontacto"/>
    <w:uiPriority w:val="1"/>
    <w:rsid w:val="004F7333"/>
    <w:pPr>
      <w:spacing w:before="0" w:after="0"/>
      <w:jc w:val="both"/>
    </w:pPr>
    <w:rPr>
      <w:rFonts w:ascii="Arial" w:hAnsi="Arial" w:cs="Arial"/>
      <w:color w:val="003366"/>
      <w:sz w:val="13"/>
      <w:szCs w:val="20"/>
    </w:rPr>
  </w:style>
  <w:style w:type="paragraph" w:customStyle="1" w:styleId="Uso">
    <w:name w:val="Uso"/>
    <w:basedOn w:val="Normal"/>
    <w:uiPriority w:val="1"/>
    <w:rsid w:val="003D3706"/>
    <w:pPr>
      <w:spacing w:before="0" w:after="0" w:line="200" w:lineRule="exact"/>
    </w:pPr>
    <w:rPr>
      <w:color w:val="808080" w:themeColor="background1" w:themeShade="80"/>
      <w:sz w:val="13"/>
    </w:rPr>
  </w:style>
  <w:style w:type="character" w:styleId="Nmerodepgina">
    <w:name w:val="page number"/>
    <w:basedOn w:val="Fuentedeprrafopredeter"/>
    <w:uiPriority w:val="99"/>
    <w:semiHidden/>
    <w:unhideWhenUsed/>
    <w:rsid w:val="003D3706"/>
    <w:rPr>
      <w:rFonts w:asciiTheme="majorHAnsi" w:hAnsiTheme="majorHAnsi"/>
      <w:color w:val="003366"/>
      <w:sz w:val="15"/>
    </w:rPr>
  </w:style>
  <w:style w:type="paragraph" w:styleId="Prrafodelista">
    <w:name w:val="List Paragraph"/>
    <w:basedOn w:val="Normal"/>
    <w:uiPriority w:val="34"/>
    <w:qFormat/>
    <w:rsid w:val="00402E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mailto:normativaenconsulta@sugef.fi.cr"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8" Type="http://schemas.openxmlformats.org/officeDocument/2006/relationships/image" Target="media/image10.svg"/><Relationship Id="rId3" Type="http://schemas.openxmlformats.org/officeDocument/2006/relationships/image" Target="media/image5.png"/><Relationship Id="rId7" Type="http://schemas.openxmlformats.org/officeDocument/2006/relationships/image" Target="media/image9.png"/><Relationship Id="rId2" Type="http://schemas.openxmlformats.org/officeDocument/2006/relationships/image" Target="media/image4.svg"/><Relationship Id="rId1" Type="http://schemas.openxmlformats.org/officeDocument/2006/relationships/image" Target="media/image3.png"/><Relationship Id="rId6" Type="http://schemas.openxmlformats.org/officeDocument/2006/relationships/image" Target="media/image8.svg"/><Relationship Id="rId5" Type="http://schemas.openxmlformats.org/officeDocument/2006/relationships/image" Target="media/image7.png"/><Relationship Id="rId4" Type="http://schemas.openxmlformats.org/officeDocument/2006/relationships/image" Target="media/image6.svg"/><Relationship Id="rId9" Type="http://schemas.openxmlformats.org/officeDocument/2006/relationships/image" Target="media/image11.png"/></Relationships>
</file>

<file path=word/_rels/footer3.xml.rels><?xml version="1.0" encoding="UTF-8" standalone="yes"?>
<Relationships xmlns="http://schemas.openxmlformats.org/package/2006/relationships"><Relationship Id="rId8" Type="http://schemas.openxmlformats.org/officeDocument/2006/relationships/image" Target="media/image10.svg"/><Relationship Id="rId3" Type="http://schemas.openxmlformats.org/officeDocument/2006/relationships/image" Target="media/image5.png"/><Relationship Id="rId7" Type="http://schemas.openxmlformats.org/officeDocument/2006/relationships/image" Target="media/image9.png"/><Relationship Id="rId2" Type="http://schemas.openxmlformats.org/officeDocument/2006/relationships/image" Target="media/image4.svg"/><Relationship Id="rId1" Type="http://schemas.openxmlformats.org/officeDocument/2006/relationships/image" Target="media/image3.png"/><Relationship Id="rId6" Type="http://schemas.openxmlformats.org/officeDocument/2006/relationships/image" Target="media/image8.svg"/><Relationship Id="rId5" Type="http://schemas.openxmlformats.org/officeDocument/2006/relationships/image" Target="media/image7.png"/><Relationship Id="rId4" Type="http://schemas.openxmlformats.org/officeDocument/2006/relationships/image" Target="media/image6.svg"/><Relationship Id="rId9" Type="http://schemas.openxmlformats.org/officeDocument/2006/relationships/image" Target="media/image1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C7EA0F4B-2D33-41DD-822E-27A315B31C7A}"/>
      </w:docPartPr>
      <w:docPartBody>
        <w:p w:rsidR="00975961" w:rsidRDefault="00FE5E36">
          <w:r w:rsidRPr="00CB6A0D">
            <w:rPr>
              <w:rStyle w:val="Textodelmarcadordeposicin"/>
            </w:rPr>
            <w:t>Haga clic o pulse aquí para escribir texto.</w:t>
          </w:r>
        </w:p>
      </w:docPartBody>
    </w:docPart>
    <w:docPart>
      <w:docPartPr>
        <w:name w:val="FF69C54830724E9DA436EDD426B4DB79"/>
        <w:category>
          <w:name w:val="General"/>
          <w:gallery w:val="placeholder"/>
        </w:category>
        <w:types>
          <w:type w:val="bbPlcHdr"/>
        </w:types>
        <w:behaviors>
          <w:behavior w:val="content"/>
        </w:behaviors>
        <w:guid w:val="{C288C2E4-AB15-43A1-A8DE-49E8A910898E}"/>
      </w:docPartPr>
      <w:docPartBody>
        <w:p w:rsidR="00235C68" w:rsidRDefault="001A0E3D" w:rsidP="001A0E3D">
          <w:pPr>
            <w:pStyle w:val="FF69C54830724E9DA436EDD426B4DB79"/>
          </w:pPr>
          <w:r w:rsidRPr="001E0779">
            <w:rPr>
              <w:rStyle w:val="Textodelmarcadordeposicin"/>
            </w:rPr>
            <w:t>Haga clic aquí para escribir texto.</w:t>
          </w:r>
        </w:p>
      </w:docPartBody>
    </w:docPart>
    <w:docPart>
      <w:docPartPr>
        <w:name w:val="A80EEA89FC1D4759A5F2AF3C7D9788CF"/>
        <w:category>
          <w:name w:val="General"/>
          <w:gallery w:val="placeholder"/>
        </w:category>
        <w:types>
          <w:type w:val="bbPlcHdr"/>
        </w:types>
        <w:behaviors>
          <w:behavior w:val="content"/>
        </w:behaviors>
        <w:guid w:val="{D9659E55-8510-4A9D-90C3-E26199013276}"/>
      </w:docPartPr>
      <w:docPartBody>
        <w:p w:rsidR="00837311" w:rsidRDefault="000A741E" w:rsidP="000A741E">
          <w:pPr>
            <w:pStyle w:val="A80EEA89FC1D4759A5F2AF3C7D9788CF"/>
          </w:pPr>
          <w:r>
            <w:rPr>
              <w:rStyle w:val="Textodelmarcadordeposicin"/>
            </w:rPr>
            <w:t>Elija un elemento.</w:t>
          </w:r>
        </w:p>
      </w:docPartBody>
    </w:docPart>
    <w:docPart>
      <w:docPartPr>
        <w:name w:val="8744CFEC20384CA69F5B0A699537BBFE"/>
        <w:category>
          <w:name w:val="General"/>
          <w:gallery w:val="placeholder"/>
        </w:category>
        <w:types>
          <w:type w:val="bbPlcHdr"/>
        </w:types>
        <w:behaviors>
          <w:behavior w:val="content"/>
        </w:behaviors>
        <w:guid w:val="{BA36B9F2-F017-428D-827D-A71AAAB5443C}"/>
      </w:docPartPr>
      <w:docPartBody>
        <w:p w:rsidR="00837311" w:rsidRDefault="000A741E" w:rsidP="000A741E">
          <w:pPr>
            <w:pStyle w:val="8744CFEC20384CA69F5B0A699537BBFE"/>
          </w:pPr>
          <w:r w:rsidRPr="00CB6A0D">
            <w:rPr>
              <w:rStyle w:val="Textodelmarcadordeposicin"/>
            </w:rPr>
            <w:t>Haga clic o pulse aquí para escribir texto.</w:t>
          </w:r>
        </w:p>
      </w:docPartBody>
    </w:docPart>
    <w:docPart>
      <w:docPartPr>
        <w:name w:val="A4C1489DAC464959A985A33EE720A5A6"/>
        <w:category>
          <w:name w:val="General"/>
          <w:gallery w:val="placeholder"/>
        </w:category>
        <w:types>
          <w:type w:val="bbPlcHdr"/>
        </w:types>
        <w:behaviors>
          <w:behavior w:val="content"/>
        </w:behaviors>
        <w:guid w:val="{980130CB-812F-47AC-BE41-1041B7E64938}"/>
      </w:docPartPr>
      <w:docPartBody>
        <w:p w:rsidR="00837311" w:rsidRDefault="000A741E" w:rsidP="000A741E">
          <w:pPr>
            <w:pStyle w:val="A4C1489DAC464959A985A33EE720A5A6"/>
          </w:pPr>
          <w:r w:rsidRPr="00CB6A0D">
            <w:rPr>
              <w:rStyle w:val="Textodelmarcadordeposicin"/>
            </w:rPr>
            <w:t>Haga clic o pulse aquí para escribir texto.</w:t>
          </w:r>
        </w:p>
      </w:docPartBody>
    </w:docPart>
    <w:docPart>
      <w:docPartPr>
        <w:name w:val="033395312525402F903E8B82594D48F2"/>
        <w:category>
          <w:name w:val="General"/>
          <w:gallery w:val="placeholder"/>
        </w:category>
        <w:types>
          <w:type w:val="bbPlcHdr"/>
        </w:types>
        <w:behaviors>
          <w:behavior w:val="content"/>
        </w:behaviors>
        <w:guid w:val="{AAD116E1-F0E5-4146-9667-A53C180D847B}"/>
      </w:docPartPr>
      <w:docPartBody>
        <w:p w:rsidR="00837311" w:rsidRDefault="000A741E" w:rsidP="000A741E">
          <w:pPr>
            <w:pStyle w:val="033395312525402F903E8B82594D48F2"/>
          </w:pPr>
          <w:r>
            <w:rPr>
              <w:rStyle w:val="Textodelmarcadordeposicin"/>
            </w:rPr>
            <w:t>Elija un elemento.</w:t>
          </w:r>
        </w:p>
      </w:docPartBody>
    </w:docPart>
    <w:docPart>
      <w:docPartPr>
        <w:name w:val="A6660D59152849018CECE2841C4246F8"/>
        <w:category>
          <w:name w:val="General"/>
          <w:gallery w:val="placeholder"/>
        </w:category>
        <w:types>
          <w:type w:val="bbPlcHdr"/>
        </w:types>
        <w:behaviors>
          <w:behavior w:val="content"/>
        </w:behaviors>
        <w:guid w:val="{E7D8713A-DFD5-4D6F-A85F-93E496C6687B}"/>
      </w:docPartPr>
      <w:docPartBody>
        <w:p w:rsidR="003F0D60" w:rsidRDefault="00823742" w:rsidP="00823742">
          <w:pPr>
            <w:pStyle w:val="A6660D59152849018CECE2841C4246F8"/>
          </w:pPr>
          <w:r w:rsidRPr="00CB6A0D">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Roboto">
    <w:charset w:val="00"/>
    <w:family w:val="auto"/>
    <w:pitch w:val="variable"/>
    <w:sig w:usb0="E0000AFF" w:usb1="5000217F" w:usb2="0000002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26D"/>
    <w:rsid w:val="0003240E"/>
    <w:rsid w:val="00051C8F"/>
    <w:rsid w:val="000874C9"/>
    <w:rsid w:val="000A6A88"/>
    <w:rsid w:val="000A741E"/>
    <w:rsid w:val="000B5501"/>
    <w:rsid w:val="001009B3"/>
    <w:rsid w:val="0012303F"/>
    <w:rsid w:val="00156857"/>
    <w:rsid w:val="00164012"/>
    <w:rsid w:val="001A0E3D"/>
    <w:rsid w:val="001A75AD"/>
    <w:rsid w:val="001E1909"/>
    <w:rsid w:val="001F154E"/>
    <w:rsid w:val="00212CFA"/>
    <w:rsid w:val="00235C68"/>
    <w:rsid w:val="00244797"/>
    <w:rsid w:val="002841A4"/>
    <w:rsid w:val="002B45E7"/>
    <w:rsid w:val="002C1011"/>
    <w:rsid w:val="002C7BF4"/>
    <w:rsid w:val="00300CAF"/>
    <w:rsid w:val="003032F1"/>
    <w:rsid w:val="00377E4C"/>
    <w:rsid w:val="003B12E1"/>
    <w:rsid w:val="003C4040"/>
    <w:rsid w:val="003F0D60"/>
    <w:rsid w:val="00406995"/>
    <w:rsid w:val="004646E8"/>
    <w:rsid w:val="00477A1D"/>
    <w:rsid w:val="004B2C4A"/>
    <w:rsid w:val="004C3603"/>
    <w:rsid w:val="004C7109"/>
    <w:rsid w:val="00552C06"/>
    <w:rsid w:val="005A7144"/>
    <w:rsid w:val="00703997"/>
    <w:rsid w:val="007B5EA2"/>
    <w:rsid w:val="007F7316"/>
    <w:rsid w:val="00823742"/>
    <w:rsid w:val="00837311"/>
    <w:rsid w:val="00844C15"/>
    <w:rsid w:val="00873F61"/>
    <w:rsid w:val="008925FF"/>
    <w:rsid w:val="008B01AE"/>
    <w:rsid w:val="008C5B2B"/>
    <w:rsid w:val="00914AD9"/>
    <w:rsid w:val="009166D0"/>
    <w:rsid w:val="00931444"/>
    <w:rsid w:val="00952FE1"/>
    <w:rsid w:val="00975961"/>
    <w:rsid w:val="009B6865"/>
    <w:rsid w:val="009B7930"/>
    <w:rsid w:val="009D4C67"/>
    <w:rsid w:val="009E16AF"/>
    <w:rsid w:val="009F555C"/>
    <w:rsid w:val="00A12FC3"/>
    <w:rsid w:val="00AE42B3"/>
    <w:rsid w:val="00AF007C"/>
    <w:rsid w:val="00B27BBE"/>
    <w:rsid w:val="00B518F8"/>
    <w:rsid w:val="00B800F4"/>
    <w:rsid w:val="00BB3E82"/>
    <w:rsid w:val="00C46DF8"/>
    <w:rsid w:val="00C60009"/>
    <w:rsid w:val="00C778B9"/>
    <w:rsid w:val="00CC5446"/>
    <w:rsid w:val="00CD6992"/>
    <w:rsid w:val="00D37FA6"/>
    <w:rsid w:val="00D60C62"/>
    <w:rsid w:val="00D83160"/>
    <w:rsid w:val="00E42600"/>
    <w:rsid w:val="00E504A3"/>
    <w:rsid w:val="00E55BC9"/>
    <w:rsid w:val="00E6396E"/>
    <w:rsid w:val="00EA526D"/>
    <w:rsid w:val="00EF2D6F"/>
    <w:rsid w:val="00F11540"/>
    <w:rsid w:val="00F21DAF"/>
    <w:rsid w:val="00F510CA"/>
    <w:rsid w:val="00F96176"/>
    <w:rsid w:val="00F97E3B"/>
    <w:rsid w:val="00FE28B1"/>
    <w:rsid w:val="00FE5E36"/>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R" w:eastAsia="es-C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823742"/>
    <w:rPr>
      <w:color w:val="808080"/>
    </w:rPr>
  </w:style>
  <w:style w:type="paragraph" w:customStyle="1" w:styleId="FF69C54830724E9DA436EDD426B4DB79">
    <w:name w:val="FF69C54830724E9DA436EDD426B4DB79"/>
    <w:rsid w:val="001A0E3D"/>
  </w:style>
  <w:style w:type="paragraph" w:customStyle="1" w:styleId="A80EEA89FC1D4759A5F2AF3C7D9788CF">
    <w:name w:val="A80EEA89FC1D4759A5F2AF3C7D9788CF"/>
    <w:rsid w:val="000A741E"/>
  </w:style>
  <w:style w:type="paragraph" w:customStyle="1" w:styleId="8744CFEC20384CA69F5B0A699537BBFE">
    <w:name w:val="8744CFEC20384CA69F5B0A699537BBFE"/>
    <w:rsid w:val="000A741E"/>
  </w:style>
  <w:style w:type="paragraph" w:customStyle="1" w:styleId="A4C1489DAC464959A985A33EE720A5A6">
    <w:name w:val="A4C1489DAC464959A985A33EE720A5A6"/>
    <w:rsid w:val="000A741E"/>
  </w:style>
  <w:style w:type="paragraph" w:customStyle="1" w:styleId="033395312525402F903E8B82594D48F2">
    <w:name w:val="033395312525402F903E8B82594D48F2"/>
    <w:rsid w:val="000A741E"/>
  </w:style>
  <w:style w:type="paragraph" w:customStyle="1" w:styleId="A6660D59152849018CECE2841C4246F8">
    <w:name w:val="A6660D59152849018CECE2841C4246F8"/>
    <w:rsid w:val="008237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&#65279;<?xml version="1.0" encoding="utf-8"?><Relationships xmlns="http://schemas.openxmlformats.org/package/2006/relationships"><Relationship Type="http://schemas.openxmlformats.org/package/2006/relationships/digital-signature/signature" Target="/_xmlsignatures/sig1.xml" Id="rId1" /></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kAWTSDurCExd0QDVErg94s957kfHTthngAd23eQ7PP8=</DigestValue>
    </Reference>
    <Reference Type="http://uri.etsi.org/01903#SignedProperties" URI="#idSignedProperties">
      <Transforms>
        <Transform Algorithm="http://www.w3.org/TR/2001/REC-xml-c14n-20010315"/>
      </Transforms>
      <DigestMethod Algorithm="http://www.w3.org/2001/04/xmlenc#sha256"/>
      <DigestValue>2EczpahKJyUexEfRqGIo7kCHOpT8eqAE4wfQQ/H/xiI=</DigestValue>
    </Reference>
  </SignedInfo>
  <SignatureValue>e7Ll29xgs8Ag/b8YaCl9cqrqNFzK6K1GIXZKiZdBHPG9pGpSg+kbj8Knliq9HMdJdEdpa+UQlThFOhG9RlR5vgFrLQIs6L53Ov8DdD46w+i1QSyzwAU4ygYJflNHhM4wRQA93qiOPNlj52chyPcaf3BMY0TJOfiwdCEYHZDkZthE7yEudvBIQTCcuCvQ+ys0vPsPajsheaj130o4ql85obd0ip+mxXD/O5Jr6cOXXoslDcYlq+t/MsG4kN+XMCm3ztWg9wWyUCjMlEQkqPpp4o3imxyhmlcFdSaQL23DqvCIMR/N0Ut/apSZqzkpeqE92Ud05sv0i1MZcIDDnnAIQw==</SignatureValue>
  <KeyInfo>
    <X509Data>
      <X509Certificate>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</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1"/>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Transform>
          <Transform Algorithm="http://www.w3.org/TR/2001/REC-xml-c14n-20010315"/>
        </Transforms>
        <DigestMethod Algorithm="http://www.w3.org/2001/04/xmlenc#sha256"/>
        <DigestValue>QF5T8wpnUvl4brBdGDoIie8Pt1LkibxB6rlQ5ei5uCI=</DigestValue>
      </Reference>
      <Reference URI="/word/_rels/footer3.xml.rels?ContentType=application/vnd.openxmlformats-package.relationships+xml">
        <Transforms>
          <Transform Algorithm="http://schemas.openxmlformats.org/package/2006/RelationshipTransform">
            <mdssi:RelationshipReference xmlns:mdssi="http://schemas.openxmlformats.org/package/2006/digital-signature" SourceId="rId8"/>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6"/>
            <mdssi:RelationshipReference xmlns:mdssi="http://schemas.openxmlformats.org/package/2006/digital-signature" SourceId="rId5"/>
            <mdssi:RelationshipReference xmlns:mdssi="http://schemas.openxmlformats.org/package/2006/digital-signature" SourceId="rId4"/>
            <mdssi:RelationshipReference xmlns:mdssi="http://schemas.openxmlformats.org/package/2006/digital-signature" SourceId="rId9"/>
          </Transform>
          <Transform Algorithm="http://www.w3.org/TR/2001/REC-xml-c14n-20010315"/>
        </Transforms>
        <DigestMethod Algorithm="http://www.w3.org/2001/04/xmlenc#sha256"/>
        <DigestValue>XKMrQMGPtvnLCZ2Famxi2me20mGNmEyi1qltNaDjamc=</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8FX62eLvQrwN2CF8HuwXTPcTxuPot3isldQYqTkZviw=</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8"/>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6"/>
            <mdssi:RelationshipReference xmlns:mdssi="http://schemas.openxmlformats.org/package/2006/digital-signature" SourceId="rId5"/>
            <mdssi:RelationshipReference xmlns:mdssi="http://schemas.openxmlformats.org/package/2006/digital-signature" SourceId="rId4"/>
            <mdssi:RelationshipReference xmlns:mdssi="http://schemas.openxmlformats.org/package/2006/digital-signature" SourceId="rId9"/>
          </Transform>
          <Transform Algorithm="http://www.w3.org/TR/2001/REC-xml-c14n-20010315"/>
        </Transforms>
        <DigestMethod Algorithm="http://www.w3.org/2001/04/xmlenc#sha256"/>
        <DigestValue>XKMrQMGPtvnLCZ2Famxi2me20mGNmEyi1qltNaDjamc=</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Transform>
          <Transform Algorithm="http://www.w3.org/TR/2001/REC-xml-c14n-20010315"/>
        </Transforms>
        <DigestMethod Algorithm="http://www.w3.org/2001/04/xmlenc#sha256"/>
        <DigestValue>tI9MMc4dgyFVN51ZYv0+ie+qLoS977tYmLOtS8YjJ5U=</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8FX62eLvQrwN2CF8HuwXTPcTxuPot3isldQYqTkZviw=</DigestValue>
      </Reference>
      <Reference URI="/word/document.xml?ContentType=application/vnd.openxmlformats-officedocument.wordprocessingml.document.main+xml">
        <DigestMethod Algorithm="http://www.w3.org/2001/04/xmlenc#sha256"/>
        <DigestValue>4hrRcWaxSuzgH8NAF73bC2VSV+Dv80OEyRakJ93ySSc=</DigestValue>
      </Reference>
      <Reference URI="/word/settings.xml?ContentType=application/vnd.openxmlformats-officedocument.wordprocessingml.settings+xml">
        <DigestMethod Algorithm="http://www.w3.org/2001/04/xmlenc#sha256"/>
        <DigestValue>vA9Z6dFx6a++MYsmGgPS+Of1uC49k3iqBovCdVjEphM=</DigestValue>
      </Reference>
      <Reference URI="/word/media/image1.png?ContentType=image/png">
        <DigestMethod Algorithm="http://www.w3.org/2001/04/xmlenc#sha256"/>
        <DigestValue>/2igGQRmXCxo7zLqzYJUwTD6vK8odIIArIh2sEbYrXA=</DigestValue>
      </Reference>
      <Reference URI="/word/footer3.xml?ContentType=application/vnd.openxmlformats-officedocument.wordprocessingml.footer+xml">
        <DigestMethod Algorithm="http://www.w3.org/2001/04/xmlenc#sha256"/>
        <DigestValue>MyLDUE8oqM+Mi3r1hJYhdD7GVdDH37UEd8vCpZ3cb8Y=</DigestValue>
      </Reference>
      <Reference URI="/word/media/image10.svg?ContentType=image/svg+xml">
        <DigestMethod Algorithm="http://www.w3.org/2001/04/xmlenc#sha256"/>
        <DigestValue>RGy52InbrXCWWKeagu4O2LLaSdGXGD3zKqGGArdssdA=</DigestValue>
      </Reference>
      <Reference URI="/word/media/image5.png?ContentType=image/png">
        <DigestMethod Algorithm="http://www.w3.org/2001/04/xmlenc#sha256"/>
        <DigestValue>wx1IPAqNTskerf1gSOCrdvbqEyKe2qJB51MSO9TAFhE=</DigestValue>
      </Reference>
      <Reference URI="/word/media/image9.png?ContentType=image/png">
        <DigestMethod Algorithm="http://www.w3.org/2001/04/xmlenc#sha256"/>
        <DigestValue>lsewZAeaJuKUU+15xpqBNL4fVz++qpZHz3JBUyeH9l4=</DigestValue>
      </Reference>
      <Reference URI="/word/media/image4.svg?ContentType=image/svg+xml">
        <DigestMethod Algorithm="http://www.w3.org/2001/04/xmlenc#sha256"/>
        <DigestValue>fA5/xp7lMj9ohuM9HiwSbBnSXnONnXKg/Nce1yValq0=</DigestValue>
      </Reference>
      <Reference URI="/word/media/image3.png?ContentType=image/png">
        <DigestMethod Algorithm="http://www.w3.org/2001/04/xmlenc#sha256"/>
        <DigestValue>m4OGIn3xgKeT4VgrxjS0RJtVO+o2HTHBFhWFUJdR18g=</DigestValue>
      </Reference>
      <Reference URI="/word/media/image8.svg?ContentType=image/svg+xml">
        <DigestMethod Algorithm="http://www.w3.org/2001/04/xmlenc#sha256"/>
        <DigestValue>4VL/NnwEYPP9KW1/9KZpJf02eLZ5xzOjbGkX3G276TY=</DigestValue>
      </Reference>
      <Reference URI="/word/media/image7.png?ContentType=image/png">
        <DigestMethod Algorithm="http://www.w3.org/2001/04/xmlenc#sha256"/>
        <DigestValue>FvBpISFn+zxKM04aPNfgyTez+wZ8YtO90XavxQkSYOo=</DigestValue>
      </Reference>
      <Reference URI="/word/media/image6.svg?ContentType=image/svg+xml">
        <DigestMethod Algorithm="http://www.w3.org/2001/04/xmlenc#sha256"/>
        <DigestValue>3DPSAUOlM0cW5Or2JSH9Th8Kc3s5ZpH8RMY2KADFWoo=</DigestValue>
      </Reference>
      <Reference URI="/word/media/image11.png?ContentType=image/png">
        <DigestMethod Algorithm="http://www.w3.org/2001/04/xmlenc#sha256"/>
        <DigestValue>4MEvG/Z8Z5q/eTLC1X1uYt3UoV7KckqgoLqfFur13MA=</DigestValue>
      </Reference>
      <Reference URI="/word/theme/theme1.xml?ContentType=application/vnd.openxmlformats-officedocument.theme+xml">
        <DigestMethod Algorithm="http://www.w3.org/2001/04/xmlenc#sha256"/>
        <DigestValue>qU3uxoX5aqe0QNlFV0I0IBZeEghaHEvniet64B41Jlk=</DigestValue>
      </Reference>
      <Reference URI="/word/styles.xml?ContentType=application/vnd.openxmlformats-officedocument.wordprocessingml.styles+xml">
        <DigestMethod Algorithm="http://www.w3.org/2001/04/xmlenc#sha256"/>
        <DigestValue>GelwKTcQG+C1bN99Tmg2Ap4PdzoEVzo+9Nh/q7zOi60=</DigestValue>
      </Reference>
      <Reference URI="/word/header2.xml?ContentType=application/vnd.openxmlformats-officedocument.wordprocessingml.header+xml">
        <DigestMethod Algorithm="http://www.w3.org/2001/04/xmlenc#sha256"/>
        <DigestValue>KhWFvPP8O5DT83+WVGebRrT54Xkho+dR2W7WMGFLvuA=</DigestValue>
      </Reference>
      <Reference URI="/word/media/image2.png?ContentType=image/png">
        <DigestMethod Algorithm="http://www.w3.org/2001/04/xmlenc#sha256"/>
        <DigestValue>dszGCqyELNj74/4Pa3UFpqqxYR51V5OPnbsB8yxuZ1Q=</DigestValue>
      </Reference>
      <Reference URI="/word/footer2.xml?ContentType=application/vnd.openxmlformats-officedocument.wordprocessingml.footer+xml">
        <DigestMethod Algorithm="http://www.w3.org/2001/04/xmlenc#sha256"/>
        <DigestValue>xcUWEtz0xLqASnuQxoayplqISx2mVi1SQ33p7Z6DViE=</DigestValue>
      </Reference>
      <Reference URI="/word/glossary/document.xml?ContentType=application/vnd.openxmlformats-officedocument.wordprocessingml.document.glossary+xml">
        <DigestMethod Algorithm="http://www.w3.org/2001/04/xmlenc#sha256"/>
        <DigestValue>jtYfMMz4G/7WQSPQFo8md5JNncVI2MrdfxbWkhjzWnA=</DigestValue>
      </Reference>
      <Reference URI="/word/glossary/webSettings.xml?ContentType=application/vnd.openxmlformats-officedocument.wordprocessingml.webSettings+xml">
        <DigestMethod Algorithm="http://www.w3.org/2001/04/xmlenc#sha256"/>
        <DigestValue>8vb+dnljSWO/SbrmX5QfQZNN5Czus6gGr6xLq5InSFM=</DigestValue>
      </Reference>
      <Reference URI="/word/glossary/settings.xml?ContentType=application/vnd.openxmlformats-officedocument.wordprocessingml.settings+xml">
        <DigestMethod Algorithm="http://www.w3.org/2001/04/xmlenc#sha256"/>
        <DigestValue>q7bSKEtSVCq6LC3JGzfGMJfyoT0zr3CfqmYYxK9bwjo=</DigestValue>
      </Reference>
      <Reference URI="/word/glossary/styles.xml?ContentType=application/vnd.openxmlformats-officedocument.wordprocessingml.styles+xml">
        <DigestMethod Algorithm="http://www.w3.org/2001/04/xmlenc#sha256"/>
        <DigestValue>BmL6wGfPW8VisyGj7VXOwTNHdJouyeANqouOVvS6unc=</DigestValue>
      </Reference>
      <Reference URI="/word/glossary/fontTable.xml?ContentType=application/vnd.openxmlformats-officedocument.wordprocessingml.fontTable+xml">
        <DigestMethod Algorithm="http://www.w3.org/2001/04/xmlenc#sha256"/>
        <DigestValue>llDqADqXPBb4NfaaBrVlkokHEoQiFuNUmd9jGybmWbk=</DigestValue>
      </Reference>
      <Reference URI="/word/numbering.xml?ContentType=application/vnd.openxmlformats-officedocument.wordprocessingml.numbering+xml">
        <DigestMethod Algorithm="http://www.w3.org/2001/04/xmlenc#sha256"/>
        <DigestValue>GYts+NluuBGI9TUf1tMkebpTuJyHMGHg1AzX+L52f80=</DigestValue>
      </Reference>
      <Reference URI="/word/endnotes.xml?ContentType=application/vnd.openxmlformats-officedocument.wordprocessingml.endnotes+xml">
        <DigestMethod Algorithm="http://www.w3.org/2001/04/xmlenc#sha256"/>
        <DigestValue>DHvqk8oxb/m/tTTHFUpkBf2euDsTQ2hkvUqgprwcCTc=</DigestValue>
      </Reference>
      <Reference URI="/word/footer1.xml?ContentType=application/vnd.openxmlformats-officedocument.wordprocessingml.footer+xml">
        <DigestMethod Algorithm="http://www.w3.org/2001/04/xmlenc#sha256"/>
        <DigestValue>ogcwUulYDP/50Y0MEqdSopgXSst+p4XJcrHD2z2izrc=</DigestValue>
      </Reference>
      <Reference URI="/word/footnotes.xml?ContentType=application/vnd.openxmlformats-officedocument.wordprocessingml.footnotes+xml">
        <DigestMethod Algorithm="http://www.w3.org/2001/04/xmlenc#sha256"/>
        <DigestValue>LEwQxCP7azVY2uiz/p454yWtU066lgmmFqYqnaeQVgI=</DigestValue>
      </Reference>
      <Reference URI="/word/fontTable.xml?ContentType=application/vnd.openxmlformats-officedocument.wordprocessingml.fontTable+xml">
        <DigestMethod Algorithm="http://www.w3.org/2001/04/xmlenc#sha256"/>
        <DigestValue>M+7iDJdThOt4yCgUz2TpUMZkrIRzorgKJ+Emve3ie9U=</DigestValue>
      </Reference>
      <Reference URI="/word/webSettings.xml?ContentType=application/vnd.openxmlformats-officedocument.wordprocessingml.webSettings+xml">
        <DigestMethod Algorithm="http://www.w3.org/2001/04/xmlenc#sha256"/>
        <DigestValue>8vb+dnljSWO/SbrmX5QfQZNN5Czus6gGr6xLq5InSFM=</DigestValue>
      </Reference>
      <Reference URI="/word/header1.xml?ContentType=application/vnd.openxmlformats-officedocument.wordprocessingml.header+xml">
        <DigestMethod Algorithm="http://www.w3.org/2001/04/xmlenc#sha256"/>
        <DigestValue>5guUJGYzUURB//ol51ndrQgzAXeO+SGDDcxZMVI6ijk=</DigestValue>
      </Reference>
    </Manifest>
    <SignatureProperties>
      <SignatureProperty Id="idSignatureTime" Target="#idPackageSignature">
        <mdssi:SignatureTime xmlns:mdssi="http://schemas.openxmlformats.org/package/2006/digital-signature">
          <mdssi:Format>YYYY-MM-DDThh:mm:ssTZD</mdssi:Format>
          <mdssi:Value>2026-06-05T18:24:51Z</mdssi:Value>
        </mdssi:SignatureTime>
      </SignatureProperty>
    </SignatureProperties>
  </Object>
  <Object>
    <xd:QualifyingProperties xmlns:xd="http://uri.etsi.org/01903/v1.3.2#" Target="#idPackageSignature">
      <xd:SignedProperties Id="idSignedProperties">
        <xd:SignedSignatureProperties>
          <xd:SigningTime>2026-06-05T18:24:51Z</xd:SigningTime>
          <xd:SigningCertificate>
            <xd:Cert>
              <xd:CertDigest>
                <DigestMethod Algorithm="http://www.w3.org/2001/04/xmlenc#sha256"/>
                <DigestValue>mT1HWBT1T7FaSABb7JLUSJJKNS6Rvx65j1diRr1OmHI=</DigestValue>
              </xd:CertDigest>
              <xd:IssuerSerial>
                <X509IssuerName>CN=CA SINPE - PERSONA FISICA v2, OU=DIVISION SISTEMAS DE PAGO, O=BANCO CENTRAL DE COSTA RICA, C=CR, SERIALNUMBER=CPJ-4-000-004017</X509IssuerName>
                <X509SerialNumber>446020147032350198942113799177566441746425968</X509SerialNumber>
              </xd:IssuerSerial>
            </xd:Cert>
          </xd:SigningCertificate>
        </xd:SignedSignatureProperties>
      </xd:SignedProperties>
      <xd:UnsignedProperties>
        <xd:UnsignedSignatureProperties>
          <xd:CertificateValues>
            <xd:EncapsulatedX509Certificate>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</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QYJKoZIhvcNAQcCoIIKwjCCCr4CAQMxDzANBglghkgBZQMEAgEFADBzBgsqhkiG9w0BCRABBKBkBGIwYAIBAQYIYIE8AQEBAQUwMTANBglghkgBZQMEAgEFAAQgj85BT/QnpXfXXessJDykTA9PrhgLEIFTfwnmGQ5XE00CBC50weoYDzIwMjYwNjA1MTgyNTAwWjAEgAIB9AEB/6CCB8Iwgge+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8zVlz72GhkgDlKERDslo/vZpRtU1OvkCG4rE62wXhTvecFALoP/VZrUgtAD66y9r29MDq9a7CRE0/I8uetV6Yt/DhB0zy08g83a7NUqwXLM21In0SVGxgEJnVku+QtUNz5KIf0w+Q9wzp3hBBpeVOmDRyOendOQDFVattNaG9UERrqqD18f+ZbiEQLEaGbcnAdt/u9tWOmSF769/LfiUspzSJFPT5ILoZWbtTXaG+V0bXiwLyQgQesL9ASvAn5BlSBDeDVwGnQ+cZVNoXzaeol+qm749NdsdgtH3kRaVbNi66t2Gh25X80enceMng/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</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</xd:EncapsulatedCRLValue>
                <xd:EncapsulatedCRLValue>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</xd:EncapsulatedCRLValue>
              </xd:CRLValues>
            </xd:RevocationValues>
          </TimeStampValidationData>
          <xd:CompleteCertificateRefs>
            <xd:CertRefs>
              <xd:Cert>
                <xd:CertDigest>
                  <DigestMethod Algorithm="http://www.w3.org/2001/04/xmlenc#sha256"/>
                  <DigestValue>WOB/2K5+bJEAragXITImcX8hI8jSPQeKC9dYvr/WcaU=</DigestValue>
                </xd:CertDigest>
                <xd:IssuerSerial>
                  <X509IssuerName>CN=CA POLITICA PERSONA FISICA - COSTA RICA v2, OU=DCFD, O=MICITT, C=CR, SERIALNUMBER=CPJ-2-100-098311</X509IssuerName>
                  <X509SerialNumber>1672555889920220192711854395991189670244384773</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CRLRefs>
              <xd:CRLRef>
                <xd:DigestAlgAndValue>
                  <DigestMethod Algorithm="http://www.w3.org/2001/04/xmlenc#sha256"/>
                  <DigestValue>YA/HoZn4Eq8lAcMlTXUazbonXAFOlnXV9nRewS8SIzM=</DigestValue>
                </xd:DigestAlgAndValue>
                <xd:CRLIdentifier>
                  <xd:Issuer>SERIALNUMBER=CPJ-2-100-098311,C=CR,O=MICITT,OU=DCFD,CN=CA POLITICA PERSONA FISICA - COSTA RICA v2</xd:Issuer>
                  <xd:IssueTime>2026-05-15T15:09:53Z</xd:IssueTime>
                  <xd:Number>74</xd:Number>
                </xd:CRLIdentifier>
              </xd:CRLRef>
              <xd:CRLRef>
                <xd:DigestAlgAndValue>
                  <DigestMethod Algorithm="http://www.w3.org/2001/04/xmlenc#sha256"/>
                  <DigestValue>2Xq9MvwWWfNMB/lONSxhbrFi+tkU+63+UCKHM1hooXk=</DigestValue>
                </xd:DigestAlgAndValue>
                <xd:CRLIdentifier>
                  <xd:Issuer>SERIALNUMBER=CPJ-2-100-098311,OU=DCFD,O=MICITT,C=CR,CN=CA RAIZ NACIONAL - COSTA RICA v2</xd:Issuer>
                  <xd:IssueTime>2026-03-20T18:09:42Z</xd:IssueTime>
                  <xd:Number>39</xd:Number>
                </xd:CRLIdentifier>
              </xd:CRLRef>
            </xd:CRLRefs>
            <xd:OCSPRefs>
              <xd:OCSPRef>
                <xd:OCSPIdentifier>
                  <xd:ResponderID>
                    <xd:ByKey>PHtKEpPf1I/Lo+IbCnh1QGzT8QU=</xd:ByKey>
                  </xd:ResponderID>
                  <xd:ProducedAt>2026-06-05T18:25:00Z</xd:ProducedAt>
                </xd:OCSPIdentifier>
                <xd:DigestAlgAndValue>
                  <DigestMethod Algorithm="http://www.w3.org/2001/04/xmlenc#sha256"/>
                  <DigestValue>GpQ95qMg+QszlBFx0FwhPm3nXxQfpgtZv86EAp6Z3AQ=</DigestValue>
                </xd:DigestAlgAndValue>
              </xd:OCSPRef>
            </xd:OCSPRefs>
          </xd:CompleteRevocationRefs>
          <xd:RevocationValues>
            <xd:CRLValues>
              <xd:EncapsulatedCRLValue>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</xd:EncapsulatedCRLValue>
              <xd:EncapsulatedCRLValue>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</xd:EncapsulatedCRLValue>
            </xd:CRLValues>
            <xd:OCSPValues>
              <xd:EncapsulatedOCSPValue>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</xd:EncapsulatedOCSPValue>
            </xd:OCSPValues>
          </xd:RevocationValues>
          <xd:SigAndRefsTimeStamp>
            <CanonicalizationMethod Algorithm="http://www.w3.org/TR/2001/REC-xml-c14n-20010315"/>
            <xd:EncapsulatedTimeStamp>MIIK0QYJKoZIhvcNAQcCoIIKwjCCCr4CAQMxDzANBglghkgBZQMEAgEFADBzBgsqhkiG9w0BCRAB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</xd:EncapsulatedTimeStamp>
          </xd:SigAndRefsTimeStamp>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f69d38d-c069-47fd-a86d-65acf93227a5">
      <Value>12</Value>
      <Value>9</Value>
      <Value>1</Value>
      <Value>2</Value>
    </TaxCatchAll>
    <riddaFechaFinRetencion xmlns="ef69d38d-c069-47fd-a86d-65acf93227a5" xsi:nil="true"/>
    <riddaFechaFinConservacion xmlns="ef69d38d-c069-47fd-a86d-65acf93227a5" xsi:nil="true"/>
    <OrdenProcesoFirma xmlns="ef69d38d-c069-47fd-a86d-65acf93227a5">Secuencial</OrdenProcesoFirma>
    <gecEmisorSaliente xmlns="ef69d38d-c069-47fd-a86d-65acf93227a5"> &lt;JOVELPP@sugef.fi.cr&gt;</gecEmisorSaliente>
    <gecIdSeguimiento xmlns="ef69d38d-c069-47fd-a86d-65acf93227a5">b87df2a1-ab91-4184-9147-dca7cdecca92</gecIdSeguimiento>
    <gecAcuseEnvioPara xmlns="ef69d38d-c069-47fd-a86d-65acf93227a5">
      <UserInfo>
        <DisplayName/>
        <AccountId xsi:nil="true"/>
        <AccountType/>
      </UserInfo>
    </gecAcuseEnvioPara>
    <gecUnidadesDestinoReenvio xmlns="ef69d38d-c069-47fd-a86d-65acf93227a5" xsi:nil="true"/>
    <gecEstadoProcesoComunicado xmlns="ef69d38d-c069-47fd-a86d-65acf93227a5">Enviado</gecEstadoProcesoComunicado>
    <l01b9427a7834fab972123760ef165a9 xmlns="ef69d38d-c069-47fd-a86d-65acf93227a5">
      <Terms xmlns="http://schemas.microsoft.com/office/infopath/2007/PartnerControls">
        <TermInfo xmlns="http://schemas.microsoft.com/office/infopath/2007/PartnerControls">
          <TermName xmlns="http://schemas.microsoft.com/office/infopath/2007/PartnerControls">Alta</TermName>
          <TermId xmlns="http://schemas.microsoft.com/office/infopath/2007/PartnerControls">0fd17ec2-e5d0-4d9f-8e18-466324d0fdd4</TermId>
        </TermInfo>
      </Terms>
    </l01b9427a7834fab972123760ef165a9>
    <riddaEtapaProcesoArchivado xmlns="ef69d38d-c069-47fd-a86d-65acf93227a5">⭕ Sin iniciar||</riddaEtapaProcesoArchivado>
    <gecNumConsecutivo xmlns="ef69d38d-c069-47fd-a86d-65acf93227a5">SGF-RES-0017-2026</gecNumConsecutivo>
    <gecAlmacenDatosComunicado xmlns="ef69d38d-c069-47fd-a86d-65acf93227a5">{"gecEntidadExterna":[],"gecInformativoPara":[],"gecUnidadesDestino":[{"IdRegistro":"7cebf277-eee0-4073-aaed-ea65f67f4e40","Nombre":"SGF-Departamento de Normas"},{"IdRegistro":"727d2719-cd62-4877-a48b-6e20d00b412c","Nombre":"SGF-División Gestión e Innovación"}]}</gecAlmacenDatosComunicado>
    <FirmarDocumento xmlns="ef69d38d-c069-47fd-a86d-65acf93227a5" xsi:nil="true"/>
    <riddaTipoConservacion xmlns="ef69d38d-c069-47fd-a86d-65acf93227a5">Valor científico cultural AN</riddaTipoConservacion>
    <f66f20a3ae0942cf8c7b1e4524698e23 xmlns="ef69d38d-c069-47fd-a86d-65acf93227a5">
      <Terms xmlns="http://schemas.microsoft.com/office/infopath/2007/PartnerControls"/>
    </f66f20a3ae0942cf8c7b1e4524698e23>
    <gecProposito xmlns="ef69d38d-c069-47fd-a86d-65acf93227a5">Informar</gecProposito>
    <gecIdRegistroTareaRelacionada xmlns="ef69d38d-c069-47fd-a86d-65acf93227a5" xsi:nil="true"/>
    <SolicitudAprobacion xmlns="ef69d38d-c069-47fd-a86d-65acf93227a5" xsi:nil="true"/>
    <riddaIdDocDigitalArchivo xmlns="ef69d38d-c069-47fd-a86d-65acf93227a5" xsi:nil="true"/>
    <gecAsuntoComunicado xmlns="ef69d38d-c069-47fd-a86d-65acf93227a5">RESOLUCIÓN. Atiende oficio SGF-DGI-NOR-OFC-0023-2026 Acuerdo SUGEF 5-26 y Protocolo atención casos intermediarios financieros supervisados rechacen reclamos Ley 10.889</gecAsuntoComunicado>
    <gecNumReferencia xmlns="ef69d38d-c069-47fd-a86d-65acf93227a5">SGF-DGI-NOR-OFC-0023-2026</gecNumReferencia>
    <riddaDescripcion xmlns="ef69d38d-c069-47fd-a86d-65acf93227a5" xsi:nil="true"/>
    <gecSecretaria xmlns="ef69d38d-c069-47fd-a86d-65acf93227a5" xsi:nil="true"/>
    <riddaCodProceso xmlns="ef69d38d-c069-47fd-a86d-65acf93227a5" xsi:nil="true"/>
    <gecConsecutivoTareaRelacionada xmlns="ef69d38d-c069-47fd-a86d-65acf93227a5" xsi:nil="true"/>
    <gecDestinatariosExternos xmlns="ef69d38d-c069-47fd-a86d-65acf93227a5" xsi:nil="true"/>
    <Firmantes xmlns="ef69d38d-c069-47fd-a86d-65acf93227a5">
      <UserInfo>
        <DisplayName>VALVERDE RICHMOND HAZEL CRISTINA</DisplayName>
        <AccountId>61</AccountId>
        <AccountType/>
      </UserInfo>
    </Firmantes>
    <NombreOrigen xmlns="ef69d38d-c069-47fd-a86d-65acf93227a5">ff0cac1b-a417-4183-9581-d0a2d1e18a99</NombreOrigen>
    <riddaConservacion xmlns="ef69d38d-c069-47fd-a86d-65acf93227a5">100</riddaConservacion>
    <riddaRetencion xmlns="ef69d38d-c069-47fd-a86d-65acf93227a5">2</riddaRetencion>
    <riddaFondoDoc xmlns="ef69d38d-c069-47fd-a86d-65acf93227a5" xsi:nil="true"/>
    <gecObservaciones xmlns="ef69d38d-c069-47fd-a86d-65acf93227a5" xsi:nil="true"/>
    <riddaCodSerie xmlns="ef69d38d-c069-47fd-a86d-65acf93227a5" xsi:nil="true"/>
    <riddaSerieDoc xmlns="ef69d38d-c069-47fd-a86d-65acf93227a5" xsi:nil="true"/>
    <EstadoProcesoFirma xmlns="ef69d38d-c069-47fd-a86d-65acf93227a5">Finalizado</EstadoProcesoFirma>
    <gecFechaDeEnvio xmlns="ef69d38d-c069-47fd-a86d-65acf93227a5">2026-06-08T22:07:00+00:00</gecFechaDeEnvio>
    <riddaFechaDeclaracionRegistro xmlns="ef69d38d-c069-47fd-a86d-65acf93227a5" xsi:nil="true"/>
    <riddaProceso xmlns="ef69d38d-c069-47fd-a86d-65acf93227a5" xsi:nil="true"/>
    <jca3d13e67284488a5352eb1b17b79e8 xmlns="ef69d38d-c069-47fd-a86d-65acf93227a5">
      <Terms xmlns="http://schemas.microsoft.com/office/infopath/2007/PartnerControls">
        <TermInfo xmlns="http://schemas.microsoft.com/office/infopath/2007/PartnerControls">
          <TermName xmlns="http://schemas.microsoft.com/office/infopath/2007/PartnerControls">Público</TermName>
          <TermId xmlns="http://schemas.microsoft.com/office/infopath/2007/PartnerControls">99c2402f-8ec3-4ca8-8024-be52e4e7f629</TermId>
        </TermInfo>
      </Terms>
    </jca3d13e67284488a5352eb1b17b79e8>
    <gecUnidadesDestino xmlns="ef69d38d-c069-47fd-a86d-65acf93227a5">
      <Value>SGF-Departamento de Normas</Value>
      <Value>SGF-División Gestión e Innovación</Value>
    </gecUnidadesDestino>
    <Responsable xmlns="ef69d38d-c069-47fd-a86d-65acf93227a5">
      <UserInfo>
        <DisplayName>JOVEL PINEDA PATRICIA</DisplayName>
        <AccountId>58</AccountId>
        <AccountType/>
      </UserInfo>
    </Responsable>
    <lba1809b66b148389e645e1b3de1f464 xmlns="ef69d38d-c069-47fd-a86d-65acf93227a5">
      <Terms xmlns="http://schemas.microsoft.com/office/infopath/2007/PartnerControls">
        <TermInfo xmlns="http://schemas.microsoft.com/office/infopath/2007/PartnerControls">
          <TermName xmlns="http://schemas.microsoft.com/office/infopath/2007/PartnerControls">Alta</TermName>
          <TermId xmlns="http://schemas.microsoft.com/office/infopath/2007/PartnerControls">7fca731c-4c62-4f1c-9061-e9f164c964b2</TermId>
        </TermInfo>
      </Terms>
    </lba1809b66b148389e645e1b3de1f464>
    <relFormularioAsignado xmlns="ef69d38d-c069-47fd-a86d-65acf93227a5">Formularios de permisos salientes; Formulario de reenvio; Formulario de observaciones; Contestar tarea con comunicado de respuesta</relFormularioAsignado>
    <riddaCaracterArchivistico xmlns="ef69d38d-c069-47fd-a86d-65acf93227a5">Sí</riddaCaracterArchivistico>
    <gecEntidadExterna xmlns="ef69d38d-c069-47fd-a86d-65acf93227a5" xsi:nil="true"/>
    <gecInformativoPara xmlns="ef69d38d-c069-47fd-a86d-65acf93227a5" xsi:nil="true"/>
    <gecResponsableContenido xmlns="ef69d38d-c069-47fd-a86d-65acf93227a5">
      <Value>CHAVES MESEN JOSE VICTOR &lt;CHAVESMJ@sugef.fi.cr&gt;</Value>
    </gecResponsableContenido>
    <gecAnio xmlns="ef69d38d-c069-47fd-a86d-65acf93227a5">2026</gecAnio>
    <EstadoProcesoAprobacion xmlns="ef69d38d-c069-47fd-a86d-65acf93227a5" xsi:nil="true"/>
    <bef7db0c786e492cad3db1ccd686cf22 xmlns="ef69d38d-c069-47fd-a86d-65acf93227a5">
      <Terms xmlns="http://schemas.microsoft.com/office/infopath/2007/PartnerControls">
        <TermInfo xmlns="http://schemas.microsoft.com/office/infopath/2007/PartnerControls">
          <TermName xmlns="http://schemas.microsoft.com/office/infopath/2007/PartnerControls">Soporte de información</TermName>
          <TermId xmlns="http://schemas.microsoft.com/office/infopath/2007/PartnerControls">8aff0eaf-e51c-4567-aa77-0955e95d8682</TermId>
        </TermInfo>
      </Terms>
    </bef7db0c786e492cad3db1ccd686cf22>
  </documentManagement>
</p:properties>
</file>

<file path=customXml/item2.xml><?xml version="1.0" encoding="utf-8"?>
<?mso-contentType ?>
<SharedContentType xmlns="Microsoft.SharePoint.Taxonomy.ContentTypeSync" SourceId="b0adf84e-870a-453e-bcaf-71f8aafc2679" ContentTypeId="0x0101004F2517C60535184CB5A5BE0BA417A382030204" PreviousValue="true"/>
</file>

<file path=customXml/item3.xml><?xml version="1.0" encoding="utf-8"?>
<ct:contentTypeSchema xmlns:ct="http://schemas.microsoft.com/office/2006/metadata/contentType" xmlns:ma="http://schemas.microsoft.com/office/2006/metadata/properties/metaAttributes" ct:_="" ma:_="" ma:contentTypeName="Resolución GEC" ma:contentTypeID="0x0101004F2517C60535184CB5A5BE0BA417A38203020400B8DD7D5FBB925A468A582A3FD7124C22" ma:contentTypeVersion="302" ma:contentTypeDescription="Create a new document." ma:contentTypeScope="" ma:versionID="478263b1ec9a1b920051102dc93c9790">
  <xsd:schema xmlns:xsd="http://www.w3.org/2001/XMLSchema" xmlns:xs="http://www.w3.org/2001/XMLSchema" xmlns:p="http://schemas.microsoft.com/office/2006/metadata/properties" xmlns:ns2="ef69d38d-c069-47fd-a86d-65acf93227a5" targetNamespace="http://schemas.microsoft.com/office/2006/metadata/properties" ma:root="true" ma:fieldsID="ebd7b1b432e7f2add8f2f13a4b248877" ns2:_="">
    <xsd:import namespace="ef69d38d-c069-47fd-a86d-65acf93227a5"/>
    <xsd:element name="properties">
      <xsd:complexType>
        <xsd:sequence>
          <xsd:element name="documentManagement">
            <xsd:complexType>
              <xsd:all>
                <xsd:element ref="ns2:riddaCaracterArchivistico" minOccurs="0"/>
                <xsd:element ref="ns2:riddaConservacion" minOccurs="0"/>
                <xsd:element ref="ns2:riddaRetencion" minOccurs="0"/>
                <xsd:element ref="ns2:riddaFechaFinRetencion" minOccurs="0"/>
                <xsd:element ref="ns2:riddaFechaFinConservacion" minOccurs="0"/>
                <xsd:element ref="ns2:riddaTipoConservacion" minOccurs="0"/>
                <xsd:element ref="ns2:riddaIdDocDigitalArchivo" minOccurs="0"/>
                <xsd:element ref="ns2:TaxCatchAll" minOccurs="0"/>
                <xsd:element ref="ns2:TaxCatchAllLabel" minOccurs="0"/>
                <xsd:element ref="ns2:f66f20a3ae0942cf8c7b1e4524698e23" minOccurs="0"/>
                <xsd:element ref="ns2:gecAnio" minOccurs="0"/>
                <xsd:element ref="ns2:gecAsuntoComunicado" minOccurs="0"/>
                <xsd:element ref="ns2:gecEntidadExterna" minOccurs="0"/>
                <xsd:element ref="ns2:gecFechaDeEnvio" minOccurs="0"/>
                <xsd:element ref="ns2:gecInformativoPara" minOccurs="0"/>
                <xsd:element ref="ns2:gecNumReferencia" minOccurs="0"/>
                <xsd:element ref="ns2:gecObservaciones" minOccurs="0"/>
                <xsd:element ref="ns2:gecProposito" minOccurs="0"/>
                <xsd:element ref="ns2:gecUnidadesDestino" minOccurs="0"/>
                <xsd:element ref="ns2:gecIdSeguimiento" minOccurs="0"/>
                <xsd:element ref="ns2:gecDestinatariosExternos" minOccurs="0"/>
                <xsd:element ref="ns2:gecAcuseEnvioPara" minOccurs="0"/>
                <xsd:element ref="ns2:riddaCodProceso" minOccurs="0"/>
                <xsd:element ref="ns2:riddaCodSerie" minOccurs="0"/>
                <xsd:element ref="ns2:riddaDescripcion" minOccurs="0"/>
                <xsd:element ref="ns2:riddaEtapaProcesoArchivado" minOccurs="0"/>
                <xsd:element ref="ns2:riddaFechaDeclaracionRegistro" minOccurs="0"/>
                <xsd:element ref="ns2:riddaFondoDoc" minOccurs="0"/>
                <xsd:element ref="ns2:riddaProceso" minOccurs="0"/>
                <xsd:element ref="ns2:riddaSerieDoc" minOccurs="0"/>
                <xsd:element ref="ns2:gecNumConsecutivo" minOccurs="0"/>
                <xsd:element ref="ns2:gecUnidadesDestinoReenvio" minOccurs="0"/>
                <xsd:element ref="ns2:gecConsecutivoTareaRelacionada" minOccurs="0"/>
                <xsd:element ref="ns2:gecIdRegistroTareaRelacionada" minOccurs="0"/>
                <xsd:element ref="ns2:EstadoProcesoAprobacion" minOccurs="0"/>
                <xsd:element ref="ns2:bef7db0c786e492cad3db1ccd686cf22" minOccurs="0"/>
                <xsd:element ref="ns2:SolicitudAprobacion" minOccurs="0"/>
                <xsd:element ref="ns2:gecAlmacenDatosComunicado" minOccurs="0"/>
                <xsd:element ref="ns2:EstadoProcesoFirma" minOccurs="0"/>
                <xsd:element ref="ns2:Firmantes" minOccurs="0"/>
                <xsd:element ref="ns2:NombreOrigen" minOccurs="0"/>
                <xsd:element ref="ns2:OrdenProcesoFirma" minOccurs="0"/>
                <xsd:element ref="ns2:Responsable" minOccurs="0"/>
                <xsd:element ref="ns2:gecEstadoProcesoComunicado" minOccurs="0"/>
                <xsd:element ref="ns2:gecEmisorSaliente" minOccurs="0"/>
                <xsd:element ref="ns2:gecSecretaria" minOccurs="0"/>
                <xsd:element ref="ns2:gecResponsableContenido" minOccurs="0"/>
                <xsd:element ref="ns2:FirmarDocumento" minOccurs="0"/>
                <xsd:element ref="ns2:relFormularioAsignado" minOccurs="0"/>
                <xsd:element ref="ns2:jca3d13e67284488a5352eb1b17b79e8" minOccurs="0"/>
                <xsd:element ref="ns2:lba1809b66b148389e645e1b3de1f464" minOccurs="0"/>
                <xsd:element ref="ns2:l01b9427a7834fab972123760ef165a9"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69d38d-c069-47fd-a86d-65acf93227a5" elementFormDefault="qualified">
    <xsd:import namespace="http://schemas.microsoft.com/office/2006/documentManagement/types"/>
    <xsd:import namespace="http://schemas.microsoft.com/office/infopath/2007/PartnerControls"/>
    <xsd:element name="riddaCaracterArchivistico" ma:index="2" nillable="true" ma:displayName="Carácter archivístico" ma:default="Sí" ma:format="Dropdown" ma:hidden="true" ma:internalName="riddaCaracterArchivistico" ma:readOnly="false">
      <xsd:simpleType>
        <xsd:restriction base="dms:Choice">
          <xsd:enumeration value="Sí"/>
          <xsd:enumeration value="No"/>
        </xsd:restriction>
      </xsd:simpleType>
    </xsd:element>
    <xsd:element name="riddaConservacion" ma:index="3" nillable="true" ma:displayName="Plazo de conservación" ma:decimals="0" ma:hidden="true" ma:internalName="riddaConservacion" ma:readOnly="false" ma:percentage="FALSE">
      <xsd:simpleType>
        <xsd:restriction base="dms:Number">
          <xsd:maxInclusive value="100"/>
          <xsd:minInclusive value="0"/>
        </xsd:restriction>
      </xsd:simpleType>
    </xsd:element>
    <xsd:element name="riddaRetencion" ma:index="4" nillable="true" ma:displayName="Tiempo de retención" ma:decimals="0" ma:hidden="true" ma:internalName="riddaRetencion" ma:readOnly="false" ma:percentage="FALSE">
      <xsd:simpleType>
        <xsd:restriction base="dms:Number">
          <xsd:maxInclusive value="100"/>
          <xsd:minInclusive value="1"/>
        </xsd:restriction>
      </xsd:simpleType>
    </xsd:element>
    <xsd:element name="riddaFechaFinRetencion" ma:index="6" nillable="true" ma:displayName="Fecha transferencia archivo digital" ma:format="DateOnly" ma:hidden="true" ma:internalName="riddaFechaFinRetencion" ma:readOnly="false">
      <xsd:simpleType>
        <xsd:restriction base="dms:DateTime"/>
      </xsd:simpleType>
    </xsd:element>
    <xsd:element name="riddaFechaFinConservacion" ma:index="7" nillable="true" ma:displayName="Fecha eliminación o transferencia AN" ma:format="DateOnly" ma:hidden="true" ma:internalName="riddaFechaFinConservacion" ma:readOnly="false">
      <xsd:simpleType>
        <xsd:restriction base="dms:DateTime"/>
      </xsd:simpleType>
    </xsd:element>
    <xsd:element name="riddaTipoConservacion" ma:index="8" nillable="true" ma:displayName="Tipo de conservación" ma:format="Dropdown" ma:hidden="true" ma:internalName="riddaTipoConservacion" ma:readOnly="false">
      <xsd:simpleType>
        <xsd:restriction base="dms:Choice">
          <xsd:enumeration value="Eliminación"/>
          <xsd:enumeration value="Permanente AC (100 años)"/>
          <xsd:enumeration value="Valor científico cultural AN"/>
        </xsd:restriction>
      </xsd:simpleType>
    </xsd:element>
    <xsd:element name="riddaIdDocDigitalArchivo" ma:index="9" nillable="true" ma:displayName="ID de documento digital de archivo" ma:hidden="true" ma:internalName="riddaIdDocDigitalArchivo" ma:readOnly="false">
      <xsd:simpleType>
        <xsd:restriction base="dms:Text">
          <xsd:maxLength value="255"/>
        </xsd:restriction>
      </xsd:simpleType>
    </xsd:element>
    <xsd:element name="TaxCatchAll" ma:index="15" nillable="true" ma:displayName="Taxonomy Catch All Column" ma:hidden="true" ma:list="{ac46b07e-a706-41a9-b2ad-ede7d51b1c20}" ma:internalName="TaxCatchAll" ma:showField="CatchAllData" ma:web="61037e24-c9ed-469c-b7d4-2cd898b3a224">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ac46b07e-a706-41a9-b2ad-ede7d51b1c20}" ma:internalName="TaxCatchAllLabel" ma:readOnly="true" ma:showField="CatchAllDataLabel" ma:web="61037e24-c9ed-469c-b7d4-2cd898b3a224">
      <xsd:complexType>
        <xsd:complexContent>
          <xsd:extension base="dms:MultiChoiceLookup">
            <xsd:sequence>
              <xsd:element name="Value" type="dms:Lookup" maxOccurs="unbounded" minOccurs="0" nillable="true"/>
            </xsd:sequence>
          </xsd:extension>
        </xsd:complexContent>
      </xsd:complexType>
    </xsd:element>
    <xsd:element name="f66f20a3ae0942cf8c7b1e4524698e23" ma:index="18" nillable="true" ma:taxonomy="true" ma:internalName="f66f20a3ae0942cf8c7b1e4524698e23" ma:taxonomyFieldName="riddaUnidadGeneradora" ma:displayName="Unidad generadora" ma:readOnly="false" ma:fieldId="{f66f20a3-ae09-42cf-8c7b-1e4524698e23}" ma:taxonomyMulti="true" ma:sspId="b0adf84e-870a-453e-bcaf-71f8aafc2679" ma:termSetId="6c47b102-04db-4200-9731-ede5ce455e31" ma:anchorId="00000000-0000-0000-0000-000000000000" ma:open="false" ma:isKeyword="false">
      <xsd:complexType>
        <xsd:sequence>
          <xsd:element ref="pc:Terms" minOccurs="0" maxOccurs="1"/>
        </xsd:sequence>
      </xsd:complexType>
    </xsd:element>
    <xsd:element name="gecAnio" ma:index="20" nillable="true" ma:displayName="Año" ma:default="2026" ma:format="Dropdown" ma:hidden="true" ma:indexed="true" ma:internalName="gecAnio" ma:readOnly="false">
      <xsd:simpleType>
        <xsd:union memberTypes="dms:Text">
          <xsd:simpleType>
            <xsd:restriction base="dms:Choice">
              <xsd:enumeration value="2020"/>
              <xsd:enumeration value="2021"/>
              <xsd:enumeration value="2022"/>
              <xsd:enumeration value="2023"/>
              <xsd:enumeration value="2024"/>
              <xsd:enumeration value="2025"/>
              <xsd:enumeration value="2026"/>
              <xsd:enumeration value="2027"/>
              <xsd:enumeration value="2028"/>
              <xsd:enumeration value="2029"/>
              <xsd:enumeration value="2030"/>
              <xsd:enumeration value="2031"/>
              <xsd:enumeration value="2032"/>
              <xsd:enumeration value="2033"/>
              <xsd:enumeration value="2034"/>
              <xsd:enumeration value="2035"/>
              <xsd:enumeration value="2036"/>
              <xsd:enumeration value="2037"/>
              <xsd:enumeration value="2038"/>
              <xsd:enumeration value="2039"/>
              <xsd:enumeration value="2040"/>
              <xsd:enumeration value="2041"/>
              <xsd:enumeration value="2042"/>
              <xsd:enumeration value="2043"/>
              <xsd:enumeration value="2044"/>
              <xsd:enumeration value="2045"/>
              <xsd:enumeration value="2046"/>
              <xsd:enumeration value="2047"/>
              <xsd:enumeration value="2048"/>
              <xsd:enumeration value="2049"/>
              <xsd:enumeration value="2050"/>
            </xsd:restriction>
          </xsd:simpleType>
        </xsd:union>
      </xsd:simpleType>
    </xsd:element>
    <xsd:element name="gecAsuntoComunicado" ma:index="21" nillable="true" ma:displayName="Asunto comunicado" ma:hidden="true" ma:internalName="gecAsuntoComunicado" ma:readOnly="false">
      <xsd:simpleType>
        <xsd:restriction base="dms:Text">
          <xsd:maxLength value="255"/>
        </xsd:restriction>
      </xsd:simpleType>
    </xsd:element>
    <xsd:element name="gecEntidadExterna" ma:index="22" nillable="true" ma:displayName="Entidad externa" ma:default="&lt;Vacía&gt;" ma:hidden="true" ma:internalName="gecEntidadExterna" ma:readOnly="false">
      <xsd:complexType>
        <xsd:complexContent>
          <xsd:extension base="dms:MultiChoiceFillIn">
            <xsd:sequence>
              <xsd:element name="Value" maxOccurs="unbounded" minOccurs="0" nillable="true">
                <xsd:simpleType>
                  <xsd:union memberTypes="dms:Text">
                    <xsd:simpleType>
                      <xsd:restriction base="dms:Choice">
                        <xsd:enumeration value="&lt;Vacía&gt;"/>
                      </xsd:restriction>
                    </xsd:simpleType>
                  </xsd:union>
                </xsd:simpleType>
              </xsd:element>
            </xsd:sequence>
          </xsd:extension>
        </xsd:complexContent>
      </xsd:complexType>
    </xsd:element>
    <xsd:element name="gecFechaDeEnvio" ma:index="23" nillable="true" ma:displayName="Fecha de envío" ma:format="DateTime" ma:hidden="true" ma:internalName="gecFechaDeEnvio" ma:readOnly="false">
      <xsd:simpleType>
        <xsd:restriction base="dms:DateTime"/>
      </xsd:simpleType>
    </xsd:element>
    <xsd:element name="gecInformativoPara" ma:index="24" nillable="true" ma:displayName="Informativo para (Unidades destino CC)" ma:hidden="true" ma:internalName="gecInformativoPara" ma:readOnly="false">
      <xsd:complexType>
        <xsd:complexContent>
          <xsd:extension base="dms:MultiChoiceFillIn">
            <xsd:sequence>
              <xsd:element name="Value" maxOccurs="unbounded" minOccurs="0" nillable="true">
                <xsd:simpleType>
                  <xsd:union memberTypes="dms:Text">
                    <xsd:simpleType>
                      <xsd:restriction base="dms:Choice">
                        <xsd:enumeration value="&lt;Vacío&gt;"/>
                      </xsd:restriction>
                    </xsd:simpleType>
                  </xsd:union>
                </xsd:simpleType>
              </xsd:element>
            </xsd:sequence>
          </xsd:extension>
        </xsd:complexContent>
      </xsd:complexType>
    </xsd:element>
    <xsd:element name="gecNumReferencia" ma:index="25" nillable="true" ma:displayName="Número de referencia" ma:hidden="true" ma:internalName="gecNumReferencia" ma:readOnly="false">
      <xsd:simpleType>
        <xsd:restriction base="dms:Text">
          <xsd:maxLength value="255"/>
        </xsd:restriction>
      </xsd:simpleType>
    </xsd:element>
    <xsd:element name="gecObservaciones" ma:index="26" nillable="true" ma:displayName="Observaciones" ma:hidden="true" ma:internalName="gecObservaciones" ma:readOnly="false">
      <xsd:simpleType>
        <xsd:restriction base="dms:Note"/>
      </xsd:simpleType>
    </xsd:element>
    <xsd:element name="gecProposito" ma:index="27" nillable="true" ma:displayName="Proposito" ma:format="Dropdown" ma:hidden="true" ma:internalName="gecProposito" ma:readOnly="false">
      <xsd:simpleType>
        <xsd:restriction base="dms:Choice">
          <xsd:enumeration value="Informar"/>
          <xsd:enumeration value="Resolver"/>
        </xsd:restriction>
      </xsd:simpleType>
    </xsd:element>
    <xsd:element name="gecUnidadesDestino" ma:index="28" nillable="true" ma:displayName="Unidades Destino" ma:hidden="true" ma:internalName="gecUnidadesDestino" ma:readOnly="false">
      <xsd:complexType>
        <xsd:complexContent>
          <xsd:extension base="dms:MultiChoiceFillIn">
            <xsd:sequence>
              <xsd:element name="Value" maxOccurs="unbounded" minOccurs="0" nillable="true">
                <xsd:simpleType>
                  <xsd:union memberTypes="dms:Text">
                    <xsd:simpleType>
                      <xsd:restriction base="dms:Choice">
                        <xsd:enumeration value="&lt;Vacío&gt;"/>
                      </xsd:restriction>
                    </xsd:simpleType>
                  </xsd:union>
                </xsd:simpleType>
              </xsd:element>
            </xsd:sequence>
          </xsd:extension>
        </xsd:complexContent>
      </xsd:complexType>
    </xsd:element>
    <xsd:element name="gecIdSeguimiento" ma:index="29" nillable="true" ma:displayName="ID Seguimiento" ma:hidden="true" ma:internalName="gecIdSeguimiento" ma:readOnly="false">
      <xsd:simpleType>
        <xsd:restriction base="dms:Text">
          <xsd:maxLength value="255"/>
        </xsd:restriction>
      </xsd:simpleType>
    </xsd:element>
    <xsd:element name="gecDestinatariosExternos" ma:index="30" nillable="true" ma:displayName="Destinatarios Externos" ma:hidden="true" ma:internalName="gecDestinatariosExternos" ma:readOnly="false">
      <xsd:simpleType>
        <xsd:restriction base="dms:Note"/>
      </xsd:simpleType>
    </xsd:element>
    <xsd:element name="gecAcuseEnvioPara" ma:index="31" nillable="true" ma:displayName="Acuse de envío para" ma:hidden="true" ma:list="UserInfo" ma:SharePointGroup="0" ma:internalName="gecAcuseEnvioPara"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iddaCodProceso" ma:index="32" nillable="true" ma:displayName="Código de proceso" ma:hidden="true" ma:internalName="riddaCodProceso" ma:readOnly="false">
      <xsd:simpleType>
        <xsd:restriction base="dms:Text">
          <xsd:maxLength value="255"/>
        </xsd:restriction>
      </xsd:simpleType>
    </xsd:element>
    <xsd:element name="riddaCodSerie" ma:index="33" nillable="true" ma:displayName="Código de serie" ma:hidden="true" ma:internalName="riddaCodSerie" ma:readOnly="false">
      <xsd:simpleType>
        <xsd:restriction base="dms:Text">
          <xsd:maxLength value="255"/>
        </xsd:restriction>
      </xsd:simpleType>
    </xsd:element>
    <xsd:element name="riddaDescripcion" ma:index="34" nillable="true" ma:displayName="Descripción" ma:hidden="true" ma:internalName="riddaDescripcion" ma:readOnly="false">
      <xsd:simpleType>
        <xsd:restriction base="dms:Text">
          <xsd:maxLength value="255"/>
        </xsd:restriction>
      </xsd:simpleType>
    </xsd:element>
    <xsd:element name="riddaEtapaProcesoArchivado" ma:index="35" nillable="true" ma:displayName="Proceso de archivado" ma:default="⭕ Sin iniciar||" ma:hidden="true" ma:internalName="riddaEtapaProcesoArchivado" ma:readOnly="false">
      <xsd:simpleType>
        <xsd:restriction base="dms:Text">
          <xsd:maxLength value="255"/>
        </xsd:restriction>
      </xsd:simpleType>
    </xsd:element>
    <xsd:element name="riddaFechaDeclaracionRegistro" ma:index="36" nillable="true" ma:displayName="Fecha de declaración de registro" ma:format="DateOnly" ma:hidden="true" ma:internalName="riddaFechaDeclaracionRegistro" ma:readOnly="false">
      <xsd:simpleType>
        <xsd:restriction base="dms:DateTime"/>
      </xsd:simpleType>
    </xsd:element>
    <xsd:element name="riddaFondoDoc" ma:index="37" nillable="true" ma:displayName="Fondo documental" ma:hidden="true" ma:internalName="riddaFondoDoc" ma:readOnly="false">
      <xsd:simpleType>
        <xsd:restriction base="dms:Text">
          <xsd:maxLength value="255"/>
        </xsd:restriction>
      </xsd:simpleType>
    </xsd:element>
    <xsd:element name="riddaProceso" ma:index="38" nillable="true" ma:displayName="Proceso" ma:hidden="true" ma:internalName="riddaProceso" ma:readOnly="false">
      <xsd:simpleType>
        <xsd:restriction base="dms:Text">
          <xsd:maxLength value="255"/>
        </xsd:restriction>
      </xsd:simpleType>
    </xsd:element>
    <xsd:element name="riddaSerieDoc" ma:index="39" nillable="true" ma:displayName="Serie documental" ma:hidden="true" ma:internalName="riddaSerieDoc" ma:readOnly="false">
      <xsd:simpleType>
        <xsd:restriction base="dms:Text">
          <xsd:maxLength value="255"/>
        </xsd:restriction>
      </xsd:simpleType>
    </xsd:element>
    <xsd:element name="gecNumConsecutivo" ma:index="40" nillable="true" ma:displayName="No. Consecutivo" ma:hidden="true" ma:internalName="gecNumConsecutivo" ma:readOnly="false">
      <xsd:simpleType>
        <xsd:restriction base="dms:Text">
          <xsd:maxLength value="255"/>
        </xsd:restriction>
      </xsd:simpleType>
    </xsd:element>
    <xsd:element name="gecUnidadesDestinoReenvio" ma:index="41" nillable="true" ma:displayName="Unidades destino reenvío" ma:hidden="true" ma:internalName="gecUnidadesDestinoReenvio" ma:readOnly="false">
      <xsd:complexType>
        <xsd:complexContent>
          <xsd:extension base="dms:MultiChoiceFillIn">
            <xsd:sequence>
              <xsd:element name="Value" maxOccurs="unbounded" minOccurs="0" nillable="true">
                <xsd:simpleType>
                  <xsd:union memberTypes="dms:Text">
                    <xsd:simpleType>
                      <xsd:restriction base="dms:Choice">
                        <xsd:enumeration value="&lt;Vacío&gt;"/>
                      </xsd:restriction>
                    </xsd:simpleType>
                  </xsd:union>
                </xsd:simpleType>
              </xsd:element>
            </xsd:sequence>
          </xsd:extension>
        </xsd:complexContent>
      </xsd:complexType>
    </xsd:element>
    <xsd:element name="gecConsecutivoTareaRelacionada" ma:index="42" nillable="true" ma:displayName="Consecutivo de Tarea Relacionada" ma:hidden="true" ma:internalName="gecConsecutivoTareaRelacionada" ma:readOnly="false">
      <xsd:simpleType>
        <xsd:restriction base="dms:Text">
          <xsd:maxLength value="255"/>
        </xsd:restriction>
      </xsd:simpleType>
    </xsd:element>
    <xsd:element name="gecIdRegistroTareaRelacionada" ma:index="43" nillable="true" ma:displayName="Identificador de Tarea Relacionada" ma:hidden="true" ma:internalName="gecIdRegistroTareaRelacionada" ma:readOnly="false">
      <xsd:simpleType>
        <xsd:restriction base="dms:Text">
          <xsd:maxLength value="255"/>
        </xsd:restriction>
      </xsd:simpleType>
    </xsd:element>
    <xsd:element name="EstadoProcesoAprobacion" ma:index="44" nillable="true" ma:displayName="Estado del proceso de aprobación" ma:hidden="true" ma:internalName="EstadoProcesoAprobacion" ma:readOnly="false">
      <xsd:simpleType>
        <xsd:restriction base="dms:Text">
          <xsd:maxLength value="255"/>
        </xsd:restriction>
      </xsd:simpleType>
    </xsd:element>
    <xsd:element name="bef7db0c786e492cad3db1ccd686cf22" ma:index="45" nillable="true" ma:taxonomy="true" ma:internalName="bef7db0c786e492cad3db1ccd686cf22" ma:taxonomyFieldName="riddaClasificacionSegInf" ma:displayName="Clasificación seguridad de la información" ma:readOnly="false" ma:default="-1;#Soporte de información|8aff0eaf-e51c-4567-aa77-0955e95d8682" ma:fieldId="{bef7db0c-786e-492c-ad3d-b1ccd686cf22}" ma:sspId="b0adf84e-870a-453e-bcaf-71f8aafc2679" ma:termSetId="a3c5b20b-c658-46c2-a440-7c7ad7e38711" ma:anchorId="00000000-0000-0000-0000-000000000000" ma:open="false" ma:isKeyword="false">
      <xsd:complexType>
        <xsd:sequence>
          <xsd:element ref="pc:Terms" minOccurs="0" maxOccurs="1"/>
        </xsd:sequence>
      </xsd:complexType>
    </xsd:element>
    <xsd:element name="SolicitudAprobacion" ma:index="47" nillable="true" ma:displayName="Solicitud de aprobación" ma:hidden="true" ma:internalName="SolicitudAprobacion" ma:readOnly="false">
      <xsd:simpleType>
        <xsd:restriction base="dms:Text">
          <xsd:maxLength value="255"/>
        </xsd:restriction>
      </xsd:simpleType>
    </xsd:element>
    <xsd:element name="gecAlmacenDatosComunicado" ma:index="48" nillable="true" ma:displayName="Almacen de datos de comunicado" ma:hidden="true" ma:internalName="gecAlmacenDatosComunicado" ma:readOnly="false">
      <xsd:simpleType>
        <xsd:restriction base="dms:Note"/>
      </xsd:simpleType>
    </xsd:element>
    <xsd:element name="EstadoProcesoFirma" ma:index="49" nillable="true" ma:displayName="Estado proceso de firma" ma:format="Dropdown" ma:hidden="true" ma:internalName="EstadoProcesoFirma" ma:readOnly="false">
      <xsd:simpleType>
        <xsd:restriction base="dms:Choice">
          <xsd:enumeration value="Iniciado"/>
          <xsd:enumeration value="Cancelado"/>
          <xsd:enumeration value="Finalizado"/>
        </xsd:restriction>
      </xsd:simpleType>
    </xsd:element>
    <xsd:element name="Firmantes" ma:index="50" nillable="true" ma:displayName="Firmantes" ma:hidden="true" ma:list="UserInfo" ma:SharePointGroup="0" ma:internalName="Firmante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mbreOrigen" ma:index="51" nillable="true" ma:displayName="Nombre de origen" ma:hidden="true" ma:internalName="NombreOrigen" ma:readOnly="false">
      <xsd:simpleType>
        <xsd:restriction base="dms:Text">
          <xsd:maxLength value="255"/>
        </xsd:restriction>
      </xsd:simpleType>
    </xsd:element>
    <xsd:element name="OrdenProcesoFirma" ma:index="52" nillable="true" ma:displayName="Orden proceso de firma" ma:default="Secuencial" ma:format="Dropdown" ma:hidden="true" ma:internalName="OrdenProcesoFirma" ma:readOnly="false">
      <xsd:simpleType>
        <xsd:restriction base="dms:Choice">
          <xsd:enumeration value="Paralelo"/>
          <xsd:enumeration value="Secuencial"/>
        </xsd:restriction>
      </xsd:simpleType>
    </xsd:element>
    <xsd:element name="Responsable" ma:index="53" nillable="true" ma:displayName="Responsable" ma:hidden="true" ma:list="UserInfo" ma:SharePointGroup="0" ma:internalName="Responsable"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gecEstadoProcesoComunicado" ma:index="54" nillable="true" ma:displayName="Estado proceso del comunicado" ma:hidden="true" ma:internalName="gecEstadoProcesoComunicado" ma:readOnly="false">
      <xsd:simpleType>
        <xsd:restriction base="dms:Text">
          <xsd:maxLength value="255"/>
        </xsd:restriction>
      </xsd:simpleType>
    </xsd:element>
    <xsd:element name="gecEmisorSaliente" ma:index="55" nillable="true" ma:displayName="Emisor saliente" ma:hidden="true" ma:internalName="gecEmisorSaliente" ma:readOnly="false">
      <xsd:simpleType>
        <xsd:restriction base="dms:Text">
          <xsd:maxLength value="255"/>
        </xsd:restriction>
      </xsd:simpleType>
    </xsd:element>
    <xsd:element name="gecSecretaria" ma:index="56" nillable="true" ma:displayName="Secretaria" ma:hidden="true" ma:internalName="gecSecretaria" ma:readOnly="false">
      <xsd:complexType>
        <xsd:complexContent>
          <xsd:extension base="dms:MultiChoiceFillIn">
            <xsd:sequence>
              <xsd:element name="Value" maxOccurs="unbounded" minOccurs="0" nillable="true">
                <xsd:simpleType>
                  <xsd:union memberTypes="dms:Text">
                    <xsd:simpleType>
                      <xsd:restriction base="dms:Choice">
                        <xsd:enumeration value="&lt;Vacío&gt;"/>
                      </xsd:restriction>
                    </xsd:simpleType>
                  </xsd:union>
                </xsd:simpleType>
              </xsd:element>
            </xsd:sequence>
          </xsd:extension>
        </xsd:complexContent>
      </xsd:complexType>
    </xsd:element>
    <xsd:element name="gecResponsableContenido" ma:index="57" nillable="true" ma:displayName="Responsable del contenido" ma:hidden="true" ma:internalName="gecResponsableContenido" ma:readOnly="false">
      <xsd:complexType>
        <xsd:complexContent>
          <xsd:extension base="dms:MultiChoiceFillIn">
            <xsd:sequence>
              <xsd:element name="Value" maxOccurs="unbounded" minOccurs="0" nillable="true">
                <xsd:simpleType>
                  <xsd:union memberTypes="dms:Text">
                    <xsd:simpleType>
                      <xsd:restriction base="dms:Choice">
                        <xsd:enumeration value="&lt;Vacío&gt;"/>
                      </xsd:restriction>
                    </xsd:simpleType>
                  </xsd:union>
                </xsd:simpleType>
              </xsd:element>
            </xsd:sequence>
          </xsd:extension>
        </xsd:complexContent>
      </xsd:complexType>
    </xsd:element>
    <xsd:element name="FirmarDocumento" ma:index="58" nillable="true" ma:displayName="Firmar documento" ma:hidden="true" ma:internalName="FirmarDocumento" ma:readOnly="false">
      <xsd:simpleType>
        <xsd:restriction base="dms:Text">
          <xsd:maxLength value="255"/>
        </xsd:restriction>
      </xsd:simpleType>
    </xsd:element>
    <xsd:element name="relFormularioAsignado" ma:index="59" nillable="true" ma:displayName="Formulario asignado" ma:hidden="true" ma:internalName="relFormularioAsignado" ma:readOnly="false">
      <xsd:simpleType>
        <xsd:restriction base="dms:Text">
          <xsd:maxLength value="255"/>
        </xsd:restriction>
      </xsd:simpleType>
    </xsd:element>
    <xsd:element name="jca3d13e67284488a5352eb1b17b79e8" ma:index="60" ma:taxonomy="true" ma:internalName="jca3d13e67284488a5352eb1b17b79e8" ma:taxonomyFieldName="riddaConfidencialidad" ma:displayName="Confidencialidad" ma:fieldId="{3ca3d13e-6728-4488-a535-2eb1b17b79e8}" ma:sspId="b0adf84e-870a-453e-bcaf-71f8aafc2679" ma:termSetId="fec21262-d3f1-4324-a4bb-a0fd74a0629e" ma:anchorId="00000000-0000-0000-0000-000000000000" ma:open="false" ma:isKeyword="false">
      <xsd:complexType>
        <xsd:sequence>
          <xsd:element ref="pc:Terms" minOccurs="0" maxOccurs="1"/>
        </xsd:sequence>
      </xsd:complexType>
    </xsd:element>
    <xsd:element name="lba1809b66b148389e645e1b3de1f464" ma:index="62" nillable="true" ma:taxonomy="true" ma:internalName="lba1809b66b148389e645e1b3de1f464" ma:taxonomyFieldName="riddaDisponibilidad" ma:displayName="Disponibilidad" ma:readOnly="false" ma:default="9;#Alta|7fca731c-4c62-4f1c-9061-e9f164c964b2" ma:fieldId="{5ba1809b-66b1-4838-9e64-5e1b3de1f464}" ma:sspId="b0adf84e-870a-453e-bcaf-71f8aafc2679" ma:termSetId="5d9142c7-bc7f-416a-8074-8d812de61759" ma:anchorId="00000000-0000-0000-0000-000000000000" ma:open="false" ma:isKeyword="false">
      <xsd:complexType>
        <xsd:sequence>
          <xsd:element ref="pc:Terms" minOccurs="0" maxOccurs="1"/>
        </xsd:sequence>
      </xsd:complexType>
    </xsd:element>
    <xsd:element name="l01b9427a7834fab972123760ef165a9" ma:index="64" nillable="true" ma:taxonomy="true" ma:internalName="l01b9427a7834fab972123760ef165a9" ma:taxonomyFieldName="riddaIntegridad" ma:displayName="Integridad" ma:readOnly="false" ma:default="12;#Alta|0fd17ec2-e5d0-4d9f-8e18-466324d0fdd4" ma:fieldId="{501b9427-a783-4fab-9721-23760ef165a9}" ma:sspId="b0adf84e-870a-453e-bcaf-71f8aafc2679" ma:termSetId="09b5aa48-4557-43d1-9b62-91503247b9f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Tipo de contenido"/>
        <xsd:element ref="dc:title" minOccurs="0" maxOccurs="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675F91-EF2E-473C-8D6F-9421AE628834}">
  <ds:schemaRefs>
    <ds:schemaRef ds:uri="http://schemas.microsoft.com/office/2006/metadata/properties"/>
    <ds:schemaRef ds:uri="http://schemas.microsoft.com/office/infopath/2007/PartnerControls"/>
    <ds:schemaRef ds:uri="ef69d38d-c069-47fd-a86d-65acf93227a5"/>
  </ds:schemaRefs>
</ds:datastoreItem>
</file>

<file path=customXml/itemProps2.xml><?xml version="1.0" encoding="utf-8"?>
<ds:datastoreItem xmlns:ds="http://schemas.openxmlformats.org/officeDocument/2006/customXml" ds:itemID="{79958D90-C0C4-4D12-9B1D-D55DAA9887F7}">
  <ds:schemaRefs>
    <ds:schemaRef ds:uri="Microsoft.SharePoint.Taxonomy.ContentTypeSync"/>
  </ds:schemaRefs>
</ds:datastoreItem>
</file>

<file path=customXml/itemProps3.xml><?xml version="1.0" encoding="utf-8"?>
<ds:datastoreItem xmlns:ds="http://schemas.openxmlformats.org/officeDocument/2006/customXml" ds:itemID="{5FB3B93B-AC33-481D-BD7B-3C3DEC854FD3}"/>
</file>

<file path=customXml/itemProps4.xml><?xml version="1.0" encoding="utf-8"?>
<ds:datastoreItem xmlns:ds="http://schemas.openxmlformats.org/officeDocument/2006/customXml" ds:itemID="{4ABF380A-812C-4E44-8D8E-D42A5E8F0F44}">
  <ds:schemaRefs>
    <ds:schemaRef ds:uri="http://schemas.microsoft.com/sharepoint/v3/contenttype/forms"/>
  </ds:schemaRefs>
</ds:datastoreItem>
</file>

<file path=customXml/itemProps5.xml><?xml version="1.0" encoding="utf-8"?>
<ds:datastoreItem xmlns:ds="http://schemas.openxmlformats.org/officeDocument/2006/customXml" ds:itemID="{BDE05013-D4AF-2647-BF8B-CE2726767A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544</TotalTime>
  <Pages>29</Pages>
  <Words>6465</Words>
  <Characters>38472</Characters>
  <Application>Microsoft Office Word</Application>
  <DocSecurity>0</DocSecurity>
  <Lines>854</Lines>
  <Paragraphs>218</Paragraphs>
  <ScaleCrop>false</ScaleCrop>
  <HeadingPairs>
    <vt:vector size="2" baseType="variant">
      <vt:variant>
        <vt:lpstr>Título</vt:lpstr>
      </vt:variant>
      <vt:variant>
        <vt:i4>1</vt:i4>
      </vt:variant>
    </vt:vector>
  </HeadingPairs>
  <TitlesOfParts>
    <vt:vector size="1" baseType="lpstr">
      <vt:lpstr/>
    </vt:vector>
  </TitlesOfParts>
  <Company>BCCR</Company>
  <LinksUpToDate>false</LinksUpToDate>
  <CharactersWithSpaces>44719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JOVEL PINEDA PATRICIA</dc:creator>
  <cp:keywords/>
  <dc:description/>
  <cp:lastModifiedBy>VALVERDE RICHMOND HAZEL CRISTINA</cp:lastModifiedBy>
  <cp:revision>23</cp:revision>
  <dcterms:created xsi:type="dcterms:W3CDTF">2026-06-04T16:44:00Z</dcterms:created>
  <dcterms:modified xsi:type="dcterms:W3CDTF">2026-06-05T18:22:00Z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185e4a50,2a0a87ee,2c55a8a4,52be8b38</vt:lpwstr>
  </property>
  <property fmtid="{D5CDD505-2E9C-101B-9397-08002B2CF9AE}" pid="3" name="ClassificationContentMarkingFooterFontProps">
    <vt:lpwstr>#000000,10,Calibri</vt:lpwstr>
  </property>
  <property fmtid="{D5CDD505-2E9C-101B-9397-08002B2CF9AE}" pid="4" name="ClassificationContentMarkingFooterText">
    <vt:lpwstr>Público</vt:lpwstr>
  </property>
  <property fmtid="{D5CDD505-2E9C-101B-9397-08002B2CF9AE}" pid="5" name="MSIP_Label_9bfceeab-f12b-49f2-b4d7-bd5af5d5f9b8_Enabled">
    <vt:lpwstr>true</vt:lpwstr>
  </property>
  <property fmtid="{D5CDD505-2E9C-101B-9397-08002B2CF9AE}" pid="6" name="MSIP_Label_9bfceeab-f12b-49f2-b4d7-bd5af5d5f9b8_SetDate">
    <vt:lpwstr>2024-12-19T22:30:32Z</vt:lpwstr>
  </property>
  <property fmtid="{D5CDD505-2E9C-101B-9397-08002B2CF9AE}" pid="7" name="MSIP_Label_9bfceeab-f12b-49f2-b4d7-bd5af5d5f9b8_Method">
    <vt:lpwstr>Privileged</vt:lpwstr>
  </property>
  <property fmtid="{D5CDD505-2E9C-101B-9397-08002B2CF9AE}" pid="8" name="MSIP_Label_9bfceeab-f12b-49f2-b4d7-bd5af5d5f9b8_Name">
    <vt:lpwstr>9bfceeab-f12b-49f2-b4d7-bd5af5d5f9b8</vt:lpwstr>
  </property>
  <property fmtid="{D5CDD505-2E9C-101B-9397-08002B2CF9AE}" pid="9" name="MSIP_Label_9bfceeab-f12b-49f2-b4d7-bd5af5d5f9b8_SiteId">
    <vt:lpwstr>618d0a45-25a6-4618-9f80-8f70a435ee52</vt:lpwstr>
  </property>
  <property fmtid="{D5CDD505-2E9C-101B-9397-08002B2CF9AE}" pid="10" name="MSIP_Label_9bfceeab-f12b-49f2-b4d7-bd5af5d5f9b8_ActionId">
    <vt:lpwstr>dbd4e385-7aa3-4b17-aaf1-0e097aac19fb</vt:lpwstr>
  </property>
  <property fmtid="{D5CDD505-2E9C-101B-9397-08002B2CF9AE}" pid="11" name="MSIP_Label_9bfceeab-f12b-49f2-b4d7-bd5af5d5f9b8_ContentBits">
    <vt:lpwstr>2</vt:lpwstr>
  </property>
  <property fmtid="{D5CDD505-2E9C-101B-9397-08002B2CF9AE}" pid="12" name="ContentTypeId">
    <vt:lpwstr>0x0101004F2517C60535184CB5A5BE0BA417A38203020400B8DD7D5FBB925A468A582A3FD7124C22</vt:lpwstr>
  </property>
  <property fmtid="{D5CDD505-2E9C-101B-9397-08002B2CF9AE}" pid="13" name="MediaServiceImageTags">
    <vt:lpwstr/>
  </property>
  <property fmtid="{D5CDD505-2E9C-101B-9397-08002B2CF9AE}" pid="14" name="riddaUnidadGeneradora">
    <vt:lpwstr/>
  </property>
  <property fmtid="{D5CDD505-2E9C-101B-9397-08002B2CF9AE}" pid="15" name="riddaDisponibilidad">
    <vt:lpwstr>9;#Alta|7fca731c-4c62-4f1c-9061-e9f164c964b2</vt:lpwstr>
  </property>
  <property fmtid="{D5CDD505-2E9C-101B-9397-08002B2CF9AE}" pid="16" name="riddaClasificacionSegInf">
    <vt:lpwstr>1;#Soporte de información|8aff0eaf-e51c-4567-aa77-0955e95d8682</vt:lpwstr>
  </property>
  <property fmtid="{D5CDD505-2E9C-101B-9397-08002B2CF9AE}" pid="17" name="riddaIntegridad">
    <vt:lpwstr>12;#Alta|0fd17ec2-e5d0-4d9f-8e18-466324d0fdd4</vt:lpwstr>
  </property>
  <property fmtid="{D5CDD505-2E9C-101B-9397-08002B2CF9AE}" pid="18" name="riddaConfidencialidad">
    <vt:lpwstr>2;#Público|99c2402f-8ec3-4ca8-8024-be52e4e7f629</vt:lpwstr>
  </property>
  <property fmtid="{D5CDD505-2E9C-101B-9397-08002B2CF9AE}" pid="19" name="_SourceUrl">
    <vt:lpwstr/>
  </property>
  <property fmtid="{D5CDD505-2E9C-101B-9397-08002B2CF9AE}" pid="20" name="ComplianceAssetId">
    <vt:lpwstr/>
  </property>
  <property fmtid="{D5CDD505-2E9C-101B-9397-08002B2CF9AE}" pid="21" name="TemplateUrl">
    <vt:lpwstr/>
  </property>
  <property fmtid="{D5CDD505-2E9C-101B-9397-08002B2CF9AE}" pid="22" name="gecNoCircular">
    <vt:lpwstr/>
  </property>
  <property fmtid="{D5CDD505-2E9C-101B-9397-08002B2CF9AE}" pid="23" name="_ExtendedDescription">
    <vt:lpwstr/>
  </property>
  <property fmtid="{D5CDD505-2E9C-101B-9397-08002B2CF9AE}" pid="24" name="gecTipoCircular">
    <vt:lpwstr/>
  </property>
  <property fmtid="{D5CDD505-2E9C-101B-9397-08002B2CF9AE}" pid="25" name="xd_Signature">
    <vt:bool>false</vt:bool>
  </property>
  <property fmtid="{D5CDD505-2E9C-101B-9397-08002B2CF9AE}" pid="26" name="TriggerFlowInfo">
    <vt:lpwstr/>
  </property>
  <property fmtid="{D5CDD505-2E9C-101B-9397-08002B2CF9AE}" pid="27" name="xd_ProgID">
    <vt:lpwstr/>
  </property>
  <property fmtid="{D5CDD505-2E9C-101B-9397-08002B2CF9AE}" pid="28" name="_SharedFileIndex">
    <vt:lpwstr/>
  </property>
</Properties>
</file>