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2B8C" w:rsidR="003554C5" w:rsidP="00FF752D" w:rsidRDefault="003554C5" w14:paraId="70D41132" w14:textId="77777777">
      <w:pPr>
        <w:tabs>
          <w:tab w:val="left" w:pos="2843"/>
        </w:tabs>
        <w:spacing w:line="240" w:lineRule="auto"/>
        <w:contextualSpacing/>
        <w:rPr>
          <w:rFonts w:ascii="Times New Roman" w:hAnsi="Times New Roman"/>
          <w:sz w:val="24"/>
        </w:rPr>
      </w:pPr>
    </w:p>
    <w:p w:rsidRPr="00FF752D" w:rsidR="00251BA2" w:rsidP="00FF752D" w:rsidRDefault="00251BA2" w14:paraId="12A4A467" w14:textId="77777777">
      <w:pPr>
        <w:pStyle w:val="Texto0"/>
        <w:spacing w:before="0" w:after="0" w:line="240" w:lineRule="auto"/>
        <w:contextualSpacing/>
        <w:jc w:val="center"/>
        <w:rPr>
          <w:sz w:val="24"/>
        </w:rPr>
      </w:pPr>
      <w:r w:rsidRPr="00FF752D">
        <w:rPr>
          <w:b/>
          <w:sz w:val="24"/>
        </w:rPr>
        <w:t>Resolución</w:t>
      </w:r>
    </w:p>
    <w:p w:rsidRPr="00FF752D" w:rsidR="00251BA2" w:rsidP="00FF752D" w:rsidRDefault="00937493" w14:paraId="5143B2FF" w14:textId="2F020AA3">
      <w:pPr>
        <w:pStyle w:val="Texto0"/>
        <w:spacing w:before="0" w:after="0" w:line="240" w:lineRule="auto"/>
        <w:contextualSpacing/>
        <w:jc w:val="center"/>
        <w:rPr>
          <w:sz w:val="24"/>
        </w:rPr>
      </w:pPr>
      <w:r>
        <w:rPr>
          <w:sz w:val="24"/>
        </w:rPr>
        <w:t>0</w:t>
      </w:r>
      <w:r w:rsidR="002E5C93">
        <w:rPr>
          <w:sz w:val="24"/>
        </w:rPr>
        <w:t>4</w:t>
      </w:r>
      <w:r w:rsidRPr="00FF752D" w:rsidR="00251BA2">
        <w:rPr>
          <w:sz w:val="24"/>
        </w:rPr>
        <w:t xml:space="preserve"> de </w:t>
      </w:r>
      <w:r>
        <w:rPr>
          <w:sz w:val="24"/>
        </w:rPr>
        <w:t>dici</w:t>
      </w:r>
      <w:r w:rsidRPr="00FF752D" w:rsidR="00F5293B">
        <w:rPr>
          <w:sz w:val="24"/>
        </w:rPr>
        <w:t xml:space="preserve">embre </w:t>
      </w:r>
      <w:r w:rsidRPr="00FF752D" w:rsidR="00251BA2">
        <w:rPr>
          <w:sz w:val="24"/>
        </w:rPr>
        <w:t>del 20</w:t>
      </w:r>
      <w:r w:rsidRPr="00FF752D" w:rsidR="00212B7C">
        <w:rPr>
          <w:sz w:val="24"/>
        </w:rPr>
        <w:t>20</w:t>
      </w:r>
    </w:p>
    <w:sdt>
      <w:sdtPr>
        <w:rPr>
          <w:sz w:val="24"/>
        </w:rPr>
        <w:alias w:val="Consecutivo"/>
        <w:tag w:val="Consecutivo"/>
        <w:id w:val="2052717023"/>
        <w:placeholder>
          <w:docPart w:val="C7EA259747C3476A918838FE91963471"/>
        </w:placeholder>
        <w:text/>
      </w:sdtPr>
      <w:sdtEndPr/>
      <w:sdtContent>
        <w:p w:rsidRPr="00FF752D" w:rsidR="00251BA2" w:rsidP="00FF752D" w:rsidRDefault="00C928C7" w14:paraId="2D36C797" w14:textId="77777777">
          <w:pPr>
            <w:tabs>
              <w:tab w:val="left" w:pos="2843"/>
            </w:tabs>
            <w:spacing w:line="240" w:lineRule="auto"/>
            <w:contextualSpacing/>
            <w:jc w:val="center"/>
            <w:rPr>
              <w:sz w:val="24"/>
            </w:rPr>
          </w:pPr>
          <w:r>
            <w:t>SGF-4222-2020</w:t>
          </w:r>
        </w:p>
      </w:sdtContent>
    </w:sdt>
    <w:p w:rsidRPr="00FF752D" w:rsidR="00251BA2" w:rsidP="00FF752D" w:rsidRDefault="00251BA2" w14:paraId="2993B55D" w14:textId="77777777">
      <w:pPr>
        <w:tabs>
          <w:tab w:val="left" w:pos="2843"/>
        </w:tabs>
        <w:spacing w:line="240" w:lineRule="auto"/>
        <w:contextualSpacing/>
        <w:jc w:val="center"/>
        <w:rPr>
          <w:sz w:val="24"/>
        </w:rPr>
      </w:pPr>
      <w:r w:rsidRPr="00FF752D">
        <w:rPr>
          <w:sz w:val="24"/>
        </w:rPr>
        <w:t xml:space="preserve"> </w:t>
      </w: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F752D" w:rsidR="00C928C7">
            <w:rPr>
              <w:sz w:val="24"/>
              <w:lang w:val="es-CR"/>
            </w:rPr>
            <w:t>SGF-PUBLICO</w:t>
          </w:r>
        </w:sdtContent>
      </w:sdt>
    </w:p>
    <w:p w:rsidR="00BF3029" w:rsidP="00FF752D" w:rsidRDefault="00BF3029" w14:paraId="2A4D659C" w14:textId="7C5ECA08">
      <w:pPr>
        <w:widowControl w:val="0"/>
        <w:spacing w:line="240" w:lineRule="auto"/>
        <w:ind w:left="34" w:right="86"/>
        <w:contextualSpacing/>
        <w:outlineLvl w:val="0"/>
        <w:rPr>
          <w:b/>
          <w:sz w:val="24"/>
          <w:lang w:val="es-CR"/>
        </w:rPr>
      </w:pPr>
    </w:p>
    <w:p w:rsidR="002E5C93" w:rsidP="00FF752D" w:rsidRDefault="002E5C93" w14:paraId="5B79854C" w14:textId="5FFBA021">
      <w:pPr>
        <w:widowControl w:val="0"/>
        <w:spacing w:line="240" w:lineRule="auto"/>
        <w:ind w:left="34" w:right="86"/>
        <w:contextualSpacing/>
        <w:outlineLvl w:val="0"/>
        <w:rPr>
          <w:b/>
          <w:sz w:val="24"/>
          <w:lang w:val="es-CR"/>
        </w:rPr>
      </w:pPr>
    </w:p>
    <w:p w:rsidRPr="00FF752D" w:rsidR="002E5C93" w:rsidP="00FF752D" w:rsidRDefault="002E5C93" w14:paraId="533B04ED" w14:textId="77777777">
      <w:pPr>
        <w:widowControl w:val="0"/>
        <w:spacing w:line="240" w:lineRule="auto"/>
        <w:ind w:left="34" w:right="86"/>
        <w:contextualSpacing/>
        <w:outlineLvl w:val="0"/>
        <w:rPr>
          <w:b/>
          <w:sz w:val="24"/>
          <w:lang w:val="es-CR"/>
        </w:rPr>
      </w:pPr>
    </w:p>
    <w:p w:rsidRPr="00FF752D" w:rsidR="00251BA2" w:rsidP="00FF752D" w:rsidRDefault="00251BA2" w14:paraId="25A70378" w14:textId="77777777">
      <w:pPr>
        <w:widowControl w:val="0"/>
        <w:spacing w:line="240" w:lineRule="auto"/>
        <w:ind w:left="34" w:right="86"/>
        <w:contextualSpacing/>
        <w:outlineLvl w:val="0"/>
        <w:rPr>
          <w:b/>
          <w:sz w:val="24"/>
          <w:lang w:val="es-CR"/>
        </w:rPr>
      </w:pPr>
      <w:r w:rsidRPr="00FF752D">
        <w:rPr>
          <w:b/>
          <w:sz w:val="24"/>
          <w:lang w:val="es-CR"/>
        </w:rPr>
        <w:t xml:space="preserve">Dirigida a: </w:t>
      </w:r>
    </w:p>
    <w:p w:rsidRPr="00FF752D" w:rsidR="00251BA2" w:rsidP="00FF752D" w:rsidRDefault="00251BA2" w14:paraId="133CDBE0" w14:textId="77777777">
      <w:pPr>
        <w:widowControl w:val="0"/>
        <w:spacing w:line="240" w:lineRule="auto"/>
        <w:ind w:left="34" w:right="86"/>
        <w:contextualSpacing/>
        <w:outlineLvl w:val="0"/>
        <w:rPr>
          <w:b/>
          <w:sz w:val="24"/>
          <w:lang w:val="es-CR"/>
        </w:rPr>
      </w:pPr>
    </w:p>
    <w:p w:rsidRPr="00FF752D" w:rsidR="00251BA2" w:rsidP="00FF752D" w:rsidRDefault="00251BA2" w14:paraId="20CBEC94"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Bancos Comerciales del Estado</w:t>
      </w:r>
    </w:p>
    <w:p w:rsidRPr="00FF752D" w:rsidR="00251BA2" w:rsidP="00FF752D" w:rsidRDefault="00251BA2" w14:paraId="4A3FB930"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Bancos Creados por Leyes Especiales</w:t>
      </w:r>
    </w:p>
    <w:p w:rsidRPr="00FF752D" w:rsidR="00251BA2" w:rsidP="00FF752D" w:rsidRDefault="00251BA2" w14:paraId="09B054F6"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Bancos Privados</w:t>
      </w:r>
    </w:p>
    <w:p w:rsidRPr="00FF752D" w:rsidR="00251BA2" w:rsidP="00FF752D" w:rsidRDefault="00251BA2" w14:paraId="4CB811C5"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Empresas Financieras no Bancarias</w:t>
      </w:r>
    </w:p>
    <w:p w:rsidRPr="00FF752D" w:rsidR="00251BA2" w:rsidP="00FF752D" w:rsidRDefault="00251BA2" w14:paraId="4C8E9971"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Otras Entidades Financieras</w:t>
      </w:r>
    </w:p>
    <w:p w:rsidRPr="00FF752D" w:rsidR="00251BA2" w:rsidP="00FF752D" w:rsidRDefault="00251BA2" w14:paraId="15A16CF4"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Organizaciones Cooperativas de Ahorro y Crédito</w:t>
      </w:r>
    </w:p>
    <w:p w:rsidRPr="00FF752D" w:rsidR="00251BA2" w:rsidP="00FF752D" w:rsidRDefault="00251BA2" w14:paraId="6CDD8B81" w14:textId="77777777">
      <w:pPr>
        <w:widowControl w:val="0"/>
        <w:numPr>
          <w:ilvl w:val="0"/>
          <w:numId w:val="13"/>
        </w:numPr>
        <w:spacing w:after="200" w:line="240" w:lineRule="auto"/>
        <w:ind w:left="567" w:right="86" w:hanging="567"/>
        <w:contextualSpacing/>
        <w:rPr>
          <w:b/>
          <w:sz w:val="24"/>
          <w:lang w:val="es-CR" w:eastAsia="es-ES"/>
        </w:rPr>
      </w:pPr>
      <w:r w:rsidRPr="00FF752D">
        <w:rPr>
          <w:b/>
          <w:sz w:val="24"/>
          <w:lang w:val="es-CR" w:eastAsia="es-ES"/>
        </w:rPr>
        <w:t>Entidades Autorizadas del Sistema Financiera Nacional para la Vivienda</w:t>
      </w:r>
    </w:p>
    <w:p w:rsidR="002E5C93" w:rsidP="00937493" w:rsidRDefault="002E5C93" w14:paraId="0758AB07" w14:textId="77777777">
      <w:pPr>
        <w:pStyle w:val="Texto0"/>
        <w:spacing w:line="240" w:lineRule="auto"/>
        <w:rPr>
          <w:b/>
          <w:sz w:val="24"/>
        </w:rPr>
      </w:pPr>
      <w:bookmarkStart w:name="_GoBack" w:id="0"/>
      <w:bookmarkEnd w:id="0"/>
    </w:p>
    <w:p w:rsidRPr="0057549E" w:rsidR="00937493" w:rsidP="00937493" w:rsidRDefault="00937493" w14:paraId="2FE00F99" w14:textId="740F3B09">
      <w:pPr>
        <w:pStyle w:val="Texto0"/>
        <w:spacing w:line="240" w:lineRule="auto"/>
        <w:rPr>
          <w:sz w:val="24"/>
        </w:rPr>
      </w:pPr>
      <w:r w:rsidRPr="0057549E">
        <w:rPr>
          <w:b/>
          <w:sz w:val="24"/>
        </w:rPr>
        <w:t xml:space="preserve">Asunto: </w:t>
      </w:r>
      <w:r w:rsidRPr="0057549E">
        <w:rPr>
          <w:sz w:val="24"/>
        </w:rPr>
        <w:t xml:space="preserve">Modificación de los </w:t>
      </w:r>
      <w:r w:rsidRPr="0057549E">
        <w:rPr>
          <w:i/>
          <w:sz w:val="24"/>
        </w:rPr>
        <w:t xml:space="preserve">Lineamientos Generales para la aplicación del Reglamento sobre la suficiencia patrimonial de entidades </w:t>
      </w:r>
      <w:proofErr w:type="gramStart"/>
      <w:r w:rsidRPr="0057549E">
        <w:rPr>
          <w:i/>
          <w:sz w:val="24"/>
        </w:rPr>
        <w:t>financieras,  Acuerdo</w:t>
      </w:r>
      <w:proofErr w:type="gramEnd"/>
      <w:r w:rsidRPr="0057549E">
        <w:rPr>
          <w:i/>
          <w:sz w:val="24"/>
        </w:rPr>
        <w:t xml:space="preserve"> SUGEF-3-06</w:t>
      </w:r>
      <w:r w:rsidRPr="0057549E">
        <w:rPr>
          <w:sz w:val="24"/>
        </w:rPr>
        <w:t>, con el propósito de excluir la cartera de instrumentos financieros clasificados al costo amortizado, en el cálculo del Valor en Riesgo (</w:t>
      </w:r>
      <w:proofErr w:type="spellStart"/>
      <w:r w:rsidRPr="0057549E">
        <w:rPr>
          <w:sz w:val="24"/>
        </w:rPr>
        <w:t>VeR</w:t>
      </w:r>
      <w:proofErr w:type="spellEnd"/>
      <w:r w:rsidRPr="0057549E">
        <w:rPr>
          <w:sz w:val="24"/>
        </w:rPr>
        <w:t xml:space="preserve">). </w:t>
      </w:r>
    </w:p>
    <w:p w:rsidRPr="0057549E" w:rsidR="00937493" w:rsidP="00937493" w:rsidRDefault="00937493" w14:paraId="41C32FDB" w14:textId="77777777">
      <w:pPr>
        <w:pStyle w:val="Texto0"/>
        <w:spacing w:before="0" w:after="0" w:line="240" w:lineRule="auto"/>
        <w:rPr>
          <w:sz w:val="24"/>
        </w:rPr>
      </w:pPr>
    </w:p>
    <w:p w:rsidRPr="0057549E" w:rsidR="00937493" w:rsidP="00937493" w:rsidRDefault="002E5C93" w14:paraId="780FC523" w14:textId="394AF764">
      <w:pPr>
        <w:spacing w:line="240" w:lineRule="auto"/>
        <w:ind w:left="34"/>
        <w:outlineLvl w:val="0"/>
        <w:rPr>
          <w:sz w:val="24"/>
        </w:rPr>
      </w:pPr>
      <w:r>
        <w:rPr>
          <w:b/>
          <w:sz w:val="24"/>
        </w:rPr>
        <w:t>La</w:t>
      </w:r>
      <w:r w:rsidRPr="0057549E" w:rsidR="00937493">
        <w:rPr>
          <w:b/>
          <w:sz w:val="24"/>
        </w:rPr>
        <w:t xml:space="preserve"> Superintendente General de Entidades Financieras,</w:t>
      </w:r>
    </w:p>
    <w:p w:rsidR="00937493" w:rsidP="00937493" w:rsidRDefault="00937493" w14:paraId="100AD517" w14:textId="0C0185EE">
      <w:pPr>
        <w:spacing w:line="240" w:lineRule="auto"/>
        <w:ind w:left="34"/>
        <w:rPr>
          <w:sz w:val="24"/>
        </w:rPr>
      </w:pPr>
    </w:p>
    <w:p w:rsidRPr="0057549E" w:rsidR="002E5C93" w:rsidP="00937493" w:rsidRDefault="002E5C93" w14:paraId="317BC3B1" w14:textId="77777777">
      <w:pPr>
        <w:spacing w:line="240" w:lineRule="auto"/>
        <w:ind w:left="34"/>
        <w:rPr>
          <w:sz w:val="24"/>
        </w:rPr>
      </w:pPr>
    </w:p>
    <w:p w:rsidRPr="0057549E" w:rsidR="00937493" w:rsidP="00937493" w:rsidRDefault="00937493" w14:paraId="0A9D931F" w14:textId="77777777">
      <w:pPr>
        <w:spacing w:line="240" w:lineRule="auto"/>
        <w:ind w:left="34"/>
        <w:outlineLvl w:val="0"/>
        <w:rPr>
          <w:sz w:val="24"/>
        </w:rPr>
      </w:pPr>
      <w:r w:rsidRPr="0057549E">
        <w:rPr>
          <w:b/>
          <w:sz w:val="24"/>
        </w:rPr>
        <w:t>Considerando que</w:t>
      </w:r>
      <w:r w:rsidRPr="0057549E">
        <w:rPr>
          <w:sz w:val="24"/>
        </w:rPr>
        <w:t>:</w:t>
      </w:r>
    </w:p>
    <w:p w:rsidRPr="0057549E" w:rsidR="00937493" w:rsidP="00937493" w:rsidRDefault="00937493" w14:paraId="5A21D5D7" w14:textId="77777777">
      <w:pPr>
        <w:pStyle w:val="Prrafodelista"/>
        <w:rPr>
          <w:rFonts w:ascii="Cambria" w:hAnsi="Cambria"/>
          <w:sz w:val="24"/>
          <w:szCs w:val="24"/>
          <w:lang w:val="es-ES"/>
        </w:rPr>
      </w:pPr>
    </w:p>
    <w:p w:rsidRPr="0057549E" w:rsidR="00937493" w:rsidP="00937493" w:rsidRDefault="00937493" w14:paraId="5F15812E" w14:textId="77777777">
      <w:pPr>
        <w:pStyle w:val="Prrafodelista"/>
        <w:numPr>
          <w:ilvl w:val="0"/>
          <w:numId w:val="14"/>
        </w:numPr>
        <w:spacing w:before="120" w:after="120" w:line="240" w:lineRule="auto"/>
        <w:jc w:val="both"/>
        <w:rPr>
          <w:rFonts w:ascii="Cambria" w:hAnsi="Cambria"/>
          <w:sz w:val="24"/>
          <w:szCs w:val="24"/>
          <w:lang w:val="es-ES"/>
        </w:rPr>
      </w:pPr>
      <w:r w:rsidRPr="0057549E">
        <w:rPr>
          <w:rFonts w:ascii="Cambria" w:hAnsi="Cambria"/>
          <w:sz w:val="24"/>
          <w:szCs w:val="24"/>
          <w:lang w:val="es-ES"/>
        </w:rPr>
        <w:t>Mediante Artículo 14, de la Sesión 547-2006, el Consejo Nacional de Supervisión del Sistema Financiero (</w:t>
      </w:r>
      <w:proofErr w:type="spellStart"/>
      <w:r w:rsidRPr="0057549E">
        <w:rPr>
          <w:rFonts w:ascii="Cambria" w:hAnsi="Cambria"/>
          <w:sz w:val="24"/>
          <w:szCs w:val="24"/>
          <w:lang w:val="es-ES"/>
        </w:rPr>
        <w:t>Conassif</w:t>
      </w:r>
      <w:proofErr w:type="spellEnd"/>
      <w:r w:rsidRPr="0057549E">
        <w:rPr>
          <w:rFonts w:ascii="Cambria" w:hAnsi="Cambria"/>
          <w:sz w:val="24"/>
          <w:szCs w:val="24"/>
          <w:lang w:val="es-ES"/>
        </w:rPr>
        <w:t xml:space="preserve">) aprobó el </w:t>
      </w:r>
      <w:r w:rsidRPr="0057549E">
        <w:rPr>
          <w:rFonts w:ascii="Cambria" w:hAnsi="Cambria"/>
          <w:i/>
          <w:sz w:val="24"/>
          <w:szCs w:val="24"/>
          <w:lang w:val="es-ES"/>
        </w:rPr>
        <w:t>Reglamento sobre la suficiencia patrimonial de entidades financieras</w:t>
      </w:r>
      <w:r w:rsidRPr="0057549E">
        <w:rPr>
          <w:rFonts w:ascii="Cambria" w:hAnsi="Cambria"/>
          <w:sz w:val="24"/>
          <w:szCs w:val="24"/>
          <w:lang w:val="es-ES"/>
        </w:rPr>
        <w:t xml:space="preserve">, Acuerdo SUGEF 3-06, que tiene por objeto establecer la metodología para el cálculo de la suficiencia patrimonial de las entidades financieras y establecer el requerimiento mínimo de capital. </w:t>
      </w:r>
    </w:p>
    <w:p w:rsidRPr="0057549E" w:rsidR="00937493" w:rsidP="00937493" w:rsidRDefault="00937493" w14:paraId="5709A703" w14:textId="77777777">
      <w:pPr>
        <w:pStyle w:val="Prrafodelista"/>
        <w:rPr>
          <w:rFonts w:ascii="Cambria" w:hAnsi="Cambria"/>
          <w:sz w:val="24"/>
          <w:szCs w:val="24"/>
          <w:lang w:val="es-ES"/>
        </w:rPr>
      </w:pPr>
    </w:p>
    <w:p w:rsidRPr="0057549E" w:rsidR="00937493" w:rsidP="00937493" w:rsidRDefault="00937493" w14:paraId="28590E1C" w14:textId="77777777">
      <w:pPr>
        <w:pStyle w:val="Prrafodelista"/>
        <w:numPr>
          <w:ilvl w:val="0"/>
          <w:numId w:val="14"/>
        </w:numPr>
        <w:spacing w:before="120" w:after="120" w:line="240" w:lineRule="auto"/>
        <w:jc w:val="both"/>
        <w:rPr>
          <w:rFonts w:ascii="Cambria" w:hAnsi="Cambria"/>
          <w:sz w:val="24"/>
          <w:szCs w:val="24"/>
          <w:lang w:val="es-ES"/>
        </w:rPr>
      </w:pPr>
      <w:r w:rsidRPr="0057549E">
        <w:rPr>
          <w:rFonts w:ascii="Cambria" w:hAnsi="Cambria"/>
          <w:sz w:val="24"/>
          <w:szCs w:val="24"/>
          <w:lang w:val="es-ES"/>
        </w:rPr>
        <w:t xml:space="preserve">El artículo 4. </w:t>
      </w:r>
      <w:r w:rsidRPr="0057549E">
        <w:rPr>
          <w:rFonts w:ascii="Cambria" w:hAnsi="Cambria"/>
          <w:i/>
          <w:sz w:val="24"/>
          <w:szCs w:val="24"/>
          <w:lang w:val="es-ES"/>
        </w:rPr>
        <w:t>Lineamientos Generales</w:t>
      </w:r>
      <w:r w:rsidRPr="0057549E">
        <w:rPr>
          <w:rFonts w:ascii="Cambria" w:hAnsi="Cambria"/>
          <w:sz w:val="24"/>
          <w:szCs w:val="24"/>
          <w:lang w:val="es-ES"/>
        </w:rPr>
        <w:t xml:space="preserve"> al </w:t>
      </w:r>
      <w:r w:rsidRPr="0057549E">
        <w:rPr>
          <w:rFonts w:ascii="Cambria" w:hAnsi="Cambria"/>
          <w:i/>
          <w:sz w:val="24"/>
          <w:szCs w:val="24"/>
          <w:lang w:val="es-ES"/>
        </w:rPr>
        <w:t>Reglamento sobre la suficiencia patrimonial de entidades financieras</w:t>
      </w:r>
      <w:r w:rsidRPr="0057549E">
        <w:rPr>
          <w:rFonts w:ascii="Cambria" w:hAnsi="Cambria"/>
          <w:sz w:val="24"/>
          <w:szCs w:val="24"/>
          <w:lang w:val="es-ES"/>
        </w:rPr>
        <w:t xml:space="preserve"> dispone que el Superintendente debe emitir los Lineamientos Generales necesarios para la aplicación de dicho reglamento, los cuales pueden ser modificados para mantener actualizadas las cuentas contables y datos adicionales, la metodología de homologación de </w:t>
      </w:r>
      <w:r w:rsidRPr="0057549E">
        <w:rPr>
          <w:rFonts w:ascii="Cambria" w:hAnsi="Cambria"/>
          <w:sz w:val="24"/>
          <w:szCs w:val="24"/>
          <w:lang w:val="es-ES"/>
        </w:rPr>
        <w:lastRenderedPageBreak/>
        <w:t>calificaciones y de cálculo del Valor en Riesgo (</w:t>
      </w:r>
      <w:proofErr w:type="spellStart"/>
      <w:r w:rsidRPr="0057549E">
        <w:rPr>
          <w:rFonts w:ascii="Cambria" w:hAnsi="Cambria"/>
          <w:sz w:val="24"/>
          <w:szCs w:val="24"/>
          <w:lang w:val="es-ES"/>
        </w:rPr>
        <w:t>VeR</w:t>
      </w:r>
      <w:proofErr w:type="spellEnd"/>
      <w:r w:rsidRPr="0057549E">
        <w:rPr>
          <w:rFonts w:ascii="Cambria" w:hAnsi="Cambria"/>
          <w:sz w:val="24"/>
          <w:szCs w:val="24"/>
          <w:lang w:val="es-ES"/>
        </w:rPr>
        <w:t xml:space="preserve">), y las deducciones </w:t>
      </w:r>
      <w:proofErr w:type="gramStart"/>
      <w:r w:rsidRPr="0057549E">
        <w:rPr>
          <w:rFonts w:ascii="Cambria" w:hAnsi="Cambria"/>
          <w:sz w:val="24"/>
          <w:szCs w:val="24"/>
          <w:lang w:val="es-ES"/>
        </w:rPr>
        <w:t>a  las</w:t>
      </w:r>
      <w:proofErr w:type="gramEnd"/>
      <w:r w:rsidRPr="0057549E">
        <w:rPr>
          <w:rFonts w:ascii="Cambria" w:hAnsi="Cambria"/>
          <w:sz w:val="24"/>
          <w:szCs w:val="24"/>
          <w:lang w:val="es-ES"/>
        </w:rPr>
        <w:t xml:space="preserve"> que están sujetas las utilidades.</w:t>
      </w:r>
    </w:p>
    <w:p w:rsidRPr="0057549E" w:rsidR="00937493" w:rsidP="00937493" w:rsidRDefault="00937493" w14:paraId="7B7F10D9" w14:textId="77777777">
      <w:pPr>
        <w:pStyle w:val="Prrafodelista"/>
        <w:rPr>
          <w:rFonts w:ascii="Cambria" w:hAnsi="Cambria"/>
          <w:sz w:val="24"/>
          <w:szCs w:val="24"/>
          <w:lang w:val="es-ES"/>
        </w:rPr>
      </w:pPr>
    </w:p>
    <w:p w:rsidRPr="00C435CF" w:rsidR="00937493" w:rsidP="00937493" w:rsidRDefault="00937493" w14:paraId="54B65C60" w14:textId="43287DC4">
      <w:pPr>
        <w:pStyle w:val="Prrafodelista"/>
        <w:numPr>
          <w:ilvl w:val="0"/>
          <w:numId w:val="14"/>
        </w:numPr>
        <w:spacing w:before="120" w:after="120" w:line="240" w:lineRule="auto"/>
        <w:jc w:val="both"/>
        <w:rPr>
          <w:rFonts w:ascii="Cambria" w:hAnsi="Cambria"/>
          <w:sz w:val="24"/>
          <w:szCs w:val="24"/>
          <w:lang w:val="es-ES"/>
        </w:rPr>
      </w:pPr>
      <w:r w:rsidRPr="00C435CF">
        <w:rPr>
          <w:rFonts w:ascii="Cambria" w:hAnsi="Cambria"/>
          <w:sz w:val="24"/>
          <w:szCs w:val="24"/>
          <w:lang w:val="es-ES"/>
        </w:rPr>
        <w:t xml:space="preserve">Mediante artículo </w:t>
      </w:r>
      <w:r w:rsidRPr="00C435CF" w:rsidR="00C435CF">
        <w:rPr>
          <w:rFonts w:ascii="Cambria" w:hAnsi="Cambria"/>
          <w:sz w:val="24"/>
          <w:szCs w:val="24"/>
          <w:lang w:val="es-ES"/>
        </w:rPr>
        <w:t>8</w:t>
      </w:r>
      <w:r w:rsidRPr="00C435CF">
        <w:rPr>
          <w:rFonts w:ascii="Cambria" w:hAnsi="Cambria"/>
          <w:sz w:val="24"/>
          <w:szCs w:val="24"/>
          <w:lang w:val="es-ES"/>
        </w:rPr>
        <w:t xml:space="preserve"> del Acta de Sesión </w:t>
      </w:r>
      <w:r w:rsidRPr="00C435CF" w:rsidR="00C435CF">
        <w:rPr>
          <w:rFonts w:ascii="Cambria" w:hAnsi="Cambria"/>
          <w:sz w:val="24"/>
          <w:szCs w:val="24"/>
          <w:lang w:val="es-ES"/>
        </w:rPr>
        <w:t>1625-2020</w:t>
      </w:r>
      <w:r w:rsidRPr="00C435CF">
        <w:rPr>
          <w:rFonts w:ascii="Cambria" w:hAnsi="Cambria"/>
          <w:sz w:val="24"/>
          <w:szCs w:val="24"/>
          <w:lang w:val="es-ES"/>
        </w:rPr>
        <w:t xml:space="preserve"> el CONASSIF aprobó la modificación en el alcance de </w:t>
      </w:r>
      <w:proofErr w:type="gramStart"/>
      <w:r w:rsidRPr="00C435CF">
        <w:rPr>
          <w:rFonts w:ascii="Cambria" w:hAnsi="Cambria"/>
          <w:sz w:val="24"/>
          <w:szCs w:val="24"/>
          <w:lang w:val="es-ES"/>
        </w:rPr>
        <w:t>la carteras</w:t>
      </w:r>
      <w:proofErr w:type="gramEnd"/>
      <w:r w:rsidRPr="00C435CF">
        <w:rPr>
          <w:rFonts w:ascii="Cambria" w:hAnsi="Cambria"/>
          <w:sz w:val="24"/>
          <w:szCs w:val="24"/>
          <w:lang w:val="es-ES"/>
        </w:rPr>
        <w:t xml:space="preserve"> de inversiones utilizada para el cálculo del </w:t>
      </w:r>
      <w:proofErr w:type="spellStart"/>
      <w:r w:rsidRPr="00C435CF">
        <w:rPr>
          <w:rFonts w:ascii="Cambria" w:hAnsi="Cambria"/>
          <w:sz w:val="24"/>
          <w:szCs w:val="24"/>
          <w:lang w:val="es-ES"/>
        </w:rPr>
        <w:t>VeR</w:t>
      </w:r>
      <w:proofErr w:type="spellEnd"/>
      <w:r w:rsidRPr="00C435CF">
        <w:rPr>
          <w:rFonts w:ascii="Cambria" w:hAnsi="Cambria"/>
          <w:sz w:val="24"/>
          <w:szCs w:val="24"/>
          <w:lang w:val="es-ES"/>
        </w:rPr>
        <w:t xml:space="preserve">, así como la adición de los efectos de valoración por cambios en el valor razonable, respectando su </w:t>
      </w:r>
      <w:proofErr w:type="spellStart"/>
      <w:r w:rsidRPr="00C435CF">
        <w:rPr>
          <w:rFonts w:ascii="Cambria" w:hAnsi="Cambria"/>
          <w:sz w:val="24"/>
          <w:szCs w:val="24"/>
          <w:lang w:val="es-ES"/>
        </w:rPr>
        <w:t>signio</w:t>
      </w:r>
      <w:proofErr w:type="spellEnd"/>
      <w:r w:rsidRPr="00C435CF">
        <w:rPr>
          <w:rFonts w:ascii="Cambria" w:hAnsi="Cambria"/>
          <w:sz w:val="24"/>
          <w:szCs w:val="24"/>
          <w:lang w:val="es-ES"/>
        </w:rPr>
        <w:t>, en el capital secundario.</w:t>
      </w:r>
    </w:p>
    <w:p w:rsidRPr="00C435CF" w:rsidR="00937493" w:rsidP="00937493" w:rsidRDefault="00937493" w14:paraId="7302BF57" w14:textId="77777777">
      <w:pPr>
        <w:pStyle w:val="Prrafodelista"/>
        <w:rPr>
          <w:rFonts w:ascii="Cambria" w:hAnsi="Cambria"/>
          <w:sz w:val="24"/>
          <w:szCs w:val="24"/>
          <w:lang w:val="es-ES"/>
        </w:rPr>
      </w:pPr>
    </w:p>
    <w:p w:rsidRPr="00C435CF" w:rsidR="00937493" w:rsidP="00937493" w:rsidRDefault="00937493" w14:paraId="4B735F18" w14:textId="77777777">
      <w:pPr>
        <w:pStyle w:val="Prrafodelista"/>
        <w:numPr>
          <w:ilvl w:val="0"/>
          <w:numId w:val="14"/>
        </w:numPr>
        <w:spacing w:before="120" w:after="120" w:line="240" w:lineRule="auto"/>
        <w:jc w:val="both"/>
        <w:rPr>
          <w:rFonts w:ascii="Cambria" w:hAnsi="Cambria"/>
          <w:sz w:val="24"/>
          <w:szCs w:val="24"/>
          <w:lang w:val="es-ES"/>
        </w:rPr>
      </w:pPr>
      <w:r w:rsidRPr="00C435CF">
        <w:rPr>
          <w:rFonts w:ascii="Cambria" w:hAnsi="Cambria"/>
          <w:sz w:val="24"/>
          <w:szCs w:val="24"/>
          <w:lang w:val="es-ES"/>
        </w:rPr>
        <w:t xml:space="preserve">Los </w:t>
      </w:r>
      <w:r w:rsidRPr="00C435CF">
        <w:rPr>
          <w:rFonts w:ascii="Cambria" w:hAnsi="Cambria"/>
          <w:i/>
          <w:sz w:val="24"/>
          <w:szCs w:val="24"/>
          <w:lang w:val="es-ES"/>
        </w:rPr>
        <w:t>Lineamientos Generales para la aplicación del Reglamento sobre la Suficiencia Patrimonial de Entidades Financieras</w:t>
      </w:r>
      <w:r w:rsidRPr="00C435CF">
        <w:rPr>
          <w:rFonts w:ascii="Cambria" w:hAnsi="Cambria"/>
          <w:sz w:val="24"/>
          <w:szCs w:val="24"/>
          <w:lang w:val="es-ES"/>
        </w:rPr>
        <w:t xml:space="preserve">, Acuerdo SUGEF 3-06, tiene por objeto determinar la metodología de cálculo del </w:t>
      </w:r>
      <w:proofErr w:type="spellStart"/>
      <w:r w:rsidRPr="00C435CF">
        <w:rPr>
          <w:rFonts w:ascii="Cambria" w:hAnsi="Cambria"/>
          <w:sz w:val="24"/>
          <w:szCs w:val="24"/>
          <w:lang w:val="es-ES"/>
        </w:rPr>
        <w:t>VeR</w:t>
      </w:r>
      <w:proofErr w:type="spellEnd"/>
      <w:r w:rsidRPr="00C435CF">
        <w:rPr>
          <w:rFonts w:ascii="Cambria" w:hAnsi="Cambria"/>
          <w:sz w:val="24"/>
          <w:szCs w:val="24"/>
          <w:lang w:val="es-ES"/>
        </w:rPr>
        <w:t>.</w:t>
      </w:r>
    </w:p>
    <w:p w:rsidRPr="0057549E" w:rsidR="00937493" w:rsidP="00937493" w:rsidRDefault="00937493" w14:paraId="24140A8A" w14:textId="77777777">
      <w:pPr>
        <w:pStyle w:val="Prrafodelista"/>
        <w:rPr>
          <w:rFonts w:ascii="Cambria" w:hAnsi="Cambria"/>
          <w:sz w:val="24"/>
          <w:szCs w:val="24"/>
          <w:lang w:val="es-ES"/>
        </w:rPr>
      </w:pPr>
    </w:p>
    <w:p w:rsidRPr="0057549E" w:rsidR="00937493" w:rsidP="00937493" w:rsidRDefault="00937493" w14:paraId="2FE51C69" w14:textId="77777777">
      <w:pPr>
        <w:pStyle w:val="Prrafodelista"/>
        <w:numPr>
          <w:ilvl w:val="0"/>
          <w:numId w:val="14"/>
        </w:numPr>
        <w:spacing w:before="120" w:after="120" w:line="240" w:lineRule="auto"/>
        <w:jc w:val="both"/>
        <w:rPr>
          <w:rFonts w:ascii="Cambria" w:hAnsi="Cambria"/>
          <w:sz w:val="24"/>
          <w:szCs w:val="24"/>
          <w:lang w:val="es-ES"/>
        </w:rPr>
      </w:pPr>
      <w:r w:rsidRPr="0057549E">
        <w:rPr>
          <w:rFonts w:ascii="Cambria" w:hAnsi="Cambria"/>
          <w:sz w:val="24"/>
          <w:szCs w:val="24"/>
          <w:lang w:val="es-ES"/>
        </w:rPr>
        <w:t>Mediante el “</w:t>
      </w:r>
      <w:r w:rsidRPr="0057549E">
        <w:rPr>
          <w:rFonts w:ascii="Cambria" w:hAnsi="Cambria"/>
          <w:i/>
          <w:sz w:val="24"/>
          <w:szCs w:val="24"/>
          <w:lang w:val="es-ES"/>
        </w:rPr>
        <w:t>Sistema de Captura, Verificación y Carga de Datos”</w:t>
      </w:r>
      <w:r w:rsidRPr="0057549E">
        <w:rPr>
          <w:rFonts w:ascii="Cambria" w:hAnsi="Cambria"/>
          <w:sz w:val="24"/>
          <w:szCs w:val="24"/>
          <w:lang w:val="es-ES"/>
        </w:rPr>
        <w:t xml:space="preserve"> (SICVECA), las entidades supervisadas remiten a esta Superintendencia información financiera que complementa los balances, estados y cuentas de las entidades, entre ellas, un detalle de datos adicionales. Además, el “</w:t>
      </w:r>
      <w:r w:rsidRPr="0057549E">
        <w:rPr>
          <w:rFonts w:ascii="Cambria" w:hAnsi="Cambria"/>
          <w:i/>
          <w:sz w:val="24"/>
          <w:szCs w:val="24"/>
          <w:lang w:val="es-ES"/>
        </w:rPr>
        <w:t>Manual de Información–SICVECA</w:t>
      </w:r>
      <w:r w:rsidRPr="0057549E">
        <w:rPr>
          <w:rFonts w:ascii="Cambria" w:hAnsi="Cambria"/>
          <w:sz w:val="24"/>
          <w:szCs w:val="24"/>
          <w:lang w:val="es-ES"/>
        </w:rPr>
        <w:t>”, publicado en el sitio Web de SUGEF, contiene las instrucciones para la preparación y el envío de la información que ésta solicita a las entidades supervisadas.</w:t>
      </w:r>
    </w:p>
    <w:p w:rsidRPr="0057549E" w:rsidR="00937493" w:rsidP="00937493" w:rsidRDefault="00937493" w14:paraId="037FBE8A" w14:textId="77777777">
      <w:pPr>
        <w:pStyle w:val="Prrafodelista"/>
        <w:spacing w:before="120" w:after="120" w:line="240" w:lineRule="auto"/>
        <w:rPr>
          <w:rFonts w:ascii="Cambria" w:hAnsi="Cambria"/>
          <w:sz w:val="24"/>
          <w:szCs w:val="24"/>
          <w:lang w:val="es-ES"/>
        </w:rPr>
      </w:pPr>
    </w:p>
    <w:p w:rsidRPr="0057549E" w:rsidR="00937493" w:rsidP="00937493" w:rsidRDefault="00937493" w14:paraId="56BD782B" w14:textId="77777777">
      <w:pPr>
        <w:pStyle w:val="Prrafodelista"/>
        <w:numPr>
          <w:ilvl w:val="0"/>
          <w:numId w:val="14"/>
        </w:numPr>
        <w:spacing w:before="120" w:after="120" w:line="240" w:lineRule="auto"/>
        <w:jc w:val="both"/>
        <w:rPr>
          <w:rFonts w:ascii="Cambria" w:hAnsi="Cambria"/>
          <w:sz w:val="24"/>
          <w:szCs w:val="24"/>
          <w:lang w:val="es-ES"/>
        </w:rPr>
      </w:pPr>
      <w:r w:rsidRPr="0057549E">
        <w:rPr>
          <w:rFonts w:ascii="Cambria" w:hAnsi="Cambria"/>
          <w:sz w:val="24"/>
          <w:szCs w:val="24"/>
          <w:lang w:val="es-ES"/>
        </w:rPr>
        <w:t>Que las tablas de documentación de los XML, disponibles en el sitio WEB de esta Superintendencia, contienen la información complementaria que las entidades supervisadas deben remitir.</w:t>
      </w:r>
    </w:p>
    <w:p w:rsidRPr="0057549E" w:rsidR="00937493" w:rsidP="00937493" w:rsidRDefault="00937493" w14:paraId="3DB7E0C3" w14:textId="77777777">
      <w:pPr>
        <w:pStyle w:val="Prrafodelista"/>
        <w:rPr>
          <w:rFonts w:ascii="Cambria" w:hAnsi="Cambria"/>
          <w:sz w:val="24"/>
          <w:szCs w:val="24"/>
          <w:lang w:val="es-ES"/>
        </w:rPr>
      </w:pPr>
    </w:p>
    <w:p w:rsidRPr="0057549E" w:rsidR="00937493" w:rsidP="00937493" w:rsidRDefault="00435309" w14:paraId="52367C32" w14:textId="72597C3E">
      <w:pPr>
        <w:pStyle w:val="Prrafodelista"/>
        <w:numPr>
          <w:ilvl w:val="0"/>
          <w:numId w:val="14"/>
        </w:numPr>
        <w:spacing w:before="120" w:after="120" w:line="240" w:lineRule="auto"/>
        <w:jc w:val="both"/>
        <w:rPr>
          <w:rFonts w:ascii="Cambria" w:hAnsi="Cambria"/>
          <w:sz w:val="24"/>
          <w:szCs w:val="24"/>
          <w:lang w:val="es-ES"/>
        </w:rPr>
      </w:pPr>
      <w:r>
        <w:rPr>
          <w:rFonts w:ascii="Cambria" w:hAnsi="Cambria"/>
          <w:sz w:val="24"/>
          <w:szCs w:val="24"/>
          <w:lang w:val="es-ES"/>
        </w:rPr>
        <w:t>Que las entidades pueden utilizar instrumentos de cobertura sobre cambios en el valor razonable, sea que sus efectos se lleven a resultados o al patrimonio. En tal caso, resulta razonable que el uso de dichas coberturas, debidamente integradas en el marco de gestión de riesgo de riesgos de la entidad, contribuyan con mitigar el riesgo de precio, y consecuentemente queden recogidos sus efectos en la medición prudencial del riesgo de mercado.</w:t>
      </w:r>
    </w:p>
    <w:p w:rsidRPr="0057549E" w:rsidR="00937493" w:rsidP="00937493" w:rsidRDefault="00937493" w14:paraId="0F475E76" w14:textId="77777777">
      <w:pPr>
        <w:pStyle w:val="Prrafodelista"/>
        <w:spacing w:before="120" w:after="120" w:line="240" w:lineRule="auto"/>
        <w:jc w:val="both"/>
        <w:rPr>
          <w:rFonts w:ascii="Cambria" w:hAnsi="Cambria"/>
          <w:sz w:val="24"/>
          <w:szCs w:val="24"/>
          <w:lang w:val="es-ES"/>
        </w:rPr>
      </w:pPr>
    </w:p>
    <w:p w:rsidRPr="0057549E" w:rsidR="00937493" w:rsidP="00937493" w:rsidRDefault="00937493" w14:paraId="3FFF959B" w14:textId="77777777">
      <w:pPr>
        <w:spacing w:before="120" w:after="120" w:line="240" w:lineRule="auto"/>
        <w:ind w:left="33"/>
        <w:rPr>
          <w:sz w:val="24"/>
        </w:rPr>
      </w:pPr>
      <w:r w:rsidRPr="0057549E">
        <w:rPr>
          <w:b/>
          <w:sz w:val="24"/>
        </w:rPr>
        <w:t>Dispone</w:t>
      </w:r>
      <w:r w:rsidRPr="0057549E">
        <w:rPr>
          <w:sz w:val="24"/>
        </w:rPr>
        <w:t>:</w:t>
      </w:r>
    </w:p>
    <w:p w:rsidRPr="0057549E" w:rsidR="00937493" w:rsidP="00937493" w:rsidRDefault="00937493" w14:paraId="4B1B32C0" w14:textId="77777777">
      <w:pPr>
        <w:spacing w:line="240" w:lineRule="auto"/>
        <w:contextualSpacing/>
        <w:rPr>
          <w:sz w:val="24"/>
        </w:rPr>
      </w:pPr>
    </w:p>
    <w:p w:rsidRPr="0057549E" w:rsidR="00937493" w:rsidP="00937493" w:rsidRDefault="00937493" w14:paraId="6D76C89D" w14:textId="77777777">
      <w:pPr>
        <w:pStyle w:val="NormalWeb"/>
        <w:numPr>
          <w:ilvl w:val="0"/>
          <w:numId w:val="16"/>
        </w:numPr>
        <w:spacing w:before="0" w:beforeAutospacing="0" w:after="0" w:afterAutospacing="0"/>
        <w:ind w:left="284" w:hanging="284"/>
        <w:jc w:val="both"/>
        <w:rPr>
          <w:rFonts w:ascii="Cambria" w:hAnsi="Cambria"/>
          <w:color w:val="auto"/>
          <w:sz w:val="24"/>
          <w:szCs w:val="24"/>
          <w:lang w:val="es-CR"/>
        </w:rPr>
      </w:pPr>
      <w:r w:rsidRPr="0057549E">
        <w:rPr>
          <w:rFonts w:ascii="Cambria" w:hAnsi="Cambria"/>
          <w:sz w:val="24"/>
          <w:szCs w:val="24"/>
        </w:rPr>
        <w:t>Modificar las cuentas contables sujetas a Riesgo de Precio de los “Lineamientos Generales para la Aplicación del Reglamento sobre la Suficiencia Patrimonial de Entidades Financieras” de acuerdo con el siguiente texto:</w:t>
      </w:r>
    </w:p>
    <w:p w:rsidRPr="0057549E" w:rsidR="00937493" w:rsidP="00937493" w:rsidRDefault="00937493" w14:paraId="00FB1936" w14:textId="77777777">
      <w:pPr>
        <w:pStyle w:val="NormalWeb"/>
        <w:spacing w:before="0" w:beforeAutospacing="0" w:after="0" w:afterAutospacing="0"/>
        <w:ind w:left="284"/>
        <w:jc w:val="both"/>
        <w:rPr>
          <w:rFonts w:ascii="Cambria" w:hAnsi="Cambria"/>
          <w:b/>
          <w:sz w:val="24"/>
          <w:szCs w:val="24"/>
        </w:rPr>
      </w:pPr>
    </w:p>
    <w:tbl>
      <w:tblPr>
        <w:tblStyle w:val="Tablaconcuadrculaclara"/>
        <w:tblW w:w="9067" w:type="dxa"/>
        <w:tblLook w:val="04A0" w:firstRow="1" w:lastRow="0" w:firstColumn="1" w:lastColumn="0" w:noHBand="0" w:noVBand="1"/>
      </w:tblPr>
      <w:tblGrid>
        <w:gridCol w:w="3114"/>
        <w:gridCol w:w="5953"/>
      </w:tblGrid>
      <w:tr w:rsidRPr="0057549E" w:rsidR="00937493" w:rsidTr="002E5C93" w14:paraId="5794F0C9" w14:textId="77777777">
        <w:trPr>
          <w:tblHeader/>
        </w:trPr>
        <w:tc>
          <w:tcPr>
            <w:tcW w:w="9067" w:type="dxa"/>
            <w:gridSpan w:val="2"/>
          </w:tcPr>
          <w:p w:rsidRPr="0057549E" w:rsidR="00937493" w:rsidP="0016746D" w:rsidRDefault="00937493" w14:paraId="3C02EEEE" w14:textId="77777777">
            <w:pPr>
              <w:spacing w:before="60" w:after="60" w:line="240" w:lineRule="auto"/>
              <w:jc w:val="left"/>
              <w:rPr>
                <w:rFonts w:cs="Calibri"/>
                <w:b/>
                <w:bCs/>
                <w:sz w:val="24"/>
                <w:lang w:val="es-CR" w:eastAsia="es-CR"/>
              </w:rPr>
            </w:pPr>
            <w:r w:rsidRPr="0057549E">
              <w:rPr>
                <w:rFonts w:cs="Calibri"/>
                <w:b/>
                <w:bCs/>
                <w:sz w:val="24"/>
                <w:lang w:val="es-CR" w:eastAsia="es-CR"/>
              </w:rPr>
              <w:lastRenderedPageBreak/>
              <w:t xml:space="preserve">Cuentas sujetas al </w:t>
            </w:r>
            <w:proofErr w:type="spellStart"/>
            <w:r w:rsidRPr="0057549E">
              <w:rPr>
                <w:rFonts w:cs="Calibri"/>
                <w:b/>
                <w:bCs/>
                <w:sz w:val="24"/>
                <w:lang w:val="es-CR" w:eastAsia="es-CR"/>
              </w:rPr>
              <w:t>calculo</w:t>
            </w:r>
            <w:proofErr w:type="spellEnd"/>
            <w:r w:rsidRPr="0057549E">
              <w:rPr>
                <w:rFonts w:cs="Calibri"/>
                <w:b/>
                <w:bCs/>
                <w:sz w:val="24"/>
                <w:lang w:val="es-CR" w:eastAsia="es-CR"/>
              </w:rPr>
              <w:t xml:space="preserve"> del </w:t>
            </w:r>
            <w:proofErr w:type="spellStart"/>
            <w:r w:rsidRPr="0057549E">
              <w:rPr>
                <w:rFonts w:cs="Calibri"/>
                <w:b/>
                <w:bCs/>
                <w:sz w:val="24"/>
                <w:lang w:val="es-CR" w:eastAsia="es-CR"/>
              </w:rPr>
              <w:t>VeR</w:t>
            </w:r>
            <w:proofErr w:type="spellEnd"/>
          </w:p>
        </w:tc>
      </w:tr>
      <w:tr w:rsidRPr="0057549E" w:rsidR="00937493" w:rsidTr="0016746D" w14:paraId="6091B2D5" w14:textId="77777777">
        <w:tc>
          <w:tcPr>
            <w:tcW w:w="3114" w:type="dxa"/>
          </w:tcPr>
          <w:p w:rsidRPr="0057549E" w:rsidR="00937493" w:rsidP="0016746D" w:rsidRDefault="00937493" w14:paraId="07E62989" w14:textId="42BFF022">
            <w:pPr>
              <w:spacing w:before="60" w:after="60" w:line="240" w:lineRule="auto"/>
              <w:rPr>
                <w:sz w:val="24"/>
              </w:rPr>
            </w:pPr>
            <w:proofErr w:type="gramStart"/>
            <w:r w:rsidRPr="0057549E">
              <w:rPr>
                <w:sz w:val="24"/>
              </w:rPr>
              <w:t>C(</w:t>
            </w:r>
            <w:proofErr w:type="gramEnd"/>
            <w:r w:rsidRPr="0057549E">
              <w:rPr>
                <w:sz w:val="24"/>
              </w:rPr>
              <w:t>121) +</w:t>
            </w:r>
            <w:r w:rsidR="006D39A0">
              <w:rPr>
                <w:sz w:val="24"/>
              </w:rPr>
              <w:t xml:space="preserve"> </w:t>
            </w:r>
            <w:r w:rsidRPr="0057549E">
              <w:rPr>
                <w:sz w:val="24"/>
              </w:rPr>
              <w:t>C(122 – 122.12 – 122.14) +</w:t>
            </w:r>
            <w:r w:rsidR="006D39A0">
              <w:rPr>
                <w:sz w:val="24"/>
              </w:rPr>
              <w:t xml:space="preserve"> </w:t>
            </w:r>
            <w:r w:rsidRPr="0057549E">
              <w:rPr>
                <w:sz w:val="24"/>
              </w:rPr>
              <w:t>C(125 – 12</w:t>
            </w:r>
            <w:r w:rsidR="006A4F5A">
              <w:rPr>
                <w:sz w:val="24"/>
              </w:rPr>
              <w:t>5</w:t>
            </w:r>
            <w:r w:rsidRPr="0057549E">
              <w:rPr>
                <w:sz w:val="24"/>
              </w:rPr>
              <w:t>.03 – 12</w:t>
            </w:r>
            <w:r w:rsidR="006A4F5A">
              <w:rPr>
                <w:sz w:val="24"/>
              </w:rPr>
              <w:t>5</w:t>
            </w:r>
            <w:r w:rsidRPr="0057549E">
              <w:rPr>
                <w:sz w:val="24"/>
              </w:rPr>
              <w:t>.04)</w:t>
            </w:r>
            <w:r w:rsidR="003A2E98">
              <w:rPr>
                <w:sz w:val="24"/>
              </w:rPr>
              <w:t xml:space="preserve"> + </w:t>
            </w:r>
            <w:r w:rsidRPr="0057549E" w:rsidR="003A2E98">
              <w:rPr>
                <w:sz w:val="24"/>
              </w:rPr>
              <w:t>C(151.01)</w:t>
            </w:r>
          </w:p>
        </w:tc>
        <w:tc>
          <w:tcPr>
            <w:tcW w:w="5953" w:type="dxa"/>
          </w:tcPr>
          <w:p w:rsidRPr="0057549E" w:rsidR="00937493" w:rsidP="0016746D" w:rsidRDefault="00463139" w14:paraId="23D4306F" w14:textId="6ED932AB">
            <w:pPr>
              <w:rPr>
                <w:sz w:val="24"/>
                <w:lang w:val="es-CR" w:eastAsia="es-CR"/>
              </w:rPr>
            </w:pPr>
            <w:r w:rsidRPr="00463139">
              <w:rPr>
                <w:sz w:val="24"/>
              </w:rPr>
              <w:t>Los instrumentos sujetos a requerimiento de capital por riesgo de precio son todos los que componen la cartera de inversiones en valores y depósitos a plazo más los valores adquiridos en recuperación de créditos, excepto lo siguiente</w:t>
            </w:r>
            <w:r>
              <w:rPr>
                <w:sz w:val="24"/>
              </w:rPr>
              <w:t>:</w:t>
            </w:r>
          </w:p>
          <w:p w:rsidRPr="0057549E" w:rsidR="00937493" w:rsidP="00937493" w:rsidRDefault="00937493" w14:paraId="1E52C6A0" w14:textId="77777777">
            <w:pPr>
              <w:pStyle w:val="Prrafodelista"/>
              <w:numPr>
                <w:ilvl w:val="0"/>
                <w:numId w:val="33"/>
              </w:numPr>
              <w:spacing w:after="0" w:line="240" w:lineRule="auto"/>
              <w:contextualSpacing w:val="0"/>
              <w:jc w:val="both"/>
              <w:rPr>
                <w:rFonts w:ascii="Cambria" w:hAnsi="Cambria" w:cs="Times New Roman"/>
                <w:sz w:val="24"/>
                <w:szCs w:val="24"/>
              </w:rPr>
            </w:pPr>
            <w:r w:rsidRPr="0057549E">
              <w:rPr>
                <w:rFonts w:ascii="Cambria" w:hAnsi="Cambria" w:cs="Times New Roman"/>
                <w:sz w:val="24"/>
                <w:szCs w:val="24"/>
              </w:rPr>
              <w:t xml:space="preserve">las inversiones clasificadas al costo amortizado, </w:t>
            </w:r>
          </w:p>
          <w:p w:rsidRPr="0057549E" w:rsidR="00937493" w:rsidP="00937493" w:rsidRDefault="00463139" w14:paraId="689AB9B8" w14:textId="6276B3FF">
            <w:pPr>
              <w:pStyle w:val="Prrafodelista"/>
              <w:numPr>
                <w:ilvl w:val="0"/>
                <w:numId w:val="33"/>
              </w:numPr>
              <w:spacing w:after="0" w:line="240" w:lineRule="auto"/>
              <w:contextualSpacing w:val="0"/>
              <w:jc w:val="both"/>
              <w:rPr>
                <w:rFonts w:ascii="Cambria" w:hAnsi="Cambria" w:cs="Times New Roman"/>
                <w:sz w:val="24"/>
                <w:szCs w:val="24"/>
              </w:rPr>
            </w:pPr>
            <w:r w:rsidRPr="00463139">
              <w:rPr>
                <w:rFonts w:ascii="Cambria" w:hAnsi="Cambria" w:cs="Times New Roman"/>
                <w:sz w:val="24"/>
                <w:szCs w:val="24"/>
              </w:rPr>
              <w:t>las inversiones en operaciones de recompra (valores con pacto de reventa)</w:t>
            </w:r>
            <w:r w:rsidRPr="0057549E" w:rsidR="00937493">
              <w:rPr>
                <w:rFonts w:ascii="Cambria" w:hAnsi="Cambria" w:cs="Times New Roman"/>
                <w:sz w:val="24"/>
                <w:szCs w:val="24"/>
              </w:rPr>
              <w:t>,</w:t>
            </w:r>
          </w:p>
          <w:p w:rsidRPr="0057549E" w:rsidR="00937493" w:rsidP="00937493" w:rsidRDefault="00937493" w14:paraId="12D3C0A2" w14:textId="5CBF741E">
            <w:pPr>
              <w:pStyle w:val="Prrafodelista"/>
              <w:numPr>
                <w:ilvl w:val="0"/>
                <w:numId w:val="33"/>
              </w:numPr>
              <w:spacing w:after="0" w:line="240" w:lineRule="auto"/>
              <w:contextualSpacing w:val="0"/>
              <w:jc w:val="both"/>
              <w:rPr>
                <w:rFonts w:ascii="Cambria" w:hAnsi="Cambria" w:cs="Times New Roman"/>
                <w:sz w:val="24"/>
                <w:szCs w:val="24"/>
              </w:rPr>
            </w:pPr>
            <w:r w:rsidRPr="0057549E">
              <w:rPr>
                <w:rFonts w:ascii="Cambria" w:hAnsi="Cambria" w:cs="Times New Roman"/>
                <w:sz w:val="24"/>
                <w:szCs w:val="24"/>
              </w:rPr>
              <w:t>las inversiones en valores y depósitos en entidades en cesación de pagos.</w:t>
            </w:r>
          </w:p>
        </w:tc>
      </w:tr>
      <w:tr w:rsidRPr="0057549E" w:rsidR="00937493" w:rsidTr="0016746D" w14:paraId="2D63FEE1" w14:textId="77777777">
        <w:tc>
          <w:tcPr>
            <w:tcW w:w="3114" w:type="dxa"/>
          </w:tcPr>
          <w:p w:rsidRPr="0057549E" w:rsidR="00937493" w:rsidP="0016746D" w:rsidRDefault="00937493" w14:paraId="2AFB6B01" w14:textId="77777777">
            <w:pPr>
              <w:spacing w:before="60" w:after="60" w:line="240" w:lineRule="auto"/>
              <w:rPr>
                <w:rFonts w:cs="Calibri"/>
                <w:b/>
                <w:bCs/>
                <w:sz w:val="24"/>
                <w:lang w:val="es-CR" w:eastAsia="es-CR"/>
              </w:rPr>
            </w:pPr>
          </w:p>
        </w:tc>
        <w:tc>
          <w:tcPr>
            <w:tcW w:w="5953" w:type="dxa"/>
          </w:tcPr>
          <w:p w:rsidRPr="0057549E" w:rsidR="00937493" w:rsidP="0016746D" w:rsidRDefault="003A2E98" w14:paraId="3CEEBA0B" w14:textId="4B5EDA04">
            <w:pPr>
              <w:spacing w:before="60" w:after="60" w:line="240" w:lineRule="auto"/>
              <w:rPr>
                <w:rFonts w:cs="Calibri"/>
                <w:bCs/>
                <w:sz w:val="24"/>
                <w:lang w:val="es-CR" w:eastAsia="es-CR"/>
              </w:rPr>
            </w:pPr>
            <w:r>
              <w:rPr>
                <w:rFonts w:cs="Calibri"/>
                <w:bCs/>
                <w:sz w:val="24"/>
                <w:lang w:val="es-CR" w:eastAsia="es-CR"/>
              </w:rPr>
              <w:t xml:space="preserve">Podrán incluirse los efectos de los </w:t>
            </w:r>
            <w:proofErr w:type="spellStart"/>
            <w:r>
              <w:rPr>
                <w:rFonts w:cs="Calibri"/>
                <w:bCs/>
                <w:sz w:val="24"/>
                <w:lang w:val="es-CR" w:eastAsia="es-CR"/>
              </w:rPr>
              <w:t>insrumentos</w:t>
            </w:r>
            <w:proofErr w:type="spellEnd"/>
            <w:r>
              <w:rPr>
                <w:rFonts w:cs="Calibri"/>
                <w:bCs/>
                <w:sz w:val="24"/>
                <w:lang w:val="es-CR" w:eastAsia="es-CR"/>
              </w:rPr>
              <w:t xml:space="preserve"> derivados que utilice la entidad para cobertura </w:t>
            </w:r>
            <w:r w:rsidRPr="0057549E" w:rsidR="00937493">
              <w:rPr>
                <w:rFonts w:cs="Calibri"/>
                <w:bCs/>
                <w:sz w:val="24"/>
                <w:lang w:val="es-CR" w:eastAsia="es-CR"/>
              </w:rPr>
              <w:t xml:space="preserve">de cambios en el valor razonable de los instrumentos incluidos en el cálculo del </w:t>
            </w:r>
            <w:proofErr w:type="spellStart"/>
            <w:r w:rsidRPr="0057549E" w:rsidR="00937493">
              <w:rPr>
                <w:rFonts w:cs="Calibri"/>
                <w:bCs/>
                <w:sz w:val="24"/>
                <w:lang w:val="es-CR" w:eastAsia="es-CR"/>
              </w:rPr>
              <w:t>VeR</w:t>
            </w:r>
            <w:proofErr w:type="spellEnd"/>
            <w:r w:rsidRPr="0057549E" w:rsidR="00937493">
              <w:rPr>
                <w:rFonts w:cs="Calibri"/>
                <w:bCs/>
                <w:sz w:val="24"/>
                <w:lang w:val="es-CR" w:eastAsia="es-CR"/>
              </w:rPr>
              <w:t>.</w:t>
            </w:r>
          </w:p>
        </w:tc>
      </w:tr>
      <w:tr w:rsidRPr="0057549E" w:rsidR="00937493" w:rsidTr="0016746D" w14:paraId="6007817A" w14:textId="77777777">
        <w:tc>
          <w:tcPr>
            <w:tcW w:w="3114" w:type="dxa"/>
          </w:tcPr>
          <w:p w:rsidRPr="0057549E" w:rsidR="00937493" w:rsidP="0016746D" w:rsidRDefault="00937493" w14:paraId="7035D121" w14:textId="58FB0D0C">
            <w:pPr>
              <w:spacing w:before="60" w:after="60" w:line="240" w:lineRule="auto"/>
              <w:rPr>
                <w:rFonts w:cs="Calibri"/>
                <w:b/>
                <w:bCs/>
                <w:sz w:val="24"/>
                <w:lang w:val="es-CR" w:eastAsia="es-CR"/>
              </w:rPr>
            </w:pPr>
          </w:p>
        </w:tc>
        <w:tc>
          <w:tcPr>
            <w:tcW w:w="5953" w:type="dxa"/>
          </w:tcPr>
          <w:p w:rsidRPr="003A2E98" w:rsidR="00937493" w:rsidP="003A2E98" w:rsidRDefault="00463139" w14:paraId="5BA4E58F" w14:textId="3594E1D5">
            <w:pPr>
              <w:spacing w:before="60" w:after="60" w:line="240" w:lineRule="auto"/>
              <w:rPr>
                <w:rFonts w:cs="Calibri"/>
                <w:bCs/>
                <w:sz w:val="24"/>
                <w:lang w:val="es-CR" w:eastAsia="es-CR"/>
              </w:rPr>
            </w:pPr>
            <w:r w:rsidRPr="003A2E98">
              <w:rPr>
                <w:rFonts w:cs="Calibri"/>
                <w:bCs/>
                <w:sz w:val="24"/>
                <w:lang w:val="es-CR" w:eastAsia="es-CR"/>
              </w:rPr>
              <w:t>En todos los casos se deben utilizar los valores en términos brutos.</w:t>
            </w:r>
          </w:p>
        </w:tc>
      </w:tr>
      <w:tr w:rsidRPr="0057549E" w:rsidR="003A2E98" w:rsidTr="0016746D" w14:paraId="6129681C" w14:textId="77777777">
        <w:tc>
          <w:tcPr>
            <w:tcW w:w="3114" w:type="dxa"/>
          </w:tcPr>
          <w:p w:rsidRPr="003A2E98" w:rsidR="003A2E98" w:rsidP="0016746D" w:rsidRDefault="003A2E98" w14:paraId="19312D81" w14:textId="6E8A43A5">
            <w:pPr>
              <w:spacing w:before="60" w:after="60" w:line="240" w:lineRule="auto"/>
              <w:rPr>
                <w:rFonts w:cs="Calibri"/>
                <w:b/>
                <w:bCs/>
                <w:sz w:val="24"/>
                <w:lang w:eastAsia="es-CR"/>
              </w:rPr>
            </w:pPr>
            <w:r w:rsidRPr="0057549E">
              <w:rPr>
                <w:rFonts w:cs="Calibri"/>
                <w:b/>
                <w:bCs/>
                <w:sz w:val="24"/>
                <w:lang w:val="es-CR" w:eastAsia="es-CR"/>
              </w:rPr>
              <w:t>[…]</w:t>
            </w:r>
          </w:p>
        </w:tc>
        <w:tc>
          <w:tcPr>
            <w:tcW w:w="5953" w:type="dxa"/>
          </w:tcPr>
          <w:p w:rsidRPr="000A1451" w:rsidR="003A2E98" w:rsidP="00463139" w:rsidRDefault="003A2E98" w14:paraId="0EAB6AB5" w14:textId="77777777">
            <w:pPr>
              <w:widowControl w:val="0"/>
              <w:ind w:hanging="11"/>
              <w:contextualSpacing/>
              <w:rPr>
                <w:bCs/>
                <w:i/>
                <w:sz w:val="24"/>
              </w:rPr>
            </w:pPr>
          </w:p>
        </w:tc>
      </w:tr>
    </w:tbl>
    <w:p w:rsidRPr="0057549E" w:rsidR="00937493" w:rsidP="00937493" w:rsidRDefault="00937493" w14:paraId="1AFF200E" w14:textId="77777777">
      <w:pPr>
        <w:pStyle w:val="NormalWeb"/>
        <w:spacing w:before="0" w:beforeAutospacing="0" w:after="0" w:afterAutospacing="0"/>
        <w:ind w:left="284"/>
        <w:jc w:val="both"/>
        <w:rPr>
          <w:rFonts w:ascii="Cambria" w:hAnsi="Cambria"/>
          <w:sz w:val="24"/>
          <w:szCs w:val="24"/>
        </w:rPr>
      </w:pPr>
    </w:p>
    <w:p w:rsidRPr="0057549E" w:rsidR="00937493" w:rsidP="00937493" w:rsidRDefault="00937493" w14:paraId="487D80CB" w14:textId="4CEC02EE">
      <w:pPr>
        <w:rPr>
          <w:sz w:val="24"/>
        </w:rPr>
      </w:pPr>
      <w:r w:rsidRPr="0057549E">
        <w:rPr>
          <w:sz w:val="24"/>
        </w:rPr>
        <w:t xml:space="preserve">Rige para </w:t>
      </w:r>
      <w:r w:rsidR="00463139">
        <w:rPr>
          <w:sz w:val="24"/>
        </w:rPr>
        <w:t xml:space="preserve">a partir del </w:t>
      </w:r>
      <w:r w:rsidRPr="0057549E">
        <w:rPr>
          <w:sz w:val="24"/>
        </w:rPr>
        <w:t>envío de información con corte al 3</w:t>
      </w:r>
      <w:r>
        <w:rPr>
          <w:sz w:val="24"/>
        </w:rPr>
        <w:t>1</w:t>
      </w:r>
      <w:r w:rsidRPr="0057549E">
        <w:rPr>
          <w:sz w:val="24"/>
        </w:rPr>
        <w:t xml:space="preserve"> de</w:t>
      </w:r>
      <w:r>
        <w:rPr>
          <w:sz w:val="24"/>
        </w:rPr>
        <w:t xml:space="preserve"> diciem</w:t>
      </w:r>
      <w:r w:rsidRPr="0057549E">
        <w:rPr>
          <w:sz w:val="24"/>
        </w:rPr>
        <w:t>bre de 2020</w:t>
      </w:r>
      <w:r w:rsidR="00463139">
        <w:rPr>
          <w:sz w:val="24"/>
        </w:rPr>
        <w:t>, inclusive</w:t>
      </w:r>
      <w:r>
        <w:rPr>
          <w:sz w:val="24"/>
        </w:rPr>
        <w:t>.</w:t>
      </w:r>
    </w:p>
    <w:p w:rsidRPr="0057549E" w:rsidR="00937493" w:rsidP="00937493" w:rsidRDefault="00937493" w14:paraId="11C2BF12" w14:textId="77777777">
      <w:pPr>
        <w:spacing w:line="240" w:lineRule="auto"/>
        <w:contextualSpacing/>
        <w:rPr>
          <w:sz w:val="24"/>
        </w:rPr>
      </w:pPr>
    </w:p>
    <w:p w:rsidRPr="0057549E" w:rsidR="00937493" w:rsidP="00937493" w:rsidRDefault="00937493" w14:paraId="7728C86A" w14:textId="77777777">
      <w:pPr>
        <w:spacing w:line="240" w:lineRule="auto"/>
        <w:contextualSpacing/>
        <w:rPr>
          <w:sz w:val="24"/>
        </w:rPr>
      </w:pPr>
      <w:r w:rsidRPr="0057549E">
        <w:rPr>
          <w:sz w:val="24"/>
        </w:rPr>
        <w:t>Publíquese en el Diario Oficial La Gaceta.</w:t>
      </w:r>
    </w:p>
    <w:p w:rsidRPr="00FF752D" w:rsidR="007C0CC9" w:rsidP="00FF752D" w:rsidRDefault="007C0CC9" w14:paraId="47ED19CA" w14:textId="77777777">
      <w:pPr>
        <w:pStyle w:val="Texto0"/>
        <w:spacing w:before="0" w:after="0" w:line="240" w:lineRule="auto"/>
        <w:contextualSpacing/>
        <w:rPr>
          <w:sz w:val="24"/>
        </w:rPr>
      </w:pPr>
    </w:p>
    <w:p w:rsidRPr="00FF752D" w:rsidR="00251BA2" w:rsidP="00FF752D" w:rsidRDefault="00251BA2" w14:paraId="612C57B3" w14:textId="77777777">
      <w:pPr>
        <w:pStyle w:val="Texto0"/>
        <w:spacing w:before="0" w:after="0" w:line="240" w:lineRule="auto"/>
        <w:contextualSpacing/>
        <w:rPr>
          <w:sz w:val="24"/>
        </w:rPr>
      </w:pPr>
      <w:r w:rsidRPr="00FF752D">
        <w:rPr>
          <w:sz w:val="24"/>
        </w:rPr>
        <w:t>Atentamente,</w:t>
      </w:r>
    </w:p>
    <w:p w:rsidRPr="00FF752D" w:rsidR="00251BA2" w:rsidP="00FF752D" w:rsidRDefault="00251BA2" w14:paraId="4DD479B1" w14:textId="340A5FA9">
      <w:pPr>
        <w:spacing w:line="240" w:lineRule="auto"/>
        <w:contextualSpacing/>
        <w:rPr>
          <w:sz w:val="24"/>
        </w:rPr>
      </w:pPr>
      <w:r w:rsidRPr="00FF752D">
        <w:rPr>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F752D" w:rsidR="00251BA2" w:rsidP="00FF752D" w:rsidRDefault="00251BA2" w14:paraId="6B4D47CD" w14:textId="77777777">
      <w:pPr>
        <w:spacing w:line="240" w:lineRule="auto"/>
        <w:contextualSpacing/>
        <w:rPr>
          <w:sz w:val="24"/>
        </w:rPr>
      </w:pPr>
    </w:p>
    <w:p w:rsidRPr="00FF752D" w:rsidR="0056149B" w:rsidP="00FF752D" w:rsidRDefault="00F639DE" w14:paraId="4A4063B2" w14:textId="3920C902">
      <w:pPr>
        <w:spacing w:line="240" w:lineRule="auto"/>
        <w:contextualSpacing/>
        <w:rPr>
          <w:sz w:val="24"/>
        </w:rPr>
      </w:pPr>
      <w:r w:rsidRPr="00FF752D">
        <w:rPr>
          <w:sz w:val="24"/>
        </w:rPr>
        <w:t>Rocío Aguilar Montoya</w:t>
      </w:r>
    </w:p>
    <w:p w:rsidR="00251BA2" w:rsidP="00FF752D" w:rsidRDefault="00251BA2" w14:paraId="0EC86EC6" w14:textId="283473AF">
      <w:pPr>
        <w:spacing w:line="240" w:lineRule="auto"/>
        <w:contextualSpacing/>
        <w:rPr>
          <w:b/>
          <w:sz w:val="24"/>
        </w:rPr>
      </w:pPr>
      <w:r w:rsidRPr="00FF752D">
        <w:rPr>
          <w:b/>
          <w:sz w:val="24"/>
        </w:rPr>
        <w:t>Superintendente</w:t>
      </w:r>
      <w:r w:rsidRPr="00FF752D" w:rsidR="00E34E82">
        <w:rPr>
          <w:b/>
          <w:sz w:val="24"/>
        </w:rPr>
        <w:t xml:space="preserve"> General</w:t>
      </w:r>
    </w:p>
    <w:p w:rsidR="00FF752D" w:rsidP="00FF752D" w:rsidRDefault="00FF752D" w14:paraId="7F46C162" w14:textId="5875D160">
      <w:pPr>
        <w:spacing w:line="240" w:lineRule="auto"/>
        <w:contextualSpacing/>
        <w:rPr>
          <w:b/>
          <w:sz w:val="24"/>
        </w:rPr>
      </w:pPr>
    </w:p>
    <w:p w:rsidRPr="00FF752D" w:rsidR="00A26E9E" w:rsidP="00FF752D" w:rsidRDefault="005B160F" w14:paraId="31BC3841" w14:textId="3821B951">
      <w:pPr>
        <w:spacing w:before="120" w:after="120" w:line="240" w:lineRule="auto"/>
        <w:contextualSpacing/>
        <w:rPr>
          <w:sz w:val="24"/>
        </w:rPr>
      </w:pPr>
      <w:r w:rsidRPr="00FF752D">
        <w:rPr>
          <w:rFonts w:eastAsia="Calibri"/>
          <w:b/>
          <w:bCs/>
          <w:sz w:val="24"/>
          <w:lang w:val="es-CR"/>
        </w:rPr>
        <w:t>J</w:t>
      </w:r>
      <w:r w:rsidRPr="00FF752D" w:rsidR="0056149B">
        <w:rPr>
          <w:rFonts w:eastAsia="Calibri"/>
          <w:b/>
          <w:bCs/>
          <w:sz w:val="24"/>
          <w:lang w:val="es-CR"/>
        </w:rPr>
        <w:t>SC/</w:t>
      </w:r>
      <w:proofErr w:type="spellStart"/>
      <w:r w:rsidRPr="00FF752D" w:rsidR="00251BA2">
        <w:rPr>
          <w:rFonts w:eastAsia="Calibri"/>
          <w:b/>
          <w:bCs/>
          <w:sz w:val="24"/>
          <w:lang w:val="es-CR"/>
        </w:rPr>
        <w:t>gvl</w:t>
      </w:r>
      <w:proofErr w:type="spellEnd"/>
      <w:r w:rsidRPr="00FF752D" w:rsidR="00251BA2">
        <w:rPr>
          <w:rFonts w:eastAsia="Calibri"/>
          <w:b/>
          <w:bCs/>
          <w:sz w:val="24"/>
          <w:lang w:val="es-CR"/>
        </w:rPr>
        <w:t>*</w:t>
      </w:r>
    </w:p>
    <w:sectPr w:rsidRPr="00FF752D"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4CD2"/>
    <w:multiLevelType w:val="hybridMultilevel"/>
    <w:tmpl w:val="3938AB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429661D"/>
    <w:multiLevelType w:val="hybridMultilevel"/>
    <w:tmpl w:val="E5CA10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3267B4"/>
    <w:multiLevelType w:val="hybridMultilevel"/>
    <w:tmpl w:val="7D30FE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FB267A"/>
    <w:multiLevelType w:val="hybridMultilevel"/>
    <w:tmpl w:val="8488DB04"/>
    <w:lvl w:ilvl="0" w:tplc="DCF2CE94">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1E58D3"/>
    <w:multiLevelType w:val="hybridMultilevel"/>
    <w:tmpl w:val="C1DCAA56"/>
    <w:lvl w:ilvl="0" w:tplc="52029D6A">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20" w15:restartNumberingAfterBreak="0">
    <w:nsid w:val="4A711567"/>
    <w:multiLevelType w:val="hybridMultilevel"/>
    <w:tmpl w:val="4EFC7998"/>
    <w:lvl w:ilvl="0" w:tplc="6182274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0E77E37"/>
    <w:multiLevelType w:val="hybridMultilevel"/>
    <w:tmpl w:val="219A6354"/>
    <w:lvl w:ilvl="0" w:tplc="2C06333E">
      <w:start w:val="1"/>
      <w:numFmt w:val="upperRoman"/>
      <w:lvlText w:val="%1."/>
      <w:lvlJc w:val="left"/>
      <w:pPr>
        <w:ind w:left="1080" w:hanging="720"/>
      </w:pPr>
      <w:rPr>
        <w:rFonts w:hint="default"/>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4" w15:restartNumberingAfterBreak="0">
    <w:nsid w:val="53775032"/>
    <w:multiLevelType w:val="hybridMultilevel"/>
    <w:tmpl w:val="028277C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1D90760"/>
    <w:multiLevelType w:val="multilevel"/>
    <w:tmpl w:val="C054F76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5361010"/>
    <w:multiLevelType w:val="hybridMultilevel"/>
    <w:tmpl w:val="C34E2A6C"/>
    <w:lvl w:ilvl="0" w:tplc="44CE1CF8">
      <w:start w:val="3"/>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DFC25CA"/>
    <w:multiLevelType w:val="hybridMultilevel"/>
    <w:tmpl w:val="052CB2CE"/>
    <w:lvl w:ilvl="0" w:tplc="4C8E52B8">
      <w:start w:val="2"/>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31"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18"/>
  </w:num>
  <w:num w:numId="19">
    <w:abstractNumId w:val="14"/>
  </w:num>
  <w:num w:numId="20">
    <w:abstractNumId w:val="27"/>
  </w:num>
  <w:num w:numId="21">
    <w:abstractNumId w:val="22"/>
  </w:num>
  <w:num w:numId="22">
    <w:abstractNumId w:val="25"/>
  </w:num>
  <w:num w:numId="23">
    <w:abstractNumId w:val="19"/>
  </w:num>
  <w:num w:numId="24">
    <w:abstractNumId w:val="12"/>
  </w:num>
  <w:num w:numId="25">
    <w:abstractNumId w:val="24"/>
  </w:num>
  <w:num w:numId="26">
    <w:abstractNumId w:val="26"/>
  </w:num>
  <w:num w:numId="27">
    <w:abstractNumId w:val="10"/>
  </w:num>
  <w:num w:numId="28">
    <w:abstractNumId w:val="15"/>
  </w:num>
  <w:num w:numId="29">
    <w:abstractNumId w:val="29"/>
  </w:num>
  <w:num w:numId="30">
    <w:abstractNumId w:val="28"/>
  </w:num>
  <w:num w:numId="31">
    <w:abstractNumId w:val="21"/>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946F4"/>
    <w:rsid w:val="001A311A"/>
    <w:rsid w:val="001A6574"/>
    <w:rsid w:val="001B4D6A"/>
    <w:rsid w:val="001B5593"/>
    <w:rsid w:val="001C075B"/>
    <w:rsid w:val="001C5806"/>
    <w:rsid w:val="001E0448"/>
    <w:rsid w:val="001E37B7"/>
    <w:rsid w:val="00212B7C"/>
    <w:rsid w:val="00220C1C"/>
    <w:rsid w:val="00230C67"/>
    <w:rsid w:val="00234BEA"/>
    <w:rsid w:val="0024561E"/>
    <w:rsid w:val="00251BA2"/>
    <w:rsid w:val="002577CD"/>
    <w:rsid w:val="002645B7"/>
    <w:rsid w:val="002670B9"/>
    <w:rsid w:val="00291E3E"/>
    <w:rsid w:val="002A14D5"/>
    <w:rsid w:val="002C56A4"/>
    <w:rsid w:val="002C57C2"/>
    <w:rsid w:val="002E2B0A"/>
    <w:rsid w:val="002E3589"/>
    <w:rsid w:val="002E56D1"/>
    <w:rsid w:val="002E571B"/>
    <w:rsid w:val="002E5C93"/>
    <w:rsid w:val="002F08D5"/>
    <w:rsid w:val="003009F0"/>
    <w:rsid w:val="003060E2"/>
    <w:rsid w:val="00310570"/>
    <w:rsid w:val="00317BBB"/>
    <w:rsid w:val="00322A87"/>
    <w:rsid w:val="0032378A"/>
    <w:rsid w:val="003267FB"/>
    <w:rsid w:val="003312B8"/>
    <w:rsid w:val="00336111"/>
    <w:rsid w:val="003503A2"/>
    <w:rsid w:val="003554C5"/>
    <w:rsid w:val="00365794"/>
    <w:rsid w:val="00373B22"/>
    <w:rsid w:val="00385CC2"/>
    <w:rsid w:val="00392BC1"/>
    <w:rsid w:val="003A2E98"/>
    <w:rsid w:val="003C4C71"/>
    <w:rsid w:val="003E4EDB"/>
    <w:rsid w:val="003E72FD"/>
    <w:rsid w:val="003F6025"/>
    <w:rsid w:val="00410551"/>
    <w:rsid w:val="00414B77"/>
    <w:rsid w:val="0042119B"/>
    <w:rsid w:val="00427002"/>
    <w:rsid w:val="00435309"/>
    <w:rsid w:val="00445881"/>
    <w:rsid w:val="00447A41"/>
    <w:rsid w:val="00463139"/>
    <w:rsid w:val="004822E6"/>
    <w:rsid w:val="00492FE3"/>
    <w:rsid w:val="004A78CC"/>
    <w:rsid w:val="004B5F88"/>
    <w:rsid w:val="004C7711"/>
    <w:rsid w:val="004D7F44"/>
    <w:rsid w:val="004F74E7"/>
    <w:rsid w:val="005105C4"/>
    <w:rsid w:val="0053623F"/>
    <w:rsid w:val="005422EE"/>
    <w:rsid w:val="005439EA"/>
    <w:rsid w:val="00550D78"/>
    <w:rsid w:val="00557369"/>
    <w:rsid w:val="0056149B"/>
    <w:rsid w:val="005706D1"/>
    <w:rsid w:val="005739A8"/>
    <w:rsid w:val="005751FC"/>
    <w:rsid w:val="00577A95"/>
    <w:rsid w:val="005852CF"/>
    <w:rsid w:val="00590F07"/>
    <w:rsid w:val="0059392E"/>
    <w:rsid w:val="005B160F"/>
    <w:rsid w:val="005B448F"/>
    <w:rsid w:val="005C173B"/>
    <w:rsid w:val="005D2DA1"/>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4F5A"/>
    <w:rsid w:val="006A6899"/>
    <w:rsid w:val="006C2059"/>
    <w:rsid w:val="006D39A0"/>
    <w:rsid w:val="006E30B1"/>
    <w:rsid w:val="006E3610"/>
    <w:rsid w:val="006E36EA"/>
    <w:rsid w:val="006E6DE5"/>
    <w:rsid w:val="006E6F58"/>
    <w:rsid w:val="006E7E90"/>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B5356"/>
    <w:rsid w:val="008C0BF0"/>
    <w:rsid w:val="008D0528"/>
    <w:rsid w:val="008E5850"/>
    <w:rsid w:val="008F01AF"/>
    <w:rsid w:val="008F1461"/>
    <w:rsid w:val="008F33F5"/>
    <w:rsid w:val="00904CBE"/>
    <w:rsid w:val="00906CC5"/>
    <w:rsid w:val="00911645"/>
    <w:rsid w:val="00930D01"/>
    <w:rsid w:val="00936085"/>
    <w:rsid w:val="00937493"/>
    <w:rsid w:val="009475B6"/>
    <w:rsid w:val="009578D4"/>
    <w:rsid w:val="00962265"/>
    <w:rsid w:val="0097235C"/>
    <w:rsid w:val="00975463"/>
    <w:rsid w:val="00977CEE"/>
    <w:rsid w:val="00982147"/>
    <w:rsid w:val="00983CB1"/>
    <w:rsid w:val="00984A65"/>
    <w:rsid w:val="009908DE"/>
    <w:rsid w:val="00995FD5"/>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C2066"/>
    <w:rsid w:val="00AC5138"/>
    <w:rsid w:val="00AC5E12"/>
    <w:rsid w:val="00AD1E09"/>
    <w:rsid w:val="00AD72C4"/>
    <w:rsid w:val="00AD7B1E"/>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435CF"/>
    <w:rsid w:val="00C5093E"/>
    <w:rsid w:val="00C60480"/>
    <w:rsid w:val="00C64425"/>
    <w:rsid w:val="00C722B5"/>
    <w:rsid w:val="00C809BA"/>
    <w:rsid w:val="00C928C7"/>
    <w:rsid w:val="00C9305E"/>
    <w:rsid w:val="00CA3FA8"/>
    <w:rsid w:val="00CA4FE0"/>
    <w:rsid w:val="00CB07CA"/>
    <w:rsid w:val="00CC03EB"/>
    <w:rsid w:val="00CC6FD8"/>
    <w:rsid w:val="00CC7C85"/>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7">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Vsz9zENl3lyRMmDxNjGYfrTFatzVW/wMLJg4O7oshw8=</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Vbw02svL3+PPdyeWon7iVV5Z2JzqN9gZq95WYw+siJE=</DigestValue>
    </Reference>
  </SignedInfo>
  <SignatureValue>ozm2Pr4d1zkzEmNzc1CB5LZg/XbZJKc7DUBmPajsTxdS8TfkDj8mQRBdLdB39d1BeHWchGDukROY
bLFYY6qfh3mh1LK9vbO4TGpayrwuDuQZKfo3BOiI7uCgsah0rmHqdqc9pMXPYUfXzbwiXpjSCMUQ
7zyUXzvvF3L/fkLFc9L+DjSnlcUTzdfK2FAHZWuwU/WZzMfJMCMRrRsxnXPkanb7TtyTY6flB7fu
UmK2bQcHEoT8DmPqt/okdbsUl/CoSroZjRV0i1pAEOW5phB5QLGGPBIXUkKWB+ALSOESF9L724Yx
EJwwYelqfeygvFWueLSM/4J1K7eYLO5j3nBQhw==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GxhKPHhWckPaWGLMJYihdu6DcaC44J834BAMVd7TTfU=</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vs5I4PlMItDer/dp1YzvRc0yp44APdIIM7fvE+5htV4=</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GmoD2CHZRm1hItBbqcDlhKYZeZ3RK7FH0eBM2UaT6yA=</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Tp2t11MVx6frGQKCQmCQsfxGZqmjYGSsQfMGRs8uttE=</DigestValue>
      </Reference>
      <Reference URI="/word/glossary/settings.xml?ContentType=application/vnd.openxmlformats-officedocument.wordprocessingml.settings+xml">
        <DigestMethod Algorithm="http://www.w3.org/2001/04/xmlenc#sha256"/>
        <DigestValue>E215hywFqgjG+qxZyRYjSK3i42Bik+kAqwEt1H2A3CY=</DigestValue>
      </Reference>
      <Reference URI="/word/glossary/styles.xml?ContentType=application/vnd.openxmlformats-officedocument.wordprocessingml.styles+xml">
        <DigestMethod Algorithm="http://www.w3.org/2001/04/xmlenc#sha256"/>
        <DigestValue>rodMOfQPuuIjB3hFFgcsDabG/GHpd6jpghT2YFnuXsQ=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34yuCNXju1ihD01uSzAWneclWGAW5lVnUK9RSMogrQY=</DigestValue>
      </Reference>
      <Reference URI="/word/settings.xml?ContentType=application/vnd.openxmlformats-officedocument.wordprocessingml.settings+xml">
        <DigestMethod Algorithm="http://www.w3.org/2001/04/xmlenc#sha256"/>
        <DigestValue>aOyunnCDkwevuKog0GsY3NLPpoxPO4bqWu2rVqoEaGk=</DigestValue>
      </Reference>
      <Reference URI="/word/styles.xml?ContentType=application/vnd.openxmlformats-officedocument.wordprocessingml.styles+xml">
        <DigestMethod Algorithm="http://www.w3.org/2001/04/xmlenc#sha256"/>
        <DigestValue>i5mheUu0v3JxHiXf+7ARpL9BL1rtdt5Fh3QMvQh1Shk=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2020-12-04T19:38:05Z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2020-12-04T19:38:05Z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8hcw0nQsDNQBj20nZUCJmZYNWsVVjd8MO7QQdStl1gwCBArSxP0YDzIwMjAxMjA0MTkzOD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D6ElJ9YUhf/1d4qI7VIYfP0LcCo=</xd:ByKey>
                  </xd:ResponderID>
                  <xd:ProducedAt>2020-12-03T20:03:37Z</xd:ProducedAt>
                </xd:OCSPIdentifier>
                <xd:DigestAlgAndValue>
                  <DigestMethod Algorithm="http://www.w3.org/2001/04/xmlenc#sha256"/>
                  <DigestValue>xlQCw8M3KTkQp4+pqvyEGnezU52rb6th4loS5GfEoGs=</DigestValue>
                </xd:DigestAlgAndValue>
              </xd:OCSPRef>
            </xd:OCSPRefs>
            <xd:CRLRefs>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</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IVK6AtMSjMkXQjiLFxuUUj2eSltzYKCQxPjWK3peB0CBArSxP4YDzIwMjAxMjA0MTkzOD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que realice la publicación en el Diario Oficial La Gaceta.
Resolución Lineamientos Acuerdo SUGEF 3-06 Reglamento sobre suficiencia patrimonial Costo amortizado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Lineamientos Acuerdo SUGEF 3-06 Reglamento sobre suficiencia patrimonial Costo amortizado</Subject1>
    <Entrante_x0020_relacionado xmlns="b875e23b-67d9-4b2e-bdec-edacbf90b326">
      <Url xsi:nil="true"/>
      <Description xsi:nil="true"/>
    </Entrante_x0020_relacionado>
    <TaxCatchAll xmlns="355e9e91-7a30-40a7-93f1-6af84a3bd86d">
      <Value>183</Value>
      <Value>63</Value>
      <Value>109</Value>
      <Value>3</Value>
      <Value>2</Value>
      <Value>1</Value>
    </TaxCatchAll>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283BF82E-1A70-4392-8CF2-7DEAFF1953AE}">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b875e23b-67d9-4b2e-bdec-edacbf90b326"/>
    <ds:schemaRef ds:uri="http://schemas.microsoft.com/office/2006/metadata/properties"/>
  </ds:schemaRefs>
</ds:datastoreItem>
</file>

<file path=customXml/itemProps2.xml><?xml version="1.0" encoding="utf-8"?>
<ds:datastoreItem xmlns:ds="http://schemas.openxmlformats.org/officeDocument/2006/customXml" ds:itemID="{BA00B860-88DD-44E6-A17D-6334CD5D436C}"/>
</file>

<file path=customXml/itemProps3.xml><?xml version="1.0" encoding="utf-8"?>
<ds:datastoreItem xmlns:ds="http://schemas.openxmlformats.org/officeDocument/2006/customXml" ds:itemID="{82E50379-4DB6-491C-99C4-221794D09119}"/>
</file>

<file path=customXml/itemProps4.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5.xml><?xml version="1.0" encoding="utf-8"?>
<ds:datastoreItem xmlns:ds="http://schemas.openxmlformats.org/officeDocument/2006/customXml" ds:itemID="{D7FAA869-13F9-4E79-A565-3AD3D76411A9}"/>
</file>

<file path=customXml/itemProps6.xml><?xml version="1.0" encoding="utf-8"?>
<ds:datastoreItem xmlns:ds="http://schemas.openxmlformats.org/officeDocument/2006/customXml" ds:itemID="{6B9EC304-40D2-4E92-9642-94A16EB97DBF}">
  <ds:schemaRefs>
    <ds:schemaRef ds:uri="http://schemas.openxmlformats.org/officeDocument/2006/bibliography"/>
  </ds:schemaRefs>
</ds:datastoreItem>
</file>

<file path=customXml/itemProps7.xml><?xml version="1.0" encoding="utf-8"?>
<ds:datastoreItem xmlns:ds="http://schemas.openxmlformats.org/officeDocument/2006/customXml" ds:itemID="{AD07E0D3-C816-40C5-AC75-269B6F18EC0B}"/>
</file>

<file path=docProps/app.xml><?xml version="1.0" encoding="utf-8"?>
<Properties xmlns="http://schemas.openxmlformats.org/officeDocument/2006/extended-properties" xmlns:vt="http://schemas.openxmlformats.org/officeDocument/2006/docPropsVTypes">
  <Template>plantilla-SGF-13-Normas.dotm</Template>
  <TotalTime>37</TotalTime>
  <Pages>3</Pages>
  <Words>691</Words>
  <Characters>3805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14</cp:revision>
  <cp:lastPrinted>2015-07-30T22:36:00Z</cp:lastPrinted>
  <dcterms:created xsi:type="dcterms:W3CDTF">2020-11-27T20:16:00Z</dcterms:created>
  <dcterms:modified xsi:type="dcterms:W3CDTF">2020-12-04T19:16:00Z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66500</vt:r8>
  </property>
  <property fmtid="{D5CDD505-2E9C-101B-9397-08002B2CF9AE}" pid="13" name="WorkflowChangePath">
    <vt:lpwstr>dc9be4ca-c6c9-41a3-8f1b-604965ed1693,5;7dedacbb-5c77-4a35-8847-40abd1245d4d,7;</vt:lpwstr>
  </property>
</Properties>
</file>