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3.xml" ContentType="application/vnd.openxmlformats-officedocument.customXml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6.xml" ContentType="application/vnd.openxmlformats-officedocument.customXmlProperties+xml"/>
  <Override PartName="/customXml/itemProps7.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72B8C" w:rsidR="003554C5" w:rsidP="00FF752D" w:rsidRDefault="003554C5" w14:paraId="70D41132" w14:textId="77777777">
      <w:pPr>
        <w:tabs>
          <w:tab w:val="left" w:pos="2843"/>
        </w:tabs>
        <w:spacing w:line="240" w:lineRule="auto"/>
        <w:contextualSpacing/>
        <w:rPr>
          <w:rFonts w:ascii="Times New Roman" w:hAnsi="Times New Roman"/>
          <w:sz w:val="24"/>
        </w:rPr>
      </w:pPr>
    </w:p>
    <w:p w:rsidRPr="00FF752D" w:rsidR="00251BA2" w:rsidP="00FF752D" w:rsidRDefault="00251BA2" w14:paraId="12A4A467" w14:textId="77777777">
      <w:pPr>
        <w:pStyle w:val="Texto0"/>
        <w:spacing w:before="0" w:after="0" w:line="240" w:lineRule="auto"/>
        <w:contextualSpacing/>
        <w:jc w:val="center"/>
        <w:rPr>
          <w:sz w:val="24"/>
        </w:rPr>
      </w:pPr>
      <w:r w:rsidRPr="00FF752D">
        <w:rPr>
          <w:b/>
          <w:sz w:val="24"/>
        </w:rPr>
        <w:t>Resolución</w:t>
      </w:r>
    </w:p>
    <w:p w:rsidRPr="00FF752D" w:rsidR="00251BA2" w:rsidP="00FF752D" w:rsidRDefault="00937493" w14:paraId="5143B2FF" w14:textId="2F020AA3">
      <w:pPr>
        <w:pStyle w:val="Texto0"/>
        <w:spacing w:before="0" w:after="0" w:line="240" w:lineRule="auto"/>
        <w:contextualSpacing/>
        <w:jc w:val="center"/>
        <w:rPr>
          <w:sz w:val="24"/>
        </w:rPr>
      </w:pPr>
      <w:r>
        <w:rPr>
          <w:sz w:val="24"/>
        </w:rPr>
        <w:t>0</w:t>
      </w:r>
      <w:r w:rsidR="002E5C93">
        <w:rPr>
          <w:sz w:val="24"/>
        </w:rPr>
        <w:t>4</w:t>
      </w:r>
      <w:r w:rsidRPr="00FF752D" w:rsidR="00251BA2">
        <w:rPr>
          <w:sz w:val="24"/>
        </w:rPr>
        <w:t xml:space="preserve"> de </w:t>
      </w:r>
      <w:r>
        <w:rPr>
          <w:sz w:val="24"/>
        </w:rPr>
        <w:t>dici</w:t>
      </w:r>
      <w:r w:rsidRPr="00FF752D" w:rsidR="00F5293B">
        <w:rPr>
          <w:sz w:val="24"/>
        </w:rPr>
        <w:t xml:space="preserve">embre </w:t>
      </w:r>
      <w:r w:rsidRPr="00FF752D" w:rsidR="00251BA2">
        <w:rPr>
          <w:sz w:val="24"/>
        </w:rPr>
        <w:t>del 20</w:t>
      </w:r>
      <w:r w:rsidRPr="00FF752D" w:rsidR="00212B7C">
        <w:rPr>
          <w:sz w:val="24"/>
        </w:rPr>
        <w:t>20</w:t>
      </w:r>
    </w:p>
    <w:sdt>
      <w:sdtPr>
        <w:rPr>
          <w:sz w:val="24"/>
        </w:rPr>
        <w:alias w:val="Consecutivo"/>
        <w:tag w:val="Consecutivo"/>
        <w:id w:val="2052717023"/>
        <w:placeholder>
          <w:docPart w:val="C7EA259747C3476A918838FE91963471"/>
        </w:placeholder>
        <w:text/>
      </w:sdtPr>
      <w:sdtEndPr/>
      <w:sdtContent>
        <w:p w:rsidRPr="00FF752D" w:rsidR="00251BA2" w:rsidP="00FF752D" w:rsidRDefault="00C928C7" w14:paraId="2D36C797" w14:textId="77777777">
          <w:pPr>
            <w:tabs>
              <w:tab w:val="left" w:pos="2843"/>
            </w:tabs>
            <w:spacing w:line="240" w:lineRule="auto"/>
            <w:contextualSpacing/>
            <w:jc w:val="center"/>
            <w:rPr>
              <w:sz w:val="24"/>
            </w:rPr>
          </w:pPr>
          <w:r>
            <w:t>SGF-4222-2020</w:t>
          </w:r>
        </w:p>
      </w:sdtContent>
    </w:sdt>
    <w:p w:rsidRPr="00FF752D" w:rsidR="00251BA2" w:rsidP="00FF752D" w:rsidRDefault="00251BA2" w14:paraId="2993B55D" w14:textId="77777777">
      <w:pPr>
        <w:tabs>
          <w:tab w:val="left" w:pos="2843"/>
        </w:tabs>
        <w:spacing w:line="240" w:lineRule="auto"/>
        <w:contextualSpacing/>
        <w:jc w:val="center"/>
        <w:rPr>
          <w:sz w:val="24"/>
        </w:rPr>
      </w:pPr>
      <w:r w:rsidRPr="00FF752D">
        <w:rPr>
          <w:sz w:val="24"/>
        </w:rPr>
        <w:t xml:space="preserve"> </w:t>
      </w:r>
      <w:sdt>
        <w:sdtPr>
          <w:rPr>
            <w:sz w:val="24"/>
          </w:rPr>
          <w:alias w:val="Confidencialidad"/>
          <w:tag w:val="Confidencialidad"/>
          <w:id w:val="2135442733"/>
          <w:placeholder>
            <w:docPart w:val="638F9E78796A48DD8F6C9173CC8BB2C1"/>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FF752D" w:rsidR="00C928C7">
            <w:rPr>
              <w:sz w:val="24"/>
              <w:lang w:val="es-CR"/>
            </w:rPr>
            <w:t>SGF-PUBLICO</w:t>
          </w:r>
        </w:sdtContent>
      </w:sdt>
    </w:p>
    <w:p w:rsidR="00BF3029" w:rsidP="00FF752D" w:rsidRDefault="00BF3029" w14:paraId="2A4D659C" w14:textId="7C5ECA08">
      <w:pPr>
        <w:widowControl w:val="0"/>
        <w:spacing w:line="240" w:lineRule="auto"/>
        <w:ind w:left="34" w:right="86"/>
        <w:contextualSpacing/>
        <w:outlineLvl w:val="0"/>
        <w:rPr>
          <w:b/>
          <w:sz w:val="24"/>
          <w:lang w:val="es-CR"/>
        </w:rPr>
      </w:pPr>
    </w:p>
    <w:p w:rsidR="002E5C93" w:rsidP="00FF752D" w:rsidRDefault="002E5C93" w14:paraId="5B79854C" w14:textId="5FFBA021">
      <w:pPr>
        <w:widowControl w:val="0"/>
        <w:spacing w:line="240" w:lineRule="auto"/>
        <w:ind w:left="34" w:right="86"/>
        <w:contextualSpacing/>
        <w:outlineLvl w:val="0"/>
        <w:rPr>
          <w:b/>
          <w:sz w:val="24"/>
          <w:lang w:val="es-CR"/>
        </w:rPr>
      </w:pPr>
    </w:p>
    <w:p w:rsidRPr="00FF752D" w:rsidR="002E5C93" w:rsidP="00FF752D" w:rsidRDefault="002E5C93" w14:paraId="533B04ED" w14:textId="77777777">
      <w:pPr>
        <w:widowControl w:val="0"/>
        <w:spacing w:line="240" w:lineRule="auto"/>
        <w:ind w:left="34" w:right="86"/>
        <w:contextualSpacing/>
        <w:outlineLvl w:val="0"/>
        <w:rPr>
          <w:b/>
          <w:sz w:val="24"/>
          <w:lang w:val="es-CR"/>
        </w:rPr>
      </w:pPr>
    </w:p>
    <w:p w:rsidRPr="00FF752D" w:rsidR="00251BA2" w:rsidP="00FF752D" w:rsidRDefault="00251BA2" w14:paraId="25A70378" w14:textId="77777777">
      <w:pPr>
        <w:widowControl w:val="0"/>
        <w:spacing w:line="240" w:lineRule="auto"/>
        <w:ind w:left="34" w:right="86"/>
        <w:contextualSpacing/>
        <w:outlineLvl w:val="0"/>
        <w:rPr>
          <w:b/>
          <w:sz w:val="24"/>
          <w:lang w:val="es-CR"/>
        </w:rPr>
      </w:pPr>
      <w:r w:rsidRPr="00FF752D">
        <w:rPr>
          <w:b/>
          <w:sz w:val="24"/>
          <w:lang w:val="es-CR"/>
        </w:rPr>
        <w:t xml:space="preserve">Dirigida a: </w:t>
      </w:r>
    </w:p>
    <w:p w:rsidRPr="00FF752D" w:rsidR="00251BA2" w:rsidP="00FF752D" w:rsidRDefault="00251BA2" w14:paraId="133CDBE0" w14:textId="77777777">
      <w:pPr>
        <w:widowControl w:val="0"/>
        <w:spacing w:line="240" w:lineRule="auto"/>
        <w:ind w:left="34" w:right="86"/>
        <w:contextualSpacing/>
        <w:outlineLvl w:val="0"/>
        <w:rPr>
          <w:b/>
          <w:sz w:val="24"/>
          <w:lang w:val="es-CR"/>
        </w:rPr>
      </w:pPr>
    </w:p>
    <w:p w:rsidRPr="00FF752D" w:rsidR="00251BA2" w:rsidP="00FF752D" w:rsidRDefault="00251BA2" w14:paraId="20CBEC94" w14:textId="77777777">
      <w:pPr>
        <w:widowControl w:val="0"/>
        <w:numPr>
          <w:ilvl w:val="0"/>
          <w:numId w:val="13"/>
        </w:numPr>
        <w:spacing w:after="200" w:line="240" w:lineRule="auto"/>
        <w:ind w:left="567" w:right="86" w:hanging="567"/>
        <w:contextualSpacing/>
        <w:rPr>
          <w:b/>
          <w:sz w:val="24"/>
          <w:lang w:val="es-CR" w:eastAsia="es-ES"/>
        </w:rPr>
      </w:pPr>
      <w:r w:rsidRPr="00FF752D">
        <w:rPr>
          <w:b/>
          <w:sz w:val="24"/>
          <w:lang w:val="es-CR" w:eastAsia="es-ES"/>
        </w:rPr>
        <w:t>Bancos Comerciales del Estado</w:t>
      </w:r>
    </w:p>
    <w:p w:rsidRPr="00FF752D" w:rsidR="00251BA2" w:rsidP="00FF752D" w:rsidRDefault="00251BA2" w14:paraId="4A3FB930" w14:textId="77777777">
      <w:pPr>
        <w:widowControl w:val="0"/>
        <w:numPr>
          <w:ilvl w:val="0"/>
          <w:numId w:val="13"/>
        </w:numPr>
        <w:spacing w:after="200" w:line="240" w:lineRule="auto"/>
        <w:ind w:left="567" w:right="86" w:hanging="567"/>
        <w:contextualSpacing/>
        <w:rPr>
          <w:b/>
          <w:sz w:val="24"/>
          <w:lang w:val="es-CR" w:eastAsia="es-ES"/>
        </w:rPr>
      </w:pPr>
      <w:r w:rsidRPr="00FF752D">
        <w:rPr>
          <w:b/>
          <w:sz w:val="24"/>
          <w:lang w:val="es-CR" w:eastAsia="es-ES"/>
        </w:rPr>
        <w:t>Bancos Creados por Leyes Especiales</w:t>
      </w:r>
    </w:p>
    <w:p w:rsidRPr="00FF752D" w:rsidR="00251BA2" w:rsidP="00FF752D" w:rsidRDefault="00251BA2" w14:paraId="09B054F6" w14:textId="77777777">
      <w:pPr>
        <w:widowControl w:val="0"/>
        <w:numPr>
          <w:ilvl w:val="0"/>
          <w:numId w:val="13"/>
        </w:numPr>
        <w:spacing w:after="200" w:line="240" w:lineRule="auto"/>
        <w:ind w:left="567" w:right="86" w:hanging="567"/>
        <w:contextualSpacing/>
        <w:rPr>
          <w:b/>
          <w:sz w:val="24"/>
          <w:lang w:val="es-CR" w:eastAsia="es-ES"/>
        </w:rPr>
      </w:pPr>
      <w:r w:rsidRPr="00FF752D">
        <w:rPr>
          <w:b/>
          <w:sz w:val="24"/>
          <w:lang w:val="es-CR" w:eastAsia="es-ES"/>
        </w:rPr>
        <w:t>Bancos Privados</w:t>
      </w:r>
    </w:p>
    <w:p w:rsidRPr="00FF752D" w:rsidR="00251BA2" w:rsidP="00FF752D" w:rsidRDefault="00251BA2" w14:paraId="4CB811C5" w14:textId="77777777">
      <w:pPr>
        <w:widowControl w:val="0"/>
        <w:numPr>
          <w:ilvl w:val="0"/>
          <w:numId w:val="13"/>
        </w:numPr>
        <w:spacing w:after="200" w:line="240" w:lineRule="auto"/>
        <w:ind w:left="567" w:right="86" w:hanging="567"/>
        <w:contextualSpacing/>
        <w:rPr>
          <w:b/>
          <w:sz w:val="24"/>
          <w:lang w:val="es-CR" w:eastAsia="es-ES"/>
        </w:rPr>
      </w:pPr>
      <w:r w:rsidRPr="00FF752D">
        <w:rPr>
          <w:b/>
          <w:sz w:val="24"/>
          <w:lang w:val="es-CR" w:eastAsia="es-ES"/>
        </w:rPr>
        <w:t>Empresas Financieras no Bancarias</w:t>
      </w:r>
    </w:p>
    <w:p w:rsidRPr="00FF752D" w:rsidR="00251BA2" w:rsidP="00FF752D" w:rsidRDefault="00251BA2" w14:paraId="4C8E9971" w14:textId="77777777">
      <w:pPr>
        <w:widowControl w:val="0"/>
        <w:numPr>
          <w:ilvl w:val="0"/>
          <w:numId w:val="13"/>
        </w:numPr>
        <w:spacing w:after="200" w:line="240" w:lineRule="auto"/>
        <w:ind w:left="567" w:right="86" w:hanging="567"/>
        <w:contextualSpacing/>
        <w:rPr>
          <w:b/>
          <w:sz w:val="24"/>
          <w:lang w:val="es-CR" w:eastAsia="es-ES"/>
        </w:rPr>
      </w:pPr>
      <w:r w:rsidRPr="00FF752D">
        <w:rPr>
          <w:b/>
          <w:sz w:val="24"/>
          <w:lang w:val="es-CR" w:eastAsia="es-ES"/>
        </w:rPr>
        <w:t>Otras Entidades Financieras</w:t>
      </w:r>
    </w:p>
    <w:p w:rsidRPr="00FF752D" w:rsidR="00251BA2" w:rsidP="00FF752D" w:rsidRDefault="00251BA2" w14:paraId="15A16CF4" w14:textId="77777777">
      <w:pPr>
        <w:widowControl w:val="0"/>
        <w:numPr>
          <w:ilvl w:val="0"/>
          <w:numId w:val="13"/>
        </w:numPr>
        <w:spacing w:after="200" w:line="240" w:lineRule="auto"/>
        <w:ind w:left="567" w:right="86" w:hanging="567"/>
        <w:contextualSpacing/>
        <w:rPr>
          <w:b/>
          <w:sz w:val="24"/>
          <w:lang w:val="es-CR" w:eastAsia="es-ES"/>
        </w:rPr>
      </w:pPr>
      <w:r w:rsidRPr="00FF752D">
        <w:rPr>
          <w:b/>
          <w:sz w:val="24"/>
          <w:lang w:val="es-CR" w:eastAsia="es-ES"/>
        </w:rPr>
        <w:t>Organizaciones Cooperativas de Ahorro y Crédito</w:t>
      </w:r>
    </w:p>
    <w:p w:rsidRPr="00FF752D" w:rsidR="00251BA2" w:rsidP="00FF752D" w:rsidRDefault="00251BA2" w14:paraId="6CDD8B81" w14:textId="77777777">
      <w:pPr>
        <w:widowControl w:val="0"/>
        <w:numPr>
          <w:ilvl w:val="0"/>
          <w:numId w:val="13"/>
        </w:numPr>
        <w:spacing w:after="200" w:line="240" w:lineRule="auto"/>
        <w:ind w:left="567" w:right="86" w:hanging="567"/>
        <w:contextualSpacing/>
        <w:rPr>
          <w:b/>
          <w:sz w:val="24"/>
          <w:lang w:val="es-CR" w:eastAsia="es-ES"/>
        </w:rPr>
      </w:pPr>
      <w:r w:rsidRPr="00FF752D">
        <w:rPr>
          <w:b/>
          <w:sz w:val="24"/>
          <w:lang w:val="es-CR" w:eastAsia="es-ES"/>
        </w:rPr>
        <w:t>Entidades Autorizadas del Sistema Financiera Nacional para la Vivienda</w:t>
      </w:r>
    </w:p>
    <w:p w:rsidR="002E5C93" w:rsidP="00937493" w:rsidRDefault="002E5C93" w14:paraId="0758AB07" w14:textId="77777777">
      <w:pPr>
        <w:pStyle w:val="Texto0"/>
        <w:spacing w:line="240" w:lineRule="auto"/>
        <w:rPr>
          <w:b/>
          <w:sz w:val="24"/>
        </w:rPr>
      </w:pPr>
      <w:bookmarkStart w:name="_GoBack" w:id="0"/>
      <w:bookmarkEnd w:id="0"/>
    </w:p>
    <w:p w:rsidRPr="0057549E" w:rsidR="00937493" w:rsidP="00937493" w:rsidRDefault="00937493" w14:paraId="2FE00F99" w14:textId="740F3B09">
      <w:pPr>
        <w:pStyle w:val="Texto0"/>
        <w:spacing w:line="240" w:lineRule="auto"/>
        <w:rPr>
          <w:sz w:val="24"/>
        </w:rPr>
      </w:pPr>
      <w:r w:rsidRPr="0057549E">
        <w:rPr>
          <w:b/>
          <w:sz w:val="24"/>
        </w:rPr>
        <w:t xml:space="preserve">Asunto: </w:t>
      </w:r>
      <w:r w:rsidRPr="0057549E">
        <w:rPr>
          <w:sz w:val="24"/>
        </w:rPr>
        <w:t xml:space="preserve">Modificación de los </w:t>
      </w:r>
      <w:r w:rsidRPr="0057549E">
        <w:rPr>
          <w:i/>
          <w:sz w:val="24"/>
        </w:rPr>
        <w:t xml:space="preserve">Lineamientos Generales para la aplicación del Reglamento sobre la suficiencia patrimonial de entidades </w:t>
      </w:r>
      <w:proofErr w:type="gramStart"/>
      <w:r w:rsidRPr="0057549E">
        <w:rPr>
          <w:i/>
          <w:sz w:val="24"/>
        </w:rPr>
        <w:t>financieras,  Acuerdo</w:t>
      </w:r>
      <w:proofErr w:type="gramEnd"/>
      <w:r w:rsidRPr="0057549E">
        <w:rPr>
          <w:i/>
          <w:sz w:val="24"/>
        </w:rPr>
        <w:t xml:space="preserve"> SUGEF-3-06</w:t>
      </w:r>
      <w:r w:rsidRPr="0057549E">
        <w:rPr>
          <w:sz w:val="24"/>
        </w:rPr>
        <w:t>, con el propósito de excluir la cartera de instrumentos financieros clasificados al costo amortizado, en el cálculo del Valor en Riesgo (</w:t>
      </w:r>
      <w:proofErr w:type="spellStart"/>
      <w:r w:rsidRPr="0057549E">
        <w:rPr>
          <w:sz w:val="24"/>
        </w:rPr>
        <w:t>VeR</w:t>
      </w:r>
      <w:proofErr w:type="spellEnd"/>
      <w:r w:rsidRPr="0057549E">
        <w:rPr>
          <w:sz w:val="24"/>
        </w:rPr>
        <w:t xml:space="preserve">). </w:t>
      </w:r>
    </w:p>
    <w:p w:rsidRPr="0057549E" w:rsidR="00937493" w:rsidP="00937493" w:rsidRDefault="00937493" w14:paraId="41C32FDB" w14:textId="77777777">
      <w:pPr>
        <w:pStyle w:val="Texto0"/>
        <w:spacing w:before="0" w:after="0" w:line="240" w:lineRule="auto"/>
        <w:rPr>
          <w:sz w:val="24"/>
        </w:rPr>
      </w:pPr>
    </w:p>
    <w:p w:rsidRPr="0057549E" w:rsidR="00937493" w:rsidP="00937493" w:rsidRDefault="002E5C93" w14:paraId="780FC523" w14:textId="394AF764">
      <w:pPr>
        <w:spacing w:line="240" w:lineRule="auto"/>
        <w:ind w:left="34"/>
        <w:outlineLvl w:val="0"/>
        <w:rPr>
          <w:sz w:val="24"/>
        </w:rPr>
      </w:pPr>
      <w:r>
        <w:rPr>
          <w:b/>
          <w:sz w:val="24"/>
        </w:rPr>
        <w:t>La</w:t>
      </w:r>
      <w:r w:rsidRPr="0057549E" w:rsidR="00937493">
        <w:rPr>
          <w:b/>
          <w:sz w:val="24"/>
        </w:rPr>
        <w:t xml:space="preserve"> Superintendente General de Entidades Financieras,</w:t>
      </w:r>
    </w:p>
    <w:p w:rsidR="00937493" w:rsidP="00937493" w:rsidRDefault="00937493" w14:paraId="100AD517" w14:textId="0C0185EE">
      <w:pPr>
        <w:spacing w:line="240" w:lineRule="auto"/>
        <w:ind w:left="34"/>
        <w:rPr>
          <w:sz w:val="24"/>
        </w:rPr>
      </w:pPr>
    </w:p>
    <w:p w:rsidRPr="0057549E" w:rsidR="002E5C93" w:rsidP="00937493" w:rsidRDefault="002E5C93" w14:paraId="317BC3B1" w14:textId="77777777">
      <w:pPr>
        <w:spacing w:line="240" w:lineRule="auto"/>
        <w:ind w:left="34"/>
        <w:rPr>
          <w:sz w:val="24"/>
        </w:rPr>
      </w:pPr>
    </w:p>
    <w:p w:rsidRPr="0057549E" w:rsidR="00937493" w:rsidP="00937493" w:rsidRDefault="00937493" w14:paraId="0A9D931F" w14:textId="77777777">
      <w:pPr>
        <w:spacing w:line="240" w:lineRule="auto"/>
        <w:ind w:left="34"/>
        <w:outlineLvl w:val="0"/>
        <w:rPr>
          <w:sz w:val="24"/>
        </w:rPr>
      </w:pPr>
      <w:r w:rsidRPr="0057549E">
        <w:rPr>
          <w:b/>
          <w:sz w:val="24"/>
        </w:rPr>
        <w:t>Considerando que</w:t>
      </w:r>
      <w:r w:rsidRPr="0057549E">
        <w:rPr>
          <w:sz w:val="24"/>
        </w:rPr>
        <w:t>:</w:t>
      </w:r>
    </w:p>
    <w:p w:rsidRPr="0057549E" w:rsidR="00937493" w:rsidP="00937493" w:rsidRDefault="00937493" w14:paraId="5A21D5D7" w14:textId="77777777">
      <w:pPr>
        <w:pStyle w:val="Prrafodelista"/>
        <w:rPr>
          <w:rFonts w:ascii="Cambria" w:hAnsi="Cambria"/>
          <w:sz w:val="24"/>
          <w:szCs w:val="24"/>
          <w:lang w:val="es-ES"/>
        </w:rPr>
      </w:pPr>
    </w:p>
    <w:p w:rsidRPr="0057549E" w:rsidR="00937493" w:rsidP="00937493" w:rsidRDefault="00937493" w14:paraId="5F15812E" w14:textId="77777777">
      <w:pPr>
        <w:pStyle w:val="Prrafodelista"/>
        <w:numPr>
          <w:ilvl w:val="0"/>
          <w:numId w:val="14"/>
        </w:numPr>
        <w:spacing w:before="120" w:after="120" w:line="240" w:lineRule="auto"/>
        <w:jc w:val="both"/>
        <w:rPr>
          <w:rFonts w:ascii="Cambria" w:hAnsi="Cambria"/>
          <w:sz w:val="24"/>
          <w:szCs w:val="24"/>
          <w:lang w:val="es-ES"/>
        </w:rPr>
      </w:pPr>
      <w:r w:rsidRPr="0057549E">
        <w:rPr>
          <w:rFonts w:ascii="Cambria" w:hAnsi="Cambria"/>
          <w:sz w:val="24"/>
          <w:szCs w:val="24"/>
          <w:lang w:val="es-ES"/>
        </w:rPr>
        <w:t>Mediante Artículo 14, de la Sesión 547-2006, el Consejo Nacional de Supervisión del Sistema Financiero (</w:t>
      </w:r>
      <w:proofErr w:type="spellStart"/>
      <w:r w:rsidRPr="0057549E">
        <w:rPr>
          <w:rFonts w:ascii="Cambria" w:hAnsi="Cambria"/>
          <w:sz w:val="24"/>
          <w:szCs w:val="24"/>
          <w:lang w:val="es-ES"/>
        </w:rPr>
        <w:t>Conassif</w:t>
      </w:r>
      <w:proofErr w:type="spellEnd"/>
      <w:r w:rsidRPr="0057549E">
        <w:rPr>
          <w:rFonts w:ascii="Cambria" w:hAnsi="Cambria"/>
          <w:sz w:val="24"/>
          <w:szCs w:val="24"/>
          <w:lang w:val="es-ES"/>
        </w:rPr>
        <w:t xml:space="preserve">) aprobó el </w:t>
      </w:r>
      <w:r w:rsidRPr="0057549E">
        <w:rPr>
          <w:rFonts w:ascii="Cambria" w:hAnsi="Cambria"/>
          <w:i/>
          <w:sz w:val="24"/>
          <w:szCs w:val="24"/>
          <w:lang w:val="es-ES"/>
        </w:rPr>
        <w:t>Reglamento sobre la suficiencia patrimonial de entidades financieras</w:t>
      </w:r>
      <w:r w:rsidRPr="0057549E">
        <w:rPr>
          <w:rFonts w:ascii="Cambria" w:hAnsi="Cambria"/>
          <w:sz w:val="24"/>
          <w:szCs w:val="24"/>
          <w:lang w:val="es-ES"/>
        </w:rPr>
        <w:t xml:space="preserve">, Acuerdo SUGEF 3-06, que tiene por objeto establecer la metodología para el cálculo de la suficiencia patrimonial de las entidades financieras y establecer el requerimiento mínimo de capital. </w:t>
      </w:r>
    </w:p>
    <w:p w:rsidRPr="0057549E" w:rsidR="00937493" w:rsidP="00937493" w:rsidRDefault="00937493" w14:paraId="5709A703" w14:textId="77777777">
      <w:pPr>
        <w:pStyle w:val="Prrafodelista"/>
        <w:rPr>
          <w:rFonts w:ascii="Cambria" w:hAnsi="Cambria"/>
          <w:sz w:val="24"/>
          <w:szCs w:val="24"/>
          <w:lang w:val="es-ES"/>
        </w:rPr>
      </w:pPr>
    </w:p>
    <w:p w:rsidRPr="0057549E" w:rsidR="00937493" w:rsidP="00937493" w:rsidRDefault="00937493" w14:paraId="28590E1C" w14:textId="77777777">
      <w:pPr>
        <w:pStyle w:val="Prrafodelista"/>
        <w:numPr>
          <w:ilvl w:val="0"/>
          <w:numId w:val="14"/>
        </w:numPr>
        <w:spacing w:before="120" w:after="120" w:line="240" w:lineRule="auto"/>
        <w:jc w:val="both"/>
        <w:rPr>
          <w:rFonts w:ascii="Cambria" w:hAnsi="Cambria"/>
          <w:sz w:val="24"/>
          <w:szCs w:val="24"/>
          <w:lang w:val="es-ES"/>
        </w:rPr>
      </w:pPr>
      <w:r w:rsidRPr="0057549E">
        <w:rPr>
          <w:rFonts w:ascii="Cambria" w:hAnsi="Cambria"/>
          <w:sz w:val="24"/>
          <w:szCs w:val="24"/>
          <w:lang w:val="es-ES"/>
        </w:rPr>
        <w:t xml:space="preserve">El artículo 4. </w:t>
      </w:r>
      <w:r w:rsidRPr="0057549E">
        <w:rPr>
          <w:rFonts w:ascii="Cambria" w:hAnsi="Cambria"/>
          <w:i/>
          <w:sz w:val="24"/>
          <w:szCs w:val="24"/>
          <w:lang w:val="es-ES"/>
        </w:rPr>
        <w:t>Lineamientos Generales</w:t>
      </w:r>
      <w:r w:rsidRPr="0057549E">
        <w:rPr>
          <w:rFonts w:ascii="Cambria" w:hAnsi="Cambria"/>
          <w:sz w:val="24"/>
          <w:szCs w:val="24"/>
          <w:lang w:val="es-ES"/>
        </w:rPr>
        <w:t xml:space="preserve"> al </w:t>
      </w:r>
      <w:r w:rsidRPr="0057549E">
        <w:rPr>
          <w:rFonts w:ascii="Cambria" w:hAnsi="Cambria"/>
          <w:i/>
          <w:sz w:val="24"/>
          <w:szCs w:val="24"/>
          <w:lang w:val="es-ES"/>
        </w:rPr>
        <w:t>Reglamento sobre la suficiencia patrimonial de entidades financieras</w:t>
      </w:r>
      <w:r w:rsidRPr="0057549E">
        <w:rPr>
          <w:rFonts w:ascii="Cambria" w:hAnsi="Cambria"/>
          <w:sz w:val="24"/>
          <w:szCs w:val="24"/>
          <w:lang w:val="es-ES"/>
        </w:rPr>
        <w:t xml:space="preserve"> dispone que el Superintendente debe emitir los Lineamientos Generales necesarios para la aplicación de dicho reglamento, los cuales pueden ser modificados para mantener actualizadas las cuentas contables y datos adicionales, la metodología de homologación de </w:t>
      </w:r>
      <w:r w:rsidRPr="0057549E">
        <w:rPr>
          <w:rFonts w:ascii="Cambria" w:hAnsi="Cambria"/>
          <w:sz w:val="24"/>
          <w:szCs w:val="24"/>
          <w:lang w:val="es-ES"/>
        </w:rPr>
        <w:lastRenderedPageBreak/>
        <w:t>calificaciones y de cálculo del Valor en Riesgo (</w:t>
      </w:r>
      <w:proofErr w:type="spellStart"/>
      <w:r w:rsidRPr="0057549E">
        <w:rPr>
          <w:rFonts w:ascii="Cambria" w:hAnsi="Cambria"/>
          <w:sz w:val="24"/>
          <w:szCs w:val="24"/>
          <w:lang w:val="es-ES"/>
        </w:rPr>
        <w:t>VeR</w:t>
      </w:r>
      <w:proofErr w:type="spellEnd"/>
      <w:r w:rsidRPr="0057549E">
        <w:rPr>
          <w:rFonts w:ascii="Cambria" w:hAnsi="Cambria"/>
          <w:sz w:val="24"/>
          <w:szCs w:val="24"/>
          <w:lang w:val="es-ES"/>
        </w:rPr>
        <w:t xml:space="preserve">), y las deducciones </w:t>
      </w:r>
      <w:proofErr w:type="gramStart"/>
      <w:r w:rsidRPr="0057549E">
        <w:rPr>
          <w:rFonts w:ascii="Cambria" w:hAnsi="Cambria"/>
          <w:sz w:val="24"/>
          <w:szCs w:val="24"/>
          <w:lang w:val="es-ES"/>
        </w:rPr>
        <w:t>a  las</w:t>
      </w:r>
      <w:proofErr w:type="gramEnd"/>
      <w:r w:rsidRPr="0057549E">
        <w:rPr>
          <w:rFonts w:ascii="Cambria" w:hAnsi="Cambria"/>
          <w:sz w:val="24"/>
          <w:szCs w:val="24"/>
          <w:lang w:val="es-ES"/>
        </w:rPr>
        <w:t xml:space="preserve"> que están sujetas las utilidades.</w:t>
      </w:r>
    </w:p>
    <w:p w:rsidRPr="0057549E" w:rsidR="00937493" w:rsidP="00937493" w:rsidRDefault="00937493" w14:paraId="7B7F10D9" w14:textId="77777777">
      <w:pPr>
        <w:pStyle w:val="Prrafodelista"/>
        <w:rPr>
          <w:rFonts w:ascii="Cambria" w:hAnsi="Cambria"/>
          <w:sz w:val="24"/>
          <w:szCs w:val="24"/>
          <w:lang w:val="es-ES"/>
        </w:rPr>
      </w:pPr>
    </w:p>
    <w:p w:rsidRPr="00C435CF" w:rsidR="00937493" w:rsidP="00937493" w:rsidRDefault="00937493" w14:paraId="54B65C60" w14:textId="43287DC4">
      <w:pPr>
        <w:pStyle w:val="Prrafodelista"/>
        <w:numPr>
          <w:ilvl w:val="0"/>
          <w:numId w:val="14"/>
        </w:numPr>
        <w:spacing w:before="120" w:after="120" w:line="240" w:lineRule="auto"/>
        <w:jc w:val="both"/>
        <w:rPr>
          <w:rFonts w:ascii="Cambria" w:hAnsi="Cambria"/>
          <w:sz w:val="24"/>
          <w:szCs w:val="24"/>
          <w:lang w:val="es-ES"/>
        </w:rPr>
      </w:pPr>
      <w:r w:rsidRPr="00C435CF">
        <w:rPr>
          <w:rFonts w:ascii="Cambria" w:hAnsi="Cambria"/>
          <w:sz w:val="24"/>
          <w:szCs w:val="24"/>
          <w:lang w:val="es-ES"/>
        </w:rPr>
        <w:t xml:space="preserve">Mediante artículo </w:t>
      </w:r>
      <w:r w:rsidRPr="00C435CF" w:rsidR="00C435CF">
        <w:rPr>
          <w:rFonts w:ascii="Cambria" w:hAnsi="Cambria"/>
          <w:sz w:val="24"/>
          <w:szCs w:val="24"/>
          <w:lang w:val="es-ES"/>
        </w:rPr>
        <w:t>8</w:t>
      </w:r>
      <w:r w:rsidRPr="00C435CF">
        <w:rPr>
          <w:rFonts w:ascii="Cambria" w:hAnsi="Cambria"/>
          <w:sz w:val="24"/>
          <w:szCs w:val="24"/>
          <w:lang w:val="es-ES"/>
        </w:rPr>
        <w:t xml:space="preserve"> del Acta de Sesión </w:t>
      </w:r>
      <w:r w:rsidRPr="00C435CF" w:rsidR="00C435CF">
        <w:rPr>
          <w:rFonts w:ascii="Cambria" w:hAnsi="Cambria"/>
          <w:sz w:val="24"/>
          <w:szCs w:val="24"/>
          <w:lang w:val="es-ES"/>
        </w:rPr>
        <w:t>1625-2020</w:t>
      </w:r>
      <w:r w:rsidRPr="00C435CF">
        <w:rPr>
          <w:rFonts w:ascii="Cambria" w:hAnsi="Cambria"/>
          <w:sz w:val="24"/>
          <w:szCs w:val="24"/>
          <w:lang w:val="es-ES"/>
        </w:rPr>
        <w:t xml:space="preserve"> el CONASSIF aprobó la modificación en el alcance de </w:t>
      </w:r>
      <w:proofErr w:type="gramStart"/>
      <w:r w:rsidRPr="00C435CF">
        <w:rPr>
          <w:rFonts w:ascii="Cambria" w:hAnsi="Cambria"/>
          <w:sz w:val="24"/>
          <w:szCs w:val="24"/>
          <w:lang w:val="es-ES"/>
        </w:rPr>
        <w:t>la carteras</w:t>
      </w:r>
      <w:proofErr w:type="gramEnd"/>
      <w:r w:rsidRPr="00C435CF">
        <w:rPr>
          <w:rFonts w:ascii="Cambria" w:hAnsi="Cambria"/>
          <w:sz w:val="24"/>
          <w:szCs w:val="24"/>
          <w:lang w:val="es-ES"/>
        </w:rPr>
        <w:t xml:space="preserve"> de inversiones utilizada para el cálculo del </w:t>
      </w:r>
      <w:proofErr w:type="spellStart"/>
      <w:r w:rsidRPr="00C435CF">
        <w:rPr>
          <w:rFonts w:ascii="Cambria" w:hAnsi="Cambria"/>
          <w:sz w:val="24"/>
          <w:szCs w:val="24"/>
          <w:lang w:val="es-ES"/>
        </w:rPr>
        <w:t>VeR</w:t>
      </w:r>
      <w:proofErr w:type="spellEnd"/>
      <w:r w:rsidRPr="00C435CF">
        <w:rPr>
          <w:rFonts w:ascii="Cambria" w:hAnsi="Cambria"/>
          <w:sz w:val="24"/>
          <w:szCs w:val="24"/>
          <w:lang w:val="es-ES"/>
        </w:rPr>
        <w:t xml:space="preserve">, así como la adición de los efectos de valoración por cambios en el valor razonable, respectando su </w:t>
      </w:r>
      <w:proofErr w:type="spellStart"/>
      <w:r w:rsidRPr="00C435CF">
        <w:rPr>
          <w:rFonts w:ascii="Cambria" w:hAnsi="Cambria"/>
          <w:sz w:val="24"/>
          <w:szCs w:val="24"/>
          <w:lang w:val="es-ES"/>
        </w:rPr>
        <w:t>signio</w:t>
      </w:r>
      <w:proofErr w:type="spellEnd"/>
      <w:r w:rsidRPr="00C435CF">
        <w:rPr>
          <w:rFonts w:ascii="Cambria" w:hAnsi="Cambria"/>
          <w:sz w:val="24"/>
          <w:szCs w:val="24"/>
          <w:lang w:val="es-ES"/>
        </w:rPr>
        <w:t>, en el capital secundario.</w:t>
      </w:r>
    </w:p>
    <w:p w:rsidRPr="00C435CF" w:rsidR="00937493" w:rsidP="00937493" w:rsidRDefault="00937493" w14:paraId="7302BF57" w14:textId="77777777">
      <w:pPr>
        <w:pStyle w:val="Prrafodelista"/>
        <w:rPr>
          <w:rFonts w:ascii="Cambria" w:hAnsi="Cambria"/>
          <w:sz w:val="24"/>
          <w:szCs w:val="24"/>
          <w:lang w:val="es-ES"/>
        </w:rPr>
      </w:pPr>
    </w:p>
    <w:p w:rsidRPr="00C435CF" w:rsidR="00937493" w:rsidP="00937493" w:rsidRDefault="00937493" w14:paraId="4B735F18" w14:textId="77777777">
      <w:pPr>
        <w:pStyle w:val="Prrafodelista"/>
        <w:numPr>
          <w:ilvl w:val="0"/>
          <w:numId w:val="14"/>
        </w:numPr>
        <w:spacing w:before="120" w:after="120" w:line="240" w:lineRule="auto"/>
        <w:jc w:val="both"/>
        <w:rPr>
          <w:rFonts w:ascii="Cambria" w:hAnsi="Cambria"/>
          <w:sz w:val="24"/>
          <w:szCs w:val="24"/>
          <w:lang w:val="es-ES"/>
        </w:rPr>
      </w:pPr>
      <w:r w:rsidRPr="00C435CF">
        <w:rPr>
          <w:rFonts w:ascii="Cambria" w:hAnsi="Cambria"/>
          <w:sz w:val="24"/>
          <w:szCs w:val="24"/>
          <w:lang w:val="es-ES"/>
        </w:rPr>
        <w:t xml:space="preserve">Los </w:t>
      </w:r>
      <w:r w:rsidRPr="00C435CF">
        <w:rPr>
          <w:rFonts w:ascii="Cambria" w:hAnsi="Cambria"/>
          <w:i/>
          <w:sz w:val="24"/>
          <w:szCs w:val="24"/>
          <w:lang w:val="es-ES"/>
        </w:rPr>
        <w:t>Lineamientos Generales para la aplicación del Reglamento sobre la Suficiencia Patrimonial de Entidades Financieras</w:t>
      </w:r>
      <w:r w:rsidRPr="00C435CF">
        <w:rPr>
          <w:rFonts w:ascii="Cambria" w:hAnsi="Cambria"/>
          <w:sz w:val="24"/>
          <w:szCs w:val="24"/>
          <w:lang w:val="es-ES"/>
        </w:rPr>
        <w:t xml:space="preserve">, Acuerdo SUGEF 3-06, tiene por objeto determinar la metodología de cálculo del </w:t>
      </w:r>
      <w:proofErr w:type="spellStart"/>
      <w:r w:rsidRPr="00C435CF">
        <w:rPr>
          <w:rFonts w:ascii="Cambria" w:hAnsi="Cambria"/>
          <w:sz w:val="24"/>
          <w:szCs w:val="24"/>
          <w:lang w:val="es-ES"/>
        </w:rPr>
        <w:t>VeR</w:t>
      </w:r>
      <w:proofErr w:type="spellEnd"/>
      <w:r w:rsidRPr="00C435CF">
        <w:rPr>
          <w:rFonts w:ascii="Cambria" w:hAnsi="Cambria"/>
          <w:sz w:val="24"/>
          <w:szCs w:val="24"/>
          <w:lang w:val="es-ES"/>
        </w:rPr>
        <w:t>.</w:t>
      </w:r>
    </w:p>
    <w:p w:rsidRPr="0057549E" w:rsidR="00937493" w:rsidP="00937493" w:rsidRDefault="00937493" w14:paraId="24140A8A" w14:textId="77777777">
      <w:pPr>
        <w:pStyle w:val="Prrafodelista"/>
        <w:rPr>
          <w:rFonts w:ascii="Cambria" w:hAnsi="Cambria"/>
          <w:sz w:val="24"/>
          <w:szCs w:val="24"/>
          <w:lang w:val="es-ES"/>
        </w:rPr>
      </w:pPr>
    </w:p>
    <w:p w:rsidRPr="0057549E" w:rsidR="00937493" w:rsidP="00937493" w:rsidRDefault="00937493" w14:paraId="2FE51C69" w14:textId="77777777">
      <w:pPr>
        <w:pStyle w:val="Prrafodelista"/>
        <w:numPr>
          <w:ilvl w:val="0"/>
          <w:numId w:val="14"/>
        </w:numPr>
        <w:spacing w:before="120" w:after="120" w:line="240" w:lineRule="auto"/>
        <w:jc w:val="both"/>
        <w:rPr>
          <w:rFonts w:ascii="Cambria" w:hAnsi="Cambria"/>
          <w:sz w:val="24"/>
          <w:szCs w:val="24"/>
          <w:lang w:val="es-ES"/>
        </w:rPr>
      </w:pPr>
      <w:r w:rsidRPr="0057549E">
        <w:rPr>
          <w:rFonts w:ascii="Cambria" w:hAnsi="Cambria"/>
          <w:sz w:val="24"/>
          <w:szCs w:val="24"/>
          <w:lang w:val="es-ES"/>
        </w:rPr>
        <w:t>Mediante el “</w:t>
      </w:r>
      <w:r w:rsidRPr="0057549E">
        <w:rPr>
          <w:rFonts w:ascii="Cambria" w:hAnsi="Cambria"/>
          <w:i/>
          <w:sz w:val="24"/>
          <w:szCs w:val="24"/>
          <w:lang w:val="es-ES"/>
        </w:rPr>
        <w:t>Sistema de Captura, Verificación y Carga de Datos”</w:t>
      </w:r>
      <w:r w:rsidRPr="0057549E">
        <w:rPr>
          <w:rFonts w:ascii="Cambria" w:hAnsi="Cambria"/>
          <w:sz w:val="24"/>
          <w:szCs w:val="24"/>
          <w:lang w:val="es-ES"/>
        </w:rPr>
        <w:t xml:space="preserve"> (SICVECA), las entidades supervisadas remiten a esta Superintendencia información financiera que complementa los balances, estados y cuentas de las entidades, entre ellas, un detalle de datos adicionales. Además, el “</w:t>
      </w:r>
      <w:r w:rsidRPr="0057549E">
        <w:rPr>
          <w:rFonts w:ascii="Cambria" w:hAnsi="Cambria"/>
          <w:i/>
          <w:sz w:val="24"/>
          <w:szCs w:val="24"/>
          <w:lang w:val="es-ES"/>
        </w:rPr>
        <w:t>Manual de Información–SICVECA</w:t>
      </w:r>
      <w:r w:rsidRPr="0057549E">
        <w:rPr>
          <w:rFonts w:ascii="Cambria" w:hAnsi="Cambria"/>
          <w:sz w:val="24"/>
          <w:szCs w:val="24"/>
          <w:lang w:val="es-ES"/>
        </w:rPr>
        <w:t>”, publicado en el sitio Web de SUGEF, contiene las instrucciones para la preparación y el envío de la información que ésta solicita a las entidades supervisadas.</w:t>
      </w:r>
    </w:p>
    <w:p w:rsidRPr="0057549E" w:rsidR="00937493" w:rsidP="00937493" w:rsidRDefault="00937493" w14:paraId="037FBE8A" w14:textId="77777777">
      <w:pPr>
        <w:pStyle w:val="Prrafodelista"/>
        <w:spacing w:before="120" w:after="120" w:line="240" w:lineRule="auto"/>
        <w:rPr>
          <w:rFonts w:ascii="Cambria" w:hAnsi="Cambria"/>
          <w:sz w:val="24"/>
          <w:szCs w:val="24"/>
          <w:lang w:val="es-ES"/>
        </w:rPr>
      </w:pPr>
    </w:p>
    <w:p w:rsidRPr="0057549E" w:rsidR="00937493" w:rsidP="00937493" w:rsidRDefault="00937493" w14:paraId="56BD782B" w14:textId="77777777">
      <w:pPr>
        <w:pStyle w:val="Prrafodelista"/>
        <w:numPr>
          <w:ilvl w:val="0"/>
          <w:numId w:val="14"/>
        </w:numPr>
        <w:spacing w:before="120" w:after="120" w:line="240" w:lineRule="auto"/>
        <w:jc w:val="both"/>
        <w:rPr>
          <w:rFonts w:ascii="Cambria" w:hAnsi="Cambria"/>
          <w:sz w:val="24"/>
          <w:szCs w:val="24"/>
          <w:lang w:val="es-ES"/>
        </w:rPr>
      </w:pPr>
      <w:r w:rsidRPr="0057549E">
        <w:rPr>
          <w:rFonts w:ascii="Cambria" w:hAnsi="Cambria"/>
          <w:sz w:val="24"/>
          <w:szCs w:val="24"/>
          <w:lang w:val="es-ES"/>
        </w:rPr>
        <w:t>Que las tablas de documentación de los XML, disponibles en el sitio WEB de esta Superintendencia, contienen la información complementaria que las entidades supervisadas deben remitir.</w:t>
      </w:r>
    </w:p>
    <w:p w:rsidRPr="0057549E" w:rsidR="00937493" w:rsidP="00937493" w:rsidRDefault="00937493" w14:paraId="3DB7E0C3" w14:textId="77777777">
      <w:pPr>
        <w:pStyle w:val="Prrafodelista"/>
        <w:rPr>
          <w:rFonts w:ascii="Cambria" w:hAnsi="Cambria"/>
          <w:sz w:val="24"/>
          <w:szCs w:val="24"/>
          <w:lang w:val="es-ES"/>
        </w:rPr>
      </w:pPr>
    </w:p>
    <w:p w:rsidRPr="0057549E" w:rsidR="00937493" w:rsidP="00937493" w:rsidRDefault="00435309" w14:paraId="52367C32" w14:textId="72597C3E">
      <w:pPr>
        <w:pStyle w:val="Prrafodelista"/>
        <w:numPr>
          <w:ilvl w:val="0"/>
          <w:numId w:val="14"/>
        </w:numPr>
        <w:spacing w:before="120" w:after="120" w:line="240" w:lineRule="auto"/>
        <w:jc w:val="both"/>
        <w:rPr>
          <w:rFonts w:ascii="Cambria" w:hAnsi="Cambria"/>
          <w:sz w:val="24"/>
          <w:szCs w:val="24"/>
          <w:lang w:val="es-ES"/>
        </w:rPr>
      </w:pPr>
      <w:r>
        <w:rPr>
          <w:rFonts w:ascii="Cambria" w:hAnsi="Cambria"/>
          <w:sz w:val="24"/>
          <w:szCs w:val="24"/>
          <w:lang w:val="es-ES"/>
        </w:rPr>
        <w:t>Que las entidades pueden utilizar instrumentos de cobertura sobre cambios en el valor razonable, sea que sus efectos se lleven a resultados o al patrimonio. En tal caso, resulta razonable que el uso de dichas coberturas, debidamente integradas en el marco de gestión de riesgo de riesgos de la entidad, contribuyan con mitigar el riesgo de precio, y consecuentemente queden recogidos sus efectos en la medición prudencial del riesgo de mercado.</w:t>
      </w:r>
    </w:p>
    <w:p w:rsidRPr="0057549E" w:rsidR="00937493" w:rsidP="00937493" w:rsidRDefault="00937493" w14:paraId="0F475E76" w14:textId="77777777">
      <w:pPr>
        <w:pStyle w:val="Prrafodelista"/>
        <w:spacing w:before="120" w:after="120" w:line="240" w:lineRule="auto"/>
        <w:jc w:val="both"/>
        <w:rPr>
          <w:rFonts w:ascii="Cambria" w:hAnsi="Cambria"/>
          <w:sz w:val="24"/>
          <w:szCs w:val="24"/>
          <w:lang w:val="es-ES"/>
        </w:rPr>
      </w:pPr>
    </w:p>
    <w:p w:rsidRPr="0057549E" w:rsidR="00937493" w:rsidP="00937493" w:rsidRDefault="00937493" w14:paraId="3FFF959B" w14:textId="77777777">
      <w:pPr>
        <w:spacing w:before="120" w:after="120" w:line="240" w:lineRule="auto"/>
        <w:ind w:left="33"/>
        <w:rPr>
          <w:sz w:val="24"/>
        </w:rPr>
      </w:pPr>
      <w:r w:rsidRPr="0057549E">
        <w:rPr>
          <w:b/>
          <w:sz w:val="24"/>
        </w:rPr>
        <w:t>Dispone</w:t>
      </w:r>
      <w:r w:rsidRPr="0057549E">
        <w:rPr>
          <w:sz w:val="24"/>
        </w:rPr>
        <w:t>:</w:t>
      </w:r>
    </w:p>
    <w:p w:rsidRPr="0057549E" w:rsidR="00937493" w:rsidP="00937493" w:rsidRDefault="00937493" w14:paraId="4B1B32C0" w14:textId="77777777">
      <w:pPr>
        <w:spacing w:line="240" w:lineRule="auto"/>
        <w:contextualSpacing/>
        <w:rPr>
          <w:sz w:val="24"/>
        </w:rPr>
      </w:pPr>
    </w:p>
    <w:p w:rsidRPr="0057549E" w:rsidR="00937493" w:rsidP="00937493" w:rsidRDefault="00937493" w14:paraId="6D76C89D" w14:textId="77777777">
      <w:pPr>
        <w:pStyle w:val="NormalWeb"/>
        <w:numPr>
          <w:ilvl w:val="0"/>
          <w:numId w:val="16"/>
        </w:numPr>
        <w:spacing w:before="0" w:beforeAutospacing="0" w:after="0" w:afterAutospacing="0"/>
        <w:ind w:left="284" w:hanging="284"/>
        <w:jc w:val="both"/>
        <w:rPr>
          <w:rFonts w:ascii="Cambria" w:hAnsi="Cambria"/>
          <w:color w:val="auto"/>
          <w:sz w:val="24"/>
          <w:szCs w:val="24"/>
          <w:lang w:val="es-CR"/>
        </w:rPr>
      </w:pPr>
      <w:r w:rsidRPr="0057549E">
        <w:rPr>
          <w:rFonts w:ascii="Cambria" w:hAnsi="Cambria"/>
          <w:sz w:val="24"/>
          <w:szCs w:val="24"/>
        </w:rPr>
        <w:t>Modificar las cuentas contables sujetas a Riesgo de Precio de los “Lineamientos Generales para la Aplicación del Reglamento sobre la Suficiencia Patrimonial de Entidades Financieras” de acuerdo con el siguiente texto:</w:t>
      </w:r>
    </w:p>
    <w:p w:rsidRPr="0057549E" w:rsidR="00937493" w:rsidP="00937493" w:rsidRDefault="00937493" w14:paraId="00FB1936" w14:textId="77777777">
      <w:pPr>
        <w:pStyle w:val="NormalWeb"/>
        <w:spacing w:before="0" w:beforeAutospacing="0" w:after="0" w:afterAutospacing="0"/>
        <w:ind w:left="284"/>
        <w:jc w:val="both"/>
        <w:rPr>
          <w:rFonts w:ascii="Cambria" w:hAnsi="Cambria"/>
          <w:b/>
          <w:sz w:val="24"/>
          <w:szCs w:val="24"/>
        </w:rPr>
      </w:pPr>
    </w:p>
    <w:tbl>
      <w:tblPr>
        <w:tblStyle w:val="Tablaconcuadrculaclara"/>
        <w:tblW w:w="9067" w:type="dxa"/>
        <w:tblLook w:val="04A0" w:firstRow="1" w:lastRow="0" w:firstColumn="1" w:lastColumn="0" w:noHBand="0" w:noVBand="1"/>
      </w:tblPr>
      <w:tblGrid>
        <w:gridCol w:w="3114"/>
        <w:gridCol w:w="5953"/>
      </w:tblGrid>
      <w:tr w:rsidRPr="0057549E" w:rsidR="00937493" w:rsidTr="002E5C93" w14:paraId="5794F0C9" w14:textId="77777777">
        <w:trPr>
          <w:tblHeader/>
        </w:trPr>
        <w:tc>
          <w:tcPr>
            <w:tcW w:w="9067" w:type="dxa"/>
            <w:gridSpan w:val="2"/>
          </w:tcPr>
          <w:p w:rsidRPr="0057549E" w:rsidR="00937493" w:rsidP="0016746D" w:rsidRDefault="00937493" w14:paraId="3C02EEEE" w14:textId="77777777">
            <w:pPr>
              <w:spacing w:before="60" w:after="60" w:line="240" w:lineRule="auto"/>
              <w:jc w:val="left"/>
              <w:rPr>
                <w:rFonts w:cs="Calibri"/>
                <w:b/>
                <w:bCs/>
                <w:sz w:val="24"/>
                <w:lang w:val="es-CR" w:eastAsia="es-CR"/>
              </w:rPr>
            </w:pPr>
            <w:r w:rsidRPr="0057549E">
              <w:rPr>
                <w:rFonts w:cs="Calibri"/>
                <w:b/>
                <w:bCs/>
                <w:sz w:val="24"/>
                <w:lang w:val="es-CR" w:eastAsia="es-CR"/>
              </w:rPr>
              <w:lastRenderedPageBreak/>
              <w:t xml:space="preserve">Cuentas sujetas al </w:t>
            </w:r>
            <w:proofErr w:type="spellStart"/>
            <w:r w:rsidRPr="0057549E">
              <w:rPr>
                <w:rFonts w:cs="Calibri"/>
                <w:b/>
                <w:bCs/>
                <w:sz w:val="24"/>
                <w:lang w:val="es-CR" w:eastAsia="es-CR"/>
              </w:rPr>
              <w:t>calculo</w:t>
            </w:r>
            <w:proofErr w:type="spellEnd"/>
            <w:r w:rsidRPr="0057549E">
              <w:rPr>
                <w:rFonts w:cs="Calibri"/>
                <w:b/>
                <w:bCs/>
                <w:sz w:val="24"/>
                <w:lang w:val="es-CR" w:eastAsia="es-CR"/>
              </w:rPr>
              <w:t xml:space="preserve"> del </w:t>
            </w:r>
            <w:proofErr w:type="spellStart"/>
            <w:r w:rsidRPr="0057549E">
              <w:rPr>
                <w:rFonts w:cs="Calibri"/>
                <w:b/>
                <w:bCs/>
                <w:sz w:val="24"/>
                <w:lang w:val="es-CR" w:eastAsia="es-CR"/>
              </w:rPr>
              <w:t>VeR</w:t>
            </w:r>
            <w:proofErr w:type="spellEnd"/>
          </w:p>
        </w:tc>
      </w:tr>
      <w:tr w:rsidRPr="0057549E" w:rsidR="00937493" w:rsidTr="0016746D" w14:paraId="6091B2D5" w14:textId="77777777">
        <w:tc>
          <w:tcPr>
            <w:tcW w:w="3114" w:type="dxa"/>
          </w:tcPr>
          <w:p w:rsidRPr="0057549E" w:rsidR="00937493" w:rsidP="0016746D" w:rsidRDefault="00937493" w14:paraId="07E62989" w14:textId="42BFF022">
            <w:pPr>
              <w:spacing w:before="60" w:after="60" w:line="240" w:lineRule="auto"/>
              <w:rPr>
                <w:sz w:val="24"/>
              </w:rPr>
            </w:pPr>
            <w:proofErr w:type="gramStart"/>
            <w:r w:rsidRPr="0057549E">
              <w:rPr>
                <w:sz w:val="24"/>
              </w:rPr>
              <w:t>C(</w:t>
            </w:r>
            <w:proofErr w:type="gramEnd"/>
            <w:r w:rsidRPr="0057549E">
              <w:rPr>
                <w:sz w:val="24"/>
              </w:rPr>
              <w:t>121) +</w:t>
            </w:r>
            <w:r w:rsidR="006D39A0">
              <w:rPr>
                <w:sz w:val="24"/>
              </w:rPr>
              <w:t xml:space="preserve"> </w:t>
            </w:r>
            <w:r w:rsidRPr="0057549E">
              <w:rPr>
                <w:sz w:val="24"/>
              </w:rPr>
              <w:t>C(122 – 122.12 – 122.14) +</w:t>
            </w:r>
            <w:r w:rsidR="006D39A0">
              <w:rPr>
                <w:sz w:val="24"/>
              </w:rPr>
              <w:t xml:space="preserve"> </w:t>
            </w:r>
            <w:r w:rsidRPr="0057549E">
              <w:rPr>
                <w:sz w:val="24"/>
              </w:rPr>
              <w:t>C(125 – 12</w:t>
            </w:r>
            <w:r w:rsidR="006A4F5A">
              <w:rPr>
                <w:sz w:val="24"/>
              </w:rPr>
              <w:t>5</w:t>
            </w:r>
            <w:r w:rsidRPr="0057549E">
              <w:rPr>
                <w:sz w:val="24"/>
              </w:rPr>
              <w:t>.03 – 12</w:t>
            </w:r>
            <w:r w:rsidR="006A4F5A">
              <w:rPr>
                <w:sz w:val="24"/>
              </w:rPr>
              <w:t>5</w:t>
            </w:r>
            <w:r w:rsidRPr="0057549E">
              <w:rPr>
                <w:sz w:val="24"/>
              </w:rPr>
              <w:t>.04)</w:t>
            </w:r>
            <w:r w:rsidR="003A2E98">
              <w:rPr>
                <w:sz w:val="24"/>
              </w:rPr>
              <w:t xml:space="preserve"> + </w:t>
            </w:r>
            <w:r w:rsidRPr="0057549E" w:rsidR="003A2E98">
              <w:rPr>
                <w:sz w:val="24"/>
              </w:rPr>
              <w:t>C(151.01)</w:t>
            </w:r>
          </w:p>
        </w:tc>
        <w:tc>
          <w:tcPr>
            <w:tcW w:w="5953" w:type="dxa"/>
          </w:tcPr>
          <w:p w:rsidRPr="0057549E" w:rsidR="00937493" w:rsidP="0016746D" w:rsidRDefault="00463139" w14:paraId="23D4306F" w14:textId="6ED932AB">
            <w:pPr>
              <w:rPr>
                <w:sz w:val="24"/>
                <w:lang w:val="es-CR" w:eastAsia="es-CR"/>
              </w:rPr>
            </w:pPr>
            <w:r w:rsidRPr="00463139">
              <w:rPr>
                <w:sz w:val="24"/>
              </w:rPr>
              <w:t>Los instrumentos sujetos a requerimiento de capital por riesgo de precio son todos los que componen la cartera de inversiones en valores y depósitos a plazo más los valores adquiridos en recuperación de créditos, excepto lo siguiente</w:t>
            </w:r>
            <w:r>
              <w:rPr>
                <w:sz w:val="24"/>
              </w:rPr>
              <w:t>:</w:t>
            </w:r>
          </w:p>
          <w:p w:rsidRPr="0057549E" w:rsidR="00937493" w:rsidP="00937493" w:rsidRDefault="00937493" w14:paraId="1E52C6A0" w14:textId="77777777">
            <w:pPr>
              <w:pStyle w:val="Prrafodelista"/>
              <w:numPr>
                <w:ilvl w:val="0"/>
                <w:numId w:val="33"/>
              </w:numPr>
              <w:spacing w:after="0" w:line="240" w:lineRule="auto"/>
              <w:contextualSpacing w:val="0"/>
              <w:jc w:val="both"/>
              <w:rPr>
                <w:rFonts w:ascii="Cambria" w:hAnsi="Cambria" w:cs="Times New Roman"/>
                <w:sz w:val="24"/>
                <w:szCs w:val="24"/>
              </w:rPr>
            </w:pPr>
            <w:r w:rsidRPr="0057549E">
              <w:rPr>
                <w:rFonts w:ascii="Cambria" w:hAnsi="Cambria" w:cs="Times New Roman"/>
                <w:sz w:val="24"/>
                <w:szCs w:val="24"/>
              </w:rPr>
              <w:t xml:space="preserve">las inversiones clasificadas al costo amortizado, </w:t>
            </w:r>
          </w:p>
          <w:p w:rsidRPr="0057549E" w:rsidR="00937493" w:rsidP="00937493" w:rsidRDefault="00463139" w14:paraId="689AB9B8" w14:textId="6276B3FF">
            <w:pPr>
              <w:pStyle w:val="Prrafodelista"/>
              <w:numPr>
                <w:ilvl w:val="0"/>
                <w:numId w:val="33"/>
              </w:numPr>
              <w:spacing w:after="0" w:line="240" w:lineRule="auto"/>
              <w:contextualSpacing w:val="0"/>
              <w:jc w:val="both"/>
              <w:rPr>
                <w:rFonts w:ascii="Cambria" w:hAnsi="Cambria" w:cs="Times New Roman"/>
                <w:sz w:val="24"/>
                <w:szCs w:val="24"/>
              </w:rPr>
            </w:pPr>
            <w:r w:rsidRPr="00463139">
              <w:rPr>
                <w:rFonts w:ascii="Cambria" w:hAnsi="Cambria" w:cs="Times New Roman"/>
                <w:sz w:val="24"/>
                <w:szCs w:val="24"/>
              </w:rPr>
              <w:t>las inversiones en operaciones de recompra (valores con pacto de reventa)</w:t>
            </w:r>
            <w:r w:rsidRPr="0057549E" w:rsidR="00937493">
              <w:rPr>
                <w:rFonts w:ascii="Cambria" w:hAnsi="Cambria" w:cs="Times New Roman"/>
                <w:sz w:val="24"/>
                <w:szCs w:val="24"/>
              </w:rPr>
              <w:t>,</w:t>
            </w:r>
          </w:p>
          <w:p w:rsidRPr="0057549E" w:rsidR="00937493" w:rsidP="00937493" w:rsidRDefault="00937493" w14:paraId="12D3C0A2" w14:textId="5CBF741E">
            <w:pPr>
              <w:pStyle w:val="Prrafodelista"/>
              <w:numPr>
                <w:ilvl w:val="0"/>
                <w:numId w:val="33"/>
              </w:numPr>
              <w:spacing w:after="0" w:line="240" w:lineRule="auto"/>
              <w:contextualSpacing w:val="0"/>
              <w:jc w:val="both"/>
              <w:rPr>
                <w:rFonts w:ascii="Cambria" w:hAnsi="Cambria" w:cs="Times New Roman"/>
                <w:sz w:val="24"/>
                <w:szCs w:val="24"/>
              </w:rPr>
            </w:pPr>
            <w:r w:rsidRPr="0057549E">
              <w:rPr>
                <w:rFonts w:ascii="Cambria" w:hAnsi="Cambria" w:cs="Times New Roman"/>
                <w:sz w:val="24"/>
                <w:szCs w:val="24"/>
              </w:rPr>
              <w:t>las inversiones en valores y depósitos en entidades en cesación de pagos.</w:t>
            </w:r>
          </w:p>
        </w:tc>
      </w:tr>
      <w:tr w:rsidRPr="0057549E" w:rsidR="00937493" w:rsidTr="0016746D" w14:paraId="2D63FEE1" w14:textId="77777777">
        <w:tc>
          <w:tcPr>
            <w:tcW w:w="3114" w:type="dxa"/>
          </w:tcPr>
          <w:p w:rsidRPr="0057549E" w:rsidR="00937493" w:rsidP="0016746D" w:rsidRDefault="00937493" w14:paraId="2AFB6B01" w14:textId="77777777">
            <w:pPr>
              <w:spacing w:before="60" w:after="60" w:line="240" w:lineRule="auto"/>
              <w:rPr>
                <w:rFonts w:cs="Calibri"/>
                <w:b/>
                <w:bCs/>
                <w:sz w:val="24"/>
                <w:lang w:val="es-CR" w:eastAsia="es-CR"/>
              </w:rPr>
            </w:pPr>
          </w:p>
        </w:tc>
        <w:tc>
          <w:tcPr>
            <w:tcW w:w="5953" w:type="dxa"/>
          </w:tcPr>
          <w:p w:rsidRPr="0057549E" w:rsidR="00937493" w:rsidP="0016746D" w:rsidRDefault="003A2E98" w14:paraId="3CEEBA0B" w14:textId="4B5EDA04">
            <w:pPr>
              <w:spacing w:before="60" w:after="60" w:line="240" w:lineRule="auto"/>
              <w:rPr>
                <w:rFonts w:cs="Calibri"/>
                <w:bCs/>
                <w:sz w:val="24"/>
                <w:lang w:val="es-CR" w:eastAsia="es-CR"/>
              </w:rPr>
            </w:pPr>
            <w:r>
              <w:rPr>
                <w:rFonts w:cs="Calibri"/>
                <w:bCs/>
                <w:sz w:val="24"/>
                <w:lang w:val="es-CR" w:eastAsia="es-CR"/>
              </w:rPr>
              <w:t xml:space="preserve">Podrán incluirse los efectos de los </w:t>
            </w:r>
            <w:proofErr w:type="spellStart"/>
            <w:r>
              <w:rPr>
                <w:rFonts w:cs="Calibri"/>
                <w:bCs/>
                <w:sz w:val="24"/>
                <w:lang w:val="es-CR" w:eastAsia="es-CR"/>
              </w:rPr>
              <w:t>insrumentos</w:t>
            </w:r>
            <w:proofErr w:type="spellEnd"/>
            <w:r>
              <w:rPr>
                <w:rFonts w:cs="Calibri"/>
                <w:bCs/>
                <w:sz w:val="24"/>
                <w:lang w:val="es-CR" w:eastAsia="es-CR"/>
              </w:rPr>
              <w:t xml:space="preserve"> derivados que utilice la entidad para cobertura </w:t>
            </w:r>
            <w:r w:rsidRPr="0057549E" w:rsidR="00937493">
              <w:rPr>
                <w:rFonts w:cs="Calibri"/>
                <w:bCs/>
                <w:sz w:val="24"/>
                <w:lang w:val="es-CR" w:eastAsia="es-CR"/>
              </w:rPr>
              <w:t xml:space="preserve">de cambios en el valor razonable de los instrumentos incluidos en el cálculo del </w:t>
            </w:r>
            <w:proofErr w:type="spellStart"/>
            <w:r w:rsidRPr="0057549E" w:rsidR="00937493">
              <w:rPr>
                <w:rFonts w:cs="Calibri"/>
                <w:bCs/>
                <w:sz w:val="24"/>
                <w:lang w:val="es-CR" w:eastAsia="es-CR"/>
              </w:rPr>
              <w:t>VeR</w:t>
            </w:r>
            <w:proofErr w:type="spellEnd"/>
            <w:r w:rsidRPr="0057549E" w:rsidR="00937493">
              <w:rPr>
                <w:rFonts w:cs="Calibri"/>
                <w:bCs/>
                <w:sz w:val="24"/>
                <w:lang w:val="es-CR" w:eastAsia="es-CR"/>
              </w:rPr>
              <w:t>.</w:t>
            </w:r>
          </w:p>
        </w:tc>
      </w:tr>
      <w:tr w:rsidRPr="0057549E" w:rsidR="00937493" w:rsidTr="0016746D" w14:paraId="6007817A" w14:textId="77777777">
        <w:tc>
          <w:tcPr>
            <w:tcW w:w="3114" w:type="dxa"/>
          </w:tcPr>
          <w:p w:rsidRPr="0057549E" w:rsidR="00937493" w:rsidP="0016746D" w:rsidRDefault="00937493" w14:paraId="7035D121" w14:textId="58FB0D0C">
            <w:pPr>
              <w:spacing w:before="60" w:after="60" w:line="240" w:lineRule="auto"/>
              <w:rPr>
                <w:rFonts w:cs="Calibri"/>
                <w:b/>
                <w:bCs/>
                <w:sz w:val="24"/>
                <w:lang w:val="es-CR" w:eastAsia="es-CR"/>
              </w:rPr>
            </w:pPr>
          </w:p>
        </w:tc>
        <w:tc>
          <w:tcPr>
            <w:tcW w:w="5953" w:type="dxa"/>
          </w:tcPr>
          <w:p w:rsidRPr="003A2E98" w:rsidR="00937493" w:rsidP="003A2E98" w:rsidRDefault="00463139" w14:paraId="5BA4E58F" w14:textId="3594E1D5">
            <w:pPr>
              <w:spacing w:before="60" w:after="60" w:line="240" w:lineRule="auto"/>
              <w:rPr>
                <w:rFonts w:cs="Calibri"/>
                <w:bCs/>
                <w:sz w:val="24"/>
                <w:lang w:val="es-CR" w:eastAsia="es-CR"/>
              </w:rPr>
            </w:pPr>
            <w:r w:rsidRPr="003A2E98">
              <w:rPr>
                <w:rFonts w:cs="Calibri"/>
                <w:bCs/>
                <w:sz w:val="24"/>
                <w:lang w:val="es-CR" w:eastAsia="es-CR"/>
              </w:rPr>
              <w:t>En todos los casos se deben utilizar los valores en términos brutos.</w:t>
            </w:r>
          </w:p>
        </w:tc>
      </w:tr>
      <w:tr w:rsidRPr="0057549E" w:rsidR="003A2E98" w:rsidTr="0016746D" w14:paraId="6129681C" w14:textId="77777777">
        <w:tc>
          <w:tcPr>
            <w:tcW w:w="3114" w:type="dxa"/>
          </w:tcPr>
          <w:p w:rsidRPr="003A2E98" w:rsidR="003A2E98" w:rsidP="0016746D" w:rsidRDefault="003A2E98" w14:paraId="19312D81" w14:textId="6E8A43A5">
            <w:pPr>
              <w:spacing w:before="60" w:after="60" w:line="240" w:lineRule="auto"/>
              <w:rPr>
                <w:rFonts w:cs="Calibri"/>
                <w:b/>
                <w:bCs/>
                <w:sz w:val="24"/>
                <w:lang w:eastAsia="es-CR"/>
              </w:rPr>
            </w:pPr>
            <w:r w:rsidRPr="0057549E">
              <w:rPr>
                <w:rFonts w:cs="Calibri"/>
                <w:b/>
                <w:bCs/>
                <w:sz w:val="24"/>
                <w:lang w:val="es-CR" w:eastAsia="es-CR"/>
              </w:rPr>
              <w:t>[…]</w:t>
            </w:r>
          </w:p>
        </w:tc>
        <w:tc>
          <w:tcPr>
            <w:tcW w:w="5953" w:type="dxa"/>
          </w:tcPr>
          <w:p w:rsidRPr="000A1451" w:rsidR="003A2E98" w:rsidP="00463139" w:rsidRDefault="003A2E98" w14:paraId="0EAB6AB5" w14:textId="77777777">
            <w:pPr>
              <w:widowControl w:val="0"/>
              <w:ind w:hanging="11"/>
              <w:contextualSpacing/>
              <w:rPr>
                <w:bCs/>
                <w:i/>
                <w:sz w:val="24"/>
              </w:rPr>
            </w:pPr>
          </w:p>
        </w:tc>
      </w:tr>
    </w:tbl>
    <w:p w:rsidRPr="0057549E" w:rsidR="00937493" w:rsidP="00937493" w:rsidRDefault="00937493" w14:paraId="1AFF200E" w14:textId="77777777">
      <w:pPr>
        <w:pStyle w:val="NormalWeb"/>
        <w:spacing w:before="0" w:beforeAutospacing="0" w:after="0" w:afterAutospacing="0"/>
        <w:ind w:left="284"/>
        <w:jc w:val="both"/>
        <w:rPr>
          <w:rFonts w:ascii="Cambria" w:hAnsi="Cambria"/>
          <w:sz w:val="24"/>
          <w:szCs w:val="24"/>
        </w:rPr>
      </w:pPr>
    </w:p>
    <w:p w:rsidRPr="0057549E" w:rsidR="00937493" w:rsidP="00937493" w:rsidRDefault="00937493" w14:paraId="487D80CB" w14:textId="4CEC02EE">
      <w:pPr>
        <w:rPr>
          <w:sz w:val="24"/>
        </w:rPr>
      </w:pPr>
      <w:r w:rsidRPr="0057549E">
        <w:rPr>
          <w:sz w:val="24"/>
        </w:rPr>
        <w:t xml:space="preserve">Rige para </w:t>
      </w:r>
      <w:r w:rsidR="00463139">
        <w:rPr>
          <w:sz w:val="24"/>
        </w:rPr>
        <w:t xml:space="preserve">a partir del </w:t>
      </w:r>
      <w:r w:rsidRPr="0057549E">
        <w:rPr>
          <w:sz w:val="24"/>
        </w:rPr>
        <w:t>envío de información con corte al 3</w:t>
      </w:r>
      <w:r>
        <w:rPr>
          <w:sz w:val="24"/>
        </w:rPr>
        <w:t>1</w:t>
      </w:r>
      <w:r w:rsidRPr="0057549E">
        <w:rPr>
          <w:sz w:val="24"/>
        </w:rPr>
        <w:t xml:space="preserve"> de</w:t>
      </w:r>
      <w:r>
        <w:rPr>
          <w:sz w:val="24"/>
        </w:rPr>
        <w:t xml:space="preserve"> diciem</w:t>
      </w:r>
      <w:r w:rsidRPr="0057549E">
        <w:rPr>
          <w:sz w:val="24"/>
        </w:rPr>
        <w:t>bre de 2020</w:t>
      </w:r>
      <w:r w:rsidR="00463139">
        <w:rPr>
          <w:sz w:val="24"/>
        </w:rPr>
        <w:t>, inclusive</w:t>
      </w:r>
      <w:r>
        <w:rPr>
          <w:sz w:val="24"/>
        </w:rPr>
        <w:t>.</w:t>
      </w:r>
    </w:p>
    <w:p w:rsidRPr="0057549E" w:rsidR="00937493" w:rsidP="00937493" w:rsidRDefault="00937493" w14:paraId="11C2BF12" w14:textId="77777777">
      <w:pPr>
        <w:spacing w:line="240" w:lineRule="auto"/>
        <w:contextualSpacing/>
        <w:rPr>
          <w:sz w:val="24"/>
        </w:rPr>
      </w:pPr>
    </w:p>
    <w:p w:rsidRPr="0057549E" w:rsidR="00937493" w:rsidP="00937493" w:rsidRDefault="00937493" w14:paraId="7728C86A" w14:textId="77777777">
      <w:pPr>
        <w:spacing w:line="240" w:lineRule="auto"/>
        <w:contextualSpacing/>
        <w:rPr>
          <w:sz w:val="24"/>
        </w:rPr>
      </w:pPr>
      <w:r w:rsidRPr="0057549E">
        <w:rPr>
          <w:sz w:val="24"/>
        </w:rPr>
        <w:t>Publíquese en el Diario Oficial La Gaceta.</w:t>
      </w:r>
    </w:p>
    <w:p w:rsidRPr="00FF752D" w:rsidR="007C0CC9" w:rsidP="00FF752D" w:rsidRDefault="007C0CC9" w14:paraId="47ED19CA" w14:textId="77777777">
      <w:pPr>
        <w:pStyle w:val="Texto0"/>
        <w:spacing w:before="0" w:after="0" w:line="240" w:lineRule="auto"/>
        <w:contextualSpacing/>
        <w:rPr>
          <w:sz w:val="24"/>
        </w:rPr>
      </w:pPr>
    </w:p>
    <w:p w:rsidRPr="00FF752D" w:rsidR="00251BA2" w:rsidP="00FF752D" w:rsidRDefault="00251BA2" w14:paraId="612C57B3" w14:textId="77777777">
      <w:pPr>
        <w:pStyle w:val="Texto0"/>
        <w:spacing w:before="0" w:after="0" w:line="240" w:lineRule="auto"/>
        <w:contextualSpacing/>
        <w:rPr>
          <w:sz w:val="24"/>
        </w:rPr>
      </w:pPr>
      <w:r w:rsidRPr="00FF752D">
        <w:rPr>
          <w:sz w:val="24"/>
        </w:rPr>
        <w:t>Atentamente,</w:t>
      </w:r>
    </w:p>
    <w:p w:rsidRPr="00FF752D" w:rsidR="00251BA2" w:rsidP="00FF752D" w:rsidRDefault="00251BA2" w14:paraId="4DD479B1" w14:textId="340A5FA9">
      <w:pPr>
        <w:spacing w:line="240" w:lineRule="auto"/>
        <w:contextualSpacing/>
        <w:rPr>
          <w:sz w:val="24"/>
        </w:rPr>
      </w:pPr>
      <w:r w:rsidRPr="00FF752D">
        <w:rPr>
          <w:noProof/>
          <w:sz w:val="24"/>
          <w:lang w:val="es-CR" w:eastAsia="es-CR"/>
        </w:rPr>
        <w:drawing>
          <wp:anchor distT="0" distB="0" distL="114300" distR="114300" simplePos="0" relativeHeight="251658240" behindDoc="1" locked="0" layoutInCell="1" allowOverlap="1" wp14:editId="173EC26B" wp14:anchorId="1CC6F201">
            <wp:simplePos x="0" y="0"/>
            <wp:positionH relativeFrom="column">
              <wp:posOffset>-59055</wp:posOffset>
            </wp:positionH>
            <wp:positionV relativeFrom="paragraph">
              <wp:posOffset>64770</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FF752D" w:rsidR="00251BA2" w:rsidP="00FF752D" w:rsidRDefault="00251BA2" w14:paraId="6B4D47CD" w14:textId="77777777">
      <w:pPr>
        <w:spacing w:line="240" w:lineRule="auto"/>
        <w:contextualSpacing/>
        <w:rPr>
          <w:sz w:val="24"/>
        </w:rPr>
      </w:pPr>
    </w:p>
    <w:p w:rsidRPr="00FF752D" w:rsidR="0056149B" w:rsidP="00FF752D" w:rsidRDefault="00F639DE" w14:paraId="4A4063B2" w14:textId="3920C902">
      <w:pPr>
        <w:spacing w:line="240" w:lineRule="auto"/>
        <w:contextualSpacing/>
        <w:rPr>
          <w:sz w:val="24"/>
        </w:rPr>
      </w:pPr>
      <w:r w:rsidRPr="00FF752D">
        <w:rPr>
          <w:sz w:val="24"/>
        </w:rPr>
        <w:t>Rocío Aguilar Montoya</w:t>
      </w:r>
    </w:p>
    <w:p w:rsidR="00251BA2" w:rsidP="00FF752D" w:rsidRDefault="00251BA2" w14:paraId="0EC86EC6" w14:textId="283473AF">
      <w:pPr>
        <w:spacing w:line="240" w:lineRule="auto"/>
        <w:contextualSpacing/>
        <w:rPr>
          <w:b/>
          <w:sz w:val="24"/>
        </w:rPr>
      </w:pPr>
      <w:r w:rsidRPr="00FF752D">
        <w:rPr>
          <w:b/>
          <w:sz w:val="24"/>
        </w:rPr>
        <w:t>Superintendente</w:t>
      </w:r>
      <w:r w:rsidRPr="00FF752D" w:rsidR="00E34E82">
        <w:rPr>
          <w:b/>
          <w:sz w:val="24"/>
        </w:rPr>
        <w:t xml:space="preserve"> General</w:t>
      </w:r>
    </w:p>
    <w:p w:rsidR="00FF752D" w:rsidP="00FF752D" w:rsidRDefault="00FF752D" w14:paraId="7F46C162" w14:textId="5875D160">
      <w:pPr>
        <w:spacing w:line="240" w:lineRule="auto"/>
        <w:contextualSpacing/>
        <w:rPr>
          <w:b/>
          <w:sz w:val="24"/>
        </w:rPr>
      </w:pPr>
    </w:p>
    <w:p w:rsidRPr="00FF752D" w:rsidR="00A26E9E" w:rsidP="00FF752D" w:rsidRDefault="005B160F" w14:paraId="31BC3841" w14:textId="3821B951">
      <w:pPr>
        <w:spacing w:before="120" w:after="120" w:line="240" w:lineRule="auto"/>
        <w:contextualSpacing/>
        <w:rPr>
          <w:sz w:val="24"/>
        </w:rPr>
      </w:pPr>
      <w:r w:rsidRPr="00FF752D">
        <w:rPr>
          <w:rFonts w:eastAsia="Calibri"/>
          <w:b/>
          <w:bCs/>
          <w:sz w:val="24"/>
          <w:lang w:val="es-CR"/>
        </w:rPr>
        <w:t>J</w:t>
      </w:r>
      <w:r w:rsidRPr="00FF752D" w:rsidR="0056149B">
        <w:rPr>
          <w:rFonts w:eastAsia="Calibri"/>
          <w:b/>
          <w:bCs/>
          <w:sz w:val="24"/>
          <w:lang w:val="es-CR"/>
        </w:rPr>
        <w:t>SC/</w:t>
      </w:r>
      <w:proofErr w:type="spellStart"/>
      <w:r w:rsidRPr="00FF752D" w:rsidR="00251BA2">
        <w:rPr>
          <w:rFonts w:eastAsia="Calibri"/>
          <w:b/>
          <w:bCs/>
          <w:sz w:val="24"/>
          <w:lang w:val="es-CR"/>
        </w:rPr>
        <w:t>gvl</w:t>
      </w:r>
      <w:proofErr w:type="spellEnd"/>
      <w:r w:rsidRPr="00FF752D" w:rsidR="00251BA2">
        <w:rPr>
          <w:rFonts w:eastAsia="Calibri"/>
          <w:b/>
          <w:bCs/>
          <w:sz w:val="24"/>
          <w:lang w:val="es-CR"/>
        </w:rPr>
        <w:t>*</w:t>
      </w:r>
    </w:p>
    <w:sectPr w:rsidRPr="00FF752D" w:rsidR="00A26E9E" w:rsidSect="005739A8">
      <w:headerReference w:type="even" r:id="rId14"/>
      <w:headerReference w:type="default" r:id="rId15"/>
      <w:footerReference w:type="even" r:id="rId16"/>
      <w:footerReference w:type="default" r:id="rId17"/>
      <w:headerReference w:type="first" r:id="rId18"/>
      <w:footerReference w:type="first" r:id="rId19"/>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CF6A7" w14:textId="77777777" w:rsidR="0024561E" w:rsidRDefault="0024561E" w:rsidP="00D43D57">
      <w:r>
        <w:separator/>
      </w:r>
    </w:p>
  </w:endnote>
  <w:endnote w:type="continuationSeparator" w:id="0">
    <w:p w14:paraId="0177EBE7" w14:textId="77777777" w:rsidR="0024561E" w:rsidRDefault="0024561E"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93B" w:rsidRDefault="00F5293B" w14:paraId="2D6E421A"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48F" w:rsidRDefault="005B448F" w14:paraId="63EB0DF5"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543B31AA" w14:textId="77777777">
      <w:trPr>
        <w:trHeight w:val="546"/>
      </w:trPr>
      <w:tc>
        <w:tcPr>
          <w:tcW w:w="3189" w:type="dxa"/>
          <w:shd w:val="clear" w:color="auto" w:fill="FFFFFF"/>
          <w:vAlign w:val="center"/>
        </w:tcPr>
        <w:p w:rsidR="008F1461" w:rsidP="000C62BB" w:rsidRDefault="008F1461" w14:paraId="4B835216" w14:textId="77777777">
          <w:pPr>
            <w:pStyle w:val="Piepagina"/>
          </w:pPr>
          <w:r>
            <w:rPr>
              <w:b/>
              <w:bCs/>
            </w:rPr>
            <w:t>Teléfono</w:t>
          </w:r>
          <w:proofErr w:type="gramStart"/>
          <w:r>
            <w:t xml:space="preserve">   (</w:t>
          </w:r>
          <w:proofErr w:type="gramEnd"/>
          <w:r>
            <w:t>506) 2243-4848</w:t>
          </w:r>
        </w:p>
        <w:p w:rsidR="008F1461" w:rsidP="000C62BB" w:rsidRDefault="008F1461" w14:paraId="07F0E6EB" w14:textId="77777777">
          <w:pPr>
            <w:pStyle w:val="Piepagina"/>
          </w:pPr>
          <w:proofErr w:type="gramStart"/>
          <w:r>
            <w:rPr>
              <w:b/>
              <w:bCs/>
            </w:rPr>
            <w:t>Facsímile</w:t>
          </w:r>
          <w:r>
            <w:t xml:space="preserve">  (</w:t>
          </w:r>
          <w:proofErr w:type="gramEnd"/>
          <w:r>
            <w:t>506) 2243-4849</w:t>
          </w:r>
        </w:p>
      </w:tc>
      <w:tc>
        <w:tcPr>
          <w:tcW w:w="2835" w:type="dxa"/>
          <w:shd w:val="clear" w:color="auto" w:fill="FFFFFF"/>
          <w:vAlign w:val="center"/>
        </w:tcPr>
        <w:p w:rsidR="008F1461" w:rsidP="000C62BB" w:rsidRDefault="008F1461" w14:paraId="3FD77F71" w14:textId="77777777">
          <w:pPr>
            <w:pStyle w:val="Piepagina"/>
          </w:pPr>
          <w:r>
            <w:rPr>
              <w:b/>
              <w:bCs/>
            </w:rPr>
            <w:t>Apartado</w:t>
          </w:r>
          <w:r>
            <w:t xml:space="preserve"> 2762-1000</w:t>
          </w:r>
        </w:p>
        <w:p w:rsidR="008F1461" w:rsidP="000C62BB" w:rsidRDefault="008F1461" w14:paraId="4940E31F" w14:textId="77777777">
          <w:pPr>
            <w:pStyle w:val="Piepagina"/>
          </w:pPr>
          <w:r>
            <w:t>San José, Costa Rica</w:t>
          </w:r>
        </w:p>
      </w:tc>
      <w:tc>
        <w:tcPr>
          <w:tcW w:w="2410" w:type="dxa"/>
          <w:shd w:val="clear" w:color="auto" w:fill="FFFFFF"/>
          <w:vAlign w:val="center"/>
        </w:tcPr>
        <w:p w:rsidR="008F1461" w:rsidP="000C62BB" w:rsidRDefault="008F1461" w14:paraId="59560AA1" w14:textId="77777777">
          <w:pPr>
            <w:pStyle w:val="Piepagina"/>
          </w:pPr>
          <w:r>
            <w:t>www.sugef.fi.cr</w:t>
          </w:r>
        </w:p>
        <w:p w:rsidR="008F1461" w:rsidP="000C62BB" w:rsidRDefault="008F1461" w14:paraId="54E2B1AE" w14:textId="77777777">
          <w:pPr>
            <w:pStyle w:val="Piepagina"/>
          </w:pPr>
          <w:r>
            <w:t>sugefcr@sugef.fi.cr</w:t>
          </w:r>
        </w:p>
      </w:tc>
      <w:tc>
        <w:tcPr>
          <w:tcW w:w="260" w:type="dxa"/>
          <w:shd w:val="clear" w:color="auto" w:fill="FFFFFF"/>
        </w:tcPr>
        <w:p w:rsidR="008F1461" w:rsidP="000C62BB" w:rsidRDefault="008F1461" w14:paraId="17C74F55" w14:textId="77777777">
          <w:pPr>
            <w:pStyle w:val="Piepagina"/>
          </w:pPr>
          <w:r>
            <w:fldChar w:fldCharType="begin"/>
          </w:r>
          <w:r>
            <w:instrText>PAGE   \* MERGEFORMAT</w:instrText>
          </w:r>
          <w:r>
            <w:fldChar w:fldCharType="separate"/>
          </w:r>
          <w:r w:rsidR="00724311">
            <w:rPr>
              <w:noProof/>
            </w:rPr>
            <w:t>1</w:t>
          </w:r>
          <w:r>
            <w:fldChar w:fldCharType="end"/>
          </w:r>
        </w:p>
      </w:tc>
    </w:tr>
  </w:tbl>
  <w:p w:rsidRPr="000C62BB" w:rsidR="00590F07" w:rsidRDefault="00590F07" w14:paraId="7DED3307" w14:textId="77777777">
    <w:pPr>
      <w:pStyle w:val="Piedepgina"/>
      <w:jc w:val="right"/>
      <w:rPr>
        <w:color w:val="969696"/>
        <w:sz w:val="20"/>
        <w:szCs w:val="20"/>
      </w:rPr>
    </w:pPr>
  </w:p>
  <w:p w:rsidR="001C075B" w:rsidP="00FA54DF" w:rsidRDefault="001C075B" w14:paraId="0FCB7F71" w14:textId="77777777">
    <w:pPr>
      <w:pStyle w:val="Piedepgina"/>
      <w:tabs>
        <w:tab w:val="center" w:pos="4305"/>
        <w:tab w:val="left" w:pos="6290"/>
      </w:tabs>
      <w:jc w:val="left"/>
    </w:pPr>
  </w:p>
</w:ftr>
</file>

<file path=word/footer3.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75B" w:rsidP="008C0BF0" w:rsidRDefault="001C075B" w14:paraId="43E52D2F" w14:textId="77777777">
    <w:pPr>
      <w:pStyle w:val="Piepagina"/>
      <w:jc w:val="center"/>
    </w:pPr>
    <w:r>
      <w:rPr>
        <w:noProof/>
        <w:lang w:val="es-CR" w:eastAsia="es-CR"/>
      </w:rPr>
      <w:drawing>
        <wp:anchor distT="0" distB="0" distL="114300" distR="114300" simplePos="0" relativeHeight="251669504" behindDoc="1" locked="0" layoutInCell="1" allowOverlap="1" wp14:editId="7DCF36C8" wp14:anchorId="3832540D">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68E6D3B2" wp14:anchorId="1175A27A">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7A544866" w14:textId="77777777">
                          <w:pPr>
                            <w:rPr>
                              <w:color w:val="003A68"/>
                              <w:sz w:val="14"/>
                              <w:szCs w:val="14"/>
                            </w:rPr>
                          </w:pPr>
                          <w:r w:rsidRPr="00FA54DF">
                            <w:rPr>
                              <w:color w:val="003A68"/>
                              <w:sz w:val="14"/>
                              <w:szCs w:val="14"/>
                            </w:rPr>
                            <w:t xml:space="preserve">T. (506) 2243-3631   </w:t>
                          </w:r>
                        </w:p>
                        <w:p w:rsidRPr="00FA54DF" w:rsidR="001C075B" w:rsidRDefault="001C075B" w14:paraId="0E6A711C" w14:textId="77777777">
                          <w:pPr>
                            <w:rPr>
                              <w:color w:val="003A68"/>
                              <w:sz w:val="14"/>
                              <w:szCs w:val="14"/>
                            </w:rPr>
                          </w:pPr>
                          <w:r w:rsidRPr="00FA54DF">
                            <w:rPr>
                              <w:color w:val="003A68"/>
                              <w:sz w:val="14"/>
                              <w:szCs w:val="14"/>
                            </w:rPr>
                            <w:t xml:space="preserve">F. (506) 2243-4579   </w:t>
                          </w:r>
                        </w:p>
                        <w:p w:rsidR="001C075B" w:rsidRDefault="001C075B" w14:paraId="248202FC" w14:textId="77777777">
                          <w:pPr>
                            <w:rPr>
                              <w:color w:val="003A68"/>
                              <w:sz w:val="14"/>
                              <w:szCs w:val="14"/>
                            </w:rPr>
                          </w:pPr>
                          <w:r w:rsidRPr="00FA54DF">
                            <w:rPr>
                              <w:color w:val="003A68"/>
                              <w:sz w:val="14"/>
                              <w:szCs w:val="14"/>
                            </w:rPr>
                            <w:t>Apdo. 10058-1000</w:t>
                          </w:r>
                        </w:p>
                        <w:p w:rsidR="001C075B" w:rsidRDefault="001C075B" w14:paraId="2AB93FC9" w14:textId="77777777">
                          <w:pPr>
                            <w:rPr>
                              <w:color w:val="003A68"/>
                              <w:sz w:val="14"/>
                              <w:szCs w:val="14"/>
                            </w:rPr>
                          </w:pPr>
                          <w:r w:rsidRPr="00FA54DF">
                            <w:rPr>
                              <w:color w:val="003A68"/>
                              <w:sz w:val="14"/>
                              <w:szCs w:val="14"/>
                            </w:rPr>
                            <w:t>Av. 1 y Central, Calles 2 y 4</w:t>
                          </w:r>
                        </w:p>
                        <w:p w:rsidRPr="00FA54DF" w:rsidR="001C075B" w:rsidRDefault="001C075B" w14:paraId="1FD0CB60"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175A27A">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7A544866" w14:textId="77777777">
                    <w:pPr>
                      <w:rPr>
                        <w:color w:val="003A68"/>
                        <w:sz w:val="14"/>
                        <w:szCs w:val="14"/>
                      </w:rPr>
                    </w:pPr>
                    <w:r w:rsidRPr="00FA54DF">
                      <w:rPr>
                        <w:color w:val="003A68"/>
                        <w:sz w:val="14"/>
                        <w:szCs w:val="14"/>
                      </w:rPr>
                      <w:t xml:space="preserve">T. (506) 2243-3631   </w:t>
                    </w:r>
                  </w:p>
                  <w:p w:rsidRPr="00FA54DF" w:rsidR="001C075B" w:rsidRDefault="001C075B" w14:paraId="0E6A711C" w14:textId="77777777">
                    <w:pPr>
                      <w:rPr>
                        <w:color w:val="003A68"/>
                        <w:sz w:val="14"/>
                        <w:szCs w:val="14"/>
                      </w:rPr>
                    </w:pPr>
                    <w:r w:rsidRPr="00FA54DF">
                      <w:rPr>
                        <w:color w:val="003A68"/>
                        <w:sz w:val="14"/>
                        <w:szCs w:val="14"/>
                      </w:rPr>
                      <w:t xml:space="preserve">F. (506) 2243-4579   </w:t>
                    </w:r>
                  </w:p>
                  <w:p w:rsidR="001C075B" w:rsidRDefault="001C075B" w14:paraId="248202FC" w14:textId="77777777">
                    <w:pPr>
                      <w:rPr>
                        <w:color w:val="003A68"/>
                        <w:sz w:val="14"/>
                        <w:szCs w:val="14"/>
                      </w:rPr>
                    </w:pPr>
                    <w:r w:rsidRPr="00FA54DF">
                      <w:rPr>
                        <w:color w:val="003A68"/>
                        <w:sz w:val="14"/>
                        <w:szCs w:val="14"/>
                      </w:rPr>
                      <w:t>Apdo. 10058-1000</w:t>
                    </w:r>
                  </w:p>
                  <w:p w:rsidR="001C075B" w:rsidRDefault="001C075B" w14:paraId="2AB93FC9" w14:textId="77777777">
                    <w:pPr>
                      <w:rPr>
                        <w:color w:val="003A68"/>
                        <w:sz w:val="14"/>
                        <w:szCs w:val="14"/>
                      </w:rPr>
                    </w:pPr>
                    <w:r w:rsidRPr="00FA54DF">
                      <w:rPr>
                        <w:color w:val="003A68"/>
                        <w:sz w:val="14"/>
                        <w:szCs w:val="14"/>
                      </w:rPr>
                      <w:t>Av. 1 y Central, Calles 2 y 4</w:t>
                    </w:r>
                  </w:p>
                  <w:p w:rsidRPr="00FA54DF" w:rsidR="001C075B" w:rsidRDefault="001C075B" w14:paraId="1FD0CB60" w14:textId="77777777">
                    <w:pPr>
                      <w:rPr>
                        <w:color w:val="003A68"/>
                        <w:sz w:val="14"/>
                        <w:szCs w:val="14"/>
                      </w:rPr>
                    </w:pPr>
                  </w:p>
                </w:txbxContent>
              </v:textbox>
            </v:shape>
          </w:pict>
        </mc:Fallback>
      </mc:AlternateContent>
    </w:r>
  </w:p>
  <w:p w:rsidRPr="00D43D57" w:rsidR="001C075B" w:rsidP="008C0BF0" w:rsidRDefault="001C075B" w14:paraId="4A033C0A" w14:textId="77777777">
    <w:pPr>
      <w:pStyle w:val="Piepagina"/>
      <w:jc w:val="center"/>
    </w:pPr>
  </w:p>
  <w:p w:rsidR="001C075B" w:rsidRDefault="001C075B" w14:paraId="79232EE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8393A" w14:textId="77777777" w:rsidR="0024561E" w:rsidRDefault="0024561E" w:rsidP="00D43D57">
      <w:r>
        <w:separator/>
      </w:r>
    </w:p>
  </w:footnote>
  <w:footnote w:type="continuationSeparator" w:id="0">
    <w:p w14:paraId="47887835" w14:textId="77777777" w:rsidR="0024561E" w:rsidRDefault="0024561E" w:rsidP="00D4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93B" w:rsidRDefault="00F5293B" w14:paraId="44A9D43D"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75B" w:rsidP="001327EB" w:rsidRDefault="001327EB" w14:paraId="15D1CE52" w14:textId="77777777">
    <w:pPr>
      <w:pStyle w:val="Piedepgina"/>
      <w:jc w:val="center"/>
    </w:pPr>
    <w:r>
      <w:rPr>
        <w:noProof/>
        <w:lang w:val="es-CR" w:eastAsia="es-CR"/>
      </w:rPr>
      <w:drawing>
        <wp:inline distT="0" distB="0" distL="0" distR="0" wp14:anchorId="576DF883" wp14:editId="30E3962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96D0A" w:rsidR="00D96D0A" w:rsidP="00D96D0A" w:rsidRDefault="00D96D0A" w14:paraId="42B67878" w14:textId="77777777">
    <w:pPr>
      <w:pStyle w:val="Encabezado"/>
      <w:pBdr>
        <w:bottom w:val="single" w:color="auto" w:sz="4" w:space="3"/>
      </w:pBdr>
      <w:ind w:right="-1"/>
      <w:rPr>
        <w:b/>
        <w:sz w:val="20"/>
        <w:szCs w:val="20"/>
      </w:rPr>
    </w:pPr>
    <w:r>
      <w:rPr>
        <w:noProof/>
        <w:lang w:val="es-CR" w:eastAsia="es-CR"/>
      </w:rPr>
      <w:drawing>
        <wp:inline distT="0" distB="0" distL="0" distR="0" wp14:anchorId="26032FFB" wp14:editId="6354684E">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6D386F61"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64CD2"/>
    <w:multiLevelType w:val="hybridMultilevel"/>
    <w:tmpl w:val="3938AB8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2429661D"/>
    <w:multiLevelType w:val="hybridMultilevel"/>
    <w:tmpl w:val="E5CA10A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73267B4"/>
    <w:multiLevelType w:val="hybridMultilevel"/>
    <w:tmpl w:val="7D30FE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30961C71"/>
    <w:multiLevelType w:val="hybridMultilevel"/>
    <w:tmpl w:val="55E0D3FC"/>
    <w:lvl w:ilvl="0" w:tplc="76701A46">
      <w:start w:val="1"/>
      <w:numFmt w:val="decimal"/>
      <w:lvlText w:val="%1."/>
      <w:lvlJc w:val="left"/>
      <w:pPr>
        <w:tabs>
          <w:tab w:val="num" w:pos="786"/>
        </w:tabs>
        <w:ind w:left="786"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1FB267A"/>
    <w:multiLevelType w:val="hybridMultilevel"/>
    <w:tmpl w:val="8488DB04"/>
    <w:lvl w:ilvl="0" w:tplc="DCF2CE94">
      <w:start w:val="1"/>
      <w:numFmt w:val="lowerRoman"/>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B876FD"/>
    <w:multiLevelType w:val="hybridMultilevel"/>
    <w:tmpl w:val="55E0D3FC"/>
    <w:lvl w:ilvl="0" w:tplc="76701A46">
      <w:start w:val="1"/>
      <w:numFmt w:val="decimal"/>
      <w:lvlText w:val="%1."/>
      <w:lvlJc w:val="left"/>
      <w:pPr>
        <w:tabs>
          <w:tab w:val="num" w:pos="786"/>
        </w:tabs>
        <w:ind w:left="786"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D1E58D3"/>
    <w:multiLevelType w:val="hybridMultilevel"/>
    <w:tmpl w:val="C1DCAA56"/>
    <w:lvl w:ilvl="0" w:tplc="52029D6A">
      <w:start w:val="1"/>
      <w:numFmt w:val="lowerLetter"/>
      <w:lvlText w:val="%1)"/>
      <w:lvlJc w:val="left"/>
      <w:pPr>
        <w:ind w:left="720" w:hanging="360"/>
      </w:pPr>
      <w:rPr>
        <w:rFonts w:hint="default"/>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0000CC3"/>
    <w:multiLevelType w:val="hybridMultilevel"/>
    <w:tmpl w:val="E7C40EFC"/>
    <w:lvl w:ilvl="0" w:tplc="76C29216">
      <w:start w:val="1"/>
      <w:numFmt w:val="upperRoman"/>
      <w:lvlText w:val="%1."/>
      <w:lvlJc w:val="right"/>
      <w:pPr>
        <w:ind w:left="720" w:hanging="360"/>
      </w:pPr>
      <w:rPr>
        <w:rFonts w:ascii="Cambria" w:hAnsi="Cambria"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9" w15:restartNumberingAfterBreak="0">
    <w:nsid w:val="470A0FED"/>
    <w:multiLevelType w:val="hybridMultilevel"/>
    <w:tmpl w:val="536A9706"/>
    <w:lvl w:ilvl="0" w:tplc="5A8620BE">
      <w:start w:val="1"/>
      <w:numFmt w:val="lowerLetter"/>
      <w:lvlText w:val="%1)"/>
      <w:lvlJc w:val="left"/>
      <w:pPr>
        <w:tabs>
          <w:tab w:val="num" w:pos="720"/>
        </w:tabs>
        <w:ind w:left="720" w:hanging="360"/>
      </w:pPr>
    </w:lvl>
    <w:lvl w:ilvl="1" w:tplc="6AC47604" w:tentative="1">
      <w:start w:val="1"/>
      <w:numFmt w:val="lowerLetter"/>
      <w:lvlText w:val="%2)"/>
      <w:lvlJc w:val="left"/>
      <w:pPr>
        <w:tabs>
          <w:tab w:val="num" w:pos="1440"/>
        </w:tabs>
        <w:ind w:left="1440" w:hanging="360"/>
      </w:pPr>
    </w:lvl>
    <w:lvl w:ilvl="2" w:tplc="D6A87CF4" w:tentative="1">
      <w:start w:val="1"/>
      <w:numFmt w:val="lowerLetter"/>
      <w:lvlText w:val="%3)"/>
      <w:lvlJc w:val="left"/>
      <w:pPr>
        <w:tabs>
          <w:tab w:val="num" w:pos="2160"/>
        </w:tabs>
        <w:ind w:left="2160" w:hanging="360"/>
      </w:pPr>
    </w:lvl>
    <w:lvl w:ilvl="3" w:tplc="42D0A600" w:tentative="1">
      <w:start w:val="1"/>
      <w:numFmt w:val="lowerLetter"/>
      <w:lvlText w:val="%4)"/>
      <w:lvlJc w:val="left"/>
      <w:pPr>
        <w:tabs>
          <w:tab w:val="num" w:pos="2880"/>
        </w:tabs>
        <w:ind w:left="2880" w:hanging="360"/>
      </w:pPr>
    </w:lvl>
    <w:lvl w:ilvl="4" w:tplc="FA10F34C" w:tentative="1">
      <w:start w:val="1"/>
      <w:numFmt w:val="lowerLetter"/>
      <w:lvlText w:val="%5)"/>
      <w:lvlJc w:val="left"/>
      <w:pPr>
        <w:tabs>
          <w:tab w:val="num" w:pos="3600"/>
        </w:tabs>
        <w:ind w:left="3600" w:hanging="360"/>
      </w:pPr>
    </w:lvl>
    <w:lvl w:ilvl="5" w:tplc="58504842" w:tentative="1">
      <w:start w:val="1"/>
      <w:numFmt w:val="lowerLetter"/>
      <w:lvlText w:val="%6)"/>
      <w:lvlJc w:val="left"/>
      <w:pPr>
        <w:tabs>
          <w:tab w:val="num" w:pos="4320"/>
        </w:tabs>
        <w:ind w:left="4320" w:hanging="360"/>
      </w:pPr>
    </w:lvl>
    <w:lvl w:ilvl="6" w:tplc="9DDA328C" w:tentative="1">
      <w:start w:val="1"/>
      <w:numFmt w:val="lowerLetter"/>
      <w:lvlText w:val="%7)"/>
      <w:lvlJc w:val="left"/>
      <w:pPr>
        <w:tabs>
          <w:tab w:val="num" w:pos="5040"/>
        </w:tabs>
        <w:ind w:left="5040" w:hanging="360"/>
      </w:pPr>
    </w:lvl>
    <w:lvl w:ilvl="7" w:tplc="7578ED22" w:tentative="1">
      <w:start w:val="1"/>
      <w:numFmt w:val="lowerLetter"/>
      <w:lvlText w:val="%8)"/>
      <w:lvlJc w:val="left"/>
      <w:pPr>
        <w:tabs>
          <w:tab w:val="num" w:pos="5760"/>
        </w:tabs>
        <w:ind w:left="5760" w:hanging="360"/>
      </w:pPr>
    </w:lvl>
    <w:lvl w:ilvl="8" w:tplc="D0A270D0" w:tentative="1">
      <w:start w:val="1"/>
      <w:numFmt w:val="lowerLetter"/>
      <w:lvlText w:val="%9)"/>
      <w:lvlJc w:val="left"/>
      <w:pPr>
        <w:tabs>
          <w:tab w:val="num" w:pos="6480"/>
        </w:tabs>
        <w:ind w:left="6480" w:hanging="360"/>
      </w:pPr>
    </w:lvl>
  </w:abstractNum>
  <w:abstractNum w:abstractNumId="20" w15:restartNumberingAfterBreak="0">
    <w:nsid w:val="4A711567"/>
    <w:multiLevelType w:val="hybridMultilevel"/>
    <w:tmpl w:val="4EFC7998"/>
    <w:lvl w:ilvl="0" w:tplc="6182274E">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50E77E37"/>
    <w:multiLevelType w:val="hybridMultilevel"/>
    <w:tmpl w:val="219A6354"/>
    <w:lvl w:ilvl="0" w:tplc="2C06333E">
      <w:start w:val="1"/>
      <w:numFmt w:val="upperRoman"/>
      <w:lvlText w:val="%1."/>
      <w:lvlJc w:val="left"/>
      <w:pPr>
        <w:ind w:left="1080" w:hanging="720"/>
      </w:pPr>
      <w:rPr>
        <w:rFonts w:hint="default"/>
        <w:sz w:val="22"/>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11C6420"/>
    <w:multiLevelType w:val="hybridMultilevel"/>
    <w:tmpl w:val="7DCC599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4" w15:restartNumberingAfterBreak="0">
    <w:nsid w:val="53775032"/>
    <w:multiLevelType w:val="hybridMultilevel"/>
    <w:tmpl w:val="028277C8"/>
    <w:lvl w:ilvl="0" w:tplc="140A0017">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8E5206B"/>
    <w:multiLevelType w:val="hybridMultilevel"/>
    <w:tmpl w:val="3EB29E8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1D90760"/>
    <w:multiLevelType w:val="multilevel"/>
    <w:tmpl w:val="C054F76E"/>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47238E0"/>
    <w:multiLevelType w:val="hybridMultilevel"/>
    <w:tmpl w:val="2BF247C4"/>
    <w:lvl w:ilvl="0" w:tplc="23827894">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5361010"/>
    <w:multiLevelType w:val="hybridMultilevel"/>
    <w:tmpl w:val="C34E2A6C"/>
    <w:lvl w:ilvl="0" w:tplc="44CE1CF8">
      <w:start w:val="3"/>
      <w:numFmt w:val="lowerRoman"/>
      <w:lvlText w:val="%1)"/>
      <w:lvlJc w:val="left"/>
      <w:pPr>
        <w:ind w:left="720" w:hanging="360"/>
      </w:pPr>
      <w:rPr>
        <w:rFonts w:hint="default"/>
        <w:color w:val="auto"/>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DFC25CA"/>
    <w:multiLevelType w:val="hybridMultilevel"/>
    <w:tmpl w:val="052CB2CE"/>
    <w:lvl w:ilvl="0" w:tplc="4C8E52B8">
      <w:start w:val="2"/>
      <w:numFmt w:val="lowerRoman"/>
      <w:lvlText w:val="%1)"/>
      <w:lvlJc w:val="left"/>
      <w:pPr>
        <w:ind w:left="720" w:hanging="360"/>
      </w:pPr>
      <w:rPr>
        <w:rFonts w:hint="default"/>
        <w:color w:val="auto"/>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31" w15:restartNumberingAfterBreak="0">
    <w:nsid w:val="7CCB4ADD"/>
    <w:multiLevelType w:val="hybridMultilevel"/>
    <w:tmpl w:val="FB246016"/>
    <w:lvl w:ilvl="0" w:tplc="DA22ED8E">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2" w15:restartNumberingAfterBreak="0">
    <w:nsid w:val="7F2C0DEB"/>
    <w:multiLevelType w:val="hybridMultilevel"/>
    <w:tmpl w:val="B8AA0570"/>
    <w:lvl w:ilvl="0" w:tplc="B6E877A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0"/>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6"/>
  </w:num>
  <w:num w:numId="18">
    <w:abstractNumId w:val="18"/>
  </w:num>
  <w:num w:numId="19">
    <w:abstractNumId w:val="14"/>
  </w:num>
  <w:num w:numId="20">
    <w:abstractNumId w:val="27"/>
  </w:num>
  <w:num w:numId="21">
    <w:abstractNumId w:val="22"/>
  </w:num>
  <w:num w:numId="22">
    <w:abstractNumId w:val="25"/>
  </w:num>
  <w:num w:numId="23">
    <w:abstractNumId w:val="19"/>
  </w:num>
  <w:num w:numId="24">
    <w:abstractNumId w:val="12"/>
  </w:num>
  <w:num w:numId="25">
    <w:abstractNumId w:val="24"/>
  </w:num>
  <w:num w:numId="26">
    <w:abstractNumId w:val="26"/>
  </w:num>
  <w:num w:numId="27">
    <w:abstractNumId w:val="10"/>
  </w:num>
  <w:num w:numId="28">
    <w:abstractNumId w:val="15"/>
  </w:num>
  <w:num w:numId="29">
    <w:abstractNumId w:val="29"/>
  </w:num>
  <w:num w:numId="30">
    <w:abstractNumId w:val="28"/>
  </w:num>
  <w:num w:numId="31">
    <w:abstractNumId w:val="21"/>
  </w:num>
  <w:num w:numId="32">
    <w:abstractNumId w:val="17"/>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BA2"/>
    <w:rsid w:val="000064A4"/>
    <w:rsid w:val="000235B5"/>
    <w:rsid w:val="00026C85"/>
    <w:rsid w:val="00041BDD"/>
    <w:rsid w:val="000439A6"/>
    <w:rsid w:val="00046426"/>
    <w:rsid w:val="00060C03"/>
    <w:rsid w:val="000646DD"/>
    <w:rsid w:val="00067D6D"/>
    <w:rsid w:val="000728EA"/>
    <w:rsid w:val="0008092A"/>
    <w:rsid w:val="00081865"/>
    <w:rsid w:val="00082968"/>
    <w:rsid w:val="00086804"/>
    <w:rsid w:val="000B3CF7"/>
    <w:rsid w:val="000C20E9"/>
    <w:rsid w:val="000C2932"/>
    <w:rsid w:val="000C4E7F"/>
    <w:rsid w:val="000C62BB"/>
    <w:rsid w:val="000D18B9"/>
    <w:rsid w:val="000D7C47"/>
    <w:rsid w:val="000E0AC6"/>
    <w:rsid w:val="000F34AE"/>
    <w:rsid w:val="001052E8"/>
    <w:rsid w:val="00117501"/>
    <w:rsid w:val="001322B4"/>
    <w:rsid w:val="001327EB"/>
    <w:rsid w:val="001343DE"/>
    <w:rsid w:val="00134F64"/>
    <w:rsid w:val="001425DC"/>
    <w:rsid w:val="00153356"/>
    <w:rsid w:val="0016220C"/>
    <w:rsid w:val="001653C6"/>
    <w:rsid w:val="0016711E"/>
    <w:rsid w:val="00170FA2"/>
    <w:rsid w:val="00172B8C"/>
    <w:rsid w:val="001946F4"/>
    <w:rsid w:val="001A311A"/>
    <w:rsid w:val="001A6574"/>
    <w:rsid w:val="001B4D6A"/>
    <w:rsid w:val="001B5593"/>
    <w:rsid w:val="001C075B"/>
    <w:rsid w:val="001C5806"/>
    <w:rsid w:val="001E0448"/>
    <w:rsid w:val="001E37B7"/>
    <w:rsid w:val="00212B7C"/>
    <w:rsid w:val="00220C1C"/>
    <w:rsid w:val="00230C67"/>
    <w:rsid w:val="00234BEA"/>
    <w:rsid w:val="0024561E"/>
    <w:rsid w:val="00251BA2"/>
    <w:rsid w:val="002577CD"/>
    <w:rsid w:val="002645B7"/>
    <w:rsid w:val="002670B9"/>
    <w:rsid w:val="00291E3E"/>
    <w:rsid w:val="002A14D5"/>
    <w:rsid w:val="002C56A4"/>
    <w:rsid w:val="002C57C2"/>
    <w:rsid w:val="002E2B0A"/>
    <w:rsid w:val="002E3589"/>
    <w:rsid w:val="002E56D1"/>
    <w:rsid w:val="002E571B"/>
    <w:rsid w:val="002E5C93"/>
    <w:rsid w:val="002F08D5"/>
    <w:rsid w:val="003009F0"/>
    <w:rsid w:val="003060E2"/>
    <w:rsid w:val="00310570"/>
    <w:rsid w:val="00317BBB"/>
    <w:rsid w:val="00322A87"/>
    <w:rsid w:val="0032378A"/>
    <w:rsid w:val="003267FB"/>
    <w:rsid w:val="003312B8"/>
    <w:rsid w:val="00336111"/>
    <w:rsid w:val="003503A2"/>
    <w:rsid w:val="003554C5"/>
    <w:rsid w:val="00365794"/>
    <w:rsid w:val="00373B22"/>
    <w:rsid w:val="00385CC2"/>
    <w:rsid w:val="00392BC1"/>
    <w:rsid w:val="003A2E98"/>
    <w:rsid w:val="003C4C71"/>
    <w:rsid w:val="003E4EDB"/>
    <w:rsid w:val="003E72FD"/>
    <w:rsid w:val="003F6025"/>
    <w:rsid w:val="00410551"/>
    <w:rsid w:val="00414B77"/>
    <w:rsid w:val="0042119B"/>
    <w:rsid w:val="00427002"/>
    <w:rsid w:val="00435309"/>
    <w:rsid w:val="00445881"/>
    <w:rsid w:val="00447A41"/>
    <w:rsid w:val="00463139"/>
    <w:rsid w:val="004822E6"/>
    <w:rsid w:val="00492FE3"/>
    <w:rsid w:val="004A78CC"/>
    <w:rsid w:val="004B5F88"/>
    <w:rsid w:val="004C7711"/>
    <w:rsid w:val="004D7F44"/>
    <w:rsid w:val="004F74E7"/>
    <w:rsid w:val="005105C4"/>
    <w:rsid w:val="0053623F"/>
    <w:rsid w:val="005422EE"/>
    <w:rsid w:val="005439EA"/>
    <w:rsid w:val="00550D78"/>
    <w:rsid w:val="00557369"/>
    <w:rsid w:val="0056149B"/>
    <w:rsid w:val="005706D1"/>
    <w:rsid w:val="005739A8"/>
    <w:rsid w:val="005751FC"/>
    <w:rsid w:val="00577A95"/>
    <w:rsid w:val="005852CF"/>
    <w:rsid w:val="00590F07"/>
    <w:rsid w:val="0059392E"/>
    <w:rsid w:val="005B160F"/>
    <w:rsid w:val="005B448F"/>
    <w:rsid w:val="005C173B"/>
    <w:rsid w:val="005D2DA1"/>
    <w:rsid w:val="005D5973"/>
    <w:rsid w:val="005D76C3"/>
    <w:rsid w:val="005E07F2"/>
    <w:rsid w:val="005E39BB"/>
    <w:rsid w:val="005E6E11"/>
    <w:rsid w:val="006033C4"/>
    <w:rsid w:val="00603B3F"/>
    <w:rsid w:val="00604A3D"/>
    <w:rsid w:val="0060703F"/>
    <w:rsid w:val="00614D68"/>
    <w:rsid w:val="00620B23"/>
    <w:rsid w:val="00623B8F"/>
    <w:rsid w:val="0062633F"/>
    <w:rsid w:val="00630B5C"/>
    <w:rsid w:val="00635AC4"/>
    <w:rsid w:val="00640202"/>
    <w:rsid w:val="00641B27"/>
    <w:rsid w:val="00662901"/>
    <w:rsid w:val="00674A3A"/>
    <w:rsid w:val="00681F7A"/>
    <w:rsid w:val="0068612F"/>
    <w:rsid w:val="00692661"/>
    <w:rsid w:val="00695B1A"/>
    <w:rsid w:val="00696B83"/>
    <w:rsid w:val="006A4F5A"/>
    <w:rsid w:val="006A6899"/>
    <w:rsid w:val="006C2059"/>
    <w:rsid w:val="006D39A0"/>
    <w:rsid w:val="006E30B1"/>
    <w:rsid w:val="006E3610"/>
    <w:rsid w:val="006E36EA"/>
    <w:rsid w:val="006E6DE5"/>
    <w:rsid w:val="006E6F58"/>
    <w:rsid w:val="006E7E90"/>
    <w:rsid w:val="0071134B"/>
    <w:rsid w:val="00714DC4"/>
    <w:rsid w:val="00715376"/>
    <w:rsid w:val="00724311"/>
    <w:rsid w:val="00726D7F"/>
    <w:rsid w:val="00742018"/>
    <w:rsid w:val="0074397B"/>
    <w:rsid w:val="007455FF"/>
    <w:rsid w:val="00755896"/>
    <w:rsid w:val="00756D7B"/>
    <w:rsid w:val="00765619"/>
    <w:rsid w:val="00765A21"/>
    <w:rsid w:val="00766625"/>
    <w:rsid w:val="007726CC"/>
    <w:rsid w:val="007736D4"/>
    <w:rsid w:val="007815A6"/>
    <w:rsid w:val="00793FEA"/>
    <w:rsid w:val="0079518D"/>
    <w:rsid w:val="007A743B"/>
    <w:rsid w:val="007B18D6"/>
    <w:rsid w:val="007B51DD"/>
    <w:rsid w:val="007B5B03"/>
    <w:rsid w:val="007C0CC9"/>
    <w:rsid w:val="007D1328"/>
    <w:rsid w:val="007F1723"/>
    <w:rsid w:val="007F1E6F"/>
    <w:rsid w:val="007F327D"/>
    <w:rsid w:val="007F3A44"/>
    <w:rsid w:val="007F5430"/>
    <w:rsid w:val="007F7B1E"/>
    <w:rsid w:val="008202A0"/>
    <w:rsid w:val="00821711"/>
    <w:rsid w:val="008310AB"/>
    <w:rsid w:val="00832753"/>
    <w:rsid w:val="00842773"/>
    <w:rsid w:val="008529FD"/>
    <w:rsid w:val="0085692C"/>
    <w:rsid w:val="00864362"/>
    <w:rsid w:val="00887400"/>
    <w:rsid w:val="00892708"/>
    <w:rsid w:val="00893B0D"/>
    <w:rsid w:val="00895097"/>
    <w:rsid w:val="008A1AA2"/>
    <w:rsid w:val="008A63B7"/>
    <w:rsid w:val="008A7E01"/>
    <w:rsid w:val="008B3838"/>
    <w:rsid w:val="008B5356"/>
    <w:rsid w:val="008C0BF0"/>
    <w:rsid w:val="008D0528"/>
    <w:rsid w:val="008E5850"/>
    <w:rsid w:val="008F01AF"/>
    <w:rsid w:val="008F1461"/>
    <w:rsid w:val="008F33F5"/>
    <w:rsid w:val="00904CBE"/>
    <w:rsid w:val="00906CC5"/>
    <w:rsid w:val="00911645"/>
    <w:rsid w:val="00930D01"/>
    <w:rsid w:val="00936085"/>
    <w:rsid w:val="00937493"/>
    <w:rsid w:val="009475B6"/>
    <w:rsid w:val="009578D4"/>
    <w:rsid w:val="00962265"/>
    <w:rsid w:val="0097235C"/>
    <w:rsid w:val="00975463"/>
    <w:rsid w:val="00977CEE"/>
    <w:rsid w:val="00982147"/>
    <w:rsid w:val="00983CB1"/>
    <w:rsid w:val="00984A65"/>
    <w:rsid w:val="009908DE"/>
    <w:rsid w:val="00995FD5"/>
    <w:rsid w:val="009B5E5E"/>
    <w:rsid w:val="009C47FE"/>
    <w:rsid w:val="009E2AC0"/>
    <w:rsid w:val="009E79C1"/>
    <w:rsid w:val="009F54CB"/>
    <w:rsid w:val="00A11D68"/>
    <w:rsid w:val="00A23019"/>
    <w:rsid w:val="00A26E9E"/>
    <w:rsid w:val="00A34523"/>
    <w:rsid w:val="00A4334A"/>
    <w:rsid w:val="00A47543"/>
    <w:rsid w:val="00A76A2E"/>
    <w:rsid w:val="00A84CDB"/>
    <w:rsid w:val="00A906DD"/>
    <w:rsid w:val="00A95C52"/>
    <w:rsid w:val="00AC2066"/>
    <w:rsid w:val="00AC5138"/>
    <w:rsid w:val="00AC5E12"/>
    <w:rsid w:val="00AD1E09"/>
    <w:rsid w:val="00AD72C4"/>
    <w:rsid w:val="00AD7B1E"/>
    <w:rsid w:val="00AE326C"/>
    <w:rsid w:val="00AE3929"/>
    <w:rsid w:val="00AE6001"/>
    <w:rsid w:val="00AF256E"/>
    <w:rsid w:val="00AF45B7"/>
    <w:rsid w:val="00B079EC"/>
    <w:rsid w:val="00B1318C"/>
    <w:rsid w:val="00B25183"/>
    <w:rsid w:val="00B34216"/>
    <w:rsid w:val="00B43C40"/>
    <w:rsid w:val="00B45F56"/>
    <w:rsid w:val="00B464F6"/>
    <w:rsid w:val="00B51077"/>
    <w:rsid w:val="00B71860"/>
    <w:rsid w:val="00B77CF0"/>
    <w:rsid w:val="00B80284"/>
    <w:rsid w:val="00B820CD"/>
    <w:rsid w:val="00B84E87"/>
    <w:rsid w:val="00B90216"/>
    <w:rsid w:val="00B94DE2"/>
    <w:rsid w:val="00BA112E"/>
    <w:rsid w:val="00BA711C"/>
    <w:rsid w:val="00BB0F2F"/>
    <w:rsid w:val="00BB470C"/>
    <w:rsid w:val="00BC03D6"/>
    <w:rsid w:val="00BD71E9"/>
    <w:rsid w:val="00BE119A"/>
    <w:rsid w:val="00BE6A0B"/>
    <w:rsid w:val="00BE7B10"/>
    <w:rsid w:val="00BF3029"/>
    <w:rsid w:val="00C039CE"/>
    <w:rsid w:val="00C1795E"/>
    <w:rsid w:val="00C20F90"/>
    <w:rsid w:val="00C22C6C"/>
    <w:rsid w:val="00C40C45"/>
    <w:rsid w:val="00C414C9"/>
    <w:rsid w:val="00C42047"/>
    <w:rsid w:val="00C435CF"/>
    <w:rsid w:val="00C5093E"/>
    <w:rsid w:val="00C60480"/>
    <w:rsid w:val="00C64425"/>
    <w:rsid w:val="00C722B5"/>
    <w:rsid w:val="00C809BA"/>
    <w:rsid w:val="00C928C7"/>
    <w:rsid w:val="00C9305E"/>
    <w:rsid w:val="00CA3FA8"/>
    <w:rsid w:val="00CA4FE0"/>
    <w:rsid w:val="00CB07CA"/>
    <w:rsid w:val="00CC03EB"/>
    <w:rsid w:val="00CC6FD8"/>
    <w:rsid w:val="00CC7C85"/>
    <w:rsid w:val="00D03728"/>
    <w:rsid w:val="00D06E99"/>
    <w:rsid w:val="00D102F8"/>
    <w:rsid w:val="00D10AD8"/>
    <w:rsid w:val="00D2424F"/>
    <w:rsid w:val="00D26EDE"/>
    <w:rsid w:val="00D32808"/>
    <w:rsid w:val="00D41118"/>
    <w:rsid w:val="00D43D57"/>
    <w:rsid w:val="00D44EF3"/>
    <w:rsid w:val="00D45FC0"/>
    <w:rsid w:val="00D54C08"/>
    <w:rsid w:val="00D55CA3"/>
    <w:rsid w:val="00D7237D"/>
    <w:rsid w:val="00D807DC"/>
    <w:rsid w:val="00D96D0A"/>
    <w:rsid w:val="00DA0158"/>
    <w:rsid w:val="00DB3508"/>
    <w:rsid w:val="00DB3E70"/>
    <w:rsid w:val="00DB7D64"/>
    <w:rsid w:val="00DC2193"/>
    <w:rsid w:val="00DC3B8E"/>
    <w:rsid w:val="00DE08C6"/>
    <w:rsid w:val="00DF2FE4"/>
    <w:rsid w:val="00E0013C"/>
    <w:rsid w:val="00E11252"/>
    <w:rsid w:val="00E13C47"/>
    <w:rsid w:val="00E34E82"/>
    <w:rsid w:val="00E5185D"/>
    <w:rsid w:val="00E676F4"/>
    <w:rsid w:val="00E75AC8"/>
    <w:rsid w:val="00E82177"/>
    <w:rsid w:val="00E85D8D"/>
    <w:rsid w:val="00EA013A"/>
    <w:rsid w:val="00EB4E27"/>
    <w:rsid w:val="00EB71D8"/>
    <w:rsid w:val="00EC2D0C"/>
    <w:rsid w:val="00EC2E48"/>
    <w:rsid w:val="00ED0FDD"/>
    <w:rsid w:val="00EE00D4"/>
    <w:rsid w:val="00EE3A47"/>
    <w:rsid w:val="00EE761B"/>
    <w:rsid w:val="00EF0C8B"/>
    <w:rsid w:val="00F025B3"/>
    <w:rsid w:val="00F037C1"/>
    <w:rsid w:val="00F10AFE"/>
    <w:rsid w:val="00F1102D"/>
    <w:rsid w:val="00F1297C"/>
    <w:rsid w:val="00F12A97"/>
    <w:rsid w:val="00F33277"/>
    <w:rsid w:val="00F438BD"/>
    <w:rsid w:val="00F50E5F"/>
    <w:rsid w:val="00F5293B"/>
    <w:rsid w:val="00F6038D"/>
    <w:rsid w:val="00F6197C"/>
    <w:rsid w:val="00F639DE"/>
    <w:rsid w:val="00F654F5"/>
    <w:rsid w:val="00F731A3"/>
    <w:rsid w:val="00F73412"/>
    <w:rsid w:val="00F8514F"/>
    <w:rsid w:val="00F8680D"/>
    <w:rsid w:val="00F945BC"/>
    <w:rsid w:val="00FA06A7"/>
    <w:rsid w:val="00FA1E58"/>
    <w:rsid w:val="00FA54DF"/>
    <w:rsid w:val="00FB2752"/>
    <w:rsid w:val="00FB79EB"/>
    <w:rsid w:val="00FC374C"/>
    <w:rsid w:val="00FD5ED8"/>
    <w:rsid w:val="00FE1A1B"/>
    <w:rsid w:val="00FE41AC"/>
    <w:rsid w:val="00FE44E2"/>
    <w:rsid w:val="00FE6865"/>
    <w:rsid w:val="00FF752D"/>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79943C20"/>
  <w15:docId w15:val="{500C51EC-0CF8-4366-BEFF-25767614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7">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sdException w:name="Smart Link Error" w:locked="0" w:semiHidden="1" w:unhideWhenUsed="1"/>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3">
    <w:name w:val="heading 3"/>
    <w:basedOn w:val="Normal"/>
    <w:next w:val="Normal"/>
    <w:link w:val="Ttulo3Car"/>
    <w:uiPriority w:val="9"/>
    <w:semiHidden/>
    <w:unhideWhenUsed/>
    <w:qFormat/>
    <w:locked/>
    <w:rsid w:val="000D7C47"/>
    <w:pPr>
      <w:keepNext/>
      <w:keepLines/>
      <w:spacing w:before="40"/>
      <w:outlineLvl w:val="2"/>
    </w:pPr>
    <w:rPr>
      <w:rFonts w:asciiTheme="majorHAnsi" w:eastAsiaTheme="majorEastAsia" w:hAnsiTheme="majorHAnsi" w:cstheme="majorBidi"/>
      <w:color w:val="1C4062" w:themeColor="accent1" w:themeShade="7F"/>
      <w:sz w:val="24"/>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locked/>
    <w:rsid w:val="00251BA2"/>
    <w:rPr>
      <w:rFonts w:ascii="Calibri" w:hAnsi="Calibri" w:cs="Calibri"/>
      <w:sz w:val="22"/>
      <w:szCs w:val="22"/>
      <w:lang w:eastAsia="en-US"/>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locked/>
    <w:rsid w:val="00251BA2"/>
    <w:pPr>
      <w:spacing w:after="200" w:line="276" w:lineRule="auto"/>
      <w:ind w:left="720"/>
      <w:contextualSpacing/>
      <w:jc w:val="left"/>
    </w:pPr>
    <w:rPr>
      <w:rFonts w:ascii="Calibri" w:eastAsia="Calibri" w:hAnsi="Calibri" w:cs="Calibri"/>
      <w:szCs w:val="22"/>
      <w:lang w:val="es-CR"/>
    </w:rPr>
  </w:style>
  <w:style w:type="paragraph" w:styleId="NormalWeb">
    <w:name w:val="Normal (Web)"/>
    <w:basedOn w:val="Normal"/>
    <w:uiPriority w:val="99"/>
    <w:locked/>
    <w:rsid w:val="00EA013A"/>
    <w:pPr>
      <w:spacing w:before="100" w:beforeAutospacing="1" w:after="100" w:afterAutospacing="1" w:line="240" w:lineRule="auto"/>
      <w:jc w:val="left"/>
    </w:pPr>
    <w:rPr>
      <w:rFonts w:ascii="Times New Roman" w:hAnsi="Times New Roman"/>
      <w:color w:val="000000"/>
      <w:sz w:val="20"/>
      <w:szCs w:val="20"/>
      <w:lang w:eastAsia="es-ES"/>
    </w:rPr>
  </w:style>
  <w:style w:type="table" w:styleId="Tablaconcuadrculaclara">
    <w:name w:val="Grid Table Light"/>
    <w:basedOn w:val="Tablanormal"/>
    <w:uiPriority w:val="40"/>
    <w:rsid w:val="0068612F"/>
    <w:tblPr>
      <w:tblBorders>
        <w:top w:val="single" w:sz="4" w:space="0" w:color="000000" w:themeColor="background1" w:themeShade="BF"/>
        <w:left w:val="single" w:sz="4" w:space="0" w:color="000000" w:themeColor="background1" w:themeShade="BF"/>
        <w:bottom w:val="single" w:sz="4" w:space="0" w:color="000000" w:themeColor="background1" w:themeShade="BF"/>
        <w:right w:val="single" w:sz="4" w:space="0" w:color="000000" w:themeColor="background1" w:themeShade="BF"/>
        <w:insideH w:val="single" w:sz="4" w:space="0" w:color="000000" w:themeColor="background1" w:themeShade="BF"/>
        <w:insideV w:val="single" w:sz="4" w:space="0" w:color="000000" w:themeColor="background1" w:themeShade="BF"/>
      </w:tblBorders>
    </w:tblPr>
  </w:style>
  <w:style w:type="character" w:customStyle="1" w:styleId="Ttulo3Car">
    <w:name w:val="Título 3 Car"/>
    <w:basedOn w:val="Fuentedeprrafopredeter"/>
    <w:link w:val="Ttulo3"/>
    <w:uiPriority w:val="9"/>
    <w:semiHidden/>
    <w:rsid w:val="000D7C47"/>
    <w:rPr>
      <w:rFonts w:asciiTheme="majorHAnsi" w:eastAsiaTheme="majorEastAsia" w:hAnsiTheme="majorHAnsi" w:cstheme="majorBidi"/>
      <w:color w:val="1C4062" w:themeColor="accent1" w:themeShade="7F"/>
      <w:sz w:val="24"/>
      <w:szCs w:val="24"/>
      <w:lang w:val="es-ES" w:eastAsia="en-US"/>
    </w:rPr>
  </w:style>
  <w:style w:type="character" w:styleId="Hipervnculo">
    <w:name w:val="Hyperlink"/>
    <w:basedOn w:val="Fuentedeprrafopredeter"/>
    <w:uiPriority w:val="99"/>
    <w:unhideWhenUsed/>
    <w:locked/>
    <w:rsid w:val="000D7C47"/>
    <w:rPr>
      <w:color w:val="4F81BD" w:themeColor="hyperlink"/>
      <w:u w:val="single"/>
    </w:rPr>
  </w:style>
  <w:style w:type="character" w:styleId="Refdecomentario">
    <w:name w:val="annotation reference"/>
    <w:basedOn w:val="Fuentedeprrafopredeter"/>
    <w:uiPriority w:val="99"/>
    <w:semiHidden/>
    <w:unhideWhenUsed/>
    <w:locked/>
    <w:rsid w:val="00FE6865"/>
    <w:rPr>
      <w:sz w:val="16"/>
      <w:szCs w:val="16"/>
    </w:rPr>
  </w:style>
  <w:style w:type="paragraph" w:styleId="Textocomentario">
    <w:name w:val="annotation text"/>
    <w:basedOn w:val="Normal"/>
    <w:link w:val="TextocomentarioCar"/>
    <w:uiPriority w:val="99"/>
    <w:semiHidden/>
    <w:unhideWhenUsed/>
    <w:locked/>
    <w:rsid w:val="00FE68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6865"/>
    <w:rPr>
      <w:rFonts w:ascii="Cambria" w:eastAsia="Times New Roman" w:hAnsi="Cambria"/>
      <w:lang w:val="es-ES" w:eastAsia="en-US"/>
    </w:rPr>
  </w:style>
  <w:style w:type="paragraph" w:styleId="Asuntodelcomentario">
    <w:name w:val="annotation subject"/>
    <w:basedOn w:val="Textocomentario"/>
    <w:next w:val="Textocomentario"/>
    <w:link w:val="AsuntodelcomentarioCar"/>
    <w:uiPriority w:val="99"/>
    <w:semiHidden/>
    <w:unhideWhenUsed/>
    <w:locked/>
    <w:rsid w:val="00FE6865"/>
    <w:rPr>
      <w:b/>
      <w:bCs/>
    </w:rPr>
  </w:style>
  <w:style w:type="character" w:customStyle="1" w:styleId="AsuntodelcomentarioCar">
    <w:name w:val="Asunto del comentario Car"/>
    <w:basedOn w:val="TextocomentarioCar"/>
    <w:link w:val="Asuntodelcomentario"/>
    <w:uiPriority w:val="99"/>
    <w:semiHidden/>
    <w:rsid w:val="00FE6865"/>
    <w:rPr>
      <w:rFonts w:ascii="Cambria" w:eastAsia="Times New Roman" w:hAnsi="Cambria"/>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975226">
      <w:bodyDiv w:val="1"/>
      <w:marLeft w:val="0"/>
      <w:marRight w:val="0"/>
      <w:marTop w:val="0"/>
      <w:marBottom w:val="0"/>
      <w:divBdr>
        <w:top w:val="none" w:sz="0" w:space="0" w:color="auto"/>
        <w:left w:val="none" w:sz="0" w:space="0" w:color="auto"/>
        <w:bottom w:val="none" w:sz="0" w:space="0" w:color="auto"/>
        <w:right w:val="none" w:sz="0" w:space="0" w:color="auto"/>
      </w:divBdr>
      <w:divsChild>
        <w:div w:id="957374224">
          <w:marLeft w:val="547"/>
          <w:marRight w:val="0"/>
          <w:marTop w:val="0"/>
          <w:marBottom w:val="0"/>
          <w:divBdr>
            <w:top w:val="none" w:sz="0" w:space="0" w:color="auto"/>
            <w:left w:val="none" w:sz="0" w:space="0" w:color="auto"/>
            <w:bottom w:val="none" w:sz="0" w:space="0" w:color="auto"/>
            <w:right w:val="none" w:sz="0" w:space="0" w:color="auto"/>
          </w:divBdr>
        </w:div>
      </w:divsChild>
    </w:div>
    <w:div w:id="1079593364">
      <w:bodyDiv w:val="1"/>
      <w:marLeft w:val="0"/>
      <w:marRight w:val="0"/>
      <w:marTop w:val="0"/>
      <w:marBottom w:val="0"/>
      <w:divBdr>
        <w:top w:val="none" w:sz="0" w:space="0" w:color="auto"/>
        <w:left w:val="none" w:sz="0" w:space="0" w:color="auto"/>
        <w:bottom w:val="none" w:sz="0" w:space="0" w:color="auto"/>
        <w:right w:val="none" w:sz="0" w:space="0" w:color="auto"/>
      </w:divBdr>
    </w:div>
    <w:div w:id="1791242746">
      <w:bodyDiv w:val="1"/>
      <w:marLeft w:val="0"/>
      <w:marRight w:val="0"/>
      <w:marTop w:val="0"/>
      <w:marBottom w:val="0"/>
      <w:divBdr>
        <w:top w:val="none" w:sz="0" w:space="0" w:color="auto"/>
        <w:left w:val="none" w:sz="0" w:space="0" w:color="auto"/>
        <w:bottom w:val="none" w:sz="0" w:space="0" w:color="auto"/>
        <w:right w:val="none" w:sz="0" w:space="0" w:color="auto"/>
      </w:divBdr>
    </w:div>
    <w:div w:id="18230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7.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8F9E78796A48DD8F6C9173CC8BB2C1"/>
        <w:category>
          <w:name w:val="General"/>
          <w:gallery w:val="placeholder"/>
        </w:category>
        <w:types>
          <w:type w:val="bbPlcHdr"/>
        </w:types>
        <w:behaviors>
          <w:behavior w:val="content"/>
        </w:behaviors>
        <w:guid w:val="{EB9B5D8D-F678-460B-BF5C-77587511A2A9}"/>
      </w:docPartPr>
      <w:docPartBody>
        <w:p w:rsidR="00B93B4F" w:rsidRDefault="000B4FAF" w:rsidP="000B4FAF">
          <w:pPr>
            <w:pStyle w:val="638F9E78796A48DD8F6C9173CC8BB2C1"/>
          </w:pPr>
          <w:r>
            <w:rPr>
              <w:rStyle w:val="Textodelmarcadordeposicin"/>
            </w:rPr>
            <w:t>Elija un elemento.</w:t>
          </w:r>
        </w:p>
      </w:docPartBody>
    </w:docPart>
    <w:docPart>
      <w:docPartPr>
        <w:name w:val="C7EA259747C3476A918838FE91963471"/>
        <w:category>
          <w:name w:val="General"/>
          <w:gallery w:val="placeholder"/>
        </w:category>
        <w:types>
          <w:type w:val="bbPlcHdr"/>
        </w:types>
        <w:behaviors>
          <w:behavior w:val="content"/>
        </w:behaviors>
        <w:guid w:val="{96EB743B-C927-403B-A5F3-344F882B5D5D}"/>
      </w:docPartPr>
      <w:docPartBody>
        <w:p w:rsidR="00B93B4F" w:rsidRDefault="000B4FAF" w:rsidP="000B4FAF">
          <w:pPr>
            <w:pStyle w:val="C7EA259747C3476A918838FE91963471"/>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AF"/>
    <w:rsid w:val="000B4FAF"/>
    <w:rsid w:val="000C3C4A"/>
    <w:rsid w:val="005C01CC"/>
    <w:rsid w:val="00B93B4F"/>
    <w:rsid w:val="00BD3BEA"/>
    <w:rsid w:val="00D6700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B4FAF"/>
  </w:style>
  <w:style w:type="paragraph" w:customStyle="1" w:styleId="B00DCC338F224E8B83AC69CDEB04D9AA">
    <w:name w:val="B00DCC338F224E8B83AC69CDEB04D9AA"/>
  </w:style>
  <w:style w:type="paragraph" w:customStyle="1" w:styleId="ED28F77B71974A3DB34E4F5963328E11">
    <w:name w:val="ED28F77B71974A3DB34E4F5963328E11"/>
  </w:style>
  <w:style w:type="paragraph" w:customStyle="1" w:styleId="82F2F423815E40379D810B5203E33C20">
    <w:name w:val="82F2F423815E40379D810B5203E33C20"/>
    <w:rsid w:val="000B4FAF"/>
  </w:style>
  <w:style w:type="paragraph" w:customStyle="1" w:styleId="638F9E78796A48DD8F6C9173CC8BB2C1">
    <w:name w:val="638F9E78796A48DD8F6C9173CC8BB2C1"/>
    <w:rsid w:val="000B4FAF"/>
  </w:style>
  <w:style w:type="paragraph" w:customStyle="1" w:styleId="EADAD1D7DF0847C280A9A6794F26E760">
    <w:name w:val="EADAD1D7DF0847C280A9A6794F26E760"/>
    <w:rsid w:val="000B4FAF"/>
  </w:style>
  <w:style w:type="paragraph" w:customStyle="1" w:styleId="4047C3CBFA3B4CAFB868CD34B2E4DBEC">
    <w:name w:val="4047C3CBFA3B4CAFB868CD34B2E4DBEC"/>
    <w:rsid w:val="000B4FAF"/>
  </w:style>
  <w:style w:type="paragraph" w:customStyle="1" w:styleId="C7EA259747C3476A918838FE91963471">
    <w:name w:val="C7EA259747C3476A918838FE91963471"/>
    <w:rsid w:val="000B4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Vsz9zENl3lyRMmDxNjGYfrTFatzVW/wMLJg4O7oshw8=</DigestValue>
    </Reference>
    <Reference Type="http://www.w3.org/2000/09/xmldsig#Object" URI="#idOfficeObject">
      <DigestMethod Algorithm="http://www.w3.org/2001/04/xmlenc#sha256"/>
      <DigestValue>BgkmpNQHnoQ0T2x3CSqbSBpnavWekmr04aV472H36nQ=</DigestValue>
    </Reference>
    <Reference Type="http://uri.etsi.org/01903#SignedProperties" URI="#idSignedProperties">
      <Transforms>
        <Transform Algorithm="http://www.w3.org/TR/2001/REC-xml-c14n-20010315"/>
      </Transforms>
      <DigestMethod Algorithm="http://www.w3.org/2001/04/xmlenc#sha256"/>
      <DigestValue>Vbw02svL3+PPdyeWon7iVV5Z2JzqN9gZq95WYw+siJE=</DigestValue>
    </Reference>
  </SignedInfo>
  <SignatureValue>ozm2Pr4d1zkzEmNzc1CB5LZg/XbZJKc7DUBmPajsTxdS8TfkDj8mQRBdLdB39d1BeHWchGDukROY
bLFYY6qfh3mh1LK9vbO4TGpayrwuDuQZKfo3BOiI7uCgsah0rmHqdqc9pMXPYUfXzbwiXpjSCMUQ
7zyUXzvvF3L/fkLFc9L+DjSnlcUTzdfK2FAHZWuwU/WZzMfJMCMRrRsxnXPkanb7TtyTY6flB7fu
UmK2bQcHEoT8DmPqt/okdbsUl/CoSroZjRV0i1pAEOW5phB5QLGGPBIXUkKWB+ALSOESF9L724Yx
EJwwYelqfeygvFWueLSM/4J1K7eYLO5j3nBQhw==</SignatureValue>
  <KeyInfo>
    <X509Data>
      <X509Certificate>MIIFuTCCBKGgAwIBAgITFAABXMFPe7CJ2YdyOgAAAAFcwTANBgkqhkiG9w0BAQsFADCBmTEZMBcGA1UEBRMQQ1BKLTQtMDAwLTAwNDAxNzELMAkGA1UEBhMCQ1IxJDAiBgNVBAoTG0JBTkNPIENFTlRSQUwgREUgQ09TVEEgUklDQTEiMCAGA1UECxMZRElWSVNJT04gU0lTVEVNQVMgREUgUEFHTzElMCMGA1UEAxMcQ0EgU0lOUEUgLSBQRVJTT05BIEZJU0lDQSB2MjAeFw0xNzAzMzEyMTEzMDdaFw0yMTAzMzAyMTEzMDd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Nvwr4Ld/1OlB0kmwoZUtyDbCVV0XbSi/GM8VgI3bRH3tgYw06KwaUeocO51jwhfc2cvj+FtXz1Y8WvUcQlUccpkbXVMiKVNq4LYBtwK+0LOQRsMofWMRtd816VHlvtSDsENurDV1+OpL+6TX+DJfL7FZlzg+gRhhqAqS33MX/7pruMmWwWy9aPWdMsfUujIBLRXuoFtAD8KyCc1bUrqAfiQyaSgyCObq5oiy0f8sxs3RFjPQCSjl1b3NirThLsQ+V7dy8iHSGXcpWVbV8zcJfDsLOgFm2sEplYckjKbB6Ugw1F3Kd6v8QgUi81mFxT9wxqbuvt/xuNv/vAsDluZ39MCAwEAAaOCAdQwggHQMB0GA1UdDgQWBBSLj1zf9Y+W9ZvFRblRurilJ14DgD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CmnC5c5Cx5t8k1E2cgX5TYtG5WK9zyeIRXkvXhfk++dAxOQLcp+hRFfFbwqgbDzZqQ+dwq3/JaLpcG7rxI8E7JnXMa09Vr+FlgU1JW2gtT91SyOlk5CU4WzVhDZgNpZjeheliCwCbL4/pgVatmYFv+CYgQiB6RskQkJICwGUCmlroUKA7siAPbWn6zmqpb+3gsGMGabH7AC6LwoHDjaFBQW0wdYEef2Phw6y1A9tKXKr8GLBIcXZF1oifMsSo5dBzJbM7myX/01EX+7v+z5IyhacQ2U1tFgvTlKJVHpfC7tymXG2ldl1mNVJ8CajfQdR6iK06kq443CYi0/Ym63B7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W6wESlsWD4FQQV448X1JWKZrK+C0TDkY58MfU2vBm0Y=</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GxhKPHhWckPaWGLMJYihdu6DcaC44J834BAMVd7TTfU=</DigestValue>
      </Reference>
      <Reference URI="/word/endnotes.xml?ContentType=application/vnd.openxmlformats-officedocument.wordprocessingml.endnotes+xml">
        <DigestMethod Algorithm="http://www.w3.org/2001/04/xmlenc#sha256"/>
        <DigestValue>xImvp0dqz/KULprOjTV2V09toQz+y5EbqHSAws7w5gU=</DigestValue>
      </Reference>
      <Reference URI="/word/fontTable.xml?ContentType=application/vnd.openxmlformats-officedocument.wordprocessingml.fontTable+xml">
        <DigestMethod Algorithm="http://www.w3.org/2001/04/xmlenc#sha256"/>
        <DigestValue>vs5I4PlMItDer/dp1YzvRc0yp44APdIIM7fvE+5htV4=</DigestValue>
      </Reference>
      <Reference URI="/word/footer1.xml?ContentType=application/vnd.openxmlformats-officedocument.wordprocessingml.footer+xml">
        <DigestMethod Algorithm="http://www.w3.org/2001/04/xmlenc#sha256"/>
        <DigestValue>waajfduFiwptmDOjSftvgS0z6xb8GVyVBV6n1IpMoN4=</DigestValue>
      </Reference>
      <Reference URI="/word/footer2.xml?ContentType=application/vnd.openxmlformats-officedocument.wordprocessingml.footer+xml">
        <DigestMethod Algorithm="http://www.w3.org/2001/04/xmlenc#sha256"/>
        <DigestValue>lksSeEzLM5eG1DTTewGAIQHh8wd7xpceItREOGb8dLE=</DigestValue>
      </Reference>
      <Reference URI="/word/footer3.xml?ContentType=application/vnd.openxmlformats-officedocument.wordprocessingml.footer+xml">
        <DigestMethod Algorithm="http://www.w3.org/2001/04/xmlenc#sha256"/>
        <DigestValue>GmoD2CHZRm1hItBbqcDlhKYZeZ3RK7FH0eBM2UaT6yA=</DigestValue>
      </Reference>
      <Reference URI="/word/footnotes.xml?ContentType=application/vnd.openxmlformats-officedocument.wordprocessingml.footnotes+xml">
        <DigestMethod Algorithm="http://www.w3.org/2001/04/xmlenc#sha256"/>
        <DigestValue>qqVV5iaWXi6F+b4dgqUnqFac7GkidHtC4Lvzr7n75f8=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VzkjYcYMYQtHVlgNZfzSFzfRiFd8aI4yfacXaztFZGA=</DigestValue>
      </Reference>
      <Reference URI="/word/glossary/fontTable.xml?ContentType=application/vnd.openxmlformats-officedocument.wordprocessingml.fontTable+xml">
        <DigestMethod Algorithm="http://www.w3.org/2001/04/xmlenc#sha256"/>
        <DigestValue>Tp2t11MVx6frGQKCQmCQsfxGZqmjYGSsQfMGRs8uttE=</DigestValue>
      </Reference>
      <Reference URI="/word/glossary/settings.xml?ContentType=application/vnd.openxmlformats-officedocument.wordprocessingml.settings+xml">
        <DigestMethod Algorithm="http://www.w3.org/2001/04/xmlenc#sha256"/>
        <DigestValue>E215hywFqgjG+qxZyRYjSK3i42Bik+kAqwEt1H2A3CY=</DigestValue>
      </Reference>
      <Reference URI="/word/glossary/styles.xml?ContentType=application/vnd.openxmlformats-officedocument.wordprocessingml.styles+xml">
        <DigestMethod Algorithm="http://www.w3.org/2001/04/xmlenc#sha256"/>
        <DigestValue>rodMOfQPuuIjB3hFFgcsDabG/GHpd6jpghT2YFnuXsQ=</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m7uX+ussni/YPbvFBX8NVFWCe0KM6vR3dlgfwFW9tSE=</DigestValue>
      </Reference>
      <Reference URI="/word/header2.xml?ContentType=application/vnd.openxmlformats-officedocument.wordprocessingml.header+xml">
        <DigestMethod Algorithm="http://www.w3.org/2001/04/xmlenc#sha256"/>
        <DigestValue>fbOKwZEnAhtuqQZj9zFbW+SC5bDKDRSTFfyDoL/S+so=</DigestValue>
      </Reference>
      <Reference URI="/word/header3.xml?ContentType=application/vnd.openxmlformats-officedocument.wordprocessingml.header+xml">
        <DigestMethod Algorithm="http://www.w3.org/2001/04/xmlenc#sha256"/>
        <DigestValue>CAoEy5mmiW6BbTduvl6vLdBkcmTSO/r9ybc+CIBcz20=</DigestValue>
      </Reference>
      <Reference URI="/word/media/image1.jpe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34yuCNXju1ihD01uSzAWneclWGAW5lVnUK9RSMogrQY=</DigestValue>
      </Reference>
      <Reference URI="/word/settings.xml?ContentType=application/vnd.openxmlformats-officedocument.wordprocessingml.settings+xml">
        <DigestMethod Algorithm="http://www.w3.org/2001/04/xmlenc#sha256"/>
        <DigestValue>aOyunnCDkwevuKog0GsY3NLPpoxPO4bqWu2rVqoEaGk=</DigestValue>
      </Reference>
      <Reference URI="/word/styles.xml?ContentType=application/vnd.openxmlformats-officedocument.wordprocessingml.styles+xml">
        <DigestMethod Algorithm="http://www.w3.org/2001/04/xmlenc#sha256"/>
        <DigestValue>i5mheUu0v3JxHiXf+7ARpL9BL1rtdt5Fh3QMvQh1Shk=</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fnpp4M5F0gFj+vyGIbkTz7vcEHnYo526mCSvnkz5yuQ=</DigestValue>
      </Reference>
    </Manifest>
    <SignatureProperties>
      <SignatureProperty Id="idSignatureTime" Target="#idPackageSignature">
        <mdssi:SignatureTime xmlns:mdssi="http://schemas.openxmlformats.org/package/2006/digital-signature">
          <mdssi:Format>YYYY-MM-DDThh:mm:ssTZD</mdssi:Format>
          <mdssi:Value>2020-12-04T19:38:05Z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2020-12-04T19:38:05Z</xd:SigningTime>
          <xd:SigningCertificate>
            <xd:Cert>
              <xd:CertDigest>
                <DigestMethod Algorithm="http://www.w3.org/2001/04/xmlenc#sha256"/>
                <DigestValue>gVdwtgFeNQUovnibP9bmcCXozNaI9wlMkNH6S8pZs+E=</DigestValue>
              </xd:CertDigest>
              <xd:IssuerSerial>
                <X509IssuerName>CN=CA SINPE - PERSONA FISICA v2, OU=DIVISION SISTEMAS DE PAGO, O=BANCO CENTRAL DE COSTA RICA, C=CR, SERIALNUMBER=CPJ-4-000-004017</X509IssuerName>
                <X509SerialNumber>446015367545680399737349422673286063246630081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8hcw0nQsDNQBj20nZUCJmZYNWsVVjd8MO7QQdStl1gwCBArSxP0YDzIwMjAxMjA0MTkzODE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</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D6ElJ9YUhf/1d4qI7VIYfP0LcCo=</xd:ByKey>
                  </xd:ResponderID>
                  <xd:ProducedAt>2020-12-03T20:03:37Z</xd:ProducedAt>
                </xd:OCSPIdentifier>
                <xd:DigestAlgAndValue>
                  <DigestMethod Algorithm="http://www.w3.org/2001/04/xmlenc#sha256"/>
                  <DigestValue>xlQCw8M3KTkQp4+pqvyEGnezU52rb6th4loS5GfEoGs=</DigestValue>
                </xd:DigestAlgAndValue>
              </xd:OCSPRef>
            </xd:OCSPRefs>
            <xd:CRLRefs>
              <xd:CRLRef>
                <xd:DigestAlgAndValue>
                  <DigestMethod Algorithm="http://www.w3.org/2001/04/xmlenc#sha256"/>
                  <DigestValue>+mVpo0lvTtuzFbRDptX4AV66jEXWtq1U/zh7nex+tQA=</DigestValue>
                </xd:DigestAlgAndValue>
                <xd:CRLIdentifier>
                  <xd:Issuer>CN=CA POLITICA PERSONA FISICA - COSTA RICA v2, OU=DCFD, O=MICITT, C=CR, SERIALNUMBER=CPJ-2-100-098311</xd:Issuer>
                  <xd:IssueTime>2020-10-23T19:15:34Z</xd:IssueTime>
                </xd:CRLIdentifier>
              </xd:CRLRef>
              <xd:CRLRef>
                <xd:DigestAlgAndValue>
                  <DigestMethod Algorithm="http://www.w3.org/2001/04/xmlenc#sha256"/>
                  <DigestValue>/p7X/agJiz9wFdsFKjzeQIgnJcIW78GuoQcn6C0+ItM=</DigestValue>
                </xd:DigestAlgAndValue>
                <xd:CRLIdentifier>
                  <xd:Issuer>CN=CA RAIZ NACIONAL - COSTA RICA v2, C=CR, O=MICITT, OU=DCFD, SERIALNUMBER=CPJ-2-100-098311</xd:Issuer>
                  <xd:IssueTime>2020-08-28T18:19:42Z</xd:IssueTime>
                </xd:CRLIdentifier>
              </xd:CRLRef>
            </xd:CRLRefs>
          </xd:CompleteRevocationRefs>
          <xd:RevocationValues>
            <xd:OCSPValues>
              <xd:EncapsulatedOCSPValue>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</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</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nIVK6AtMSjMkXQjiLFxuUUj2eSltzYKCQxPjWK3peB0CBArSxP4YDzIwMjAxMjA0MTkzODE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</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OtraEntidadExterna xmlns="b875e23b-67d9-4b2e-bdec-edacbf90b326">A las entidades indicadas en la Resolución</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Resolución</TermName>
          <TermId>8250c29f-4595-4728-bcc1-a5fc6a20ed53</TermId>
        </TermInfo>
      </Terms>
    </l7effaed12754cb5ac10c41f8d7b4c94>
    <ObservacionesCorrespondencia xmlns="b875e23b-67d9-4b2e-bdec-edacbf90b326">Se envía a la Entrante de Administrativo para que realice la publicación en el Diario Oficial La Gaceta.
Resolución Lineamientos Acuerdo SUGEF 3-06 Reglamento sobre suficiencia patrimonial Costo amortizado
Copiar a SALIENTE NORMAS</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Área Coordinación Administrativa</TermName>
          <TermId xmlns="http://schemas.microsoft.com/office/infopath/2007/PartnerControls">39ce7748-92aa-4572-8334-49785789cb1c</TermId>
        </TermInfo>
      </Term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Resolución Lineamientos Acuerdo SUGEF 3-06 Reglamento sobre suficiencia patrimonial Costo amortizado</Subject1>
    <Entrante_x0020_relacionado xmlns="b875e23b-67d9-4b2e-bdec-edacbf90b326">
      <Url xsi:nil="true"/>
      <Description xsi:nil="true"/>
    </Entrante_x0020_relacionado>
    <TaxCatchAll xmlns="355e9e91-7a30-40a7-93f1-6af84a3bd86d">
      <Value>183</Value>
      <Value>63</Value>
      <Value>109</Value>
      <Value>3</Value>
      <Value>2</Value>
      <Value>1</Value>
    </TaxCatchAll>
  </documentManagement>
</p:properties>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21" ma:contentTypeDescription="Crear nuevo documento." ma:contentTypeScope="" ma:versionID="50873787c2d9e5beb4730808b4971455">
  <xsd:schema xmlns:xsd="http://www.w3.org/2001/XMLSchema" xmlns:xs="http://www.w3.org/2001/XMLSchema" xmlns:p="http://schemas.microsoft.com/office/2006/metadata/properties" xmlns:ns1="http://schemas.microsoft.com/sharepoint/v3" xmlns:ns2="b875e23b-67d9-4b2e-bdec-edacbf90b326" xmlns:ns3="355e9e91-7a30-40a7-93f1-6af84a3bd86d" targetNamespace="http://schemas.microsoft.com/office/2006/metadata/properties" ma:root="true" ma:fieldsID="ec722b6907c8fa7df5af6424efcc2004" ns1:_="" ns2:_="" ns3:_="">
    <xsd:import namespace="http://schemas.microsoft.com/sharepoint/v3"/>
    <xsd:import namespace="b875e23b-67d9-4b2e-bdec-edacbf90b326"/>
    <xsd:import namespace="355e9e91-7a30-40a7-93f1-6af84a3bd86d"/>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3:TaxCatchAll" minOccurs="0"/>
                <xsd:element ref="ns1:_dlc_Exempt" minOccurs="0"/>
                <xsd:element ref="ns1:_dlc_ExpireDateSaved" minOccurs="0"/>
                <xsd:element ref="ns1:_dlc_ExpireDate" minOccurs="0"/>
                <xsd:element ref="ns3: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readOnly="false"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readOnly="false"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readOnly="false"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e78d451c341b4341be14d5956588aac4" ma:index="44"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5e9e91-7a30-40a7-93f1-6af84a3bd86d" elementFormDefault="qualified">
    <xsd:import namespace="http://schemas.microsoft.com/office/2006/documentManagement/types"/>
    <xsd:import namespace="http://schemas.microsoft.com/office/infopath/2007/PartnerControls"/>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file>

<file path=customXml/itemProps1.xml><?xml version="1.0" encoding="utf-8"?>
<ds:datastoreItem xmlns:ds="http://schemas.openxmlformats.org/officeDocument/2006/customXml" ds:itemID="{283BF82E-1A70-4392-8CF2-7DEAFF1953AE}">
  <ds:schemaRefs>
    <ds:schemaRef ds:uri="http://purl.org/dc/term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b875e23b-67d9-4b2e-bdec-edacbf90b326"/>
    <ds:schemaRef ds:uri="http://schemas.microsoft.com/office/2006/metadata/properties"/>
  </ds:schemaRefs>
</ds:datastoreItem>
</file>

<file path=customXml/itemProps2.xml><?xml version="1.0" encoding="utf-8"?>
<ds:datastoreItem xmlns:ds="http://schemas.openxmlformats.org/officeDocument/2006/customXml" ds:itemID="{BA00B860-88DD-44E6-A17D-6334CD5D436C}"/>
</file>

<file path=customXml/itemProps3.xml><?xml version="1.0" encoding="utf-8"?>
<ds:datastoreItem xmlns:ds="http://schemas.openxmlformats.org/officeDocument/2006/customXml" ds:itemID="{82E50379-4DB6-491C-99C4-221794D09119}"/>
</file>

<file path=customXml/itemProps4.xml><?xml version="1.0" encoding="utf-8"?>
<ds:datastoreItem xmlns:ds="http://schemas.openxmlformats.org/officeDocument/2006/customXml" ds:itemID="{7F75E0E4-0BBF-49BF-B044-42F4080BC7A3}">
  <ds:schemaRefs>
    <ds:schemaRef ds:uri="Microsoft.SharePoint.Taxonomy.ContentTypeSync"/>
  </ds:schemaRefs>
</ds:datastoreItem>
</file>

<file path=customXml/itemProps5.xml><?xml version="1.0" encoding="utf-8"?>
<ds:datastoreItem xmlns:ds="http://schemas.openxmlformats.org/officeDocument/2006/customXml" ds:itemID="{D7FAA869-13F9-4E79-A565-3AD3D76411A9}"/>
</file>

<file path=customXml/itemProps6.xml><?xml version="1.0" encoding="utf-8"?>
<ds:datastoreItem xmlns:ds="http://schemas.openxmlformats.org/officeDocument/2006/customXml" ds:itemID="{6B9EC304-40D2-4E92-9642-94A16EB97DBF}">
  <ds:schemaRefs>
    <ds:schemaRef ds:uri="http://schemas.openxmlformats.org/officeDocument/2006/bibliography"/>
  </ds:schemaRefs>
</ds:datastoreItem>
</file>

<file path=customXml/itemProps7.xml><?xml version="1.0" encoding="utf-8"?>
<ds:datastoreItem xmlns:ds="http://schemas.openxmlformats.org/officeDocument/2006/customXml" ds:itemID="{AD07E0D3-C816-40C5-AC75-269B6F18EC0B}"/>
</file>

<file path=docProps/app.xml><?xml version="1.0" encoding="utf-8"?>
<Properties xmlns="http://schemas.openxmlformats.org/officeDocument/2006/extended-properties" xmlns:vt="http://schemas.openxmlformats.org/officeDocument/2006/docPropsVTypes">
  <Template>plantilla-SGF-13-Normas.dotm</Template>
  <TotalTime>37</TotalTime>
  <Pages>3</Pages>
  <Words>691</Words>
  <Characters>3805</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MARIA GABRIELA</dc:creator>
  <cp:keywords/>
  <dc:description/>
  <cp:lastModifiedBy>VARGAS LEAL GABRIELA</cp:lastModifiedBy>
  <cp:revision>14</cp:revision>
  <cp:lastPrinted>2015-07-30T22:36:00Z</cp:lastPrinted>
  <dcterms:created xsi:type="dcterms:W3CDTF">2020-11-27T20:16:00Z</dcterms:created>
  <dcterms:modified xsi:type="dcterms:W3CDTF">2020-12-04T19:16:00Z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183;#Resolución|8250c29f-4595-4728-bcc1-a5fc6a20ed53</vt:lpwstr>
  </property>
  <property fmtid="{D5CDD505-2E9C-101B-9397-08002B2CF9AE}" pid="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7" name="Unidad de Destino">
    <vt:lpwstr>109;#Área Coordinación Administrativa|39ce7748-92aa-4572-8334-49785789cb1c</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66500</vt:r8>
  </property>
  <property fmtid="{D5CDD505-2E9C-101B-9397-08002B2CF9AE}" pid="13" name="WorkflowChangePath">
    <vt:lpwstr>dc9be4ca-c6c9-41a3-8f1b-604965ed1693,5;7dedacbb-5c77-4a35-8847-40abd1245d4d,7;</vt:lpwstr>
  </property>
</Properties>
</file>