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ADF" w:rsidP="00013E99" w:rsidRDefault="00B86ADF" w14:paraId="07A3F5C3" w14:textId="77777777">
      <w:pPr>
        <w:pStyle w:val="Texto0"/>
        <w:tabs>
          <w:tab w:val="left" w:pos="2130"/>
          <w:tab w:val="center" w:pos="4277"/>
        </w:tabs>
        <w:spacing w:before="0" w:after="0" w:line="240" w:lineRule="auto"/>
        <w:jc w:val="left"/>
        <w:outlineLvl w:val="0"/>
        <w:rPr>
          <w:sz w:val="24"/>
        </w:rPr>
      </w:pPr>
    </w:p>
    <w:p w:rsidRPr="00B86ADF" w:rsidR="00B86ADF" w:rsidP="00B86ADF" w:rsidRDefault="00B86ADF" w14:paraId="62040DC3" w14:textId="4B42D32F">
      <w:pPr>
        <w:pStyle w:val="Texto0"/>
        <w:tabs>
          <w:tab w:val="left" w:pos="2130"/>
          <w:tab w:val="center" w:pos="4277"/>
        </w:tabs>
        <w:spacing w:before="0" w:after="0" w:line="240" w:lineRule="auto"/>
        <w:jc w:val="center"/>
        <w:outlineLvl w:val="0"/>
        <w:rPr>
          <w:b/>
          <w:sz w:val="24"/>
        </w:rPr>
      </w:pPr>
      <w:r>
        <w:rPr>
          <w:b/>
          <w:sz w:val="24"/>
        </w:rPr>
        <w:t>Re</w:t>
      </w:r>
      <w:r w:rsidRPr="00B86ADF">
        <w:rPr>
          <w:b/>
          <w:sz w:val="24"/>
        </w:rPr>
        <w:t>solución</w:t>
      </w:r>
    </w:p>
    <w:p w:rsidRPr="00013E99" w:rsidR="00042E07" w:rsidP="00013E99" w:rsidRDefault="00013E99" w14:paraId="2D31877A" w14:textId="73385D80">
      <w:pPr>
        <w:pStyle w:val="Texto0"/>
        <w:tabs>
          <w:tab w:val="left" w:pos="2130"/>
          <w:tab w:val="center" w:pos="4277"/>
        </w:tabs>
        <w:spacing w:before="0" w:after="0" w:line="240" w:lineRule="auto"/>
        <w:jc w:val="left"/>
        <w:outlineLvl w:val="0"/>
        <w:rPr>
          <w:sz w:val="24"/>
        </w:rPr>
      </w:pPr>
      <w:r w:rsidRPr="00013E99">
        <w:rPr>
          <w:sz w:val="24"/>
        </w:rPr>
        <w:tab/>
      </w:r>
      <w:r w:rsidRPr="00013E99">
        <w:rPr>
          <w:sz w:val="24"/>
        </w:rPr>
        <w:tab/>
        <w:t>19</w:t>
      </w:r>
      <w:r w:rsidRPr="00013E99" w:rsidR="00042E07">
        <w:rPr>
          <w:sz w:val="24"/>
        </w:rPr>
        <w:t xml:space="preserve"> de noviembre 2018</w:t>
      </w:r>
    </w:p>
    <w:sdt>
      <w:sdtPr>
        <w:rPr>
          <w:sz w:val="24"/>
        </w:rPr>
        <w:alias w:val="Consecutivo"/>
        <w:tag w:val="Consecutivo"/>
        <w:id w:val="2052717023"/>
        <w:placeholder>
          <w:docPart w:val="D07DCF3F75DD419986DFB6CA1D1E5CC5"/>
        </w:placeholder>
        <w:showingPlcHdr/>
        <w:text/>
      </w:sdtPr>
      <w:sdtEndPr/>
      <w:sdtContent>
        <w:p w:rsidR="00042E07" w:rsidP="00042E07" w:rsidRDefault="00124CB8" w14:paraId="60271661" w14:textId="63E8F898">
          <w:pPr>
            <w:tabs>
              <w:tab w:val="left" w:pos="2843"/>
            </w:tabs>
            <w:spacing w:line="240" w:lineRule="auto"/>
            <w:jc w:val="center"/>
            <w:outlineLvl w:val="0"/>
            <w:rPr>
              <w:sz w:val="24"/>
            </w:rPr>
          </w:pPr>
          <w:r>
            <w:t>SGF-3897-2018</w:t>
          </w:r>
        </w:p>
      </w:sdtContent>
    </w:sdt>
    <w:p w:rsidRPr="002E2B0A" w:rsidR="00042E07" w:rsidP="00042E07" w:rsidRDefault="00B86ADF" w14:paraId="569276E1" w14:textId="77777777">
      <w:pPr>
        <w:tabs>
          <w:tab w:val="left" w:pos="2843"/>
        </w:tabs>
        <w:spacing w:line="240" w:lineRule="auto"/>
        <w:jc w:val="center"/>
        <w:outlineLvl w:val="0"/>
        <w:rPr>
          <w:sz w:val="24"/>
        </w:rPr>
      </w:pPr>
      <w:sdt>
        <w:sdtPr>
          <w:rPr>
            <w:sz w:val="24"/>
          </w:rPr>
          <w:alias w:val="Confidencialidad"/>
          <w:tag w:val="Confidencialidad"/>
          <w:id w:val="1447896894"/>
          <w:placeholder>
            <w:docPart w:val="FB03B2673CB7475D8C214E5F0292BE5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042E07">
            <w:rPr>
              <w:sz w:val="24"/>
            </w:rPr>
            <w:t>SGF-PUBLICO</w:t>
          </w:r>
        </w:sdtContent>
      </w:sdt>
    </w:p>
    <w:p w:rsidRPr="002018D1" w:rsidR="00042E07" w:rsidP="00042E07" w:rsidRDefault="00042E07" w14:paraId="4BE7884E" w14:textId="77777777">
      <w:pPr>
        <w:tabs>
          <w:tab w:val="left" w:pos="2843"/>
        </w:tabs>
        <w:spacing w:line="240" w:lineRule="auto"/>
        <w:rPr>
          <w:rFonts w:asciiTheme="majorHAnsi" w:hAnsiTheme="majorHAnsi"/>
          <w:sz w:val="24"/>
        </w:rPr>
      </w:pPr>
    </w:p>
    <w:p w:rsidR="00042E07" w:rsidP="00042E07" w:rsidRDefault="00042E07" w14:paraId="0C64E7C3" w14:textId="760C0502">
      <w:pPr>
        <w:widowControl w:val="0"/>
        <w:spacing w:line="240" w:lineRule="auto"/>
        <w:ind w:left="34" w:right="86"/>
        <w:outlineLvl w:val="0"/>
        <w:rPr>
          <w:rFonts w:asciiTheme="majorHAnsi" w:hAnsiTheme="majorHAnsi"/>
          <w:b/>
          <w:sz w:val="24"/>
          <w:lang w:val="es-CR"/>
        </w:rPr>
      </w:pPr>
      <w:r>
        <w:rPr>
          <w:rFonts w:asciiTheme="majorHAnsi" w:hAnsiTheme="majorHAnsi"/>
          <w:b/>
          <w:sz w:val="24"/>
          <w:lang w:val="es-CR"/>
        </w:rPr>
        <w:t>Dirigida a</w:t>
      </w:r>
      <w:r w:rsidRPr="002018D1">
        <w:rPr>
          <w:rFonts w:asciiTheme="majorHAnsi" w:hAnsiTheme="majorHAnsi"/>
          <w:b/>
          <w:sz w:val="24"/>
          <w:lang w:val="es-CR"/>
        </w:rPr>
        <w:t>:</w:t>
      </w:r>
      <w:r>
        <w:rPr>
          <w:rFonts w:asciiTheme="majorHAnsi" w:hAnsiTheme="majorHAnsi"/>
          <w:b/>
          <w:sz w:val="24"/>
          <w:lang w:val="es-CR"/>
        </w:rPr>
        <w:t xml:space="preserve"> </w:t>
      </w:r>
    </w:p>
    <w:p w:rsidR="00042E07" w:rsidP="00313EDC" w:rsidRDefault="00042E07" w14:paraId="161BEC00" w14:textId="631AB80A">
      <w:pPr>
        <w:widowControl w:val="0"/>
        <w:spacing w:line="240" w:lineRule="auto"/>
        <w:ind w:right="86"/>
        <w:outlineLvl w:val="0"/>
        <w:rPr>
          <w:rFonts w:asciiTheme="majorHAnsi" w:hAnsiTheme="majorHAnsi"/>
          <w:b/>
          <w:sz w:val="24"/>
          <w:lang w:val="es-CR"/>
        </w:rPr>
      </w:pPr>
    </w:p>
    <w:p w:rsidRPr="0005659C" w:rsidR="00B86ADF" w:rsidP="00B86ADF" w:rsidRDefault="00B86ADF" w14:paraId="7AD29A4B" w14:textId="77777777">
      <w:pPr>
        <w:widowControl w:val="0"/>
        <w:numPr>
          <w:ilvl w:val="0"/>
          <w:numId w:val="14"/>
        </w:numPr>
        <w:spacing w:after="200" w:line="240" w:lineRule="auto"/>
        <w:ind w:left="567" w:right="86" w:hanging="567"/>
        <w:contextualSpacing/>
        <w:rPr>
          <w:b/>
          <w:sz w:val="24"/>
          <w:lang w:val="es-CR" w:eastAsia="es-ES"/>
        </w:rPr>
      </w:pPr>
      <w:r w:rsidRPr="0005659C">
        <w:rPr>
          <w:sz w:val="24"/>
          <w:lang w:val="es-CR"/>
        </w:rPr>
        <w:t>Bancos comerciales del Estado</w:t>
      </w:r>
      <w:r>
        <w:rPr>
          <w:sz w:val="24"/>
          <w:lang w:val="es-CR"/>
        </w:rPr>
        <w:t>.</w:t>
      </w:r>
    </w:p>
    <w:p w:rsidRPr="0005659C" w:rsidR="00B86ADF" w:rsidP="00B86ADF" w:rsidRDefault="00B86ADF" w14:paraId="7C7620D6" w14:textId="77777777">
      <w:pPr>
        <w:widowControl w:val="0"/>
        <w:numPr>
          <w:ilvl w:val="0"/>
          <w:numId w:val="14"/>
        </w:numPr>
        <w:spacing w:after="200" w:line="240" w:lineRule="auto"/>
        <w:ind w:left="567" w:right="86" w:hanging="567"/>
        <w:contextualSpacing/>
        <w:rPr>
          <w:b/>
          <w:sz w:val="24"/>
          <w:lang w:val="es-CR" w:eastAsia="es-ES"/>
        </w:rPr>
      </w:pPr>
      <w:r w:rsidRPr="0005659C">
        <w:rPr>
          <w:sz w:val="24"/>
          <w:lang w:val="es-CR"/>
        </w:rPr>
        <w:t>Bancos Creados por leyes especiales</w:t>
      </w:r>
      <w:r>
        <w:rPr>
          <w:sz w:val="24"/>
          <w:lang w:val="es-CR"/>
        </w:rPr>
        <w:t>.</w:t>
      </w:r>
    </w:p>
    <w:p w:rsidRPr="0005659C" w:rsidR="00B86ADF" w:rsidP="00B86ADF" w:rsidRDefault="00B86ADF" w14:paraId="5AD699AB" w14:textId="77777777">
      <w:pPr>
        <w:widowControl w:val="0"/>
        <w:numPr>
          <w:ilvl w:val="0"/>
          <w:numId w:val="14"/>
        </w:numPr>
        <w:spacing w:after="200" w:line="240" w:lineRule="auto"/>
        <w:ind w:left="567" w:right="86" w:hanging="567"/>
        <w:contextualSpacing/>
        <w:rPr>
          <w:b/>
          <w:sz w:val="24"/>
          <w:lang w:val="es-CR" w:eastAsia="es-ES"/>
        </w:rPr>
      </w:pPr>
      <w:r w:rsidRPr="0005659C">
        <w:rPr>
          <w:sz w:val="24"/>
          <w:lang w:val="es-CR"/>
        </w:rPr>
        <w:t>Bancos Privados</w:t>
      </w:r>
      <w:r>
        <w:rPr>
          <w:sz w:val="24"/>
          <w:lang w:val="es-CR"/>
        </w:rPr>
        <w:t>.</w:t>
      </w:r>
    </w:p>
    <w:p w:rsidRPr="004A4BE5" w:rsidR="00B86ADF" w:rsidP="00B86ADF" w:rsidRDefault="00B86ADF" w14:paraId="75D20C8F" w14:textId="77777777">
      <w:pPr>
        <w:widowControl w:val="0"/>
        <w:numPr>
          <w:ilvl w:val="0"/>
          <w:numId w:val="14"/>
        </w:numPr>
        <w:spacing w:after="200" w:line="240" w:lineRule="auto"/>
        <w:ind w:left="567" w:right="86" w:hanging="567"/>
        <w:contextualSpacing/>
        <w:rPr>
          <w:b/>
          <w:sz w:val="24"/>
          <w:lang w:val="es-CR" w:eastAsia="es-ES"/>
        </w:rPr>
      </w:pPr>
      <w:r w:rsidRPr="0005659C">
        <w:rPr>
          <w:sz w:val="24"/>
          <w:lang w:val="es-CR"/>
        </w:rPr>
        <w:t>Empresas Financieras no bancarias</w:t>
      </w:r>
      <w:r>
        <w:rPr>
          <w:sz w:val="24"/>
          <w:lang w:val="es-CR"/>
        </w:rPr>
        <w:t>.</w:t>
      </w:r>
    </w:p>
    <w:p w:rsidRPr="0005659C" w:rsidR="00B86ADF" w:rsidP="00B86ADF" w:rsidRDefault="00B86ADF" w14:paraId="1638C92E" w14:textId="77777777">
      <w:pPr>
        <w:widowControl w:val="0"/>
        <w:numPr>
          <w:ilvl w:val="0"/>
          <w:numId w:val="14"/>
        </w:numPr>
        <w:spacing w:after="200" w:line="240" w:lineRule="auto"/>
        <w:ind w:left="567" w:right="86" w:hanging="567"/>
        <w:contextualSpacing/>
        <w:rPr>
          <w:b/>
          <w:sz w:val="24"/>
          <w:lang w:val="es-CR" w:eastAsia="es-ES"/>
        </w:rPr>
      </w:pPr>
      <w:r w:rsidRPr="0005659C">
        <w:rPr>
          <w:sz w:val="24"/>
          <w:lang w:val="es-CR"/>
        </w:rPr>
        <w:t>Otras entidades financieras.</w:t>
      </w:r>
    </w:p>
    <w:p w:rsidRPr="0005659C" w:rsidR="00B86ADF" w:rsidP="00B86ADF" w:rsidRDefault="00B86ADF" w14:paraId="1B8AADAC" w14:textId="77777777">
      <w:pPr>
        <w:widowControl w:val="0"/>
        <w:numPr>
          <w:ilvl w:val="0"/>
          <w:numId w:val="14"/>
        </w:numPr>
        <w:spacing w:after="200" w:line="240" w:lineRule="auto"/>
        <w:ind w:left="567" w:right="86" w:hanging="567"/>
        <w:contextualSpacing/>
        <w:rPr>
          <w:b/>
          <w:sz w:val="24"/>
          <w:lang w:val="es-CR" w:eastAsia="es-ES"/>
        </w:rPr>
      </w:pPr>
      <w:r w:rsidRPr="0005659C">
        <w:rPr>
          <w:sz w:val="24"/>
          <w:lang w:val="es-CR"/>
        </w:rPr>
        <w:t>Organizaciones c</w:t>
      </w:r>
      <w:r>
        <w:rPr>
          <w:sz w:val="24"/>
          <w:lang w:val="es-CR"/>
        </w:rPr>
        <w:t>ooperativas de ahorro y crédito.</w:t>
      </w:r>
    </w:p>
    <w:p w:rsidRPr="0005659C" w:rsidR="00B86ADF" w:rsidP="00B86ADF" w:rsidRDefault="00B86ADF" w14:paraId="32356FA9" w14:textId="77777777">
      <w:pPr>
        <w:widowControl w:val="0"/>
        <w:numPr>
          <w:ilvl w:val="0"/>
          <w:numId w:val="14"/>
        </w:numPr>
        <w:spacing w:after="200" w:line="240" w:lineRule="auto"/>
        <w:ind w:left="567" w:right="86" w:hanging="567"/>
        <w:contextualSpacing/>
        <w:rPr>
          <w:b/>
          <w:sz w:val="24"/>
          <w:lang w:val="es-CR" w:eastAsia="es-ES"/>
        </w:rPr>
      </w:pPr>
      <w:r w:rsidRPr="0005659C">
        <w:rPr>
          <w:sz w:val="24"/>
          <w:lang w:val="es-CR"/>
        </w:rPr>
        <w:t>Entidades autorizadas del Sistema Finan</w:t>
      </w:r>
      <w:r>
        <w:rPr>
          <w:sz w:val="24"/>
          <w:lang w:val="es-CR"/>
        </w:rPr>
        <w:t>ciero Nacional para la vivienda.</w:t>
      </w:r>
    </w:p>
    <w:p w:rsidRPr="00E04F8F" w:rsidR="00042E07" w:rsidP="00042E07" w:rsidRDefault="00042E07" w14:paraId="418A4691" w14:textId="77777777">
      <w:pPr>
        <w:widowControl w:val="0"/>
        <w:spacing w:line="240" w:lineRule="auto"/>
        <w:ind w:left="34" w:right="86"/>
        <w:rPr>
          <w:rFonts w:asciiTheme="majorHAnsi" w:hAnsiTheme="majorHAnsi"/>
          <w:sz w:val="24"/>
          <w:lang w:val="es-CR"/>
        </w:rPr>
      </w:pPr>
    </w:p>
    <w:p w:rsidR="00042E07" w:rsidP="00042E07" w:rsidRDefault="00042E07" w14:paraId="70C20270" w14:textId="77777777">
      <w:pPr>
        <w:pStyle w:val="Texto0"/>
        <w:spacing w:line="240" w:lineRule="auto"/>
        <w:rPr>
          <w:rFonts w:asciiTheme="majorHAnsi" w:hAnsiTheme="majorHAnsi"/>
          <w:sz w:val="24"/>
          <w:lang w:val="es-CR"/>
        </w:rPr>
      </w:pPr>
      <w:r w:rsidRPr="00325AB2">
        <w:rPr>
          <w:rFonts w:asciiTheme="majorHAnsi" w:hAnsiTheme="majorHAnsi"/>
          <w:b/>
          <w:sz w:val="24"/>
        </w:rPr>
        <w:t xml:space="preserve">Asunto: </w:t>
      </w:r>
      <w:r w:rsidRPr="00325AB2">
        <w:rPr>
          <w:rFonts w:asciiTheme="majorHAnsi" w:hAnsiTheme="majorHAnsi"/>
          <w:sz w:val="24"/>
        </w:rPr>
        <w:t xml:space="preserve">Modificación </w:t>
      </w:r>
      <w:r>
        <w:rPr>
          <w:rFonts w:asciiTheme="majorHAnsi" w:hAnsiTheme="majorHAnsi"/>
          <w:sz w:val="24"/>
        </w:rPr>
        <w:t>a</w:t>
      </w:r>
      <w:r w:rsidRPr="00325AB2">
        <w:rPr>
          <w:rFonts w:asciiTheme="majorHAnsi" w:hAnsiTheme="majorHAnsi"/>
          <w:sz w:val="24"/>
        </w:rPr>
        <w:t xml:space="preserve"> los </w:t>
      </w:r>
      <w:r>
        <w:rPr>
          <w:rFonts w:asciiTheme="majorHAnsi" w:hAnsiTheme="majorHAnsi"/>
          <w:sz w:val="24"/>
        </w:rPr>
        <w:t>“</w:t>
      </w:r>
      <w:r w:rsidRPr="00112627">
        <w:rPr>
          <w:rFonts w:asciiTheme="majorHAnsi" w:hAnsiTheme="majorHAnsi"/>
          <w:sz w:val="24"/>
          <w:lang w:val="es-CR"/>
        </w:rPr>
        <w:t>Lineamientos Generales para la Aplicación del Reglamento sobre la Suficiencia</w:t>
      </w:r>
      <w:r>
        <w:rPr>
          <w:rFonts w:asciiTheme="majorHAnsi" w:hAnsiTheme="majorHAnsi"/>
          <w:sz w:val="24"/>
          <w:lang w:val="es-CR"/>
        </w:rPr>
        <w:t xml:space="preserve"> </w:t>
      </w:r>
      <w:r w:rsidRPr="00112627">
        <w:rPr>
          <w:rFonts w:asciiTheme="majorHAnsi" w:hAnsiTheme="majorHAnsi"/>
          <w:sz w:val="24"/>
          <w:lang w:val="es-CR"/>
        </w:rPr>
        <w:t>Patrimonial de Entidades F</w:t>
      </w:r>
      <w:r>
        <w:rPr>
          <w:rFonts w:asciiTheme="majorHAnsi" w:hAnsiTheme="majorHAnsi"/>
          <w:sz w:val="24"/>
          <w:lang w:val="es-CR"/>
        </w:rPr>
        <w:t>inancieras, Acuerdo SUGEF 3-06”.</w:t>
      </w:r>
    </w:p>
    <w:p w:rsidRPr="00325AB2" w:rsidR="00042E07" w:rsidP="00042E07" w:rsidRDefault="00042E07" w14:paraId="5B70F7D8" w14:textId="77777777">
      <w:pPr>
        <w:pStyle w:val="Texto0"/>
        <w:spacing w:before="0" w:after="0" w:line="240" w:lineRule="auto"/>
        <w:rPr>
          <w:rFonts w:asciiTheme="majorHAnsi" w:hAnsiTheme="majorHAnsi"/>
          <w:sz w:val="24"/>
        </w:rPr>
      </w:pPr>
    </w:p>
    <w:p w:rsidRPr="00E04F8F" w:rsidR="00042E07" w:rsidP="00042E07" w:rsidRDefault="00042E07" w14:paraId="17E10AFD" w14:textId="77777777">
      <w:pPr>
        <w:spacing w:line="240" w:lineRule="auto"/>
        <w:ind w:left="34"/>
        <w:jc w:val="left"/>
        <w:outlineLvl w:val="0"/>
        <w:rPr>
          <w:rFonts w:asciiTheme="majorHAnsi" w:hAnsiTheme="majorHAnsi"/>
          <w:sz w:val="24"/>
        </w:rPr>
      </w:pPr>
      <w:r w:rsidRPr="00325AB2">
        <w:rPr>
          <w:rFonts w:asciiTheme="majorHAnsi" w:hAnsiTheme="majorHAnsi"/>
          <w:b/>
          <w:sz w:val="24"/>
        </w:rPr>
        <w:t>El Superintendente General de Entidades Financieras,</w:t>
      </w:r>
    </w:p>
    <w:p w:rsidRPr="00E04F8F" w:rsidR="00042E07" w:rsidP="00042E07" w:rsidRDefault="00042E07" w14:paraId="2F6F4681" w14:textId="77777777">
      <w:pPr>
        <w:spacing w:line="240" w:lineRule="auto"/>
        <w:ind w:left="34"/>
        <w:jc w:val="left"/>
        <w:rPr>
          <w:rFonts w:asciiTheme="majorHAnsi" w:hAnsiTheme="majorHAnsi"/>
          <w:sz w:val="24"/>
        </w:rPr>
      </w:pPr>
    </w:p>
    <w:p w:rsidRPr="00E04F8F" w:rsidR="009A0905" w:rsidP="009A0905" w:rsidRDefault="009A0905" w14:paraId="32089F9B" w14:textId="77777777">
      <w:pPr>
        <w:spacing w:line="240" w:lineRule="auto"/>
        <w:ind w:left="34"/>
        <w:jc w:val="left"/>
        <w:outlineLvl w:val="0"/>
        <w:rPr>
          <w:rFonts w:asciiTheme="majorHAnsi" w:hAnsiTheme="majorHAnsi"/>
          <w:b/>
          <w:sz w:val="24"/>
        </w:rPr>
      </w:pPr>
      <w:r w:rsidRPr="00D019E9">
        <w:rPr>
          <w:rFonts w:asciiTheme="majorHAnsi" w:hAnsiTheme="majorHAnsi"/>
          <w:b/>
          <w:sz w:val="24"/>
        </w:rPr>
        <w:t>Considerando que</w:t>
      </w:r>
      <w:r w:rsidRPr="00D019E9">
        <w:rPr>
          <w:rFonts w:asciiTheme="majorHAnsi" w:hAnsiTheme="majorHAnsi"/>
          <w:sz w:val="24"/>
        </w:rPr>
        <w:t>:</w:t>
      </w:r>
    </w:p>
    <w:p w:rsidRPr="003D7B98" w:rsidR="009A0905" w:rsidP="009A0905" w:rsidRDefault="009A0905" w14:paraId="0FDFBBBA" w14:textId="77777777">
      <w:pPr>
        <w:pStyle w:val="Prrafodelista"/>
        <w:numPr>
          <w:ilvl w:val="0"/>
          <w:numId w:val="13"/>
        </w:numPr>
        <w:spacing w:before="120" w:after="120" w:line="240" w:lineRule="auto"/>
        <w:contextualSpacing w:val="0"/>
        <w:jc w:val="both"/>
        <w:rPr>
          <w:rFonts w:asciiTheme="majorHAnsi" w:hAnsiTheme="majorHAnsi"/>
          <w:sz w:val="24"/>
          <w:szCs w:val="24"/>
        </w:rPr>
      </w:pPr>
      <w:r>
        <w:rPr>
          <w:rFonts w:asciiTheme="majorHAnsi" w:hAnsiTheme="majorHAnsi"/>
          <w:sz w:val="24"/>
          <w:szCs w:val="24"/>
        </w:rPr>
        <w:t>E</w:t>
      </w:r>
      <w:r w:rsidRPr="003D7B98">
        <w:rPr>
          <w:rFonts w:asciiTheme="majorHAnsi" w:hAnsiTheme="majorHAnsi"/>
          <w:sz w:val="24"/>
          <w:szCs w:val="24"/>
        </w:rPr>
        <w:t>l</w:t>
      </w:r>
      <w:r w:rsidRPr="003D7B98">
        <w:rPr>
          <w:rFonts w:asciiTheme="majorHAnsi" w:hAnsiTheme="majorHAnsi"/>
          <w:sz w:val="24"/>
        </w:rPr>
        <w:t xml:space="preserve"> Consejo Nacional de Sup</w:t>
      </w:r>
      <w:r>
        <w:rPr>
          <w:rFonts w:asciiTheme="majorHAnsi" w:hAnsiTheme="majorHAnsi"/>
          <w:sz w:val="24"/>
        </w:rPr>
        <w:t>ervisión del Sistema Financiero (CONASSIF)</w:t>
      </w:r>
      <w:r w:rsidRPr="003D7B98">
        <w:rPr>
          <w:rFonts w:asciiTheme="majorHAnsi" w:hAnsiTheme="majorHAnsi"/>
          <w:sz w:val="24"/>
        </w:rPr>
        <w:t xml:space="preserve"> </w:t>
      </w:r>
      <w:r>
        <w:rPr>
          <w:rFonts w:asciiTheme="majorHAnsi" w:hAnsiTheme="majorHAnsi"/>
          <w:sz w:val="24"/>
        </w:rPr>
        <w:t xml:space="preserve">aprobó según </w:t>
      </w:r>
      <w:r w:rsidRPr="003D7B98">
        <w:rPr>
          <w:rFonts w:asciiTheme="majorHAnsi" w:hAnsiTheme="majorHAnsi"/>
          <w:sz w:val="24"/>
        </w:rPr>
        <w:t xml:space="preserve"> Artículo 14 de</w:t>
      </w:r>
      <w:r>
        <w:rPr>
          <w:rFonts w:asciiTheme="majorHAnsi" w:hAnsiTheme="majorHAnsi"/>
          <w:sz w:val="24"/>
        </w:rPr>
        <w:t>l Acta de</w:t>
      </w:r>
      <w:r w:rsidRPr="003D7B98">
        <w:rPr>
          <w:rFonts w:asciiTheme="majorHAnsi" w:hAnsiTheme="majorHAnsi"/>
          <w:sz w:val="24"/>
        </w:rPr>
        <w:t xml:space="preserve"> la Sesión 547 </w:t>
      </w:r>
      <w:r>
        <w:rPr>
          <w:rFonts w:asciiTheme="majorHAnsi" w:hAnsiTheme="majorHAnsi"/>
          <w:sz w:val="24"/>
        </w:rPr>
        <w:t xml:space="preserve">celebrada </w:t>
      </w:r>
      <w:r w:rsidRPr="003D7B98">
        <w:rPr>
          <w:rFonts w:asciiTheme="majorHAnsi" w:hAnsiTheme="majorHAnsi"/>
          <w:sz w:val="24"/>
        </w:rPr>
        <w:t>el 5 de enero del 2006</w:t>
      </w:r>
      <w:r>
        <w:rPr>
          <w:rFonts w:asciiTheme="majorHAnsi" w:hAnsiTheme="majorHAnsi"/>
          <w:sz w:val="24"/>
        </w:rPr>
        <w:t>,</w:t>
      </w:r>
      <w:r w:rsidRPr="003D7B98">
        <w:rPr>
          <w:rFonts w:asciiTheme="majorHAnsi" w:hAnsiTheme="majorHAnsi"/>
          <w:sz w:val="24"/>
        </w:rPr>
        <w:t xml:space="preserve"> </w:t>
      </w:r>
      <w:r>
        <w:rPr>
          <w:rFonts w:asciiTheme="majorHAnsi" w:hAnsiTheme="majorHAnsi"/>
          <w:sz w:val="24"/>
        </w:rPr>
        <w:t xml:space="preserve">el </w:t>
      </w:r>
      <w:r w:rsidRPr="00174F5B">
        <w:rPr>
          <w:rFonts w:asciiTheme="majorHAnsi" w:hAnsiTheme="majorHAnsi"/>
          <w:i/>
          <w:sz w:val="24"/>
        </w:rPr>
        <w:t xml:space="preserve">Reglamento sobre la Suficiencia </w:t>
      </w:r>
      <w:r w:rsidRPr="00174F5B">
        <w:rPr>
          <w:rFonts w:asciiTheme="majorHAnsi" w:hAnsiTheme="majorHAnsi"/>
          <w:i/>
          <w:sz w:val="24"/>
          <w:szCs w:val="24"/>
          <w:lang w:val="es-ES"/>
        </w:rPr>
        <w:t>Patrimonial de Entidades Financieras</w:t>
      </w:r>
      <w:r>
        <w:rPr>
          <w:rFonts w:asciiTheme="majorHAnsi" w:hAnsiTheme="majorHAnsi"/>
          <w:sz w:val="24"/>
          <w:szCs w:val="24"/>
          <w:lang w:val="es-ES"/>
        </w:rPr>
        <w:t>, Acuerdo SUGEF 3-06</w:t>
      </w:r>
      <w:r>
        <w:rPr>
          <w:rFonts w:asciiTheme="majorHAnsi" w:hAnsiTheme="majorHAnsi"/>
          <w:sz w:val="24"/>
          <w:szCs w:val="24"/>
        </w:rPr>
        <w:t>, publicado en el diario oficial La Gaceta N</w:t>
      </w:r>
      <w:r w:rsidRPr="00174F5B">
        <w:rPr>
          <w:rFonts w:asciiTheme="majorHAnsi" w:hAnsiTheme="majorHAnsi"/>
          <w:sz w:val="24"/>
          <w:szCs w:val="24"/>
          <w:vertAlign w:val="superscript"/>
        </w:rPr>
        <w:t xml:space="preserve">o </w:t>
      </w:r>
      <w:r>
        <w:rPr>
          <w:rFonts w:asciiTheme="majorHAnsi" w:hAnsiTheme="majorHAnsi"/>
          <w:sz w:val="24"/>
          <w:szCs w:val="24"/>
        </w:rPr>
        <w:t>13 del miércoles 18 de enero del 2006.</w:t>
      </w:r>
    </w:p>
    <w:p w:rsidRPr="003D7B98" w:rsidR="009A0905" w:rsidP="009A0905" w:rsidRDefault="009A0905" w14:paraId="15318DD0" w14:textId="77777777">
      <w:pPr>
        <w:pStyle w:val="Prrafodelista"/>
        <w:numPr>
          <w:ilvl w:val="0"/>
          <w:numId w:val="13"/>
        </w:numPr>
        <w:spacing w:before="120" w:after="120" w:line="240" w:lineRule="auto"/>
        <w:contextualSpacing w:val="0"/>
        <w:jc w:val="both"/>
        <w:rPr>
          <w:rFonts w:asciiTheme="majorHAnsi" w:hAnsiTheme="majorHAnsi"/>
          <w:sz w:val="24"/>
          <w:szCs w:val="24"/>
        </w:rPr>
      </w:pPr>
      <w:r>
        <w:rPr>
          <w:rFonts w:asciiTheme="majorHAnsi" w:hAnsiTheme="majorHAnsi"/>
          <w:sz w:val="24"/>
          <w:szCs w:val="24"/>
          <w:lang w:val="es-ES"/>
        </w:rPr>
        <w:t>E</w:t>
      </w:r>
      <w:r w:rsidRPr="003D7B98">
        <w:rPr>
          <w:rFonts w:asciiTheme="majorHAnsi" w:hAnsiTheme="majorHAnsi"/>
          <w:sz w:val="24"/>
          <w:szCs w:val="24"/>
          <w:lang w:val="es-ES"/>
        </w:rPr>
        <w:t xml:space="preserve">l Artículo 4 del </w:t>
      </w:r>
      <w:r>
        <w:rPr>
          <w:rFonts w:asciiTheme="majorHAnsi" w:hAnsiTheme="majorHAnsi"/>
          <w:sz w:val="24"/>
          <w:szCs w:val="24"/>
          <w:lang w:val="es-ES"/>
        </w:rPr>
        <w:t>acuerdo SUGEF 3-06 dispone que el S</w:t>
      </w:r>
      <w:r w:rsidRPr="003D7B98">
        <w:rPr>
          <w:rFonts w:asciiTheme="majorHAnsi" w:hAnsiTheme="majorHAnsi"/>
          <w:sz w:val="24"/>
          <w:szCs w:val="24"/>
          <w:lang w:val="es-ES"/>
        </w:rPr>
        <w:t xml:space="preserve">uperintendente </w:t>
      </w:r>
      <w:r>
        <w:rPr>
          <w:rFonts w:asciiTheme="majorHAnsi" w:hAnsiTheme="majorHAnsi"/>
          <w:sz w:val="24"/>
          <w:szCs w:val="24"/>
          <w:lang w:val="es-ES"/>
        </w:rPr>
        <w:t xml:space="preserve">debe emitir y modificar </w:t>
      </w:r>
      <w:r w:rsidRPr="003D7B98">
        <w:rPr>
          <w:rFonts w:asciiTheme="majorHAnsi" w:hAnsiTheme="majorHAnsi"/>
          <w:sz w:val="24"/>
          <w:szCs w:val="24"/>
          <w:lang w:val="es-ES"/>
        </w:rPr>
        <w:t xml:space="preserve"> los Lineamientos Generales</w:t>
      </w:r>
      <w:r>
        <w:rPr>
          <w:rFonts w:asciiTheme="majorHAnsi" w:hAnsiTheme="majorHAnsi"/>
          <w:sz w:val="24"/>
          <w:szCs w:val="24"/>
          <w:lang w:val="es-ES"/>
        </w:rPr>
        <w:t xml:space="preserve"> para una mejor implementación de dicho acuerdo.</w:t>
      </w:r>
    </w:p>
    <w:p w:rsidRPr="00D019E9" w:rsidR="009A0905" w:rsidP="009A0905" w:rsidRDefault="009A0905" w14:paraId="291A23BB" w14:textId="77777777">
      <w:pPr>
        <w:pStyle w:val="Prrafodelista"/>
        <w:numPr>
          <w:ilvl w:val="0"/>
          <w:numId w:val="13"/>
        </w:numPr>
        <w:spacing w:before="120" w:after="120" w:line="240" w:lineRule="auto"/>
        <w:contextualSpacing w:val="0"/>
        <w:jc w:val="both"/>
        <w:rPr>
          <w:rFonts w:asciiTheme="majorHAnsi" w:hAnsiTheme="majorHAnsi"/>
          <w:sz w:val="24"/>
          <w:szCs w:val="24"/>
        </w:rPr>
      </w:pPr>
      <w:r>
        <w:rPr>
          <w:rFonts w:asciiTheme="majorHAnsi" w:hAnsiTheme="majorHAnsi"/>
          <w:sz w:val="24"/>
          <w:szCs w:val="24"/>
        </w:rPr>
        <w:lastRenderedPageBreak/>
        <w:t>E</w:t>
      </w:r>
      <w:r w:rsidRPr="00D019E9">
        <w:rPr>
          <w:rFonts w:asciiTheme="majorHAnsi" w:hAnsiTheme="majorHAnsi"/>
          <w:sz w:val="24"/>
          <w:szCs w:val="24"/>
          <w:lang w:val="es-ES"/>
        </w:rPr>
        <w:t xml:space="preserve">l inciso b) </w:t>
      </w:r>
      <w:r>
        <w:rPr>
          <w:rFonts w:asciiTheme="majorHAnsi" w:hAnsiTheme="majorHAnsi"/>
          <w:sz w:val="24"/>
          <w:szCs w:val="24"/>
          <w:lang w:val="es-ES"/>
        </w:rPr>
        <w:t>del A</w:t>
      </w:r>
      <w:r w:rsidRPr="00D019E9">
        <w:rPr>
          <w:rFonts w:asciiTheme="majorHAnsi" w:hAnsiTheme="majorHAnsi"/>
          <w:sz w:val="24"/>
          <w:szCs w:val="24"/>
          <w:lang w:val="es-ES"/>
        </w:rPr>
        <w:t xml:space="preserve">rtículo 131 de la </w:t>
      </w:r>
      <w:r w:rsidRPr="004E6798">
        <w:rPr>
          <w:rFonts w:asciiTheme="majorHAnsi" w:hAnsiTheme="majorHAnsi"/>
          <w:i/>
          <w:sz w:val="24"/>
          <w:szCs w:val="24"/>
          <w:lang w:val="es-ES"/>
        </w:rPr>
        <w:t>Ley Orgánica del Banco Central de Costa Rica</w:t>
      </w:r>
      <w:r w:rsidRPr="00D019E9">
        <w:rPr>
          <w:rFonts w:asciiTheme="majorHAnsi" w:hAnsiTheme="majorHAnsi"/>
          <w:sz w:val="24"/>
          <w:szCs w:val="24"/>
          <w:lang w:val="es-ES"/>
        </w:rPr>
        <w:t>, Ley N° 7558</w:t>
      </w:r>
      <w:r>
        <w:rPr>
          <w:rFonts w:asciiTheme="majorHAnsi" w:hAnsiTheme="majorHAnsi"/>
          <w:sz w:val="24"/>
          <w:szCs w:val="24"/>
          <w:lang w:val="es-ES"/>
        </w:rPr>
        <w:t>,</w:t>
      </w:r>
      <w:r w:rsidRPr="00D019E9">
        <w:rPr>
          <w:rFonts w:asciiTheme="majorHAnsi" w:hAnsiTheme="majorHAnsi"/>
          <w:sz w:val="24"/>
          <w:szCs w:val="24"/>
          <w:lang w:val="es-ES"/>
        </w:rPr>
        <w:t xml:space="preserve"> dispone que le corresponde al Superintendente General de Entidades Financieras tomar las medidas necesarias para ejecutar los acuerdos del C</w:t>
      </w:r>
      <w:r>
        <w:rPr>
          <w:rFonts w:asciiTheme="majorHAnsi" w:hAnsiTheme="majorHAnsi"/>
          <w:sz w:val="24"/>
          <w:szCs w:val="24"/>
          <w:lang w:val="es-ES"/>
        </w:rPr>
        <w:t>ONASSIF</w:t>
      </w:r>
      <w:r w:rsidRPr="00D019E9">
        <w:rPr>
          <w:rFonts w:asciiTheme="majorHAnsi" w:hAnsiTheme="majorHAnsi"/>
          <w:sz w:val="24"/>
          <w:szCs w:val="24"/>
          <w:lang w:val="es-ES"/>
        </w:rPr>
        <w:t>.</w:t>
      </w:r>
    </w:p>
    <w:p w:rsidRPr="003A37AF" w:rsidR="009A0905" w:rsidP="009A0905" w:rsidRDefault="009A0905" w14:paraId="6AD97521" w14:textId="77777777">
      <w:pPr>
        <w:pStyle w:val="Prrafodelista"/>
        <w:numPr>
          <w:ilvl w:val="0"/>
          <w:numId w:val="13"/>
        </w:numPr>
        <w:spacing w:before="120" w:after="120" w:line="240" w:lineRule="auto"/>
        <w:contextualSpacing w:val="0"/>
        <w:jc w:val="both"/>
        <w:rPr>
          <w:rFonts w:asciiTheme="majorHAnsi" w:hAnsiTheme="majorHAnsi"/>
          <w:sz w:val="24"/>
          <w:szCs w:val="24"/>
        </w:rPr>
      </w:pPr>
      <w:r w:rsidRPr="003A37AF">
        <w:rPr>
          <w:rFonts w:asciiTheme="majorHAnsi" w:hAnsiTheme="majorHAnsi"/>
          <w:sz w:val="24"/>
          <w:szCs w:val="24"/>
        </w:rPr>
        <w:t xml:space="preserve">Mediante artículo 13 del acta de la sesión 1416-2018 del 15 de mayo de 2018, el CONASSIF adicionó el Artículo 18bis, Porcentaje adicional de ponderación por plazo al Reglamento sobre la Suficiencia Patrimonial de Entidades Financieras, Acuerdo SUGEF 3-06, el cual dispone que la entidad que conceda créditos a personas físicas en actividades de consumo, tarjeta de créditos, vehículos y vivienda cuyo plazo residual sean los que se indica en el cuadro de ese reglamento; debe adicionar al porcentaje de ponderación por riesgo de crédito que le sea aplicable.   </w:t>
      </w:r>
    </w:p>
    <w:p w:rsidR="009A0905" w:rsidP="009A0905" w:rsidRDefault="009A0905" w14:paraId="51366380" w14:textId="77777777">
      <w:pPr>
        <w:spacing w:before="120" w:after="120" w:line="240" w:lineRule="auto"/>
        <w:ind w:left="33"/>
        <w:rPr>
          <w:rFonts w:asciiTheme="majorHAnsi" w:hAnsiTheme="majorHAnsi"/>
          <w:sz w:val="24"/>
        </w:rPr>
      </w:pPr>
      <w:r w:rsidRPr="00D019E9">
        <w:rPr>
          <w:rFonts w:asciiTheme="majorHAnsi" w:hAnsiTheme="majorHAnsi"/>
          <w:b/>
          <w:sz w:val="24"/>
        </w:rPr>
        <w:t>Dispone</w:t>
      </w:r>
      <w:r w:rsidRPr="00D019E9">
        <w:rPr>
          <w:rFonts w:asciiTheme="majorHAnsi" w:hAnsiTheme="majorHAnsi"/>
          <w:sz w:val="24"/>
        </w:rPr>
        <w:t>:</w:t>
      </w:r>
      <w:r w:rsidRPr="003A4422">
        <w:rPr>
          <w:rFonts w:asciiTheme="majorHAnsi" w:hAnsiTheme="majorHAnsi"/>
          <w:sz w:val="24"/>
        </w:rPr>
        <w:t xml:space="preserve"> </w:t>
      </w:r>
    </w:p>
    <w:p w:rsidR="009A0905" w:rsidP="009A0905" w:rsidRDefault="009A0905" w14:paraId="2E94124C" w14:textId="77777777">
      <w:pPr>
        <w:spacing w:before="120" w:after="120" w:line="240" w:lineRule="auto"/>
        <w:rPr>
          <w:rFonts w:asciiTheme="majorHAnsi" w:hAnsiTheme="majorHAnsi"/>
          <w:sz w:val="24"/>
        </w:rPr>
      </w:pPr>
      <w:r w:rsidRPr="00B771D8">
        <w:rPr>
          <w:rFonts w:asciiTheme="majorHAnsi" w:hAnsiTheme="majorHAnsi"/>
          <w:sz w:val="24"/>
        </w:rPr>
        <w:t>Modificar los “</w:t>
      </w:r>
      <w:r w:rsidRPr="00B771D8">
        <w:rPr>
          <w:rFonts w:asciiTheme="majorHAnsi" w:hAnsiTheme="majorHAnsi"/>
          <w:i/>
          <w:sz w:val="24"/>
        </w:rPr>
        <w:t>Lineamientos Generales para la Aplicación del Reglamento sobre la Suficiencia Patrimonial de Entidades Financieras, Acuerdo SUGEF 3-06</w:t>
      </w:r>
      <w:r w:rsidRPr="00B771D8">
        <w:rPr>
          <w:rFonts w:asciiTheme="majorHAnsi" w:hAnsiTheme="majorHAnsi"/>
          <w:sz w:val="24"/>
        </w:rPr>
        <w:t>”</w:t>
      </w:r>
      <w:r>
        <w:rPr>
          <w:rFonts w:asciiTheme="majorHAnsi" w:hAnsiTheme="majorHAnsi"/>
          <w:sz w:val="24"/>
        </w:rPr>
        <w:t>, adicionando el término</w:t>
      </w:r>
      <w:r w:rsidRPr="003A4422">
        <w:rPr>
          <w:rFonts w:asciiTheme="majorHAnsi" w:hAnsiTheme="majorHAnsi"/>
          <w:sz w:val="24"/>
        </w:rPr>
        <w:t xml:space="preserve"> </w:t>
      </w:r>
      <w:r>
        <w:rPr>
          <w:rFonts w:asciiTheme="majorHAnsi" w:hAnsiTheme="majorHAnsi"/>
          <w:sz w:val="24"/>
        </w:rPr>
        <w:t>A</w:t>
      </w:r>
      <w:r w:rsidRPr="003914DD">
        <w:rPr>
          <w:rFonts w:asciiTheme="majorHAnsi" w:hAnsiTheme="majorHAnsi"/>
          <w:i/>
          <w:sz w:val="24"/>
        </w:rPr>
        <w:t>rtículo 18 bis</w:t>
      </w:r>
      <w:r>
        <w:rPr>
          <w:rFonts w:asciiTheme="majorHAnsi" w:hAnsiTheme="majorHAnsi"/>
          <w:sz w:val="24"/>
        </w:rPr>
        <w:t xml:space="preserve"> a la columna de “Referencia SUGEF 3-06” de las </w:t>
      </w:r>
      <w:r w:rsidRPr="003A4422">
        <w:rPr>
          <w:rFonts w:asciiTheme="majorHAnsi" w:hAnsiTheme="majorHAnsi"/>
          <w:b/>
          <w:bCs/>
          <w:sz w:val="24"/>
          <w:lang w:val="es-CR"/>
        </w:rPr>
        <w:t>PONDERACIONES SEGÚN EL RIESGO DE CRÉDITO</w:t>
      </w:r>
      <w:r>
        <w:rPr>
          <w:rFonts w:asciiTheme="majorHAnsi" w:hAnsiTheme="majorHAnsi"/>
          <w:b/>
          <w:bCs/>
          <w:sz w:val="24"/>
          <w:lang w:val="es-CR"/>
        </w:rPr>
        <w:t xml:space="preserve"> </w:t>
      </w:r>
      <w:r w:rsidRPr="003A4422">
        <w:rPr>
          <w:rFonts w:asciiTheme="majorHAnsi" w:hAnsiTheme="majorHAnsi"/>
          <w:bCs/>
          <w:sz w:val="24"/>
          <w:lang w:val="es-CR"/>
        </w:rPr>
        <w:t>de la sección</w:t>
      </w:r>
      <w:r>
        <w:rPr>
          <w:rFonts w:asciiTheme="majorHAnsi" w:hAnsiTheme="majorHAnsi"/>
          <w:b/>
          <w:bCs/>
          <w:sz w:val="24"/>
          <w:lang w:val="es-CR"/>
        </w:rPr>
        <w:t xml:space="preserve"> </w:t>
      </w:r>
      <w:r w:rsidRPr="003A4422">
        <w:rPr>
          <w:rFonts w:asciiTheme="majorHAnsi" w:hAnsiTheme="majorHAnsi"/>
          <w:b/>
          <w:bCs/>
          <w:sz w:val="24"/>
          <w:lang w:val="es-CR"/>
        </w:rPr>
        <w:t>III. CUENTAS CONTABLES PARA EL CÁLCULO DE LA SUFICIENCIA</w:t>
      </w:r>
      <w:r>
        <w:rPr>
          <w:rFonts w:asciiTheme="majorHAnsi" w:hAnsiTheme="majorHAnsi"/>
          <w:b/>
          <w:bCs/>
          <w:sz w:val="24"/>
          <w:lang w:val="es-CR"/>
        </w:rPr>
        <w:t xml:space="preserve"> </w:t>
      </w:r>
      <w:r w:rsidRPr="003A4422">
        <w:rPr>
          <w:rFonts w:asciiTheme="majorHAnsi" w:hAnsiTheme="majorHAnsi"/>
          <w:b/>
          <w:bCs/>
          <w:sz w:val="24"/>
          <w:lang w:val="es-CR"/>
        </w:rPr>
        <w:t>PATRIMONIAL</w:t>
      </w:r>
      <w:r>
        <w:rPr>
          <w:rFonts w:asciiTheme="majorHAnsi" w:hAnsiTheme="majorHAnsi"/>
          <w:sz w:val="24"/>
        </w:rPr>
        <w:t xml:space="preserve">, </w:t>
      </w:r>
      <w:r w:rsidRPr="003A4422">
        <w:rPr>
          <w:rFonts w:asciiTheme="majorHAnsi" w:hAnsiTheme="majorHAnsi"/>
          <w:sz w:val="24"/>
        </w:rPr>
        <w:t>conforme se detalla seguidamente:</w:t>
      </w:r>
    </w:p>
    <w:p w:rsidRPr="003A4422" w:rsidR="00313EDC" w:rsidP="00042E07" w:rsidRDefault="00313EDC" w14:paraId="3916FE66" w14:textId="77777777">
      <w:pPr>
        <w:spacing w:before="120" w:after="120" w:line="240" w:lineRule="auto"/>
        <w:rPr>
          <w:rFonts w:asciiTheme="majorHAnsi" w:hAnsiTheme="majorHAnsi"/>
          <w:sz w:val="24"/>
        </w:rPr>
      </w:pPr>
    </w:p>
    <w:p w:rsidRPr="00EF73D5" w:rsidR="00042E07" w:rsidP="00042E07" w:rsidRDefault="00042E07" w14:paraId="05714176" w14:textId="77777777">
      <w:pPr>
        <w:pStyle w:val="Ttulo2"/>
        <w:ind w:right="325"/>
        <w:rPr>
          <w:rFonts w:ascii="Cambria" w:hAnsi="Cambria"/>
          <w:i/>
        </w:rPr>
      </w:pPr>
      <w:r w:rsidRPr="00EF73D5">
        <w:rPr>
          <w:rFonts w:ascii="Cambria" w:hAnsi="Cambria"/>
          <w:i/>
        </w:rPr>
        <w:t xml:space="preserve">PONDERACIONES SEGÚN EL RIESGO DE CRÉDITO </w:t>
      </w:r>
    </w:p>
    <w:p w:rsidR="00257C7E" w:rsidP="00257C7E" w:rsidRDefault="00042E07" w14:paraId="1CCF1292" w14:textId="525B3AC1">
      <w:pPr>
        <w:spacing w:line="259" w:lineRule="auto"/>
        <w:ind w:left="5"/>
        <w:jc w:val="left"/>
        <w:rPr>
          <w:rFonts w:eastAsia="Book Antiqua" w:cs="Book Antiqua"/>
          <w:i/>
        </w:rPr>
      </w:pPr>
      <w:r w:rsidRPr="00EF73D5">
        <w:rPr>
          <w:i/>
        </w:rPr>
        <w:t xml:space="preserve"> </w:t>
      </w:r>
    </w:p>
    <w:tbl>
      <w:tblPr>
        <w:tblStyle w:val="TableGrid"/>
        <w:tblW w:w="8631" w:type="dxa"/>
        <w:tblInd w:w="-65" w:type="dxa"/>
        <w:tblCellMar>
          <w:top w:w="4" w:type="dxa"/>
          <w:left w:w="67" w:type="dxa"/>
          <w:right w:w="27" w:type="dxa"/>
        </w:tblCellMar>
        <w:tblLook w:val="04A0" w:firstRow="1" w:lastRow="0" w:firstColumn="1" w:lastColumn="0" w:noHBand="0" w:noVBand="1"/>
      </w:tblPr>
      <w:tblGrid>
        <w:gridCol w:w="7417"/>
        <w:gridCol w:w="1214"/>
      </w:tblGrid>
      <w:tr w:rsidRPr="00EF73D5" w:rsidR="00257C7E" w:rsidTr="00B86ADF" w14:paraId="26785F3C" w14:textId="77777777">
        <w:trPr>
          <w:trHeight w:val="470"/>
        </w:trPr>
        <w:tc>
          <w:tcPr>
            <w:tcW w:w="7417" w:type="dxa"/>
            <w:tcBorders>
              <w:top w:val="single" w:color="000000" w:sz="2" w:space="0"/>
              <w:left w:val="single" w:color="000000" w:sz="2" w:space="0"/>
              <w:bottom w:val="single" w:color="000000" w:sz="2" w:space="0"/>
              <w:right w:val="single" w:color="000000" w:sz="2" w:space="0"/>
            </w:tcBorders>
            <w:vAlign w:val="bottom"/>
          </w:tcPr>
          <w:p w:rsidRPr="00EF73D5" w:rsidR="00257C7E" w:rsidP="00A83419" w:rsidRDefault="00257C7E" w14:paraId="4F0820C3" w14:textId="77777777">
            <w:pPr>
              <w:spacing w:line="259" w:lineRule="auto"/>
              <w:ind w:left="2"/>
              <w:jc w:val="left"/>
              <w:rPr>
                <w:i/>
              </w:rPr>
            </w:pPr>
            <w:r w:rsidRPr="00EF73D5">
              <w:rPr>
                <w:rFonts w:eastAsia="Book Antiqua" w:cs="Book Antiqua"/>
                <w:b/>
                <w:i/>
                <w:sz w:val="18"/>
              </w:rPr>
              <w:t xml:space="preserve">PONDERACIONES ÚNICAS </w:t>
            </w:r>
          </w:p>
        </w:tc>
        <w:tc>
          <w:tcPr>
            <w:tcW w:w="1214" w:type="dxa"/>
            <w:tcBorders>
              <w:top w:val="single" w:color="000000" w:sz="2" w:space="0"/>
              <w:left w:val="single" w:color="000000" w:sz="2" w:space="0"/>
              <w:bottom w:val="single" w:color="000000" w:sz="2" w:space="0"/>
              <w:right w:val="single" w:color="000000" w:sz="2" w:space="0"/>
            </w:tcBorders>
          </w:tcPr>
          <w:p w:rsidRPr="00EF73D5" w:rsidR="00257C7E" w:rsidP="00A83419" w:rsidRDefault="00257C7E" w14:paraId="05DDBBC0" w14:textId="77777777">
            <w:pPr>
              <w:spacing w:line="259" w:lineRule="auto"/>
              <w:jc w:val="center"/>
              <w:rPr>
                <w:i/>
              </w:rPr>
            </w:pPr>
            <w:r w:rsidRPr="00EF73D5">
              <w:rPr>
                <w:rFonts w:eastAsia="Book Antiqua" w:cs="Book Antiqua"/>
                <w:b/>
                <w:i/>
                <w:sz w:val="18"/>
              </w:rPr>
              <w:t xml:space="preserve">Referencia SUGEF 3-06 </w:t>
            </w:r>
          </w:p>
        </w:tc>
      </w:tr>
    </w:tbl>
    <w:p w:rsidR="00257C7E" w:rsidP="00257C7E" w:rsidRDefault="00257C7E" w14:paraId="72EA5A42" w14:textId="77777777">
      <w:pPr>
        <w:ind w:right="302"/>
        <w:rPr>
          <w:rFonts w:eastAsia="Book Antiqua" w:cs="Book Antiqua"/>
          <w:i/>
        </w:rPr>
      </w:pPr>
      <w:r>
        <w:rPr>
          <w:rFonts w:eastAsia="Book Antiqua" w:cs="Book Antiqua"/>
          <w:i/>
        </w:rPr>
        <w:t>(….)</w:t>
      </w:r>
      <w:bookmarkStart w:name="_GoBack" w:id="0"/>
      <w:bookmarkEnd w:id="0"/>
    </w:p>
    <w:tbl>
      <w:tblPr>
        <w:tblStyle w:val="TableGrid"/>
        <w:tblW w:w="8648" w:type="dxa"/>
        <w:tblInd w:w="-65" w:type="dxa"/>
        <w:tblBorders>
          <w:top w:val="single" w:color="000000" w:sz="2" w:space="0"/>
          <w:left w:val="single" w:color="000000" w:sz="2" w:space="0"/>
          <w:bottom w:val="single" w:color="auto" w:sz="12" w:space="0"/>
          <w:right w:val="single" w:color="000000" w:sz="2" w:space="0"/>
          <w:insideH w:val="single" w:color="000000" w:sz="2" w:space="0"/>
          <w:insideV w:val="single" w:color="000000" w:sz="2" w:space="0"/>
        </w:tblBorders>
        <w:tblCellMar>
          <w:top w:w="4" w:type="dxa"/>
          <w:left w:w="67" w:type="dxa"/>
          <w:right w:w="27" w:type="dxa"/>
        </w:tblCellMar>
        <w:tblLook w:val="04A0" w:firstRow="1" w:lastRow="0" w:firstColumn="1" w:lastColumn="0" w:noHBand="0" w:noVBand="1"/>
      </w:tblPr>
      <w:tblGrid>
        <w:gridCol w:w="7432"/>
        <w:gridCol w:w="1216"/>
      </w:tblGrid>
      <w:tr w:rsidRPr="00EF73D5" w:rsidR="00257C7E" w:rsidTr="00B86ADF" w14:paraId="6F42C3EF" w14:textId="77777777">
        <w:trPr>
          <w:trHeight w:val="1443"/>
        </w:trPr>
        <w:tc>
          <w:tcPr>
            <w:tcW w:w="7432" w:type="dxa"/>
            <w:tcBorders>
              <w:bottom w:val="single" w:color="auto" w:sz="4" w:space="0"/>
            </w:tcBorders>
            <w:vAlign w:val="center"/>
          </w:tcPr>
          <w:p w:rsidRPr="00EF73D5" w:rsidR="00257C7E" w:rsidP="00257C7E" w:rsidRDefault="00257C7E" w14:paraId="23959189" w14:textId="10E9EF68">
            <w:pPr>
              <w:spacing w:line="259" w:lineRule="auto"/>
              <w:ind w:right="39"/>
              <w:jc w:val="center"/>
              <w:rPr>
                <w:i/>
              </w:rPr>
            </w:pPr>
            <w:r w:rsidRPr="00EF73D5">
              <w:rPr>
                <w:rFonts w:eastAsia="Book Antiqua" w:cs="Book Antiqua"/>
                <w:b/>
                <w:i/>
                <w:sz w:val="18"/>
              </w:rPr>
              <w:lastRenderedPageBreak/>
              <w:t>PONDERACIÓN SEGÚN LA CONDICIÓN DE CRÉDITO BACK TO BACK, OPERACIÓN</w:t>
            </w:r>
          </w:p>
          <w:p w:rsidRPr="00EF73D5" w:rsidR="00257C7E" w:rsidP="00257C7E" w:rsidRDefault="00257C7E" w14:paraId="3BFCFC7A" w14:textId="799234D5">
            <w:pPr>
              <w:spacing w:line="259" w:lineRule="auto"/>
              <w:ind w:left="2"/>
              <w:jc w:val="center"/>
              <w:rPr>
                <w:i/>
              </w:rPr>
            </w:pPr>
            <w:r w:rsidRPr="00EF73D5">
              <w:rPr>
                <w:rFonts w:eastAsia="Book Antiqua" w:cs="Book Antiqua"/>
                <w:b/>
                <w:i/>
                <w:sz w:val="18"/>
              </w:rPr>
              <w:t>CREDITICIAS CON GARANTÍA HIPOTECARIA RESIDENCIAL Y SEGÚN LA CALIFICACIÓN</w:t>
            </w:r>
          </w:p>
          <w:p w:rsidRPr="00EF73D5" w:rsidR="00257C7E" w:rsidP="00257C7E" w:rsidRDefault="00257C7E" w14:paraId="736EA7A3" w14:textId="7901B73A">
            <w:pPr>
              <w:spacing w:line="259" w:lineRule="auto"/>
              <w:ind w:right="43"/>
              <w:jc w:val="center"/>
              <w:rPr>
                <w:i/>
              </w:rPr>
            </w:pPr>
            <w:r w:rsidRPr="00EF73D5">
              <w:rPr>
                <w:rFonts w:eastAsia="Book Antiqua" w:cs="Book Antiqua"/>
                <w:b/>
                <w:i/>
                <w:sz w:val="18"/>
              </w:rPr>
              <w:t>DEL DEUDOR,</w:t>
            </w:r>
          </w:p>
        </w:tc>
        <w:tc>
          <w:tcPr>
            <w:tcW w:w="1216" w:type="dxa"/>
            <w:tcBorders>
              <w:bottom w:val="single" w:color="auto" w:sz="4" w:space="0"/>
            </w:tcBorders>
          </w:tcPr>
          <w:p w:rsidRPr="00EF73D5" w:rsidR="00257C7E" w:rsidP="00A83419" w:rsidRDefault="00257C7E" w14:paraId="772217D1" w14:textId="77777777">
            <w:pPr>
              <w:spacing w:line="259" w:lineRule="auto"/>
              <w:ind w:right="44"/>
              <w:jc w:val="center"/>
              <w:rPr>
                <w:i/>
              </w:rPr>
            </w:pPr>
            <w:r w:rsidRPr="00EF73D5">
              <w:rPr>
                <w:rFonts w:eastAsia="Book Antiqua" w:cs="Book Antiqua"/>
                <w:b/>
                <w:i/>
                <w:sz w:val="18"/>
              </w:rPr>
              <w:t xml:space="preserve">Artículo 13 </w:t>
            </w:r>
          </w:p>
          <w:p w:rsidRPr="00EF73D5" w:rsidR="00257C7E" w:rsidP="00A83419" w:rsidRDefault="00257C7E" w14:paraId="71F893A6" w14:textId="77777777">
            <w:pPr>
              <w:spacing w:line="259" w:lineRule="auto"/>
              <w:ind w:right="44"/>
              <w:jc w:val="center"/>
              <w:rPr>
                <w:i/>
              </w:rPr>
            </w:pPr>
            <w:r w:rsidRPr="00EF73D5">
              <w:rPr>
                <w:rFonts w:eastAsia="Book Antiqua" w:cs="Book Antiqua"/>
                <w:b/>
                <w:i/>
                <w:sz w:val="18"/>
              </w:rPr>
              <w:t xml:space="preserve">Artículo 14 </w:t>
            </w:r>
          </w:p>
          <w:p w:rsidRPr="00EF73D5" w:rsidR="00257C7E" w:rsidP="00A83419" w:rsidRDefault="00257C7E" w14:paraId="684548B4" w14:textId="77777777">
            <w:pPr>
              <w:spacing w:line="259" w:lineRule="auto"/>
              <w:ind w:right="44"/>
              <w:jc w:val="center"/>
              <w:rPr>
                <w:i/>
              </w:rPr>
            </w:pPr>
            <w:r w:rsidRPr="00EF73D5">
              <w:rPr>
                <w:rFonts w:eastAsia="Book Antiqua" w:cs="Book Antiqua"/>
                <w:b/>
                <w:i/>
                <w:sz w:val="18"/>
              </w:rPr>
              <w:t xml:space="preserve">Artículo 15 </w:t>
            </w:r>
          </w:p>
          <w:p w:rsidRPr="00EF73D5" w:rsidR="00257C7E" w:rsidP="00A83419" w:rsidRDefault="00257C7E" w14:paraId="450315E7" w14:textId="77777777">
            <w:pPr>
              <w:spacing w:line="259" w:lineRule="auto"/>
              <w:jc w:val="center"/>
              <w:rPr>
                <w:i/>
              </w:rPr>
            </w:pPr>
            <w:r w:rsidRPr="00EF73D5">
              <w:rPr>
                <w:rFonts w:eastAsia="Book Antiqua" w:cs="Book Antiqua"/>
                <w:b/>
                <w:i/>
                <w:sz w:val="18"/>
              </w:rPr>
              <w:t xml:space="preserve">Artículo 16 (a) Artículo 17 </w:t>
            </w:r>
          </w:p>
          <w:p w:rsidRPr="00EF73D5" w:rsidR="00257C7E" w:rsidP="00A83419" w:rsidRDefault="00257C7E" w14:paraId="226C2A11" w14:textId="77777777">
            <w:pPr>
              <w:spacing w:line="259" w:lineRule="auto"/>
              <w:ind w:right="44"/>
              <w:jc w:val="center"/>
              <w:rPr>
                <w:rFonts w:eastAsia="Book Antiqua" w:cs="Book Antiqua"/>
                <w:b/>
                <w:i/>
                <w:sz w:val="18"/>
              </w:rPr>
            </w:pPr>
            <w:r w:rsidRPr="00EF73D5">
              <w:rPr>
                <w:rFonts w:eastAsia="Book Antiqua" w:cs="Book Antiqua"/>
                <w:b/>
                <w:i/>
                <w:sz w:val="18"/>
              </w:rPr>
              <w:t xml:space="preserve">Artículo 18 </w:t>
            </w:r>
          </w:p>
          <w:p w:rsidRPr="00EF73D5" w:rsidR="00257C7E" w:rsidP="00A83419" w:rsidRDefault="00257C7E" w14:paraId="2A969E47" w14:textId="77777777">
            <w:pPr>
              <w:spacing w:line="259" w:lineRule="auto"/>
              <w:ind w:right="44"/>
              <w:jc w:val="center"/>
              <w:rPr>
                <w:i/>
              </w:rPr>
            </w:pPr>
            <w:r w:rsidRPr="00D55BD3">
              <w:rPr>
                <w:rFonts w:eastAsia="Book Antiqua" w:cs="Book Antiqua"/>
                <w:b/>
                <w:i/>
                <w:sz w:val="18"/>
              </w:rPr>
              <w:t>Artículo 18 bis</w:t>
            </w:r>
          </w:p>
        </w:tc>
      </w:tr>
    </w:tbl>
    <w:p w:rsidR="00257C7E" w:rsidP="00257C7E" w:rsidRDefault="00257C7E" w14:paraId="6F63A63A" w14:textId="77777777">
      <w:pPr>
        <w:ind w:right="302"/>
        <w:rPr>
          <w:rFonts w:eastAsia="Book Antiqua" w:cs="Book Antiqua"/>
          <w:i/>
        </w:rPr>
      </w:pPr>
      <w:r>
        <w:rPr>
          <w:rFonts w:eastAsia="Book Antiqua" w:cs="Book Antiqua"/>
          <w:i/>
        </w:rPr>
        <w:t>(…)</w:t>
      </w:r>
    </w:p>
    <w:p w:rsidRPr="00FC2294" w:rsidR="00042E07" w:rsidP="00042E07" w:rsidRDefault="00042E07" w14:paraId="15920037" w14:textId="6597029C">
      <w:pPr>
        <w:spacing w:before="120" w:after="120" w:line="240" w:lineRule="auto"/>
        <w:rPr>
          <w:rFonts w:asciiTheme="majorHAnsi" w:hAnsiTheme="majorHAnsi"/>
          <w:sz w:val="24"/>
        </w:rPr>
      </w:pPr>
      <w:r w:rsidRPr="00FC2294">
        <w:rPr>
          <w:rFonts w:eastAsia="Calibri" w:asciiTheme="majorHAnsi" w:hAnsiTheme="majorHAnsi"/>
          <w:bCs/>
          <w:sz w:val="24"/>
        </w:rPr>
        <w:t xml:space="preserve">Esta modificación a los lineamientos rige a partir </w:t>
      </w:r>
      <w:r>
        <w:rPr>
          <w:rFonts w:eastAsia="Calibri" w:asciiTheme="majorHAnsi" w:hAnsiTheme="majorHAnsi"/>
          <w:bCs/>
          <w:sz w:val="24"/>
        </w:rPr>
        <w:t xml:space="preserve">del </w:t>
      </w:r>
      <w:r w:rsidR="00257C7E">
        <w:rPr>
          <w:rFonts w:eastAsia="Calibri" w:asciiTheme="majorHAnsi" w:hAnsiTheme="majorHAnsi"/>
          <w:bCs/>
          <w:sz w:val="24"/>
        </w:rPr>
        <w:t xml:space="preserve">01 </w:t>
      </w:r>
      <w:r>
        <w:rPr>
          <w:rFonts w:eastAsia="Calibri" w:asciiTheme="majorHAnsi" w:hAnsiTheme="majorHAnsi"/>
          <w:bCs/>
          <w:sz w:val="24"/>
        </w:rPr>
        <w:t xml:space="preserve">de </w:t>
      </w:r>
      <w:r w:rsidR="00257C7E">
        <w:rPr>
          <w:rFonts w:eastAsia="Calibri" w:asciiTheme="majorHAnsi" w:hAnsiTheme="majorHAnsi"/>
          <w:bCs/>
          <w:sz w:val="24"/>
        </w:rPr>
        <w:t>enero</w:t>
      </w:r>
      <w:r>
        <w:rPr>
          <w:rFonts w:eastAsia="Calibri" w:asciiTheme="majorHAnsi" w:hAnsiTheme="majorHAnsi"/>
          <w:bCs/>
          <w:sz w:val="24"/>
        </w:rPr>
        <w:t xml:space="preserve"> del 201</w:t>
      </w:r>
      <w:r w:rsidR="00E470A5">
        <w:rPr>
          <w:rFonts w:eastAsia="Calibri" w:asciiTheme="majorHAnsi" w:hAnsiTheme="majorHAnsi"/>
          <w:bCs/>
          <w:sz w:val="24"/>
        </w:rPr>
        <w:t>9</w:t>
      </w:r>
      <w:r>
        <w:rPr>
          <w:rFonts w:eastAsia="Calibri" w:asciiTheme="majorHAnsi" w:hAnsiTheme="majorHAnsi"/>
          <w:bCs/>
          <w:sz w:val="24"/>
        </w:rPr>
        <w:t>.</w:t>
      </w:r>
      <w:r w:rsidRPr="00FC2294">
        <w:rPr>
          <w:rFonts w:asciiTheme="majorHAnsi" w:hAnsiTheme="majorHAnsi"/>
          <w:sz w:val="24"/>
        </w:rPr>
        <w:t xml:space="preserve"> </w:t>
      </w:r>
    </w:p>
    <w:p w:rsidR="00313EDC" w:rsidP="00D26EDE" w:rsidRDefault="00313EDC" w14:paraId="44092774" w14:textId="77777777">
      <w:pPr>
        <w:pStyle w:val="Texto0"/>
        <w:spacing w:before="0" w:after="0" w:line="240" w:lineRule="auto"/>
        <w:rPr>
          <w:sz w:val="24"/>
        </w:rPr>
      </w:pPr>
    </w:p>
    <w:p w:rsidR="00313EDC" w:rsidP="00D26EDE" w:rsidRDefault="00313EDC" w14:paraId="499768FE" w14:textId="77777777">
      <w:pPr>
        <w:pStyle w:val="Texto0"/>
        <w:spacing w:before="0" w:after="0" w:line="240" w:lineRule="auto"/>
        <w:rPr>
          <w:sz w:val="24"/>
        </w:rPr>
      </w:pPr>
    </w:p>
    <w:p w:rsidRPr="002E2B0A" w:rsidR="0071134B" w:rsidP="00D26EDE" w:rsidRDefault="00313EDC" w14:paraId="68C024B8" w14:textId="6E2D551E">
      <w:pPr>
        <w:pStyle w:val="Texto0"/>
        <w:spacing w:before="0" w:after="0" w:line="240" w:lineRule="auto"/>
        <w:rPr>
          <w:sz w:val="24"/>
        </w:rPr>
      </w:pPr>
      <w:r>
        <w:rPr>
          <w:noProof/>
          <w:lang w:val="es-CR" w:eastAsia="es-CR"/>
        </w:rPr>
        <w:drawing>
          <wp:anchor distT="0" distB="0" distL="114300" distR="114300" simplePos="0" relativeHeight="251658240" behindDoc="1" locked="0" layoutInCell="1" allowOverlap="1" wp14:editId="4FD588E4" wp14:anchorId="3DCA78DB">
            <wp:simplePos x="0" y="0"/>
            <wp:positionH relativeFrom="column">
              <wp:posOffset>-163830</wp:posOffset>
            </wp:positionH>
            <wp:positionV relativeFrom="paragraph">
              <wp:posOffset>167005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71134B">
        <w:rPr>
          <w:sz w:val="24"/>
        </w:rPr>
        <w:t>Atentamente,</w:t>
      </w:r>
    </w:p>
    <w:p w:rsidR="000F34AE" w:rsidP="00D26EDE" w:rsidRDefault="000F34AE" w14:paraId="2E4D83C2" w14:textId="24D3D8B5">
      <w:pPr>
        <w:spacing w:line="240" w:lineRule="auto"/>
        <w:rPr>
          <w:sz w:val="24"/>
        </w:rPr>
      </w:pPr>
    </w:p>
    <w:p w:rsidR="00DA0158" w:rsidP="00D26EDE" w:rsidRDefault="00DA0158" w14:paraId="6EC47168" w14:textId="77777777">
      <w:pPr>
        <w:spacing w:line="240" w:lineRule="auto"/>
        <w:rPr>
          <w:sz w:val="24"/>
        </w:rPr>
      </w:pPr>
    </w:p>
    <w:p w:rsidR="004C7711" w:rsidP="004C7711" w:rsidRDefault="004C7711" w14:paraId="013F8B03" w14:textId="77777777">
      <w:pPr>
        <w:jc w:val="left"/>
        <w:rPr>
          <w:sz w:val="24"/>
        </w:rPr>
      </w:pPr>
      <w:r>
        <w:rPr>
          <w:sz w:val="24"/>
        </w:rPr>
        <w:t>Bernardo Alfaro A.</w:t>
      </w:r>
      <w:r>
        <w:rPr>
          <w:sz w:val="24"/>
        </w:rPr>
        <w:br/>
      </w:r>
      <w:r w:rsidRPr="00072CDB">
        <w:rPr>
          <w:b/>
          <w:sz w:val="24"/>
        </w:rPr>
        <w:t>Superintendente</w:t>
      </w:r>
    </w:p>
    <w:p w:rsidR="00042E07" w:rsidP="00D26EDE" w:rsidRDefault="00042E07" w14:paraId="0AC763FF" w14:textId="765892E1">
      <w:pPr>
        <w:spacing w:line="240" w:lineRule="auto"/>
        <w:rPr>
          <w:sz w:val="24"/>
        </w:rPr>
      </w:pPr>
    </w:p>
    <w:p w:rsidRPr="007C4C64" w:rsidR="00042E07" w:rsidP="00042E07" w:rsidRDefault="00B86ADF" w14:paraId="60799F8C" w14:textId="77777777">
      <w:pPr>
        <w:spacing w:before="120" w:after="120" w:line="240" w:lineRule="auto"/>
        <w:contextualSpacing/>
        <w:rPr>
          <w:rFonts w:eastAsia="Calibri" w:asciiTheme="majorHAnsi" w:hAnsiTheme="majorHAnsi"/>
          <w:bCs/>
          <w:sz w:val="20"/>
        </w:rPr>
      </w:pPr>
      <w:sdt>
        <w:sdtPr>
          <w:rPr>
            <w:rFonts w:eastAsia="Calibri" w:asciiTheme="majorHAnsi" w:hAnsiTheme="majorHAnsi"/>
            <w:bCs/>
            <w:sz w:val="20"/>
          </w:rPr>
          <w:alias w:val="Unidad generadora"/>
          <w:tag w:val="unidad generadora"/>
          <w:id w:val="11415835"/>
          <w:placeholder>
            <w:docPart w:val="DB736D6028954A2089F375D924AE0D5D"/>
          </w:placeholder>
        </w:sdtPr>
        <w:sdtEndPr/>
        <w:sdtContent>
          <w:r w:rsidRPr="007C4C64" w:rsidR="00042E07">
            <w:rPr>
              <w:rFonts w:eastAsia="Calibri" w:asciiTheme="majorHAnsi" w:hAnsiTheme="majorHAnsi"/>
              <w:bCs/>
              <w:sz w:val="20"/>
            </w:rPr>
            <w:t>Unidad generadora:</w:t>
          </w:r>
        </w:sdtContent>
      </w:sdt>
      <w:r w:rsidRPr="007C4C64" w:rsidR="00042E07">
        <w:rPr>
          <w:rFonts w:eastAsia="Calibri" w:asciiTheme="majorHAnsi" w:hAnsiTheme="majorHAnsi"/>
          <w:bCs/>
          <w:sz w:val="20"/>
        </w:rPr>
        <w:t xml:space="preserve"> Departamento de Normas, Dirección General de Servicios Técnicos</w:t>
      </w:r>
      <w:r w:rsidR="00042E07">
        <w:rPr>
          <w:rFonts w:eastAsia="Calibri" w:asciiTheme="majorHAnsi" w:hAnsiTheme="majorHAnsi"/>
          <w:bCs/>
          <w:sz w:val="20"/>
        </w:rPr>
        <w:t>.</w:t>
      </w:r>
    </w:p>
    <w:p w:rsidR="00042E07" w:rsidP="00042E07" w:rsidRDefault="00042E07" w14:paraId="34EAB7B2" w14:textId="77777777">
      <w:pPr>
        <w:spacing w:before="120" w:after="120" w:line="240" w:lineRule="auto"/>
        <w:contextualSpacing/>
        <w:rPr>
          <w:rFonts w:eastAsia="Calibri" w:asciiTheme="majorHAnsi" w:hAnsiTheme="majorHAnsi"/>
          <w:bCs/>
          <w:sz w:val="20"/>
        </w:rPr>
      </w:pPr>
    </w:p>
    <w:p w:rsidRPr="007C4C64" w:rsidR="00042E07" w:rsidP="00042E07" w:rsidRDefault="00042E07" w14:paraId="2B95E87B" w14:textId="77777777">
      <w:pPr>
        <w:spacing w:before="120" w:after="120" w:line="240" w:lineRule="auto"/>
        <w:contextualSpacing/>
        <w:rPr>
          <w:rFonts w:eastAsia="Calibri" w:asciiTheme="majorHAnsi" w:hAnsiTheme="majorHAnsi"/>
          <w:bCs/>
          <w:sz w:val="20"/>
        </w:rPr>
      </w:pPr>
      <w:r w:rsidRPr="007C4C64">
        <w:rPr>
          <w:rFonts w:eastAsia="Calibri" w:asciiTheme="majorHAnsi" w:hAnsiTheme="majorHAnsi"/>
          <w:bCs/>
          <w:sz w:val="20"/>
        </w:rPr>
        <w:t xml:space="preserve">Categoría: </w:t>
      </w:r>
      <w:sdt>
        <w:sdtPr>
          <w:rPr>
            <w:rFonts w:eastAsia="Calibri" w:asciiTheme="majorHAnsi" w:hAnsiTheme="majorHAnsi"/>
            <w:bCs/>
            <w:sz w:val="20"/>
          </w:rPr>
          <w:alias w:val="Categoria"/>
          <w:tag w:val="categoria"/>
          <w:id w:val="11415837"/>
          <w:placeholder>
            <w:docPart w:val="F024713F47C7454387090880968B779F"/>
          </w:placeholder>
          <w:dropDownList>
            <w:listItem w:value="Elija un elemento."/>
            <w:listItem w:displayText="Requerimiento de información" w:value="Requerimiento de información"/>
            <w:listItem w:displayText="Comunicado" w:value="Comunicado"/>
            <w:listItem w:displayText="Aclaratoria" w:value="Aclaratoria"/>
            <w:listItem w:displayText="Recordatorio" w:value="Recordatorio"/>
            <w:listItem w:displayText="Convocatoria" w:value="Convocatoria"/>
            <w:listItem w:displayText="Sistemas de Información" w:value="Sistemas de Información"/>
            <w:listItem w:displayText="Proyecto específico" w:value="Proyecto específico"/>
            <w:listItem w:displayText="Requerimiento judicial" w:value="Requerimiento judicial"/>
            <w:listItem w:displayText="Sistema Gestión Calidad" w:value="Sistema Gestión Calidad"/>
          </w:dropDownList>
        </w:sdtPr>
        <w:sdtEndPr/>
        <w:sdtContent>
          <w:r w:rsidRPr="007C4C64">
            <w:rPr>
              <w:rFonts w:eastAsia="Calibri" w:asciiTheme="majorHAnsi" w:hAnsiTheme="majorHAnsi"/>
              <w:bCs/>
              <w:sz w:val="20"/>
            </w:rPr>
            <w:t>Comunicado</w:t>
          </w:r>
        </w:sdtContent>
      </w:sdt>
      <w:r w:rsidRPr="007C4C64">
        <w:rPr>
          <w:rFonts w:eastAsia="Calibri" w:asciiTheme="majorHAnsi" w:hAnsiTheme="majorHAnsi"/>
          <w:bCs/>
          <w:sz w:val="20"/>
        </w:rPr>
        <w:t xml:space="preserve"> </w:t>
      </w:r>
    </w:p>
    <w:p w:rsidR="00042E07" w:rsidP="00042E07" w:rsidRDefault="00042E07" w14:paraId="31046EBB" w14:textId="77777777">
      <w:pPr>
        <w:spacing w:before="120" w:after="120" w:line="240" w:lineRule="auto"/>
        <w:contextualSpacing/>
        <w:rPr>
          <w:rFonts w:eastAsia="Calibri" w:asciiTheme="majorHAnsi" w:hAnsiTheme="majorHAnsi"/>
          <w:bCs/>
          <w:sz w:val="20"/>
        </w:rPr>
      </w:pPr>
    </w:p>
    <w:p w:rsidRPr="00DE4CC8" w:rsidR="00042E07" w:rsidP="00042E07" w:rsidRDefault="00044CF1" w14:paraId="1218D0AE" w14:textId="2DB24450">
      <w:pPr>
        <w:spacing w:before="120" w:after="120" w:line="240" w:lineRule="auto"/>
        <w:contextualSpacing/>
        <w:rPr>
          <w:rFonts w:eastAsia="Calibri" w:asciiTheme="majorHAnsi" w:hAnsiTheme="majorHAnsi"/>
          <w:b/>
          <w:bCs/>
          <w:sz w:val="18"/>
          <w:lang w:val="es-CR"/>
        </w:rPr>
      </w:pPr>
      <w:r>
        <w:rPr>
          <w:rFonts w:eastAsia="Calibri" w:asciiTheme="majorHAnsi" w:hAnsiTheme="majorHAnsi"/>
          <w:b/>
          <w:bCs/>
          <w:sz w:val="18"/>
          <w:lang w:val="es-CR"/>
        </w:rPr>
        <w:t>CGM</w:t>
      </w:r>
      <w:r w:rsidRPr="00DE4CC8" w:rsidR="00042E07">
        <w:rPr>
          <w:rFonts w:eastAsia="Calibri" w:asciiTheme="majorHAnsi" w:hAnsiTheme="majorHAnsi"/>
          <w:b/>
          <w:bCs/>
          <w:sz w:val="18"/>
          <w:lang w:val="es-CR"/>
        </w:rPr>
        <w:t>/RED/ILL/gvl*</w:t>
      </w:r>
    </w:p>
    <w:p w:rsidRPr="0085692C" w:rsidR="00A26E9E" w:rsidP="00590F07" w:rsidRDefault="00A26E9E" w14:paraId="048357C3" w14:textId="77777777">
      <w:pPr>
        <w:pStyle w:val="CC"/>
      </w:pPr>
    </w:p>
    <w:sectPr w:rsidRPr="0085692C" w:rsidR="00A26E9E"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DE7E3" w14:textId="77777777" w:rsidR="00EF243A" w:rsidRDefault="00EF243A" w:rsidP="00D43D57">
      <w:r>
        <w:separator/>
      </w:r>
    </w:p>
  </w:endnote>
  <w:endnote w:type="continuationSeparator" w:id="0">
    <w:p w14:paraId="67E0579F" w14:textId="77777777" w:rsidR="00EF243A" w:rsidRDefault="00EF243A"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296D046B"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20FFF0A4" w14:textId="77777777">
      <w:trPr>
        <w:trHeight w:val="546"/>
      </w:trPr>
      <w:tc>
        <w:tcPr>
          <w:tcW w:w="3189" w:type="dxa"/>
          <w:shd w:val="clear" w:color="auto" w:fill="FFFFFF"/>
          <w:vAlign w:val="center"/>
        </w:tcPr>
        <w:p w:rsidR="008F1461" w:rsidP="000C62BB" w:rsidRDefault="008F1461" w14:paraId="564F4CAB" w14:textId="77777777">
          <w:pPr>
            <w:pStyle w:val="Piepagina"/>
          </w:pPr>
          <w:r>
            <w:rPr>
              <w:b/>
              <w:bCs/>
            </w:rPr>
            <w:t>Teléfono</w:t>
          </w:r>
          <w:r>
            <w:t xml:space="preserve">   (506) 2243-4848</w:t>
          </w:r>
        </w:p>
        <w:p w:rsidR="008F1461" w:rsidP="000C62BB" w:rsidRDefault="008F1461" w14:paraId="3B3D271F"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3412926D" w14:textId="77777777">
          <w:pPr>
            <w:pStyle w:val="Piepagina"/>
          </w:pPr>
          <w:r>
            <w:rPr>
              <w:b/>
              <w:bCs/>
            </w:rPr>
            <w:t>Apartado</w:t>
          </w:r>
          <w:r>
            <w:t xml:space="preserve"> 2762-1000</w:t>
          </w:r>
        </w:p>
        <w:p w:rsidR="008F1461" w:rsidP="000C62BB" w:rsidRDefault="008F1461" w14:paraId="478821FC" w14:textId="77777777">
          <w:pPr>
            <w:pStyle w:val="Piepagina"/>
          </w:pPr>
          <w:r>
            <w:t>San José, Costa Rica</w:t>
          </w:r>
        </w:p>
      </w:tc>
      <w:tc>
        <w:tcPr>
          <w:tcW w:w="2410" w:type="dxa"/>
          <w:shd w:val="clear" w:color="auto" w:fill="FFFFFF"/>
          <w:vAlign w:val="center"/>
        </w:tcPr>
        <w:p w:rsidR="008F1461" w:rsidP="000C62BB" w:rsidRDefault="008F1461" w14:paraId="4C8C97D7" w14:textId="77777777">
          <w:pPr>
            <w:pStyle w:val="Piepagina"/>
          </w:pPr>
          <w:r>
            <w:t>www.sugef.fi.cr</w:t>
          </w:r>
        </w:p>
        <w:p w:rsidR="008F1461" w:rsidP="000C62BB" w:rsidRDefault="008F1461" w14:paraId="48A9DE09" w14:textId="77777777">
          <w:pPr>
            <w:pStyle w:val="Piepagina"/>
          </w:pPr>
          <w:r>
            <w:t>sugefcr@sugef.fi.cr</w:t>
          </w:r>
        </w:p>
      </w:tc>
      <w:tc>
        <w:tcPr>
          <w:tcW w:w="260" w:type="dxa"/>
          <w:shd w:val="clear" w:color="auto" w:fill="FFFFFF"/>
        </w:tcPr>
        <w:p w:rsidR="008F1461" w:rsidP="000C62BB" w:rsidRDefault="008F1461" w14:paraId="37B7CB53" w14:textId="77777777">
          <w:pPr>
            <w:pStyle w:val="Piepagina"/>
          </w:pPr>
          <w:r>
            <w:fldChar w:fldCharType="begin"/>
          </w:r>
          <w:r>
            <w:instrText>PAGE   \* MERGEFORMAT</w:instrText>
          </w:r>
          <w:r>
            <w:fldChar w:fldCharType="separate"/>
          </w:r>
          <w:r w:rsidR="00B86ADF">
            <w:rPr>
              <w:noProof/>
            </w:rPr>
            <w:t>1</w:t>
          </w:r>
          <w:r>
            <w:fldChar w:fldCharType="end"/>
          </w:r>
        </w:p>
      </w:tc>
    </w:tr>
  </w:tbl>
  <w:p w:rsidRPr="000C62BB" w:rsidR="00590F07" w:rsidRDefault="00590F07" w14:paraId="15BF93FB" w14:textId="77777777">
    <w:pPr>
      <w:pStyle w:val="Piedepgina"/>
      <w:jc w:val="right"/>
      <w:rPr>
        <w:color w:val="969696"/>
        <w:sz w:val="20"/>
        <w:szCs w:val="20"/>
      </w:rPr>
    </w:pPr>
  </w:p>
  <w:p w:rsidR="001C075B" w:rsidP="00FA54DF" w:rsidRDefault="001C075B" w14:paraId="719CB3D6"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771D146F" w14:textId="77777777">
    <w:pPr>
      <w:pStyle w:val="Piepagina"/>
      <w:jc w:val="center"/>
    </w:pPr>
    <w:r>
      <w:rPr>
        <w:noProof/>
        <w:lang w:val="es-CR" w:eastAsia="es-CR"/>
      </w:rPr>
      <w:drawing>
        <wp:anchor distT="0" distB="0" distL="114300" distR="114300" simplePos="0" relativeHeight="251669504" behindDoc="1" locked="0" layoutInCell="1" allowOverlap="1" wp14:editId="2ACFD531" wp14:anchorId="00DFF53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5EC0062" wp14:anchorId="02327CD7">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29D7A19C" w14:textId="77777777">
                          <w:pPr>
                            <w:rPr>
                              <w:color w:val="003A68"/>
                              <w:sz w:val="14"/>
                              <w:szCs w:val="14"/>
                            </w:rPr>
                          </w:pPr>
                          <w:r w:rsidRPr="00FA54DF">
                            <w:rPr>
                              <w:color w:val="003A68"/>
                              <w:sz w:val="14"/>
                              <w:szCs w:val="14"/>
                            </w:rPr>
                            <w:t xml:space="preserve">T. (506) 2243-3631   </w:t>
                          </w:r>
                        </w:p>
                        <w:p w:rsidRPr="00FA54DF" w:rsidR="001C075B" w:rsidRDefault="001C075B" w14:paraId="505FA2FB" w14:textId="77777777">
                          <w:pPr>
                            <w:rPr>
                              <w:color w:val="003A68"/>
                              <w:sz w:val="14"/>
                              <w:szCs w:val="14"/>
                            </w:rPr>
                          </w:pPr>
                          <w:r w:rsidRPr="00FA54DF">
                            <w:rPr>
                              <w:color w:val="003A68"/>
                              <w:sz w:val="14"/>
                              <w:szCs w:val="14"/>
                            </w:rPr>
                            <w:t xml:space="preserve">F. (506) 2243-4579   </w:t>
                          </w:r>
                        </w:p>
                        <w:p w:rsidR="001C075B" w:rsidRDefault="001C075B" w14:paraId="7FFC51B2" w14:textId="77777777">
                          <w:pPr>
                            <w:rPr>
                              <w:color w:val="003A68"/>
                              <w:sz w:val="14"/>
                              <w:szCs w:val="14"/>
                            </w:rPr>
                          </w:pPr>
                          <w:r w:rsidRPr="00FA54DF">
                            <w:rPr>
                              <w:color w:val="003A68"/>
                              <w:sz w:val="14"/>
                              <w:szCs w:val="14"/>
                            </w:rPr>
                            <w:t>Apdo. 10058-1000</w:t>
                          </w:r>
                        </w:p>
                        <w:p w:rsidR="001C075B" w:rsidRDefault="001C075B" w14:paraId="0DD703B1" w14:textId="77777777">
                          <w:pPr>
                            <w:rPr>
                              <w:color w:val="003A68"/>
                              <w:sz w:val="14"/>
                              <w:szCs w:val="14"/>
                            </w:rPr>
                          </w:pPr>
                          <w:r w:rsidRPr="00FA54DF">
                            <w:rPr>
                              <w:color w:val="003A68"/>
                              <w:sz w:val="14"/>
                              <w:szCs w:val="14"/>
                            </w:rPr>
                            <w:t>Av. 1 y Central, Calles 2 y 4</w:t>
                          </w:r>
                        </w:p>
                        <w:p w:rsidRPr="00FA54DF" w:rsidR="001C075B" w:rsidRDefault="001C075B" w14:paraId="0CB551AE"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2327CD7">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29D7A19C" w14:textId="77777777">
                    <w:pPr>
                      <w:rPr>
                        <w:color w:val="003A68"/>
                        <w:sz w:val="14"/>
                        <w:szCs w:val="14"/>
                      </w:rPr>
                    </w:pPr>
                    <w:r w:rsidRPr="00FA54DF">
                      <w:rPr>
                        <w:color w:val="003A68"/>
                        <w:sz w:val="14"/>
                        <w:szCs w:val="14"/>
                      </w:rPr>
                      <w:t xml:space="preserve">T. (506) 2243-3631   </w:t>
                    </w:r>
                  </w:p>
                  <w:p w:rsidRPr="00FA54DF" w:rsidR="001C075B" w:rsidRDefault="001C075B" w14:paraId="505FA2FB" w14:textId="77777777">
                    <w:pPr>
                      <w:rPr>
                        <w:color w:val="003A68"/>
                        <w:sz w:val="14"/>
                        <w:szCs w:val="14"/>
                      </w:rPr>
                    </w:pPr>
                    <w:r w:rsidRPr="00FA54DF">
                      <w:rPr>
                        <w:color w:val="003A68"/>
                        <w:sz w:val="14"/>
                        <w:szCs w:val="14"/>
                      </w:rPr>
                      <w:t xml:space="preserve">F. (506) 2243-4579   </w:t>
                    </w:r>
                  </w:p>
                  <w:p w:rsidR="001C075B" w:rsidRDefault="001C075B" w14:paraId="7FFC51B2" w14:textId="77777777">
                    <w:pPr>
                      <w:rPr>
                        <w:color w:val="003A68"/>
                        <w:sz w:val="14"/>
                        <w:szCs w:val="14"/>
                      </w:rPr>
                    </w:pPr>
                    <w:r w:rsidRPr="00FA54DF">
                      <w:rPr>
                        <w:color w:val="003A68"/>
                        <w:sz w:val="14"/>
                        <w:szCs w:val="14"/>
                      </w:rPr>
                      <w:t>Apdo. 10058-1000</w:t>
                    </w:r>
                  </w:p>
                  <w:p w:rsidR="001C075B" w:rsidRDefault="001C075B" w14:paraId="0DD703B1" w14:textId="77777777">
                    <w:pPr>
                      <w:rPr>
                        <w:color w:val="003A68"/>
                        <w:sz w:val="14"/>
                        <w:szCs w:val="14"/>
                      </w:rPr>
                    </w:pPr>
                    <w:r w:rsidRPr="00FA54DF">
                      <w:rPr>
                        <w:color w:val="003A68"/>
                        <w:sz w:val="14"/>
                        <w:szCs w:val="14"/>
                      </w:rPr>
                      <w:t>Av. 1 y Central, Calles 2 y 4</w:t>
                    </w:r>
                  </w:p>
                  <w:p w:rsidRPr="00FA54DF" w:rsidR="001C075B" w:rsidRDefault="001C075B" w14:paraId="0CB551AE" w14:textId="77777777">
                    <w:pPr>
                      <w:rPr>
                        <w:color w:val="003A68"/>
                        <w:sz w:val="14"/>
                        <w:szCs w:val="14"/>
                      </w:rPr>
                    </w:pPr>
                  </w:p>
                </w:txbxContent>
              </v:textbox>
            </v:shape>
          </w:pict>
        </mc:Fallback>
      </mc:AlternateContent>
    </w:r>
  </w:p>
  <w:p w:rsidRPr="00D43D57" w:rsidR="001C075B" w:rsidP="008C0BF0" w:rsidRDefault="001C075B" w14:paraId="31A5D73E" w14:textId="77777777">
    <w:pPr>
      <w:pStyle w:val="Piepagina"/>
      <w:jc w:val="center"/>
    </w:pPr>
  </w:p>
  <w:p w:rsidR="001C075B" w:rsidRDefault="001C075B" w14:paraId="423F352C"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3B10D" w14:textId="77777777" w:rsidR="00EF243A" w:rsidRDefault="00EF243A" w:rsidP="00D43D57">
      <w:r>
        <w:separator/>
      </w:r>
    </w:p>
  </w:footnote>
  <w:footnote w:type="continuationSeparator" w:id="0">
    <w:p w14:paraId="4230460D" w14:textId="77777777" w:rsidR="00EF243A" w:rsidRDefault="00EF243A"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032A9A9C" w14:textId="77777777">
    <w:pPr>
      <w:pStyle w:val="Piedepgina"/>
      <w:jc w:val="center"/>
    </w:pPr>
    <w:r>
      <w:rPr>
        <w:noProof/>
        <w:lang w:val="es-CR" w:eastAsia="es-CR"/>
      </w:rPr>
      <w:drawing>
        <wp:inline distT="0" distB="0" distL="0" distR="0" wp14:anchorId="600684D7" wp14:editId="75230A7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19886D38" w14:textId="77777777">
    <w:pPr>
      <w:pStyle w:val="Encabezado"/>
      <w:pBdr>
        <w:bottom w:val="single" w:color="auto" w:sz="4" w:space="3"/>
      </w:pBdr>
      <w:ind w:right="-1"/>
      <w:rPr>
        <w:b/>
        <w:sz w:val="20"/>
        <w:szCs w:val="20"/>
      </w:rPr>
    </w:pPr>
    <w:r>
      <w:rPr>
        <w:noProof/>
        <w:lang w:val="es-CR" w:eastAsia="es-CR"/>
      </w:rPr>
      <w:drawing>
        <wp:inline distT="0" distB="0" distL="0" distR="0" wp14:anchorId="5C545ED3" wp14:editId="2BC6B379">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21D2BF6F"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40000CC3"/>
    <w:multiLevelType w:val="hybridMultilevel"/>
    <w:tmpl w:val="E7D223EC"/>
    <w:lvl w:ilvl="0" w:tplc="76C29216">
      <w:start w:val="1"/>
      <w:numFmt w:val="upperRoman"/>
      <w:lvlText w:val="%1."/>
      <w:lvlJc w:val="right"/>
      <w:pPr>
        <w:ind w:left="720" w:hanging="360"/>
      </w:pPr>
      <w:rPr>
        <w:rFonts w:ascii="Cambria" w:hAnsi="Cambria"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5E522C33"/>
    <w:multiLevelType w:val="hybridMultilevel"/>
    <w:tmpl w:val="BD12D1E0"/>
    <w:lvl w:ilvl="0" w:tplc="31608974">
      <w:start w:val="1"/>
      <w:numFmt w:val="decimal"/>
      <w:lvlText w:val="%1."/>
      <w:lvlJc w:val="left"/>
      <w:pPr>
        <w:ind w:left="393" w:hanging="360"/>
      </w:pPr>
      <w:rPr>
        <w:rFonts w:hint="default"/>
        <w:b/>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3A"/>
    <w:rsid w:val="000064A4"/>
    <w:rsid w:val="00013E99"/>
    <w:rsid w:val="000235B5"/>
    <w:rsid w:val="00026C85"/>
    <w:rsid w:val="00041BDD"/>
    <w:rsid w:val="00042E07"/>
    <w:rsid w:val="000439A6"/>
    <w:rsid w:val="00044CF1"/>
    <w:rsid w:val="00060C03"/>
    <w:rsid w:val="000646DD"/>
    <w:rsid w:val="00081865"/>
    <w:rsid w:val="00082968"/>
    <w:rsid w:val="000B15FC"/>
    <w:rsid w:val="000C2932"/>
    <w:rsid w:val="000C62BB"/>
    <w:rsid w:val="000E0AC6"/>
    <w:rsid w:val="000F34AE"/>
    <w:rsid w:val="001052E8"/>
    <w:rsid w:val="0011438C"/>
    <w:rsid w:val="00117501"/>
    <w:rsid w:val="00124CB8"/>
    <w:rsid w:val="00126C38"/>
    <w:rsid w:val="001322B4"/>
    <w:rsid w:val="001327EB"/>
    <w:rsid w:val="0016220C"/>
    <w:rsid w:val="001653C6"/>
    <w:rsid w:val="001946F4"/>
    <w:rsid w:val="001A6574"/>
    <w:rsid w:val="001C075B"/>
    <w:rsid w:val="001C5806"/>
    <w:rsid w:val="001E0448"/>
    <w:rsid w:val="00230C67"/>
    <w:rsid w:val="00257C7E"/>
    <w:rsid w:val="002645B7"/>
    <w:rsid w:val="002A14D5"/>
    <w:rsid w:val="002B385D"/>
    <w:rsid w:val="002C56A4"/>
    <w:rsid w:val="002E2B0A"/>
    <w:rsid w:val="002E3589"/>
    <w:rsid w:val="002E56D1"/>
    <w:rsid w:val="002E571B"/>
    <w:rsid w:val="002F08D5"/>
    <w:rsid w:val="003060E2"/>
    <w:rsid w:val="00310570"/>
    <w:rsid w:val="00313EDC"/>
    <w:rsid w:val="00317BBB"/>
    <w:rsid w:val="00322A87"/>
    <w:rsid w:val="003267FB"/>
    <w:rsid w:val="003312B8"/>
    <w:rsid w:val="003503A2"/>
    <w:rsid w:val="003554C5"/>
    <w:rsid w:val="00365794"/>
    <w:rsid w:val="00373B22"/>
    <w:rsid w:val="00385CC2"/>
    <w:rsid w:val="003C4C71"/>
    <w:rsid w:val="003E4EDB"/>
    <w:rsid w:val="00410551"/>
    <w:rsid w:val="00414B77"/>
    <w:rsid w:val="0042086E"/>
    <w:rsid w:val="00427002"/>
    <w:rsid w:val="00445881"/>
    <w:rsid w:val="00447A41"/>
    <w:rsid w:val="004822E6"/>
    <w:rsid w:val="00492FE3"/>
    <w:rsid w:val="00494B26"/>
    <w:rsid w:val="00497F96"/>
    <w:rsid w:val="004C7711"/>
    <w:rsid w:val="004D7F44"/>
    <w:rsid w:val="004F74E7"/>
    <w:rsid w:val="005105C4"/>
    <w:rsid w:val="0053623F"/>
    <w:rsid w:val="00550D78"/>
    <w:rsid w:val="0055719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26CC"/>
    <w:rsid w:val="007736D4"/>
    <w:rsid w:val="007815A6"/>
    <w:rsid w:val="0079518D"/>
    <w:rsid w:val="007B18D6"/>
    <w:rsid w:val="007B51DD"/>
    <w:rsid w:val="007C1DFC"/>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23DD2"/>
    <w:rsid w:val="00926BD6"/>
    <w:rsid w:val="00936085"/>
    <w:rsid w:val="009475B6"/>
    <w:rsid w:val="009578D4"/>
    <w:rsid w:val="00962265"/>
    <w:rsid w:val="009718F7"/>
    <w:rsid w:val="0097235C"/>
    <w:rsid w:val="00977CEE"/>
    <w:rsid w:val="00982147"/>
    <w:rsid w:val="00983CB1"/>
    <w:rsid w:val="00984A65"/>
    <w:rsid w:val="009908DE"/>
    <w:rsid w:val="009A0905"/>
    <w:rsid w:val="009B5E5E"/>
    <w:rsid w:val="009C47FE"/>
    <w:rsid w:val="009F54CB"/>
    <w:rsid w:val="00A07495"/>
    <w:rsid w:val="00A23019"/>
    <w:rsid w:val="00A26E9E"/>
    <w:rsid w:val="00A34523"/>
    <w:rsid w:val="00A447D3"/>
    <w:rsid w:val="00A76A2E"/>
    <w:rsid w:val="00A8250C"/>
    <w:rsid w:val="00A84CDB"/>
    <w:rsid w:val="00A906DD"/>
    <w:rsid w:val="00AB16CB"/>
    <w:rsid w:val="00AC5138"/>
    <w:rsid w:val="00AC5E12"/>
    <w:rsid w:val="00AD7B1E"/>
    <w:rsid w:val="00AE3929"/>
    <w:rsid w:val="00AF45B7"/>
    <w:rsid w:val="00B079EC"/>
    <w:rsid w:val="00B1318C"/>
    <w:rsid w:val="00B43C40"/>
    <w:rsid w:val="00B464F6"/>
    <w:rsid w:val="00B771D8"/>
    <w:rsid w:val="00B77CF0"/>
    <w:rsid w:val="00B80284"/>
    <w:rsid w:val="00B84E87"/>
    <w:rsid w:val="00B86ADF"/>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B7684"/>
    <w:rsid w:val="00CC03EB"/>
    <w:rsid w:val="00D03728"/>
    <w:rsid w:val="00D06E99"/>
    <w:rsid w:val="00D102F8"/>
    <w:rsid w:val="00D10AD8"/>
    <w:rsid w:val="00D2424F"/>
    <w:rsid w:val="00D26EDE"/>
    <w:rsid w:val="00D32808"/>
    <w:rsid w:val="00D43D57"/>
    <w:rsid w:val="00D44EF3"/>
    <w:rsid w:val="00D45FC0"/>
    <w:rsid w:val="00D54C08"/>
    <w:rsid w:val="00D55CA3"/>
    <w:rsid w:val="00D96D0A"/>
    <w:rsid w:val="00DA0158"/>
    <w:rsid w:val="00DB3508"/>
    <w:rsid w:val="00DB3E70"/>
    <w:rsid w:val="00DB7D64"/>
    <w:rsid w:val="00DC2193"/>
    <w:rsid w:val="00DC3B8E"/>
    <w:rsid w:val="00DE08C6"/>
    <w:rsid w:val="00E0013C"/>
    <w:rsid w:val="00E035BB"/>
    <w:rsid w:val="00E11252"/>
    <w:rsid w:val="00E13C47"/>
    <w:rsid w:val="00E41258"/>
    <w:rsid w:val="00E470A5"/>
    <w:rsid w:val="00E5185D"/>
    <w:rsid w:val="00E728E4"/>
    <w:rsid w:val="00E75AC8"/>
    <w:rsid w:val="00E82177"/>
    <w:rsid w:val="00EB4E27"/>
    <w:rsid w:val="00EB71D8"/>
    <w:rsid w:val="00EC2E48"/>
    <w:rsid w:val="00ED0FDD"/>
    <w:rsid w:val="00EE00D4"/>
    <w:rsid w:val="00EE0904"/>
    <w:rsid w:val="00EE3A47"/>
    <w:rsid w:val="00EF0C8B"/>
    <w:rsid w:val="00EF243A"/>
    <w:rsid w:val="00F10AFE"/>
    <w:rsid w:val="00F1102D"/>
    <w:rsid w:val="00F1297C"/>
    <w:rsid w:val="00F12A97"/>
    <w:rsid w:val="00F33277"/>
    <w:rsid w:val="00F6038D"/>
    <w:rsid w:val="00F654F5"/>
    <w:rsid w:val="00F731A3"/>
    <w:rsid w:val="00F73412"/>
    <w:rsid w:val="00F8107E"/>
    <w:rsid w:val="00F8680D"/>
    <w:rsid w:val="00FA06A7"/>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7C56A97"/>
  <w15:docId w15:val="{E8559231-E5FD-47CB-BBF9-FFEAE3F9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2">
    <w:name w:val="heading 2"/>
    <w:next w:val="Normal"/>
    <w:link w:val="Ttulo2Car"/>
    <w:uiPriority w:val="9"/>
    <w:unhideWhenUsed/>
    <w:qFormat/>
    <w:locked/>
    <w:rsid w:val="00042E07"/>
    <w:pPr>
      <w:keepNext/>
      <w:keepLines/>
      <w:spacing w:line="259" w:lineRule="auto"/>
      <w:ind w:left="21" w:hanging="10"/>
      <w:jc w:val="center"/>
      <w:outlineLvl w:val="1"/>
    </w:pPr>
    <w:rPr>
      <w:rFonts w:ascii="Times New Roman" w:eastAsia="Times New Roman" w:hAnsi="Times New Roman"/>
      <w:b/>
      <w:color w:val="000000"/>
      <w:sz w:val="28"/>
      <w:szCs w:val="22"/>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Ttulo2Car">
    <w:name w:val="Título 2 Car"/>
    <w:basedOn w:val="Fuentedeprrafopredeter"/>
    <w:link w:val="Ttulo2"/>
    <w:uiPriority w:val="9"/>
    <w:rsid w:val="00042E07"/>
    <w:rPr>
      <w:rFonts w:ascii="Times New Roman" w:eastAsia="Times New Roman" w:hAnsi="Times New Roman"/>
      <w:b/>
      <w:color w:val="000000"/>
      <w:sz w:val="28"/>
      <w:szCs w:val="22"/>
    </w:rPr>
  </w:style>
  <w:style w:type="paragraph" w:styleId="Prrafodelista">
    <w:name w:val="List Paragraph"/>
    <w:basedOn w:val="Normal"/>
    <w:link w:val="PrrafodelistaCar"/>
    <w:uiPriority w:val="34"/>
    <w:qFormat/>
    <w:locked/>
    <w:rsid w:val="00042E07"/>
    <w:pPr>
      <w:spacing w:after="200" w:line="276" w:lineRule="auto"/>
      <w:ind w:left="720"/>
      <w:contextualSpacing/>
      <w:jc w:val="left"/>
    </w:pPr>
    <w:rPr>
      <w:rFonts w:ascii="Calibri" w:eastAsia="Calibri" w:hAnsi="Calibri"/>
      <w:szCs w:val="22"/>
      <w:lang w:val="es-CR"/>
    </w:rPr>
  </w:style>
  <w:style w:type="character" w:customStyle="1" w:styleId="PrrafodelistaCar">
    <w:name w:val="Párrafo de lista Car"/>
    <w:link w:val="Prrafodelista"/>
    <w:uiPriority w:val="34"/>
    <w:locked/>
    <w:rsid w:val="00042E07"/>
    <w:rPr>
      <w:rFonts w:ascii="Calibri" w:hAnsi="Calibri"/>
      <w:sz w:val="22"/>
      <w:szCs w:val="22"/>
      <w:lang w:eastAsia="en-US"/>
    </w:rPr>
  </w:style>
  <w:style w:type="table" w:customStyle="1" w:styleId="TableGrid">
    <w:name w:val="TableGrid"/>
    <w:rsid w:val="00042E0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7DCF3F75DD419986DFB6CA1D1E5CC5"/>
        <w:category>
          <w:name w:val="General"/>
          <w:gallery w:val="placeholder"/>
        </w:category>
        <w:types>
          <w:type w:val="bbPlcHdr"/>
        </w:types>
        <w:behaviors>
          <w:behavior w:val="content"/>
        </w:behaviors>
        <w:guid w:val="{1C44A2EB-5618-4C1D-A0EB-39B0D695420C}"/>
      </w:docPartPr>
      <w:docPartBody>
        <w:p w:rsidR="000F7A2E" w:rsidRDefault="00C9265C" w:rsidP="00C9265C">
          <w:pPr>
            <w:pStyle w:val="D07DCF3F75DD419986DFB6CA1D1E5CC5"/>
          </w:pPr>
          <w:r w:rsidRPr="001E0779">
            <w:rPr>
              <w:rStyle w:val="Textodelmarcadordeposicin"/>
            </w:rPr>
            <w:t>Haga clic aquí para escribir texto.</w:t>
          </w:r>
        </w:p>
      </w:docPartBody>
    </w:docPart>
    <w:docPart>
      <w:docPartPr>
        <w:name w:val="FB03B2673CB7475D8C214E5F0292BE56"/>
        <w:category>
          <w:name w:val="General"/>
          <w:gallery w:val="placeholder"/>
        </w:category>
        <w:types>
          <w:type w:val="bbPlcHdr"/>
        </w:types>
        <w:behaviors>
          <w:behavior w:val="content"/>
        </w:behaviors>
        <w:guid w:val="{B3922FA8-4D9C-433D-A8C1-B2D66052C1A3}"/>
      </w:docPartPr>
      <w:docPartBody>
        <w:p w:rsidR="000F7A2E" w:rsidRDefault="00C9265C" w:rsidP="00C9265C">
          <w:pPr>
            <w:pStyle w:val="FB03B2673CB7475D8C214E5F0292BE56"/>
          </w:pPr>
          <w:r>
            <w:rPr>
              <w:rStyle w:val="Textodelmarcadordeposicin"/>
            </w:rPr>
            <w:t>Elija un elemento.</w:t>
          </w:r>
        </w:p>
      </w:docPartBody>
    </w:docPart>
    <w:docPart>
      <w:docPartPr>
        <w:name w:val="DB736D6028954A2089F375D924AE0D5D"/>
        <w:category>
          <w:name w:val="General"/>
          <w:gallery w:val="placeholder"/>
        </w:category>
        <w:types>
          <w:type w:val="bbPlcHdr"/>
        </w:types>
        <w:behaviors>
          <w:behavior w:val="content"/>
        </w:behaviors>
        <w:guid w:val="{A3AC9CA2-C2C9-47DA-B98B-3D1B974BE8F7}"/>
      </w:docPartPr>
      <w:docPartBody>
        <w:p w:rsidR="000F7A2E" w:rsidRDefault="00C9265C" w:rsidP="00C9265C">
          <w:pPr>
            <w:pStyle w:val="DB736D6028954A2089F375D924AE0D5D"/>
          </w:pPr>
          <w:r w:rsidRPr="00016D12">
            <w:rPr>
              <w:rStyle w:val="Textodelmarcadordeposicin"/>
            </w:rPr>
            <w:t>Haga clic aquí para escribir texto.</w:t>
          </w:r>
        </w:p>
      </w:docPartBody>
    </w:docPart>
    <w:docPart>
      <w:docPartPr>
        <w:name w:val="F024713F47C7454387090880968B779F"/>
        <w:category>
          <w:name w:val="General"/>
          <w:gallery w:val="placeholder"/>
        </w:category>
        <w:types>
          <w:type w:val="bbPlcHdr"/>
        </w:types>
        <w:behaviors>
          <w:behavior w:val="content"/>
        </w:behaviors>
        <w:guid w:val="{D5146E6B-4359-4466-8CC1-AAB433FE0649}"/>
      </w:docPartPr>
      <w:docPartBody>
        <w:p w:rsidR="000F7A2E" w:rsidRDefault="00C9265C" w:rsidP="00C9265C">
          <w:pPr>
            <w:pStyle w:val="F024713F47C7454387090880968B779F"/>
          </w:pPr>
          <w:r w:rsidRPr="00016D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5C"/>
    <w:rsid w:val="000F7A2E"/>
    <w:rsid w:val="00C926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9265C"/>
    <w:rPr>
      <w:color w:val="808080"/>
    </w:rPr>
  </w:style>
  <w:style w:type="paragraph" w:customStyle="1" w:styleId="1229474AC032465F892859127DD7F859">
    <w:name w:val="1229474AC032465F892859127DD7F859"/>
  </w:style>
  <w:style w:type="paragraph" w:customStyle="1" w:styleId="84BA5D10B94543888822BB710C6A886E">
    <w:name w:val="84BA5D10B94543888822BB710C6A886E"/>
  </w:style>
  <w:style w:type="paragraph" w:customStyle="1" w:styleId="D07DCF3F75DD419986DFB6CA1D1E5CC5">
    <w:name w:val="D07DCF3F75DD419986DFB6CA1D1E5CC5"/>
    <w:rsid w:val="00C9265C"/>
  </w:style>
  <w:style w:type="paragraph" w:customStyle="1" w:styleId="FB03B2673CB7475D8C214E5F0292BE56">
    <w:name w:val="FB03B2673CB7475D8C214E5F0292BE56"/>
    <w:rsid w:val="00C9265C"/>
  </w:style>
  <w:style w:type="paragraph" w:customStyle="1" w:styleId="DB736D6028954A2089F375D924AE0D5D">
    <w:name w:val="DB736D6028954A2089F375D924AE0D5D"/>
    <w:rsid w:val="00C9265C"/>
  </w:style>
  <w:style w:type="paragraph" w:customStyle="1" w:styleId="F024713F47C7454387090880968B779F">
    <w:name w:val="F024713F47C7454387090880968B779F"/>
    <w:rsid w:val="00C92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p3E4HtCXoZreVG3XbCww6UNvY8uBEydAdbH9oygmub8=</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kuwP3rSKCCOYA8FiiRT0HS77IPC8sD6N221xw6ng8FI=</DigestValue>
    </Reference>
  </SignedInfo>
  <SignatureValue>oHaKwJNPEFQjoi0mjGSx02jxLbdKqeZGDUuPtvK+h9rsBTPBInjt57lGI29XTeFVP2kpIgbF9/Fs
vDilJ1+0Aazqfo5Pepb8lHD7D4X7ewyEXCXWencNizD/c4wpaq+1O/kPK7W+465xJ9qngHR0+NSW
1p5apN7+BuJchcA+4R59557MBwSAVJmtiyGNyKBuqflIfHeIWrGSkJxFJ0ijarwU0eRuO6M8piDt
aBnDQIArWA8/K+GCoiOVojJKE0ybW0VUXdHxWvJ5XFrbWlQw1PkbYlSPAgKffxsCJO9qM7+Uf1P4
UsmuOc0KaCPGa0t5SIb/g8un3vrIyuWJvA1tCw==</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Xa3pAp2xAntGC4Pa6iMJMlbH89DGSsZHluutAC/+SVo=</DigestValue>
      </Reference>
      <Reference URI="/word/endnotes.xml?ContentType=application/vnd.openxmlformats-officedocument.wordprocessingml.endnotes+xml">
        <DigestMethod Algorithm="http://www.w3.org/2001/04/xmlenc#sha256"/>
        <DigestValue>l4i3j5MvG9GSq/wJiQw28d5TiTSRzGcvY7LweqtAaLA=</DigestValue>
      </Reference>
      <Reference URI="/word/fontTable.xml?ContentType=application/vnd.openxmlformats-officedocument.wordprocessingml.fontTable+xml">
        <DigestMethod Algorithm="http://www.w3.org/2001/04/xmlenc#sha256"/>
        <DigestValue>0ePdiz5ArD0fXjhSBzdLI6rw+EkyINSlo+iGuLrTOmU=</DigestValue>
      </Reference>
      <Reference URI="/word/footer1.xml?ContentType=application/vnd.openxmlformats-officedocument.wordprocessingml.footer+xml">
        <DigestMethod Algorithm="http://www.w3.org/2001/04/xmlenc#sha256"/>
        <DigestValue>4AW9Y+NIAlo4zBMyZ4V01GDYOcpRhGcahvmzUE/TQdM=</DigestValue>
      </Reference>
      <Reference URI="/word/footer2.xml?ContentType=application/vnd.openxmlformats-officedocument.wordprocessingml.footer+xml">
        <DigestMethod Algorithm="http://www.w3.org/2001/04/xmlenc#sha256"/>
        <DigestValue>0/sWs8Oh9Q8HZrrh85wMzMAbtBtAKLlV5T8ltr6/6gg=</DigestValue>
      </Reference>
      <Reference URI="/word/footnotes.xml?ContentType=application/vnd.openxmlformats-officedocument.wordprocessingml.footnotes+xml">
        <DigestMethod Algorithm="http://www.w3.org/2001/04/xmlenc#sha256"/>
        <DigestValue>MJSZV3fiM+K9MKWgfQ6zkHa28D7zDnYJ1MESLEAF5yU=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FBSyr6wQMIKL/VOl46tIoWG/D3D7LJiDjMkA5OLCX2g=</DigestValue>
      </Reference>
      <Reference URI="/word/glossary/fontTable.xml?ContentType=application/vnd.openxmlformats-officedocument.wordprocessingml.fontTable+xml">
        <DigestMethod Algorithm="http://www.w3.org/2001/04/xmlenc#sha256"/>
        <DigestValue>IMuYg1l4K7oxrU/6hlaRwtZyJNtM7tb/OhM6DjWa2xs=</DigestValue>
      </Reference>
      <Reference URI="/word/glossary/settings.xml?ContentType=application/vnd.openxmlformats-officedocument.wordprocessingml.settings+xml">
        <DigestMethod Algorithm="http://www.w3.org/2001/04/xmlenc#sha256"/>
        <DigestValue>LbviK3x87RcmbEVSEwu0I+gdNEnlKmRagmIoaacvDgI=</DigestValue>
      </Reference>
      <Reference URI="/word/glossary/styles.xml?ContentType=application/vnd.openxmlformats-officedocument.wordprocessingml.styles+xml">
        <DigestMethod Algorithm="http://www.w3.org/2001/04/xmlenc#sha256"/>
        <DigestValue>J42IuzHJ8vcqSE+TeBUChey53kTFOAccYWQiD+E00Z4=</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kVUfk2/dJ3WRKG9uGLn7ncUnfBzEehWP7pEQxvi5PMw=</DigestValue>
      </Reference>
      <Reference URI="/word/header2.xml?ContentType=application/vnd.openxmlformats-officedocument.wordprocessingml.header+xml">
        <DigestMethod Algorithm="http://www.w3.org/2001/04/xmlenc#sha256"/>
        <DigestValue>53PneubEuSny2e2BfB4/9BaSUddEdoIikaux+Wlt7sQ=</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OlDUKx4OEftVguyfer2P9fwLveYT1s0iVsL2Sp+dDE0=</DigestValue>
      </Reference>
      <Reference URI="/word/settings.xml?ContentType=application/vnd.openxmlformats-officedocument.wordprocessingml.settings+xml">
        <DigestMethod Algorithm="http://www.w3.org/2001/04/xmlenc#sha256"/>
        <DigestValue>k4q0Z4tPFVLAB8q8pOYFz1q2mtVcSLpUyjfH+BcFCns=</DigestValue>
      </Reference>
      <Reference URI="/word/styles.xml?ContentType=application/vnd.openxmlformats-officedocument.wordprocessingml.styles+xml">
        <DigestMethod Algorithm="http://www.w3.org/2001/04/xmlenc#sha256"/>
        <DigestValue>iCdaoDPtNdltvDhGHk/kIg2pXuwCwvzaErPPFrVQa4s=</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Ya86hDuU6SNOQ9EABNqR/VJGnCd7+QyvDZ3mIasHOfI=</DigestValue>
      </Reference>
    </Manifest>
    <SignatureProperties>
      <SignatureProperty Id="idSignatureTime" Target="#idPackageSignature">
        <mdssi:SignatureTime xmlns:mdssi="http://schemas.openxmlformats.org/package/2006/digital-signature">
          <mdssi:Format>YYYY-MM-DDThh:mm:ssTZD</mdssi:Format>
          <mdssi:Value>2018-12-19T18:41:57Z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2018-12-19T18:41:57Z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TaxCatchAll xmlns="b875e23b-67d9-4b2e-bdec-edacbf90b326">
      <Value>63</Value>
      <Value>109</Value>
      <Value>126</Value>
      <Value>3</Value>
      <Value>2</Value>
      <Value>1</Value>
    </TaxCatchAll>
    <OtraEntidadExterna xmlns="b875e23b-67d9-4b2e-bdec-edacbf90b326">A todas las entidades indicadas en la resolución </OtraEntidadExterna>
    <Firmado xmlns="b875e23b-67d9-4b2e-bdec-edacbf90b326">true</Firmado>
    <Responsable xmlns="b875e23b-67d9-4b2e-bdec-edacbf90b326">
      <UserInfo>
        <DisplayName>GARITA MOYA CARLOS</DisplayName>
        <AccountId>377</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ningún oficio</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Modificación de los Lineamentos Generales al Reglamento sobre Suficiencia Patrimonial de Entidades  Financieras,  Acuerdo   SUGEF 3-06.
Copiar a la Saliente de Normas. Se copia a Administrativo para que realice la publicación en la Gaceta.</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Área Coordinación Administrativa</TermName>
          <TermId>39ce7748-92aa-4572-8334-49785789cb1c</TermId>
        </TermInfo>
      </Term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Modificación de los Lineamentos Generales, Acuerdo SUGEF 3-06</Subject1>
    <Entrante_x0020_relacionado xmlns="b875e23b-67d9-4b2e-bdec-edacbf90b326">
      <Url xsi:nil="true"/>
      <Description xsi:nil="true"/>
    </Entrante_x0020_relacionado>
  </documentManagement>
</p:properti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347912D2-45B8-43E5-B860-A2F4ECC10231}"/>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7F75E0E4-0BBF-49BF-B044-42F4080BC7A3}"/>
</file>

<file path=customXml/itemProps5.xml><?xml version="1.0" encoding="utf-8"?>
<ds:datastoreItem xmlns:ds="http://schemas.openxmlformats.org/officeDocument/2006/customXml" ds:itemID="{436D88C7-1D3F-4A52-8611-D221D6814EB6}"/>
</file>

<file path=customXml/itemProps6.xml><?xml version="1.0" encoding="utf-8"?>
<ds:datastoreItem xmlns:ds="http://schemas.openxmlformats.org/officeDocument/2006/customXml" ds:itemID="{4383D2DD-2405-49BE-97BA-72DAECC7E339}"/>
</file>

<file path=docProps/app.xml><?xml version="1.0" encoding="utf-8"?>
<Properties xmlns="http://schemas.openxmlformats.org/officeDocument/2006/extended-properties" xmlns:vt="http://schemas.openxmlformats.org/officeDocument/2006/docPropsVTypes">
  <Template>plantilla-SGF-13-Normas.dotm</Template>
  <TotalTime>183</TotalTime>
  <Pages>2</Pages>
  <Words>451</Words>
  <Characters>2484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ECHEVERRIA DELGADO RAQUEL</dc:creator>
  <cp:lastModifiedBy>VARGAS LEAL MARIA GABRIELA</cp:lastModifiedBy>
  <cp:revision>32</cp:revision>
  <cp:lastPrinted>2015-07-30T22:36:00Z</cp:lastPrinted>
  <dcterms:created xsi:type="dcterms:W3CDTF">2018-11-09T17:35:00Z</dcterms:created>
  <dcterms:modified xsi:type="dcterms:W3CDTF">2018-12-19T16:08:00Z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126;#Oficio|417b7e3a-1426-4267-afb3-20be5f4d6412</vt:lpwstr>
  </property>
  <property fmtid="{D5CDD505-2E9C-101B-9397-08002B2CF9AE}" pid="6"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7" name="Unidad de Destino">
    <vt:lpwstr>109;#Área Coordinación Administrativa|39ce7748-92aa-4572-8334-49785789cb1c</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25100</vt:r8>
  </property>
  <property fmtid="{D5CDD505-2E9C-101B-9397-08002B2CF9AE}" pid="13" name="Confidencialidad">
    <vt:lpwstr>Público|99c2402f-8ec3-4ca8-8024-be52e4e7f629</vt:lpwstr>
  </property>
  <property fmtid="{D5CDD505-2E9C-101B-9397-08002B2CF9AE}" pid="14" name="WorkflowChangePath">
    <vt:lpwstr>db02241f-29c2-4291-a3e5-2279928b3947,6;cb1954ac-0595-4038-a807-eb26625a3b7c,9;cb1954ac-0595-4038-a807-eb26625a3b7c,9;</vt:lpwstr>
  </property>
</Properties>
</file>