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6.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466E" w14:textId="77777777" w:rsidR="0046519F" w:rsidRPr="008E3606" w:rsidRDefault="0046519F" w:rsidP="00342E9C">
      <w:pPr>
        <w:pStyle w:val="Texto"/>
        <w:spacing w:before="0" w:after="0" w:line="240" w:lineRule="auto"/>
        <w:jc w:val="center"/>
        <w:rPr>
          <w:b/>
          <w:bCs/>
          <w:sz w:val="24"/>
        </w:rPr>
      </w:pPr>
      <w:r w:rsidRPr="008E3606">
        <w:rPr>
          <w:b/>
          <w:bCs/>
          <w:sz w:val="24"/>
        </w:rPr>
        <w:t>Resolución</w:t>
      </w:r>
    </w:p>
    <w:p w14:paraId="1D41BBDE" w14:textId="028D7FF7" w:rsidR="00181ABF" w:rsidRPr="008E3606" w:rsidRDefault="00C04686" w:rsidP="00342E9C">
      <w:pPr>
        <w:pStyle w:val="Texto"/>
        <w:spacing w:before="0" w:after="0" w:line="240" w:lineRule="auto"/>
        <w:jc w:val="center"/>
        <w:rPr>
          <w:sz w:val="24"/>
        </w:rPr>
      </w:pPr>
      <w:r>
        <w:rPr>
          <w:sz w:val="24"/>
        </w:rPr>
        <w:t>18</w:t>
      </w:r>
      <w:r w:rsidR="00342E9C" w:rsidRPr="008E3606">
        <w:rPr>
          <w:sz w:val="24"/>
        </w:rPr>
        <w:t xml:space="preserve"> </w:t>
      </w:r>
      <w:r w:rsidR="00181ABF" w:rsidRPr="008E3606">
        <w:rPr>
          <w:sz w:val="24"/>
        </w:rPr>
        <w:t xml:space="preserve">de </w:t>
      </w:r>
      <w:r w:rsidR="00342E9C" w:rsidRPr="008E3606">
        <w:rPr>
          <w:sz w:val="24"/>
        </w:rPr>
        <w:t>diciembre</w:t>
      </w:r>
      <w:r w:rsidR="00181ABF" w:rsidRPr="008E3606">
        <w:rPr>
          <w:sz w:val="24"/>
        </w:rPr>
        <w:t xml:space="preserve"> de </w:t>
      </w:r>
      <w:r w:rsidR="00342E9C" w:rsidRPr="008E3606">
        <w:rPr>
          <w:sz w:val="24"/>
        </w:rPr>
        <w:t>2023</w:t>
      </w:r>
    </w:p>
    <w:sdt>
      <w:sdtPr>
        <w:rPr>
          <w:sz w:val="24"/>
        </w:rPr>
        <w:alias w:val="Consecutivo"/>
        <w:tag w:val="Consecutivo"/>
        <w:id w:val="2052717023"/>
        <w:placeholder>
          <w:docPart w:val="DB3F53E333C54EB8BF5460A7180B9E12"/>
        </w:placeholder>
        <w:text/>
      </w:sdtPr>
      <w:sdtEndPr/>
      <w:sdtContent>
        <w:p w14:paraId="7DD0E745" w14:textId="77777777" w:rsidR="00181ABF" w:rsidRPr="008E3606" w:rsidRDefault="00181ABF" w:rsidP="00342E9C">
          <w:pPr>
            <w:tabs>
              <w:tab w:val="left" w:pos="2843"/>
            </w:tabs>
            <w:spacing w:line="240" w:lineRule="auto"/>
            <w:jc w:val="center"/>
            <w:rPr>
              <w:sz w:val="24"/>
            </w:rPr>
          </w:pPr>
          <w:r>
            <w:t>SGF-3272-2023</w:t>
          </w:r>
        </w:p>
      </w:sdtContent>
    </w:sdt>
    <w:p w14:paraId="5245480A" w14:textId="2D8D7A79" w:rsidR="00181ABF" w:rsidRPr="008E3606" w:rsidRDefault="00C04686" w:rsidP="00C409C8">
      <w:pPr>
        <w:tabs>
          <w:tab w:val="left" w:pos="2843"/>
        </w:tabs>
        <w:spacing w:after="240" w:line="240" w:lineRule="auto"/>
        <w:jc w:val="center"/>
        <w:rPr>
          <w:sz w:val="24"/>
        </w:rPr>
      </w:pPr>
      <w:sdt>
        <w:sdtPr>
          <w:rPr>
            <w:sz w:val="24"/>
          </w:rPr>
          <w:alias w:val="Confidencialidad"/>
          <w:tag w:val="Confidencialidad"/>
          <w:id w:val="1447896894"/>
          <w:placeholder>
            <w:docPart w:val="8003DACCDBE3405DB9C5CD053127D24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42E9C" w:rsidRPr="008E3606">
            <w:rPr>
              <w:sz w:val="24"/>
            </w:rPr>
            <w:t>SGF-PUBLICO</w:t>
          </w:r>
        </w:sdtContent>
      </w:sdt>
    </w:p>
    <w:p w14:paraId="5AF7F547" w14:textId="77777777" w:rsidR="00E10BA0" w:rsidRPr="008E3606" w:rsidRDefault="00E10BA0" w:rsidP="00E10BA0">
      <w:pPr>
        <w:widowControl w:val="0"/>
        <w:spacing w:line="240" w:lineRule="auto"/>
        <w:jc w:val="left"/>
        <w:rPr>
          <w:b/>
          <w:bCs/>
          <w:sz w:val="24"/>
        </w:rPr>
      </w:pPr>
      <w:r w:rsidRPr="008E3606">
        <w:rPr>
          <w:b/>
          <w:bCs/>
          <w:sz w:val="24"/>
        </w:rPr>
        <w:t xml:space="preserve">Dirigida a: </w:t>
      </w:r>
    </w:p>
    <w:p w14:paraId="758990E9" w14:textId="7F4C1AB8" w:rsidR="00E10BA0" w:rsidRPr="008E3606" w:rsidRDefault="00E10BA0" w:rsidP="00B21E78">
      <w:pPr>
        <w:pStyle w:val="Prrafodelista"/>
        <w:widowControl w:val="0"/>
        <w:numPr>
          <w:ilvl w:val="0"/>
          <w:numId w:val="49"/>
        </w:numPr>
        <w:spacing w:line="240" w:lineRule="auto"/>
        <w:jc w:val="left"/>
        <w:rPr>
          <w:rFonts w:ascii="Cambria" w:hAnsi="Cambria"/>
          <w:szCs w:val="24"/>
        </w:rPr>
      </w:pPr>
      <w:r w:rsidRPr="008E3606">
        <w:rPr>
          <w:rFonts w:ascii="Cambria" w:hAnsi="Cambria"/>
          <w:szCs w:val="24"/>
        </w:rPr>
        <w:t>Bancos comerciales del estado</w:t>
      </w:r>
    </w:p>
    <w:p w14:paraId="39893EF8" w14:textId="0C29A8B6" w:rsidR="00E10BA0" w:rsidRPr="008E3606" w:rsidRDefault="00E10BA0" w:rsidP="00B21E78">
      <w:pPr>
        <w:pStyle w:val="Prrafodelista"/>
        <w:widowControl w:val="0"/>
        <w:numPr>
          <w:ilvl w:val="0"/>
          <w:numId w:val="49"/>
        </w:numPr>
        <w:spacing w:line="240" w:lineRule="auto"/>
        <w:jc w:val="left"/>
        <w:rPr>
          <w:rFonts w:ascii="Cambria" w:hAnsi="Cambria"/>
          <w:szCs w:val="24"/>
        </w:rPr>
      </w:pPr>
      <w:r w:rsidRPr="008E3606">
        <w:rPr>
          <w:rFonts w:ascii="Cambria" w:hAnsi="Cambria"/>
          <w:szCs w:val="24"/>
        </w:rPr>
        <w:t>Bancos creados por ley especial</w:t>
      </w:r>
    </w:p>
    <w:p w14:paraId="6141818A" w14:textId="0D541D5A" w:rsidR="00E10BA0" w:rsidRPr="008E3606" w:rsidRDefault="00E10BA0" w:rsidP="00B21E78">
      <w:pPr>
        <w:pStyle w:val="Prrafodelista"/>
        <w:widowControl w:val="0"/>
        <w:numPr>
          <w:ilvl w:val="0"/>
          <w:numId w:val="49"/>
        </w:numPr>
        <w:spacing w:line="240" w:lineRule="auto"/>
        <w:jc w:val="left"/>
        <w:rPr>
          <w:rFonts w:ascii="Cambria" w:hAnsi="Cambria"/>
          <w:szCs w:val="24"/>
        </w:rPr>
      </w:pPr>
      <w:r w:rsidRPr="008E3606">
        <w:rPr>
          <w:rFonts w:ascii="Cambria" w:hAnsi="Cambria"/>
          <w:szCs w:val="24"/>
        </w:rPr>
        <w:t>Bancos privados</w:t>
      </w:r>
    </w:p>
    <w:p w14:paraId="291375FB" w14:textId="4F65FA66" w:rsidR="00E10BA0" w:rsidRPr="008E3606" w:rsidRDefault="00E10BA0" w:rsidP="00B21E78">
      <w:pPr>
        <w:pStyle w:val="Prrafodelista"/>
        <w:widowControl w:val="0"/>
        <w:numPr>
          <w:ilvl w:val="0"/>
          <w:numId w:val="49"/>
        </w:numPr>
        <w:spacing w:line="240" w:lineRule="auto"/>
        <w:jc w:val="left"/>
        <w:rPr>
          <w:rFonts w:ascii="Cambria" w:hAnsi="Cambria"/>
          <w:szCs w:val="24"/>
        </w:rPr>
      </w:pPr>
      <w:r w:rsidRPr="008E3606">
        <w:rPr>
          <w:rFonts w:ascii="Cambria" w:hAnsi="Cambria"/>
          <w:szCs w:val="24"/>
        </w:rPr>
        <w:t>Empresas financieras no bancarias</w:t>
      </w:r>
    </w:p>
    <w:p w14:paraId="6AA1F8C5" w14:textId="62D7421B" w:rsidR="00E10BA0" w:rsidRPr="008E3606" w:rsidRDefault="00E10BA0" w:rsidP="00B21E78">
      <w:pPr>
        <w:pStyle w:val="Prrafodelista"/>
        <w:widowControl w:val="0"/>
        <w:numPr>
          <w:ilvl w:val="0"/>
          <w:numId w:val="49"/>
        </w:numPr>
        <w:spacing w:line="240" w:lineRule="auto"/>
        <w:jc w:val="left"/>
        <w:rPr>
          <w:rFonts w:ascii="Cambria" w:hAnsi="Cambria"/>
          <w:szCs w:val="24"/>
        </w:rPr>
      </w:pPr>
      <w:r w:rsidRPr="008E3606">
        <w:rPr>
          <w:rFonts w:ascii="Cambria" w:hAnsi="Cambria"/>
          <w:szCs w:val="24"/>
        </w:rPr>
        <w:t>Organizaciones cooperativas de ahorro y crédito</w:t>
      </w:r>
    </w:p>
    <w:p w14:paraId="62D18E8E" w14:textId="3F3A6F1B" w:rsidR="00E10BA0" w:rsidRPr="008E3606" w:rsidRDefault="00E10BA0" w:rsidP="00B21E78">
      <w:pPr>
        <w:pStyle w:val="Prrafodelista"/>
        <w:widowControl w:val="0"/>
        <w:numPr>
          <w:ilvl w:val="0"/>
          <w:numId w:val="49"/>
        </w:numPr>
        <w:spacing w:line="240" w:lineRule="auto"/>
        <w:jc w:val="left"/>
        <w:rPr>
          <w:rFonts w:ascii="Cambria" w:hAnsi="Cambria"/>
          <w:szCs w:val="24"/>
        </w:rPr>
      </w:pPr>
      <w:r w:rsidRPr="008E3606">
        <w:rPr>
          <w:rFonts w:ascii="Cambria" w:hAnsi="Cambria"/>
          <w:szCs w:val="24"/>
        </w:rPr>
        <w:t>Asociaciones mutualistas de ahorro y préstamo</w:t>
      </w:r>
    </w:p>
    <w:p w14:paraId="1C56DA7E" w14:textId="647E5CDB" w:rsidR="00E10BA0" w:rsidRPr="008E3606" w:rsidRDefault="00E10BA0" w:rsidP="00B21E78">
      <w:pPr>
        <w:pStyle w:val="Prrafodelista"/>
        <w:widowControl w:val="0"/>
        <w:numPr>
          <w:ilvl w:val="0"/>
          <w:numId w:val="49"/>
        </w:numPr>
        <w:spacing w:after="240" w:line="240" w:lineRule="auto"/>
        <w:jc w:val="left"/>
        <w:rPr>
          <w:rFonts w:ascii="Cambria" w:hAnsi="Cambria"/>
          <w:szCs w:val="24"/>
        </w:rPr>
      </w:pPr>
      <w:r w:rsidRPr="008E3606">
        <w:rPr>
          <w:rFonts w:ascii="Cambria" w:hAnsi="Cambria"/>
          <w:szCs w:val="24"/>
        </w:rPr>
        <w:t>Otras entidades financieras</w:t>
      </w:r>
    </w:p>
    <w:p w14:paraId="4B08E5BF" w14:textId="16E9C4B4" w:rsidR="00E10BA0" w:rsidRPr="008E3606" w:rsidRDefault="00E10BA0" w:rsidP="00E10BA0">
      <w:pPr>
        <w:widowControl w:val="0"/>
        <w:spacing w:after="240" w:line="240" w:lineRule="auto"/>
        <w:ind w:left="1134" w:hanging="1134"/>
        <w:rPr>
          <w:sz w:val="24"/>
        </w:rPr>
      </w:pPr>
      <w:r w:rsidRPr="008E3606">
        <w:rPr>
          <w:b/>
          <w:bCs/>
          <w:sz w:val="24"/>
        </w:rPr>
        <w:t>Asunto</w:t>
      </w:r>
      <w:r w:rsidRPr="008E3606">
        <w:rPr>
          <w:sz w:val="24"/>
        </w:rPr>
        <w:t>:</w:t>
      </w:r>
      <w:r w:rsidRPr="008E3606">
        <w:rPr>
          <w:sz w:val="24"/>
        </w:rPr>
        <w:tab/>
      </w:r>
      <w:r w:rsidRPr="008E3606">
        <w:rPr>
          <w:b/>
          <w:bCs/>
          <w:sz w:val="24"/>
        </w:rPr>
        <w:t>Consulta externa</w:t>
      </w:r>
      <w:r w:rsidRPr="008E3606">
        <w:rPr>
          <w:sz w:val="24"/>
        </w:rPr>
        <w:t xml:space="preserve"> de la modificación del Acuerdo del Superintendente SUGEF-A-002 </w:t>
      </w:r>
      <w:r w:rsidR="00B548A6" w:rsidRPr="008E3606">
        <w:rPr>
          <w:sz w:val="24"/>
        </w:rPr>
        <w:t>'</w:t>
      </w:r>
      <w:r w:rsidRPr="008E3606">
        <w:rPr>
          <w:i/>
          <w:iCs/>
          <w:sz w:val="24"/>
        </w:rPr>
        <w:t>Lineamientos Generales para la Aplicación del Reglamento sobre la Suficiencia Patrimonial de Entidades Financieras, Acuerdo SUGEF 3-06</w:t>
      </w:r>
      <w:r w:rsidR="00B548A6" w:rsidRPr="008E3606">
        <w:rPr>
          <w:sz w:val="24"/>
        </w:rPr>
        <w:t>'</w:t>
      </w:r>
      <w:r w:rsidRPr="008E3606">
        <w:rPr>
          <w:sz w:val="24"/>
        </w:rPr>
        <w:t>, y sus reformas, emitido el 6 de enero de 2006.</w:t>
      </w:r>
    </w:p>
    <w:p w14:paraId="2F629F4A" w14:textId="77777777" w:rsidR="00E10BA0" w:rsidRPr="008E3606" w:rsidRDefault="00E10BA0" w:rsidP="00E10BA0">
      <w:pPr>
        <w:widowControl w:val="0"/>
        <w:spacing w:after="240" w:line="240" w:lineRule="auto"/>
        <w:jc w:val="left"/>
        <w:rPr>
          <w:b/>
          <w:bCs/>
          <w:sz w:val="24"/>
        </w:rPr>
      </w:pPr>
      <w:r w:rsidRPr="008E3606">
        <w:rPr>
          <w:b/>
          <w:bCs/>
          <w:sz w:val="24"/>
        </w:rPr>
        <w:t xml:space="preserve">La Superintendente General de Entidades Financieras, </w:t>
      </w:r>
    </w:p>
    <w:p w14:paraId="7585979F" w14:textId="6390E8CB" w:rsidR="00E10BA0" w:rsidRPr="008E3606" w:rsidRDefault="00E10BA0" w:rsidP="00E10BA0">
      <w:pPr>
        <w:widowControl w:val="0"/>
        <w:spacing w:after="240" w:line="240" w:lineRule="auto"/>
        <w:jc w:val="left"/>
        <w:rPr>
          <w:b/>
          <w:bCs/>
          <w:sz w:val="24"/>
        </w:rPr>
      </w:pPr>
      <w:r w:rsidRPr="008E3606">
        <w:rPr>
          <w:b/>
          <w:bCs/>
          <w:sz w:val="24"/>
        </w:rPr>
        <w:t>Considerando que</w:t>
      </w:r>
      <w:r w:rsidR="0046519F" w:rsidRPr="008E3606">
        <w:rPr>
          <w:b/>
          <w:bCs/>
          <w:sz w:val="24"/>
        </w:rPr>
        <w:t>:</w:t>
      </w:r>
    </w:p>
    <w:p w14:paraId="2116A261" w14:textId="64AF8577" w:rsidR="00E10BA0" w:rsidRPr="008E3606" w:rsidRDefault="00E10BA0" w:rsidP="00E10BA0">
      <w:pPr>
        <w:widowControl w:val="0"/>
        <w:numPr>
          <w:ilvl w:val="0"/>
          <w:numId w:val="3"/>
        </w:numPr>
        <w:spacing w:after="240" w:line="240" w:lineRule="auto"/>
        <w:ind w:hanging="566"/>
        <w:rPr>
          <w:sz w:val="24"/>
        </w:rPr>
      </w:pPr>
      <w:r w:rsidRPr="008E3606">
        <w:rPr>
          <w:sz w:val="24"/>
        </w:rPr>
        <w:t xml:space="preserve">El Consejo Nacional de Supervisión del Sistema Financiero, mediante el </w:t>
      </w:r>
      <w:r w:rsidR="00A90875" w:rsidRPr="008E3606">
        <w:rPr>
          <w:sz w:val="24"/>
        </w:rPr>
        <w:t>Artículo 7 de la sesión 1837-2023 del 4 de diciembre de 2023</w:t>
      </w:r>
      <w:r w:rsidRPr="008E3606">
        <w:rPr>
          <w:sz w:val="24"/>
        </w:rPr>
        <w:t xml:space="preserve"> envió en consulta una modificación al </w:t>
      </w:r>
      <w:r w:rsidRPr="008E3606">
        <w:rPr>
          <w:i/>
          <w:iCs/>
          <w:sz w:val="24"/>
        </w:rPr>
        <w:t>Reglamento sobre la Suficiencia Patrimonial de Entidades Financieras</w:t>
      </w:r>
      <w:r w:rsidRPr="008E3606">
        <w:rPr>
          <w:sz w:val="24"/>
        </w:rPr>
        <w:t>, Acuerdo SUGEF 3-06.</w:t>
      </w:r>
    </w:p>
    <w:p w14:paraId="7C602133" w14:textId="77777777" w:rsidR="00E10BA0" w:rsidRPr="008E3606" w:rsidRDefault="00E10BA0" w:rsidP="00E10BA0">
      <w:pPr>
        <w:widowControl w:val="0"/>
        <w:numPr>
          <w:ilvl w:val="0"/>
          <w:numId w:val="3"/>
        </w:numPr>
        <w:spacing w:after="240" w:line="240" w:lineRule="auto"/>
        <w:ind w:hanging="566"/>
        <w:rPr>
          <w:sz w:val="24"/>
        </w:rPr>
      </w:pPr>
      <w:r w:rsidRPr="008E3606">
        <w:rPr>
          <w:sz w:val="24"/>
        </w:rPr>
        <w:t>La modificación enviada en consulta conlleva la derogatoria de artículos y el establecimiento de nuevas disposiciones en el Acuerdo SUGEF 3-06, por lo que sus Lineamientos Generales deben actualizarse de conformidad.</w:t>
      </w:r>
    </w:p>
    <w:p w14:paraId="0EE6AA0D" w14:textId="77777777" w:rsidR="00E10BA0" w:rsidRPr="008E3606" w:rsidRDefault="00E10BA0" w:rsidP="00E10BA0">
      <w:pPr>
        <w:widowControl w:val="0"/>
        <w:spacing w:after="240" w:line="240" w:lineRule="auto"/>
        <w:jc w:val="left"/>
        <w:rPr>
          <w:b/>
          <w:bCs/>
          <w:sz w:val="24"/>
        </w:rPr>
      </w:pPr>
      <w:r w:rsidRPr="008E3606">
        <w:rPr>
          <w:b/>
          <w:bCs/>
          <w:sz w:val="24"/>
        </w:rPr>
        <w:t>Dispone:</w:t>
      </w:r>
    </w:p>
    <w:p w14:paraId="42166666" w14:textId="1BB0280C" w:rsidR="00E10BA0" w:rsidRPr="008E3606" w:rsidRDefault="00E10BA0" w:rsidP="00E10BA0">
      <w:pPr>
        <w:widowControl w:val="0"/>
        <w:spacing w:after="240" w:line="240" w:lineRule="auto"/>
        <w:rPr>
          <w:rFonts w:cs="Segoe UI"/>
          <w:color w:val="FF0000"/>
          <w:sz w:val="24"/>
        </w:rPr>
      </w:pPr>
      <w:r w:rsidRPr="008E3606">
        <w:rPr>
          <w:sz w:val="24"/>
        </w:rPr>
        <w:t xml:space="preserve">remitir en consulta a las entidades mencionadas en el apartado “Dirigida a:” de esta consulta, en acatamiento de lo estipulado en el artículo 361, numeral 2 de la </w:t>
      </w:r>
      <w:r w:rsidRPr="008E3606">
        <w:rPr>
          <w:i/>
          <w:iCs/>
          <w:sz w:val="24"/>
        </w:rPr>
        <w:t>Ley General de la Administración Pública</w:t>
      </w:r>
      <w:r w:rsidRPr="008E3606">
        <w:rPr>
          <w:sz w:val="24"/>
        </w:rPr>
        <w:t xml:space="preserve">, Ley 6227, el proyecto de modificación del Acuerdo del Superintendente SUGEF-A-002 del 6 de enero de 2006 </w:t>
      </w:r>
      <w:r w:rsidR="0014253C" w:rsidRPr="008E3606">
        <w:rPr>
          <w:sz w:val="24"/>
        </w:rPr>
        <w:t>'</w:t>
      </w:r>
      <w:r w:rsidRPr="008E3606">
        <w:rPr>
          <w:i/>
          <w:iCs/>
          <w:sz w:val="24"/>
        </w:rPr>
        <w:t>Lineamientos Generales para la Aplicación del Reglamento sobre la Suficiencia Patrimonial de Entidades Financieras, Acuerdo SUGEF 3-06</w:t>
      </w:r>
      <w:r w:rsidR="0014253C" w:rsidRPr="008E3606">
        <w:rPr>
          <w:sz w:val="24"/>
        </w:rPr>
        <w:t>'</w:t>
      </w:r>
      <w:r w:rsidRPr="008E3606">
        <w:rPr>
          <w:sz w:val="24"/>
        </w:rPr>
        <w:t xml:space="preserve">, según el texto que se incluye a continuación. Los comentarios que se realicen a la presente consulta deberán remitirse mediante el canal oficial dispuesto en el Sitio Web de la SUGEF llamado </w:t>
      </w:r>
      <w:r w:rsidRPr="008E3606">
        <w:rPr>
          <w:b/>
          <w:bCs/>
          <w:sz w:val="24"/>
        </w:rPr>
        <w:t>“Formularios para remitir observaciones de normativa en consulta</w:t>
      </w:r>
      <w:r w:rsidRPr="008E3606">
        <w:rPr>
          <w:sz w:val="24"/>
        </w:rPr>
        <w:t xml:space="preserve">”, ubicado en la siguiente dirección electrónica: </w:t>
      </w:r>
      <w:hyperlink r:id="rId13" w:history="1">
        <w:r w:rsidRPr="008E3606">
          <w:rPr>
            <w:rStyle w:val="Hipervnculo"/>
            <w:color w:val="auto"/>
            <w:sz w:val="24"/>
          </w:rPr>
          <w:t>https://www.sugef.fi.cr/normativa/normativa_en_consulta.aspx</w:t>
        </w:r>
      </w:hyperlink>
      <w:r w:rsidR="00AE3A27" w:rsidRPr="008E3606">
        <w:rPr>
          <w:sz w:val="24"/>
        </w:rPr>
        <w:t>, a más tardar el 22 de enero de 2024, mediante el canal oficial.</w:t>
      </w:r>
      <w:r w:rsidR="00AE3A27" w:rsidRPr="008E3606">
        <w:rPr>
          <w:rFonts w:cs="Segoe UI"/>
          <w:color w:val="FF0000"/>
          <w:sz w:val="24"/>
        </w:rPr>
        <w:t xml:space="preserve"> </w:t>
      </w:r>
      <w:r w:rsidRPr="008E3606">
        <w:rPr>
          <w:sz w:val="24"/>
        </w:rPr>
        <w:t>El formulario estará disponible hasta el término de la consulta pública.</w:t>
      </w:r>
    </w:p>
    <w:p w14:paraId="7063414D" w14:textId="77777777" w:rsidR="00E10BA0" w:rsidRPr="008E3606" w:rsidRDefault="00E10BA0" w:rsidP="00E10BA0">
      <w:pPr>
        <w:widowControl w:val="0"/>
        <w:spacing w:after="240" w:line="240" w:lineRule="auto"/>
        <w:rPr>
          <w:sz w:val="24"/>
        </w:rPr>
      </w:pPr>
      <w:r w:rsidRPr="008E3606">
        <w:rPr>
          <w:sz w:val="24"/>
        </w:rPr>
        <w:t xml:space="preserve">Sin detrimento de lo anterior, las entidades consultadas pueden presentar de manera consolidada sus observaciones y comentarios a través de los gremios y cámaras que les </w:t>
      </w:r>
      <w:r w:rsidRPr="008E3606">
        <w:rPr>
          <w:sz w:val="24"/>
        </w:rPr>
        <w:lastRenderedPageBreak/>
        <w:t xml:space="preserve">representan. Asimismo, el correo electrónico </w:t>
      </w:r>
      <w:hyperlink r:id="rId14" w:history="1">
        <w:r w:rsidRPr="008E3606">
          <w:rPr>
            <w:rStyle w:val="Hipervnculo"/>
            <w:color w:val="auto"/>
            <w:sz w:val="24"/>
          </w:rPr>
          <w:t>normativaenconsulta@sugef.fi.cr</w:t>
        </w:r>
      </w:hyperlink>
      <w:r w:rsidRPr="008E3606">
        <w:rPr>
          <w:sz w:val="24"/>
        </w:rPr>
        <w:t xml:space="preserve"> será utilizado únicamente como mecanismo de notificación sobre la completitud de dicho formulario.</w:t>
      </w:r>
    </w:p>
    <w:p w14:paraId="2ACD168B" w14:textId="7F69CFFD" w:rsidR="00E10BA0" w:rsidRPr="008E3606" w:rsidRDefault="00E10BA0" w:rsidP="00E10BA0">
      <w:pPr>
        <w:widowControl w:val="0"/>
        <w:spacing w:line="240" w:lineRule="auto"/>
        <w:jc w:val="center"/>
        <w:rPr>
          <w:sz w:val="24"/>
        </w:rPr>
      </w:pPr>
      <w:r w:rsidRPr="008E3606">
        <w:rPr>
          <w:sz w:val="24"/>
        </w:rPr>
        <w:t>“Resolución</w:t>
      </w:r>
    </w:p>
    <w:p w14:paraId="18E697CF" w14:textId="2D7C9C5C" w:rsidR="00E10BA0" w:rsidRPr="008E3606" w:rsidRDefault="00E10BA0" w:rsidP="00E10BA0">
      <w:pPr>
        <w:widowControl w:val="0"/>
        <w:spacing w:line="240" w:lineRule="auto"/>
        <w:jc w:val="center"/>
        <w:rPr>
          <w:sz w:val="24"/>
        </w:rPr>
      </w:pPr>
      <w:r w:rsidRPr="008E3606">
        <w:rPr>
          <w:sz w:val="24"/>
        </w:rPr>
        <w:t xml:space="preserve">___ de </w:t>
      </w:r>
      <w:r w:rsidR="0046519F" w:rsidRPr="008E3606">
        <w:rPr>
          <w:sz w:val="24"/>
        </w:rPr>
        <w:t>enero</w:t>
      </w:r>
      <w:r w:rsidRPr="008E3606">
        <w:rPr>
          <w:sz w:val="24"/>
        </w:rPr>
        <w:t xml:space="preserve"> de 202</w:t>
      </w:r>
      <w:r w:rsidR="0046519F" w:rsidRPr="008E3606">
        <w:rPr>
          <w:sz w:val="24"/>
        </w:rPr>
        <w:t>4</w:t>
      </w:r>
    </w:p>
    <w:p w14:paraId="615A9459" w14:textId="77777777" w:rsidR="00E10BA0" w:rsidRPr="008E3606" w:rsidRDefault="00E10BA0" w:rsidP="00E10BA0">
      <w:pPr>
        <w:widowControl w:val="0"/>
        <w:spacing w:line="240" w:lineRule="auto"/>
        <w:jc w:val="center"/>
        <w:rPr>
          <w:sz w:val="24"/>
        </w:rPr>
      </w:pPr>
      <w:r w:rsidRPr="008E3606">
        <w:rPr>
          <w:sz w:val="24"/>
        </w:rPr>
        <w:t>SGF-XXXX-2023</w:t>
      </w:r>
    </w:p>
    <w:p w14:paraId="6AFA045A" w14:textId="77777777" w:rsidR="00E10BA0" w:rsidRPr="008E3606" w:rsidRDefault="00E10BA0" w:rsidP="00E10BA0">
      <w:pPr>
        <w:widowControl w:val="0"/>
        <w:spacing w:after="240" w:line="240" w:lineRule="auto"/>
        <w:jc w:val="center"/>
        <w:rPr>
          <w:sz w:val="24"/>
        </w:rPr>
      </w:pPr>
      <w:r w:rsidRPr="008E3606">
        <w:rPr>
          <w:sz w:val="24"/>
        </w:rPr>
        <w:t>SGF-PUBLICO</w:t>
      </w:r>
    </w:p>
    <w:p w14:paraId="1485F1BA" w14:textId="77777777" w:rsidR="00E10BA0" w:rsidRPr="008E3606" w:rsidRDefault="00E10BA0" w:rsidP="00E10BA0">
      <w:pPr>
        <w:widowControl w:val="0"/>
        <w:spacing w:line="240" w:lineRule="auto"/>
        <w:jc w:val="left"/>
        <w:rPr>
          <w:sz w:val="24"/>
        </w:rPr>
      </w:pPr>
      <w:r w:rsidRPr="008E3606">
        <w:rPr>
          <w:sz w:val="24"/>
        </w:rPr>
        <w:t xml:space="preserve">Dirigida a: </w:t>
      </w:r>
    </w:p>
    <w:p w14:paraId="719717F3" w14:textId="136668CA" w:rsidR="00E10BA0" w:rsidRPr="008E3606" w:rsidRDefault="00E10BA0" w:rsidP="00EE12BF">
      <w:pPr>
        <w:pStyle w:val="Prrafodelista"/>
        <w:widowControl w:val="0"/>
        <w:numPr>
          <w:ilvl w:val="0"/>
          <w:numId w:val="50"/>
        </w:numPr>
        <w:spacing w:line="240" w:lineRule="auto"/>
        <w:jc w:val="left"/>
        <w:rPr>
          <w:rFonts w:ascii="Cambria" w:hAnsi="Cambria"/>
          <w:szCs w:val="24"/>
        </w:rPr>
      </w:pPr>
      <w:r w:rsidRPr="008E3606">
        <w:rPr>
          <w:rFonts w:ascii="Cambria" w:hAnsi="Cambria"/>
          <w:szCs w:val="24"/>
        </w:rPr>
        <w:t>Bancos comerciales del estado</w:t>
      </w:r>
    </w:p>
    <w:p w14:paraId="4C7ECBFF" w14:textId="49305505" w:rsidR="00E10BA0" w:rsidRPr="008E3606" w:rsidRDefault="00E10BA0" w:rsidP="00EE12BF">
      <w:pPr>
        <w:pStyle w:val="Prrafodelista"/>
        <w:widowControl w:val="0"/>
        <w:numPr>
          <w:ilvl w:val="0"/>
          <w:numId w:val="50"/>
        </w:numPr>
        <w:spacing w:line="240" w:lineRule="auto"/>
        <w:jc w:val="left"/>
        <w:rPr>
          <w:rFonts w:ascii="Cambria" w:hAnsi="Cambria"/>
          <w:szCs w:val="24"/>
        </w:rPr>
      </w:pPr>
      <w:r w:rsidRPr="008E3606">
        <w:rPr>
          <w:rFonts w:ascii="Cambria" w:hAnsi="Cambria"/>
          <w:szCs w:val="24"/>
        </w:rPr>
        <w:t>Bancos creados por ley especial</w:t>
      </w:r>
    </w:p>
    <w:p w14:paraId="3764E641" w14:textId="428450DD" w:rsidR="00E10BA0" w:rsidRPr="008E3606" w:rsidRDefault="00E10BA0" w:rsidP="00EE12BF">
      <w:pPr>
        <w:pStyle w:val="Prrafodelista"/>
        <w:widowControl w:val="0"/>
        <w:numPr>
          <w:ilvl w:val="0"/>
          <w:numId w:val="50"/>
        </w:numPr>
        <w:spacing w:line="240" w:lineRule="auto"/>
        <w:jc w:val="left"/>
        <w:rPr>
          <w:rFonts w:ascii="Cambria" w:hAnsi="Cambria"/>
          <w:szCs w:val="24"/>
        </w:rPr>
      </w:pPr>
      <w:r w:rsidRPr="008E3606">
        <w:rPr>
          <w:rFonts w:ascii="Cambria" w:hAnsi="Cambria"/>
          <w:szCs w:val="24"/>
        </w:rPr>
        <w:t>Bancos privados</w:t>
      </w:r>
    </w:p>
    <w:p w14:paraId="34E225AE" w14:textId="452711A6" w:rsidR="00E10BA0" w:rsidRPr="008E3606" w:rsidRDefault="00E10BA0" w:rsidP="00EE12BF">
      <w:pPr>
        <w:pStyle w:val="Prrafodelista"/>
        <w:widowControl w:val="0"/>
        <w:numPr>
          <w:ilvl w:val="0"/>
          <w:numId w:val="50"/>
        </w:numPr>
        <w:spacing w:line="240" w:lineRule="auto"/>
        <w:jc w:val="left"/>
        <w:rPr>
          <w:rFonts w:ascii="Cambria" w:hAnsi="Cambria"/>
          <w:szCs w:val="24"/>
        </w:rPr>
      </w:pPr>
      <w:r w:rsidRPr="008E3606">
        <w:rPr>
          <w:rFonts w:ascii="Cambria" w:hAnsi="Cambria"/>
          <w:szCs w:val="24"/>
        </w:rPr>
        <w:t>Empresas financieras no bancarias</w:t>
      </w:r>
    </w:p>
    <w:p w14:paraId="62CC446C" w14:textId="58326452" w:rsidR="00E10BA0" w:rsidRPr="008E3606" w:rsidRDefault="00E10BA0" w:rsidP="00EE12BF">
      <w:pPr>
        <w:pStyle w:val="Prrafodelista"/>
        <w:widowControl w:val="0"/>
        <w:numPr>
          <w:ilvl w:val="0"/>
          <w:numId w:val="50"/>
        </w:numPr>
        <w:spacing w:line="240" w:lineRule="auto"/>
        <w:jc w:val="left"/>
        <w:rPr>
          <w:rFonts w:ascii="Cambria" w:hAnsi="Cambria"/>
          <w:szCs w:val="24"/>
        </w:rPr>
      </w:pPr>
      <w:r w:rsidRPr="008E3606">
        <w:rPr>
          <w:rFonts w:ascii="Cambria" w:hAnsi="Cambria"/>
          <w:szCs w:val="24"/>
        </w:rPr>
        <w:t>Organizaciones cooperativas de ahorro y crédito</w:t>
      </w:r>
    </w:p>
    <w:p w14:paraId="5169D6A0" w14:textId="4D88168C" w:rsidR="00E10BA0" w:rsidRPr="008E3606" w:rsidRDefault="00E10BA0" w:rsidP="00EE12BF">
      <w:pPr>
        <w:pStyle w:val="Prrafodelista"/>
        <w:widowControl w:val="0"/>
        <w:numPr>
          <w:ilvl w:val="0"/>
          <w:numId w:val="50"/>
        </w:numPr>
        <w:spacing w:line="240" w:lineRule="auto"/>
        <w:jc w:val="left"/>
        <w:rPr>
          <w:rFonts w:ascii="Cambria" w:hAnsi="Cambria"/>
          <w:szCs w:val="24"/>
        </w:rPr>
      </w:pPr>
      <w:r w:rsidRPr="008E3606">
        <w:rPr>
          <w:rFonts w:ascii="Cambria" w:hAnsi="Cambria"/>
          <w:szCs w:val="24"/>
        </w:rPr>
        <w:t>Asociaciones mutualistas de ahorro y préstamo</w:t>
      </w:r>
    </w:p>
    <w:p w14:paraId="14B85D83" w14:textId="5CC122D8" w:rsidR="00B77744" w:rsidRPr="008E3606" w:rsidRDefault="00E10BA0" w:rsidP="00EE12BF">
      <w:pPr>
        <w:pStyle w:val="Prrafodelista"/>
        <w:widowControl w:val="0"/>
        <w:numPr>
          <w:ilvl w:val="0"/>
          <w:numId w:val="50"/>
        </w:numPr>
        <w:spacing w:after="240" w:line="240" w:lineRule="auto"/>
        <w:jc w:val="left"/>
        <w:rPr>
          <w:rFonts w:ascii="Cambria" w:hAnsi="Cambria"/>
          <w:szCs w:val="24"/>
        </w:rPr>
      </w:pPr>
      <w:r w:rsidRPr="008E3606">
        <w:rPr>
          <w:rFonts w:ascii="Cambria" w:hAnsi="Cambria"/>
          <w:szCs w:val="24"/>
        </w:rPr>
        <w:t>Otras entidades financieras</w:t>
      </w:r>
    </w:p>
    <w:p w14:paraId="26691483" w14:textId="300BEF0D" w:rsidR="00E10BA0" w:rsidRPr="008E3606" w:rsidRDefault="00E10BA0" w:rsidP="00E10BA0">
      <w:pPr>
        <w:widowControl w:val="0"/>
        <w:spacing w:after="240" w:line="240" w:lineRule="auto"/>
        <w:ind w:left="1134" w:hanging="1134"/>
        <w:rPr>
          <w:sz w:val="24"/>
        </w:rPr>
      </w:pPr>
      <w:r w:rsidRPr="008E3606">
        <w:rPr>
          <w:b/>
          <w:bCs/>
          <w:sz w:val="24"/>
        </w:rPr>
        <w:t>Asunto</w:t>
      </w:r>
      <w:r w:rsidRPr="008E3606">
        <w:rPr>
          <w:sz w:val="24"/>
        </w:rPr>
        <w:t>:</w:t>
      </w:r>
      <w:r w:rsidRPr="008E3606">
        <w:rPr>
          <w:sz w:val="24"/>
        </w:rPr>
        <w:tab/>
        <w:t xml:space="preserve">Modificación del Acuerdo del Superintendente SUGEF-A-002 del 6 de enero de 2006 </w:t>
      </w:r>
      <w:r w:rsidR="00E80405" w:rsidRPr="008E3606">
        <w:rPr>
          <w:sz w:val="24"/>
        </w:rPr>
        <w:t>'</w:t>
      </w:r>
      <w:r w:rsidRPr="008E3606">
        <w:rPr>
          <w:i/>
          <w:iCs/>
          <w:sz w:val="24"/>
        </w:rPr>
        <w:t>Lineamientos Generales para la Aplicación del Reglamento sobre la Suficiencia Patrimonial de Entidades Financieras, Acuerdo SUGEF 3-06</w:t>
      </w:r>
      <w:r w:rsidR="00E80405" w:rsidRPr="008E3606">
        <w:rPr>
          <w:sz w:val="24"/>
        </w:rPr>
        <w:t>,'</w:t>
      </w:r>
      <w:r w:rsidRPr="008E3606">
        <w:rPr>
          <w:sz w:val="24"/>
        </w:rPr>
        <w:t xml:space="preserve"> y sus reformas.</w:t>
      </w:r>
    </w:p>
    <w:p w14:paraId="28449A1E" w14:textId="77777777" w:rsidR="00E10BA0" w:rsidRPr="008E3606" w:rsidRDefault="00E10BA0" w:rsidP="00E10BA0">
      <w:pPr>
        <w:widowControl w:val="0"/>
        <w:spacing w:after="240" w:line="240" w:lineRule="auto"/>
        <w:jc w:val="left"/>
        <w:rPr>
          <w:b/>
          <w:bCs/>
          <w:sz w:val="24"/>
        </w:rPr>
      </w:pPr>
      <w:r w:rsidRPr="008E3606">
        <w:rPr>
          <w:b/>
          <w:bCs/>
          <w:sz w:val="24"/>
        </w:rPr>
        <w:t xml:space="preserve">El Superintendente General de Entidades Financieras, </w:t>
      </w:r>
    </w:p>
    <w:p w14:paraId="6AD93109" w14:textId="77777777" w:rsidR="00E10BA0" w:rsidRPr="008E3606" w:rsidRDefault="00E10BA0" w:rsidP="00E10BA0">
      <w:pPr>
        <w:widowControl w:val="0"/>
        <w:spacing w:after="240" w:line="240" w:lineRule="auto"/>
        <w:jc w:val="left"/>
        <w:rPr>
          <w:sz w:val="24"/>
        </w:rPr>
      </w:pPr>
      <w:r w:rsidRPr="008E3606">
        <w:rPr>
          <w:sz w:val="24"/>
        </w:rPr>
        <w:t xml:space="preserve">Considerando que </w:t>
      </w:r>
    </w:p>
    <w:p w14:paraId="293B12B1" w14:textId="7E04CCE7" w:rsidR="00E10BA0" w:rsidRPr="008E3606" w:rsidRDefault="00E10BA0" w:rsidP="00E10BA0">
      <w:pPr>
        <w:widowControl w:val="0"/>
        <w:numPr>
          <w:ilvl w:val="0"/>
          <w:numId w:val="40"/>
        </w:numPr>
        <w:spacing w:after="240" w:line="240" w:lineRule="auto"/>
        <w:ind w:hanging="566"/>
        <w:rPr>
          <w:sz w:val="24"/>
        </w:rPr>
      </w:pPr>
      <w:r w:rsidRPr="008E3606">
        <w:rPr>
          <w:sz w:val="24"/>
        </w:rPr>
        <w:t xml:space="preserve">El Consejo Nacional de Supervisión del Sistema Financiero, mediante </w:t>
      </w:r>
      <w:r w:rsidR="00A90875" w:rsidRPr="008E3606">
        <w:rPr>
          <w:sz w:val="24"/>
        </w:rPr>
        <w:t xml:space="preserve">el Artículo 7 de la sesión 1837-2023 del 4 de diciembre de 2023 </w:t>
      </w:r>
      <w:r w:rsidRPr="008E3606">
        <w:rPr>
          <w:sz w:val="24"/>
        </w:rPr>
        <w:t>aprobó</w:t>
      </w:r>
      <w:r w:rsidR="0046519F" w:rsidRPr="008E3606">
        <w:rPr>
          <w:sz w:val="24"/>
        </w:rPr>
        <w:t xml:space="preserve"> el envío en consulta de propuesta de</w:t>
      </w:r>
      <w:r w:rsidRPr="008E3606">
        <w:rPr>
          <w:sz w:val="24"/>
        </w:rPr>
        <w:t xml:space="preserve"> la modificación al </w:t>
      </w:r>
      <w:r w:rsidRPr="008E3606">
        <w:rPr>
          <w:i/>
          <w:iCs/>
          <w:sz w:val="24"/>
        </w:rPr>
        <w:t>Reglamento sobre la Suficiencia Patrimonial de Entidades Financieras</w:t>
      </w:r>
      <w:r w:rsidRPr="008E3606">
        <w:rPr>
          <w:sz w:val="24"/>
        </w:rPr>
        <w:t>, Acuerdo SUGEF 3-06.</w:t>
      </w:r>
    </w:p>
    <w:p w14:paraId="5A48E3D8" w14:textId="77777777" w:rsidR="00E10BA0" w:rsidRPr="008E3606" w:rsidRDefault="00E10BA0" w:rsidP="00E10BA0">
      <w:pPr>
        <w:widowControl w:val="0"/>
        <w:numPr>
          <w:ilvl w:val="0"/>
          <w:numId w:val="40"/>
        </w:numPr>
        <w:spacing w:after="240" w:line="240" w:lineRule="auto"/>
        <w:ind w:hanging="566"/>
        <w:rPr>
          <w:sz w:val="24"/>
        </w:rPr>
      </w:pPr>
      <w:r w:rsidRPr="008E3606">
        <w:rPr>
          <w:sz w:val="24"/>
        </w:rPr>
        <w:t>El Artículo 4 del Acuerdo SUGEF 3-06, dispone que corresponde al Superintendente emitir los Lineamientos Generales.</w:t>
      </w:r>
    </w:p>
    <w:p w14:paraId="3959C39D" w14:textId="77777777" w:rsidR="00E10BA0" w:rsidRPr="008E3606" w:rsidRDefault="00E10BA0" w:rsidP="00E10BA0">
      <w:pPr>
        <w:widowControl w:val="0"/>
        <w:numPr>
          <w:ilvl w:val="0"/>
          <w:numId w:val="40"/>
        </w:numPr>
        <w:spacing w:after="240" w:line="240" w:lineRule="auto"/>
        <w:ind w:hanging="566"/>
        <w:rPr>
          <w:sz w:val="24"/>
        </w:rPr>
      </w:pPr>
      <w:r w:rsidRPr="008E3606">
        <w:rPr>
          <w:sz w:val="24"/>
        </w:rPr>
        <w:t>Los Lineamientos Generales tiene el objetivo de establecer detalles adicionales para la aplicación de las disposiciones establecidas en el Acuerdo SUGEF 3-06.</w:t>
      </w:r>
    </w:p>
    <w:p w14:paraId="43B23853" w14:textId="4938253A" w:rsidR="00E10BA0" w:rsidRPr="008E3606" w:rsidRDefault="00E10BA0" w:rsidP="00E10BA0">
      <w:pPr>
        <w:widowControl w:val="0"/>
        <w:numPr>
          <w:ilvl w:val="0"/>
          <w:numId w:val="40"/>
        </w:numPr>
        <w:spacing w:after="240" w:line="240" w:lineRule="auto"/>
        <w:ind w:hanging="566"/>
        <w:rPr>
          <w:sz w:val="24"/>
        </w:rPr>
      </w:pPr>
      <w:r w:rsidRPr="008E3606">
        <w:rPr>
          <w:sz w:val="24"/>
        </w:rPr>
        <w:t xml:space="preserve">De conformidad con el Artículo 131, inciso b) de la </w:t>
      </w:r>
      <w:r w:rsidRPr="008E3606">
        <w:rPr>
          <w:i/>
          <w:iCs/>
          <w:sz w:val="24"/>
        </w:rPr>
        <w:t>Ley Orgánica del Banco Central de Costa Rica</w:t>
      </w:r>
      <w:r w:rsidRPr="008E3606">
        <w:rPr>
          <w:sz w:val="24"/>
        </w:rPr>
        <w:t xml:space="preserve">, Ley 7558, corresponde al Superintendente tomar las medidas necesarias para ejecutar los acuerdos del Consejo Nacional de Supervisión.  </w:t>
      </w:r>
    </w:p>
    <w:p w14:paraId="27279D46" w14:textId="77777777" w:rsidR="00E10BA0" w:rsidRPr="008E3606" w:rsidRDefault="00E10BA0" w:rsidP="00E10BA0">
      <w:pPr>
        <w:widowControl w:val="0"/>
        <w:spacing w:after="240" w:line="240" w:lineRule="auto"/>
        <w:jc w:val="left"/>
        <w:rPr>
          <w:sz w:val="24"/>
        </w:rPr>
      </w:pPr>
      <w:r w:rsidRPr="008E3606">
        <w:rPr>
          <w:b/>
          <w:sz w:val="24"/>
        </w:rPr>
        <w:t xml:space="preserve">Por tanto, dispone: </w:t>
      </w:r>
    </w:p>
    <w:p w14:paraId="35C94718" w14:textId="55CBF638" w:rsidR="00E10BA0" w:rsidRPr="008E3606" w:rsidRDefault="00E10BA0" w:rsidP="00E10BA0">
      <w:pPr>
        <w:widowControl w:val="0"/>
        <w:spacing w:after="240" w:line="240" w:lineRule="auto"/>
        <w:ind w:left="5"/>
        <w:rPr>
          <w:sz w:val="24"/>
        </w:rPr>
      </w:pPr>
      <w:r w:rsidRPr="008E3606">
        <w:rPr>
          <w:sz w:val="24"/>
        </w:rPr>
        <w:t xml:space="preserve">Aprobar la modificación al Acuerdo del Superintendente A-002 </w:t>
      </w:r>
      <w:r w:rsidR="00A9648E" w:rsidRPr="008E3606">
        <w:rPr>
          <w:sz w:val="24"/>
        </w:rPr>
        <w:t>'</w:t>
      </w:r>
      <w:r w:rsidRPr="008E3606">
        <w:rPr>
          <w:sz w:val="24"/>
        </w:rPr>
        <w:t>Lineamientos Generales para la Aplicación del Reglamento sobre la Suficiencia Patrimonial de Entidades Financieras, Acuerdo SUGEF 3-06</w:t>
      </w:r>
      <w:r w:rsidR="00A9648E" w:rsidRPr="008E3606">
        <w:rPr>
          <w:sz w:val="24"/>
        </w:rPr>
        <w:t>'</w:t>
      </w:r>
      <w:r w:rsidRPr="008E3606">
        <w:rPr>
          <w:sz w:val="24"/>
        </w:rPr>
        <w:t>, según el siguiente texto:</w:t>
      </w:r>
    </w:p>
    <w:p w14:paraId="0CB1A69A" w14:textId="77777777" w:rsidR="00522947" w:rsidRPr="008E3606" w:rsidRDefault="00522947" w:rsidP="00E10BA0">
      <w:pPr>
        <w:widowControl w:val="0"/>
        <w:spacing w:after="240" w:line="240" w:lineRule="auto"/>
        <w:ind w:left="5"/>
        <w:rPr>
          <w:sz w:val="24"/>
        </w:rPr>
      </w:pPr>
    </w:p>
    <w:p w14:paraId="05B93432" w14:textId="77777777" w:rsidR="00E10BA0" w:rsidRPr="008E3606" w:rsidRDefault="00E10BA0" w:rsidP="00E10BA0">
      <w:pPr>
        <w:widowControl w:val="0"/>
        <w:spacing w:after="240" w:line="240" w:lineRule="auto"/>
        <w:ind w:left="-5"/>
        <w:jc w:val="center"/>
        <w:rPr>
          <w:b/>
          <w:bCs/>
          <w:sz w:val="24"/>
        </w:rPr>
      </w:pPr>
      <w:r w:rsidRPr="008E3606">
        <w:rPr>
          <w:b/>
          <w:bCs/>
          <w:sz w:val="24"/>
        </w:rPr>
        <w:t>“LINEAMIENTOS GENERALES PARA LA APLICACIÓN DEL REGLAMENTO SOBRE LA SUFICIENCIA PATRIMONIAL DE ENTIDADES FINANCIERAS, ACUERDO SUGEF-3-06</w:t>
      </w:r>
    </w:p>
    <w:p w14:paraId="2D1418CA" w14:textId="542CE460" w:rsidR="00E10BA0" w:rsidRPr="008E3606" w:rsidRDefault="00E10BA0" w:rsidP="00E10BA0">
      <w:pPr>
        <w:widowControl w:val="0"/>
        <w:spacing w:after="240" w:line="240" w:lineRule="auto"/>
        <w:ind w:left="2127" w:hanging="2132"/>
        <w:rPr>
          <w:sz w:val="24"/>
        </w:rPr>
      </w:pPr>
      <w:r w:rsidRPr="008E3606">
        <w:rPr>
          <w:b/>
          <w:bCs/>
          <w:sz w:val="24"/>
        </w:rPr>
        <w:t>Objetivo general:</w:t>
      </w:r>
      <w:r w:rsidRPr="008E3606">
        <w:rPr>
          <w:sz w:val="24"/>
        </w:rPr>
        <w:tab/>
        <w:t>Establecer detalles metodológicos y orientaciones para la aplicación de las disposiciones establecidas en el “Reglamento sobre la suficiencia patrimonial de entidades financieras”, Acuerdo SUGEF-3-06.</w:t>
      </w:r>
    </w:p>
    <w:sdt>
      <w:sdtPr>
        <w:rPr>
          <w:rFonts w:ascii="Cambria" w:eastAsia="Times New Roman" w:hAnsi="Cambria" w:cs="Times New Roman"/>
          <w:color w:val="auto"/>
          <w:sz w:val="24"/>
          <w:szCs w:val="24"/>
          <w:lang w:val="es-ES" w:eastAsia="en-US"/>
        </w:rPr>
        <w:id w:val="2099055747"/>
        <w:docPartObj>
          <w:docPartGallery w:val="Table of Contents"/>
          <w:docPartUnique/>
        </w:docPartObj>
      </w:sdtPr>
      <w:sdtEndPr>
        <w:rPr>
          <w:b/>
          <w:bCs/>
        </w:rPr>
      </w:sdtEndPr>
      <w:sdtContent>
        <w:p w14:paraId="7707C0D1" w14:textId="77777777" w:rsidR="00E10BA0" w:rsidRPr="008E3606" w:rsidRDefault="00E10BA0" w:rsidP="00E10BA0">
          <w:pPr>
            <w:pStyle w:val="TtuloTDC"/>
            <w:keepNext w:val="0"/>
            <w:keepLines w:val="0"/>
            <w:widowControl w:val="0"/>
            <w:spacing w:before="0" w:after="240"/>
            <w:rPr>
              <w:rFonts w:ascii="Cambria" w:hAnsi="Cambria" w:cs="Times New Roman"/>
              <w:color w:val="auto"/>
              <w:sz w:val="24"/>
              <w:szCs w:val="24"/>
            </w:rPr>
          </w:pPr>
          <w:r w:rsidRPr="008E3606">
            <w:rPr>
              <w:rFonts w:ascii="Cambria" w:hAnsi="Cambria" w:cs="Times New Roman"/>
              <w:color w:val="auto"/>
              <w:sz w:val="24"/>
              <w:szCs w:val="24"/>
              <w:lang w:val="es-ES"/>
            </w:rPr>
            <w:t>Tabla de contenido</w:t>
          </w:r>
        </w:p>
        <w:p w14:paraId="4CBDD683" w14:textId="3228B7B0" w:rsidR="00C409C8" w:rsidRPr="008E3606" w:rsidRDefault="00E10BA0">
          <w:pPr>
            <w:pStyle w:val="TDC1"/>
            <w:rPr>
              <w:rFonts w:ascii="Cambria" w:eastAsiaTheme="minorEastAsia" w:hAnsi="Cambria" w:cstheme="minorBidi"/>
              <w:noProof/>
              <w:color w:val="auto"/>
              <w:szCs w:val="24"/>
            </w:rPr>
          </w:pPr>
          <w:r w:rsidRPr="008E3606">
            <w:rPr>
              <w:rFonts w:ascii="Cambria" w:hAnsi="Cambria"/>
              <w:color w:val="auto"/>
              <w:szCs w:val="24"/>
            </w:rPr>
            <w:fldChar w:fldCharType="begin"/>
          </w:r>
          <w:r w:rsidRPr="008E3606">
            <w:rPr>
              <w:rFonts w:ascii="Cambria" w:hAnsi="Cambria"/>
              <w:color w:val="auto"/>
              <w:szCs w:val="24"/>
            </w:rPr>
            <w:instrText xml:space="preserve"> TOC \o "1-3" \h \z \u </w:instrText>
          </w:r>
          <w:r w:rsidRPr="008E3606">
            <w:rPr>
              <w:rFonts w:ascii="Cambria" w:hAnsi="Cambria"/>
              <w:color w:val="auto"/>
              <w:szCs w:val="24"/>
            </w:rPr>
            <w:fldChar w:fldCharType="separate"/>
          </w:r>
          <w:hyperlink w:anchor="_Toc153190201" w:history="1">
            <w:r w:rsidR="00C409C8" w:rsidRPr="008E3606">
              <w:rPr>
                <w:rStyle w:val="Hipervnculo"/>
                <w:rFonts w:ascii="Cambria" w:hAnsi="Cambria"/>
                <w:noProof/>
                <w:szCs w:val="24"/>
              </w:rPr>
              <w:t>“I. REFERENCIAS CONTABLES Y OTROS DATOS REQUERIDOS PARA EL CÁLCULO DEL CAPITAL BASE</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_Toc153190201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3</w:t>
            </w:r>
            <w:r w:rsidR="00C409C8" w:rsidRPr="008E3606">
              <w:rPr>
                <w:rFonts w:ascii="Cambria" w:hAnsi="Cambria"/>
                <w:noProof/>
                <w:webHidden/>
                <w:szCs w:val="24"/>
              </w:rPr>
              <w:fldChar w:fldCharType="end"/>
            </w:r>
          </w:hyperlink>
        </w:p>
        <w:p w14:paraId="29DB2FFD" w14:textId="031A1DD0" w:rsidR="00C409C8" w:rsidRPr="008E3606" w:rsidRDefault="00C04686">
          <w:pPr>
            <w:pStyle w:val="TDC1"/>
            <w:rPr>
              <w:rFonts w:ascii="Cambria" w:eastAsiaTheme="minorEastAsia" w:hAnsi="Cambria" w:cstheme="minorBidi"/>
              <w:noProof/>
              <w:color w:val="auto"/>
              <w:szCs w:val="24"/>
            </w:rPr>
          </w:pPr>
          <w:hyperlink w:anchor="_Toc153190202" w:history="1">
            <w:r w:rsidR="00C409C8" w:rsidRPr="008E3606">
              <w:rPr>
                <w:rStyle w:val="Hipervnculo"/>
                <w:rFonts w:ascii="Cambria" w:hAnsi="Cambria"/>
                <w:noProof/>
                <w:szCs w:val="24"/>
              </w:rPr>
              <w:t>II. REFERENCIAS CONTABLES Y OTROS DATOS REQUERIDOS PARA EL CÁLCULO DE LOS ACTIVOS PONDERADOS POR RIESGO DE CRÉDITO</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_Toc153190202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20</w:t>
            </w:r>
            <w:r w:rsidR="00C409C8" w:rsidRPr="008E3606">
              <w:rPr>
                <w:rFonts w:ascii="Cambria" w:hAnsi="Cambria"/>
                <w:noProof/>
                <w:webHidden/>
                <w:szCs w:val="24"/>
              </w:rPr>
              <w:fldChar w:fldCharType="end"/>
            </w:r>
          </w:hyperlink>
        </w:p>
        <w:p w14:paraId="58CCD2ED" w14:textId="0900AA01" w:rsidR="00C409C8" w:rsidRPr="008E3606" w:rsidRDefault="00C04686">
          <w:pPr>
            <w:pStyle w:val="TDC1"/>
            <w:rPr>
              <w:rFonts w:ascii="Cambria" w:eastAsiaTheme="minorEastAsia" w:hAnsi="Cambria" w:cstheme="minorBidi"/>
              <w:noProof/>
              <w:color w:val="auto"/>
              <w:szCs w:val="24"/>
            </w:rPr>
          </w:pPr>
          <w:hyperlink w:anchor="_Toc153190203" w:history="1">
            <w:r w:rsidR="00C409C8" w:rsidRPr="008E3606">
              <w:rPr>
                <w:rStyle w:val="Hipervnculo"/>
                <w:rFonts w:ascii="Cambria" w:hAnsi="Cambria"/>
                <w:noProof/>
                <w:szCs w:val="24"/>
              </w:rPr>
              <w:t>III. CALCULO DEL REQUERIMIENTO DE CAPITAL POR RIESGO DE MERCADO</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_Toc153190203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28</w:t>
            </w:r>
            <w:r w:rsidR="00C409C8" w:rsidRPr="008E3606">
              <w:rPr>
                <w:rFonts w:ascii="Cambria" w:hAnsi="Cambria"/>
                <w:noProof/>
                <w:webHidden/>
                <w:szCs w:val="24"/>
              </w:rPr>
              <w:fldChar w:fldCharType="end"/>
            </w:r>
          </w:hyperlink>
        </w:p>
        <w:p w14:paraId="44C4BC04" w14:textId="6C8D71F8" w:rsidR="00C409C8" w:rsidRPr="008E3606" w:rsidRDefault="00C04686">
          <w:pPr>
            <w:pStyle w:val="TDC1"/>
            <w:rPr>
              <w:rFonts w:ascii="Cambria" w:eastAsiaTheme="minorEastAsia" w:hAnsi="Cambria" w:cstheme="minorBidi"/>
              <w:noProof/>
              <w:color w:val="auto"/>
              <w:szCs w:val="24"/>
            </w:rPr>
          </w:pPr>
          <w:hyperlink w:anchor="_Toc153190204" w:history="1">
            <w:r w:rsidR="00C409C8" w:rsidRPr="008E3606">
              <w:rPr>
                <w:rStyle w:val="Hipervnculo"/>
                <w:rFonts w:ascii="Cambria" w:hAnsi="Cambria"/>
                <w:noProof/>
                <w:szCs w:val="24"/>
              </w:rPr>
              <w:t>IV. METODOLOGÍA ESTÁNDAR PARA EL CALCULO DEL RIESGO DE TASAS DE INTERÉS EN EL LIBRO BANCARIO.</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_Toc153190204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32</w:t>
            </w:r>
            <w:r w:rsidR="00C409C8" w:rsidRPr="008E3606">
              <w:rPr>
                <w:rFonts w:ascii="Cambria" w:hAnsi="Cambria"/>
                <w:noProof/>
                <w:webHidden/>
                <w:szCs w:val="24"/>
              </w:rPr>
              <w:fldChar w:fldCharType="end"/>
            </w:r>
          </w:hyperlink>
        </w:p>
        <w:p w14:paraId="4A6DD133" w14:textId="7ABD4F79" w:rsidR="00C409C8" w:rsidRPr="008E3606" w:rsidRDefault="00C04686">
          <w:pPr>
            <w:pStyle w:val="TDC1"/>
            <w:rPr>
              <w:rFonts w:ascii="Cambria" w:eastAsiaTheme="minorEastAsia" w:hAnsi="Cambria" w:cstheme="minorBidi"/>
              <w:noProof/>
              <w:color w:val="auto"/>
              <w:szCs w:val="24"/>
            </w:rPr>
          </w:pPr>
          <w:hyperlink w:anchor="_Toc153190205" w:history="1">
            <w:r w:rsidR="00C409C8" w:rsidRPr="008E3606">
              <w:rPr>
                <w:rStyle w:val="Hipervnculo"/>
                <w:rFonts w:ascii="Cambria" w:hAnsi="Cambria"/>
                <w:noProof/>
                <w:szCs w:val="24"/>
              </w:rPr>
              <w:t>V. CALCULO DE LOS COMPONENTES ADICIONALES POR CLASE DE ACTIVOS, PARA EFECTOS DEL RIESGO DE CREDITO DE CONTRAPARTE (RCC)</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_Toc153190205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46</w:t>
            </w:r>
            <w:r w:rsidR="00C409C8" w:rsidRPr="008E3606">
              <w:rPr>
                <w:rFonts w:ascii="Cambria" w:hAnsi="Cambria"/>
                <w:noProof/>
                <w:webHidden/>
                <w:szCs w:val="24"/>
              </w:rPr>
              <w:fldChar w:fldCharType="end"/>
            </w:r>
          </w:hyperlink>
        </w:p>
        <w:p w14:paraId="71FF7302" w14:textId="5D5F6106" w:rsidR="00C409C8" w:rsidRPr="008E3606" w:rsidRDefault="00C04686">
          <w:pPr>
            <w:pStyle w:val="TDC1"/>
            <w:rPr>
              <w:rFonts w:ascii="Cambria" w:eastAsiaTheme="minorEastAsia" w:hAnsi="Cambria" w:cstheme="minorBidi"/>
              <w:noProof/>
              <w:color w:val="auto"/>
              <w:szCs w:val="24"/>
            </w:rPr>
          </w:pPr>
          <w:hyperlink w:anchor="_Toc153190206" w:history="1">
            <w:r w:rsidR="00C409C8" w:rsidRPr="008E3606">
              <w:rPr>
                <w:rStyle w:val="Hipervnculo"/>
                <w:rFonts w:ascii="Cambria" w:hAnsi="Cambria"/>
                <w:noProof/>
                <w:szCs w:val="24"/>
              </w:rPr>
              <w:t>VI. UTILIDAD OPERACIONAL BRUTA AJUSTADA (UOBA) PARA EFECTOS DEL CÁLCULO DEL RIESGO OPERACIONAL</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_Toc153190206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51</w:t>
            </w:r>
            <w:r w:rsidR="00C409C8" w:rsidRPr="008E3606">
              <w:rPr>
                <w:rFonts w:ascii="Cambria" w:hAnsi="Cambria"/>
                <w:noProof/>
                <w:webHidden/>
                <w:szCs w:val="24"/>
              </w:rPr>
              <w:fldChar w:fldCharType="end"/>
            </w:r>
          </w:hyperlink>
        </w:p>
        <w:p w14:paraId="6FEBF9A0" w14:textId="00163CC4" w:rsidR="00C409C8" w:rsidRPr="008E3606" w:rsidRDefault="00C04686">
          <w:pPr>
            <w:pStyle w:val="TDC1"/>
            <w:rPr>
              <w:rFonts w:ascii="Cambria" w:eastAsiaTheme="minorEastAsia" w:hAnsi="Cambria" w:cstheme="minorBidi"/>
              <w:noProof/>
              <w:color w:val="auto"/>
              <w:szCs w:val="24"/>
            </w:rPr>
          </w:pPr>
          <w:hyperlink w:anchor="_Toc153190207" w:history="1">
            <w:r w:rsidR="00C409C8" w:rsidRPr="008E3606">
              <w:rPr>
                <w:rStyle w:val="Hipervnculo"/>
                <w:rFonts w:ascii="Cambria" w:hAnsi="Cambria"/>
                <w:noProof/>
                <w:szCs w:val="24"/>
              </w:rPr>
              <w:t>VII. REQUERIMIENTO PATRIMONIAL POR RIESGO CAMBIARIO Y CÓMPUTO DE LÍMITES</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_Toc153190207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53</w:t>
            </w:r>
            <w:r w:rsidR="00C409C8" w:rsidRPr="008E3606">
              <w:rPr>
                <w:rFonts w:ascii="Cambria" w:hAnsi="Cambria"/>
                <w:noProof/>
                <w:webHidden/>
                <w:szCs w:val="24"/>
              </w:rPr>
              <w:fldChar w:fldCharType="end"/>
            </w:r>
          </w:hyperlink>
        </w:p>
        <w:p w14:paraId="4AD47087" w14:textId="7D8DD6B4" w:rsidR="00C409C8" w:rsidRPr="008E3606" w:rsidRDefault="00C04686">
          <w:pPr>
            <w:pStyle w:val="TDC1"/>
            <w:rPr>
              <w:rFonts w:ascii="Cambria" w:eastAsiaTheme="minorEastAsia" w:hAnsi="Cambria" w:cstheme="minorBidi"/>
              <w:noProof/>
              <w:color w:val="auto"/>
              <w:szCs w:val="24"/>
            </w:rPr>
          </w:pPr>
          <w:hyperlink w:anchor="_Toc153190208" w:history="1">
            <w:r w:rsidR="00C409C8" w:rsidRPr="008E3606">
              <w:rPr>
                <w:rStyle w:val="Hipervnculo"/>
                <w:rFonts w:ascii="Cambria" w:hAnsi="Cambria"/>
                <w:noProof/>
                <w:szCs w:val="24"/>
              </w:rPr>
              <w:t>VIII. CÁLCULO DE LOS COLCHONES DE CAPITAL TOTALES</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_Toc153190208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54</w:t>
            </w:r>
            <w:r w:rsidR="00C409C8" w:rsidRPr="008E3606">
              <w:rPr>
                <w:rFonts w:ascii="Cambria" w:hAnsi="Cambria"/>
                <w:noProof/>
                <w:webHidden/>
                <w:szCs w:val="24"/>
              </w:rPr>
              <w:fldChar w:fldCharType="end"/>
            </w:r>
          </w:hyperlink>
        </w:p>
        <w:p w14:paraId="52EDB931" w14:textId="2CBAFAC4" w:rsidR="00C409C8" w:rsidRPr="008E3606" w:rsidRDefault="00C04686">
          <w:pPr>
            <w:pStyle w:val="TDC1"/>
            <w:rPr>
              <w:rFonts w:ascii="Cambria" w:eastAsiaTheme="minorEastAsia" w:hAnsi="Cambria" w:cstheme="minorBidi"/>
              <w:noProof/>
              <w:color w:val="auto"/>
              <w:szCs w:val="24"/>
            </w:rPr>
          </w:pPr>
          <w:hyperlink w:anchor="_Toc153190209" w:history="1">
            <w:r w:rsidR="00C409C8" w:rsidRPr="008E3606">
              <w:rPr>
                <w:rStyle w:val="Hipervnculo"/>
                <w:rFonts w:ascii="Cambria" w:hAnsi="Cambria"/>
                <w:noProof/>
                <w:szCs w:val="24"/>
              </w:rPr>
              <w:t>IX ELEMENTOS DE LA EXPOSICIÓN TOTAL DE LA ENTIDAD PARA EL CÁLCULO DEL INDICADOR DE APALANCAMIENTO</w:t>
            </w:r>
            <w:r w:rsidR="00C409C8" w:rsidRPr="008E3606">
              <w:rPr>
                <w:rFonts w:ascii="Cambria" w:hAnsi="Cambria"/>
                <w:noProof/>
                <w:webHidden/>
                <w:szCs w:val="24"/>
              </w:rPr>
              <w:tab/>
            </w:r>
            <w:r w:rsidR="00C409C8" w:rsidRPr="008E3606">
              <w:rPr>
                <w:rFonts w:ascii="Cambria" w:hAnsi="Cambria"/>
                <w:noProof/>
                <w:webHidden/>
                <w:szCs w:val="24"/>
              </w:rPr>
              <w:fldChar w:fldCharType="begin"/>
            </w:r>
            <w:r w:rsidR="00C409C8" w:rsidRPr="008E3606">
              <w:rPr>
                <w:rFonts w:ascii="Cambria" w:hAnsi="Cambria"/>
                <w:noProof/>
                <w:webHidden/>
                <w:szCs w:val="24"/>
              </w:rPr>
              <w:instrText xml:space="preserve"> PAGEREF _Toc153190209 \h </w:instrText>
            </w:r>
            <w:r w:rsidR="00C409C8" w:rsidRPr="008E3606">
              <w:rPr>
                <w:rFonts w:ascii="Cambria" w:hAnsi="Cambria"/>
                <w:noProof/>
                <w:webHidden/>
                <w:szCs w:val="24"/>
              </w:rPr>
            </w:r>
            <w:r w:rsidR="00C409C8" w:rsidRPr="008E3606">
              <w:rPr>
                <w:rFonts w:ascii="Cambria" w:hAnsi="Cambria"/>
                <w:noProof/>
                <w:webHidden/>
                <w:szCs w:val="24"/>
              </w:rPr>
              <w:fldChar w:fldCharType="separate"/>
            </w:r>
            <w:r w:rsidR="00C409C8" w:rsidRPr="008E3606">
              <w:rPr>
                <w:rFonts w:ascii="Cambria" w:hAnsi="Cambria"/>
                <w:noProof/>
                <w:webHidden/>
                <w:szCs w:val="24"/>
              </w:rPr>
              <w:t>61</w:t>
            </w:r>
            <w:r w:rsidR="00C409C8" w:rsidRPr="008E3606">
              <w:rPr>
                <w:rFonts w:ascii="Cambria" w:hAnsi="Cambria"/>
                <w:noProof/>
                <w:webHidden/>
                <w:szCs w:val="24"/>
              </w:rPr>
              <w:fldChar w:fldCharType="end"/>
            </w:r>
          </w:hyperlink>
        </w:p>
        <w:p w14:paraId="02D48C77" w14:textId="04E677F4" w:rsidR="00E10BA0" w:rsidRPr="008E3606" w:rsidRDefault="00E10BA0" w:rsidP="00E10BA0">
          <w:pPr>
            <w:widowControl w:val="0"/>
            <w:spacing w:after="240"/>
            <w:rPr>
              <w:sz w:val="24"/>
            </w:rPr>
          </w:pPr>
          <w:r w:rsidRPr="008E3606">
            <w:rPr>
              <w:b/>
              <w:bCs/>
              <w:sz w:val="24"/>
            </w:rPr>
            <w:fldChar w:fldCharType="end"/>
          </w:r>
        </w:p>
      </w:sdtContent>
    </w:sdt>
    <w:p w14:paraId="170915C8" w14:textId="77777777" w:rsidR="00E10BA0" w:rsidRPr="008E3606" w:rsidRDefault="00E10BA0" w:rsidP="00554BAD">
      <w:pPr>
        <w:pStyle w:val="Ttulo1"/>
        <w:spacing w:after="240"/>
        <w:ind w:left="0" w:firstLine="0"/>
        <w:rPr>
          <w:rFonts w:ascii="Cambria" w:hAnsi="Cambria" w:cs="Times New Roman"/>
          <w:szCs w:val="24"/>
        </w:rPr>
      </w:pPr>
      <w:bookmarkStart w:id="0" w:name="_Toc153190201"/>
      <w:r w:rsidRPr="008E3606">
        <w:rPr>
          <w:rFonts w:ascii="Cambria" w:hAnsi="Cambria" w:cs="Times New Roman"/>
          <w:szCs w:val="24"/>
        </w:rPr>
        <w:t>“I. REFERENCIAS CONTABLES Y OTROS DATOS REQUERIDOS PARA EL CÁLCULO DEL CAPITAL BASE</w:t>
      </w:r>
      <w:bookmarkEnd w:id="0"/>
    </w:p>
    <w:p w14:paraId="529563C2" w14:textId="77777777" w:rsidR="00E10BA0" w:rsidRPr="008E3606" w:rsidRDefault="00E10BA0" w:rsidP="00E10BA0">
      <w:pPr>
        <w:widowControl w:val="0"/>
        <w:spacing w:after="240" w:line="240" w:lineRule="auto"/>
        <w:ind w:left="2127" w:hanging="2132"/>
        <w:rPr>
          <w:sz w:val="24"/>
        </w:rPr>
      </w:pPr>
      <w:r w:rsidRPr="008E3606">
        <w:rPr>
          <w:b/>
          <w:bCs/>
          <w:sz w:val="24"/>
        </w:rPr>
        <w:t>Objetivo</w:t>
      </w:r>
      <w:r w:rsidRPr="008E3606">
        <w:rPr>
          <w:sz w:val="24"/>
        </w:rPr>
        <w:t xml:space="preserve"> </w:t>
      </w:r>
      <w:r w:rsidRPr="008E3606">
        <w:rPr>
          <w:b/>
          <w:bCs/>
          <w:sz w:val="24"/>
        </w:rPr>
        <w:t>específico:</w:t>
      </w:r>
      <w:r w:rsidRPr="008E3606">
        <w:rPr>
          <w:sz w:val="24"/>
        </w:rPr>
        <w:tab/>
        <w:t>Establecer las referencias contables del Anexo 1: “Plan de cuentas para las entidades supervisadas por SUGEF, SUGEVAL y SUPEN, los grupos y conglomerados financieros”, del Acuerdo CONASSIF 6-18 y la identificación de otros datos, requeridos para el cálculo del Capital Base.</w:t>
      </w:r>
    </w:p>
    <w:tbl>
      <w:tblPr>
        <w:tblStyle w:val="TableGrid"/>
        <w:tblW w:w="0" w:type="auto"/>
        <w:tblInd w:w="-142" w:type="dxa"/>
        <w:tblLook w:val="04A0" w:firstRow="1" w:lastRow="0" w:firstColumn="1" w:lastColumn="0" w:noHBand="0" w:noVBand="1"/>
      </w:tblPr>
      <w:tblGrid>
        <w:gridCol w:w="2162"/>
        <w:gridCol w:w="6818"/>
      </w:tblGrid>
      <w:tr w:rsidR="00E10BA0" w:rsidRPr="008E3606" w14:paraId="2666EA80" w14:textId="77777777" w:rsidTr="007E453E">
        <w:tc>
          <w:tcPr>
            <w:tcW w:w="2162" w:type="dxa"/>
          </w:tcPr>
          <w:p w14:paraId="4820FBF8" w14:textId="77777777" w:rsidR="00E10BA0" w:rsidRPr="008E3606" w:rsidRDefault="00E10BA0" w:rsidP="007E453E">
            <w:pPr>
              <w:widowControl w:val="0"/>
              <w:spacing w:after="240"/>
              <w:rPr>
                <w:sz w:val="24"/>
              </w:rPr>
            </w:pPr>
            <w:r w:rsidRPr="008E3606">
              <w:rPr>
                <w:b/>
                <w:bCs/>
                <w:sz w:val="24"/>
              </w:rPr>
              <w:t>Contenido</w:t>
            </w:r>
            <w:r w:rsidRPr="008E3606">
              <w:rPr>
                <w:sz w:val="24"/>
              </w:rPr>
              <w:t>:</w:t>
            </w:r>
          </w:p>
        </w:tc>
        <w:tc>
          <w:tcPr>
            <w:tcW w:w="6818" w:type="dxa"/>
          </w:tcPr>
          <w:p w14:paraId="346F218D" w14:textId="77777777" w:rsidR="00E10BA0" w:rsidRPr="008E3606" w:rsidRDefault="00E10BA0" w:rsidP="007E453E">
            <w:pPr>
              <w:widowControl w:val="0"/>
              <w:spacing w:after="240"/>
              <w:rPr>
                <w:sz w:val="24"/>
              </w:rPr>
            </w:pPr>
            <w:r w:rsidRPr="008E3606">
              <w:rPr>
                <w:sz w:val="24"/>
              </w:rPr>
              <w:t>A. CÁLCULO DEL CAPITAL BASE PARA BANCOS COMERCIALES, BANCOS CREADOS POR LEYES ESPECIALES Y EMPRESAS FINANCIERAS NO BANCARIAS</w:t>
            </w:r>
          </w:p>
        </w:tc>
      </w:tr>
      <w:tr w:rsidR="00E10BA0" w:rsidRPr="008E3606" w14:paraId="6837DF36" w14:textId="77777777" w:rsidTr="007E453E">
        <w:tc>
          <w:tcPr>
            <w:tcW w:w="2162" w:type="dxa"/>
          </w:tcPr>
          <w:p w14:paraId="553F06E4" w14:textId="77777777" w:rsidR="00E10BA0" w:rsidRPr="008E3606" w:rsidRDefault="00E10BA0" w:rsidP="007E453E">
            <w:pPr>
              <w:widowControl w:val="0"/>
              <w:spacing w:after="240"/>
              <w:rPr>
                <w:sz w:val="24"/>
              </w:rPr>
            </w:pPr>
          </w:p>
        </w:tc>
        <w:tc>
          <w:tcPr>
            <w:tcW w:w="6818" w:type="dxa"/>
          </w:tcPr>
          <w:p w14:paraId="6DF84339" w14:textId="77777777" w:rsidR="00E10BA0" w:rsidRPr="008E3606" w:rsidRDefault="00E10BA0" w:rsidP="007E453E">
            <w:pPr>
              <w:widowControl w:val="0"/>
              <w:spacing w:after="240"/>
              <w:rPr>
                <w:sz w:val="24"/>
              </w:rPr>
            </w:pPr>
            <w:r w:rsidRPr="008E3606">
              <w:rPr>
                <w:sz w:val="24"/>
              </w:rPr>
              <w:t>B. CÁLCULO DEL CAPITAL BASE PARA ORGANIZACIONES COOPERATIVAS DE AHORRO Y CRÉDITO Y ENTIDADES DE SIMILAR NATURALEZA</w:t>
            </w:r>
          </w:p>
        </w:tc>
      </w:tr>
      <w:tr w:rsidR="00E10BA0" w:rsidRPr="008E3606" w14:paraId="1E58CFBF" w14:textId="77777777" w:rsidTr="007E453E">
        <w:tc>
          <w:tcPr>
            <w:tcW w:w="2162" w:type="dxa"/>
          </w:tcPr>
          <w:p w14:paraId="427AFE0C" w14:textId="77777777" w:rsidR="00E10BA0" w:rsidRPr="008E3606" w:rsidRDefault="00E10BA0" w:rsidP="007E453E">
            <w:pPr>
              <w:widowControl w:val="0"/>
              <w:spacing w:after="240"/>
              <w:rPr>
                <w:sz w:val="24"/>
              </w:rPr>
            </w:pPr>
          </w:p>
        </w:tc>
        <w:tc>
          <w:tcPr>
            <w:tcW w:w="6818" w:type="dxa"/>
          </w:tcPr>
          <w:p w14:paraId="0370EDA0" w14:textId="77777777" w:rsidR="00E10BA0" w:rsidRPr="008E3606" w:rsidRDefault="00E10BA0" w:rsidP="007E453E">
            <w:pPr>
              <w:widowControl w:val="0"/>
              <w:spacing w:after="240"/>
              <w:rPr>
                <w:sz w:val="24"/>
              </w:rPr>
            </w:pPr>
            <w:r w:rsidRPr="008E3606">
              <w:rPr>
                <w:sz w:val="24"/>
              </w:rPr>
              <w:t>C. CÁLCULO DEL CAPITAL BASE PARA MUTUALES DE AHORRO Y PRÉSTAMO</w:t>
            </w:r>
          </w:p>
        </w:tc>
      </w:tr>
    </w:tbl>
    <w:p w14:paraId="502683D7" w14:textId="77777777" w:rsidR="00E10BA0" w:rsidRPr="008E3606" w:rsidRDefault="00E10BA0" w:rsidP="00E10BA0">
      <w:pPr>
        <w:pStyle w:val="Prrafodelista"/>
        <w:widowControl w:val="0"/>
        <w:spacing w:after="240"/>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t>A.</w:t>
      </w:r>
      <w:r w:rsidRPr="008E3606">
        <w:rPr>
          <w:rFonts w:ascii="Cambria" w:hAnsi="Cambria"/>
          <w:b/>
          <w:bCs/>
          <w:color w:val="4472C4" w:themeColor="accent1"/>
          <w:szCs w:val="24"/>
        </w:rPr>
        <w:tab/>
        <w:t>CÁLCULO DEL CAPITAL BASE PARA BANCOS COMERCIALES, BANCOS CREADOS POR LEYES ESPECIALES Y EMPRESAS FINANCIERAS NO BANCARIAS</w:t>
      </w:r>
    </w:p>
    <w:tbl>
      <w:tblPr>
        <w:tblStyle w:val="TableGrid"/>
        <w:tblW w:w="9350" w:type="dxa"/>
        <w:tblInd w:w="5" w:type="dxa"/>
        <w:tblCellMar>
          <w:top w:w="13" w:type="dxa"/>
          <w:left w:w="108" w:type="dxa"/>
          <w:right w:w="50" w:type="dxa"/>
        </w:tblCellMar>
        <w:tblLook w:val="04A0" w:firstRow="1" w:lastRow="0" w:firstColumn="1" w:lastColumn="0" w:noHBand="0" w:noVBand="1"/>
      </w:tblPr>
      <w:tblGrid>
        <w:gridCol w:w="2546"/>
        <w:gridCol w:w="4536"/>
        <w:gridCol w:w="2268"/>
      </w:tblGrid>
      <w:tr w:rsidR="00E10BA0" w:rsidRPr="008E3606" w14:paraId="579D0B97"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709CA472" w14:textId="77777777" w:rsidR="00E10BA0" w:rsidRPr="008E3606" w:rsidRDefault="00E10BA0" w:rsidP="007E453E">
            <w:pPr>
              <w:widowControl w:val="0"/>
              <w:spacing w:line="240" w:lineRule="auto"/>
              <w:jc w:val="left"/>
              <w:rPr>
                <w:sz w:val="24"/>
              </w:rPr>
            </w:pPr>
            <w:r w:rsidRPr="008E3606">
              <w:rPr>
                <w:b/>
                <w:sz w:val="24"/>
              </w:rPr>
              <w:t xml:space="preserve">CAPITAL BASE (CB) = (CN1 MÁS CN2) </w:t>
            </w:r>
          </w:p>
        </w:tc>
        <w:tc>
          <w:tcPr>
            <w:tcW w:w="2268" w:type="dxa"/>
            <w:tcBorders>
              <w:top w:val="single" w:sz="4" w:space="0" w:color="000000"/>
              <w:left w:val="nil"/>
              <w:bottom w:val="single" w:sz="4" w:space="0" w:color="000000"/>
              <w:right w:val="single" w:sz="4" w:space="0" w:color="000000"/>
            </w:tcBorders>
          </w:tcPr>
          <w:p w14:paraId="445DA558" w14:textId="77777777" w:rsidR="00E10BA0" w:rsidRPr="008E3606" w:rsidRDefault="00E10BA0" w:rsidP="007E453E">
            <w:pPr>
              <w:widowControl w:val="0"/>
              <w:spacing w:line="240" w:lineRule="auto"/>
              <w:jc w:val="left"/>
              <w:rPr>
                <w:sz w:val="24"/>
              </w:rPr>
            </w:pPr>
          </w:p>
        </w:tc>
      </w:tr>
      <w:tr w:rsidR="00E10BA0" w:rsidRPr="008E3606" w14:paraId="7F93070F"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ED28BE7" w14:textId="77777777" w:rsidR="00E10BA0" w:rsidRPr="008E3606" w:rsidRDefault="00E10BA0" w:rsidP="007E453E">
            <w:pPr>
              <w:widowControl w:val="0"/>
              <w:spacing w:line="240" w:lineRule="auto"/>
              <w:jc w:val="left"/>
              <w:rPr>
                <w:sz w:val="24"/>
              </w:rPr>
            </w:pPr>
            <w:r w:rsidRPr="008E3606">
              <w:rPr>
                <w:b/>
                <w:sz w:val="24"/>
              </w:rPr>
              <w:t xml:space="preserve">CAPITAL NIVEL 1 (CN1) = (CCN1 MÁS CAN1) = (I MÁS II) </w:t>
            </w:r>
          </w:p>
        </w:tc>
        <w:tc>
          <w:tcPr>
            <w:tcW w:w="2268" w:type="dxa"/>
            <w:tcBorders>
              <w:top w:val="single" w:sz="4" w:space="0" w:color="000000"/>
              <w:left w:val="nil"/>
              <w:bottom w:val="single" w:sz="4" w:space="0" w:color="000000"/>
              <w:right w:val="single" w:sz="4" w:space="0" w:color="000000"/>
            </w:tcBorders>
          </w:tcPr>
          <w:p w14:paraId="2E4DF3E9" w14:textId="77777777" w:rsidR="00E10BA0" w:rsidRPr="008E3606" w:rsidRDefault="00E10BA0" w:rsidP="007E453E">
            <w:pPr>
              <w:widowControl w:val="0"/>
              <w:spacing w:line="240" w:lineRule="auto"/>
              <w:jc w:val="left"/>
              <w:rPr>
                <w:sz w:val="24"/>
              </w:rPr>
            </w:pPr>
          </w:p>
        </w:tc>
      </w:tr>
      <w:tr w:rsidR="00E10BA0" w:rsidRPr="008E3606" w14:paraId="39A5B8EE"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4682CD59" w14:textId="77777777" w:rsidR="00E10BA0" w:rsidRPr="008E3606" w:rsidRDefault="00E10BA0" w:rsidP="007E453E">
            <w:pPr>
              <w:widowControl w:val="0"/>
              <w:spacing w:line="240" w:lineRule="auto"/>
              <w:jc w:val="left"/>
              <w:rPr>
                <w:sz w:val="24"/>
              </w:rPr>
            </w:pPr>
            <w:r w:rsidRPr="008E3606">
              <w:rPr>
                <w:b/>
                <w:sz w:val="24"/>
              </w:rPr>
              <w:t xml:space="preserve">I) CAPITAL COMÚN NIVEL 1 (CCN1) = (1 MENOS 2) </w:t>
            </w:r>
          </w:p>
        </w:tc>
        <w:tc>
          <w:tcPr>
            <w:tcW w:w="2268" w:type="dxa"/>
            <w:tcBorders>
              <w:top w:val="single" w:sz="4" w:space="0" w:color="000000"/>
              <w:left w:val="nil"/>
              <w:bottom w:val="single" w:sz="4" w:space="0" w:color="000000"/>
              <w:right w:val="single" w:sz="4" w:space="0" w:color="000000"/>
            </w:tcBorders>
          </w:tcPr>
          <w:p w14:paraId="230CB5C3" w14:textId="77777777" w:rsidR="00E10BA0" w:rsidRPr="008E3606" w:rsidRDefault="00E10BA0" w:rsidP="007E453E">
            <w:pPr>
              <w:widowControl w:val="0"/>
              <w:spacing w:line="240" w:lineRule="auto"/>
              <w:jc w:val="left"/>
              <w:rPr>
                <w:sz w:val="24"/>
              </w:rPr>
            </w:pPr>
          </w:p>
        </w:tc>
      </w:tr>
      <w:tr w:rsidR="00E10BA0" w:rsidRPr="008E3606" w14:paraId="4754CB05"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25B45A0E" w14:textId="77777777" w:rsidR="00E10BA0" w:rsidRPr="008E3606" w:rsidRDefault="00E10BA0" w:rsidP="007E453E">
            <w:pPr>
              <w:widowControl w:val="0"/>
              <w:spacing w:line="240" w:lineRule="auto"/>
              <w:ind w:left="55"/>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12EF8B87" w14:textId="77777777" w:rsidR="00E10BA0" w:rsidRPr="008E3606" w:rsidRDefault="00E10BA0" w:rsidP="007E453E">
            <w:pPr>
              <w:widowControl w:val="0"/>
              <w:spacing w:line="240" w:lineRule="auto"/>
              <w:ind w:right="60"/>
              <w:jc w:val="center"/>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0AC8759D"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9011722"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1AFD677E" w14:textId="77777777" w:rsidR="00E10BA0" w:rsidRPr="008E3606" w:rsidRDefault="00E10BA0" w:rsidP="007E453E">
            <w:pPr>
              <w:widowControl w:val="0"/>
              <w:spacing w:line="240" w:lineRule="auto"/>
              <w:jc w:val="left"/>
              <w:rPr>
                <w:sz w:val="24"/>
              </w:rPr>
            </w:pPr>
            <w:r w:rsidRPr="008E3606">
              <w:rPr>
                <w:b/>
                <w:sz w:val="24"/>
              </w:rPr>
              <w:t xml:space="preserve">1) Elementos del CCN1 </w:t>
            </w:r>
          </w:p>
        </w:tc>
        <w:tc>
          <w:tcPr>
            <w:tcW w:w="2268" w:type="dxa"/>
            <w:tcBorders>
              <w:top w:val="single" w:sz="4" w:space="0" w:color="000000"/>
              <w:left w:val="single" w:sz="4" w:space="0" w:color="000000"/>
              <w:bottom w:val="single" w:sz="4" w:space="0" w:color="000000"/>
              <w:right w:val="single" w:sz="4" w:space="0" w:color="000000"/>
            </w:tcBorders>
          </w:tcPr>
          <w:p w14:paraId="06781D1A" w14:textId="77777777" w:rsidR="00E10BA0" w:rsidRPr="008E3606" w:rsidRDefault="00E10BA0" w:rsidP="007E453E">
            <w:pPr>
              <w:widowControl w:val="0"/>
              <w:spacing w:line="240" w:lineRule="auto"/>
              <w:ind w:right="55"/>
              <w:jc w:val="center"/>
              <w:rPr>
                <w:sz w:val="24"/>
              </w:rPr>
            </w:pPr>
            <w:r w:rsidRPr="008E3606">
              <w:rPr>
                <w:b/>
                <w:sz w:val="24"/>
              </w:rPr>
              <w:t xml:space="preserve">Artículo 7 </w:t>
            </w:r>
          </w:p>
        </w:tc>
      </w:tr>
      <w:tr w:rsidR="00E10BA0" w:rsidRPr="008E3606" w14:paraId="504A2803"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9E13F07"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613BDAEA" w14:textId="77777777" w:rsidR="00E10BA0" w:rsidRPr="008E3606" w:rsidRDefault="00E10BA0" w:rsidP="007E453E">
            <w:pPr>
              <w:widowControl w:val="0"/>
              <w:spacing w:line="240" w:lineRule="auto"/>
              <w:jc w:val="left"/>
              <w:rPr>
                <w:sz w:val="24"/>
              </w:rPr>
            </w:pPr>
          </w:p>
        </w:tc>
      </w:tr>
      <w:tr w:rsidR="00E10BA0" w:rsidRPr="008E3606" w14:paraId="2C6F020D"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47EDCF3C" w14:textId="77777777" w:rsidR="00E10BA0" w:rsidRPr="008E3606" w:rsidRDefault="00E10BA0" w:rsidP="007E453E">
            <w:pPr>
              <w:widowControl w:val="0"/>
              <w:spacing w:line="240" w:lineRule="auto"/>
              <w:ind w:right="55"/>
              <w:rPr>
                <w:sz w:val="24"/>
              </w:rPr>
            </w:pPr>
            <w:r w:rsidRPr="008E3606">
              <w:rPr>
                <w:sz w:val="24"/>
              </w:rPr>
              <w:t xml:space="preserve">Los instrumentos de capital que cumplan con todos y cada uno de los criterios de admisibilidad para formar parte del CCN1, dispuestos en el Anexo 3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093409F7"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2C8B27E6"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9AE84D7" w14:textId="77777777" w:rsidR="00E10BA0" w:rsidRPr="008E3606" w:rsidRDefault="00E10BA0" w:rsidP="007E453E">
            <w:pPr>
              <w:widowControl w:val="0"/>
              <w:spacing w:line="240" w:lineRule="auto"/>
              <w:jc w:val="left"/>
              <w:rPr>
                <w:sz w:val="24"/>
              </w:rPr>
            </w:pPr>
            <w:r w:rsidRPr="008E3606">
              <w:rPr>
                <w:sz w:val="24"/>
              </w:rPr>
              <w:t xml:space="preserve">CC 31101000 </w:t>
            </w:r>
          </w:p>
        </w:tc>
        <w:tc>
          <w:tcPr>
            <w:tcW w:w="4536" w:type="dxa"/>
            <w:tcBorders>
              <w:top w:val="single" w:sz="4" w:space="0" w:color="000000"/>
              <w:left w:val="single" w:sz="4" w:space="0" w:color="000000"/>
              <w:bottom w:val="single" w:sz="4" w:space="0" w:color="000000"/>
              <w:right w:val="single" w:sz="4" w:space="0" w:color="000000"/>
            </w:tcBorders>
          </w:tcPr>
          <w:p w14:paraId="772AF6F5" w14:textId="77777777" w:rsidR="00E10BA0" w:rsidRPr="008E3606" w:rsidRDefault="00E10BA0" w:rsidP="007E453E">
            <w:pPr>
              <w:widowControl w:val="0"/>
              <w:spacing w:line="240" w:lineRule="auto"/>
              <w:jc w:val="left"/>
              <w:rPr>
                <w:sz w:val="24"/>
              </w:rPr>
            </w:pPr>
            <w:r w:rsidRPr="008E3606">
              <w:rPr>
                <w:sz w:val="24"/>
              </w:rPr>
              <w:t xml:space="preserve">Capital pagado ordinario </w:t>
            </w:r>
          </w:p>
        </w:tc>
        <w:tc>
          <w:tcPr>
            <w:tcW w:w="2268" w:type="dxa"/>
            <w:tcBorders>
              <w:top w:val="single" w:sz="4" w:space="0" w:color="000000"/>
              <w:left w:val="single" w:sz="4" w:space="0" w:color="000000"/>
              <w:bottom w:val="single" w:sz="4" w:space="0" w:color="000000"/>
              <w:right w:val="single" w:sz="4" w:space="0" w:color="000000"/>
            </w:tcBorders>
          </w:tcPr>
          <w:p w14:paraId="46510073" w14:textId="77777777" w:rsidR="00E10BA0" w:rsidRPr="008E3606" w:rsidRDefault="00E10BA0" w:rsidP="007E453E">
            <w:pPr>
              <w:widowControl w:val="0"/>
              <w:spacing w:line="240" w:lineRule="auto"/>
              <w:ind w:right="2"/>
              <w:jc w:val="center"/>
              <w:rPr>
                <w:sz w:val="24"/>
              </w:rPr>
            </w:pPr>
            <w:r w:rsidRPr="008E3606">
              <w:rPr>
                <w:b/>
                <w:sz w:val="24"/>
              </w:rPr>
              <w:t xml:space="preserve"> </w:t>
            </w:r>
          </w:p>
        </w:tc>
      </w:tr>
      <w:tr w:rsidR="00E10BA0" w:rsidRPr="008E3606" w14:paraId="3BBE893D"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71868083"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4FFD1940" w14:textId="77777777" w:rsidR="00E10BA0" w:rsidRPr="008E3606" w:rsidRDefault="00E10BA0" w:rsidP="007E453E">
            <w:pPr>
              <w:widowControl w:val="0"/>
              <w:spacing w:line="240" w:lineRule="auto"/>
              <w:ind w:right="2"/>
              <w:jc w:val="center"/>
              <w:rPr>
                <w:sz w:val="24"/>
              </w:rPr>
            </w:pPr>
            <w:r w:rsidRPr="008E3606">
              <w:rPr>
                <w:b/>
                <w:sz w:val="24"/>
              </w:rPr>
              <w:t xml:space="preserve"> </w:t>
            </w:r>
          </w:p>
        </w:tc>
      </w:tr>
      <w:tr w:rsidR="00E10BA0" w:rsidRPr="008E3606" w14:paraId="7D21FA90"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17A3AC99" w14:textId="77777777" w:rsidR="00E10BA0" w:rsidRPr="008E3606" w:rsidRDefault="00E10BA0" w:rsidP="007E453E">
            <w:pPr>
              <w:widowControl w:val="0"/>
              <w:spacing w:line="240" w:lineRule="auto"/>
              <w:rPr>
                <w:sz w:val="24"/>
              </w:rPr>
            </w:pPr>
            <w:r w:rsidRPr="008E3606">
              <w:rPr>
                <w:sz w:val="24"/>
              </w:rPr>
              <w:t xml:space="preserve">Las primas resultantes de la emisión de instrumentos incluidos en el CCN1, netas de los descuentos y de los costos de emisión y colocación.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7D212F56"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0BE3AF83"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B965E20" w14:textId="77777777" w:rsidR="00E10BA0" w:rsidRPr="008E3606" w:rsidRDefault="00E10BA0" w:rsidP="007E453E">
            <w:pPr>
              <w:widowControl w:val="0"/>
              <w:spacing w:line="240" w:lineRule="auto"/>
              <w:jc w:val="left"/>
              <w:rPr>
                <w:sz w:val="24"/>
              </w:rPr>
            </w:pPr>
            <w:r w:rsidRPr="008E3606">
              <w:rPr>
                <w:sz w:val="24"/>
              </w:rPr>
              <w:t xml:space="preserve">CC 32100000 </w:t>
            </w:r>
          </w:p>
        </w:tc>
        <w:tc>
          <w:tcPr>
            <w:tcW w:w="4536" w:type="dxa"/>
            <w:tcBorders>
              <w:top w:val="single" w:sz="4" w:space="0" w:color="000000"/>
              <w:left w:val="single" w:sz="4" w:space="0" w:color="000000"/>
              <w:bottom w:val="single" w:sz="4" w:space="0" w:color="000000"/>
              <w:right w:val="single" w:sz="4" w:space="0" w:color="000000"/>
            </w:tcBorders>
          </w:tcPr>
          <w:p w14:paraId="72A5B62E" w14:textId="77777777" w:rsidR="00E10BA0" w:rsidRPr="008E3606" w:rsidRDefault="00E10BA0" w:rsidP="007E453E">
            <w:pPr>
              <w:widowControl w:val="0"/>
              <w:spacing w:line="240" w:lineRule="auto"/>
              <w:jc w:val="left"/>
              <w:rPr>
                <w:sz w:val="24"/>
              </w:rPr>
            </w:pPr>
            <w:r w:rsidRPr="008E3606">
              <w:rPr>
                <w:sz w:val="24"/>
              </w:rPr>
              <w:t xml:space="preserve">Capital pagado adicional </w:t>
            </w:r>
          </w:p>
        </w:tc>
        <w:tc>
          <w:tcPr>
            <w:tcW w:w="2268" w:type="dxa"/>
            <w:tcBorders>
              <w:top w:val="single" w:sz="4" w:space="0" w:color="000000"/>
              <w:left w:val="single" w:sz="4" w:space="0" w:color="000000"/>
              <w:bottom w:val="single" w:sz="4" w:space="0" w:color="000000"/>
              <w:right w:val="single" w:sz="4" w:space="0" w:color="000000"/>
            </w:tcBorders>
          </w:tcPr>
          <w:p w14:paraId="5A4B0AA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94D1D25"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38D0F315"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30A32D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07893DD"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1E6419BE" w14:textId="77777777" w:rsidR="00E10BA0" w:rsidRPr="008E3606" w:rsidRDefault="00E10BA0" w:rsidP="007E453E">
            <w:pPr>
              <w:widowControl w:val="0"/>
              <w:spacing w:line="240" w:lineRule="auto"/>
              <w:jc w:val="left"/>
              <w:rPr>
                <w:sz w:val="24"/>
              </w:rPr>
            </w:pPr>
            <w:r w:rsidRPr="008E3606">
              <w:rPr>
                <w:sz w:val="24"/>
              </w:rPr>
              <w:t xml:space="preserve">La reserva legal. </w:t>
            </w:r>
          </w:p>
        </w:tc>
        <w:tc>
          <w:tcPr>
            <w:tcW w:w="2268" w:type="dxa"/>
            <w:tcBorders>
              <w:top w:val="single" w:sz="4" w:space="0" w:color="000000"/>
              <w:left w:val="single" w:sz="4" w:space="0" w:color="000000"/>
              <w:bottom w:val="single" w:sz="4" w:space="0" w:color="000000"/>
              <w:right w:val="single" w:sz="4" w:space="0" w:color="000000"/>
            </w:tcBorders>
          </w:tcPr>
          <w:p w14:paraId="013C46E6"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3FC76FA7"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2CCD4281" w14:textId="77777777" w:rsidR="00E10BA0" w:rsidRPr="008E3606" w:rsidRDefault="00E10BA0" w:rsidP="007E453E">
            <w:pPr>
              <w:widowControl w:val="0"/>
              <w:spacing w:line="240" w:lineRule="auto"/>
              <w:jc w:val="left"/>
              <w:rPr>
                <w:sz w:val="24"/>
              </w:rPr>
            </w:pPr>
            <w:r w:rsidRPr="008E3606">
              <w:rPr>
                <w:sz w:val="24"/>
              </w:rPr>
              <w:t xml:space="preserve">CC 34100000 </w:t>
            </w:r>
          </w:p>
        </w:tc>
        <w:tc>
          <w:tcPr>
            <w:tcW w:w="4536" w:type="dxa"/>
            <w:tcBorders>
              <w:top w:val="single" w:sz="4" w:space="0" w:color="000000"/>
              <w:left w:val="single" w:sz="4" w:space="0" w:color="000000"/>
              <w:bottom w:val="single" w:sz="4" w:space="0" w:color="000000"/>
              <w:right w:val="single" w:sz="4" w:space="0" w:color="000000"/>
            </w:tcBorders>
          </w:tcPr>
          <w:p w14:paraId="597D1D32" w14:textId="77777777" w:rsidR="00E10BA0" w:rsidRPr="008E3606" w:rsidRDefault="00E10BA0" w:rsidP="007E453E">
            <w:pPr>
              <w:widowControl w:val="0"/>
              <w:spacing w:line="240" w:lineRule="auto"/>
              <w:jc w:val="left"/>
              <w:rPr>
                <w:sz w:val="24"/>
              </w:rPr>
            </w:pPr>
            <w:r w:rsidRPr="008E3606">
              <w:rPr>
                <w:sz w:val="24"/>
              </w:rPr>
              <w:t xml:space="preserve">Reserva legal </w:t>
            </w:r>
          </w:p>
        </w:tc>
        <w:tc>
          <w:tcPr>
            <w:tcW w:w="2268" w:type="dxa"/>
            <w:tcBorders>
              <w:top w:val="single" w:sz="4" w:space="0" w:color="000000"/>
              <w:left w:val="single" w:sz="4" w:space="0" w:color="000000"/>
              <w:bottom w:val="single" w:sz="4" w:space="0" w:color="000000"/>
              <w:right w:val="single" w:sz="4" w:space="0" w:color="000000"/>
            </w:tcBorders>
          </w:tcPr>
          <w:p w14:paraId="2FD5FFE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09D471F"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6113239F"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64A6F5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5A2B430"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CBE6228" w14:textId="77777777" w:rsidR="00E10BA0" w:rsidRPr="008E3606" w:rsidRDefault="00E10BA0" w:rsidP="007E453E">
            <w:pPr>
              <w:widowControl w:val="0"/>
              <w:spacing w:line="240" w:lineRule="auto"/>
              <w:jc w:val="left"/>
              <w:rPr>
                <w:sz w:val="24"/>
              </w:rPr>
            </w:pPr>
            <w:r w:rsidRPr="008E3606">
              <w:rPr>
                <w:sz w:val="24"/>
              </w:rPr>
              <w:t xml:space="preserve">Las utilidades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7EC84F9A"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19BCF6C6"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2DE78F59" w14:textId="77777777" w:rsidR="00E10BA0" w:rsidRPr="008E3606" w:rsidRDefault="00E10BA0" w:rsidP="007E453E">
            <w:pPr>
              <w:widowControl w:val="0"/>
              <w:spacing w:line="240" w:lineRule="auto"/>
              <w:jc w:val="left"/>
              <w:rPr>
                <w:sz w:val="24"/>
              </w:rPr>
            </w:pPr>
            <w:r w:rsidRPr="008E3606">
              <w:rPr>
                <w:sz w:val="24"/>
              </w:rPr>
              <w:t xml:space="preserve">CC 35100000 </w:t>
            </w:r>
          </w:p>
        </w:tc>
        <w:tc>
          <w:tcPr>
            <w:tcW w:w="4536" w:type="dxa"/>
            <w:tcBorders>
              <w:top w:val="single" w:sz="4" w:space="0" w:color="000000"/>
              <w:left w:val="single" w:sz="4" w:space="0" w:color="000000"/>
              <w:bottom w:val="single" w:sz="4" w:space="0" w:color="000000"/>
              <w:right w:val="single" w:sz="4" w:space="0" w:color="000000"/>
            </w:tcBorders>
          </w:tcPr>
          <w:p w14:paraId="2773111D" w14:textId="77777777" w:rsidR="00E10BA0" w:rsidRPr="008E3606" w:rsidRDefault="00E10BA0" w:rsidP="007E453E">
            <w:pPr>
              <w:widowControl w:val="0"/>
              <w:spacing w:line="240" w:lineRule="auto"/>
              <w:ind w:right="16"/>
              <w:jc w:val="left"/>
              <w:rPr>
                <w:sz w:val="24"/>
              </w:rPr>
            </w:pPr>
            <w:r w:rsidRPr="008E3606">
              <w:rPr>
                <w:sz w:val="24"/>
              </w:rPr>
              <w:t xml:space="preserve">Utilidades acumuladas de ejercicios anteriores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4645FD4"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C6AD849"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153CA99"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68FF9B2"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A4DAB61"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09F85DD2" w14:textId="77777777" w:rsidR="00E10BA0" w:rsidRPr="008E3606" w:rsidRDefault="00E10BA0" w:rsidP="007E453E">
            <w:pPr>
              <w:widowControl w:val="0"/>
              <w:spacing w:line="240" w:lineRule="auto"/>
              <w:jc w:val="left"/>
              <w:rPr>
                <w:sz w:val="24"/>
              </w:rPr>
            </w:pPr>
            <w:r w:rsidRPr="008E3606">
              <w:rPr>
                <w:sz w:val="24"/>
              </w:rPr>
              <w:t xml:space="preserve">La utilidad del periodo, neta de las participaciones legales sobre las utilidades.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833E7BB"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23679C83"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30B475CA" w14:textId="77777777" w:rsidR="00E10BA0" w:rsidRPr="008E3606" w:rsidRDefault="00E10BA0" w:rsidP="007E453E">
            <w:pPr>
              <w:widowControl w:val="0"/>
              <w:spacing w:line="240" w:lineRule="auto"/>
              <w:ind w:right="27"/>
              <w:jc w:val="left"/>
              <w:rPr>
                <w:sz w:val="24"/>
              </w:rPr>
            </w:pPr>
            <w:r w:rsidRPr="008E3606">
              <w:rPr>
                <w:sz w:val="24"/>
              </w:rPr>
              <w:t xml:space="preserve">En caso de que el resultado acumulado del período sea positivo (utilidad):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1617A02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23CE305"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58EC04BC" w14:textId="77777777" w:rsidR="00E10BA0" w:rsidRPr="008E3606" w:rsidRDefault="00E10BA0" w:rsidP="007E453E">
            <w:pPr>
              <w:widowControl w:val="0"/>
              <w:spacing w:line="240" w:lineRule="auto"/>
              <w:jc w:val="left"/>
              <w:rPr>
                <w:sz w:val="24"/>
              </w:rPr>
            </w:pPr>
            <w:r w:rsidRPr="008E3606">
              <w:rPr>
                <w:sz w:val="24"/>
              </w:rPr>
              <w:t xml:space="preserve">CC 50000000 </w:t>
            </w:r>
          </w:p>
        </w:tc>
        <w:tc>
          <w:tcPr>
            <w:tcW w:w="4536" w:type="dxa"/>
            <w:tcBorders>
              <w:top w:val="single" w:sz="4" w:space="0" w:color="000000"/>
              <w:left w:val="single" w:sz="4" w:space="0" w:color="000000"/>
              <w:bottom w:val="single" w:sz="4" w:space="0" w:color="000000"/>
              <w:right w:val="single" w:sz="4" w:space="0" w:color="000000"/>
            </w:tcBorders>
          </w:tcPr>
          <w:p w14:paraId="717E9482" w14:textId="77777777" w:rsidR="00E10BA0" w:rsidRPr="008E3606" w:rsidRDefault="00E10BA0" w:rsidP="007E453E">
            <w:pPr>
              <w:widowControl w:val="0"/>
              <w:spacing w:line="240" w:lineRule="auto"/>
              <w:jc w:val="left"/>
              <w:rPr>
                <w:sz w:val="24"/>
              </w:rPr>
            </w:pPr>
            <w:r w:rsidRPr="008E3606">
              <w:rPr>
                <w:sz w:val="24"/>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14:paraId="201434D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6624AC6"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4DDFD66" w14:textId="77777777" w:rsidR="00E10BA0" w:rsidRPr="008E3606" w:rsidRDefault="00E10BA0" w:rsidP="007E453E">
            <w:pPr>
              <w:widowControl w:val="0"/>
              <w:spacing w:line="240" w:lineRule="auto"/>
              <w:jc w:val="left"/>
              <w:rPr>
                <w:sz w:val="24"/>
              </w:rPr>
            </w:pPr>
            <w:r w:rsidRPr="008E3606">
              <w:rPr>
                <w:sz w:val="24"/>
              </w:rPr>
              <w:t xml:space="preserve">MENOS CC 40000000 </w:t>
            </w:r>
          </w:p>
        </w:tc>
        <w:tc>
          <w:tcPr>
            <w:tcW w:w="4536" w:type="dxa"/>
            <w:tcBorders>
              <w:top w:val="single" w:sz="4" w:space="0" w:color="000000"/>
              <w:left w:val="single" w:sz="4" w:space="0" w:color="000000"/>
              <w:bottom w:val="single" w:sz="4" w:space="0" w:color="000000"/>
              <w:right w:val="single" w:sz="4" w:space="0" w:color="000000"/>
            </w:tcBorders>
          </w:tcPr>
          <w:p w14:paraId="434F0FF1" w14:textId="77777777" w:rsidR="00E10BA0" w:rsidRPr="008E3606" w:rsidRDefault="00E10BA0" w:rsidP="007E453E">
            <w:pPr>
              <w:widowControl w:val="0"/>
              <w:spacing w:line="240" w:lineRule="auto"/>
              <w:jc w:val="left"/>
              <w:rPr>
                <w:sz w:val="24"/>
              </w:rPr>
            </w:pPr>
            <w:r w:rsidRPr="008E3606">
              <w:rPr>
                <w:sz w:val="24"/>
              </w:rPr>
              <w:t xml:space="preserve">Gastos </w:t>
            </w:r>
          </w:p>
        </w:tc>
        <w:tc>
          <w:tcPr>
            <w:tcW w:w="2268" w:type="dxa"/>
            <w:tcBorders>
              <w:top w:val="single" w:sz="4" w:space="0" w:color="000000"/>
              <w:left w:val="single" w:sz="4" w:space="0" w:color="000000"/>
              <w:bottom w:val="single" w:sz="4" w:space="0" w:color="000000"/>
              <w:right w:val="single" w:sz="4" w:space="0" w:color="000000"/>
            </w:tcBorders>
          </w:tcPr>
          <w:p w14:paraId="4B235AE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88EC9F4"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23DB4A06" w14:textId="77777777" w:rsidR="00E10BA0" w:rsidRPr="008E3606" w:rsidRDefault="00E10BA0" w:rsidP="007E453E">
            <w:pPr>
              <w:widowControl w:val="0"/>
              <w:spacing w:line="240" w:lineRule="auto"/>
              <w:jc w:val="left"/>
              <w:rPr>
                <w:sz w:val="24"/>
              </w:rPr>
            </w:pPr>
            <w:r w:rsidRPr="008E3606">
              <w:rPr>
                <w:sz w:val="24"/>
              </w:rPr>
              <w:t xml:space="preserve">MÁS CC 36100000 </w:t>
            </w:r>
          </w:p>
        </w:tc>
        <w:tc>
          <w:tcPr>
            <w:tcW w:w="4536" w:type="dxa"/>
            <w:tcBorders>
              <w:top w:val="single" w:sz="4" w:space="0" w:color="000000"/>
              <w:left w:val="single" w:sz="4" w:space="0" w:color="000000"/>
              <w:bottom w:val="single" w:sz="4" w:space="0" w:color="000000"/>
              <w:right w:val="single" w:sz="4" w:space="0" w:color="000000"/>
            </w:tcBorders>
          </w:tcPr>
          <w:p w14:paraId="2EB39595" w14:textId="77777777" w:rsidR="00E10BA0" w:rsidRPr="008E3606" w:rsidRDefault="00E10BA0" w:rsidP="007E453E">
            <w:pPr>
              <w:widowControl w:val="0"/>
              <w:spacing w:line="240" w:lineRule="auto"/>
              <w:jc w:val="left"/>
              <w:rPr>
                <w:sz w:val="24"/>
              </w:rPr>
            </w:pPr>
            <w:r w:rsidRPr="008E3606">
              <w:rPr>
                <w:sz w:val="24"/>
              </w:rPr>
              <w:t xml:space="preserve">Utilidad o excedente del periodo </w:t>
            </w:r>
          </w:p>
        </w:tc>
        <w:tc>
          <w:tcPr>
            <w:tcW w:w="2268" w:type="dxa"/>
            <w:tcBorders>
              <w:top w:val="single" w:sz="4" w:space="0" w:color="000000"/>
              <w:left w:val="single" w:sz="4" w:space="0" w:color="000000"/>
              <w:bottom w:val="single" w:sz="4" w:space="0" w:color="000000"/>
              <w:right w:val="single" w:sz="4" w:space="0" w:color="000000"/>
            </w:tcBorders>
          </w:tcPr>
          <w:p w14:paraId="3A7E40F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8265119"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38E64C0A" w14:textId="77777777" w:rsidR="00E10BA0" w:rsidRPr="008E3606" w:rsidRDefault="00E10BA0" w:rsidP="007E453E">
            <w:pPr>
              <w:widowControl w:val="0"/>
              <w:spacing w:line="240" w:lineRule="auto"/>
              <w:jc w:val="left"/>
              <w:rPr>
                <w:sz w:val="24"/>
              </w:rPr>
            </w:pPr>
            <w:r w:rsidRPr="008E3606">
              <w:rPr>
                <w:sz w:val="24"/>
              </w:rPr>
              <w:t xml:space="preserve">MENOS CC 36200000 </w:t>
            </w:r>
          </w:p>
        </w:tc>
        <w:tc>
          <w:tcPr>
            <w:tcW w:w="4536" w:type="dxa"/>
            <w:tcBorders>
              <w:top w:val="single" w:sz="4" w:space="0" w:color="000000"/>
              <w:left w:val="single" w:sz="4" w:space="0" w:color="000000"/>
              <w:bottom w:val="single" w:sz="4" w:space="0" w:color="000000"/>
              <w:right w:val="single" w:sz="4" w:space="0" w:color="000000"/>
            </w:tcBorders>
          </w:tcPr>
          <w:p w14:paraId="75FFF086" w14:textId="77777777" w:rsidR="00E10BA0" w:rsidRPr="008E3606" w:rsidRDefault="00E10BA0" w:rsidP="007E453E">
            <w:pPr>
              <w:widowControl w:val="0"/>
              <w:spacing w:line="240" w:lineRule="auto"/>
              <w:jc w:val="left"/>
              <w:rPr>
                <w:sz w:val="24"/>
              </w:rPr>
            </w:pPr>
            <w:r w:rsidRPr="008E3606">
              <w:rPr>
                <w:sz w:val="24"/>
              </w:rPr>
              <w:t xml:space="preserve">Pérdida del periodo </w:t>
            </w:r>
          </w:p>
        </w:tc>
        <w:tc>
          <w:tcPr>
            <w:tcW w:w="2268" w:type="dxa"/>
            <w:tcBorders>
              <w:top w:val="single" w:sz="4" w:space="0" w:color="000000"/>
              <w:left w:val="single" w:sz="4" w:space="0" w:color="000000"/>
              <w:bottom w:val="single" w:sz="4" w:space="0" w:color="000000"/>
              <w:right w:val="single" w:sz="4" w:space="0" w:color="000000"/>
            </w:tcBorders>
          </w:tcPr>
          <w:p w14:paraId="76BB3D29"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8BE3C16"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101E1A8"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03ABF0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BCE28F2" w14:textId="77777777" w:rsidTr="007E453E">
        <w:trPr>
          <w:trHeight w:val="1332"/>
        </w:trPr>
        <w:tc>
          <w:tcPr>
            <w:tcW w:w="7082" w:type="dxa"/>
            <w:gridSpan w:val="2"/>
            <w:tcBorders>
              <w:top w:val="single" w:sz="4" w:space="0" w:color="000000"/>
              <w:left w:val="single" w:sz="4" w:space="0" w:color="000000"/>
              <w:bottom w:val="single" w:sz="4" w:space="0" w:color="000000"/>
              <w:right w:val="single" w:sz="4" w:space="0" w:color="000000"/>
            </w:tcBorders>
          </w:tcPr>
          <w:p w14:paraId="65141712" w14:textId="77777777" w:rsidR="00E10BA0" w:rsidRPr="008E3606" w:rsidRDefault="00E10BA0" w:rsidP="007E453E">
            <w:pPr>
              <w:widowControl w:val="0"/>
              <w:spacing w:line="240" w:lineRule="auto"/>
              <w:ind w:right="55"/>
              <w:rPr>
                <w:sz w:val="24"/>
              </w:rPr>
            </w:pPr>
            <w:r w:rsidRPr="008E3606">
              <w:rPr>
                <w:sz w:val="24"/>
              </w:rPr>
              <w:t xml:space="preserve">Los otros resultados integrales acumulados totales, excluyendo: i) los superávits por revaluación de inmuebles, mobiliario y equipo, ii) los superávits por revaluación de otros activos diferentes de instrumentos financieros, y iii) los superávits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C5F829"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5EE6F0D9"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4F057C8B" w14:textId="77777777" w:rsidR="00E10BA0" w:rsidRPr="008E3606" w:rsidRDefault="00E10BA0" w:rsidP="007E453E">
            <w:pPr>
              <w:widowControl w:val="0"/>
              <w:spacing w:line="240" w:lineRule="auto"/>
              <w:jc w:val="left"/>
              <w:rPr>
                <w:sz w:val="24"/>
              </w:rPr>
            </w:pPr>
            <w:r w:rsidRPr="008E3606">
              <w:rPr>
                <w:sz w:val="24"/>
              </w:rPr>
              <w:t xml:space="preserve">CC 33000000 </w:t>
            </w:r>
          </w:p>
        </w:tc>
        <w:tc>
          <w:tcPr>
            <w:tcW w:w="4536" w:type="dxa"/>
            <w:tcBorders>
              <w:top w:val="single" w:sz="4" w:space="0" w:color="000000"/>
              <w:left w:val="single" w:sz="4" w:space="0" w:color="000000"/>
              <w:bottom w:val="single" w:sz="4" w:space="0" w:color="000000"/>
              <w:right w:val="single" w:sz="4" w:space="0" w:color="000000"/>
            </w:tcBorders>
          </w:tcPr>
          <w:p w14:paraId="2087B5EB" w14:textId="77777777" w:rsidR="00E10BA0" w:rsidRPr="008E3606" w:rsidRDefault="00E10BA0" w:rsidP="007E453E">
            <w:pPr>
              <w:widowControl w:val="0"/>
              <w:spacing w:line="240" w:lineRule="auto"/>
              <w:jc w:val="left"/>
              <w:rPr>
                <w:sz w:val="24"/>
              </w:rPr>
            </w:pPr>
            <w:r w:rsidRPr="008E3606">
              <w:rPr>
                <w:sz w:val="24"/>
              </w:rPr>
              <w:t xml:space="preserve">Ajustes al patrimonio - otros resultados integrales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15AAE8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95FD189"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5CB29351" w14:textId="77777777" w:rsidR="00E10BA0" w:rsidRPr="008E3606" w:rsidRDefault="00E10BA0" w:rsidP="007E453E">
            <w:pPr>
              <w:widowControl w:val="0"/>
              <w:spacing w:line="240" w:lineRule="auto"/>
              <w:jc w:val="left"/>
              <w:rPr>
                <w:sz w:val="24"/>
              </w:rPr>
            </w:pPr>
            <w:r w:rsidRPr="008E3606">
              <w:rPr>
                <w:sz w:val="24"/>
              </w:rPr>
              <w:t xml:space="preserve">MENOS CC 33101000 </w:t>
            </w:r>
          </w:p>
        </w:tc>
        <w:tc>
          <w:tcPr>
            <w:tcW w:w="4536" w:type="dxa"/>
            <w:tcBorders>
              <w:top w:val="single" w:sz="4" w:space="0" w:color="000000"/>
              <w:left w:val="single" w:sz="4" w:space="0" w:color="000000"/>
              <w:bottom w:val="single" w:sz="4" w:space="0" w:color="000000"/>
              <w:right w:val="single" w:sz="4" w:space="0" w:color="000000"/>
            </w:tcBorders>
          </w:tcPr>
          <w:p w14:paraId="49CA6623" w14:textId="77777777" w:rsidR="00E10BA0" w:rsidRPr="008E3606" w:rsidRDefault="00E10BA0" w:rsidP="007E453E">
            <w:pPr>
              <w:widowControl w:val="0"/>
              <w:spacing w:line="240" w:lineRule="auto"/>
              <w:jc w:val="left"/>
              <w:rPr>
                <w:sz w:val="24"/>
              </w:rPr>
            </w:pPr>
            <w:r w:rsidRPr="008E3606">
              <w:rPr>
                <w:sz w:val="24"/>
              </w:rPr>
              <w:t xml:space="preserve">Superávit por revaluación de propiedades inmobiliarias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4BD3324"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501773B"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0BF62627" w14:textId="77777777" w:rsidR="00E10BA0" w:rsidRPr="008E3606" w:rsidRDefault="00E10BA0" w:rsidP="007E453E">
            <w:pPr>
              <w:widowControl w:val="0"/>
              <w:spacing w:line="240" w:lineRule="auto"/>
              <w:jc w:val="left"/>
              <w:rPr>
                <w:sz w:val="24"/>
              </w:rPr>
            </w:pPr>
            <w:r w:rsidRPr="008E3606">
              <w:rPr>
                <w:sz w:val="24"/>
              </w:rPr>
              <w:t xml:space="preserve">MENOS CC 33106000 </w:t>
            </w:r>
          </w:p>
        </w:tc>
        <w:tc>
          <w:tcPr>
            <w:tcW w:w="4536" w:type="dxa"/>
            <w:tcBorders>
              <w:top w:val="single" w:sz="4" w:space="0" w:color="000000"/>
              <w:left w:val="single" w:sz="4" w:space="0" w:color="000000"/>
              <w:bottom w:val="single" w:sz="4" w:space="0" w:color="000000"/>
              <w:right w:val="single" w:sz="4" w:space="0" w:color="000000"/>
            </w:tcBorders>
          </w:tcPr>
          <w:p w14:paraId="7D224E2D" w14:textId="77777777" w:rsidR="00E10BA0" w:rsidRPr="008E3606" w:rsidRDefault="00E10BA0" w:rsidP="007E453E">
            <w:pPr>
              <w:widowControl w:val="0"/>
              <w:spacing w:line="240" w:lineRule="auto"/>
              <w:jc w:val="left"/>
              <w:rPr>
                <w:sz w:val="24"/>
              </w:rPr>
            </w:pPr>
            <w:r w:rsidRPr="008E3606">
              <w:rPr>
                <w:sz w:val="24"/>
              </w:rPr>
              <w:t xml:space="preserve">Superávit por revaluación de otros activos </w:t>
            </w:r>
          </w:p>
        </w:tc>
        <w:tc>
          <w:tcPr>
            <w:tcW w:w="2268" w:type="dxa"/>
            <w:tcBorders>
              <w:top w:val="single" w:sz="4" w:space="0" w:color="000000"/>
              <w:left w:val="single" w:sz="4" w:space="0" w:color="000000"/>
              <w:bottom w:val="single" w:sz="4" w:space="0" w:color="000000"/>
              <w:right w:val="single" w:sz="4" w:space="0" w:color="000000"/>
            </w:tcBorders>
          </w:tcPr>
          <w:p w14:paraId="281E146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2F6D918"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4447D4AC" w14:textId="77777777" w:rsidR="00E10BA0" w:rsidRPr="008E3606" w:rsidRDefault="00E10BA0" w:rsidP="007E453E">
            <w:pPr>
              <w:widowControl w:val="0"/>
              <w:spacing w:line="240" w:lineRule="auto"/>
              <w:jc w:val="left"/>
              <w:rPr>
                <w:sz w:val="24"/>
              </w:rPr>
            </w:pPr>
            <w:r w:rsidRPr="008E3606">
              <w:rPr>
                <w:sz w:val="24"/>
              </w:rPr>
              <w:t xml:space="preserve">MENOS CC 33200000 </w:t>
            </w:r>
          </w:p>
        </w:tc>
        <w:tc>
          <w:tcPr>
            <w:tcW w:w="4536" w:type="dxa"/>
            <w:tcBorders>
              <w:top w:val="single" w:sz="4" w:space="0" w:color="000000"/>
              <w:left w:val="single" w:sz="4" w:space="0" w:color="000000"/>
              <w:bottom w:val="single" w:sz="4" w:space="0" w:color="000000"/>
              <w:right w:val="single" w:sz="4" w:space="0" w:color="000000"/>
            </w:tcBorders>
          </w:tcPr>
          <w:p w14:paraId="12B693D8" w14:textId="77777777" w:rsidR="00E10BA0" w:rsidRPr="008E3606" w:rsidRDefault="00E10BA0" w:rsidP="007E453E">
            <w:pPr>
              <w:widowControl w:val="0"/>
              <w:spacing w:line="240" w:lineRule="auto"/>
              <w:rPr>
                <w:sz w:val="24"/>
              </w:rPr>
            </w:pPr>
            <w:r w:rsidRPr="008E3606">
              <w:rPr>
                <w:sz w:val="24"/>
              </w:rPr>
              <w:t xml:space="preserve">Ajustes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152724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E5F56A4"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62F35C9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D34D1B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1B46090" w14:textId="77777777" w:rsidTr="007E453E">
        <w:trPr>
          <w:trHeight w:val="1068"/>
        </w:trPr>
        <w:tc>
          <w:tcPr>
            <w:tcW w:w="7082" w:type="dxa"/>
            <w:gridSpan w:val="2"/>
            <w:tcBorders>
              <w:top w:val="single" w:sz="4" w:space="0" w:color="000000"/>
              <w:left w:val="single" w:sz="4" w:space="0" w:color="000000"/>
              <w:bottom w:val="single" w:sz="4" w:space="0" w:color="000000"/>
              <w:right w:val="single" w:sz="4" w:space="0" w:color="000000"/>
            </w:tcBorders>
          </w:tcPr>
          <w:p w14:paraId="0A8BABA5" w14:textId="77777777" w:rsidR="00E10BA0" w:rsidRPr="008E3606" w:rsidRDefault="00E10BA0" w:rsidP="007E453E">
            <w:pPr>
              <w:widowControl w:val="0"/>
              <w:spacing w:line="240" w:lineRule="auto"/>
              <w:ind w:right="55"/>
              <w:rPr>
                <w:sz w:val="24"/>
              </w:rPr>
            </w:pPr>
            <w:r w:rsidRPr="008E3606">
              <w:rPr>
                <w:sz w:val="24"/>
              </w:rPr>
              <w:t xml:space="preserve">Los aportes y donaciones para incrementos de capital social, autorizados por CONASSIF y en trámite de inscripción en el Registro Público. Los aportes y donaciones deberán corresponder a incrementos de capital social en instrumentos admisibles en el CCN1. </w:t>
            </w:r>
          </w:p>
        </w:tc>
        <w:tc>
          <w:tcPr>
            <w:tcW w:w="2268" w:type="dxa"/>
            <w:tcBorders>
              <w:top w:val="single" w:sz="4" w:space="0" w:color="000000"/>
              <w:left w:val="single" w:sz="4" w:space="0" w:color="000000"/>
              <w:bottom w:val="single" w:sz="4" w:space="0" w:color="000000"/>
              <w:right w:val="single" w:sz="4" w:space="0" w:color="000000"/>
            </w:tcBorders>
            <w:vAlign w:val="center"/>
          </w:tcPr>
          <w:p w14:paraId="2B449928" w14:textId="77777777" w:rsidR="00E10BA0" w:rsidRPr="008E3606" w:rsidRDefault="00E10BA0" w:rsidP="007E453E">
            <w:pPr>
              <w:widowControl w:val="0"/>
              <w:spacing w:line="240" w:lineRule="auto"/>
              <w:ind w:right="55"/>
              <w:jc w:val="center"/>
              <w:rPr>
                <w:sz w:val="24"/>
              </w:rPr>
            </w:pPr>
            <w:r w:rsidRPr="008E3606">
              <w:rPr>
                <w:sz w:val="24"/>
              </w:rPr>
              <w:t xml:space="preserve">Literal g) </w:t>
            </w:r>
          </w:p>
        </w:tc>
      </w:tr>
      <w:tr w:rsidR="00E10BA0" w:rsidRPr="008E3606" w14:paraId="37B1AF47" w14:textId="77777777" w:rsidTr="007E453E">
        <w:trPr>
          <w:trHeight w:val="1068"/>
        </w:trPr>
        <w:tc>
          <w:tcPr>
            <w:tcW w:w="2546" w:type="dxa"/>
            <w:tcBorders>
              <w:top w:val="single" w:sz="4" w:space="0" w:color="000000"/>
              <w:left w:val="single" w:sz="4" w:space="0" w:color="000000"/>
              <w:bottom w:val="single" w:sz="4" w:space="0" w:color="000000"/>
              <w:right w:val="single" w:sz="4" w:space="0" w:color="000000"/>
            </w:tcBorders>
            <w:vAlign w:val="center"/>
          </w:tcPr>
          <w:p w14:paraId="7FE91D4B" w14:textId="77777777" w:rsidR="00E10BA0" w:rsidRPr="008E3606" w:rsidRDefault="00E10BA0" w:rsidP="007E453E">
            <w:pPr>
              <w:widowControl w:val="0"/>
              <w:spacing w:line="240" w:lineRule="auto"/>
              <w:jc w:val="left"/>
              <w:rPr>
                <w:sz w:val="24"/>
              </w:rPr>
            </w:pPr>
            <w:r w:rsidRPr="008E3606">
              <w:rPr>
                <w:sz w:val="24"/>
              </w:rPr>
              <w:t xml:space="preserve">DA (Nuevo AB) </w:t>
            </w:r>
          </w:p>
        </w:tc>
        <w:tc>
          <w:tcPr>
            <w:tcW w:w="4536" w:type="dxa"/>
            <w:tcBorders>
              <w:top w:val="single" w:sz="4" w:space="0" w:color="000000"/>
              <w:left w:val="single" w:sz="4" w:space="0" w:color="000000"/>
              <w:bottom w:val="single" w:sz="4" w:space="0" w:color="000000"/>
              <w:right w:val="single" w:sz="4" w:space="0" w:color="000000"/>
            </w:tcBorders>
          </w:tcPr>
          <w:p w14:paraId="2D15D42A" w14:textId="77777777" w:rsidR="00E10BA0" w:rsidRPr="008E3606" w:rsidRDefault="00E10BA0" w:rsidP="007E453E">
            <w:pPr>
              <w:widowControl w:val="0"/>
              <w:spacing w:line="240" w:lineRule="auto"/>
              <w:ind w:right="55"/>
              <w:rPr>
                <w:sz w:val="24"/>
              </w:rPr>
            </w:pPr>
            <w:r w:rsidRPr="008E3606">
              <w:rPr>
                <w:sz w:val="24"/>
              </w:rPr>
              <w:t xml:space="preserve">Aportes y donaciones por capitalizar autorizados y por registrar en el Registro Público en instrumentos admisibles en el </w:t>
            </w:r>
          </w:p>
          <w:p w14:paraId="39791ADC" w14:textId="77777777" w:rsidR="00E10BA0" w:rsidRPr="008E3606" w:rsidRDefault="00E10BA0" w:rsidP="007E453E">
            <w:pPr>
              <w:widowControl w:val="0"/>
              <w:spacing w:line="240" w:lineRule="auto"/>
              <w:jc w:val="left"/>
              <w:rPr>
                <w:sz w:val="24"/>
              </w:rPr>
            </w:pPr>
            <w:r w:rsidRPr="008E3606">
              <w:rPr>
                <w:sz w:val="24"/>
              </w:rPr>
              <w:t xml:space="preserve">CCN1 </w:t>
            </w:r>
          </w:p>
        </w:tc>
        <w:tc>
          <w:tcPr>
            <w:tcW w:w="2268" w:type="dxa"/>
            <w:tcBorders>
              <w:top w:val="single" w:sz="4" w:space="0" w:color="000000"/>
              <w:left w:val="single" w:sz="4" w:space="0" w:color="000000"/>
              <w:bottom w:val="single" w:sz="4" w:space="0" w:color="000000"/>
              <w:right w:val="single" w:sz="4" w:space="0" w:color="000000"/>
            </w:tcBorders>
            <w:vAlign w:val="center"/>
          </w:tcPr>
          <w:p w14:paraId="76084E5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7141ED2"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69E0AA3"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80AF2D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20F6A77"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29EF0E8B" w14:textId="77777777" w:rsidR="00E10BA0" w:rsidRPr="008E3606" w:rsidRDefault="00E10BA0" w:rsidP="007E453E">
            <w:pPr>
              <w:widowControl w:val="0"/>
              <w:spacing w:line="240" w:lineRule="auto"/>
              <w:ind w:right="55"/>
              <w:rPr>
                <w:sz w:val="24"/>
              </w:rPr>
            </w:pPr>
            <w:r w:rsidRPr="008E3606">
              <w:rPr>
                <w:sz w:val="24"/>
              </w:rPr>
              <w:lastRenderedPageBreak/>
              <w:t xml:space="preserve">El literal h) del artículo 7 corresponde a la deducción cuyo detalle se presenta en el Artículo 8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0DC36F" w14:textId="77777777" w:rsidR="00E10BA0" w:rsidRPr="008E3606" w:rsidRDefault="00E10BA0" w:rsidP="007E453E">
            <w:pPr>
              <w:widowControl w:val="0"/>
              <w:spacing w:line="240" w:lineRule="auto"/>
              <w:ind w:right="55"/>
              <w:jc w:val="center"/>
              <w:rPr>
                <w:sz w:val="24"/>
              </w:rPr>
            </w:pPr>
            <w:r w:rsidRPr="008E3606">
              <w:rPr>
                <w:sz w:val="24"/>
              </w:rPr>
              <w:t xml:space="preserve">Literal h) </w:t>
            </w:r>
          </w:p>
        </w:tc>
      </w:tr>
      <w:tr w:rsidR="00E10BA0" w:rsidRPr="008E3606" w14:paraId="40F2BDBF"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4743BB6" w14:textId="77777777" w:rsidR="00E10BA0" w:rsidRPr="008E3606" w:rsidRDefault="00E10BA0" w:rsidP="007E453E">
            <w:pPr>
              <w:widowControl w:val="0"/>
              <w:spacing w:line="240" w:lineRule="auto"/>
              <w:jc w:val="left"/>
              <w:rPr>
                <w:sz w:val="24"/>
              </w:rPr>
            </w:pPr>
            <w:r w:rsidRPr="008E3606">
              <w:rPr>
                <w:sz w:val="24"/>
              </w:rPr>
              <w:t xml:space="preserve">DA (Nuevo A) </w:t>
            </w:r>
          </w:p>
        </w:tc>
        <w:tc>
          <w:tcPr>
            <w:tcW w:w="4536" w:type="dxa"/>
            <w:tcBorders>
              <w:top w:val="single" w:sz="4" w:space="0" w:color="000000"/>
              <w:left w:val="single" w:sz="4" w:space="0" w:color="000000"/>
              <w:bottom w:val="single" w:sz="4" w:space="0" w:color="000000"/>
              <w:right w:val="single" w:sz="4" w:space="0" w:color="000000"/>
            </w:tcBorders>
          </w:tcPr>
          <w:p w14:paraId="6A237ED8" w14:textId="77777777" w:rsidR="00E10BA0" w:rsidRPr="008E3606" w:rsidRDefault="00E10BA0" w:rsidP="007E453E">
            <w:pPr>
              <w:widowControl w:val="0"/>
              <w:spacing w:line="240" w:lineRule="auto"/>
              <w:jc w:val="left"/>
              <w:rPr>
                <w:sz w:val="24"/>
              </w:rPr>
            </w:pPr>
            <w:r w:rsidRPr="008E3606">
              <w:rPr>
                <w:sz w:val="24"/>
              </w:rPr>
              <w:t xml:space="preserve">Deducciones del CCN1 </w:t>
            </w:r>
          </w:p>
        </w:tc>
        <w:tc>
          <w:tcPr>
            <w:tcW w:w="2268" w:type="dxa"/>
            <w:tcBorders>
              <w:top w:val="single" w:sz="4" w:space="0" w:color="000000"/>
              <w:left w:val="single" w:sz="4" w:space="0" w:color="000000"/>
              <w:bottom w:val="single" w:sz="4" w:space="0" w:color="000000"/>
              <w:right w:val="single" w:sz="4" w:space="0" w:color="000000"/>
            </w:tcBorders>
          </w:tcPr>
          <w:p w14:paraId="6EC61A7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B73DCB8"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B6612F1" w14:textId="77777777" w:rsidR="00E10BA0" w:rsidRPr="008E3606" w:rsidRDefault="00E10BA0" w:rsidP="007E453E">
            <w:pPr>
              <w:widowControl w:val="0"/>
              <w:spacing w:line="240" w:lineRule="auto"/>
              <w:jc w:val="left"/>
              <w:rPr>
                <w:sz w:val="24"/>
              </w:rPr>
            </w:pPr>
            <w:r w:rsidRPr="008E3606">
              <w:rPr>
                <w:sz w:val="24"/>
              </w:rPr>
              <w:t xml:space="preserve"> </w:t>
            </w:r>
            <w:r w:rsidRPr="008E3606">
              <w:rPr>
                <w:sz w:val="24"/>
              </w:rPr>
              <w:tab/>
              <w:t xml:space="preserve"> </w:t>
            </w:r>
          </w:p>
        </w:tc>
        <w:tc>
          <w:tcPr>
            <w:tcW w:w="2268" w:type="dxa"/>
            <w:tcBorders>
              <w:top w:val="single" w:sz="4" w:space="0" w:color="000000"/>
              <w:left w:val="nil"/>
              <w:bottom w:val="single" w:sz="4" w:space="0" w:color="000000"/>
              <w:right w:val="single" w:sz="4" w:space="0" w:color="000000"/>
            </w:tcBorders>
          </w:tcPr>
          <w:p w14:paraId="55F17720"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7FAEBCA"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16E74D5F" w14:textId="77777777" w:rsidR="00E10BA0" w:rsidRPr="008E3606" w:rsidRDefault="00E10BA0" w:rsidP="007E453E">
            <w:pPr>
              <w:widowControl w:val="0"/>
              <w:spacing w:line="240" w:lineRule="auto"/>
              <w:jc w:val="left"/>
              <w:rPr>
                <w:sz w:val="24"/>
              </w:rPr>
            </w:pPr>
            <w:r w:rsidRPr="008E3606">
              <w:rPr>
                <w:b/>
                <w:sz w:val="24"/>
              </w:rPr>
              <w:t xml:space="preserve">2. Deducciones del CCN1 </w:t>
            </w:r>
          </w:p>
        </w:tc>
        <w:tc>
          <w:tcPr>
            <w:tcW w:w="2268" w:type="dxa"/>
            <w:tcBorders>
              <w:top w:val="single" w:sz="4" w:space="0" w:color="000000"/>
              <w:left w:val="single" w:sz="4" w:space="0" w:color="000000"/>
              <w:bottom w:val="single" w:sz="4" w:space="0" w:color="000000"/>
              <w:right w:val="single" w:sz="4" w:space="0" w:color="000000"/>
            </w:tcBorders>
          </w:tcPr>
          <w:p w14:paraId="428FF6C6" w14:textId="77777777" w:rsidR="00E10BA0" w:rsidRPr="008E3606" w:rsidRDefault="00E10BA0" w:rsidP="007E453E">
            <w:pPr>
              <w:widowControl w:val="0"/>
              <w:spacing w:line="240" w:lineRule="auto"/>
              <w:ind w:right="58"/>
              <w:jc w:val="center"/>
              <w:rPr>
                <w:sz w:val="24"/>
              </w:rPr>
            </w:pPr>
            <w:r w:rsidRPr="008E3606">
              <w:rPr>
                <w:b/>
                <w:sz w:val="24"/>
              </w:rPr>
              <w:t xml:space="preserve">ARTÍCULO 8 </w:t>
            </w:r>
          </w:p>
        </w:tc>
      </w:tr>
      <w:tr w:rsidR="00E10BA0" w:rsidRPr="008E3606" w14:paraId="4E268A03"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0346066" w14:textId="77777777" w:rsidR="00E10BA0" w:rsidRPr="008E3606" w:rsidRDefault="00E10BA0" w:rsidP="007E453E">
            <w:pPr>
              <w:widowControl w:val="0"/>
              <w:spacing w:line="240" w:lineRule="auto"/>
              <w:ind w:left="55"/>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546315DA" w14:textId="77777777" w:rsidR="00E10BA0" w:rsidRPr="008E3606" w:rsidRDefault="00E10BA0" w:rsidP="007E453E">
            <w:pPr>
              <w:widowControl w:val="0"/>
              <w:spacing w:line="240" w:lineRule="auto"/>
              <w:ind w:right="60"/>
              <w:jc w:val="center"/>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784A1C24"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3968C21F"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37897586"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2F6E66C1" w14:textId="77777777" w:rsidR="00E10BA0" w:rsidRPr="008E3606" w:rsidRDefault="00E10BA0" w:rsidP="007E453E">
            <w:pPr>
              <w:widowControl w:val="0"/>
              <w:spacing w:line="240" w:lineRule="auto"/>
              <w:jc w:val="left"/>
              <w:rPr>
                <w:sz w:val="24"/>
              </w:rPr>
            </w:pPr>
          </w:p>
        </w:tc>
      </w:tr>
      <w:tr w:rsidR="00E10BA0" w:rsidRPr="008E3606" w14:paraId="6BF96F1B"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02EBE819" w14:textId="77777777" w:rsidR="00E10BA0" w:rsidRPr="008E3606" w:rsidRDefault="00E10BA0" w:rsidP="007E453E">
            <w:pPr>
              <w:widowControl w:val="0"/>
              <w:spacing w:line="240" w:lineRule="auto"/>
              <w:rPr>
                <w:sz w:val="24"/>
              </w:rPr>
            </w:pPr>
            <w:r w:rsidRPr="008E3606">
              <w:rPr>
                <w:sz w:val="24"/>
              </w:rPr>
              <w:t xml:space="preserve">El valor en libros de los instrumentos del CCN1 adquiridos por la propia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2F33A97A"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22E346F9"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5B286215" w14:textId="77777777" w:rsidR="00E10BA0" w:rsidRPr="008E3606" w:rsidRDefault="00E10BA0" w:rsidP="007E453E">
            <w:pPr>
              <w:widowControl w:val="0"/>
              <w:spacing w:line="240" w:lineRule="auto"/>
              <w:jc w:val="left"/>
              <w:rPr>
                <w:sz w:val="24"/>
              </w:rPr>
            </w:pPr>
            <w:r w:rsidRPr="008E3606">
              <w:rPr>
                <w:sz w:val="24"/>
              </w:rPr>
              <w:t xml:space="preserve">CC 31501000 </w:t>
            </w:r>
          </w:p>
        </w:tc>
        <w:tc>
          <w:tcPr>
            <w:tcW w:w="4536" w:type="dxa"/>
            <w:tcBorders>
              <w:top w:val="single" w:sz="4" w:space="0" w:color="000000"/>
              <w:left w:val="single" w:sz="4" w:space="0" w:color="000000"/>
              <w:bottom w:val="single" w:sz="4" w:space="0" w:color="000000"/>
              <w:right w:val="single" w:sz="4" w:space="0" w:color="000000"/>
            </w:tcBorders>
          </w:tcPr>
          <w:p w14:paraId="3747A276" w14:textId="77777777" w:rsidR="00E10BA0" w:rsidRPr="008E3606" w:rsidRDefault="00E10BA0" w:rsidP="007E453E">
            <w:pPr>
              <w:widowControl w:val="0"/>
              <w:spacing w:line="240" w:lineRule="auto"/>
              <w:jc w:val="left"/>
              <w:rPr>
                <w:sz w:val="24"/>
              </w:rPr>
            </w:pPr>
            <w:r w:rsidRPr="008E3606">
              <w:rPr>
                <w:sz w:val="24"/>
              </w:rPr>
              <w:t xml:space="preserve">Capital ordinario (Acciones en tesorería) </w:t>
            </w:r>
          </w:p>
        </w:tc>
        <w:tc>
          <w:tcPr>
            <w:tcW w:w="2268" w:type="dxa"/>
            <w:tcBorders>
              <w:top w:val="single" w:sz="4" w:space="0" w:color="000000"/>
              <w:left w:val="single" w:sz="4" w:space="0" w:color="000000"/>
              <w:bottom w:val="single" w:sz="4" w:space="0" w:color="000000"/>
              <w:right w:val="single" w:sz="4" w:space="0" w:color="000000"/>
            </w:tcBorders>
          </w:tcPr>
          <w:p w14:paraId="523052B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6D885DF"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04269348"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56ECD5F2" w14:textId="77777777" w:rsidR="00E10BA0" w:rsidRPr="008E3606" w:rsidRDefault="00E10BA0" w:rsidP="007E453E">
            <w:pPr>
              <w:widowControl w:val="0"/>
              <w:spacing w:line="240" w:lineRule="auto"/>
              <w:ind w:right="2"/>
              <w:jc w:val="center"/>
              <w:rPr>
                <w:sz w:val="24"/>
              </w:rPr>
            </w:pPr>
            <w:r w:rsidRPr="008E3606">
              <w:rPr>
                <w:b/>
                <w:sz w:val="24"/>
              </w:rPr>
              <w:t xml:space="preserve"> </w:t>
            </w:r>
          </w:p>
        </w:tc>
      </w:tr>
      <w:tr w:rsidR="00E10BA0" w:rsidRPr="008E3606" w14:paraId="69D340A1"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4B949780" w14:textId="77777777" w:rsidR="00E10BA0" w:rsidRPr="008E3606" w:rsidRDefault="00E10BA0" w:rsidP="007E453E">
            <w:pPr>
              <w:widowControl w:val="0"/>
              <w:spacing w:line="240" w:lineRule="auto"/>
              <w:ind w:right="55"/>
              <w:rPr>
                <w:sz w:val="24"/>
              </w:rPr>
            </w:pPr>
            <w:r w:rsidRPr="008E3606">
              <w:rPr>
                <w:sz w:val="24"/>
              </w:rPr>
              <w:t xml:space="preserve">El valor en libros de los instrumentos del CCN1 emitidos por la propia entidad que se encuentran dados en garantía de operaciones crediticias otorgadas por ella.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84DB06"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6D214DEE" w14:textId="77777777" w:rsidTr="007E453E">
        <w:trPr>
          <w:trHeight w:val="802"/>
        </w:trPr>
        <w:tc>
          <w:tcPr>
            <w:tcW w:w="2546" w:type="dxa"/>
            <w:tcBorders>
              <w:top w:val="single" w:sz="4" w:space="0" w:color="000000"/>
              <w:left w:val="single" w:sz="4" w:space="0" w:color="000000"/>
              <w:bottom w:val="single" w:sz="4" w:space="0" w:color="000000"/>
              <w:right w:val="single" w:sz="4" w:space="0" w:color="000000"/>
            </w:tcBorders>
            <w:vAlign w:val="center"/>
          </w:tcPr>
          <w:p w14:paraId="68635D51" w14:textId="77777777" w:rsidR="00E10BA0" w:rsidRPr="008E3606" w:rsidRDefault="00E10BA0" w:rsidP="007E453E">
            <w:pPr>
              <w:widowControl w:val="0"/>
              <w:spacing w:line="240" w:lineRule="auto"/>
              <w:jc w:val="left"/>
              <w:rPr>
                <w:sz w:val="24"/>
              </w:rPr>
            </w:pPr>
            <w:r w:rsidRPr="008E3606">
              <w:rPr>
                <w:sz w:val="24"/>
              </w:rPr>
              <w:t xml:space="preserve">DA 20105 </w:t>
            </w:r>
          </w:p>
        </w:tc>
        <w:tc>
          <w:tcPr>
            <w:tcW w:w="4536" w:type="dxa"/>
            <w:tcBorders>
              <w:top w:val="single" w:sz="4" w:space="0" w:color="000000"/>
              <w:left w:val="single" w:sz="4" w:space="0" w:color="000000"/>
              <w:bottom w:val="single" w:sz="4" w:space="0" w:color="000000"/>
              <w:right w:val="single" w:sz="4" w:space="0" w:color="000000"/>
            </w:tcBorders>
          </w:tcPr>
          <w:p w14:paraId="46FFDDCB" w14:textId="77777777" w:rsidR="00E10BA0" w:rsidRPr="008E3606" w:rsidRDefault="00E10BA0" w:rsidP="007E453E">
            <w:pPr>
              <w:widowControl w:val="0"/>
              <w:spacing w:line="240" w:lineRule="auto"/>
              <w:ind w:right="54"/>
              <w:rPr>
                <w:sz w:val="24"/>
              </w:rPr>
            </w:pPr>
            <w:r w:rsidRPr="008E3606">
              <w:rPr>
                <w:sz w:val="24"/>
              </w:rPr>
              <w:t xml:space="preserve">Valor en libros de las acciones de la entidad que hayan sido objeto de gravámenes por operaciones efectuadas por ella misma </w:t>
            </w:r>
          </w:p>
        </w:tc>
        <w:tc>
          <w:tcPr>
            <w:tcW w:w="2268" w:type="dxa"/>
            <w:tcBorders>
              <w:top w:val="single" w:sz="4" w:space="0" w:color="000000"/>
              <w:left w:val="single" w:sz="4" w:space="0" w:color="000000"/>
              <w:bottom w:val="single" w:sz="4" w:space="0" w:color="000000"/>
              <w:right w:val="single" w:sz="4" w:space="0" w:color="000000"/>
            </w:tcBorders>
            <w:vAlign w:val="center"/>
          </w:tcPr>
          <w:p w14:paraId="60EC87C4"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16C4252"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31B79A99"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BB2B23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9943460" w14:textId="77777777" w:rsidTr="007E453E">
        <w:trPr>
          <w:trHeight w:val="1860"/>
        </w:trPr>
        <w:tc>
          <w:tcPr>
            <w:tcW w:w="7082" w:type="dxa"/>
            <w:gridSpan w:val="2"/>
            <w:tcBorders>
              <w:top w:val="single" w:sz="4" w:space="0" w:color="000000"/>
              <w:left w:val="single" w:sz="4" w:space="0" w:color="000000"/>
              <w:bottom w:val="single" w:sz="4" w:space="0" w:color="000000"/>
              <w:right w:val="single" w:sz="4" w:space="0" w:color="000000"/>
            </w:tcBorders>
          </w:tcPr>
          <w:p w14:paraId="71392950" w14:textId="77777777" w:rsidR="00E10BA0" w:rsidRPr="008E3606" w:rsidRDefault="00E10BA0" w:rsidP="007E453E">
            <w:pPr>
              <w:widowControl w:val="0"/>
              <w:spacing w:line="240" w:lineRule="auto"/>
              <w:ind w:right="55"/>
              <w:rPr>
                <w:sz w:val="24"/>
              </w:rPr>
            </w:pPr>
            <w:r w:rsidRPr="008E3606">
              <w:rPr>
                <w:sz w:val="24"/>
              </w:rPr>
              <w:t xml:space="preserve">El valor en libros de las participaciones en el capital de otras entidades o empresas en instrumentos homólogos al CCN1, que calificarían como tales bajo los criterios establecidos en el Anexo 3 del Acuerdo Sugef 3-06. Esta deducción se efectuará con independencia del porcentaje de participación de la entidad supervisada en el capital social de la entidad o empresa de que se trate, e independientemente de la naturaleza legal de la entidad o empresa de que se trate.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2E6FC"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610583CD"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25AA371F" w14:textId="77777777" w:rsidR="00E10BA0" w:rsidRPr="008E3606" w:rsidRDefault="00E10BA0" w:rsidP="007E453E">
            <w:pPr>
              <w:widowControl w:val="0"/>
              <w:spacing w:line="240" w:lineRule="auto"/>
              <w:jc w:val="left"/>
              <w:rPr>
                <w:sz w:val="24"/>
              </w:rPr>
            </w:pPr>
            <w:r w:rsidRPr="008E3606">
              <w:rPr>
                <w:sz w:val="24"/>
              </w:rPr>
              <w:t xml:space="preserve">DA (Nuevo M) </w:t>
            </w:r>
          </w:p>
        </w:tc>
        <w:tc>
          <w:tcPr>
            <w:tcW w:w="4536" w:type="dxa"/>
            <w:tcBorders>
              <w:top w:val="single" w:sz="4" w:space="0" w:color="000000"/>
              <w:left w:val="single" w:sz="4" w:space="0" w:color="000000"/>
              <w:bottom w:val="single" w:sz="4" w:space="0" w:color="000000"/>
              <w:right w:val="single" w:sz="4" w:space="0" w:color="000000"/>
            </w:tcBorders>
          </w:tcPr>
          <w:p w14:paraId="0E11577D" w14:textId="77777777" w:rsidR="00E10BA0" w:rsidRPr="008E3606" w:rsidRDefault="00E10BA0" w:rsidP="007E453E">
            <w:pPr>
              <w:widowControl w:val="0"/>
              <w:spacing w:line="240" w:lineRule="auto"/>
              <w:rPr>
                <w:sz w:val="24"/>
              </w:rPr>
            </w:pPr>
            <w:r w:rsidRPr="008E3606">
              <w:rPr>
                <w:sz w:val="24"/>
              </w:rPr>
              <w:t xml:space="preserve">Valor en libros de las participaciones en instrumentos de capital homólogos al CCN1 </w:t>
            </w:r>
          </w:p>
        </w:tc>
        <w:tc>
          <w:tcPr>
            <w:tcW w:w="2268" w:type="dxa"/>
            <w:tcBorders>
              <w:top w:val="single" w:sz="4" w:space="0" w:color="000000"/>
              <w:left w:val="single" w:sz="4" w:space="0" w:color="000000"/>
              <w:bottom w:val="single" w:sz="4" w:space="0" w:color="000000"/>
              <w:right w:val="single" w:sz="4" w:space="0" w:color="000000"/>
            </w:tcBorders>
            <w:vAlign w:val="center"/>
          </w:tcPr>
          <w:p w14:paraId="4A5604D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854584D"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2B9E306E" w14:textId="77777777" w:rsidR="00E10BA0" w:rsidRPr="008E3606" w:rsidRDefault="00E10BA0" w:rsidP="007E453E">
            <w:pPr>
              <w:widowControl w:val="0"/>
              <w:spacing w:line="240" w:lineRule="auto"/>
              <w:ind w:right="55"/>
              <w:rPr>
                <w:sz w:val="24"/>
              </w:rPr>
            </w:pPr>
            <w:r w:rsidRPr="008E3606">
              <w:rPr>
                <w:sz w:val="24"/>
              </w:rPr>
              <w:t xml:space="preserve">El valor en libros de las participaciones o inversiones en instrumentos de capital, deuda subordinada o deuda convertible que no sean homólogos a instrumentos del CCN1, CAN1 o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6EB4C772"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53195FBB"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46CC4D6D" w14:textId="77777777" w:rsidR="00E10BA0" w:rsidRPr="008E3606" w:rsidRDefault="00E10BA0" w:rsidP="007E453E">
            <w:pPr>
              <w:widowControl w:val="0"/>
              <w:spacing w:line="240" w:lineRule="auto"/>
              <w:jc w:val="left"/>
              <w:rPr>
                <w:sz w:val="24"/>
              </w:rPr>
            </w:pPr>
            <w:r w:rsidRPr="008E3606">
              <w:rPr>
                <w:sz w:val="24"/>
              </w:rPr>
              <w:t xml:space="preserve">DA (Nuevo C) </w:t>
            </w:r>
          </w:p>
        </w:tc>
        <w:tc>
          <w:tcPr>
            <w:tcW w:w="4536" w:type="dxa"/>
            <w:tcBorders>
              <w:top w:val="single" w:sz="4" w:space="0" w:color="000000"/>
              <w:left w:val="single" w:sz="4" w:space="0" w:color="000000"/>
              <w:bottom w:val="single" w:sz="4" w:space="0" w:color="000000"/>
              <w:right w:val="single" w:sz="4" w:space="0" w:color="000000"/>
            </w:tcBorders>
          </w:tcPr>
          <w:p w14:paraId="26C32511" w14:textId="77777777" w:rsidR="00E10BA0" w:rsidRPr="008E3606" w:rsidRDefault="00E10BA0" w:rsidP="007E453E">
            <w:pPr>
              <w:widowControl w:val="0"/>
              <w:spacing w:line="240" w:lineRule="auto"/>
              <w:rPr>
                <w:sz w:val="24"/>
              </w:rPr>
            </w:pPr>
            <w:r w:rsidRPr="008E3606">
              <w:rPr>
                <w:sz w:val="24"/>
              </w:rPr>
              <w:t xml:space="preserve">El valor en libros de inversiones en instrumentos de deuda subordinada o deuda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71C82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547343C"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tcPr>
          <w:p w14:paraId="0F7A6CAB" w14:textId="77777777" w:rsidR="00E10BA0" w:rsidRPr="008E3606" w:rsidRDefault="00E10BA0" w:rsidP="007E453E">
            <w:pPr>
              <w:widowControl w:val="0"/>
              <w:spacing w:line="240" w:lineRule="auto"/>
              <w:jc w:val="left"/>
              <w:rPr>
                <w:sz w:val="24"/>
              </w:rPr>
            </w:pPr>
          </w:p>
        </w:tc>
        <w:tc>
          <w:tcPr>
            <w:tcW w:w="4536" w:type="dxa"/>
            <w:tcBorders>
              <w:top w:val="single" w:sz="4" w:space="0" w:color="000000"/>
              <w:left w:val="single" w:sz="4" w:space="0" w:color="000000"/>
              <w:bottom w:val="single" w:sz="4" w:space="0" w:color="000000"/>
              <w:right w:val="single" w:sz="4" w:space="0" w:color="000000"/>
            </w:tcBorders>
          </w:tcPr>
          <w:p w14:paraId="66A78687" w14:textId="77777777" w:rsidR="00E10BA0" w:rsidRPr="008E3606" w:rsidRDefault="00E10BA0" w:rsidP="007E453E">
            <w:pPr>
              <w:widowControl w:val="0"/>
              <w:spacing w:line="240" w:lineRule="auto"/>
              <w:rPr>
                <w:sz w:val="24"/>
              </w:rPr>
            </w:pPr>
            <w:r w:rsidRPr="008E3606">
              <w:rPr>
                <w:sz w:val="24"/>
              </w:rPr>
              <w:t xml:space="preserve">convertible que no sean homólogos a instrumentos del CCN1, CAN1 o CN2 </w:t>
            </w:r>
          </w:p>
        </w:tc>
        <w:tc>
          <w:tcPr>
            <w:tcW w:w="2268" w:type="dxa"/>
            <w:tcBorders>
              <w:top w:val="single" w:sz="4" w:space="0" w:color="000000"/>
              <w:left w:val="single" w:sz="4" w:space="0" w:color="000000"/>
              <w:bottom w:val="single" w:sz="4" w:space="0" w:color="000000"/>
              <w:right w:val="single" w:sz="4" w:space="0" w:color="000000"/>
            </w:tcBorders>
          </w:tcPr>
          <w:p w14:paraId="43E0E1E7" w14:textId="77777777" w:rsidR="00E10BA0" w:rsidRPr="008E3606" w:rsidRDefault="00E10BA0" w:rsidP="007E453E">
            <w:pPr>
              <w:widowControl w:val="0"/>
              <w:spacing w:line="240" w:lineRule="auto"/>
              <w:jc w:val="left"/>
              <w:rPr>
                <w:sz w:val="24"/>
              </w:rPr>
            </w:pPr>
          </w:p>
        </w:tc>
      </w:tr>
      <w:tr w:rsidR="00E10BA0" w:rsidRPr="008E3606" w14:paraId="2E98A1F9"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37ABA90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814DF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DDD8E1C" w14:textId="77777777" w:rsidTr="007E453E">
        <w:trPr>
          <w:trHeight w:val="1596"/>
        </w:trPr>
        <w:tc>
          <w:tcPr>
            <w:tcW w:w="7082" w:type="dxa"/>
            <w:gridSpan w:val="2"/>
            <w:tcBorders>
              <w:top w:val="single" w:sz="4" w:space="0" w:color="000000"/>
              <w:left w:val="single" w:sz="4" w:space="0" w:color="000000"/>
              <w:bottom w:val="single" w:sz="4" w:space="0" w:color="000000"/>
              <w:right w:val="single" w:sz="4" w:space="0" w:color="000000"/>
            </w:tcBorders>
          </w:tcPr>
          <w:p w14:paraId="308A8B80" w14:textId="77777777" w:rsidR="00E10BA0" w:rsidRPr="008E3606" w:rsidRDefault="00E10BA0" w:rsidP="007E453E">
            <w:pPr>
              <w:widowControl w:val="0"/>
              <w:spacing w:line="240" w:lineRule="auto"/>
              <w:ind w:right="55"/>
              <w:rPr>
                <w:sz w:val="24"/>
              </w:rPr>
            </w:pPr>
            <w:r w:rsidRPr="008E3606">
              <w:rPr>
                <w:sz w:val="24"/>
              </w:rPr>
              <w:t xml:space="preserve">El valor en libros de los activos intangibles clasificados como tales de conformidad con las Normas Internacionales de Información Financiera (NIIF), y el valor en libros de los derechos de uso por arrendamiento financiero sobre activos intangibles. Para estos efectos, la deducción corresponderá al costo del activo, menos la amortización acumulada y la pérdida acumulada por deterioro en su valor.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167043"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2CB4A55E"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47A1A4DC" w14:textId="77777777" w:rsidR="00E10BA0" w:rsidRPr="008E3606" w:rsidRDefault="00E10BA0" w:rsidP="007E453E">
            <w:pPr>
              <w:widowControl w:val="0"/>
              <w:spacing w:line="240" w:lineRule="auto"/>
              <w:jc w:val="left"/>
              <w:rPr>
                <w:sz w:val="24"/>
              </w:rPr>
            </w:pPr>
            <w:r w:rsidRPr="008E3606">
              <w:rPr>
                <w:sz w:val="24"/>
              </w:rPr>
              <w:t xml:space="preserve">CC 18600000 </w:t>
            </w:r>
          </w:p>
        </w:tc>
        <w:tc>
          <w:tcPr>
            <w:tcW w:w="4536" w:type="dxa"/>
            <w:tcBorders>
              <w:top w:val="single" w:sz="4" w:space="0" w:color="000000"/>
              <w:left w:val="single" w:sz="4" w:space="0" w:color="000000"/>
              <w:bottom w:val="single" w:sz="4" w:space="0" w:color="000000"/>
              <w:right w:val="single" w:sz="4" w:space="0" w:color="000000"/>
            </w:tcBorders>
          </w:tcPr>
          <w:p w14:paraId="1F3E59DA" w14:textId="77777777" w:rsidR="00E10BA0" w:rsidRPr="008E3606" w:rsidRDefault="00E10BA0" w:rsidP="007E453E">
            <w:pPr>
              <w:widowControl w:val="0"/>
              <w:spacing w:line="240" w:lineRule="auto"/>
              <w:jc w:val="left"/>
              <w:rPr>
                <w:sz w:val="24"/>
              </w:rPr>
            </w:pPr>
            <w:r w:rsidRPr="008E3606">
              <w:rPr>
                <w:sz w:val="24"/>
              </w:rPr>
              <w:t xml:space="preserve">Activos intangibles </w:t>
            </w:r>
          </w:p>
        </w:tc>
        <w:tc>
          <w:tcPr>
            <w:tcW w:w="2268" w:type="dxa"/>
            <w:tcBorders>
              <w:top w:val="single" w:sz="4" w:space="0" w:color="000000"/>
              <w:left w:val="single" w:sz="4" w:space="0" w:color="000000"/>
              <w:bottom w:val="single" w:sz="4" w:space="0" w:color="000000"/>
              <w:right w:val="single" w:sz="4" w:space="0" w:color="000000"/>
            </w:tcBorders>
          </w:tcPr>
          <w:p w14:paraId="3609B01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C050FBB"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2938C02C" w14:textId="77777777" w:rsidR="00E10BA0" w:rsidRPr="008E3606" w:rsidRDefault="00E10BA0" w:rsidP="007E453E">
            <w:pPr>
              <w:widowControl w:val="0"/>
              <w:spacing w:line="240" w:lineRule="auto"/>
              <w:jc w:val="left"/>
              <w:rPr>
                <w:sz w:val="24"/>
              </w:rPr>
            </w:pPr>
            <w:r w:rsidRPr="008E3606">
              <w:rPr>
                <w:sz w:val="24"/>
              </w:rPr>
              <w:t xml:space="preserve">CC 18308000 </w:t>
            </w:r>
          </w:p>
        </w:tc>
        <w:tc>
          <w:tcPr>
            <w:tcW w:w="4536" w:type="dxa"/>
            <w:tcBorders>
              <w:top w:val="single" w:sz="4" w:space="0" w:color="000000"/>
              <w:left w:val="single" w:sz="4" w:space="0" w:color="000000"/>
              <w:bottom w:val="single" w:sz="4" w:space="0" w:color="000000"/>
              <w:right w:val="single" w:sz="4" w:space="0" w:color="000000"/>
            </w:tcBorders>
          </w:tcPr>
          <w:p w14:paraId="0131143B" w14:textId="77777777" w:rsidR="00E10BA0" w:rsidRPr="008E3606" w:rsidRDefault="00E10BA0" w:rsidP="007E453E">
            <w:pPr>
              <w:widowControl w:val="0"/>
              <w:spacing w:line="240" w:lineRule="auto"/>
              <w:jc w:val="left"/>
              <w:rPr>
                <w:sz w:val="24"/>
              </w:rPr>
            </w:pPr>
            <w:r w:rsidRPr="008E3606">
              <w:rPr>
                <w:sz w:val="24"/>
              </w:rPr>
              <w:t xml:space="preserve">Aplicaciones automatizadas en desarrollo </w:t>
            </w:r>
          </w:p>
        </w:tc>
        <w:tc>
          <w:tcPr>
            <w:tcW w:w="2268" w:type="dxa"/>
            <w:tcBorders>
              <w:top w:val="single" w:sz="4" w:space="0" w:color="000000"/>
              <w:left w:val="single" w:sz="4" w:space="0" w:color="000000"/>
              <w:bottom w:val="single" w:sz="4" w:space="0" w:color="000000"/>
              <w:right w:val="single" w:sz="4" w:space="0" w:color="000000"/>
            </w:tcBorders>
          </w:tcPr>
          <w:p w14:paraId="52E1D06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852C7DD"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29395818" w14:textId="77777777" w:rsidR="00E10BA0" w:rsidRPr="008E3606" w:rsidRDefault="00E10BA0" w:rsidP="007E453E">
            <w:pPr>
              <w:widowControl w:val="0"/>
              <w:spacing w:line="240" w:lineRule="auto"/>
              <w:jc w:val="left"/>
              <w:rPr>
                <w:sz w:val="24"/>
              </w:rPr>
            </w:pPr>
            <w:r w:rsidRPr="008E3606">
              <w:rPr>
                <w:sz w:val="24"/>
              </w:rPr>
              <w:t xml:space="preserve">DA (Nuevo D) </w:t>
            </w:r>
          </w:p>
        </w:tc>
        <w:tc>
          <w:tcPr>
            <w:tcW w:w="4536" w:type="dxa"/>
            <w:tcBorders>
              <w:top w:val="single" w:sz="4" w:space="0" w:color="000000"/>
              <w:left w:val="single" w:sz="4" w:space="0" w:color="000000"/>
              <w:bottom w:val="single" w:sz="4" w:space="0" w:color="000000"/>
              <w:right w:val="single" w:sz="4" w:space="0" w:color="000000"/>
            </w:tcBorders>
          </w:tcPr>
          <w:p w14:paraId="17F55E6C" w14:textId="77777777" w:rsidR="00E10BA0" w:rsidRPr="008E3606" w:rsidRDefault="00E10BA0" w:rsidP="007E453E">
            <w:pPr>
              <w:widowControl w:val="0"/>
              <w:spacing w:line="240" w:lineRule="auto"/>
              <w:jc w:val="left"/>
              <w:rPr>
                <w:sz w:val="24"/>
              </w:rPr>
            </w:pPr>
            <w:r w:rsidRPr="008E3606">
              <w:rPr>
                <w:sz w:val="24"/>
              </w:rPr>
              <w:t xml:space="preserve">Activos por derecho de uso sobre activos intangibles </w:t>
            </w:r>
          </w:p>
        </w:tc>
        <w:tc>
          <w:tcPr>
            <w:tcW w:w="2268" w:type="dxa"/>
            <w:tcBorders>
              <w:top w:val="single" w:sz="4" w:space="0" w:color="000000"/>
              <w:left w:val="single" w:sz="4" w:space="0" w:color="000000"/>
              <w:bottom w:val="single" w:sz="4" w:space="0" w:color="000000"/>
              <w:right w:val="single" w:sz="4" w:space="0" w:color="000000"/>
            </w:tcBorders>
          </w:tcPr>
          <w:p w14:paraId="3B34169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14C48A0"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7ACA478B"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D278CAB"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6855551"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568AE70F" w14:textId="77777777" w:rsidR="00E10BA0" w:rsidRPr="008E3606" w:rsidRDefault="00E10BA0" w:rsidP="007E453E">
            <w:pPr>
              <w:widowControl w:val="0"/>
              <w:spacing w:line="240" w:lineRule="auto"/>
              <w:rPr>
                <w:sz w:val="24"/>
              </w:rPr>
            </w:pPr>
            <w:r w:rsidRPr="008E3606">
              <w:rPr>
                <w:sz w:val="24"/>
              </w:rPr>
              <w:t xml:space="preserve">Los créditos otorgados a la sociedad controladora de su mismo grupo o conglomerado financiero. </w:t>
            </w:r>
          </w:p>
        </w:tc>
        <w:tc>
          <w:tcPr>
            <w:tcW w:w="2268" w:type="dxa"/>
            <w:tcBorders>
              <w:top w:val="single" w:sz="4" w:space="0" w:color="000000"/>
              <w:left w:val="single" w:sz="4" w:space="0" w:color="000000"/>
              <w:bottom w:val="single" w:sz="4" w:space="0" w:color="000000"/>
              <w:right w:val="single" w:sz="4" w:space="0" w:color="000000"/>
            </w:tcBorders>
            <w:vAlign w:val="center"/>
          </w:tcPr>
          <w:p w14:paraId="29CF087C"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23D3E846"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4426B6DA" w14:textId="77777777" w:rsidR="00E10BA0" w:rsidRPr="008E3606" w:rsidRDefault="00E10BA0" w:rsidP="007E453E">
            <w:pPr>
              <w:widowControl w:val="0"/>
              <w:spacing w:line="240" w:lineRule="auto"/>
              <w:jc w:val="left"/>
              <w:rPr>
                <w:sz w:val="24"/>
              </w:rPr>
            </w:pPr>
            <w:r w:rsidRPr="008E3606">
              <w:rPr>
                <w:sz w:val="24"/>
              </w:rPr>
              <w:t xml:space="preserve">DA 20092 </w:t>
            </w:r>
          </w:p>
        </w:tc>
        <w:tc>
          <w:tcPr>
            <w:tcW w:w="4536" w:type="dxa"/>
            <w:tcBorders>
              <w:top w:val="single" w:sz="4" w:space="0" w:color="000000"/>
              <w:left w:val="single" w:sz="4" w:space="0" w:color="000000"/>
              <w:bottom w:val="single" w:sz="4" w:space="0" w:color="000000"/>
              <w:right w:val="single" w:sz="4" w:space="0" w:color="000000"/>
            </w:tcBorders>
          </w:tcPr>
          <w:p w14:paraId="1C41AC67" w14:textId="77777777" w:rsidR="00E10BA0" w:rsidRPr="008E3606" w:rsidRDefault="00E10BA0" w:rsidP="007E453E">
            <w:pPr>
              <w:widowControl w:val="0"/>
              <w:spacing w:line="240" w:lineRule="auto"/>
              <w:rPr>
                <w:sz w:val="24"/>
              </w:rPr>
            </w:pPr>
            <w:r w:rsidRPr="008E3606">
              <w:rPr>
                <w:sz w:val="24"/>
              </w:rPr>
              <w:t xml:space="preserve">Valor en libros de créditos otorgados a la sociedad controladora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7FB1C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CE72BA5"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3829C20"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4AC312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F5F19D0"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3B82176F" w14:textId="77777777" w:rsidR="00E10BA0" w:rsidRPr="008E3606" w:rsidRDefault="00E10BA0" w:rsidP="007E453E">
            <w:pPr>
              <w:widowControl w:val="0"/>
              <w:spacing w:line="240" w:lineRule="auto"/>
              <w:jc w:val="left"/>
              <w:rPr>
                <w:sz w:val="24"/>
              </w:rPr>
            </w:pPr>
            <w:r w:rsidRPr="008E3606">
              <w:rPr>
                <w:sz w:val="24"/>
              </w:rPr>
              <w:t xml:space="preserve">La pérdida del periodo. </w:t>
            </w:r>
          </w:p>
        </w:tc>
        <w:tc>
          <w:tcPr>
            <w:tcW w:w="2268" w:type="dxa"/>
            <w:tcBorders>
              <w:top w:val="single" w:sz="4" w:space="0" w:color="000000"/>
              <w:left w:val="single" w:sz="4" w:space="0" w:color="000000"/>
              <w:bottom w:val="single" w:sz="4" w:space="0" w:color="000000"/>
              <w:right w:val="single" w:sz="4" w:space="0" w:color="000000"/>
            </w:tcBorders>
          </w:tcPr>
          <w:p w14:paraId="08C9C389" w14:textId="77777777" w:rsidR="00E10BA0" w:rsidRPr="008E3606" w:rsidRDefault="00E10BA0" w:rsidP="007E453E">
            <w:pPr>
              <w:widowControl w:val="0"/>
              <w:spacing w:line="240" w:lineRule="auto"/>
              <w:ind w:right="55"/>
              <w:jc w:val="center"/>
              <w:rPr>
                <w:sz w:val="24"/>
              </w:rPr>
            </w:pPr>
            <w:r w:rsidRPr="008E3606">
              <w:rPr>
                <w:sz w:val="24"/>
              </w:rPr>
              <w:t xml:space="preserve">Literal g) </w:t>
            </w:r>
          </w:p>
        </w:tc>
      </w:tr>
      <w:tr w:rsidR="00E10BA0" w:rsidRPr="008E3606" w14:paraId="24527350"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3E6E1F7F" w14:textId="77777777" w:rsidR="00E10BA0" w:rsidRPr="008E3606" w:rsidRDefault="00E10BA0" w:rsidP="007E453E">
            <w:pPr>
              <w:widowControl w:val="0"/>
              <w:spacing w:line="240" w:lineRule="auto"/>
              <w:jc w:val="left"/>
              <w:rPr>
                <w:sz w:val="24"/>
              </w:rPr>
            </w:pPr>
            <w:r w:rsidRPr="008E3606">
              <w:rPr>
                <w:sz w:val="24"/>
              </w:rPr>
              <w:t xml:space="preserve">En caso de que el resultado acumulado del período sea negativo (pérdida): </w:t>
            </w:r>
          </w:p>
        </w:tc>
        <w:tc>
          <w:tcPr>
            <w:tcW w:w="2268" w:type="dxa"/>
            <w:tcBorders>
              <w:top w:val="single" w:sz="4" w:space="0" w:color="000000"/>
              <w:left w:val="single" w:sz="4" w:space="0" w:color="000000"/>
              <w:bottom w:val="single" w:sz="4" w:space="0" w:color="000000"/>
              <w:right w:val="single" w:sz="4" w:space="0" w:color="000000"/>
            </w:tcBorders>
          </w:tcPr>
          <w:p w14:paraId="21BB2A4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70D56CF"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0A1E8567" w14:textId="77777777" w:rsidR="00E10BA0" w:rsidRPr="008E3606" w:rsidRDefault="00E10BA0" w:rsidP="007E453E">
            <w:pPr>
              <w:widowControl w:val="0"/>
              <w:spacing w:line="240" w:lineRule="auto"/>
              <w:jc w:val="left"/>
              <w:rPr>
                <w:sz w:val="24"/>
              </w:rPr>
            </w:pPr>
            <w:r w:rsidRPr="008E3606">
              <w:rPr>
                <w:sz w:val="24"/>
              </w:rPr>
              <w:t xml:space="preserve">CC 50000000 </w:t>
            </w:r>
          </w:p>
        </w:tc>
        <w:tc>
          <w:tcPr>
            <w:tcW w:w="4536" w:type="dxa"/>
            <w:tcBorders>
              <w:top w:val="single" w:sz="4" w:space="0" w:color="000000"/>
              <w:left w:val="single" w:sz="4" w:space="0" w:color="000000"/>
              <w:bottom w:val="single" w:sz="4" w:space="0" w:color="000000"/>
              <w:right w:val="single" w:sz="4" w:space="0" w:color="000000"/>
            </w:tcBorders>
          </w:tcPr>
          <w:p w14:paraId="4FF082E1" w14:textId="77777777" w:rsidR="00E10BA0" w:rsidRPr="008E3606" w:rsidRDefault="00E10BA0" w:rsidP="007E453E">
            <w:pPr>
              <w:widowControl w:val="0"/>
              <w:spacing w:line="240" w:lineRule="auto"/>
              <w:jc w:val="left"/>
              <w:rPr>
                <w:sz w:val="24"/>
              </w:rPr>
            </w:pPr>
            <w:r w:rsidRPr="008E3606">
              <w:rPr>
                <w:sz w:val="24"/>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14:paraId="58D9CFF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2A78880"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15C80FA1" w14:textId="77777777" w:rsidR="00E10BA0" w:rsidRPr="008E3606" w:rsidRDefault="00E10BA0" w:rsidP="007E453E">
            <w:pPr>
              <w:widowControl w:val="0"/>
              <w:spacing w:line="240" w:lineRule="auto"/>
              <w:jc w:val="left"/>
              <w:rPr>
                <w:sz w:val="24"/>
              </w:rPr>
            </w:pPr>
            <w:r w:rsidRPr="008E3606">
              <w:rPr>
                <w:sz w:val="24"/>
              </w:rPr>
              <w:t xml:space="preserve">MENOS CC 40000000 </w:t>
            </w:r>
          </w:p>
        </w:tc>
        <w:tc>
          <w:tcPr>
            <w:tcW w:w="4536" w:type="dxa"/>
            <w:tcBorders>
              <w:top w:val="single" w:sz="4" w:space="0" w:color="000000"/>
              <w:left w:val="single" w:sz="4" w:space="0" w:color="000000"/>
              <w:bottom w:val="single" w:sz="4" w:space="0" w:color="000000"/>
              <w:right w:val="single" w:sz="4" w:space="0" w:color="000000"/>
            </w:tcBorders>
          </w:tcPr>
          <w:p w14:paraId="370C5174" w14:textId="77777777" w:rsidR="00E10BA0" w:rsidRPr="008E3606" w:rsidRDefault="00E10BA0" w:rsidP="007E453E">
            <w:pPr>
              <w:widowControl w:val="0"/>
              <w:spacing w:line="240" w:lineRule="auto"/>
              <w:jc w:val="left"/>
              <w:rPr>
                <w:sz w:val="24"/>
              </w:rPr>
            </w:pPr>
            <w:r w:rsidRPr="008E3606">
              <w:rPr>
                <w:sz w:val="24"/>
              </w:rPr>
              <w:t xml:space="preserve">Gastos </w:t>
            </w:r>
          </w:p>
        </w:tc>
        <w:tc>
          <w:tcPr>
            <w:tcW w:w="2268" w:type="dxa"/>
            <w:tcBorders>
              <w:top w:val="single" w:sz="4" w:space="0" w:color="000000"/>
              <w:left w:val="single" w:sz="4" w:space="0" w:color="000000"/>
              <w:bottom w:val="single" w:sz="4" w:space="0" w:color="000000"/>
              <w:right w:val="single" w:sz="4" w:space="0" w:color="000000"/>
            </w:tcBorders>
          </w:tcPr>
          <w:p w14:paraId="6E9DB14B"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AA70C32"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02C72E3" w14:textId="77777777" w:rsidR="00E10BA0" w:rsidRPr="008E3606" w:rsidRDefault="00E10BA0" w:rsidP="007E453E">
            <w:pPr>
              <w:widowControl w:val="0"/>
              <w:spacing w:line="240" w:lineRule="auto"/>
              <w:jc w:val="left"/>
              <w:rPr>
                <w:sz w:val="24"/>
              </w:rPr>
            </w:pPr>
            <w:r w:rsidRPr="008E3606">
              <w:rPr>
                <w:sz w:val="24"/>
              </w:rPr>
              <w:t xml:space="preserve">MÁS CC 36100000 </w:t>
            </w:r>
          </w:p>
        </w:tc>
        <w:tc>
          <w:tcPr>
            <w:tcW w:w="4536" w:type="dxa"/>
            <w:tcBorders>
              <w:top w:val="single" w:sz="4" w:space="0" w:color="000000"/>
              <w:left w:val="single" w:sz="4" w:space="0" w:color="000000"/>
              <w:bottom w:val="single" w:sz="4" w:space="0" w:color="000000"/>
              <w:right w:val="single" w:sz="4" w:space="0" w:color="000000"/>
            </w:tcBorders>
          </w:tcPr>
          <w:p w14:paraId="244046E2" w14:textId="77777777" w:rsidR="00E10BA0" w:rsidRPr="008E3606" w:rsidRDefault="00E10BA0" w:rsidP="007E453E">
            <w:pPr>
              <w:widowControl w:val="0"/>
              <w:spacing w:line="240" w:lineRule="auto"/>
              <w:jc w:val="left"/>
              <w:rPr>
                <w:sz w:val="24"/>
              </w:rPr>
            </w:pPr>
            <w:r w:rsidRPr="008E3606">
              <w:rPr>
                <w:sz w:val="24"/>
              </w:rPr>
              <w:t xml:space="preserve">Utilidad o excedente del periodo </w:t>
            </w:r>
          </w:p>
        </w:tc>
        <w:tc>
          <w:tcPr>
            <w:tcW w:w="2268" w:type="dxa"/>
            <w:tcBorders>
              <w:top w:val="single" w:sz="4" w:space="0" w:color="000000"/>
              <w:left w:val="single" w:sz="4" w:space="0" w:color="000000"/>
              <w:bottom w:val="single" w:sz="4" w:space="0" w:color="000000"/>
              <w:right w:val="single" w:sz="4" w:space="0" w:color="000000"/>
            </w:tcBorders>
          </w:tcPr>
          <w:p w14:paraId="50EC0C7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6D534EF"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458BA145" w14:textId="77777777" w:rsidR="00E10BA0" w:rsidRPr="008E3606" w:rsidRDefault="00E10BA0" w:rsidP="007E453E">
            <w:pPr>
              <w:widowControl w:val="0"/>
              <w:spacing w:line="240" w:lineRule="auto"/>
              <w:jc w:val="left"/>
              <w:rPr>
                <w:sz w:val="24"/>
              </w:rPr>
            </w:pPr>
            <w:r w:rsidRPr="008E3606">
              <w:rPr>
                <w:sz w:val="24"/>
              </w:rPr>
              <w:t xml:space="preserve">MENOS CC 36200000 </w:t>
            </w:r>
          </w:p>
        </w:tc>
        <w:tc>
          <w:tcPr>
            <w:tcW w:w="4536" w:type="dxa"/>
            <w:tcBorders>
              <w:top w:val="single" w:sz="4" w:space="0" w:color="000000"/>
              <w:left w:val="single" w:sz="4" w:space="0" w:color="000000"/>
              <w:bottom w:val="single" w:sz="4" w:space="0" w:color="000000"/>
              <w:right w:val="single" w:sz="4" w:space="0" w:color="000000"/>
            </w:tcBorders>
          </w:tcPr>
          <w:p w14:paraId="18B6BC5F" w14:textId="77777777" w:rsidR="00E10BA0" w:rsidRPr="008E3606" w:rsidRDefault="00E10BA0" w:rsidP="007E453E">
            <w:pPr>
              <w:widowControl w:val="0"/>
              <w:spacing w:line="240" w:lineRule="auto"/>
              <w:jc w:val="left"/>
              <w:rPr>
                <w:sz w:val="24"/>
              </w:rPr>
            </w:pPr>
            <w:r w:rsidRPr="008E3606">
              <w:rPr>
                <w:sz w:val="24"/>
              </w:rPr>
              <w:t xml:space="preserve">Pérdida del periodo </w:t>
            </w:r>
          </w:p>
        </w:tc>
        <w:tc>
          <w:tcPr>
            <w:tcW w:w="2268" w:type="dxa"/>
            <w:tcBorders>
              <w:top w:val="single" w:sz="4" w:space="0" w:color="000000"/>
              <w:left w:val="single" w:sz="4" w:space="0" w:color="000000"/>
              <w:bottom w:val="single" w:sz="4" w:space="0" w:color="000000"/>
              <w:right w:val="single" w:sz="4" w:space="0" w:color="000000"/>
            </w:tcBorders>
          </w:tcPr>
          <w:p w14:paraId="356535F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6F9C5BB"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3C5C5844"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DB2FF52"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75B2251"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72361B7" w14:textId="77777777" w:rsidR="00E10BA0" w:rsidRPr="008E3606" w:rsidRDefault="00E10BA0" w:rsidP="007E453E">
            <w:pPr>
              <w:widowControl w:val="0"/>
              <w:spacing w:line="240" w:lineRule="auto"/>
              <w:jc w:val="left"/>
              <w:rPr>
                <w:sz w:val="24"/>
              </w:rPr>
            </w:pPr>
            <w:r w:rsidRPr="008E3606">
              <w:rPr>
                <w:sz w:val="24"/>
              </w:rPr>
              <w:t xml:space="preserve">Las pérdidas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73686798" w14:textId="77777777" w:rsidR="00E10BA0" w:rsidRPr="008E3606" w:rsidRDefault="00E10BA0" w:rsidP="007E453E">
            <w:pPr>
              <w:widowControl w:val="0"/>
              <w:spacing w:line="240" w:lineRule="auto"/>
              <w:ind w:right="55"/>
              <w:jc w:val="center"/>
              <w:rPr>
                <w:sz w:val="24"/>
              </w:rPr>
            </w:pPr>
            <w:r w:rsidRPr="008E3606">
              <w:rPr>
                <w:sz w:val="24"/>
              </w:rPr>
              <w:t xml:space="preserve">Literal h) </w:t>
            </w:r>
          </w:p>
        </w:tc>
      </w:tr>
      <w:tr w:rsidR="00E10BA0" w:rsidRPr="008E3606" w14:paraId="657D0C89"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4E4026B6" w14:textId="77777777" w:rsidR="00E10BA0" w:rsidRPr="008E3606" w:rsidRDefault="00E10BA0" w:rsidP="007E453E">
            <w:pPr>
              <w:widowControl w:val="0"/>
              <w:spacing w:line="240" w:lineRule="auto"/>
              <w:jc w:val="left"/>
              <w:rPr>
                <w:sz w:val="24"/>
              </w:rPr>
            </w:pPr>
            <w:r w:rsidRPr="008E3606">
              <w:rPr>
                <w:sz w:val="24"/>
              </w:rPr>
              <w:t xml:space="preserve">CC 35200000 </w:t>
            </w:r>
          </w:p>
        </w:tc>
        <w:tc>
          <w:tcPr>
            <w:tcW w:w="4536" w:type="dxa"/>
            <w:tcBorders>
              <w:top w:val="single" w:sz="4" w:space="0" w:color="000000"/>
              <w:left w:val="single" w:sz="4" w:space="0" w:color="000000"/>
              <w:bottom w:val="single" w:sz="4" w:space="0" w:color="000000"/>
              <w:right w:val="single" w:sz="4" w:space="0" w:color="000000"/>
            </w:tcBorders>
          </w:tcPr>
          <w:p w14:paraId="0E19F12E" w14:textId="77777777" w:rsidR="00E10BA0" w:rsidRPr="008E3606" w:rsidRDefault="00E10BA0" w:rsidP="007E453E">
            <w:pPr>
              <w:widowControl w:val="0"/>
              <w:spacing w:line="240" w:lineRule="auto"/>
              <w:jc w:val="left"/>
              <w:rPr>
                <w:sz w:val="24"/>
              </w:rPr>
            </w:pPr>
            <w:r w:rsidRPr="008E3606">
              <w:rPr>
                <w:sz w:val="24"/>
              </w:rPr>
              <w:t xml:space="preserve">Pérdidas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14463C1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0D069CD"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956C21C" w14:textId="77777777" w:rsidR="00E10BA0" w:rsidRPr="008E3606" w:rsidRDefault="00E10BA0" w:rsidP="007E453E">
            <w:pPr>
              <w:widowControl w:val="0"/>
              <w:spacing w:line="240" w:lineRule="auto"/>
              <w:jc w:val="left"/>
              <w:rPr>
                <w:sz w:val="24"/>
              </w:rPr>
            </w:pPr>
            <w:r w:rsidRPr="008E3606">
              <w:rPr>
                <w:sz w:val="24"/>
              </w:rPr>
              <w:lastRenderedPageBreak/>
              <w:t xml:space="preserve"> </w:t>
            </w:r>
          </w:p>
        </w:tc>
        <w:tc>
          <w:tcPr>
            <w:tcW w:w="2268" w:type="dxa"/>
            <w:tcBorders>
              <w:top w:val="single" w:sz="4" w:space="0" w:color="000000"/>
              <w:left w:val="nil"/>
              <w:bottom w:val="single" w:sz="4" w:space="0" w:color="000000"/>
              <w:right w:val="single" w:sz="4" w:space="0" w:color="000000"/>
            </w:tcBorders>
          </w:tcPr>
          <w:p w14:paraId="6061539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9E7BCD1"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26779BD1" w14:textId="77777777" w:rsidR="00E10BA0" w:rsidRPr="008E3606" w:rsidRDefault="00E10BA0" w:rsidP="007E453E">
            <w:pPr>
              <w:widowControl w:val="0"/>
              <w:spacing w:line="240" w:lineRule="auto"/>
              <w:rPr>
                <w:sz w:val="24"/>
              </w:rPr>
            </w:pPr>
            <w:r w:rsidRPr="008E3606">
              <w:rPr>
                <w:sz w:val="24"/>
              </w:rPr>
              <w:t xml:space="preserve">El importe neto positivo de restar al saldo de los Activos por Impuestos Diferidos (AID), el saldo de los Pasivos por Impuestos Diferidos (PID).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A15932" w14:textId="77777777" w:rsidR="00E10BA0" w:rsidRPr="008E3606" w:rsidRDefault="00E10BA0" w:rsidP="007E453E">
            <w:pPr>
              <w:widowControl w:val="0"/>
              <w:spacing w:line="240" w:lineRule="auto"/>
              <w:ind w:right="55"/>
              <w:jc w:val="center"/>
              <w:rPr>
                <w:sz w:val="24"/>
              </w:rPr>
            </w:pPr>
            <w:r w:rsidRPr="008E3606">
              <w:rPr>
                <w:sz w:val="24"/>
              </w:rPr>
              <w:t xml:space="preserve">Literal i) </w:t>
            </w:r>
          </w:p>
        </w:tc>
      </w:tr>
      <w:tr w:rsidR="00E10BA0" w:rsidRPr="008E3606" w14:paraId="3C45765F"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3A4355BF" w14:textId="77777777" w:rsidR="00E10BA0" w:rsidRPr="008E3606" w:rsidRDefault="00E10BA0" w:rsidP="007E453E">
            <w:pPr>
              <w:widowControl w:val="0"/>
              <w:spacing w:line="240" w:lineRule="auto"/>
              <w:jc w:val="left"/>
              <w:rPr>
                <w:sz w:val="24"/>
              </w:rPr>
            </w:pPr>
            <w:r w:rsidRPr="008E3606">
              <w:rPr>
                <w:sz w:val="24"/>
              </w:rPr>
              <w:t xml:space="preserve">CC 14601000 </w:t>
            </w:r>
          </w:p>
        </w:tc>
        <w:tc>
          <w:tcPr>
            <w:tcW w:w="4536" w:type="dxa"/>
            <w:tcBorders>
              <w:top w:val="single" w:sz="4" w:space="0" w:color="000000"/>
              <w:left w:val="single" w:sz="4" w:space="0" w:color="000000"/>
              <w:bottom w:val="single" w:sz="4" w:space="0" w:color="000000"/>
              <w:right w:val="single" w:sz="4" w:space="0" w:color="000000"/>
            </w:tcBorders>
          </w:tcPr>
          <w:p w14:paraId="443D6697" w14:textId="77777777" w:rsidR="00E10BA0" w:rsidRPr="008E3606" w:rsidRDefault="00E10BA0" w:rsidP="007E453E">
            <w:pPr>
              <w:widowControl w:val="0"/>
              <w:spacing w:line="240" w:lineRule="auto"/>
              <w:jc w:val="left"/>
              <w:rPr>
                <w:sz w:val="24"/>
              </w:rPr>
            </w:pPr>
            <w:r w:rsidRPr="008E3606">
              <w:rPr>
                <w:sz w:val="24"/>
              </w:rPr>
              <w:t xml:space="preserve">Impuesto sobre la renta diferido </w:t>
            </w:r>
          </w:p>
        </w:tc>
        <w:tc>
          <w:tcPr>
            <w:tcW w:w="2268" w:type="dxa"/>
            <w:tcBorders>
              <w:top w:val="single" w:sz="4" w:space="0" w:color="000000"/>
              <w:left w:val="single" w:sz="4" w:space="0" w:color="000000"/>
              <w:bottom w:val="single" w:sz="4" w:space="0" w:color="000000"/>
              <w:right w:val="single" w:sz="4" w:space="0" w:color="000000"/>
            </w:tcBorders>
          </w:tcPr>
          <w:p w14:paraId="02957F6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A12CDD4"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4FDB0031" w14:textId="77777777" w:rsidR="00E10BA0" w:rsidRPr="008E3606" w:rsidRDefault="00E10BA0" w:rsidP="007E453E">
            <w:pPr>
              <w:widowControl w:val="0"/>
              <w:spacing w:line="240" w:lineRule="auto"/>
              <w:jc w:val="left"/>
              <w:rPr>
                <w:sz w:val="24"/>
              </w:rPr>
            </w:pPr>
            <w:r w:rsidRPr="008E3606">
              <w:rPr>
                <w:sz w:val="24"/>
              </w:rPr>
              <w:t xml:space="preserve">MENOS CC 24602000 </w:t>
            </w:r>
          </w:p>
        </w:tc>
        <w:tc>
          <w:tcPr>
            <w:tcW w:w="4536" w:type="dxa"/>
            <w:tcBorders>
              <w:top w:val="single" w:sz="4" w:space="0" w:color="000000"/>
              <w:left w:val="single" w:sz="4" w:space="0" w:color="000000"/>
              <w:bottom w:val="single" w:sz="4" w:space="0" w:color="000000"/>
              <w:right w:val="single" w:sz="4" w:space="0" w:color="000000"/>
            </w:tcBorders>
          </w:tcPr>
          <w:p w14:paraId="1FA334F0" w14:textId="77777777" w:rsidR="00E10BA0" w:rsidRPr="008E3606" w:rsidRDefault="00E10BA0" w:rsidP="007E453E">
            <w:pPr>
              <w:widowControl w:val="0"/>
              <w:spacing w:line="240" w:lineRule="auto"/>
              <w:jc w:val="left"/>
              <w:rPr>
                <w:sz w:val="24"/>
              </w:rPr>
            </w:pPr>
            <w:r w:rsidRPr="008E3606">
              <w:rPr>
                <w:sz w:val="24"/>
              </w:rPr>
              <w:t xml:space="preserve">Impuesto sobre la renta diferido </w:t>
            </w:r>
          </w:p>
        </w:tc>
        <w:tc>
          <w:tcPr>
            <w:tcW w:w="2268" w:type="dxa"/>
            <w:tcBorders>
              <w:top w:val="single" w:sz="4" w:space="0" w:color="000000"/>
              <w:left w:val="single" w:sz="4" w:space="0" w:color="000000"/>
              <w:bottom w:val="single" w:sz="4" w:space="0" w:color="000000"/>
              <w:right w:val="single" w:sz="4" w:space="0" w:color="000000"/>
            </w:tcBorders>
          </w:tcPr>
          <w:p w14:paraId="5332AC8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2F0D9B7"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1E6F1CBA"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7ADD5D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38ADBAB"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7CDD280E" w14:textId="77777777" w:rsidR="00E10BA0" w:rsidRPr="008E3606" w:rsidRDefault="00E10BA0" w:rsidP="007E453E">
            <w:pPr>
              <w:widowControl w:val="0"/>
              <w:spacing w:line="240" w:lineRule="auto"/>
              <w:rPr>
                <w:sz w:val="24"/>
              </w:rPr>
            </w:pPr>
            <w:r w:rsidRPr="008E3606">
              <w:rPr>
                <w:sz w:val="24"/>
              </w:rPr>
              <w:t xml:space="preserve">El importe neto positivo de restar al saldo de los activos por impuestos al valor agregado, el saldo de los pasivos por impuestos al valor agregado. </w:t>
            </w:r>
          </w:p>
        </w:tc>
        <w:tc>
          <w:tcPr>
            <w:tcW w:w="2268" w:type="dxa"/>
            <w:tcBorders>
              <w:top w:val="single" w:sz="4" w:space="0" w:color="000000"/>
              <w:left w:val="single" w:sz="4" w:space="0" w:color="000000"/>
              <w:bottom w:val="single" w:sz="4" w:space="0" w:color="000000"/>
              <w:right w:val="single" w:sz="4" w:space="0" w:color="000000"/>
            </w:tcBorders>
            <w:vAlign w:val="center"/>
          </w:tcPr>
          <w:p w14:paraId="4B56947A" w14:textId="77777777" w:rsidR="00E10BA0" w:rsidRPr="008E3606" w:rsidRDefault="00E10BA0" w:rsidP="007E453E">
            <w:pPr>
              <w:widowControl w:val="0"/>
              <w:spacing w:line="240" w:lineRule="auto"/>
              <w:ind w:right="55"/>
              <w:jc w:val="center"/>
              <w:rPr>
                <w:sz w:val="24"/>
              </w:rPr>
            </w:pPr>
            <w:r w:rsidRPr="008E3606">
              <w:rPr>
                <w:sz w:val="24"/>
              </w:rPr>
              <w:t xml:space="preserve">Literal j) </w:t>
            </w:r>
          </w:p>
        </w:tc>
      </w:tr>
      <w:tr w:rsidR="00E10BA0" w:rsidRPr="008E3606" w14:paraId="48FEED83"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11A16AD" w14:textId="77777777" w:rsidR="00E10BA0" w:rsidRPr="008E3606" w:rsidRDefault="00E10BA0" w:rsidP="007E453E">
            <w:pPr>
              <w:widowControl w:val="0"/>
              <w:spacing w:line="240" w:lineRule="auto"/>
              <w:jc w:val="left"/>
              <w:rPr>
                <w:sz w:val="24"/>
              </w:rPr>
            </w:pPr>
            <w:r w:rsidRPr="008E3606">
              <w:rPr>
                <w:sz w:val="24"/>
              </w:rPr>
              <w:t xml:space="preserve">CC 14603000 </w:t>
            </w:r>
          </w:p>
        </w:tc>
        <w:tc>
          <w:tcPr>
            <w:tcW w:w="4536" w:type="dxa"/>
            <w:tcBorders>
              <w:top w:val="single" w:sz="4" w:space="0" w:color="000000"/>
              <w:left w:val="single" w:sz="4" w:space="0" w:color="000000"/>
              <w:bottom w:val="single" w:sz="4" w:space="0" w:color="000000"/>
              <w:right w:val="single" w:sz="4" w:space="0" w:color="000000"/>
            </w:tcBorders>
          </w:tcPr>
          <w:p w14:paraId="30E49F60" w14:textId="77777777" w:rsidR="00E10BA0" w:rsidRPr="008E3606" w:rsidRDefault="00E10BA0" w:rsidP="007E453E">
            <w:pPr>
              <w:widowControl w:val="0"/>
              <w:spacing w:line="240" w:lineRule="auto"/>
              <w:jc w:val="left"/>
              <w:rPr>
                <w:sz w:val="24"/>
              </w:rPr>
            </w:pPr>
            <w:r w:rsidRPr="008E3606">
              <w:rPr>
                <w:sz w:val="24"/>
              </w:rPr>
              <w:t xml:space="preserve">Impuesto al Valor Agregado Soportado </w:t>
            </w:r>
          </w:p>
        </w:tc>
        <w:tc>
          <w:tcPr>
            <w:tcW w:w="2268" w:type="dxa"/>
            <w:tcBorders>
              <w:top w:val="single" w:sz="4" w:space="0" w:color="000000"/>
              <w:left w:val="single" w:sz="4" w:space="0" w:color="000000"/>
              <w:bottom w:val="single" w:sz="4" w:space="0" w:color="000000"/>
              <w:right w:val="single" w:sz="4" w:space="0" w:color="000000"/>
            </w:tcBorders>
          </w:tcPr>
          <w:p w14:paraId="4DC2E60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30E5062"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76EA8E0F" w14:textId="77777777" w:rsidR="00E10BA0" w:rsidRPr="008E3606" w:rsidRDefault="00E10BA0" w:rsidP="007E453E">
            <w:pPr>
              <w:widowControl w:val="0"/>
              <w:spacing w:line="240" w:lineRule="auto"/>
              <w:jc w:val="left"/>
              <w:rPr>
                <w:sz w:val="24"/>
              </w:rPr>
            </w:pPr>
            <w:r w:rsidRPr="008E3606">
              <w:rPr>
                <w:sz w:val="24"/>
              </w:rPr>
              <w:t xml:space="preserve">CC 14604000 </w:t>
            </w:r>
          </w:p>
        </w:tc>
        <w:tc>
          <w:tcPr>
            <w:tcW w:w="4536" w:type="dxa"/>
            <w:tcBorders>
              <w:top w:val="single" w:sz="4" w:space="0" w:color="000000"/>
              <w:left w:val="single" w:sz="4" w:space="0" w:color="000000"/>
              <w:bottom w:val="single" w:sz="4" w:space="0" w:color="000000"/>
              <w:right w:val="single" w:sz="4" w:space="0" w:color="000000"/>
            </w:tcBorders>
          </w:tcPr>
          <w:p w14:paraId="1F58BCA1" w14:textId="77777777" w:rsidR="00E10BA0" w:rsidRPr="008E3606" w:rsidRDefault="00E10BA0" w:rsidP="007E453E">
            <w:pPr>
              <w:widowControl w:val="0"/>
              <w:spacing w:line="240" w:lineRule="auto"/>
              <w:jc w:val="left"/>
              <w:rPr>
                <w:sz w:val="24"/>
              </w:rPr>
            </w:pPr>
            <w:r w:rsidRPr="008E3606">
              <w:rPr>
                <w:sz w:val="24"/>
              </w:rPr>
              <w:t xml:space="preserve">Impuesto al Valor Agregado Deducible </w:t>
            </w:r>
          </w:p>
        </w:tc>
        <w:tc>
          <w:tcPr>
            <w:tcW w:w="2268" w:type="dxa"/>
            <w:tcBorders>
              <w:top w:val="single" w:sz="4" w:space="0" w:color="000000"/>
              <w:left w:val="single" w:sz="4" w:space="0" w:color="000000"/>
              <w:bottom w:val="single" w:sz="4" w:space="0" w:color="000000"/>
              <w:right w:val="single" w:sz="4" w:space="0" w:color="000000"/>
            </w:tcBorders>
          </w:tcPr>
          <w:p w14:paraId="2A49249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02E24E0"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72EA607" w14:textId="77777777" w:rsidR="00E10BA0" w:rsidRPr="008E3606" w:rsidRDefault="00E10BA0" w:rsidP="007E453E">
            <w:pPr>
              <w:widowControl w:val="0"/>
              <w:spacing w:line="240" w:lineRule="auto"/>
              <w:jc w:val="left"/>
              <w:rPr>
                <w:sz w:val="24"/>
              </w:rPr>
            </w:pPr>
            <w:r w:rsidRPr="008E3606">
              <w:rPr>
                <w:sz w:val="24"/>
              </w:rPr>
              <w:t xml:space="preserve">MENOS CC 24204M02 </w:t>
            </w:r>
          </w:p>
        </w:tc>
        <w:tc>
          <w:tcPr>
            <w:tcW w:w="4536" w:type="dxa"/>
            <w:tcBorders>
              <w:top w:val="single" w:sz="4" w:space="0" w:color="000000"/>
              <w:left w:val="single" w:sz="4" w:space="0" w:color="000000"/>
              <w:bottom w:val="single" w:sz="4" w:space="0" w:color="000000"/>
              <w:right w:val="single" w:sz="4" w:space="0" w:color="000000"/>
            </w:tcBorders>
          </w:tcPr>
          <w:p w14:paraId="03A44000" w14:textId="77777777" w:rsidR="00E10BA0" w:rsidRPr="008E3606" w:rsidRDefault="00E10BA0" w:rsidP="007E453E">
            <w:pPr>
              <w:widowControl w:val="0"/>
              <w:spacing w:line="240" w:lineRule="auto"/>
              <w:jc w:val="left"/>
              <w:rPr>
                <w:sz w:val="24"/>
              </w:rPr>
            </w:pPr>
            <w:r w:rsidRPr="008E3606">
              <w:rPr>
                <w:sz w:val="24"/>
              </w:rPr>
              <w:t xml:space="preserve">Impuesto al valor agregado por pagar </w:t>
            </w:r>
          </w:p>
        </w:tc>
        <w:tc>
          <w:tcPr>
            <w:tcW w:w="2268" w:type="dxa"/>
            <w:tcBorders>
              <w:top w:val="single" w:sz="4" w:space="0" w:color="000000"/>
              <w:left w:val="single" w:sz="4" w:space="0" w:color="000000"/>
              <w:bottom w:val="single" w:sz="4" w:space="0" w:color="000000"/>
              <w:right w:val="single" w:sz="4" w:space="0" w:color="000000"/>
            </w:tcBorders>
          </w:tcPr>
          <w:p w14:paraId="4F37F13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55EEE62"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754960F1"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B18E6E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F6C2921"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45EBDD7F" w14:textId="77777777" w:rsidR="00E10BA0" w:rsidRPr="008E3606" w:rsidRDefault="00E10BA0" w:rsidP="007E453E">
            <w:pPr>
              <w:widowControl w:val="0"/>
              <w:spacing w:line="240" w:lineRule="auto"/>
              <w:rPr>
                <w:sz w:val="24"/>
              </w:rPr>
            </w:pPr>
            <w:r w:rsidRPr="008E3606">
              <w:rPr>
                <w:sz w:val="24"/>
              </w:rPr>
              <w:t xml:space="preserve">El importe de las deducciones a que se refiere el Artículo 10 del Acuerdo Sugef 3-06, que exceda el importe de los elementos del CAN1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049D3E50" w14:textId="77777777" w:rsidR="00E10BA0" w:rsidRPr="008E3606" w:rsidRDefault="00E10BA0" w:rsidP="007E453E">
            <w:pPr>
              <w:widowControl w:val="0"/>
              <w:spacing w:line="240" w:lineRule="auto"/>
              <w:ind w:right="55"/>
              <w:jc w:val="center"/>
              <w:rPr>
                <w:sz w:val="24"/>
              </w:rPr>
            </w:pPr>
            <w:r w:rsidRPr="008E3606">
              <w:rPr>
                <w:sz w:val="24"/>
              </w:rPr>
              <w:t xml:space="preserve">Literal k) </w:t>
            </w:r>
          </w:p>
        </w:tc>
      </w:tr>
      <w:tr w:rsidR="00E10BA0" w:rsidRPr="008E3606" w14:paraId="3567C450" w14:textId="77777777" w:rsidTr="007E453E">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137294F5" w14:textId="77777777" w:rsidR="00E10BA0" w:rsidRPr="008E3606" w:rsidRDefault="00E10BA0" w:rsidP="007E453E">
            <w:pPr>
              <w:widowControl w:val="0"/>
              <w:spacing w:line="240" w:lineRule="auto"/>
              <w:jc w:val="left"/>
              <w:rPr>
                <w:sz w:val="24"/>
              </w:rPr>
            </w:pPr>
            <w:r w:rsidRPr="008E3606">
              <w:rPr>
                <w:sz w:val="24"/>
              </w:rPr>
              <w:t xml:space="preserve">DA (Nuevo E) </w:t>
            </w:r>
          </w:p>
        </w:tc>
        <w:tc>
          <w:tcPr>
            <w:tcW w:w="4536" w:type="dxa"/>
            <w:tcBorders>
              <w:top w:val="single" w:sz="4" w:space="0" w:color="000000"/>
              <w:left w:val="single" w:sz="4" w:space="0" w:color="000000"/>
              <w:bottom w:val="single" w:sz="4" w:space="0" w:color="000000"/>
              <w:right w:val="single" w:sz="4" w:space="0" w:color="000000"/>
            </w:tcBorders>
          </w:tcPr>
          <w:p w14:paraId="2DC936CC" w14:textId="77777777" w:rsidR="00E10BA0" w:rsidRPr="008E3606" w:rsidRDefault="00E10BA0" w:rsidP="007E453E">
            <w:pPr>
              <w:widowControl w:val="0"/>
              <w:spacing w:line="240" w:lineRule="auto"/>
              <w:ind w:right="55"/>
              <w:rPr>
                <w:sz w:val="24"/>
              </w:rPr>
            </w:pPr>
            <w:r w:rsidRPr="008E3606">
              <w:rPr>
                <w:sz w:val="24"/>
              </w:rPr>
              <w:t xml:space="preserve">El importe de las deducciones del CAN1 que exceda el importe de los elementos del CAN1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1B480801"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5AF537E"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68E30282"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7E4201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6D36B57"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2222D367" w14:textId="77777777" w:rsidR="00E10BA0" w:rsidRPr="008E3606" w:rsidRDefault="00E10BA0" w:rsidP="007E453E">
            <w:pPr>
              <w:widowControl w:val="0"/>
              <w:spacing w:line="240" w:lineRule="auto"/>
              <w:jc w:val="left"/>
              <w:rPr>
                <w:sz w:val="24"/>
              </w:rPr>
            </w:pPr>
            <w:r w:rsidRPr="008E3606">
              <w:rPr>
                <w:b/>
                <w:sz w:val="24"/>
              </w:rPr>
              <w:t xml:space="preserve">II. CAPITAL ADICIONAL NIVEL 1 (CAN1) = (3 - 4) </w:t>
            </w:r>
          </w:p>
        </w:tc>
        <w:tc>
          <w:tcPr>
            <w:tcW w:w="2268" w:type="dxa"/>
            <w:tcBorders>
              <w:top w:val="single" w:sz="4" w:space="0" w:color="000000"/>
              <w:left w:val="single" w:sz="4" w:space="0" w:color="000000"/>
              <w:bottom w:val="single" w:sz="4" w:space="0" w:color="000000"/>
              <w:right w:val="single" w:sz="4" w:space="0" w:color="000000"/>
            </w:tcBorders>
          </w:tcPr>
          <w:p w14:paraId="2D14ECF6" w14:textId="77777777" w:rsidR="00E10BA0" w:rsidRPr="008E3606" w:rsidRDefault="00E10BA0" w:rsidP="007E453E">
            <w:pPr>
              <w:widowControl w:val="0"/>
              <w:spacing w:line="240" w:lineRule="auto"/>
              <w:jc w:val="left"/>
              <w:rPr>
                <w:sz w:val="24"/>
              </w:rPr>
            </w:pPr>
            <w:r w:rsidRPr="008E3606">
              <w:rPr>
                <w:b/>
                <w:sz w:val="24"/>
              </w:rPr>
              <w:t xml:space="preserve"> </w:t>
            </w:r>
          </w:p>
        </w:tc>
      </w:tr>
      <w:tr w:rsidR="00E10BA0" w:rsidRPr="008E3606" w14:paraId="10B1FE59"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47C9B781" w14:textId="77777777" w:rsidR="00E10BA0" w:rsidRPr="008E3606" w:rsidRDefault="00E10BA0" w:rsidP="007E453E">
            <w:pPr>
              <w:widowControl w:val="0"/>
              <w:spacing w:line="240" w:lineRule="auto"/>
              <w:jc w:val="left"/>
              <w:rPr>
                <w:sz w:val="24"/>
              </w:rPr>
            </w:pPr>
            <w:r w:rsidRPr="008E3606">
              <w:rPr>
                <w:b/>
                <w:sz w:val="24"/>
              </w:rPr>
              <w:t xml:space="preserve">3. Elementos del CAN1 </w:t>
            </w:r>
          </w:p>
        </w:tc>
        <w:tc>
          <w:tcPr>
            <w:tcW w:w="2268" w:type="dxa"/>
            <w:tcBorders>
              <w:top w:val="single" w:sz="4" w:space="0" w:color="000000"/>
              <w:left w:val="single" w:sz="4" w:space="0" w:color="000000"/>
              <w:bottom w:val="single" w:sz="4" w:space="0" w:color="000000"/>
              <w:right w:val="single" w:sz="4" w:space="0" w:color="000000"/>
            </w:tcBorders>
          </w:tcPr>
          <w:p w14:paraId="2091B3F8" w14:textId="77777777" w:rsidR="00E10BA0" w:rsidRPr="008E3606" w:rsidRDefault="00E10BA0" w:rsidP="007E453E">
            <w:pPr>
              <w:widowControl w:val="0"/>
              <w:spacing w:line="240" w:lineRule="auto"/>
              <w:ind w:right="58"/>
              <w:jc w:val="center"/>
              <w:rPr>
                <w:sz w:val="24"/>
              </w:rPr>
            </w:pPr>
            <w:r w:rsidRPr="008E3606">
              <w:rPr>
                <w:b/>
                <w:sz w:val="24"/>
              </w:rPr>
              <w:t xml:space="preserve">ARTÍCULO 9 </w:t>
            </w:r>
          </w:p>
        </w:tc>
      </w:tr>
      <w:tr w:rsidR="00E10BA0" w:rsidRPr="008E3606" w14:paraId="47E80ED4"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7775A3A" w14:textId="77777777" w:rsidR="00E10BA0" w:rsidRPr="008E3606" w:rsidRDefault="00E10BA0" w:rsidP="007E453E">
            <w:pPr>
              <w:widowControl w:val="0"/>
              <w:spacing w:line="240" w:lineRule="auto"/>
              <w:ind w:left="55"/>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58CD17E5" w14:textId="77777777" w:rsidR="00E10BA0" w:rsidRPr="008E3606" w:rsidRDefault="00E10BA0" w:rsidP="007E453E">
            <w:pPr>
              <w:widowControl w:val="0"/>
              <w:spacing w:line="240" w:lineRule="auto"/>
              <w:ind w:right="60"/>
              <w:jc w:val="center"/>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4F1A8834"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262158EF"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2C8DAFFC"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52A52FA3" w14:textId="77777777" w:rsidR="00E10BA0" w:rsidRPr="008E3606" w:rsidRDefault="00E10BA0" w:rsidP="007E453E">
            <w:pPr>
              <w:widowControl w:val="0"/>
              <w:spacing w:line="240" w:lineRule="auto"/>
              <w:jc w:val="left"/>
              <w:rPr>
                <w:sz w:val="24"/>
              </w:rPr>
            </w:pPr>
          </w:p>
        </w:tc>
      </w:tr>
      <w:tr w:rsidR="00E10BA0" w:rsidRPr="008E3606" w14:paraId="53403AD5" w14:textId="77777777" w:rsidTr="007E453E">
        <w:trPr>
          <w:trHeight w:val="802"/>
        </w:trPr>
        <w:tc>
          <w:tcPr>
            <w:tcW w:w="7082" w:type="dxa"/>
            <w:gridSpan w:val="2"/>
            <w:tcBorders>
              <w:top w:val="single" w:sz="4" w:space="0" w:color="000000"/>
              <w:left w:val="single" w:sz="4" w:space="0" w:color="000000"/>
              <w:bottom w:val="single" w:sz="4" w:space="0" w:color="000000"/>
              <w:right w:val="single" w:sz="4" w:space="0" w:color="000000"/>
            </w:tcBorders>
          </w:tcPr>
          <w:p w14:paraId="685D7EB2" w14:textId="77777777" w:rsidR="00E10BA0" w:rsidRPr="008E3606" w:rsidRDefault="00E10BA0" w:rsidP="007E453E">
            <w:pPr>
              <w:widowControl w:val="0"/>
              <w:spacing w:line="240" w:lineRule="auto"/>
              <w:ind w:right="55"/>
              <w:rPr>
                <w:sz w:val="24"/>
              </w:rPr>
            </w:pPr>
            <w:r w:rsidRPr="008E3606">
              <w:rPr>
                <w:sz w:val="24"/>
              </w:rPr>
              <w:t xml:space="preserve">Los instrumentos emitidos por la entidad que cumplan con todos y cada uno de los criterios de admisibilidad para formar parte del CAN1, dispuestos en el Anexo 4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D26381"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248BC0B6" w14:textId="77777777" w:rsidTr="007E453E">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621DD797" w14:textId="77777777" w:rsidR="00E10BA0" w:rsidRPr="008E3606" w:rsidRDefault="00E10BA0" w:rsidP="007E453E">
            <w:pPr>
              <w:widowControl w:val="0"/>
              <w:spacing w:line="240" w:lineRule="auto"/>
              <w:jc w:val="left"/>
              <w:rPr>
                <w:sz w:val="24"/>
              </w:rPr>
            </w:pPr>
            <w:r w:rsidRPr="008E3606">
              <w:rPr>
                <w:sz w:val="24"/>
              </w:rPr>
              <w:t xml:space="preserve">DA (Nuevo F) </w:t>
            </w:r>
          </w:p>
        </w:tc>
        <w:tc>
          <w:tcPr>
            <w:tcW w:w="4536" w:type="dxa"/>
            <w:tcBorders>
              <w:top w:val="single" w:sz="4" w:space="0" w:color="000000"/>
              <w:left w:val="single" w:sz="4" w:space="0" w:color="000000"/>
              <w:bottom w:val="single" w:sz="4" w:space="0" w:color="000000"/>
              <w:right w:val="single" w:sz="4" w:space="0" w:color="000000"/>
            </w:tcBorders>
          </w:tcPr>
          <w:p w14:paraId="2DE4B05F" w14:textId="77777777" w:rsidR="00E10BA0" w:rsidRPr="008E3606" w:rsidRDefault="00E10BA0" w:rsidP="007E453E">
            <w:pPr>
              <w:widowControl w:val="0"/>
              <w:spacing w:line="240" w:lineRule="auto"/>
              <w:ind w:right="55"/>
              <w:rPr>
                <w:sz w:val="24"/>
              </w:rPr>
            </w:pPr>
            <w:r w:rsidRPr="008E3606">
              <w:rPr>
                <w:sz w:val="24"/>
              </w:rPr>
              <w:t xml:space="preserve">Capital pagado preferente con dividendo no acumulativo que cumpla los criterios de admisibilidad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394EF14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71A4D7C"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06CC044"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718A262"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32CA966"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271B7D9E" w14:textId="77777777" w:rsidR="00E10BA0" w:rsidRPr="008E3606" w:rsidRDefault="00E10BA0" w:rsidP="007E453E">
            <w:pPr>
              <w:widowControl w:val="0"/>
              <w:spacing w:line="240" w:lineRule="auto"/>
              <w:ind w:right="55"/>
              <w:rPr>
                <w:sz w:val="24"/>
              </w:rPr>
            </w:pPr>
            <w:r w:rsidRPr="008E3606">
              <w:rPr>
                <w:sz w:val="24"/>
              </w:rPr>
              <w:t xml:space="preserve">Las primas resultantes de la emisión de instrumentos incluidos en el CAN1, netas de los correspondientes descuentos y de los costos de emisión y colocación.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64AEDBA1"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0C594A36" w14:textId="77777777" w:rsidTr="007E453E">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036B75D7" w14:textId="77777777" w:rsidR="00E10BA0" w:rsidRPr="008E3606" w:rsidRDefault="00E10BA0" w:rsidP="007E453E">
            <w:pPr>
              <w:widowControl w:val="0"/>
              <w:spacing w:line="240" w:lineRule="auto"/>
              <w:jc w:val="left"/>
              <w:rPr>
                <w:sz w:val="24"/>
              </w:rPr>
            </w:pPr>
            <w:r w:rsidRPr="008E3606">
              <w:rPr>
                <w:sz w:val="24"/>
              </w:rPr>
              <w:t xml:space="preserve">DA (Nuevo G) </w:t>
            </w:r>
          </w:p>
        </w:tc>
        <w:tc>
          <w:tcPr>
            <w:tcW w:w="4536" w:type="dxa"/>
            <w:tcBorders>
              <w:top w:val="single" w:sz="4" w:space="0" w:color="000000"/>
              <w:left w:val="single" w:sz="4" w:space="0" w:color="000000"/>
              <w:bottom w:val="single" w:sz="4" w:space="0" w:color="000000"/>
              <w:right w:val="single" w:sz="4" w:space="0" w:color="000000"/>
            </w:tcBorders>
          </w:tcPr>
          <w:p w14:paraId="4C946D08" w14:textId="77777777" w:rsidR="00E10BA0" w:rsidRPr="008E3606" w:rsidRDefault="00E10BA0" w:rsidP="007E453E">
            <w:pPr>
              <w:widowControl w:val="0"/>
              <w:spacing w:line="240" w:lineRule="auto"/>
              <w:ind w:right="55"/>
              <w:rPr>
                <w:sz w:val="24"/>
              </w:rPr>
            </w:pPr>
            <w:r w:rsidRPr="008E3606">
              <w:rPr>
                <w:sz w:val="24"/>
              </w:rPr>
              <w:t xml:space="preserve">Primas resultantes de la emisión de instrumentos incluidos en el CAN1, netas de los correspondientes descuentos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527A10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573E247"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5880A3C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A18D36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8616BD2" w14:textId="77777777" w:rsidTr="007E453E">
        <w:trPr>
          <w:trHeight w:val="1332"/>
        </w:trPr>
        <w:tc>
          <w:tcPr>
            <w:tcW w:w="7082" w:type="dxa"/>
            <w:gridSpan w:val="2"/>
            <w:tcBorders>
              <w:top w:val="single" w:sz="4" w:space="0" w:color="000000"/>
              <w:left w:val="single" w:sz="4" w:space="0" w:color="000000"/>
              <w:bottom w:val="single" w:sz="4" w:space="0" w:color="000000"/>
              <w:right w:val="single" w:sz="4" w:space="0" w:color="000000"/>
            </w:tcBorders>
          </w:tcPr>
          <w:p w14:paraId="49BC83ED" w14:textId="77777777" w:rsidR="00E10BA0" w:rsidRPr="008E3606" w:rsidRDefault="00E10BA0" w:rsidP="007E453E">
            <w:pPr>
              <w:widowControl w:val="0"/>
              <w:spacing w:line="240" w:lineRule="auto"/>
              <w:ind w:right="55"/>
              <w:rPr>
                <w:sz w:val="24"/>
              </w:rPr>
            </w:pPr>
            <w:r w:rsidRPr="008E3606">
              <w:rPr>
                <w:sz w:val="24"/>
              </w:rPr>
              <w:t xml:space="preserve">Los aportes y donaciones para incrementos de capital social, autorizados por CONASSIF y en trámite de inscripción en el Registro Público. Los aportes y donaciones deberán corresponder a incrementos de capital social en instrumentos admisibles en el CAN1, según el inciso a) del Artículo 9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601DF589"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75907855" w14:textId="77777777" w:rsidTr="007E453E">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4C725C70" w14:textId="77777777" w:rsidR="00E10BA0" w:rsidRPr="008E3606" w:rsidRDefault="00E10BA0" w:rsidP="007E453E">
            <w:pPr>
              <w:widowControl w:val="0"/>
              <w:spacing w:line="240" w:lineRule="auto"/>
              <w:jc w:val="left"/>
              <w:rPr>
                <w:sz w:val="24"/>
              </w:rPr>
            </w:pPr>
            <w:r w:rsidRPr="008E3606">
              <w:rPr>
                <w:sz w:val="24"/>
              </w:rPr>
              <w:t xml:space="preserve">DA (Nuevo H) </w:t>
            </w:r>
          </w:p>
        </w:tc>
        <w:tc>
          <w:tcPr>
            <w:tcW w:w="4536" w:type="dxa"/>
            <w:tcBorders>
              <w:top w:val="single" w:sz="4" w:space="0" w:color="000000"/>
              <w:left w:val="single" w:sz="4" w:space="0" w:color="000000"/>
              <w:bottom w:val="single" w:sz="4" w:space="0" w:color="000000"/>
              <w:right w:val="single" w:sz="4" w:space="0" w:color="000000"/>
            </w:tcBorders>
          </w:tcPr>
          <w:p w14:paraId="5A5105FC" w14:textId="77777777" w:rsidR="00E10BA0" w:rsidRPr="008E3606" w:rsidRDefault="00E10BA0" w:rsidP="007E453E">
            <w:pPr>
              <w:widowControl w:val="0"/>
              <w:spacing w:line="240" w:lineRule="auto"/>
              <w:ind w:right="55"/>
              <w:rPr>
                <w:sz w:val="24"/>
              </w:rPr>
            </w:pPr>
            <w:r w:rsidRPr="008E3606">
              <w:rPr>
                <w:sz w:val="24"/>
              </w:rPr>
              <w:t xml:space="preserve">Aportes y donaciones por capitalizar autorizados y por registrar en el Registro Público en instrumentos admisibles en el CAN1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5F7175"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8930A69"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42654532"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21C73C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ADE94A5" w14:textId="77777777" w:rsidTr="007E453E">
        <w:trPr>
          <w:trHeight w:val="1332"/>
        </w:trPr>
        <w:tc>
          <w:tcPr>
            <w:tcW w:w="7082" w:type="dxa"/>
            <w:gridSpan w:val="2"/>
            <w:tcBorders>
              <w:top w:val="single" w:sz="4" w:space="0" w:color="000000"/>
              <w:left w:val="single" w:sz="4" w:space="0" w:color="000000"/>
              <w:bottom w:val="single" w:sz="4" w:space="0" w:color="000000"/>
              <w:right w:val="single" w:sz="4" w:space="0" w:color="000000"/>
            </w:tcBorders>
          </w:tcPr>
          <w:p w14:paraId="1C034BEB" w14:textId="77777777" w:rsidR="00E10BA0" w:rsidRPr="008E3606" w:rsidRDefault="00E10BA0" w:rsidP="007E453E">
            <w:pPr>
              <w:widowControl w:val="0"/>
              <w:spacing w:line="240" w:lineRule="auto"/>
              <w:ind w:right="53"/>
              <w:rPr>
                <w:sz w:val="24"/>
              </w:rPr>
            </w:pPr>
            <w:r w:rsidRPr="008E3606">
              <w:rPr>
                <w:sz w:val="24"/>
              </w:rPr>
              <w:t xml:space="preserve">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842DD1"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2BA8BCB9" w14:textId="77777777" w:rsidTr="007E453E">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47F98975" w14:textId="77777777" w:rsidR="00E10BA0" w:rsidRPr="008E3606" w:rsidRDefault="00E10BA0" w:rsidP="007E453E">
            <w:pPr>
              <w:widowControl w:val="0"/>
              <w:spacing w:line="240" w:lineRule="auto"/>
              <w:jc w:val="left"/>
              <w:rPr>
                <w:sz w:val="24"/>
              </w:rPr>
            </w:pPr>
            <w:r w:rsidRPr="008E3606">
              <w:rPr>
                <w:sz w:val="24"/>
              </w:rPr>
              <w:t xml:space="preserve">DA 20146 </w:t>
            </w:r>
          </w:p>
        </w:tc>
        <w:tc>
          <w:tcPr>
            <w:tcW w:w="4536" w:type="dxa"/>
            <w:tcBorders>
              <w:top w:val="single" w:sz="4" w:space="0" w:color="000000"/>
              <w:left w:val="single" w:sz="4" w:space="0" w:color="000000"/>
              <w:bottom w:val="single" w:sz="4" w:space="0" w:color="000000"/>
              <w:right w:val="single" w:sz="4" w:space="0" w:color="000000"/>
            </w:tcBorders>
          </w:tcPr>
          <w:p w14:paraId="4B1B2FBC" w14:textId="77777777" w:rsidR="00E10BA0" w:rsidRPr="008E3606" w:rsidRDefault="00E10BA0" w:rsidP="007E453E">
            <w:pPr>
              <w:widowControl w:val="0"/>
              <w:spacing w:line="240" w:lineRule="auto"/>
              <w:ind w:right="55"/>
              <w:rPr>
                <w:sz w:val="24"/>
              </w:rPr>
            </w:pPr>
            <w:r w:rsidRPr="008E3606">
              <w:rPr>
                <w:sz w:val="24"/>
              </w:rPr>
              <w:t xml:space="preserve">Reservas voluntarias constituidas para absorber pérdidas patrimoniales durante la marcha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031E2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737B0E4"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35CD71C"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BB4EEB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9F38F1B"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7E89C156" w14:textId="77777777" w:rsidR="00E10BA0" w:rsidRPr="008E3606" w:rsidRDefault="00E10BA0" w:rsidP="007E453E">
            <w:pPr>
              <w:widowControl w:val="0"/>
              <w:spacing w:line="240" w:lineRule="auto"/>
              <w:ind w:right="55"/>
              <w:rPr>
                <w:sz w:val="24"/>
              </w:rPr>
            </w:pPr>
            <w:r w:rsidRPr="008E3606">
              <w:rPr>
                <w:sz w:val="24"/>
              </w:rPr>
              <w:t xml:space="preserve">El literal e) del artículo 9 corresponde a la deducción cuyo detalle se presenta en el Artículo 10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CB0E63"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2F0B6A62"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FC5DFEA" w14:textId="77777777" w:rsidR="00E10BA0" w:rsidRPr="008E3606" w:rsidRDefault="00E10BA0" w:rsidP="007E453E">
            <w:pPr>
              <w:widowControl w:val="0"/>
              <w:spacing w:line="240" w:lineRule="auto"/>
              <w:jc w:val="left"/>
              <w:rPr>
                <w:sz w:val="24"/>
              </w:rPr>
            </w:pPr>
            <w:r w:rsidRPr="008E3606">
              <w:rPr>
                <w:sz w:val="24"/>
              </w:rPr>
              <w:t xml:space="preserve">DA (Nuevo J) </w:t>
            </w:r>
          </w:p>
        </w:tc>
        <w:tc>
          <w:tcPr>
            <w:tcW w:w="4536" w:type="dxa"/>
            <w:tcBorders>
              <w:top w:val="single" w:sz="4" w:space="0" w:color="000000"/>
              <w:left w:val="single" w:sz="4" w:space="0" w:color="000000"/>
              <w:bottom w:val="single" w:sz="4" w:space="0" w:color="000000"/>
              <w:right w:val="single" w:sz="4" w:space="0" w:color="000000"/>
            </w:tcBorders>
          </w:tcPr>
          <w:p w14:paraId="152BFD6F" w14:textId="77777777" w:rsidR="00E10BA0" w:rsidRPr="008E3606" w:rsidRDefault="00E10BA0" w:rsidP="007E453E">
            <w:pPr>
              <w:widowControl w:val="0"/>
              <w:spacing w:line="240" w:lineRule="auto"/>
              <w:jc w:val="left"/>
              <w:rPr>
                <w:sz w:val="24"/>
              </w:rPr>
            </w:pPr>
            <w:r w:rsidRPr="008E3606">
              <w:rPr>
                <w:sz w:val="24"/>
              </w:rPr>
              <w:t xml:space="preserve">Deducciones del CAN1 </w:t>
            </w:r>
          </w:p>
        </w:tc>
        <w:tc>
          <w:tcPr>
            <w:tcW w:w="2268" w:type="dxa"/>
            <w:tcBorders>
              <w:top w:val="single" w:sz="4" w:space="0" w:color="000000"/>
              <w:left w:val="single" w:sz="4" w:space="0" w:color="000000"/>
              <w:bottom w:val="single" w:sz="4" w:space="0" w:color="000000"/>
              <w:right w:val="single" w:sz="4" w:space="0" w:color="000000"/>
            </w:tcBorders>
          </w:tcPr>
          <w:p w14:paraId="53A654AE"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5E7B6CF"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63FCFCE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7B7F18CF" w14:textId="77777777" w:rsidR="00E10BA0" w:rsidRPr="008E3606" w:rsidRDefault="00E10BA0" w:rsidP="007E453E">
            <w:pPr>
              <w:widowControl w:val="0"/>
              <w:spacing w:line="240" w:lineRule="auto"/>
              <w:jc w:val="left"/>
              <w:rPr>
                <w:sz w:val="24"/>
              </w:rPr>
            </w:pPr>
          </w:p>
        </w:tc>
      </w:tr>
      <w:tr w:rsidR="00E10BA0" w:rsidRPr="008E3606" w14:paraId="4B9C3EA9"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355CF58C" w14:textId="77777777" w:rsidR="00E10BA0" w:rsidRPr="008E3606" w:rsidRDefault="00E10BA0" w:rsidP="007E453E">
            <w:pPr>
              <w:widowControl w:val="0"/>
              <w:spacing w:line="240" w:lineRule="auto"/>
              <w:jc w:val="left"/>
              <w:rPr>
                <w:sz w:val="24"/>
              </w:rPr>
            </w:pPr>
            <w:r w:rsidRPr="008E3606">
              <w:rPr>
                <w:b/>
                <w:sz w:val="24"/>
              </w:rPr>
              <w:t xml:space="preserve">4. Deducciones del CAN1 </w:t>
            </w:r>
          </w:p>
        </w:tc>
        <w:tc>
          <w:tcPr>
            <w:tcW w:w="2268" w:type="dxa"/>
            <w:tcBorders>
              <w:top w:val="single" w:sz="4" w:space="0" w:color="000000"/>
              <w:left w:val="single" w:sz="4" w:space="0" w:color="000000"/>
              <w:bottom w:val="single" w:sz="4" w:space="0" w:color="000000"/>
              <w:right w:val="single" w:sz="4" w:space="0" w:color="000000"/>
            </w:tcBorders>
          </w:tcPr>
          <w:p w14:paraId="4A44C73D" w14:textId="77777777" w:rsidR="00E10BA0" w:rsidRPr="008E3606" w:rsidRDefault="00E10BA0" w:rsidP="007E453E">
            <w:pPr>
              <w:widowControl w:val="0"/>
              <w:spacing w:line="240" w:lineRule="auto"/>
              <w:ind w:right="58"/>
              <w:jc w:val="center"/>
              <w:rPr>
                <w:sz w:val="24"/>
              </w:rPr>
            </w:pPr>
            <w:r w:rsidRPr="008E3606">
              <w:rPr>
                <w:b/>
                <w:sz w:val="24"/>
              </w:rPr>
              <w:t xml:space="preserve">ARTÍCULO 10 </w:t>
            </w:r>
          </w:p>
        </w:tc>
      </w:tr>
      <w:tr w:rsidR="00E10BA0" w:rsidRPr="008E3606" w14:paraId="4996CEC7"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441CA885"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1A79C8F7"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4D1F6C9E"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51D5F304"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98778EB" w14:textId="77777777" w:rsidR="00E10BA0" w:rsidRPr="008E3606" w:rsidRDefault="00E10BA0" w:rsidP="007E453E">
            <w:pPr>
              <w:widowControl w:val="0"/>
              <w:spacing w:line="240" w:lineRule="auto"/>
              <w:jc w:val="left"/>
              <w:rPr>
                <w:sz w:val="24"/>
              </w:rPr>
            </w:pPr>
            <w:r w:rsidRPr="008E3606">
              <w:rPr>
                <w:sz w:val="24"/>
              </w:rPr>
              <w:lastRenderedPageBreak/>
              <w:t xml:space="preserve"> </w:t>
            </w:r>
          </w:p>
        </w:tc>
        <w:tc>
          <w:tcPr>
            <w:tcW w:w="2268" w:type="dxa"/>
            <w:tcBorders>
              <w:top w:val="single" w:sz="4" w:space="0" w:color="000000"/>
              <w:left w:val="nil"/>
              <w:bottom w:val="single" w:sz="4" w:space="0" w:color="000000"/>
              <w:right w:val="single" w:sz="4" w:space="0" w:color="000000"/>
            </w:tcBorders>
          </w:tcPr>
          <w:p w14:paraId="1D3693E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F5A40FD"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17D8CD54" w14:textId="77777777" w:rsidR="00E10BA0" w:rsidRPr="008E3606" w:rsidRDefault="00E10BA0" w:rsidP="007E453E">
            <w:pPr>
              <w:widowControl w:val="0"/>
              <w:spacing w:line="240" w:lineRule="auto"/>
              <w:rPr>
                <w:sz w:val="24"/>
              </w:rPr>
            </w:pPr>
            <w:r w:rsidRPr="008E3606">
              <w:rPr>
                <w:sz w:val="24"/>
              </w:rPr>
              <w:t xml:space="preserve">El valor en libros de los instrumentos del CAN1 adquiridos por la propia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7349C011"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347D6AC4"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747C0AA4" w14:textId="77777777" w:rsidR="00E10BA0" w:rsidRPr="008E3606" w:rsidRDefault="00E10BA0" w:rsidP="007E453E">
            <w:pPr>
              <w:widowControl w:val="0"/>
              <w:spacing w:line="240" w:lineRule="auto"/>
              <w:jc w:val="left"/>
              <w:rPr>
                <w:sz w:val="24"/>
              </w:rPr>
            </w:pPr>
            <w:r w:rsidRPr="008E3606">
              <w:rPr>
                <w:sz w:val="24"/>
              </w:rPr>
              <w:t xml:space="preserve">DA (Nuevo K) </w:t>
            </w:r>
          </w:p>
        </w:tc>
        <w:tc>
          <w:tcPr>
            <w:tcW w:w="4536" w:type="dxa"/>
            <w:tcBorders>
              <w:top w:val="single" w:sz="4" w:space="0" w:color="000000"/>
              <w:left w:val="single" w:sz="4" w:space="0" w:color="000000"/>
              <w:bottom w:val="single" w:sz="4" w:space="0" w:color="000000"/>
              <w:right w:val="single" w:sz="4" w:space="0" w:color="000000"/>
            </w:tcBorders>
          </w:tcPr>
          <w:p w14:paraId="55B12299" w14:textId="77777777" w:rsidR="00E10BA0" w:rsidRPr="008E3606" w:rsidRDefault="00E10BA0" w:rsidP="007E453E">
            <w:pPr>
              <w:widowControl w:val="0"/>
              <w:spacing w:line="240" w:lineRule="auto"/>
              <w:rPr>
                <w:sz w:val="24"/>
              </w:rPr>
            </w:pPr>
            <w:r w:rsidRPr="008E3606">
              <w:rPr>
                <w:sz w:val="24"/>
              </w:rPr>
              <w:t xml:space="preserve">Valor en libros de los instrumentos del CAN1 adquiridos por la propia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07892C84"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C378E7B"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A75BE7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219A0B9"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09037E3"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0A61E425" w14:textId="77777777" w:rsidR="00E10BA0" w:rsidRPr="008E3606" w:rsidRDefault="00E10BA0" w:rsidP="007E453E">
            <w:pPr>
              <w:widowControl w:val="0"/>
              <w:spacing w:line="240" w:lineRule="auto"/>
              <w:ind w:right="55"/>
              <w:rPr>
                <w:sz w:val="24"/>
              </w:rPr>
            </w:pPr>
            <w:r w:rsidRPr="008E3606">
              <w:rPr>
                <w:sz w:val="24"/>
              </w:rPr>
              <w:t xml:space="preserve">El valor en libros de los instrumentos del CAN1 emitidos por la propia entidad que se encuentran dados en garantía de operaciones crediticias otorgadas por ella. </w:t>
            </w:r>
          </w:p>
        </w:tc>
        <w:tc>
          <w:tcPr>
            <w:tcW w:w="2268" w:type="dxa"/>
            <w:tcBorders>
              <w:top w:val="single" w:sz="4" w:space="0" w:color="000000"/>
              <w:left w:val="single" w:sz="4" w:space="0" w:color="000000"/>
              <w:bottom w:val="single" w:sz="4" w:space="0" w:color="000000"/>
              <w:right w:val="single" w:sz="4" w:space="0" w:color="000000"/>
            </w:tcBorders>
            <w:vAlign w:val="center"/>
          </w:tcPr>
          <w:p w14:paraId="687A22A6"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26E0EEEB" w14:textId="77777777" w:rsidTr="007E453E">
        <w:trPr>
          <w:trHeight w:val="1068"/>
        </w:trPr>
        <w:tc>
          <w:tcPr>
            <w:tcW w:w="2546" w:type="dxa"/>
            <w:tcBorders>
              <w:top w:val="single" w:sz="4" w:space="0" w:color="000000"/>
              <w:left w:val="single" w:sz="4" w:space="0" w:color="000000"/>
              <w:bottom w:val="single" w:sz="4" w:space="0" w:color="000000"/>
              <w:right w:val="single" w:sz="4" w:space="0" w:color="000000"/>
            </w:tcBorders>
            <w:vAlign w:val="center"/>
          </w:tcPr>
          <w:p w14:paraId="27BCC36D" w14:textId="77777777" w:rsidR="00E10BA0" w:rsidRPr="008E3606" w:rsidRDefault="00E10BA0" w:rsidP="007E453E">
            <w:pPr>
              <w:widowControl w:val="0"/>
              <w:spacing w:line="240" w:lineRule="auto"/>
              <w:jc w:val="left"/>
              <w:rPr>
                <w:sz w:val="24"/>
              </w:rPr>
            </w:pPr>
            <w:r w:rsidRPr="008E3606">
              <w:rPr>
                <w:sz w:val="24"/>
              </w:rPr>
              <w:t xml:space="preserve">DA (Nuevo L) </w:t>
            </w:r>
          </w:p>
        </w:tc>
        <w:tc>
          <w:tcPr>
            <w:tcW w:w="4536" w:type="dxa"/>
            <w:tcBorders>
              <w:top w:val="single" w:sz="4" w:space="0" w:color="000000"/>
              <w:left w:val="single" w:sz="4" w:space="0" w:color="000000"/>
              <w:bottom w:val="single" w:sz="4" w:space="0" w:color="000000"/>
              <w:right w:val="single" w:sz="4" w:space="0" w:color="000000"/>
            </w:tcBorders>
          </w:tcPr>
          <w:p w14:paraId="0FA1FCC6" w14:textId="77777777" w:rsidR="00E10BA0" w:rsidRPr="008E3606" w:rsidRDefault="00E10BA0" w:rsidP="007E453E">
            <w:pPr>
              <w:widowControl w:val="0"/>
              <w:spacing w:line="240" w:lineRule="auto"/>
              <w:ind w:right="55"/>
              <w:rPr>
                <w:sz w:val="24"/>
              </w:rPr>
            </w:pPr>
            <w:r w:rsidRPr="008E3606">
              <w:rPr>
                <w:sz w:val="24"/>
              </w:rPr>
              <w:t xml:space="preserve">Valor en libros de los instrumentos del CAN1 emitidos por la propia entidad que se encuentran dados en garantía de operaciones crediticias otorgadas por ella </w:t>
            </w:r>
          </w:p>
        </w:tc>
        <w:tc>
          <w:tcPr>
            <w:tcW w:w="2268" w:type="dxa"/>
            <w:tcBorders>
              <w:top w:val="single" w:sz="4" w:space="0" w:color="000000"/>
              <w:left w:val="single" w:sz="4" w:space="0" w:color="000000"/>
              <w:bottom w:val="single" w:sz="4" w:space="0" w:color="000000"/>
              <w:right w:val="single" w:sz="4" w:space="0" w:color="000000"/>
            </w:tcBorders>
            <w:vAlign w:val="center"/>
          </w:tcPr>
          <w:p w14:paraId="546AF90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7AE73C3"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E3A71A2"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326198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E7F84F0" w14:textId="77777777" w:rsidTr="007E453E">
        <w:trPr>
          <w:trHeight w:val="2126"/>
        </w:trPr>
        <w:tc>
          <w:tcPr>
            <w:tcW w:w="7082" w:type="dxa"/>
            <w:gridSpan w:val="2"/>
            <w:tcBorders>
              <w:top w:val="single" w:sz="4" w:space="0" w:color="000000"/>
              <w:left w:val="single" w:sz="4" w:space="0" w:color="000000"/>
              <w:bottom w:val="single" w:sz="4" w:space="0" w:color="000000"/>
              <w:right w:val="single" w:sz="4" w:space="0" w:color="000000"/>
            </w:tcBorders>
          </w:tcPr>
          <w:p w14:paraId="6A9BD541" w14:textId="77777777" w:rsidR="00E10BA0" w:rsidRPr="008E3606" w:rsidRDefault="00E10BA0" w:rsidP="007E453E">
            <w:pPr>
              <w:widowControl w:val="0"/>
              <w:spacing w:line="240" w:lineRule="auto"/>
              <w:ind w:right="55"/>
              <w:rPr>
                <w:sz w:val="24"/>
              </w:rPr>
            </w:pPr>
            <w:r w:rsidRPr="008E3606">
              <w:rPr>
                <w:sz w:val="24"/>
              </w:rPr>
              <w:t xml:space="preserve">El valor en libros de las participaciones en el capital social o en inversiones en instrumentos de deuda convertible de otras entidades o empresas homólogos al CAN1, que calificarían como tales bajo los criterios establecidos en el Anexo 4 del Acuerdo Sugef 3-06. Esta deducción se efectuará con independencia del porcentaje de participación de la entidad supervisada en el capital social de la entidad o empresa de que se trate, e independientemente de la naturaleza legal de la entidad o empresa de que se trate.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7512183"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0C684B4C"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D1BF02F" w14:textId="77777777" w:rsidR="00E10BA0" w:rsidRPr="008E3606" w:rsidRDefault="00E10BA0" w:rsidP="007E453E">
            <w:pPr>
              <w:widowControl w:val="0"/>
              <w:spacing w:line="240" w:lineRule="auto"/>
              <w:jc w:val="left"/>
              <w:rPr>
                <w:sz w:val="24"/>
              </w:rPr>
            </w:pPr>
            <w:r w:rsidRPr="008E3606">
              <w:rPr>
                <w:sz w:val="24"/>
              </w:rPr>
              <w:t xml:space="preserve">DA (Nuevo AC) </w:t>
            </w:r>
          </w:p>
        </w:tc>
        <w:tc>
          <w:tcPr>
            <w:tcW w:w="4536" w:type="dxa"/>
            <w:tcBorders>
              <w:top w:val="single" w:sz="4" w:space="0" w:color="000000"/>
              <w:left w:val="single" w:sz="4" w:space="0" w:color="000000"/>
              <w:bottom w:val="single" w:sz="4" w:space="0" w:color="000000"/>
              <w:right w:val="single" w:sz="4" w:space="0" w:color="000000"/>
            </w:tcBorders>
          </w:tcPr>
          <w:p w14:paraId="33DA24CD" w14:textId="77777777" w:rsidR="00E10BA0" w:rsidRPr="008E3606" w:rsidRDefault="00E10BA0" w:rsidP="007E453E">
            <w:pPr>
              <w:widowControl w:val="0"/>
              <w:spacing w:line="240" w:lineRule="auto"/>
              <w:rPr>
                <w:sz w:val="24"/>
              </w:rPr>
            </w:pPr>
            <w:r w:rsidRPr="008E3606">
              <w:rPr>
                <w:sz w:val="24"/>
              </w:rPr>
              <w:t xml:space="preserve">Valor en libros de las participaciones en instrumentos de capital homólogos al CAN1 </w:t>
            </w:r>
          </w:p>
        </w:tc>
        <w:tc>
          <w:tcPr>
            <w:tcW w:w="2268" w:type="dxa"/>
            <w:tcBorders>
              <w:top w:val="single" w:sz="4" w:space="0" w:color="000000"/>
              <w:left w:val="single" w:sz="4" w:space="0" w:color="000000"/>
              <w:bottom w:val="single" w:sz="4" w:space="0" w:color="000000"/>
              <w:right w:val="single" w:sz="4" w:space="0" w:color="000000"/>
            </w:tcBorders>
            <w:vAlign w:val="center"/>
          </w:tcPr>
          <w:p w14:paraId="52C28B5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1F9692D"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181D490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688322B"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F2F55BA"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784496BF" w14:textId="77777777" w:rsidR="00E10BA0" w:rsidRPr="008E3606" w:rsidRDefault="00E10BA0" w:rsidP="007E453E">
            <w:pPr>
              <w:widowControl w:val="0"/>
              <w:spacing w:line="240" w:lineRule="auto"/>
              <w:rPr>
                <w:sz w:val="24"/>
              </w:rPr>
            </w:pPr>
            <w:r w:rsidRPr="008E3606">
              <w:rPr>
                <w:sz w:val="24"/>
              </w:rPr>
              <w:t xml:space="preserve">El importe de las deducciones a que se refiere el Artículo 12 del Acuerdo Sugef 3-06, que exceda el importe de los elementos del CN2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580E73"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33889A45"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75F89576" w14:textId="77777777" w:rsidR="00E10BA0" w:rsidRPr="008E3606" w:rsidRDefault="00E10BA0" w:rsidP="007E453E">
            <w:pPr>
              <w:widowControl w:val="0"/>
              <w:spacing w:line="240" w:lineRule="auto"/>
              <w:jc w:val="left"/>
              <w:rPr>
                <w:sz w:val="24"/>
              </w:rPr>
            </w:pPr>
            <w:r w:rsidRPr="008E3606">
              <w:rPr>
                <w:sz w:val="24"/>
              </w:rPr>
              <w:t xml:space="preserve">DA (Nuevo N) </w:t>
            </w:r>
          </w:p>
        </w:tc>
        <w:tc>
          <w:tcPr>
            <w:tcW w:w="4536" w:type="dxa"/>
            <w:tcBorders>
              <w:top w:val="single" w:sz="4" w:space="0" w:color="000000"/>
              <w:left w:val="single" w:sz="4" w:space="0" w:color="000000"/>
              <w:bottom w:val="single" w:sz="4" w:space="0" w:color="000000"/>
              <w:right w:val="single" w:sz="4" w:space="0" w:color="000000"/>
            </w:tcBorders>
          </w:tcPr>
          <w:p w14:paraId="5C8AC85A" w14:textId="77777777" w:rsidR="00E10BA0" w:rsidRPr="008E3606" w:rsidRDefault="00E10BA0" w:rsidP="007E453E">
            <w:pPr>
              <w:widowControl w:val="0"/>
              <w:spacing w:line="240" w:lineRule="auto"/>
              <w:rPr>
                <w:sz w:val="24"/>
              </w:rPr>
            </w:pPr>
            <w:r w:rsidRPr="008E3606">
              <w:rPr>
                <w:sz w:val="24"/>
              </w:rPr>
              <w:t xml:space="preserve">El monto de las deducciones que exceda el importe de los elementos del CN2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35018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7C2E24E"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A931712"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7E8C464"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7C85A91"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6A70AA18" w14:textId="77777777" w:rsidR="00E10BA0" w:rsidRPr="008E3606" w:rsidRDefault="00E10BA0" w:rsidP="007E453E">
            <w:pPr>
              <w:widowControl w:val="0"/>
              <w:spacing w:line="240" w:lineRule="auto"/>
              <w:jc w:val="left"/>
              <w:rPr>
                <w:sz w:val="24"/>
              </w:rPr>
            </w:pPr>
            <w:r w:rsidRPr="008E3606">
              <w:rPr>
                <w:b/>
                <w:sz w:val="24"/>
              </w:rPr>
              <w:t xml:space="preserve">III. CAPITAL NIVEL 2 (CN2) = (5 - 6) </w:t>
            </w:r>
          </w:p>
        </w:tc>
        <w:tc>
          <w:tcPr>
            <w:tcW w:w="2268" w:type="dxa"/>
            <w:tcBorders>
              <w:top w:val="single" w:sz="4" w:space="0" w:color="000000"/>
              <w:left w:val="single" w:sz="4" w:space="0" w:color="000000"/>
              <w:bottom w:val="single" w:sz="4" w:space="0" w:color="000000"/>
              <w:right w:val="single" w:sz="4" w:space="0" w:color="000000"/>
            </w:tcBorders>
          </w:tcPr>
          <w:p w14:paraId="7F3A39CD" w14:textId="77777777" w:rsidR="00E10BA0" w:rsidRPr="008E3606" w:rsidRDefault="00E10BA0" w:rsidP="007E453E">
            <w:pPr>
              <w:widowControl w:val="0"/>
              <w:spacing w:line="240" w:lineRule="auto"/>
              <w:jc w:val="left"/>
              <w:rPr>
                <w:sz w:val="24"/>
              </w:rPr>
            </w:pPr>
            <w:r w:rsidRPr="008E3606">
              <w:rPr>
                <w:b/>
                <w:sz w:val="24"/>
              </w:rPr>
              <w:t xml:space="preserve"> </w:t>
            </w:r>
          </w:p>
        </w:tc>
      </w:tr>
      <w:tr w:rsidR="00E10BA0" w:rsidRPr="008E3606" w14:paraId="7B5C8424"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5C47587F" w14:textId="77777777" w:rsidR="00E10BA0" w:rsidRPr="008E3606" w:rsidRDefault="00E10BA0" w:rsidP="007E453E">
            <w:pPr>
              <w:widowControl w:val="0"/>
              <w:spacing w:line="240" w:lineRule="auto"/>
              <w:jc w:val="left"/>
              <w:rPr>
                <w:sz w:val="24"/>
              </w:rPr>
            </w:pPr>
            <w:r w:rsidRPr="008E3606">
              <w:rPr>
                <w:b/>
                <w:sz w:val="24"/>
              </w:rPr>
              <w:t xml:space="preserve">5. Elementos del CN2 </w:t>
            </w:r>
          </w:p>
        </w:tc>
        <w:tc>
          <w:tcPr>
            <w:tcW w:w="2268" w:type="dxa"/>
            <w:tcBorders>
              <w:top w:val="single" w:sz="4" w:space="0" w:color="000000"/>
              <w:left w:val="single" w:sz="4" w:space="0" w:color="000000"/>
              <w:bottom w:val="single" w:sz="4" w:space="0" w:color="000000"/>
              <w:right w:val="single" w:sz="4" w:space="0" w:color="000000"/>
            </w:tcBorders>
          </w:tcPr>
          <w:p w14:paraId="381AE8AA" w14:textId="77777777" w:rsidR="00E10BA0" w:rsidRPr="008E3606" w:rsidRDefault="00E10BA0" w:rsidP="007E453E">
            <w:pPr>
              <w:widowControl w:val="0"/>
              <w:spacing w:line="240" w:lineRule="auto"/>
              <w:ind w:right="58"/>
              <w:jc w:val="center"/>
              <w:rPr>
                <w:sz w:val="24"/>
              </w:rPr>
            </w:pPr>
            <w:r w:rsidRPr="008E3606">
              <w:rPr>
                <w:b/>
                <w:sz w:val="24"/>
              </w:rPr>
              <w:t xml:space="preserve">ARTÍCULO 11 </w:t>
            </w:r>
          </w:p>
        </w:tc>
      </w:tr>
      <w:tr w:rsidR="00E10BA0" w:rsidRPr="008E3606" w14:paraId="04C8FD02"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274656BC"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507A354D"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7B5B9DFD"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A8F67D2"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2D9EE036" w14:textId="77777777" w:rsidR="00E10BA0" w:rsidRPr="008E3606" w:rsidRDefault="00E10BA0" w:rsidP="007E453E">
            <w:pPr>
              <w:widowControl w:val="0"/>
              <w:spacing w:line="240" w:lineRule="auto"/>
              <w:ind w:left="2268"/>
              <w:jc w:val="center"/>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430C5115" w14:textId="77777777" w:rsidR="00E10BA0" w:rsidRPr="008E3606" w:rsidRDefault="00E10BA0" w:rsidP="007E453E">
            <w:pPr>
              <w:widowControl w:val="0"/>
              <w:spacing w:line="240" w:lineRule="auto"/>
              <w:jc w:val="left"/>
              <w:rPr>
                <w:sz w:val="24"/>
              </w:rPr>
            </w:pPr>
          </w:p>
        </w:tc>
      </w:tr>
      <w:tr w:rsidR="00E10BA0" w:rsidRPr="008E3606" w14:paraId="1224AD73" w14:textId="77777777" w:rsidTr="007E453E">
        <w:trPr>
          <w:trHeight w:val="802"/>
        </w:trPr>
        <w:tc>
          <w:tcPr>
            <w:tcW w:w="7082" w:type="dxa"/>
            <w:gridSpan w:val="2"/>
            <w:tcBorders>
              <w:top w:val="single" w:sz="4" w:space="0" w:color="000000"/>
              <w:left w:val="single" w:sz="4" w:space="0" w:color="000000"/>
              <w:bottom w:val="single" w:sz="4" w:space="0" w:color="000000"/>
              <w:right w:val="single" w:sz="4" w:space="0" w:color="000000"/>
            </w:tcBorders>
          </w:tcPr>
          <w:p w14:paraId="7A8ED148" w14:textId="77777777" w:rsidR="00E10BA0" w:rsidRPr="008E3606" w:rsidRDefault="00E10BA0" w:rsidP="007E453E">
            <w:pPr>
              <w:widowControl w:val="0"/>
              <w:spacing w:line="240" w:lineRule="auto"/>
              <w:ind w:right="55"/>
              <w:rPr>
                <w:sz w:val="24"/>
              </w:rPr>
            </w:pPr>
            <w:r w:rsidRPr="008E3606">
              <w:rPr>
                <w:sz w:val="24"/>
              </w:rPr>
              <w:t xml:space="preserve">Los instrumentos emitidos por la entidad que cumplan con todos y cada uno de los criterios de admisibilidad para formar parte del CN2, dispuestos en el Anexo 5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FFA9DF"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07021164"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241EDBA9" w14:textId="77777777" w:rsidR="00E10BA0" w:rsidRPr="008E3606" w:rsidRDefault="00E10BA0" w:rsidP="007E453E">
            <w:pPr>
              <w:widowControl w:val="0"/>
              <w:spacing w:line="240" w:lineRule="auto"/>
              <w:jc w:val="left"/>
              <w:rPr>
                <w:sz w:val="24"/>
              </w:rPr>
            </w:pPr>
            <w:r w:rsidRPr="008E3606">
              <w:rPr>
                <w:sz w:val="24"/>
              </w:rPr>
              <w:t xml:space="preserve">DA (Nuevo O) </w:t>
            </w:r>
          </w:p>
        </w:tc>
        <w:tc>
          <w:tcPr>
            <w:tcW w:w="4536" w:type="dxa"/>
            <w:tcBorders>
              <w:top w:val="single" w:sz="4" w:space="0" w:color="000000"/>
              <w:left w:val="single" w:sz="4" w:space="0" w:color="000000"/>
              <w:bottom w:val="single" w:sz="4" w:space="0" w:color="000000"/>
              <w:right w:val="single" w:sz="4" w:space="0" w:color="000000"/>
            </w:tcBorders>
          </w:tcPr>
          <w:p w14:paraId="4EDDB5CA" w14:textId="77777777" w:rsidR="00E10BA0" w:rsidRPr="008E3606" w:rsidRDefault="00E10BA0" w:rsidP="007E453E">
            <w:pPr>
              <w:widowControl w:val="0"/>
              <w:spacing w:line="240" w:lineRule="auto"/>
              <w:rPr>
                <w:sz w:val="24"/>
              </w:rPr>
            </w:pPr>
            <w:r w:rsidRPr="008E3606">
              <w:rPr>
                <w:sz w:val="24"/>
              </w:rPr>
              <w:t xml:space="preserve">Capital preferente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93E69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AA17CB1"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561D755" w14:textId="77777777" w:rsidR="00E10BA0" w:rsidRPr="008E3606" w:rsidRDefault="00E10BA0" w:rsidP="007E453E">
            <w:pPr>
              <w:widowControl w:val="0"/>
              <w:spacing w:line="240" w:lineRule="auto"/>
              <w:jc w:val="left"/>
              <w:rPr>
                <w:sz w:val="24"/>
              </w:rPr>
            </w:pPr>
            <w:r w:rsidRPr="008E3606">
              <w:rPr>
                <w:sz w:val="24"/>
              </w:rPr>
              <w:t xml:space="preserve">DA (Nuevo P) </w:t>
            </w:r>
          </w:p>
        </w:tc>
        <w:tc>
          <w:tcPr>
            <w:tcW w:w="4536" w:type="dxa"/>
            <w:tcBorders>
              <w:top w:val="single" w:sz="4" w:space="0" w:color="000000"/>
              <w:left w:val="single" w:sz="4" w:space="0" w:color="000000"/>
              <w:bottom w:val="single" w:sz="4" w:space="0" w:color="000000"/>
              <w:right w:val="single" w:sz="4" w:space="0" w:color="000000"/>
            </w:tcBorders>
          </w:tcPr>
          <w:p w14:paraId="458EC5F3" w14:textId="77777777" w:rsidR="00E10BA0" w:rsidRPr="008E3606" w:rsidRDefault="00E10BA0" w:rsidP="007E453E">
            <w:pPr>
              <w:widowControl w:val="0"/>
              <w:spacing w:line="240" w:lineRule="auto"/>
              <w:rPr>
                <w:sz w:val="24"/>
              </w:rPr>
            </w:pPr>
            <w:r w:rsidRPr="008E3606">
              <w:rPr>
                <w:sz w:val="24"/>
              </w:rPr>
              <w:t xml:space="preserve">Instrumento subordinado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114CCEA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408CFD2"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303974D5" w14:textId="77777777" w:rsidR="00E10BA0" w:rsidRPr="008E3606" w:rsidRDefault="00E10BA0" w:rsidP="007E453E">
            <w:pPr>
              <w:widowControl w:val="0"/>
              <w:spacing w:line="240" w:lineRule="auto"/>
              <w:jc w:val="left"/>
              <w:rPr>
                <w:sz w:val="24"/>
              </w:rPr>
            </w:pPr>
            <w:r w:rsidRPr="008E3606">
              <w:rPr>
                <w:sz w:val="24"/>
              </w:rPr>
              <w:t xml:space="preserve">DA (Nuevo Q) </w:t>
            </w:r>
          </w:p>
        </w:tc>
        <w:tc>
          <w:tcPr>
            <w:tcW w:w="4536" w:type="dxa"/>
            <w:tcBorders>
              <w:top w:val="single" w:sz="4" w:space="0" w:color="000000"/>
              <w:left w:val="single" w:sz="4" w:space="0" w:color="000000"/>
              <w:bottom w:val="single" w:sz="4" w:space="0" w:color="000000"/>
              <w:right w:val="single" w:sz="4" w:space="0" w:color="000000"/>
            </w:tcBorders>
          </w:tcPr>
          <w:p w14:paraId="2743E3C0" w14:textId="77777777" w:rsidR="00E10BA0" w:rsidRPr="008E3606" w:rsidRDefault="00E10BA0" w:rsidP="007E453E">
            <w:pPr>
              <w:widowControl w:val="0"/>
              <w:spacing w:line="240" w:lineRule="auto"/>
              <w:rPr>
                <w:sz w:val="24"/>
              </w:rPr>
            </w:pPr>
            <w:r w:rsidRPr="008E3606">
              <w:rPr>
                <w:sz w:val="24"/>
              </w:rPr>
              <w:t xml:space="preserve">Convertible en capital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72850474"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D69C98D"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119AAE5"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0BDD38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D2300C5"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4E65ED54" w14:textId="77777777" w:rsidR="00E10BA0" w:rsidRPr="008E3606" w:rsidRDefault="00E10BA0" w:rsidP="007E453E">
            <w:pPr>
              <w:widowControl w:val="0"/>
              <w:spacing w:line="240" w:lineRule="auto"/>
              <w:ind w:right="55"/>
              <w:rPr>
                <w:sz w:val="24"/>
              </w:rPr>
            </w:pPr>
            <w:r w:rsidRPr="008E3606">
              <w:rPr>
                <w:sz w:val="24"/>
              </w:rPr>
              <w:t xml:space="preserve">Las primas resultantes de la emisión de instrumentos incluidos en el CN2, netas de los correspondientes descuentos y de los costos de emisión y colocación.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374E97D1"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49E26332"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22E16939" w14:textId="77777777" w:rsidR="00E10BA0" w:rsidRPr="008E3606" w:rsidRDefault="00E10BA0" w:rsidP="007E453E">
            <w:pPr>
              <w:widowControl w:val="0"/>
              <w:spacing w:line="240" w:lineRule="auto"/>
              <w:jc w:val="left"/>
              <w:rPr>
                <w:sz w:val="24"/>
              </w:rPr>
            </w:pPr>
            <w:r w:rsidRPr="008E3606">
              <w:rPr>
                <w:sz w:val="24"/>
              </w:rPr>
              <w:t xml:space="preserve">DA (Nuevo R) </w:t>
            </w:r>
          </w:p>
        </w:tc>
        <w:tc>
          <w:tcPr>
            <w:tcW w:w="4536" w:type="dxa"/>
            <w:tcBorders>
              <w:top w:val="single" w:sz="4" w:space="0" w:color="000000"/>
              <w:left w:val="single" w:sz="4" w:space="0" w:color="000000"/>
              <w:bottom w:val="single" w:sz="4" w:space="0" w:color="000000"/>
              <w:right w:val="single" w:sz="4" w:space="0" w:color="000000"/>
            </w:tcBorders>
          </w:tcPr>
          <w:p w14:paraId="3C8E7983" w14:textId="77777777" w:rsidR="00E10BA0" w:rsidRPr="008E3606" w:rsidRDefault="00E10BA0" w:rsidP="007E453E">
            <w:pPr>
              <w:widowControl w:val="0"/>
              <w:spacing w:line="240" w:lineRule="auto"/>
              <w:jc w:val="left"/>
              <w:rPr>
                <w:sz w:val="24"/>
              </w:rPr>
            </w:pPr>
            <w:r w:rsidRPr="008E3606">
              <w:rPr>
                <w:sz w:val="24"/>
              </w:rPr>
              <w:t xml:space="preserve">Primas capital preferente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D86D35"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07E395DE"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0D043FF2" w14:textId="77777777" w:rsidR="00E10BA0" w:rsidRPr="008E3606" w:rsidRDefault="00E10BA0" w:rsidP="007E453E">
            <w:pPr>
              <w:widowControl w:val="0"/>
              <w:spacing w:line="240" w:lineRule="auto"/>
              <w:jc w:val="left"/>
              <w:rPr>
                <w:sz w:val="24"/>
              </w:rPr>
            </w:pPr>
            <w:r w:rsidRPr="008E3606">
              <w:rPr>
                <w:sz w:val="24"/>
              </w:rPr>
              <w:t xml:space="preserve">DA (Nuevo S) </w:t>
            </w:r>
          </w:p>
        </w:tc>
        <w:tc>
          <w:tcPr>
            <w:tcW w:w="4536" w:type="dxa"/>
            <w:tcBorders>
              <w:top w:val="single" w:sz="4" w:space="0" w:color="000000"/>
              <w:left w:val="single" w:sz="4" w:space="0" w:color="000000"/>
              <w:bottom w:val="single" w:sz="4" w:space="0" w:color="000000"/>
              <w:right w:val="single" w:sz="4" w:space="0" w:color="000000"/>
            </w:tcBorders>
          </w:tcPr>
          <w:p w14:paraId="7715E507" w14:textId="77777777" w:rsidR="00E10BA0" w:rsidRPr="008E3606" w:rsidRDefault="00E10BA0" w:rsidP="007E453E">
            <w:pPr>
              <w:widowControl w:val="0"/>
              <w:spacing w:line="240" w:lineRule="auto"/>
              <w:rPr>
                <w:sz w:val="24"/>
              </w:rPr>
            </w:pPr>
            <w:r w:rsidRPr="008E3606">
              <w:rPr>
                <w:sz w:val="24"/>
              </w:rPr>
              <w:t xml:space="preserve">Primas instrumento subordinado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002DA3"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9DD31F1" w14:textId="77777777" w:rsidTr="007E453E">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40F91C59" w14:textId="77777777" w:rsidR="00E10BA0" w:rsidRPr="008E3606" w:rsidRDefault="00E10BA0" w:rsidP="007E453E">
            <w:pPr>
              <w:widowControl w:val="0"/>
              <w:spacing w:line="240" w:lineRule="auto"/>
              <w:jc w:val="left"/>
              <w:rPr>
                <w:sz w:val="24"/>
              </w:rPr>
            </w:pPr>
            <w:r w:rsidRPr="008E3606">
              <w:rPr>
                <w:sz w:val="24"/>
              </w:rPr>
              <w:t xml:space="preserve">DA (Nuevo T) </w:t>
            </w:r>
          </w:p>
        </w:tc>
        <w:tc>
          <w:tcPr>
            <w:tcW w:w="4536" w:type="dxa"/>
            <w:tcBorders>
              <w:top w:val="single" w:sz="4" w:space="0" w:color="000000"/>
              <w:left w:val="single" w:sz="4" w:space="0" w:color="000000"/>
              <w:bottom w:val="single" w:sz="4" w:space="0" w:color="000000"/>
              <w:right w:val="single" w:sz="4" w:space="0" w:color="000000"/>
            </w:tcBorders>
          </w:tcPr>
          <w:p w14:paraId="2FC14CBD" w14:textId="77777777" w:rsidR="00E10BA0" w:rsidRPr="008E3606" w:rsidRDefault="00E10BA0" w:rsidP="007E453E">
            <w:pPr>
              <w:widowControl w:val="0"/>
              <w:spacing w:line="240" w:lineRule="auto"/>
              <w:jc w:val="left"/>
              <w:rPr>
                <w:sz w:val="24"/>
              </w:rPr>
            </w:pPr>
            <w:r w:rsidRPr="008E3606">
              <w:rPr>
                <w:sz w:val="24"/>
              </w:rPr>
              <w:t xml:space="preserve">Primas instrumentos convertibles en capital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9B04D"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2B282C1"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5D1DEB1"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F58F4C1"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E37A07B" w14:textId="77777777" w:rsidTr="007E453E">
        <w:trPr>
          <w:trHeight w:val="1862"/>
        </w:trPr>
        <w:tc>
          <w:tcPr>
            <w:tcW w:w="7082" w:type="dxa"/>
            <w:gridSpan w:val="2"/>
            <w:tcBorders>
              <w:top w:val="single" w:sz="4" w:space="0" w:color="000000"/>
              <w:left w:val="single" w:sz="4" w:space="0" w:color="000000"/>
              <w:bottom w:val="single" w:sz="4" w:space="0" w:color="000000"/>
              <w:right w:val="single" w:sz="4" w:space="0" w:color="000000"/>
            </w:tcBorders>
          </w:tcPr>
          <w:p w14:paraId="354EFC82" w14:textId="77777777" w:rsidR="00E10BA0" w:rsidRPr="008E3606" w:rsidRDefault="00E10BA0" w:rsidP="007E453E">
            <w:pPr>
              <w:widowControl w:val="0"/>
              <w:spacing w:line="240" w:lineRule="auto"/>
              <w:ind w:right="54"/>
              <w:rPr>
                <w:sz w:val="24"/>
              </w:rPr>
            </w:pPr>
            <w:r w:rsidRPr="008E3606">
              <w:rPr>
                <w:sz w:val="24"/>
              </w:rPr>
              <w:t xml:space="preserve">Los aportes y donaciones para incrementos de capital social, pendientes de autorización por CONASSIF. Los aportes y donaciones podrán corresponder a instrumentos admisibles en el CCN1 o CAN1 según lo dispuesto en el Acuerdo Sugef 3-06. Para su admisión en el CN2, los aportes y donaciones deben encontrarse dentro del plazo máximo de 12 meses contados a partir de la fecha de presentación de la solicitud de autorización.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39CB43"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322F065E" w14:textId="77777777" w:rsidTr="007E453E">
        <w:trPr>
          <w:trHeight w:val="2390"/>
        </w:trPr>
        <w:tc>
          <w:tcPr>
            <w:tcW w:w="2546" w:type="dxa"/>
            <w:tcBorders>
              <w:top w:val="single" w:sz="4" w:space="0" w:color="000000"/>
              <w:left w:val="single" w:sz="4" w:space="0" w:color="000000"/>
              <w:bottom w:val="single" w:sz="4" w:space="0" w:color="000000"/>
              <w:right w:val="single" w:sz="4" w:space="0" w:color="000000"/>
            </w:tcBorders>
            <w:vAlign w:val="center"/>
          </w:tcPr>
          <w:p w14:paraId="67147209" w14:textId="77777777" w:rsidR="00E10BA0" w:rsidRPr="008E3606" w:rsidRDefault="00E10BA0" w:rsidP="007E453E">
            <w:pPr>
              <w:widowControl w:val="0"/>
              <w:spacing w:line="240" w:lineRule="auto"/>
              <w:jc w:val="left"/>
              <w:rPr>
                <w:sz w:val="24"/>
              </w:rPr>
            </w:pPr>
            <w:r w:rsidRPr="008E3606">
              <w:rPr>
                <w:sz w:val="24"/>
              </w:rPr>
              <w:lastRenderedPageBreak/>
              <w:t xml:space="preserve">DA (Nuevo I) </w:t>
            </w:r>
          </w:p>
        </w:tc>
        <w:tc>
          <w:tcPr>
            <w:tcW w:w="4536" w:type="dxa"/>
            <w:tcBorders>
              <w:top w:val="single" w:sz="4" w:space="0" w:color="000000"/>
              <w:left w:val="single" w:sz="4" w:space="0" w:color="000000"/>
              <w:bottom w:val="single" w:sz="4" w:space="0" w:color="000000"/>
              <w:right w:val="single" w:sz="4" w:space="0" w:color="000000"/>
            </w:tcBorders>
          </w:tcPr>
          <w:p w14:paraId="24F3D3F1" w14:textId="60C74220" w:rsidR="00E10BA0" w:rsidRPr="008E3606" w:rsidRDefault="00E10BA0" w:rsidP="0046519F">
            <w:pPr>
              <w:widowControl w:val="0"/>
              <w:spacing w:line="240" w:lineRule="auto"/>
              <w:ind w:right="54"/>
              <w:rPr>
                <w:sz w:val="24"/>
              </w:rPr>
            </w:pPr>
            <w:r w:rsidRPr="008E3606">
              <w:rPr>
                <w:sz w:val="24"/>
              </w:rPr>
              <w:t xml:space="preserve">Aportes y donaciones por capitalizar autorizados y por registrar en el Registro Público en instrumentos admisibles en el CCN1 o CAN1, pendientes de autorización por CONASSIF y en trámite de inscripción en el Registro Público que se encuentran dentro del plazo máximo de 12 meses contados a partir de la fecha de presentación de la solicitud de autorización.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391693C0"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6CE63F2" w14:textId="77777777" w:rsidTr="007E453E">
        <w:trPr>
          <w:trHeight w:val="802"/>
        </w:trPr>
        <w:tc>
          <w:tcPr>
            <w:tcW w:w="7082" w:type="dxa"/>
            <w:gridSpan w:val="2"/>
            <w:tcBorders>
              <w:top w:val="single" w:sz="4" w:space="0" w:color="000000"/>
              <w:left w:val="single" w:sz="4" w:space="0" w:color="000000"/>
              <w:bottom w:val="single" w:sz="4" w:space="0" w:color="000000"/>
              <w:right w:val="single" w:sz="4" w:space="0" w:color="000000"/>
            </w:tcBorders>
          </w:tcPr>
          <w:p w14:paraId="511400EA" w14:textId="77777777" w:rsidR="00E10BA0" w:rsidRPr="008E3606" w:rsidRDefault="00E10BA0" w:rsidP="007E453E">
            <w:pPr>
              <w:widowControl w:val="0"/>
              <w:spacing w:line="240" w:lineRule="auto"/>
              <w:ind w:right="56"/>
              <w:rPr>
                <w:sz w:val="24"/>
              </w:rPr>
            </w:pPr>
            <w:r w:rsidRPr="008E3606">
              <w:rPr>
                <w:sz w:val="24"/>
              </w:rPr>
              <w:t xml:space="preserve">Los aportes patronales recibidos en el patrimonio del Banco Popular y de Desarrollo Comunal, establecidos en el inciso a) del Artículo 5 de la Ley 4351 ‘Ley Orgánica del Banco Popular y de Desarrollo Comunal’. </w:t>
            </w:r>
          </w:p>
        </w:tc>
        <w:tc>
          <w:tcPr>
            <w:tcW w:w="2268" w:type="dxa"/>
            <w:tcBorders>
              <w:top w:val="single" w:sz="4" w:space="0" w:color="000000"/>
              <w:left w:val="single" w:sz="4" w:space="0" w:color="000000"/>
              <w:bottom w:val="single" w:sz="4" w:space="0" w:color="000000"/>
              <w:right w:val="single" w:sz="4" w:space="0" w:color="000000"/>
            </w:tcBorders>
            <w:vAlign w:val="center"/>
          </w:tcPr>
          <w:p w14:paraId="0773F6C4"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14254A07"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36DCEADE" w14:textId="77777777" w:rsidR="00E10BA0" w:rsidRPr="008E3606" w:rsidRDefault="00E10BA0" w:rsidP="007E453E">
            <w:pPr>
              <w:widowControl w:val="0"/>
              <w:spacing w:line="240" w:lineRule="auto"/>
              <w:jc w:val="left"/>
              <w:rPr>
                <w:sz w:val="24"/>
              </w:rPr>
            </w:pPr>
            <w:r w:rsidRPr="008E3606">
              <w:rPr>
                <w:sz w:val="24"/>
              </w:rPr>
              <w:t xml:space="preserve">CC 32201M02 </w:t>
            </w:r>
          </w:p>
        </w:tc>
        <w:tc>
          <w:tcPr>
            <w:tcW w:w="4536" w:type="dxa"/>
            <w:tcBorders>
              <w:top w:val="single" w:sz="4" w:space="0" w:color="000000"/>
              <w:left w:val="single" w:sz="4" w:space="0" w:color="000000"/>
              <w:bottom w:val="single" w:sz="4" w:space="0" w:color="000000"/>
              <w:right w:val="single" w:sz="4" w:space="0" w:color="000000"/>
            </w:tcBorders>
          </w:tcPr>
          <w:p w14:paraId="542B2A14" w14:textId="77777777" w:rsidR="00E10BA0" w:rsidRPr="008E3606" w:rsidRDefault="00E10BA0" w:rsidP="007E453E">
            <w:pPr>
              <w:widowControl w:val="0"/>
              <w:spacing w:line="240" w:lineRule="auto"/>
              <w:jc w:val="left"/>
              <w:rPr>
                <w:sz w:val="24"/>
              </w:rPr>
            </w:pPr>
            <w:r w:rsidRPr="008E3606">
              <w:rPr>
                <w:sz w:val="24"/>
              </w:rPr>
              <w:t xml:space="preserve">Aportes por capitalizar pendientes de autorizar </w:t>
            </w:r>
          </w:p>
        </w:tc>
        <w:tc>
          <w:tcPr>
            <w:tcW w:w="2268" w:type="dxa"/>
            <w:tcBorders>
              <w:top w:val="single" w:sz="4" w:space="0" w:color="000000"/>
              <w:left w:val="single" w:sz="4" w:space="0" w:color="000000"/>
              <w:bottom w:val="single" w:sz="4" w:space="0" w:color="000000"/>
              <w:right w:val="single" w:sz="4" w:space="0" w:color="000000"/>
            </w:tcBorders>
          </w:tcPr>
          <w:p w14:paraId="16FA1C8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5C2B817"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5959FFE" w14:textId="77777777" w:rsidR="00E10BA0" w:rsidRPr="008E3606" w:rsidRDefault="00E10BA0" w:rsidP="007E453E">
            <w:pPr>
              <w:widowControl w:val="0"/>
              <w:spacing w:line="240" w:lineRule="auto"/>
              <w:jc w:val="left"/>
              <w:rPr>
                <w:sz w:val="24"/>
              </w:rPr>
            </w:pPr>
            <w:r w:rsidRPr="008E3606">
              <w:rPr>
                <w:sz w:val="24"/>
              </w:rPr>
              <w:t xml:space="preserve">CC 32202M02 </w:t>
            </w:r>
          </w:p>
        </w:tc>
        <w:tc>
          <w:tcPr>
            <w:tcW w:w="4536" w:type="dxa"/>
            <w:tcBorders>
              <w:top w:val="single" w:sz="4" w:space="0" w:color="000000"/>
              <w:left w:val="single" w:sz="4" w:space="0" w:color="000000"/>
              <w:bottom w:val="single" w:sz="4" w:space="0" w:color="000000"/>
              <w:right w:val="single" w:sz="4" w:space="0" w:color="000000"/>
            </w:tcBorders>
          </w:tcPr>
          <w:p w14:paraId="0827CEFC" w14:textId="77777777" w:rsidR="00E10BA0" w:rsidRPr="008E3606" w:rsidRDefault="00E10BA0" w:rsidP="007E453E">
            <w:pPr>
              <w:widowControl w:val="0"/>
              <w:spacing w:line="240" w:lineRule="auto"/>
              <w:jc w:val="left"/>
              <w:rPr>
                <w:sz w:val="24"/>
              </w:rPr>
            </w:pPr>
            <w:r w:rsidRPr="008E3606">
              <w:rPr>
                <w:sz w:val="24"/>
              </w:rPr>
              <w:t xml:space="preserve">Donaciones por capitalizar pendientes de autorizar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3C48D3"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BAD3196"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4A1D4ADB"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0CDA12D"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1A6E263"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4E541318" w14:textId="77777777" w:rsidR="00E10BA0" w:rsidRPr="008E3606" w:rsidRDefault="00E10BA0" w:rsidP="007E453E">
            <w:pPr>
              <w:widowControl w:val="0"/>
              <w:spacing w:line="240" w:lineRule="auto"/>
              <w:rPr>
                <w:sz w:val="24"/>
              </w:rPr>
            </w:pPr>
            <w:r w:rsidRPr="008E3606">
              <w:rPr>
                <w:sz w:val="24"/>
              </w:rPr>
              <w:t xml:space="preserve">Los superávits por revaluación de bienes inmuebles; hasta por una suma no mayor al 75% del saldo de la cuenta patrimonial correspondiente.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A6D6420"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60E1BC33"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1A47C3BD" w14:textId="77777777" w:rsidR="00E10BA0" w:rsidRPr="008E3606" w:rsidRDefault="00E10BA0" w:rsidP="007E453E">
            <w:pPr>
              <w:widowControl w:val="0"/>
              <w:spacing w:line="240" w:lineRule="auto"/>
              <w:jc w:val="left"/>
              <w:rPr>
                <w:sz w:val="24"/>
              </w:rPr>
            </w:pPr>
            <w:r w:rsidRPr="008E3606">
              <w:rPr>
                <w:sz w:val="24"/>
              </w:rPr>
              <w:t xml:space="preserve">CC 33101M01 * 75% </w:t>
            </w:r>
          </w:p>
        </w:tc>
        <w:tc>
          <w:tcPr>
            <w:tcW w:w="4536" w:type="dxa"/>
            <w:tcBorders>
              <w:top w:val="single" w:sz="4" w:space="0" w:color="000000"/>
              <w:left w:val="single" w:sz="4" w:space="0" w:color="000000"/>
              <w:bottom w:val="single" w:sz="4" w:space="0" w:color="000000"/>
              <w:right w:val="single" w:sz="4" w:space="0" w:color="000000"/>
            </w:tcBorders>
          </w:tcPr>
          <w:p w14:paraId="4E2CDFFC" w14:textId="77777777" w:rsidR="00E10BA0" w:rsidRPr="008E3606" w:rsidRDefault="00E10BA0" w:rsidP="007E453E">
            <w:pPr>
              <w:widowControl w:val="0"/>
              <w:spacing w:line="240" w:lineRule="auto"/>
              <w:jc w:val="left"/>
              <w:rPr>
                <w:sz w:val="24"/>
              </w:rPr>
            </w:pPr>
            <w:r w:rsidRPr="008E3606">
              <w:rPr>
                <w:sz w:val="24"/>
              </w:rPr>
              <w:t xml:space="preserve">Superávit por revaluación de terrenos </w:t>
            </w:r>
          </w:p>
        </w:tc>
        <w:tc>
          <w:tcPr>
            <w:tcW w:w="2268" w:type="dxa"/>
            <w:tcBorders>
              <w:top w:val="single" w:sz="4" w:space="0" w:color="000000"/>
              <w:left w:val="single" w:sz="4" w:space="0" w:color="000000"/>
              <w:bottom w:val="single" w:sz="4" w:space="0" w:color="000000"/>
              <w:right w:val="single" w:sz="4" w:space="0" w:color="000000"/>
            </w:tcBorders>
          </w:tcPr>
          <w:p w14:paraId="2A99947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E249688"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4EFDCCFD" w14:textId="77777777" w:rsidR="00E10BA0" w:rsidRPr="008E3606" w:rsidRDefault="00E10BA0" w:rsidP="007E453E">
            <w:pPr>
              <w:widowControl w:val="0"/>
              <w:spacing w:line="240" w:lineRule="auto"/>
              <w:jc w:val="left"/>
              <w:rPr>
                <w:sz w:val="24"/>
              </w:rPr>
            </w:pPr>
            <w:r w:rsidRPr="008E3606">
              <w:rPr>
                <w:sz w:val="24"/>
              </w:rPr>
              <w:t xml:space="preserve">CC 33101M02 * 75% </w:t>
            </w:r>
          </w:p>
        </w:tc>
        <w:tc>
          <w:tcPr>
            <w:tcW w:w="4536" w:type="dxa"/>
            <w:tcBorders>
              <w:top w:val="single" w:sz="4" w:space="0" w:color="000000"/>
              <w:left w:val="single" w:sz="4" w:space="0" w:color="000000"/>
              <w:bottom w:val="single" w:sz="4" w:space="0" w:color="000000"/>
              <w:right w:val="single" w:sz="4" w:space="0" w:color="000000"/>
            </w:tcBorders>
          </w:tcPr>
          <w:p w14:paraId="79ADE54A" w14:textId="77777777" w:rsidR="00E10BA0" w:rsidRPr="008E3606" w:rsidRDefault="00E10BA0" w:rsidP="007E453E">
            <w:pPr>
              <w:widowControl w:val="0"/>
              <w:spacing w:line="240" w:lineRule="auto"/>
              <w:jc w:val="left"/>
              <w:rPr>
                <w:sz w:val="24"/>
              </w:rPr>
            </w:pPr>
            <w:r w:rsidRPr="008E3606">
              <w:rPr>
                <w:sz w:val="24"/>
              </w:rPr>
              <w:t xml:space="preserve">Superávit por revaluación de edificios e instalaciones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4250D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65C4D4C"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6CAFC95A" w14:textId="77777777" w:rsidR="00E10BA0" w:rsidRPr="008E3606" w:rsidRDefault="00E10BA0" w:rsidP="007E453E">
            <w:pPr>
              <w:widowControl w:val="0"/>
              <w:spacing w:line="240" w:lineRule="auto"/>
              <w:jc w:val="left"/>
              <w:rPr>
                <w:sz w:val="24"/>
              </w:rPr>
            </w:pPr>
            <w:r w:rsidRPr="008E3606">
              <w:rPr>
                <w:sz w:val="24"/>
              </w:rPr>
              <w:t xml:space="preserve">CC 33101M09 * 75% </w:t>
            </w:r>
          </w:p>
        </w:tc>
        <w:tc>
          <w:tcPr>
            <w:tcW w:w="4536" w:type="dxa"/>
            <w:tcBorders>
              <w:top w:val="single" w:sz="4" w:space="0" w:color="000000"/>
              <w:left w:val="single" w:sz="4" w:space="0" w:color="000000"/>
              <w:bottom w:val="single" w:sz="4" w:space="0" w:color="000000"/>
              <w:right w:val="single" w:sz="4" w:space="0" w:color="000000"/>
            </w:tcBorders>
          </w:tcPr>
          <w:p w14:paraId="2ECC7BC1" w14:textId="77777777" w:rsidR="00E10BA0" w:rsidRPr="008E3606" w:rsidRDefault="00E10BA0" w:rsidP="007E453E">
            <w:pPr>
              <w:widowControl w:val="0"/>
              <w:spacing w:line="240" w:lineRule="auto"/>
              <w:rPr>
                <w:sz w:val="24"/>
              </w:rPr>
            </w:pPr>
            <w:r w:rsidRPr="008E3606">
              <w:rPr>
                <w:sz w:val="24"/>
              </w:rPr>
              <w:t xml:space="preserve">Impuesto diferido sobre superávit de propiedades, mobiliario y equipo </w:t>
            </w:r>
          </w:p>
        </w:tc>
        <w:tc>
          <w:tcPr>
            <w:tcW w:w="2268" w:type="dxa"/>
            <w:tcBorders>
              <w:top w:val="single" w:sz="4" w:space="0" w:color="000000"/>
              <w:left w:val="single" w:sz="4" w:space="0" w:color="000000"/>
              <w:bottom w:val="single" w:sz="4" w:space="0" w:color="000000"/>
              <w:right w:val="single" w:sz="4" w:space="0" w:color="000000"/>
            </w:tcBorders>
            <w:vAlign w:val="center"/>
          </w:tcPr>
          <w:p w14:paraId="75B470E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64887F9"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E0E2E5B"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115396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A869792"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07954DF4" w14:textId="77777777" w:rsidR="00E10BA0" w:rsidRPr="008E3606" w:rsidRDefault="00E10BA0" w:rsidP="007E453E">
            <w:pPr>
              <w:widowControl w:val="0"/>
              <w:spacing w:line="240" w:lineRule="auto"/>
              <w:jc w:val="left"/>
              <w:rPr>
                <w:sz w:val="24"/>
              </w:rPr>
            </w:pPr>
            <w:r w:rsidRPr="008E3606">
              <w:rPr>
                <w:sz w:val="24"/>
              </w:rPr>
              <w:t xml:space="preserve">Los superávits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tcPr>
          <w:p w14:paraId="05DC2BBD"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12D9EF7D"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4871B8CB" w14:textId="77777777" w:rsidR="00E10BA0" w:rsidRPr="008E3606" w:rsidRDefault="00E10BA0" w:rsidP="007E453E">
            <w:pPr>
              <w:widowControl w:val="0"/>
              <w:spacing w:line="240" w:lineRule="auto"/>
              <w:jc w:val="left"/>
              <w:rPr>
                <w:sz w:val="24"/>
              </w:rPr>
            </w:pPr>
            <w:r w:rsidRPr="008E3606">
              <w:rPr>
                <w:sz w:val="24"/>
              </w:rPr>
              <w:t xml:space="preserve">CC 33200000 </w:t>
            </w:r>
          </w:p>
        </w:tc>
        <w:tc>
          <w:tcPr>
            <w:tcW w:w="4536" w:type="dxa"/>
            <w:tcBorders>
              <w:top w:val="single" w:sz="4" w:space="0" w:color="000000"/>
              <w:left w:val="single" w:sz="4" w:space="0" w:color="000000"/>
              <w:bottom w:val="single" w:sz="4" w:space="0" w:color="000000"/>
              <w:right w:val="single" w:sz="4" w:space="0" w:color="000000"/>
            </w:tcBorders>
          </w:tcPr>
          <w:p w14:paraId="4DCB2E25" w14:textId="77777777" w:rsidR="00E10BA0" w:rsidRPr="008E3606" w:rsidRDefault="00E10BA0" w:rsidP="007E453E">
            <w:pPr>
              <w:widowControl w:val="0"/>
              <w:spacing w:line="240" w:lineRule="auto"/>
              <w:rPr>
                <w:sz w:val="24"/>
              </w:rPr>
            </w:pPr>
            <w:r w:rsidRPr="008E3606">
              <w:rPr>
                <w:sz w:val="24"/>
              </w:rPr>
              <w:t xml:space="preserve">Ajustes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6B6189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E5C4332"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DC53C5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2A8BCB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7175128"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748AAE07" w14:textId="77777777" w:rsidR="00E10BA0" w:rsidRPr="008E3606" w:rsidRDefault="00E10BA0" w:rsidP="007E453E">
            <w:pPr>
              <w:widowControl w:val="0"/>
              <w:spacing w:line="240" w:lineRule="auto"/>
              <w:ind w:right="55"/>
              <w:rPr>
                <w:sz w:val="24"/>
              </w:rPr>
            </w:pPr>
            <w:r w:rsidRPr="008E3606">
              <w:rPr>
                <w:sz w:val="24"/>
              </w:rPr>
              <w:t xml:space="preserve">El literal g) del Artículo 11 corresponde a la deducción cuyo detalle se presenta en el Artículo 12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7432CB8" w14:textId="77777777" w:rsidR="00E10BA0" w:rsidRPr="008E3606" w:rsidRDefault="00E10BA0" w:rsidP="007E453E">
            <w:pPr>
              <w:widowControl w:val="0"/>
              <w:spacing w:line="240" w:lineRule="auto"/>
              <w:ind w:right="55"/>
              <w:jc w:val="center"/>
              <w:rPr>
                <w:sz w:val="24"/>
              </w:rPr>
            </w:pPr>
            <w:r w:rsidRPr="008E3606">
              <w:rPr>
                <w:sz w:val="24"/>
              </w:rPr>
              <w:t xml:space="preserve">Literal g) </w:t>
            </w:r>
          </w:p>
        </w:tc>
      </w:tr>
      <w:tr w:rsidR="00E10BA0" w:rsidRPr="008E3606" w14:paraId="39A704B4"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14913BDB" w14:textId="77777777" w:rsidR="00E10BA0" w:rsidRPr="008E3606" w:rsidRDefault="00E10BA0" w:rsidP="007E453E">
            <w:pPr>
              <w:widowControl w:val="0"/>
              <w:spacing w:line="240" w:lineRule="auto"/>
              <w:jc w:val="left"/>
              <w:rPr>
                <w:sz w:val="24"/>
              </w:rPr>
            </w:pPr>
            <w:r w:rsidRPr="008E3606">
              <w:rPr>
                <w:sz w:val="24"/>
              </w:rPr>
              <w:t xml:space="preserve">DA (Nuevo U) </w:t>
            </w:r>
          </w:p>
        </w:tc>
        <w:tc>
          <w:tcPr>
            <w:tcW w:w="4536" w:type="dxa"/>
            <w:tcBorders>
              <w:top w:val="single" w:sz="4" w:space="0" w:color="000000"/>
              <w:left w:val="single" w:sz="4" w:space="0" w:color="000000"/>
              <w:bottom w:val="single" w:sz="4" w:space="0" w:color="000000"/>
              <w:right w:val="single" w:sz="4" w:space="0" w:color="000000"/>
            </w:tcBorders>
          </w:tcPr>
          <w:p w14:paraId="22B20F9C" w14:textId="77777777" w:rsidR="00E10BA0" w:rsidRPr="008E3606" w:rsidRDefault="00E10BA0" w:rsidP="007E453E">
            <w:pPr>
              <w:widowControl w:val="0"/>
              <w:spacing w:line="240" w:lineRule="auto"/>
              <w:jc w:val="left"/>
              <w:rPr>
                <w:sz w:val="24"/>
              </w:rPr>
            </w:pPr>
            <w:r w:rsidRPr="008E3606">
              <w:rPr>
                <w:sz w:val="24"/>
              </w:rPr>
              <w:t xml:space="preserve">Deducciones del CN2 </w:t>
            </w:r>
          </w:p>
        </w:tc>
        <w:tc>
          <w:tcPr>
            <w:tcW w:w="2268" w:type="dxa"/>
            <w:tcBorders>
              <w:top w:val="single" w:sz="4" w:space="0" w:color="000000"/>
              <w:left w:val="single" w:sz="4" w:space="0" w:color="000000"/>
              <w:bottom w:val="single" w:sz="4" w:space="0" w:color="000000"/>
              <w:right w:val="single" w:sz="4" w:space="0" w:color="000000"/>
            </w:tcBorders>
          </w:tcPr>
          <w:p w14:paraId="240D9F5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56FAAE8"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576C5265"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71A1C0D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614FF78"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7FC661E" w14:textId="77777777" w:rsidR="00E10BA0" w:rsidRPr="008E3606" w:rsidRDefault="00E10BA0" w:rsidP="007E453E">
            <w:pPr>
              <w:widowControl w:val="0"/>
              <w:spacing w:line="240" w:lineRule="auto"/>
              <w:jc w:val="left"/>
              <w:rPr>
                <w:sz w:val="24"/>
              </w:rPr>
            </w:pPr>
            <w:r w:rsidRPr="008E3606">
              <w:rPr>
                <w:b/>
                <w:sz w:val="24"/>
              </w:rPr>
              <w:t xml:space="preserve">6. Deducciones del CN2 </w:t>
            </w:r>
          </w:p>
        </w:tc>
        <w:tc>
          <w:tcPr>
            <w:tcW w:w="2268" w:type="dxa"/>
            <w:tcBorders>
              <w:top w:val="single" w:sz="4" w:space="0" w:color="000000"/>
              <w:left w:val="single" w:sz="4" w:space="0" w:color="000000"/>
              <w:bottom w:val="single" w:sz="4" w:space="0" w:color="000000"/>
              <w:right w:val="single" w:sz="4" w:space="0" w:color="000000"/>
            </w:tcBorders>
          </w:tcPr>
          <w:p w14:paraId="78E64C96" w14:textId="77777777" w:rsidR="00E10BA0" w:rsidRPr="008E3606" w:rsidRDefault="00E10BA0" w:rsidP="007E453E">
            <w:pPr>
              <w:widowControl w:val="0"/>
              <w:spacing w:line="240" w:lineRule="auto"/>
              <w:ind w:right="58"/>
              <w:jc w:val="center"/>
              <w:rPr>
                <w:sz w:val="24"/>
              </w:rPr>
            </w:pPr>
            <w:r w:rsidRPr="008E3606">
              <w:rPr>
                <w:b/>
                <w:sz w:val="24"/>
              </w:rPr>
              <w:t xml:space="preserve">ARTÍCULO 12 </w:t>
            </w:r>
          </w:p>
        </w:tc>
      </w:tr>
      <w:tr w:rsidR="00E10BA0" w:rsidRPr="008E3606" w14:paraId="1F74F7D6"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5E996480"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3DB16E66"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5AE5081C"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3CC55200"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6554822A"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761272A6" w14:textId="77777777" w:rsidR="00E10BA0" w:rsidRPr="008E3606" w:rsidRDefault="00E10BA0" w:rsidP="007E453E">
            <w:pPr>
              <w:widowControl w:val="0"/>
              <w:spacing w:line="240" w:lineRule="auto"/>
              <w:jc w:val="left"/>
              <w:rPr>
                <w:sz w:val="24"/>
              </w:rPr>
            </w:pPr>
          </w:p>
        </w:tc>
      </w:tr>
      <w:tr w:rsidR="00E10BA0" w:rsidRPr="008E3606" w14:paraId="6178FE74"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78E7A20A" w14:textId="77777777" w:rsidR="00E10BA0" w:rsidRPr="008E3606" w:rsidRDefault="00E10BA0" w:rsidP="007E453E">
            <w:pPr>
              <w:widowControl w:val="0"/>
              <w:spacing w:line="240" w:lineRule="auto"/>
              <w:rPr>
                <w:sz w:val="24"/>
              </w:rPr>
            </w:pPr>
            <w:r w:rsidRPr="008E3606">
              <w:rPr>
                <w:sz w:val="24"/>
              </w:rPr>
              <w:t xml:space="preserve">El valor en libros de los instrumentos del CN2 adquiridos por la propia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694043E1"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25964325"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9C6A1AC" w14:textId="77777777" w:rsidR="00E10BA0" w:rsidRPr="008E3606" w:rsidRDefault="00E10BA0" w:rsidP="007E453E">
            <w:pPr>
              <w:widowControl w:val="0"/>
              <w:spacing w:line="240" w:lineRule="auto"/>
              <w:jc w:val="left"/>
              <w:rPr>
                <w:sz w:val="24"/>
              </w:rPr>
            </w:pPr>
            <w:r w:rsidRPr="008E3606">
              <w:rPr>
                <w:sz w:val="24"/>
              </w:rPr>
              <w:t xml:space="preserve">DA (Nuevo V) </w:t>
            </w:r>
          </w:p>
        </w:tc>
        <w:tc>
          <w:tcPr>
            <w:tcW w:w="4536" w:type="dxa"/>
            <w:tcBorders>
              <w:top w:val="single" w:sz="4" w:space="0" w:color="000000"/>
              <w:left w:val="single" w:sz="4" w:space="0" w:color="000000"/>
              <w:bottom w:val="single" w:sz="4" w:space="0" w:color="000000"/>
              <w:right w:val="single" w:sz="4" w:space="0" w:color="000000"/>
            </w:tcBorders>
          </w:tcPr>
          <w:p w14:paraId="54353526" w14:textId="77777777" w:rsidR="00E10BA0" w:rsidRPr="008E3606" w:rsidRDefault="00E10BA0" w:rsidP="007E453E">
            <w:pPr>
              <w:widowControl w:val="0"/>
              <w:spacing w:line="240" w:lineRule="auto"/>
              <w:rPr>
                <w:sz w:val="24"/>
              </w:rPr>
            </w:pPr>
            <w:r w:rsidRPr="008E3606">
              <w:rPr>
                <w:sz w:val="24"/>
              </w:rPr>
              <w:t xml:space="preserve">Valor en libros de los instrumentos del CN2 adquiridos por la propia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1844E1C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B230276"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09AB098"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9757C0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1805E43"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19224961" w14:textId="77777777" w:rsidR="00E10BA0" w:rsidRPr="008E3606" w:rsidRDefault="00E10BA0" w:rsidP="007E453E">
            <w:pPr>
              <w:widowControl w:val="0"/>
              <w:spacing w:line="240" w:lineRule="auto"/>
              <w:ind w:right="55"/>
              <w:rPr>
                <w:sz w:val="24"/>
              </w:rPr>
            </w:pPr>
            <w:r w:rsidRPr="008E3606">
              <w:rPr>
                <w:sz w:val="24"/>
              </w:rPr>
              <w:t xml:space="preserve">El valor en libros de los instrumentos del CN2 emitidos por la propia entidad que se encuentran dados en garantía de operaciones crediticias otorgadas por ella.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65BFEA"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2657A5DB" w14:textId="77777777" w:rsidTr="007E453E">
        <w:trPr>
          <w:trHeight w:val="1068"/>
        </w:trPr>
        <w:tc>
          <w:tcPr>
            <w:tcW w:w="2546" w:type="dxa"/>
            <w:tcBorders>
              <w:top w:val="single" w:sz="4" w:space="0" w:color="000000"/>
              <w:left w:val="single" w:sz="4" w:space="0" w:color="000000"/>
              <w:bottom w:val="single" w:sz="4" w:space="0" w:color="000000"/>
              <w:right w:val="single" w:sz="4" w:space="0" w:color="000000"/>
            </w:tcBorders>
            <w:vAlign w:val="center"/>
          </w:tcPr>
          <w:p w14:paraId="34ACD32F" w14:textId="77777777" w:rsidR="00E10BA0" w:rsidRPr="008E3606" w:rsidRDefault="00E10BA0" w:rsidP="007E453E">
            <w:pPr>
              <w:widowControl w:val="0"/>
              <w:spacing w:line="240" w:lineRule="auto"/>
              <w:jc w:val="left"/>
              <w:rPr>
                <w:sz w:val="24"/>
              </w:rPr>
            </w:pPr>
            <w:r w:rsidRPr="008E3606">
              <w:rPr>
                <w:sz w:val="24"/>
              </w:rPr>
              <w:t xml:space="preserve">DA (Nuevo W) </w:t>
            </w:r>
          </w:p>
        </w:tc>
        <w:tc>
          <w:tcPr>
            <w:tcW w:w="4536" w:type="dxa"/>
            <w:tcBorders>
              <w:top w:val="single" w:sz="4" w:space="0" w:color="000000"/>
              <w:left w:val="single" w:sz="4" w:space="0" w:color="000000"/>
              <w:bottom w:val="single" w:sz="4" w:space="0" w:color="000000"/>
              <w:right w:val="single" w:sz="4" w:space="0" w:color="000000"/>
            </w:tcBorders>
          </w:tcPr>
          <w:p w14:paraId="652E774F" w14:textId="77777777" w:rsidR="00E10BA0" w:rsidRPr="008E3606" w:rsidRDefault="00E10BA0" w:rsidP="007E453E">
            <w:pPr>
              <w:widowControl w:val="0"/>
              <w:spacing w:line="240" w:lineRule="auto"/>
              <w:ind w:right="55"/>
              <w:rPr>
                <w:sz w:val="24"/>
              </w:rPr>
            </w:pPr>
            <w:r w:rsidRPr="008E3606">
              <w:rPr>
                <w:sz w:val="24"/>
              </w:rPr>
              <w:t xml:space="preserve">Valor en libros de los instrumentos del CN2 emitidos por la propia entidad que se encuentran dados en garantía de operaciones crediticias otorgadas por ella </w:t>
            </w:r>
          </w:p>
        </w:tc>
        <w:tc>
          <w:tcPr>
            <w:tcW w:w="2268" w:type="dxa"/>
            <w:tcBorders>
              <w:top w:val="single" w:sz="4" w:space="0" w:color="000000"/>
              <w:left w:val="single" w:sz="4" w:space="0" w:color="000000"/>
              <w:bottom w:val="single" w:sz="4" w:space="0" w:color="000000"/>
              <w:right w:val="single" w:sz="4" w:space="0" w:color="000000"/>
            </w:tcBorders>
            <w:vAlign w:val="center"/>
          </w:tcPr>
          <w:p w14:paraId="42A3F0BF"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07CC09C"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B828D91"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A7DA056"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45DE7F6" w14:textId="77777777" w:rsidTr="007E453E">
        <w:trPr>
          <w:trHeight w:val="1598"/>
        </w:trPr>
        <w:tc>
          <w:tcPr>
            <w:tcW w:w="7082" w:type="dxa"/>
            <w:gridSpan w:val="2"/>
            <w:tcBorders>
              <w:top w:val="single" w:sz="4" w:space="0" w:color="000000"/>
              <w:left w:val="single" w:sz="4" w:space="0" w:color="000000"/>
              <w:bottom w:val="single" w:sz="4" w:space="0" w:color="000000"/>
              <w:right w:val="single" w:sz="4" w:space="0" w:color="000000"/>
            </w:tcBorders>
          </w:tcPr>
          <w:p w14:paraId="3CF5F172" w14:textId="77777777" w:rsidR="00E10BA0" w:rsidRPr="008E3606" w:rsidRDefault="00E10BA0" w:rsidP="007E453E">
            <w:pPr>
              <w:widowControl w:val="0"/>
              <w:spacing w:line="240" w:lineRule="auto"/>
              <w:ind w:right="55"/>
              <w:rPr>
                <w:sz w:val="24"/>
              </w:rPr>
            </w:pPr>
            <w:r w:rsidRPr="008E3606">
              <w:rPr>
                <w:sz w:val="24"/>
              </w:rPr>
              <w:t xml:space="preserve">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423C74E9"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58A31C59" w14:textId="77777777" w:rsidTr="007E453E">
        <w:trPr>
          <w:trHeight w:val="1332"/>
        </w:trPr>
        <w:tc>
          <w:tcPr>
            <w:tcW w:w="2546" w:type="dxa"/>
            <w:tcBorders>
              <w:top w:val="single" w:sz="4" w:space="0" w:color="000000"/>
              <w:left w:val="single" w:sz="4" w:space="0" w:color="000000"/>
              <w:bottom w:val="single" w:sz="4" w:space="0" w:color="000000"/>
              <w:right w:val="single" w:sz="4" w:space="0" w:color="000000"/>
            </w:tcBorders>
            <w:vAlign w:val="center"/>
          </w:tcPr>
          <w:p w14:paraId="41988FA0" w14:textId="77777777" w:rsidR="00E10BA0" w:rsidRPr="008E3606" w:rsidRDefault="00E10BA0" w:rsidP="007E453E">
            <w:pPr>
              <w:widowControl w:val="0"/>
              <w:spacing w:line="240" w:lineRule="auto"/>
              <w:jc w:val="left"/>
              <w:rPr>
                <w:sz w:val="24"/>
              </w:rPr>
            </w:pPr>
            <w:r w:rsidRPr="008E3606">
              <w:rPr>
                <w:sz w:val="24"/>
              </w:rPr>
              <w:t xml:space="preserve">DA (Nuevo X) </w:t>
            </w:r>
          </w:p>
        </w:tc>
        <w:tc>
          <w:tcPr>
            <w:tcW w:w="4536" w:type="dxa"/>
            <w:tcBorders>
              <w:top w:val="single" w:sz="4" w:space="0" w:color="000000"/>
              <w:left w:val="single" w:sz="4" w:space="0" w:color="000000"/>
              <w:bottom w:val="single" w:sz="4" w:space="0" w:color="000000"/>
              <w:right w:val="single" w:sz="4" w:space="0" w:color="000000"/>
            </w:tcBorders>
          </w:tcPr>
          <w:p w14:paraId="14CABD00" w14:textId="77777777" w:rsidR="00E10BA0" w:rsidRPr="008E3606" w:rsidRDefault="00E10BA0" w:rsidP="007E453E">
            <w:pPr>
              <w:widowControl w:val="0"/>
              <w:spacing w:line="240" w:lineRule="auto"/>
              <w:ind w:right="55"/>
              <w:rPr>
                <w:sz w:val="24"/>
              </w:rPr>
            </w:pPr>
            <w:r w:rsidRPr="008E3606">
              <w:rPr>
                <w:sz w:val="24"/>
              </w:rPr>
              <w:t xml:space="preserve">Valor en libros de las inversiones en instrumentos homólogos al CN2, que calificarían como tales bajo los criterios establecidos en el Anexo 5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C1749A" w14:textId="77777777" w:rsidR="00E10BA0" w:rsidRPr="008E3606" w:rsidRDefault="00E10BA0" w:rsidP="007E453E">
            <w:pPr>
              <w:widowControl w:val="0"/>
              <w:spacing w:line="240" w:lineRule="auto"/>
              <w:jc w:val="left"/>
              <w:rPr>
                <w:sz w:val="24"/>
              </w:rPr>
            </w:pPr>
            <w:r w:rsidRPr="008E3606">
              <w:rPr>
                <w:sz w:val="24"/>
              </w:rPr>
              <w:t xml:space="preserve"> </w:t>
            </w:r>
          </w:p>
        </w:tc>
      </w:tr>
    </w:tbl>
    <w:p w14:paraId="04836B76" w14:textId="77777777" w:rsidR="00E10BA0" w:rsidRPr="008E3606" w:rsidRDefault="00E10BA0" w:rsidP="00E10BA0">
      <w:pPr>
        <w:widowControl w:val="0"/>
        <w:spacing w:line="240" w:lineRule="auto"/>
        <w:ind w:left="-6" w:right="108" w:hanging="11"/>
        <w:jc w:val="left"/>
        <w:rPr>
          <w:sz w:val="24"/>
        </w:rPr>
      </w:pPr>
      <w:r w:rsidRPr="008E3606">
        <w:rPr>
          <w:b/>
          <w:sz w:val="24"/>
        </w:rPr>
        <w:t xml:space="preserve">CC = </w:t>
      </w:r>
      <w:r w:rsidRPr="008E3606">
        <w:rPr>
          <w:sz w:val="24"/>
        </w:rPr>
        <w:t xml:space="preserve">Cuenta contable </w:t>
      </w:r>
    </w:p>
    <w:p w14:paraId="40BE3B46" w14:textId="77777777" w:rsidR="00E10BA0" w:rsidRPr="008E3606" w:rsidRDefault="00E10BA0" w:rsidP="00E10BA0">
      <w:pPr>
        <w:widowControl w:val="0"/>
        <w:spacing w:after="240" w:line="240" w:lineRule="auto"/>
        <w:ind w:left="-5" w:right="106"/>
        <w:jc w:val="left"/>
        <w:rPr>
          <w:sz w:val="24"/>
        </w:rPr>
      </w:pPr>
      <w:r w:rsidRPr="008E3606">
        <w:rPr>
          <w:b/>
          <w:sz w:val="24"/>
        </w:rPr>
        <w:t xml:space="preserve">DA = </w:t>
      </w:r>
      <w:r w:rsidRPr="008E3606">
        <w:rPr>
          <w:sz w:val="24"/>
        </w:rPr>
        <w:t>Dato adicional</w:t>
      </w:r>
      <w:r w:rsidRPr="008E3606">
        <w:rPr>
          <w:b/>
          <w:sz w:val="24"/>
        </w:rPr>
        <w:t xml:space="preserve"> </w:t>
      </w:r>
    </w:p>
    <w:p w14:paraId="5CF4C91D" w14:textId="77777777" w:rsidR="00E10BA0" w:rsidRPr="008E3606" w:rsidRDefault="00E10BA0" w:rsidP="00E10BA0">
      <w:pPr>
        <w:widowControl w:val="0"/>
        <w:spacing w:after="240" w:line="240" w:lineRule="auto"/>
        <w:rPr>
          <w:sz w:val="24"/>
        </w:rPr>
      </w:pPr>
    </w:p>
    <w:p w14:paraId="35D451D3" w14:textId="77777777" w:rsidR="00E10BA0" w:rsidRPr="008E3606" w:rsidRDefault="00E10BA0" w:rsidP="00E10BA0">
      <w:pPr>
        <w:pStyle w:val="Prrafodelista"/>
        <w:widowControl w:val="0"/>
        <w:spacing w:after="240"/>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t>B.</w:t>
      </w:r>
      <w:r w:rsidRPr="008E3606">
        <w:rPr>
          <w:rFonts w:ascii="Cambria" w:hAnsi="Cambria"/>
          <w:b/>
          <w:bCs/>
          <w:color w:val="4472C4" w:themeColor="accent1"/>
          <w:szCs w:val="24"/>
        </w:rPr>
        <w:tab/>
        <w:t>CÁLCULO DEL CAPITAL BASE PARA ORGANIZACIONES COOPERATIVAS DE AHORRO Y CRÉDITO Y ENTIDADES DE SIMILAR NATURALEZA</w:t>
      </w:r>
    </w:p>
    <w:tbl>
      <w:tblPr>
        <w:tblStyle w:val="TableGrid"/>
        <w:tblW w:w="9350" w:type="dxa"/>
        <w:tblInd w:w="5" w:type="dxa"/>
        <w:tblCellMar>
          <w:top w:w="13" w:type="dxa"/>
          <w:left w:w="108" w:type="dxa"/>
          <w:right w:w="50" w:type="dxa"/>
        </w:tblCellMar>
        <w:tblLook w:val="04A0" w:firstRow="1" w:lastRow="0" w:firstColumn="1" w:lastColumn="0" w:noHBand="0" w:noVBand="1"/>
      </w:tblPr>
      <w:tblGrid>
        <w:gridCol w:w="2546"/>
        <w:gridCol w:w="4536"/>
        <w:gridCol w:w="2268"/>
      </w:tblGrid>
      <w:tr w:rsidR="00E10BA0" w:rsidRPr="008E3606" w14:paraId="5EEFE80D"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D53E1E5" w14:textId="77777777" w:rsidR="00E10BA0" w:rsidRPr="008E3606" w:rsidRDefault="00E10BA0" w:rsidP="007E453E">
            <w:pPr>
              <w:widowControl w:val="0"/>
              <w:spacing w:line="240" w:lineRule="auto"/>
              <w:jc w:val="left"/>
              <w:rPr>
                <w:sz w:val="24"/>
              </w:rPr>
            </w:pPr>
            <w:r w:rsidRPr="008E3606">
              <w:rPr>
                <w:b/>
                <w:sz w:val="24"/>
              </w:rPr>
              <w:t xml:space="preserve">CAPITAL BASE (CB) = (CN1 MÁS CN2) </w:t>
            </w:r>
          </w:p>
        </w:tc>
        <w:tc>
          <w:tcPr>
            <w:tcW w:w="2268" w:type="dxa"/>
            <w:tcBorders>
              <w:top w:val="single" w:sz="4" w:space="0" w:color="000000"/>
              <w:left w:val="nil"/>
              <w:bottom w:val="single" w:sz="4" w:space="0" w:color="000000"/>
              <w:right w:val="single" w:sz="4" w:space="0" w:color="000000"/>
            </w:tcBorders>
          </w:tcPr>
          <w:p w14:paraId="060DEAA8" w14:textId="77777777" w:rsidR="00E10BA0" w:rsidRPr="008E3606" w:rsidRDefault="00E10BA0" w:rsidP="007E453E">
            <w:pPr>
              <w:widowControl w:val="0"/>
              <w:spacing w:line="240" w:lineRule="auto"/>
              <w:jc w:val="left"/>
              <w:rPr>
                <w:sz w:val="24"/>
              </w:rPr>
            </w:pPr>
          </w:p>
        </w:tc>
      </w:tr>
      <w:tr w:rsidR="00E10BA0" w:rsidRPr="008E3606" w14:paraId="57076725"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34A61D54" w14:textId="77777777" w:rsidR="00E10BA0" w:rsidRPr="008E3606" w:rsidRDefault="00E10BA0" w:rsidP="007E453E">
            <w:pPr>
              <w:widowControl w:val="0"/>
              <w:spacing w:line="240" w:lineRule="auto"/>
              <w:jc w:val="left"/>
              <w:rPr>
                <w:sz w:val="24"/>
              </w:rPr>
            </w:pPr>
            <w:r w:rsidRPr="008E3606">
              <w:rPr>
                <w:b/>
                <w:sz w:val="24"/>
              </w:rPr>
              <w:t xml:space="preserve">CAPITAL NIVEL 1 (CN1) = (CCN1 MÁS CAN1) = (I MÁS II) </w:t>
            </w:r>
          </w:p>
        </w:tc>
        <w:tc>
          <w:tcPr>
            <w:tcW w:w="2268" w:type="dxa"/>
            <w:tcBorders>
              <w:top w:val="single" w:sz="4" w:space="0" w:color="000000"/>
              <w:left w:val="nil"/>
              <w:bottom w:val="single" w:sz="4" w:space="0" w:color="000000"/>
              <w:right w:val="single" w:sz="4" w:space="0" w:color="000000"/>
            </w:tcBorders>
          </w:tcPr>
          <w:p w14:paraId="63BFFADA" w14:textId="77777777" w:rsidR="00E10BA0" w:rsidRPr="008E3606" w:rsidRDefault="00E10BA0" w:rsidP="007E453E">
            <w:pPr>
              <w:widowControl w:val="0"/>
              <w:spacing w:line="240" w:lineRule="auto"/>
              <w:jc w:val="left"/>
              <w:rPr>
                <w:sz w:val="24"/>
              </w:rPr>
            </w:pPr>
          </w:p>
        </w:tc>
      </w:tr>
      <w:tr w:rsidR="00E10BA0" w:rsidRPr="008E3606" w14:paraId="32D3525F"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520CCA23" w14:textId="77777777" w:rsidR="00E10BA0" w:rsidRPr="008E3606" w:rsidRDefault="00E10BA0" w:rsidP="007E453E">
            <w:pPr>
              <w:widowControl w:val="0"/>
              <w:spacing w:line="240" w:lineRule="auto"/>
              <w:jc w:val="left"/>
              <w:rPr>
                <w:sz w:val="24"/>
              </w:rPr>
            </w:pPr>
            <w:r w:rsidRPr="008E3606">
              <w:rPr>
                <w:b/>
                <w:sz w:val="24"/>
              </w:rPr>
              <w:t xml:space="preserve">I) CAPITAL COMÚN NIVEL 1 (CCN1) = (1 MENOS 2) </w:t>
            </w:r>
          </w:p>
        </w:tc>
        <w:tc>
          <w:tcPr>
            <w:tcW w:w="2268" w:type="dxa"/>
            <w:tcBorders>
              <w:top w:val="single" w:sz="4" w:space="0" w:color="000000"/>
              <w:left w:val="nil"/>
              <w:bottom w:val="single" w:sz="4" w:space="0" w:color="000000"/>
              <w:right w:val="single" w:sz="4" w:space="0" w:color="000000"/>
            </w:tcBorders>
          </w:tcPr>
          <w:p w14:paraId="4FB3766F" w14:textId="77777777" w:rsidR="00E10BA0" w:rsidRPr="008E3606" w:rsidRDefault="00E10BA0" w:rsidP="007E453E">
            <w:pPr>
              <w:widowControl w:val="0"/>
              <w:spacing w:line="240" w:lineRule="auto"/>
              <w:jc w:val="left"/>
              <w:rPr>
                <w:sz w:val="24"/>
              </w:rPr>
            </w:pPr>
          </w:p>
        </w:tc>
      </w:tr>
      <w:tr w:rsidR="00E10BA0" w:rsidRPr="008E3606" w14:paraId="4113327B"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700BDC60"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12125539"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645C3968"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155C2038"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18848183" w14:textId="77777777" w:rsidR="00E10BA0" w:rsidRPr="008E3606" w:rsidRDefault="00E10BA0" w:rsidP="007E453E">
            <w:pPr>
              <w:widowControl w:val="0"/>
              <w:spacing w:line="240" w:lineRule="auto"/>
              <w:jc w:val="left"/>
              <w:rPr>
                <w:sz w:val="24"/>
              </w:rPr>
            </w:pPr>
            <w:r w:rsidRPr="008E3606">
              <w:rPr>
                <w:b/>
                <w:sz w:val="24"/>
              </w:rPr>
              <w:t xml:space="preserve">1) Elementos del CCN1 </w:t>
            </w:r>
          </w:p>
        </w:tc>
        <w:tc>
          <w:tcPr>
            <w:tcW w:w="2268" w:type="dxa"/>
            <w:tcBorders>
              <w:top w:val="single" w:sz="4" w:space="0" w:color="000000"/>
              <w:left w:val="single" w:sz="4" w:space="0" w:color="000000"/>
              <w:bottom w:val="single" w:sz="4" w:space="0" w:color="000000"/>
              <w:right w:val="single" w:sz="4" w:space="0" w:color="000000"/>
            </w:tcBorders>
          </w:tcPr>
          <w:p w14:paraId="2E69367D" w14:textId="77777777" w:rsidR="00E10BA0" w:rsidRPr="008E3606" w:rsidRDefault="00E10BA0" w:rsidP="007E453E">
            <w:pPr>
              <w:widowControl w:val="0"/>
              <w:spacing w:line="240" w:lineRule="auto"/>
              <w:ind w:right="55"/>
              <w:jc w:val="center"/>
              <w:rPr>
                <w:sz w:val="24"/>
              </w:rPr>
            </w:pPr>
            <w:r w:rsidRPr="008E3606">
              <w:rPr>
                <w:b/>
                <w:sz w:val="24"/>
              </w:rPr>
              <w:t xml:space="preserve">Artículo 19 </w:t>
            </w:r>
          </w:p>
        </w:tc>
      </w:tr>
      <w:tr w:rsidR="00E10BA0" w:rsidRPr="008E3606" w14:paraId="410CA859"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A4CD0C6"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3FF1F9E5" w14:textId="77777777" w:rsidR="00E10BA0" w:rsidRPr="008E3606" w:rsidRDefault="00E10BA0" w:rsidP="007E453E">
            <w:pPr>
              <w:widowControl w:val="0"/>
              <w:spacing w:line="240" w:lineRule="auto"/>
              <w:jc w:val="left"/>
              <w:rPr>
                <w:sz w:val="24"/>
              </w:rPr>
            </w:pPr>
          </w:p>
        </w:tc>
      </w:tr>
      <w:tr w:rsidR="00E10BA0" w:rsidRPr="008E3606" w14:paraId="2D216244"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1DA3363A" w14:textId="77777777" w:rsidR="00E10BA0" w:rsidRPr="008E3606" w:rsidRDefault="00E10BA0" w:rsidP="007E453E">
            <w:pPr>
              <w:widowControl w:val="0"/>
              <w:spacing w:line="240" w:lineRule="auto"/>
              <w:rPr>
                <w:sz w:val="24"/>
              </w:rPr>
            </w:pPr>
            <w:r w:rsidRPr="008E3606">
              <w:rPr>
                <w:sz w:val="24"/>
              </w:rPr>
              <w:t xml:space="preserve">Los Certificados de Aportación admitidos para Cooperativas de Ahorro y Crédito, de conformidad con el Artículo 20 del Acuerdo Sugef 3-06 y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19640505" w14:textId="77777777" w:rsidR="00E10BA0" w:rsidRPr="008E3606" w:rsidRDefault="00E10BA0" w:rsidP="007E453E">
            <w:pPr>
              <w:widowControl w:val="0"/>
              <w:spacing w:line="240" w:lineRule="auto"/>
              <w:ind w:left="195" w:right="195"/>
              <w:jc w:val="center"/>
              <w:rPr>
                <w:sz w:val="24"/>
              </w:rPr>
            </w:pPr>
            <w:r w:rsidRPr="008E3606">
              <w:rPr>
                <w:sz w:val="24"/>
              </w:rPr>
              <w:t xml:space="preserve">Literal a) y Literal b) </w:t>
            </w:r>
          </w:p>
        </w:tc>
      </w:tr>
      <w:tr w:rsidR="00E10BA0" w:rsidRPr="008E3606" w14:paraId="2A3C7A40"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74C38F2F" w14:textId="77777777" w:rsidR="00E10BA0" w:rsidRPr="008E3606" w:rsidRDefault="00E10BA0" w:rsidP="007E453E">
            <w:pPr>
              <w:widowControl w:val="0"/>
              <w:spacing w:line="240" w:lineRule="auto"/>
              <w:rPr>
                <w:sz w:val="24"/>
              </w:rPr>
            </w:pPr>
            <w:r w:rsidRPr="008E3606">
              <w:rPr>
                <w:sz w:val="24"/>
              </w:rPr>
              <w:t xml:space="preserve">Los Certificados de Aportación admitidos para la Caja de Ande, de conformidad con el Artículo 21 del Acuerdo Sugef 3-06. </w:t>
            </w:r>
          </w:p>
        </w:tc>
        <w:tc>
          <w:tcPr>
            <w:tcW w:w="0" w:type="auto"/>
            <w:vMerge/>
            <w:tcBorders>
              <w:top w:val="nil"/>
              <w:left w:val="single" w:sz="4" w:space="0" w:color="000000"/>
              <w:bottom w:val="single" w:sz="4" w:space="0" w:color="000000"/>
              <w:right w:val="single" w:sz="4" w:space="0" w:color="000000"/>
            </w:tcBorders>
          </w:tcPr>
          <w:p w14:paraId="0D58FF07" w14:textId="77777777" w:rsidR="00E10BA0" w:rsidRPr="008E3606" w:rsidRDefault="00E10BA0" w:rsidP="007E453E">
            <w:pPr>
              <w:widowControl w:val="0"/>
              <w:spacing w:line="240" w:lineRule="auto"/>
              <w:jc w:val="left"/>
              <w:rPr>
                <w:sz w:val="24"/>
              </w:rPr>
            </w:pPr>
          </w:p>
        </w:tc>
      </w:tr>
      <w:tr w:rsidR="00E10BA0" w:rsidRPr="008E3606" w14:paraId="495FD50A"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D2AA065" w14:textId="77777777" w:rsidR="00E10BA0" w:rsidRPr="008E3606" w:rsidRDefault="00E10BA0" w:rsidP="007E453E">
            <w:pPr>
              <w:widowControl w:val="0"/>
              <w:spacing w:line="240" w:lineRule="auto"/>
              <w:jc w:val="left"/>
              <w:rPr>
                <w:sz w:val="24"/>
              </w:rPr>
            </w:pPr>
            <w:r w:rsidRPr="008E3606">
              <w:rPr>
                <w:sz w:val="24"/>
              </w:rPr>
              <w:t xml:space="preserve">DA (Nuevo Y) </w:t>
            </w:r>
          </w:p>
        </w:tc>
        <w:tc>
          <w:tcPr>
            <w:tcW w:w="4536" w:type="dxa"/>
            <w:tcBorders>
              <w:top w:val="single" w:sz="4" w:space="0" w:color="000000"/>
              <w:left w:val="single" w:sz="4" w:space="0" w:color="000000"/>
              <w:bottom w:val="single" w:sz="4" w:space="0" w:color="000000"/>
              <w:right w:val="single" w:sz="4" w:space="0" w:color="000000"/>
            </w:tcBorders>
          </w:tcPr>
          <w:p w14:paraId="175836E8" w14:textId="77777777" w:rsidR="00E10BA0" w:rsidRPr="008E3606" w:rsidRDefault="00E10BA0" w:rsidP="007E453E">
            <w:pPr>
              <w:widowControl w:val="0"/>
              <w:spacing w:line="240" w:lineRule="auto"/>
              <w:jc w:val="left"/>
              <w:rPr>
                <w:sz w:val="24"/>
              </w:rPr>
            </w:pPr>
            <w:r w:rsidRPr="008E3606">
              <w:rPr>
                <w:sz w:val="24"/>
              </w:rPr>
              <w:t xml:space="preserve">Certificados de Aportación admitidos en el CB </w:t>
            </w:r>
          </w:p>
        </w:tc>
        <w:tc>
          <w:tcPr>
            <w:tcW w:w="2268" w:type="dxa"/>
            <w:tcBorders>
              <w:top w:val="single" w:sz="4" w:space="0" w:color="000000"/>
              <w:left w:val="single" w:sz="4" w:space="0" w:color="000000"/>
              <w:bottom w:val="single" w:sz="4" w:space="0" w:color="000000"/>
              <w:right w:val="single" w:sz="4" w:space="0" w:color="000000"/>
            </w:tcBorders>
          </w:tcPr>
          <w:p w14:paraId="2E3F31A2"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E8F1559"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7C7CBB84"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832C3D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29B1BB7"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4232CACD" w14:textId="77777777" w:rsidR="00E10BA0" w:rsidRPr="008E3606" w:rsidRDefault="00E10BA0" w:rsidP="007E453E">
            <w:pPr>
              <w:widowControl w:val="0"/>
              <w:spacing w:line="240" w:lineRule="auto"/>
              <w:jc w:val="left"/>
              <w:rPr>
                <w:sz w:val="24"/>
              </w:rPr>
            </w:pPr>
            <w:r w:rsidRPr="008E3606">
              <w:rPr>
                <w:sz w:val="24"/>
              </w:rPr>
              <w:t xml:space="preserve">La reserva legal. </w:t>
            </w:r>
          </w:p>
        </w:tc>
        <w:tc>
          <w:tcPr>
            <w:tcW w:w="2268" w:type="dxa"/>
            <w:tcBorders>
              <w:top w:val="single" w:sz="4" w:space="0" w:color="000000"/>
              <w:left w:val="single" w:sz="4" w:space="0" w:color="000000"/>
              <w:bottom w:val="single" w:sz="4" w:space="0" w:color="000000"/>
              <w:right w:val="single" w:sz="4" w:space="0" w:color="000000"/>
            </w:tcBorders>
          </w:tcPr>
          <w:p w14:paraId="319B01A6"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4AB5686A"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3383103A" w14:textId="77777777" w:rsidR="00E10BA0" w:rsidRPr="008E3606" w:rsidRDefault="00E10BA0" w:rsidP="007E453E">
            <w:pPr>
              <w:widowControl w:val="0"/>
              <w:spacing w:line="240" w:lineRule="auto"/>
              <w:jc w:val="left"/>
              <w:rPr>
                <w:sz w:val="24"/>
              </w:rPr>
            </w:pPr>
            <w:r w:rsidRPr="008E3606">
              <w:rPr>
                <w:sz w:val="24"/>
              </w:rPr>
              <w:t xml:space="preserve">CC 34100000 </w:t>
            </w:r>
          </w:p>
        </w:tc>
        <w:tc>
          <w:tcPr>
            <w:tcW w:w="4536" w:type="dxa"/>
            <w:tcBorders>
              <w:top w:val="single" w:sz="4" w:space="0" w:color="000000"/>
              <w:left w:val="single" w:sz="4" w:space="0" w:color="000000"/>
              <w:bottom w:val="single" w:sz="4" w:space="0" w:color="000000"/>
              <w:right w:val="single" w:sz="4" w:space="0" w:color="000000"/>
            </w:tcBorders>
          </w:tcPr>
          <w:p w14:paraId="46124541" w14:textId="77777777" w:rsidR="00E10BA0" w:rsidRPr="008E3606" w:rsidRDefault="00E10BA0" w:rsidP="007E453E">
            <w:pPr>
              <w:widowControl w:val="0"/>
              <w:spacing w:line="240" w:lineRule="auto"/>
              <w:jc w:val="left"/>
              <w:rPr>
                <w:sz w:val="24"/>
              </w:rPr>
            </w:pPr>
            <w:r w:rsidRPr="008E3606">
              <w:rPr>
                <w:sz w:val="24"/>
              </w:rPr>
              <w:t xml:space="preserve">Reserva legal </w:t>
            </w:r>
          </w:p>
        </w:tc>
        <w:tc>
          <w:tcPr>
            <w:tcW w:w="2268" w:type="dxa"/>
            <w:tcBorders>
              <w:top w:val="single" w:sz="4" w:space="0" w:color="000000"/>
              <w:left w:val="single" w:sz="4" w:space="0" w:color="000000"/>
              <w:bottom w:val="single" w:sz="4" w:space="0" w:color="000000"/>
              <w:right w:val="single" w:sz="4" w:space="0" w:color="000000"/>
            </w:tcBorders>
          </w:tcPr>
          <w:p w14:paraId="45F7B3B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F09B2BF"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C737F8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5F1244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D6C1D63"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621B4C5C" w14:textId="77777777" w:rsidR="00E10BA0" w:rsidRPr="008E3606" w:rsidRDefault="00E10BA0" w:rsidP="007E453E">
            <w:pPr>
              <w:widowControl w:val="0"/>
              <w:spacing w:line="240" w:lineRule="auto"/>
              <w:jc w:val="left"/>
              <w:rPr>
                <w:sz w:val="24"/>
              </w:rPr>
            </w:pPr>
            <w:r w:rsidRPr="008E3606">
              <w:rPr>
                <w:sz w:val="24"/>
              </w:rPr>
              <w:t xml:space="preserve">Los excedentes acumulados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4C4D52BE"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45BAADB5"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47B03B0D" w14:textId="77777777" w:rsidR="00E10BA0" w:rsidRPr="008E3606" w:rsidRDefault="00E10BA0" w:rsidP="007E453E">
            <w:pPr>
              <w:widowControl w:val="0"/>
              <w:spacing w:line="240" w:lineRule="auto"/>
              <w:jc w:val="left"/>
              <w:rPr>
                <w:sz w:val="24"/>
              </w:rPr>
            </w:pPr>
            <w:r w:rsidRPr="008E3606">
              <w:rPr>
                <w:sz w:val="24"/>
              </w:rPr>
              <w:t xml:space="preserve">CC 35100000 </w:t>
            </w:r>
          </w:p>
        </w:tc>
        <w:tc>
          <w:tcPr>
            <w:tcW w:w="4536" w:type="dxa"/>
            <w:tcBorders>
              <w:top w:val="single" w:sz="4" w:space="0" w:color="000000"/>
              <w:left w:val="single" w:sz="4" w:space="0" w:color="000000"/>
              <w:bottom w:val="single" w:sz="4" w:space="0" w:color="000000"/>
              <w:right w:val="single" w:sz="4" w:space="0" w:color="000000"/>
            </w:tcBorders>
          </w:tcPr>
          <w:p w14:paraId="4ED644A1" w14:textId="77777777" w:rsidR="00E10BA0" w:rsidRPr="008E3606" w:rsidRDefault="00E10BA0" w:rsidP="007E453E">
            <w:pPr>
              <w:widowControl w:val="0"/>
              <w:spacing w:line="240" w:lineRule="auto"/>
              <w:ind w:right="16"/>
              <w:jc w:val="left"/>
              <w:rPr>
                <w:sz w:val="24"/>
              </w:rPr>
            </w:pPr>
            <w:r w:rsidRPr="008E3606">
              <w:rPr>
                <w:sz w:val="24"/>
              </w:rPr>
              <w:t xml:space="preserve">Utilidades acumuladas de ejercicios anteriores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D13A55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1A478FE"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5A6CDF3"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B37AAE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E061743"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4DC2ABFF" w14:textId="77777777" w:rsidR="00E10BA0" w:rsidRPr="008E3606" w:rsidRDefault="00E10BA0" w:rsidP="007E453E">
            <w:pPr>
              <w:widowControl w:val="0"/>
              <w:spacing w:line="240" w:lineRule="auto"/>
              <w:jc w:val="left"/>
              <w:rPr>
                <w:sz w:val="24"/>
              </w:rPr>
            </w:pPr>
            <w:r w:rsidRPr="008E3606">
              <w:rPr>
                <w:sz w:val="24"/>
              </w:rPr>
              <w:t xml:space="preserve">El excedente del periodo, neto de las participaciones legales sobre los excedentes.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4D3C10"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23425D3D"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7AB7634B" w14:textId="77777777" w:rsidR="00E10BA0" w:rsidRPr="008E3606" w:rsidRDefault="00E10BA0" w:rsidP="007E453E">
            <w:pPr>
              <w:widowControl w:val="0"/>
              <w:spacing w:line="240" w:lineRule="auto"/>
              <w:jc w:val="left"/>
              <w:rPr>
                <w:sz w:val="24"/>
              </w:rPr>
            </w:pPr>
            <w:r w:rsidRPr="008E3606">
              <w:rPr>
                <w:sz w:val="24"/>
              </w:rPr>
              <w:t xml:space="preserve">En caso de que el excedente del período sea positivo (utilidad): </w:t>
            </w:r>
          </w:p>
        </w:tc>
        <w:tc>
          <w:tcPr>
            <w:tcW w:w="2268" w:type="dxa"/>
            <w:tcBorders>
              <w:top w:val="single" w:sz="4" w:space="0" w:color="000000"/>
              <w:left w:val="single" w:sz="4" w:space="0" w:color="000000"/>
              <w:bottom w:val="single" w:sz="4" w:space="0" w:color="000000"/>
              <w:right w:val="single" w:sz="4" w:space="0" w:color="000000"/>
            </w:tcBorders>
          </w:tcPr>
          <w:p w14:paraId="68691B1F"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20C7877"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43FFB2FE" w14:textId="77777777" w:rsidR="00E10BA0" w:rsidRPr="008E3606" w:rsidRDefault="00E10BA0" w:rsidP="007E453E">
            <w:pPr>
              <w:widowControl w:val="0"/>
              <w:spacing w:line="240" w:lineRule="auto"/>
              <w:jc w:val="left"/>
              <w:rPr>
                <w:sz w:val="24"/>
              </w:rPr>
            </w:pPr>
            <w:r w:rsidRPr="008E3606">
              <w:rPr>
                <w:sz w:val="24"/>
              </w:rPr>
              <w:t xml:space="preserve">CC 50000000 </w:t>
            </w:r>
          </w:p>
        </w:tc>
        <w:tc>
          <w:tcPr>
            <w:tcW w:w="4536" w:type="dxa"/>
            <w:tcBorders>
              <w:top w:val="single" w:sz="4" w:space="0" w:color="000000"/>
              <w:left w:val="single" w:sz="4" w:space="0" w:color="000000"/>
              <w:bottom w:val="single" w:sz="4" w:space="0" w:color="000000"/>
              <w:right w:val="single" w:sz="4" w:space="0" w:color="000000"/>
            </w:tcBorders>
          </w:tcPr>
          <w:p w14:paraId="43829F34" w14:textId="77777777" w:rsidR="00E10BA0" w:rsidRPr="008E3606" w:rsidRDefault="00E10BA0" w:rsidP="007E453E">
            <w:pPr>
              <w:widowControl w:val="0"/>
              <w:spacing w:line="240" w:lineRule="auto"/>
              <w:jc w:val="left"/>
              <w:rPr>
                <w:sz w:val="24"/>
              </w:rPr>
            </w:pPr>
            <w:r w:rsidRPr="008E3606">
              <w:rPr>
                <w:sz w:val="24"/>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14:paraId="05225B1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2FB25F1"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0376262E" w14:textId="77777777" w:rsidR="00E10BA0" w:rsidRPr="008E3606" w:rsidRDefault="00E10BA0" w:rsidP="007E453E">
            <w:pPr>
              <w:widowControl w:val="0"/>
              <w:spacing w:line="240" w:lineRule="auto"/>
              <w:jc w:val="left"/>
              <w:rPr>
                <w:sz w:val="24"/>
              </w:rPr>
            </w:pPr>
            <w:r w:rsidRPr="008E3606">
              <w:rPr>
                <w:sz w:val="24"/>
              </w:rPr>
              <w:t xml:space="preserve">MENOS CC 40000000 </w:t>
            </w:r>
          </w:p>
        </w:tc>
        <w:tc>
          <w:tcPr>
            <w:tcW w:w="4536" w:type="dxa"/>
            <w:tcBorders>
              <w:top w:val="single" w:sz="4" w:space="0" w:color="000000"/>
              <w:left w:val="single" w:sz="4" w:space="0" w:color="000000"/>
              <w:bottom w:val="single" w:sz="4" w:space="0" w:color="000000"/>
              <w:right w:val="single" w:sz="4" w:space="0" w:color="000000"/>
            </w:tcBorders>
          </w:tcPr>
          <w:p w14:paraId="66A367FC" w14:textId="77777777" w:rsidR="00E10BA0" w:rsidRPr="008E3606" w:rsidRDefault="00E10BA0" w:rsidP="007E453E">
            <w:pPr>
              <w:widowControl w:val="0"/>
              <w:spacing w:line="240" w:lineRule="auto"/>
              <w:jc w:val="left"/>
              <w:rPr>
                <w:sz w:val="24"/>
              </w:rPr>
            </w:pPr>
            <w:r w:rsidRPr="008E3606">
              <w:rPr>
                <w:sz w:val="24"/>
              </w:rPr>
              <w:t xml:space="preserve">Gastos </w:t>
            </w:r>
          </w:p>
        </w:tc>
        <w:tc>
          <w:tcPr>
            <w:tcW w:w="2268" w:type="dxa"/>
            <w:tcBorders>
              <w:top w:val="single" w:sz="4" w:space="0" w:color="000000"/>
              <w:left w:val="single" w:sz="4" w:space="0" w:color="000000"/>
              <w:bottom w:val="single" w:sz="4" w:space="0" w:color="000000"/>
              <w:right w:val="single" w:sz="4" w:space="0" w:color="000000"/>
            </w:tcBorders>
          </w:tcPr>
          <w:p w14:paraId="25D90E0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FE31532"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7EB3F6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6EC3CBE"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86C13C2" w14:textId="77777777" w:rsidTr="007E453E">
        <w:trPr>
          <w:trHeight w:val="1332"/>
        </w:trPr>
        <w:tc>
          <w:tcPr>
            <w:tcW w:w="7082" w:type="dxa"/>
            <w:gridSpan w:val="2"/>
            <w:tcBorders>
              <w:top w:val="single" w:sz="4" w:space="0" w:color="000000"/>
              <w:left w:val="single" w:sz="4" w:space="0" w:color="000000"/>
              <w:bottom w:val="single" w:sz="4" w:space="0" w:color="000000"/>
              <w:right w:val="single" w:sz="4" w:space="0" w:color="000000"/>
            </w:tcBorders>
          </w:tcPr>
          <w:p w14:paraId="55B106A4" w14:textId="77777777" w:rsidR="00E10BA0" w:rsidRPr="008E3606" w:rsidRDefault="00E10BA0" w:rsidP="007E453E">
            <w:pPr>
              <w:widowControl w:val="0"/>
              <w:spacing w:line="240" w:lineRule="auto"/>
              <w:ind w:right="55"/>
              <w:rPr>
                <w:sz w:val="24"/>
              </w:rPr>
            </w:pPr>
            <w:r w:rsidRPr="008E3606">
              <w:rPr>
                <w:sz w:val="24"/>
              </w:rPr>
              <w:t xml:space="preserve">Los otros resultados integrales acumulados totales, excluyendo: i) los superávits por revaluación de inmuebles, mobiliario y equipo, ii) los superávits por revaluación de otros activos diferentes de instrumentos financieros, y iii) los superávits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3589580"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5B3E993C"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653EE585" w14:textId="77777777" w:rsidR="00E10BA0" w:rsidRPr="008E3606" w:rsidRDefault="00E10BA0" w:rsidP="007E453E">
            <w:pPr>
              <w:widowControl w:val="0"/>
              <w:spacing w:line="240" w:lineRule="auto"/>
              <w:jc w:val="left"/>
              <w:rPr>
                <w:sz w:val="24"/>
              </w:rPr>
            </w:pPr>
            <w:r w:rsidRPr="008E3606">
              <w:rPr>
                <w:sz w:val="24"/>
              </w:rPr>
              <w:t xml:space="preserve">CC 33000000 </w:t>
            </w:r>
          </w:p>
        </w:tc>
        <w:tc>
          <w:tcPr>
            <w:tcW w:w="4536" w:type="dxa"/>
            <w:tcBorders>
              <w:top w:val="single" w:sz="4" w:space="0" w:color="000000"/>
              <w:left w:val="single" w:sz="4" w:space="0" w:color="000000"/>
              <w:bottom w:val="single" w:sz="4" w:space="0" w:color="000000"/>
              <w:right w:val="single" w:sz="4" w:space="0" w:color="000000"/>
            </w:tcBorders>
          </w:tcPr>
          <w:p w14:paraId="38F81CD2" w14:textId="77777777" w:rsidR="00E10BA0" w:rsidRPr="008E3606" w:rsidRDefault="00E10BA0" w:rsidP="007E453E">
            <w:pPr>
              <w:widowControl w:val="0"/>
              <w:spacing w:line="240" w:lineRule="auto"/>
              <w:jc w:val="left"/>
              <w:rPr>
                <w:sz w:val="24"/>
              </w:rPr>
            </w:pPr>
            <w:r w:rsidRPr="008E3606">
              <w:rPr>
                <w:sz w:val="24"/>
              </w:rPr>
              <w:t xml:space="preserve">Ajustes al patrimonio - otros resultados integrales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687A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2D826AC"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0B8979E7" w14:textId="77777777" w:rsidR="00E10BA0" w:rsidRPr="008E3606" w:rsidRDefault="00E10BA0" w:rsidP="007E453E">
            <w:pPr>
              <w:widowControl w:val="0"/>
              <w:spacing w:line="240" w:lineRule="auto"/>
              <w:jc w:val="left"/>
              <w:rPr>
                <w:sz w:val="24"/>
              </w:rPr>
            </w:pPr>
            <w:r w:rsidRPr="008E3606">
              <w:rPr>
                <w:sz w:val="24"/>
              </w:rPr>
              <w:t xml:space="preserve">MENOS CC 33101000 </w:t>
            </w:r>
          </w:p>
        </w:tc>
        <w:tc>
          <w:tcPr>
            <w:tcW w:w="4536" w:type="dxa"/>
            <w:tcBorders>
              <w:top w:val="single" w:sz="4" w:space="0" w:color="000000"/>
              <w:left w:val="single" w:sz="4" w:space="0" w:color="000000"/>
              <w:bottom w:val="single" w:sz="4" w:space="0" w:color="000000"/>
              <w:right w:val="single" w:sz="4" w:space="0" w:color="000000"/>
            </w:tcBorders>
          </w:tcPr>
          <w:p w14:paraId="341643FF" w14:textId="77777777" w:rsidR="00E10BA0" w:rsidRPr="008E3606" w:rsidRDefault="00E10BA0" w:rsidP="007E453E">
            <w:pPr>
              <w:widowControl w:val="0"/>
              <w:spacing w:line="240" w:lineRule="auto"/>
              <w:jc w:val="left"/>
              <w:rPr>
                <w:sz w:val="24"/>
              </w:rPr>
            </w:pPr>
            <w:r w:rsidRPr="008E3606">
              <w:rPr>
                <w:sz w:val="24"/>
              </w:rPr>
              <w:t xml:space="preserve">Superávit por revaluación de propiedades inmobiliarias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3B6680"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712F32C"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9507D16" w14:textId="77777777" w:rsidR="00E10BA0" w:rsidRPr="008E3606" w:rsidRDefault="00E10BA0" w:rsidP="007E453E">
            <w:pPr>
              <w:widowControl w:val="0"/>
              <w:spacing w:line="240" w:lineRule="auto"/>
              <w:jc w:val="left"/>
              <w:rPr>
                <w:sz w:val="24"/>
              </w:rPr>
            </w:pPr>
            <w:r w:rsidRPr="008E3606">
              <w:rPr>
                <w:sz w:val="24"/>
              </w:rPr>
              <w:t xml:space="preserve">MENOS CC 33106000 </w:t>
            </w:r>
          </w:p>
        </w:tc>
        <w:tc>
          <w:tcPr>
            <w:tcW w:w="4536" w:type="dxa"/>
            <w:tcBorders>
              <w:top w:val="single" w:sz="4" w:space="0" w:color="000000"/>
              <w:left w:val="single" w:sz="4" w:space="0" w:color="000000"/>
              <w:bottom w:val="single" w:sz="4" w:space="0" w:color="000000"/>
              <w:right w:val="single" w:sz="4" w:space="0" w:color="000000"/>
            </w:tcBorders>
          </w:tcPr>
          <w:p w14:paraId="3FDB7E59" w14:textId="77777777" w:rsidR="00E10BA0" w:rsidRPr="008E3606" w:rsidRDefault="00E10BA0" w:rsidP="007E453E">
            <w:pPr>
              <w:widowControl w:val="0"/>
              <w:spacing w:line="240" w:lineRule="auto"/>
              <w:jc w:val="left"/>
              <w:rPr>
                <w:sz w:val="24"/>
              </w:rPr>
            </w:pPr>
            <w:r w:rsidRPr="008E3606">
              <w:rPr>
                <w:sz w:val="24"/>
              </w:rPr>
              <w:t xml:space="preserve">Superávit por revaluación de otros activos </w:t>
            </w:r>
          </w:p>
        </w:tc>
        <w:tc>
          <w:tcPr>
            <w:tcW w:w="2268" w:type="dxa"/>
            <w:tcBorders>
              <w:top w:val="single" w:sz="4" w:space="0" w:color="000000"/>
              <w:left w:val="single" w:sz="4" w:space="0" w:color="000000"/>
              <w:bottom w:val="single" w:sz="4" w:space="0" w:color="000000"/>
              <w:right w:val="single" w:sz="4" w:space="0" w:color="000000"/>
            </w:tcBorders>
          </w:tcPr>
          <w:p w14:paraId="628AEF80"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727C8EF"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D078126" w14:textId="77777777" w:rsidR="00E10BA0" w:rsidRPr="008E3606" w:rsidRDefault="00E10BA0" w:rsidP="007E453E">
            <w:pPr>
              <w:widowControl w:val="0"/>
              <w:spacing w:line="240" w:lineRule="auto"/>
              <w:jc w:val="left"/>
              <w:rPr>
                <w:sz w:val="24"/>
              </w:rPr>
            </w:pPr>
            <w:r w:rsidRPr="008E3606">
              <w:rPr>
                <w:sz w:val="24"/>
              </w:rPr>
              <w:t xml:space="preserve">MENOS CC 33200000 </w:t>
            </w:r>
          </w:p>
        </w:tc>
        <w:tc>
          <w:tcPr>
            <w:tcW w:w="4536" w:type="dxa"/>
            <w:tcBorders>
              <w:top w:val="single" w:sz="4" w:space="0" w:color="000000"/>
              <w:left w:val="single" w:sz="4" w:space="0" w:color="000000"/>
              <w:bottom w:val="single" w:sz="4" w:space="0" w:color="000000"/>
              <w:right w:val="single" w:sz="4" w:space="0" w:color="000000"/>
            </w:tcBorders>
          </w:tcPr>
          <w:p w14:paraId="23F2886A" w14:textId="77777777" w:rsidR="00E10BA0" w:rsidRPr="008E3606" w:rsidRDefault="00E10BA0" w:rsidP="007E453E">
            <w:pPr>
              <w:widowControl w:val="0"/>
              <w:spacing w:line="240" w:lineRule="auto"/>
              <w:rPr>
                <w:sz w:val="24"/>
              </w:rPr>
            </w:pPr>
            <w:r w:rsidRPr="008E3606">
              <w:rPr>
                <w:sz w:val="24"/>
              </w:rPr>
              <w:t xml:space="preserve">Ajustes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681CDB"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EC88955"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4C546EB0"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E27252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9B3EAC5"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0E493EA6" w14:textId="77777777" w:rsidR="00E10BA0" w:rsidRPr="008E3606" w:rsidRDefault="00E10BA0" w:rsidP="007E453E">
            <w:pPr>
              <w:widowControl w:val="0"/>
              <w:spacing w:line="240" w:lineRule="auto"/>
              <w:ind w:right="55"/>
              <w:rPr>
                <w:sz w:val="24"/>
              </w:rPr>
            </w:pPr>
            <w:r w:rsidRPr="008E3606">
              <w:rPr>
                <w:sz w:val="24"/>
              </w:rPr>
              <w:t xml:space="preserve">El literal g) del artículo 19 corresponde a la deducción cuyo detalle se presenta en el Artículo 22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F525B2" w14:textId="77777777" w:rsidR="00E10BA0" w:rsidRPr="008E3606" w:rsidRDefault="00E10BA0" w:rsidP="007E453E">
            <w:pPr>
              <w:widowControl w:val="0"/>
              <w:spacing w:line="240" w:lineRule="auto"/>
              <w:ind w:right="55"/>
              <w:jc w:val="center"/>
              <w:rPr>
                <w:sz w:val="24"/>
              </w:rPr>
            </w:pPr>
            <w:r w:rsidRPr="008E3606">
              <w:rPr>
                <w:sz w:val="24"/>
              </w:rPr>
              <w:t xml:space="preserve">Literal g) </w:t>
            </w:r>
          </w:p>
        </w:tc>
      </w:tr>
      <w:tr w:rsidR="00E10BA0" w:rsidRPr="008E3606" w14:paraId="66A74148"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26423786" w14:textId="77777777" w:rsidR="00E10BA0" w:rsidRPr="008E3606" w:rsidRDefault="00E10BA0" w:rsidP="007E453E">
            <w:pPr>
              <w:widowControl w:val="0"/>
              <w:spacing w:line="240" w:lineRule="auto"/>
              <w:jc w:val="left"/>
              <w:rPr>
                <w:sz w:val="24"/>
              </w:rPr>
            </w:pPr>
            <w:r w:rsidRPr="008E3606">
              <w:rPr>
                <w:sz w:val="24"/>
              </w:rPr>
              <w:t xml:space="preserve">DA (Nuevo A) </w:t>
            </w:r>
          </w:p>
        </w:tc>
        <w:tc>
          <w:tcPr>
            <w:tcW w:w="4536" w:type="dxa"/>
            <w:tcBorders>
              <w:top w:val="single" w:sz="4" w:space="0" w:color="000000"/>
              <w:left w:val="single" w:sz="4" w:space="0" w:color="000000"/>
              <w:bottom w:val="single" w:sz="4" w:space="0" w:color="000000"/>
              <w:right w:val="single" w:sz="4" w:space="0" w:color="000000"/>
            </w:tcBorders>
          </w:tcPr>
          <w:p w14:paraId="5558CCBF" w14:textId="77777777" w:rsidR="00E10BA0" w:rsidRPr="008E3606" w:rsidRDefault="00E10BA0" w:rsidP="007E453E">
            <w:pPr>
              <w:widowControl w:val="0"/>
              <w:spacing w:line="240" w:lineRule="auto"/>
              <w:jc w:val="left"/>
              <w:rPr>
                <w:sz w:val="24"/>
              </w:rPr>
            </w:pPr>
            <w:r w:rsidRPr="008E3606">
              <w:rPr>
                <w:sz w:val="24"/>
              </w:rPr>
              <w:t xml:space="preserve">Deducciones del CCN1 </w:t>
            </w:r>
          </w:p>
        </w:tc>
        <w:tc>
          <w:tcPr>
            <w:tcW w:w="2268" w:type="dxa"/>
            <w:tcBorders>
              <w:top w:val="single" w:sz="4" w:space="0" w:color="000000"/>
              <w:left w:val="single" w:sz="4" w:space="0" w:color="000000"/>
              <w:bottom w:val="single" w:sz="4" w:space="0" w:color="000000"/>
              <w:right w:val="single" w:sz="4" w:space="0" w:color="000000"/>
            </w:tcBorders>
          </w:tcPr>
          <w:p w14:paraId="4AB396A6"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02B7510"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39806556"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BC699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EE226B3"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6E36AAEB" w14:textId="77777777" w:rsidR="00E10BA0" w:rsidRPr="008E3606" w:rsidRDefault="00E10BA0" w:rsidP="007E453E">
            <w:pPr>
              <w:widowControl w:val="0"/>
              <w:spacing w:line="240" w:lineRule="auto"/>
              <w:jc w:val="left"/>
              <w:rPr>
                <w:sz w:val="24"/>
              </w:rPr>
            </w:pPr>
            <w:r w:rsidRPr="008E3606">
              <w:rPr>
                <w:b/>
                <w:sz w:val="24"/>
              </w:rPr>
              <w:t xml:space="preserve">2. Deducciones del CCN1 </w:t>
            </w:r>
          </w:p>
        </w:tc>
        <w:tc>
          <w:tcPr>
            <w:tcW w:w="2268" w:type="dxa"/>
            <w:tcBorders>
              <w:top w:val="single" w:sz="4" w:space="0" w:color="000000"/>
              <w:left w:val="single" w:sz="4" w:space="0" w:color="000000"/>
              <w:bottom w:val="single" w:sz="4" w:space="0" w:color="000000"/>
              <w:right w:val="single" w:sz="4" w:space="0" w:color="000000"/>
            </w:tcBorders>
          </w:tcPr>
          <w:p w14:paraId="4247FDD8" w14:textId="77777777" w:rsidR="00E10BA0" w:rsidRPr="008E3606" w:rsidRDefault="00E10BA0" w:rsidP="007E453E">
            <w:pPr>
              <w:widowControl w:val="0"/>
              <w:spacing w:line="240" w:lineRule="auto"/>
              <w:ind w:right="58"/>
              <w:jc w:val="center"/>
              <w:rPr>
                <w:sz w:val="24"/>
              </w:rPr>
            </w:pPr>
            <w:r w:rsidRPr="008E3606">
              <w:rPr>
                <w:b/>
                <w:sz w:val="24"/>
              </w:rPr>
              <w:t xml:space="preserve">ARTÍCULO 22 </w:t>
            </w:r>
          </w:p>
        </w:tc>
      </w:tr>
      <w:tr w:rsidR="00E10BA0" w:rsidRPr="008E3606" w14:paraId="28F4DBC3"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24F39C10"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30B6CF08"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703128BD"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3F3563E"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549FA07B"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0ADC63F5" w14:textId="77777777" w:rsidR="00E10BA0" w:rsidRPr="008E3606" w:rsidRDefault="00E10BA0" w:rsidP="007E453E">
            <w:pPr>
              <w:widowControl w:val="0"/>
              <w:spacing w:line="240" w:lineRule="auto"/>
              <w:jc w:val="left"/>
              <w:rPr>
                <w:sz w:val="24"/>
              </w:rPr>
            </w:pPr>
          </w:p>
        </w:tc>
      </w:tr>
      <w:tr w:rsidR="00E10BA0" w:rsidRPr="008E3606" w14:paraId="18E12FC5" w14:textId="77777777" w:rsidTr="007E453E">
        <w:trPr>
          <w:trHeight w:val="2126"/>
        </w:trPr>
        <w:tc>
          <w:tcPr>
            <w:tcW w:w="7082" w:type="dxa"/>
            <w:gridSpan w:val="2"/>
            <w:tcBorders>
              <w:top w:val="single" w:sz="4" w:space="0" w:color="000000"/>
              <w:left w:val="single" w:sz="4" w:space="0" w:color="000000"/>
              <w:bottom w:val="single" w:sz="4" w:space="0" w:color="000000"/>
              <w:right w:val="single" w:sz="4" w:space="0" w:color="000000"/>
            </w:tcBorders>
          </w:tcPr>
          <w:p w14:paraId="694050C1" w14:textId="77777777" w:rsidR="00E10BA0" w:rsidRPr="008E3606" w:rsidRDefault="00E10BA0" w:rsidP="007E453E">
            <w:pPr>
              <w:widowControl w:val="0"/>
              <w:spacing w:line="240" w:lineRule="auto"/>
              <w:ind w:right="55"/>
              <w:rPr>
                <w:sz w:val="24"/>
              </w:rPr>
            </w:pPr>
            <w:r w:rsidRPr="008E3606">
              <w:rPr>
                <w:sz w:val="24"/>
              </w:rPr>
              <w:t xml:space="preserve">El valor en libros de las participaciones en el capital social de organizaciones cooperativas, o de otras entidades o empresas en instrumentos homólogos al CCN1 que calificarían como tales bajo los criterios establecidos en el Anexo 3 del Acuerdo Sugef 3-06. Esta deducción se efectuará con independencia del porcentaje de participación de la entidad supervisada en el capital social de la entidad o empresa de que se trate, e independientemente de la naturaleza de la entidad o empresa de que se trate, y </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6D9D9" w14:textId="77777777" w:rsidR="00E10BA0" w:rsidRPr="008E3606" w:rsidRDefault="00E10BA0" w:rsidP="007E453E">
            <w:pPr>
              <w:widowControl w:val="0"/>
              <w:spacing w:line="240" w:lineRule="auto"/>
              <w:ind w:right="60"/>
              <w:jc w:val="center"/>
              <w:rPr>
                <w:sz w:val="24"/>
              </w:rPr>
            </w:pPr>
            <w:r w:rsidRPr="008E3606">
              <w:rPr>
                <w:sz w:val="24"/>
              </w:rPr>
              <w:t xml:space="preserve">Literal a)  </w:t>
            </w:r>
          </w:p>
          <w:p w14:paraId="7BC03C9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9FB8550"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11F253FD" w14:textId="77777777" w:rsidR="00E10BA0" w:rsidRPr="008E3606" w:rsidRDefault="00E10BA0" w:rsidP="007E453E">
            <w:pPr>
              <w:widowControl w:val="0"/>
              <w:spacing w:line="240" w:lineRule="auto"/>
              <w:jc w:val="left"/>
              <w:rPr>
                <w:sz w:val="24"/>
              </w:rPr>
            </w:pPr>
            <w:r w:rsidRPr="008E3606">
              <w:rPr>
                <w:sz w:val="24"/>
              </w:rPr>
              <w:lastRenderedPageBreak/>
              <w:t xml:space="preserve">DA (Nuevo M) </w:t>
            </w:r>
          </w:p>
        </w:tc>
        <w:tc>
          <w:tcPr>
            <w:tcW w:w="4536" w:type="dxa"/>
            <w:tcBorders>
              <w:top w:val="single" w:sz="4" w:space="0" w:color="000000"/>
              <w:left w:val="single" w:sz="4" w:space="0" w:color="000000"/>
              <w:bottom w:val="single" w:sz="4" w:space="0" w:color="000000"/>
              <w:right w:val="single" w:sz="4" w:space="0" w:color="000000"/>
            </w:tcBorders>
          </w:tcPr>
          <w:p w14:paraId="188CC5F6" w14:textId="77777777" w:rsidR="00E10BA0" w:rsidRPr="008E3606" w:rsidRDefault="00E10BA0" w:rsidP="007E453E">
            <w:pPr>
              <w:widowControl w:val="0"/>
              <w:spacing w:line="240" w:lineRule="auto"/>
              <w:rPr>
                <w:sz w:val="24"/>
              </w:rPr>
            </w:pPr>
            <w:r w:rsidRPr="008E3606">
              <w:rPr>
                <w:sz w:val="24"/>
              </w:rPr>
              <w:t xml:space="preserve">Valor en libros de las participaciones en instrumentos de capital homólogos al CCN1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9338E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320C979"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1135FDF2" w14:textId="77777777" w:rsidR="00E10BA0" w:rsidRPr="008E3606" w:rsidRDefault="00E10BA0" w:rsidP="007E453E">
            <w:pPr>
              <w:widowControl w:val="0"/>
              <w:spacing w:line="240" w:lineRule="auto"/>
              <w:ind w:right="55"/>
              <w:rPr>
                <w:sz w:val="24"/>
              </w:rPr>
            </w:pPr>
            <w:r w:rsidRPr="008E3606">
              <w:rPr>
                <w:sz w:val="24"/>
              </w:rPr>
              <w:t xml:space="preserve">El valor en libros de las participaciones o inversiones en instrumentos de capital, deuda subordinada o deuda convertible que no sean homólogos a instrumentos del CCN1, CAN1 o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5F5BE303"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6C2A272D" w14:textId="77777777" w:rsidTr="007E453E">
        <w:trPr>
          <w:trHeight w:val="1068"/>
        </w:trPr>
        <w:tc>
          <w:tcPr>
            <w:tcW w:w="2546" w:type="dxa"/>
            <w:tcBorders>
              <w:top w:val="single" w:sz="4" w:space="0" w:color="000000"/>
              <w:left w:val="single" w:sz="4" w:space="0" w:color="000000"/>
              <w:bottom w:val="single" w:sz="4" w:space="0" w:color="000000"/>
              <w:right w:val="single" w:sz="4" w:space="0" w:color="000000"/>
            </w:tcBorders>
            <w:vAlign w:val="center"/>
          </w:tcPr>
          <w:p w14:paraId="7BDE098F" w14:textId="77777777" w:rsidR="00E10BA0" w:rsidRPr="008E3606" w:rsidRDefault="00E10BA0" w:rsidP="007E453E">
            <w:pPr>
              <w:widowControl w:val="0"/>
              <w:spacing w:line="240" w:lineRule="auto"/>
              <w:jc w:val="left"/>
              <w:rPr>
                <w:sz w:val="24"/>
              </w:rPr>
            </w:pPr>
            <w:r w:rsidRPr="008E3606">
              <w:rPr>
                <w:sz w:val="24"/>
              </w:rPr>
              <w:t xml:space="preserve">DA (Nuevo Z) </w:t>
            </w:r>
          </w:p>
        </w:tc>
        <w:tc>
          <w:tcPr>
            <w:tcW w:w="4536" w:type="dxa"/>
            <w:tcBorders>
              <w:top w:val="single" w:sz="4" w:space="0" w:color="000000"/>
              <w:left w:val="single" w:sz="4" w:space="0" w:color="000000"/>
              <w:bottom w:val="single" w:sz="4" w:space="0" w:color="000000"/>
              <w:right w:val="single" w:sz="4" w:space="0" w:color="000000"/>
            </w:tcBorders>
          </w:tcPr>
          <w:p w14:paraId="1021B4A7" w14:textId="77777777" w:rsidR="00E10BA0" w:rsidRPr="008E3606" w:rsidRDefault="00E10BA0" w:rsidP="007E453E">
            <w:pPr>
              <w:widowControl w:val="0"/>
              <w:spacing w:line="240" w:lineRule="auto"/>
              <w:ind w:right="55"/>
              <w:rPr>
                <w:sz w:val="24"/>
              </w:rPr>
            </w:pPr>
            <w:r w:rsidRPr="008E3606">
              <w:rPr>
                <w:sz w:val="24"/>
              </w:rPr>
              <w:t xml:space="preserve">Participaciones o inversiones en instrumentos de capital, deuda subordinada o deuda convertible que no sean homólogos a instrumentos del CCN1, CAN1 o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C2E53"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2CF3943"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282DE176"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32F25F1"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125CE4F" w14:textId="77777777" w:rsidTr="007E453E">
        <w:trPr>
          <w:trHeight w:val="1596"/>
        </w:trPr>
        <w:tc>
          <w:tcPr>
            <w:tcW w:w="7082" w:type="dxa"/>
            <w:gridSpan w:val="2"/>
            <w:tcBorders>
              <w:top w:val="single" w:sz="4" w:space="0" w:color="000000"/>
              <w:left w:val="single" w:sz="4" w:space="0" w:color="000000"/>
              <w:bottom w:val="single" w:sz="4" w:space="0" w:color="000000"/>
              <w:right w:val="single" w:sz="4" w:space="0" w:color="000000"/>
            </w:tcBorders>
          </w:tcPr>
          <w:p w14:paraId="22D4875A" w14:textId="77777777" w:rsidR="00E10BA0" w:rsidRPr="008E3606" w:rsidRDefault="00E10BA0" w:rsidP="007E453E">
            <w:pPr>
              <w:widowControl w:val="0"/>
              <w:spacing w:line="240" w:lineRule="auto"/>
              <w:ind w:right="55"/>
              <w:rPr>
                <w:sz w:val="24"/>
              </w:rPr>
            </w:pPr>
            <w:r w:rsidRPr="008E3606">
              <w:rPr>
                <w:sz w:val="24"/>
              </w:rPr>
              <w:t xml:space="preserve">El valor en libros de los activos intangibles clasificados como tales de conformidad con las Normas Internacionales de Información Financiera (NIIF), y los derechos de uso por arrendamiento financiero sobre activos intangibles. Para este efecto, la deducción corresponderá al costo del activo, menos la amortización acumulada y la pérdida acumulada por deterioro en su valor.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59412A"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7148F554"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26895AD" w14:textId="77777777" w:rsidR="00E10BA0" w:rsidRPr="008E3606" w:rsidRDefault="00E10BA0" w:rsidP="007E453E">
            <w:pPr>
              <w:widowControl w:val="0"/>
              <w:spacing w:line="240" w:lineRule="auto"/>
              <w:jc w:val="left"/>
              <w:rPr>
                <w:sz w:val="24"/>
              </w:rPr>
            </w:pPr>
            <w:r w:rsidRPr="008E3606">
              <w:rPr>
                <w:sz w:val="24"/>
              </w:rPr>
              <w:t xml:space="preserve">CC 18600000 </w:t>
            </w:r>
          </w:p>
        </w:tc>
        <w:tc>
          <w:tcPr>
            <w:tcW w:w="4536" w:type="dxa"/>
            <w:tcBorders>
              <w:top w:val="single" w:sz="4" w:space="0" w:color="000000"/>
              <w:left w:val="single" w:sz="4" w:space="0" w:color="000000"/>
              <w:bottom w:val="single" w:sz="4" w:space="0" w:color="000000"/>
              <w:right w:val="single" w:sz="4" w:space="0" w:color="000000"/>
            </w:tcBorders>
          </w:tcPr>
          <w:p w14:paraId="7142D3AE" w14:textId="77777777" w:rsidR="00E10BA0" w:rsidRPr="008E3606" w:rsidRDefault="00E10BA0" w:rsidP="007E453E">
            <w:pPr>
              <w:widowControl w:val="0"/>
              <w:spacing w:line="240" w:lineRule="auto"/>
              <w:jc w:val="left"/>
              <w:rPr>
                <w:sz w:val="24"/>
              </w:rPr>
            </w:pPr>
            <w:r w:rsidRPr="008E3606">
              <w:rPr>
                <w:sz w:val="24"/>
              </w:rPr>
              <w:t xml:space="preserve">Activos intangibles </w:t>
            </w:r>
          </w:p>
        </w:tc>
        <w:tc>
          <w:tcPr>
            <w:tcW w:w="2268" w:type="dxa"/>
            <w:tcBorders>
              <w:top w:val="single" w:sz="4" w:space="0" w:color="000000"/>
              <w:left w:val="single" w:sz="4" w:space="0" w:color="000000"/>
              <w:bottom w:val="single" w:sz="4" w:space="0" w:color="000000"/>
              <w:right w:val="single" w:sz="4" w:space="0" w:color="000000"/>
            </w:tcBorders>
          </w:tcPr>
          <w:p w14:paraId="2BBF9F24"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A93EA58"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16F87BC6" w14:textId="77777777" w:rsidR="00E10BA0" w:rsidRPr="008E3606" w:rsidRDefault="00E10BA0" w:rsidP="007E453E">
            <w:pPr>
              <w:widowControl w:val="0"/>
              <w:spacing w:line="240" w:lineRule="auto"/>
              <w:jc w:val="left"/>
              <w:rPr>
                <w:sz w:val="24"/>
              </w:rPr>
            </w:pPr>
            <w:r w:rsidRPr="008E3606">
              <w:rPr>
                <w:sz w:val="24"/>
              </w:rPr>
              <w:t xml:space="preserve">CC 18308000 </w:t>
            </w:r>
          </w:p>
        </w:tc>
        <w:tc>
          <w:tcPr>
            <w:tcW w:w="4536" w:type="dxa"/>
            <w:tcBorders>
              <w:top w:val="single" w:sz="4" w:space="0" w:color="000000"/>
              <w:left w:val="single" w:sz="4" w:space="0" w:color="000000"/>
              <w:bottom w:val="single" w:sz="4" w:space="0" w:color="000000"/>
              <w:right w:val="single" w:sz="4" w:space="0" w:color="000000"/>
            </w:tcBorders>
          </w:tcPr>
          <w:p w14:paraId="55B10FE7" w14:textId="77777777" w:rsidR="00E10BA0" w:rsidRPr="008E3606" w:rsidRDefault="00E10BA0" w:rsidP="007E453E">
            <w:pPr>
              <w:widowControl w:val="0"/>
              <w:spacing w:line="240" w:lineRule="auto"/>
              <w:jc w:val="left"/>
              <w:rPr>
                <w:sz w:val="24"/>
              </w:rPr>
            </w:pPr>
            <w:r w:rsidRPr="008E3606">
              <w:rPr>
                <w:sz w:val="24"/>
              </w:rPr>
              <w:t xml:space="preserve">Aplicaciones automatizadas en desarrollo </w:t>
            </w:r>
          </w:p>
        </w:tc>
        <w:tc>
          <w:tcPr>
            <w:tcW w:w="2268" w:type="dxa"/>
            <w:tcBorders>
              <w:top w:val="single" w:sz="4" w:space="0" w:color="000000"/>
              <w:left w:val="single" w:sz="4" w:space="0" w:color="000000"/>
              <w:bottom w:val="single" w:sz="4" w:space="0" w:color="000000"/>
              <w:right w:val="single" w:sz="4" w:space="0" w:color="000000"/>
            </w:tcBorders>
          </w:tcPr>
          <w:p w14:paraId="04BBFAD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F78F37D"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579207B0" w14:textId="77777777" w:rsidR="00E10BA0" w:rsidRPr="008E3606" w:rsidRDefault="00E10BA0" w:rsidP="007E453E">
            <w:pPr>
              <w:widowControl w:val="0"/>
              <w:spacing w:line="240" w:lineRule="auto"/>
              <w:jc w:val="left"/>
              <w:rPr>
                <w:sz w:val="24"/>
              </w:rPr>
            </w:pPr>
            <w:r w:rsidRPr="008E3606">
              <w:rPr>
                <w:sz w:val="24"/>
              </w:rPr>
              <w:t xml:space="preserve">DA (Nuevo D) </w:t>
            </w:r>
          </w:p>
        </w:tc>
        <w:tc>
          <w:tcPr>
            <w:tcW w:w="4536" w:type="dxa"/>
            <w:tcBorders>
              <w:top w:val="single" w:sz="4" w:space="0" w:color="000000"/>
              <w:left w:val="single" w:sz="4" w:space="0" w:color="000000"/>
              <w:bottom w:val="single" w:sz="4" w:space="0" w:color="000000"/>
              <w:right w:val="single" w:sz="4" w:space="0" w:color="000000"/>
            </w:tcBorders>
          </w:tcPr>
          <w:p w14:paraId="183DBCFD" w14:textId="77777777" w:rsidR="00E10BA0" w:rsidRPr="008E3606" w:rsidRDefault="00E10BA0" w:rsidP="007E453E">
            <w:pPr>
              <w:widowControl w:val="0"/>
              <w:spacing w:line="240" w:lineRule="auto"/>
              <w:jc w:val="left"/>
              <w:rPr>
                <w:sz w:val="24"/>
              </w:rPr>
            </w:pPr>
            <w:r w:rsidRPr="008E3606">
              <w:rPr>
                <w:sz w:val="24"/>
              </w:rPr>
              <w:t xml:space="preserve">Activos por derecho de uso sobre activos intangibles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387E56B"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7C416F8"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3E21F666"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7F687C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75D129A"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8B1DF9F" w14:textId="77777777" w:rsidR="00E10BA0" w:rsidRPr="008E3606" w:rsidRDefault="00E10BA0" w:rsidP="007E453E">
            <w:pPr>
              <w:widowControl w:val="0"/>
              <w:spacing w:line="240" w:lineRule="auto"/>
              <w:jc w:val="left"/>
              <w:rPr>
                <w:sz w:val="24"/>
              </w:rPr>
            </w:pPr>
            <w:r w:rsidRPr="008E3606">
              <w:rPr>
                <w:sz w:val="24"/>
              </w:rPr>
              <w:t xml:space="preserve">La pérdida del periodo. </w:t>
            </w:r>
          </w:p>
        </w:tc>
        <w:tc>
          <w:tcPr>
            <w:tcW w:w="2268" w:type="dxa"/>
            <w:tcBorders>
              <w:top w:val="single" w:sz="4" w:space="0" w:color="000000"/>
              <w:left w:val="single" w:sz="4" w:space="0" w:color="000000"/>
              <w:bottom w:val="single" w:sz="4" w:space="0" w:color="000000"/>
              <w:right w:val="single" w:sz="4" w:space="0" w:color="000000"/>
            </w:tcBorders>
          </w:tcPr>
          <w:p w14:paraId="2ADC7ABB"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1C119032"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789F8066" w14:textId="77777777" w:rsidR="00E10BA0" w:rsidRPr="008E3606" w:rsidRDefault="00E10BA0" w:rsidP="007E453E">
            <w:pPr>
              <w:widowControl w:val="0"/>
              <w:spacing w:line="240" w:lineRule="auto"/>
              <w:jc w:val="left"/>
              <w:rPr>
                <w:sz w:val="24"/>
              </w:rPr>
            </w:pPr>
            <w:r w:rsidRPr="008E3606">
              <w:rPr>
                <w:sz w:val="24"/>
              </w:rPr>
              <w:t xml:space="preserve">En caso de que el excedente del período sea negativo (pérdida): </w:t>
            </w:r>
          </w:p>
        </w:tc>
        <w:tc>
          <w:tcPr>
            <w:tcW w:w="2268" w:type="dxa"/>
            <w:tcBorders>
              <w:top w:val="single" w:sz="4" w:space="0" w:color="000000"/>
              <w:left w:val="single" w:sz="4" w:space="0" w:color="000000"/>
              <w:bottom w:val="single" w:sz="4" w:space="0" w:color="000000"/>
              <w:right w:val="single" w:sz="4" w:space="0" w:color="000000"/>
            </w:tcBorders>
          </w:tcPr>
          <w:p w14:paraId="1A0DBCD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D193402"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68D581B6" w14:textId="77777777" w:rsidR="00E10BA0" w:rsidRPr="008E3606" w:rsidRDefault="00E10BA0" w:rsidP="007E453E">
            <w:pPr>
              <w:widowControl w:val="0"/>
              <w:spacing w:line="240" w:lineRule="auto"/>
              <w:jc w:val="left"/>
              <w:rPr>
                <w:sz w:val="24"/>
              </w:rPr>
            </w:pPr>
            <w:r w:rsidRPr="008E3606">
              <w:rPr>
                <w:sz w:val="24"/>
              </w:rPr>
              <w:t xml:space="preserve">CC 50000000 </w:t>
            </w:r>
          </w:p>
        </w:tc>
        <w:tc>
          <w:tcPr>
            <w:tcW w:w="4536" w:type="dxa"/>
            <w:tcBorders>
              <w:top w:val="single" w:sz="4" w:space="0" w:color="000000"/>
              <w:left w:val="single" w:sz="4" w:space="0" w:color="000000"/>
              <w:bottom w:val="single" w:sz="4" w:space="0" w:color="000000"/>
              <w:right w:val="single" w:sz="4" w:space="0" w:color="000000"/>
            </w:tcBorders>
          </w:tcPr>
          <w:p w14:paraId="61DE221E" w14:textId="77777777" w:rsidR="00E10BA0" w:rsidRPr="008E3606" w:rsidRDefault="00E10BA0" w:rsidP="007E453E">
            <w:pPr>
              <w:widowControl w:val="0"/>
              <w:spacing w:line="240" w:lineRule="auto"/>
              <w:jc w:val="left"/>
              <w:rPr>
                <w:sz w:val="24"/>
              </w:rPr>
            </w:pPr>
            <w:r w:rsidRPr="008E3606">
              <w:rPr>
                <w:sz w:val="24"/>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14:paraId="21CFD48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78518C8"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0AECF8F6" w14:textId="77777777" w:rsidR="00E10BA0" w:rsidRPr="008E3606" w:rsidRDefault="00E10BA0" w:rsidP="007E453E">
            <w:pPr>
              <w:widowControl w:val="0"/>
              <w:spacing w:line="240" w:lineRule="auto"/>
              <w:jc w:val="left"/>
              <w:rPr>
                <w:sz w:val="24"/>
              </w:rPr>
            </w:pPr>
            <w:r w:rsidRPr="008E3606">
              <w:rPr>
                <w:sz w:val="24"/>
              </w:rPr>
              <w:t xml:space="preserve">MENOS CC 40000000 </w:t>
            </w:r>
          </w:p>
        </w:tc>
        <w:tc>
          <w:tcPr>
            <w:tcW w:w="4536" w:type="dxa"/>
            <w:tcBorders>
              <w:top w:val="single" w:sz="4" w:space="0" w:color="000000"/>
              <w:left w:val="single" w:sz="4" w:space="0" w:color="000000"/>
              <w:bottom w:val="single" w:sz="4" w:space="0" w:color="000000"/>
              <w:right w:val="single" w:sz="4" w:space="0" w:color="000000"/>
            </w:tcBorders>
          </w:tcPr>
          <w:p w14:paraId="4017ACBD" w14:textId="77777777" w:rsidR="00E10BA0" w:rsidRPr="008E3606" w:rsidRDefault="00E10BA0" w:rsidP="007E453E">
            <w:pPr>
              <w:widowControl w:val="0"/>
              <w:spacing w:line="240" w:lineRule="auto"/>
              <w:jc w:val="left"/>
              <w:rPr>
                <w:sz w:val="24"/>
              </w:rPr>
            </w:pPr>
            <w:r w:rsidRPr="008E3606">
              <w:rPr>
                <w:sz w:val="24"/>
              </w:rPr>
              <w:t xml:space="preserve">Gastos </w:t>
            </w:r>
          </w:p>
        </w:tc>
        <w:tc>
          <w:tcPr>
            <w:tcW w:w="2268" w:type="dxa"/>
            <w:tcBorders>
              <w:top w:val="single" w:sz="4" w:space="0" w:color="000000"/>
              <w:left w:val="single" w:sz="4" w:space="0" w:color="000000"/>
              <w:bottom w:val="single" w:sz="4" w:space="0" w:color="000000"/>
              <w:right w:val="single" w:sz="4" w:space="0" w:color="000000"/>
            </w:tcBorders>
          </w:tcPr>
          <w:p w14:paraId="674AB16A"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2D77C1B"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814925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83FCE3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0158E1C2"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7FC10D5E" w14:textId="77777777" w:rsidR="00E10BA0" w:rsidRPr="008E3606" w:rsidRDefault="00E10BA0" w:rsidP="007E453E">
            <w:pPr>
              <w:widowControl w:val="0"/>
              <w:spacing w:line="240" w:lineRule="auto"/>
              <w:jc w:val="left"/>
              <w:rPr>
                <w:sz w:val="24"/>
              </w:rPr>
            </w:pPr>
            <w:r w:rsidRPr="008E3606">
              <w:rPr>
                <w:sz w:val="24"/>
              </w:rPr>
              <w:t xml:space="preserve">Las pérdidas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2C2ACF21"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22F506D2"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49D98EDE" w14:textId="77777777" w:rsidR="00E10BA0" w:rsidRPr="008E3606" w:rsidRDefault="00E10BA0" w:rsidP="007E453E">
            <w:pPr>
              <w:widowControl w:val="0"/>
              <w:spacing w:line="240" w:lineRule="auto"/>
              <w:jc w:val="left"/>
              <w:rPr>
                <w:sz w:val="24"/>
              </w:rPr>
            </w:pPr>
            <w:r w:rsidRPr="008E3606">
              <w:rPr>
                <w:sz w:val="24"/>
              </w:rPr>
              <w:t xml:space="preserve">CC 35200000 </w:t>
            </w:r>
          </w:p>
        </w:tc>
        <w:tc>
          <w:tcPr>
            <w:tcW w:w="4536" w:type="dxa"/>
            <w:tcBorders>
              <w:top w:val="single" w:sz="4" w:space="0" w:color="000000"/>
              <w:left w:val="single" w:sz="4" w:space="0" w:color="000000"/>
              <w:bottom w:val="single" w:sz="4" w:space="0" w:color="000000"/>
              <w:right w:val="single" w:sz="4" w:space="0" w:color="000000"/>
            </w:tcBorders>
          </w:tcPr>
          <w:p w14:paraId="3A4AA7C0" w14:textId="77777777" w:rsidR="00E10BA0" w:rsidRPr="008E3606" w:rsidRDefault="00E10BA0" w:rsidP="007E453E">
            <w:pPr>
              <w:widowControl w:val="0"/>
              <w:spacing w:line="240" w:lineRule="auto"/>
              <w:jc w:val="left"/>
              <w:rPr>
                <w:sz w:val="24"/>
              </w:rPr>
            </w:pPr>
            <w:r w:rsidRPr="008E3606">
              <w:rPr>
                <w:sz w:val="24"/>
              </w:rPr>
              <w:t xml:space="preserve">Pérdidas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5D12528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D3F2216"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2D1370D8"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DDCDE0B"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0727EB8" w14:textId="77777777" w:rsidTr="0046519F">
        <w:trPr>
          <w:trHeight w:val="57"/>
        </w:trPr>
        <w:tc>
          <w:tcPr>
            <w:tcW w:w="7082" w:type="dxa"/>
            <w:gridSpan w:val="2"/>
            <w:tcBorders>
              <w:top w:val="single" w:sz="4" w:space="0" w:color="000000"/>
              <w:left w:val="single" w:sz="4" w:space="0" w:color="000000"/>
              <w:bottom w:val="single" w:sz="4" w:space="0" w:color="000000"/>
              <w:right w:val="single" w:sz="4" w:space="0" w:color="000000"/>
            </w:tcBorders>
          </w:tcPr>
          <w:p w14:paraId="7A0B9AE1" w14:textId="77777777" w:rsidR="00E10BA0" w:rsidRPr="008E3606" w:rsidRDefault="00E10BA0" w:rsidP="007E453E">
            <w:pPr>
              <w:widowControl w:val="0"/>
              <w:spacing w:line="240" w:lineRule="auto"/>
              <w:jc w:val="left"/>
              <w:rPr>
                <w:sz w:val="24"/>
              </w:rPr>
            </w:pPr>
            <w:r w:rsidRPr="008E3606">
              <w:rPr>
                <w:sz w:val="24"/>
              </w:rPr>
              <w:t xml:space="preserve">El importe neto positivo de restar al saldo de los activos por impuestos al valor agregado, el saldo de los pasivos por impuestos al valor agregado.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41915E"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2B5C632D"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3741BD5" w14:textId="77777777" w:rsidR="00E10BA0" w:rsidRPr="008E3606" w:rsidRDefault="00E10BA0" w:rsidP="007E453E">
            <w:pPr>
              <w:widowControl w:val="0"/>
              <w:spacing w:line="240" w:lineRule="auto"/>
              <w:jc w:val="left"/>
              <w:rPr>
                <w:sz w:val="24"/>
              </w:rPr>
            </w:pPr>
            <w:r w:rsidRPr="008E3606">
              <w:rPr>
                <w:sz w:val="24"/>
              </w:rPr>
              <w:t xml:space="preserve">CC 14603000 </w:t>
            </w:r>
          </w:p>
        </w:tc>
        <w:tc>
          <w:tcPr>
            <w:tcW w:w="4536" w:type="dxa"/>
            <w:tcBorders>
              <w:top w:val="single" w:sz="4" w:space="0" w:color="000000"/>
              <w:left w:val="single" w:sz="4" w:space="0" w:color="000000"/>
              <w:bottom w:val="single" w:sz="4" w:space="0" w:color="000000"/>
              <w:right w:val="single" w:sz="4" w:space="0" w:color="000000"/>
            </w:tcBorders>
          </w:tcPr>
          <w:p w14:paraId="085C7CB2" w14:textId="77777777" w:rsidR="00E10BA0" w:rsidRPr="008E3606" w:rsidRDefault="00E10BA0" w:rsidP="007E453E">
            <w:pPr>
              <w:widowControl w:val="0"/>
              <w:spacing w:line="240" w:lineRule="auto"/>
              <w:jc w:val="left"/>
              <w:rPr>
                <w:sz w:val="24"/>
              </w:rPr>
            </w:pPr>
            <w:r w:rsidRPr="008E3606">
              <w:rPr>
                <w:sz w:val="24"/>
              </w:rPr>
              <w:t xml:space="preserve">Impuesto al Valor Agregado Soportado </w:t>
            </w:r>
          </w:p>
        </w:tc>
        <w:tc>
          <w:tcPr>
            <w:tcW w:w="2268" w:type="dxa"/>
            <w:tcBorders>
              <w:top w:val="single" w:sz="4" w:space="0" w:color="000000"/>
              <w:left w:val="single" w:sz="4" w:space="0" w:color="000000"/>
              <w:bottom w:val="single" w:sz="4" w:space="0" w:color="000000"/>
              <w:right w:val="single" w:sz="4" w:space="0" w:color="000000"/>
            </w:tcBorders>
          </w:tcPr>
          <w:p w14:paraId="5F28629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EEF5137"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12558107" w14:textId="77777777" w:rsidR="00E10BA0" w:rsidRPr="008E3606" w:rsidRDefault="00E10BA0" w:rsidP="007E453E">
            <w:pPr>
              <w:widowControl w:val="0"/>
              <w:spacing w:line="240" w:lineRule="auto"/>
              <w:jc w:val="left"/>
              <w:rPr>
                <w:sz w:val="24"/>
              </w:rPr>
            </w:pPr>
            <w:r w:rsidRPr="008E3606">
              <w:rPr>
                <w:sz w:val="24"/>
              </w:rPr>
              <w:t xml:space="preserve">CC 14604000 </w:t>
            </w:r>
          </w:p>
        </w:tc>
        <w:tc>
          <w:tcPr>
            <w:tcW w:w="4536" w:type="dxa"/>
            <w:tcBorders>
              <w:top w:val="single" w:sz="4" w:space="0" w:color="000000"/>
              <w:left w:val="single" w:sz="4" w:space="0" w:color="000000"/>
              <w:bottom w:val="single" w:sz="4" w:space="0" w:color="000000"/>
              <w:right w:val="single" w:sz="4" w:space="0" w:color="000000"/>
            </w:tcBorders>
          </w:tcPr>
          <w:p w14:paraId="7543AE8D" w14:textId="77777777" w:rsidR="00E10BA0" w:rsidRPr="008E3606" w:rsidRDefault="00E10BA0" w:rsidP="007E453E">
            <w:pPr>
              <w:widowControl w:val="0"/>
              <w:spacing w:line="240" w:lineRule="auto"/>
              <w:jc w:val="left"/>
              <w:rPr>
                <w:sz w:val="24"/>
              </w:rPr>
            </w:pPr>
            <w:r w:rsidRPr="008E3606">
              <w:rPr>
                <w:sz w:val="24"/>
              </w:rPr>
              <w:t xml:space="preserve">Impuesto al Valor Agregado Deducible </w:t>
            </w:r>
          </w:p>
        </w:tc>
        <w:tc>
          <w:tcPr>
            <w:tcW w:w="2268" w:type="dxa"/>
            <w:tcBorders>
              <w:top w:val="single" w:sz="4" w:space="0" w:color="000000"/>
              <w:left w:val="single" w:sz="4" w:space="0" w:color="000000"/>
              <w:bottom w:val="single" w:sz="4" w:space="0" w:color="000000"/>
              <w:right w:val="single" w:sz="4" w:space="0" w:color="000000"/>
            </w:tcBorders>
          </w:tcPr>
          <w:p w14:paraId="408C3C3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F9211E1"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E0B8426" w14:textId="77777777" w:rsidR="00E10BA0" w:rsidRPr="008E3606" w:rsidRDefault="00E10BA0" w:rsidP="007E453E">
            <w:pPr>
              <w:widowControl w:val="0"/>
              <w:spacing w:line="240" w:lineRule="auto"/>
              <w:jc w:val="left"/>
              <w:rPr>
                <w:sz w:val="24"/>
              </w:rPr>
            </w:pPr>
            <w:r w:rsidRPr="008E3606">
              <w:rPr>
                <w:sz w:val="24"/>
              </w:rPr>
              <w:t xml:space="preserve">CC 24204M02 </w:t>
            </w:r>
          </w:p>
        </w:tc>
        <w:tc>
          <w:tcPr>
            <w:tcW w:w="4536" w:type="dxa"/>
            <w:tcBorders>
              <w:top w:val="single" w:sz="4" w:space="0" w:color="000000"/>
              <w:left w:val="single" w:sz="4" w:space="0" w:color="000000"/>
              <w:bottom w:val="single" w:sz="4" w:space="0" w:color="000000"/>
              <w:right w:val="single" w:sz="4" w:space="0" w:color="000000"/>
            </w:tcBorders>
          </w:tcPr>
          <w:p w14:paraId="3AD95F20" w14:textId="77777777" w:rsidR="00E10BA0" w:rsidRPr="008E3606" w:rsidRDefault="00E10BA0" w:rsidP="007E453E">
            <w:pPr>
              <w:widowControl w:val="0"/>
              <w:spacing w:line="240" w:lineRule="auto"/>
              <w:jc w:val="left"/>
              <w:rPr>
                <w:sz w:val="24"/>
              </w:rPr>
            </w:pPr>
            <w:r w:rsidRPr="008E3606">
              <w:rPr>
                <w:sz w:val="24"/>
              </w:rPr>
              <w:t xml:space="preserve">Impuesto al valor agregado por pagar </w:t>
            </w:r>
          </w:p>
        </w:tc>
        <w:tc>
          <w:tcPr>
            <w:tcW w:w="2268" w:type="dxa"/>
            <w:tcBorders>
              <w:top w:val="single" w:sz="4" w:space="0" w:color="000000"/>
              <w:left w:val="single" w:sz="4" w:space="0" w:color="000000"/>
              <w:bottom w:val="single" w:sz="4" w:space="0" w:color="000000"/>
              <w:right w:val="single" w:sz="4" w:space="0" w:color="000000"/>
            </w:tcBorders>
          </w:tcPr>
          <w:p w14:paraId="402326B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C3CDF5C"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41C4A9D3"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0B3C94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2698ED0"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4651CC53" w14:textId="77777777" w:rsidR="00E10BA0" w:rsidRPr="008E3606" w:rsidRDefault="00E10BA0" w:rsidP="007E453E">
            <w:pPr>
              <w:widowControl w:val="0"/>
              <w:spacing w:line="240" w:lineRule="auto"/>
              <w:rPr>
                <w:sz w:val="24"/>
              </w:rPr>
            </w:pPr>
            <w:r w:rsidRPr="008E3606">
              <w:rPr>
                <w:sz w:val="24"/>
              </w:rPr>
              <w:t xml:space="preserve">El importe de las deducciones a que se refiere el Artículo 26 del Acuerdo Sugef 3-06, que exceda el importe de los elementos del CAN1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4B186864" w14:textId="77777777" w:rsidR="00E10BA0" w:rsidRPr="008E3606" w:rsidRDefault="00E10BA0" w:rsidP="007E453E">
            <w:pPr>
              <w:widowControl w:val="0"/>
              <w:spacing w:line="240" w:lineRule="auto"/>
              <w:ind w:right="55"/>
              <w:jc w:val="center"/>
              <w:rPr>
                <w:sz w:val="24"/>
              </w:rPr>
            </w:pPr>
            <w:r w:rsidRPr="008E3606">
              <w:rPr>
                <w:sz w:val="24"/>
              </w:rPr>
              <w:t xml:space="preserve">Literal g) </w:t>
            </w:r>
          </w:p>
        </w:tc>
      </w:tr>
      <w:tr w:rsidR="00E10BA0" w:rsidRPr="008E3606" w14:paraId="2EB7BE75" w14:textId="77777777" w:rsidTr="007E453E">
        <w:tblPrEx>
          <w:tblCellMar>
            <w:top w:w="5" w:type="dxa"/>
          </w:tblCellMar>
        </w:tblPrEx>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269863CE" w14:textId="77777777" w:rsidR="00E10BA0" w:rsidRPr="008E3606" w:rsidRDefault="00E10BA0" w:rsidP="007E453E">
            <w:pPr>
              <w:widowControl w:val="0"/>
              <w:spacing w:line="240" w:lineRule="auto"/>
              <w:jc w:val="left"/>
              <w:rPr>
                <w:sz w:val="24"/>
              </w:rPr>
            </w:pPr>
            <w:r w:rsidRPr="008E3606">
              <w:rPr>
                <w:sz w:val="24"/>
              </w:rPr>
              <w:t xml:space="preserve">DA (Nuevo E) </w:t>
            </w:r>
          </w:p>
        </w:tc>
        <w:tc>
          <w:tcPr>
            <w:tcW w:w="4536" w:type="dxa"/>
            <w:tcBorders>
              <w:top w:val="single" w:sz="4" w:space="0" w:color="000000"/>
              <w:left w:val="single" w:sz="4" w:space="0" w:color="000000"/>
              <w:bottom w:val="single" w:sz="4" w:space="0" w:color="000000"/>
              <w:right w:val="single" w:sz="4" w:space="0" w:color="000000"/>
            </w:tcBorders>
          </w:tcPr>
          <w:p w14:paraId="3F39B00D" w14:textId="77777777" w:rsidR="00E10BA0" w:rsidRPr="008E3606" w:rsidRDefault="00E10BA0" w:rsidP="007E453E">
            <w:pPr>
              <w:widowControl w:val="0"/>
              <w:spacing w:line="240" w:lineRule="auto"/>
              <w:ind w:right="55"/>
              <w:rPr>
                <w:sz w:val="24"/>
              </w:rPr>
            </w:pPr>
            <w:r w:rsidRPr="008E3606">
              <w:rPr>
                <w:sz w:val="24"/>
              </w:rPr>
              <w:t xml:space="preserve">El importe de las deducciones del CAN1 que exceda el importe de los elementos del CAN1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2323C7E1"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43E38FA"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5A125F6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DE3B90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150F47A"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121CBD31" w14:textId="77777777" w:rsidR="00E10BA0" w:rsidRPr="008E3606" w:rsidRDefault="00E10BA0" w:rsidP="007E453E">
            <w:pPr>
              <w:widowControl w:val="0"/>
              <w:spacing w:line="240" w:lineRule="auto"/>
              <w:jc w:val="left"/>
              <w:rPr>
                <w:sz w:val="24"/>
              </w:rPr>
            </w:pPr>
            <w:r w:rsidRPr="008E3606">
              <w:rPr>
                <w:b/>
                <w:sz w:val="24"/>
              </w:rPr>
              <w:t xml:space="preserve">II. CAPITAL ADICIONAL NIVEL 1 (CAN1) = (3 - 4) </w:t>
            </w:r>
          </w:p>
        </w:tc>
        <w:tc>
          <w:tcPr>
            <w:tcW w:w="2268" w:type="dxa"/>
            <w:tcBorders>
              <w:top w:val="single" w:sz="4" w:space="0" w:color="000000"/>
              <w:left w:val="single" w:sz="4" w:space="0" w:color="000000"/>
              <w:bottom w:val="single" w:sz="4" w:space="0" w:color="000000"/>
              <w:right w:val="single" w:sz="4" w:space="0" w:color="000000"/>
            </w:tcBorders>
          </w:tcPr>
          <w:p w14:paraId="7392C9B4" w14:textId="77777777" w:rsidR="00E10BA0" w:rsidRPr="008E3606" w:rsidRDefault="00E10BA0" w:rsidP="007E453E">
            <w:pPr>
              <w:widowControl w:val="0"/>
              <w:spacing w:line="240" w:lineRule="auto"/>
              <w:jc w:val="left"/>
              <w:rPr>
                <w:sz w:val="24"/>
              </w:rPr>
            </w:pPr>
            <w:r w:rsidRPr="008E3606">
              <w:rPr>
                <w:b/>
                <w:sz w:val="24"/>
              </w:rPr>
              <w:t xml:space="preserve"> </w:t>
            </w:r>
          </w:p>
        </w:tc>
      </w:tr>
      <w:tr w:rsidR="00E10BA0" w:rsidRPr="008E3606" w14:paraId="3DB2A959"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79BFD059" w14:textId="77777777" w:rsidR="00E10BA0" w:rsidRPr="008E3606" w:rsidRDefault="00E10BA0" w:rsidP="007E453E">
            <w:pPr>
              <w:widowControl w:val="0"/>
              <w:spacing w:line="240" w:lineRule="auto"/>
              <w:jc w:val="left"/>
              <w:rPr>
                <w:sz w:val="24"/>
              </w:rPr>
            </w:pPr>
            <w:r w:rsidRPr="008E3606">
              <w:rPr>
                <w:b/>
                <w:sz w:val="24"/>
              </w:rPr>
              <w:t xml:space="preserve">3. Elementos del CAN1 </w:t>
            </w:r>
          </w:p>
        </w:tc>
        <w:tc>
          <w:tcPr>
            <w:tcW w:w="2268" w:type="dxa"/>
            <w:tcBorders>
              <w:top w:val="single" w:sz="4" w:space="0" w:color="000000"/>
              <w:left w:val="single" w:sz="4" w:space="0" w:color="000000"/>
              <w:bottom w:val="single" w:sz="4" w:space="0" w:color="000000"/>
              <w:right w:val="single" w:sz="4" w:space="0" w:color="000000"/>
            </w:tcBorders>
          </w:tcPr>
          <w:p w14:paraId="4EA8D2FA" w14:textId="77777777" w:rsidR="00E10BA0" w:rsidRPr="008E3606" w:rsidRDefault="00E10BA0" w:rsidP="007E453E">
            <w:pPr>
              <w:widowControl w:val="0"/>
              <w:spacing w:line="240" w:lineRule="auto"/>
              <w:ind w:right="58"/>
              <w:jc w:val="center"/>
              <w:rPr>
                <w:sz w:val="24"/>
              </w:rPr>
            </w:pPr>
            <w:r w:rsidRPr="008E3606">
              <w:rPr>
                <w:b/>
                <w:sz w:val="24"/>
              </w:rPr>
              <w:t xml:space="preserve">ARTÍCULO 25 </w:t>
            </w:r>
          </w:p>
        </w:tc>
      </w:tr>
      <w:tr w:rsidR="00E10BA0" w:rsidRPr="008E3606" w14:paraId="702375FE" w14:textId="77777777" w:rsidTr="007E453E">
        <w:tblPrEx>
          <w:tblCellMar>
            <w:top w:w="5" w:type="dxa"/>
          </w:tblCellMar>
        </w:tblPrEx>
        <w:trPr>
          <w:trHeight w:val="274"/>
        </w:trPr>
        <w:tc>
          <w:tcPr>
            <w:tcW w:w="2546" w:type="dxa"/>
            <w:tcBorders>
              <w:top w:val="single" w:sz="4" w:space="0" w:color="000000"/>
              <w:left w:val="single" w:sz="4" w:space="0" w:color="000000"/>
              <w:bottom w:val="single" w:sz="4" w:space="0" w:color="000000"/>
              <w:right w:val="single" w:sz="4" w:space="0" w:color="000000"/>
            </w:tcBorders>
          </w:tcPr>
          <w:p w14:paraId="0A177DB9"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423ED323"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7F36B0A4"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531AB2F5" w14:textId="77777777" w:rsidTr="007E453E">
        <w:tblPrEx>
          <w:tblCellMar>
            <w:top w:w="5" w:type="dxa"/>
          </w:tblCellMar>
        </w:tblPrEx>
        <w:trPr>
          <w:trHeight w:val="1596"/>
        </w:trPr>
        <w:tc>
          <w:tcPr>
            <w:tcW w:w="7082" w:type="dxa"/>
            <w:gridSpan w:val="2"/>
            <w:tcBorders>
              <w:top w:val="single" w:sz="4" w:space="0" w:color="000000"/>
              <w:left w:val="single" w:sz="4" w:space="0" w:color="000000"/>
              <w:bottom w:val="single" w:sz="4" w:space="0" w:color="000000"/>
              <w:right w:val="single" w:sz="4" w:space="0" w:color="000000"/>
            </w:tcBorders>
          </w:tcPr>
          <w:p w14:paraId="1B727934" w14:textId="77777777" w:rsidR="00E10BA0" w:rsidRPr="008E3606" w:rsidRDefault="00E10BA0" w:rsidP="007E453E">
            <w:pPr>
              <w:widowControl w:val="0"/>
              <w:spacing w:line="240" w:lineRule="auto"/>
              <w:ind w:right="53"/>
              <w:rPr>
                <w:sz w:val="24"/>
              </w:rPr>
            </w:pPr>
            <w:r w:rsidRPr="008E3606">
              <w:rPr>
                <w:sz w:val="24"/>
              </w:rPr>
              <w:t xml:space="preserve">Las reservas patrimoniales reveladas, constituidas voluntariamente con el fin específico de absorber pérdidas patrimoniales durante la marcha de la entidad. De previo a su admisión dentro del CAN1, dichas reservas deben declararse como no redimibles, mediante acuerdo de la Asamblea de Asociados en el caso de las Cooperativas de Ahorro y Crédito y del Órgano de Dirección en el caso de la Caja de ANDE.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1A070F9"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3EBB6E06" w14:textId="77777777" w:rsidTr="007E453E">
        <w:tblPrEx>
          <w:tblCellMar>
            <w:top w:w="5" w:type="dxa"/>
          </w:tblCellMar>
        </w:tblPrEx>
        <w:trPr>
          <w:trHeight w:val="804"/>
        </w:trPr>
        <w:tc>
          <w:tcPr>
            <w:tcW w:w="2546" w:type="dxa"/>
            <w:tcBorders>
              <w:top w:val="single" w:sz="4" w:space="0" w:color="000000"/>
              <w:left w:val="single" w:sz="4" w:space="0" w:color="000000"/>
              <w:bottom w:val="single" w:sz="4" w:space="0" w:color="000000"/>
              <w:right w:val="single" w:sz="4" w:space="0" w:color="000000"/>
            </w:tcBorders>
            <w:vAlign w:val="center"/>
          </w:tcPr>
          <w:p w14:paraId="42504B2D" w14:textId="77777777" w:rsidR="00E10BA0" w:rsidRPr="008E3606" w:rsidRDefault="00E10BA0" w:rsidP="007E453E">
            <w:pPr>
              <w:widowControl w:val="0"/>
              <w:spacing w:line="240" w:lineRule="auto"/>
              <w:jc w:val="left"/>
              <w:rPr>
                <w:sz w:val="24"/>
              </w:rPr>
            </w:pPr>
            <w:r w:rsidRPr="008E3606">
              <w:rPr>
                <w:sz w:val="24"/>
              </w:rPr>
              <w:t xml:space="preserve">DA 20146 </w:t>
            </w:r>
          </w:p>
        </w:tc>
        <w:tc>
          <w:tcPr>
            <w:tcW w:w="4536" w:type="dxa"/>
            <w:tcBorders>
              <w:top w:val="single" w:sz="4" w:space="0" w:color="000000"/>
              <w:left w:val="single" w:sz="4" w:space="0" w:color="000000"/>
              <w:bottom w:val="single" w:sz="4" w:space="0" w:color="000000"/>
              <w:right w:val="single" w:sz="4" w:space="0" w:color="000000"/>
            </w:tcBorders>
          </w:tcPr>
          <w:p w14:paraId="1D60E5F3" w14:textId="77777777" w:rsidR="00E10BA0" w:rsidRPr="008E3606" w:rsidRDefault="00E10BA0" w:rsidP="007E453E">
            <w:pPr>
              <w:widowControl w:val="0"/>
              <w:spacing w:line="240" w:lineRule="auto"/>
              <w:ind w:right="55"/>
              <w:rPr>
                <w:sz w:val="24"/>
              </w:rPr>
            </w:pPr>
            <w:r w:rsidRPr="008E3606">
              <w:rPr>
                <w:sz w:val="24"/>
              </w:rPr>
              <w:t xml:space="preserve">Reservas voluntarias constituidas para absorber pérdidas patrimoniales durante la marcha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264A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75BE903"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3778A77C"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ABE0894"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CAF6FDB"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7C06EA5C" w14:textId="77777777" w:rsidR="00E10BA0" w:rsidRPr="008E3606" w:rsidRDefault="00E10BA0" w:rsidP="007E453E">
            <w:pPr>
              <w:widowControl w:val="0"/>
              <w:spacing w:line="240" w:lineRule="auto"/>
              <w:ind w:right="55"/>
              <w:rPr>
                <w:sz w:val="24"/>
              </w:rPr>
            </w:pPr>
            <w:r w:rsidRPr="008E3606">
              <w:rPr>
                <w:sz w:val="24"/>
              </w:rPr>
              <w:t xml:space="preserve">El literal b) del artículo 25 corresponde a la deducción cuyo detalle se presenta en el Artículo 26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59B632"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3D2BF021"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716320A3" w14:textId="77777777" w:rsidR="00E10BA0" w:rsidRPr="008E3606" w:rsidRDefault="00E10BA0" w:rsidP="007E453E">
            <w:pPr>
              <w:widowControl w:val="0"/>
              <w:spacing w:line="240" w:lineRule="auto"/>
              <w:jc w:val="left"/>
              <w:rPr>
                <w:sz w:val="24"/>
              </w:rPr>
            </w:pPr>
            <w:r w:rsidRPr="008E3606">
              <w:rPr>
                <w:sz w:val="24"/>
              </w:rPr>
              <w:t xml:space="preserve">DA (Nuevo J) </w:t>
            </w:r>
          </w:p>
        </w:tc>
        <w:tc>
          <w:tcPr>
            <w:tcW w:w="4536" w:type="dxa"/>
            <w:tcBorders>
              <w:top w:val="single" w:sz="4" w:space="0" w:color="000000"/>
              <w:left w:val="single" w:sz="4" w:space="0" w:color="000000"/>
              <w:bottom w:val="single" w:sz="4" w:space="0" w:color="000000"/>
              <w:right w:val="single" w:sz="4" w:space="0" w:color="000000"/>
            </w:tcBorders>
          </w:tcPr>
          <w:p w14:paraId="02E805A1" w14:textId="77777777" w:rsidR="00E10BA0" w:rsidRPr="008E3606" w:rsidRDefault="00E10BA0" w:rsidP="007E453E">
            <w:pPr>
              <w:widowControl w:val="0"/>
              <w:spacing w:line="240" w:lineRule="auto"/>
              <w:jc w:val="left"/>
              <w:rPr>
                <w:sz w:val="24"/>
              </w:rPr>
            </w:pPr>
            <w:r w:rsidRPr="008E3606">
              <w:rPr>
                <w:sz w:val="24"/>
              </w:rPr>
              <w:t xml:space="preserve">Deducciones del CAN1 </w:t>
            </w:r>
          </w:p>
        </w:tc>
        <w:tc>
          <w:tcPr>
            <w:tcW w:w="2268" w:type="dxa"/>
            <w:tcBorders>
              <w:top w:val="single" w:sz="4" w:space="0" w:color="000000"/>
              <w:left w:val="single" w:sz="4" w:space="0" w:color="000000"/>
              <w:bottom w:val="single" w:sz="4" w:space="0" w:color="000000"/>
              <w:right w:val="single" w:sz="4" w:space="0" w:color="000000"/>
            </w:tcBorders>
          </w:tcPr>
          <w:p w14:paraId="1A2CA11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D4B9A99"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59A8027F"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D749A2E" w14:textId="77777777" w:rsidR="00E10BA0" w:rsidRPr="008E3606" w:rsidRDefault="00E10BA0" w:rsidP="007E453E">
            <w:pPr>
              <w:widowControl w:val="0"/>
              <w:spacing w:line="240" w:lineRule="auto"/>
              <w:jc w:val="left"/>
              <w:rPr>
                <w:sz w:val="24"/>
              </w:rPr>
            </w:pPr>
          </w:p>
        </w:tc>
      </w:tr>
      <w:tr w:rsidR="00E10BA0" w:rsidRPr="008E3606" w14:paraId="64750AF1"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7876A8C9" w14:textId="77777777" w:rsidR="00E10BA0" w:rsidRPr="008E3606" w:rsidRDefault="00E10BA0" w:rsidP="007E453E">
            <w:pPr>
              <w:widowControl w:val="0"/>
              <w:spacing w:line="240" w:lineRule="auto"/>
              <w:jc w:val="left"/>
              <w:rPr>
                <w:sz w:val="24"/>
              </w:rPr>
            </w:pPr>
            <w:r w:rsidRPr="008E3606">
              <w:rPr>
                <w:b/>
                <w:sz w:val="24"/>
              </w:rPr>
              <w:t xml:space="preserve">4. Deducciones del CAN1 </w:t>
            </w:r>
          </w:p>
        </w:tc>
        <w:tc>
          <w:tcPr>
            <w:tcW w:w="2268" w:type="dxa"/>
            <w:tcBorders>
              <w:top w:val="single" w:sz="4" w:space="0" w:color="000000"/>
              <w:left w:val="single" w:sz="4" w:space="0" w:color="000000"/>
              <w:bottom w:val="single" w:sz="4" w:space="0" w:color="000000"/>
              <w:right w:val="single" w:sz="4" w:space="0" w:color="000000"/>
            </w:tcBorders>
          </w:tcPr>
          <w:p w14:paraId="7B36129D" w14:textId="77777777" w:rsidR="00E10BA0" w:rsidRPr="008E3606" w:rsidRDefault="00E10BA0" w:rsidP="007E453E">
            <w:pPr>
              <w:widowControl w:val="0"/>
              <w:spacing w:line="240" w:lineRule="auto"/>
              <w:ind w:right="58"/>
              <w:jc w:val="center"/>
              <w:rPr>
                <w:sz w:val="24"/>
              </w:rPr>
            </w:pPr>
            <w:r w:rsidRPr="008E3606">
              <w:rPr>
                <w:b/>
                <w:sz w:val="24"/>
              </w:rPr>
              <w:t xml:space="preserve">ARTÍCULO 26 </w:t>
            </w:r>
          </w:p>
        </w:tc>
      </w:tr>
      <w:tr w:rsidR="00E10BA0" w:rsidRPr="008E3606" w14:paraId="12825174"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7931ADC4"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01E43FD4"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2C7152CD"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0FF1832"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2C7B847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99695D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70071F1" w14:textId="77777777" w:rsidTr="007E453E">
        <w:tblPrEx>
          <w:tblCellMar>
            <w:top w:w="5" w:type="dxa"/>
          </w:tblCellMar>
        </w:tblPrEx>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15500DC2" w14:textId="77777777" w:rsidR="00E10BA0" w:rsidRPr="008E3606" w:rsidRDefault="00E10BA0" w:rsidP="007E453E">
            <w:pPr>
              <w:widowControl w:val="0"/>
              <w:spacing w:line="240" w:lineRule="auto"/>
              <w:rPr>
                <w:sz w:val="24"/>
              </w:rPr>
            </w:pPr>
            <w:r w:rsidRPr="008E3606">
              <w:rPr>
                <w:sz w:val="24"/>
              </w:rPr>
              <w:lastRenderedPageBreak/>
              <w:t xml:space="preserve">El importe de las deducciones a que se refiere el Artículo 28 del Acuerdo Sugef 3-06, que exceda el importe de los elementos del CN2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3B2C8BEA"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7DBBE3B5"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271FED8A" w14:textId="77777777" w:rsidR="00E10BA0" w:rsidRPr="008E3606" w:rsidRDefault="00E10BA0" w:rsidP="007E453E">
            <w:pPr>
              <w:widowControl w:val="0"/>
              <w:spacing w:line="240" w:lineRule="auto"/>
              <w:jc w:val="left"/>
              <w:rPr>
                <w:sz w:val="24"/>
              </w:rPr>
            </w:pPr>
            <w:r w:rsidRPr="008E3606">
              <w:rPr>
                <w:sz w:val="24"/>
              </w:rPr>
              <w:t xml:space="preserve">DA (Nuevo N) </w:t>
            </w:r>
          </w:p>
        </w:tc>
        <w:tc>
          <w:tcPr>
            <w:tcW w:w="4536" w:type="dxa"/>
            <w:tcBorders>
              <w:top w:val="single" w:sz="4" w:space="0" w:color="000000"/>
              <w:left w:val="single" w:sz="4" w:space="0" w:color="000000"/>
              <w:bottom w:val="single" w:sz="4" w:space="0" w:color="000000"/>
              <w:right w:val="single" w:sz="4" w:space="0" w:color="000000"/>
            </w:tcBorders>
          </w:tcPr>
          <w:p w14:paraId="0EE88973" w14:textId="77777777" w:rsidR="00E10BA0" w:rsidRPr="008E3606" w:rsidRDefault="00E10BA0" w:rsidP="007E453E">
            <w:pPr>
              <w:widowControl w:val="0"/>
              <w:spacing w:line="240" w:lineRule="auto"/>
              <w:rPr>
                <w:sz w:val="24"/>
              </w:rPr>
            </w:pPr>
            <w:r w:rsidRPr="008E3606">
              <w:rPr>
                <w:sz w:val="24"/>
              </w:rPr>
              <w:t xml:space="preserve">El monto de las deducciones que exceda el importe de los elementos del CN2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09EDAABE"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5C586A4"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2C1B88CC"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75BBF45"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F0AEB3D"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15CB33D9" w14:textId="77777777" w:rsidR="00E10BA0" w:rsidRPr="008E3606" w:rsidRDefault="00E10BA0" w:rsidP="007E453E">
            <w:pPr>
              <w:widowControl w:val="0"/>
              <w:spacing w:line="240" w:lineRule="auto"/>
              <w:jc w:val="left"/>
              <w:rPr>
                <w:sz w:val="24"/>
              </w:rPr>
            </w:pPr>
            <w:r w:rsidRPr="008E3606">
              <w:rPr>
                <w:b/>
                <w:sz w:val="24"/>
              </w:rPr>
              <w:t xml:space="preserve">III. CAPITAL NIVEL 2 (CN2) = (5 MENOS 6) </w:t>
            </w:r>
          </w:p>
        </w:tc>
        <w:tc>
          <w:tcPr>
            <w:tcW w:w="2268" w:type="dxa"/>
            <w:tcBorders>
              <w:top w:val="single" w:sz="4" w:space="0" w:color="000000"/>
              <w:left w:val="single" w:sz="4" w:space="0" w:color="000000"/>
              <w:bottom w:val="single" w:sz="4" w:space="0" w:color="000000"/>
              <w:right w:val="single" w:sz="4" w:space="0" w:color="000000"/>
            </w:tcBorders>
          </w:tcPr>
          <w:p w14:paraId="2F90BF62" w14:textId="77777777" w:rsidR="00E10BA0" w:rsidRPr="008E3606" w:rsidRDefault="00E10BA0" w:rsidP="007E453E">
            <w:pPr>
              <w:widowControl w:val="0"/>
              <w:spacing w:line="240" w:lineRule="auto"/>
              <w:jc w:val="left"/>
              <w:rPr>
                <w:sz w:val="24"/>
              </w:rPr>
            </w:pPr>
            <w:r w:rsidRPr="008E3606">
              <w:rPr>
                <w:b/>
                <w:sz w:val="24"/>
              </w:rPr>
              <w:t xml:space="preserve"> </w:t>
            </w:r>
          </w:p>
        </w:tc>
      </w:tr>
      <w:tr w:rsidR="00E10BA0" w:rsidRPr="008E3606" w14:paraId="327A1E90"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40EF7ECB" w14:textId="77777777" w:rsidR="00E10BA0" w:rsidRPr="008E3606" w:rsidRDefault="00E10BA0" w:rsidP="007E453E">
            <w:pPr>
              <w:widowControl w:val="0"/>
              <w:spacing w:line="240" w:lineRule="auto"/>
              <w:jc w:val="left"/>
              <w:rPr>
                <w:sz w:val="24"/>
              </w:rPr>
            </w:pPr>
            <w:r w:rsidRPr="008E3606">
              <w:rPr>
                <w:b/>
                <w:sz w:val="24"/>
              </w:rPr>
              <w:t xml:space="preserve">5. Elementos del CN2 </w:t>
            </w:r>
          </w:p>
        </w:tc>
        <w:tc>
          <w:tcPr>
            <w:tcW w:w="2268" w:type="dxa"/>
            <w:tcBorders>
              <w:top w:val="single" w:sz="4" w:space="0" w:color="000000"/>
              <w:left w:val="single" w:sz="4" w:space="0" w:color="000000"/>
              <w:bottom w:val="single" w:sz="4" w:space="0" w:color="000000"/>
              <w:right w:val="single" w:sz="4" w:space="0" w:color="000000"/>
            </w:tcBorders>
          </w:tcPr>
          <w:p w14:paraId="3EE00059" w14:textId="77777777" w:rsidR="00E10BA0" w:rsidRPr="008E3606" w:rsidRDefault="00E10BA0" w:rsidP="007E453E">
            <w:pPr>
              <w:widowControl w:val="0"/>
              <w:spacing w:line="240" w:lineRule="auto"/>
              <w:ind w:right="58"/>
              <w:jc w:val="center"/>
              <w:rPr>
                <w:sz w:val="24"/>
              </w:rPr>
            </w:pPr>
            <w:r w:rsidRPr="008E3606">
              <w:rPr>
                <w:b/>
                <w:sz w:val="24"/>
              </w:rPr>
              <w:t xml:space="preserve">ARTÍCULO 27 </w:t>
            </w:r>
          </w:p>
        </w:tc>
      </w:tr>
      <w:tr w:rsidR="00E10BA0" w:rsidRPr="008E3606" w14:paraId="0568ECD0"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11F3580D" w14:textId="77777777" w:rsidR="00E10BA0" w:rsidRPr="008E3606" w:rsidRDefault="00E10BA0" w:rsidP="007E453E">
            <w:pPr>
              <w:widowControl w:val="0"/>
              <w:spacing w:line="240" w:lineRule="auto"/>
              <w:jc w:val="left"/>
              <w:rPr>
                <w:sz w:val="24"/>
              </w:rPr>
            </w:pPr>
            <w:r w:rsidRPr="008E3606">
              <w:rPr>
                <w:b/>
                <w:sz w:val="24"/>
              </w:rPr>
              <w:t xml:space="preserve">CUENTA CONTABLE </w:t>
            </w:r>
            <w:r w:rsidRPr="008E3606">
              <w:rPr>
                <w:noProof/>
                <w:sz w:val="24"/>
              </w:rPr>
              <mc:AlternateContent>
                <mc:Choice Requires="wpg">
                  <w:drawing>
                    <wp:inline distT="0" distB="0" distL="0" distR="0" wp14:anchorId="45807969" wp14:editId="6CBE86B6">
                      <wp:extent cx="6350" cy="168910"/>
                      <wp:effectExtent l="0" t="3175" r="7620" b="0"/>
                      <wp:docPr id="354076" name="Group 394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68910"/>
                                <a:chOff x="0" y="0"/>
                                <a:chExt cx="6096" cy="169164"/>
                              </a:xfrm>
                            </wpg:grpSpPr>
                            <wps:wsp>
                              <wps:cNvPr id="354077" name="Shape 425104"/>
                              <wps:cNvSpPr>
                                <a:spLocks/>
                              </wps:cNvSpPr>
                              <wps:spPr bwMode="auto">
                                <a:xfrm>
                                  <a:off x="0" y="0"/>
                                  <a:ext cx="9144" cy="169164"/>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v:group id="Group 394091" style="width:.5pt;height:13.3pt;mso-position-horizontal-relative:char;mso-position-vertical-relative:line" coordsize="6096,16916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6LCSQMAAFAJAAAOAAAAZHJzL2Uyb0RvYy54bWykVtuO2zYQfS/QfyD4WKAryWt7Y2G1QZE0&#10;iwJpGyDuB9AUdUElUSVpy9uv7xnqsvKmSoyNH2RSPDycOTOc0f3bc12xkzK21E3Co5uQM9VInZZN&#10;nvC/9h9+fsOZdaJJRaUblfAnZfnbhx9/uO/aWK10oatUGQaSxsZdm/DCuTYOAisLVQt7o1vVYDHT&#10;phYOU5MHqREd2OsqWIXhNui0SVujpbIWb9/3i/zB82eZku7PLLPKsSrhsM35p/HPAz2Dh3sR50a0&#10;RSkHM8QrrKhF2eDQieq9cIIdTfkFVV1Ko63O3I3UdaCzrJTK+wBvovCFN49GH1vvSx53eTvJBGlf&#10;6PRqWvnH6dG0n9tPprcew49a/m2hS9C1eTxfp3neg9mh+12niKc4Ou0dP2emJgq4xM5e36dJX3V2&#10;TOLl9naDGEgsRNs3u2hQXxYI0Rd7ZPHruCvcbcddu2i7ppgFIu4P9EYORlHQkUX2WSj7fUJ9LkSr&#10;vP6WhPhkWJkm/HazDu/uOGtEDQE8hq1Xmyj0lpEJwI6K2rmcsxWCWaj+OiF30Xq9KImI5dG6R6V9&#10;PMTpo3V9lqcY+Sing+17RCOrKyT8TwELWcc87wAeMdEFpmDRdgwCsn1iWs1QxLJAdjuDhWyJDL5N&#10;Zn2FbDOD9VYtMiKBJsYlRxHSCfMNOhS1CbpEt7vALLmKS/Btqui6GERXBiGaR+F/PMXlysdcEcWY&#10;PvLcDPmDERNU30N/81tt6fZSMuFm76PhfgJFybYAhqkEvr0KjHwg8OYqMEJN4LurwAgkgXdzMNx/&#10;9tWgg1Dv2FOg0D32FAv0jz2JjQ6yh5j+wrTCkVTkMg1Zl/D+lhZU7fyVobVan9Ree5R7UfNw7vNq&#10;1cxRPRMs9SUTwHF5/G892QQbDoRhi9g+WlcDLw8GKznp6SfH8XJeeKyuyvRDWVXkrDX54V1l2ElQ&#10;H/a/QfILWOVTptG0bTTeN6K+WPYF/qDTJxROo/tmjo8PDApt/uWsQyNPuP3nKIzirPqtQQMgUSh2&#10;frLe3K0wMfOVw3xFNBJUCXccKU7Ddw4zbDm2pswLnBT5pG/0L+h8WUmlFT3Ixr1VwwQ9yI9828bo&#10;4rtgPveo5w+hh/8AAAD//wMAUEsDBBQABgAIAAAAIQDfxPjA2QAAAAIBAAAPAAAAZHJzL2Rvd25y&#10;ZXYueG1sTI9Ba8JAEIXvhf6HZQRvdROlQWI2ItL2JIWqUHobs2MSzM6G7JrEf9+1l3p58HjDe99k&#10;69E0oqfO1ZYVxLMIBHFhdc2lguPh/WUJwnlkjY1lUnAjB+v8+SnDVNuBv6jf+1KEEnYpKqi8b1Mp&#10;XVGRQTezLXHIzrYz6IPtSqk7HEK5aeQ8ihJpsOawUGFL24qKy/5qFHwMOGwW8Vu/u5y3t5/D6+f3&#10;LialppNxswLhafT/x3DHD+iQB6aTvbJ2olEQHvF/es+COSmYJwnIPJOP6PkvAAAA//8DAFBLAQIt&#10;ABQABgAIAAAAIQC2gziS/gAAAOEBAAATAAAAAAAAAAAAAAAAAAAAAABbQ29udGVudF9UeXBlc10u&#10;eG1sUEsBAi0AFAAGAAgAAAAhADj9If/WAAAAlAEAAAsAAAAAAAAAAAAAAAAALwEAAF9yZWxzLy5y&#10;ZWxzUEsBAi0AFAAGAAgAAAAhADjXosJJAwAAUAkAAA4AAAAAAAAAAAAAAAAALgIAAGRycy9lMm9E&#10;b2MueG1sUEsBAi0AFAAGAAgAAAAhAN/E+MDZAAAAAgEAAA8AAAAAAAAAAAAAAAAAowUAAGRycy9k&#10;b3ducmV2LnhtbFBLBQYAAAAABAAEAPMAAACpBgAAAAA=&#10;" w14:anchorId="6BD4E00B">
                      <v:shape id="Shape 425104" style="position:absolute;width:9144;height:169164;visibility:visible;mso-wrap-style:square;v-text-anchor:top" coordsize="9144,169164" o:spid="_x0000_s1027" fillcolor="black" stroked="f" strokeweight="0" path="m,l9144,r,169164l,1691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9GpxwAAAN8AAAAPAAAAZHJzL2Rvd25yZXYueG1sRI9Pa8JA&#10;FMTvhX6H5Qne6iY2/iF1lVpUvKql4O2Rfc0Gs29DdtXYT98VBI/DzPyGmS06W4sLtb5yrCAdJCCI&#10;C6crLhV8H9ZvUxA+IGusHZOCG3lYzF9fZphrd+UdXfahFBHCPkcFJoQml9IXhiz6gWuIo/frWosh&#10;yraUusVrhNtaDpNkLC1WHBcMNvRlqDjtz1bBz3hD2TndmlWV/m3M8lgcs91UqX6v+/wAEagLz/Cj&#10;vdUK3kdZMpnA/U/8AnL+DwAA//8DAFBLAQItABQABgAIAAAAIQDb4fbL7gAAAIUBAAATAAAAAAAA&#10;AAAAAAAAAAAAAABbQ29udGVudF9UeXBlc10ueG1sUEsBAi0AFAAGAAgAAAAhAFr0LFu/AAAAFQEA&#10;AAsAAAAAAAAAAAAAAAAAHwEAAF9yZWxzLy5yZWxzUEsBAi0AFAAGAAgAAAAhAAfv0anHAAAA3wAA&#10;AA8AAAAAAAAAAAAAAAAABwIAAGRycy9kb3ducmV2LnhtbFBLBQYAAAAAAwADALcAAAD7AgAAAAA=&#10;">
                        <v:stroke endcap="round"/>
                        <v:path textboxrect="0,0,9144,169164" arrowok="t" o:connecttype="custom" o:connectlocs="0,0;9144,0;9144,169164;0,169164;0,0" o:connectangles="0,0,0,0,0"/>
                      </v:shape>
                      <w10:anchorlock/>
                    </v:group>
                  </w:pict>
                </mc:Fallback>
              </mc:AlternateContent>
            </w:r>
            <w:r w:rsidRPr="008E3606">
              <w:rPr>
                <w:b/>
                <w:sz w:val="24"/>
              </w:rPr>
              <w:t xml:space="preserve"> DESCRIPCIÓN </w:t>
            </w:r>
          </w:p>
        </w:tc>
        <w:tc>
          <w:tcPr>
            <w:tcW w:w="2268" w:type="dxa"/>
            <w:tcBorders>
              <w:top w:val="single" w:sz="4" w:space="0" w:color="000000"/>
              <w:left w:val="single" w:sz="4" w:space="0" w:color="000000"/>
              <w:bottom w:val="single" w:sz="4" w:space="0" w:color="000000"/>
              <w:right w:val="single" w:sz="4" w:space="0" w:color="000000"/>
            </w:tcBorders>
          </w:tcPr>
          <w:p w14:paraId="3F85A71D" w14:textId="77777777" w:rsidR="00E10BA0" w:rsidRPr="008E3606" w:rsidRDefault="00E10BA0" w:rsidP="007E453E">
            <w:pPr>
              <w:widowControl w:val="0"/>
              <w:spacing w:line="240" w:lineRule="auto"/>
              <w:jc w:val="left"/>
              <w:rPr>
                <w:sz w:val="24"/>
              </w:rPr>
            </w:pPr>
            <w:r w:rsidRPr="008E3606">
              <w:rPr>
                <w:b/>
                <w:sz w:val="24"/>
              </w:rPr>
              <w:t xml:space="preserve">REFERENCIA 3-06 </w:t>
            </w:r>
          </w:p>
        </w:tc>
      </w:tr>
      <w:tr w:rsidR="00E10BA0" w:rsidRPr="008E3606" w14:paraId="7BB5183E"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2551A2E8"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47E372BA" w14:textId="77777777" w:rsidR="00E10BA0" w:rsidRPr="008E3606" w:rsidRDefault="00E10BA0" w:rsidP="007E453E">
            <w:pPr>
              <w:widowControl w:val="0"/>
              <w:spacing w:line="240" w:lineRule="auto"/>
              <w:jc w:val="left"/>
              <w:rPr>
                <w:sz w:val="24"/>
              </w:rPr>
            </w:pPr>
          </w:p>
        </w:tc>
      </w:tr>
      <w:tr w:rsidR="00E10BA0" w:rsidRPr="008E3606" w14:paraId="74842662"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6D6FF815" w14:textId="77777777" w:rsidR="00E10BA0" w:rsidRPr="008E3606" w:rsidRDefault="00E10BA0" w:rsidP="007E453E">
            <w:pPr>
              <w:widowControl w:val="0"/>
              <w:spacing w:line="240" w:lineRule="auto"/>
              <w:ind w:right="56"/>
              <w:rPr>
                <w:sz w:val="24"/>
              </w:rPr>
            </w:pPr>
            <w:r w:rsidRPr="008E3606">
              <w:rPr>
                <w:sz w:val="24"/>
              </w:rPr>
              <w:t xml:space="preserve">Los instrumentos de deuda subordinada emitidos por la entidad que cumplan con todos y cada uno de los criterios de admisibilidad para formar parte del CN2, dispuestos en el Anexo 5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7B8D3DAE"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7BB3AAD8"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0CC16648" w14:textId="77777777" w:rsidR="00E10BA0" w:rsidRPr="008E3606" w:rsidRDefault="00E10BA0" w:rsidP="007E453E">
            <w:pPr>
              <w:widowControl w:val="0"/>
              <w:spacing w:line="240" w:lineRule="auto"/>
              <w:jc w:val="left"/>
              <w:rPr>
                <w:sz w:val="24"/>
              </w:rPr>
            </w:pPr>
            <w:r w:rsidRPr="008E3606">
              <w:rPr>
                <w:sz w:val="24"/>
              </w:rPr>
              <w:t xml:space="preserve">DA (Nuevo P) </w:t>
            </w:r>
          </w:p>
        </w:tc>
        <w:tc>
          <w:tcPr>
            <w:tcW w:w="4536" w:type="dxa"/>
            <w:tcBorders>
              <w:top w:val="single" w:sz="4" w:space="0" w:color="000000"/>
              <w:left w:val="single" w:sz="4" w:space="0" w:color="000000"/>
              <w:bottom w:val="single" w:sz="4" w:space="0" w:color="000000"/>
              <w:right w:val="single" w:sz="4" w:space="0" w:color="000000"/>
            </w:tcBorders>
          </w:tcPr>
          <w:p w14:paraId="727D8230" w14:textId="77777777" w:rsidR="00E10BA0" w:rsidRPr="008E3606" w:rsidRDefault="00E10BA0" w:rsidP="007E453E">
            <w:pPr>
              <w:widowControl w:val="0"/>
              <w:spacing w:line="240" w:lineRule="auto"/>
              <w:rPr>
                <w:sz w:val="24"/>
              </w:rPr>
            </w:pPr>
            <w:r w:rsidRPr="008E3606">
              <w:rPr>
                <w:sz w:val="24"/>
              </w:rPr>
              <w:t xml:space="preserve">Instrumento subordinado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tcPr>
          <w:p w14:paraId="53F867D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5EE0382"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36AE0C3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E177B9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5ADB964" w14:textId="77777777" w:rsidTr="007E453E">
        <w:tblPrEx>
          <w:tblCellMar>
            <w:top w:w="5" w:type="dxa"/>
          </w:tblCellMar>
        </w:tblPrEx>
        <w:trPr>
          <w:trHeight w:val="802"/>
        </w:trPr>
        <w:tc>
          <w:tcPr>
            <w:tcW w:w="7082" w:type="dxa"/>
            <w:gridSpan w:val="2"/>
            <w:tcBorders>
              <w:top w:val="single" w:sz="4" w:space="0" w:color="000000"/>
              <w:left w:val="single" w:sz="4" w:space="0" w:color="000000"/>
              <w:bottom w:val="single" w:sz="4" w:space="0" w:color="000000"/>
              <w:right w:val="single" w:sz="4" w:space="0" w:color="000000"/>
            </w:tcBorders>
          </w:tcPr>
          <w:p w14:paraId="47098B63" w14:textId="77777777" w:rsidR="00E10BA0" w:rsidRPr="008E3606" w:rsidRDefault="00E10BA0" w:rsidP="007E453E">
            <w:pPr>
              <w:widowControl w:val="0"/>
              <w:spacing w:line="240" w:lineRule="auto"/>
              <w:ind w:right="55"/>
              <w:rPr>
                <w:sz w:val="24"/>
              </w:rPr>
            </w:pPr>
            <w:r w:rsidRPr="008E3606">
              <w:rPr>
                <w:sz w:val="24"/>
              </w:rPr>
              <w:t xml:space="preserve">Las primas resultantes de la emisión de instrumentos de deuda subordinada incluidos en el CN2, netas de los correspondientes descuentos y de los costos de emisión y colocación.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543523DD"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34A96960" w14:textId="77777777" w:rsidTr="007E453E">
        <w:tblPrEx>
          <w:tblCellMar>
            <w:top w:w="5" w:type="dxa"/>
          </w:tblCellMar>
        </w:tblPrEx>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44ADFE94" w14:textId="77777777" w:rsidR="00E10BA0" w:rsidRPr="008E3606" w:rsidRDefault="00E10BA0" w:rsidP="007E453E">
            <w:pPr>
              <w:widowControl w:val="0"/>
              <w:spacing w:line="240" w:lineRule="auto"/>
              <w:jc w:val="left"/>
              <w:rPr>
                <w:sz w:val="24"/>
              </w:rPr>
            </w:pPr>
            <w:r w:rsidRPr="008E3606">
              <w:rPr>
                <w:sz w:val="24"/>
              </w:rPr>
              <w:t xml:space="preserve">DA (Nuevo S) </w:t>
            </w:r>
          </w:p>
        </w:tc>
        <w:tc>
          <w:tcPr>
            <w:tcW w:w="4536" w:type="dxa"/>
            <w:tcBorders>
              <w:top w:val="single" w:sz="4" w:space="0" w:color="000000"/>
              <w:left w:val="single" w:sz="4" w:space="0" w:color="000000"/>
              <w:bottom w:val="single" w:sz="4" w:space="0" w:color="000000"/>
              <w:right w:val="single" w:sz="4" w:space="0" w:color="000000"/>
            </w:tcBorders>
          </w:tcPr>
          <w:p w14:paraId="620C5805" w14:textId="77777777" w:rsidR="00E10BA0" w:rsidRPr="008E3606" w:rsidRDefault="00E10BA0" w:rsidP="007E453E">
            <w:pPr>
              <w:widowControl w:val="0"/>
              <w:spacing w:line="240" w:lineRule="auto"/>
              <w:rPr>
                <w:sz w:val="24"/>
              </w:rPr>
            </w:pPr>
            <w:r w:rsidRPr="008E3606">
              <w:rPr>
                <w:sz w:val="24"/>
              </w:rPr>
              <w:t xml:space="preserve">Primas instrumento subordinado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tcPr>
          <w:p w14:paraId="0E99930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59DF580"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623C63CF"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1CDF78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39620CD" w14:textId="77777777" w:rsidTr="007E453E">
        <w:tblPrEx>
          <w:tblCellMar>
            <w:top w:w="5" w:type="dxa"/>
          </w:tblCellMar>
        </w:tblPrEx>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67DFE1DA" w14:textId="77777777" w:rsidR="00E10BA0" w:rsidRPr="008E3606" w:rsidRDefault="00E10BA0" w:rsidP="007E453E">
            <w:pPr>
              <w:widowControl w:val="0"/>
              <w:spacing w:line="240" w:lineRule="auto"/>
              <w:rPr>
                <w:sz w:val="24"/>
              </w:rPr>
            </w:pPr>
            <w:r w:rsidRPr="008E3606">
              <w:rPr>
                <w:sz w:val="24"/>
              </w:rPr>
              <w:t xml:space="preserve">Las donaciones para incrementos de los certificados de aportación, pendientes de ser capitalizadas.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8446F"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150C7A3D"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61754771" w14:textId="77777777" w:rsidR="00E10BA0" w:rsidRPr="008E3606" w:rsidRDefault="00E10BA0" w:rsidP="007E453E">
            <w:pPr>
              <w:widowControl w:val="0"/>
              <w:spacing w:line="240" w:lineRule="auto"/>
              <w:jc w:val="left"/>
              <w:rPr>
                <w:sz w:val="24"/>
              </w:rPr>
            </w:pPr>
            <w:r w:rsidRPr="008E3606">
              <w:rPr>
                <w:sz w:val="24"/>
              </w:rPr>
              <w:t xml:space="preserve">CC 32202M02 </w:t>
            </w:r>
          </w:p>
        </w:tc>
        <w:tc>
          <w:tcPr>
            <w:tcW w:w="4536" w:type="dxa"/>
            <w:tcBorders>
              <w:top w:val="single" w:sz="4" w:space="0" w:color="000000"/>
              <w:left w:val="single" w:sz="4" w:space="0" w:color="000000"/>
              <w:bottom w:val="single" w:sz="4" w:space="0" w:color="000000"/>
              <w:right w:val="single" w:sz="4" w:space="0" w:color="000000"/>
            </w:tcBorders>
          </w:tcPr>
          <w:p w14:paraId="6B429456" w14:textId="77777777" w:rsidR="00E10BA0" w:rsidRPr="008E3606" w:rsidRDefault="00E10BA0" w:rsidP="007E453E">
            <w:pPr>
              <w:widowControl w:val="0"/>
              <w:spacing w:line="240" w:lineRule="auto"/>
              <w:jc w:val="left"/>
              <w:rPr>
                <w:sz w:val="24"/>
              </w:rPr>
            </w:pPr>
            <w:r w:rsidRPr="008E3606">
              <w:rPr>
                <w:sz w:val="24"/>
              </w:rPr>
              <w:t xml:space="preserve">Donaciones por capitalizar pendientes de autorizar </w:t>
            </w:r>
          </w:p>
        </w:tc>
        <w:tc>
          <w:tcPr>
            <w:tcW w:w="2268" w:type="dxa"/>
            <w:tcBorders>
              <w:top w:val="single" w:sz="4" w:space="0" w:color="000000"/>
              <w:left w:val="single" w:sz="4" w:space="0" w:color="000000"/>
              <w:bottom w:val="single" w:sz="4" w:space="0" w:color="000000"/>
              <w:right w:val="single" w:sz="4" w:space="0" w:color="000000"/>
            </w:tcBorders>
            <w:vAlign w:val="center"/>
          </w:tcPr>
          <w:p w14:paraId="7441A2B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83E4A6A"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1ABA2059"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7177B3EC"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ED03666" w14:textId="77777777" w:rsidTr="007E453E">
        <w:tblPrEx>
          <w:tblCellMar>
            <w:top w:w="5" w:type="dxa"/>
          </w:tblCellMar>
        </w:tblPrEx>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28B98AB8" w14:textId="77777777" w:rsidR="00E10BA0" w:rsidRPr="008E3606" w:rsidRDefault="00E10BA0" w:rsidP="007E453E">
            <w:pPr>
              <w:widowControl w:val="0"/>
              <w:spacing w:line="240" w:lineRule="auto"/>
              <w:rPr>
                <w:sz w:val="24"/>
              </w:rPr>
            </w:pPr>
            <w:r w:rsidRPr="008E3606">
              <w:rPr>
                <w:sz w:val="24"/>
              </w:rPr>
              <w:t xml:space="preserve">Los superávits por revaluación de bienes inmuebles; hasta por una suma no mayor al 75% del saldo de la cuenta patrimonial correspondiente.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0B6FE2"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32EE366A"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74C3C649" w14:textId="77777777" w:rsidR="00E10BA0" w:rsidRPr="008E3606" w:rsidRDefault="00E10BA0" w:rsidP="007E453E">
            <w:pPr>
              <w:widowControl w:val="0"/>
              <w:spacing w:line="240" w:lineRule="auto"/>
              <w:jc w:val="left"/>
              <w:rPr>
                <w:sz w:val="24"/>
              </w:rPr>
            </w:pPr>
            <w:r w:rsidRPr="008E3606">
              <w:rPr>
                <w:sz w:val="24"/>
              </w:rPr>
              <w:t xml:space="preserve">CC 33101M01 </w:t>
            </w:r>
          </w:p>
        </w:tc>
        <w:tc>
          <w:tcPr>
            <w:tcW w:w="4536" w:type="dxa"/>
            <w:tcBorders>
              <w:top w:val="single" w:sz="4" w:space="0" w:color="000000"/>
              <w:left w:val="single" w:sz="4" w:space="0" w:color="000000"/>
              <w:bottom w:val="single" w:sz="4" w:space="0" w:color="000000"/>
              <w:right w:val="single" w:sz="4" w:space="0" w:color="000000"/>
            </w:tcBorders>
          </w:tcPr>
          <w:p w14:paraId="159AD98E" w14:textId="77777777" w:rsidR="00E10BA0" w:rsidRPr="008E3606" w:rsidRDefault="00E10BA0" w:rsidP="007E453E">
            <w:pPr>
              <w:widowControl w:val="0"/>
              <w:spacing w:line="240" w:lineRule="auto"/>
              <w:jc w:val="left"/>
              <w:rPr>
                <w:sz w:val="24"/>
              </w:rPr>
            </w:pPr>
            <w:r w:rsidRPr="008E3606">
              <w:rPr>
                <w:sz w:val="24"/>
              </w:rPr>
              <w:t xml:space="preserve">Superávit por revaluación de terrenos </w:t>
            </w:r>
          </w:p>
        </w:tc>
        <w:tc>
          <w:tcPr>
            <w:tcW w:w="2268" w:type="dxa"/>
            <w:tcBorders>
              <w:top w:val="single" w:sz="4" w:space="0" w:color="000000"/>
              <w:left w:val="single" w:sz="4" w:space="0" w:color="000000"/>
              <w:bottom w:val="single" w:sz="4" w:space="0" w:color="000000"/>
              <w:right w:val="single" w:sz="4" w:space="0" w:color="000000"/>
            </w:tcBorders>
          </w:tcPr>
          <w:p w14:paraId="7098D9F3"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9D9339E"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7AA5327" w14:textId="77777777" w:rsidR="00E10BA0" w:rsidRPr="008E3606" w:rsidRDefault="00E10BA0" w:rsidP="007E453E">
            <w:pPr>
              <w:widowControl w:val="0"/>
              <w:spacing w:line="240" w:lineRule="auto"/>
              <w:jc w:val="left"/>
              <w:rPr>
                <w:sz w:val="24"/>
              </w:rPr>
            </w:pPr>
            <w:r w:rsidRPr="008E3606">
              <w:rPr>
                <w:sz w:val="24"/>
              </w:rPr>
              <w:t xml:space="preserve">CC 33101M02 </w:t>
            </w:r>
          </w:p>
        </w:tc>
        <w:tc>
          <w:tcPr>
            <w:tcW w:w="4536" w:type="dxa"/>
            <w:tcBorders>
              <w:top w:val="single" w:sz="4" w:space="0" w:color="000000"/>
              <w:left w:val="single" w:sz="4" w:space="0" w:color="000000"/>
              <w:bottom w:val="single" w:sz="4" w:space="0" w:color="000000"/>
              <w:right w:val="single" w:sz="4" w:space="0" w:color="000000"/>
            </w:tcBorders>
          </w:tcPr>
          <w:p w14:paraId="5C44E66B" w14:textId="77777777" w:rsidR="00E10BA0" w:rsidRPr="008E3606" w:rsidRDefault="00E10BA0" w:rsidP="007E453E">
            <w:pPr>
              <w:widowControl w:val="0"/>
              <w:spacing w:line="240" w:lineRule="auto"/>
              <w:jc w:val="left"/>
              <w:rPr>
                <w:sz w:val="24"/>
              </w:rPr>
            </w:pPr>
            <w:r w:rsidRPr="008E3606">
              <w:rPr>
                <w:sz w:val="24"/>
              </w:rPr>
              <w:t xml:space="preserve">Superávit por revaluación de edificios e instalaciones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5A487C66"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536BAE8" w14:textId="77777777" w:rsidTr="007E453E">
        <w:tblPrEx>
          <w:tblCellMar>
            <w:top w:w="5" w:type="dxa"/>
          </w:tblCellMar>
        </w:tblPrEx>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0C9DF0B8" w14:textId="77777777" w:rsidR="00E10BA0" w:rsidRPr="008E3606" w:rsidRDefault="00E10BA0" w:rsidP="007E453E">
            <w:pPr>
              <w:widowControl w:val="0"/>
              <w:spacing w:line="240" w:lineRule="auto"/>
              <w:jc w:val="left"/>
              <w:rPr>
                <w:sz w:val="24"/>
              </w:rPr>
            </w:pPr>
            <w:r w:rsidRPr="008E3606">
              <w:rPr>
                <w:sz w:val="24"/>
              </w:rPr>
              <w:t xml:space="preserve">CC 33101M09 </w:t>
            </w:r>
          </w:p>
        </w:tc>
        <w:tc>
          <w:tcPr>
            <w:tcW w:w="4536" w:type="dxa"/>
            <w:tcBorders>
              <w:top w:val="single" w:sz="4" w:space="0" w:color="000000"/>
              <w:left w:val="single" w:sz="4" w:space="0" w:color="000000"/>
              <w:bottom w:val="single" w:sz="4" w:space="0" w:color="000000"/>
              <w:right w:val="single" w:sz="4" w:space="0" w:color="000000"/>
            </w:tcBorders>
          </w:tcPr>
          <w:p w14:paraId="22287ECA" w14:textId="77777777" w:rsidR="00E10BA0" w:rsidRPr="008E3606" w:rsidRDefault="00E10BA0" w:rsidP="007E453E">
            <w:pPr>
              <w:widowControl w:val="0"/>
              <w:spacing w:line="240" w:lineRule="auto"/>
              <w:rPr>
                <w:sz w:val="24"/>
              </w:rPr>
            </w:pPr>
            <w:r w:rsidRPr="008E3606">
              <w:rPr>
                <w:sz w:val="24"/>
              </w:rPr>
              <w:t xml:space="preserve">Impuesto diferido sobre superávit de propiedades, mobiliario y equipo </w:t>
            </w:r>
          </w:p>
        </w:tc>
        <w:tc>
          <w:tcPr>
            <w:tcW w:w="2268" w:type="dxa"/>
            <w:tcBorders>
              <w:top w:val="single" w:sz="4" w:space="0" w:color="000000"/>
              <w:left w:val="single" w:sz="4" w:space="0" w:color="000000"/>
              <w:bottom w:val="single" w:sz="4" w:space="0" w:color="000000"/>
              <w:right w:val="single" w:sz="4" w:space="0" w:color="000000"/>
            </w:tcBorders>
            <w:vAlign w:val="center"/>
          </w:tcPr>
          <w:p w14:paraId="0694CAD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6953F58"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6FAD021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B36F65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ED5CD26"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6AC07B6" w14:textId="77777777" w:rsidR="00E10BA0" w:rsidRPr="008E3606" w:rsidRDefault="00E10BA0" w:rsidP="007E453E">
            <w:pPr>
              <w:widowControl w:val="0"/>
              <w:spacing w:line="240" w:lineRule="auto"/>
              <w:jc w:val="left"/>
              <w:rPr>
                <w:sz w:val="24"/>
              </w:rPr>
            </w:pPr>
            <w:r w:rsidRPr="008E3606">
              <w:rPr>
                <w:sz w:val="24"/>
              </w:rPr>
              <w:t xml:space="preserve">Los superávits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tcPr>
          <w:p w14:paraId="10B08472"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18A9CFFD" w14:textId="77777777" w:rsidTr="007E453E">
        <w:tblPrEx>
          <w:tblCellMar>
            <w:top w:w="5" w:type="dxa"/>
          </w:tblCellMar>
        </w:tblPrEx>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4B2C0C70" w14:textId="77777777" w:rsidR="00E10BA0" w:rsidRPr="008E3606" w:rsidRDefault="00E10BA0" w:rsidP="007E453E">
            <w:pPr>
              <w:widowControl w:val="0"/>
              <w:spacing w:line="240" w:lineRule="auto"/>
              <w:jc w:val="left"/>
              <w:rPr>
                <w:sz w:val="24"/>
              </w:rPr>
            </w:pPr>
            <w:r w:rsidRPr="008E3606">
              <w:rPr>
                <w:sz w:val="24"/>
              </w:rPr>
              <w:t xml:space="preserve">CC 33200000 </w:t>
            </w:r>
          </w:p>
        </w:tc>
        <w:tc>
          <w:tcPr>
            <w:tcW w:w="4536" w:type="dxa"/>
            <w:tcBorders>
              <w:top w:val="single" w:sz="4" w:space="0" w:color="000000"/>
              <w:left w:val="single" w:sz="4" w:space="0" w:color="000000"/>
              <w:bottom w:val="single" w:sz="4" w:space="0" w:color="000000"/>
              <w:right w:val="single" w:sz="4" w:space="0" w:color="000000"/>
            </w:tcBorders>
          </w:tcPr>
          <w:p w14:paraId="73E5F229" w14:textId="77777777" w:rsidR="00E10BA0" w:rsidRPr="008E3606" w:rsidRDefault="00E10BA0" w:rsidP="007E453E">
            <w:pPr>
              <w:widowControl w:val="0"/>
              <w:spacing w:line="240" w:lineRule="auto"/>
              <w:rPr>
                <w:sz w:val="24"/>
              </w:rPr>
            </w:pPr>
            <w:r w:rsidRPr="008E3606">
              <w:rPr>
                <w:sz w:val="24"/>
              </w:rPr>
              <w:t xml:space="preserve">Ajustes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5788080D"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058ECA0"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459CDAA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2D7D05EC"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D9562D6"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5E7A9150" w14:textId="77777777" w:rsidR="00E10BA0" w:rsidRPr="008E3606" w:rsidRDefault="00E10BA0" w:rsidP="007E453E">
            <w:pPr>
              <w:widowControl w:val="0"/>
              <w:spacing w:line="240" w:lineRule="auto"/>
              <w:ind w:right="55"/>
              <w:rPr>
                <w:sz w:val="24"/>
              </w:rPr>
            </w:pPr>
            <w:r w:rsidRPr="008E3606">
              <w:rPr>
                <w:sz w:val="24"/>
              </w:rPr>
              <w:t xml:space="preserve">El literal f) del artículo 27 corresponde a la deducción cuyo detalle se presenta en el Artículo 28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258614"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1E191DEE"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66FDA712" w14:textId="77777777" w:rsidR="00E10BA0" w:rsidRPr="008E3606" w:rsidRDefault="00E10BA0" w:rsidP="007E453E">
            <w:pPr>
              <w:widowControl w:val="0"/>
              <w:spacing w:line="240" w:lineRule="auto"/>
              <w:jc w:val="left"/>
              <w:rPr>
                <w:sz w:val="24"/>
              </w:rPr>
            </w:pPr>
            <w:r w:rsidRPr="008E3606">
              <w:rPr>
                <w:sz w:val="24"/>
              </w:rPr>
              <w:t xml:space="preserve">DA (Nuevo U) </w:t>
            </w:r>
          </w:p>
        </w:tc>
        <w:tc>
          <w:tcPr>
            <w:tcW w:w="4536" w:type="dxa"/>
            <w:tcBorders>
              <w:top w:val="single" w:sz="4" w:space="0" w:color="000000"/>
              <w:left w:val="single" w:sz="4" w:space="0" w:color="000000"/>
              <w:bottom w:val="single" w:sz="4" w:space="0" w:color="000000"/>
              <w:right w:val="single" w:sz="4" w:space="0" w:color="000000"/>
            </w:tcBorders>
          </w:tcPr>
          <w:p w14:paraId="2BFF5D25" w14:textId="77777777" w:rsidR="00E10BA0" w:rsidRPr="008E3606" w:rsidRDefault="00E10BA0" w:rsidP="007E453E">
            <w:pPr>
              <w:widowControl w:val="0"/>
              <w:spacing w:line="240" w:lineRule="auto"/>
              <w:jc w:val="left"/>
              <w:rPr>
                <w:sz w:val="24"/>
              </w:rPr>
            </w:pPr>
            <w:r w:rsidRPr="008E3606">
              <w:rPr>
                <w:sz w:val="24"/>
              </w:rPr>
              <w:t xml:space="preserve">Deducciones del CN2 </w:t>
            </w:r>
          </w:p>
        </w:tc>
        <w:tc>
          <w:tcPr>
            <w:tcW w:w="2268" w:type="dxa"/>
            <w:tcBorders>
              <w:top w:val="single" w:sz="4" w:space="0" w:color="000000"/>
              <w:left w:val="single" w:sz="4" w:space="0" w:color="000000"/>
              <w:bottom w:val="single" w:sz="4" w:space="0" w:color="000000"/>
              <w:right w:val="single" w:sz="4" w:space="0" w:color="000000"/>
            </w:tcBorders>
          </w:tcPr>
          <w:p w14:paraId="7EA514B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1D5988B"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449DFEC4"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7C436DB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D908755"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3A49DED8" w14:textId="77777777" w:rsidR="00E10BA0" w:rsidRPr="008E3606" w:rsidRDefault="00E10BA0" w:rsidP="007E453E">
            <w:pPr>
              <w:widowControl w:val="0"/>
              <w:spacing w:line="240" w:lineRule="auto"/>
              <w:jc w:val="left"/>
              <w:rPr>
                <w:sz w:val="24"/>
              </w:rPr>
            </w:pPr>
            <w:r w:rsidRPr="008E3606">
              <w:rPr>
                <w:b/>
                <w:sz w:val="24"/>
              </w:rPr>
              <w:t xml:space="preserve">6. Deducciones del CN2 </w:t>
            </w:r>
          </w:p>
        </w:tc>
        <w:tc>
          <w:tcPr>
            <w:tcW w:w="2268" w:type="dxa"/>
            <w:tcBorders>
              <w:top w:val="single" w:sz="4" w:space="0" w:color="000000"/>
              <w:left w:val="single" w:sz="4" w:space="0" w:color="000000"/>
              <w:bottom w:val="single" w:sz="4" w:space="0" w:color="000000"/>
              <w:right w:val="single" w:sz="4" w:space="0" w:color="000000"/>
            </w:tcBorders>
          </w:tcPr>
          <w:p w14:paraId="3EF6CFD9" w14:textId="77777777" w:rsidR="00E10BA0" w:rsidRPr="008E3606" w:rsidRDefault="00E10BA0" w:rsidP="007E453E">
            <w:pPr>
              <w:widowControl w:val="0"/>
              <w:spacing w:line="240" w:lineRule="auto"/>
              <w:ind w:right="58"/>
              <w:jc w:val="center"/>
              <w:rPr>
                <w:sz w:val="24"/>
              </w:rPr>
            </w:pPr>
            <w:r w:rsidRPr="008E3606">
              <w:rPr>
                <w:b/>
                <w:sz w:val="24"/>
              </w:rPr>
              <w:t xml:space="preserve">ARTÍCULO 28 </w:t>
            </w:r>
          </w:p>
        </w:tc>
      </w:tr>
      <w:tr w:rsidR="00E10BA0" w:rsidRPr="008E3606" w14:paraId="06C35734"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4CA49701"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6141D402"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356F37FB"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F4CFD20"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0EF51027"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6A796CBA" w14:textId="77777777" w:rsidR="00E10BA0" w:rsidRPr="008E3606" w:rsidRDefault="00E10BA0" w:rsidP="007E453E">
            <w:pPr>
              <w:widowControl w:val="0"/>
              <w:spacing w:line="240" w:lineRule="auto"/>
              <w:jc w:val="left"/>
              <w:rPr>
                <w:sz w:val="24"/>
              </w:rPr>
            </w:pPr>
          </w:p>
        </w:tc>
      </w:tr>
      <w:tr w:rsidR="00E10BA0" w:rsidRPr="008E3606" w14:paraId="07A7538A" w14:textId="77777777" w:rsidTr="007E453E">
        <w:tblPrEx>
          <w:tblCellMar>
            <w:top w:w="5" w:type="dxa"/>
          </w:tblCellMar>
        </w:tblPrEx>
        <w:trPr>
          <w:trHeight w:val="1596"/>
        </w:trPr>
        <w:tc>
          <w:tcPr>
            <w:tcW w:w="7082" w:type="dxa"/>
            <w:gridSpan w:val="2"/>
            <w:tcBorders>
              <w:top w:val="single" w:sz="4" w:space="0" w:color="000000"/>
              <w:left w:val="single" w:sz="4" w:space="0" w:color="000000"/>
              <w:bottom w:val="single" w:sz="4" w:space="0" w:color="000000"/>
              <w:right w:val="single" w:sz="4" w:space="0" w:color="000000"/>
            </w:tcBorders>
          </w:tcPr>
          <w:p w14:paraId="5797A17F" w14:textId="77777777" w:rsidR="00E10BA0" w:rsidRPr="008E3606" w:rsidRDefault="00E10BA0" w:rsidP="007E453E">
            <w:pPr>
              <w:widowControl w:val="0"/>
              <w:spacing w:line="240" w:lineRule="auto"/>
              <w:ind w:right="55"/>
              <w:rPr>
                <w:sz w:val="24"/>
              </w:rPr>
            </w:pPr>
            <w:r w:rsidRPr="008E3606">
              <w:rPr>
                <w:sz w:val="24"/>
              </w:rPr>
              <w:t xml:space="preserve">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F1B5C0D"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5716994D" w14:textId="77777777" w:rsidTr="007E453E">
        <w:tblPrEx>
          <w:tblCellMar>
            <w:top w:w="5" w:type="dxa"/>
          </w:tblCellMar>
        </w:tblPrEx>
        <w:trPr>
          <w:trHeight w:val="1334"/>
        </w:trPr>
        <w:tc>
          <w:tcPr>
            <w:tcW w:w="2546" w:type="dxa"/>
            <w:tcBorders>
              <w:top w:val="single" w:sz="4" w:space="0" w:color="000000"/>
              <w:left w:val="single" w:sz="4" w:space="0" w:color="000000"/>
              <w:bottom w:val="single" w:sz="4" w:space="0" w:color="000000"/>
              <w:right w:val="single" w:sz="4" w:space="0" w:color="000000"/>
            </w:tcBorders>
            <w:vAlign w:val="center"/>
          </w:tcPr>
          <w:p w14:paraId="393C8F81" w14:textId="77777777" w:rsidR="00E10BA0" w:rsidRPr="008E3606" w:rsidRDefault="00E10BA0" w:rsidP="007E453E">
            <w:pPr>
              <w:widowControl w:val="0"/>
              <w:spacing w:line="240" w:lineRule="auto"/>
              <w:jc w:val="left"/>
              <w:rPr>
                <w:sz w:val="24"/>
              </w:rPr>
            </w:pPr>
            <w:r w:rsidRPr="008E3606">
              <w:rPr>
                <w:sz w:val="24"/>
              </w:rPr>
              <w:t xml:space="preserve">DA (Nuevo X) </w:t>
            </w:r>
          </w:p>
        </w:tc>
        <w:tc>
          <w:tcPr>
            <w:tcW w:w="4536" w:type="dxa"/>
            <w:tcBorders>
              <w:top w:val="single" w:sz="4" w:space="0" w:color="000000"/>
              <w:left w:val="single" w:sz="4" w:space="0" w:color="000000"/>
              <w:bottom w:val="single" w:sz="4" w:space="0" w:color="000000"/>
              <w:right w:val="single" w:sz="4" w:space="0" w:color="000000"/>
            </w:tcBorders>
          </w:tcPr>
          <w:p w14:paraId="635A0E72" w14:textId="77777777" w:rsidR="00E10BA0" w:rsidRPr="008E3606" w:rsidRDefault="00E10BA0" w:rsidP="007E453E">
            <w:pPr>
              <w:widowControl w:val="0"/>
              <w:spacing w:line="240" w:lineRule="auto"/>
              <w:ind w:right="55"/>
              <w:rPr>
                <w:sz w:val="24"/>
              </w:rPr>
            </w:pPr>
            <w:r w:rsidRPr="008E3606">
              <w:rPr>
                <w:sz w:val="24"/>
              </w:rPr>
              <w:t xml:space="preserve">Valor en libros de las inversiones en instrumentos homólogos al CN2, que calificarían como tales bajo los criterios establecidos en el Anexo 5 del Acuerdo Sugef 3-06 </w:t>
            </w:r>
          </w:p>
        </w:tc>
        <w:tc>
          <w:tcPr>
            <w:tcW w:w="2268" w:type="dxa"/>
            <w:tcBorders>
              <w:top w:val="single" w:sz="4" w:space="0" w:color="000000"/>
              <w:left w:val="single" w:sz="4" w:space="0" w:color="000000"/>
              <w:bottom w:val="single" w:sz="4" w:space="0" w:color="000000"/>
              <w:right w:val="single" w:sz="4" w:space="0" w:color="000000"/>
            </w:tcBorders>
          </w:tcPr>
          <w:p w14:paraId="10E9094D" w14:textId="77777777" w:rsidR="00E10BA0" w:rsidRPr="008E3606" w:rsidRDefault="00E10BA0" w:rsidP="007E453E">
            <w:pPr>
              <w:widowControl w:val="0"/>
              <w:spacing w:line="240" w:lineRule="auto"/>
              <w:jc w:val="left"/>
              <w:rPr>
                <w:sz w:val="24"/>
              </w:rPr>
            </w:pPr>
            <w:r w:rsidRPr="008E3606">
              <w:rPr>
                <w:sz w:val="24"/>
              </w:rPr>
              <w:t xml:space="preserve"> </w:t>
            </w:r>
          </w:p>
        </w:tc>
      </w:tr>
    </w:tbl>
    <w:p w14:paraId="19040002" w14:textId="77777777" w:rsidR="00E10BA0" w:rsidRPr="008E3606" w:rsidRDefault="00E10BA0" w:rsidP="00E10BA0">
      <w:pPr>
        <w:widowControl w:val="0"/>
        <w:spacing w:line="240" w:lineRule="auto"/>
        <w:ind w:left="-6" w:right="108" w:hanging="11"/>
        <w:jc w:val="left"/>
        <w:rPr>
          <w:sz w:val="24"/>
        </w:rPr>
      </w:pPr>
      <w:r w:rsidRPr="008E3606">
        <w:rPr>
          <w:b/>
          <w:sz w:val="24"/>
        </w:rPr>
        <w:t xml:space="preserve">CC = </w:t>
      </w:r>
      <w:r w:rsidRPr="008E3606">
        <w:rPr>
          <w:sz w:val="24"/>
        </w:rPr>
        <w:t xml:space="preserve">Cuenta contable </w:t>
      </w:r>
    </w:p>
    <w:p w14:paraId="498108D2" w14:textId="77777777" w:rsidR="00E10BA0" w:rsidRPr="008E3606" w:rsidRDefault="00E10BA0" w:rsidP="00E10BA0">
      <w:pPr>
        <w:widowControl w:val="0"/>
        <w:spacing w:after="240" w:line="240" w:lineRule="auto"/>
        <w:ind w:left="-5" w:right="106"/>
        <w:jc w:val="left"/>
        <w:rPr>
          <w:sz w:val="24"/>
        </w:rPr>
      </w:pPr>
      <w:r w:rsidRPr="008E3606">
        <w:rPr>
          <w:b/>
          <w:sz w:val="24"/>
        </w:rPr>
        <w:t xml:space="preserve">DA = </w:t>
      </w:r>
      <w:r w:rsidRPr="008E3606">
        <w:rPr>
          <w:sz w:val="24"/>
        </w:rPr>
        <w:t>Dato adicional</w:t>
      </w:r>
      <w:r w:rsidRPr="008E3606">
        <w:rPr>
          <w:b/>
          <w:sz w:val="24"/>
        </w:rPr>
        <w:t xml:space="preserve"> </w:t>
      </w:r>
    </w:p>
    <w:p w14:paraId="763C2DB0" w14:textId="77777777" w:rsidR="00E10BA0" w:rsidRPr="008E3606" w:rsidRDefault="00E10BA0" w:rsidP="00E10BA0">
      <w:pPr>
        <w:widowControl w:val="0"/>
        <w:spacing w:after="240" w:line="259" w:lineRule="auto"/>
        <w:jc w:val="left"/>
        <w:rPr>
          <w:b/>
          <w:bCs/>
          <w:sz w:val="24"/>
        </w:rPr>
      </w:pPr>
    </w:p>
    <w:p w14:paraId="7DB1AB20" w14:textId="77777777" w:rsidR="00E10BA0" w:rsidRPr="008E3606" w:rsidRDefault="00E10BA0" w:rsidP="00E10BA0">
      <w:pPr>
        <w:pStyle w:val="Prrafodelista"/>
        <w:widowControl w:val="0"/>
        <w:spacing w:after="240"/>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lastRenderedPageBreak/>
        <w:t>C.</w:t>
      </w:r>
      <w:r w:rsidRPr="008E3606">
        <w:rPr>
          <w:rFonts w:ascii="Cambria" w:hAnsi="Cambria"/>
          <w:b/>
          <w:bCs/>
          <w:color w:val="4472C4" w:themeColor="accent1"/>
          <w:szCs w:val="24"/>
        </w:rPr>
        <w:tab/>
        <w:t>CÁLCULO DEL CAPITAL BASE PARA MUTUALES DE AHORRO Y PRÉSTAMO</w:t>
      </w:r>
    </w:p>
    <w:tbl>
      <w:tblPr>
        <w:tblStyle w:val="TableGrid"/>
        <w:tblW w:w="9350" w:type="dxa"/>
        <w:tblInd w:w="5" w:type="dxa"/>
        <w:tblCellMar>
          <w:top w:w="13" w:type="dxa"/>
          <w:left w:w="108" w:type="dxa"/>
          <w:right w:w="50" w:type="dxa"/>
        </w:tblCellMar>
        <w:tblLook w:val="04A0" w:firstRow="1" w:lastRow="0" w:firstColumn="1" w:lastColumn="0" w:noHBand="0" w:noVBand="1"/>
      </w:tblPr>
      <w:tblGrid>
        <w:gridCol w:w="2546"/>
        <w:gridCol w:w="4536"/>
        <w:gridCol w:w="2268"/>
      </w:tblGrid>
      <w:tr w:rsidR="00E10BA0" w:rsidRPr="008E3606" w14:paraId="033A4343"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3FEE3F0" w14:textId="77777777" w:rsidR="00E10BA0" w:rsidRPr="008E3606" w:rsidRDefault="00E10BA0" w:rsidP="007E453E">
            <w:pPr>
              <w:widowControl w:val="0"/>
              <w:spacing w:line="240" w:lineRule="auto"/>
              <w:jc w:val="left"/>
              <w:rPr>
                <w:sz w:val="24"/>
              </w:rPr>
            </w:pPr>
            <w:r w:rsidRPr="008E3606">
              <w:rPr>
                <w:b/>
                <w:sz w:val="24"/>
              </w:rPr>
              <w:t xml:space="preserve">CAPITAL BASE (CB) = (CN1 MÁS CN2) </w:t>
            </w:r>
          </w:p>
        </w:tc>
        <w:tc>
          <w:tcPr>
            <w:tcW w:w="2268" w:type="dxa"/>
            <w:tcBorders>
              <w:top w:val="single" w:sz="4" w:space="0" w:color="000000"/>
              <w:left w:val="nil"/>
              <w:bottom w:val="single" w:sz="4" w:space="0" w:color="000000"/>
              <w:right w:val="single" w:sz="4" w:space="0" w:color="000000"/>
            </w:tcBorders>
          </w:tcPr>
          <w:p w14:paraId="047B24AA" w14:textId="77777777" w:rsidR="00E10BA0" w:rsidRPr="008E3606" w:rsidRDefault="00E10BA0" w:rsidP="007E453E">
            <w:pPr>
              <w:widowControl w:val="0"/>
              <w:spacing w:line="240" w:lineRule="auto"/>
              <w:jc w:val="left"/>
              <w:rPr>
                <w:sz w:val="24"/>
              </w:rPr>
            </w:pPr>
          </w:p>
        </w:tc>
      </w:tr>
      <w:tr w:rsidR="00E10BA0" w:rsidRPr="008E3606" w14:paraId="56C7EE53"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6D3308F9" w14:textId="77777777" w:rsidR="00E10BA0" w:rsidRPr="008E3606" w:rsidRDefault="00E10BA0" w:rsidP="007E453E">
            <w:pPr>
              <w:widowControl w:val="0"/>
              <w:spacing w:line="240" w:lineRule="auto"/>
              <w:jc w:val="left"/>
              <w:rPr>
                <w:sz w:val="24"/>
              </w:rPr>
            </w:pPr>
            <w:r w:rsidRPr="008E3606">
              <w:rPr>
                <w:b/>
                <w:sz w:val="24"/>
              </w:rPr>
              <w:t xml:space="preserve">CAPITAL NIVEL 1 (CN1) = (CCN1 MÁS CAN1) = (I MÁS II) </w:t>
            </w:r>
          </w:p>
        </w:tc>
        <w:tc>
          <w:tcPr>
            <w:tcW w:w="2268" w:type="dxa"/>
            <w:tcBorders>
              <w:top w:val="single" w:sz="4" w:space="0" w:color="000000"/>
              <w:left w:val="nil"/>
              <w:bottom w:val="single" w:sz="4" w:space="0" w:color="000000"/>
              <w:right w:val="single" w:sz="4" w:space="0" w:color="000000"/>
            </w:tcBorders>
          </w:tcPr>
          <w:p w14:paraId="59EC3C08" w14:textId="77777777" w:rsidR="00E10BA0" w:rsidRPr="008E3606" w:rsidRDefault="00E10BA0" w:rsidP="007E453E">
            <w:pPr>
              <w:widowControl w:val="0"/>
              <w:spacing w:line="240" w:lineRule="auto"/>
              <w:jc w:val="left"/>
              <w:rPr>
                <w:sz w:val="24"/>
              </w:rPr>
            </w:pPr>
          </w:p>
        </w:tc>
      </w:tr>
      <w:tr w:rsidR="00E10BA0" w:rsidRPr="008E3606" w14:paraId="78B0E9B9"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4F0EC3D0" w14:textId="77777777" w:rsidR="00E10BA0" w:rsidRPr="008E3606" w:rsidRDefault="00E10BA0" w:rsidP="007E453E">
            <w:pPr>
              <w:widowControl w:val="0"/>
              <w:spacing w:line="240" w:lineRule="auto"/>
              <w:jc w:val="left"/>
              <w:rPr>
                <w:sz w:val="24"/>
              </w:rPr>
            </w:pPr>
            <w:r w:rsidRPr="008E3606">
              <w:rPr>
                <w:b/>
                <w:sz w:val="24"/>
              </w:rPr>
              <w:t xml:space="preserve">I) CAPITAL COMÚN NIVEL 1 (CCN1) = (1 MENOS 2) </w:t>
            </w:r>
          </w:p>
        </w:tc>
        <w:tc>
          <w:tcPr>
            <w:tcW w:w="2268" w:type="dxa"/>
            <w:tcBorders>
              <w:top w:val="single" w:sz="4" w:space="0" w:color="000000"/>
              <w:left w:val="nil"/>
              <w:bottom w:val="single" w:sz="4" w:space="0" w:color="000000"/>
              <w:right w:val="single" w:sz="4" w:space="0" w:color="000000"/>
            </w:tcBorders>
          </w:tcPr>
          <w:p w14:paraId="047ADE5B" w14:textId="77777777" w:rsidR="00E10BA0" w:rsidRPr="008E3606" w:rsidRDefault="00E10BA0" w:rsidP="007E453E">
            <w:pPr>
              <w:widowControl w:val="0"/>
              <w:spacing w:line="240" w:lineRule="auto"/>
              <w:jc w:val="left"/>
              <w:rPr>
                <w:sz w:val="24"/>
              </w:rPr>
            </w:pPr>
          </w:p>
        </w:tc>
      </w:tr>
      <w:tr w:rsidR="00E10BA0" w:rsidRPr="008E3606" w14:paraId="7AA0D9D1"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60365E7"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3B6926F6"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4C086F40"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3EAE2DA"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07D11287" w14:textId="77777777" w:rsidR="00E10BA0" w:rsidRPr="008E3606" w:rsidRDefault="00E10BA0" w:rsidP="007E453E">
            <w:pPr>
              <w:widowControl w:val="0"/>
              <w:spacing w:line="240" w:lineRule="auto"/>
              <w:jc w:val="left"/>
              <w:rPr>
                <w:sz w:val="24"/>
              </w:rPr>
            </w:pPr>
            <w:r w:rsidRPr="008E3606">
              <w:rPr>
                <w:b/>
                <w:sz w:val="24"/>
              </w:rPr>
              <w:t xml:space="preserve">1) Elementos del CCN1 </w:t>
            </w:r>
          </w:p>
        </w:tc>
        <w:tc>
          <w:tcPr>
            <w:tcW w:w="2268" w:type="dxa"/>
            <w:tcBorders>
              <w:top w:val="single" w:sz="4" w:space="0" w:color="000000"/>
              <w:left w:val="single" w:sz="4" w:space="0" w:color="000000"/>
              <w:bottom w:val="single" w:sz="4" w:space="0" w:color="000000"/>
              <w:right w:val="single" w:sz="4" w:space="0" w:color="000000"/>
            </w:tcBorders>
          </w:tcPr>
          <w:p w14:paraId="7AC07239" w14:textId="77777777" w:rsidR="00E10BA0" w:rsidRPr="008E3606" w:rsidRDefault="00E10BA0" w:rsidP="007E453E">
            <w:pPr>
              <w:widowControl w:val="0"/>
              <w:spacing w:line="240" w:lineRule="auto"/>
              <w:ind w:right="55"/>
              <w:jc w:val="center"/>
              <w:rPr>
                <w:sz w:val="24"/>
              </w:rPr>
            </w:pPr>
            <w:r w:rsidRPr="008E3606">
              <w:rPr>
                <w:b/>
                <w:sz w:val="24"/>
              </w:rPr>
              <w:t xml:space="preserve">Artículo 32 </w:t>
            </w:r>
          </w:p>
        </w:tc>
      </w:tr>
      <w:tr w:rsidR="00E10BA0" w:rsidRPr="008E3606" w14:paraId="42DA5F11"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50D9FA3"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16B1ECE9" w14:textId="77777777" w:rsidR="00E10BA0" w:rsidRPr="008E3606" w:rsidRDefault="00E10BA0" w:rsidP="007E453E">
            <w:pPr>
              <w:widowControl w:val="0"/>
              <w:spacing w:line="240" w:lineRule="auto"/>
              <w:jc w:val="left"/>
              <w:rPr>
                <w:sz w:val="24"/>
              </w:rPr>
            </w:pPr>
          </w:p>
        </w:tc>
      </w:tr>
      <w:tr w:rsidR="00E10BA0" w:rsidRPr="008E3606" w14:paraId="5012E396"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4E7DE066" w14:textId="77777777" w:rsidR="00E10BA0" w:rsidRPr="008E3606" w:rsidRDefault="00E10BA0" w:rsidP="007E453E">
            <w:pPr>
              <w:widowControl w:val="0"/>
              <w:spacing w:line="240" w:lineRule="auto"/>
              <w:jc w:val="left"/>
              <w:rPr>
                <w:sz w:val="24"/>
              </w:rPr>
            </w:pPr>
            <w:r w:rsidRPr="008E3606">
              <w:rPr>
                <w:sz w:val="24"/>
              </w:rPr>
              <w:t xml:space="preserve">La reserva legal. </w:t>
            </w:r>
          </w:p>
        </w:tc>
        <w:tc>
          <w:tcPr>
            <w:tcW w:w="2268" w:type="dxa"/>
            <w:tcBorders>
              <w:top w:val="single" w:sz="4" w:space="0" w:color="000000"/>
              <w:left w:val="single" w:sz="4" w:space="0" w:color="000000"/>
              <w:bottom w:val="single" w:sz="4" w:space="0" w:color="000000"/>
              <w:right w:val="single" w:sz="4" w:space="0" w:color="000000"/>
            </w:tcBorders>
          </w:tcPr>
          <w:p w14:paraId="4E167EFF"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1833B7E0"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7FB1E15B" w14:textId="77777777" w:rsidR="00E10BA0" w:rsidRPr="008E3606" w:rsidRDefault="00E10BA0" w:rsidP="007E453E">
            <w:pPr>
              <w:widowControl w:val="0"/>
              <w:spacing w:line="240" w:lineRule="auto"/>
              <w:jc w:val="left"/>
              <w:rPr>
                <w:sz w:val="24"/>
              </w:rPr>
            </w:pPr>
            <w:r w:rsidRPr="008E3606">
              <w:rPr>
                <w:sz w:val="24"/>
              </w:rPr>
              <w:t xml:space="preserve">CC 34100000 </w:t>
            </w:r>
          </w:p>
        </w:tc>
        <w:tc>
          <w:tcPr>
            <w:tcW w:w="4536" w:type="dxa"/>
            <w:tcBorders>
              <w:top w:val="single" w:sz="4" w:space="0" w:color="000000"/>
              <w:left w:val="single" w:sz="4" w:space="0" w:color="000000"/>
              <w:bottom w:val="single" w:sz="4" w:space="0" w:color="000000"/>
              <w:right w:val="single" w:sz="4" w:space="0" w:color="000000"/>
            </w:tcBorders>
          </w:tcPr>
          <w:p w14:paraId="661F6787" w14:textId="77777777" w:rsidR="00E10BA0" w:rsidRPr="008E3606" w:rsidRDefault="00E10BA0" w:rsidP="007E453E">
            <w:pPr>
              <w:widowControl w:val="0"/>
              <w:spacing w:line="240" w:lineRule="auto"/>
              <w:jc w:val="left"/>
              <w:rPr>
                <w:sz w:val="24"/>
              </w:rPr>
            </w:pPr>
            <w:r w:rsidRPr="008E3606">
              <w:rPr>
                <w:sz w:val="24"/>
              </w:rPr>
              <w:t xml:space="preserve">Reserva legal </w:t>
            </w:r>
          </w:p>
        </w:tc>
        <w:tc>
          <w:tcPr>
            <w:tcW w:w="2268" w:type="dxa"/>
            <w:tcBorders>
              <w:top w:val="single" w:sz="4" w:space="0" w:color="000000"/>
              <w:left w:val="single" w:sz="4" w:space="0" w:color="000000"/>
              <w:bottom w:val="single" w:sz="4" w:space="0" w:color="000000"/>
              <w:right w:val="single" w:sz="4" w:space="0" w:color="000000"/>
            </w:tcBorders>
          </w:tcPr>
          <w:p w14:paraId="5DD38F77"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262A0F5"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321D895"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47E753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07CE8F3"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2CC5ADC6" w14:textId="77777777" w:rsidR="00E10BA0" w:rsidRPr="008E3606" w:rsidRDefault="00E10BA0" w:rsidP="007E453E">
            <w:pPr>
              <w:widowControl w:val="0"/>
              <w:spacing w:line="240" w:lineRule="auto"/>
              <w:jc w:val="left"/>
              <w:rPr>
                <w:sz w:val="24"/>
              </w:rPr>
            </w:pPr>
            <w:r w:rsidRPr="008E3606">
              <w:rPr>
                <w:sz w:val="24"/>
              </w:rPr>
              <w:t xml:space="preserve">Las utilidades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36A84572"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62FC87F9"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03019782" w14:textId="77777777" w:rsidR="00E10BA0" w:rsidRPr="008E3606" w:rsidRDefault="00E10BA0" w:rsidP="007E453E">
            <w:pPr>
              <w:widowControl w:val="0"/>
              <w:spacing w:line="240" w:lineRule="auto"/>
              <w:jc w:val="left"/>
              <w:rPr>
                <w:sz w:val="24"/>
              </w:rPr>
            </w:pPr>
            <w:r w:rsidRPr="008E3606">
              <w:rPr>
                <w:sz w:val="24"/>
              </w:rPr>
              <w:t xml:space="preserve">CC 35100000 </w:t>
            </w:r>
          </w:p>
        </w:tc>
        <w:tc>
          <w:tcPr>
            <w:tcW w:w="4536" w:type="dxa"/>
            <w:tcBorders>
              <w:top w:val="single" w:sz="4" w:space="0" w:color="000000"/>
              <w:left w:val="single" w:sz="4" w:space="0" w:color="000000"/>
              <w:bottom w:val="single" w:sz="4" w:space="0" w:color="000000"/>
              <w:right w:val="single" w:sz="4" w:space="0" w:color="000000"/>
            </w:tcBorders>
          </w:tcPr>
          <w:p w14:paraId="6F1E18FC" w14:textId="77777777" w:rsidR="00E10BA0" w:rsidRPr="008E3606" w:rsidRDefault="00E10BA0" w:rsidP="007E453E">
            <w:pPr>
              <w:widowControl w:val="0"/>
              <w:spacing w:line="240" w:lineRule="auto"/>
              <w:ind w:right="16"/>
              <w:jc w:val="left"/>
              <w:rPr>
                <w:sz w:val="24"/>
              </w:rPr>
            </w:pPr>
            <w:r w:rsidRPr="008E3606">
              <w:rPr>
                <w:sz w:val="24"/>
              </w:rPr>
              <w:t xml:space="preserve">Utilidades acumuladas de ejercicios anteriores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0B175A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2F3759E7"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CF94DBA"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3278C1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B174FF1"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7980C82F" w14:textId="77777777" w:rsidR="00E10BA0" w:rsidRPr="008E3606" w:rsidRDefault="00E10BA0" w:rsidP="007E453E">
            <w:pPr>
              <w:widowControl w:val="0"/>
              <w:spacing w:line="240" w:lineRule="auto"/>
              <w:jc w:val="left"/>
              <w:rPr>
                <w:sz w:val="24"/>
              </w:rPr>
            </w:pPr>
            <w:r w:rsidRPr="008E3606">
              <w:rPr>
                <w:sz w:val="24"/>
              </w:rPr>
              <w:t xml:space="preserve">Las utilidades del periodo, neto de las participaciones legales sobre el excedente.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C8CA809"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20C25B85"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68628EE4" w14:textId="77777777" w:rsidR="00E10BA0" w:rsidRPr="008E3606" w:rsidRDefault="00E10BA0" w:rsidP="007E453E">
            <w:pPr>
              <w:widowControl w:val="0"/>
              <w:spacing w:line="240" w:lineRule="auto"/>
              <w:jc w:val="left"/>
              <w:rPr>
                <w:sz w:val="24"/>
              </w:rPr>
            </w:pPr>
            <w:r w:rsidRPr="008E3606">
              <w:rPr>
                <w:sz w:val="24"/>
              </w:rPr>
              <w:t xml:space="preserve">En caso de que el resultado acumulado del período sea positivo (utilidad): </w:t>
            </w:r>
          </w:p>
        </w:tc>
        <w:tc>
          <w:tcPr>
            <w:tcW w:w="2268" w:type="dxa"/>
            <w:tcBorders>
              <w:top w:val="single" w:sz="4" w:space="0" w:color="000000"/>
              <w:left w:val="single" w:sz="4" w:space="0" w:color="000000"/>
              <w:bottom w:val="single" w:sz="4" w:space="0" w:color="000000"/>
              <w:right w:val="single" w:sz="4" w:space="0" w:color="000000"/>
            </w:tcBorders>
          </w:tcPr>
          <w:p w14:paraId="28109F7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B1B7353"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5B3DB523" w14:textId="77777777" w:rsidR="00E10BA0" w:rsidRPr="008E3606" w:rsidRDefault="00E10BA0" w:rsidP="007E453E">
            <w:pPr>
              <w:widowControl w:val="0"/>
              <w:spacing w:line="240" w:lineRule="auto"/>
              <w:jc w:val="left"/>
              <w:rPr>
                <w:sz w:val="24"/>
              </w:rPr>
            </w:pPr>
            <w:r w:rsidRPr="008E3606">
              <w:rPr>
                <w:sz w:val="24"/>
              </w:rPr>
              <w:t xml:space="preserve">CC 50000000 </w:t>
            </w:r>
          </w:p>
        </w:tc>
        <w:tc>
          <w:tcPr>
            <w:tcW w:w="4536" w:type="dxa"/>
            <w:tcBorders>
              <w:top w:val="single" w:sz="4" w:space="0" w:color="000000"/>
              <w:left w:val="single" w:sz="4" w:space="0" w:color="000000"/>
              <w:bottom w:val="single" w:sz="4" w:space="0" w:color="000000"/>
              <w:right w:val="single" w:sz="4" w:space="0" w:color="000000"/>
            </w:tcBorders>
          </w:tcPr>
          <w:p w14:paraId="695AE5EA" w14:textId="77777777" w:rsidR="00E10BA0" w:rsidRPr="008E3606" w:rsidRDefault="00E10BA0" w:rsidP="007E453E">
            <w:pPr>
              <w:widowControl w:val="0"/>
              <w:spacing w:line="240" w:lineRule="auto"/>
              <w:jc w:val="left"/>
              <w:rPr>
                <w:sz w:val="24"/>
              </w:rPr>
            </w:pPr>
            <w:r w:rsidRPr="008E3606">
              <w:rPr>
                <w:sz w:val="24"/>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14:paraId="5F3338E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99B8099"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77241CD4" w14:textId="77777777" w:rsidR="00E10BA0" w:rsidRPr="008E3606" w:rsidRDefault="00E10BA0" w:rsidP="007E453E">
            <w:pPr>
              <w:widowControl w:val="0"/>
              <w:spacing w:line="240" w:lineRule="auto"/>
              <w:jc w:val="left"/>
              <w:rPr>
                <w:sz w:val="24"/>
              </w:rPr>
            </w:pPr>
            <w:r w:rsidRPr="008E3606">
              <w:rPr>
                <w:sz w:val="24"/>
              </w:rPr>
              <w:t xml:space="preserve">MENOS CC 40000000 </w:t>
            </w:r>
          </w:p>
        </w:tc>
        <w:tc>
          <w:tcPr>
            <w:tcW w:w="4536" w:type="dxa"/>
            <w:tcBorders>
              <w:top w:val="single" w:sz="4" w:space="0" w:color="000000"/>
              <w:left w:val="single" w:sz="4" w:space="0" w:color="000000"/>
              <w:bottom w:val="single" w:sz="4" w:space="0" w:color="000000"/>
              <w:right w:val="single" w:sz="4" w:space="0" w:color="000000"/>
            </w:tcBorders>
          </w:tcPr>
          <w:p w14:paraId="3F72DD83" w14:textId="77777777" w:rsidR="00E10BA0" w:rsidRPr="008E3606" w:rsidRDefault="00E10BA0" w:rsidP="007E453E">
            <w:pPr>
              <w:widowControl w:val="0"/>
              <w:spacing w:line="240" w:lineRule="auto"/>
              <w:jc w:val="left"/>
              <w:rPr>
                <w:sz w:val="24"/>
              </w:rPr>
            </w:pPr>
            <w:r w:rsidRPr="008E3606">
              <w:rPr>
                <w:sz w:val="24"/>
              </w:rPr>
              <w:t xml:space="preserve">Gastos </w:t>
            </w:r>
          </w:p>
        </w:tc>
        <w:tc>
          <w:tcPr>
            <w:tcW w:w="2268" w:type="dxa"/>
            <w:tcBorders>
              <w:top w:val="single" w:sz="4" w:space="0" w:color="000000"/>
              <w:left w:val="single" w:sz="4" w:space="0" w:color="000000"/>
              <w:bottom w:val="single" w:sz="4" w:space="0" w:color="000000"/>
              <w:right w:val="single" w:sz="4" w:space="0" w:color="000000"/>
            </w:tcBorders>
          </w:tcPr>
          <w:p w14:paraId="34A8C50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EEBA974"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6DA14C5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FFB835E"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DE3A3D0" w14:textId="77777777" w:rsidTr="007E453E">
        <w:trPr>
          <w:trHeight w:val="1334"/>
        </w:trPr>
        <w:tc>
          <w:tcPr>
            <w:tcW w:w="7082" w:type="dxa"/>
            <w:gridSpan w:val="2"/>
            <w:tcBorders>
              <w:top w:val="single" w:sz="4" w:space="0" w:color="000000"/>
              <w:left w:val="single" w:sz="4" w:space="0" w:color="000000"/>
              <w:bottom w:val="single" w:sz="4" w:space="0" w:color="000000"/>
              <w:right w:val="single" w:sz="4" w:space="0" w:color="000000"/>
            </w:tcBorders>
          </w:tcPr>
          <w:p w14:paraId="41D0AE18" w14:textId="77777777" w:rsidR="00E10BA0" w:rsidRPr="008E3606" w:rsidRDefault="00E10BA0" w:rsidP="007E453E">
            <w:pPr>
              <w:widowControl w:val="0"/>
              <w:spacing w:line="240" w:lineRule="auto"/>
              <w:ind w:right="55"/>
              <w:rPr>
                <w:sz w:val="24"/>
              </w:rPr>
            </w:pPr>
            <w:r w:rsidRPr="008E3606">
              <w:rPr>
                <w:sz w:val="24"/>
              </w:rPr>
              <w:t xml:space="preserve">Los otros resultados integrales acumulados totales, excluyendo: i) los superávits por revaluación de inmuebles, mobiliario y equipo, ii) los superávits por revaluación de otros activos diferentes de instrumentos financieros, y iii) los superávits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DB39838"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53DB75D4"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51104BFC" w14:textId="77777777" w:rsidR="00E10BA0" w:rsidRPr="008E3606" w:rsidRDefault="00E10BA0" w:rsidP="007E453E">
            <w:pPr>
              <w:widowControl w:val="0"/>
              <w:spacing w:line="240" w:lineRule="auto"/>
              <w:jc w:val="left"/>
              <w:rPr>
                <w:sz w:val="24"/>
              </w:rPr>
            </w:pPr>
            <w:r w:rsidRPr="008E3606">
              <w:rPr>
                <w:sz w:val="24"/>
              </w:rPr>
              <w:t xml:space="preserve">CC 33000000 </w:t>
            </w:r>
          </w:p>
        </w:tc>
        <w:tc>
          <w:tcPr>
            <w:tcW w:w="4536" w:type="dxa"/>
            <w:tcBorders>
              <w:top w:val="single" w:sz="4" w:space="0" w:color="000000"/>
              <w:left w:val="single" w:sz="4" w:space="0" w:color="000000"/>
              <w:bottom w:val="single" w:sz="4" w:space="0" w:color="000000"/>
              <w:right w:val="single" w:sz="4" w:space="0" w:color="000000"/>
            </w:tcBorders>
          </w:tcPr>
          <w:p w14:paraId="793FF243" w14:textId="77777777" w:rsidR="00E10BA0" w:rsidRPr="008E3606" w:rsidRDefault="00E10BA0" w:rsidP="007E453E">
            <w:pPr>
              <w:widowControl w:val="0"/>
              <w:spacing w:line="240" w:lineRule="auto"/>
              <w:jc w:val="left"/>
              <w:rPr>
                <w:sz w:val="24"/>
              </w:rPr>
            </w:pPr>
            <w:r w:rsidRPr="008E3606">
              <w:rPr>
                <w:sz w:val="24"/>
              </w:rPr>
              <w:t xml:space="preserve">Ajustes al patrimonio - otros resultados integrales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253DEDE0"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A7BD9C1"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25441C7C" w14:textId="77777777" w:rsidR="00E10BA0" w:rsidRPr="008E3606" w:rsidRDefault="00E10BA0" w:rsidP="007E453E">
            <w:pPr>
              <w:widowControl w:val="0"/>
              <w:spacing w:line="240" w:lineRule="auto"/>
              <w:jc w:val="left"/>
              <w:rPr>
                <w:sz w:val="24"/>
              </w:rPr>
            </w:pPr>
            <w:r w:rsidRPr="008E3606">
              <w:rPr>
                <w:sz w:val="24"/>
              </w:rPr>
              <w:t xml:space="preserve">MENOS CC 33101000 </w:t>
            </w:r>
          </w:p>
        </w:tc>
        <w:tc>
          <w:tcPr>
            <w:tcW w:w="4536" w:type="dxa"/>
            <w:tcBorders>
              <w:top w:val="single" w:sz="4" w:space="0" w:color="000000"/>
              <w:left w:val="single" w:sz="4" w:space="0" w:color="000000"/>
              <w:bottom w:val="single" w:sz="4" w:space="0" w:color="000000"/>
              <w:right w:val="single" w:sz="4" w:space="0" w:color="000000"/>
            </w:tcBorders>
          </w:tcPr>
          <w:p w14:paraId="41058C0D" w14:textId="77777777" w:rsidR="00E10BA0" w:rsidRPr="008E3606" w:rsidRDefault="00E10BA0" w:rsidP="007E453E">
            <w:pPr>
              <w:widowControl w:val="0"/>
              <w:spacing w:line="240" w:lineRule="auto"/>
              <w:jc w:val="left"/>
              <w:rPr>
                <w:sz w:val="24"/>
              </w:rPr>
            </w:pPr>
            <w:r w:rsidRPr="008E3606">
              <w:rPr>
                <w:sz w:val="24"/>
              </w:rPr>
              <w:t xml:space="preserve">Superávit por revaluación de propiedades inmobiliarias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CDAA1BF"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D19F9D5"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C5D91E3" w14:textId="77777777" w:rsidR="00E10BA0" w:rsidRPr="008E3606" w:rsidRDefault="00E10BA0" w:rsidP="007E453E">
            <w:pPr>
              <w:widowControl w:val="0"/>
              <w:spacing w:line="240" w:lineRule="auto"/>
              <w:jc w:val="left"/>
              <w:rPr>
                <w:sz w:val="24"/>
              </w:rPr>
            </w:pPr>
            <w:r w:rsidRPr="008E3606">
              <w:rPr>
                <w:sz w:val="24"/>
              </w:rPr>
              <w:t xml:space="preserve">MENOS CC 33106000 </w:t>
            </w:r>
          </w:p>
        </w:tc>
        <w:tc>
          <w:tcPr>
            <w:tcW w:w="4536" w:type="dxa"/>
            <w:tcBorders>
              <w:top w:val="single" w:sz="4" w:space="0" w:color="000000"/>
              <w:left w:val="single" w:sz="4" w:space="0" w:color="000000"/>
              <w:bottom w:val="single" w:sz="4" w:space="0" w:color="000000"/>
              <w:right w:val="single" w:sz="4" w:space="0" w:color="000000"/>
            </w:tcBorders>
          </w:tcPr>
          <w:p w14:paraId="6CB283F5" w14:textId="77777777" w:rsidR="00E10BA0" w:rsidRPr="008E3606" w:rsidRDefault="00E10BA0" w:rsidP="007E453E">
            <w:pPr>
              <w:widowControl w:val="0"/>
              <w:spacing w:line="240" w:lineRule="auto"/>
              <w:jc w:val="left"/>
              <w:rPr>
                <w:sz w:val="24"/>
              </w:rPr>
            </w:pPr>
            <w:r w:rsidRPr="008E3606">
              <w:rPr>
                <w:sz w:val="24"/>
              </w:rPr>
              <w:t xml:space="preserve">Superávit por revaluación de otros activos </w:t>
            </w:r>
          </w:p>
        </w:tc>
        <w:tc>
          <w:tcPr>
            <w:tcW w:w="2268" w:type="dxa"/>
            <w:tcBorders>
              <w:top w:val="single" w:sz="4" w:space="0" w:color="000000"/>
              <w:left w:val="single" w:sz="4" w:space="0" w:color="000000"/>
              <w:bottom w:val="single" w:sz="4" w:space="0" w:color="000000"/>
              <w:right w:val="single" w:sz="4" w:space="0" w:color="000000"/>
            </w:tcBorders>
          </w:tcPr>
          <w:p w14:paraId="177D4DAF"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40673BA" w14:textId="77777777" w:rsidTr="007E453E">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28923041" w14:textId="77777777" w:rsidR="00E10BA0" w:rsidRPr="008E3606" w:rsidRDefault="00E10BA0" w:rsidP="007E453E">
            <w:pPr>
              <w:widowControl w:val="0"/>
              <w:spacing w:line="240" w:lineRule="auto"/>
              <w:jc w:val="left"/>
              <w:rPr>
                <w:sz w:val="24"/>
              </w:rPr>
            </w:pPr>
            <w:r w:rsidRPr="008E3606">
              <w:rPr>
                <w:sz w:val="24"/>
              </w:rPr>
              <w:t xml:space="preserve">MENOS CC 33200000 </w:t>
            </w:r>
          </w:p>
        </w:tc>
        <w:tc>
          <w:tcPr>
            <w:tcW w:w="4536" w:type="dxa"/>
            <w:tcBorders>
              <w:top w:val="single" w:sz="4" w:space="0" w:color="000000"/>
              <w:left w:val="single" w:sz="4" w:space="0" w:color="000000"/>
              <w:bottom w:val="single" w:sz="4" w:space="0" w:color="000000"/>
              <w:right w:val="single" w:sz="4" w:space="0" w:color="000000"/>
            </w:tcBorders>
          </w:tcPr>
          <w:p w14:paraId="0B51F938" w14:textId="77777777" w:rsidR="00E10BA0" w:rsidRPr="008E3606" w:rsidRDefault="00E10BA0" w:rsidP="007E453E">
            <w:pPr>
              <w:widowControl w:val="0"/>
              <w:spacing w:line="240" w:lineRule="auto"/>
              <w:rPr>
                <w:sz w:val="24"/>
              </w:rPr>
            </w:pPr>
            <w:r w:rsidRPr="008E3606">
              <w:rPr>
                <w:sz w:val="24"/>
              </w:rPr>
              <w:t xml:space="preserve">Ajustes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D2976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EB8632C"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6927A5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7C6C384A"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14CC6CA"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62C1653A" w14:textId="77777777" w:rsidR="00E10BA0" w:rsidRPr="008E3606" w:rsidRDefault="00E10BA0" w:rsidP="007E453E">
            <w:pPr>
              <w:widowControl w:val="0"/>
              <w:spacing w:line="240" w:lineRule="auto"/>
              <w:ind w:right="55"/>
              <w:rPr>
                <w:sz w:val="24"/>
              </w:rPr>
            </w:pPr>
            <w:r w:rsidRPr="008E3606">
              <w:rPr>
                <w:sz w:val="24"/>
              </w:rPr>
              <w:t xml:space="preserve">El literal e) del artículo 32 corresponde a la deducción cuyo detalle se presenta en el Artículo 33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553E88"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7B9CAD6F"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097315FE" w14:textId="77777777" w:rsidR="00E10BA0" w:rsidRPr="008E3606" w:rsidRDefault="00E10BA0" w:rsidP="007E453E">
            <w:pPr>
              <w:widowControl w:val="0"/>
              <w:spacing w:line="240" w:lineRule="auto"/>
              <w:jc w:val="left"/>
              <w:rPr>
                <w:sz w:val="24"/>
              </w:rPr>
            </w:pPr>
            <w:r w:rsidRPr="008E3606">
              <w:rPr>
                <w:sz w:val="24"/>
              </w:rPr>
              <w:t xml:space="preserve">DA (Nuevo A) </w:t>
            </w:r>
          </w:p>
        </w:tc>
        <w:tc>
          <w:tcPr>
            <w:tcW w:w="4536" w:type="dxa"/>
            <w:tcBorders>
              <w:top w:val="single" w:sz="4" w:space="0" w:color="000000"/>
              <w:left w:val="single" w:sz="4" w:space="0" w:color="000000"/>
              <w:bottom w:val="single" w:sz="4" w:space="0" w:color="000000"/>
              <w:right w:val="single" w:sz="4" w:space="0" w:color="000000"/>
            </w:tcBorders>
          </w:tcPr>
          <w:p w14:paraId="1F1F6640" w14:textId="77777777" w:rsidR="00E10BA0" w:rsidRPr="008E3606" w:rsidRDefault="00E10BA0" w:rsidP="007E453E">
            <w:pPr>
              <w:widowControl w:val="0"/>
              <w:spacing w:line="240" w:lineRule="auto"/>
              <w:jc w:val="left"/>
              <w:rPr>
                <w:sz w:val="24"/>
              </w:rPr>
            </w:pPr>
            <w:r w:rsidRPr="008E3606">
              <w:rPr>
                <w:sz w:val="24"/>
              </w:rPr>
              <w:t xml:space="preserve">Deducciones del CCN1 </w:t>
            </w:r>
          </w:p>
        </w:tc>
        <w:tc>
          <w:tcPr>
            <w:tcW w:w="2268" w:type="dxa"/>
            <w:tcBorders>
              <w:top w:val="single" w:sz="4" w:space="0" w:color="000000"/>
              <w:left w:val="single" w:sz="4" w:space="0" w:color="000000"/>
              <w:bottom w:val="single" w:sz="4" w:space="0" w:color="000000"/>
              <w:right w:val="single" w:sz="4" w:space="0" w:color="000000"/>
            </w:tcBorders>
          </w:tcPr>
          <w:p w14:paraId="12A268D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DE674E3"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44B67768" w14:textId="77777777" w:rsidR="00E10BA0" w:rsidRPr="008E3606" w:rsidRDefault="00E10BA0" w:rsidP="007E453E">
            <w:pPr>
              <w:widowControl w:val="0"/>
              <w:spacing w:line="240" w:lineRule="auto"/>
              <w:jc w:val="left"/>
              <w:rPr>
                <w:sz w:val="24"/>
              </w:rPr>
            </w:pPr>
            <w:r w:rsidRPr="008E3606">
              <w:rPr>
                <w:sz w:val="24"/>
              </w:rPr>
              <w:t xml:space="preserve"> </w:t>
            </w:r>
            <w:r w:rsidRPr="008E3606">
              <w:rPr>
                <w:sz w:val="24"/>
              </w:rPr>
              <w:tab/>
              <w:t xml:space="preserve"> </w:t>
            </w:r>
          </w:p>
        </w:tc>
        <w:tc>
          <w:tcPr>
            <w:tcW w:w="2268" w:type="dxa"/>
            <w:tcBorders>
              <w:top w:val="single" w:sz="4" w:space="0" w:color="000000"/>
              <w:left w:val="nil"/>
              <w:bottom w:val="single" w:sz="4" w:space="0" w:color="000000"/>
              <w:right w:val="single" w:sz="4" w:space="0" w:color="000000"/>
            </w:tcBorders>
          </w:tcPr>
          <w:p w14:paraId="270FA2D4"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BCD1522"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2D1EE216" w14:textId="77777777" w:rsidR="00E10BA0" w:rsidRPr="008E3606" w:rsidRDefault="00E10BA0" w:rsidP="007E453E">
            <w:pPr>
              <w:widowControl w:val="0"/>
              <w:spacing w:line="240" w:lineRule="auto"/>
              <w:jc w:val="left"/>
              <w:rPr>
                <w:sz w:val="24"/>
              </w:rPr>
            </w:pPr>
            <w:r w:rsidRPr="008E3606">
              <w:rPr>
                <w:b/>
                <w:sz w:val="24"/>
              </w:rPr>
              <w:t xml:space="preserve">2. Deducciones del CCN1 </w:t>
            </w:r>
          </w:p>
        </w:tc>
        <w:tc>
          <w:tcPr>
            <w:tcW w:w="2268" w:type="dxa"/>
            <w:tcBorders>
              <w:top w:val="single" w:sz="4" w:space="0" w:color="000000"/>
              <w:left w:val="single" w:sz="4" w:space="0" w:color="000000"/>
              <w:bottom w:val="single" w:sz="4" w:space="0" w:color="000000"/>
              <w:right w:val="single" w:sz="4" w:space="0" w:color="000000"/>
            </w:tcBorders>
          </w:tcPr>
          <w:p w14:paraId="14D4339F" w14:textId="77777777" w:rsidR="00E10BA0" w:rsidRPr="008E3606" w:rsidRDefault="00E10BA0" w:rsidP="007E453E">
            <w:pPr>
              <w:widowControl w:val="0"/>
              <w:spacing w:line="240" w:lineRule="auto"/>
              <w:jc w:val="left"/>
              <w:rPr>
                <w:sz w:val="24"/>
              </w:rPr>
            </w:pPr>
            <w:r w:rsidRPr="008E3606">
              <w:rPr>
                <w:b/>
                <w:sz w:val="24"/>
              </w:rPr>
              <w:t xml:space="preserve">ARTÍCULO 33 </w:t>
            </w:r>
          </w:p>
        </w:tc>
      </w:tr>
      <w:tr w:rsidR="00E10BA0" w:rsidRPr="008E3606" w14:paraId="6367BF51"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75B07FEE"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0F28D1B6"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2C01FD86" w14:textId="77777777" w:rsidR="00E10BA0" w:rsidRPr="008E3606" w:rsidRDefault="00E10BA0" w:rsidP="007E453E">
            <w:pPr>
              <w:widowControl w:val="0"/>
              <w:spacing w:line="240" w:lineRule="auto"/>
              <w:jc w:val="left"/>
              <w:rPr>
                <w:sz w:val="24"/>
              </w:rPr>
            </w:pPr>
            <w:r w:rsidRPr="008E3606">
              <w:rPr>
                <w:b/>
                <w:sz w:val="24"/>
              </w:rPr>
              <w:t xml:space="preserve">REFERENCIA 3-06 </w:t>
            </w:r>
          </w:p>
        </w:tc>
      </w:tr>
      <w:tr w:rsidR="00E10BA0" w:rsidRPr="008E3606" w14:paraId="1CEA27B5" w14:textId="77777777" w:rsidTr="007E453E">
        <w:trPr>
          <w:trHeight w:val="1334"/>
        </w:trPr>
        <w:tc>
          <w:tcPr>
            <w:tcW w:w="7082" w:type="dxa"/>
            <w:gridSpan w:val="2"/>
            <w:tcBorders>
              <w:top w:val="single" w:sz="4" w:space="0" w:color="000000"/>
              <w:left w:val="single" w:sz="4" w:space="0" w:color="000000"/>
              <w:bottom w:val="single" w:sz="4" w:space="0" w:color="000000"/>
              <w:right w:val="single" w:sz="4" w:space="0" w:color="000000"/>
            </w:tcBorders>
          </w:tcPr>
          <w:p w14:paraId="1E2364C3" w14:textId="77777777" w:rsidR="00E10BA0" w:rsidRPr="008E3606" w:rsidRDefault="00E10BA0" w:rsidP="007E453E">
            <w:pPr>
              <w:widowControl w:val="0"/>
              <w:spacing w:line="240" w:lineRule="auto"/>
              <w:ind w:right="56"/>
              <w:rPr>
                <w:sz w:val="24"/>
              </w:rPr>
            </w:pPr>
            <w:r w:rsidRPr="008E3606">
              <w:rPr>
                <w:sz w:val="24"/>
              </w:rPr>
              <w:t xml:space="preserve">El valor en libros de las participaciones en el capital social de otras entidades o empresas en instrumentos homólogos al CCN1, que calificarían como tales bajo los criterios establecidos en el Anexo 3 del Acuerdo Sugef 3-06. Esta deducción se efectuará con independencia del porcentaje de participación de la entidad supervisada en el capital social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DD5A9D" w14:textId="77777777" w:rsidR="00E10BA0" w:rsidRPr="008E3606" w:rsidRDefault="00E10BA0" w:rsidP="007E453E">
            <w:pPr>
              <w:widowControl w:val="0"/>
              <w:spacing w:line="240" w:lineRule="auto"/>
              <w:ind w:left="195" w:right="195"/>
              <w:jc w:val="center"/>
              <w:rPr>
                <w:sz w:val="24"/>
              </w:rPr>
            </w:pPr>
            <w:r w:rsidRPr="008E3606">
              <w:rPr>
                <w:sz w:val="24"/>
              </w:rPr>
              <w:t xml:space="preserve">Literal a) y Literal b) </w:t>
            </w:r>
          </w:p>
        </w:tc>
      </w:tr>
      <w:tr w:rsidR="00E10BA0" w:rsidRPr="008E3606" w14:paraId="68FDB258" w14:textId="77777777" w:rsidTr="007E453E">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5E020918" w14:textId="77777777" w:rsidR="00E10BA0" w:rsidRPr="008E3606" w:rsidRDefault="00E10BA0" w:rsidP="007E453E">
            <w:pPr>
              <w:widowControl w:val="0"/>
              <w:spacing w:line="240" w:lineRule="auto"/>
              <w:rPr>
                <w:sz w:val="24"/>
              </w:rPr>
            </w:pPr>
            <w:r w:rsidRPr="008E3606">
              <w:rPr>
                <w:sz w:val="24"/>
              </w:rPr>
              <w:t xml:space="preserve">de la entidad o empresa de que se trate, e independientemente de la naturaleza de la entidad o empresa de que se trate, y </w:t>
            </w:r>
          </w:p>
        </w:tc>
        <w:tc>
          <w:tcPr>
            <w:tcW w:w="2268" w:type="dxa"/>
            <w:vMerge w:val="restart"/>
            <w:tcBorders>
              <w:top w:val="single" w:sz="4" w:space="0" w:color="000000"/>
              <w:left w:val="single" w:sz="4" w:space="0" w:color="000000"/>
              <w:bottom w:val="single" w:sz="4" w:space="0" w:color="000000"/>
              <w:right w:val="single" w:sz="4" w:space="0" w:color="000000"/>
            </w:tcBorders>
          </w:tcPr>
          <w:p w14:paraId="0F23BC5B" w14:textId="77777777" w:rsidR="00E10BA0" w:rsidRPr="008E3606" w:rsidRDefault="00E10BA0" w:rsidP="007E453E">
            <w:pPr>
              <w:widowControl w:val="0"/>
              <w:spacing w:line="240" w:lineRule="auto"/>
              <w:jc w:val="left"/>
              <w:rPr>
                <w:sz w:val="24"/>
              </w:rPr>
            </w:pPr>
          </w:p>
        </w:tc>
      </w:tr>
      <w:tr w:rsidR="00E10BA0" w:rsidRPr="008E3606" w14:paraId="24ED8B10" w14:textId="77777777" w:rsidTr="007E453E">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67AFB827" w14:textId="77777777" w:rsidR="00E10BA0" w:rsidRPr="008E3606" w:rsidRDefault="00E10BA0" w:rsidP="007E453E">
            <w:pPr>
              <w:widowControl w:val="0"/>
              <w:spacing w:line="240" w:lineRule="auto"/>
              <w:ind w:right="55"/>
              <w:rPr>
                <w:sz w:val="24"/>
              </w:rPr>
            </w:pPr>
            <w:r w:rsidRPr="008E3606">
              <w:rPr>
                <w:sz w:val="24"/>
              </w:rPr>
              <w:t xml:space="preserve">El valor en libros de las participaciones o inversiones en instrumentos de capital, deuda subordinada o deuda convertible que no sean homólogos a instrumentos del CCN1, CAN1 o CN2. </w:t>
            </w:r>
          </w:p>
        </w:tc>
        <w:tc>
          <w:tcPr>
            <w:tcW w:w="0" w:type="auto"/>
            <w:vMerge/>
            <w:tcBorders>
              <w:top w:val="nil"/>
              <w:left w:val="single" w:sz="4" w:space="0" w:color="000000"/>
              <w:bottom w:val="single" w:sz="4" w:space="0" w:color="000000"/>
              <w:right w:val="single" w:sz="4" w:space="0" w:color="000000"/>
            </w:tcBorders>
          </w:tcPr>
          <w:p w14:paraId="5B38965E" w14:textId="77777777" w:rsidR="00E10BA0" w:rsidRPr="008E3606" w:rsidRDefault="00E10BA0" w:rsidP="007E453E">
            <w:pPr>
              <w:widowControl w:val="0"/>
              <w:spacing w:line="240" w:lineRule="auto"/>
              <w:jc w:val="left"/>
              <w:rPr>
                <w:sz w:val="24"/>
              </w:rPr>
            </w:pPr>
          </w:p>
        </w:tc>
      </w:tr>
      <w:tr w:rsidR="00E10BA0" w:rsidRPr="008E3606" w14:paraId="4F52506B" w14:textId="77777777" w:rsidTr="007E453E">
        <w:trPr>
          <w:trHeight w:val="1068"/>
        </w:trPr>
        <w:tc>
          <w:tcPr>
            <w:tcW w:w="2546" w:type="dxa"/>
            <w:tcBorders>
              <w:top w:val="single" w:sz="4" w:space="0" w:color="000000"/>
              <w:left w:val="single" w:sz="4" w:space="0" w:color="000000"/>
              <w:bottom w:val="single" w:sz="4" w:space="0" w:color="000000"/>
              <w:right w:val="single" w:sz="4" w:space="0" w:color="000000"/>
            </w:tcBorders>
            <w:vAlign w:val="center"/>
          </w:tcPr>
          <w:p w14:paraId="47FCA267" w14:textId="77777777" w:rsidR="00E10BA0" w:rsidRPr="008E3606" w:rsidRDefault="00E10BA0" w:rsidP="007E453E">
            <w:pPr>
              <w:widowControl w:val="0"/>
              <w:spacing w:line="240" w:lineRule="auto"/>
              <w:jc w:val="left"/>
              <w:rPr>
                <w:sz w:val="24"/>
              </w:rPr>
            </w:pPr>
            <w:r w:rsidRPr="008E3606">
              <w:rPr>
                <w:sz w:val="24"/>
              </w:rPr>
              <w:t xml:space="preserve">DA (Nuevo AA) </w:t>
            </w:r>
          </w:p>
        </w:tc>
        <w:tc>
          <w:tcPr>
            <w:tcW w:w="4536" w:type="dxa"/>
            <w:tcBorders>
              <w:top w:val="single" w:sz="4" w:space="0" w:color="000000"/>
              <w:left w:val="single" w:sz="4" w:space="0" w:color="000000"/>
              <w:bottom w:val="single" w:sz="4" w:space="0" w:color="000000"/>
              <w:right w:val="single" w:sz="4" w:space="0" w:color="000000"/>
            </w:tcBorders>
          </w:tcPr>
          <w:p w14:paraId="41EF2F19" w14:textId="77777777" w:rsidR="00E10BA0" w:rsidRPr="008E3606" w:rsidRDefault="00E10BA0" w:rsidP="007E453E">
            <w:pPr>
              <w:widowControl w:val="0"/>
              <w:spacing w:line="240" w:lineRule="auto"/>
              <w:ind w:right="55"/>
              <w:rPr>
                <w:sz w:val="24"/>
              </w:rPr>
            </w:pPr>
            <w:r w:rsidRPr="008E3606">
              <w:rPr>
                <w:sz w:val="24"/>
              </w:rPr>
              <w:t xml:space="preserve">Participaciones o inversiones en instrumentos de capital, deuda subordinada o deuda convertible que no sean homólogos a instrumentos del CCN1, CAN1 o CN2 </w:t>
            </w:r>
          </w:p>
        </w:tc>
        <w:tc>
          <w:tcPr>
            <w:tcW w:w="2268" w:type="dxa"/>
            <w:tcBorders>
              <w:top w:val="single" w:sz="4" w:space="0" w:color="000000"/>
              <w:left w:val="single" w:sz="4" w:space="0" w:color="000000"/>
              <w:bottom w:val="single" w:sz="4" w:space="0" w:color="000000"/>
              <w:right w:val="single" w:sz="4" w:space="0" w:color="000000"/>
            </w:tcBorders>
            <w:vAlign w:val="center"/>
          </w:tcPr>
          <w:p w14:paraId="0FEE983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D9D5C52"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23E3FBE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4491E1"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47A54DB" w14:textId="77777777" w:rsidTr="007E453E">
        <w:trPr>
          <w:trHeight w:val="1598"/>
        </w:trPr>
        <w:tc>
          <w:tcPr>
            <w:tcW w:w="7082" w:type="dxa"/>
            <w:gridSpan w:val="2"/>
            <w:tcBorders>
              <w:top w:val="single" w:sz="4" w:space="0" w:color="000000"/>
              <w:left w:val="single" w:sz="4" w:space="0" w:color="000000"/>
              <w:bottom w:val="single" w:sz="4" w:space="0" w:color="000000"/>
              <w:right w:val="single" w:sz="4" w:space="0" w:color="000000"/>
            </w:tcBorders>
          </w:tcPr>
          <w:p w14:paraId="48EBB218" w14:textId="77777777" w:rsidR="00E10BA0" w:rsidRPr="008E3606" w:rsidRDefault="00E10BA0" w:rsidP="007E453E">
            <w:pPr>
              <w:widowControl w:val="0"/>
              <w:spacing w:line="240" w:lineRule="auto"/>
              <w:ind w:right="55"/>
              <w:rPr>
                <w:sz w:val="24"/>
              </w:rPr>
            </w:pPr>
            <w:r w:rsidRPr="008E3606">
              <w:rPr>
                <w:sz w:val="24"/>
              </w:rPr>
              <w:t xml:space="preserve">El valor en libros de los activos intangibles clasificados como tales de conformidad con las Normas Internacionales de Información Financiera (NIIF), y los derechos de uso por arrendamiento financiero sobre activos intangibles. Para este efecto, la deducción corresponderá al costo del activo, menos la amortización acumulada y la pérdida acumulada por deterioro en su valor. </w:t>
            </w:r>
          </w:p>
        </w:tc>
        <w:tc>
          <w:tcPr>
            <w:tcW w:w="2268" w:type="dxa"/>
            <w:tcBorders>
              <w:top w:val="single" w:sz="4" w:space="0" w:color="000000"/>
              <w:left w:val="single" w:sz="4" w:space="0" w:color="000000"/>
              <w:bottom w:val="single" w:sz="4" w:space="0" w:color="000000"/>
              <w:right w:val="single" w:sz="4" w:space="0" w:color="000000"/>
            </w:tcBorders>
            <w:vAlign w:val="center"/>
          </w:tcPr>
          <w:p w14:paraId="151C29C0"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7A21D2D0"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41658E9" w14:textId="77777777" w:rsidR="00E10BA0" w:rsidRPr="008E3606" w:rsidRDefault="00E10BA0" w:rsidP="007E453E">
            <w:pPr>
              <w:widowControl w:val="0"/>
              <w:spacing w:line="240" w:lineRule="auto"/>
              <w:jc w:val="left"/>
              <w:rPr>
                <w:sz w:val="24"/>
              </w:rPr>
            </w:pPr>
            <w:r w:rsidRPr="008E3606">
              <w:rPr>
                <w:sz w:val="24"/>
              </w:rPr>
              <w:t xml:space="preserve">CC 18600000 </w:t>
            </w:r>
          </w:p>
        </w:tc>
        <w:tc>
          <w:tcPr>
            <w:tcW w:w="4536" w:type="dxa"/>
            <w:tcBorders>
              <w:top w:val="single" w:sz="4" w:space="0" w:color="000000"/>
              <w:left w:val="single" w:sz="4" w:space="0" w:color="000000"/>
              <w:bottom w:val="single" w:sz="4" w:space="0" w:color="000000"/>
              <w:right w:val="single" w:sz="4" w:space="0" w:color="000000"/>
            </w:tcBorders>
          </w:tcPr>
          <w:p w14:paraId="385DA628" w14:textId="77777777" w:rsidR="00E10BA0" w:rsidRPr="008E3606" w:rsidRDefault="00E10BA0" w:rsidP="007E453E">
            <w:pPr>
              <w:widowControl w:val="0"/>
              <w:spacing w:line="240" w:lineRule="auto"/>
              <w:jc w:val="left"/>
              <w:rPr>
                <w:sz w:val="24"/>
              </w:rPr>
            </w:pPr>
            <w:r w:rsidRPr="008E3606">
              <w:rPr>
                <w:sz w:val="24"/>
              </w:rPr>
              <w:t xml:space="preserve">Activos intangibles </w:t>
            </w:r>
          </w:p>
        </w:tc>
        <w:tc>
          <w:tcPr>
            <w:tcW w:w="2268" w:type="dxa"/>
            <w:tcBorders>
              <w:top w:val="single" w:sz="4" w:space="0" w:color="000000"/>
              <w:left w:val="single" w:sz="4" w:space="0" w:color="000000"/>
              <w:bottom w:val="single" w:sz="4" w:space="0" w:color="000000"/>
              <w:right w:val="single" w:sz="4" w:space="0" w:color="000000"/>
            </w:tcBorders>
          </w:tcPr>
          <w:p w14:paraId="7BBC194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DF91C4B"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7EA16DAB" w14:textId="77777777" w:rsidR="00E10BA0" w:rsidRPr="008E3606" w:rsidRDefault="00E10BA0" w:rsidP="007E453E">
            <w:pPr>
              <w:widowControl w:val="0"/>
              <w:spacing w:line="240" w:lineRule="auto"/>
              <w:jc w:val="left"/>
              <w:rPr>
                <w:sz w:val="24"/>
              </w:rPr>
            </w:pPr>
            <w:r w:rsidRPr="008E3606">
              <w:rPr>
                <w:sz w:val="24"/>
              </w:rPr>
              <w:t xml:space="preserve">CC 18308000 </w:t>
            </w:r>
          </w:p>
        </w:tc>
        <w:tc>
          <w:tcPr>
            <w:tcW w:w="4536" w:type="dxa"/>
            <w:tcBorders>
              <w:top w:val="single" w:sz="4" w:space="0" w:color="000000"/>
              <w:left w:val="single" w:sz="4" w:space="0" w:color="000000"/>
              <w:bottom w:val="single" w:sz="4" w:space="0" w:color="000000"/>
              <w:right w:val="single" w:sz="4" w:space="0" w:color="000000"/>
            </w:tcBorders>
          </w:tcPr>
          <w:p w14:paraId="11F93FEC" w14:textId="77777777" w:rsidR="00E10BA0" w:rsidRPr="008E3606" w:rsidRDefault="00E10BA0" w:rsidP="007E453E">
            <w:pPr>
              <w:widowControl w:val="0"/>
              <w:spacing w:line="240" w:lineRule="auto"/>
              <w:jc w:val="left"/>
              <w:rPr>
                <w:sz w:val="24"/>
              </w:rPr>
            </w:pPr>
            <w:r w:rsidRPr="008E3606">
              <w:rPr>
                <w:sz w:val="24"/>
              </w:rPr>
              <w:t xml:space="preserve">Aplicaciones automatizadas en desarrollo </w:t>
            </w:r>
          </w:p>
        </w:tc>
        <w:tc>
          <w:tcPr>
            <w:tcW w:w="2268" w:type="dxa"/>
            <w:tcBorders>
              <w:top w:val="single" w:sz="4" w:space="0" w:color="000000"/>
              <w:left w:val="single" w:sz="4" w:space="0" w:color="000000"/>
              <w:bottom w:val="single" w:sz="4" w:space="0" w:color="000000"/>
              <w:right w:val="single" w:sz="4" w:space="0" w:color="000000"/>
            </w:tcBorders>
          </w:tcPr>
          <w:p w14:paraId="2215EB8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F6461EC" w14:textId="77777777" w:rsidTr="007E453E">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18BF2DF5" w14:textId="77777777" w:rsidR="00E10BA0" w:rsidRPr="008E3606" w:rsidRDefault="00E10BA0" w:rsidP="007E453E">
            <w:pPr>
              <w:widowControl w:val="0"/>
              <w:spacing w:line="240" w:lineRule="auto"/>
              <w:jc w:val="left"/>
              <w:rPr>
                <w:sz w:val="24"/>
              </w:rPr>
            </w:pPr>
            <w:r w:rsidRPr="008E3606">
              <w:rPr>
                <w:sz w:val="24"/>
              </w:rPr>
              <w:t xml:space="preserve">DA (Nuevo D) </w:t>
            </w:r>
          </w:p>
        </w:tc>
        <w:tc>
          <w:tcPr>
            <w:tcW w:w="4536" w:type="dxa"/>
            <w:tcBorders>
              <w:top w:val="single" w:sz="4" w:space="0" w:color="000000"/>
              <w:left w:val="single" w:sz="4" w:space="0" w:color="000000"/>
              <w:bottom w:val="single" w:sz="4" w:space="0" w:color="000000"/>
              <w:right w:val="single" w:sz="4" w:space="0" w:color="000000"/>
            </w:tcBorders>
          </w:tcPr>
          <w:p w14:paraId="7952D921" w14:textId="77777777" w:rsidR="00E10BA0" w:rsidRPr="008E3606" w:rsidRDefault="00E10BA0" w:rsidP="007E453E">
            <w:pPr>
              <w:widowControl w:val="0"/>
              <w:spacing w:line="240" w:lineRule="auto"/>
              <w:jc w:val="left"/>
              <w:rPr>
                <w:sz w:val="24"/>
              </w:rPr>
            </w:pPr>
            <w:r w:rsidRPr="008E3606">
              <w:rPr>
                <w:sz w:val="24"/>
              </w:rPr>
              <w:t xml:space="preserve">Activos por derecho de uso sobre activos intangibles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60D1FA"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C2A63E0"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790D8F8B"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848CE9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91212FC"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41466D3B" w14:textId="77777777" w:rsidR="00E10BA0" w:rsidRPr="008E3606" w:rsidRDefault="00E10BA0" w:rsidP="007E453E">
            <w:pPr>
              <w:widowControl w:val="0"/>
              <w:spacing w:line="240" w:lineRule="auto"/>
              <w:jc w:val="left"/>
              <w:rPr>
                <w:sz w:val="24"/>
              </w:rPr>
            </w:pPr>
            <w:r w:rsidRPr="008E3606">
              <w:rPr>
                <w:sz w:val="24"/>
              </w:rPr>
              <w:t xml:space="preserve">La pérdida del periodo. </w:t>
            </w:r>
          </w:p>
        </w:tc>
        <w:tc>
          <w:tcPr>
            <w:tcW w:w="2268" w:type="dxa"/>
            <w:tcBorders>
              <w:top w:val="single" w:sz="4" w:space="0" w:color="000000"/>
              <w:left w:val="single" w:sz="4" w:space="0" w:color="000000"/>
              <w:bottom w:val="single" w:sz="4" w:space="0" w:color="000000"/>
              <w:right w:val="single" w:sz="4" w:space="0" w:color="000000"/>
            </w:tcBorders>
          </w:tcPr>
          <w:p w14:paraId="45D936A4"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46BFB12B"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56F2C7C" w14:textId="77777777" w:rsidR="00E10BA0" w:rsidRPr="008E3606" w:rsidRDefault="00E10BA0" w:rsidP="007E453E">
            <w:pPr>
              <w:widowControl w:val="0"/>
              <w:spacing w:line="240" w:lineRule="auto"/>
              <w:jc w:val="left"/>
              <w:rPr>
                <w:sz w:val="24"/>
              </w:rPr>
            </w:pPr>
            <w:r w:rsidRPr="008E3606">
              <w:rPr>
                <w:sz w:val="24"/>
              </w:rPr>
              <w:t xml:space="preserve">En caso de que el resultado acumulado del período sea negativo (pérdida): </w:t>
            </w:r>
          </w:p>
        </w:tc>
        <w:tc>
          <w:tcPr>
            <w:tcW w:w="2268" w:type="dxa"/>
            <w:tcBorders>
              <w:top w:val="single" w:sz="4" w:space="0" w:color="000000"/>
              <w:left w:val="single" w:sz="4" w:space="0" w:color="000000"/>
              <w:bottom w:val="single" w:sz="4" w:space="0" w:color="000000"/>
              <w:right w:val="single" w:sz="4" w:space="0" w:color="000000"/>
            </w:tcBorders>
          </w:tcPr>
          <w:p w14:paraId="150A49D8"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FA05B92"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42FCA652" w14:textId="77777777" w:rsidR="00E10BA0" w:rsidRPr="008E3606" w:rsidRDefault="00E10BA0" w:rsidP="007E453E">
            <w:pPr>
              <w:widowControl w:val="0"/>
              <w:spacing w:line="240" w:lineRule="auto"/>
              <w:jc w:val="left"/>
              <w:rPr>
                <w:sz w:val="24"/>
              </w:rPr>
            </w:pPr>
            <w:r w:rsidRPr="008E3606">
              <w:rPr>
                <w:sz w:val="24"/>
              </w:rPr>
              <w:t xml:space="preserve">CC 50000000 </w:t>
            </w:r>
          </w:p>
        </w:tc>
        <w:tc>
          <w:tcPr>
            <w:tcW w:w="4536" w:type="dxa"/>
            <w:tcBorders>
              <w:top w:val="single" w:sz="4" w:space="0" w:color="000000"/>
              <w:left w:val="single" w:sz="4" w:space="0" w:color="000000"/>
              <w:bottom w:val="single" w:sz="4" w:space="0" w:color="000000"/>
              <w:right w:val="single" w:sz="4" w:space="0" w:color="000000"/>
            </w:tcBorders>
          </w:tcPr>
          <w:p w14:paraId="7185809C" w14:textId="77777777" w:rsidR="00E10BA0" w:rsidRPr="008E3606" w:rsidRDefault="00E10BA0" w:rsidP="007E453E">
            <w:pPr>
              <w:widowControl w:val="0"/>
              <w:spacing w:line="240" w:lineRule="auto"/>
              <w:jc w:val="left"/>
              <w:rPr>
                <w:sz w:val="24"/>
              </w:rPr>
            </w:pPr>
            <w:r w:rsidRPr="008E3606">
              <w:rPr>
                <w:sz w:val="24"/>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14:paraId="29A3E54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84ABE99"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15E5A40B" w14:textId="77777777" w:rsidR="00E10BA0" w:rsidRPr="008E3606" w:rsidRDefault="00E10BA0" w:rsidP="007E453E">
            <w:pPr>
              <w:widowControl w:val="0"/>
              <w:spacing w:line="240" w:lineRule="auto"/>
              <w:jc w:val="left"/>
              <w:rPr>
                <w:sz w:val="24"/>
              </w:rPr>
            </w:pPr>
            <w:r w:rsidRPr="008E3606">
              <w:rPr>
                <w:sz w:val="24"/>
              </w:rPr>
              <w:t xml:space="preserve">MENOS CC 40000000 </w:t>
            </w:r>
          </w:p>
        </w:tc>
        <w:tc>
          <w:tcPr>
            <w:tcW w:w="4536" w:type="dxa"/>
            <w:tcBorders>
              <w:top w:val="single" w:sz="4" w:space="0" w:color="000000"/>
              <w:left w:val="single" w:sz="4" w:space="0" w:color="000000"/>
              <w:bottom w:val="single" w:sz="4" w:space="0" w:color="000000"/>
              <w:right w:val="single" w:sz="4" w:space="0" w:color="000000"/>
            </w:tcBorders>
          </w:tcPr>
          <w:p w14:paraId="25D2EFB9" w14:textId="77777777" w:rsidR="00E10BA0" w:rsidRPr="008E3606" w:rsidRDefault="00E10BA0" w:rsidP="007E453E">
            <w:pPr>
              <w:widowControl w:val="0"/>
              <w:spacing w:line="240" w:lineRule="auto"/>
              <w:jc w:val="left"/>
              <w:rPr>
                <w:sz w:val="24"/>
              </w:rPr>
            </w:pPr>
            <w:r w:rsidRPr="008E3606">
              <w:rPr>
                <w:sz w:val="24"/>
              </w:rPr>
              <w:t xml:space="preserve">Gastos </w:t>
            </w:r>
          </w:p>
        </w:tc>
        <w:tc>
          <w:tcPr>
            <w:tcW w:w="2268" w:type="dxa"/>
            <w:tcBorders>
              <w:top w:val="single" w:sz="4" w:space="0" w:color="000000"/>
              <w:left w:val="single" w:sz="4" w:space="0" w:color="000000"/>
              <w:bottom w:val="single" w:sz="4" w:space="0" w:color="000000"/>
              <w:right w:val="single" w:sz="4" w:space="0" w:color="000000"/>
            </w:tcBorders>
          </w:tcPr>
          <w:p w14:paraId="284348C0"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5408137"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67ECD0C"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98D1A8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104239B"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76AA0DB1" w14:textId="77777777" w:rsidR="00E10BA0" w:rsidRPr="008E3606" w:rsidRDefault="00E10BA0" w:rsidP="007E453E">
            <w:pPr>
              <w:widowControl w:val="0"/>
              <w:spacing w:line="240" w:lineRule="auto"/>
              <w:jc w:val="left"/>
              <w:rPr>
                <w:sz w:val="24"/>
              </w:rPr>
            </w:pPr>
            <w:r w:rsidRPr="008E3606">
              <w:rPr>
                <w:sz w:val="24"/>
              </w:rPr>
              <w:t xml:space="preserve">Las pérdidas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74DC4306"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11E7C2FA"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56D6D6D6" w14:textId="77777777" w:rsidR="00E10BA0" w:rsidRPr="008E3606" w:rsidRDefault="00E10BA0" w:rsidP="007E453E">
            <w:pPr>
              <w:widowControl w:val="0"/>
              <w:spacing w:line="240" w:lineRule="auto"/>
              <w:jc w:val="left"/>
              <w:rPr>
                <w:sz w:val="24"/>
              </w:rPr>
            </w:pPr>
            <w:r w:rsidRPr="008E3606">
              <w:rPr>
                <w:sz w:val="24"/>
              </w:rPr>
              <w:t xml:space="preserve">CC 35200000 </w:t>
            </w:r>
          </w:p>
        </w:tc>
        <w:tc>
          <w:tcPr>
            <w:tcW w:w="4536" w:type="dxa"/>
            <w:tcBorders>
              <w:top w:val="single" w:sz="4" w:space="0" w:color="000000"/>
              <w:left w:val="single" w:sz="4" w:space="0" w:color="000000"/>
              <w:bottom w:val="single" w:sz="4" w:space="0" w:color="000000"/>
              <w:right w:val="single" w:sz="4" w:space="0" w:color="000000"/>
            </w:tcBorders>
          </w:tcPr>
          <w:p w14:paraId="0AFCAE4E" w14:textId="77777777" w:rsidR="00E10BA0" w:rsidRPr="008E3606" w:rsidRDefault="00E10BA0" w:rsidP="007E453E">
            <w:pPr>
              <w:widowControl w:val="0"/>
              <w:spacing w:line="240" w:lineRule="auto"/>
              <w:jc w:val="left"/>
              <w:rPr>
                <w:sz w:val="24"/>
              </w:rPr>
            </w:pPr>
            <w:r w:rsidRPr="008E3606">
              <w:rPr>
                <w:sz w:val="24"/>
              </w:rPr>
              <w:t xml:space="preserve">Pérdidas acumuladas de ejercicios anteriores </w:t>
            </w:r>
          </w:p>
        </w:tc>
        <w:tc>
          <w:tcPr>
            <w:tcW w:w="2268" w:type="dxa"/>
            <w:tcBorders>
              <w:top w:val="single" w:sz="4" w:space="0" w:color="000000"/>
              <w:left w:val="single" w:sz="4" w:space="0" w:color="000000"/>
              <w:bottom w:val="single" w:sz="4" w:space="0" w:color="000000"/>
              <w:right w:val="single" w:sz="4" w:space="0" w:color="000000"/>
            </w:tcBorders>
          </w:tcPr>
          <w:p w14:paraId="1AB7A2A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F3ED70D"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032FB04A"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78AB49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3248CB3"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28CD0888" w14:textId="77777777" w:rsidR="00E10BA0" w:rsidRPr="008E3606" w:rsidRDefault="00E10BA0" w:rsidP="007E453E">
            <w:pPr>
              <w:widowControl w:val="0"/>
              <w:spacing w:line="240" w:lineRule="auto"/>
              <w:rPr>
                <w:sz w:val="24"/>
              </w:rPr>
            </w:pPr>
            <w:r w:rsidRPr="008E3606">
              <w:rPr>
                <w:sz w:val="24"/>
              </w:rPr>
              <w:t xml:space="preserve">El importe neto positivo de restar al saldo de los Activos por Impuestos Diferidos (AID), el saldo de los Pasivos por Impuestos Diferidos (PID). </w:t>
            </w:r>
          </w:p>
        </w:tc>
        <w:tc>
          <w:tcPr>
            <w:tcW w:w="2268" w:type="dxa"/>
            <w:tcBorders>
              <w:top w:val="single" w:sz="4" w:space="0" w:color="000000"/>
              <w:left w:val="single" w:sz="4" w:space="0" w:color="000000"/>
              <w:bottom w:val="single" w:sz="4" w:space="0" w:color="000000"/>
              <w:right w:val="single" w:sz="4" w:space="0" w:color="000000"/>
            </w:tcBorders>
            <w:vAlign w:val="center"/>
          </w:tcPr>
          <w:p w14:paraId="5CCD1828"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05DB2C2F"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C368485" w14:textId="77777777" w:rsidR="00E10BA0" w:rsidRPr="008E3606" w:rsidRDefault="00E10BA0" w:rsidP="007E453E">
            <w:pPr>
              <w:widowControl w:val="0"/>
              <w:spacing w:line="240" w:lineRule="auto"/>
              <w:jc w:val="left"/>
              <w:rPr>
                <w:sz w:val="24"/>
              </w:rPr>
            </w:pPr>
            <w:r w:rsidRPr="008E3606">
              <w:rPr>
                <w:sz w:val="24"/>
              </w:rPr>
              <w:t xml:space="preserve">CC 14601000 </w:t>
            </w:r>
          </w:p>
        </w:tc>
        <w:tc>
          <w:tcPr>
            <w:tcW w:w="4536" w:type="dxa"/>
            <w:tcBorders>
              <w:top w:val="single" w:sz="4" w:space="0" w:color="000000"/>
              <w:left w:val="single" w:sz="4" w:space="0" w:color="000000"/>
              <w:bottom w:val="single" w:sz="4" w:space="0" w:color="000000"/>
              <w:right w:val="single" w:sz="4" w:space="0" w:color="000000"/>
            </w:tcBorders>
          </w:tcPr>
          <w:p w14:paraId="0286C5D3" w14:textId="77777777" w:rsidR="00E10BA0" w:rsidRPr="008E3606" w:rsidRDefault="00E10BA0" w:rsidP="007E453E">
            <w:pPr>
              <w:widowControl w:val="0"/>
              <w:spacing w:line="240" w:lineRule="auto"/>
              <w:jc w:val="left"/>
              <w:rPr>
                <w:sz w:val="24"/>
              </w:rPr>
            </w:pPr>
            <w:r w:rsidRPr="008E3606">
              <w:rPr>
                <w:sz w:val="24"/>
              </w:rPr>
              <w:t xml:space="preserve">Impuesto sobre la renta diferido </w:t>
            </w:r>
          </w:p>
        </w:tc>
        <w:tc>
          <w:tcPr>
            <w:tcW w:w="2268" w:type="dxa"/>
            <w:tcBorders>
              <w:top w:val="single" w:sz="4" w:space="0" w:color="000000"/>
              <w:left w:val="single" w:sz="4" w:space="0" w:color="000000"/>
              <w:bottom w:val="single" w:sz="4" w:space="0" w:color="000000"/>
              <w:right w:val="single" w:sz="4" w:space="0" w:color="000000"/>
            </w:tcBorders>
          </w:tcPr>
          <w:p w14:paraId="075FEB86"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E33BC49"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443AA988" w14:textId="77777777" w:rsidR="00E10BA0" w:rsidRPr="008E3606" w:rsidRDefault="00E10BA0" w:rsidP="007E453E">
            <w:pPr>
              <w:widowControl w:val="0"/>
              <w:spacing w:line="240" w:lineRule="auto"/>
              <w:jc w:val="left"/>
              <w:rPr>
                <w:sz w:val="24"/>
              </w:rPr>
            </w:pPr>
            <w:r w:rsidRPr="008E3606">
              <w:rPr>
                <w:sz w:val="24"/>
              </w:rPr>
              <w:t xml:space="preserve">MENOS CC 24602000 </w:t>
            </w:r>
          </w:p>
        </w:tc>
        <w:tc>
          <w:tcPr>
            <w:tcW w:w="4536" w:type="dxa"/>
            <w:tcBorders>
              <w:top w:val="single" w:sz="4" w:space="0" w:color="000000"/>
              <w:left w:val="single" w:sz="4" w:space="0" w:color="000000"/>
              <w:bottom w:val="single" w:sz="4" w:space="0" w:color="000000"/>
              <w:right w:val="single" w:sz="4" w:space="0" w:color="000000"/>
            </w:tcBorders>
          </w:tcPr>
          <w:p w14:paraId="1986A645" w14:textId="77777777" w:rsidR="00E10BA0" w:rsidRPr="008E3606" w:rsidRDefault="00E10BA0" w:rsidP="007E453E">
            <w:pPr>
              <w:widowControl w:val="0"/>
              <w:spacing w:line="240" w:lineRule="auto"/>
              <w:jc w:val="left"/>
              <w:rPr>
                <w:sz w:val="24"/>
              </w:rPr>
            </w:pPr>
            <w:r w:rsidRPr="008E3606">
              <w:rPr>
                <w:sz w:val="24"/>
              </w:rPr>
              <w:t xml:space="preserve">Impuesto sobre la renta diferido </w:t>
            </w:r>
          </w:p>
        </w:tc>
        <w:tc>
          <w:tcPr>
            <w:tcW w:w="2268" w:type="dxa"/>
            <w:tcBorders>
              <w:top w:val="single" w:sz="4" w:space="0" w:color="000000"/>
              <w:left w:val="single" w:sz="4" w:space="0" w:color="000000"/>
              <w:bottom w:val="single" w:sz="4" w:space="0" w:color="000000"/>
              <w:right w:val="single" w:sz="4" w:space="0" w:color="000000"/>
            </w:tcBorders>
          </w:tcPr>
          <w:p w14:paraId="5DA56C2C"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26DEFDB"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11CB105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363FA371"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95E4FA9"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0E977B2E" w14:textId="77777777" w:rsidR="00E10BA0" w:rsidRPr="008E3606" w:rsidRDefault="00E10BA0" w:rsidP="007E453E">
            <w:pPr>
              <w:widowControl w:val="0"/>
              <w:spacing w:line="240" w:lineRule="auto"/>
              <w:rPr>
                <w:sz w:val="24"/>
              </w:rPr>
            </w:pPr>
            <w:r w:rsidRPr="008E3606">
              <w:rPr>
                <w:sz w:val="24"/>
              </w:rPr>
              <w:t xml:space="preserve">El importe neto positivo de restar al saldo de los activos por impuestos al valor agregado, el saldo de los pasivos por impuestos al valor agregado. </w:t>
            </w:r>
          </w:p>
        </w:tc>
        <w:tc>
          <w:tcPr>
            <w:tcW w:w="2268" w:type="dxa"/>
            <w:tcBorders>
              <w:top w:val="single" w:sz="4" w:space="0" w:color="000000"/>
              <w:left w:val="single" w:sz="4" w:space="0" w:color="000000"/>
              <w:bottom w:val="single" w:sz="4" w:space="0" w:color="000000"/>
              <w:right w:val="single" w:sz="4" w:space="0" w:color="000000"/>
            </w:tcBorders>
            <w:vAlign w:val="center"/>
          </w:tcPr>
          <w:p w14:paraId="645D4649" w14:textId="77777777" w:rsidR="00E10BA0" w:rsidRPr="008E3606" w:rsidRDefault="00E10BA0" w:rsidP="007E453E">
            <w:pPr>
              <w:widowControl w:val="0"/>
              <w:spacing w:line="240" w:lineRule="auto"/>
              <w:ind w:right="55"/>
              <w:jc w:val="center"/>
              <w:rPr>
                <w:sz w:val="24"/>
              </w:rPr>
            </w:pPr>
            <w:r w:rsidRPr="008E3606">
              <w:rPr>
                <w:sz w:val="24"/>
              </w:rPr>
              <w:t xml:space="preserve">Literal g) </w:t>
            </w:r>
          </w:p>
        </w:tc>
      </w:tr>
      <w:tr w:rsidR="00E10BA0" w:rsidRPr="008E3606" w14:paraId="75D2F9A3"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6222EADF" w14:textId="77777777" w:rsidR="00E10BA0" w:rsidRPr="008E3606" w:rsidRDefault="00E10BA0" w:rsidP="007E453E">
            <w:pPr>
              <w:widowControl w:val="0"/>
              <w:spacing w:line="240" w:lineRule="auto"/>
              <w:jc w:val="left"/>
              <w:rPr>
                <w:sz w:val="24"/>
              </w:rPr>
            </w:pPr>
            <w:r w:rsidRPr="008E3606">
              <w:rPr>
                <w:sz w:val="24"/>
              </w:rPr>
              <w:t xml:space="preserve">CC 14603000 </w:t>
            </w:r>
          </w:p>
        </w:tc>
        <w:tc>
          <w:tcPr>
            <w:tcW w:w="4536" w:type="dxa"/>
            <w:tcBorders>
              <w:top w:val="single" w:sz="4" w:space="0" w:color="000000"/>
              <w:left w:val="single" w:sz="4" w:space="0" w:color="000000"/>
              <w:bottom w:val="single" w:sz="4" w:space="0" w:color="000000"/>
              <w:right w:val="single" w:sz="4" w:space="0" w:color="000000"/>
            </w:tcBorders>
          </w:tcPr>
          <w:p w14:paraId="70995D1A" w14:textId="77777777" w:rsidR="00E10BA0" w:rsidRPr="008E3606" w:rsidRDefault="00E10BA0" w:rsidP="007E453E">
            <w:pPr>
              <w:widowControl w:val="0"/>
              <w:spacing w:line="240" w:lineRule="auto"/>
              <w:jc w:val="left"/>
              <w:rPr>
                <w:sz w:val="24"/>
              </w:rPr>
            </w:pPr>
            <w:r w:rsidRPr="008E3606">
              <w:rPr>
                <w:sz w:val="24"/>
              </w:rPr>
              <w:t xml:space="preserve">Impuesto al Valor Agregado Soportado </w:t>
            </w:r>
          </w:p>
        </w:tc>
        <w:tc>
          <w:tcPr>
            <w:tcW w:w="2268" w:type="dxa"/>
            <w:tcBorders>
              <w:top w:val="single" w:sz="4" w:space="0" w:color="000000"/>
              <w:left w:val="single" w:sz="4" w:space="0" w:color="000000"/>
              <w:bottom w:val="single" w:sz="4" w:space="0" w:color="000000"/>
              <w:right w:val="single" w:sz="4" w:space="0" w:color="000000"/>
            </w:tcBorders>
          </w:tcPr>
          <w:p w14:paraId="4695A47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9DEAC8E" w14:textId="77777777" w:rsidTr="007E453E">
        <w:trPr>
          <w:trHeight w:val="274"/>
        </w:trPr>
        <w:tc>
          <w:tcPr>
            <w:tcW w:w="2546" w:type="dxa"/>
            <w:tcBorders>
              <w:top w:val="single" w:sz="4" w:space="0" w:color="000000"/>
              <w:left w:val="single" w:sz="4" w:space="0" w:color="000000"/>
              <w:bottom w:val="single" w:sz="4" w:space="0" w:color="000000"/>
              <w:right w:val="single" w:sz="4" w:space="0" w:color="000000"/>
            </w:tcBorders>
          </w:tcPr>
          <w:p w14:paraId="39BFD9F3" w14:textId="77777777" w:rsidR="00E10BA0" w:rsidRPr="008E3606" w:rsidRDefault="00E10BA0" w:rsidP="007E453E">
            <w:pPr>
              <w:widowControl w:val="0"/>
              <w:spacing w:line="240" w:lineRule="auto"/>
              <w:jc w:val="left"/>
              <w:rPr>
                <w:sz w:val="24"/>
              </w:rPr>
            </w:pPr>
            <w:r w:rsidRPr="008E3606">
              <w:rPr>
                <w:sz w:val="24"/>
              </w:rPr>
              <w:t xml:space="preserve">CC 14604000 </w:t>
            </w:r>
          </w:p>
        </w:tc>
        <w:tc>
          <w:tcPr>
            <w:tcW w:w="4536" w:type="dxa"/>
            <w:tcBorders>
              <w:top w:val="single" w:sz="4" w:space="0" w:color="000000"/>
              <w:left w:val="single" w:sz="4" w:space="0" w:color="000000"/>
              <w:bottom w:val="single" w:sz="4" w:space="0" w:color="000000"/>
              <w:right w:val="single" w:sz="4" w:space="0" w:color="000000"/>
            </w:tcBorders>
          </w:tcPr>
          <w:p w14:paraId="1019234F" w14:textId="77777777" w:rsidR="00E10BA0" w:rsidRPr="008E3606" w:rsidRDefault="00E10BA0" w:rsidP="007E453E">
            <w:pPr>
              <w:widowControl w:val="0"/>
              <w:spacing w:line="240" w:lineRule="auto"/>
              <w:jc w:val="left"/>
              <w:rPr>
                <w:sz w:val="24"/>
              </w:rPr>
            </w:pPr>
            <w:r w:rsidRPr="008E3606">
              <w:rPr>
                <w:sz w:val="24"/>
              </w:rPr>
              <w:t xml:space="preserve">Impuesto al Valor Agregado Deducible </w:t>
            </w:r>
          </w:p>
        </w:tc>
        <w:tc>
          <w:tcPr>
            <w:tcW w:w="2268" w:type="dxa"/>
            <w:tcBorders>
              <w:top w:val="single" w:sz="4" w:space="0" w:color="000000"/>
              <w:left w:val="single" w:sz="4" w:space="0" w:color="000000"/>
              <w:bottom w:val="single" w:sz="4" w:space="0" w:color="000000"/>
              <w:right w:val="single" w:sz="4" w:space="0" w:color="000000"/>
            </w:tcBorders>
          </w:tcPr>
          <w:p w14:paraId="2F6C53F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A4AF12E" w14:textId="77777777" w:rsidTr="007E453E">
        <w:trPr>
          <w:trHeight w:val="276"/>
        </w:trPr>
        <w:tc>
          <w:tcPr>
            <w:tcW w:w="2546" w:type="dxa"/>
            <w:tcBorders>
              <w:top w:val="single" w:sz="4" w:space="0" w:color="000000"/>
              <w:left w:val="single" w:sz="4" w:space="0" w:color="000000"/>
              <w:bottom w:val="single" w:sz="4" w:space="0" w:color="000000"/>
              <w:right w:val="single" w:sz="4" w:space="0" w:color="000000"/>
            </w:tcBorders>
          </w:tcPr>
          <w:p w14:paraId="1E8EC4C4" w14:textId="77777777" w:rsidR="00E10BA0" w:rsidRPr="008E3606" w:rsidRDefault="00E10BA0" w:rsidP="007E453E">
            <w:pPr>
              <w:widowControl w:val="0"/>
              <w:spacing w:line="240" w:lineRule="auto"/>
              <w:jc w:val="left"/>
              <w:rPr>
                <w:sz w:val="24"/>
              </w:rPr>
            </w:pPr>
            <w:r w:rsidRPr="008E3606">
              <w:rPr>
                <w:sz w:val="24"/>
              </w:rPr>
              <w:t xml:space="preserve">MENOS CC 24204M02 </w:t>
            </w:r>
          </w:p>
        </w:tc>
        <w:tc>
          <w:tcPr>
            <w:tcW w:w="4536" w:type="dxa"/>
            <w:tcBorders>
              <w:top w:val="single" w:sz="4" w:space="0" w:color="000000"/>
              <w:left w:val="single" w:sz="4" w:space="0" w:color="000000"/>
              <w:bottom w:val="single" w:sz="4" w:space="0" w:color="000000"/>
              <w:right w:val="single" w:sz="4" w:space="0" w:color="000000"/>
            </w:tcBorders>
          </w:tcPr>
          <w:p w14:paraId="661F4C5F" w14:textId="77777777" w:rsidR="00E10BA0" w:rsidRPr="008E3606" w:rsidRDefault="00E10BA0" w:rsidP="007E453E">
            <w:pPr>
              <w:widowControl w:val="0"/>
              <w:spacing w:line="240" w:lineRule="auto"/>
              <w:jc w:val="left"/>
              <w:rPr>
                <w:sz w:val="24"/>
              </w:rPr>
            </w:pPr>
            <w:r w:rsidRPr="008E3606">
              <w:rPr>
                <w:sz w:val="24"/>
              </w:rPr>
              <w:t xml:space="preserve">Impuesto al valor agregado por pagar </w:t>
            </w:r>
          </w:p>
        </w:tc>
        <w:tc>
          <w:tcPr>
            <w:tcW w:w="2268" w:type="dxa"/>
            <w:tcBorders>
              <w:top w:val="single" w:sz="4" w:space="0" w:color="000000"/>
              <w:left w:val="single" w:sz="4" w:space="0" w:color="000000"/>
              <w:bottom w:val="single" w:sz="4" w:space="0" w:color="000000"/>
              <w:right w:val="single" w:sz="4" w:space="0" w:color="000000"/>
            </w:tcBorders>
          </w:tcPr>
          <w:p w14:paraId="59C1C90E"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16D808FC" w14:textId="77777777" w:rsidTr="007E453E">
        <w:trPr>
          <w:trHeight w:val="274"/>
        </w:trPr>
        <w:tc>
          <w:tcPr>
            <w:tcW w:w="7082" w:type="dxa"/>
            <w:gridSpan w:val="2"/>
            <w:tcBorders>
              <w:top w:val="single" w:sz="4" w:space="0" w:color="000000"/>
              <w:left w:val="single" w:sz="4" w:space="0" w:color="000000"/>
              <w:bottom w:val="single" w:sz="4" w:space="0" w:color="000000"/>
              <w:right w:val="nil"/>
            </w:tcBorders>
          </w:tcPr>
          <w:p w14:paraId="28135C69"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9CCF4C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B6B407D" w14:textId="77777777" w:rsidTr="007E453E">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78DD5AF9" w14:textId="77777777" w:rsidR="00E10BA0" w:rsidRPr="008E3606" w:rsidRDefault="00E10BA0" w:rsidP="007E453E">
            <w:pPr>
              <w:widowControl w:val="0"/>
              <w:spacing w:line="240" w:lineRule="auto"/>
              <w:rPr>
                <w:sz w:val="24"/>
              </w:rPr>
            </w:pPr>
            <w:r w:rsidRPr="008E3606">
              <w:rPr>
                <w:sz w:val="24"/>
              </w:rPr>
              <w:t xml:space="preserve">El importe de las deducciones a que se refiere el Artículo 35 del Acuerdo Sugef 3-06, que exceda el importe de los elementos del CAN1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5EF801D5" w14:textId="77777777" w:rsidR="00E10BA0" w:rsidRPr="008E3606" w:rsidRDefault="00E10BA0" w:rsidP="007E453E">
            <w:pPr>
              <w:widowControl w:val="0"/>
              <w:spacing w:line="240" w:lineRule="auto"/>
              <w:ind w:right="55"/>
              <w:jc w:val="center"/>
              <w:rPr>
                <w:sz w:val="24"/>
              </w:rPr>
            </w:pPr>
            <w:r w:rsidRPr="008E3606">
              <w:rPr>
                <w:sz w:val="24"/>
              </w:rPr>
              <w:t xml:space="preserve">Literal h) </w:t>
            </w:r>
          </w:p>
        </w:tc>
      </w:tr>
      <w:tr w:rsidR="00E10BA0" w:rsidRPr="008E3606" w14:paraId="62F07B6C" w14:textId="77777777" w:rsidTr="007E453E">
        <w:trPr>
          <w:trHeight w:val="802"/>
        </w:trPr>
        <w:tc>
          <w:tcPr>
            <w:tcW w:w="2546" w:type="dxa"/>
            <w:tcBorders>
              <w:top w:val="single" w:sz="4" w:space="0" w:color="000000"/>
              <w:left w:val="single" w:sz="4" w:space="0" w:color="000000"/>
              <w:bottom w:val="single" w:sz="4" w:space="0" w:color="000000"/>
              <w:right w:val="single" w:sz="4" w:space="0" w:color="000000"/>
            </w:tcBorders>
            <w:vAlign w:val="center"/>
          </w:tcPr>
          <w:p w14:paraId="0C95DBC5" w14:textId="77777777" w:rsidR="00E10BA0" w:rsidRPr="008E3606" w:rsidRDefault="00E10BA0" w:rsidP="007E453E">
            <w:pPr>
              <w:widowControl w:val="0"/>
              <w:spacing w:line="240" w:lineRule="auto"/>
              <w:jc w:val="left"/>
              <w:rPr>
                <w:sz w:val="24"/>
              </w:rPr>
            </w:pPr>
            <w:r w:rsidRPr="008E3606">
              <w:rPr>
                <w:sz w:val="24"/>
              </w:rPr>
              <w:t xml:space="preserve">DA (Nuevo E) </w:t>
            </w:r>
          </w:p>
        </w:tc>
        <w:tc>
          <w:tcPr>
            <w:tcW w:w="4536" w:type="dxa"/>
            <w:tcBorders>
              <w:top w:val="single" w:sz="4" w:space="0" w:color="000000"/>
              <w:left w:val="single" w:sz="4" w:space="0" w:color="000000"/>
              <w:bottom w:val="single" w:sz="4" w:space="0" w:color="000000"/>
              <w:right w:val="single" w:sz="4" w:space="0" w:color="000000"/>
            </w:tcBorders>
          </w:tcPr>
          <w:p w14:paraId="6C1CDED1" w14:textId="77777777" w:rsidR="00E10BA0" w:rsidRPr="008E3606" w:rsidRDefault="00E10BA0" w:rsidP="007E453E">
            <w:pPr>
              <w:widowControl w:val="0"/>
              <w:spacing w:line="240" w:lineRule="auto"/>
              <w:ind w:right="55"/>
              <w:rPr>
                <w:sz w:val="24"/>
              </w:rPr>
            </w:pPr>
            <w:r w:rsidRPr="008E3606">
              <w:rPr>
                <w:sz w:val="24"/>
              </w:rPr>
              <w:t xml:space="preserve">El importe de las deducciones del CAN1 que exceda el importe de los elementos del CAN1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9CF85B"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96B4F27" w14:textId="77777777" w:rsidTr="007E453E">
        <w:trPr>
          <w:trHeight w:val="276"/>
        </w:trPr>
        <w:tc>
          <w:tcPr>
            <w:tcW w:w="7082" w:type="dxa"/>
            <w:gridSpan w:val="2"/>
            <w:tcBorders>
              <w:top w:val="single" w:sz="4" w:space="0" w:color="000000"/>
              <w:left w:val="single" w:sz="4" w:space="0" w:color="000000"/>
              <w:bottom w:val="single" w:sz="4" w:space="0" w:color="000000"/>
              <w:right w:val="nil"/>
            </w:tcBorders>
          </w:tcPr>
          <w:p w14:paraId="3EBBB933"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2BCA0A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A3B3E30" w14:textId="77777777" w:rsidTr="007E453E">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04C85F04" w14:textId="77777777" w:rsidR="00E10BA0" w:rsidRPr="008E3606" w:rsidRDefault="00E10BA0" w:rsidP="007E453E">
            <w:pPr>
              <w:widowControl w:val="0"/>
              <w:spacing w:line="240" w:lineRule="auto"/>
              <w:jc w:val="left"/>
              <w:rPr>
                <w:sz w:val="24"/>
              </w:rPr>
            </w:pPr>
            <w:r w:rsidRPr="008E3606">
              <w:rPr>
                <w:b/>
                <w:sz w:val="24"/>
              </w:rPr>
              <w:t xml:space="preserve">II. CAPITAL ADICIONAL NIVEL 1 (CAN1) = (3 MENOS 4) </w:t>
            </w:r>
          </w:p>
        </w:tc>
        <w:tc>
          <w:tcPr>
            <w:tcW w:w="2268" w:type="dxa"/>
            <w:tcBorders>
              <w:top w:val="single" w:sz="4" w:space="0" w:color="000000"/>
              <w:left w:val="single" w:sz="4" w:space="0" w:color="000000"/>
              <w:bottom w:val="single" w:sz="4" w:space="0" w:color="000000"/>
              <w:right w:val="single" w:sz="4" w:space="0" w:color="000000"/>
            </w:tcBorders>
          </w:tcPr>
          <w:p w14:paraId="15F1D9BF" w14:textId="77777777" w:rsidR="00E10BA0" w:rsidRPr="008E3606" w:rsidRDefault="00E10BA0" w:rsidP="007E453E">
            <w:pPr>
              <w:widowControl w:val="0"/>
              <w:spacing w:line="240" w:lineRule="auto"/>
              <w:jc w:val="left"/>
              <w:rPr>
                <w:sz w:val="24"/>
              </w:rPr>
            </w:pPr>
            <w:r w:rsidRPr="008E3606">
              <w:rPr>
                <w:b/>
                <w:sz w:val="24"/>
              </w:rPr>
              <w:t xml:space="preserve"> </w:t>
            </w:r>
          </w:p>
        </w:tc>
      </w:tr>
      <w:tr w:rsidR="00E10BA0" w:rsidRPr="008E3606" w14:paraId="7E760756" w14:textId="77777777" w:rsidTr="007E453E">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4DCDB46B" w14:textId="77777777" w:rsidR="00E10BA0" w:rsidRPr="008E3606" w:rsidRDefault="00E10BA0" w:rsidP="007E453E">
            <w:pPr>
              <w:widowControl w:val="0"/>
              <w:spacing w:line="240" w:lineRule="auto"/>
              <w:jc w:val="left"/>
              <w:rPr>
                <w:sz w:val="24"/>
              </w:rPr>
            </w:pPr>
            <w:r w:rsidRPr="008E3606">
              <w:rPr>
                <w:b/>
                <w:sz w:val="24"/>
              </w:rPr>
              <w:t xml:space="preserve">3. Elementos del CAN1 </w:t>
            </w:r>
          </w:p>
        </w:tc>
        <w:tc>
          <w:tcPr>
            <w:tcW w:w="2268" w:type="dxa"/>
            <w:tcBorders>
              <w:top w:val="single" w:sz="4" w:space="0" w:color="000000"/>
              <w:left w:val="single" w:sz="4" w:space="0" w:color="000000"/>
              <w:bottom w:val="single" w:sz="4" w:space="0" w:color="000000"/>
              <w:right w:val="single" w:sz="4" w:space="0" w:color="000000"/>
            </w:tcBorders>
          </w:tcPr>
          <w:p w14:paraId="678F45CF" w14:textId="77777777" w:rsidR="00E10BA0" w:rsidRPr="008E3606" w:rsidRDefault="00E10BA0" w:rsidP="007E453E">
            <w:pPr>
              <w:widowControl w:val="0"/>
              <w:spacing w:line="240" w:lineRule="auto"/>
              <w:ind w:right="58"/>
              <w:jc w:val="center"/>
              <w:rPr>
                <w:sz w:val="24"/>
              </w:rPr>
            </w:pPr>
            <w:r w:rsidRPr="008E3606">
              <w:rPr>
                <w:b/>
                <w:sz w:val="24"/>
              </w:rPr>
              <w:t xml:space="preserve">ARTÍCULO 34 </w:t>
            </w:r>
          </w:p>
        </w:tc>
      </w:tr>
      <w:tr w:rsidR="00E10BA0" w:rsidRPr="008E3606" w14:paraId="441D5A83" w14:textId="77777777" w:rsidTr="007E453E">
        <w:tblPrEx>
          <w:tblCellMar>
            <w:top w:w="5" w:type="dxa"/>
          </w:tblCellMar>
        </w:tblPrEx>
        <w:trPr>
          <w:trHeight w:val="274"/>
        </w:trPr>
        <w:tc>
          <w:tcPr>
            <w:tcW w:w="2546" w:type="dxa"/>
            <w:tcBorders>
              <w:top w:val="single" w:sz="4" w:space="0" w:color="000000"/>
              <w:left w:val="single" w:sz="4" w:space="0" w:color="000000"/>
              <w:bottom w:val="single" w:sz="4" w:space="0" w:color="000000"/>
              <w:right w:val="single" w:sz="4" w:space="0" w:color="000000"/>
            </w:tcBorders>
          </w:tcPr>
          <w:p w14:paraId="11047916"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73A60ACB"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43F90ABA"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36214A38"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35261E5F"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1267E0A1" w14:textId="77777777" w:rsidR="00E10BA0" w:rsidRPr="008E3606" w:rsidRDefault="00E10BA0" w:rsidP="007E453E">
            <w:pPr>
              <w:widowControl w:val="0"/>
              <w:spacing w:line="240" w:lineRule="auto"/>
              <w:jc w:val="left"/>
              <w:rPr>
                <w:sz w:val="24"/>
              </w:rPr>
            </w:pPr>
          </w:p>
        </w:tc>
      </w:tr>
      <w:tr w:rsidR="00E10BA0" w:rsidRPr="008E3606" w14:paraId="118A43A6" w14:textId="77777777" w:rsidTr="007E453E">
        <w:tblPrEx>
          <w:tblCellMar>
            <w:top w:w="5" w:type="dxa"/>
          </w:tblCellMar>
        </w:tblPrEx>
        <w:trPr>
          <w:trHeight w:val="1332"/>
        </w:trPr>
        <w:tc>
          <w:tcPr>
            <w:tcW w:w="7082" w:type="dxa"/>
            <w:gridSpan w:val="2"/>
            <w:tcBorders>
              <w:top w:val="single" w:sz="4" w:space="0" w:color="000000"/>
              <w:left w:val="single" w:sz="4" w:space="0" w:color="000000"/>
              <w:bottom w:val="single" w:sz="4" w:space="0" w:color="000000"/>
              <w:right w:val="single" w:sz="4" w:space="0" w:color="000000"/>
            </w:tcBorders>
          </w:tcPr>
          <w:p w14:paraId="362915FE" w14:textId="77777777" w:rsidR="00E10BA0" w:rsidRPr="008E3606" w:rsidRDefault="00E10BA0" w:rsidP="007E453E">
            <w:pPr>
              <w:widowControl w:val="0"/>
              <w:spacing w:line="240" w:lineRule="auto"/>
              <w:ind w:right="53"/>
              <w:rPr>
                <w:sz w:val="24"/>
              </w:rPr>
            </w:pPr>
            <w:r w:rsidRPr="008E3606">
              <w:rPr>
                <w:sz w:val="24"/>
              </w:rPr>
              <w:t xml:space="preserve">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613D8E55"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29625638" w14:textId="77777777" w:rsidTr="007E453E">
        <w:tblPrEx>
          <w:tblCellMar>
            <w:top w:w="5" w:type="dxa"/>
          </w:tblCellMar>
        </w:tblPrEx>
        <w:trPr>
          <w:trHeight w:val="802"/>
        </w:trPr>
        <w:tc>
          <w:tcPr>
            <w:tcW w:w="2546" w:type="dxa"/>
            <w:tcBorders>
              <w:top w:val="single" w:sz="4" w:space="0" w:color="000000"/>
              <w:left w:val="single" w:sz="4" w:space="0" w:color="000000"/>
              <w:bottom w:val="single" w:sz="4" w:space="0" w:color="000000"/>
              <w:right w:val="single" w:sz="4" w:space="0" w:color="000000"/>
            </w:tcBorders>
            <w:vAlign w:val="center"/>
          </w:tcPr>
          <w:p w14:paraId="0051F8F2" w14:textId="77777777" w:rsidR="00E10BA0" w:rsidRPr="008E3606" w:rsidRDefault="00E10BA0" w:rsidP="007E453E">
            <w:pPr>
              <w:widowControl w:val="0"/>
              <w:spacing w:line="240" w:lineRule="auto"/>
              <w:jc w:val="left"/>
              <w:rPr>
                <w:sz w:val="24"/>
              </w:rPr>
            </w:pPr>
            <w:r w:rsidRPr="008E3606">
              <w:rPr>
                <w:sz w:val="24"/>
              </w:rPr>
              <w:t xml:space="preserve">DA 20146 </w:t>
            </w:r>
          </w:p>
        </w:tc>
        <w:tc>
          <w:tcPr>
            <w:tcW w:w="4536" w:type="dxa"/>
            <w:tcBorders>
              <w:top w:val="single" w:sz="4" w:space="0" w:color="000000"/>
              <w:left w:val="single" w:sz="4" w:space="0" w:color="000000"/>
              <w:bottom w:val="single" w:sz="4" w:space="0" w:color="000000"/>
              <w:right w:val="single" w:sz="4" w:space="0" w:color="000000"/>
            </w:tcBorders>
          </w:tcPr>
          <w:p w14:paraId="63C813E2" w14:textId="77777777" w:rsidR="00E10BA0" w:rsidRPr="008E3606" w:rsidRDefault="00E10BA0" w:rsidP="007E453E">
            <w:pPr>
              <w:widowControl w:val="0"/>
              <w:spacing w:line="240" w:lineRule="auto"/>
              <w:ind w:right="55"/>
              <w:rPr>
                <w:sz w:val="24"/>
              </w:rPr>
            </w:pPr>
            <w:r w:rsidRPr="008E3606">
              <w:rPr>
                <w:sz w:val="24"/>
              </w:rPr>
              <w:t xml:space="preserve">Reservas voluntarias constituidas para absorber pérdidas patrimoniales durante la marcha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0DAFB93F"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40B79E6"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3C925BE4"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5DC007C"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6F5ABC8"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7750591F" w14:textId="77777777" w:rsidR="00E10BA0" w:rsidRPr="008E3606" w:rsidRDefault="00E10BA0" w:rsidP="007E453E">
            <w:pPr>
              <w:widowControl w:val="0"/>
              <w:spacing w:line="240" w:lineRule="auto"/>
              <w:ind w:right="55"/>
              <w:rPr>
                <w:sz w:val="24"/>
              </w:rPr>
            </w:pPr>
            <w:r w:rsidRPr="008E3606">
              <w:rPr>
                <w:sz w:val="24"/>
              </w:rPr>
              <w:t xml:space="preserve">El literal b) del artículo 34 corresponde a la deducción cuyo detalle se presenta en el Artículo 35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078021B"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1B9FB900" w14:textId="77777777" w:rsidTr="007E453E">
        <w:tblPrEx>
          <w:tblCellMar>
            <w:top w:w="5" w:type="dxa"/>
          </w:tblCellMar>
        </w:tblPrEx>
        <w:trPr>
          <w:trHeight w:val="274"/>
        </w:trPr>
        <w:tc>
          <w:tcPr>
            <w:tcW w:w="2546" w:type="dxa"/>
            <w:tcBorders>
              <w:top w:val="single" w:sz="4" w:space="0" w:color="000000"/>
              <w:left w:val="single" w:sz="4" w:space="0" w:color="000000"/>
              <w:bottom w:val="single" w:sz="4" w:space="0" w:color="000000"/>
              <w:right w:val="single" w:sz="4" w:space="0" w:color="000000"/>
            </w:tcBorders>
          </w:tcPr>
          <w:p w14:paraId="49CC2007" w14:textId="77777777" w:rsidR="00E10BA0" w:rsidRPr="008E3606" w:rsidRDefault="00E10BA0" w:rsidP="007E453E">
            <w:pPr>
              <w:widowControl w:val="0"/>
              <w:spacing w:line="240" w:lineRule="auto"/>
              <w:jc w:val="left"/>
              <w:rPr>
                <w:sz w:val="24"/>
              </w:rPr>
            </w:pPr>
            <w:r w:rsidRPr="008E3606">
              <w:rPr>
                <w:sz w:val="24"/>
              </w:rPr>
              <w:t xml:space="preserve">DA (Nuevo J) </w:t>
            </w:r>
          </w:p>
        </w:tc>
        <w:tc>
          <w:tcPr>
            <w:tcW w:w="4536" w:type="dxa"/>
            <w:tcBorders>
              <w:top w:val="single" w:sz="4" w:space="0" w:color="000000"/>
              <w:left w:val="single" w:sz="4" w:space="0" w:color="000000"/>
              <w:bottom w:val="single" w:sz="4" w:space="0" w:color="000000"/>
              <w:right w:val="single" w:sz="4" w:space="0" w:color="000000"/>
            </w:tcBorders>
          </w:tcPr>
          <w:p w14:paraId="36F57680" w14:textId="77777777" w:rsidR="00E10BA0" w:rsidRPr="008E3606" w:rsidRDefault="00E10BA0" w:rsidP="007E453E">
            <w:pPr>
              <w:widowControl w:val="0"/>
              <w:spacing w:line="240" w:lineRule="auto"/>
              <w:jc w:val="left"/>
              <w:rPr>
                <w:sz w:val="24"/>
              </w:rPr>
            </w:pPr>
            <w:r w:rsidRPr="008E3606">
              <w:rPr>
                <w:sz w:val="24"/>
              </w:rPr>
              <w:t xml:space="preserve">Deducciones del CAN1 </w:t>
            </w:r>
          </w:p>
        </w:tc>
        <w:tc>
          <w:tcPr>
            <w:tcW w:w="2268" w:type="dxa"/>
            <w:tcBorders>
              <w:top w:val="single" w:sz="4" w:space="0" w:color="000000"/>
              <w:left w:val="single" w:sz="4" w:space="0" w:color="000000"/>
              <w:bottom w:val="single" w:sz="4" w:space="0" w:color="000000"/>
              <w:right w:val="single" w:sz="4" w:space="0" w:color="000000"/>
            </w:tcBorders>
          </w:tcPr>
          <w:p w14:paraId="01CFCAB2"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4B865DD"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59890087"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77E62F7A" w14:textId="77777777" w:rsidR="00E10BA0" w:rsidRPr="008E3606" w:rsidRDefault="00E10BA0" w:rsidP="007E453E">
            <w:pPr>
              <w:widowControl w:val="0"/>
              <w:spacing w:line="240" w:lineRule="auto"/>
              <w:jc w:val="left"/>
              <w:rPr>
                <w:sz w:val="24"/>
              </w:rPr>
            </w:pPr>
          </w:p>
        </w:tc>
      </w:tr>
      <w:tr w:rsidR="00E10BA0" w:rsidRPr="008E3606" w14:paraId="72235B16"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4128A394" w14:textId="77777777" w:rsidR="00E10BA0" w:rsidRPr="008E3606" w:rsidRDefault="00E10BA0" w:rsidP="007E453E">
            <w:pPr>
              <w:widowControl w:val="0"/>
              <w:spacing w:line="240" w:lineRule="auto"/>
              <w:jc w:val="left"/>
              <w:rPr>
                <w:sz w:val="24"/>
              </w:rPr>
            </w:pPr>
            <w:r w:rsidRPr="008E3606">
              <w:rPr>
                <w:b/>
                <w:sz w:val="24"/>
              </w:rPr>
              <w:t xml:space="preserve">4. Deducciones del CAN1 </w:t>
            </w:r>
          </w:p>
        </w:tc>
        <w:tc>
          <w:tcPr>
            <w:tcW w:w="2268" w:type="dxa"/>
            <w:tcBorders>
              <w:top w:val="single" w:sz="4" w:space="0" w:color="000000"/>
              <w:left w:val="single" w:sz="4" w:space="0" w:color="000000"/>
              <w:bottom w:val="single" w:sz="4" w:space="0" w:color="000000"/>
              <w:right w:val="single" w:sz="4" w:space="0" w:color="000000"/>
            </w:tcBorders>
          </w:tcPr>
          <w:p w14:paraId="4F184BDE" w14:textId="77777777" w:rsidR="00E10BA0" w:rsidRPr="008E3606" w:rsidRDefault="00E10BA0" w:rsidP="007E453E">
            <w:pPr>
              <w:widowControl w:val="0"/>
              <w:spacing w:line="240" w:lineRule="auto"/>
              <w:ind w:right="58"/>
              <w:jc w:val="center"/>
              <w:rPr>
                <w:sz w:val="24"/>
              </w:rPr>
            </w:pPr>
            <w:r w:rsidRPr="008E3606">
              <w:rPr>
                <w:b/>
                <w:sz w:val="24"/>
              </w:rPr>
              <w:t xml:space="preserve">ARTÍCULO 35 </w:t>
            </w:r>
          </w:p>
        </w:tc>
      </w:tr>
      <w:tr w:rsidR="00E10BA0" w:rsidRPr="008E3606" w14:paraId="3862D4DF" w14:textId="77777777" w:rsidTr="007E453E">
        <w:tblPrEx>
          <w:tblCellMar>
            <w:top w:w="5" w:type="dxa"/>
          </w:tblCellMar>
        </w:tblPrEx>
        <w:trPr>
          <w:trHeight w:val="274"/>
        </w:trPr>
        <w:tc>
          <w:tcPr>
            <w:tcW w:w="2546" w:type="dxa"/>
            <w:tcBorders>
              <w:top w:val="single" w:sz="4" w:space="0" w:color="000000"/>
              <w:left w:val="single" w:sz="4" w:space="0" w:color="000000"/>
              <w:bottom w:val="single" w:sz="4" w:space="0" w:color="000000"/>
              <w:right w:val="single" w:sz="4" w:space="0" w:color="000000"/>
            </w:tcBorders>
          </w:tcPr>
          <w:p w14:paraId="516A5A38"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781400AA"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326A704C"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199FF457"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428D50DE"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264370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C9275D0" w14:textId="77777777" w:rsidTr="007E453E">
        <w:tblPrEx>
          <w:tblCellMar>
            <w:top w:w="5" w:type="dxa"/>
          </w:tblCellMar>
        </w:tblPrEx>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286D7D8E" w14:textId="77777777" w:rsidR="00E10BA0" w:rsidRPr="008E3606" w:rsidRDefault="00E10BA0" w:rsidP="007E453E">
            <w:pPr>
              <w:widowControl w:val="0"/>
              <w:spacing w:line="240" w:lineRule="auto"/>
              <w:rPr>
                <w:sz w:val="24"/>
              </w:rPr>
            </w:pPr>
            <w:r w:rsidRPr="008E3606">
              <w:rPr>
                <w:sz w:val="24"/>
              </w:rPr>
              <w:t xml:space="preserve">El importe de las deducciones a que se refiere el Artículo 37 del Acuerdo Sugef 3-06, que exceda el importe de los elementos del CN2 de la entidad. </w:t>
            </w:r>
          </w:p>
        </w:tc>
        <w:tc>
          <w:tcPr>
            <w:tcW w:w="2268" w:type="dxa"/>
            <w:tcBorders>
              <w:top w:val="single" w:sz="4" w:space="0" w:color="000000"/>
              <w:left w:val="single" w:sz="4" w:space="0" w:color="000000"/>
              <w:bottom w:val="single" w:sz="4" w:space="0" w:color="000000"/>
              <w:right w:val="single" w:sz="4" w:space="0" w:color="000000"/>
            </w:tcBorders>
            <w:vAlign w:val="center"/>
          </w:tcPr>
          <w:p w14:paraId="0B768329"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5C1BADDC" w14:textId="77777777" w:rsidTr="007E453E">
        <w:tblPrEx>
          <w:tblCellMar>
            <w:top w:w="5" w:type="dxa"/>
          </w:tblCellMar>
        </w:tblPrEx>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79BE960F" w14:textId="77777777" w:rsidR="00E10BA0" w:rsidRPr="008E3606" w:rsidRDefault="00E10BA0" w:rsidP="007E453E">
            <w:pPr>
              <w:widowControl w:val="0"/>
              <w:spacing w:line="240" w:lineRule="auto"/>
              <w:jc w:val="left"/>
              <w:rPr>
                <w:sz w:val="24"/>
              </w:rPr>
            </w:pPr>
            <w:r w:rsidRPr="008E3606">
              <w:rPr>
                <w:sz w:val="24"/>
              </w:rPr>
              <w:t xml:space="preserve">DA (Nuevo N) </w:t>
            </w:r>
          </w:p>
        </w:tc>
        <w:tc>
          <w:tcPr>
            <w:tcW w:w="4536" w:type="dxa"/>
            <w:tcBorders>
              <w:top w:val="single" w:sz="4" w:space="0" w:color="000000"/>
              <w:left w:val="single" w:sz="4" w:space="0" w:color="000000"/>
              <w:bottom w:val="single" w:sz="4" w:space="0" w:color="000000"/>
              <w:right w:val="single" w:sz="4" w:space="0" w:color="000000"/>
            </w:tcBorders>
          </w:tcPr>
          <w:p w14:paraId="1F8FB410" w14:textId="77777777" w:rsidR="00E10BA0" w:rsidRPr="008E3606" w:rsidRDefault="00E10BA0" w:rsidP="007E453E">
            <w:pPr>
              <w:widowControl w:val="0"/>
              <w:spacing w:line="240" w:lineRule="auto"/>
              <w:rPr>
                <w:sz w:val="24"/>
              </w:rPr>
            </w:pPr>
            <w:r w:rsidRPr="008E3606">
              <w:rPr>
                <w:sz w:val="24"/>
              </w:rPr>
              <w:t xml:space="preserve">El monto de las deducciones que exceda el importe de los elementos del CN2 de la entidad </w:t>
            </w:r>
          </w:p>
        </w:tc>
        <w:tc>
          <w:tcPr>
            <w:tcW w:w="2268" w:type="dxa"/>
            <w:tcBorders>
              <w:top w:val="single" w:sz="4" w:space="0" w:color="000000"/>
              <w:left w:val="single" w:sz="4" w:space="0" w:color="000000"/>
              <w:bottom w:val="single" w:sz="4" w:space="0" w:color="000000"/>
              <w:right w:val="single" w:sz="4" w:space="0" w:color="000000"/>
            </w:tcBorders>
          </w:tcPr>
          <w:p w14:paraId="66FB91F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6B68FF4"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2CE9B7CD"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1D3CF603"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421B940"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64BD6CB0" w14:textId="77777777" w:rsidR="00E10BA0" w:rsidRPr="008E3606" w:rsidRDefault="00E10BA0" w:rsidP="007E453E">
            <w:pPr>
              <w:widowControl w:val="0"/>
              <w:spacing w:line="240" w:lineRule="auto"/>
              <w:jc w:val="left"/>
              <w:rPr>
                <w:sz w:val="24"/>
              </w:rPr>
            </w:pPr>
            <w:r w:rsidRPr="008E3606">
              <w:rPr>
                <w:b/>
                <w:sz w:val="24"/>
              </w:rPr>
              <w:t xml:space="preserve">III. CAPITAL NIVEL 2 (CN2) = (5 MENOS 6) </w:t>
            </w:r>
          </w:p>
        </w:tc>
        <w:tc>
          <w:tcPr>
            <w:tcW w:w="2268" w:type="dxa"/>
            <w:tcBorders>
              <w:top w:val="single" w:sz="4" w:space="0" w:color="000000"/>
              <w:left w:val="single" w:sz="4" w:space="0" w:color="000000"/>
              <w:bottom w:val="single" w:sz="4" w:space="0" w:color="000000"/>
              <w:right w:val="single" w:sz="4" w:space="0" w:color="000000"/>
            </w:tcBorders>
          </w:tcPr>
          <w:p w14:paraId="51FF8F1A" w14:textId="77777777" w:rsidR="00E10BA0" w:rsidRPr="008E3606" w:rsidRDefault="00E10BA0" w:rsidP="007E453E">
            <w:pPr>
              <w:widowControl w:val="0"/>
              <w:spacing w:line="240" w:lineRule="auto"/>
              <w:jc w:val="left"/>
              <w:rPr>
                <w:sz w:val="24"/>
              </w:rPr>
            </w:pPr>
            <w:r w:rsidRPr="008E3606">
              <w:rPr>
                <w:b/>
                <w:sz w:val="24"/>
              </w:rPr>
              <w:t xml:space="preserve"> </w:t>
            </w:r>
          </w:p>
        </w:tc>
      </w:tr>
      <w:tr w:rsidR="00E10BA0" w:rsidRPr="008E3606" w14:paraId="5F02E1E2"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2CCCC02A" w14:textId="77777777" w:rsidR="00E10BA0" w:rsidRPr="008E3606" w:rsidRDefault="00E10BA0" w:rsidP="007E453E">
            <w:pPr>
              <w:widowControl w:val="0"/>
              <w:spacing w:line="240" w:lineRule="auto"/>
              <w:jc w:val="left"/>
              <w:rPr>
                <w:sz w:val="24"/>
              </w:rPr>
            </w:pPr>
            <w:r w:rsidRPr="008E3606">
              <w:rPr>
                <w:b/>
                <w:sz w:val="24"/>
              </w:rPr>
              <w:t xml:space="preserve">5. Elementos del CN2 </w:t>
            </w:r>
          </w:p>
        </w:tc>
        <w:tc>
          <w:tcPr>
            <w:tcW w:w="2268" w:type="dxa"/>
            <w:tcBorders>
              <w:top w:val="single" w:sz="4" w:space="0" w:color="000000"/>
              <w:left w:val="single" w:sz="4" w:space="0" w:color="000000"/>
              <w:bottom w:val="single" w:sz="4" w:space="0" w:color="000000"/>
              <w:right w:val="single" w:sz="4" w:space="0" w:color="000000"/>
            </w:tcBorders>
          </w:tcPr>
          <w:p w14:paraId="45F4E506" w14:textId="77777777" w:rsidR="00E10BA0" w:rsidRPr="008E3606" w:rsidRDefault="00E10BA0" w:rsidP="007E453E">
            <w:pPr>
              <w:widowControl w:val="0"/>
              <w:spacing w:line="240" w:lineRule="auto"/>
              <w:ind w:right="58"/>
              <w:jc w:val="center"/>
              <w:rPr>
                <w:sz w:val="24"/>
              </w:rPr>
            </w:pPr>
            <w:r w:rsidRPr="008E3606">
              <w:rPr>
                <w:b/>
                <w:sz w:val="24"/>
              </w:rPr>
              <w:t xml:space="preserve">ARTÍCULO 36 </w:t>
            </w:r>
          </w:p>
        </w:tc>
      </w:tr>
      <w:tr w:rsidR="00E10BA0" w:rsidRPr="008E3606" w14:paraId="40EA263F" w14:textId="77777777" w:rsidTr="007E453E">
        <w:tblPrEx>
          <w:tblCellMar>
            <w:top w:w="5" w:type="dxa"/>
          </w:tblCellMar>
        </w:tblPrEx>
        <w:trPr>
          <w:trHeight w:val="274"/>
        </w:trPr>
        <w:tc>
          <w:tcPr>
            <w:tcW w:w="2546" w:type="dxa"/>
            <w:tcBorders>
              <w:top w:val="single" w:sz="4" w:space="0" w:color="000000"/>
              <w:left w:val="single" w:sz="4" w:space="0" w:color="000000"/>
              <w:bottom w:val="single" w:sz="4" w:space="0" w:color="000000"/>
              <w:right w:val="single" w:sz="4" w:space="0" w:color="000000"/>
            </w:tcBorders>
          </w:tcPr>
          <w:p w14:paraId="0CA0789E"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033FECE4"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466F8FBD"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612107EE"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71CA0E88"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6F9C7AD4" w14:textId="77777777" w:rsidR="00E10BA0" w:rsidRPr="008E3606" w:rsidRDefault="00E10BA0" w:rsidP="007E453E">
            <w:pPr>
              <w:widowControl w:val="0"/>
              <w:spacing w:line="240" w:lineRule="auto"/>
              <w:jc w:val="left"/>
              <w:rPr>
                <w:sz w:val="24"/>
              </w:rPr>
            </w:pPr>
          </w:p>
        </w:tc>
      </w:tr>
      <w:tr w:rsidR="00E10BA0" w:rsidRPr="008E3606" w14:paraId="2694F039"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4B3A2B79" w14:textId="77777777" w:rsidR="00E10BA0" w:rsidRPr="008E3606" w:rsidRDefault="00E10BA0" w:rsidP="007E453E">
            <w:pPr>
              <w:widowControl w:val="0"/>
              <w:spacing w:line="240" w:lineRule="auto"/>
              <w:ind w:right="56"/>
              <w:rPr>
                <w:sz w:val="24"/>
              </w:rPr>
            </w:pPr>
            <w:r w:rsidRPr="008E3606">
              <w:rPr>
                <w:sz w:val="24"/>
              </w:rPr>
              <w:t xml:space="preserve">Los instrumentos de deuda subordinada emitidos por la entidad que cumplan con todos y cada uno de los criterios de admisibilidad para formar parte del CN2, dispuestos en el Anexo 5 del Acuerdo Sugef 3-06. </w:t>
            </w:r>
          </w:p>
        </w:tc>
        <w:tc>
          <w:tcPr>
            <w:tcW w:w="2268" w:type="dxa"/>
            <w:tcBorders>
              <w:top w:val="single" w:sz="4" w:space="0" w:color="000000"/>
              <w:left w:val="single" w:sz="4" w:space="0" w:color="000000"/>
              <w:bottom w:val="single" w:sz="4" w:space="0" w:color="000000"/>
              <w:right w:val="single" w:sz="4" w:space="0" w:color="000000"/>
            </w:tcBorders>
            <w:vAlign w:val="center"/>
          </w:tcPr>
          <w:p w14:paraId="11A29E05"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466850FE" w14:textId="77777777" w:rsidTr="007E453E">
        <w:tblPrEx>
          <w:tblCellMar>
            <w:top w:w="5" w:type="dxa"/>
          </w:tblCellMar>
        </w:tblPrEx>
        <w:trPr>
          <w:trHeight w:val="540"/>
        </w:trPr>
        <w:tc>
          <w:tcPr>
            <w:tcW w:w="7082" w:type="dxa"/>
            <w:gridSpan w:val="2"/>
            <w:tcBorders>
              <w:top w:val="single" w:sz="4" w:space="0" w:color="000000"/>
              <w:left w:val="single" w:sz="4" w:space="0" w:color="000000"/>
              <w:bottom w:val="single" w:sz="4" w:space="0" w:color="000000"/>
              <w:right w:val="single" w:sz="4" w:space="0" w:color="000000"/>
            </w:tcBorders>
          </w:tcPr>
          <w:p w14:paraId="3AD07C58" w14:textId="77777777" w:rsidR="00E10BA0" w:rsidRPr="008E3606" w:rsidRDefault="00E10BA0" w:rsidP="007E453E">
            <w:pPr>
              <w:widowControl w:val="0"/>
              <w:spacing w:line="240" w:lineRule="auto"/>
              <w:ind w:left="2434" w:right="55"/>
              <w:jc w:val="right"/>
              <w:rPr>
                <w:sz w:val="24"/>
              </w:rPr>
            </w:pPr>
            <w:r w:rsidRPr="008E3606">
              <w:rPr>
                <w:noProof/>
                <w:sz w:val="24"/>
              </w:rPr>
              <mc:AlternateContent>
                <mc:Choice Requires="wpg">
                  <w:drawing>
                    <wp:anchor distT="0" distB="0" distL="114300" distR="114300" simplePos="0" relativeHeight="251661312" behindDoc="0" locked="0" layoutInCell="1" allowOverlap="1" wp14:anchorId="6442DE97" wp14:editId="7462250A">
                      <wp:simplePos x="0" y="0"/>
                      <wp:positionH relativeFrom="column">
                        <wp:posOffset>1614170</wp:posOffset>
                      </wp:positionH>
                      <wp:positionV relativeFrom="paragraph">
                        <wp:posOffset>-5080</wp:posOffset>
                      </wp:positionV>
                      <wp:extent cx="6350" cy="336550"/>
                      <wp:effectExtent l="0" t="0" r="7620" b="1270"/>
                      <wp:wrapSquare wrapText="bothSides"/>
                      <wp:docPr id="354074" name="Group 388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36550"/>
                                <a:chOff x="0" y="0"/>
                                <a:chExt cx="6096" cy="336804"/>
                              </a:xfrm>
                            </wpg:grpSpPr>
                            <wps:wsp>
                              <wps:cNvPr id="354075" name="Shape 425106"/>
                              <wps:cNvSpPr>
                                <a:spLocks/>
                              </wps:cNvSpPr>
                              <wps:spPr bwMode="auto">
                                <a:xfrm>
                                  <a:off x="0" y="0"/>
                                  <a:ext cx="9144" cy="336804"/>
                                </a:xfrm>
                                <a:custGeom>
                                  <a:avLst/>
                                  <a:gdLst>
                                    <a:gd name="T0" fmla="*/ 0 w 9144"/>
                                    <a:gd name="T1" fmla="*/ 0 h 336804"/>
                                    <a:gd name="T2" fmla="*/ 9144 w 9144"/>
                                    <a:gd name="T3" fmla="*/ 0 h 336804"/>
                                    <a:gd name="T4" fmla="*/ 9144 w 9144"/>
                                    <a:gd name="T5" fmla="*/ 336804 h 336804"/>
                                    <a:gd name="T6" fmla="*/ 0 w 9144"/>
                                    <a:gd name="T7" fmla="*/ 336804 h 336804"/>
                                    <a:gd name="T8" fmla="*/ 0 w 9144"/>
                                    <a:gd name="T9" fmla="*/ 0 h 336804"/>
                                    <a:gd name="T10" fmla="*/ 0 w 9144"/>
                                    <a:gd name="T11" fmla="*/ 0 h 336804"/>
                                    <a:gd name="T12" fmla="*/ 9144 w 9144"/>
                                    <a:gd name="T13" fmla="*/ 336804 h 336804"/>
                                  </a:gdLst>
                                  <a:ahLst/>
                                  <a:cxnLst>
                                    <a:cxn ang="0">
                                      <a:pos x="T0" y="T1"/>
                                    </a:cxn>
                                    <a:cxn ang="0">
                                      <a:pos x="T2" y="T3"/>
                                    </a:cxn>
                                    <a:cxn ang="0">
                                      <a:pos x="T4" y="T5"/>
                                    </a:cxn>
                                    <a:cxn ang="0">
                                      <a:pos x="T6" y="T7"/>
                                    </a:cxn>
                                    <a:cxn ang="0">
                                      <a:pos x="T8" y="T9"/>
                                    </a:cxn>
                                  </a:cxnLst>
                                  <a:rect l="T10" t="T11" r="T12" b="T13"/>
                                  <a:pathLst>
                                    <a:path w="9144" h="336804">
                                      <a:moveTo>
                                        <a:pt x="0" y="0"/>
                                      </a:moveTo>
                                      <a:lnTo>
                                        <a:pt x="9144" y="0"/>
                                      </a:lnTo>
                                      <a:lnTo>
                                        <a:pt x="9144" y="336804"/>
                                      </a:lnTo>
                                      <a:lnTo>
                                        <a:pt x="0" y="336804"/>
                                      </a:lnTo>
                                      <a:lnTo>
                                        <a:pt x="0" y="0"/>
                                      </a:lnTo>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88285" style="position:absolute;margin-left:127.1pt;margin-top:-.4pt;width:.5pt;height:26.5pt;z-index:251661312" coordsize="6096,33680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a1RAMAAFAJAAAOAAAAZHJzL2Uyb0RvYy54bWykVstu2zAQvBfoPxA6Fmgk+ZVEiBMUSRMU&#10;SNsAcT+ApqgHKokqSVtOv76zlCzLSd0YqQ8yKQ6XuzPLXV1cbcqCraU2uarmXngSeExWQsV5lc69&#10;H4vbj2ceM5ZXMS9UJefekzTe1eX7dxdNHcmRylQRS81gpDJRU8+9zNo68n0jMllyc6JqWWExUbrk&#10;FlOd+rHmDayXhT8KgpnfKB3XWglpDN7etIvepbOfJFLY70lipGXF3INv1j21ey7p6V9e8CjVvM5y&#10;0bnB3+BFyfMKh/ambrjlbKXzF6bKXGhlVGJPhCp9lSS5kC4GRBMGz6K502pVu1jSqEnrniZQ+4yn&#10;N5sV39Z3un6sH3TrPYb3Svw04MVv6jQartM8bcFs2XxVMfTkK6tc4JtEl2QCIbGN4/ep51duLBN4&#10;ORtPoYHAwng8m2Ls2BcZJHqxR2Sft7uC81m/6yyY0C6fR+2BzsnOKRIdWWR2RJn/I+ox47V0/Bsi&#10;4kGzPIbv00lwOvVYxUsQ4DBsMpqGwYw8IxeA3TJqhnQOVghmwPrbiDwPJ5ODlPBIrIy9k8rpwdf3&#10;xjqe0xgjp3Lc+b6AGklZIOE/+CxgDXN2O/AWE+5hMgbpOhGQ7b2l0QBFVg4YGw9gATtkDLH1bv3D&#10;GDToYa1XBy0igXrooUBPB5hXzKGovWrufA9zKNTwKAmO0yA8UoRwqMJfIsXl6nOFZ9v0EZuqyx+M&#10;GKf6HribXytDt5eSCTd7EXb3EyhKtgNguErg8VFg5AOBp0eBITWBT48CQ0gCnw/BCH8Xq0YHod6x&#10;IKHQPRYhtED/WBDZ6CALkOkuTM0tUUUh05A1c6+9pZmrdnRlaK1Ua7lQDmWf1Tycu1stqiGqtQRP&#10;XckEcLu8/a+dsR62u6MHsa1aRwP3D4ZVCtLV4T5wvBwWHqOKPL7Ni4KCNTpdXhearTn1YffrKN+D&#10;FS5lKkXbwKpz3jWitli21XWp4icUTq3aZo6PDwwypX97rEEjn3vm14pr6bHiS4UGQKSQdm4ymZ6O&#10;MNHDleVwhVcCpuae9ZDiNLy2mGHLqtZ5muGk0OlYqU/ofElOpRU9yEStV90EPciNXNvGaO+7YDh3&#10;qN2H0OUfAAAA//8DAFBLAwQUAAYACAAAACEAYdG9hd0AAAAIAQAADwAAAGRycy9kb3ducmV2Lnht&#10;bEyPQUvDQBSE74L/YXmCN7vJakRiNqUU9VQEW0G8vWZfk9Ds25DdJum/d3uyx2GGmW+K5Ww7MdLg&#10;W8ca0kUCgrhypuVaw/fu/eEFhA/IBjvHpOFMHpbl7U2BuXETf9G4DbWIJexz1NCE0OdS+qohi37h&#10;euLoHdxgMUQ51NIMOMVy20mVJM/SYstxocGe1g1Vx+3JaviYcFo9pm/j5nhYn3932efPJiWt7+/m&#10;1SuIQHP4D8MFP6JDGZn27sTGi06Dyp5UjGq4PIi+yrKo9xoypUCWhbw+UP4BAAD//wMAUEsBAi0A&#10;FAAGAAgAAAAhALaDOJL+AAAA4QEAABMAAAAAAAAAAAAAAAAAAAAAAFtDb250ZW50X1R5cGVzXS54&#10;bWxQSwECLQAUAAYACAAAACEAOP0h/9YAAACUAQAACwAAAAAAAAAAAAAAAAAvAQAAX3JlbHMvLnJl&#10;bHNQSwECLQAUAAYACAAAACEAmMTWtUQDAABQCQAADgAAAAAAAAAAAAAAAAAuAgAAZHJzL2Uyb0Rv&#10;Yy54bWxQSwECLQAUAAYACAAAACEAYdG9hd0AAAAIAQAADwAAAAAAAAAAAAAAAACeBQAAZHJzL2Rv&#10;d25yZXYueG1sUEsFBgAAAAAEAAQA8wAAAKgGAAAAAA==&#10;" w14:anchorId="2B4F4F4C">
                      <v:shape id="Shape 425106" style="position:absolute;width:9144;height:336804;visibility:visible;mso-wrap-style:square;v-text-anchor:top" coordsize="9144,336804" o:spid="_x0000_s1027" fillcolor="black" stroked="f" strokeweight="0" path="m,l9144,r,336804l,3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e2xgAAAN8AAAAPAAAAZHJzL2Rvd25yZXYueG1sRI9Ba8JA&#10;FITvBf/D8gRvza61tiG6BikKvVaF9vjIPpNo9m3Ibkzsr+8WCj0OM/MNs85H24gbdb52rGGeKBDE&#10;hTM1lxpOx/1jCsIHZIONY9JwJw/5ZvKwxsy4gT/odgiliBD2GWqoQmgzKX1RkUWfuJY4emfXWQxR&#10;dqU0HQ4Rbhv5pNSLtFhzXKiwpbeKiuuhtxoGu0hLe+6H3Wfz5ZXzl0uqvrWeTcftCkSgMfyH/9rv&#10;RsNi+axel/D7J34BufkBAAD//wMAUEsBAi0AFAAGAAgAAAAhANvh9svuAAAAhQEAABMAAAAAAAAA&#10;AAAAAAAAAAAAAFtDb250ZW50X1R5cGVzXS54bWxQSwECLQAUAAYACAAAACEAWvQsW78AAAAVAQAA&#10;CwAAAAAAAAAAAAAAAAAfAQAAX3JlbHMvLnJlbHNQSwECLQAUAAYACAAAACEAix0HtsYAAADfAAAA&#10;DwAAAAAAAAAAAAAAAAAHAgAAZHJzL2Rvd25yZXYueG1sUEsFBgAAAAADAAMAtwAAAPoCAAAAAA==&#10;">
                        <v:stroke endcap="round"/>
                        <v:path textboxrect="0,0,9144,336804" arrowok="t" o:connecttype="custom" o:connectlocs="0,0;9144,0;9144,336804;0,336804;0,0" o:connectangles="0,0,0,0,0"/>
                      </v:shape>
                      <w10:wrap type="square"/>
                    </v:group>
                  </w:pict>
                </mc:Fallback>
              </mc:AlternateContent>
            </w:r>
            <w:r w:rsidRPr="008E3606">
              <w:rPr>
                <w:sz w:val="24"/>
              </w:rPr>
              <w:t xml:space="preserve">Instrumento subordinado que cumpla criterios </w:t>
            </w:r>
          </w:p>
          <w:p w14:paraId="6B3F1A4D" w14:textId="77777777" w:rsidR="00E10BA0" w:rsidRPr="008E3606" w:rsidRDefault="00E10BA0" w:rsidP="007E453E">
            <w:pPr>
              <w:widowControl w:val="0"/>
              <w:spacing w:line="240" w:lineRule="auto"/>
              <w:ind w:left="2547" w:right="1867" w:hanging="2547"/>
              <w:jc w:val="left"/>
              <w:rPr>
                <w:sz w:val="24"/>
              </w:rPr>
            </w:pPr>
            <w:r w:rsidRPr="008E3606">
              <w:rPr>
                <w:sz w:val="24"/>
              </w:rPr>
              <w:t xml:space="preserve">DA (Nuevo P) de admisibilidad para CN2 </w:t>
            </w:r>
          </w:p>
        </w:tc>
        <w:tc>
          <w:tcPr>
            <w:tcW w:w="2268" w:type="dxa"/>
            <w:tcBorders>
              <w:top w:val="single" w:sz="4" w:space="0" w:color="000000"/>
              <w:left w:val="single" w:sz="4" w:space="0" w:color="000000"/>
              <w:bottom w:val="single" w:sz="4" w:space="0" w:color="000000"/>
              <w:right w:val="single" w:sz="4" w:space="0" w:color="000000"/>
            </w:tcBorders>
          </w:tcPr>
          <w:p w14:paraId="6EE0F01C"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494FE253"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2AF7ECA1"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043D937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356AC2B2"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18AA61AC" w14:textId="77777777" w:rsidR="00E10BA0" w:rsidRPr="008E3606" w:rsidRDefault="00E10BA0" w:rsidP="007E453E">
            <w:pPr>
              <w:widowControl w:val="0"/>
              <w:spacing w:line="240" w:lineRule="auto"/>
              <w:ind w:right="55"/>
              <w:rPr>
                <w:sz w:val="24"/>
              </w:rPr>
            </w:pPr>
            <w:r w:rsidRPr="008E3606">
              <w:rPr>
                <w:sz w:val="24"/>
              </w:rPr>
              <w:t xml:space="preserve">Las primas resultantes de la emisión de instrumentos de deuda subordinada incluidos en el CN2, netas de los correspondientes descuentos y de los costos de emisión y colocación.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71BCF4"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7927E742"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5BBBE946" w14:textId="77777777" w:rsidR="00E10BA0" w:rsidRPr="008E3606" w:rsidRDefault="00E10BA0" w:rsidP="007E453E">
            <w:pPr>
              <w:widowControl w:val="0"/>
              <w:spacing w:line="240" w:lineRule="auto"/>
              <w:jc w:val="left"/>
              <w:rPr>
                <w:sz w:val="24"/>
              </w:rPr>
            </w:pPr>
            <w:r w:rsidRPr="008E3606">
              <w:rPr>
                <w:sz w:val="24"/>
              </w:rPr>
              <w:t xml:space="preserve">DA (Nuevo S) </w:t>
            </w:r>
          </w:p>
        </w:tc>
        <w:tc>
          <w:tcPr>
            <w:tcW w:w="4536" w:type="dxa"/>
            <w:tcBorders>
              <w:top w:val="single" w:sz="4" w:space="0" w:color="000000"/>
              <w:left w:val="single" w:sz="4" w:space="0" w:color="000000"/>
              <w:bottom w:val="single" w:sz="4" w:space="0" w:color="000000"/>
              <w:right w:val="single" w:sz="4" w:space="0" w:color="000000"/>
            </w:tcBorders>
          </w:tcPr>
          <w:p w14:paraId="52F10EA0" w14:textId="77777777" w:rsidR="00E10BA0" w:rsidRPr="008E3606" w:rsidRDefault="00E10BA0" w:rsidP="007E453E">
            <w:pPr>
              <w:widowControl w:val="0"/>
              <w:spacing w:line="240" w:lineRule="auto"/>
              <w:rPr>
                <w:sz w:val="24"/>
              </w:rPr>
            </w:pPr>
            <w:r w:rsidRPr="008E3606">
              <w:rPr>
                <w:sz w:val="24"/>
              </w:rPr>
              <w:t xml:space="preserve">Primas instrumento subordinado que cumpla criterios de admisibilidad para CN2 </w:t>
            </w:r>
          </w:p>
        </w:tc>
        <w:tc>
          <w:tcPr>
            <w:tcW w:w="2268" w:type="dxa"/>
            <w:tcBorders>
              <w:top w:val="single" w:sz="4" w:space="0" w:color="000000"/>
              <w:left w:val="single" w:sz="4" w:space="0" w:color="000000"/>
              <w:bottom w:val="single" w:sz="4" w:space="0" w:color="000000"/>
              <w:right w:val="single" w:sz="4" w:space="0" w:color="000000"/>
            </w:tcBorders>
          </w:tcPr>
          <w:p w14:paraId="04CAF50F"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57F14D5"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0ADFD2A1"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7A02382"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2F967A8" w14:textId="77777777" w:rsidTr="007E453E">
        <w:tblPrEx>
          <w:tblCellMar>
            <w:top w:w="5" w:type="dxa"/>
          </w:tblCellMar>
        </w:tblPrEx>
        <w:trPr>
          <w:trHeight w:val="1332"/>
        </w:trPr>
        <w:tc>
          <w:tcPr>
            <w:tcW w:w="7082" w:type="dxa"/>
            <w:gridSpan w:val="2"/>
            <w:tcBorders>
              <w:top w:val="single" w:sz="4" w:space="0" w:color="000000"/>
              <w:left w:val="single" w:sz="4" w:space="0" w:color="000000"/>
              <w:bottom w:val="single" w:sz="4" w:space="0" w:color="000000"/>
              <w:right w:val="single" w:sz="4" w:space="0" w:color="000000"/>
            </w:tcBorders>
          </w:tcPr>
          <w:p w14:paraId="574F0AB7" w14:textId="77777777" w:rsidR="00E10BA0" w:rsidRPr="008E3606" w:rsidRDefault="00E10BA0" w:rsidP="007E453E">
            <w:pPr>
              <w:widowControl w:val="0"/>
              <w:spacing w:line="240" w:lineRule="auto"/>
              <w:ind w:right="55"/>
              <w:rPr>
                <w:sz w:val="24"/>
              </w:rPr>
            </w:pPr>
            <w:r w:rsidRPr="008E3606">
              <w:rPr>
                <w:sz w:val="24"/>
              </w:rPr>
              <w:t xml:space="preserve">Las donaciones con carácter de permanencia definitiva en el patrimonio de la entidad, debidamente formalizadas en los estatutos de la entidad. Para su admisión en el CN2, las donaciones deben encontrarse dentro del plazo máximo de 12 meses contados a partir de la fecha de recibo por parte de la entidad de los correspondientes activos.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E5AF86F"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71BF71CD"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450A6DC0" w14:textId="77777777" w:rsidR="00E10BA0" w:rsidRPr="008E3606" w:rsidRDefault="00E10BA0" w:rsidP="007E453E">
            <w:pPr>
              <w:widowControl w:val="0"/>
              <w:spacing w:line="240" w:lineRule="auto"/>
              <w:jc w:val="left"/>
              <w:rPr>
                <w:sz w:val="24"/>
              </w:rPr>
            </w:pPr>
            <w:r w:rsidRPr="008E3606">
              <w:rPr>
                <w:sz w:val="24"/>
              </w:rPr>
              <w:t xml:space="preserve">CC 32202M02 </w:t>
            </w:r>
          </w:p>
        </w:tc>
        <w:tc>
          <w:tcPr>
            <w:tcW w:w="4536" w:type="dxa"/>
            <w:tcBorders>
              <w:top w:val="single" w:sz="4" w:space="0" w:color="000000"/>
              <w:left w:val="single" w:sz="4" w:space="0" w:color="000000"/>
              <w:bottom w:val="single" w:sz="4" w:space="0" w:color="000000"/>
              <w:right w:val="single" w:sz="4" w:space="0" w:color="000000"/>
            </w:tcBorders>
          </w:tcPr>
          <w:p w14:paraId="3C2130CC" w14:textId="77777777" w:rsidR="00E10BA0" w:rsidRPr="008E3606" w:rsidRDefault="00E10BA0" w:rsidP="007E453E">
            <w:pPr>
              <w:widowControl w:val="0"/>
              <w:spacing w:line="240" w:lineRule="auto"/>
              <w:jc w:val="left"/>
              <w:rPr>
                <w:sz w:val="24"/>
              </w:rPr>
            </w:pPr>
            <w:r w:rsidRPr="008E3606">
              <w:rPr>
                <w:sz w:val="24"/>
              </w:rPr>
              <w:t xml:space="preserve">Donaciones por capitalizar pendientes de autorizar </w:t>
            </w:r>
          </w:p>
        </w:tc>
        <w:tc>
          <w:tcPr>
            <w:tcW w:w="2268" w:type="dxa"/>
            <w:tcBorders>
              <w:top w:val="single" w:sz="4" w:space="0" w:color="000000"/>
              <w:left w:val="single" w:sz="4" w:space="0" w:color="000000"/>
              <w:bottom w:val="single" w:sz="4" w:space="0" w:color="000000"/>
              <w:right w:val="single" w:sz="4" w:space="0" w:color="000000"/>
            </w:tcBorders>
          </w:tcPr>
          <w:p w14:paraId="6059D7FA"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1C30E87"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nil"/>
            </w:tcBorders>
          </w:tcPr>
          <w:p w14:paraId="587DB976"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A40C49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670686A" w14:textId="77777777" w:rsidTr="007E453E">
        <w:tblPrEx>
          <w:tblCellMar>
            <w:top w:w="5" w:type="dxa"/>
          </w:tblCellMar>
        </w:tblPrEx>
        <w:trPr>
          <w:trHeight w:val="538"/>
        </w:trPr>
        <w:tc>
          <w:tcPr>
            <w:tcW w:w="7082" w:type="dxa"/>
            <w:gridSpan w:val="2"/>
            <w:tcBorders>
              <w:top w:val="single" w:sz="4" w:space="0" w:color="000000"/>
              <w:left w:val="single" w:sz="4" w:space="0" w:color="000000"/>
              <w:bottom w:val="single" w:sz="4" w:space="0" w:color="000000"/>
              <w:right w:val="single" w:sz="4" w:space="0" w:color="000000"/>
            </w:tcBorders>
          </w:tcPr>
          <w:p w14:paraId="43112EEE" w14:textId="77777777" w:rsidR="00E10BA0" w:rsidRPr="008E3606" w:rsidRDefault="00E10BA0" w:rsidP="007E453E">
            <w:pPr>
              <w:widowControl w:val="0"/>
              <w:spacing w:line="240" w:lineRule="auto"/>
              <w:rPr>
                <w:sz w:val="24"/>
              </w:rPr>
            </w:pPr>
            <w:r w:rsidRPr="008E3606">
              <w:rPr>
                <w:sz w:val="24"/>
              </w:rPr>
              <w:t xml:space="preserve">Los superávits por revaluación de bienes inmuebles; hasta por una suma no mayor al 75% del saldo de la cuenta patrimonial correspondiente.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22ACB"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012260A9"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31628CF7" w14:textId="77777777" w:rsidR="00E10BA0" w:rsidRPr="008E3606" w:rsidRDefault="00E10BA0" w:rsidP="007E453E">
            <w:pPr>
              <w:widowControl w:val="0"/>
              <w:spacing w:line="240" w:lineRule="auto"/>
              <w:jc w:val="left"/>
              <w:rPr>
                <w:sz w:val="24"/>
              </w:rPr>
            </w:pPr>
            <w:r w:rsidRPr="008E3606">
              <w:rPr>
                <w:sz w:val="24"/>
              </w:rPr>
              <w:t xml:space="preserve">CC 33101M01 </w:t>
            </w:r>
          </w:p>
        </w:tc>
        <w:tc>
          <w:tcPr>
            <w:tcW w:w="4536" w:type="dxa"/>
            <w:tcBorders>
              <w:top w:val="single" w:sz="4" w:space="0" w:color="000000"/>
              <w:left w:val="single" w:sz="4" w:space="0" w:color="000000"/>
              <w:bottom w:val="single" w:sz="4" w:space="0" w:color="000000"/>
              <w:right w:val="single" w:sz="4" w:space="0" w:color="000000"/>
            </w:tcBorders>
          </w:tcPr>
          <w:p w14:paraId="2CC6AD22" w14:textId="77777777" w:rsidR="00E10BA0" w:rsidRPr="008E3606" w:rsidRDefault="00E10BA0" w:rsidP="007E453E">
            <w:pPr>
              <w:widowControl w:val="0"/>
              <w:spacing w:line="240" w:lineRule="auto"/>
              <w:jc w:val="left"/>
              <w:rPr>
                <w:sz w:val="24"/>
              </w:rPr>
            </w:pPr>
            <w:r w:rsidRPr="008E3606">
              <w:rPr>
                <w:sz w:val="24"/>
              </w:rPr>
              <w:t xml:space="preserve">Superávit por revaluación de terrenos </w:t>
            </w:r>
          </w:p>
        </w:tc>
        <w:tc>
          <w:tcPr>
            <w:tcW w:w="2268" w:type="dxa"/>
            <w:tcBorders>
              <w:top w:val="single" w:sz="4" w:space="0" w:color="000000"/>
              <w:left w:val="single" w:sz="4" w:space="0" w:color="000000"/>
              <w:bottom w:val="single" w:sz="4" w:space="0" w:color="000000"/>
              <w:right w:val="single" w:sz="4" w:space="0" w:color="000000"/>
            </w:tcBorders>
          </w:tcPr>
          <w:p w14:paraId="5CECBD2D"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5206A03"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1EE2E9CB" w14:textId="77777777" w:rsidR="00E10BA0" w:rsidRPr="008E3606" w:rsidRDefault="00E10BA0" w:rsidP="007E453E">
            <w:pPr>
              <w:widowControl w:val="0"/>
              <w:spacing w:line="240" w:lineRule="auto"/>
              <w:jc w:val="left"/>
              <w:rPr>
                <w:sz w:val="24"/>
              </w:rPr>
            </w:pPr>
            <w:r w:rsidRPr="008E3606">
              <w:rPr>
                <w:sz w:val="24"/>
              </w:rPr>
              <w:t xml:space="preserve">CC 33101M02 </w:t>
            </w:r>
          </w:p>
        </w:tc>
        <w:tc>
          <w:tcPr>
            <w:tcW w:w="4536" w:type="dxa"/>
            <w:tcBorders>
              <w:top w:val="single" w:sz="4" w:space="0" w:color="000000"/>
              <w:left w:val="single" w:sz="4" w:space="0" w:color="000000"/>
              <w:bottom w:val="single" w:sz="4" w:space="0" w:color="000000"/>
              <w:right w:val="single" w:sz="4" w:space="0" w:color="000000"/>
            </w:tcBorders>
          </w:tcPr>
          <w:p w14:paraId="022FE5A5" w14:textId="77777777" w:rsidR="00E10BA0" w:rsidRPr="008E3606" w:rsidRDefault="00E10BA0" w:rsidP="007E453E">
            <w:pPr>
              <w:widowControl w:val="0"/>
              <w:spacing w:line="240" w:lineRule="auto"/>
              <w:jc w:val="left"/>
              <w:rPr>
                <w:sz w:val="24"/>
              </w:rPr>
            </w:pPr>
            <w:r w:rsidRPr="008E3606">
              <w:rPr>
                <w:sz w:val="24"/>
              </w:rPr>
              <w:t xml:space="preserve">Superávit por revaluación de edificios e instalaciones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89A23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40F18EE" w14:textId="77777777" w:rsidTr="007E453E">
        <w:tblPrEx>
          <w:tblCellMar>
            <w:top w:w="5" w:type="dxa"/>
          </w:tblCellMar>
        </w:tblPrEx>
        <w:trPr>
          <w:trHeight w:val="540"/>
        </w:trPr>
        <w:tc>
          <w:tcPr>
            <w:tcW w:w="2546" w:type="dxa"/>
            <w:tcBorders>
              <w:top w:val="single" w:sz="4" w:space="0" w:color="000000"/>
              <w:left w:val="single" w:sz="4" w:space="0" w:color="000000"/>
              <w:bottom w:val="single" w:sz="4" w:space="0" w:color="000000"/>
              <w:right w:val="single" w:sz="4" w:space="0" w:color="000000"/>
            </w:tcBorders>
            <w:vAlign w:val="center"/>
          </w:tcPr>
          <w:p w14:paraId="778FE85C" w14:textId="77777777" w:rsidR="00E10BA0" w:rsidRPr="008E3606" w:rsidRDefault="00E10BA0" w:rsidP="007E453E">
            <w:pPr>
              <w:widowControl w:val="0"/>
              <w:spacing w:line="240" w:lineRule="auto"/>
              <w:jc w:val="left"/>
              <w:rPr>
                <w:sz w:val="24"/>
              </w:rPr>
            </w:pPr>
            <w:r w:rsidRPr="008E3606">
              <w:rPr>
                <w:sz w:val="24"/>
              </w:rPr>
              <w:t xml:space="preserve">CC 33101M09 </w:t>
            </w:r>
          </w:p>
        </w:tc>
        <w:tc>
          <w:tcPr>
            <w:tcW w:w="4536" w:type="dxa"/>
            <w:tcBorders>
              <w:top w:val="single" w:sz="4" w:space="0" w:color="000000"/>
              <w:left w:val="single" w:sz="4" w:space="0" w:color="000000"/>
              <w:bottom w:val="single" w:sz="4" w:space="0" w:color="000000"/>
              <w:right w:val="single" w:sz="4" w:space="0" w:color="000000"/>
            </w:tcBorders>
          </w:tcPr>
          <w:p w14:paraId="66D20855" w14:textId="77777777" w:rsidR="00E10BA0" w:rsidRPr="008E3606" w:rsidRDefault="00E10BA0" w:rsidP="007E453E">
            <w:pPr>
              <w:widowControl w:val="0"/>
              <w:spacing w:line="240" w:lineRule="auto"/>
              <w:rPr>
                <w:sz w:val="24"/>
              </w:rPr>
            </w:pPr>
            <w:r w:rsidRPr="008E3606">
              <w:rPr>
                <w:sz w:val="24"/>
              </w:rPr>
              <w:t xml:space="preserve"> (Impuesto diferido sobre superávit de propiedades, mobiliario y equipo)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9688E9"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62A03519"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523C2479"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685010C5"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55B7380A" w14:textId="77777777" w:rsidTr="007E453E">
        <w:tblPrEx>
          <w:tblCellMar>
            <w:top w:w="5" w:type="dxa"/>
          </w:tblCellMar>
        </w:tblPrEx>
        <w:trPr>
          <w:trHeight w:val="276"/>
        </w:trPr>
        <w:tc>
          <w:tcPr>
            <w:tcW w:w="7082" w:type="dxa"/>
            <w:gridSpan w:val="2"/>
            <w:tcBorders>
              <w:top w:val="single" w:sz="4" w:space="0" w:color="000000"/>
              <w:left w:val="single" w:sz="4" w:space="0" w:color="000000"/>
              <w:bottom w:val="single" w:sz="4" w:space="0" w:color="000000"/>
              <w:right w:val="single" w:sz="4" w:space="0" w:color="000000"/>
            </w:tcBorders>
          </w:tcPr>
          <w:p w14:paraId="3721F0A0" w14:textId="77777777" w:rsidR="00E10BA0" w:rsidRPr="008E3606" w:rsidRDefault="00E10BA0" w:rsidP="007E453E">
            <w:pPr>
              <w:widowControl w:val="0"/>
              <w:spacing w:line="240" w:lineRule="auto"/>
              <w:jc w:val="left"/>
              <w:rPr>
                <w:sz w:val="24"/>
              </w:rPr>
            </w:pPr>
            <w:r w:rsidRPr="008E3606">
              <w:rPr>
                <w:sz w:val="24"/>
              </w:rPr>
              <w:t xml:space="preserve">Los superávits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tcPr>
          <w:p w14:paraId="2C18FD39" w14:textId="77777777" w:rsidR="00E10BA0" w:rsidRPr="008E3606" w:rsidRDefault="00E10BA0" w:rsidP="007E453E">
            <w:pPr>
              <w:widowControl w:val="0"/>
              <w:spacing w:line="240" w:lineRule="auto"/>
              <w:ind w:right="55"/>
              <w:jc w:val="center"/>
              <w:rPr>
                <w:sz w:val="24"/>
              </w:rPr>
            </w:pPr>
            <w:r w:rsidRPr="008E3606">
              <w:rPr>
                <w:sz w:val="24"/>
              </w:rPr>
              <w:t xml:space="preserve">Literal e) </w:t>
            </w:r>
          </w:p>
        </w:tc>
      </w:tr>
      <w:tr w:rsidR="00E10BA0" w:rsidRPr="008E3606" w14:paraId="04623EEA" w14:textId="77777777" w:rsidTr="007E453E">
        <w:tblPrEx>
          <w:tblCellMar>
            <w:top w:w="5" w:type="dxa"/>
          </w:tblCellMar>
        </w:tblPrEx>
        <w:trPr>
          <w:trHeight w:val="538"/>
        </w:trPr>
        <w:tc>
          <w:tcPr>
            <w:tcW w:w="2546" w:type="dxa"/>
            <w:tcBorders>
              <w:top w:val="single" w:sz="4" w:space="0" w:color="000000"/>
              <w:left w:val="single" w:sz="4" w:space="0" w:color="000000"/>
              <w:bottom w:val="single" w:sz="4" w:space="0" w:color="000000"/>
              <w:right w:val="single" w:sz="4" w:space="0" w:color="000000"/>
            </w:tcBorders>
            <w:vAlign w:val="center"/>
          </w:tcPr>
          <w:p w14:paraId="70EDCAA5" w14:textId="77777777" w:rsidR="00E10BA0" w:rsidRPr="008E3606" w:rsidRDefault="00E10BA0" w:rsidP="007E453E">
            <w:pPr>
              <w:widowControl w:val="0"/>
              <w:spacing w:line="240" w:lineRule="auto"/>
              <w:jc w:val="left"/>
              <w:rPr>
                <w:sz w:val="24"/>
              </w:rPr>
            </w:pPr>
            <w:r w:rsidRPr="008E3606">
              <w:rPr>
                <w:sz w:val="24"/>
              </w:rPr>
              <w:t xml:space="preserve">CC 33200000 </w:t>
            </w:r>
          </w:p>
        </w:tc>
        <w:tc>
          <w:tcPr>
            <w:tcW w:w="4536" w:type="dxa"/>
            <w:tcBorders>
              <w:top w:val="single" w:sz="4" w:space="0" w:color="000000"/>
              <w:left w:val="single" w:sz="4" w:space="0" w:color="000000"/>
              <w:bottom w:val="single" w:sz="4" w:space="0" w:color="000000"/>
              <w:right w:val="single" w:sz="4" w:space="0" w:color="000000"/>
            </w:tcBorders>
          </w:tcPr>
          <w:p w14:paraId="6D84152C" w14:textId="77777777" w:rsidR="00E10BA0" w:rsidRPr="008E3606" w:rsidRDefault="00E10BA0" w:rsidP="007E453E">
            <w:pPr>
              <w:widowControl w:val="0"/>
              <w:spacing w:line="240" w:lineRule="auto"/>
              <w:rPr>
                <w:sz w:val="24"/>
              </w:rPr>
            </w:pPr>
            <w:r w:rsidRPr="008E3606">
              <w:rPr>
                <w:sz w:val="24"/>
              </w:rPr>
              <w:t xml:space="preserve">Ajustes por valuación de participaciones en otras empresas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2D3549"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7D2949CA"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48144131"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4C15D8C1" w14:textId="77777777" w:rsidR="00E10BA0" w:rsidRPr="008E3606" w:rsidRDefault="00E10BA0" w:rsidP="007E453E">
            <w:pPr>
              <w:widowControl w:val="0"/>
              <w:spacing w:line="240" w:lineRule="auto"/>
              <w:ind w:right="2"/>
              <w:jc w:val="center"/>
              <w:rPr>
                <w:sz w:val="24"/>
              </w:rPr>
            </w:pPr>
            <w:r w:rsidRPr="008E3606">
              <w:rPr>
                <w:sz w:val="24"/>
              </w:rPr>
              <w:t xml:space="preserve"> </w:t>
            </w:r>
          </w:p>
        </w:tc>
      </w:tr>
      <w:tr w:rsidR="00E10BA0" w:rsidRPr="008E3606" w14:paraId="09979168" w14:textId="77777777" w:rsidTr="007E453E">
        <w:tblPrEx>
          <w:tblCellMar>
            <w:top w:w="5" w:type="dxa"/>
          </w:tblCellMar>
        </w:tblPrEx>
        <w:trPr>
          <w:trHeight w:val="804"/>
        </w:trPr>
        <w:tc>
          <w:tcPr>
            <w:tcW w:w="7082" w:type="dxa"/>
            <w:gridSpan w:val="2"/>
            <w:tcBorders>
              <w:top w:val="single" w:sz="4" w:space="0" w:color="000000"/>
              <w:left w:val="single" w:sz="4" w:space="0" w:color="000000"/>
              <w:bottom w:val="single" w:sz="4" w:space="0" w:color="000000"/>
              <w:right w:val="single" w:sz="4" w:space="0" w:color="000000"/>
            </w:tcBorders>
          </w:tcPr>
          <w:p w14:paraId="3400B6E1" w14:textId="77777777" w:rsidR="00E10BA0" w:rsidRPr="008E3606" w:rsidRDefault="00E10BA0" w:rsidP="007E453E">
            <w:pPr>
              <w:widowControl w:val="0"/>
              <w:spacing w:line="240" w:lineRule="auto"/>
              <w:ind w:right="55"/>
              <w:rPr>
                <w:sz w:val="24"/>
              </w:rPr>
            </w:pPr>
            <w:r w:rsidRPr="008E3606">
              <w:rPr>
                <w:sz w:val="24"/>
              </w:rPr>
              <w:t xml:space="preserve">El literal f) del artículo 36 corresponde a la deducción cuyo detalle se presenta en el Artículo 37 del Acuerdo Sugef 3-06, el cual se detalla seguidamente.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A74B02E" w14:textId="77777777" w:rsidR="00E10BA0" w:rsidRPr="008E3606" w:rsidRDefault="00E10BA0" w:rsidP="007E453E">
            <w:pPr>
              <w:widowControl w:val="0"/>
              <w:spacing w:line="240" w:lineRule="auto"/>
              <w:ind w:right="55"/>
              <w:jc w:val="center"/>
              <w:rPr>
                <w:sz w:val="24"/>
              </w:rPr>
            </w:pPr>
            <w:r w:rsidRPr="008E3606">
              <w:rPr>
                <w:sz w:val="24"/>
              </w:rPr>
              <w:t xml:space="preserve">Literal f) </w:t>
            </w:r>
          </w:p>
        </w:tc>
      </w:tr>
      <w:tr w:rsidR="00E10BA0" w:rsidRPr="008E3606" w14:paraId="3A1D4846"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16B1FB35" w14:textId="77777777" w:rsidR="00E10BA0" w:rsidRPr="008E3606" w:rsidRDefault="00E10BA0" w:rsidP="007E453E">
            <w:pPr>
              <w:widowControl w:val="0"/>
              <w:spacing w:line="240" w:lineRule="auto"/>
              <w:jc w:val="left"/>
              <w:rPr>
                <w:sz w:val="24"/>
              </w:rPr>
            </w:pPr>
            <w:r w:rsidRPr="008E3606">
              <w:rPr>
                <w:sz w:val="24"/>
              </w:rPr>
              <w:t xml:space="preserve">DA (Nuevo U) </w:t>
            </w:r>
          </w:p>
        </w:tc>
        <w:tc>
          <w:tcPr>
            <w:tcW w:w="4536" w:type="dxa"/>
            <w:tcBorders>
              <w:top w:val="single" w:sz="4" w:space="0" w:color="000000"/>
              <w:left w:val="single" w:sz="4" w:space="0" w:color="000000"/>
              <w:bottom w:val="single" w:sz="4" w:space="0" w:color="000000"/>
              <w:right w:val="single" w:sz="4" w:space="0" w:color="000000"/>
            </w:tcBorders>
          </w:tcPr>
          <w:p w14:paraId="44FECB1D" w14:textId="77777777" w:rsidR="00E10BA0" w:rsidRPr="008E3606" w:rsidRDefault="00E10BA0" w:rsidP="007E453E">
            <w:pPr>
              <w:widowControl w:val="0"/>
              <w:spacing w:line="240" w:lineRule="auto"/>
              <w:jc w:val="left"/>
              <w:rPr>
                <w:sz w:val="24"/>
              </w:rPr>
            </w:pPr>
            <w:r w:rsidRPr="008E3606">
              <w:rPr>
                <w:sz w:val="24"/>
              </w:rPr>
              <w:t xml:space="preserve">Deducciones del CN2 </w:t>
            </w:r>
          </w:p>
        </w:tc>
        <w:tc>
          <w:tcPr>
            <w:tcW w:w="2268" w:type="dxa"/>
            <w:tcBorders>
              <w:top w:val="single" w:sz="4" w:space="0" w:color="000000"/>
              <w:left w:val="single" w:sz="4" w:space="0" w:color="000000"/>
              <w:bottom w:val="single" w:sz="4" w:space="0" w:color="000000"/>
              <w:right w:val="single" w:sz="4" w:space="0" w:color="000000"/>
            </w:tcBorders>
          </w:tcPr>
          <w:p w14:paraId="7DC2ED7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B7A12AB"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106A6F16" w14:textId="77777777" w:rsidR="00E10BA0" w:rsidRPr="008E3606" w:rsidRDefault="00E10BA0" w:rsidP="007E453E">
            <w:pPr>
              <w:widowControl w:val="0"/>
              <w:spacing w:line="240" w:lineRule="auto"/>
              <w:jc w:val="left"/>
              <w:rPr>
                <w:sz w:val="24"/>
              </w:rPr>
            </w:pPr>
            <w:r w:rsidRPr="008E3606">
              <w:rPr>
                <w:sz w:val="24"/>
              </w:rPr>
              <w:t xml:space="preserve"> </w:t>
            </w:r>
          </w:p>
        </w:tc>
        <w:tc>
          <w:tcPr>
            <w:tcW w:w="2268" w:type="dxa"/>
            <w:tcBorders>
              <w:top w:val="single" w:sz="4" w:space="0" w:color="000000"/>
              <w:left w:val="nil"/>
              <w:bottom w:val="single" w:sz="4" w:space="0" w:color="000000"/>
              <w:right w:val="single" w:sz="4" w:space="0" w:color="000000"/>
            </w:tcBorders>
          </w:tcPr>
          <w:p w14:paraId="5E3467AC"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5080018"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single" w:sz="4" w:space="0" w:color="000000"/>
            </w:tcBorders>
          </w:tcPr>
          <w:p w14:paraId="352AF427" w14:textId="77777777" w:rsidR="00E10BA0" w:rsidRPr="008E3606" w:rsidRDefault="00E10BA0" w:rsidP="007E453E">
            <w:pPr>
              <w:widowControl w:val="0"/>
              <w:spacing w:line="240" w:lineRule="auto"/>
              <w:jc w:val="left"/>
              <w:rPr>
                <w:sz w:val="24"/>
              </w:rPr>
            </w:pPr>
            <w:r w:rsidRPr="008E3606">
              <w:rPr>
                <w:b/>
                <w:sz w:val="24"/>
              </w:rPr>
              <w:t xml:space="preserve">6. Deducciones del CN2 </w:t>
            </w:r>
          </w:p>
        </w:tc>
        <w:tc>
          <w:tcPr>
            <w:tcW w:w="2268" w:type="dxa"/>
            <w:tcBorders>
              <w:top w:val="single" w:sz="4" w:space="0" w:color="000000"/>
              <w:left w:val="single" w:sz="4" w:space="0" w:color="000000"/>
              <w:bottom w:val="single" w:sz="4" w:space="0" w:color="000000"/>
              <w:right w:val="single" w:sz="4" w:space="0" w:color="000000"/>
            </w:tcBorders>
          </w:tcPr>
          <w:p w14:paraId="4BE54154" w14:textId="77777777" w:rsidR="00E10BA0" w:rsidRPr="008E3606" w:rsidRDefault="00E10BA0" w:rsidP="007E453E">
            <w:pPr>
              <w:widowControl w:val="0"/>
              <w:spacing w:line="240" w:lineRule="auto"/>
              <w:ind w:right="58"/>
              <w:jc w:val="center"/>
              <w:rPr>
                <w:sz w:val="24"/>
              </w:rPr>
            </w:pPr>
            <w:r w:rsidRPr="008E3606">
              <w:rPr>
                <w:b/>
                <w:sz w:val="24"/>
              </w:rPr>
              <w:t xml:space="preserve">ARTÍCULO 37 </w:t>
            </w:r>
          </w:p>
        </w:tc>
      </w:tr>
      <w:tr w:rsidR="00E10BA0" w:rsidRPr="008E3606" w14:paraId="74F1EAAD" w14:textId="77777777" w:rsidTr="007E453E">
        <w:tblPrEx>
          <w:tblCellMar>
            <w:top w:w="5" w:type="dxa"/>
          </w:tblCellMar>
        </w:tblPrEx>
        <w:trPr>
          <w:trHeight w:val="276"/>
        </w:trPr>
        <w:tc>
          <w:tcPr>
            <w:tcW w:w="2546" w:type="dxa"/>
            <w:tcBorders>
              <w:top w:val="single" w:sz="4" w:space="0" w:color="000000"/>
              <w:left w:val="single" w:sz="4" w:space="0" w:color="000000"/>
              <w:bottom w:val="single" w:sz="4" w:space="0" w:color="000000"/>
              <w:right w:val="single" w:sz="4" w:space="0" w:color="000000"/>
            </w:tcBorders>
          </w:tcPr>
          <w:p w14:paraId="0EF864A0" w14:textId="77777777" w:rsidR="00E10BA0" w:rsidRPr="008E3606" w:rsidRDefault="00E10BA0" w:rsidP="007E453E">
            <w:pPr>
              <w:widowControl w:val="0"/>
              <w:spacing w:line="240" w:lineRule="auto"/>
              <w:jc w:val="left"/>
              <w:rPr>
                <w:sz w:val="24"/>
              </w:rPr>
            </w:pPr>
            <w:r w:rsidRPr="008E3606">
              <w:rPr>
                <w:b/>
                <w:sz w:val="24"/>
              </w:rPr>
              <w:t xml:space="preserve">CUENTA CONTABLE </w:t>
            </w:r>
          </w:p>
        </w:tc>
        <w:tc>
          <w:tcPr>
            <w:tcW w:w="4536" w:type="dxa"/>
            <w:tcBorders>
              <w:top w:val="single" w:sz="4" w:space="0" w:color="000000"/>
              <w:left w:val="single" w:sz="4" w:space="0" w:color="000000"/>
              <w:bottom w:val="single" w:sz="4" w:space="0" w:color="000000"/>
              <w:right w:val="single" w:sz="4" w:space="0" w:color="000000"/>
            </w:tcBorders>
          </w:tcPr>
          <w:p w14:paraId="6A3901AC"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68" w:type="dxa"/>
            <w:tcBorders>
              <w:top w:val="single" w:sz="4" w:space="0" w:color="000000"/>
              <w:left w:val="single" w:sz="4" w:space="0" w:color="000000"/>
              <w:bottom w:val="single" w:sz="4" w:space="0" w:color="000000"/>
              <w:right w:val="single" w:sz="4" w:space="0" w:color="000000"/>
            </w:tcBorders>
          </w:tcPr>
          <w:p w14:paraId="2802227D"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0A64AB6E" w14:textId="77777777" w:rsidTr="007E453E">
        <w:tblPrEx>
          <w:tblCellMar>
            <w:top w:w="5" w:type="dxa"/>
          </w:tblCellMar>
        </w:tblPrEx>
        <w:trPr>
          <w:trHeight w:val="274"/>
        </w:trPr>
        <w:tc>
          <w:tcPr>
            <w:tcW w:w="7082" w:type="dxa"/>
            <w:gridSpan w:val="2"/>
            <w:tcBorders>
              <w:top w:val="single" w:sz="4" w:space="0" w:color="000000"/>
              <w:left w:val="single" w:sz="4" w:space="0" w:color="000000"/>
              <w:bottom w:val="single" w:sz="4" w:space="0" w:color="000000"/>
              <w:right w:val="nil"/>
            </w:tcBorders>
          </w:tcPr>
          <w:p w14:paraId="7FC4E3CF" w14:textId="77777777" w:rsidR="00E10BA0" w:rsidRPr="008E3606" w:rsidRDefault="00E10BA0" w:rsidP="007E453E">
            <w:pPr>
              <w:widowControl w:val="0"/>
              <w:spacing w:line="240" w:lineRule="auto"/>
              <w:jc w:val="left"/>
              <w:rPr>
                <w:sz w:val="24"/>
              </w:rPr>
            </w:pPr>
            <w:r w:rsidRPr="008E3606">
              <w:rPr>
                <w:b/>
                <w:sz w:val="24"/>
              </w:rPr>
              <w:t xml:space="preserve"> </w:t>
            </w:r>
          </w:p>
        </w:tc>
        <w:tc>
          <w:tcPr>
            <w:tcW w:w="2268" w:type="dxa"/>
            <w:tcBorders>
              <w:top w:val="single" w:sz="4" w:space="0" w:color="000000"/>
              <w:left w:val="nil"/>
              <w:bottom w:val="single" w:sz="4" w:space="0" w:color="000000"/>
              <w:right w:val="single" w:sz="4" w:space="0" w:color="000000"/>
            </w:tcBorders>
          </w:tcPr>
          <w:p w14:paraId="3F646ADE" w14:textId="77777777" w:rsidR="00E10BA0" w:rsidRPr="008E3606" w:rsidRDefault="00E10BA0" w:rsidP="007E453E">
            <w:pPr>
              <w:widowControl w:val="0"/>
              <w:spacing w:line="240" w:lineRule="auto"/>
              <w:jc w:val="left"/>
              <w:rPr>
                <w:sz w:val="24"/>
              </w:rPr>
            </w:pPr>
          </w:p>
        </w:tc>
      </w:tr>
      <w:tr w:rsidR="00E10BA0" w:rsidRPr="008E3606" w14:paraId="2C12C3A6" w14:textId="77777777" w:rsidTr="007E453E">
        <w:tblPrEx>
          <w:tblCellMar>
            <w:top w:w="5" w:type="dxa"/>
          </w:tblCellMar>
        </w:tblPrEx>
        <w:trPr>
          <w:trHeight w:val="1596"/>
        </w:trPr>
        <w:tc>
          <w:tcPr>
            <w:tcW w:w="7082" w:type="dxa"/>
            <w:gridSpan w:val="2"/>
            <w:tcBorders>
              <w:top w:val="single" w:sz="4" w:space="0" w:color="000000"/>
              <w:left w:val="single" w:sz="4" w:space="0" w:color="000000"/>
              <w:bottom w:val="single" w:sz="4" w:space="0" w:color="000000"/>
              <w:right w:val="single" w:sz="4" w:space="0" w:color="000000"/>
            </w:tcBorders>
          </w:tcPr>
          <w:p w14:paraId="53115A33" w14:textId="77777777" w:rsidR="00E10BA0" w:rsidRPr="008E3606" w:rsidRDefault="00E10BA0" w:rsidP="007E453E">
            <w:pPr>
              <w:widowControl w:val="0"/>
              <w:spacing w:line="240" w:lineRule="auto"/>
              <w:ind w:right="55"/>
              <w:rPr>
                <w:sz w:val="24"/>
              </w:rPr>
            </w:pPr>
            <w:r w:rsidRPr="008E3606">
              <w:rPr>
                <w:sz w:val="24"/>
              </w:rPr>
              <w:t xml:space="preserve">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BE3C0E"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54288982" w14:textId="77777777" w:rsidTr="007E453E">
        <w:tblPrEx>
          <w:tblCellMar>
            <w:top w:w="5" w:type="dxa"/>
          </w:tblCellMar>
        </w:tblPrEx>
        <w:trPr>
          <w:trHeight w:val="1334"/>
        </w:trPr>
        <w:tc>
          <w:tcPr>
            <w:tcW w:w="2546" w:type="dxa"/>
            <w:tcBorders>
              <w:top w:val="single" w:sz="4" w:space="0" w:color="000000"/>
              <w:left w:val="single" w:sz="4" w:space="0" w:color="000000"/>
              <w:bottom w:val="single" w:sz="4" w:space="0" w:color="000000"/>
              <w:right w:val="single" w:sz="4" w:space="0" w:color="000000"/>
            </w:tcBorders>
            <w:vAlign w:val="center"/>
          </w:tcPr>
          <w:p w14:paraId="66E8739F" w14:textId="77777777" w:rsidR="00E10BA0" w:rsidRPr="008E3606" w:rsidRDefault="00E10BA0" w:rsidP="007E453E">
            <w:pPr>
              <w:widowControl w:val="0"/>
              <w:spacing w:line="240" w:lineRule="auto"/>
              <w:jc w:val="left"/>
              <w:rPr>
                <w:sz w:val="24"/>
              </w:rPr>
            </w:pPr>
            <w:r w:rsidRPr="008E3606">
              <w:rPr>
                <w:sz w:val="24"/>
              </w:rPr>
              <w:t xml:space="preserve">DA (Nuevo X) </w:t>
            </w:r>
          </w:p>
        </w:tc>
        <w:tc>
          <w:tcPr>
            <w:tcW w:w="4536" w:type="dxa"/>
            <w:tcBorders>
              <w:top w:val="single" w:sz="4" w:space="0" w:color="000000"/>
              <w:left w:val="single" w:sz="4" w:space="0" w:color="000000"/>
              <w:bottom w:val="single" w:sz="4" w:space="0" w:color="000000"/>
              <w:right w:val="single" w:sz="4" w:space="0" w:color="000000"/>
            </w:tcBorders>
          </w:tcPr>
          <w:p w14:paraId="7EA87D10" w14:textId="77777777" w:rsidR="00E10BA0" w:rsidRPr="008E3606" w:rsidRDefault="00E10BA0" w:rsidP="007E453E">
            <w:pPr>
              <w:widowControl w:val="0"/>
              <w:spacing w:line="240" w:lineRule="auto"/>
              <w:ind w:right="55"/>
              <w:rPr>
                <w:sz w:val="24"/>
              </w:rPr>
            </w:pPr>
            <w:r w:rsidRPr="008E3606">
              <w:rPr>
                <w:sz w:val="24"/>
              </w:rPr>
              <w:t xml:space="preserve">Valor en libros de las inversiones en instrumentos homólogos al CN2, que calificarían como tales bajo los criterios establecidos en el Anexo 5 del Acuerdo Sugef 3-06 </w:t>
            </w:r>
          </w:p>
        </w:tc>
        <w:tc>
          <w:tcPr>
            <w:tcW w:w="2268" w:type="dxa"/>
            <w:tcBorders>
              <w:top w:val="single" w:sz="4" w:space="0" w:color="000000"/>
              <w:left w:val="single" w:sz="4" w:space="0" w:color="000000"/>
              <w:bottom w:val="single" w:sz="4" w:space="0" w:color="000000"/>
              <w:right w:val="single" w:sz="4" w:space="0" w:color="000000"/>
            </w:tcBorders>
          </w:tcPr>
          <w:p w14:paraId="20D2DB01" w14:textId="77777777" w:rsidR="00E10BA0" w:rsidRPr="008E3606" w:rsidRDefault="00E10BA0" w:rsidP="007E453E">
            <w:pPr>
              <w:widowControl w:val="0"/>
              <w:spacing w:line="240" w:lineRule="auto"/>
              <w:jc w:val="left"/>
              <w:rPr>
                <w:sz w:val="24"/>
              </w:rPr>
            </w:pPr>
            <w:r w:rsidRPr="008E3606">
              <w:rPr>
                <w:sz w:val="24"/>
              </w:rPr>
              <w:t xml:space="preserve"> </w:t>
            </w:r>
          </w:p>
        </w:tc>
      </w:tr>
    </w:tbl>
    <w:p w14:paraId="32301964" w14:textId="77777777" w:rsidR="00E10BA0" w:rsidRPr="008E3606" w:rsidRDefault="00E10BA0" w:rsidP="00E10BA0">
      <w:pPr>
        <w:widowControl w:val="0"/>
        <w:spacing w:line="240" w:lineRule="auto"/>
        <w:ind w:left="-6" w:right="108" w:hanging="11"/>
        <w:jc w:val="left"/>
        <w:rPr>
          <w:sz w:val="24"/>
        </w:rPr>
      </w:pPr>
      <w:r w:rsidRPr="008E3606">
        <w:rPr>
          <w:b/>
          <w:sz w:val="24"/>
        </w:rPr>
        <w:t xml:space="preserve">CC = </w:t>
      </w:r>
      <w:r w:rsidRPr="008E3606">
        <w:rPr>
          <w:sz w:val="24"/>
        </w:rPr>
        <w:t xml:space="preserve">Cuenta contable </w:t>
      </w:r>
    </w:p>
    <w:p w14:paraId="7A4AF102" w14:textId="77777777" w:rsidR="00E10BA0" w:rsidRPr="008E3606" w:rsidRDefault="00E10BA0" w:rsidP="00E10BA0">
      <w:pPr>
        <w:widowControl w:val="0"/>
        <w:spacing w:after="240" w:line="240" w:lineRule="auto"/>
        <w:ind w:left="-5" w:right="106"/>
        <w:jc w:val="left"/>
        <w:rPr>
          <w:sz w:val="24"/>
        </w:rPr>
      </w:pPr>
      <w:r w:rsidRPr="008E3606">
        <w:rPr>
          <w:b/>
          <w:sz w:val="24"/>
        </w:rPr>
        <w:t xml:space="preserve">DA = </w:t>
      </w:r>
      <w:r w:rsidRPr="008E3606">
        <w:rPr>
          <w:sz w:val="24"/>
        </w:rPr>
        <w:t>Dato adicional”</w:t>
      </w:r>
      <w:r w:rsidRPr="008E3606">
        <w:rPr>
          <w:b/>
          <w:sz w:val="24"/>
        </w:rPr>
        <w:t xml:space="preserve"> </w:t>
      </w:r>
    </w:p>
    <w:p w14:paraId="280CD835" w14:textId="77777777" w:rsidR="00E10BA0" w:rsidRPr="008E3606" w:rsidRDefault="00E10BA0" w:rsidP="00E10BA0">
      <w:pPr>
        <w:widowControl w:val="0"/>
        <w:spacing w:after="240" w:line="259" w:lineRule="auto"/>
        <w:jc w:val="left"/>
        <w:rPr>
          <w:sz w:val="24"/>
        </w:rPr>
      </w:pPr>
      <w:r w:rsidRPr="008E3606">
        <w:rPr>
          <w:sz w:val="24"/>
        </w:rPr>
        <w:br w:type="page"/>
      </w:r>
    </w:p>
    <w:p w14:paraId="0FCF341C" w14:textId="77777777" w:rsidR="00E10BA0" w:rsidRPr="008E3606" w:rsidRDefault="00E10BA0" w:rsidP="00E10BA0">
      <w:pPr>
        <w:pStyle w:val="Ttulo1"/>
        <w:spacing w:after="240"/>
        <w:ind w:left="0" w:firstLine="0"/>
        <w:jc w:val="center"/>
        <w:rPr>
          <w:rFonts w:ascii="Cambria" w:hAnsi="Cambria" w:cs="Times New Roman"/>
          <w:szCs w:val="24"/>
        </w:rPr>
      </w:pPr>
      <w:bookmarkStart w:id="1" w:name="_Toc153190202"/>
      <w:r w:rsidRPr="008E3606">
        <w:rPr>
          <w:rFonts w:ascii="Cambria" w:hAnsi="Cambria" w:cs="Times New Roman"/>
          <w:szCs w:val="24"/>
        </w:rPr>
        <w:t>II. REFERENCIAS CONTABLES Y OTROS DATOS REQUERIDOS PARA EL CÁLCULO DE LOS ACTIVOS PONDERADOS POR RIESGO DE CRÉDITO</w:t>
      </w:r>
      <w:bookmarkEnd w:id="1"/>
      <w:r w:rsidRPr="008E3606">
        <w:rPr>
          <w:rFonts w:ascii="Cambria" w:hAnsi="Cambria" w:cs="Times New Roman"/>
          <w:szCs w:val="24"/>
        </w:rPr>
        <w:t xml:space="preserve"> </w:t>
      </w:r>
    </w:p>
    <w:p w14:paraId="1B0EDB42" w14:textId="77777777" w:rsidR="00E10BA0" w:rsidRPr="008E3606" w:rsidRDefault="00E10BA0" w:rsidP="00E10BA0">
      <w:pPr>
        <w:pStyle w:val="Prrafodelista"/>
        <w:widowControl w:val="0"/>
        <w:spacing w:after="240" w:line="247" w:lineRule="auto"/>
        <w:ind w:left="0" w:firstLine="0"/>
        <w:contextualSpacing w:val="0"/>
        <w:rPr>
          <w:rFonts w:ascii="Cambria" w:hAnsi="Cambria"/>
          <w:b/>
          <w:bCs/>
          <w:color w:val="4472C4" w:themeColor="accent1"/>
          <w:szCs w:val="24"/>
        </w:rPr>
      </w:pPr>
      <w:r w:rsidRPr="008E3606">
        <w:rPr>
          <w:rFonts w:ascii="Cambria" w:hAnsi="Cambria"/>
          <w:b/>
          <w:bCs/>
          <w:color w:val="4472C4" w:themeColor="accent1"/>
          <w:szCs w:val="24"/>
        </w:rPr>
        <w:t>Objetivo específico:</w:t>
      </w:r>
    </w:p>
    <w:p w14:paraId="23FE3896" w14:textId="77777777" w:rsidR="00E10BA0" w:rsidRPr="008E3606" w:rsidRDefault="00E10BA0" w:rsidP="00E10BA0">
      <w:pPr>
        <w:pStyle w:val="Prrafodelista"/>
        <w:widowControl w:val="0"/>
        <w:spacing w:after="240" w:line="247" w:lineRule="auto"/>
        <w:ind w:left="0" w:firstLine="0"/>
        <w:contextualSpacing w:val="0"/>
        <w:rPr>
          <w:rFonts w:ascii="Cambria" w:hAnsi="Cambria"/>
          <w:b/>
          <w:bCs/>
          <w:color w:val="4472C4" w:themeColor="accent1"/>
          <w:szCs w:val="24"/>
        </w:rPr>
      </w:pPr>
      <w:r w:rsidRPr="008E3606">
        <w:rPr>
          <w:rFonts w:ascii="Cambria" w:hAnsi="Cambria"/>
          <w:b/>
          <w:bCs/>
          <w:color w:val="4472C4" w:themeColor="accent1"/>
          <w:szCs w:val="24"/>
        </w:rPr>
        <w:t>Contenido:</w:t>
      </w:r>
    </w:p>
    <w:p w14:paraId="6ACDA283" w14:textId="77777777" w:rsidR="00E10BA0" w:rsidRPr="008E3606" w:rsidRDefault="00E10BA0" w:rsidP="00E10BA0">
      <w:pPr>
        <w:pStyle w:val="Prrafodelista"/>
        <w:widowControl w:val="0"/>
        <w:numPr>
          <w:ilvl w:val="0"/>
          <w:numId w:val="4"/>
        </w:numPr>
        <w:spacing w:after="240" w:line="247" w:lineRule="auto"/>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t>EXPOSICIONES CON CONTRAPARTES PERSONAS JURÍDICAS U OTROS VEHÍCULOS O FIGURAS LEGALES. (LAS PERSONAS FÍSICAS SE TRATAN EN LA SECCIÓN B Y SECCIÓN C)</w:t>
      </w:r>
    </w:p>
    <w:p w14:paraId="6DE07B7D" w14:textId="77777777" w:rsidR="00E10BA0" w:rsidRPr="008E3606" w:rsidRDefault="00E10BA0" w:rsidP="00E10BA0">
      <w:pPr>
        <w:pStyle w:val="Prrafodelista"/>
        <w:widowControl w:val="0"/>
        <w:numPr>
          <w:ilvl w:val="0"/>
          <w:numId w:val="31"/>
        </w:numPr>
        <w:spacing w:after="240" w:line="240" w:lineRule="auto"/>
        <w:ind w:left="1134" w:hanging="567"/>
        <w:contextualSpacing w:val="0"/>
        <w:rPr>
          <w:rFonts w:ascii="Cambria" w:hAnsi="Cambria"/>
          <w:b/>
          <w:bCs/>
          <w:szCs w:val="24"/>
        </w:rPr>
      </w:pPr>
      <w:r w:rsidRPr="008E3606">
        <w:rPr>
          <w:rFonts w:ascii="Cambria" w:hAnsi="Cambria"/>
          <w:b/>
          <w:bCs/>
          <w:szCs w:val="24"/>
        </w:rPr>
        <w:t>Referencias Contables del Anexo 1: Plan de cuentas para las entidades supervisadas por SUGEF, SUGEVAL y SUPEN, los grupos y conglomerados financieros</w:t>
      </w:r>
      <w:bookmarkStart w:id="2" w:name="Anexo1"/>
      <w:r w:rsidRPr="008E3606">
        <w:rPr>
          <w:rFonts w:ascii="Cambria" w:hAnsi="Cambria"/>
          <w:b/>
          <w:bCs/>
          <w:szCs w:val="24"/>
        </w:rPr>
        <w:t xml:space="preserve"> del </w:t>
      </w:r>
      <w:bookmarkEnd w:id="2"/>
      <w:r w:rsidRPr="008E3606">
        <w:rPr>
          <w:rFonts w:ascii="Cambria" w:hAnsi="Cambria"/>
          <w:b/>
          <w:bCs/>
          <w:i/>
          <w:iCs/>
          <w:szCs w:val="24"/>
        </w:rPr>
        <w:t>Reglamento de Información Financiera</w:t>
      </w:r>
      <w:r w:rsidRPr="008E3606">
        <w:rPr>
          <w:rFonts w:ascii="Cambria" w:hAnsi="Cambria"/>
          <w:b/>
          <w:bCs/>
          <w:szCs w:val="24"/>
        </w:rPr>
        <w:t>, Acuerdo CONASSIF 6-18.</w:t>
      </w:r>
    </w:p>
    <w:p w14:paraId="57EE6D02" w14:textId="77777777" w:rsidR="00E10BA0" w:rsidRPr="008E3606" w:rsidRDefault="00E10BA0" w:rsidP="00E10BA0">
      <w:pPr>
        <w:pStyle w:val="Prrafodelista"/>
        <w:widowControl w:val="0"/>
        <w:numPr>
          <w:ilvl w:val="0"/>
          <w:numId w:val="30"/>
        </w:numPr>
        <w:spacing w:after="0" w:line="240" w:lineRule="auto"/>
        <w:ind w:left="1701" w:hanging="567"/>
        <w:contextualSpacing w:val="0"/>
        <w:rPr>
          <w:rFonts w:ascii="Cambria" w:hAnsi="Cambria"/>
          <w:b/>
          <w:bCs/>
          <w:szCs w:val="24"/>
        </w:rPr>
      </w:pPr>
      <w:r w:rsidRPr="008E3606">
        <w:rPr>
          <w:rFonts w:ascii="Cambria" w:hAnsi="Cambria"/>
          <w:b/>
          <w:bCs/>
          <w:szCs w:val="24"/>
        </w:rPr>
        <w:t>Cuenta 110 DISPONIBILIDADES (Excepto la cuenta 111)</w:t>
      </w:r>
    </w:p>
    <w:p w14:paraId="70D8D6A4"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w:t>
      </w:r>
    </w:p>
    <w:p w14:paraId="49AF4784" w14:textId="77777777" w:rsidR="00E10BA0" w:rsidRPr="008E3606" w:rsidRDefault="00E10BA0" w:rsidP="00E10BA0">
      <w:pPr>
        <w:pStyle w:val="Prrafodelista"/>
        <w:widowControl w:val="0"/>
        <w:numPr>
          <w:ilvl w:val="0"/>
          <w:numId w:val="30"/>
        </w:numPr>
        <w:spacing w:after="0" w:line="240" w:lineRule="auto"/>
        <w:ind w:left="1701" w:hanging="567"/>
        <w:contextualSpacing w:val="0"/>
        <w:rPr>
          <w:rFonts w:ascii="Cambria" w:hAnsi="Cambria"/>
          <w:b/>
          <w:bCs/>
          <w:szCs w:val="24"/>
        </w:rPr>
      </w:pPr>
      <w:r w:rsidRPr="008E3606">
        <w:rPr>
          <w:rFonts w:ascii="Cambria" w:hAnsi="Cambria"/>
          <w:b/>
          <w:bCs/>
          <w:szCs w:val="24"/>
        </w:rPr>
        <w:t>Cuenta 120 INVERSIONES EN INSTRUMENTOS FINANCIEROS (Excepto la cuenta INVERSIONES Al VALOR RAZONABLE CON CAMBIOS EN RESULTADOS)</w:t>
      </w:r>
    </w:p>
    <w:p w14:paraId="64576932"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 así como restar las correspondientes estimaciones específicas.</w:t>
      </w:r>
    </w:p>
    <w:p w14:paraId="086B7FA1" w14:textId="77777777" w:rsidR="00E10BA0" w:rsidRPr="008E3606" w:rsidRDefault="00E10BA0" w:rsidP="00E10BA0">
      <w:pPr>
        <w:pStyle w:val="Prrafodelista"/>
        <w:widowControl w:val="0"/>
        <w:numPr>
          <w:ilvl w:val="0"/>
          <w:numId w:val="30"/>
        </w:numPr>
        <w:spacing w:after="0" w:line="240" w:lineRule="auto"/>
        <w:ind w:left="1701" w:hanging="567"/>
        <w:contextualSpacing w:val="0"/>
        <w:rPr>
          <w:rFonts w:ascii="Cambria" w:hAnsi="Cambria"/>
          <w:b/>
          <w:bCs/>
          <w:szCs w:val="24"/>
        </w:rPr>
      </w:pPr>
      <w:r w:rsidRPr="008E3606">
        <w:rPr>
          <w:rFonts w:ascii="Cambria" w:hAnsi="Cambria"/>
          <w:b/>
          <w:bCs/>
          <w:szCs w:val="24"/>
        </w:rPr>
        <w:t>Cuenta 130 CARTERA DE CRÉDITOS</w:t>
      </w:r>
    </w:p>
    <w:p w14:paraId="1F0BFC83"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 así como restar las correspondientes estimaciones específicas.</w:t>
      </w:r>
    </w:p>
    <w:p w14:paraId="29E2E9D5" w14:textId="77777777" w:rsidR="00E10BA0" w:rsidRPr="008E3606" w:rsidRDefault="00E10BA0" w:rsidP="00E10BA0">
      <w:pPr>
        <w:pStyle w:val="Prrafodelista"/>
        <w:widowControl w:val="0"/>
        <w:numPr>
          <w:ilvl w:val="0"/>
          <w:numId w:val="30"/>
        </w:numPr>
        <w:spacing w:after="0" w:line="240" w:lineRule="auto"/>
        <w:ind w:left="1701" w:hanging="567"/>
        <w:contextualSpacing w:val="0"/>
        <w:rPr>
          <w:rFonts w:ascii="Cambria" w:hAnsi="Cambria"/>
          <w:b/>
          <w:bCs/>
          <w:szCs w:val="24"/>
        </w:rPr>
      </w:pPr>
      <w:r w:rsidRPr="008E3606">
        <w:rPr>
          <w:rFonts w:ascii="Cambria" w:hAnsi="Cambria"/>
          <w:b/>
          <w:bCs/>
          <w:szCs w:val="24"/>
        </w:rPr>
        <w:t>Cuenta 610 CUENTAS CONTINGENTES DEUDORES</w:t>
      </w:r>
    </w:p>
    <w:p w14:paraId="01316BB8"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 los correspondientes depósitos previos cuando existan, así como restar las correspondientes estimaciones específicas.</w:t>
      </w:r>
    </w:p>
    <w:p w14:paraId="5FFE356D" w14:textId="77777777" w:rsidR="00E10BA0" w:rsidRPr="008E3606" w:rsidRDefault="00E10BA0" w:rsidP="00E10BA0">
      <w:pPr>
        <w:pStyle w:val="Prrafodelista"/>
        <w:widowControl w:val="0"/>
        <w:numPr>
          <w:ilvl w:val="0"/>
          <w:numId w:val="31"/>
        </w:numPr>
        <w:spacing w:after="240" w:line="240" w:lineRule="auto"/>
        <w:ind w:left="1134" w:hanging="567"/>
        <w:contextualSpacing w:val="0"/>
        <w:rPr>
          <w:rFonts w:ascii="Cambria" w:hAnsi="Cambria"/>
          <w:b/>
          <w:bCs/>
          <w:szCs w:val="24"/>
        </w:rPr>
      </w:pPr>
      <w:r w:rsidRPr="008E3606">
        <w:rPr>
          <w:rFonts w:ascii="Cambria" w:hAnsi="Cambria"/>
          <w:b/>
          <w:bCs/>
          <w:szCs w:val="24"/>
        </w:rPr>
        <w:t>Campos relevantes de los correspondientes XML.</w:t>
      </w:r>
    </w:p>
    <w:p w14:paraId="365490A8"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Tipo Persona</w:t>
      </w:r>
    </w:p>
    <w:p w14:paraId="653E5E36"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Tipo Moneda</w:t>
      </w:r>
    </w:p>
    <w:p w14:paraId="24B12E03"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Calificación Riesgo</w:t>
      </w:r>
    </w:p>
    <w:p w14:paraId="3C3EEE40"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Agencia Calificadora</w:t>
      </w:r>
    </w:p>
    <w:p w14:paraId="5546D9D3"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Fecha Calificación</w:t>
      </w:r>
    </w:p>
    <w:p w14:paraId="1A1F65EC"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Criterio Internacional</w:t>
      </w:r>
    </w:p>
    <w:p w14:paraId="4195C249"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Plazo Operación</w:t>
      </w:r>
    </w:p>
    <w:p w14:paraId="294B4329" w14:textId="232557FF"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Exposiciones Cubiertas con Valores: Valor ajustado de la correspondiente garantía.</w:t>
      </w:r>
    </w:p>
    <w:p w14:paraId="6AAD8D34" w14:textId="77777777" w:rsidR="00C409C8" w:rsidRPr="008E3606" w:rsidRDefault="00C409C8" w:rsidP="00E10BA0">
      <w:pPr>
        <w:pStyle w:val="Prrafodelista"/>
        <w:widowControl w:val="0"/>
        <w:spacing w:after="240" w:line="240" w:lineRule="auto"/>
        <w:ind w:left="1134" w:firstLine="0"/>
        <w:contextualSpacing w:val="0"/>
        <w:rPr>
          <w:rFonts w:ascii="Cambria" w:hAnsi="Cambria"/>
          <w:szCs w:val="24"/>
        </w:rPr>
      </w:pPr>
    </w:p>
    <w:p w14:paraId="475C512A" w14:textId="77777777" w:rsidR="00E10BA0" w:rsidRPr="008E3606" w:rsidRDefault="00E10BA0" w:rsidP="00E10BA0">
      <w:pPr>
        <w:pStyle w:val="Prrafodelista"/>
        <w:widowControl w:val="0"/>
        <w:numPr>
          <w:ilvl w:val="0"/>
          <w:numId w:val="31"/>
        </w:numPr>
        <w:spacing w:after="240" w:line="240" w:lineRule="auto"/>
        <w:ind w:left="1134" w:hanging="567"/>
        <w:contextualSpacing w:val="0"/>
        <w:rPr>
          <w:rFonts w:ascii="Cambria" w:hAnsi="Cambria"/>
          <w:b/>
          <w:bCs/>
          <w:szCs w:val="24"/>
        </w:rPr>
      </w:pPr>
      <w:r w:rsidRPr="008E3606">
        <w:rPr>
          <w:rFonts w:ascii="Cambria" w:hAnsi="Cambria"/>
          <w:b/>
          <w:bCs/>
          <w:szCs w:val="24"/>
        </w:rPr>
        <w:t>Exposiciones crediticias con personas jurídicas sujetas al ajuste en el ponderador de riesgo por deudor expuesto al riesgo cambiario.</w:t>
      </w:r>
    </w:p>
    <w:p w14:paraId="3BA286DC"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 xml:space="preserve">Las exposiciones crediticias con </w:t>
      </w:r>
      <w:r w:rsidRPr="008E3606">
        <w:rPr>
          <w:rFonts w:ascii="Cambria" w:hAnsi="Cambria"/>
          <w:b/>
          <w:bCs/>
          <w:szCs w:val="24"/>
        </w:rPr>
        <w:t>personas jurídicas</w:t>
      </w:r>
      <w:r w:rsidRPr="008E3606">
        <w:rPr>
          <w:rFonts w:ascii="Cambria" w:hAnsi="Cambria"/>
          <w:szCs w:val="24"/>
        </w:rPr>
        <w:t xml:space="preserve"> que se registren en la cuenta 130 CARTERA DE CRÉDITOS están sujetas a un ajuste en el ponderador de riesgo cuando se realicen con deudores expuestos al riesgo cambiario. En este caso, el ponderador que corresponda debe multiplicarse por un factor de 1.5.</w:t>
      </w:r>
    </w:p>
    <w:p w14:paraId="651C6E27" w14:textId="77777777" w:rsidR="00E10BA0" w:rsidRPr="008E3606" w:rsidRDefault="00E10BA0" w:rsidP="00E10BA0">
      <w:pPr>
        <w:pStyle w:val="Prrafodelista"/>
        <w:widowControl w:val="0"/>
        <w:numPr>
          <w:ilvl w:val="0"/>
          <w:numId w:val="9"/>
        </w:numPr>
        <w:spacing w:after="0" w:line="240" w:lineRule="auto"/>
        <w:ind w:left="1701" w:hanging="567"/>
        <w:contextualSpacing w:val="0"/>
        <w:rPr>
          <w:rFonts w:ascii="Cambria" w:hAnsi="Cambria"/>
          <w:szCs w:val="24"/>
        </w:rPr>
      </w:pPr>
      <w:r w:rsidRPr="008E3606">
        <w:rPr>
          <w:rFonts w:ascii="Cambria" w:hAnsi="Cambria"/>
          <w:b/>
          <w:bCs/>
          <w:szCs w:val="24"/>
        </w:rPr>
        <w:t>Alcance</w:t>
      </w:r>
      <w:r w:rsidRPr="008E3606">
        <w:rPr>
          <w:rFonts w:ascii="Cambria" w:hAnsi="Cambria"/>
          <w:szCs w:val="24"/>
        </w:rPr>
        <w:t xml:space="preserve">: </w:t>
      </w:r>
    </w:p>
    <w:p w14:paraId="0EBAABE8"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 xml:space="preserve">Únicamente exposiciones registradas en la Cuenta 130 Cartera de Créditos. </w:t>
      </w:r>
    </w:p>
    <w:p w14:paraId="2A619FAD" w14:textId="77777777" w:rsidR="00E10BA0" w:rsidRPr="008E3606" w:rsidRDefault="00E10BA0" w:rsidP="00E10BA0">
      <w:pPr>
        <w:pStyle w:val="Prrafodelista"/>
        <w:widowControl w:val="0"/>
        <w:numPr>
          <w:ilvl w:val="0"/>
          <w:numId w:val="9"/>
        </w:numPr>
        <w:spacing w:after="0" w:line="240" w:lineRule="auto"/>
        <w:ind w:left="1701" w:hanging="567"/>
        <w:contextualSpacing w:val="0"/>
        <w:rPr>
          <w:rFonts w:ascii="Cambria" w:hAnsi="Cambria"/>
          <w:b/>
          <w:bCs/>
          <w:szCs w:val="24"/>
        </w:rPr>
      </w:pPr>
      <w:r w:rsidRPr="008E3606">
        <w:rPr>
          <w:rFonts w:ascii="Cambria" w:hAnsi="Cambria"/>
          <w:b/>
          <w:bCs/>
          <w:szCs w:val="24"/>
        </w:rPr>
        <w:t>Exposiciones crediticias con personas jurídicas exceptuadas de aplicar el ajuste por concepto de “deudor expuesto a riesgo cambiario”:</w:t>
      </w:r>
    </w:p>
    <w:p w14:paraId="7E3772C1"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Se exceptúan las exposiciones crediticias que se califiquen según los siguientes artículos:</w:t>
      </w:r>
    </w:p>
    <w:p w14:paraId="303A5E2F" w14:textId="77777777" w:rsidR="00E10BA0" w:rsidRPr="008E3606" w:rsidRDefault="00E10BA0" w:rsidP="00E10BA0">
      <w:pPr>
        <w:pStyle w:val="Prrafodelista"/>
        <w:widowControl w:val="0"/>
        <w:numPr>
          <w:ilvl w:val="0"/>
          <w:numId w:val="8"/>
        </w:numPr>
        <w:spacing w:after="240" w:line="240" w:lineRule="auto"/>
        <w:ind w:left="2268" w:hanging="567"/>
        <w:contextualSpacing w:val="0"/>
        <w:rPr>
          <w:rFonts w:ascii="Cambria" w:hAnsi="Cambria"/>
          <w:color w:val="auto"/>
          <w:szCs w:val="24"/>
        </w:rPr>
      </w:pPr>
      <w:r w:rsidRPr="008E3606">
        <w:rPr>
          <w:rFonts w:ascii="Cambria" w:hAnsi="Cambria"/>
          <w:szCs w:val="24"/>
        </w:rPr>
        <w:t xml:space="preserve">Artículo </w:t>
      </w:r>
      <w:r w:rsidRPr="008E3606">
        <w:rPr>
          <w:rFonts w:ascii="Cambria" w:hAnsi="Cambria"/>
          <w:color w:val="auto"/>
          <w:szCs w:val="24"/>
        </w:rPr>
        <w:t>41. Exposiciones con soberanos y sus bancos centrales</w:t>
      </w:r>
    </w:p>
    <w:p w14:paraId="4A3C0585" w14:textId="77777777" w:rsidR="00E10BA0" w:rsidRPr="008E3606" w:rsidRDefault="00E10BA0" w:rsidP="00E10BA0">
      <w:pPr>
        <w:pStyle w:val="Prrafodelista"/>
        <w:widowControl w:val="0"/>
        <w:numPr>
          <w:ilvl w:val="0"/>
          <w:numId w:val="8"/>
        </w:numPr>
        <w:spacing w:after="240" w:line="240" w:lineRule="auto"/>
        <w:ind w:left="2268" w:hanging="567"/>
        <w:contextualSpacing w:val="0"/>
        <w:rPr>
          <w:rFonts w:ascii="Cambria" w:hAnsi="Cambria"/>
          <w:color w:val="auto"/>
          <w:szCs w:val="24"/>
        </w:rPr>
      </w:pPr>
      <w:r w:rsidRPr="008E3606">
        <w:rPr>
          <w:rFonts w:ascii="Cambria" w:hAnsi="Cambria"/>
          <w:color w:val="auto"/>
          <w:szCs w:val="24"/>
        </w:rPr>
        <w:t>Artículo 43. Exposiciones con Bancos Multilaterales de Desarrollo (BMD)</w:t>
      </w:r>
    </w:p>
    <w:p w14:paraId="7BAC8DFD" w14:textId="77777777" w:rsidR="00E10BA0" w:rsidRPr="008E3606" w:rsidRDefault="00E10BA0" w:rsidP="00E10BA0">
      <w:pPr>
        <w:pStyle w:val="Prrafodelista"/>
        <w:widowControl w:val="0"/>
        <w:numPr>
          <w:ilvl w:val="0"/>
          <w:numId w:val="8"/>
        </w:numPr>
        <w:spacing w:after="240" w:line="240" w:lineRule="auto"/>
        <w:ind w:left="2268" w:hanging="567"/>
        <w:contextualSpacing w:val="0"/>
        <w:rPr>
          <w:rFonts w:ascii="Cambria" w:hAnsi="Cambria"/>
          <w:color w:val="auto"/>
          <w:szCs w:val="24"/>
        </w:rPr>
      </w:pPr>
      <w:r w:rsidRPr="008E3606">
        <w:rPr>
          <w:rFonts w:ascii="Cambria" w:hAnsi="Cambria"/>
          <w:color w:val="auto"/>
          <w:szCs w:val="24"/>
        </w:rPr>
        <w:t>Artículo 44. Exposiciones con bancos comerciales y con otras entidades financieras del exterior</w:t>
      </w:r>
    </w:p>
    <w:p w14:paraId="25D01879" w14:textId="77777777" w:rsidR="00E10BA0" w:rsidRPr="008E3606" w:rsidRDefault="00E10BA0" w:rsidP="00E10BA0">
      <w:pPr>
        <w:pStyle w:val="Prrafodelista"/>
        <w:widowControl w:val="0"/>
        <w:numPr>
          <w:ilvl w:val="0"/>
          <w:numId w:val="8"/>
        </w:numPr>
        <w:spacing w:after="240" w:line="240" w:lineRule="auto"/>
        <w:ind w:left="2268" w:hanging="567"/>
        <w:contextualSpacing w:val="0"/>
        <w:rPr>
          <w:rFonts w:ascii="Cambria" w:hAnsi="Cambria"/>
          <w:szCs w:val="24"/>
        </w:rPr>
      </w:pPr>
      <w:r w:rsidRPr="008E3606">
        <w:rPr>
          <w:rFonts w:ascii="Cambria" w:hAnsi="Cambria"/>
          <w:color w:val="auto"/>
          <w:szCs w:val="24"/>
        </w:rPr>
        <w:t xml:space="preserve">Artículo 49. </w:t>
      </w:r>
      <w:r w:rsidRPr="008E3606">
        <w:rPr>
          <w:rFonts w:ascii="Cambria" w:hAnsi="Cambria"/>
          <w:szCs w:val="24"/>
        </w:rPr>
        <w:t>Exposiciones en operaciones de reporto tripartito de la BNV y operaciones diferidas de liquidez del MIL</w:t>
      </w:r>
    </w:p>
    <w:p w14:paraId="3B47B3A6" w14:textId="77777777" w:rsidR="00E10BA0" w:rsidRPr="008E3606" w:rsidRDefault="00E10BA0" w:rsidP="00E10BA0">
      <w:pPr>
        <w:pStyle w:val="Prrafodelista"/>
        <w:widowControl w:val="0"/>
        <w:numPr>
          <w:ilvl w:val="0"/>
          <w:numId w:val="9"/>
        </w:numPr>
        <w:spacing w:after="0" w:line="240" w:lineRule="auto"/>
        <w:ind w:left="1701" w:hanging="567"/>
        <w:contextualSpacing w:val="0"/>
        <w:rPr>
          <w:rFonts w:ascii="Cambria" w:hAnsi="Cambria"/>
          <w:b/>
          <w:bCs/>
          <w:szCs w:val="24"/>
        </w:rPr>
      </w:pPr>
      <w:r w:rsidRPr="008E3606">
        <w:rPr>
          <w:rFonts w:ascii="Cambria" w:hAnsi="Cambria"/>
          <w:b/>
          <w:bCs/>
          <w:szCs w:val="24"/>
        </w:rPr>
        <w:t>Exposiciones crediticias con personas jurídicas sujetas al ajuste por concepto de “deudor expuesto a riesgo cambiario”:</w:t>
      </w:r>
    </w:p>
    <w:p w14:paraId="48C3AB0A"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Las exposiciones crediticias que califiquen según los siguientes artículos están sujetas al ajuste por concepto de “deudor expuesto al riesgo cambiario”:</w:t>
      </w:r>
    </w:p>
    <w:p w14:paraId="15858044" w14:textId="77777777" w:rsidR="00E10BA0" w:rsidRPr="008E3606" w:rsidRDefault="00E10BA0" w:rsidP="00E10BA0">
      <w:pPr>
        <w:pStyle w:val="Prrafodelista"/>
        <w:widowControl w:val="0"/>
        <w:numPr>
          <w:ilvl w:val="0"/>
          <w:numId w:val="8"/>
        </w:numPr>
        <w:spacing w:after="240" w:line="240" w:lineRule="auto"/>
        <w:ind w:left="2268" w:hanging="567"/>
        <w:contextualSpacing w:val="0"/>
        <w:rPr>
          <w:rFonts w:ascii="Cambria" w:hAnsi="Cambria"/>
          <w:color w:val="auto"/>
          <w:szCs w:val="24"/>
        </w:rPr>
      </w:pPr>
      <w:r w:rsidRPr="008E3606">
        <w:rPr>
          <w:rFonts w:ascii="Cambria" w:hAnsi="Cambria"/>
          <w:szCs w:val="24"/>
        </w:rPr>
        <w:t xml:space="preserve">Artículo </w:t>
      </w:r>
      <w:r w:rsidRPr="008E3606">
        <w:rPr>
          <w:rFonts w:ascii="Cambria" w:hAnsi="Cambria"/>
          <w:color w:val="auto"/>
          <w:szCs w:val="24"/>
        </w:rPr>
        <w:t>42 Exposiciones con entidades del sector público (ESP)</w:t>
      </w:r>
    </w:p>
    <w:p w14:paraId="3D967E2E" w14:textId="1C610D49" w:rsidR="00E10BA0" w:rsidRPr="008E3606" w:rsidRDefault="00E10BA0" w:rsidP="00E10BA0">
      <w:pPr>
        <w:pStyle w:val="Prrafodelista"/>
        <w:widowControl w:val="0"/>
        <w:numPr>
          <w:ilvl w:val="0"/>
          <w:numId w:val="8"/>
        </w:numPr>
        <w:spacing w:after="240" w:line="240" w:lineRule="auto"/>
        <w:ind w:left="2268" w:hanging="567"/>
        <w:contextualSpacing w:val="0"/>
        <w:rPr>
          <w:rFonts w:ascii="Cambria" w:hAnsi="Cambria"/>
          <w:szCs w:val="24"/>
        </w:rPr>
      </w:pPr>
      <w:r w:rsidRPr="008E3606">
        <w:rPr>
          <w:rFonts w:ascii="Cambria" w:hAnsi="Cambria"/>
          <w:color w:val="auto"/>
          <w:szCs w:val="24"/>
        </w:rPr>
        <w:t xml:space="preserve">Artículo 46. </w:t>
      </w:r>
      <w:r w:rsidRPr="008E3606">
        <w:rPr>
          <w:rFonts w:ascii="Cambria" w:hAnsi="Cambria"/>
          <w:szCs w:val="24"/>
        </w:rPr>
        <w:t>Exposiciones con personas jurídicas</w:t>
      </w:r>
    </w:p>
    <w:p w14:paraId="51737D82" w14:textId="77777777" w:rsidR="00E10BA0" w:rsidRPr="008E3606" w:rsidRDefault="00E10BA0" w:rsidP="00E10BA0">
      <w:pPr>
        <w:pStyle w:val="Prrafodelista"/>
        <w:widowControl w:val="0"/>
        <w:numPr>
          <w:ilvl w:val="0"/>
          <w:numId w:val="31"/>
        </w:numPr>
        <w:spacing w:after="240" w:line="240" w:lineRule="auto"/>
        <w:ind w:left="1134" w:hanging="567"/>
        <w:contextualSpacing w:val="0"/>
        <w:rPr>
          <w:rFonts w:ascii="Cambria" w:hAnsi="Cambria"/>
          <w:b/>
          <w:bCs/>
          <w:szCs w:val="24"/>
        </w:rPr>
      </w:pPr>
      <w:r w:rsidRPr="008E3606">
        <w:rPr>
          <w:rFonts w:ascii="Cambria" w:hAnsi="Cambria"/>
          <w:b/>
          <w:bCs/>
          <w:szCs w:val="24"/>
        </w:rPr>
        <w:t>Aplicación de los ponderadores de riesgo adicionales.</w:t>
      </w:r>
    </w:p>
    <w:p w14:paraId="56A2B30D" w14:textId="77777777" w:rsidR="00E10BA0" w:rsidRPr="008E3606" w:rsidRDefault="00E10BA0" w:rsidP="00E10BA0">
      <w:pPr>
        <w:pStyle w:val="Prrafodelista"/>
        <w:widowControl w:val="0"/>
        <w:numPr>
          <w:ilvl w:val="0"/>
          <w:numId w:val="32"/>
        </w:numPr>
        <w:spacing w:after="240" w:line="240" w:lineRule="auto"/>
        <w:ind w:left="1701" w:hanging="567"/>
        <w:contextualSpacing w:val="0"/>
        <w:rPr>
          <w:rFonts w:ascii="Cambria" w:hAnsi="Cambria"/>
          <w:b/>
          <w:bCs/>
          <w:szCs w:val="24"/>
        </w:rPr>
      </w:pPr>
      <w:r w:rsidRPr="008E3606">
        <w:rPr>
          <w:rFonts w:ascii="Cambria" w:hAnsi="Cambria"/>
          <w:b/>
          <w:bCs/>
          <w:szCs w:val="24"/>
        </w:rPr>
        <w:t>Determinar el ponderador de riesgo base en el caso de las exposiciones crediticias con personas jurídicas sujetas al ajuste por concepto de deudor expuesto a riesgo cambiario.</w:t>
      </w:r>
    </w:p>
    <w:p w14:paraId="3ABBD6DC" w14:textId="77777777" w:rsidR="00E10BA0" w:rsidRPr="008E3606" w:rsidRDefault="00E10BA0" w:rsidP="00E10BA0">
      <w:pPr>
        <w:pStyle w:val="Prrafodelista"/>
        <w:widowControl w:val="0"/>
        <w:numPr>
          <w:ilvl w:val="0"/>
          <w:numId w:val="32"/>
        </w:numPr>
        <w:spacing w:after="240" w:line="240" w:lineRule="auto"/>
        <w:ind w:left="1701" w:hanging="567"/>
        <w:contextualSpacing w:val="0"/>
        <w:rPr>
          <w:rFonts w:ascii="Cambria" w:hAnsi="Cambria"/>
          <w:b/>
          <w:bCs/>
          <w:szCs w:val="24"/>
        </w:rPr>
      </w:pPr>
      <w:r w:rsidRPr="008E3606">
        <w:rPr>
          <w:rFonts w:ascii="Cambria" w:hAnsi="Cambria"/>
          <w:b/>
          <w:bCs/>
          <w:szCs w:val="24"/>
        </w:rPr>
        <w:t>El ponderador resultante del punto 1 anterior, debe multiplicarse por 1.5.</w:t>
      </w:r>
    </w:p>
    <w:p w14:paraId="532E874B" w14:textId="77777777" w:rsidR="00E10BA0" w:rsidRPr="008E3606" w:rsidRDefault="00E10BA0" w:rsidP="00E10BA0">
      <w:pPr>
        <w:pStyle w:val="Prrafodelista"/>
        <w:widowControl w:val="0"/>
        <w:numPr>
          <w:ilvl w:val="0"/>
          <w:numId w:val="32"/>
        </w:numPr>
        <w:spacing w:after="0" w:line="240" w:lineRule="auto"/>
        <w:ind w:left="1701" w:hanging="567"/>
        <w:contextualSpacing w:val="0"/>
        <w:rPr>
          <w:rFonts w:ascii="Cambria" w:hAnsi="Cambria"/>
          <w:b/>
          <w:bCs/>
          <w:szCs w:val="24"/>
        </w:rPr>
      </w:pPr>
      <w:r w:rsidRPr="008E3606">
        <w:rPr>
          <w:rFonts w:ascii="Cambria" w:hAnsi="Cambria"/>
          <w:b/>
          <w:bCs/>
          <w:szCs w:val="24"/>
        </w:rPr>
        <w:t>Ejemplo:</w:t>
      </w:r>
    </w:p>
    <w:p w14:paraId="3B092C20"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 xml:space="preserve">Crédito Expansión de Planta </w:t>
      </w:r>
    </w:p>
    <w:p w14:paraId="69EEA655"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Deudor expuesto a riesgo cambiario</w:t>
      </w:r>
    </w:p>
    <w:p w14:paraId="036FFB80" w14:textId="77777777" w:rsidR="00E10BA0" w:rsidRPr="008E3606" w:rsidRDefault="00E10BA0" w:rsidP="00E10BA0">
      <w:pPr>
        <w:pStyle w:val="Prrafodelista"/>
        <w:widowControl w:val="0"/>
        <w:numPr>
          <w:ilvl w:val="0"/>
          <w:numId w:val="6"/>
        </w:numPr>
        <w:spacing w:after="240" w:line="240" w:lineRule="auto"/>
        <w:ind w:left="2268" w:hanging="567"/>
        <w:contextualSpacing w:val="0"/>
        <w:rPr>
          <w:rFonts w:ascii="Cambria" w:hAnsi="Cambria"/>
          <w:szCs w:val="24"/>
        </w:rPr>
      </w:pPr>
      <w:r w:rsidRPr="008E3606">
        <w:rPr>
          <w:rFonts w:ascii="Cambria" w:hAnsi="Cambria"/>
          <w:szCs w:val="24"/>
        </w:rPr>
        <w:t xml:space="preserve">Plazo residual: 10 años </w:t>
      </w:r>
    </w:p>
    <w:p w14:paraId="0213F5C7" w14:textId="77777777" w:rsidR="00C409C8" w:rsidRPr="008E3606" w:rsidRDefault="00C409C8" w:rsidP="00E10BA0">
      <w:pPr>
        <w:widowControl w:val="0"/>
        <w:spacing w:after="240" w:line="240" w:lineRule="auto"/>
        <w:ind w:left="1134"/>
        <w:rPr>
          <w:b/>
          <w:bCs/>
          <w:sz w:val="24"/>
        </w:rPr>
      </w:pPr>
    </w:p>
    <w:p w14:paraId="7A101133" w14:textId="72A36985" w:rsidR="00E10BA0" w:rsidRPr="008E3606" w:rsidRDefault="00E10BA0" w:rsidP="00E10BA0">
      <w:pPr>
        <w:widowControl w:val="0"/>
        <w:spacing w:after="240" w:line="240" w:lineRule="auto"/>
        <w:ind w:left="1134"/>
        <w:rPr>
          <w:b/>
          <w:bCs/>
          <w:sz w:val="24"/>
        </w:rPr>
      </w:pPr>
      <w:r w:rsidRPr="008E3606">
        <w:rPr>
          <w:b/>
          <w:bCs/>
          <w:sz w:val="24"/>
        </w:rPr>
        <w:t>Cálculo del Ponderador por Riesgo de Crédito:</w:t>
      </w:r>
    </w:p>
    <w:tbl>
      <w:tblPr>
        <w:tblStyle w:val="Tablaconcuadrcula"/>
        <w:tblW w:w="7371" w:type="dxa"/>
        <w:jc w:val="center"/>
        <w:tblLook w:val="04A0" w:firstRow="1" w:lastRow="0" w:firstColumn="1" w:lastColumn="0" w:noHBand="0" w:noVBand="1"/>
      </w:tblPr>
      <w:tblGrid>
        <w:gridCol w:w="4678"/>
        <w:gridCol w:w="2693"/>
      </w:tblGrid>
      <w:tr w:rsidR="00E10BA0" w:rsidRPr="008E3606" w14:paraId="05B6B0F7" w14:textId="77777777" w:rsidTr="007E453E">
        <w:trPr>
          <w:jc w:val="center"/>
        </w:trPr>
        <w:tc>
          <w:tcPr>
            <w:tcW w:w="4678" w:type="dxa"/>
            <w:shd w:val="clear" w:color="auto" w:fill="E7E6E6" w:themeFill="background2"/>
            <w:vAlign w:val="center"/>
          </w:tcPr>
          <w:p w14:paraId="5570B81A" w14:textId="77777777" w:rsidR="00E10BA0" w:rsidRPr="008E3606" w:rsidRDefault="00E10BA0" w:rsidP="007E453E">
            <w:pPr>
              <w:widowControl w:val="0"/>
              <w:spacing w:line="240" w:lineRule="auto"/>
              <w:jc w:val="center"/>
              <w:rPr>
                <w:b/>
                <w:bCs/>
                <w:sz w:val="24"/>
              </w:rPr>
            </w:pPr>
            <w:r w:rsidRPr="008E3606">
              <w:rPr>
                <w:b/>
                <w:bCs/>
                <w:sz w:val="24"/>
              </w:rPr>
              <w:t>Criterio</w:t>
            </w:r>
          </w:p>
        </w:tc>
        <w:tc>
          <w:tcPr>
            <w:tcW w:w="2693" w:type="dxa"/>
            <w:shd w:val="clear" w:color="auto" w:fill="E7E6E6" w:themeFill="background2"/>
            <w:vAlign w:val="center"/>
          </w:tcPr>
          <w:p w14:paraId="6053B0E8" w14:textId="77777777" w:rsidR="00E10BA0" w:rsidRPr="008E3606" w:rsidRDefault="00E10BA0" w:rsidP="007E453E">
            <w:pPr>
              <w:widowControl w:val="0"/>
              <w:spacing w:line="240" w:lineRule="auto"/>
              <w:jc w:val="center"/>
              <w:rPr>
                <w:b/>
                <w:bCs/>
                <w:sz w:val="24"/>
              </w:rPr>
            </w:pPr>
            <w:r w:rsidRPr="008E3606">
              <w:rPr>
                <w:b/>
                <w:bCs/>
                <w:sz w:val="24"/>
              </w:rPr>
              <w:t>Ponderador resultante</w:t>
            </w:r>
          </w:p>
        </w:tc>
      </w:tr>
      <w:tr w:rsidR="00E10BA0" w:rsidRPr="008E3606" w14:paraId="26F0E87E" w14:textId="77777777" w:rsidTr="007E453E">
        <w:trPr>
          <w:jc w:val="center"/>
        </w:trPr>
        <w:tc>
          <w:tcPr>
            <w:tcW w:w="4678" w:type="dxa"/>
          </w:tcPr>
          <w:p w14:paraId="4CAFB0CC" w14:textId="77777777" w:rsidR="00E10BA0" w:rsidRPr="008E3606" w:rsidRDefault="00E10BA0" w:rsidP="007E453E">
            <w:pPr>
              <w:widowControl w:val="0"/>
              <w:spacing w:line="240" w:lineRule="auto"/>
              <w:rPr>
                <w:sz w:val="24"/>
              </w:rPr>
            </w:pPr>
            <w:r w:rsidRPr="008E3606">
              <w:rPr>
                <w:sz w:val="24"/>
              </w:rPr>
              <w:t xml:space="preserve">Ponderador base: </w:t>
            </w:r>
          </w:p>
        </w:tc>
        <w:tc>
          <w:tcPr>
            <w:tcW w:w="2693" w:type="dxa"/>
          </w:tcPr>
          <w:p w14:paraId="0B1E5D60"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05BE9733" w14:textId="77777777" w:rsidTr="007E453E">
        <w:trPr>
          <w:jc w:val="center"/>
        </w:trPr>
        <w:tc>
          <w:tcPr>
            <w:tcW w:w="4678" w:type="dxa"/>
          </w:tcPr>
          <w:p w14:paraId="03140198" w14:textId="77777777" w:rsidR="00E10BA0" w:rsidRPr="008E3606" w:rsidRDefault="00E10BA0" w:rsidP="007E453E">
            <w:pPr>
              <w:widowControl w:val="0"/>
              <w:spacing w:line="240" w:lineRule="auto"/>
              <w:rPr>
                <w:sz w:val="24"/>
              </w:rPr>
            </w:pPr>
            <w:r w:rsidRPr="008E3606">
              <w:rPr>
                <w:sz w:val="24"/>
              </w:rPr>
              <w:t>Según condición deudor expuesto a riesgo cambiario (Artículo 51)</w:t>
            </w:r>
          </w:p>
          <w:p w14:paraId="318DD333" w14:textId="77777777" w:rsidR="00E10BA0" w:rsidRPr="008E3606" w:rsidRDefault="00E10BA0" w:rsidP="00E10BA0">
            <w:pPr>
              <w:pStyle w:val="Prrafodelista"/>
              <w:widowControl w:val="0"/>
              <w:numPr>
                <w:ilvl w:val="0"/>
                <w:numId w:val="7"/>
              </w:numPr>
              <w:spacing w:after="0" w:line="240" w:lineRule="auto"/>
              <w:ind w:left="0" w:firstLine="0"/>
              <w:contextualSpacing w:val="0"/>
              <w:rPr>
                <w:rFonts w:ascii="Cambria" w:hAnsi="Cambria"/>
                <w:b/>
                <w:bCs/>
                <w:szCs w:val="24"/>
              </w:rPr>
            </w:pPr>
            <w:r w:rsidRPr="008E3606">
              <w:rPr>
                <w:rFonts w:ascii="Cambria" w:hAnsi="Cambria"/>
                <w:b/>
                <w:bCs/>
                <w:szCs w:val="24"/>
              </w:rPr>
              <w:t>Deudor expuesto a riesgo cambiario</w:t>
            </w:r>
          </w:p>
        </w:tc>
        <w:tc>
          <w:tcPr>
            <w:tcW w:w="2693" w:type="dxa"/>
            <w:vAlign w:val="center"/>
          </w:tcPr>
          <w:p w14:paraId="28EC2119" w14:textId="77777777" w:rsidR="00E10BA0" w:rsidRPr="008E3606" w:rsidRDefault="00E10BA0" w:rsidP="007E453E">
            <w:pPr>
              <w:widowControl w:val="0"/>
              <w:spacing w:line="240" w:lineRule="auto"/>
              <w:jc w:val="center"/>
              <w:rPr>
                <w:sz w:val="24"/>
              </w:rPr>
            </w:pPr>
            <w:r w:rsidRPr="008E3606">
              <w:rPr>
                <w:sz w:val="24"/>
              </w:rPr>
              <w:t>100% x 1.5 = 150%</w:t>
            </w:r>
          </w:p>
        </w:tc>
      </w:tr>
    </w:tbl>
    <w:p w14:paraId="7BBB2E34" w14:textId="77777777" w:rsidR="00E10BA0" w:rsidRPr="008E3606" w:rsidRDefault="00E10BA0" w:rsidP="00E10BA0">
      <w:pPr>
        <w:widowControl w:val="0"/>
        <w:spacing w:after="240" w:line="240" w:lineRule="auto"/>
        <w:ind w:left="851" w:right="900"/>
        <w:rPr>
          <w:sz w:val="24"/>
        </w:rPr>
      </w:pPr>
      <w:r w:rsidRPr="008E3606">
        <w:rPr>
          <w:sz w:val="24"/>
        </w:rPr>
        <w:t>En este caso, el ponderador de riesgo aplicable para la exposición de riesgo de crédito será de 150%.</w:t>
      </w:r>
    </w:p>
    <w:p w14:paraId="56E88750" w14:textId="77777777" w:rsidR="00E10BA0" w:rsidRPr="008E3606" w:rsidRDefault="00E10BA0" w:rsidP="00E10BA0">
      <w:pPr>
        <w:widowControl w:val="0"/>
        <w:spacing w:after="240" w:line="240" w:lineRule="auto"/>
        <w:ind w:left="1701"/>
        <w:rPr>
          <w:sz w:val="24"/>
        </w:rPr>
      </w:pPr>
    </w:p>
    <w:p w14:paraId="319BDCCF" w14:textId="77777777" w:rsidR="00E10BA0" w:rsidRPr="008E3606" w:rsidRDefault="00E10BA0" w:rsidP="00E10BA0">
      <w:pPr>
        <w:pStyle w:val="Prrafodelista"/>
        <w:widowControl w:val="0"/>
        <w:numPr>
          <w:ilvl w:val="0"/>
          <w:numId w:val="4"/>
        </w:numPr>
        <w:spacing w:after="240" w:line="247" w:lineRule="auto"/>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t xml:space="preserve">EXPOSICIONES CON CONTRAPARTES PERSONAS FÍSICAS (EXCEPTO EXPOSICIONES CON CRÉDITOS HIPOTECARIOS RESIDENCIALES CON PERSONA FÍSICA) </w:t>
      </w:r>
    </w:p>
    <w:p w14:paraId="4372B562" w14:textId="77777777" w:rsidR="00E10BA0" w:rsidRPr="008E3606" w:rsidRDefault="00E10BA0" w:rsidP="00E10BA0">
      <w:pPr>
        <w:pStyle w:val="Prrafodelista"/>
        <w:widowControl w:val="0"/>
        <w:numPr>
          <w:ilvl w:val="0"/>
          <w:numId w:val="33"/>
        </w:numPr>
        <w:spacing w:after="240" w:line="240" w:lineRule="auto"/>
        <w:ind w:left="1134" w:hanging="567"/>
        <w:contextualSpacing w:val="0"/>
        <w:rPr>
          <w:rFonts w:ascii="Cambria" w:hAnsi="Cambria"/>
          <w:b/>
          <w:bCs/>
          <w:szCs w:val="24"/>
        </w:rPr>
      </w:pPr>
      <w:r w:rsidRPr="008E3606">
        <w:rPr>
          <w:rFonts w:ascii="Cambria" w:hAnsi="Cambria"/>
          <w:b/>
          <w:bCs/>
          <w:szCs w:val="24"/>
        </w:rPr>
        <w:t>Referencias Contables del Anexo 1: Plan de cuentas para las entidades supervisadas por SUGEF, SUGEVAL y SUPEN, los grupos y conglomerados financieros del Reglamento de Información Financiera, Acuerdo CONASSIF 6-18.</w:t>
      </w:r>
    </w:p>
    <w:p w14:paraId="22A555AF" w14:textId="77777777" w:rsidR="00E10BA0" w:rsidRPr="008E3606" w:rsidRDefault="00E10BA0" w:rsidP="00E10BA0">
      <w:pPr>
        <w:pStyle w:val="Prrafodelista"/>
        <w:widowControl w:val="0"/>
        <w:numPr>
          <w:ilvl w:val="0"/>
          <w:numId w:val="29"/>
        </w:numPr>
        <w:spacing w:after="0" w:line="240" w:lineRule="auto"/>
        <w:ind w:left="1701" w:hanging="567"/>
        <w:contextualSpacing w:val="0"/>
        <w:rPr>
          <w:rFonts w:ascii="Cambria" w:hAnsi="Cambria"/>
          <w:b/>
          <w:bCs/>
          <w:szCs w:val="24"/>
        </w:rPr>
      </w:pPr>
      <w:r w:rsidRPr="008E3606">
        <w:rPr>
          <w:rFonts w:ascii="Cambria" w:hAnsi="Cambria"/>
          <w:b/>
          <w:bCs/>
          <w:szCs w:val="24"/>
        </w:rPr>
        <w:t>Cuenta 130 CARTERA DE CRÉDITOS</w:t>
      </w:r>
    </w:p>
    <w:p w14:paraId="3BD4CF53"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 así como restar las correspondientes estimaciones específicas.</w:t>
      </w:r>
    </w:p>
    <w:p w14:paraId="6E227832" w14:textId="77777777" w:rsidR="00E10BA0" w:rsidRPr="008E3606" w:rsidRDefault="00E10BA0" w:rsidP="00E10BA0">
      <w:pPr>
        <w:pStyle w:val="Prrafodelista"/>
        <w:widowControl w:val="0"/>
        <w:numPr>
          <w:ilvl w:val="0"/>
          <w:numId w:val="29"/>
        </w:numPr>
        <w:spacing w:after="0" w:line="240" w:lineRule="auto"/>
        <w:ind w:left="1701" w:hanging="567"/>
        <w:contextualSpacing w:val="0"/>
        <w:rPr>
          <w:rFonts w:ascii="Cambria" w:hAnsi="Cambria"/>
          <w:b/>
          <w:bCs/>
          <w:szCs w:val="24"/>
        </w:rPr>
      </w:pPr>
      <w:r w:rsidRPr="008E3606">
        <w:rPr>
          <w:rFonts w:ascii="Cambria" w:hAnsi="Cambria"/>
          <w:b/>
          <w:bCs/>
          <w:szCs w:val="24"/>
        </w:rPr>
        <w:t>Cuenta 610 CUENTAS CONTINGENTES DEUDORES</w:t>
      </w:r>
    </w:p>
    <w:p w14:paraId="3B69F639"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 los correspondientes depósitos previos cuando existan, así como restar las correspondientes estimaciones específicas.</w:t>
      </w:r>
    </w:p>
    <w:p w14:paraId="6B17BD73" w14:textId="77777777" w:rsidR="00E10BA0" w:rsidRPr="008E3606" w:rsidRDefault="00E10BA0" w:rsidP="00E10BA0">
      <w:pPr>
        <w:pStyle w:val="Prrafodelista"/>
        <w:widowControl w:val="0"/>
        <w:numPr>
          <w:ilvl w:val="0"/>
          <w:numId w:val="33"/>
        </w:numPr>
        <w:spacing w:after="0" w:line="240" w:lineRule="auto"/>
        <w:ind w:left="1134" w:hanging="567"/>
        <w:contextualSpacing w:val="0"/>
        <w:rPr>
          <w:rFonts w:ascii="Cambria" w:hAnsi="Cambria"/>
          <w:b/>
          <w:bCs/>
          <w:szCs w:val="24"/>
        </w:rPr>
      </w:pPr>
      <w:r w:rsidRPr="008E3606">
        <w:rPr>
          <w:rFonts w:ascii="Cambria" w:hAnsi="Cambria"/>
          <w:b/>
          <w:bCs/>
          <w:szCs w:val="24"/>
        </w:rPr>
        <w:t>Campos relevantes de los correspondientes XML.</w:t>
      </w:r>
    </w:p>
    <w:p w14:paraId="08CBCF54"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Tipo Persona</w:t>
      </w:r>
    </w:p>
    <w:p w14:paraId="0DDD8862"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Tipo Moneda</w:t>
      </w:r>
    </w:p>
    <w:p w14:paraId="06C5DA4B"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 xml:space="preserve">Tipo cartera </w:t>
      </w:r>
    </w:p>
    <w:p w14:paraId="6F5415AF"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Deudor Expuesto</w:t>
      </w:r>
    </w:p>
    <w:p w14:paraId="07D0BB63"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Plazo Operación</w:t>
      </w:r>
    </w:p>
    <w:p w14:paraId="6DB16C26"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Exposiciones Cubiertas con Valores: Valor ajustado de la correspondiente garantía.</w:t>
      </w:r>
    </w:p>
    <w:p w14:paraId="4A8EEDEF" w14:textId="77777777" w:rsidR="00E10BA0" w:rsidRPr="008E3606" w:rsidRDefault="00E10BA0" w:rsidP="00E10BA0">
      <w:pPr>
        <w:pStyle w:val="Prrafodelista"/>
        <w:widowControl w:val="0"/>
        <w:numPr>
          <w:ilvl w:val="0"/>
          <w:numId w:val="33"/>
        </w:numPr>
        <w:spacing w:after="0" w:line="240" w:lineRule="auto"/>
        <w:ind w:left="1134" w:hanging="567"/>
        <w:contextualSpacing w:val="0"/>
        <w:rPr>
          <w:rFonts w:ascii="Cambria" w:hAnsi="Cambria"/>
          <w:b/>
          <w:bCs/>
          <w:szCs w:val="24"/>
        </w:rPr>
      </w:pPr>
      <w:r w:rsidRPr="008E3606">
        <w:rPr>
          <w:rFonts w:ascii="Cambria" w:hAnsi="Cambria"/>
          <w:b/>
          <w:bCs/>
          <w:szCs w:val="24"/>
        </w:rPr>
        <w:t>Aplicación de los ponderadores de riesgo adicionales.</w:t>
      </w:r>
    </w:p>
    <w:p w14:paraId="684AB4AD"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Las exposiciones con personas físicas con créditos de Consumo, Tarjeta de Crédito y Vehículos están sujetas a dos tipos ajustes en el ponderador de riesgo aplicable:</w:t>
      </w:r>
    </w:p>
    <w:p w14:paraId="15023C4C" w14:textId="77777777" w:rsidR="00E10BA0" w:rsidRPr="008E3606" w:rsidRDefault="00E10BA0" w:rsidP="00E10BA0">
      <w:pPr>
        <w:pStyle w:val="Prrafodelista"/>
        <w:widowControl w:val="0"/>
        <w:numPr>
          <w:ilvl w:val="0"/>
          <w:numId w:val="13"/>
        </w:numPr>
        <w:spacing w:after="240" w:line="240" w:lineRule="auto"/>
        <w:ind w:left="1701" w:hanging="567"/>
        <w:contextualSpacing w:val="0"/>
        <w:rPr>
          <w:rFonts w:ascii="Cambria" w:hAnsi="Cambria"/>
          <w:szCs w:val="24"/>
        </w:rPr>
      </w:pPr>
      <w:r w:rsidRPr="008E3606">
        <w:rPr>
          <w:rFonts w:ascii="Cambria" w:hAnsi="Cambria"/>
          <w:szCs w:val="24"/>
        </w:rPr>
        <w:t xml:space="preserve">En el caso de exposiciones con deudores expuestos al riesgo cambiario, el ponderador que corresponda según la aplicación del Artículo </w:t>
      </w:r>
      <w:r w:rsidRPr="008E3606">
        <w:rPr>
          <w:rFonts w:ascii="Cambria" w:hAnsi="Cambria"/>
          <w:color w:val="auto"/>
          <w:szCs w:val="24"/>
        </w:rPr>
        <w:t>51</w:t>
      </w:r>
      <w:r w:rsidRPr="008E3606">
        <w:rPr>
          <w:rFonts w:ascii="Cambria" w:hAnsi="Cambria"/>
          <w:szCs w:val="24"/>
        </w:rPr>
        <w:t xml:space="preserve"> de este Reglamento, debe multiplicarse por un factor de 1.5.</w:t>
      </w:r>
    </w:p>
    <w:p w14:paraId="11CFF539" w14:textId="77777777" w:rsidR="00E10BA0" w:rsidRPr="008E3606" w:rsidRDefault="00E10BA0" w:rsidP="00E10BA0">
      <w:pPr>
        <w:pStyle w:val="Prrafodelista"/>
        <w:widowControl w:val="0"/>
        <w:numPr>
          <w:ilvl w:val="0"/>
          <w:numId w:val="13"/>
        </w:numPr>
        <w:spacing w:after="240" w:line="240" w:lineRule="auto"/>
        <w:ind w:left="1701" w:hanging="567"/>
        <w:contextualSpacing w:val="0"/>
        <w:rPr>
          <w:rFonts w:ascii="Cambria" w:hAnsi="Cambria"/>
          <w:szCs w:val="24"/>
        </w:rPr>
      </w:pPr>
      <w:r w:rsidRPr="008E3606">
        <w:rPr>
          <w:rFonts w:ascii="Cambria" w:hAnsi="Cambria"/>
          <w:szCs w:val="24"/>
        </w:rPr>
        <w:t>Al ponderador resultante del punto 1 anterior, deben sumarse los puntos porcentuales adicionales según el plazo residual de vencimiento de la operación.</w:t>
      </w:r>
    </w:p>
    <w:p w14:paraId="71FF355D" w14:textId="77777777" w:rsidR="00E10BA0" w:rsidRPr="008E3606" w:rsidRDefault="00E10BA0" w:rsidP="00E10BA0">
      <w:pPr>
        <w:pStyle w:val="Prrafodelista"/>
        <w:widowControl w:val="0"/>
        <w:numPr>
          <w:ilvl w:val="0"/>
          <w:numId w:val="13"/>
        </w:numPr>
        <w:spacing w:after="0" w:line="240" w:lineRule="auto"/>
        <w:ind w:left="1701" w:hanging="567"/>
        <w:contextualSpacing w:val="0"/>
        <w:rPr>
          <w:rFonts w:ascii="Cambria" w:hAnsi="Cambria"/>
          <w:szCs w:val="24"/>
        </w:rPr>
      </w:pPr>
      <w:r w:rsidRPr="008E3606">
        <w:rPr>
          <w:rFonts w:ascii="Cambria" w:hAnsi="Cambria"/>
          <w:szCs w:val="24"/>
        </w:rPr>
        <w:t>Ejemplo:</w:t>
      </w:r>
    </w:p>
    <w:p w14:paraId="66AF30B0"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 xml:space="preserve">Tarjeta de Crédito </w:t>
      </w:r>
    </w:p>
    <w:p w14:paraId="69EBAC2C"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Deudor expuesto a riesgo cambiario</w:t>
      </w:r>
    </w:p>
    <w:p w14:paraId="113904D4" w14:textId="77777777" w:rsidR="00E10BA0" w:rsidRPr="008E3606" w:rsidRDefault="00E10BA0" w:rsidP="00E10BA0">
      <w:pPr>
        <w:pStyle w:val="Prrafodelista"/>
        <w:widowControl w:val="0"/>
        <w:numPr>
          <w:ilvl w:val="0"/>
          <w:numId w:val="6"/>
        </w:numPr>
        <w:spacing w:after="240" w:line="240" w:lineRule="auto"/>
        <w:ind w:left="2268" w:hanging="567"/>
        <w:contextualSpacing w:val="0"/>
        <w:rPr>
          <w:rFonts w:ascii="Cambria" w:hAnsi="Cambria"/>
          <w:szCs w:val="24"/>
        </w:rPr>
      </w:pPr>
      <w:r w:rsidRPr="008E3606">
        <w:rPr>
          <w:rFonts w:ascii="Cambria" w:hAnsi="Cambria"/>
          <w:szCs w:val="24"/>
        </w:rPr>
        <w:t>Plazo residual: 6 años</w:t>
      </w:r>
    </w:p>
    <w:p w14:paraId="537B019F" w14:textId="77777777" w:rsidR="00E10BA0" w:rsidRPr="008E3606" w:rsidRDefault="00E10BA0" w:rsidP="00E10BA0">
      <w:pPr>
        <w:widowControl w:val="0"/>
        <w:spacing w:after="240" w:line="240" w:lineRule="auto"/>
        <w:ind w:left="1134"/>
        <w:rPr>
          <w:b/>
          <w:bCs/>
          <w:sz w:val="24"/>
        </w:rPr>
      </w:pPr>
      <w:r w:rsidRPr="008E3606">
        <w:rPr>
          <w:b/>
          <w:bCs/>
          <w:sz w:val="24"/>
        </w:rPr>
        <w:t>Cálculo del Ponderador por Riesgo de Crédito:</w:t>
      </w:r>
    </w:p>
    <w:tbl>
      <w:tblPr>
        <w:tblStyle w:val="Tablaconcuadrcula"/>
        <w:tblW w:w="8222" w:type="dxa"/>
        <w:tblInd w:w="704" w:type="dxa"/>
        <w:tblLook w:val="04A0" w:firstRow="1" w:lastRow="0" w:firstColumn="1" w:lastColumn="0" w:noHBand="0" w:noVBand="1"/>
      </w:tblPr>
      <w:tblGrid>
        <w:gridCol w:w="4932"/>
        <w:gridCol w:w="3290"/>
      </w:tblGrid>
      <w:tr w:rsidR="00E10BA0" w:rsidRPr="008E3606" w14:paraId="7640A33D" w14:textId="77777777" w:rsidTr="007E453E">
        <w:tc>
          <w:tcPr>
            <w:tcW w:w="4932" w:type="dxa"/>
            <w:shd w:val="clear" w:color="auto" w:fill="E7E6E6" w:themeFill="background2"/>
            <w:vAlign w:val="center"/>
          </w:tcPr>
          <w:p w14:paraId="30FA0AFA" w14:textId="77777777" w:rsidR="00E10BA0" w:rsidRPr="008E3606" w:rsidRDefault="00E10BA0" w:rsidP="007E453E">
            <w:pPr>
              <w:widowControl w:val="0"/>
              <w:spacing w:line="240" w:lineRule="auto"/>
              <w:jc w:val="center"/>
              <w:rPr>
                <w:b/>
                <w:bCs/>
                <w:sz w:val="24"/>
              </w:rPr>
            </w:pPr>
            <w:r w:rsidRPr="008E3606">
              <w:rPr>
                <w:b/>
                <w:bCs/>
                <w:sz w:val="24"/>
              </w:rPr>
              <w:t>Criterio</w:t>
            </w:r>
          </w:p>
        </w:tc>
        <w:tc>
          <w:tcPr>
            <w:tcW w:w="3290" w:type="dxa"/>
            <w:shd w:val="clear" w:color="auto" w:fill="E7E6E6" w:themeFill="background2"/>
            <w:vAlign w:val="center"/>
          </w:tcPr>
          <w:p w14:paraId="0383E6F9" w14:textId="77777777" w:rsidR="00E10BA0" w:rsidRPr="008E3606" w:rsidRDefault="00E10BA0" w:rsidP="007E453E">
            <w:pPr>
              <w:widowControl w:val="0"/>
              <w:spacing w:line="240" w:lineRule="auto"/>
              <w:jc w:val="center"/>
              <w:rPr>
                <w:b/>
                <w:bCs/>
                <w:sz w:val="24"/>
              </w:rPr>
            </w:pPr>
            <w:r w:rsidRPr="008E3606">
              <w:rPr>
                <w:b/>
                <w:bCs/>
                <w:sz w:val="24"/>
              </w:rPr>
              <w:t>Ponderador resultante</w:t>
            </w:r>
          </w:p>
        </w:tc>
      </w:tr>
      <w:tr w:rsidR="00E10BA0" w:rsidRPr="008E3606" w14:paraId="0D4F0BFB" w14:textId="77777777" w:rsidTr="007E453E">
        <w:tc>
          <w:tcPr>
            <w:tcW w:w="4932" w:type="dxa"/>
          </w:tcPr>
          <w:p w14:paraId="28C351A0" w14:textId="77777777" w:rsidR="00E10BA0" w:rsidRPr="008E3606" w:rsidRDefault="00E10BA0" w:rsidP="007E453E">
            <w:pPr>
              <w:widowControl w:val="0"/>
              <w:spacing w:line="240" w:lineRule="auto"/>
              <w:rPr>
                <w:sz w:val="24"/>
              </w:rPr>
            </w:pPr>
            <w:r w:rsidRPr="008E3606">
              <w:rPr>
                <w:sz w:val="24"/>
              </w:rPr>
              <w:t xml:space="preserve">Ponderador base: </w:t>
            </w:r>
          </w:p>
        </w:tc>
        <w:tc>
          <w:tcPr>
            <w:tcW w:w="3290" w:type="dxa"/>
          </w:tcPr>
          <w:p w14:paraId="681F2158"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3C50333B" w14:textId="77777777" w:rsidTr="007E453E">
        <w:tc>
          <w:tcPr>
            <w:tcW w:w="4932" w:type="dxa"/>
          </w:tcPr>
          <w:p w14:paraId="2C8B5BF3" w14:textId="77777777" w:rsidR="00E10BA0" w:rsidRPr="008E3606" w:rsidRDefault="00E10BA0" w:rsidP="007E453E">
            <w:pPr>
              <w:widowControl w:val="0"/>
              <w:spacing w:line="240" w:lineRule="auto"/>
              <w:rPr>
                <w:sz w:val="24"/>
              </w:rPr>
            </w:pPr>
            <w:r w:rsidRPr="008E3606">
              <w:rPr>
                <w:sz w:val="24"/>
              </w:rPr>
              <w:t>Según condición deudor expuesto a riesgo cambiario (Artículo 51)</w:t>
            </w:r>
          </w:p>
          <w:p w14:paraId="795342DB" w14:textId="77777777" w:rsidR="00E10BA0" w:rsidRPr="008E3606" w:rsidRDefault="00E10BA0" w:rsidP="00E10BA0">
            <w:pPr>
              <w:pStyle w:val="Prrafodelista"/>
              <w:widowControl w:val="0"/>
              <w:numPr>
                <w:ilvl w:val="0"/>
                <w:numId w:val="7"/>
              </w:numPr>
              <w:spacing w:after="0" w:line="240" w:lineRule="auto"/>
              <w:ind w:left="0" w:firstLine="0"/>
              <w:contextualSpacing w:val="0"/>
              <w:rPr>
                <w:rFonts w:ascii="Cambria" w:hAnsi="Cambria"/>
                <w:b/>
                <w:bCs/>
                <w:szCs w:val="24"/>
              </w:rPr>
            </w:pPr>
            <w:r w:rsidRPr="008E3606">
              <w:rPr>
                <w:rFonts w:ascii="Cambria" w:hAnsi="Cambria"/>
                <w:b/>
                <w:bCs/>
                <w:szCs w:val="24"/>
              </w:rPr>
              <w:t>Deudor expuesto a riesgo cambiario</w:t>
            </w:r>
          </w:p>
        </w:tc>
        <w:tc>
          <w:tcPr>
            <w:tcW w:w="3290" w:type="dxa"/>
            <w:vAlign w:val="center"/>
          </w:tcPr>
          <w:p w14:paraId="0A38B3A3" w14:textId="77777777" w:rsidR="00E10BA0" w:rsidRPr="008E3606" w:rsidRDefault="00E10BA0" w:rsidP="007E453E">
            <w:pPr>
              <w:widowControl w:val="0"/>
              <w:spacing w:line="240" w:lineRule="auto"/>
              <w:jc w:val="center"/>
              <w:rPr>
                <w:sz w:val="24"/>
              </w:rPr>
            </w:pPr>
            <w:r w:rsidRPr="008E3606">
              <w:rPr>
                <w:sz w:val="24"/>
              </w:rPr>
              <w:t>100% x 1.5 = 150%</w:t>
            </w:r>
          </w:p>
        </w:tc>
      </w:tr>
      <w:tr w:rsidR="00E10BA0" w:rsidRPr="008E3606" w14:paraId="01215BE7" w14:textId="77777777" w:rsidTr="007E453E">
        <w:tc>
          <w:tcPr>
            <w:tcW w:w="4932" w:type="dxa"/>
          </w:tcPr>
          <w:p w14:paraId="6BCA2F0E" w14:textId="77777777" w:rsidR="00E10BA0" w:rsidRPr="008E3606" w:rsidRDefault="00E10BA0" w:rsidP="007E453E">
            <w:pPr>
              <w:widowControl w:val="0"/>
              <w:spacing w:line="240" w:lineRule="auto"/>
              <w:rPr>
                <w:sz w:val="24"/>
              </w:rPr>
            </w:pPr>
            <w:r w:rsidRPr="008E3606">
              <w:rPr>
                <w:sz w:val="24"/>
              </w:rPr>
              <w:t>Según plazo remanente de la operación crediticia (Artículo 52):</w:t>
            </w:r>
          </w:p>
          <w:p w14:paraId="467C1702" w14:textId="77777777" w:rsidR="00E10BA0" w:rsidRPr="008E3606" w:rsidRDefault="00E10BA0" w:rsidP="00E10BA0">
            <w:pPr>
              <w:pStyle w:val="Prrafodelista"/>
              <w:widowControl w:val="0"/>
              <w:numPr>
                <w:ilvl w:val="0"/>
                <w:numId w:val="7"/>
              </w:numPr>
              <w:spacing w:after="0" w:line="240" w:lineRule="auto"/>
              <w:ind w:left="0" w:firstLine="0"/>
              <w:contextualSpacing w:val="0"/>
              <w:rPr>
                <w:rFonts w:ascii="Cambria" w:hAnsi="Cambria"/>
                <w:b/>
                <w:bCs/>
                <w:szCs w:val="24"/>
              </w:rPr>
            </w:pPr>
            <w:r w:rsidRPr="008E3606">
              <w:rPr>
                <w:rFonts w:ascii="Cambria" w:hAnsi="Cambria"/>
                <w:b/>
                <w:bCs/>
                <w:szCs w:val="24"/>
              </w:rPr>
              <w:t>Plazo residual mayor a 5 años</w:t>
            </w:r>
          </w:p>
        </w:tc>
        <w:tc>
          <w:tcPr>
            <w:tcW w:w="3290" w:type="dxa"/>
            <w:vAlign w:val="center"/>
          </w:tcPr>
          <w:p w14:paraId="218B895C" w14:textId="77777777" w:rsidR="00E10BA0" w:rsidRPr="008E3606" w:rsidRDefault="00E10BA0" w:rsidP="007E453E">
            <w:pPr>
              <w:widowControl w:val="0"/>
              <w:spacing w:line="240" w:lineRule="auto"/>
              <w:jc w:val="center"/>
              <w:rPr>
                <w:sz w:val="24"/>
              </w:rPr>
            </w:pPr>
            <w:r w:rsidRPr="008E3606">
              <w:rPr>
                <w:sz w:val="24"/>
              </w:rPr>
              <w:t>120% + 20% = 170%</w:t>
            </w:r>
          </w:p>
        </w:tc>
      </w:tr>
    </w:tbl>
    <w:p w14:paraId="77CF5959" w14:textId="77777777" w:rsidR="00E10BA0" w:rsidRPr="008E3606" w:rsidRDefault="00E10BA0" w:rsidP="00E10BA0">
      <w:pPr>
        <w:widowControl w:val="0"/>
        <w:spacing w:after="240" w:line="240" w:lineRule="auto"/>
        <w:ind w:left="1701"/>
        <w:rPr>
          <w:sz w:val="24"/>
        </w:rPr>
      </w:pPr>
      <w:r w:rsidRPr="008E3606">
        <w:rPr>
          <w:sz w:val="24"/>
        </w:rPr>
        <w:t>En este caso, el ponderador de riesgo aplicable para la exposición de riesgo de crédito será de 170%.</w:t>
      </w:r>
    </w:p>
    <w:p w14:paraId="68A3A085" w14:textId="52C87A7B" w:rsidR="00E10BA0" w:rsidRPr="008E3606" w:rsidRDefault="00E10BA0" w:rsidP="00E10BA0">
      <w:pPr>
        <w:widowControl w:val="0"/>
        <w:spacing w:after="240" w:line="259" w:lineRule="auto"/>
        <w:jc w:val="left"/>
        <w:rPr>
          <w:sz w:val="24"/>
        </w:rPr>
      </w:pPr>
    </w:p>
    <w:p w14:paraId="6851F6FD" w14:textId="77777777" w:rsidR="00E10BA0" w:rsidRPr="008E3606" w:rsidRDefault="00E10BA0" w:rsidP="00E10BA0">
      <w:pPr>
        <w:pStyle w:val="Prrafodelista"/>
        <w:widowControl w:val="0"/>
        <w:numPr>
          <w:ilvl w:val="0"/>
          <w:numId w:val="4"/>
        </w:numPr>
        <w:spacing w:after="240" w:line="247" w:lineRule="auto"/>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t xml:space="preserve">EXPOSICIONES CON CRÉDITOS HIPOTECARIOS RESIDENCIALES CON PERSONA FÍSICA </w:t>
      </w:r>
    </w:p>
    <w:p w14:paraId="2B7D3E99" w14:textId="77777777" w:rsidR="00E10BA0" w:rsidRPr="008E3606" w:rsidRDefault="00E10BA0" w:rsidP="00E10BA0">
      <w:pPr>
        <w:pStyle w:val="Prrafodelista"/>
        <w:widowControl w:val="0"/>
        <w:numPr>
          <w:ilvl w:val="0"/>
          <w:numId w:val="34"/>
        </w:numPr>
        <w:spacing w:after="240" w:line="240" w:lineRule="auto"/>
        <w:ind w:left="1134" w:hanging="567"/>
        <w:contextualSpacing w:val="0"/>
        <w:rPr>
          <w:rFonts w:ascii="Cambria" w:hAnsi="Cambria"/>
          <w:b/>
          <w:bCs/>
          <w:szCs w:val="24"/>
        </w:rPr>
      </w:pPr>
      <w:r w:rsidRPr="008E3606">
        <w:rPr>
          <w:rFonts w:ascii="Cambria" w:hAnsi="Cambria"/>
          <w:b/>
          <w:bCs/>
          <w:szCs w:val="24"/>
        </w:rPr>
        <w:t>Referencias Contables del Anexo 1: Plan de cuentas para las entidades supervisadas por SUGEF, SUGEVAL y SUPEN, los grupos y conglomerados financieros del Reglamento de Información Financiera, Acuerdo CONASSIF 6-18.</w:t>
      </w:r>
    </w:p>
    <w:p w14:paraId="7ED742A1" w14:textId="77777777" w:rsidR="00E10BA0" w:rsidRPr="008E3606" w:rsidRDefault="00E10BA0" w:rsidP="00E10BA0">
      <w:pPr>
        <w:pStyle w:val="Prrafodelista"/>
        <w:widowControl w:val="0"/>
        <w:numPr>
          <w:ilvl w:val="0"/>
          <w:numId w:val="29"/>
        </w:numPr>
        <w:spacing w:after="0" w:line="240" w:lineRule="auto"/>
        <w:ind w:left="1701" w:hanging="567"/>
        <w:contextualSpacing w:val="0"/>
        <w:rPr>
          <w:rFonts w:ascii="Cambria" w:hAnsi="Cambria"/>
          <w:b/>
          <w:bCs/>
          <w:szCs w:val="24"/>
        </w:rPr>
      </w:pPr>
      <w:r w:rsidRPr="008E3606">
        <w:rPr>
          <w:rFonts w:ascii="Cambria" w:hAnsi="Cambria"/>
          <w:b/>
          <w:bCs/>
          <w:szCs w:val="24"/>
        </w:rPr>
        <w:t>Cuenta 130 CARTERA DE CRÉDITOS</w:t>
      </w:r>
    </w:p>
    <w:p w14:paraId="23240C88" w14:textId="77777777" w:rsidR="00E10BA0" w:rsidRPr="008E3606" w:rsidRDefault="00E10BA0" w:rsidP="00E10BA0">
      <w:pPr>
        <w:pStyle w:val="Prrafodelista"/>
        <w:widowControl w:val="0"/>
        <w:spacing w:after="240" w:line="240" w:lineRule="auto"/>
        <w:ind w:left="1701" w:firstLine="0"/>
        <w:contextualSpacing w:val="0"/>
        <w:rPr>
          <w:rFonts w:ascii="Cambria" w:hAnsi="Cambria"/>
          <w:szCs w:val="24"/>
        </w:rPr>
      </w:pPr>
      <w:r w:rsidRPr="008E3606">
        <w:rPr>
          <w:rFonts w:ascii="Cambria" w:hAnsi="Cambria"/>
          <w:szCs w:val="24"/>
        </w:rPr>
        <w:t>Para cada contraparte individual la exposición debe incluir los correspondientes productos y cuentas por cobrar asociados, así como restar las correspondientes estimaciones específicas.</w:t>
      </w:r>
    </w:p>
    <w:p w14:paraId="39018291" w14:textId="77777777" w:rsidR="00E10BA0" w:rsidRPr="008E3606" w:rsidRDefault="00E10BA0" w:rsidP="00E10BA0">
      <w:pPr>
        <w:pStyle w:val="Prrafodelista"/>
        <w:widowControl w:val="0"/>
        <w:numPr>
          <w:ilvl w:val="0"/>
          <w:numId w:val="34"/>
        </w:numPr>
        <w:spacing w:after="0" w:line="240" w:lineRule="auto"/>
        <w:ind w:left="1134" w:hanging="567"/>
        <w:contextualSpacing w:val="0"/>
        <w:rPr>
          <w:rFonts w:ascii="Cambria" w:hAnsi="Cambria"/>
          <w:b/>
          <w:bCs/>
          <w:szCs w:val="24"/>
        </w:rPr>
      </w:pPr>
      <w:r w:rsidRPr="008E3606">
        <w:rPr>
          <w:rFonts w:ascii="Cambria" w:hAnsi="Cambria"/>
          <w:b/>
          <w:bCs/>
          <w:szCs w:val="24"/>
        </w:rPr>
        <w:t>Campos relevantes de los correspondientes XML.</w:t>
      </w:r>
    </w:p>
    <w:p w14:paraId="09FAC142"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Tipo Persona</w:t>
      </w:r>
    </w:p>
    <w:p w14:paraId="73D4A683"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Tipo Moneda</w:t>
      </w:r>
    </w:p>
    <w:p w14:paraId="4004EFDE"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 xml:space="preserve">Tipo cartera </w:t>
      </w:r>
    </w:p>
    <w:p w14:paraId="1872F04B" w14:textId="77777777" w:rsidR="00E10BA0" w:rsidRPr="008E3606" w:rsidRDefault="00E10BA0" w:rsidP="00E10BA0">
      <w:pPr>
        <w:pStyle w:val="Prrafodelista"/>
        <w:widowControl w:val="0"/>
        <w:spacing w:after="0" w:line="240" w:lineRule="auto"/>
        <w:ind w:left="1134" w:firstLine="0"/>
        <w:contextualSpacing w:val="0"/>
        <w:rPr>
          <w:rFonts w:ascii="Cambria" w:hAnsi="Cambria"/>
          <w:szCs w:val="24"/>
        </w:rPr>
      </w:pPr>
      <w:r w:rsidRPr="008E3606">
        <w:rPr>
          <w:rFonts w:ascii="Cambria" w:hAnsi="Cambria"/>
          <w:szCs w:val="24"/>
        </w:rPr>
        <w:t>Deudor Expuesto</w:t>
      </w:r>
    </w:p>
    <w:p w14:paraId="0C791C28"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Plazo Operación</w:t>
      </w:r>
    </w:p>
    <w:p w14:paraId="1D39D2C5" w14:textId="77777777" w:rsidR="00E10BA0" w:rsidRPr="008E3606" w:rsidRDefault="00E10BA0" w:rsidP="00E10BA0">
      <w:pPr>
        <w:pStyle w:val="Prrafodelista"/>
        <w:widowControl w:val="0"/>
        <w:numPr>
          <w:ilvl w:val="0"/>
          <w:numId w:val="34"/>
        </w:numPr>
        <w:spacing w:after="0" w:line="240" w:lineRule="auto"/>
        <w:ind w:left="1134" w:hanging="567"/>
        <w:contextualSpacing w:val="0"/>
        <w:rPr>
          <w:rFonts w:ascii="Cambria" w:hAnsi="Cambria"/>
          <w:b/>
          <w:bCs/>
          <w:szCs w:val="24"/>
        </w:rPr>
      </w:pPr>
      <w:r w:rsidRPr="008E3606">
        <w:rPr>
          <w:rFonts w:ascii="Cambria" w:hAnsi="Cambria"/>
          <w:b/>
          <w:bCs/>
          <w:szCs w:val="24"/>
        </w:rPr>
        <w:t>Cálculo de la Relación LTV.</w:t>
      </w:r>
    </w:p>
    <w:p w14:paraId="4E5797CC" w14:textId="77777777" w:rsidR="00E10BA0" w:rsidRPr="008E3606" w:rsidRDefault="00E10BA0" w:rsidP="00E10BA0">
      <w:pPr>
        <w:pStyle w:val="Prrafodelista"/>
        <w:widowControl w:val="0"/>
        <w:spacing w:after="0" w:line="240" w:lineRule="auto"/>
        <w:ind w:left="1134" w:firstLine="0"/>
        <w:contextualSpacing w:val="0"/>
        <w:rPr>
          <w:rFonts w:ascii="Cambria" w:hAnsi="Cambria"/>
          <w:b/>
          <w:bCs/>
          <w:szCs w:val="24"/>
        </w:rPr>
      </w:pPr>
      <w:r w:rsidRPr="008E3606">
        <w:rPr>
          <w:rFonts w:ascii="Cambria" w:hAnsi="Cambria"/>
          <w:b/>
          <w:bCs/>
          <w:szCs w:val="24"/>
        </w:rPr>
        <w:t>Cálculo de L:</w:t>
      </w:r>
    </w:p>
    <w:p w14:paraId="11674AD9"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Corresponde al saldo total adeudado de la operación crediticia.</w:t>
      </w:r>
    </w:p>
    <w:p w14:paraId="42AF2339" w14:textId="77777777" w:rsidR="00E10BA0" w:rsidRPr="008E3606" w:rsidRDefault="00E10BA0" w:rsidP="00E10BA0">
      <w:pPr>
        <w:pStyle w:val="Prrafodelista"/>
        <w:widowControl w:val="0"/>
        <w:spacing w:after="0" w:line="240" w:lineRule="auto"/>
        <w:ind w:left="1134" w:firstLine="0"/>
        <w:contextualSpacing w:val="0"/>
        <w:rPr>
          <w:rFonts w:ascii="Cambria" w:hAnsi="Cambria"/>
          <w:b/>
          <w:bCs/>
          <w:szCs w:val="24"/>
        </w:rPr>
      </w:pPr>
      <w:r w:rsidRPr="008E3606">
        <w:rPr>
          <w:rFonts w:ascii="Cambria" w:hAnsi="Cambria"/>
          <w:b/>
          <w:bCs/>
          <w:szCs w:val="24"/>
        </w:rPr>
        <w:t>Cálculo de V:</w:t>
      </w:r>
    </w:p>
    <w:p w14:paraId="53E72AFB"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 xml:space="preserve">Corresponde a la variable </w:t>
      </w:r>
      <w:r w:rsidRPr="008E3606">
        <w:rPr>
          <w:rFonts w:ascii="Cambria" w:hAnsi="Cambria"/>
          <w:i/>
          <w:iCs/>
          <w:szCs w:val="24"/>
        </w:rPr>
        <w:t>“</w:t>
      </w:r>
      <w:r w:rsidRPr="008E3606">
        <w:rPr>
          <w:rFonts w:ascii="Cambria" w:hAnsi="Cambria"/>
          <w:b/>
          <w:bCs/>
          <w:i/>
          <w:iCs/>
          <w:szCs w:val="24"/>
        </w:rPr>
        <w:t>Valor inicial: El último valor de tasación o valorización del colateral”</w:t>
      </w:r>
      <w:r w:rsidRPr="008E3606">
        <w:rPr>
          <w:rFonts w:ascii="Cambria" w:hAnsi="Cambria"/>
          <w:b/>
          <w:bCs/>
          <w:szCs w:val="24"/>
        </w:rPr>
        <w:t xml:space="preserve">, </w:t>
      </w:r>
      <w:r w:rsidRPr="008E3606">
        <w:rPr>
          <w:rFonts w:ascii="Cambria" w:hAnsi="Cambria"/>
          <w:szCs w:val="24"/>
        </w:rPr>
        <w:t>según el inciso a) del Artículo 19. “Monto mitigador de la garantía”, del Acuerdo CONASSIF 14-21.</w:t>
      </w:r>
    </w:p>
    <w:p w14:paraId="6668C0E3" w14:textId="77777777" w:rsidR="00E10BA0" w:rsidRPr="008E3606" w:rsidRDefault="00E10BA0" w:rsidP="00E10BA0">
      <w:pPr>
        <w:widowControl w:val="0"/>
        <w:spacing w:after="240" w:line="240" w:lineRule="auto"/>
        <w:ind w:left="1134"/>
        <w:rPr>
          <w:color w:val="4472C4" w:themeColor="accent1"/>
          <w:sz w:val="24"/>
        </w:rPr>
      </w:pPr>
      <w:r w:rsidRPr="008E3606">
        <w:rPr>
          <w:sz w:val="24"/>
        </w:rPr>
        <w:t>A efectos del cálculo del requerimiento de capital por riesgo de crédito, al calcular la razón LTV, el valor del bien inmueble se mantendrá constante desde el momento en que se origine el crédito hipotecario residencial, a menos que acontezca un evento extraordinario e idiosincrásico que produzca una reducción permanente del valor de la propiedad. También podrían considerarse a efectos del LTV las reformas realizadas sobre el inmueble que aumenten inequívocamente su valor.</w:t>
      </w:r>
    </w:p>
    <w:p w14:paraId="5BBCBF45" w14:textId="77777777" w:rsidR="00E10BA0" w:rsidRPr="008E3606" w:rsidRDefault="00E10BA0" w:rsidP="00E10BA0">
      <w:pPr>
        <w:pStyle w:val="Prrafodelista"/>
        <w:widowControl w:val="0"/>
        <w:numPr>
          <w:ilvl w:val="0"/>
          <w:numId w:val="34"/>
        </w:numPr>
        <w:spacing w:after="0" w:line="240" w:lineRule="auto"/>
        <w:ind w:left="1134" w:hanging="567"/>
        <w:contextualSpacing w:val="0"/>
        <w:rPr>
          <w:rFonts w:ascii="Cambria" w:hAnsi="Cambria"/>
          <w:b/>
          <w:bCs/>
          <w:szCs w:val="24"/>
        </w:rPr>
      </w:pPr>
      <w:r w:rsidRPr="008E3606">
        <w:rPr>
          <w:rFonts w:ascii="Cambria" w:hAnsi="Cambria"/>
          <w:b/>
          <w:bCs/>
          <w:szCs w:val="24"/>
        </w:rPr>
        <w:t>Aplicación de los ponderadores de riesgo adicionales.</w:t>
      </w:r>
    </w:p>
    <w:p w14:paraId="7302AF1A" w14:textId="77777777" w:rsidR="00E10BA0" w:rsidRPr="008E3606" w:rsidRDefault="00E10BA0" w:rsidP="00E10BA0">
      <w:pPr>
        <w:pStyle w:val="Prrafodelista"/>
        <w:widowControl w:val="0"/>
        <w:spacing w:after="240" w:line="240" w:lineRule="auto"/>
        <w:ind w:left="1134" w:firstLine="0"/>
        <w:contextualSpacing w:val="0"/>
        <w:rPr>
          <w:rFonts w:ascii="Cambria" w:hAnsi="Cambria"/>
          <w:szCs w:val="24"/>
        </w:rPr>
      </w:pPr>
      <w:r w:rsidRPr="008E3606">
        <w:rPr>
          <w:rFonts w:ascii="Cambria" w:hAnsi="Cambria"/>
          <w:szCs w:val="24"/>
        </w:rPr>
        <w:t>Las exposiciones con créditos hipotecarios residenciales con personas físicas están sujetas a dos tipos ajustes en el ponderador de riesgo aplicable:</w:t>
      </w:r>
    </w:p>
    <w:p w14:paraId="49FD1C6A" w14:textId="3C012205" w:rsidR="00E10BA0" w:rsidRPr="008E3606" w:rsidRDefault="00E10BA0" w:rsidP="00E10BA0">
      <w:pPr>
        <w:pStyle w:val="Prrafodelista"/>
        <w:widowControl w:val="0"/>
        <w:numPr>
          <w:ilvl w:val="0"/>
          <w:numId w:val="14"/>
        </w:numPr>
        <w:spacing w:after="240" w:line="240" w:lineRule="auto"/>
        <w:ind w:left="1701" w:hanging="567"/>
        <w:contextualSpacing w:val="0"/>
        <w:rPr>
          <w:rFonts w:ascii="Cambria" w:hAnsi="Cambria"/>
          <w:szCs w:val="24"/>
        </w:rPr>
      </w:pPr>
      <w:r w:rsidRPr="008E3606">
        <w:rPr>
          <w:rFonts w:ascii="Cambria" w:hAnsi="Cambria"/>
          <w:szCs w:val="24"/>
        </w:rPr>
        <w:t>En el caso de exposiciones con deudores expuestos al riesgo cambiario, el ponderador que corresponda según la aplicación del Artículo 51 de este Reglamento, debe multiplicarse por un factor de 1.5.</w:t>
      </w:r>
    </w:p>
    <w:p w14:paraId="0E37F89C" w14:textId="77777777" w:rsidR="00E10BA0" w:rsidRPr="008E3606" w:rsidRDefault="00E10BA0" w:rsidP="00E10BA0">
      <w:pPr>
        <w:pStyle w:val="Prrafodelista"/>
        <w:widowControl w:val="0"/>
        <w:numPr>
          <w:ilvl w:val="0"/>
          <w:numId w:val="14"/>
        </w:numPr>
        <w:spacing w:after="240" w:line="240" w:lineRule="auto"/>
        <w:ind w:left="1701" w:hanging="567"/>
        <w:contextualSpacing w:val="0"/>
        <w:rPr>
          <w:rFonts w:ascii="Cambria" w:hAnsi="Cambria"/>
          <w:szCs w:val="24"/>
        </w:rPr>
      </w:pPr>
      <w:r w:rsidRPr="008E3606">
        <w:rPr>
          <w:rFonts w:ascii="Cambria" w:hAnsi="Cambria"/>
          <w:szCs w:val="24"/>
        </w:rPr>
        <w:t>Al ponderador resultante del punto 1 anterior, deben sumarse los puntos porcentuales adicionales según el plazo residual de vencimiento de la operación.</w:t>
      </w:r>
    </w:p>
    <w:p w14:paraId="144933F1" w14:textId="77777777" w:rsidR="00E10BA0" w:rsidRPr="008E3606" w:rsidRDefault="00E10BA0" w:rsidP="00E10BA0">
      <w:pPr>
        <w:pStyle w:val="Prrafodelista"/>
        <w:widowControl w:val="0"/>
        <w:numPr>
          <w:ilvl w:val="0"/>
          <w:numId w:val="14"/>
        </w:numPr>
        <w:spacing w:after="0" w:line="240" w:lineRule="auto"/>
        <w:ind w:left="1701" w:hanging="567"/>
        <w:contextualSpacing w:val="0"/>
        <w:rPr>
          <w:rFonts w:ascii="Cambria" w:hAnsi="Cambria"/>
          <w:szCs w:val="24"/>
        </w:rPr>
      </w:pPr>
      <w:r w:rsidRPr="008E3606">
        <w:rPr>
          <w:rFonts w:ascii="Cambria" w:hAnsi="Cambria"/>
          <w:szCs w:val="24"/>
        </w:rPr>
        <w:t>Ejemplo:</w:t>
      </w:r>
    </w:p>
    <w:p w14:paraId="575A7207"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Crédito hipotecario residencial con persona física</w:t>
      </w:r>
    </w:p>
    <w:p w14:paraId="43D54957"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LTV: 120%</w:t>
      </w:r>
    </w:p>
    <w:p w14:paraId="686B5D6E" w14:textId="77777777" w:rsidR="00E10BA0" w:rsidRPr="008E3606" w:rsidRDefault="00E10BA0" w:rsidP="00E10BA0">
      <w:pPr>
        <w:pStyle w:val="Prrafodelista"/>
        <w:widowControl w:val="0"/>
        <w:numPr>
          <w:ilvl w:val="0"/>
          <w:numId w:val="6"/>
        </w:numPr>
        <w:spacing w:after="0" w:line="240" w:lineRule="auto"/>
        <w:ind w:left="2268" w:hanging="567"/>
        <w:contextualSpacing w:val="0"/>
        <w:rPr>
          <w:rFonts w:ascii="Cambria" w:hAnsi="Cambria"/>
          <w:szCs w:val="24"/>
        </w:rPr>
      </w:pPr>
      <w:r w:rsidRPr="008E3606">
        <w:rPr>
          <w:rFonts w:ascii="Cambria" w:hAnsi="Cambria"/>
          <w:szCs w:val="24"/>
        </w:rPr>
        <w:t>Deudor expuesto a riesgo cambiario</w:t>
      </w:r>
    </w:p>
    <w:p w14:paraId="79EC2218" w14:textId="77777777" w:rsidR="00E10BA0" w:rsidRPr="008E3606" w:rsidRDefault="00E10BA0" w:rsidP="00E10BA0">
      <w:pPr>
        <w:pStyle w:val="Prrafodelista"/>
        <w:widowControl w:val="0"/>
        <w:numPr>
          <w:ilvl w:val="0"/>
          <w:numId w:val="6"/>
        </w:numPr>
        <w:spacing w:after="240" w:line="240" w:lineRule="auto"/>
        <w:ind w:left="2268" w:hanging="567"/>
        <w:contextualSpacing w:val="0"/>
        <w:rPr>
          <w:rFonts w:ascii="Cambria" w:hAnsi="Cambria"/>
          <w:szCs w:val="24"/>
        </w:rPr>
      </w:pPr>
      <w:r w:rsidRPr="008E3606">
        <w:rPr>
          <w:rFonts w:ascii="Cambria" w:hAnsi="Cambria"/>
          <w:szCs w:val="24"/>
        </w:rPr>
        <w:t>Plazo residual: 40 años</w:t>
      </w:r>
    </w:p>
    <w:p w14:paraId="72E4EA74" w14:textId="77777777" w:rsidR="00E10BA0" w:rsidRPr="008E3606" w:rsidRDefault="00E10BA0" w:rsidP="00E10BA0">
      <w:pPr>
        <w:widowControl w:val="0"/>
        <w:spacing w:after="240" w:line="240" w:lineRule="auto"/>
        <w:ind w:left="1134"/>
        <w:rPr>
          <w:b/>
          <w:bCs/>
          <w:sz w:val="24"/>
        </w:rPr>
      </w:pPr>
      <w:r w:rsidRPr="008E3606">
        <w:rPr>
          <w:b/>
          <w:bCs/>
          <w:sz w:val="24"/>
        </w:rPr>
        <w:t>Cálculo del Ponderador por Riesgo de Crédito:</w:t>
      </w:r>
    </w:p>
    <w:tbl>
      <w:tblPr>
        <w:tblStyle w:val="Tablaconcuadrcula"/>
        <w:tblW w:w="8222" w:type="dxa"/>
        <w:tblInd w:w="704" w:type="dxa"/>
        <w:tblLook w:val="04A0" w:firstRow="1" w:lastRow="0" w:firstColumn="1" w:lastColumn="0" w:noHBand="0" w:noVBand="1"/>
      </w:tblPr>
      <w:tblGrid>
        <w:gridCol w:w="4932"/>
        <w:gridCol w:w="3290"/>
      </w:tblGrid>
      <w:tr w:rsidR="00E10BA0" w:rsidRPr="008E3606" w14:paraId="22D2A6F3" w14:textId="77777777" w:rsidTr="007E453E">
        <w:tc>
          <w:tcPr>
            <w:tcW w:w="4932" w:type="dxa"/>
            <w:shd w:val="clear" w:color="auto" w:fill="E7E6E6" w:themeFill="background2"/>
            <w:vAlign w:val="center"/>
          </w:tcPr>
          <w:p w14:paraId="5303482B" w14:textId="77777777" w:rsidR="00E10BA0" w:rsidRPr="008E3606" w:rsidRDefault="00E10BA0" w:rsidP="007E453E">
            <w:pPr>
              <w:widowControl w:val="0"/>
              <w:spacing w:line="240" w:lineRule="auto"/>
              <w:jc w:val="center"/>
              <w:rPr>
                <w:b/>
                <w:bCs/>
                <w:sz w:val="24"/>
              </w:rPr>
            </w:pPr>
            <w:r w:rsidRPr="008E3606">
              <w:rPr>
                <w:b/>
                <w:bCs/>
                <w:sz w:val="24"/>
              </w:rPr>
              <w:t>Criterio</w:t>
            </w:r>
          </w:p>
        </w:tc>
        <w:tc>
          <w:tcPr>
            <w:tcW w:w="3290" w:type="dxa"/>
            <w:shd w:val="clear" w:color="auto" w:fill="E7E6E6" w:themeFill="background2"/>
            <w:vAlign w:val="center"/>
          </w:tcPr>
          <w:p w14:paraId="3FF48658" w14:textId="77777777" w:rsidR="00E10BA0" w:rsidRPr="008E3606" w:rsidRDefault="00E10BA0" w:rsidP="007E453E">
            <w:pPr>
              <w:widowControl w:val="0"/>
              <w:spacing w:line="240" w:lineRule="auto"/>
              <w:jc w:val="center"/>
              <w:rPr>
                <w:b/>
                <w:bCs/>
                <w:sz w:val="24"/>
              </w:rPr>
            </w:pPr>
            <w:r w:rsidRPr="008E3606">
              <w:rPr>
                <w:b/>
                <w:bCs/>
                <w:sz w:val="24"/>
              </w:rPr>
              <w:t>Ponderador resultante</w:t>
            </w:r>
          </w:p>
        </w:tc>
      </w:tr>
      <w:tr w:rsidR="00E10BA0" w:rsidRPr="008E3606" w14:paraId="4C535DAC" w14:textId="77777777" w:rsidTr="007E453E">
        <w:tc>
          <w:tcPr>
            <w:tcW w:w="4932" w:type="dxa"/>
          </w:tcPr>
          <w:p w14:paraId="065B8EF9" w14:textId="77777777" w:rsidR="00E10BA0" w:rsidRPr="008E3606" w:rsidRDefault="00E10BA0" w:rsidP="007E453E">
            <w:pPr>
              <w:widowControl w:val="0"/>
              <w:spacing w:line="240" w:lineRule="auto"/>
              <w:rPr>
                <w:sz w:val="24"/>
              </w:rPr>
            </w:pPr>
            <w:r w:rsidRPr="008E3606">
              <w:rPr>
                <w:sz w:val="24"/>
              </w:rPr>
              <w:t>Según relación LTV (Artículo 48)</w:t>
            </w:r>
          </w:p>
          <w:p w14:paraId="0188A002" w14:textId="77777777" w:rsidR="00E10BA0" w:rsidRPr="008E3606" w:rsidRDefault="00E10BA0" w:rsidP="00E10BA0">
            <w:pPr>
              <w:pStyle w:val="Prrafodelista"/>
              <w:widowControl w:val="0"/>
              <w:numPr>
                <w:ilvl w:val="0"/>
                <w:numId w:val="7"/>
              </w:numPr>
              <w:spacing w:after="0" w:line="240" w:lineRule="auto"/>
              <w:ind w:left="0" w:firstLine="0"/>
              <w:contextualSpacing w:val="0"/>
              <w:rPr>
                <w:rFonts w:ascii="Cambria" w:hAnsi="Cambria"/>
                <w:b/>
                <w:bCs/>
                <w:color w:val="auto"/>
                <w:szCs w:val="24"/>
              </w:rPr>
            </w:pPr>
            <w:r w:rsidRPr="008E3606">
              <w:rPr>
                <w:rFonts w:ascii="Cambria" w:hAnsi="Cambria"/>
                <w:b/>
                <w:bCs/>
                <w:color w:val="auto"/>
                <w:szCs w:val="24"/>
              </w:rPr>
              <w:t>LTV: 120%</w:t>
            </w:r>
          </w:p>
        </w:tc>
        <w:tc>
          <w:tcPr>
            <w:tcW w:w="3290" w:type="dxa"/>
            <w:vAlign w:val="center"/>
          </w:tcPr>
          <w:p w14:paraId="716F0D05" w14:textId="77777777" w:rsidR="00E10BA0" w:rsidRPr="008E3606" w:rsidRDefault="00E10BA0" w:rsidP="007E453E">
            <w:pPr>
              <w:widowControl w:val="0"/>
              <w:spacing w:line="240" w:lineRule="auto"/>
              <w:jc w:val="center"/>
              <w:rPr>
                <w:sz w:val="24"/>
              </w:rPr>
            </w:pPr>
            <w:r w:rsidRPr="008E3606">
              <w:rPr>
                <w:sz w:val="24"/>
              </w:rPr>
              <w:t>80%</w:t>
            </w:r>
          </w:p>
        </w:tc>
      </w:tr>
      <w:tr w:rsidR="00E10BA0" w:rsidRPr="008E3606" w14:paraId="29E04C53" w14:textId="77777777" w:rsidTr="007E453E">
        <w:tc>
          <w:tcPr>
            <w:tcW w:w="4932" w:type="dxa"/>
          </w:tcPr>
          <w:p w14:paraId="353D613B" w14:textId="77777777" w:rsidR="00E10BA0" w:rsidRPr="008E3606" w:rsidRDefault="00E10BA0" w:rsidP="007E453E">
            <w:pPr>
              <w:widowControl w:val="0"/>
              <w:spacing w:line="240" w:lineRule="auto"/>
              <w:rPr>
                <w:sz w:val="24"/>
              </w:rPr>
            </w:pPr>
            <w:r w:rsidRPr="008E3606">
              <w:rPr>
                <w:sz w:val="24"/>
              </w:rPr>
              <w:t>Según condición deudor expuesto a riesgo cambiario (Artículo 51)</w:t>
            </w:r>
          </w:p>
          <w:p w14:paraId="0EC7F4CB" w14:textId="77777777" w:rsidR="00E10BA0" w:rsidRPr="008E3606" w:rsidRDefault="00E10BA0" w:rsidP="00E10BA0">
            <w:pPr>
              <w:pStyle w:val="Prrafodelista"/>
              <w:widowControl w:val="0"/>
              <w:numPr>
                <w:ilvl w:val="0"/>
                <w:numId w:val="7"/>
              </w:numPr>
              <w:spacing w:after="0" w:line="240" w:lineRule="auto"/>
              <w:ind w:left="0" w:firstLine="0"/>
              <w:contextualSpacing w:val="0"/>
              <w:rPr>
                <w:rFonts w:ascii="Cambria" w:hAnsi="Cambria"/>
                <w:b/>
                <w:bCs/>
                <w:color w:val="auto"/>
                <w:szCs w:val="24"/>
              </w:rPr>
            </w:pPr>
            <w:r w:rsidRPr="008E3606">
              <w:rPr>
                <w:rFonts w:ascii="Cambria" w:hAnsi="Cambria"/>
                <w:b/>
                <w:bCs/>
                <w:color w:val="auto"/>
                <w:szCs w:val="24"/>
              </w:rPr>
              <w:t>Deudor expuesto a riesgo cambiario</w:t>
            </w:r>
          </w:p>
        </w:tc>
        <w:tc>
          <w:tcPr>
            <w:tcW w:w="3290" w:type="dxa"/>
            <w:vAlign w:val="center"/>
          </w:tcPr>
          <w:p w14:paraId="2806D9DA" w14:textId="77777777" w:rsidR="00E10BA0" w:rsidRPr="008E3606" w:rsidRDefault="00E10BA0" w:rsidP="007E453E">
            <w:pPr>
              <w:widowControl w:val="0"/>
              <w:spacing w:line="240" w:lineRule="auto"/>
              <w:jc w:val="center"/>
              <w:rPr>
                <w:sz w:val="24"/>
              </w:rPr>
            </w:pPr>
            <w:r w:rsidRPr="008E3606">
              <w:rPr>
                <w:sz w:val="24"/>
              </w:rPr>
              <w:t>80% x 1.5 = 120%</w:t>
            </w:r>
          </w:p>
        </w:tc>
      </w:tr>
      <w:tr w:rsidR="00E10BA0" w:rsidRPr="008E3606" w14:paraId="755D7A84" w14:textId="77777777" w:rsidTr="007E453E">
        <w:tc>
          <w:tcPr>
            <w:tcW w:w="4932" w:type="dxa"/>
          </w:tcPr>
          <w:p w14:paraId="1CDCD49C" w14:textId="77777777" w:rsidR="00E10BA0" w:rsidRPr="008E3606" w:rsidRDefault="00E10BA0" w:rsidP="007E453E">
            <w:pPr>
              <w:widowControl w:val="0"/>
              <w:spacing w:line="240" w:lineRule="auto"/>
              <w:rPr>
                <w:sz w:val="24"/>
              </w:rPr>
            </w:pPr>
            <w:r w:rsidRPr="008E3606">
              <w:rPr>
                <w:sz w:val="24"/>
              </w:rPr>
              <w:t>Según plazo remanente de la operación crediticia (Artículo 52):</w:t>
            </w:r>
          </w:p>
          <w:p w14:paraId="5ED530F3" w14:textId="77777777" w:rsidR="00E10BA0" w:rsidRPr="008E3606" w:rsidRDefault="00E10BA0" w:rsidP="00E10BA0">
            <w:pPr>
              <w:pStyle w:val="Prrafodelista"/>
              <w:widowControl w:val="0"/>
              <w:numPr>
                <w:ilvl w:val="0"/>
                <w:numId w:val="7"/>
              </w:numPr>
              <w:spacing w:after="0" w:line="240" w:lineRule="auto"/>
              <w:ind w:left="0" w:firstLine="0"/>
              <w:contextualSpacing w:val="0"/>
              <w:rPr>
                <w:rFonts w:ascii="Cambria" w:hAnsi="Cambria"/>
                <w:b/>
                <w:bCs/>
                <w:color w:val="auto"/>
                <w:szCs w:val="24"/>
              </w:rPr>
            </w:pPr>
            <w:r w:rsidRPr="008E3606">
              <w:rPr>
                <w:rFonts w:ascii="Cambria" w:hAnsi="Cambria"/>
                <w:b/>
                <w:bCs/>
                <w:color w:val="auto"/>
                <w:szCs w:val="24"/>
              </w:rPr>
              <w:t>Plazo residual mayor a 30 años</w:t>
            </w:r>
          </w:p>
        </w:tc>
        <w:tc>
          <w:tcPr>
            <w:tcW w:w="3290" w:type="dxa"/>
            <w:vAlign w:val="center"/>
          </w:tcPr>
          <w:p w14:paraId="33C3B0AC" w14:textId="77777777" w:rsidR="00E10BA0" w:rsidRPr="008E3606" w:rsidRDefault="00E10BA0" w:rsidP="007E453E">
            <w:pPr>
              <w:widowControl w:val="0"/>
              <w:spacing w:line="240" w:lineRule="auto"/>
              <w:jc w:val="center"/>
              <w:rPr>
                <w:sz w:val="24"/>
              </w:rPr>
            </w:pPr>
            <w:r w:rsidRPr="008E3606">
              <w:rPr>
                <w:sz w:val="24"/>
              </w:rPr>
              <w:t>120% + 10% = 130%</w:t>
            </w:r>
          </w:p>
        </w:tc>
      </w:tr>
    </w:tbl>
    <w:p w14:paraId="1E321776" w14:textId="77777777" w:rsidR="00E10BA0" w:rsidRPr="008E3606" w:rsidRDefault="00E10BA0" w:rsidP="00E10BA0">
      <w:pPr>
        <w:widowControl w:val="0"/>
        <w:spacing w:after="240" w:line="240" w:lineRule="auto"/>
        <w:ind w:left="1701"/>
        <w:rPr>
          <w:sz w:val="24"/>
        </w:rPr>
      </w:pPr>
      <w:r w:rsidRPr="008E3606">
        <w:rPr>
          <w:sz w:val="24"/>
        </w:rPr>
        <w:t>En este caso, el ponderador de riesgo aplicable para la exposición de riesgo de crédito será de 130%.</w:t>
      </w:r>
    </w:p>
    <w:p w14:paraId="02BAC6F0" w14:textId="544FDC7D" w:rsidR="00E10BA0" w:rsidRPr="008E3606" w:rsidRDefault="00E10BA0" w:rsidP="00E10BA0">
      <w:pPr>
        <w:widowControl w:val="0"/>
        <w:spacing w:after="240" w:line="259" w:lineRule="auto"/>
        <w:jc w:val="left"/>
        <w:rPr>
          <w:sz w:val="24"/>
        </w:rPr>
      </w:pPr>
    </w:p>
    <w:p w14:paraId="526E9A16" w14:textId="77777777" w:rsidR="00E10BA0" w:rsidRPr="008E3606" w:rsidRDefault="00E10BA0" w:rsidP="00E10BA0">
      <w:pPr>
        <w:pStyle w:val="Prrafodelista"/>
        <w:widowControl w:val="0"/>
        <w:numPr>
          <w:ilvl w:val="0"/>
          <w:numId w:val="4"/>
        </w:numPr>
        <w:spacing w:after="240" w:line="247" w:lineRule="auto"/>
        <w:ind w:left="567" w:hanging="567"/>
        <w:contextualSpacing w:val="0"/>
        <w:rPr>
          <w:rFonts w:ascii="Cambria" w:hAnsi="Cambria"/>
          <w:b/>
          <w:bCs/>
          <w:color w:val="4472C4" w:themeColor="accent1"/>
          <w:szCs w:val="24"/>
        </w:rPr>
      </w:pPr>
      <w:r w:rsidRPr="008E3606">
        <w:rPr>
          <w:rFonts w:ascii="Cambria" w:hAnsi="Cambria"/>
          <w:b/>
          <w:bCs/>
          <w:color w:val="4472C4" w:themeColor="accent1"/>
          <w:szCs w:val="24"/>
        </w:rPr>
        <w:t>ASIGNACIÓN DE FACTORES DE EQUIVALENCIA SEGÚN CRÉDITOS Y PASIVOS CONTINGENTES:</w:t>
      </w:r>
    </w:p>
    <w:tbl>
      <w:tblPr>
        <w:tblStyle w:val="Tablaconcuadrcula"/>
        <w:tblW w:w="0" w:type="auto"/>
        <w:tblInd w:w="5" w:type="dxa"/>
        <w:tblLook w:val="04A0" w:firstRow="1" w:lastRow="0" w:firstColumn="1" w:lastColumn="0" w:noHBand="0" w:noVBand="1"/>
      </w:tblPr>
      <w:tblGrid>
        <w:gridCol w:w="1743"/>
        <w:gridCol w:w="5473"/>
        <w:gridCol w:w="1607"/>
      </w:tblGrid>
      <w:tr w:rsidR="00E10BA0" w:rsidRPr="008E3606" w14:paraId="02AF2FCE" w14:textId="77777777" w:rsidTr="007E453E">
        <w:tc>
          <w:tcPr>
            <w:tcW w:w="1757" w:type="dxa"/>
            <w:shd w:val="clear" w:color="auto" w:fill="FFFFFF" w:themeFill="background1"/>
            <w:vAlign w:val="center"/>
          </w:tcPr>
          <w:p w14:paraId="781A20F9" w14:textId="77777777" w:rsidR="00E10BA0" w:rsidRPr="008E3606" w:rsidRDefault="00E10BA0" w:rsidP="007E453E">
            <w:pPr>
              <w:widowControl w:val="0"/>
              <w:spacing w:line="240" w:lineRule="auto"/>
              <w:jc w:val="center"/>
              <w:rPr>
                <w:b/>
                <w:bCs/>
                <w:sz w:val="24"/>
              </w:rPr>
            </w:pPr>
            <w:r w:rsidRPr="008E3606">
              <w:rPr>
                <w:b/>
                <w:bCs/>
                <w:sz w:val="24"/>
              </w:rPr>
              <w:t>Referencia Contable</w:t>
            </w:r>
          </w:p>
        </w:tc>
        <w:tc>
          <w:tcPr>
            <w:tcW w:w="5676" w:type="dxa"/>
            <w:shd w:val="clear" w:color="auto" w:fill="FFFFFF" w:themeFill="background1"/>
            <w:vAlign w:val="center"/>
          </w:tcPr>
          <w:p w14:paraId="1D6FDF47" w14:textId="77777777" w:rsidR="00E10BA0" w:rsidRPr="008E3606" w:rsidRDefault="00E10BA0" w:rsidP="007E453E">
            <w:pPr>
              <w:widowControl w:val="0"/>
              <w:spacing w:line="240" w:lineRule="auto"/>
              <w:jc w:val="center"/>
              <w:rPr>
                <w:b/>
                <w:bCs/>
                <w:sz w:val="24"/>
              </w:rPr>
            </w:pPr>
            <w:r w:rsidRPr="008E3606">
              <w:rPr>
                <w:b/>
                <w:bCs/>
                <w:sz w:val="24"/>
              </w:rPr>
              <w:t>Nombre de Cuenta</w:t>
            </w:r>
          </w:p>
        </w:tc>
        <w:tc>
          <w:tcPr>
            <w:tcW w:w="1390" w:type="dxa"/>
            <w:shd w:val="clear" w:color="auto" w:fill="FFFFFF" w:themeFill="background1"/>
            <w:vAlign w:val="center"/>
          </w:tcPr>
          <w:p w14:paraId="67D57325" w14:textId="77777777" w:rsidR="00E10BA0" w:rsidRPr="008E3606" w:rsidRDefault="00E10BA0" w:rsidP="007E453E">
            <w:pPr>
              <w:widowControl w:val="0"/>
              <w:spacing w:line="240" w:lineRule="auto"/>
              <w:jc w:val="center"/>
              <w:rPr>
                <w:b/>
                <w:bCs/>
                <w:sz w:val="24"/>
              </w:rPr>
            </w:pPr>
            <w:r w:rsidRPr="008E3606">
              <w:rPr>
                <w:b/>
                <w:bCs/>
                <w:sz w:val="24"/>
              </w:rPr>
              <w:t>Factor</w:t>
            </w:r>
          </w:p>
        </w:tc>
      </w:tr>
      <w:tr w:rsidR="00E10BA0" w:rsidRPr="008E3606" w14:paraId="74227044" w14:textId="77777777" w:rsidTr="007E453E">
        <w:tc>
          <w:tcPr>
            <w:tcW w:w="1757" w:type="dxa"/>
            <w:shd w:val="clear" w:color="auto" w:fill="002060"/>
            <w:vAlign w:val="center"/>
          </w:tcPr>
          <w:p w14:paraId="15C9B1C1"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611.01</w:t>
            </w:r>
          </w:p>
        </w:tc>
        <w:tc>
          <w:tcPr>
            <w:tcW w:w="5676" w:type="dxa"/>
            <w:shd w:val="clear" w:color="auto" w:fill="002060"/>
            <w:vAlign w:val="center"/>
          </w:tcPr>
          <w:p w14:paraId="75B4EA44"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Avales otorgados</w:t>
            </w:r>
          </w:p>
        </w:tc>
        <w:tc>
          <w:tcPr>
            <w:tcW w:w="1390" w:type="dxa"/>
            <w:shd w:val="clear" w:color="auto" w:fill="002060"/>
            <w:vAlign w:val="center"/>
          </w:tcPr>
          <w:p w14:paraId="388C298A"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3E194D00" w14:textId="77777777" w:rsidTr="007E453E">
        <w:tc>
          <w:tcPr>
            <w:tcW w:w="1757" w:type="dxa"/>
            <w:vAlign w:val="center"/>
          </w:tcPr>
          <w:p w14:paraId="6839D870" w14:textId="77777777" w:rsidR="00E10BA0" w:rsidRPr="008E3606" w:rsidRDefault="00E10BA0" w:rsidP="007E453E">
            <w:pPr>
              <w:widowControl w:val="0"/>
              <w:spacing w:line="240" w:lineRule="auto"/>
              <w:rPr>
                <w:sz w:val="24"/>
              </w:rPr>
            </w:pPr>
            <w:r w:rsidRPr="008E3606">
              <w:rPr>
                <w:sz w:val="24"/>
              </w:rPr>
              <w:t>611.01.M.01</w:t>
            </w:r>
          </w:p>
        </w:tc>
        <w:tc>
          <w:tcPr>
            <w:tcW w:w="5676" w:type="dxa"/>
            <w:vAlign w:val="center"/>
          </w:tcPr>
          <w:p w14:paraId="0E3124B8" w14:textId="77777777" w:rsidR="00E10BA0" w:rsidRPr="008E3606" w:rsidRDefault="00E10BA0" w:rsidP="007E453E">
            <w:pPr>
              <w:widowControl w:val="0"/>
              <w:spacing w:line="240" w:lineRule="auto"/>
              <w:rPr>
                <w:sz w:val="24"/>
              </w:rPr>
            </w:pPr>
            <w:r w:rsidRPr="008E3606">
              <w:rPr>
                <w:sz w:val="24"/>
              </w:rPr>
              <w:t>Avales valor en depósito previo</w:t>
            </w:r>
          </w:p>
        </w:tc>
        <w:tc>
          <w:tcPr>
            <w:tcW w:w="1390" w:type="dxa"/>
            <w:vAlign w:val="center"/>
          </w:tcPr>
          <w:p w14:paraId="0E5A6D21"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3358444F" w14:textId="77777777" w:rsidTr="007E453E">
        <w:tc>
          <w:tcPr>
            <w:tcW w:w="1757" w:type="dxa"/>
            <w:vAlign w:val="center"/>
          </w:tcPr>
          <w:p w14:paraId="6BABD3D0" w14:textId="77777777" w:rsidR="00E10BA0" w:rsidRPr="008E3606" w:rsidRDefault="00E10BA0" w:rsidP="007E453E">
            <w:pPr>
              <w:widowControl w:val="0"/>
              <w:spacing w:line="240" w:lineRule="auto"/>
              <w:rPr>
                <w:sz w:val="24"/>
              </w:rPr>
            </w:pPr>
            <w:r w:rsidRPr="008E3606">
              <w:rPr>
                <w:sz w:val="24"/>
              </w:rPr>
              <w:t>611.01.M.02</w:t>
            </w:r>
          </w:p>
        </w:tc>
        <w:tc>
          <w:tcPr>
            <w:tcW w:w="5676" w:type="dxa"/>
            <w:vAlign w:val="center"/>
          </w:tcPr>
          <w:p w14:paraId="39E9B219" w14:textId="77777777" w:rsidR="00E10BA0" w:rsidRPr="008E3606" w:rsidRDefault="00E10BA0" w:rsidP="007E453E">
            <w:pPr>
              <w:widowControl w:val="0"/>
              <w:spacing w:line="240" w:lineRule="auto"/>
              <w:rPr>
                <w:sz w:val="24"/>
              </w:rPr>
            </w:pPr>
            <w:r w:rsidRPr="008E3606">
              <w:rPr>
                <w:sz w:val="24"/>
              </w:rPr>
              <w:t>Avales saldo sin depósito previo</w:t>
            </w:r>
          </w:p>
        </w:tc>
        <w:tc>
          <w:tcPr>
            <w:tcW w:w="1390" w:type="dxa"/>
            <w:vAlign w:val="center"/>
          </w:tcPr>
          <w:p w14:paraId="55623356" w14:textId="77777777" w:rsidR="00E10BA0" w:rsidRPr="008E3606" w:rsidRDefault="00E10BA0" w:rsidP="007E453E">
            <w:pPr>
              <w:widowControl w:val="0"/>
              <w:spacing w:line="240" w:lineRule="auto"/>
              <w:jc w:val="center"/>
              <w:rPr>
                <w:sz w:val="24"/>
              </w:rPr>
            </w:pPr>
            <w:r w:rsidRPr="008E3606">
              <w:rPr>
                <w:sz w:val="24"/>
              </w:rPr>
              <w:t>0.25</w:t>
            </w:r>
          </w:p>
        </w:tc>
      </w:tr>
      <w:tr w:rsidR="00E10BA0" w:rsidRPr="008E3606" w14:paraId="27CADCF3" w14:textId="77777777" w:rsidTr="007E453E">
        <w:tc>
          <w:tcPr>
            <w:tcW w:w="1757" w:type="dxa"/>
            <w:shd w:val="clear" w:color="auto" w:fill="002060"/>
            <w:vAlign w:val="center"/>
          </w:tcPr>
          <w:p w14:paraId="5C414AE9"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611.02</w:t>
            </w:r>
          </w:p>
        </w:tc>
        <w:tc>
          <w:tcPr>
            <w:tcW w:w="5676" w:type="dxa"/>
            <w:shd w:val="clear" w:color="auto" w:fill="002060"/>
            <w:vAlign w:val="center"/>
          </w:tcPr>
          <w:p w14:paraId="4FE3C009"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Garantías de cumplimiento</w:t>
            </w:r>
          </w:p>
        </w:tc>
        <w:tc>
          <w:tcPr>
            <w:tcW w:w="1390" w:type="dxa"/>
            <w:shd w:val="clear" w:color="auto" w:fill="002060"/>
            <w:vAlign w:val="center"/>
          </w:tcPr>
          <w:p w14:paraId="6F4AE89E"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37FB9F82" w14:textId="77777777" w:rsidTr="007E453E">
        <w:tc>
          <w:tcPr>
            <w:tcW w:w="1757" w:type="dxa"/>
            <w:vAlign w:val="center"/>
          </w:tcPr>
          <w:p w14:paraId="2C8B3151" w14:textId="77777777" w:rsidR="00E10BA0" w:rsidRPr="008E3606" w:rsidRDefault="00E10BA0" w:rsidP="007E453E">
            <w:pPr>
              <w:widowControl w:val="0"/>
              <w:spacing w:line="240" w:lineRule="auto"/>
              <w:rPr>
                <w:sz w:val="24"/>
              </w:rPr>
            </w:pPr>
            <w:r w:rsidRPr="008E3606">
              <w:rPr>
                <w:sz w:val="24"/>
              </w:rPr>
              <w:t>611.02.M.01</w:t>
            </w:r>
          </w:p>
        </w:tc>
        <w:tc>
          <w:tcPr>
            <w:tcW w:w="5676" w:type="dxa"/>
            <w:vAlign w:val="center"/>
          </w:tcPr>
          <w:p w14:paraId="72EFBE80" w14:textId="77777777" w:rsidR="00E10BA0" w:rsidRPr="008E3606" w:rsidRDefault="00E10BA0" w:rsidP="007E453E">
            <w:pPr>
              <w:widowControl w:val="0"/>
              <w:spacing w:line="240" w:lineRule="auto"/>
              <w:rPr>
                <w:sz w:val="24"/>
              </w:rPr>
            </w:pPr>
            <w:r w:rsidRPr="008E3606">
              <w:rPr>
                <w:sz w:val="24"/>
              </w:rPr>
              <w:t>Garantías de cumplimiento valor en depósito previo</w:t>
            </w:r>
          </w:p>
        </w:tc>
        <w:tc>
          <w:tcPr>
            <w:tcW w:w="1390" w:type="dxa"/>
            <w:vAlign w:val="center"/>
          </w:tcPr>
          <w:p w14:paraId="726C18AD"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0D1C5836" w14:textId="77777777" w:rsidTr="007E453E">
        <w:tc>
          <w:tcPr>
            <w:tcW w:w="1757" w:type="dxa"/>
            <w:vAlign w:val="center"/>
          </w:tcPr>
          <w:p w14:paraId="4B22FF0A" w14:textId="77777777" w:rsidR="00E10BA0" w:rsidRPr="008E3606" w:rsidRDefault="00E10BA0" w:rsidP="007E453E">
            <w:pPr>
              <w:widowControl w:val="0"/>
              <w:spacing w:line="240" w:lineRule="auto"/>
              <w:rPr>
                <w:sz w:val="24"/>
              </w:rPr>
            </w:pPr>
            <w:r w:rsidRPr="008E3606">
              <w:rPr>
                <w:sz w:val="24"/>
              </w:rPr>
              <w:t>611.02.M.02</w:t>
            </w:r>
          </w:p>
        </w:tc>
        <w:tc>
          <w:tcPr>
            <w:tcW w:w="5676" w:type="dxa"/>
            <w:vAlign w:val="center"/>
          </w:tcPr>
          <w:p w14:paraId="189F010C" w14:textId="77777777" w:rsidR="00E10BA0" w:rsidRPr="008E3606" w:rsidRDefault="00E10BA0" w:rsidP="007E453E">
            <w:pPr>
              <w:widowControl w:val="0"/>
              <w:spacing w:line="240" w:lineRule="auto"/>
              <w:rPr>
                <w:sz w:val="24"/>
              </w:rPr>
            </w:pPr>
            <w:r w:rsidRPr="008E3606">
              <w:rPr>
                <w:sz w:val="24"/>
              </w:rPr>
              <w:t>Garantías de cumplimiento saldo sin depósito previo</w:t>
            </w:r>
          </w:p>
        </w:tc>
        <w:tc>
          <w:tcPr>
            <w:tcW w:w="1390" w:type="dxa"/>
            <w:vAlign w:val="center"/>
          </w:tcPr>
          <w:p w14:paraId="26F7D7BE" w14:textId="77777777" w:rsidR="00E10BA0" w:rsidRPr="008E3606" w:rsidRDefault="00E10BA0" w:rsidP="007E453E">
            <w:pPr>
              <w:widowControl w:val="0"/>
              <w:spacing w:line="240" w:lineRule="auto"/>
              <w:jc w:val="center"/>
              <w:rPr>
                <w:sz w:val="24"/>
              </w:rPr>
            </w:pPr>
            <w:r w:rsidRPr="008E3606">
              <w:rPr>
                <w:sz w:val="24"/>
              </w:rPr>
              <w:t>0.25</w:t>
            </w:r>
          </w:p>
        </w:tc>
      </w:tr>
      <w:tr w:rsidR="00E10BA0" w:rsidRPr="008E3606" w14:paraId="2B4AC97C" w14:textId="77777777" w:rsidTr="007E453E">
        <w:tc>
          <w:tcPr>
            <w:tcW w:w="1757" w:type="dxa"/>
            <w:shd w:val="clear" w:color="auto" w:fill="002060"/>
            <w:vAlign w:val="center"/>
          </w:tcPr>
          <w:p w14:paraId="1370CE56"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611.03</w:t>
            </w:r>
          </w:p>
        </w:tc>
        <w:tc>
          <w:tcPr>
            <w:tcW w:w="5676" w:type="dxa"/>
            <w:shd w:val="clear" w:color="auto" w:fill="002060"/>
            <w:vAlign w:val="center"/>
          </w:tcPr>
          <w:p w14:paraId="69A86DFD"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Garantías de participación</w:t>
            </w:r>
          </w:p>
        </w:tc>
        <w:tc>
          <w:tcPr>
            <w:tcW w:w="1390" w:type="dxa"/>
            <w:shd w:val="clear" w:color="auto" w:fill="002060"/>
            <w:vAlign w:val="center"/>
          </w:tcPr>
          <w:p w14:paraId="7D907E50"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243248FD" w14:textId="77777777" w:rsidTr="007E453E">
        <w:tc>
          <w:tcPr>
            <w:tcW w:w="1757" w:type="dxa"/>
            <w:vAlign w:val="center"/>
          </w:tcPr>
          <w:p w14:paraId="6F206ECA" w14:textId="77777777" w:rsidR="00E10BA0" w:rsidRPr="008E3606" w:rsidRDefault="00E10BA0" w:rsidP="007E453E">
            <w:pPr>
              <w:widowControl w:val="0"/>
              <w:spacing w:line="240" w:lineRule="auto"/>
              <w:rPr>
                <w:sz w:val="24"/>
              </w:rPr>
            </w:pPr>
            <w:r w:rsidRPr="008E3606">
              <w:rPr>
                <w:sz w:val="24"/>
              </w:rPr>
              <w:t>611.03.M.01</w:t>
            </w:r>
          </w:p>
        </w:tc>
        <w:tc>
          <w:tcPr>
            <w:tcW w:w="5676" w:type="dxa"/>
            <w:vAlign w:val="center"/>
          </w:tcPr>
          <w:p w14:paraId="4A4725EE" w14:textId="77777777" w:rsidR="00E10BA0" w:rsidRPr="008E3606" w:rsidRDefault="00E10BA0" w:rsidP="007E453E">
            <w:pPr>
              <w:widowControl w:val="0"/>
              <w:spacing w:line="240" w:lineRule="auto"/>
              <w:rPr>
                <w:sz w:val="24"/>
              </w:rPr>
            </w:pPr>
            <w:r w:rsidRPr="008E3606">
              <w:rPr>
                <w:sz w:val="24"/>
              </w:rPr>
              <w:t>Garantías de participación valor en depósito previo</w:t>
            </w:r>
          </w:p>
        </w:tc>
        <w:tc>
          <w:tcPr>
            <w:tcW w:w="1390" w:type="dxa"/>
            <w:vAlign w:val="center"/>
          </w:tcPr>
          <w:p w14:paraId="268700B1"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687F5311" w14:textId="77777777" w:rsidTr="007E453E">
        <w:tc>
          <w:tcPr>
            <w:tcW w:w="1757" w:type="dxa"/>
            <w:vAlign w:val="center"/>
          </w:tcPr>
          <w:p w14:paraId="3826DEB6" w14:textId="77777777" w:rsidR="00E10BA0" w:rsidRPr="008E3606" w:rsidRDefault="00E10BA0" w:rsidP="007E453E">
            <w:pPr>
              <w:widowControl w:val="0"/>
              <w:spacing w:line="240" w:lineRule="auto"/>
              <w:rPr>
                <w:sz w:val="24"/>
              </w:rPr>
            </w:pPr>
            <w:r w:rsidRPr="008E3606">
              <w:rPr>
                <w:sz w:val="24"/>
              </w:rPr>
              <w:t>611.03.M.02</w:t>
            </w:r>
          </w:p>
        </w:tc>
        <w:tc>
          <w:tcPr>
            <w:tcW w:w="5676" w:type="dxa"/>
            <w:vAlign w:val="center"/>
          </w:tcPr>
          <w:p w14:paraId="463ACCED" w14:textId="77777777" w:rsidR="00E10BA0" w:rsidRPr="008E3606" w:rsidRDefault="00E10BA0" w:rsidP="007E453E">
            <w:pPr>
              <w:widowControl w:val="0"/>
              <w:spacing w:line="240" w:lineRule="auto"/>
              <w:rPr>
                <w:sz w:val="24"/>
              </w:rPr>
            </w:pPr>
            <w:r w:rsidRPr="008E3606">
              <w:rPr>
                <w:sz w:val="24"/>
              </w:rPr>
              <w:t>Garantías de participación saldo sin depósito previo</w:t>
            </w:r>
          </w:p>
        </w:tc>
        <w:tc>
          <w:tcPr>
            <w:tcW w:w="1390" w:type="dxa"/>
            <w:vAlign w:val="center"/>
          </w:tcPr>
          <w:p w14:paraId="58D46DA6" w14:textId="77777777" w:rsidR="00E10BA0" w:rsidRPr="008E3606" w:rsidRDefault="00E10BA0" w:rsidP="007E453E">
            <w:pPr>
              <w:widowControl w:val="0"/>
              <w:spacing w:line="240" w:lineRule="auto"/>
              <w:jc w:val="center"/>
              <w:rPr>
                <w:sz w:val="24"/>
              </w:rPr>
            </w:pPr>
            <w:r w:rsidRPr="008E3606">
              <w:rPr>
                <w:sz w:val="24"/>
              </w:rPr>
              <w:t>0.05</w:t>
            </w:r>
          </w:p>
        </w:tc>
      </w:tr>
      <w:tr w:rsidR="00E10BA0" w:rsidRPr="008E3606" w14:paraId="133A3B8A" w14:textId="77777777" w:rsidTr="007E453E">
        <w:tc>
          <w:tcPr>
            <w:tcW w:w="1757" w:type="dxa"/>
            <w:shd w:val="clear" w:color="auto" w:fill="002060"/>
            <w:vAlign w:val="center"/>
          </w:tcPr>
          <w:p w14:paraId="77A2A43D"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611.04</w:t>
            </w:r>
          </w:p>
        </w:tc>
        <w:tc>
          <w:tcPr>
            <w:tcW w:w="5676" w:type="dxa"/>
            <w:shd w:val="clear" w:color="auto" w:fill="002060"/>
            <w:vAlign w:val="center"/>
          </w:tcPr>
          <w:p w14:paraId="3583BC09"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Otras garantías</w:t>
            </w:r>
          </w:p>
        </w:tc>
        <w:tc>
          <w:tcPr>
            <w:tcW w:w="1390" w:type="dxa"/>
            <w:shd w:val="clear" w:color="auto" w:fill="002060"/>
            <w:vAlign w:val="center"/>
          </w:tcPr>
          <w:p w14:paraId="19D1731F"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5EC560E5" w14:textId="77777777" w:rsidTr="007E453E">
        <w:tc>
          <w:tcPr>
            <w:tcW w:w="1757" w:type="dxa"/>
            <w:vAlign w:val="center"/>
          </w:tcPr>
          <w:p w14:paraId="3C0AD75A" w14:textId="77777777" w:rsidR="00E10BA0" w:rsidRPr="008E3606" w:rsidRDefault="00E10BA0" w:rsidP="007E453E">
            <w:pPr>
              <w:widowControl w:val="0"/>
              <w:spacing w:line="240" w:lineRule="auto"/>
              <w:rPr>
                <w:sz w:val="24"/>
              </w:rPr>
            </w:pPr>
            <w:r w:rsidRPr="008E3606">
              <w:rPr>
                <w:sz w:val="24"/>
              </w:rPr>
              <w:t>611.04.M.01</w:t>
            </w:r>
          </w:p>
        </w:tc>
        <w:tc>
          <w:tcPr>
            <w:tcW w:w="5676" w:type="dxa"/>
            <w:vAlign w:val="center"/>
          </w:tcPr>
          <w:p w14:paraId="06F476B5" w14:textId="77777777" w:rsidR="00E10BA0" w:rsidRPr="008E3606" w:rsidRDefault="00E10BA0" w:rsidP="007E453E">
            <w:pPr>
              <w:widowControl w:val="0"/>
              <w:spacing w:line="240" w:lineRule="auto"/>
              <w:rPr>
                <w:sz w:val="24"/>
              </w:rPr>
            </w:pPr>
            <w:r w:rsidRPr="008E3606">
              <w:rPr>
                <w:sz w:val="24"/>
              </w:rPr>
              <w:t>Otras garantías valor en depósito previo</w:t>
            </w:r>
          </w:p>
        </w:tc>
        <w:tc>
          <w:tcPr>
            <w:tcW w:w="1390" w:type="dxa"/>
            <w:vAlign w:val="center"/>
          </w:tcPr>
          <w:p w14:paraId="6B7ABD84"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514ED9B0" w14:textId="77777777" w:rsidTr="007E453E">
        <w:tc>
          <w:tcPr>
            <w:tcW w:w="1757" w:type="dxa"/>
            <w:vAlign w:val="center"/>
          </w:tcPr>
          <w:p w14:paraId="5523196A" w14:textId="77777777" w:rsidR="00E10BA0" w:rsidRPr="008E3606" w:rsidRDefault="00E10BA0" w:rsidP="007E453E">
            <w:pPr>
              <w:widowControl w:val="0"/>
              <w:spacing w:line="240" w:lineRule="auto"/>
              <w:rPr>
                <w:sz w:val="24"/>
              </w:rPr>
            </w:pPr>
            <w:r w:rsidRPr="008E3606">
              <w:rPr>
                <w:sz w:val="24"/>
              </w:rPr>
              <w:t>611.04.M.02</w:t>
            </w:r>
          </w:p>
        </w:tc>
        <w:tc>
          <w:tcPr>
            <w:tcW w:w="5676" w:type="dxa"/>
            <w:vAlign w:val="center"/>
          </w:tcPr>
          <w:p w14:paraId="3E92EABF" w14:textId="77777777" w:rsidR="00E10BA0" w:rsidRPr="008E3606" w:rsidRDefault="00E10BA0" w:rsidP="007E453E">
            <w:pPr>
              <w:widowControl w:val="0"/>
              <w:spacing w:line="240" w:lineRule="auto"/>
              <w:rPr>
                <w:sz w:val="24"/>
              </w:rPr>
            </w:pPr>
            <w:r w:rsidRPr="008E3606">
              <w:rPr>
                <w:sz w:val="24"/>
              </w:rPr>
              <w:t>Otras garantías sin depósito previo</w:t>
            </w:r>
          </w:p>
        </w:tc>
        <w:tc>
          <w:tcPr>
            <w:tcW w:w="1390" w:type="dxa"/>
            <w:vAlign w:val="center"/>
          </w:tcPr>
          <w:p w14:paraId="2544892A" w14:textId="77777777" w:rsidR="00E10BA0" w:rsidRPr="008E3606" w:rsidRDefault="00E10BA0" w:rsidP="007E453E">
            <w:pPr>
              <w:widowControl w:val="0"/>
              <w:spacing w:line="240" w:lineRule="auto"/>
              <w:jc w:val="center"/>
              <w:rPr>
                <w:sz w:val="24"/>
              </w:rPr>
            </w:pPr>
            <w:r w:rsidRPr="008E3606">
              <w:rPr>
                <w:sz w:val="24"/>
              </w:rPr>
              <w:t>0.25</w:t>
            </w:r>
          </w:p>
        </w:tc>
      </w:tr>
      <w:tr w:rsidR="00E10BA0" w:rsidRPr="008E3606" w14:paraId="3DF93E4C" w14:textId="77777777" w:rsidTr="007E453E">
        <w:tc>
          <w:tcPr>
            <w:tcW w:w="1757" w:type="dxa"/>
            <w:shd w:val="clear" w:color="auto" w:fill="002060"/>
            <w:vAlign w:val="center"/>
          </w:tcPr>
          <w:p w14:paraId="59020F13" w14:textId="77777777" w:rsidR="00E10BA0" w:rsidRPr="008E3606" w:rsidRDefault="00E10BA0" w:rsidP="007E453E">
            <w:pPr>
              <w:widowControl w:val="0"/>
              <w:spacing w:line="240" w:lineRule="auto"/>
              <w:rPr>
                <w:sz w:val="24"/>
              </w:rPr>
            </w:pPr>
            <w:r w:rsidRPr="008E3606">
              <w:rPr>
                <w:color w:val="FFFFFF" w:themeColor="background1"/>
                <w:sz w:val="24"/>
              </w:rPr>
              <w:t>611.05</w:t>
            </w:r>
          </w:p>
        </w:tc>
        <w:tc>
          <w:tcPr>
            <w:tcW w:w="5676" w:type="dxa"/>
            <w:shd w:val="clear" w:color="auto" w:fill="002060"/>
            <w:vAlign w:val="center"/>
          </w:tcPr>
          <w:p w14:paraId="3F093973" w14:textId="77777777" w:rsidR="00E10BA0" w:rsidRPr="008E3606" w:rsidRDefault="00E10BA0" w:rsidP="007E453E">
            <w:pPr>
              <w:widowControl w:val="0"/>
              <w:spacing w:line="240" w:lineRule="auto"/>
              <w:rPr>
                <w:sz w:val="24"/>
              </w:rPr>
            </w:pPr>
            <w:r w:rsidRPr="008E3606">
              <w:rPr>
                <w:color w:val="FFFFFF" w:themeColor="background1"/>
                <w:sz w:val="24"/>
              </w:rPr>
              <w:t>Garantía subsidiaria que otorga el BANHVI a las entidades del sector vivienda.</w:t>
            </w:r>
          </w:p>
        </w:tc>
        <w:tc>
          <w:tcPr>
            <w:tcW w:w="1390" w:type="dxa"/>
            <w:shd w:val="clear" w:color="auto" w:fill="002060"/>
            <w:vAlign w:val="center"/>
          </w:tcPr>
          <w:p w14:paraId="5FEDB9AE" w14:textId="77777777" w:rsidR="00E10BA0" w:rsidRPr="008E3606" w:rsidRDefault="00E10BA0" w:rsidP="007E453E">
            <w:pPr>
              <w:widowControl w:val="0"/>
              <w:spacing w:line="240" w:lineRule="auto"/>
              <w:jc w:val="center"/>
              <w:rPr>
                <w:sz w:val="24"/>
              </w:rPr>
            </w:pPr>
          </w:p>
        </w:tc>
      </w:tr>
      <w:tr w:rsidR="00E10BA0" w:rsidRPr="008E3606" w14:paraId="38698080" w14:textId="77777777" w:rsidTr="007E453E">
        <w:tc>
          <w:tcPr>
            <w:tcW w:w="1757" w:type="dxa"/>
            <w:vAlign w:val="center"/>
          </w:tcPr>
          <w:p w14:paraId="1DD7CDA4" w14:textId="07CE8387" w:rsidR="00E10BA0" w:rsidRPr="008E3606" w:rsidRDefault="00E10BA0" w:rsidP="007E453E">
            <w:pPr>
              <w:widowControl w:val="0"/>
              <w:spacing w:line="240" w:lineRule="auto"/>
              <w:rPr>
                <w:strike/>
                <w:color w:val="0070C0"/>
                <w:sz w:val="24"/>
              </w:rPr>
            </w:pPr>
            <w:r w:rsidRPr="008E3606">
              <w:rPr>
                <w:sz w:val="24"/>
              </w:rPr>
              <w:t>611.05.M.01</w:t>
            </w:r>
          </w:p>
        </w:tc>
        <w:tc>
          <w:tcPr>
            <w:tcW w:w="5676" w:type="dxa"/>
            <w:vAlign w:val="center"/>
          </w:tcPr>
          <w:p w14:paraId="7AF8D2DC" w14:textId="77777777" w:rsidR="00E10BA0" w:rsidRPr="008E3606" w:rsidRDefault="00E10BA0" w:rsidP="007E453E">
            <w:pPr>
              <w:widowControl w:val="0"/>
              <w:spacing w:line="240" w:lineRule="auto"/>
              <w:rPr>
                <w:sz w:val="24"/>
              </w:rPr>
            </w:pPr>
            <w:r w:rsidRPr="008E3606">
              <w:rPr>
                <w:sz w:val="24"/>
              </w:rPr>
              <w:t>Garantía subsidiaria que otorga el BANHVI a las entidades del sector vivienda.</w:t>
            </w:r>
          </w:p>
        </w:tc>
        <w:tc>
          <w:tcPr>
            <w:tcW w:w="1390" w:type="dxa"/>
            <w:vAlign w:val="center"/>
          </w:tcPr>
          <w:p w14:paraId="36BE2A4C"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6D6867BF" w14:textId="77777777" w:rsidTr="007E453E">
        <w:tc>
          <w:tcPr>
            <w:tcW w:w="1757" w:type="dxa"/>
            <w:shd w:val="clear" w:color="auto" w:fill="002060"/>
            <w:vAlign w:val="center"/>
          </w:tcPr>
          <w:p w14:paraId="42736EA4"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612</w:t>
            </w:r>
          </w:p>
        </w:tc>
        <w:tc>
          <w:tcPr>
            <w:tcW w:w="5676" w:type="dxa"/>
            <w:shd w:val="clear" w:color="auto" w:fill="002060"/>
            <w:vAlign w:val="center"/>
          </w:tcPr>
          <w:p w14:paraId="61684FA2"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Cartas de crédito emitidas no negociadas</w:t>
            </w:r>
          </w:p>
        </w:tc>
        <w:tc>
          <w:tcPr>
            <w:tcW w:w="1390" w:type="dxa"/>
            <w:shd w:val="clear" w:color="auto" w:fill="002060"/>
            <w:vAlign w:val="center"/>
          </w:tcPr>
          <w:p w14:paraId="79C3F3AF"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6E8F3F02" w14:textId="77777777" w:rsidTr="007E453E">
        <w:tc>
          <w:tcPr>
            <w:tcW w:w="1757" w:type="dxa"/>
            <w:vAlign w:val="center"/>
          </w:tcPr>
          <w:p w14:paraId="59610F3C" w14:textId="77777777" w:rsidR="00E10BA0" w:rsidRPr="008E3606" w:rsidRDefault="00E10BA0" w:rsidP="007E453E">
            <w:pPr>
              <w:widowControl w:val="0"/>
              <w:spacing w:line="240" w:lineRule="auto"/>
              <w:rPr>
                <w:sz w:val="24"/>
              </w:rPr>
            </w:pPr>
            <w:r w:rsidRPr="008E3606">
              <w:rPr>
                <w:sz w:val="24"/>
              </w:rPr>
              <w:t>612.01</w:t>
            </w:r>
          </w:p>
        </w:tc>
        <w:tc>
          <w:tcPr>
            <w:tcW w:w="5676" w:type="dxa"/>
            <w:vAlign w:val="center"/>
          </w:tcPr>
          <w:p w14:paraId="7B924C95" w14:textId="77777777" w:rsidR="00E10BA0" w:rsidRPr="008E3606" w:rsidRDefault="00E10BA0" w:rsidP="007E453E">
            <w:pPr>
              <w:widowControl w:val="0"/>
              <w:spacing w:line="240" w:lineRule="auto"/>
              <w:rPr>
                <w:sz w:val="24"/>
              </w:rPr>
            </w:pPr>
            <w:r w:rsidRPr="008E3606">
              <w:rPr>
                <w:sz w:val="24"/>
              </w:rPr>
              <w:t>Cartas de crédito a la vista valor depósito previo</w:t>
            </w:r>
          </w:p>
        </w:tc>
        <w:tc>
          <w:tcPr>
            <w:tcW w:w="1390" w:type="dxa"/>
            <w:vAlign w:val="center"/>
          </w:tcPr>
          <w:p w14:paraId="3690DD86"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21181A1D" w14:textId="77777777" w:rsidTr="007E453E">
        <w:tc>
          <w:tcPr>
            <w:tcW w:w="1757" w:type="dxa"/>
            <w:vAlign w:val="center"/>
          </w:tcPr>
          <w:p w14:paraId="08712E0F" w14:textId="77777777" w:rsidR="00E10BA0" w:rsidRPr="008E3606" w:rsidRDefault="00E10BA0" w:rsidP="007E453E">
            <w:pPr>
              <w:widowControl w:val="0"/>
              <w:spacing w:line="240" w:lineRule="auto"/>
              <w:rPr>
                <w:sz w:val="24"/>
              </w:rPr>
            </w:pPr>
            <w:r w:rsidRPr="008E3606">
              <w:rPr>
                <w:sz w:val="24"/>
              </w:rPr>
              <w:t>612.02</w:t>
            </w:r>
          </w:p>
        </w:tc>
        <w:tc>
          <w:tcPr>
            <w:tcW w:w="5676" w:type="dxa"/>
            <w:vAlign w:val="center"/>
          </w:tcPr>
          <w:p w14:paraId="7900B283" w14:textId="77777777" w:rsidR="00E10BA0" w:rsidRPr="008E3606" w:rsidRDefault="00E10BA0" w:rsidP="007E453E">
            <w:pPr>
              <w:widowControl w:val="0"/>
              <w:spacing w:line="240" w:lineRule="auto"/>
              <w:rPr>
                <w:sz w:val="24"/>
              </w:rPr>
            </w:pPr>
            <w:r w:rsidRPr="008E3606">
              <w:rPr>
                <w:sz w:val="24"/>
              </w:rPr>
              <w:t>Cartas de crédito a la vista saldo sin depósito previo</w:t>
            </w:r>
          </w:p>
        </w:tc>
        <w:tc>
          <w:tcPr>
            <w:tcW w:w="1390" w:type="dxa"/>
            <w:vAlign w:val="center"/>
          </w:tcPr>
          <w:p w14:paraId="2ACD4D38"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3CE6D9E6" w14:textId="77777777" w:rsidTr="007E453E">
        <w:tc>
          <w:tcPr>
            <w:tcW w:w="1757" w:type="dxa"/>
            <w:shd w:val="clear" w:color="auto" w:fill="002060"/>
            <w:vAlign w:val="center"/>
          </w:tcPr>
          <w:p w14:paraId="34AE89ED"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613</w:t>
            </w:r>
          </w:p>
        </w:tc>
        <w:tc>
          <w:tcPr>
            <w:tcW w:w="5676" w:type="dxa"/>
            <w:shd w:val="clear" w:color="auto" w:fill="002060"/>
            <w:vAlign w:val="center"/>
          </w:tcPr>
          <w:p w14:paraId="26EE1633"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Cartas de crédito diferidas valor depósito previo</w:t>
            </w:r>
          </w:p>
        </w:tc>
        <w:tc>
          <w:tcPr>
            <w:tcW w:w="1390" w:type="dxa"/>
            <w:shd w:val="clear" w:color="auto" w:fill="002060"/>
            <w:vAlign w:val="center"/>
          </w:tcPr>
          <w:p w14:paraId="16D678D9" w14:textId="77777777" w:rsidR="00E10BA0" w:rsidRPr="008E3606" w:rsidRDefault="00E10BA0" w:rsidP="007E453E">
            <w:pPr>
              <w:widowControl w:val="0"/>
              <w:spacing w:line="240" w:lineRule="auto"/>
              <w:rPr>
                <w:color w:val="FFFFFF" w:themeColor="background1"/>
                <w:sz w:val="24"/>
              </w:rPr>
            </w:pPr>
          </w:p>
        </w:tc>
      </w:tr>
      <w:tr w:rsidR="00E10BA0" w:rsidRPr="008E3606" w14:paraId="2062B74C" w14:textId="77777777" w:rsidTr="007E453E">
        <w:tc>
          <w:tcPr>
            <w:tcW w:w="1757" w:type="dxa"/>
            <w:vAlign w:val="center"/>
          </w:tcPr>
          <w:p w14:paraId="7F4227D0" w14:textId="77777777" w:rsidR="00E10BA0" w:rsidRPr="008E3606" w:rsidRDefault="00E10BA0" w:rsidP="007E453E">
            <w:pPr>
              <w:widowControl w:val="0"/>
              <w:spacing w:line="240" w:lineRule="auto"/>
              <w:rPr>
                <w:sz w:val="24"/>
              </w:rPr>
            </w:pPr>
            <w:r w:rsidRPr="008E3606">
              <w:rPr>
                <w:sz w:val="24"/>
              </w:rPr>
              <w:t>612.04</w:t>
            </w:r>
          </w:p>
        </w:tc>
        <w:tc>
          <w:tcPr>
            <w:tcW w:w="5676" w:type="dxa"/>
            <w:vAlign w:val="center"/>
          </w:tcPr>
          <w:p w14:paraId="27FE5FE8" w14:textId="77777777" w:rsidR="00E10BA0" w:rsidRPr="008E3606" w:rsidRDefault="00E10BA0" w:rsidP="007E453E">
            <w:pPr>
              <w:widowControl w:val="0"/>
              <w:spacing w:line="240" w:lineRule="auto"/>
              <w:rPr>
                <w:sz w:val="24"/>
              </w:rPr>
            </w:pPr>
            <w:r w:rsidRPr="008E3606">
              <w:rPr>
                <w:sz w:val="24"/>
              </w:rPr>
              <w:t>Cartas de crédito diferidas saldo sin depósito previo</w:t>
            </w:r>
          </w:p>
        </w:tc>
        <w:tc>
          <w:tcPr>
            <w:tcW w:w="1390" w:type="dxa"/>
            <w:vAlign w:val="center"/>
          </w:tcPr>
          <w:p w14:paraId="64B21F2C"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6E469722" w14:textId="77777777" w:rsidTr="007E453E">
        <w:tc>
          <w:tcPr>
            <w:tcW w:w="1757" w:type="dxa"/>
            <w:shd w:val="clear" w:color="auto" w:fill="002060"/>
            <w:vAlign w:val="center"/>
          </w:tcPr>
          <w:p w14:paraId="061EB00F"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613.01</w:t>
            </w:r>
          </w:p>
        </w:tc>
        <w:tc>
          <w:tcPr>
            <w:tcW w:w="5676" w:type="dxa"/>
            <w:shd w:val="clear" w:color="auto" w:fill="002060"/>
            <w:vAlign w:val="center"/>
          </w:tcPr>
          <w:p w14:paraId="6254F3EF"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Cartas de crédito confirmadas no negociadas</w:t>
            </w:r>
          </w:p>
        </w:tc>
        <w:tc>
          <w:tcPr>
            <w:tcW w:w="1390" w:type="dxa"/>
            <w:shd w:val="clear" w:color="auto" w:fill="002060"/>
            <w:vAlign w:val="center"/>
          </w:tcPr>
          <w:p w14:paraId="701EF269"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114B8E7F" w14:textId="77777777" w:rsidTr="007E453E">
        <w:tc>
          <w:tcPr>
            <w:tcW w:w="1757" w:type="dxa"/>
            <w:vAlign w:val="center"/>
          </w:tcPr>
          <w:p w14:paraId="2520F042" w14:textId="77777777" w:rsidR="00E10BA0" w:rsidRPr="008E3606" w:rsidRDefault="00E10BA0" w:rsidP="007E453E">
            <w:pPr>
              <w:widowControl w:val="0"/>
              <w:spacing w:line="240" w:lineRule="auto"/>
              <w:rPr>
                <w:sz w:val="24"/>
              </w:rPr>
            </w:pPr>
            <w:r w:rsidRPr="008E3606">
              <w:rPr>
                <w:sz w:val="24"/>
              </w:rPr>
              <w:t>613.01.M.01</w:t>
            </w:r>
          </w:p>
        </w:tc>
        <w:tc>
          <w:tcPr>
            <w:tcW w:w="5676" w:type="dxa"/>
            <w:vAlign w:val="center"/>
          </w:tcPr>
          <w:p w14:paraId="7BADE605" w14:textId="77777777" w:rsidR="00E10BA0" w:rsidRPr="008E3606" w:rsidRDefault="00E10BA0" w:rsidP="007E453E">
            <w:pPr>
              <w:widowControl w:val="0"/>
              <w:spacing w:line="240" w:lineRule="auto"/>
              <w:rPr>
                <w:sz w:val="24"/>
              </w:rPr>
            </w:pPr>
            <w:r w:rsidRPr="008E3606">
              <w:rPr>
                <w:sz w:val="24"/>
              </w:rPr>
              <w:t>Cartas de crédito confirmadas no negociadas valor depósito previo</w:t>
            </w:r>
          </w:p>
        </w:tc>
        <w:tc>
          <w:tcPr>
            <w:tcW w:w="1390" w:type="dxa"/>
            <w:vAlign w:val="center"/>
          </w:tcPr>
          <w:p w14:paraId="595E4A0C"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3771B055" w14:textId="77777777" w:rsidTr="007E453E">
        <w:tc>
          <w:tcPr>
            <w:tcW w:w="1757" w:type="dxa"/>
            <w:vAlign w:val="center"/>
          </w:tcPr>
          <w:p w14:paraId="1AA65357" w14:textId="77777777" w:rsidR="00E10BA0" w:rsidRPr="008E3606" w:rsidRDefault="00E10BA0" w:rsidP="007E453E">
            <w:pPr>
              <w:widowControl w:val="0"/>
              <w:spacing w:line="240" w:lineRule="auto"/>
              <w:rPr>
                <w:sz w:val="24"/>
              </w:rPr>
            </w:pPr>
            <w:r w:rsidRPr="008E3606">
              <w:rPr>
                <w:sz w:val="24"/>
              </w:rPr>
              <w:t>613.01.M.02</w:t>
            </w:r>
          </w:p>
        </w:tc>
        <w:tc>
          <w:tcPr>
            <w:tcW w:w="5676" w:type="dxa"/>
            <w:vAlign w:val="center"/>
          </w:tcPr>
          <w:p w14:paraId="79D7E2BB" w14:textId="77777777" w:rsidR="00E10BA0" w:rsidRPr="008E3606" w:rsidRDefault="00E10BA0" w:rsidP="007E453E">
            <w:pPr>
              <w:widowControl w:val="0"/>
              <w:spacing w:line="240" w:lineRule="auto"/>
              <w:rPr>
                <w:sz w:val="24"/>
              </w:rPr>
            </w:pPr>
            <w:r w:rsidRPr="008E3606">
              <w:rPr>
                <w:sz w:val="24"/>
              </w:rPr>
              <w:t>Cartas de crédito confirmadas no negociadas saldo sin depósito previo</w:t>
            </w:r>
          </w:p>
        </w:tc>
        <w:tc>
          <w:tcPr>
            <w:tcW w:w="1390" w:type="dxa"/>
            <w:vAlign w:val="center"/>
          </w:tcPr>
          <w:p w14:paraId="6A220DA0" w14:textId="77777777" w:rsidR="00E10BA0" w:rsidRPr="008E3606" w:rsidRDefault="00E10BA0" w:rsidP="007E453E">
            <w:pPr>
              <w:widowControl w:val="0"/>
              <w:spacing w:line="240" w:lineRule="auto"/>
              <w:jc w:val="center"/>
              <w:rPr>
                <w:sz w:val="24"/>
              </w:rPr>
            </w:pPr>
            <w:r w:rsidRPr="008E3606">
              <w:rPr>
                <w:sz w:val="24"/>
              </w:rPr>
              <w:t>0.05</w:t>
            </w:r>
          </w:p>
        </w:tc>
      </w:tr>
      <w:tr w:rsidR="00E10BA0" w:rsidRPr="008E3606" w14:paraId="0EACDB85" w14:textId="77777777" w:rsidTr="007E453E">
        <w:tc>
          <w:tcPr>
            <w:tcW w:w="1757" w:type="dxa"/>
            <w:shd w:val="clear" w:color="auto" w:fill="002060"/>
            <w:vAlign w:val="center"/>
          </w:tcPr>
          <w:p w14:paraId="1F86745D"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614</w:t>
            </w:r>
          </w:p>
        </w:tc>
        <w:tc>
          <w:tcPr>
            <w:tcW w:w="5676" w:type="dxa"/>
            <w:shd w:val="clear" w:color="auto" w:fill="002060"/>
            <w:vAlign w:val="center"/>
          </w:tcPr>
          <w:p w14:paraId="042AD234"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Documentos Descontados</w:t>
            </w:r>
          </w:p>
        </w:tc>
        <w:tc>
          <w:tcPr>
            <w:tcW w:w="1390" w:type="dxa"/>
            <w:shd w:val="clear" w:color="auto" w:fill="002060"/>
            <w:vAlign w:val="center"/>
          </w:tcPr>
          <w:p w14:paraId="79CED420"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74D7D48A" w14:textId="77777777" w:rsidTr="007E453E">
        <w:tc>
          <w:tcPr>
            <w:tcW w:w="1757" w:type="dxa"/>
            <w:shd w:val="clear" w:color="auto" w:fill="auto"/>
            <w:vAlign w:val="center"/>
          </w:tcPr>
          <w:p w14:paraId="186E3597" w14:textId="77777777" w:rsidR="00E10BA0" w:rsidRPr="008E3606" w:rsidRDefault="00E10BA0" w:rsidP="007E453E">
            <w:pPr>
              <w:widowControl w:val="0"/>
              <w:spacing w:line="240" w:lineRule="auto"/>
              <w:rPr>
                <w:sz w:val="24"/>
              </w:rPr>
            </w:pPr>
            <w:r w:rsidRPr="008E3606">
              <w:rPr>
                <w:sz w:val="24"/>
              </w:rPr>
              <w:t>614.01</w:t>
            </w:r>
          </w:p>
        </w:tc>
        <w:tc>
          <w:tcPr>
            <w:tcW w:w="5676" w:type="dxa"/>
            <w:shd w:val="clear" w:color="auto" w:fill="auto"/>
            <w:vAlign w:val="center"/>
          </w:tcPr>
          <w:p w14:paraId="570AA524" w14:textId="77777777" w:rsidR="00E10BA0" w:rsidRPr="008E3606" w:rsidRDefault="00E10BA0" w:rsidP="007E453E">
            <w:pPr>
              <w:widowControl w:val="0"/>
              <w:spacing w:line="240" w:lineRule="auto"/>
              <w:rPr>
                <w:sz w:val="24"/>
              </w:rPr>
            </w:pPr>
            <w:r w:rsidRPr="008E3606">
              <w:rPr>
                <w:sz w:val="24"/>
              </w:rPr>
              <w:t>Documentos descontados en el BCCR</w:t>
            </w:r>
          </w:p>
        </w:tc>
        <w:tc>
          <w:tcPr>
            <w:tcW w:w="1390" w:type="dxa"/>
            <w:shd w:val="clear" w:color="auto" w:fill="auto"/>
            <w:vAlign w:val="center"/>
          </w:tcPr>
          <w:p w14:paraId="4E6E3443"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76BA7806" w14:textId="77777777" w:rsidTr="007E453E">
        <w:tc>
          <w:tcPr>
            <w:tcW w:w="1757" w:type="dxa"/>
            <w:shd w:val="clear" w:color="auto" w:fill="auto"/>
            <w:vAlign w:val="center"/>
          </w:tcPr>
          <w:p w14:paraId="1701A90C" w14:textId="77777777" w:rsidR="00E10BA0" w:rsidRPr="008E3606" w:rsidRDefault="00E10BA0" w:rsidP="007E453E">
            <w:pPr>
              <w:widowControl w:val="0"/>
              <w:spacing w:line="240" w:lineRule="auto"/>
              <w:rPr>
                <w:color w:val="FFFFFF" w:themeColor="background1"/>
                <w:sz w:val="24"/>
              </w:rPr>
            </w:pPr>
            <w:r w:rsidRPr="008E3606">
              <w:rPr>
                <w:sz w:val="24"/>
              </w:rPr>
              <w:t>614.02</w:t>
            </w:r>
          </w:p>
        </w:tc>
        <w:tc>
          <w:tcPr>
            <w:tcW w:w="5676" w:type="dxa"/>
            <w:shd w:val="clear" w:color="auto" w:fill="auto"/>
            <w:vAlign w:val="center"/>
          </w:tcPr>
          <w:p w14:paraId="35BEEF07" w14:textId="77777777" w:rsidR="00E10BA0" w:rsidRPr="008E3606" w:rsidRDefault="00E10BA0" w:rsidP="007E453E">
            <w:pPr>
              <w:widowControl w:val="0"/>
              <w:spacing w:line="240" w:lineRule="auto"/>
              <w:rPr>
                <w:color w:val="FFFFFF" w:themeColor="background1"/>
                <w:sz w:val="24"/>
              </w:rPr>
            </w:pPr>
            <w:r w:rsidRPr="008E3606">
              <w:rPr>
                <w:sz w:val="24"/>
              </w:rPr>
              <w:t>Documentos descontados en otras entidades financieras</w:t>
            </w:r>
          </w:p>
        </w:tc>
        <w:tc>
          <w:tcPr>
            <w:tcW w:w="1390" w:type="dxa"/>
            <w:shd w:val="clear" w:color="auto" w:fill="auto"/>
            <w:vAlign w:val="center"/>
          </w:tcPr>
          <w:p w14:paraId="78E4A5D3"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452C103E" w14:textId="77777777" w:rsidTr="007E453E">
        <w:tc>
          <w:tcPr>
            <w:tcW w:w="1757" w:type="dxa"/>
            <w:shd w:val="clear" w:color="auto" w:fill="002060"/>
            <w:vAlign w:val="center"/>
          </w:tcPr>
          <w:p w14:paraId="6A9B7F6E"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615</w:t>
            </w:r>
          </w:p>
        </w:tc>
        <w:tc>
          <w:tcPr>
            <w:tcW w:w="5676" w:type="dxa"/>
            <w:shd w:val="clear" w:color="auto" w:fill="002060"/>
            <w:vAlign w:val="center"/>
          </w:tcPr>
          <w:p w14:paraId="6A748589"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Líneas de crédito de utilización automática</w:t>
            </w:r>
          </w:p>
        </w:tc>
        <w:tc>
          <w:tcPr>
            <w:tcW w:w="1390" w:type="dxa"/>
            <w:shd w:val="clear" w:color="auto" w:fill="002060"/>
            <w:vAlign w:val="center"/>
          </w:tcPr>
          <w:p w14:paraId="1333CC2A"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0DA1FE87" w14:textId="77777777" w:rsidTr="007E453E">
        <w:tc>
          <w:tcPr>
            <w:tcW w:w="1757" w:type="dxa"/>
            <w:vAlign w:val="center"/>
          </w:tcPr>
          <w:p w14:paraId="46780213" w14:textId="77777777" w:rsidR="00E10BA0" w:rsidRPr="008E3606" w:rsidRDefault="00E10BA0" w:rsidP="007E453E">
            <w:pPr>
              <w:widowControl w:val="0"/>
              <w:spacing w:line="240" w:lineRule="auto"/>
              <w:rPr>
                <w:sz w:val="24"/>
              </w:rPr>
            </w:pPr>
            <w:r w:rsidRPr="008E3606">
              <w:rPr>
                <w:sz w:val="24"/>
              </w:rPr>
              <w:t>615.01</w:t>
            </w:r>
          </w:p>
        </w:tc>
        <w:tc>
          <w:tcPr>
            <w:tcW w:w="5676" w:type="dxa"/>
            <w:vAlign w:val="center"/>
          </w:tcPr>
          <w:p w14:paraId="04F46DCB" w14:textId="77777777" w:rsidR="00E10BA0" w:rsidRPr="008E3606" w:rsidRDefault="00E10BA0" w:rsidP="007E453E">
            <w:pPr>
              <w:widowControl w:val="0"/>
              <w:spacing w:line="240" w:lineRule="auto"/>
              <w:rPr>
                <w:sz w:val="24"/>
              </w:rPr>
            </w:pPr>
            <w:r w:rsidRPr="008E3606">
              <w:rPr>
                <w:sz w:val="24"/>
              </w:rPr>
              <w:t>Líneas de crédito para sobregiros en cuenta corriente</w:t>
            </w:r>
          </w:p>
        </w:tc>
        <w:tc>
          <w:tcPr>
            <w:tcW w:w="1390" w:type="dxa"/>
            <w:vAlign w:val="center"/>
          </w:tcPr>
          <w:p w14:paraId="3024C4E3" w14:textId="77777777" w:rsidR="00E10BA0" w:rsidRPr="008E3606" w:rsidRDefault="00E10BA0" w:rsidP="007E453E">
            <w:pPr>
              <w:widowControl w:val="0"/>
              <w:spacing w:line="240" w:lineRule="auto"/>
              <w:jc w:val="center"/>
              <w:rPr>
                <w:sz w:val="24"/>
              </w:rPr>
            </w:pPr>
            <w:r w:rsidRPr="008E3606">
              <w:rPr>
                <w:sz w:val="24"/>
              </w:rPr>
              <w:t>0.50</w:t>
            </w:r>
          </w:p>
        </w:tc>
      </w:tr>
      <w:tr w:rsidR="00E10BA0" w:rsidRPr="008E3606" w14:paraId="17672FEB" w14:textId="77777777" w:rsidTr="007E453E">
        <w:tc>
          <w:tcPr>
            <w:tcW w:w="1757" w:type="dxa"/>
            <w:vAlign w:val="center"/>
          </w:tcPr>
          <w:p w14:paraId="1AAE2E27" w14:textId="77777777" w:rsidR="00E10BA0" w:rsidRPr="008E3606" w:rsidRDefault="00E10BA0" w:rsidP="007E453E">
            <w:pPr>
              <w:widowControl w:val="0"/>
              <w:spacing w:line="240" w:lineRule="auto"/>
              <w:rPr>
                <w:sz w:val="24"/>
              </w:rPr>
            </w:pPr>
            <w:r w:rsidRPr="008E3606">
              <w:rPr>
                <w:sz w:val="24"/>
              </w:rPr>
              <w:t>615.02</w:t>
            </w:r>
          </w:p>
        </w:tc>
        <w:tc>
          <w:tcPr>
            <w:tcW w:w="5676" w:type="dxa"/>
            <w:vAlign w:val="center"/>
          </w:tcPr>
          <w:p w14:paraId="272D4EFC" w14:textId="77777777" w:rsidR="00E10BA0" w:rsidRPr="008E3606" w:rsidRDefault="00E10BA0" w:rsidP="007E453E">
            <w:pPr>
              <w:widowControl w:val="0"/>
              <w:spacing w:line="240" w:lineRule="auto"/>
              <w:rPr>
                <w:sz w:val="24"/>
              </w:rPr>
            </w:pPr>
            <w:r w:rsidRPr="008E3606">
              <w:rPr>
                <w:sz w:val="24"/>
              </w:rPr>
              <w:t>Líneas de crédito para tarjetas de crédito</w:t>
            </w:r>
          </w:p>
        </w:tc>
        <w:tc>
          <w:tcPr>
            <w:tcW w:w="1390" w:type="dxa"/>
            <w:vAlign w:val="center"/>
          </w:tcPr>
          <w:p w14:paraId="103BD199" w14:textId="77777777" w:rsidR="00E10BA0" w:rsidRPr="008E3606" w:rsidRDefault="00E10BA0" w:rsidP="007E453E">
            <w:pPr>
              <w:widowControl w:val="0"/>
              <w:spacing w:line="240" w:lineRule="auto"/>
              <w:jc w:val="center"/>
              <w:rPr>
                <w:sz w:val="24"/>
              </w:rPr>
            </w:pPr>
            <w:r w:rsidRPr="008E3606">
              <w:rPr>
                <w:sz w:val="24"/>
              </w:rPr>
              <w:t>0.10</w:t>
            </w:r>
          </w:p>
          <w:p w14:paraId="61E488F6" w14:textId="77777777" w:rsidR="00E10BA0" w:rsidRPr="008E3606" w:rsidRDefault="00E10BA0" w:rsidP="007E453E">
            <w:pPr>
              <w:widowControl w:val="0"/>
              <w:spacing w:line="240" w:lineRule="auto"/>
              <w:jc w:val="center"/>
              <w:rPr>
                <w:sz w:val="24"/>
              </w:rPr>
            </w:pPr>
            <w:r w:rsidRPr="008E3606">
              <w:rPr>
                <w:sz w:val="24"/>
              </w:rPr>
              <w:t>(Rige a partir del 01/01/2025)</w:t>
            </w:r>
          </w:p>
        </w:tc>
      </w:tr>
      <w:tr w:rsidR="00E10BA0" w:rsidRPr="008E3606" w14:paraId="784EB740" w14:textId="77777777" w:rsidTr="007E453E">
        <w:tc>
          <w:tcPr>
            <w:tcW w:w="1757" w:type="dxa"/>
            <w:vAlign w:val="center"/>
          </w:tcPr>
          <w:p w14:paraId="6CA60915" w14:textId="77777777" w:rsidR="00E10BA0" w:rsidRPr="008E3606" w:rsidRDefault="00E10BA0" w:rsidP="007E453E">
            <w:pPr>
              <w:widowControl w:val="0"/>
              <w:spacing w:line="240" w:lineRule="auto"/>
              <w:rPr>
                <w:sz w:val="24"/>
              </w:rPr>
            </w:pPr>
            <w:r w:rsidRPr="008E3606">
              <w:rPr>
                <w:sz w:val="24"/>
              </w:rPr>
              <w:t>615.03</w:t>
            </w:r>
          </w:p>
        </w:tc>
        <w:tc>
          <w:tcPr>
            <w:tcW w:w="5676" w:type="dxa"/>
            <w:vAlign w:val="center"/>
          </w:tcPr>
          <w:p w14:paraId="38B76C1B" w14:textId="77777777" w:rsidR="00E10BA0" w:rsidRPr="008E3606" w:rsidRDefault="00E10BA0" w:rsidP="007E453E">
            <w:pPr>
              <w:widowControl w:val="0"/>
              <w:spacing w:line="240" w:lineRule="auto"/>
              <w:rPr>
                <w:sz w:val="24"/>
              </w:rPr>
            </w:pPr>
            <w:r w:rsidRPr="008E3606">
              <w:rPr>
                <w:sz w:val="24"/>
              </w:rPr>
              <w:t>Líneas de crédito para factoraje</w:t>
            </w:r>
          </w:p>
        </w:tc>
        <w:tc>
          <w:tcPr>
            <w:tcW w:w="1390" w:type="dxa"/>
            <w:vAlign w:val="center"/>
          </w:tcPr>
          <w:p w14:paraId="6FBB1CDA" w14:textId="77777777" w:rsidR="00E10BA0" w:rsidRPr="008E3606" w:rsidRDefault="00E10BA0" w:rsidP="007E453E">
            <w:pPr>
              <w:widowControl w:val="0"/>
              <w:spacing w:line="240" w:lineRule="auto"/>
              <w:jc w:val="center"/>
              <w:rPr>
                <w:sz w:val="24"/>
              </w:rPr>
            </w:pPr>
            <w:r w:rsidRPr="008E3606">
              <w:rPr>
                <w:sz w:val="24"/>
              </w:rPr>
              <w:t>0.50</w:t>
            </w:r>
          </w:p>
        </w:tc>
      </w:tr>
      <w:tr w:rsidR="00E10BA0" w:rsidRPr="008E3606" w14:paraId="1A7533D7" w14:textId="77777777" w:rsidTr="007E453E">
        <w:tc>
          <w:tcPr>
            <w:tcW w:w="1757" w:type="dxa"/>
            <w:vAlign w:val="center"/>
          </w:tcPr>
          <w:p w14:paraId="7ED90D5B" w14:textId="77777777" w:rsidR="00E10BA0" w:rsidRPr="008E3606" w:rsidRDefault="00E10BA0" w:rsidP="007E453E">
            <w:pPr>
              <w:widowControl w:val="0"/>
              <w:spacing w:line="240" w:lineRule="auto"/>
              <w:rPr>
                <w:sz w:val="24"/>
              </w:rPr>
            </w:pPr>
            <w:r w:rsidRPr="008E3606">
              <w:rPr>
                <w:sz w:val="24"/>
              </w:rPr>
              <w:t>615.99</w:t>
            </w:r>
          </w:p>
        </w:tc>
        <w:tc>
          <w:tcPr>
            <w:tcW w:w="5676" w:type="dxa"/>
            <w:vAlign w:val="center"/>
          </w:tcPr>
          <w:p w14:paraId="67E246AE" w14:textId="77777777" w:rsidR="00E10BA0" w:rsidRPr="008E3606" w:rsidRDefault="00E10BA0" w:rsidP="007E453E">
            <w:pPr>
              <w:widowControl w:val="0"/>
              <w:spacing w:line="240" w:lineRule="auto"/>
              <w:rPr>
                <w:sz w:val="24"/>
              </w:rPr>
            </w:pPr>
            <w:r w:rsidRPr="008E3606">
              <w:rPr>
                <w:sz w:val="24"/>
              </w:rPr>
              <w:t>Otras líneas de crédito de utilización automática</w:t>
            </w:r>
          </w:p>
        </w:tc>
        <w:tc>
          <w:tcPr>
            <w:tcW w:w="1390" w:type="dxa"/>
            <w:vAlign w:val="center"/>
          </w:tcPr>
          <w:p w14:paraId="6EBE6D54" w14:textId="77777777" w:rsidR="00E10BA0" w:rsidRPr="008E3606" w:rsidRDefault="00E10BA0" w:rsidP="007E453E">
            <w:pPr>
              <w:widowControl w:val="0"/>
              <w:spacing w:line="240" w:lineRule="auto"/>
              <w:jc w:val="center"/>
              <w:rPr>
                <w:sz w:val="24"/>
              </w:rPr>
            </w:pPr>
            <w:r w:rsidRPr="008E3606">
              <w:rPr>
                <w:sz w:val="24"/>
              </w:rPr>
              <w:t>0.50</w:t>
            </w:r>
          </w:p>
        </w:tc>
      </w:tr>
      <w:tr w:rsidR="00E10BA0" w:rsidRPr="008E3606" w14:paraId="665A319D" w14:textId="77777777" w:rsidTr="007E453E">
        <w:tc>
          <w:tcPr>
            <w:tcW w:w="1757" w:type="dxa"/>
            <w:shd w:val="clear" w:color="auto" w:fill="002060"/>
            <w:vAlign w:val="center"/>
          </w:tcPr>
          <w:p w14:paraId="1D52908E"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616</w:t>
            </w:r>
          </w:p>
        </w:tc>
        <w:tc>
          <w:tcPr>
            <w:tcW w:w="5676" w:type="dxa"/>
            <w:shd w:val="clear" w:color="auto" w:fill="002060"/>
            <w:vAlign w:val="center"/>
          </w:tcPr>
          <w:p w14:paraId="03805C13"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Créditos de contingencia comprometidos</w:t>
            </w:r>
          </w:p>
        </w:tc>
        <w:tc>
          <w:tcPr>
            <w:tcW w:w="1390" w:type="dxa"/>
            <w:shd w:val="clear" w:color="auto" w:fill="002060"/>
            <w:vAlign w:val="center"/>
          </w:tcPr>
          <w:p w14:paraId="6E58F920"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230DBFDF" w14:textId="77777777" w:rsidTr="007E453E">
        <w:tc>
          <w:tcPr>
            <w:tcW w:w="1757" w:type="dxa"/>
            <w:shd w:val="clear" w:color="auto" w:fill="auto"/>
            <w:vAlign w:val="center"/>
          </w:tcPr>
          <w:p w14:paraId="2D2E50F1" w14:textId="77777777" w:rsidR="00E10BA0" w:rsidRPr="008E3606" w:rsidRDefault="00E10BA0" w:rsidP="007E453E">
            <w:pPr>
              <w:widowControl w:val="0"/>
              <w:spacing w:line="240" w:lineRule="auto"/>
              <w:rPr>
                <w:sz w:val="24"/>
              </w:rPr>
            </w:pPr>
            <w:r w:rsidRPr="008E3606">
              <w:rPr>
                <w:sz w:val="24"/>
              </w:rPr>
              <w:t>616.01</w:t>
            </w:r>
          </w:p>
        </w:tc>
        <w:tc>
          <w:tcPr>
            <w:tcW w:w="5676" w:type="dxa"/>
            <w:shd w:val="clear" w:color="auto" w:fill="auto"/>
            <w:vAlign w:val="center"/>
          </w:tcPr>
          <w:p w14:paraId="64E3FF85" w14:textId="77777777" w:rsidR="00E10BA0" w:rsidRPr="008E3606" w:rsidRDefault="00E10BA0" w:rsidP="007E453E">
            <w:pPr>
              <w:widowControl w:val="0"/>
              <w:spacing w:line="240" w:lineRule="auto"/>
              <w:rPr>
                <w:sz w:val="24"/>
              </w:rPr>
            </w:pPr>
            <w:r w:rsidRPr="008E3606">
              <w:rPr>
                <w:sz w:val="24"/>
              </w:rPr>
              <w:t>Créditos de contingencia comprometidos</w:t>
            </w:r>
          </w:p>
        </w:tc>
        <w:tc>
          <w:tcPr>
            <w:tcW w:w="1390" w:type="dxa"/>
            <w:shd w:val="clear" w:color="auto" w:fill="auto"/>
            <w:vAlign w:val="center"/>
          </w:tcPr>
          <w:p w14:paraId="19CE8695"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578A30CB" w14:textId="77777777" w:rsidTr="007E453E">
        <w:tc>
          <w:tcPr>
            <w:tcW w:w="1757" w:type="dxa"/>
            <w:shd w:val="clear" w:color="auto" w:fill="002060"/>
            <w:vAlign w:val="center"/>
          </w:tcPr>
          <w:p w14:paraId="61869B43"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617.01</w:t>
            </w:r>
          </w:p>
        </w:tc>
        <w:tc>
          <w:tcPr>
            <w:tcW w:w="5676" w:type="dxa"/>
            <w:shd w:val="clear" w:color="auto" w:fill="002060"/>
            <w:vAlign w:val="center"/>
          </w:tcPr>
          <w:p w14:paraId="03FF3D99"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Otras contingencias crediticias</w:t>
            </w:r>
          </w:p>
        </w:tc>
        <w:tc>
          <w:tcPr>
            <w:tcW w:w="1390" w:type="dxa"/>
            <w:shd w:val="clear" w:color="auto" w:fill="002060"/>
            <w:vAlign w:val="center"/>
          </w:tcPr>
          <w:p w14:paraId="71EACB67"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7C847D05" w14:textId="77777777" w:rsidTr="007E453E">
        <w:tc>
          <w:tcPr>
            <w:tcW w:w="1757" w:type="dxa"/>
            <w:vAlign w:val="center"/>
          </w:tcPr>
          <w:p w14:paraId="6B7EB7AE" w14:textId="77777777" w:rsidR="00E10BA0" w:rsidRPr="008E3606" w:rsidRDefault="00E10BA0" w:rsidP="007E453E">
            <w:pPr>
              <w:widowControl w:val="0"/>
              <w:spacing w:line="240" w:lineRule="auto"/>
              <w:rPr>
                <w:sz w:val="24"/>
              </w:rPr>
            </w:pPr>
            <w:r w:rsidRPr="008E3606">
              <w:rPr>
                <w:sz w:val="24"/>
              </w:rPr>
              <w:t>617.01</w:t>
            </w:r>
          </w:p>
        </w:tc>
        <w:tc>
          <w:tcPr>
            <w:tcW w:w="5676" w:type="dxa"/>
            <w:vAlign w:val="center"/>
          </w:tcPr>
          <w:p w14:paraId="7759898A" w14:textId="77777777" w:rsidR="00E10BA0" w:rsidRPr="008E3606" w:rsidRDefault="00E10BA0" w:rsidP="007E453E">
            <w:pPr>
              <w:widowControl w:val="0"/>
              <w:spacing w:line="240" w:lineRule="auto"/>
              <w:rPr>
                <w:sz w:val="24"/>
              </w:rPr>
            </w:pPr>
            <w:r w:rsidRPr="008E3606">
              <w:rPr>
                <w:sz w:val="24"/>
              </w:rPr>
              <w:t>Otras contingencias crediticias</w:t>
            </w:r>
          </w:p>
        </w:tc>
        <w:tc>
          <w:tcPr>
            <w:tcW w:w="1390" w:type="dxa"/>
            <w:vAlign w:val="center"/>
          </w:tcPr>
          <w:p w14:paraId="40FE72BC"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400F8E86" w14:textId="77777777" w:rsidTr="007E453E">
        <w:tc>
          <w:tcPr>
            <w:tcW w:w="1757" w:type="dxa"/>
            <w:shd w:val="clear" w:color="auto" w:fill="002060"/>
            <w:vAlign w:val="center"/>
          </w:tcPr>
          <w:p w14:paraId="01BD2A26"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617.02</w:t>
            </w:r>
          </w:p>
        </w:tc>
        <w:tc>
          <w:tcPr>
            <w:tcW w:w="5676" w:type="dxa"/>
            <w:shd w:val="clear" w:color="auto" w:fill="002060"/>
            <w:vAlign w:val="center"/>
          </w:tcPr>
          <w:p w14:paraId="510694B3" w14:textId="77777777" w:rsidR="00E10BA0" w:rsidRPr="008E3606" w:rsidRDefault="00E10BA0" w:rsidP="007E453E">
            <w:pPr>
              <w:widowControl w:val="0"/>
              <w:spacing w:line="240" w:lineRule="auto"/>
              <w:rPr>
                <w:sz w:val="24"/>
              </w:rPr>
            </w:pPr>
            <w:r w:rsidRPr="008E3606">
              <w:rPr>
                <w:color w:val="FFFFFF" w:themeColor="background1"/>
                <w:sz w:val="24"/>
              </w:rPr>
              <w:t>Otras contingencias no crediticias</w:t>
            </w:r>
          </w:p>
        </w:tc>
        <w:tc>
          <w:tcPr>
            <w:tcW w:w="1390" w:type="dxa"/>
            <w:shd w:val="clear" w:color="auto" w:fill="002060"/>
            <w:vAlign w:val="center"/>
          </w:tcPr>
          <w:p w14:paraId="048366E8" w14:textId="77777777" w:rsidR="00E10BA0" w:rsidRPr="008E3606" w:rsidRDefault="00E10BA0" w:rsidP="007E453E">
            <w:pPr>
              <w:widowControl w:val="0"/>
              <w:spacing w:line="240" w:lineRule="auto"/>
              <w:jc w:val="center"/>
              <w:rPr>
                <w:sz w:val="24"/>
              </w:rPr>
            </w:pPr>
          </w:p>
        </w:tc>
      </w:tr>
      <w:tr w:rsidR="00E10BA0" w:rsidRPr="008E3606" w14:paraId="7C93FE40" w14:textId="77777777" w:rsidTr="007E453E">
        <w:tc>
          <w:tcPr>
            <w:tcW w:w="1757" w:type="dxa"/>
            <w:vAlign w:val="center"/>
          </w:tcPr>
          <w:p w14:paraId="2FDB8605" w14:textId="77777777" w:rsidR="00E10BA0" w:rsidRPr="008E3606" w:rsidRDefault="00E10BA0" w:rsidP="007E453E">
            <w:pPr>
              <w:widowControl w:val="0"/>
              <w:spacing w:line="240" w:lineRule="auto"/>
              <w:rPr>
                <w:sz w:val="24"/>
              </w:rPr>
            </w:pPr>
            <w:r w:rsidRPr="008E3606">
              <w:rPr>
                <w:sz w:val="24"/>
              </w:rPr>
              <w:t>617.02</w:t>
            </w:r>
          </w:p>
        </w:tc>
        <w:tc>
          <w:tcPr>
            <w:tcW w:w="5676" w:type="dxa"/>
            <w:vAlign w:val="center"/>
          </w:tcPr>
          <w:p w14:paraId="13B13168" w14:textId="77777777" w:rsidR="00E10BA0" w:rsidRPr="008E3606" w:rsidRDefault="00E10BA0" w:rsidP="007E453E">
            <w:pPr>
              <w:widowControl w:val="0"/>
              <w:spacing w:line="240" w:lineRule="auto"/>
              <w:rPr>
                <w:sz w:val="24"/>
              </w:rPr>
            </w:pPr>
            <w:r w:rsidRPr="008E3606">
              <w:rPr>
                <w:sz w:val="24"/>
              </w:rPr>
              <w:t>Otras contingencias no crediticias</w:t>
            </w:r>
          </w:p>
        </w:tc>
        <w:tc>
          <w:tcPr>
            <w:tcW w:w="1390" w:type="dxa"/>
            <w:vAlign w:val="center"/>
          </w:tcPr>
          <w:p w14:paraId="0FC1101E"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5FD703AB" w14:textId="77777777" w:rsidTr="007E453E">
        <w:tc>
          <w:tcPr>
            <w:tcW w:w="1757" w:type="dxa"/>
            <w:shd w:val="clear" w:color="auto" w:fill="002060"/>
            <w:vAlign w:val="center"/>
          </w:tcPr>
          <w:p w14:paraId="548DD5A9"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617.03</w:t>
            </w:r>
          </w:p>
        </w:tc>
        <w:tc>
          <w:tcPr>
            <w:tcW w:w="5676" w:type="dxa"/>
            <w:shd w:val="clear" w:color="auto" w:fill="002060"/>
            <w:vAlign w:val="center"/>
          </w:tcPr>
          <w:p w14:paraId="604A8A56"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Litigios y demandas pendientes</w:t>
            </w:r>
          </w:p>
        </w:tc>
        <w:tc>
          <w:tcPr>
            <w:tcW w:w="1390" w:type="dxa"/>
            <w:shd w:val="clear" w:color="auto" w:fill="002060"/>
            <w:vAlign w:val="center"/>
          </w:tcPr>
          <w:p w14:paraId="26A9EC32"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5BA0A412" w14:textId="77777777" w:rsidTr="007E453E">
        <w:tc>
          <w:tcPr>
            <w:tcW w:w="1757" w:type="dxa"/>
            <w:vAlign w:val="center"/>
          </w:tcPr>
          <w:p w14:paraId="56B4983A" w14:textId="77777777" w:rsidR="00E10BA0" w:rsidRPr="008E3606" w:rsidRDefault="00E10BA0" w:rsidP="007E453E">
            <w:pPr>
              <w:widowControl w:val="0"/>
              <w:spacing w:line="240" w:lineRule="auto"/>
              <w:rPr>
                <w:sz w:val="24"/>
              </w:rPr>
            </w:pPr>
            <w:r w:rsidRPr="008E3606">
              <w:rPr>
                <w:sz w:val="24"/>
              </w:rPr>
              <w:t>617.03</w:t>
            </w:r>
          </w:p>
        </w:tc>
        <w:tc>
          <w:tcPr>
            <w:tcW w:w="5676" w:type="dxa"/>
            <w:vAlign w:val="center"/>
          </w:tcPr>
          <w:p w14:paraId="6940D27E" w14:textId="77777777" w:rsidR="00E10BA0" w:rsidRPr="008E3606" w:rsidRDefault="00E10BA0" w:rsidP="007E453E">
            <w:pPr>
              <w:widowControl w:val="0"/>
              <w:spacing w:line="240" w:lineRule="auto"/>
              <w:rPr>
                <w:sz w:val="24"/>
              </w:rPr>
            </w:pPr>
            <w:r w:rsidRPr="008E3606">
              <w:rPr>
                <w:sz w:val="24"/>
              </w:rPr>
              <w:t>Litigios y demandas pendientes</w:t>
            </w:r>
          </w:p>
        </w:tc>
        <w:tc>
          <w:tcPr>
            <w:tcW w:w="1390" w:type="dxa"/>
            <w:vAlign w:val="center"/>
          </w:tcPr>
          <w:p w14:paraId="76D81B6A" w14:textId="77777777" w:rsidR="00E10BA0" w:rsidRPr="008E3606" w:rsidRDefault="00E10BA0" w:rsidP="007E453E">
            <w:pPr>
              <w:widowControl w:val="0"/>
              <w:spacing w:line="240" w:lineRule="auto"/>
              <w:jc w:val="center"/>
              <w:rPr>
                <w:sz w:val="24"/>
              </w:rPr>
            </w:pPr>
            <w:r w:rsidRPr="008E3606">
              <w:rPr>
                <w:sz w:val="24"/>
              </w:rPr>
              <w:t>0.00</w:t>
            </w:r>
          </w:p>
        </w:tc>
      </w:tr>
      <w:tr w:rsidR="00E10BA0" w:rsidRPr="008E3606" w14:paraId="04B8D155" w14:textId="77777777" w:rsidTr="007E453E">
        <w:tc>
          <w:tcPr>
            <w:tcW w:w="1757" w:type="dxa"/>
            <w:shd w:val="clear" w:color="auto" w:fill="002060"/>
            <w:vAlign w:val="center"/>
          </w:tcPr>
          <w:p w14:paraId="3CC33C67"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619</w:t>
            </w:r>
          </w:p>
        </w:tc>
        <w:tc>
          <w:tcPr>
            <w:tcW w:w="5676" w:type="dxa"/>
            <w:shd w:val="clear" w:color="auto" w:fill="002060"/>
            <w:vAlign w:val="center"/>
          </w:tcPr>
          <w:p w14:paraId="28F10A8B" w14:textId="77777777" w:rsidR="00E10BA0" w:rsidRPr="008E3606" w:rsidRDefault="00E10BA0" w:rsidP="007E453E">
            <w:pPr>
              <w:widowControl w:val="0"/>
              <w:spacing w:line="240" w:lineRule="auto"/>
              <w:rPr>
                <w:color w:val="FFFFFF" w:themeColor="background1"/>
                <w:sz w:val="24"/>
              </w:rPr>
            </w:pPr>
            <w:r w:rsidRPr="008E3606">
              <w:rPr>
                <w:color w:val="FFFFFF" w:themeColor="background1"/>
                <w:sz w:val="24"/>
              </w:rPr>
              <w:t>Créditos pendientes de desembolsar</w:t>
            </w:r>
          </w:p>
        </w:tc>
        <w:tc>
          <w:tcPr>
            <w:tcW w:w="1390" w:type="dxa"/>
            <w:shd w:val="clear" w:color="auto" w:fill="002060"/>
            <w:vAlign w:val="center"/>
          </w:tcPr>
          <w:p w14:paraId="422E4924" w14:textId="77777777" w:rsidR="00E10BA0" w:rsidRPr="008E3606" w:rsidRDefault="00E10BA0" w:rsidP="007E453E">
            <w:pPr>
              <w:widowControl w:val="0"/>
              <w:spacing w:line="240" w:lineRule="auto"/>
              <w:jc w:val="center"/>
              <w:rPr>
                <w:color w:val="FFFFFF" w:themeColor="background1"/>
                <w:sz w:val="24"/>
              </w:rPr>
            </w:pPr>
          </w:p>
        </w:tc>
      </w:tr>
      <w:tr w:rsidR="00E10BA0" w:rsidRPr="008E3606" w14:paraId="6F56659A" w14:textId="77777777" w:rsidTr="007E453E">
        <w:tc>
          <w:tcPr>
            <w:tcW w:w="1757" w:type="dxa"/>
            <w:vAlign w:val="center"/>
          </w:tcPr>
          <w:p w14:paraId="414368E5" w14:textId="77777777" w:rsidR="00E10BA0" w:rsidRPr="008E3606" w:rsidRDefault="00E10BA0" w:rsidP="007E453E">
            <w:pPr>
              <w:widowControl w:val="0"/>
              <w:spacing w:line="240" w:lineRule="auto"/>
              <w:rPr>
                <w:sz w:val="24"/>
              </w:rPr>
            </w:pPr>
            <w:r w:rsidRPr="008E3606">
              <w:rPr>
                <w:sz w:val="24"/>
              </w:rPr>
              <w:t>619.01</w:t>
            </w:r>
          </w:p>
        </w:tc>
        <w:tc>
          <w:tcPr>
            <w:tcW w:w="5676" w:type="dxa"/>
            <w:vAlign w:val="center"/>
          </w:tcPr>
          <w:p w14:paraId="521BE9D0" w14:textId="77777777" w:rsidR="00E10BA0" w:rsidRPr="008E3606" w:rsidRDefault="00E10BA0" w:rsidP="007E453E">
            <w:pPr>
              <w:widowControl w:val="0"/>
              <w:spacing w:line="240" w:lineRule="auto"/>
              <w:rPr>
                <w:sz w:val="24"/>
              </w:rPr>
            </w:pPr>
            <w:r w:rsidRPr="008E3606">
              <w:rPr>
                <w:sz w:val="24"/>
              </w:rPr>
              <w:t>Créditos pendientes de desembolsar</w:t>
            </w:r>
          </w:p>
        </w:tc>
        <w:tc>
          <w:tcPr>
            <w:tcW w:w="1390" w:type="dxa"/>
            <w:vAlign w:val="center"/>
          </w:tcPr>
          <w:p w14:paraId="13E5BB7D" w14:textId="77777777" w:rsidR="00E10BA0" w:rsidRPr="008E3606" w:rsidRDefault="00E10BA0" w:rsidP="007E453E">
            <w:pPr>
              <w:widowControl w:val="0"/>
              <w:spacing w:line="240" w:lineRule="auto"/>
              <w:jc w:val="center"/>
              <w:rPr>
                <w:sz w:val="24"/>
              </w:rPr>
            </w:pPr>
            <w:r w:rsidRPr="008E3606">
              <w:rPr>
                <w:sz w:val="24"/>
              </w:rPr>
              <w:t>1.00</w:t>
            </w:r>
          </w:p>
        </w:tc>
      </w:tr>
      <w:tr w:rsidR="00E10BA0" w:rsidRPr="008E3606" w14:paraId="547A5AEB" w14:textId="77777777" w:rsidTr="007E453E">
        <w:tc>
          <w:tcPr>
            <w:tcW w:w="1757" w:type="dxa"/>
            <w:vAlign w:val="center"/>
          </w:tcPr>
          <w:p w14:paraId="6084B1D1" w14:textId="77777777" w:rsidR="00E10BA0" w:rsidRPr="008E3606" w:rsidRDefault="00E10BA0" w:rsidP="007E453E">
            <w:pPr>
              <w:widowControl w:val="0"/>
              <w:spacing w:line="240" w:lineRule="auto"/>
              <w:rPr>
                <w:sz w:val="24"/>
              </w:rPr>
            </w:pPr>
            <w:r w:rsidRPr="008E3606">
              <w:rPr>
                <w:sz w:val="24"/>
              </w:rPr>
              <w:t>619.02</w:t>
            </w:r>
          </w:p>
        </w:tc>
        <w:tc>
          <w:tcPr>
            <w:tcW w:w="5676" w:type="dxa"/>
            <w:vAlign w:val="center"/>
          </w:tcPr>
          <w:p w14:paraId="5DA675EB" w14:textId="77777777" w:rsidR="00E10BA0" w:rsidRPr="008E3606" w:rsidRDefault="00E10BA0" w:rsidP="007E453E">
            <w:pPr>
              <w:widowControl w:val="0"/>
              <w:spacing w:line="240" w:lineRule="auto"/>
              <w:rPr>
                <w:sz w:val="24"/>
              </w:rPr>
            </w:pPr>
            <w:r w:rsidRPr="008E3606">
              <w:rPr>
                <w:sz w:val="24"/>
              </w:rPr>
              <w:t>Líneas de crédito con compromiso de desembolso</w:t>
            </w:r>
          </w:p>
        </w:tc>
        <w:tc>
          <w:tcPr>
            <w:tcW w:w="1390" w:type="dxa"/>
            <w:vAlign w:val="center"/>
          </w:tcPr>
          <w:p w14:paraId="56068DCA" w14:textId="77777777" w:rsidR="00E10BA0" w:rsidRPr="008E3606" w:rsidRDefault="00E10BA0" w:rsidP="007E453E">
            <w:pPr>
              <w:widowControl w:val="0"/>
              <w:spacing w:line="240" w:lineRule="auto"/>
              <w:jc w:val="center"/>
              <w:rPr>
                <w:sz w:val="24"/>
              </w:rPr>
            </w:pPr>
            <w:r w:rsidRPr="008E3606">
              <w:rPr>
                <w:sz w:val="24"/>
              </w:rPr>
              <w:t>1.00</w:t>
            </w:r>
          </w:p>
        </w:tc>
      </w:tr>
    </w:tbl>
    <w:p w14:paraId="6B33C416" w14:textId="77777777" w:rsidR="00E10BA0" w:rsidRPr="008E3606" w:rsidRDefault="00E10BA0" w:rsidP="00E10BA0">
      <w:pPr>
        <w:widowControl w:val="0"/>
        <w:spacing w:after="240" w:line="259" w:lineRule="auto"/>
        <w:jc w:val="left"/>
        <w:rPr>
          <w:sz w:val="24"/>
        </w:rPr>
      </w:pPr>
      <w:r w:rsidRPr="008E3606">
        <w:rPr>
          <w:sz w:val="24"/>
        </w:rPr>
        <w:br w:type="page"/>
      </w:r>
    </w:p>
    <w:p w14:paraId="3BF66D77" w14:textId="77777777" w:rsidR="00E10BA0" w:rsidRPr="008E3606" w:rsidRDefault="00E10BA0" w:rsidP="00D92BF5">
      <w:pPr>
        <w:pStyle w:val="Ttulo1"/>
        <w:spacing w:after="240"/>
        <w:ind w:left="0" w:firstLine="0"/>
        <w:rPr>
          <w:rFonts w:ascii="Cambria" w:hAnsi="Cambria" w:cs="Times New Roman"/>
          <w:szCs w:val="24"/>
        </w:rPr>
      </w:pPr>
      <w:bookmarkStart w:id="3" w:name="_Toc153190203"/>
      <w:r w:rsidRPr="008E3606">
        <w:rPr>
          <w:rFonts w:ascii="Cambria" w:hAnsi="Cambria" w:cs="Times New Roman"/>
          <w:szCs w:val="24"/>
        </w:rPr>
        <w:t>III. CALCULO DEL REQUERIMIENTO DE CAPITAL POR RIESGO DE MERCADO</w:t>
      </w:r>
      <w:bookmarkEnd w:id="3"/>
    </w:p>
    <w:p w14:paraId="77D2303D" w14:textId="77777777" w:rsidR="00E10BA0" w:rsidRPr="008E3606" w:rsidRDefault="00E10BA0" w:rsidP="00E10BA0">
      <w:pPr>
        <w:pStyle w:val="Prrafodelista"/>
        <w:widowControl w:val="0"/>
        <w:spacing w:after="240" w:line="247" w:lineRule="auto"/>
        <w:ind w:left="0" w:firstLine="0"/>
        <w:contextualSpacing w:val="0"/>
        <w:rPr>
          <w:rFonts w:ascii="Cambria" w:hAnsi="Cambria"/>
          <w:b/>
          <w:bCs/>
          <w:color w:val="4472C4" w:themeColor="accent1"/>
          <w:szCs w:val="24"/>
        </w:rPr>
      </w:pPr>
      <w:r w:rsidRPr="008E3606">
        <w:rPr>
          <w:rFonts w:ascii="Cambria" w:hAnsi="Cambria"/>
          <w:b/>
          <w:bCs/>
          <w:color w:val="4472C4" w:themeColor="accent1"/>
          <w:szCs w:val="24"/>
        </w:rPr>
        <w:t>Objetivo específico:</w:t>
      </w:r>
    </w:p>
    <w:p w14:paraId="55919556" w14:textId="77777777" w:rsidR="00E10BA0" w:rsidRPr="008E3606" w:rsidRDefault="00E10BA0" w:rsidP="00E10BA0">
      <w:pPr>
        <w:pStyle w:val="Prrafodelista"/>
        <w:widowControl w:val="0"/>
        <w:spacing w:after="240" w:line="247" w:lineRule="auto"/>
        <w:ind w:left="0" w:firstLine="0"/>
        <w:contextualSpacing w:val="0"/>
        <w:rPr>
          <w:rFonts w:ascii="Cambria" w:hAnsi="Cambria"/>
          <w:b/>
          <w:bCs/>
          <w:color w:val="4472C4" w:themeColor="accent1"/>
          <w:szCs w:val="24"/>
        </w:rPr>
      </w:pPr>
      <w:r w:rsidRPr="008E3606">
        <w:rPr>
          <w:rFonts w:ascii="Cambria" w:hAnsi="Cambria"/>
          <w:b/>
          <w:bCs/>
          <w:color w:val="4472C4" w:themeColor="accent1"/>
          <w:szCs w:val="24"/>
        </w:rPr>
        <w:t>Contenido:</w:t>
      </w:r>
    </w:p>
    <w:p w14:paraId="4D1AE3C6" w14:textId="77777777" w:rsidR="00E10BA0" w:rsidRPr="008E3606" w:rsidRDefault="00E10BA0" w:rsidP="00E10BA0">
      <w:pPr>
        <w:pStyle w:val="Prrafodelista"/>
        <w:widowControl w:val="0"/>
        <w:numPr>
          <w:ilvl w:val="0"/>
          <w:numId w:val="5"/>
        </w:numPr>
        <w:spacing w:after="0" w:line="240" w:lineRule="auto"/>
        <w:ind w:left="567" w:hanging="567"/>
        <w:contextualSpacing w:val="0"/>
        <w:rPr>
          <w:rFonts w:ascii="Cambria" w:hAnsi="Cambria"/>
          <w:b/>
          <w:bCs/>
          <w:szCs w:val="24"/>
        </w:rPr>
      </w:pPr>
      <w:r w:rsidRPr="008E3606">
        <w:rPr>
          <w:rFonts w:ascii="Cambria" w:hAnsi="Cambria"/>
          <w:b/>
          <w:bCs/>
          <w:szCs w:val="24"/>
        </w:rPr>
        <w:t>Alcance</w:t>
      </w:r>
    </w:p>
    <w:p w14:paraId="1BA11379" w14:textId="77777777" w:rsidR="00E10BA0" w:rsidRPr="008E3606" w:rsidRDefault="00E10BA0" w:rsidP="00E10BA0">
      <w:pPr>
        <w:widowControl w:val="0"/>
        <w:spacing w:after="240" w:line="240" w:lineRule="auto"/>
        <w:ind w:left="567"/>
        <w:rPr>
          <w:sz w:val="24"/>
        </w:rPr>
      </w:pPr>
      <w:r w:rsidRPr="008E3606">
        <w:rPr>
          <w:sz w:val="24"/>
        </w:rPr>
        <w:t>Instrumentos incluidos en la Cartera de Negociación, según los alcances establecidos en el Acuerdo SUGEF 3-06.</w:t>
      </w:r>
    </w:p>
    <w:p w14:paraId="0D74DC0E" w14:textId="77777777" w:rsidR="00E10BA0" w:rsidRPr="008E3606" w:rsidRDefault="00E10BA0" w:rsidP="00E10BA0">
      <w:pPr>
        <w:pStyle w:val="Prrafodelista"/>
        <w:widowControl w:val="0"/>
        <w:numPr>
          <w:ilvl w:val="0"/>
          <w:numId w:val="5"/>
        </w:numPr>
        <w:spacing w:after="0" w:line="240" w:lineRule="auto"/>
        <w:ind w:left="567" w:hanging="567"/>
        <w:contextualSpacing w:val="0"/>
        <w:rPr>
          <w:rFonts w:ascii="Cambria" w:hAnsi="Cambria"/>
          <w:b/>
          <w:bCs/>
          <w:szCs w:val="24"/>
        </w:rPr>
      </w:pPr>
      <w:r w:rsidRPr="008E3606">
        <w:rPr>
          <w:rFonts w:ascii="Cambria" w:hAnsi="Cambria"/>
          <w:b/>
          <w:bCs/>
          <w:szCs w:val="24"/>
        </w:rPr>
        <w:t>Cálculo de Duraciones</w:t>
      </w:r>
    </w:p>
    <w:p w14:paraId="572AC96B" w14:textId="77777777" w:rsidR="00E10BA0" w:rsidRPr="008E3606" w:rsidRDefault="00E10BA0" w:rsidP="00E10BA0">
      <w:pPr>
        <w:pStyle w:val="Prrafodelista"/>
        <w:widowControl w:val="0"/>
        <w:numPr>
          <w:ilvl w:val="0"/>
          <w:numId w:val="10"/>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Instrumentos cero cupones</w:t>
      </w:r>
    </w:p>
    <w:p w14:paraId="1F7E00E3" w14:textId="77777777" w:rsidR="00E10BA0" w:rsidRPr="008E3606" w:rsidRDefault="00E10BA0" w:rsidP="00E10BA0">
      <w:pPr>
        <w:widowControl w:val="0"/>
        <w:spacing w:after="240" w:line="240" w:lineRule="auto"/>
        <w:ind w:left="1134"/>
        <w:rPr>
          <w:sz w:val="24"/>
        </w:rPr>
      </w:pPr>
      <w:r w:rsidRPr="008E3606">
        <w:rPr>
          <w:sz w:val="24"/>
        </w:rPr>
        <w:t>Estos instrumentos se caracterizan porque el tenedor recibirá un único pago hasta el vencimiento.</w:t>
      </w:r>
    </w:p>
    <w:p w14:paraId="3FF4D756" w14:textId="77777777" w:rsidR="00E10BA0" w:rsidRPr="008E3606" w:rsidRDefault="00E10BA0" w:rsidP="00E10BA0">
      <w:pPr>
        <w:pStyle w:val="Prrafodelista"/>
        <w:widowControl w:val="0"/>
        <w:numPr>
          <w:ilvl w:val="0"/>
          <w:numId w:val="11"/>
        </w:numPr>
        <w:spacing w:after="0" w:line="240" w:lineRule="auto"/>
        <w:ind w:left="1701" w:hanging="567"/>
        <w:contextualSpacing w:val="0"/>
        <w:rPr>
          <w:rFonts w:ascii="Cambria" w:hAnsi="Cambria"/>
          <w:szCs w:val="24"/>
          <w:u w:val="single"/>
        </w:rPr>
      </w:pPr>
      <w:r w:rsidRPr="008E3606">
        <w:rPr>
          <w:rFonts w:ascii="Cambria" w:hAnsi="Cambria"/>
          <w:szCs w:val="24"/>
          <w:u w:val="single"/>
        </w:rPr>
        <w:t>Duración (D)</w:t>
      </w:r>
    </w:p>
    <w:p w14:paraId="2EF5D409" w14:textId="77777777" w:rsidR="00E10BA0" w:rsidRPr="008E3606" w:rsidRDefault="00E10BA0" w:rsidP="00E10BA0">
      <w:pPr>
        <w:widowControl w:val="0"/>
        <w:spacing w:after="240" w:line="240" w:lineRule="auto"/>
        <w:ind w:left="1701"/>
        <w:rPr>
          <w:sz w:val="24"/>
        </w:rPr>
      </w:pPr>
      <w:r w:rsidRPr="008E3606">
        <w:rPr>
          <w:sz w:val="24"/>
        </w:rPr>
        <w:t>La Duración es igual a la cantidad de días al vencimiento.</w:t>
      </w:r>
    </w:p>
    <w:p w14:paraId="27D43649" w14:textId="77777777" w:rsidR="00E10BA0" w:rsidRPr="008E3606" w:rsidRDefault="00E10BA0" w:rsidP="00E10BA0">
      <w:pPr>
        <w:pStyle w:val="Prrafodelista"/>
        <w:widowControl w:val="0"/>
        <w:numPr>
          <w:ilvl w:val="0"/>
          <w:numId w:val="11"/>
        </w:numPr>
        <w:spacing w:after="0" w:line="240" w:lineRule="auto"/>
        <w:ind w:left="1701" w:hanging="567"/>
        <w:contextualSpacing w:val="0"/>
        <w:rPr>
          <w:rFonts w:ascii="Cambria" w:hAnsi="Cambria"/>
          <w:szCs w:val="24"/>
          <w:u w:val="single"/>
        </w:rPr>
      </w:pPr>
      <w:r w:rsidRPr="008E3606">
        <w:rPr>
          <w:rFonts w:ascii="Cambria" w:hAnsi="Cambria"/>
          <w:szCs w:val="24"/>
          <w:u w:val="single"/>
        </w:rPr>
        <w:t>Duración modificada (DM)</w:t>
      </w:r>
    </w:p>
    <w:p w14:paraId="13336045" w14:textId="77777777" w:rsidR="00E10BA0" w:rsidRPr="008E3606" w:rsidRDefault="00E10BA0" w:rsidP="00E10BA0">
      <w:pPr>
        <w:widowControl w:val="0"/>
        <w:spacing w:after="240" w:line="240" w:lineRule="auto"/>
        <w:ind w:left="1701"/>
        <w:rPr>
          <w:sz w:val="24"/>
        </w:rPr>
      </w:pPr>
      <w:r w:rsidRPr="008E3606">
        <w:rPr>
          <w:sz w:val="24"/>
        </w:rPr>
        <w:t>DM = D / (1 + y)</w:t>
      </w:r>
    </w:p>
    <w:p w14:paraId="3500F110" w14:textId="77777777" w:rsidR="00E10BA0" w:rsidRPr="008E3606" w:rsidRDefault="00E10BA0" w:rsidP="00E10BA0">
      <w:pPr>
        <w:widowControl w:val="0"/>
        <w:spacing w:line="240" w:lineRule="auto"/>
        <w:ind w:left="1701"/>
        <w:rPr>
          <w:sz w:val="24"/>
        </w:rPr>
      </w:pPr>
      <w:r w:rsidRPr="008E3606">
        <w:rPr>
          <w:sz w:val="24"/>
        </w:rPr>
        <w:t>Donde:</w:t>
      </w:r>
    </w:p>
    <w:p w14:paraId="002CBCEC" w14:textId="77777777" w:rsidR="00E10BA0" w:rsidRPr="008E3606" w:rsidRDefault="00E10BA0" w:rsidP="00E10BA0">
      <w:pPr>
        <w:widowControl w:val="0"/>
        <w:spacing w:after="240" w:line="240" w:lineRule="auto"/>
        <w:ind w:left="1701"/>
        <w:rPr>
          <w:sz w:val="24"/>
        </w:rPr>
      </w:pPr>
      <w:r w:rsidRPr="008E3606">
        <w:rPr>
          <w:sz w:val="24"/>
        </w:rPr>
        <w:t>y = Tasa de rendimiento</w:t>
      </w:r>
    </w:p>
    <w:p w14:paraId="4F584F7F" w14:textId="77777777" w:rsidR="00E10BA0" w:rsidRPr="008E3606" w:rsidRDefault="00E10BA0" w:rsidP="00E10BA0">
      <w:pPr>
        <w:pStyle w:val="Prrafodelista"/>
        <w:widowControl w:val="0"/>
        <w:numPr>
          <w:ilvl w:val="0"/>
          <w:numId w:val="10"/>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Instrumentos con cupones tasa fija.</w:t>
      </w:r>
    </w:p>
    <w:p w14:paraId="09EEA9F6" w14:textId="77777777" w:rsidR="00E10BA0" w:rsidRPr="008E3606" w:rsidRDefault="00E10BA0" w:rsidP="00E10BA0">
      <w:pPr>
        <w:pStyle w:val="Prrafodelista"/>
        <w:widowControl w:val="0"/>
        <w:numPr>
          <w:ilvl w:val="0"/>
          <w:numId w:val="35"/>
        </w:numPr>
        <w:spacing w:after="0" w:line="240" w:lineRule="auto"/>
        <w:ind w:left="1701" w:hanging="567"/>
        <w:contextualSpacing w:val="0"/>
        <w:rPr>
          <w:rFonts w:ascii="Cambria" w:hAnsi="Cambria"/>
          <w:szCs w:val="24"/>
          <w:u w:val="single"/>
        </w:rPr>
      </w:pPr>
      <w:r w:rsidRPr="008E3606">
        <w:rPr>
          <w:rFonts w:ascii="Cambria" w:hAnsi="Cambria"/>
          <w:szCs w:val="24"/>
          <w:u w:val="single"/>
        </w:rPr>
        <w:t>Duración (D)</w:t>
      </w:r>
    </w:p>
    <w:p w14:paraId="23FAF6AB" w14:textId="77777777" w:rsidR="00E10BA0" w:rsidRPr="008E3606" w:rsidRDefault="00E10BA0" w:rsidP="00E10BA0">
      <w:pPr>
        <w:widowControl w:val="0"/>
        <w:spacing w:after="240" w:line="240" w:lineRule="auto"/>
        <w:ind w:left="1701"/>
        <w:rPr>
          <w:sz w:val="24"/>
          <w:u w:val="single"/>
        </w:rPr>
      </w:pPr>
      <w:r w:rsidRPr="008E3606">
        <w:rPr>
          <w:noProof/>
          <w:sz w:val="24"/>
        </w:rPr>
        <w:drawing>
          <wp:inline distT="0" distB="0" distL="0" distR="0" wp14:anchorId="7433D6D5" wp14:editId="03C5A04B">
            <wp:extent cx="2886075" cy="956299"/>
            <wp:effectExtent l="0" t="0" r="0" b="0"/>
            <wp:docPr id="354084" name="Imagen 35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3788" cy="958855"/>
                    </a:xfrm>
                    <a:prstGeom prst="rect">
                      <a:avLst/>
                    </a:prstGeom>
                  </pic:spPr>
                </pic:pic>
              </a:graphicData>
            </a:graphic>
          </wp:inline>
        </w:drawing>
      </w:r>
    </w:p>
    <w:p w14:paraId="6DD5CFB7" w14:textId="77777777" w:rsidR="00E10BA0" w:rsidRPr="008E3606" w:rsidRDefault="00E10BA0" w:rsidP="00E10BA0">
      <w:pPr>
        <w:widowControl w:val="0"/>
        <w:spacing w:line="240" w:lineRule="auto"/>
        <w:ind w:left="1701"/>
        <w:rPr>
          <w:sz w:val="24"/>
        </w:rPr>
      </w:pPr>
      <w:r w:rsidRPr="008E3606">
        <w:rPr>
          <w:sz w:val="24"/>
        </w:rPr>
        <w:t>Donde:</w:t>
      </w:r>
    </w:p>
    <w:p w14:paraId="3E8E9844" w14:textId="77777777" w:rsidR="00E10BA0" w:rsidRPr="008E3606" w:rsidRDefault="00E10BA0" w:rsidP="00E10BA0">
      <w:pPr>
        <w:widowControl w:val="0"/>
        <w:spacing w:line="240" w:lineRule="auto"/>
        <w:ind w:left="1701"/>
        <w:rPr>
          <w:sz w:val="24"/>
        </w:rPr>
      </w:pPr>
      <w:r w:rsidRPr="008E3606">
        <w:rPr>
          <w:sz w:val="24"/>
        </w:rPr>
        <w:t xml:space="preserve">n: plazo hasta el vencimiento </w:t>
      </w:r>
    </w:p>
    <w:p w14:paraId="7F743B0C" w14:textId="77777777" w:rsidR="00E10BA0" w:rsidRPr="008E3606" w:rsidRDefault="00E10BA0" w:rsidP="00E10BA0">
      <w:pPr>
        <w:widowControl w:val="0"/>
        <w:spacing w:line="240" w:lineRule="auto"/>
        <w:ind w:left="1701"/>
        <w:rPr>
          <w:sz w:val="24"/>
        </w:rPr>
      </w:pPr>
      <w:r w:rsidRPr="008E3606">
        <w:rPr>
          <w:rFonts w:cs="Cambria Math"/>
          <w:sz w:val="24"/>
        </w:rPr>
        <w:t>𝑐</w:t>
      </w:r>
      <w:r w:rsidRPr="008E3606">
        <w:rPr>
          <w:rFonts w:cs="Cambria Math"/>
          <w:sz w:val="24"/>
          <w:vertAlign w:val="subscript"/>
        </w:rPr>
        <w:t>𝑡</w:t>
      </w:r>
      <w:r w:rsidRPr="008E3606">
        <w:rPr>
          <w:sz w:val="24"/>
          <w:vertAlign w:val="subscript"/>
        </w:rPr>
        <w:t xml:space="preserve"> </w:t>
      </w:r>
      <w:r w:rsidRPr="008E3606">
        <w:rPr>
          <w:sz w:val="24"/>
        </w:rPr>
        <w:t>: flujo en el momento t (cupón y/o principal)</w:t>
      </w:r>
    </w:p>
    <w:p w14:paraId="290A2D1A" w14:textId="77777777" w:rsidR="00E10BA0" w:rsidRPr="008E3606" w:rsidRDefault="00E10BA0" w:rsidP="00E10BA0">
      <w:pPr>
        <w:widowControl w:val="0"/>
        <w:spacing w:line="240" w:lineRule="auto"/>
        <w:ind w:left="1701"/>
        <w:rPr>
          <w:sz w:val="24"/>
        </w:rPr>
      </w:pPr>
      <w:r w:rsidRPr="008E3606">
        <w:rPr>
          <w:rFonts w:cs="Cambria Math"/>
          <w:sz w:val="24"/>
        </w:rPr>
        <w:t>𝑣</w:t>
      </w:r>
      <w:r w:rsidRPr="008E3606">
        <w:rPr>
          <w:rFonts w:cs="Cambria Math"/>
          <w:sz w:val="24"/>
          <w:vertAlign w:val="subscript"/>
        </w:rPr>
        <w:t>𝑡</w:t>
      </w:r>
      <w:r w:rsidRPr="008E3606">
        <w:rPr>
          <w:sz w:val="24"/>
        </w:rPr>
        <w:t xml:space="preserve"> : factor de descuento para el momento t</w:t>
      </w:r>
    </w:p>
    <w:p w14:paraId="06710E19" w14:textId="77777777" w:rsidR="00E10BA0" w:rsidRPr="008E3606" w:rsidRDefault="00E10BA0" w:rsidP="00E10BA0">
      <w:pPr>
        <w:widowControl w:val="0"/>
        <w:spacing w:after="240" w:line="240" w:lineRule="auto"/>
        <w:ind w:left="1701"/>
        <w:rPr>
          <w:sz w:val="24"/>
          <w:u w:val="single"/>
        </w:rPr>
      </w:pPr>
      <w:r w:rsidRPr="008E3606">
        <w:rPr>
          <w:rFonts w:cs="Cambria Math"/>
          <w:sz w:val="24"/>
        </w:rPr>
        <w:t>𝑦</w:t>
      </w:r>
      <w:r w:rsidRPr="008E3606">
        <w:rPr>
          <w:sz w:val="24"/>
        </w:rPr>
        <w:t>: Tasas de rendimiento</w:t>
      </w:r>
    </w:p>
    <w:p w14:paraId="3A368BC8" w14:textId="77777777" w:rsidR="00E10BA0" w:rsidRPr="008E3606" w:rsidRDefault="00E10BA0" w:rsidP="00E10BA0">
      <w:pPr>
        <w:pStyle w:val="Prrafodelista"/>
        <w:widowControl w:val="0"/>
        <w:numPr>
          <w:ilvl w:val="0"/>
          <w:numId w:val="35"/>
        </w:numPr>
        <w:spacing w:after="0" w:line="240" w:lineRule="auto"/>
        <w:ind w:left="1701" w:hanging="567"/>
        <w:contextualSpacing w:val="0"/>
        <w:rPr>
          <w:rFonts w:ascii="Cambria" w:hAnsi="Cambria"/>
          <w:szCs w:val="24"/>
          <w:u w:val="single"/>
        </w:rPr>
      </w:pPr>
      <w:r w:rsidRPr="008E3606">
        <w:rPr>
          <w:rFonts w:ascii="Cambria" w:hAnsi="Cambria"/>
          <w:szCs w:val="24"/>
          <w:u w:val="single"/>
        </w:rPr>
        <w:t>Duración modificada (DM)</w:t>
      </w:r>
    </w:p>
    <w:p w14:paraId="599D420F" w14:textId="77777777" w:rsidR="00E10BA0" w:rsidRPr="008E3606" w:rsidRDefault="00E10BA0" w:rsidP="00E10BA0">
      <w:pPr>
        <w:widowControl w:val="0"/>
        <w:spacing w:after="240" w:line="240" w:lineRule="auto"/>
        <w:ind w:left="1701"/>
        <w:rPr>
          <w:sz w:val="24"/>
        </w:rPr>
      </w:pPr>
      <w:r w:rsidRPr="008E3606">
        <w:rPr>
          <w:sz w:val="24"/>
        </w:rPr>
        <w:t>DM = D / (1 + y)</w:t>
      </w:r>
    </w:p>
    <w:p w14:paraId="00FC2174" w14:textId="77777777" w:rsidR="00E10BA0" w:rsidRPr="008E3606" w:rsidRDefault="00E10BA0" w:rsidP="00E10BA0">
      <w:pPr>
        <w:widowControl w:val="0"/>
        <w:spacing w:line="240" w:lineRule="auto"/>
        <w:ind w:left="1701"/>
        <w:rPr>
          <w:sz w:val="24"/>
        </w:rPr>
      </w:pPr>
      <w:r w:rsidRPr="008E3606">
        <w:rPr>
          <w:sz w:val="24"/>
        </w:rPr>
        <w:t>Donde:</w:t>
      </w:r>
    </w:p>
    <w:p w14:paraId="639C171C" w14:textId="77777777" w:rsidR="00E10BA0" w:rsidRPr="008E3606" w:rsidRDefault="00E10BA0" w:rsidP="00E10BA0">
      <w:pPr>
        <w:widowControl w:val="0"/>
        <w:spacing w:after="240" w:line="240" w:lineRule="auto"/>
        <w:ind w:left="1701"/>
        <w:rPr>
          <w:sz w:val="24"/>
        </w:rPr>
      </w:pPr>
      <w:r w:rsidRPr="008E3606">
        <w:rPr>
          <w:sz w:val="24"/>
        </w:rPr>
        <w:t>y = Tasa de rendimiento</w:t>
      </w:r>
    </w:p>
    <w:p w14:paraId="1780ADD6" w14:textId="77777777" w:rsidR="00E10BA0" w:rsidRPr="008E3606" w:rsidRDefault="00E10BA0" w:rsidP="00E10BA0">
      <w:pPr>
        <w:pStyle w:val="Prrafodelista"/>
        <w:widowControl w:val="0"/>
        <w:numPr>
          <w:ilvl w:val="0"/>
          <w:numId w:val="10"/>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Instrumentos con cupones tasa ajustable</w:t>
      </w:r>
    </w:p>
    <w:p w14:paraId="3E99A137" w14:textId="77777777" w:rsidR="00E10BA0" w:rsidRPr="008E3606" w:rsidRDefault="00E10BA0" w:rsidP="00E10BA0">
      <w:pPr>
        <w:pStyle w:val="Prrafodelista"/>
        <w:widowControl w:val="0"/>
        <w:numPr>
          <w:ilvl w:val="0"/>
          <w:numId w:val="12"/>
        </w:numPr>
        <w:spacing w:after="0" w:line="240" w:lineRule="auto"/>
        <w:ind w:left="1701" w:hanging="567"/>
        <w:contextualSpacing w:val="0"/>
        <w:rPr>
          <w:rFonts w:ascii="Cambria" w:hAnsi="Cambria"/>
          <w:szCs w:val="24"/>
          <w:u w:val="single"/>
        </w:rPr>
      </w:pPr>
      <w:r w:rsidRPr="008E3606">
        <w:rPr>
          <w:rFonts w:ascii="Cambria" w:hAnsi="Cambria"/>
          <w:szCs w:val="24"/>
          <w:u w:val="single"/>
        </w:rPr>
        <w:t>Duración (D)</w:t>
      </w:r>
    </w:p>
    <w:p w14:paraId="26CA96D8" w14:textId="77777777" w:rsidR="00E10BA0" w:rsidRPr="008E3606" w:rsidRDefault="00E10BA0" w:rsidP="00E10BA0">
      <w:pPr>
        <w:widowControl w:val="0"/>
        <w:spacing w:after="240" w:line="240" w:lineRule="auto"/>
        <w:ind w:left="1701"/>
        <w:rPr>
          <w:sz w:val="24"/>
        </w:rPr>
      </w:pPr>
      <w:r w:rsidRPr="008E3606">
        <w:rPr>
          <w:sz w:val="24"/>
        </w:rPr>
        <w:t>La Duración es igual a la cantidad de días para siguiente cupón.</w:t>
      </w:r>
    </w:p>
    <w:p w14:paraId="4509AA78" w14:textId="77777777" w:rsidR="00E10BA0" w:rsidRPr="008E3606" w:rsidRDefault="00E10BA0" w:rsidP="00E10BA0">
      <w:pPr>
        <w:pStyle w:val="Prrafodelista"/>
        <w:widowControl w:val="0"/>
        <w:numPr>
          <w:ilvl w:val="0"/>
          <w:numId w:val="12"/>
        </w:numPr>
        <w:spacing w:after="0" w:line="240" w:lineRule="auto"/>
        <w:ind w:left="1701" w:hanging="567"/>
        <w:contextualSpacing w:val="0"/>
        <w:rPr>
          <w:rFonts w:ascii="Cambria" w:hAnsi="Cambria"/>
          <w:szCs w:val="24"/>
          <w:u w:val="single"/>
        </w:rPr>
      </w:pPr>
      <w:r w:rsidRPr="008E3606">
        <w:rPr>
          <w:rFonts w:ascii="Cambria" w:hAnsi="Cambria"/>
          <w:szCs w:val="24"/>
          <w:u w:val="single"/>
        </w:rPr>
        <w:t>Duración modificada (DM)</w:t>
      </w:r>
    </w:p>
    <w:p w14:paraId="1EDD9ACF" w14:textId="77777777" w:rsidR="00E10BA0" w:rsidRPr="008E3606" w:rsidRDefault="00E10BA0" w:rsidP="00E10BA0">
      <w:pPr>
        <w:widowControl w:val="0"/>
        <w:spacing w:after="240" w:line="240" w:lineRule="auto"/>
        <w:ind w:left="1701"/>
        <w:rPr>
          <w:sz w:val="24"/>
        </w:rPr>
      </w:pPr>
      <w:r w:rsidRPr="008E3606">
        <w:rPr>
          <w:sz w:val="24"/>
        </w:rPr>
        <w:t>DM = D / (1 + y)</w:t>
      </w:r>
    </w:p>
    <w:p w14:paraId="3688A92D" w14:textId="77777777" w:rsidR="00E10BA0" w:rsidRPr="008E3606" w:rsidRDefault="00E10BA0" w:rsidP="00E10BA0">
      <w:pPr>
        <w:widowControl w:val="0"/>
        <w:spacing w:line="240" w:lineRule="auto"/>
        <w:ind w:left="1701"/>
        <w:rPr>
          <w:sz w:val="24"/>
        </w:rPr>
      </w:pPr>
      <w:r w:rsidRPr="008E3606">
        <w:rPr>
          <w:sz w:val="24"/>
        </w:rPr>
        <w:t>Donde:</w:t>
      </w:r>
    </w:p>
    <w:p w14:paraId="33CF031B" w14:textId="77777777" w:rsidR="00E10BA0" w:rsidRPr="008E3606" w:rsidRDefault="00E10BA0" w:rsidP="00E10BA0">
      <w:pPr>
        <w:widowControl w:val="0"/>
        <w:spacing w:after="240" w:line="240" w:lineRule="auto"/>
        <w:ind w:left="1701"/>
        <w:rPr>
          <w:sz w:val="24"/>
        </w:rPr>
      </w:pPr>
      <w:r w:rsidRPr="008E3606">
        <w:rPr>
          <w:sz w:val="24"/>
        </w:rPr>
        <w:t>y = Tasa de rendimiento</w:t>
      </w:r>
    </w:p>
    <w:p w14:paraId="27B701E5" w14:textId="77777777" w:rsidR="00E10BA0" w:rsidRPr="008E3606" w:rsidRDefault="00E10BA0" w:rsidP="00E10BA0">
      <w:pPr>
        <w:pStyle w:val="Prrafodelista"/>
        <w:widowControl w:val="0"/>
        <w:numPr>
          <w:ilvl w:val="0"/>
          <w:numId w:val="10"/>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 xml:space="preserve">SWAP de tasas de interés </w:t>
      </w:r>
    </w:p>
    <w:p w14:paraId="32D074ED" w14:textId="77777777" w:rsidR="00E10BA0" w:rsidRPr="008E3606" w:rsidRDefault="00E10BA0" w:rsidP="00E10BA0">
      <w:pPr>
        <w:widowControl w:val="0"/>
        <w:spacing w:after="240" w:line="240" w:lineRule="auto"/>
        <w:ind w:left="1134"/>
        <w:rPr>
          <w:sz w:val="24"/>
        </w:rPr>
      </w:pPr>
      <w:r w:rsidRPr="008E3606">
        <w:rPr>
          <w:sz w:val="24"/>
        </w:rPr>
        <w:t>El Swap de Tasas de Interés se caracteriza por tener una parte (pagadora o receptora) de tasa fija y una parte (receptora o pagadora) de tasa variable. Para cada parte del Swap se calcula la Duración (D) y la Duración Modificada (DM) según se indica en los puntos anteriores.</w:t>
      </w:r>
    </w:p>
    <w:p w14:paraId="02226D8F" w14:textId="77777777" w:rsidR="00E10BA0" w:rsidRPr="008E3606" w:rsidRDefault="00E10BA0" w:rsidP="00E10BA0">
      <w:pPr>
        <w:pStyle w:val="Prrafodelista"/>
        <w:widowControl w:val="0"/>
        <w:numPr>
          <w:ilvl w:val="0"/>
          <w:numId w:val="5"/>
        </w:numPr>
        <w:spacing w:after="0" w:line="240" w:lineRule="auto"/>
        <w:ind w:left="567" w:hanging="567"/>
        <w:contextualSpacing w:val="0"/>
        <w:rPr>
          <w:rFonts w:ascii="Cambria" w:hAnsi="Cambria"/>
          <w:b/>
          <w:bCs/>
          <w:szCs w:val="24"/>
        </w:rPr>
      </w:pPr>
      <w:r w:rsidRPr="008E3606">
        <w:rPr>
          <w:rFonts w:ascii="Cambria" w:hAnsi="Cambria"/>
          <w:b/>
          <w:bCs/>
          <w:szCs w:val="24"/>
        </w:rPr>
        <w:t xml:space="preserve">Instrumentos financieros derivados de tasas de interés </w:t>
      </w:r>
    </w:p>
    <w:p w14:paraId="7DD1C908" w14:textId="77777777" w:rsidR="00E10BA0" w:rsidRPr="008E3606" w:rsidRDefault="00E10BA0" w:rsidP="00E10BA0">
      <w:pPr>
        <w:pStyle w:val="Prrafodelista"/>
        <w:widowControl w:val="0"/>
        <w:numPr>
          <w:ilvl w:val="0"/>
          <w:numId w:val="36"/>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Cálculo de posiciones</w:t>
      </w:r>
    </w:p>
    <w:p w14:paraId="741A400D"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 xml:space="preserve">Los derivados deben convertirse en posiciones en el correspondiente subyacente y aplicárseles los requerimientos de capital por riesgo específico y riesgo general de mercado descritos anteriormente. A esos fines, se utilizará el valor de mercado del principal del subyacente o del subyacente nocional. </w:t>
      </w:r>
    </w:p>
    <w:p w14:paraId="2E182524" w14:textId="77777777" w:rsidR="00E10BA0" w:rsidRPr="008E3606" w:rsidRDefault="00E10BA0" w:rsidP="00E10BA0">
      <w:pPr>
        <w:pStyle w:val="Prrafodelista"/>
        <w:widowControl w:val="0"/>
        <w:numPr>
          <w:ilvl w:val="0"/>
          <w:numId w:val="36"/>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Futuros y contratos a plazo, incluidos FRAs</w:t>
      </w:r>
    </w:p>
    <w:p w14:paraId="6F5597A3"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Estos instrumentos se considerarán como una combinación de una posición corta y otra larga sobre un monto nocional de un instrumento financiero del gobierno. El vencimiento de un futuro o de un FRA será el período comprendido hasta la entrega o ejecución del contrato, más —cuando corresponda— la vida útil del instrumento subyacente.</w:t>
      </w:r>
    </w:p>
    <w:p w14:paraId="41A745F2"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En los casos en que deba entregarse una gama de instrumentos para cumplir un contrato, la entidad financiera cuenta con flexibilidad para escoger qué valor entregable incluirá en la escala de duración o vencimiento, pero deberá incorporar (de existir) los factores de conversión definidos por el mercado organizado en cuestión. En el caso de un futuro sobre un índice de bonos corporativos, las posiciones se incluirán al valor de mercado de la cartera nocional de valores subyacente.</w:t>
      </w:r>
    </w:p>
    <w:p w14:paraId="493326F6" w14:textId="77777777" w:rsidR="00E10BA0" w:rsidRPr="008E3606" w:rsidRDefault="00E10BA0" w:rsidP="00E10BA0">
      <w:pPr>
        <w:pStyle w:val="Prrafodelista"/>
        <w:widowControl w:val="0"/>
        <w:numPr>
          <w:ilvl w:val="0"/>
          <w:numId w:val="36"/>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Swaps</w:t>
      </w:r>
    </w:p>
    <w:p w14:paraId="4A6A813C" w14:textId="36F04FC5"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 xml:space="preserve">Los </w:t>
      </w:r>
      <w:r w:rsidRPr="008E3606">
        <w:rPr>
          <w:rFonts w:ascii="Cambria" w:eastAsia="SimSun" w:hAnsi="Cambria"/>
          <w:i/>
          <w:iCs/>
          <w:szCs w:val="24"/>
        </w:rPr>
        <w:t>swap</w:t>
      </w:r>
      <w:r w:rsidRPr="008E3606">
        <w:rPr>
          <w:rFonts w:ascii="Cambria" w:eastAsia="SimSun" w:hAnsi="Cambria"/>
          <w:szCs w:val="24"/>
        </w:rPr>
        <w:t xml:space="preserve">s se considerarán como dos posiciones nocionales en valores del gobierno con los pertinentes vencimientos. Por ejemplo, un </w:t>
      </w:r>
      <w:r w:rsidRPr="008E3606">
        <w:rPr>
          <w:rFonts w:ascii="Cambria" w:eastAsia="SimSun" w:hAnsi="Cambria"/>
          <w:i/>
          <w:iCs/>
          <w:szCs w:val="24"/>
        </w:rPr>
        <w:t xml:space="preserve">swap </w:t>
      </w:r>
      <w:r w:rsidRPr="008E3606">
        <w:rPr>
          <w:rFonts w:ascii="Cambria" w:eastAsia="SimSun" w:hAnsi="Cambria"/>
          <w:szCs w:val="24"/>
        </w:rPr>
        <w:t xml:space="preserve">de tasas de interés por el que la entidad financiera recibe el tramo de tasa de interés variable y paga el tramo fijo se considerará como una posición larga en un instrumento a tasa de interés variable con vencimiento equivalente al periodo hasta la siguiente fecha de determinación de la tasa de interés y como una posición corta en un instrumento a tasa de interés fijo con vencimiento equivalente a la vida residual del </w:t>
      </w:r>
      <w:r w:rsidRPr="008E3606">
        <w:rPr>
          <w:rFonts w:ascii="Cambria" w:eastAsia="SimSun" w:hAnsi="Cambria"/>
          <w:i/>
          <w:iCs/>
          <w:szCs w:val="24"/>
        </w:rPr>
        <w:t>swap</w:t>
      </w:r>
      <w:r w:rsidRPr="008E3606">
        <w:rPr>
          <w:rFonts w:ascii="Cambria" w:eastAsia="SimSun" w:hAnsi="Cambria"/>
          <w:szCs w:val="24"/>
        </w:rPr>
        <w:t xml:space="preserve">. En el caso de </w:t>
      </w:r>
      <w:r w:rsidRPr="008E3606">
        <w:rPr>
          <w:rFonts w:ascii="Cambria" w:eastAsia="SimSun" w:hAnsi="Cambria"/>
          <w:i/>
          <w:iCs/>
          <w:szCs w:val="24"/>
        </w:rPr>
        <w:t>swap</w:t>
      </w:r>
      <w:r w:rsidRPr="008E3606">
        <w:rPr>
          <w:rFonts w:ascii="Cambria" w:eastAsia="SimSun" w:hAnsi="Cambria"/>
          <w:szCs w:val="24"/>
        </w:rPr>
        <w:t xml:space="preserve">s que pagan o reciben una tasa de interés variable o fija con respecto a algún otro precio de referencia —por ejemplo, un índice bursátil—, el componente de la tasa de interés deberá insertarse en la categoría de vencimiento correspondiente a la fecha de reajuste de la tasa de interés. Los tramos de los </w:t>
      </w:r>
      <w:r w:rsidRPr="008E3606">
        <w:rPr>
          <w:rFonts w:ascii="Cambria" w:eastAsia="SimSun" w:hAnsi="Cambria"/>
          <w:i/>
          <w:iCs/>
          <w:szCs w:val="24"/>
        </w:rPr>
        <w:t>swap</w:t>
      </w:r>
      <w:r w:rsidRPr="008E3606">
        <w:rPr>
          <w:rFonts w:ascii="Cambria" w:eastAsia="SimSun" w:hAnsi="Cambria"/>
          <w:szCs w:val="24"/>
        </w:rPr>
        <w:t>s cruzados de divisas deberán declararse en las escalas de vencimiento de las monedas en cuestión.</w:t>
      </w:r>
    </w:p>
    <w:p w14:paraId="3C310E23" w14:textId="77777777" w:rsidR="00C409C8" w:rsidRPr="008E3606" w:rsidRDefault="00C409C8" w:rsidP="00E10BA0">
      <w:pPr>
        <w:pStyle w:val="Prrafodelista"/>
        <w:widowControl w:val="0"/>
        <w:spacing w:after="240" w:line="240" w:lineRule="auto"/>
        <w:ind w:left="1134" w:firstLine="0"/>
        <w:contextualSpacing w:val="0"/>
        <w:rPr>
          <w:rFonts w:ascii="Cambria" w:eastAsia="SimSun" w:hAnsi="Cambria"/>
          <w:szCs w:val="24"/>
        </w:rPr>
      </w:pPr>
    </w:p>
    <w:p w14:paraId="72ECBAC7" w14:textId="77777777" w:rsidR="00E10BA0" w:rsidRPr="008E3606" w:rsidRDefault="00E10BA0" w:rsidP="00E10BA0">
      <w:pPr>
        <w:pStyle w:val="Prrafodelista"/>
        <w:widowControl w:val="0"/>
        <w:numPr>
          <w:ilvl w:val="0"/>
          <w:numId w:val="36"/>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Compensación permitida para posiciones calzadas</w:t>
      </w:r>
    </w:p>
    <w:p w14:paraId="7EC65847"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Las entidades financieras pueden excluir totalmente, tanto a efectos de calcular el riesgo específico como de riesgo general de mercado, las posiciones cortas o largas (ya sean reales o nocionales) en instrumentos idénticos con exactamente el mismo emisor, cupón, moneda y vencimiento. También podrán compensarse en su totalidad las posiciones en futuros o contratos a plazo con su correspondiente subyacente, siempre que se encuentren totalmente calzadas, excluyéndose por tanto del cálculo. Cuando el futuro o el contrato a plazo abarquen diversos instrumentos entregables, sólo se permite la compensación de posiciones entre el contrato y su subyacente cuya entrega es más conveniente para el intermediario con la posición vendida. En dichos casos, el precio de este valor, en ocasiones denominado “el más barato de entregar”</w:t>
      </w:r>
      <w:r w:rsidRPr="008E3606">
        <w:rPr>
          <w:rFonts w:ascii="Cambria" w:hAnsi="Cambria"/>
          <w:szCs w:val="24"/>
        </w:rPr>
        <w:t xml:space="preserve"> (</w:t>
      </w:r>
      <w:r w:rsidRPr="008E3606">
        <w:rPr>
          <w:rFonts w:ascii="Cambria" w:eastAsia="SimSun" w:hAnsi="Cambria"/>
          <w:i/>
          <w:iCs/>
          <w:szCs w:val="24"/>
        </w:rPr>
        <w:t>cheapest-to-deliver</w:t>
      </w:r>
      <w:r w:rsidRPr="008E3606">
        <w:rPr>
          <w:rFonts w:ascii="Cambria" w:eastAsia="SimSun" w:hAnsi="Cambria"/>
          <w:szCs w:val="24"/>
        </w:rPr>
        <w:t>), y el precio del futuro o contrato a plazo deberán moverse de manera muy alineada.</w:t>
      </w:r>
    </w:p>
    <w:p w14:paraId="1A35A2E4"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 xml:space="preserve">No se permitirá la compensación entre posiciones en diferentes monedas, por lo que los tramos de los </w:t>
      </w:r>
      <w:r w:rsidRPr="008E3606">
        <w:rPr>
          <w:rFonts w:ascii="Cambria" w:eastAsia="SimSun" w:hAnsi="Cambria"/>
          <w:i/>
          <w:iCs/>
          <w:szCs w:val="24"/>
        </w:rPr>
        <w:t>swap</w:t>
      </w:r>
      <w:r w:rsidRPr="008E3606">
        <w:rPr>
          <w:rFonts w:ascii="Cambria" w:eastAsia="SimSun" w:hAnsi="Cambria"/>
          <w:szCs w:val="24"/>
        </w:rPr>
        <w:t>s cruzados de divisas o los contratos a plazo sobre divisas deberán tratarse como posiciones nocionales en los respectivos instrumentos e incluirse en el cálculo correspondiente a cada moneda.</w:t>
      </w:r>
    </w:p>
    <w:p w14:paraId="16B6CB7D" w14:textId="77777777" w:rsidR="00E10BA0" w:rsidRPr="008E3606" w:rsidRDefault="00E10BA0" w:rsidP="00E10BA0">
      <w:pPr>
        <w:pStyle w:val="Prrafodelista"/>
        <w:widowControl w:val="0"/>
        <w:numPr>
          <w:ilvl w:val="0"/>
          <w:numId w:val="15"/>
        </w:numPr>
        <w:spacing w:after="240" w:line="240" w:lineRule="auto"/>
        <w:ind w:left="1701" w:hanging="567"/>
        <w:contextualSpacing w:val="0"/>
        <w:rPr>
          <w:rFonts w:ascii="Cambria" w:eastAsia="SimSun" w:hAnsi="Cambria"/>
          <w:szCs w:val="24"/>
        </w:rPr>
      </w:pPr>
      <w:r w:rsidRPr="008E3606">
        <w:rPr>
          <w:rFonts w:ascii="Cambria" w:eastAsia="SimSun" w:hAnsi="Cambria"/>
          <w:bCs/>
          <w:szCs w:val="24"/>
        </w:rPr>
        <w:t>para futuros</w:t>
      </w:r>
      <w:r w:rsidRPr="008E3606">
        <w:rPr>
          <w:rFonts w:ascii="Cambria" w:eastAsia="SimSun" w:hAnsi="Cambria"/>
          <w:szCs w:val="24"/>
        </w:rPr>
        <w:t>: la compensación en los instrumentos nocionales o subyacentes a los que se refiere el futuro deberá realizarse con productos idénticos cuyos plazos de vencimientos no disten más de 7 días;</w:t>
      </w:r>
    </w:p>
    <w:p w14:paraId="7DA938E6" w14:textId="77777777" w:rsidR="00E10BA0" w:rsidRPr="008E3606" w:rsidRDefault="00E10BA0" w:rsidP="00E10BA0">
      <w:pPr>
        <w:pStyle w:val="Prrafodelista"/>
        <w:widowControl w:val="0"/>
        <w:numPr>
          <w:ilvl w:val="0"/>
          <w:numId w:val="15"/>
        </w:numPr>
        <w:spacing w:after="240" w:line="240" w:lineRule="auto"/>
        <w:ind w:left="1701" w:hanging="567"/>
        <w:contextualSpacing w:val="0"/>
        <w:rPr>
          <w:rFonts w:ascii="Cambria" w:eastAsia="SimSun" w:hAnsi="Cambria"/>
          <w:szCs w:val="24"/>
        </w:rPr>
      </w:pPr>
      <w:r w:rsidRPr="008E3606">
        <w:rPr>
          <w:rFonts w:ascii="Cambria" w:eastAsia="SimSun" w:hAnsi="Cambria"/>
          <w:bCs/>
          <w:szCs w:val="24"/>
        </w:rPr>
        <w:t xml:space="preserve">para </w:t>
      </w:r>
      <w:r w:rsidRPr="008E3606">
        <w:rPr>
          <w:rFonts w:ascii="Cambria" w:eastAsia="SimSun" w:hAnsi="Cambria"/>
          <w:bCs/>
          <w:i/>
          <w:iCs/>
          <w:szCs w:val="24"/>
        </w:rPr>
        <w:t>swap</w:t>
      </w:r>
      <w:r w:rsidRPr="008E3606">
        <w:rPr>
          <w:rFonts w:ascii="Cambria" w:eastAsia="SimSun" w:hAnsi="Cambria"/>
          <w:bCs/>
          <w:szCs w:val="24"/>
        </w:rPr>
        <w:t>s y FRAs</w:t>
      </w:r>
      <w:r w:rsidRPr="008E3606">
        <w:rPr>
          <w:rFonts w:ascii="Cambria" w:eastAsia="SimSun" w:hAnsi="Cambria"/>
          <w:szCs w:val="24"/>
        </w:rPr>
        <w:t>: la tasa de referencia (para posiciones a interés variable) debe ser idéntica y el cupón ha de estar casi calzado (dentro de un margen de 15 puntos básicos); y</w:t>
      </w:r>
    </w:p>
    <w:p w14:paraId="5FF8BC20" w14:textId="77777777" w:rsidR="00E10BA0" w:rsidRPr="008E3606" w:rsidRDefault="00E10BA0" w:rsidP="00E10BA0">
      <w:pPr>
        <w:pStyle w:val="Prrafodelista"/>
        <w:widowControl w:val="0"/>
        <w:numPr>
          <w:ilvl w:val="0"/>
          <w:numId w:val="15"/>
        </w:numPr>
        <w:spacing w:after="240" w:line="240" w:lineRule="auto"/>
        <w:ind w:left="1701" w:hanging="567"/>
        <w:contextualSpacing w:val="0"/>
        <w:rPr>
          <w:rFonts w:ascii="Cambria" w:eastAsia="SimSun" w:hAnsi="Cambria"/>
          <w:szCs w:val="24"/>
        </w:rPr>
      </w:pPr>
      <w:r w:rsidRPr="008E3606">
        <w:rPr>
          <w:rFonts w:ascii="Cambria" w:eastAsia="SimSun" w:hAnsi="Cambria"/>
          <w:bCs/>
          <w:szCs w:val="24"/>
        </w:rPr>
        <w:t xml:space="preserve">para </w:t>
      </w:r>
      <w:r w:rsidRPr="008E3606">
        <w:rPr>
          <w:rFonts w:ascii="Cambria" w:eastAsia="SimSun" w:hAnsi="Cambria"/>
          <w:bCs/>
          <w:i/>
          <w:iCs/>
          <w:szCs w:val="24"/>
        </w:rPr>
        <w:t>swap</w:t>
      </w:r>
      <w:r w:rsidRPr="008E3606">
        <w:rPr>
          <w:rFonts w:ascii="Cambria" w:eastAsia="SimSun" w:hAnsi="Cambria"/>
          <w:bCs/>
          <w:szCs w:val="24"/>
        </w:rPr>
        <w:t>s, FRAs y contratos a plazo</w:t>
      </w:r>
      <w:r w:rsidRPr="008E3606">
        <w:rPr>
          <w:rFonts w:ascii="Cambria" w:eastAsia="SimSun" w:hAnsi="Cambria"/>
          <w:szCs w:val="24"/>
        </w:rPr>
        <w:t>: la siguiente fecha de reajuste del interés o en el caso de posiciones con cupón fijo o contratos a plazo, el vencimiento residual, deben coincidir con los siguientes límites:</w:t>
      </w:r>
    </w:p>
    <w:p w14:paraId="6455F91B" w14:textId="77777777" w:rsidR="00E10BA0" w:rsidRPr="008E3606" w:rsidRDefault="00E10BA0" w:rsidP="00E10BA0">
      <w:pPr>
        <w:pStyle w:val="Prrafodelista"/>
        <w:widowControl w:val="0"/>
        <w:numPr>
          <w:ilvl w:val="0"/>
          <w:numId w:val="16"/>
        </w:numPr>
        <w:spacing w:after="0" w:line="240" w:lineRule="auto"/>
        <w:ind w:left="2268" w:hanging="567"/>
        <w:contextualSpacing w:val="0"/>
        <w:rPr>
          <w:rFonts w:ascii="Cambria" w:eastAsia="Calibri" w:hAnsi="Cambria"/>
          <w:szCs w:val="24"/>
        </w:rPr>
      </w:pPr>
      <w:r w:rsidRPr="008E3606">
        <w:rPr>
          <w:rFonts w:ascii="Cambria" w:eastAsia="Calibri" w:hAnsi="Cambria"/>
          <w:szCs w:val="24"/>
        </w:rPr>
        <w:t>menos de un mes: mismo día;</w:t>
      </w:r>
    </w:p>
    <w:p w14:paraId="514266B6" w14:textId="77777777" w:rsidR="00E10BA0" w:rsidRPr="008E3606" w:rsidRDefault="00E10BA0" w:rsidP="00E10BA0">
      <w:pPr>
        <w:pStyle w:val="Prrafodelista"/>
        <w:widowControl w:val="0"/>
        <w:numPr>
          <w:ilvl w:val="0"/>
          <w:numId w:val="16"/>
        </w:numPr>
        <w:spacing w:after="0" w:line="240" w:lineRule="auto"/>
        <w:ind w:left="2268" w:hanging="567"/>
        <w:contextualSpacing w:val="0"/>
        <w:rPr>
          <w:rFonts w:ascii="Cambria" w:eastAsia="Calibri" w:hAnsi="Cambria"/>
          <w:szCs w:val="24"/>
        </w:rPr>
      </w:pPr>
      <w:r w:rsidRPr="008E3606">
        <w:rPr>
          <w:rFonts w:ascii="Cambria" w:eastAsia="Calibri" w:hAnsi="Cambria"/>
          <w:szCs w:val="24"/>
        </w:rPr>
        <w:t>entre un mes y un año: margen de siete días;</w:t>
      </w:r>
    </w:p>
    <w:p w14:paraId="7B6B2F27" w14:textId="77777777" w:rsidR="00E10BA0" w:rsidRPr="008E3606" w:rsidRDefault="00E10BA0" w:rsidP="00E10BA0">
      <w:pPr>
        <w:pStyle w:val="Prrafodelista"/>
        <w:widowControl w:val="0"/>
        <w:numPr>
          <w:ilvl w:val="0"/>
          <w:numId w:val="16"/>
        </w:numPr>
        <w:spacing w:after="240" w:line="240" w:lineRule="auto"/>
        <w:ind w:left="2268" w:hanging="567"/>
        <w:contextualSpacing w:val="0"/>
        <w:rPr>
          <w:rFonts w:ascii="Cambria" w:eastAsia="Calibri" w:hAnsi="Cambria"/>
          <w:szCs w:val="24"/>
        </w:rPr>
      </w:pPr>
      <w:r w:rsidRPr="008E3606">
        <w:rPr>
          <w:rFonts w:ascii="Cambria" w:eastAsia="Calibri" w:hAnsi="Cambria"/>
          <w:szCs w:val="24"/>
        </w:rPr>
        <w:t>más de un año: margen de treinta días.</w:t>
      </w:r>
    </w:p>
    <w:p w14:paraId="59FCDF9B" w14:textId="77777777" w:rsidR="00E10BA0" w:rsidRPr="008E3606" w:rsidRDefault="00E10BA0" w:rsidP="00E10BA0">
      <w:pPr>
        <w:pStyle w:val="Prrafodelista"/>
        <w:widowControl w:val="0"/>
        <w:numPr>
          <w:ilvl w:val="0"/>
          <w:numId w:val="36"/>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Riesgo específico</w:t>
      </w:r>
    </w:p>
    <w:p w14:paraId="551B21A3"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 xml:space="preserve">Los </w:t>
      </w:r>
      <w:r w:rsidRPr="008E3606">
        <w:rPr>
          <w:rFonts w:ascii="Cambria" w:eastAsia="SimSun" w:hAnsi="Cambria"/>
          <w:i/>
          <w:iCs/>
          <w:szCs w:val="24"/>
        </w:rPr>
        <w:t>swap</w:t>
      </w:r>
      <w:r w:rsidRPr="008E3606">
        <w:rPr>
          <w:rFonts w:ascii="Cambria" w:eastAsia="SimSun" w:hAnsi="Cambria"/>
          <w:szCs w:val="24"/>
        </w:rPr>
        <w:t xml:space="preserve">s de divisas o tipos de interés, los FRAs, los contratos a plazo sobre divisas y los futuros sobre tipos de interés no estarán sujetos a requerimiento por riesgo específico. Esta exención también es aplicable a futuros sobre un índice de tipos de interés. No obstante, en el caso de futuros en los que el subyacente sea un título de deuda o un índice que represente una cesta de títulos de deuda, se aplicará un requerimiento de capital específico acorde al riesgo de crédito del emisor. </w:t>
      </w:r>
    </w:p>
    <w:p w14:paraId="0CE64C60" w14:textId="77777777" w:rsidR="00E10BA0" w:rsidRPr="008E3606" w:rsidRDefault="00E10BA0" w:rsidP="00E10BA0">
      <w:pPr>
        <w:pStyle w:val="Prrafodelista"/>
        <w:widowControl w:val="0"/>
        <w:numPr>
          <w:ilvl w:val="0"/>
          <w:numId w:val="36"/>
        </w:numPr>
        <w:spacing w:after="0" w:line="240" w:lineRule="auto"/>
        <w:ind w:left="1134" w:hanging="567"/>
        <w:contextualSpacing w:val="0"/>
        <w:rPr>
          <w:rFonts w:ascii="Cambria" w:hAnsi="Cambria"/>
          <w:b/>
          <w:bCs/>
          <w:color w:val="4472C4" w:themeColor="accent1"/>
          <w:szCs w:val="24"/>
        </w:rPr>
      </w:pPr>
      <w:r w:rsidRPr="008E3606">
        <w:rPr>
          <w:rFonts w:ascii="Cambria" w:hAnsi="Cambria"/>
          <w:b/>
          <w:bCs/>
          <w:color w:val="4472C4" w:themeColor="accent1"/>
          <w:szCs w:val="24"/>
        </w:rPr>
        <w:t>Riesgo general de mercado</w:t>
      </w:r>
    </w:p>
    <w:p w14:paraId="7A0CB066" w14:textId="77777777" w:rsidR="00E10BA0" w:rsidRPr="008E3606" w:rsidRDefault="00E10BA0" w:rsidP="00E10BA0">
      <w:pPr>
        <w:pStyle w:val="Prrafodelista"/>
        <w:widowControl w:val="0"/>
        <w:spacing w:after="240" w:line="240" w:lineRule="auto"/>
        <w:ind w:left="1134" w:firstLine="0"/>
        <w:contextualSpacing w:val="0"/>
        <w:rPr>
          <w:rFonts w:ascii="Cambria" w:eastAsia="SimSun" w:hAnsi="Cambria"/>
          <w:szCs w:val="24"/>
        </w:rPr>
      </w:pPr>
      <w:r w:rsidRPr="008E3606">
        <w:rPr>
          <w:rFonts w:ascii="Cambria" w:eastAsia="SimSun" w:hAnsi="Cambria"/>
          <w:szCs w:val="24"/>
        </w:rPr>
        <w:t>El riesgo general de mercado afecta a las posiciones en los instrumentos derivados de la misma manera que afecta a las posiciones al contado, sujeto sólo a una excepción para aquellas posiciones que se encuentren totalmente o casi calzadas en instrumentos idénticos según se indicó en la sección d.1. Las diversas categorías de instrumentos deberán distribuirse en la escala de vencimientos y tratarse de acuerdo con las reglas anteriores.</w:t>
      </w:r>
    </w:p>
    <w:p w14:paraId="53D83BBB" w14:textId="77777777" w:rsidR="00E10BA0" w:rsidRPr="008E3606" w:rsidRDefault="00E10BA0" w:rsidP="00E10BA0">
      <w:pPr>
        <w:widowControl w:val="0"/>
        <w:spacing w:after="240" w:line="240" w:lineRule="auto"/>
        <w:jc w:val="center"/>
        <w:rPr>
          <w:rFonts w:eastAsia="SimSun"/>
          <w:b/>
          <w:bCs/>
          <w:sz w:val="24"/>
        </w:rPr>
      </w:pPr>
      <w:r w:rsidRPr="008E3606">
        <w:rPr>
          <w:rFonts w:eastAsia="SimSun"/>
          <w:b/>
          <w:bCs/>
          <w:sz w:val="24"/>
        </w:rPr>
        <w:t>Resumen del tratamiento de los derivados de tasa de interés</w:t>
      </w:r>
    </w:p>
    <w:tbl>
      <w:tblPr>
        <w:tblStyle w:val="Tablaconcuadrcula"/>
        <w:tblW w:w="0" w:type="auto"/>
        <w:tblLook w:val="04A0" w:firstRow="1" w:lastRow="0" w:firstColumn="1" w:lastColumn="0" w:noHBand="0" w:noVBand="1"/>
      </w:tblPr>
      <w:tblGrid>
        <w:gridCol w:w="4652"/>
        <w:gridCol w:w="1404"/>
        <w:gridCol w:w="2563"/>
      </w:tblGrid>
      <w:tr w:rsidR="00E10BA0" w:rsidRPr="008E3606" w14:paraId="66E05EC1" w14:textId="77777777" w:rsidTr="007E453E">
        <w:trPr>
          <w:trHeight w:val="600"/>
        </w:trPr>
        <w:tc>
          <w:tcPr>
            <w:tcW w:w="4652" w:type="dxa"/>
            <w:tcBorders>
              <w:bottom w:val="single" w:sz="4" w:space="0" w:color="auto"/>
            </w:tcBorders>
            <w:shd w:val="clear" w:color="auto" w:fill="F2F2F2" w:themeFill="background1" w:themeFillShade="F2"/>
            <w:vAlign w:val="center"/>
            <w:hideMark/>
          </w:tcPr>
          <w:p w14:paraId="29784662" w14:textId="77777777" w:rsidR="00E10BA0" w:rsidRPr="008E3606" w:rsidRDefault="00E10BA0" w:rsidP="007E453E">
            <w:pPr>
              <w:widowControl w:val="0"/>
              <w:spacing w:line="240" w:lineRule="auto"/>
              <w:ind w:hanging="11"/>
              <w:jc w:val="center"/>
              <w:rPr>
                <w:b/>
                <w:bCs/>
                <w:sz w:val="24"/>
                <w:lang w:val="es-AR"/>
              </w:rPr>
            </w:pPr>
            <w:r w:rsidRPr="008E3606">
              <w:rPr>
                <w:b/>
                <w:bCs/>
                <w:sz w:val="24"/>
                <w:lang w:val="es-AR"/>
              </w:rPr>
              <w:t>Instrumento</w:t>
            </w:r>
          </w:p>
        </w:tc>
        <w:tc>
          <w:tcPr>
            <w:tcW w:w="1297" w:type="dxa"/>
            <w:tcBorders>
              <w:bottom w:val="single" w:sz="4" w:space="0" w:color="auto"/>
            </w:tcBorders>
            <w:shd w:val="clear" w:color="auto" w:fill="F2F2F2" w:themeFill="background1" w:themeFillShade="F2"/>
            <w:vAlign w:val="center"/>
            <w:hideMark/>
          </w:tcPr>
          <w:p w14:paraId="0630E217" w14:textId="77777777" w:rsidR="00E10BA0" w:rsidRPr="008E3606" w:rsidRDefault="00E10BA0" w:rsidP="007E453E">
            <w:pPr>
              <w:widowControl w:val="0"/>
              <w:spacing w:line="240" w:lineRule="auto"/>
              <w:ind w:hanging="11"/>
              <w:jc w:val="center"/>
              <w:rPr>
                <w:b/>
                <w:bCs/>
                <w:sz w:val="24"/>
                <w:lang w:val="es-AR"/>
              </w:rPr>
            </w:pPr>
            <w:r w:rsidRPr="008E3606">
              <w:rPr>
                <w:b/>
                <w:bCs/>
                <w:sz w:val="24"/>
                <w:lang w:val="es-AR"/>
              </w:rPr>
              <w:t>Cargo por riesgo específico</w:t>
            </w:r>
            <w:r w:rsidRPr="008E3606">
              <w:rPr>
                <w:rStyle w:val="Refdenotaalpie"/>
                <w:bCs/>
                <w:sz w:val="24"/>
                <w:lang w:val="es-AR"/>
              </w:rPr>
              <w:footnoteReference w:id="1"/>
            </w:r>
          </w:p>
        </w:tc>
        <w:tc>
          <w:tcPr>
            <w:tcW w:w="2563" w:type="dxa"/>
            <w:tcBorders>
              <w:bottom w:val="single" w:sz="4" w:space="0" w:color="auto"/>
            </w:tcBorders>
            <w:shd w:val="clear" w:color="auto" w:fill="F2F2F2" w:themeFill="background1" w:themeFillShade="F2"/>
            <w:vAlign w:val="center"/>
            <w:hideMark/>
          </w:tcPr>
          <w:p w14:paraId="1C5E4095" w14:textId="77777777" w:rsidR="00E10BA0" w:rsidRPr="008E3606" w:rsidRDefault="00E10BA0" w:rsidP="007E453E">
            <w:pPr>
              <w:widowControl w:val="0"/>
              <w:spacing w:line="240" w:lineRule="auto"/>
              <w:ind w:hanging="11"/>
              <w:jc w:val="center"/>
              <w:rPr>
                <w:b/>
                <w:bCs/>
                <w:sz w:val="24"/>
                <w:lang w:val="es-AR"/>
              </w:rPr>
            </w:pPr>
            <w:r w:rsidRPr="008E3606">
              <w:rPr>
                <w:b/>
                <w:bCs/>
                <w:sz w:val="24"/>
                <w:lang w:val="es-AR"/>
              </w:rPr>
              <w:t>Cargo por riesgo general</w:t>
            </w:r>
          </w:p>
        </w:tc>
      </w:tr>
      <w:tr w:rsidR="00E10BA0" w:rsidRPr="008E3606" w14:paraId="23421643" w14:textId="77777777" w:rsidTr="007E453E">
        <w:trPr>
          <w:trHeight w:val="300"/>
        </w:trPr>
        <w:tc>
          <w:tcPr>
            <w:tcW w:w="4652" w:type="dxa"/>
            <w:tcBorders>
              <w:bottom w:val="nil"/>
            </w:tcBorders>
            <w:noWrap/>
            <w:hideMark/>
          </w:tcPr>
          <w:p w14:paraId="48A00F05" w14:textId="77777777" w:rsidR="00E10BA0" w:rsidRPr="008E3606" w:rsidRDefault="00E10BA0" w:rsidP="007E453E">
            <w:pPr>
              <w:widowControl w:val="0"/>
              <w:spacing w:line="240" w:lineRule="auto"/>
              <w:ind w:hanging="11"/>
              <w:rPr>
                <w:b/>
                <w:bCs/>
                <w:sz w:val="24"/>
                <w:lang w:val="es-AR"/>
              </w:rPr>
            </w:pPr>
          </w:p>
        </w:tc>
        <w:tc>
          <w:tcPr>
            <w:tcW w:w="1297" w:type="dxa"/>
            <w:tcBorders>
              <w:bottom w:val="nil"/>
            </w:tcBorders>
            <w:noWrap/>
            <w:hideMark/>
          </w:tcPr>
          <w:p w14:paraId="3F6D04CA" w14:textId="77777777" w:rsidR="00E10BA0" w:rsidRPr="008E3606" w:rsidRDefault="00E10BA0" w:rsidP="007E453E">
            <w:pPr>
              <w:widowControl w:val="0"/>
              <w:spacing w:line="240" w:lineRule="auto"/>
              <w:ind w:hanging="11"/>
              <w:rPr>
                <w:sz w:val="24"/>
                <w:lang w:val="es-AR"/>
              </w:rPr>
            </w:pPr>
          </w:p>
        </w:tc>
        <w:tc>
          <w:tcPr>
            <w:tcW w:w="2563" w:type="dxa"/>
            <w:tcBorders>
              <w:bottom w:val="nil"/>
            </w:tcBorders>
            <w:noWrap/>
            <w:hideMark/>
          </w:tcPr>
          <w:p w14:paraId="545D8848" w14:textId="77777777" w:rsidR="00E10BA0" w:rsidRPr="008E3606" w:rsidRDefault="00E10BA0" w:rsidP="007E453E">
            <w:pPr>
              <w:widowControl w:val="0"/>
              <w:spacing w:line="240" w:lineRule="auto"/>
              <w:ind w:hanging="11"/>
              <w:rPr>
                <w:sz w:val="24"/>
                <w:lang w:val="es-AR"/>
              </w:rPr>
            </w:pPr>
          </w:p>
        </w:tc>
      </w:tr>
      <w:tr w:rsidR="00E10BA0" w:rsidRPr="008E3606" w14:paraId="6F86F46E" w14:textId="77777777" w:rsidTr="007E453E">
        <w:trPr>
          <w:trHeight w:val="300"/>
        </w:trPr>
        <w:tc>
          <w:tcPr>
            <w:tcW w:w="4652" w:type="dxa"/>
            <w:tcBorders>
              <w:top w:val="nil"/>
              <w:bottom w:val="nil"/>
            </w:tcBorders>
            <w:noWrap/>
            <w:hideMark/>
          </w:tcPr>
          <w:p w14:paraId="395CD597" w14:textId="77777777" w:rsidR="00E10BA0" w:rsidRPr="008E3606" w:rsidRDefault="00E10BA0" w:rsidP="007E453E">
            <w:pPr>
              <w:widowControl w:val="0"/>
              <w:spacing w:line="240" w:lineRule="auto"/>
              <w:ind w:hanging="11"/>
              <w:rPr>
                <w:sz w:val="24"/>
                <w:lang w:val="es-AR"/>
              </w:rPr>
            </w:pPr>
            <w:r w:rsidRPr="008E3606">
              <w:rPr>
                <w:sz w:val="24"/>
                <w:lang w:val="es-AR"/>
              </w:rPr>
              <w:t>Futuros negociados en mercados de valores</w:t>
            </w:r>
          </w:p>
        </w:tc>
        <w:tc>
          <w:tcPr>
            <w:tcW w:w="1297" w:type="dxa"/>
            <w:tcBorders>
              <w:top w:val="nil"/>
              <w:bottom w:val="nil"/>
            </w:tcBorders>
            <w:noWrap/>
            <w:hideMark/>
          </w:tcPr>
          <w:p w14:paraId="397AE61C" w14:textId="77777777" w:rsidR="00E10BA0" w:rsidRPr="008E3606" w:rsidRDefault="00E10BA0" w:rsidP="007E453E">
            <w:pPr>
              <w:widowControl w:val="0"/>
              <w:spacing w:line="240" w:lineRule="auto"/>
              <w:ind w:hanging="11"/>
              <w:rPr>
                <w:sz w:val="24"/>
                <w:lang w:val="es-AR"/>
              </w:rPr>
            </w:pPr>
          </w:p>
        </w:tc>
        <w:tc>
          <w:tcPr>
            <w:tcW w:w="2563" w:type="dxa"/>
            <w:tcBorders>
              <w:top w:val="nil"/>
              <w:bottom w:val="nil"/>
            </w:tcBorders>
            <w:noWrap/>
            <w:hideMark/>
          </w:tcPr>
          <w:p w14:paraId="3ADA9B5C" w14:textId="77777777" w:rsidR="00E10BA0" w:rsidRPr="008E3606" w:rsidRDefault="00E10BA0" w:rsidP="007E453E">
            <w:pPr>
              <w:widowControl w:val="0"/>
              <w:spacing w:line="240" w:lineRule="auto"/>
              <w:ind w:hanging="11"/>
              <w:rPr>
                <w:sz w:val="24"/>
                <w:lang w:val="es-AR"/>
              </w:rPr>
            </w:pPr>
          </w:p>
        </w:tc>
      </w:tr>
      <w:tr w:rsidR="00E10BA0" w:rsidRPr="008E3606" w14:paraId="5957DBFD" w14:textId="77777777" w:rsidTr="007E453E">
        <w:trPr>
          <w:trHeight w:val="300"/>
        </w:trPr>
        <w:tc>
          <w:tcPr>
            <w:tcW w:w="4652" w:type="dxa"/>
            <w:tcBorders>
              <w:top w:val="nil"/>
              <w:bottom w:val="nil"/>
            </w:tcBorders>
            <w:noWrap/>
            <w:hideMark/>
          </w:tcPr>
          <w:p w14:paraId="275C2243" w14:textId="77777777" w:rsidR="00E10BA0" w:rsidRPr="008E3606" w:rsidRDefault="00E10BA0" w:rsidP="007E453E">
            <w:pPr>
              <w:widowControl w:val="0"/>
              <w:spacing w:line="240" w:lineRule="auto"/>
              <w:ind w:left="447" w:hanging="11"/>
              <w:rPr>
                <w:sz w:val="24"/>
                <w:lang w:val="es-AR"/>
              </w:rPr>
            </w:pPr>
            <w:r w:rsidRPr="008E3606">
              <w:rPr>
                <w:sz w:val="24"/>
                <w:lang w:val="es-AR"/>
              </w:rPr>
              <w:t>Instrumentos de deuda del gobierno</w:t>
            </w:r>
          </w:p>
        </w:tc>
        <w:tc>
          <w:tcPr>
            <w:tcW w:w="1297" w:type="dxa"/>
            <w:tcBorders>
              <w:top w:val="nil"/>
              <w:bottom w:val="nil"/>
            </w:tcBorders>
            <w:noWrap/>
            <w:hideMark/>
          </w:tcPr>
          <w:p w14:paraId="149B3963" w14:textId="77777777" w:rsidR="00E10BA0" w:rsidRPr="008E3606" w:rsidRDefault="00E10BA0" w:rsidP="007E453E">
            <w:pPr>
              <w:widowControl w:val="0"/>
              <w:spacing w:line="240" w:lineRule="auto"/>
              <w:ind w:hanging="11"/>
              <w:jc w:val="center"/>
              <w:rPr>
                <w:sz w:val="24"/>
                <w:lang w:val="es-AR"/>
              </w:rPr>
            </w:pPr>
            <w:r w:rsidRPr="008E3606">
              <w:rPr>
                <w:sz w:val="24"/>
                <w:lang w:val="es-AR"/>
              </w:rPr>
              <w:t>Si</w:t>
            </w:r>
          </w:p>
        </w:tc>
        <w:tc>
          <w:tcPr>
            <w:tcW w:w="2563" w:type="dxa"/>
            <w:tcBorders>
              <w:top w:val="nil"/>
              <w:bottom w:val="nil"/>
            </w:tcBorders>
            <w:noWrap/>
            <w:hideMark/>
          </w:tcPr>
          <w:p w14:paraId="21F544A9"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02377102" w14:textId="77777777" w:rsidTr="007E453E">
        <w:trPr>
          <w:trHeight w:val="300"/>
        </w:trPr>
        <w:tc>
          <w:tcPr>
            <w:tcW w:w="4652" w:type="dxa"/>
            <w:tcBorders>
              <w:top w:val="nil"/>
              <w:bottom w:val="nil"/>
            </w:tcBorders>
            <w:noWrap/>
            <w:hideMark/>
          </w:tcPr>
          <w:p w14:paraId="1A9F5586" w14:textId="77777777" w:rsidR="00E10BA0" w:rsidRPr="008E3606" w:rsidRDefault="00E10BA0" w:rsidP="007E453E">
            <w:pPr>
              <w:widowControl w:val="0"/>
              <w:spacing w:line="240" w:lineRule="auto"/>
              <w:ind w:left="447" w:hanging="11"/>
              <w:rPr>
                <w:sz w:val="24"/>
                <w:lang w:val="es-AR"/>
              </w:rPr>
            </w:pPr>
            <w:r w:rsidRPr="008E3606">
              <w:rPr>
                <w:sz w:val="24"/>
                <w:lang w:val="es-AR"/>
              </w:rPr>
              <w:t>Instrumentos de deuda corporativa</w:t>
            </w:r>
          </w:p>
        </w:tc>
        <w:tc>
          <w:tcPr>
            <w:tcW w:w="1297" w:type="dxa"/>
            <w:tcBorders>
              <w:top w:val="nil"/>
              <w:bottom w:val="nil"/>
            </w:tcBorders>
            <w:noWrap/>
            <w:hideMark/>
          </w:tcPr>
          <w:p w14:paraId="6DA0BCA2" w14:textId="77777777" w:rsidR="00E10BA0" w:rsidRPr="008E3606" w:rsidRDefault="00E10BA0" w:rsidP="007E453E">
            <w:pPr>
              <w:widowControl w:val="0"/>
              <w:spacing w:line="240" w:lineRule="auto"/>
              <w:ind w:hanging="11"/>
              <w:jc w:val="center"/>
              <w:rPr>
                <w:sz w:val="24"/>
                <w:lang w:val="es-AR"/>
              </w:rPr>
            </w:pPr>
            <w:r w:rsidRPr="008E3606">
              <w:rPr>
                <w:sz w:val="24"/>
                <w:lang w:val="es-AR"/>
              </w:rPr>
              <w:t>Si</w:t>
            </w:r>
          </w:p>
        </w:tc>
        <w:tc>
          <w:tcPr>
            <w:tcW w:w="2563" w:type="dxa"/>
            <w:tcBorders>
              <w:top w:val="nil"/>
              <w:bottom w:val="nil"/>
            </w:tcBorders>
            <w:noWrap/>
            <w:hideMark/>
          </w:tcPr>
          <w:p w14:paraId="4A719394"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3D835C59" w14:textId="77777777" w:rsidTr="007E453E">
        <w:trPr>
          <w:trHeight w:val="300"/>
        </w:trPr>
        <w:tc>
          <w:tcPr>
            <w:tcW w:w="4652" w:type="dxa"/>
            <w:tcBorders>
              <w:top w:val="nil"/>
              <w:bottom w:val="nil"/>
            </w:tcBorders>
            <w:noWrap/>
            <w:hideMark/>
          </w:tcPr>
          <w:p w14:paraId="23F6FDD8" w14:textId="77777777" w:rsidR="00E10BA0" w:rsidRPr="008E3606" w:rsidRDefault="00E10BA0" w:rsidP="007E453E">
            <w:pPr>
              <w:widowControl w:val="0"/>
              <w:spacing w:line="240" w:lineRule="auto"/>
              <w:ind w:left="447" w:hanging="11"/>
              <w:rPr>
                <w:sz w:val="24"/>
                <w:lang w:val="es-AR"/>
              </w:rPr>
            </w:pPr>
            <w:r w:rsidRPr="008E3606">
              <w:rPr>
                <w:sz w:val="24"/>
                <w:lang w:val="es-AR"/>
              </w:rPr>
              <w:t>Índices sobre tasas de interés</w:t>
            </w:r>
          </w:p>
        </w:tc>
        <w:tc>
          <w:tcPr>
            <w:tcW w:w="1297" w:type="dxa"/>
            <w:tcBorders>
              <w:top w:val="nil"/>
              <w:bottom w:val="nil"/>
            </w:tcBorders>
            <w:noWrap/>
            <w:hideMark/>
          </w:tcPr>
          <w:p w14:paraId="55751013" w14:textId="77777777" w:rsidR="00E10BA0" w:rsidRPr="008E3606" w:rsidRDefault="00E10BA0" w:rsidP="007E453E">
            <w:pPr>
              <w:widowControl w:val="0"/>
              <w:spacing w:line="240" w:lineRule="auto"/>
              <w:ind w:hanging="11"/>
              <w:jc w:val="center"/>
              <w:rPr>
                <w:sz w:val="24"/>
                <w:lang w:val="es-AR"/>
              </w:rPr>
            </w:pPr>
            <w:r w:rsidRPr="008E3606">
              <w:rPr>
                <w:sz w:val="24"/>
                <w:lang w:val="es-AR"/>
              </w:rPr>
              <w:t>No</w:t>
            </w:r>
          </w:p>
        </w:tc>
        <w:tc>
          <w:tcPr>
            <w:tcW w:w="2563" w:type="dxa"/>
            <w:tcBorders>
              <w:top w:val="nil"/>
              <w:bottom w:val="nil"/>
            </w:tcBorders>
            <w:noWrap/>
            <w:hideMark/>
          </w:tcPr>
          <w:p w14:paraId="06F69A1F"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2F5C11B7" w14:textId="77777777" w:rsidTr="007E453E">
        <w:trPr>
          <w:trHeight w:val="300"/>
        </w:trPr>
        <w:tc>
          <w:tcPr>
            <w:tcW w:w="4652" w:type="dxa"/>
            <w:tcBorders>
              <w:top w:val="nil"/>
              <w:bottom w:val="nil"/>
            </w:tcBorders>
            <w:noWrap/>
            <w:hideMark/>
          </w:tcPr>
          <w:p w14:paraId="737A87F0" w14:textId="77777777" w:rsidR="00E10BA0" w:rsidRPr="008E3606" w:rsidRDefault="00E10BA0" w:rsidP="007E453E">
            <w:pPr>
              <w:widowControl w:val="0"/>
              <w:spacing w:line="240" w:lineRule="auto"/>
              <w:ind w:hanging="11"/>
              <w:rPr>
                <w:sz w:val="24"/>
                <w:lang w:val="es-AR"/>
              </w:rPr>
            </w:pPr>
          </w:p>
        </w:tc>
        <w:tc>
          <w:tcPr>
            <w:tcW w:w="1297" w:type="dxa"/>
            <w:tcBorders>
              <w:top w:val="nil"/>
              <w:bottom w:val="nil"/>
            </w:tcBorders>
            <w:noWrap/>
            <w:hideMark/>
          </w:tcPr>
          <w:p w14:paraId="3EBDF893" w14:textId="77777777" w:rsidR="00E10BA0" w:rsidRPr="008E3606" w:rsidRDefault="00E10BA0" w:rsidP="007E453E">
            <w:pPr>
              <w:widowControl w:val="0"/>
              <w:spacing w:line="240" w:lineRule="auto"/>
              <w:ind w:hanging="11"/>
              <w:jc w:val="center"/>
              <w:rPr>
                <w:sz w:val="24"/>
                <w:lang w:val="es-AR"/>
              </w:rPr>
            </w:pPr>
          </w:p>
        </w:tc>
        <w:tc>
          <w:tcPr>
            <w:tcW w:w="2563" w:type="dxa"/>
            <w:tcBorders>
              <w:top w:val="nil"/>
              <w:bottom w:val="nil"/>
            </w:tcBorders>
            <w:noWrap/>
            <w:hideMark/>
          </w:tcPr>
          <w:p w14:paraId="18F5F8F2" w14:textId="77777777" w:rsidR="00E10BA0" w:rsidRPr="008E3606" w:rsidRDefault="00E10BA0" w:rsidP="007E453E">
            <w:pPr>
              <w:widowControl w:val="0"/>
              <w:spacing w:line="240" w:lineRule="auto"/>
              <w:ind w:hanging="11"/>
              <w:rPr>
                <w:sz w:val="24"/>
                <w:lang w:val="es-AR"/>
              </w:rPr>
            </w:pPr>
          </w:p>
        </w:tc>
      </w:tr>
      <w:tr w:rsidR="00E10BA0" w:rsidRPr="002B3FA0" w14:paraId="20A82FC8" w14:textId="77777777" w:rsidTr="007E453E">
        <w:trPr>
          <w:trHeight w:val="300"/>
        </w:trPr>
        <w:tc>
          <w:tcPr>
            <w:tcW w:w="4652" w:type="dxa"/>
            <w:tcBorders>
              <w:top w:val="nil"/>
              <w:bottom w:val="nil"/>
            </w:tcBorders>
            <w:noWrap/>
            <w:hideMark/>
          </w:tcPr>
          <w:p w14:paraId="7A205CFD" w14:textId="77777777" w:rsidR="00E10BA0" w:rsidRPr="008E3606" w:rsidRDefault="00E10BA0" w:rsidP="007E453E">
            <w:pPr>
              <w:widowControl w:val="0"/>
              <w:spacing w:line="240" w:lineRule="auto"/>
              <w:ind w:hanging="11"/>
              <w:rPr>
                <w:sz w:val="24"/>
                <w:lang w:val="en-US"/>
              </w:rPr>
            </w:pPr>
            <w:r w:rsidRPr="008E3606">
              <w:rPr>
                <w:sz w:val="24"/>
                <w:lang w:val="en-US"/>
              </w:rPr>
              <w:t>Forwards extrabursátiles (over the counter)</w:t>
            </w:r>
          </w:p>
        </w:tc>
        <w:tc>
          <w:tcPr>
            <w:tcW w:w="1297" w:type="dxa"/>
            <w:tcBorders>
              <w:top w:val="nil"/>
              <w:bottom w:val="nil"/>
            </w:tcBorders>
            <w:noWrap/>
            <w:hideMark/>
          </w:tcPr>
          <w:p w14:paraId="469C4900" w14:textId="77777777" w:rsidR="00E10BA0" w:rsidRPr="008E3606" w:rsidRDefault="00E10BA0" w:rsidP="007E453E">
            <w:pPr>
              <w:widowControl w:val="0"/>
              <w:spacing w:line="240" w:lineRule="auto"/>
              <w:ind w:hanging="11"/>
              <w:jc w:val="center"/>
              <w:rPr>
                <w:sz w:val="24"/>
                <w:lang w:val="en-US"/>
              </w:rPr>
            </w:pPr>
          </w:p>
        </w:tc>
        <w:tc>
          <w:tcPr>
            <w:tcW w:w="2563" w:type="dxa"/>
            <w:tcBorders>
              <w:top w:val="nil"/>
              <w:bottom w:val="nil"/>
            </w:tcBorders>
            <w:noWrap/>
            <w:hideMark/>
          </w:tcPr>
          <w:p w14:paraId="74A95ED6" w14:textId="77777777" w:rsidR="00E10BA0" w:rsidRPr="008E3606" w:rsidRDefault="00E10BA0" w:rsidP="007E453E">
            <w:pPr>
              <w:widowControl w:val="0"/>
              <w:spacing w:line="240" w:lineRule="auto"/>
              <w:ind w:hanging="11"/>
              <w:rPr>
                <w:sz w:val="24"/>
                <w:lang w:val="en-US"/>
              </w:rPr>
            </w:pPr>
          </w:p>
        </w:tc>
      </w:tr>
      <w:tr w:rsidR="00E10BA0" w:rsidRPr="008E3606" w14:paraId="538F0632" w14:textId="77777777" w:rsidTr="007E453E">
        <w:trPr>
          <w:trHeight w:val="300"/>
        </w:trPr>
        <w:tc>
          <w:tcPr>
            <w:tcW w:w="4652" w:type="dxa"/>
            <w:tcBorders>
              <w:top w:val="nil"/>
              <w:bottom w:val="nil"/>
            </w:tcBorders>
            <w:noWrap/>
            <w:hideMark/>
          </w:tcPr>
          <w:p w14:paraId="6F3DBED4" w14:textId="77777777" w:rsidR="00E10BA0" w:rsidRPr="008E3606" w:rsidRDefault="00E10BA0" w:rsidP="007E453E">
            <w:pPr>
              <w:widowControl w:val="0"/>
              <w:spacing w:line="240" w:lineRule="auto"/>
              <w:ind w:left="447" w:hanging="11"/>
              <w:rPr>
                <w:sz w:val="24"/>
                <w:lang w:val="es-AR"/>
              </w:rPr>
            </w:pPr>
            <w:r w:rsidRPr="008E3606">
              <w:rPr>
                <w:sz w:val="24"/>
                <w:lang w:val="es-AR"/>
              </w:rPr>
              <w:t>Instrumentos de deuda del gobierno</w:t>
            </w:r>
          </w:p>
        </w:tc>
        <w:tc>
          <w:tcPr>
            <w:tcW w:w="1297" w:type="dxa"/>
            <w:tcBorders>
              <w:top w:val="nil"/>
              <w:bottom w:val="nil"/>
            </w:tcBorders>
            <w:noWrap/>
            <w:hideMark/>
          </w:tcPr>
          <w:p w14:paraId="2ECECD8B" w14:textId="77777777" w:rsidR="00E10BA0" w:rsidRPr="008E3606" w:rsidRDefault="00E10BA0" w:rsidP="007E453E">
            <w:pPr>
              <w:widowControl w:val="0"/>
              <w:spacing w:line="240" w:lineRule="auto"/>
              <w:ind w:hanging="11"/>
              <w:jc w:val="center"/>
              <w:rPr>
                <w:sz w:val="24"/>
                <w:lang w:val="es-AR"/>
              </w:rPr>
            </w:pPr>
            <w:r w:rsidRPr="008E3606">
              <w:rPr>
                <w:sz w:val="24"/>
                <w:lang w:val="es-AR"/>
              </w:rPr>
              <w:t>Si</w:t>
            </w:r>
          </w:p>
        </w:tc>
        <w:tc>
          <w:tcPr>
            <w:tcW w:w="2563" w:type="dxa"/>
            <w:tcBorders>
              <w:top w:val="nil"/>
              <w:bottom w:val="nil"/>
            </w:tcBorders>
            <w:noWrap/>
            <w:hideMark/>
          </w:tcPr>
          <w:p w14:paraId="4EB01128"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6F8A2B50" w14:textId="77777777" w:rsidTr="007E453E">
        <w:trPr>
          <w:trHeight w:val="300"/>
        </w:trPr>
        <w:tc>
          <w:tcPr>
            <w:tcW w:w="4652" w:type="dxa"/>
            <w:tcBorders>
              <w:top w:val="nil"/>
              <w:bottom w:val="nil"/>
            </w:tcBorders>
            <w:noWrap/>
            <w:hideMark/>
          </w:tcPr>
          <w:p w14:paraId="30ED7DC3" w14:textId="77777777" w:rsidR="00E10BA0" w:rsidRPr="008E3606" w:rsidRDefault="00E10BA0" w:rsidP="007E453E">
            <w:pPr>
              <w:widowControl w:val="0"/>
              <w:spacing w:line="240" w:lineRule="auto"/>
              <w:ind w:left="447" w:hanging="11"/>
              <w:rPr>
                <w:sz w:val="24"/>
                <w:lang w:val="es-AR"/>
              </w:rPr>
            </w:pPr>
            <w:r w:rsidRPr="008E3606">
              <w:rPr>
                <w:sz w:val="24"/>
                <w:lang w:val="es-AR"/>
              </w:rPr>
              <w:t>Instrumentos de deuda corporativa</w:t>
            </w:r>
          </w:p>
        </w:tc>
        <w:tc>
          <w:tcPr>
            <w:tcW w:w="1297" w:type="dxa"/>
            <w:tcBorders>
              <w:top w:val="nil"/>
              <w:bottom w:val="nil"/>
            </w:tcBorders>
            <w:noWrap/>
            <w:hideMark/>
          </w:tcPr>
          <w:p w14:paraId="21FE7443" w14:textId="77777777" w:rsidR="00E10BA0" w:rsidRPr="008E3606" w:rsidRDefault="00E10BA0" w:rsidP="007E453E">
            <w:pPr>
              <w:widowControl w:val="0"/>
              <w:spacing w:line="240" w:lineRule="auto"/>
              <w:ind w:hanging="11"/>
              <w:jc w:val="center"/>
              <w:rPr>
                <w:sz w:val="24"/>
                <w:lang w:val="es-AR"/>
              </w:rPr>
            </w:pPr>
            <w:r w:rsidRPr="008E3606">
              <w:rPr>
                <w:sz w:val="24"/>
                <w:lang w:val="es-AR"/>
              </w:rPr>
              <w:t>Si</w:t>
            </w:r>
          </w:p>
        </w:tc>
        <w:tc>
          <w:tcPr>
            <w:tcW w:w="2563" w:type="dxa"/>
            <w:tcBorders>
              <w:top w:val="nil"/>
              <w:bottom w:val="nil"/>
            </w:tcBorders>
            <w:noWrap/>
            <w:hideMark/>
          </w:tcPr>
          <w:p w14:paraId="39BF00B0"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00D096D7" w14:textId="77777777" w:rsidTr="007E453E">
        <w:trPr>
          <w:trHeight w:val="300"/>
        </w:trPr>
        <w:tc>
          <w:tcPr>
            <w:tcW w:w="4652" w:type="dxa"/>
            <w:tcBorders>
              <w:top w:val="nil"/>
              <w:bottom w:val="nil"/>
            </w:tcBorders>
            <w:noWrap/>
            <w:hideMark/>
          </w:tcPr>
          <w:p w14:paraId="22AC91ED" w14:textId="77777777" w:rsidR="00E10BA0" w:rsidRPr="008E3606" w:rsidRDefault="00E10BA0" w:rsidP="007E453E">
            <w:pPr>
              <w:widowControl w:val="0"/>
              <w:spacing w:line="240" w:lineRule="auto"/>
              <w:ind w:left="447" w:hanging="11"/>
              <w:rPr>
                <w:sz w:val="24"/>
                <w:lang w:val="es-AR"/>
              </w:rPr>
            </w:pPr>
            <w:r w:rsidRPr="008E3606">
              <w:rPr>
                <w:sz w:val="24"/>
                <w:lang w:val="es-AR"/>
              </w:rPr>
              <w:t>índices sobre tasas de interés</w:t>
            </w:r>
          </w:p>
        </w:tc>
        <w:tc>
          <w:tcPr>
            <w:tcW w:w="1297" w:type="dxa"/>
            <w:tcBorders>
              <w:top w:val="nil"/>
              <w:bottom w:val="nil"/>
            </w:tcBorders>
            <w:noWrap/>
            <w:hideMark/>
          </w:tcPr>
          <w:p w14:paraId="5167004C" w14:textId="77777777" w:rsidR="00E10BA0" w:rsidRPr="008E3606" w:rsidRDefault="00E10BA0" w:rsidP="007E453E">
            <w:pPr>
              <w:widowControl w:val="0"/>
              <w:spacing w:line="240" w:lineRule="auto"/>
              <w:ind w:hanging="11"/>
              <w:jc w:val="center"/>
              <w:rPr>
                <w:sz w:val="24"/>
                <w:lang w:val="es-AR"/>
              </w:rPr>
            </w:pPr>
            <w:r w:rsidRPr="008E3606">
              <w:rPr>
                <w:sz w:val="24"/>
                <w:lang w:val="es-AR"/>
              </w:rPr>
              <w:t>No</w:t>
            </w:r>
          </w:p>
        </w:tc>
        <w:tc>
          <w:tcPr>
            <w:tcW w:w="2563" w:type="dxa"/>
            <w:tcBorders>
              <w:top w:val="nil"/>
              <w:bottom w:val="nil"/>
            </w:tcBorders>
            <w:noWrap/>
            <w:hideMark/>
          </w:tcPr>
          <w:p w14:paraId="77833D38"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05F7A02C" w14:textId="77777777" w:rsidTr="007E453E">
        <w:trPr>
          <w:trHeight w:val="300"/>
        </w:trPr>
        <w:tc>
          <w:tcPr>
            <w:tcW w:w="4652" w:type="dxa"/>
            <w:tcBorders>
              <w:top w:val="nil"/>
              <w:bottom w:val="nil"/>
            </w:tcBorders>
            <w:noWrap/>
            <w:hideMark/>
          </w:tcPr>
          <w:p w14:paraId="5D377591" w14:textId="77777777" w:rsidR="00E10BA0" w:rsidRPr="008E3606" w:rsidRDefault="00E10BA0" w:rsidP="007E453E">
            <w:pPr>
              <w:widowControl w:val="0"/>
              <w:spacing w:line="240" w:lineRule="auto"/>
              <w:ind w:hanging="11"/>
              <w:rPr>
                <w:sz w:val="24"/>
                <w:lang w:val="es-AR"/>
              </w:rPr>
            </w:pPr>
          </w:p>
        </w:tc>
        <w:tc>
          <w:tcPr>
            <w:tcW w:w="1297" w:type="dxa"/>
            <w:tcBorders>
              <w:top w:val="nil"/>
              <w:bottom w:val="nil"/>
            </w:tcBorders>
            <w:noWrap/>
            <w:hideMark/>
          </w:tcPr>
          <w:p w14:paraId="33A6361C" w14:textId="77777777" w:rsidR="00E10BA0" w:rsidRPr="008E3606" w:rsidRDefault="00E10BA0" w:rsidP="007E453E">
            <w:pPr>
              <w:widowControl w:val="0"/>
              <w:spacing w:line="240" w:lineRule="auto"/>
              <w:ind w:hanging="11"/>
              <w:jc w:val="center"/>
              <w:rPr>
                <w:sz w:val="24"/>
                <w:lang w:val="es-AR"/>
              </w:rPr>
            </w:pPr>
          </w:p>
        </w:tc>
        <w:tc>
          <w:tcPr>
            <w:tcW w:w="2563" w:type="dxa"/>
            <w:tcBorders>
              <w:top w:val="nil"/>
              <w:bottom w:val="nil"/>
            </w:tcBorders>
            <w:noWrap/>
            <w:hideMark/>
          </w:tcPr>
          <w:p w14:paraId="0A76ADD6" w14:textId="77777777" w:rsidR="00E10BA0" w:rsidRPr="008E3606" w:rsidRDefault="00E10BA0" w:rsidP="007E453E">
            <w:pPr>
              <w:widowControl w:val="0"/>
              <w:spacing w:line="240" w:lineRule="auto"/>
              <w:ind w:hanging="11"/>
              <w:rPr>
                <w:sz w:val="24"/>
                <w:lang w:val="es-AR"/>
              </w:rPr>
            </w:pPr>
          </w:p>
        </w:tc>
      </w:tr>
      <w:tr w:rsidR="00E10BA0" w:rsidRPr="008E3606" w14:paraId="6F7AE202" w14:textId="77777777" w:rsidTr="007E453E">
        <w:trPr>
          <w:trHeight w:val="300"/>
        </w:trPr>
        <w:tc>
          <w:tcPr>
            <w:tcW w:w="4652" w:type="dxa"/>
            <w:tcBorders>
              <w:top w:val="nil"/>
              <w:bottom w:val="nil"/>
            </w:tcBorders>
            <w:noWrap/>
            <w:hideMark/>
          </w:tcPr>
          <w:p w14:paraId="07C858A8" w14:textId="77777777" w:rsidR="00E10BA0" w:rsidRPr="008E3606" w:rsidRDefault="00E10BA0" w:rsidP="007E453E">
            <w:pPr>
              <w:widowControl w:val="0"/>
              <w:spacing w:line="240" w:lineRule="auto"/>
              <w:ind w:hanging="11"/>
              <w:rPr>
                <w:sz w:val="24"/>
                <w:lang w:val="es-AR"/>
              </w:rPr>
            </w:pPr>
            <w:r w:rsidRPr="008E3606">
              <w:rPr>
                <w:sz w:val="24"/>
                <w:lang w:val="es-AR"/>
              </w:rPr>
              <w:t>FRAs, Swaps</w:t>
            </w:r>
          </w:p>
        </w:tc>
        <w:tc>
          <w:tcPr>
            <w:tcW w:w="1297" w:type="dxa"/>
            <w:tcBorders>
              <w:top w:val="nil"/>
              <w:bottom w:val="nil"/>
            </w:tcBorders>
            <w:noWrap/>
            <w:hideMark/>
          </w:tcPr>
          <w:p w14:paraId="2BFDE000" w14:textId="77777777" w:rsidR="00E10BA0" w:rsidRPr="008E3606" w:rsidRDefault="00E10BA0" w:rsidP="007E453E">
            <w:pPr>
              <w:widowControl w:val="0"/>
              <w:spacing w:line="240" w:lineRule="auto"/>
              <w:ind w:hanging="11"/>
              <w:jc w:val="center"/>
              <w:rPr>
                <w:sz w:val="24"/>
                <w:lang w:val="es-AR"/>
              </w:rPr>
            </w:pPr>
            <w:r w:rsidRPr="008E3606">
              <w:rPr>
                <w:sz w:val="24"/>
                <w:lang w:val="es-AR"/>
              </w:rPr>
              <w:t>No</w:t>
            </w:r>
          </w:p>
        </w:tc>
        <w:tc>
          <w:tcPr>
            <w:tcW w:w="2563" w:type="dxa"/>
            <w:tcBorders>
              <w:top w:val="nil"/>
              <w:bottom w:val="nil"/>
            </w:tcBorders>
            <w:noWrap/>
            <w:hideMark/>
          </w:tcPr>
          <w:p w14:paraId="458737F7" w14:textId="77777777" w:rsidR="00E10BA0" w:rsidRPr="008E3606" w:rsidRDefault="00E10BA0" w:rsidP="007E453E">
            <w:pPr>
              <w:widowControl w:val="0"/>
              <w:spacing w:line="240" w:lineRule="auto"/>
              <w:ind w:hanging="11"/>
              <w:rPr>
                <w:sz w:val="24"/>
                <w:lang w:val="es-AR"/>
              </w:rPr>
            </w:pPr>
            <w:r w:rsidRPr="008E3606">
              <w:rPr>
                <w:sz w:val="24"/>
                <w:lang w:val="es-AR"/>
              </w:rPr>
              <w:t>Sí, como dos posiciones</w:t>
            </w:r>
          </w:p>
        </w:tc>
      </w:tr>
      <w:tr w:rsidR="00E10BA0" w:rsidRPr="008E3606" w14:paraId="5F2BDC63" w14:textId="77777777" w:rsidTr="007E453E">
        <w:trPr>
          <w:trHeight w:val="300"/>
        </w:trPr>
        <w:tc>
          <w:tcPr>
            <w:tcW w:w="4652" w:type="dxa"/>
            <w:tcBorders>
              <w:top w:val="nil"/>
            </w:tcBorders>
            <w:noWrap/>
            <w:hideMark/>
          </w:tcPr>
          <w:p w14:paraId="583D5A6A" w14:textId="77777777" w:rsidR="00E10BA0" w:rsidRPr="008E3606" w:rsidRDefault="00E10BA0" w:rsidP="007E453E">
            <w:pPr>
              <w:widowControl w:val="0"/>
              <w:spacing w:line="240" w:lineRule="auto"/>
              <w:ind w:hanging="11"/>
              <w:rPr>
                <w:sz w:val="24"/>
                <w:lang w:val="es-AR"/>
              </w:rPr>
            </w:pPr>
            <w:r w:rsidRPr="008E3606">
              <w:rPr>
                <w:sz w:val="24"/>
                <w:lang w:val="es-AR"/>
              </w:rPr>
              <w:t>Forward de tipo de cambio</w:t>
            </w:r>
          </w:p>
        </w:tc>
        <w:tc>
          <w:tcPr>
            <w:tcW w:w="1297" w:type="dxa"/>
            <w:tcBorders>
              <w:top w:val="nil"/>
            </w:tcBorders>
            <w:noWrap/>
            <w:hideMark/>
          </w:tcPr>
          <w:p w14:paraId="44C27FBB" w14:textId="77777777" w:rsidR="00E10BA0" w:rsidRPr="008E3606" w:rsidRDefault="00E10BA0" w:rsidP="007E453E">
            <w:pPr>
              <w:widowControl w:val="0"/>
              <w:spacing w:line="240" w:lineRule="auto"/>
              <w:ind w:hanging="11"/>
              <w:jc w:val="center"/>
              <w:rPr>
                <w:sz w:val="24"/>
                <w:lang w:val="es-AR"/>
              </w:rPr>
            </w:pPr>
            <w:r w:rsidRPr="008E3606">
              <w:rPr>
                <w:sz w:val="24"/>
                <w:lang w:val="es-AR"/>
              </w:rPr>
              <w:t>No</w:t>
            </w:r>
          </w:p>
        </w:tc>
        <w:tc>
          <w:tcPr>
            <w:tcW w:w="2563" w:type="dxa"/>
            <w:tcBorders>
              <w:top w:val="nil"/>
            </w:tcBorders>
            <w:noWrap/>
            <w:hideMark/>
          </w:tcPr>
          <w:p w14:paraId="74AAFFFF" w14:textId="77777777" w:rsidR="00E10BA0" w:rsidRPr="008E3606" w:rsidRDefault="00E10BA0" w:rsidP="007E453E">
            <w:pPr>
              <w:widowControl w:val="0"/>
              <w:spacing w:line="240" w:lineRule="auto"/>
              <w:ind w:hanging="11"/>
              <w:rPr>
                <w:sz w:val="24"/>
                <w:lang w:val="es-AR"/>
              </w:rPr>
            </w:pPr>
            <w:r w:rsidRPr="008E3606">
              <w:rPr>
                <w:sz w:val="24"/>
                <w:lang w:val="es-AR"/>
              </w:rPr>
              <w:t>Sí, como una posición en cada moneda</w:t>
            </w:r>
          </w:p>
        </w:tc>
      </w:tr>
    </w:tbl>
    <w:p w14:paraId="30B29A75" w14:textId="77777777" w:rsidR="00E10BA0" w:rsidRPr="008E3606" w:rsidRDefault="00E10BA0" w:rsidP="00E10BA0">
      <w:pPr>
        <w:widowControl w:val="0"/>
        <w:spacing w:after="240" w:line="259" w:lineRule="auto"/>
        <w:jc w:val="left"/>
        <w:rPr>
          <w:rFonts w:eastAsia="SimSun"/>
          <w:sz w:val="24"/>
        </w:rPr>
      </w:pPr>
    </w:p>
    <w:p w14:paraId="78463F62" w14:textId="77777777" w:rsidR="00E10BA0" w:rsidRPr="008E3606" w:rsidRDefault="00E10BA0" w:rsidP="00D92BF5">
      <w:pPr>
        <w:pStyle w:val="Ttulo1"/>
        <w:spacing w:after="240"/>
        <w:ind w:left="0" w:firstLine="0"/>
        <w:rPr>
          <w:rFonts w:ascii="Cambria" w:hAnsi="Cambria" w:cs="Times New Roman"/>
          <w:szCs w:val="24"/>
        </w:rPr>
      </w:pPr>
      <w:bookmarkStart w:id="4" w:name="_Toc153190204"/>
      <w:r w:rsidRPr="008E3606">
        <w:rPr>
          <w:rFonts w:ascii="Cambria" w:hAnsi="Cambria" w:cs="Times New Roman"/>
          <w:szCs w:val="24"/>
        </w:rPr>
        <w:t>IV. METODOLOGÍA ESTÁNDAR PARA EL CALCULO DEL RIESGO DE TASAS DE INTERÉS EN EL LIBRO BANCARIO.</w:t>
      </w:r>
      <w:bookmarkEnd w:id="4"/>
    </w:p>
    <w:p w14:paraId="39FA8624" w14:textId="77777777" w:rsidR="00E10BA0" w:rsidRPr="008E3606" w:rsidRDefault="00E10BA0" w:rsidP="00E10BA0">
      <w:pPr>
        <w:widowControl w:val="0"/>
        <w:spacing w:after="240" w:line="240" w:lineRule="auto"/>
        <w:ind w:left="2268" w:hanging="2268"/>
        <w:rPr>
          <w:sz w:val="24"/>
        </w:rPr>
      </w:pPr>
      <w:r w:rsidRPr="008E3606">
        <w:rPr>
          <w:b/>
          <w:bCs/>
          <w:sz w:val="24"/>
        </w:rPr>
        <w:t>Objetivo específico</w:t>
      </w:r>
      <w:r w:rsidRPr="008E3606">
        <w:rPr>
          <w:sz w:val="24"/>
        </w:rPr>
        <w:t>:</w:t>
      </w:r>
      <w:r w:rsidRPr="008E3606">
        <w:rPr>
          <w:sz w:val="24"/>
        </w:rPr>
        <w:tab/>
        <w:t>Establecer la metodología estándar para la medición del Riesgo de Tasas de Interés en el Libro Bancario (RTILB), con el enfoque de Valor Económico del Patrimonio (VEP).</w:t>
      </w:r>
    </w:p>
    <w:p w14:paraId="5AF8F083" w14:textId="77777777" w:rsidR="00E10BA0" w:rsidRPr="008E3606" w:rsidRDefault="00E10BA0" w:rsidP="00E10BA0">
      <w:pPr>
        <w:pStyle w:val="Prrafodelista"/>
        <w:widowControl w:val="0"/>
        <w:numPr>
          <w:ilvl w:val="0"/>
          <w:numId w:val="37"/>
        </w:numPr>
        <w:spacing w:after="0" w:line="240" w:lineRule="auto"/>
        <w:ind w:left="567" w:hanging="567"/>
        <w:contextualSpacing w:val="0"/>
        <w:rPr>
          <w:rFonts w:ascii="Cambria" w:hAnsi="Cambria"/>
          <w:b/>
          <w:bCs/>
          <w:szCs w:val="24"/>
        </w:rPr>
      </w:pPr>
      <w:r w:rsidRPr="008E3606">
        <w:rPr>
          <w:rFonts w:ascii="Cambria" w:hAnsi="Cambria"/>
          <w:b/>
          <w:bCs/>
          <w:szCs w:val="24"/>
        </w:rPr>
        <w:t xml:space="preserve">Estructura general de la metodología estándar </w:t>
      </w:r>
    </w:p>
    <w:p w14:paraId="1B2FBED6" w14:textId="77777777" w:rsidR="00E10BA0" w:rsidRPr="008E3606" w:rsidRDefault="00E10BA0" w:rsidP="00E10BA0">
      <w:pPr>
        <w:widowControl w:val="0"/>
        <w:spacing w:after="240" w:line="240" w:lineRule="auto"/>
        <w:rPr>
          <w:sz w:val="24"/>
        </w:rPr>
      </w:pPr>
      <w:r w:rsidRPr="008E3606">
        <w:rPr>
          <w:sz w:val="24"/>
        </w:rPr>
        <w:t xml:space="preserve">El enfoque de valor económico del patrimonio requiere calcular el valor actual neto de los activos y pasivos financieros de la entidad para cada uno de los escenarios de estrés de tasas de interés especificados; y determinar el cambio en el valor actual neto determinado en cada escenario respecto a un escenario base. </w:t>
      </w:r>
    </w:p>
    <w:p w14:paraId="11B8EB24" w14:textId="77777777" w:rsidR="00E10BA0" w:rsidRPr="008E3606" w:rsidRDefault="00E10BA0" w:rsidP="00E10BA0">
      <w:pPr>
        <w:pStyle w:val="Prrafodelista"/>
        <w:widowControl w:val="0"/>
        <w:numPr>
          <w:ilvl w:val="0"/>
          <w:numId w:val="38"/>
        </w:numPr>
        <w:spacing w:after="0" w:line="240" w:lineRule="auto"/>
        <w:ind w:left="1134" w:hanging="567"/>
        <w:contextualSpacing w:val="0"/>
        <w:rPr>
          <w:rFonts w:ascii="Cambria" w:hAnsi="Cambria"/>
          <w:b/>
          <w:bCs/>
          <w:color w:val="4472C4" w:themeColor="accent1"/>
          <w:szCs w:val="24"/>
          <w:u w:val="single"/>
        </w:rPr>
      </w:pPr>
      <w:r w:rsidRPr="008E3606">
        <w:rPr>
          <w:rFonts w:ascii="Cambria" w:hAnsi="Cambria"/>
          <w:b/>
          <w:bCs/>
          <w:color w:val="4472C4" w:themeColor="accent1"/>
          <w:szCs w:val="24"/>
          <w:u w:val="single"/>
        </w:rPr>
        <w:t xml:space="preserve">Flujos de Efectivo (CF) </w:t>
      </w:r>
    </w:p>
    <w:p w14:paraId="7E217DEB" w14:textId="77777777" w:rsidR="00E10BA0" w:rsidRPr="008E3606" w:rsidRDefault="00E10BA0" w:rsidP="00E10BA0">
      <w:pPr>
        <w:widowControl w:val="0"/>
        <w:spacing w:after="240" w:line="240" w:lineRule="auto"/>
        <w:ind w:left="567"/>
        <w:rPr>
          <w:sz w:val="24"/>
        </w:rPr>
      </w:pPr>
      <w:r w:rsidRPr="008E3606">
        <w:rPr>
          <w:sz w:val="24"/>
        </w:rPr>
        <w:t xml:space="preserve">La entidad debe asignar todos los flujos de efectivo nocionales futuros con tasa revisada </w:t>
      </w:r>
      <w:r w:rsidRPr="008E3606">
        <w:rPr>
          <w:b/>
          <w:bCs/>
          <w:sz w:val="24"/>
        </w:rPr>
        <w:t>CF(k)</w:t>
      </w:r>
      <w:r w:rsidRPr="008E3606">
        <w:rPr>
          <w:sz w:val="24"/>
        </w:rPr>
        <w:t xml:space="preserve">, que surjan </w:t>
      </w:r>
      <w:r w:rsidRPr="008E3606">
        <w:rPr>
          <w:sz w:val="24"/>
          <w:lang w:val="es"/>
        </w:rPr>
        <w:t xml:space="preserve">de activos y pasivos financieros sensibles a tasas de interés, en </w:t>
      </w:r>
      <w:r w:rsidRPr="008E3606">
        <w:rPr>
          <w:sz w:val="24"/>
        </w:rPr>
        <w:t>diecinueve (19) bandas temporales señaladas en la Tabla 1, donde k es la indexación para referirse a las bancas temporales.</w:t>
      </w:r>
    </w:p>
    <w:p w14:paraId="65E8A943" w14:textId="77777777" w:rsidR="00E10BA0" w:rsidRPr="008E3606" w:rsidRDefault="00E10BA0" w:rsidP="00E10BA0">
      <w:pPr>
        <w:widowControl w:val="0"/>
        <w:spacing w:after="240" w:line="240" w:lineRule="auto"/>
        <w:ind w:left="567"/>
        <w:rPr>
          <w:sz w:val="24"/>
        </w:rPr>
      </w:pPr>
      <w:r w:rsidRPr="008E3606">
        <w:rPr>
          <w:sz w:val="24"/>
        </w:rPr>
        <w:t xml:space="preserve">Un flujo de efectivo nocional con tasa revisada </w:t>
      </w:r>
      <w:r w:rsidRPr="008E3606">
        <w:rPr>
          <w:b/>
          <w:bCs/>
          <w:sz w:val="24"/>
        </w:rPr>
        <w:t>CF(k)</w:t>
      </w:r>
      <w:r w:rsidRPr="008E3606">
        <w:rPr>
          <w:sz w:val="24"/>
        </w:rPr>
        <w:t>, se define como:</w:t>
      </w:r>
    </w:p>
    <w:p w14:paraId="29B26A26" w14:textId="77777777" w:rsidR="00E10BA0" w:rsidRPr="008E3606" w:rsidRDefault="00E10BA0" w:rsidP="00E10BA0">
      <w:pPr>
        <w:pStyle w:val="Prrafodelista"/>
        <w:widowControl w:val="0"/>
        <w:numPr>
          <w:ilvl w:val="0"/>
          <w:numId w:val="39"/>
        </w:numPr>
        <w:spacing w:after="240" w:line="240" w:lineRule="auto"/>
        <w:ind w:left="1701" w:hanging="577"/>
        <w:contextualSpacing w:val="0"/>
        <w:rPr>
          <w:rFonts w:ascii="Cambria" w:hAnsi="Cambria"/>
          <w:color w:val="auto"/>
          <w:szCs w:val="24"/>
        </w:rPr>
      </w:pPr>
      <w:r w:rsidRPr="008E3606">
        <w:rPr>
          <w:rFonts w:ascii="Cambria" w:hAnsi="Cambria"/>
          <w:color w:val="auto"/>
          <w:szCs w:val="24"/>
        </w:rPr>
        <w:t xml:space="preserve">cualquier pago del principal (por ejemplo, al vencimiento contractual); </w:t>
      </w:r>
    </w:p>
    <w:p w14:paraId="3C9F027B" w14:textId="77777777" w:rsidR="00E10BA0" w:rsidRPr="008E3606" w:rsidRDefault="00E10BA0" w:rsidP="00E10BA0">
      <w:pPr>
        <w:pStyle w:val="Prrafodelista"/>
        <w:widowControl w:val="0"/>
        <w:numPr>
          <w:ilvl w:val="0"/>
          <w:numId w:val="39"/>
        </w:numPr>
        <w:spacing w:after="240" w:line="240" w:lineRule="auto"/>
        <w:ind w:left="1701" w:hanging="577"/>
        <w:contextualSpacing w:val="0"/>
        <w:rPr>
          <w:rFonts w:ascii="Cambria" w:hAnsi="Cambria"/>
          <w:color w:val="auto"/>
          <w:szCs w:val="24"/>
        </w:rPr>
      </w:pPr>
      <w:r w:rsidRPr="008E3606">
        <w:rPr>
          <w:rFonts w:ascii="Cambria" w:hAnsi="Cambria"/>
          <w:color w:val="auto"/>
          <w:szCs w:val="24"/>
        </w:rPr>
        <w:t xml:space="preserve">cualquier revisión de tasas del principal; la cual puede ocurrir en la fecha más temprana en la que la entidad o su contraparte tiene derecho para cambiar unilateralmente la tasa de interés, o en la que la tasa de un instrumento a interés variable cambia automáticamente en respuesta a un cambio en una referencia externa; o </w:t>
      </w:r>
    </w:p>
    <w:p w14:paraId="3B2EF7E2" w14:textId="77777777" w:rsidR="00E10BA0" w:rsidRPr="008E3606" w:rsidRDefault="00E10BA0" w:rsidP="00E10BA0">
      <w:pPr>
        <w:pStyle w:val="Prrafodelista"/>
        <w:widowControl w:val="0"/>
        <w:numPr>
          <w:ilvl w:val="0"/>
          <w:numId w:val="39"/>
        </w:numPr>
        <w:spacing w:after="240" w:line="240" w:lineRule="auto"/>
        <w:ind w:left="1701" w:hanging="577"/>
        <w:contextualSpacing w:val="0"/>
        <w:rPr>
          <w:rFonts w:ascii="Cambria" w:hAnsi="Cambria"/>
          <w:color w:val="auto"/>
          <w:szCs w:val="24"/>
        </w:rPr>
      </w:pPr>
      <w:r w:rsidRPr="008E3606">
        <w:rPr>
          <w:rFonts w:ascii="Cambria" w:hAnsi="Cambria"/>
          <w:color w:val="auto"/>
          <w:szCs w:val="24"/>
        </w:rPr>
        <w:t>cualquier pago de intereses sobre un tramo del principal que aún no haya sido pagado o cuya tasa no haya sido revisada. Los componentes del margen de los pagos por intereses sobre un tramo del principal que aún no se haya sido pagado y cuya tasa no se revise deberán asignarse hasta su vencimiento contractual, con independencia de si el principal no amortizado ha sufrido revisiones de tasa o no.</w:t>
      </w:r>
    </w:p>
    <w:p w14:paraId="13E872B8" w14:textId="77777777" w:rsidR="00E10BA0" w:rsidRPr="008E3606" w:rsidRDefault="00E10BA0" w:rsidP="00E10BA0">
      <w:pPr>
        <w:widowControl w:val="0"/>
        <w:spacing w:after="240" w:line="240" w:lineRule="auto"/>
        <w:ind w:left="567"/>
        <w:rPr>
          <w:sz w:val="24"/>
        </w:rPr>
      </w:pPr>
      <w:r w:rsidRPr="008E3606">
        <w:rPr>
          <w:sz w:val="24"/>
        </w:rPr>
        <w:t>La fecha de cada pago, ajuste o pago de intereses se denomina “</w:t>
      </w:r>
      <w:r w:rsidRPr="008E3606">
        <w:rPr>
          <w:b/>
          <w:bCs/>
          <w:sz w:val="24"/>
        </w:rPr>
        <w:t>fecha de revisión de tasa</w:t>
      </w:r>
      <w:r w:rsidRPr="008E3606">
        <w:rPr>
          <w:sz w:val="24"/>
        </w:rPr>
        <w:t xml:space="preserve">”. </w:t>
      </w:r>
    </w:p>
    <w:p w14:paraId="5785B99C" w14:textId="77777777" w:rsidR="00E10BA0" w:rsidRPr="008E3606" w:rsidRDefault="00E10BA0" w:rsidP="00E10BA0">
      <w:pPr>
        <w:widowControl w:val="0"/>
        <w:spacing w:after="240" w:line="240" w:lineRule="auto"/>
        <w:ind w:left="567"/>
        <w:rPr>
          <w:sz w:val="24"/>
        </w:rPr>
      </w:pPr>
      <w:r w:rsidRPr="008E3606">
        <w:rPr>
          <w:sz w:val="24"/>
        </w:rPr>
        <w:t>Se asume que los instrumentos de tasa variable cambiarán de tasa por completo en la primera fecha de reajuste de la tasa. Por lo tanto, el monto total del principal se mapea en el punto medio de la banda en la que cae esa fecha, sin necesidad de un mapeo adicional de flujos en bandas de tiempo posteriores.</w:t>
      </w:r>
    </w:p>
    <w:p w14:paraId="42169658" w14:textId="77777777" w:rsidR="00E10BA0" w:rsidRPr="008E3606" w:rsidRDefault="00E10BA0" w:rsidP="00E10BA0">
      <w:pPr>
        <w:widowControl w:val="0"/>
        <w:spacing w:after="240" w:line="240" w:lineRule="auto"/>
        <w:jc w:val="center"/>
        <w:rPr>
          <w:b/>
          <w:bCs/>
          <w:sz w:val="24"/>
        </w:rPr>
      </w:pPr>
      <w:r w:rsidRPr="008E3606">
        <w:rPr>
          <w:b/>
          <w:bCs/>
          <w:sz w:val="24"/>
        </w:rPr>
        <w:t>Tabla 1. Calendario de vencimientos con 19 tramos temporales para los flujos de efectivo nocionales a precios revisados en t</w:t>
      </w:r>
      <w:r w:rsidRPr="008E3606">
        <w:rPr>
          <w:b/>
          <w:bCs/>
          <w:sz w:val="24"/>
          <w:vertAlign w:val="superscript"/>
        </w:rPr>
        <w:t>CF(k)</w:t>
      </w:r>
    </w:p>
    <w:p w14:paraId="77929165" w14:textId="77777777" w:rsidR="00E10BA0" w:rsidRPr="008E3606" w:rsidRDefault="00E10BA0" w:rsidP="00E10BA0">
      <w:pPr>
        <w:widowControl w:val="0"/>
        <w:spacing w:after="240" w:line="240" w:lineRule="auto"/>
        <w:rPr>
          <w:sz w:val="24"/>
        </w:rPr>
      </w:pPr>
      <w:r w:rsidRPr="008E3606">
        <w:rPr>
          <w:sz w:val="24"/>
        </w:rPr>
        <w:t>La cifra entre paréntesis es el punto medio del tramo temporal</w:t>
      </w:r>
    </w:p>
    <w:tbl>
      <w:tblPr>
        <w:tblStyle w:val="Tablaconcuadrcula"/>
        <w:tblW w:w="0" w:type="auto"/>
        <w:tblInd w:w="10" w:type="dxa"/>
        <w:tblLayout w:type="fixed"/>
        <w:tblLook w:val="04A0" w:firstRow="1" w:lastRow="0" w:firstColumn="1" w:lastColumn="0" w:noHBand="0" w:noVBand="1"/>
      </w:tblPr>
      <w:tblGrid>
        <w:gridCol w:w="1232"/>
        <w:gridCol w:w="1134"/>
        <w:gridCol w:w="1134"/>
        <w:gridCol w:w="1134"/>
        <w:gridCol w:w="1134"/>
        <w:gridCol w:w="1134"/>
        <w:gridCol w:w="1276"/>
        <w:gridCol w:w="1134"/>
      </w:tblGrid>
      <w:tr w:rsidR="00E10BA0" w:rsidRPr="008E3606" w14:paraId="67CAF38E" w14:textId="77777777" w:rsidTr="007E453E">
        <w:tc>
          <w:tcPr>
            <w:tcW w:w="9312" w:type="dxa"/>
            <w:gridSpan w:val="8"/>
          </w:tcPr>
          <w:p w14:paraId="4CE0D151" w14:textId="77777777" w:rsidR="00E10BA0" w:rsidRPr="008E3606" w:rsidRDefault="00E10BA0" w:rsidP="007E453E">
            <w:pPr>
              <w:widowControl w:val="0"/>
              <w:spacing w:line="240" w:lineRule="auto"/>
              <w:jc w:val="center"/>
              <w:rPr>
                <w:sz w:val="24"/>
              </w:rPr>
            </w:pPr>
            <w:r w:rsidRPr="008E3606">
              <w:rPr>
                <w:sz w:val="24"/>
              </w:rPr>
              <w:t>Intervalos de tiempo en M: meses; Y: años</w:t>
            </w:r>
          </w:p>
        </w:tc>
      </w:tr>
      <w:tr w:rsidR="00E10BA0" w:rsidRPr="008E3606" w14:paraId="25C23736" w14:textId="77777777" w:rsidTr="007E453E">
        <w:tc>
          <w:tcPr>
            <w:tcW w:w="1232" w:type="dxa"/>
          </w:tcPr>
          <w:p w14:paraId="6FEE7456" w14:textId="77777777" w:rsidR="00E10BA0" w:rsidRPr="008E3606" w:rsidRDefault="00E10BA0" w:rsidP="007E453E">
            <w:pPr>
              <w:widowControl w:val="0"/>
              <w:spacing w:line="240" w:lineRule="auto"/>
              <w:jc w:val="center"/>
              <w:rPr>
                <w:sz w:val="24"/>
              </w:rPr>
            </w:pPr>
            <w:r w:rsidRPr="008E3606">
              <w:rPr>
                <w:sz w:val="24"/>
              </w:rPr>
              <w:t xml:space="preserve"> O/N</w:t>
            </w:r>
          </w:p>
          <w:p w14:paraId="29F1FAB5" w14:textId="77777777" w:rsidR="00E10BA0" w:rsidRPr="008E3606" w:rsidRDefault="00E10BA0" w:rsidP="007E453E">
            <w:pPr>
              <w:widowControl w:val="0"/>
              <w:spacing w:line="240" w:lineRule="auto"/>
              <w:jc w:val="center"/>
              <w:rPr>
                <w:sz w:val="24"/>
              </w:rPr>
            </w:pPr>
            <w:r w:rsidRPr="008E3606">
              <w:rPr>
                <w:sz w:val="24"/>
              </w:rPr>
              <w:t>(0.0028Y)</w:t>
            </w:r>
          </w:p>
        </w:tc>
        <w:tc>
          <w:tcPr>
            <w:tcW w:w="1134" w:type="dxa"/>
          </w:tcPr>
          <w:p w14:paraId="432BC825" w14:textId="77777777" w:rsidR="00E10BA0" w:rsidRPr="008E3606" w:rsidRDefault="00E10BA0" w:rsidP="007E453E">
            <w:pPr>
              <w:widowControl w:val="0"/>
              <w:spacing w:line="240" w:lineRule="auto"/>
              <w:jc w:val="center"/>
              <w:rPr>
                <w:sz w:val="24"/>
              </w:rPr>
            </w:pPr>
            <w:r w:rsidRPr="008E3606">
              <w:rPr>
                <w:sz w:val="24"/>
              </w:rPr>
              <w:t>O/N &lt; t</w:t>
            </w:r>
            <w:r w:rsidRPr="008E3606">
              <w:rPr>
                <w:sz w:val="24"/>
                <w:vertAlign w:val="superscript"/>
              </w:rPr>
              <w:t>CF(k)</w:t>
            </w:r>
            <w:r w:rsidRPr="008E3606">
              <w:rPr>
                <w:sz w:val="24"/>
              </w:rPr>
              <w:t>≤1M</w:t>
            </w:r>
          </w:p>
          <w:p w14:paraId="01AA1DD8" w14:textId="77777777" w:rsidR="00E10BA0" w:rsidRPr="008E3606" w:rsidRDefault="00E10BA0" w:rsidP="007E453E">
            <w:pPr>
              <w:widowControl w:val="0"/>
              <w:spacing w:line="240" w:lineRule="auto"/>
              <w:jc w:val="center"/>
              <w:rPr>
                <w:sz w:val="24"/>
              </w:rPr>
            </w:pPr>
            <w:r w:rsidRPr="008E3606">
              <w:rPr>
                <w:sz w:val="24"/>
              </w:rPr>
              <w:t>(0.0417Y)</w:t>
            </w:r>
          </w:p>
        </w:tc>
        <w:tc>
          <w:tcPr>
            <w:tcW w:w="1134" w:type="dxa"/>
          </w:tcPr>
          <w:p w14:paraId="7647983E" w14:textId="77777777" w:rsidR="00E10BA0" w:rsidRPr="008E3606" w:rsidRDefault="00E10BA0" w:rsidP="007E453E">
            <w:pPr>
              <w:widowControl w:val="0"/>
              <w:spacing w:line="240" w:lineRule="auto"/>
              <w:jc w:val="center"/>
              <w:rPr>
                <w:sz w:val="24"/>
              </w:rPr>
            </w:pPr>
            <w:r w:rsidRPr="008E3606">
              <w:rPr>
                <w:sz w:val="24"/>
              </w:rPr>
              <w:t>1M &lt; t</w:t>
            </w:r>
            <w:r w:rsidRPr="008E3606">
              <w:rPr>
                <w:sz w:val="24"/>
                <w:vertAlign w:val="superscript"/>
              </w:rPr>
              <w:t>CF(k)</w:t>
            </w:r>
            <w:r w:rsidRPr="008E3606">
              <w:rPr>
                <w:sz w:val="24"/>
              </w:rPr>
              <w:t>≤3M</w:t>
            </w:r>
          </w:p>
          <w:p w14:paraId="33A88C3E" w14:textId="77777777" w:rsidR="00E10BA0" w:rsidRPr="008E3606" w:rsidRDefault="00E10BA0" w:rsidP="007E453E">
            <w:pPr>
              <w:widowControl w:val="0"/>
              <w:spacing w:line="240" w:lineRule="auto"/>
              <w:jc w:val="center"/>
              <w:rPr>
                <w:sz w:val="24"/>
              </w:rPr>
            </w:pPr>
            <w:r w:rsidRPr="008E3606">
              <w:rPr>
                <w:sz w:val="24"/>
              </w:rPr>
              <w:t>(0.1667Y)</w:t>
            </w:r>
          </w:p>
        </w:tc>
        <w:tc>
          <w:tcPr>
            <w:tcW w:w="1134" w:type="dxa"/>
          </w:tcPr>
          <w:p w14:paraId="6419065B" w14:textId="77777777" w:rsidR="00E10BA0" w:rsidRPr="008E3606" w:rsidRDefault="00E10BA0" w:rsidP="007E453E">
            <w:pPr>
              <w:widowControl w:val="0"/>
              <w:spacing w:line="240" w:lineRule="auto"/>
              <w:jc w:val="center"/>
              <w:rPr>
                <w:sz w:val="24"/>
              </w:rPr>
            </w:pPr>
            <w:r w:rsidRPr="008E3606">
              <w:rPr>
                <w:sz w:val="24"/>
              </w:rPr>
              <w:t>3M &lt; t</w:t>
            </w:r>
            <w:r w:rsidRPr="008E3606">
              <w:rPr>
                <w:sz w:val="24"/>
                <w:vertAlign w:val="superscript"/>
              </w:rPr>
              <w:t>CF(k)</w:t>
            </w:r>
            <w:r w:rsidRPr="008E3606">
              <w:rPr>
                <w:sz w:val="24"/>
              </w:rPr>
              <w:t>≤6M</w:t>
            </w:r>
          </w:p>
          <w:p w14:paraId="2F15B71D" w14:textId="77777777" w:rsidR="00E10BA0" w:rsidRPr="008E3606" w:rsidRDefault="00E10BA0" w:rsidP="007E453E">
            <w:pPr>
              <w:widowControl w:val="0"/>
              <w:spacing w:line="240" w:lineRule="auto"/>
              <w:jc w:val="center"/>
              <w:rPr>
                <w:sz w:val="24"/>
              </w:rPr>
            </w:pPr>
            <w:r w:rsidRPr="008E3606">
              <w:rPr>
                <w:sz w:val="24"/>
              </w:rPr>
              <w:t>(0.375Y)</w:t>
            </w:r>
          </w:p>
        </w:tc>
        <w:tc>
          <w:tcPr>
            <w:tcW w:w="1134" w:type="dxa"/>
          </w:tcPr>
          <w:p w14:paraId="6F1E9625" w14:textId="77777777" w:rsidR="00E10BA0" w:rsidRPr="008E3606" w:rsidRDefault="00E10BA0" w:rsidP="007E453E">
            <w:pPr>
              <w:widowControl w:val="0"/>
              <w:spacing w:line="240" w:lineRule="auto"/>
              <w:jc w:val="center"/>
              <w:rPr>
                <w:sz w:val="24"/>
              </w:rPr>
            </w:pPr>
            <w:r w:rsidRPr="008E3606">
              <w:rPr>
                <w:sz w:val="24"/>
              </w:rPr>
              <w:t>6M &lt; t</w:t>
            </w:r>
            <w:r w:rsidRPr="008E3606">
              <w:rPr>
                <w:sz w:val="24"/>
                <w:vertAlign w:val="superscript"/>
              </w:rPr>
              <w:t>CF(k)</w:t>
            </w:r>
            <w:r w:rsidRPr="008E3606">
              <w:rPr>
                <w:sz w:val="24"/>
              </w:rPr>
              <w:t>≤9M</w:t>
            </w:r>
          </w:p>
          <w:p w14:paraId="0372F5A4" w14:textId="77777777" w:rsidR="00E10BA0" w:rsidRPr="008E3606" w:rsidRDefault="00E10BA0" w:rsidP="007E453E">
            <w:pPr>
              <w:widowControl w:val="0"/>
              <w:spacing w:line="240" w:lineRule="auto"/>
              <w:jc w:val="center"/>
              <w:rPr>
                <w:sz w:val="24"/>
              </w:rPr>
            </w:pPr>
            <w:r w:rsidRPr="008E3606">
              <w:rPr>
                <w:sz w:val="24"/>
              </w:rPr>
              <w:t>(0.625Y)</w:t>
            </w:r>
          </w:p>
        </w:tc>
        <w:tc>
          <w:tcPr>
            <w:tcW w:w="1134" w:type="dxa"/>
          </w:tcPr>
          <w:p w14:paraId="6C465324" w14:textId="77777777" w:rsidR="00E10BA0" w:rsidRPr="008E3606" w:rsidRDefault="00E10BA0" w:rsidP="007E453E">
            <w:pPr>
              <w:widowControl w:val="0"/>
              <w:spacing w:line="240" w:lineRule="auto"/>
              <w:jc w:val="center"/>
              <w:rPr>
                <w:sz w:val="24"/>
              </w:rPr>
            </w:pPr>
            <w:r w:rsidRPr="008E3606">
              <w:rPr>
                <w:sz w:val="24"/>
              </w:rPr>
              <w:t>9M &lt; t</w:t>
            </w:r>
            <w:r w:rsidRPr="008E3606">
              <w:rPr>
                <w:sz w:val="24"/>
                <w:vertAlign w:val="superscript"/>
              </w:rPr>
              <w:t>CF(k)</w:t>
            </w:r>
            <w:r w:rsidRPr="008E3606">
              <w:rPr>
                <w:sz w:val="24"/>
              </w:rPr>
              <w:t>≤1Y</w:t>
            </w:r>
          </w:p>
          <w:p w14:paraId="60F07F9E" w14:textId="77777777" w:rsidR="00E10BA0" w:rsidRPr="008E3606" w:rsidRDefault="00E10BA0" w:rsidP="007E453E">
            <w:pPr>
              <w:widowControl w:val="0"/>
              <w:spacing w:line="240" w:lineRule="auto"/>
              <w:jc w:val="center"/>
              <w:rPr>
                <w:sz w:val="24"/>
              </w:rPr>
            </w:pPr>
            <w:r w:rsidRPr="008E3606">
              <w:rPr>
                <w:sz w:val="24"/>
              </w:rPr>
              <w:t>(0.875Y)</w:t>
            </w:r>
          </w:p>
        </w:tc>
        <w:tc>
          <w:tcPr>
            <w:tcW w:w="1276" w:type="dxa"/>
          </w:tcPr>
          <w:p w14:paraId="055CADD7" w14:textId="77777777" w:rsidR="00E10BA0" w:rsidRPr="008E3606" w:rsidRDefault="00E10BA0" w:rsidP="007E453E">
            <w:pPr>
              <w:widowControl w:val="0"/>
              <w:spacing w:line="240" w:lineRule="auto"/>
              <w:jc w:val="center"/>
              <w:rPr>
                <w:sz w:val="24"/>
              </w:rPr>
            </w:pPr>
            <w:r w:rsidRPr="008E3606">
              <w:rPr>
                <w:sz w:val="24"/>
              </w:rPr>
              <w:t>1Y &lt; t</w:t>
            </w:r>
            <w:r w:rsidRPr="008E3606">
              <w:rPr>
                <w:sz w:val="24"/>
                <w:vertAlign w:val="superscript"/>
              </w:rPr>
              <w:t>CF(k)</w:t>
            </w:r>
            <w:r w:rsidRPr="008E3606">
              <w:rPr>
                <w:sz w:val="24"/>
              </w:rPr>
              <w:t>≤1.5M</w:t>
            </w:r>
          </w:p>
          <w:p w14:paraId="4F85B1A0" w14:textId="77777777" w:rsidR="00E10BA0" w:rsidRPr="008E3606" w:rsidRDefault="00E10BA0" w:rsidP="007E453E">
            <w:pPr>
              <w:widowControl w:val="0"/>
              <w:spacing w:line="240" w:lineRule="auto"/>
              <w:jc w:val="center"/>
              <w:rPr>
                <w:sz w:val="24"/>
              </w:rPr>
            </w:pPr>
            <w:r w:rsidRPr="008E3606">
              <w:rPr>
                <w:sz w:val="24"/>
              </w:rPr>
              <w:t>(1.25Y)</w:t>
            </w:r>
          </w:p>
        </w:tc>
        <w:tc>
          <w:tcPr>
            <w:tcW w:w="1134" w:type="dxa"/>
          </w:tcPr>
          <w:p w14:paraId="56FC1A85" w14:textId="77777777" w:rsidR="00E10BA0" w:rsidRPr="008E3606" w:rsidRDefault="00E10BA0" w:rsidP="007E453E">
            <w:pPr>
              <w:widowControl w:val="0"/>
              <w:spacing w:line="240" w:lineRule="auto"/>
              <w:jc w:val="center"/>
              <w:rPr>
                <w:sz w:val="24"/>
              </w:rPr>
            </w:pPr>
            <w:r w:rsidRPr="008E3606">
              <w:rPr>
                <w:sz w:val="24"/>
              </w:rPr>
              <w:t>1.5Y&lt; t</w:t>
            </w:r>
            <w:r w:rsidRPr="008E3606">
              <w:rPr>
                <w:sz w:val="24"/>
                <w:vertAlign w:val="superscript"/>
              </w:rPr>
              <w:t>CF(k)</w:t>
            </w:r>
            <w:r w:rsidRPr="008E3606">
              <w:rPr>
                <w:sz w:val="24"/>
              </w:rPr>
              <w:t>≤2Y</w:t>
            </w:r>
          </w:p>
          <w:p w14:paraId="20924087" w14:textId="77777777" w:rsidR="00E10BA0" w:rsidRPr="008E3606" w:rsidRDefault="00E10BA0" w:rsidP="007E453E">
            <w:pPr>
              <w:widowControl w:val="0"/>
              <w:spacing w:line="240" w:lineRule="auto"/>
              <w:jc w:val="center"/>
              <w:rPr>
                <w:sz w:val="24"/>
              </w:rPr>
            </w:pPr>
            <w:r w:rsidRPr="008E3606">
              <w:rPr>
                <w:sz w:val="24"/>
              </w:rPr>
              <w:t>(1.75Y)</w:t>
            </w:r>
          </w:p>
        </w:tc>
      </w:tr>
      <w:tr w:rsidR="00E10BA0" w:rsidRPr="008E3606" w14:paraId="5F3BC578" w14:textId="77777777" w:rsidTr="007E453E">
        <w:tc>
          <w:tcPr>
            <w:tcW w:w="1232" w:type="dxa"/>
          </w:tcPr>
          <w:p w14:paraId="26CCE6FD" w14:textId="77777777" w:rsidR="00E10BA0" w:rsidRPr="008E3606" w:rsidRDefault="00E10BA0" w:rsidP="007E453E">
            <w:pPr>
              <w:widowControl w:val="0"/>
              <w:spacing w:line="240" w:lineRule="auto"/>
              <w:jc w:val="center"/>
              <w:rPr>
                <w:sz w:val="24"/>
              </w:rPr>
            </w:pPr>
            <w:r w:rsidRPr="008E3606">
              <w:rPr>
                <w:sz w:val="24"/>
              </w:rPr>
              <w:t>2Y &lt; t</w:t>
            </w:r>
            <w:r w:rsidRPr="008E3606">
              <w:rPr>
                <w:sz w:val="24"/>
                <w:vertAlign w:val="superscript"/>
              </w:rPr>
              <w:t>CF(k)</w:t>
            </w:r>
            <w:r w:rsidRPr="008E3606">
              <w:rPr>
                <w:sz w:val="24"/>
              </w:rPr>
              <w:t>≤3Y</w:t>
            </w:r>
          </w:p>
          <w:p w14:paraId="1DC63F9E" w14:textId="77777777" w:rsidR="00E10BA0" w:rsidRPr="008E3606" w:rsidRDefault="00E10BA0" w:rsidP="007E453E">
            <w:pPr>
              <w:widowControl w:val="0"/>
              <w:spacing w:line="240" w:lineRule="auto"/>
              <w:jc w:val="center"/>
              <w:rPr>
                <w:sz w:val="24"/>
              </w:rPr>
            </w:pPr>
            <w:r w:rsidRPr="008E3606">
              <w:rPr>
                <w:sz w:val="24"/>
              </w:rPr>
              <w:t>(2.5Y)</w:t>
            </w:r>
          </w:p>
        </w:tc>
        <w:tc>
          <w:tcPr>
            <w:tcW w:w="1134" w:type="dxa"/>
          </w:tcPr>
          <w:p w14:paraId="598363B8" w14:textId="77777777" w:rsidR="00E10BA0" w:rsidRPr="008E3606" w:rsidRDefault="00E10BA0" w:rsidP="007E453E">
            <w:pPr>
              <w:widowControl w:val="0"/>
              <w:spacing w:line="240" w:lineRule="auto"/>
              <w:jc w:val="center"/>
              <w:rPr>
                <w:sz w:val="24"/>
              </w:rPr>
            </w:pPr>
            <w:r w:rsidRPr="008E3606">
              <w:rPr>
                <w:sz w:val="24"/>
              </w:rPr>
              <w:t>3Y &lt; t</w:t>
            </w:r>
            <w:r w:rsidRPr="008E3606">
              <w:rPr>
                <w:sz w:val="24"/>
                <w:vertAlign w:val="superscript"/>
              </w:rPr>
              <w:t>CF(k)</w:t>
            </w:r>
            <w:r w:rsidRPr="008E3606">
              <w:rPr>
                <w:sz w:val="24"/>
              </w:rPr>
              <w:t>≤4Y</w:t>
            </w:r>
          </w:p>
          <w:p w14:paraId="20956316" w14:textId="77777777" w:rsidR="00E10BA0" w:rsidRPr="008E3606" w:rsidRDefault="00E10BA0" w:rsidP="007E453E">
            <w:pPr>
              <w:widowControl w:val="0"/>
              <w:spacing w:line="240" w:lineRule="auto"/>
              <w:jc w:val="center"/>
              <w:rPr>
                <w:sz w:val="24"/>
              </w:rPr>
            </w:pPr>
            <w:r w:rsidRPr="008E3606">
              <w:rPr>
                <w:sz w:val="24"/>
              </w:rPr>
              <w:t>(3.5Y)</w:t>
            </w:r>
          </w:p>
        </w:tc>
        <w:tc>
          <w:tcPr>
            <w:tcW w:w="1134" w:type="dxa"/>
          </w:tcPr>
          <w:p w14:paraId="1E070348" w14:textId="77777777" w:rsidR="00E10BA0" w:rsidRPr="008E3606" w:rsidRDefault="00E10BA0" w:rsidP="007E453E">
            <w:pPr>
              <w:widowControl w:val="0"/>
              <w:spacing w:line="240" w:lineRule="auto"/>
              <w:jc w:val="center"/>
              <w:rPr>
                <w:sz w:val="24"/>
              </w:rPr>
            </w:pPr>
            <w:r w:rsidRPr="008E3606">
              <w:rPr>
                <w:sz w:val="24"/>
              </w:rPr>
              <w:t>4Y &lt; t</w:t>
            </w:r>
            <w:r w:rsidRPr="008E3606">
              <w:rPr>
                <w:sz w:val="24"/>
                <w:vertAlign w:val="superscript"/>
              </w:rPr>
              <w:t>CF(k)</w:t>
            </w:r>
            <w:r w:rsidRPr="008E3606">
              <w:rPr>
                <w:sz w:val="24"/>
              </w:rPr>
              <w:t>≤5Y</w:t>
            </w:r>
          </w:p>
          <w:p w14:paraId="0E15B527" w14:textId="77777777" w:rsidR="00E10BA0" w:rsidRPr="008E3606" w:rsidRDefault="00E10BA0" w:rsidP="007E453E">
            <w:pPr>
              <w:widowControl w:val="0"/>
              <w:spacing w:line="240" w:lineRule="auto"/>
              <w:jc w:val="center"/>
              <w:rPr>
                <w:sz w:val="24"/>
              </w:rPr>
            </w:pPr>
            <w:r w:rsidRPr="008E3606">
              <w:rPr>
                <w:sz w:val="24"/>
              </w:rPr>
              <w:t>(4.5Y)</w:t>
            </w:r>
          </w:p>
        </w:tc>
        <w:tc>
          <w:tcPr>
            <w:tcW w:w="1134" w:type="dxa"/>
          </w:tcPr>
          <w:p w14:paraId="71D36465" w14:textId="77777777" w:rsidR="00E10BA0" w:rsidRPr="008E3606" w:rsidRDefault="00E10BA0" w:rsidP="007E453E">
            <w:pPr>
              <w:widowControl w:val="0"/>
              <w:spacing w:line="240" w:lineRule="auto"/>
              <w:jc w:val="center"/>
              <w:rPr>
                <w:sz w:val="24"/>
              </w:rPr>
            </w:pPr>
            <w:r w:rsidRPr="008E3606">
              <w:rPr>
                <w:sz w:val="24"/>
              </w:rPr>
              <w:t>5Y &lt; t</w:t>
            </w:r>
            <w:r w:rsidRPr="008E3606">
              <w:rPr>
                <w:sz w:val="24"/>
                <w:vertAlign w:val="superscript"/>
              </w:rPr>
              <w:t>CF(k)</w:t>
            </w:r>
            <w:r w:rsidRPr="008E3606">
              <w:rPr>
                <w:sz w:val="24"/>
              </w:rPr>
              <w:t>≤6Y</w:t>
            </w:r>
          </w:p>
          <w:p w14:paraId="55BF5E9E" w14:textId="77777777" w:rsidR="00E10BA0" w:rsidRPr="008E3606" w:rsidRDefault="00E10BA0" w:rsidP="007E453E">
            <w:pPr>
              <w:widowControl w:val="0"/>
              <w:spacing w:line="240" w:lineRule="auto"/>
              <w:jc w:val="center"/>
              <w:rPr>
                <w:sz w:val="24"/>
              </w:rPr>
            </w:pPr>
            <w:r w:rsidRPr="008E3606">
              <w:rPr>
                <w:sz w:val="24"/>
              </w:rPr>
              <w:t>(5.5Y)</w:t>
            </w:r>
          </w:p>
        </w:tc>
        <w:tc>
          <w:tcPr>
            <w:tcW w:w="1134" w:type="dxa"/>
          </w:tcPr>
          <w:p w14:paraId="299DAAD7" w14:textId="77777777" w:rsidR="00E10BA0" w:rsidRPr="008E3606" w:rsidRDefault="00E10BA0" w:rsidP="007E453E">
            <w:pPr>
              <w:widowControl w:val="0"/>
              <w:spacing w:line="240" w:lineRule="auto"/>
              <w:jc w:val="center"/>
              <w:rPr>
                <w:sz w:val="24"/>
              </w:rPr>
            </w:pPr>
            <w:r w:rsidRPr="008E3606">
              <w:rPr>
                <w:sz w:val="24"/>
              </w:rPr>
              <w:t>6Y &lt; t</w:t>
            </w:r>
            <w:r w:rsidRPr="008E3606">
              <w:rPr>
                <w:sz w:val="24"/>
                <w:vertAlign w:val="superscript"/>
              </w:rPr>
              <w:t>CF(k)</w:t>
            </w:r>
            <w:r w:rsidRPr="008E3606">
              <w:rPr>
                <w:sz w:val="24"/>
              </w:rPr>
              <w:t>≤7Y</w:t>
            </w:r>
          </w:p>
          <w:p w14:paraId="20AFD2F9" w14:textId="77777777" w:rsidR="00E10BA0" w:rsidRPr="008E3606" w:rsidRDefault="00E10BA0" w:rsidP="007E453E">
            <w:pPr>
              <w:widowControl w:val="0"/>
              <w:spacing w:line="240" w:lineRule="auto"/>
              <w:jc w:val="center"/>
              <w:rPr>
                <w:sz w:val="24"/>
              </w:rPr>
            </w:pPr>
            <w:r w:rsidRPr="008E3606">
              <w:rPr>
                <w:sz w:val="24"/>
              </w:rPr>
              <w:t>(6.5Y)</w:t>
            </w:r>
          </w:p>
        </w:tc>
        <w:tc>
          <w:tcPr>
            <w:tcW w:w="1134" w:type="dxa"/>
          </w:tcPr>
          <w:p w14:paraId="143D5E45" w14:textId="77777777" w:rsidR="00E10BA0" w:rsidRPr="008E3606" w:rsidRDefault="00E10BA0" w:rsidP="007E453E">
            <w:pPr>
              <w:widowControl w:val="0"/>
              <w:spacing w:line="240" w:lineRule="auto"/>
              <w:jc w:val="center"/>
              <w:rPr>
                <w:sz w:val="24"/>
              </w:rPr>
            </w:pPr>
          </w:p>
        </w:tc>
        <w:tc>
          <w:tcPr>
            <w:tcW w:w="1276" w:type="dxa"/>
          </w:tcPr>
          <w:p w14:paraId="11563F4E" w14:textId="77777777" w:rsidR="00E10BA0" w:rsidRPr="008E3606" w:rsidRDefault="00E10BA0" w:rsidP="007E453E">
            <w:pPr>
              <w:widowControl w:val="0"/>
              <w:spacing w:line="240" w:lineRule="auto"/>
              <w:jc w:val="center"/>
              <w:rPr>
                <w:sz w:val="24"/>
              </w:rPr>
            </w:pPr>
          </w:p>
        </w:tc>
        <w:tc>
          <w:tcPr>
            <w:tcW w:w="1134" w:type="dxa"/>
          </w:tcPr>
          <w:p w14:paraId="34C75CB1" w14:textId="77777777" w:rsidR="00E10BA0" w:rsidRPr="008E3606" w:rsidRDefault="00E10BA0" w:rsidP="007E453E">
            <w:pPr>
              <w:widowControl w:val="0"/>
              <w:spacing w:line="240" w:lineRule="auto"/>
              <w:jc w:val="center"/>
              <w:rPr>
                <w:sz w:val="24"/>
              </w:rPr>
            </w:pPr>
          </w:p>
        </w:tc>
      </w:tr>
      <w:tr w:rsidR="00E10BA0" w:rsidRPr="008E3606" w14:paraId="621B07E7" w14:textId="77777777" w:rsidTr="007E453E">
        <w:tc>
          <w:tcPr>
            <w:tcW w:w="1232" w:type="dxa"/>
          </w:tcPr>
          <w:p w14:paraId="13137E43" w14:textId="77777777" w:rsidR="00E10BA0" w:rsidRPr="008E3606" w:rsidRDefault="00E10BA0" w:rsidP="007E453E">
            <w:pPr>
              <w:widowControl w:val="0"/>
              <w:spacing w:line="240" w:lineRule="auto"/>
              <w:jc w:val="center"/>
              <w:rPr>
                <w:sz w:val="24"/>
              </w:rPr>
            </w:pPr>
            <w:r w:rsidRPr="008E3606">
              <w:rPr>
                <w:sz w:val="24"/>
              </w:rPr>
              <w:t>7Y &lt; t</w:t>
            </w:r>
            <w:r w:rsidRPr="008E3606">
              <w:rPr>
                <w:sz w:val="24"/>
                <w:vertAlign w:val="superscript"/>
              </w:rPr>
              <w:t>CF(k)</w:t>
            </w:r>
            <w:r w:rsidRPr="008E3606">
              <w:rPr>
                <w:sz w:val="24"/>
              </w:rPr>
              <w:t>≤8Y</w:t>
            </w:r>
          </w:p>
          <w:p w14:paraId="6DDF98DE" w14:textId="77777777" w:rsidR="00E10BA0" w:rsidRPr="008E3606" w:rsidRDefault="00E10BA0" w:rsidP="007E453E">
            <w:pPr>
              <w:widowControl w:val="0"/>
              <w:spacing w:line="240" w:lineRule="auto"/>
              <w:jc w:val="center"/>
              <w:rPr>
                <w:sz w:val="24"/>
              </w:rPr>
            </w:pPr>
            <w:r w:rsidRPr="008E3606">
              <w:rPr>
                <w:sz w:val="24"/>
              </w:rPr>
              <w:t>(7.5Y)</w:t>
            </w:r>
          </w:p>
        </w:tc>
        <w:tc>
          <w:tcPr>
            <w:tcW w:w="1134" w:type="dxa"/>
          </w:tcPr>
          <w:p w14:paraId="35F87642" w14:textId="77777777" w:rsidR="00E10BA0" w:rsidRPr="008E3606" w:rsidRDefault="00E10BA0" w:rsidP="007E453E">
            <w:pPr>
              <w:widowControl w:val="0"/>
              <w:spacing w:line="240" w:lineRule="auto"/>
              <w:jc w:val="center"/>
              <w:rPr>
                <w:sz w:val="24"/>
              </w:rPr>
            </w:pPr>
            <w:r w:rsidRPr="008E3606">
              <w:rPr>
                <w:sz w:val="24"/>
              </w:rPr>
              <w:t>8Y &lt; t</w:t>
            </w:r>
            <w:r w:rsidRPr="008E3606">
              <w:rPr>
                <w:sz w:val="24"/>
                <w:vertAlign w:val="superscript"/>
              </w:rPr>
              <w:t>CF(k)</w:t>
            </w:r>
            <w:r w:rsidRPr="008E3606">
              <w:rPr>
                <w:sz w:val="24"/>
              </w:rPr>
              <w:t>≤9Y</w:t>
            </w:r>
          </w:p>
          <w:p w14:paraId="17DD9453" w14:textId="77777777" w:rsidR="00E10BA0" w:rsidRPr="008E3606" w:rsidRDefault="00E10BA0" w:rsidP="007E453E">
            <w:pPr>
              <w:widowControl w:val="0"/>
              <w:spacing w:line="240" w:lineRule="auto"/>
              <w:jc w:val="center"/>
              <w:rPr>
                <w:sz w:val="24"/>
              </w:rPr>
            </w:pPr>
            <w:r w:rsidRPr="008E3606">
              <w:rPr>
                <w:sz w:val="24"/>
              </w:rPr>
              <w:t>(8.5Y)</w:t>
            </w:r>
          </w:p>
        </w:tc>
        <w:tc>
          <w:tcPr>
            <w:tcW w:w="1134" w:type="dxa"/>
          </w:tcPr>
          <w:p w14:paraId="2A8FFF88" w14:textId="77777777" w:rsidR="00E10BA0" w:rsidRPr="008E3606" w:rsidRDefault="00E10BA0" w:rsidP="007E453E">
            <w:pPr>
              <w:widowControl w:val="0"/>
              <w:spacing w:line="240" w:lineRule="auto"/>
              <w:jc w:val="center"/>
              <w:rPr>
                <w:sz w:val="24"/>
              </w:rPr>
            </w:pPr>
            <w:r w:rsidRPr="008E3606">
              <w:rPr>
                <w:sz w:val="24"/>
              </w:rPr>
              <w:t>9Y &lt; t</w:t>
            </w:r>
            <w:r w:rsidRPr="008E3606">
              <w:rPr>
                <w:sz w:val="24"/>
                <w:vertAlign w:val="superscript"/>
              </w:rPr>
              <w:t>CF(k)</w:t>
            </w:r>
            <w:r w:rsidRPr="008E3606">
              <w:rPr>
                <w:sz w:val="24"/>
              </w:rPr>
              <w:t>≤10Y</w:t>
            </w:r>
          </w:p>
          <w:p w14:paraId="714AD3E7" w14:textId="77777777" w:rsidR="00E10BA0" w:rsidRPr="008E3606" w:rsidRDefault="00E10BA0" w:rsidP="007E453E">
            <w:pPr>
              <w:widowControl w:val="0"/>
              <w:spacing w:line="240" w:lineRule="auto"/>
              <w:jc w:val="center"/>
              <w:rPr>
                <w:sz w:val="24"/>
              </w:rPr>
            </w:pPr>
            <w:r w:rsidRPr="008E3606">
              <w:rPr>
                <w:sz w:val="24"/>
              </w:rPr>
              <w:t>(9.5Y)</w:t>
            </w:r>
          </w:p>
        </w:tc>
        <w:tc>
          <w:tcPr>
            <w:tcW w:w="1134" w:type="dxa"/>
          </w:tcPr>
          <w:p w14:paraId="5EB03A67" w14:textId="77777777" w:rsidR="00E10BA0" w:rsidRPr="008E3606" w:rsidRDefault="00E10BA0" w:rsidP="007E453E">
            <w:pPr>
              <w:widowControl w:val="0"/>
              <w:spacing w:line="240" w:lineRule="auto"/>
              <w:jc w:val="center"/>
              <w:rPr>
                <w:sz w:val="24"/>
              </w:rPr>
            </w:pPr>
            <w:r w:rsidRPr="008E3606">
              <w:rPr>
                <w:sz w:val="24"/>
              </w:rPr>
              <w:t>10Y &lt; t</w:t>
            </w:r>
            <w:r w:rsidRPr="008E3606">
              <w:rPr>
                <w:sz w:val="24"/>
                <w:vertAlign w:val="superscript"/>
              </w:rPr>
              <w:t>CF(k)</w:t>
            </w:r>
            <w:r w:rsidRPr="008E3606">
              <w:rPr>
                <w:sz w:val="24"/>
              </w:rPr>
              <w:t>≤15Y</w:t>
            </w:r>
          </w:p>
          <w:p w14:paraId="29BD7A6E" w14:textId="77777777" w:rsidR="00E10BA0" w:rsidRPr="008E3606" w:rsidRDefault="00E10BA0" w:rsidP="007E453E">
            <w:pPr>
              <w:widowControl w:val="0"/>
              <w:spacing w:line="240" w:lineRule="auto"/>
              <w:jc w:val="center"/>
              <w:rPr>
                <w:sz w:val="24"/>
              </w:rPr>
            </w:pPr>
            <w:r w:rsidRPr="008E3606">
              <w:rPr>
                <w:sz w:val="24"/>
              </w:rPr>
              <w:t>(12.5Y)</w:t>
            </w:r>
          </w:p>
        </w:tc>
        <w:tc>
          <w:tcPr>
            <w:tcW w:w="1134" w:type="dxa"/>
          </w:tcPr>
          <w:p w14:paraId="650E8ED9" w14:textId="77777777" w:rsidR="00E10BA0" w:rsidRPr="008E3606" w:rsidRDefault="00E10BA0" w:rsidP="007E453E">
            <w:pPr>
              <w:widowControl w:val="0"/>
              <w:spacing w:line="240" w:lineRule="auto"/>
              <w:jc w:val="center"/>
              <w:rPr>
                <w:sz w:val="24"/>
              </w:rPr>
            </w:pPr>
            <w:r w:rsidRPr="008E3606">
              <w:rPr>
                <w:sz w:val="24"/>
              </w:rPr>
              <w:t>15Y &lt; t</w:t>
            </w:r>
            <w:r w:rsidRPr="008E3606">
              <w:rPr>
                <w:sz w:val="24"/>
                <w:vertAlign w:val="superscript"/>
              </w:rPr>
              <w:t>CF(k)</w:t>
            </w:r>
            <w:r w:rsidRPr="008E3606">
              <w:rPr>
                <w:sz w:val="24"/>
              </w:rPr>
              <w:t>≤20Y</w:t>
            </w:r>
          </w:p>
          <w:p w14:paraId="7A8B0035" w14:textId="77777777" w:rsidR="00E10BA0" w:rsidRPr="008E3606" w:rsidRDefault="00E10BA0" w:rsidP="007E453E">
            <w:pPr>
              <w:widowControl w:val="0"/>
              <w:spacing w:line="240" w:lineRule="auto"/>
              <w:jc w:val="center"/>
              <w:rPr>
                <w:sz w:val="24"/>
              </w:rPr>
            </w:pPr>
            <w:r w:rsidRPr="008E3606">
              <w:rPr>
                <w:sz w:val="24"/>
              </w:rPr>
              <w:t>(17.5Y)</w:t>
            </w:r>
          </w:p>
        </w:tc>
        <w:tc>
          <w:tcPr>
            <w:tcW w:w="1134" w:type="dxa"/>
          </w:tcPr>
          <w:p w14:paraId="4193E83E" w14:textId="77777777" w:rsidR="00E10BA0" w:rsidRPr="008E3606" w:rsidRDefault="00E10BA0" w:rsidP="007E453E">
            <w:pPr>
              <w:widowControl w:val="0"/>
              <w:spacing w:line="240" w:lineRule="auto"/>
              <w:jc w:val="center"/>
              <w:rPr>
                <w:sz w:val="24"/>
              </w:rPr>
            </w:pPr>
            <w:r w:rsidRPr="008E3606">
              <w:rPr>
                <w:sz w:val="24"/>
              </w:rPr>
              <w:t>t</w:t>
            </w:r>
            <w:r w:rsidRPr="008E3606">
              <w:rPr>
                <w:sz w:val="24"/>
                <w:vertAlign w:val="superscript"/>
              </w:rPr>
              <w:t>CF(k)</w:t>
            </w:r>
            <w:r w:rsidRPr="008E3606">
              <w:rPr>
                <w:sz w:val="24"/>
              </w:rPr>
              <w:t>&gt;20Y</w:t>
            </w:r>
          </w:p>
          <w:p w14:paraId="62415715" w14:textId="77777777" w:rsidR="00E10BA0" w:rsidRPr="008E3606" w:rsidRDefault="00E10BA0" w:rsidP="007E453E">
            <w:pPr>
              <w:widowControl w:val="0"/>
              <w:spacing w:line="240" w:lineRule="auto"/>
              <w:jc w:val="center"/>
              <w:rPr>
                <w:sz w:val="24"/>
              </w:rPr>
            </w:pPr>
            <w:r w:rsidRPr="008E3606">
              <w:rPr>
                <w:sz w:val="24"/>
              </w:rPr>
              <w:t>(25Y)</w:t>
            </w:r>
          </w:p>
        </w:tc>
        <w:tc>
          <w:tcPr>
            <w:tcW w:w="1276" w:type="dxa"/>
          </w:tcPr>
          <w:p w14:paraId="7FB6A22F" w14:textId="77777777" w:rsidR="00E10BA0" w:rsidRPr="008E3606" w:rsidRDefault="00E10BA0" w:rsidP="007E453E">
            <w:pPr>
              <w:widowControl w:val="0"/>
              <w:spacing w:line="240" w:lineRule="auto"/>
              <w:jc w:val="center"/>
              <w:rPr>
                <w:sz w:val="24"/>
              </w:rPr>
            </w:pPr>
          </w:p>
        </w:tc>
        <w:tc>
          <w:tcPr>
            <w:tcW w:w="1134" w:type="dxa"/>
          </w:tcPr>
          <w:p w14:paraId="1C78D1F3" w14:textId="77777777" w:rsidR="00E10BA0" w:rsidRPr="008E3606" w:rsidRDefault="00E10BA0" w:rsidP="007E453E">
            <w:pPr>
              <w:widowControl w:val="0"/>
              <w:spacing w:line="240" w:lineRule="auto"/>
              <w:jc w:val="center"/>
              <w:rPr>
                <w:sz w:val="24"/>
              </w:rPr>
            </w:pPr>
          </w:p>
        </w:tc>
      </w:tr>
    </w:tbl>
    <w:p w14:paraId="420B24B3" w14:textId="77777777" w:rsidR="00E10BA0" w:rsidRPr="008E3606" w:rsidRDefault="00E10BA0" w:rsidP="00E10BA0">
      <w:pPr>
        <w:widowControl w:val="0"/>
        <w:spacing w:after="240" w:line="240" w:lineRule="auto"/>
        <w:rPr>
          <w:sz w:val="24"/>
        </w:rPr>
      </w:pPr>
      <w:r w:rsidRPr="008E3606">
        <w:rPr>
          <w:sz w:val="24"/>
        </w:rPr>
        <w:t>O/N = Over Night</w:t>
      </w:r>
    </w:p>
    <w:p w14:paraId="408BC390" w14:textId="77777777" w:rsidR="00E10BA0" w:rsidRPr="008E3606" w:rsidRDefault="00E10BA0" w:rsidP="00E10BA0">
      <w:pPr>
        <w:pStyle w:val="Prrafodelista"/>
        <w:widowControl w:val="0"/>
        <w:numPr>
          <w:ilvl w:val="0"/>
          <w:numId w:val="38"/>
        </w:numPr>
        <w:spacing w:after="0" w:line="240" w:lineRule="auto"/>
        <w:ind w:left="1134" w:hanging="567"/>
        <w:contextualSpacing w:val="0"/>
        <w:rPr>
          <w:rFonts w:ascii="Cambria" w:hAnsi="Cambria"/>
          <w:b/>
          <w:bCs/>
          <w:color w:val="4472C4" w:themeColor="accent1"/>
          <w:szCs w:val="24"/>
          <w:u w:val="single"/>
        </w:rPr>
      </w:pPr>
      <w:r w:rsidRPr="008E3606">
        <w:rPr>
          <w:rFonts w:ascii="Cambria" w:hAnsi="Cambria"/>
          <w:b/>
          <w:bCs/>
          <w:color w:val="4472C4" w:themeColor="accent1"/>
          <w:szCs w:val="24"/>
          <w:u w:val="single"/>
        </w:rPr>
        <w:t xml:space="preserve">Atribución del Flujos de Efectivo a los tramos temporales (k) </w:t>
      </w:r>
    </w:p>
    <w:p w14:paraId="4CDA51AA" w14:textId="77777777" w:rsidR="00E10BA0" w:rsidRPr="008E3606" w:rsidRDefault="00E10BA0" w:rsidP="00E10BA0">
      <w:pPr>
        <w:widowControl w:val="0"/>
        <w:spacing w:after="240" w:line="240" w:lineRule="auto"/>
        <w:ind w:left="567"/>
        <w:rPr>
          <w:sz w:val="24"/>
        </w:rPr>
      </w:pPr>
      <w:r w:rsidRPr="008E3606">
        <w:rPr>
          <w:sz w:val="24"/>
        </w:rPr>
        <w:t>Todos los flujos de efectivo nocionales a precios revisados asociados a activos y pasivos sensibles a tasas de interés se asignan a los tramos temporales k en el escenario de estrés de tasas de interés i y para el tipo de moneda c, en función de su susceptibilidad a la estandarización.</w:t>
      </w:r>
    </w:p>
    <w:p w14:paraId="6E7BC53D" w14:textId="77777777" w:rsidR="00E10BA0" w:rsidRPr="008E3606" w:rsidRDefault="00E10BA0" w:rsidP="00E10BA0">
      <w:pPr>
        <w:widowControl w:val="0"/>
        <w:spacing w:after="240" w:line="240" w:lineRule="auto"/>
        <w:ind w:left="567"/>
        <w:rPr>
          <w:sz w:val="24"/>
        </w:rPr>
      </w:pPr>
      <w:r w:rsidRPr="008E3606">
        <w:rPr>
          <w:sz w:val="24"/>
        </w:rPr>
        <w:t>En adelante CF</w:t>
      </w:r>
      <w:r w:rsidRPr="008E3606">
        <w:rPr>
          <w:sz w:val="24"/>
          <w:vertAlign w:val="subscript"/>
        </w:rPr>
        <w:t>i,c</w:t>
      </w:r>
      <w:r w:rsidRPr="008E3606">
        <w:rPr>
          <w:sz w:val="24"/>
        </w:rPr>
        <w:t>(k).</w:t>
      </w:r>
    </w:p>
    <w:p w14:paraId="1D4AB73D" w14:textId="77777777" w:rsidR="00E10BA0" w:rsidRPr="008E3606" w:rsidRDefault="00E10BA0" w:rsidP="00E10BA0">
      <w:pPr>
        <w:pStyle w:val="Prrafodelista"/>
        <w:widowControl w:val="0"/>
        <w:numPr>
          <w:ilvl w:val="0"/>
          <w:numId w:val="25"/>
        </w:numPr>
        <w:spacing w:after="0" w:line="240" w:lineRule="auto"/>
        <w:ind w:left="1701" w:hanging="577"/>
        <w:contextualSpacing w:val="0"/>
        <w:rPr>
          <w:rFonts w:ascii="Cambria" w:hAnsi="Cambria"/>
          <w:b/>
          <w:bCs/>
          <w:color w:val="auto"/>
          <w:szCs w:val="24"/>
        </w:rPr>
      </w:pPr>
      <w:r w:rsidRPr="008E3606">
        <w:rPr>
          <w:rFonts w:ascii="Cambria" w:hAnsi="Cambria"/>
          <w:b/>
          <w:bCs/>
          <w:color w:val="auto"/>
          <w:szCs w:val="24"/>
        </w:rPr>
        <w:t>Posiciones susceptibles de estandarización.</w:t>
      </w:r>
    </w:p>
    <w:p w14:paraId="56645F39" w14:textId="77777777" w:rsidR="00E10BA0" w:rsidRPr="008E3606" w:rsidRDefault="00E10BA0" w:rsidP="00E10BA0">
      <w:pPr>
        <w:widowControl w:val="0"/>
        <w:spacing w:after="240" w:line="240" w:lineRule="auto"/>
        <w:ind w:left="1134"/>
        <w:rPr>
          <w:sz w:val="24"/>
        </w:rPr>
      </w:pPr>
      <w:r w:rsidRPr="008E3606">
        <w:rPr>
          <w:sz w:val="24"/>
        </w:rPr>
        <w:t>Los flujos de efectivo nocionales a precios revisados pueden ser atribuidos a los correspondientes estratos temporales en función de su vencimiento contractual, si están sujetos a cupones fijos, o al siguiente periodo de revisión de tasas si los cupones son variables.</w:t>
      </w:r>
    </w:p>
    <w:p w14:paraId="63A5F328" w14:textId="77777777" w:rsidR="00E10BA0" w:rsidRPr="008E3606" w:rsidRDefault="00E10BA0" w:rsidP="00E10BA0">
      <w:pPr>
        <w:widowControl w:val="0"/>
        <w:spacing w:after="240" w:line="240" w:lineRule="auto"/>
        <w:ind w:left="1134"/>
        <w:rPr>
          <w:sz w:val="24"/>
        </w:rPr>
      </w:pPr>
      <w:r w:rsidRPr="008E3606">
        <w:rPr>
          <w:sz w:val="24"/>
        </w:rPr>
        <w:t>Las posiciones susceptibles de estandarización se dividen en dos categorías:</w:t>
      </w:r>
    </w:p>
    <w:p w14:paraId="706E437C" w14:textId="77777777" w:rsidR="00E10BA0" w:rsidRPr="008E3606" w:rsidRDefault="00E10BA0" w:rsidP="00E10BA0">
      <w:pPr>
        <w:pStyle w:val="Prrafodelista"/>
        <w:widowControl w:val="0"/>
        <w:numPr>
          <w:ilvl w:val="0"/>
          <w:numId w:val="41"/>
        </w:numPr>
        <w:spacing w:after="240" w:line="240" w:lineRule="auto"/>
        <w:ind w:left="2268" w:hanging="567"/>
        <w:contextualSpacing w:val="0"/>
        <w:rPr>
          <w:rFonts w:ascii="Cambria" w:hAnsi="Cambria"/>
          <w:szCs w:val="24"/>
        </w:rPr>
      </w:pPr>
      <w:r w:rsidRPr="008E3606">
        <w:rPr>
          <w:rFonts w:ascii="Cambria" w:hAnsi="Cambria"/>
          <w:b/>
          <w:bCs/>
          <w:szCs w:val="24"/>
        </w:rPr>
        <w:t>Posiciones a interés fijo</w:t>
      </w:r>
      <w:r w:rsidRPr="008E3606">
        <w:rPr>
          <w:rFonts w:ascii="Cambria" w:hAnsi="Cambria"/>
          <w:szCs w:val="24"/>
        </w:rPr>
        <w:t>: estas posiciones generan flujos de efectivo seguros hasta el momento de vencimiento contractual. Algunos ejemplos son préstamos a interés fijo sin opciones de amortización anticipada implícitas, depósitos a plazo sin riesgo de reembolso anticipado y otros productos que se amortizan, como préstamos hipotecarios. Todos los flujos de efectivo procedentes de cupones y reembolsos periódicos o finales del principal deben asignarse a las bandas temporales considerando el punto medio de cada banda más cercano al vencimiento contractual.</w:t>
      </w:r>
    </w:p>
    <w:p w14:paraId="511FD2D9" w14:textId="77777777" w:rsidR="00E10BA0" w:rsidRPr="008E3606" w:rsidRDefault="00E10BA0" w:rsidP="00E10BA0">
      <w:pPr>
        <w:pStyle w:val="Prrafodelista"/>
        <w:widowControl w:val="0"/>
        <w:numPr>
          <w:ilvl w:val="0"/>
          <w:numId w:val="41"/>
        </w:numPr>
        <w:spacing w:after="240" w:line="240" w:lineRule="auto"/>
        <w:ind w:left="2268" w:hanging="567"/>
        <w:contextualSpacing w:val="0"/>
        <w:rPr>
          <w:rFonts w:ascii="Cambria" w:hAnsi="Cambria"/>
          <w:szCs w:val="24"/>
        </w:rPr>
      </w:pPr>
      <w:r w:rsidRPr="008E3606">
        <w:rPr>
          <w:rFonts w:ascii="Cambria" w:hAnsi="Cambria"/>
          <w:b/>
          <w:bCs/>
          <w:szCs w:val="24"/>
        </w:rPr>
        <w:t>Posiciones a interés variable</w:t>
      </w:r>
      <w:r w:rsidRPr="008E3606">
        <w:rPr>
          <w:rFonts w:ascii="Cambria" w:hAnsi="Cambria"/>
          <w:szCs w:val="24"/>
        </w:rPr>
        <w:t>: estas posiciones generan flujos de efectivo que no son predecibles una vez que pase la siguiente fecha de revisión de tasas, salvo que el valor actual se restablecería a la par. En consecuencia, estos instrumentos podrán tratarse como una serie de pagos de cupón hasta la siguiente fecha de revisión de tasas y un flujo de caja nocional a la par que deberá asignarse a la banda temporal con punto medio más cercano a la siguiente fecha de revisión.</w:t>
      </w:r>
    </w:p>
    <w:p w14:paraId="4CE8B0C3" w14:textId="77777777" w:rsidR="00E10BA0" w:rsidRPr="008E3606" w:rsidRDefault="00E10BA0" w:rsidP="00E10BA0">
      <w:pPr>
        <w:widowControl w:val="0"/>
        <w:spacing w:after="240" w:line="240" w:lineRule="auto"/>
        <w:ind w:left="1134"/>
        <w:rPr>
          <w:sz w:val="24"/>
        </w:rPr>
      </w:pPr>
      <w:r w:rsidRPr="008E3606">
        <w:rPr>
          <w:sz w:val="24"/>
        </w:rPr>
        <w:t xml:space="preserve">Las posiciones susceptibles de estandarización incluyen posiciones con opciones automáticas implícitas sobre tasas de interés donde la opcionalidad (ya sea comprada o vendida) debe ignorarse para efectos de atribución de los flujos de efectivo nocionales a precios revisados. Por ejemplo, un préstamo o empréstito a interés variable con una opción </w:t>
      </w:r>
      <w:r w:rsidRPr="008E3606">
        <w:rPr>
          <w:i/>
          <w:iCs/>
          <w:sz w:val="24"/>
        </w:rPr>
        <w:t>floor</w:t>
      </w:r>
      <w:r w:rsidRPr="008E3606">
        <w:rPr>
          <w:sz w:val="24"/>
        </w:rPr>
        <w:t xml:space="preserve"> se trataría como si no hubiese dicha opción; por tanto, se trataría como si su tasa se revisase por completo en la siguiente fecha de revisión y todo su saldo pendiente total se atribuyese al correspondiente tramo temporal. Del mismo modo, un bono con opción de recompra emitido por un banco a rendimiento fijo se trataría como si fuera a vencer en su plazo contractual más largo, ignorándose la opción de recompra. El tratamiento para las opciones automáticas implícitas se establece en la sección final.</w:t>
      </w:r>
    </w:p>
    <w:p w14:paraId="15D21231" w14:textId="77777777" w:rsidR="00E10BA0" w:rsidRPr="008E3606" w:rsidRDefault="00E10BA0" w:rsidP="00E10BA0">
      <w:pPr>
        <w:pStyle w:val="Prrafodelista"/>
        <w:widowControl w:val="0"/>
        <w:numPr>
          <w:ilvl w:val="0"/>
          <w:numId w:val="25"/>
        </w:numPr>
        <w:spacing w:after="0" w:line="240" w:lineRule="auto"/>
        <w:ind w:left="1701" w:hanging="577"/>
        <w:contextualSpacing w:val="0"/>
        <w:rPr>
          <w:rFonts w:ascii="Cambria" w:hAnsi="Cambria"/>
          <w:b/>
          <w:bCs/>
          <w:color w:val="auto"/>
          <w:szCs w:val="24"/>
        </w:rPr>
      </w:pPr>
      <w:r w:rsidRPr="008E3606">
        <w:rPr>
          <w:rFonts w:ascii="Cambria" w:hAnsi="Cambria"/>
          <w:b/>
          <w:bCs/>
          <w:color w:val="auto"/>
          <w:szCs w:val="24"/>
        </w:rPr>
        <w:t>Posiciones menos susceptibles de estandarización.</w:t>
      </w:r>
    </w:p>
    <w:p w14:paraId="3710A41D" w14:textId="77777777" w:rsidR="00E10BA0" w:rsidRPr="008E3606" w:rsidRDefault="00E10BA0" w:rsidP="00E10BA0">
      <w:pPr>
        <w:widowControl w:val="0"/>
        <w:spacing w:after="240" w:line="240" w:lineRule="auto"/>
        <w:ind w:left="1134"/>
        <w:rPr>
          <w:sz w:val="24"/>
        </w:rPr>
      </w:pPr>
      <w:r w:rsidRPr="008E3606">
        <w:rPr>
          <w:sz w:val="24"/>
        </w:rPr>
        <w:t>Las posiciones menos susceptibles de estandarización incluyen opciones de tasa de interés automáticas explícitas, así como las opciones automáticas implícitas sobre tasas de interés que se separan o segregan de los activos o pasivos de la entidad (es decir, del contrato principal). La metodología para estas opciones de tasa de interés se describe en el subnumeral ii siguiente.</w:t>
      </w:r>
    </w:p>
    <w:p w14:paraId="1474BCDC" w14:textId="77777777" w:rsidR="00E10BA0" w:rsidRPr="008E3606" w:rsidRDefault="00E10BA0" w:rsidP="00E10BA0">
      <w:pPr>
        <w:widowControl w:val="0"/>
        <w:spacing w:after="240" w:line="240" w:lineRule="auto"/>
        <w:ind w:left="1134"/>
        <w:rPr>
          <w:sz w:val="24"/>
        </w:rPr>
      </w:pPr>
      <w:r w:rsidRPr="008E3606">
        <w:rPr>
          <w:sz w:val="24"/>
        </w:rPr>
        <w:t>Una característica habitual de estas posiciones es la opcionalidad que provoca que el perfil temporal de los flujos de efectivo nocionales a precios revisados sea incierto. Esta opcionalidad introduce una no linealidad, lo que sugiere que las aproximaciones delta-equivalentes son imprecisas en escenarios de fuertes perturbaciones de tasas de interés.</w:t>
      </w:r>
    </w:p>
    <w:p w14:paraId="5D7E12F8" w14:textId="77777777" w:rsidR="00E10BA0" w:rsidRPr="008E3606" w:rsidRDefault="00E10BA0" w:rsidP="00E10BA0">
      <w:pPr>
        <w:widowControl w:val="0"/>
        <w:spacing w:after="240" w:line="240" w:lineRule="auto"/>
        <w:ind w:left="1134"/>
        <w:rPr>
          <w:sz w:val="24"/>
        </w:rPr>
      </w:pPr>
      <w:r w:rsidRPr="008E3606">
        <w:rPr>
          <w:sz w:val="24"/>
        </w:rPr>
        <w:t>En el caso de opciones automáticas explícitas sobre tasas de interés, así como de opciones automáticas implícitas sobre tasas de interés que se separan o segregan de los activos o pasivos de la entidad (es decir, del contrato principal), se describe una metodología concreta en el subnumeral ii siguiente.</w:t>
      </w:r>
    </w:p>
    <w:p w14:paraId="48AAA622" w14:textId="77777777" w:rsidR="00E10BA0" w:rsidRPr="008E3606" w:rsidRDefault="00E10BA0" w:rsidP="00E10BA0">
      <w:pPr>
        <w:widowControl w:val="0"/>
        <w:spacing w:after="240" w:line="240" w:lineRule="auto"/>
        <w:ind w:left="1134"/>
        <w:rPr>
          <w:sz w:val="24"/>
        </w:rPr>
      </w:pPr>
      <w:r w:rsidRPr="008E3606">
        <w:rPr>
          <w:sz w:val="24"/>
        </w:rPr>
        <w:t xml:space="preserve">Falta desarrollo de los tipos de instrumentos </w:t>
      </w:r>
    </w:p>
    <w:p w14:paraId="55B451B9" w14:textId="77777777" w:rsidR="00E10BA0" w:rsidRPr="008E3606" w:rsidRDefault="00E10BA0" w:rsidP="00B21E78">
      <w:pPr>
        <w:pStyle w:val="Prrafodelista"/>
        <w:widowControl w:val="0"/>
        <w:numPr>
          <w:ilvl w:val="0"/>
          <w:numId w:val="42"/>
        </w:numPr>
        <w:spacing w:after="240" w:line="240" w:lineRule="auto"/>
        <w:ind w:left="2268" w:hanging="567"/>
        <w:contextualSpacing w:val="0"/>
        <w:rPr>
          <w:rFonts w:ascii="Cambria" w:hAnsi="Cambria"/>
          <w:szCs w:val="24"/>
        </w:rPr>
      </w:pPr>
      <w:r w:rsidRPr="008E3606">
        <w:rPr>
          <w:rFonts w:ascii="Cambria" w:hAnsi="Cambria"/>
          <w:szCs w:val="24"/>
        </w:rPr>
        <w:t>Opciones de comportamiento: El volumen de préstamos, cuentas corrientes, ahorros y depósitos en los que el cliente tiene la opción de desviarse del vencimiento contractual. El volumen de compromisos con clientes susceptibles de retiros, sensibles a las tasas de interés.</w:t>
      </w:r>
    </w:p>
    <w:p w14:paraId="01B00B37" w14:textId="77777777" w:rsidR="00E10BA0" w:rsidRPr="008E3606" w:rsidRDefault="00E10BA0" w:rsidP="00B21E78">
      <w:pPr>
        <w:pStyle w:val="Prrafodelista"/>
        <w:widowControl w:val="0"/>
        <w:numPr>
          <w:ilvl w:val="0"/>
          <w:numId w:val="42"/>
        </w:numPr>
        <w:spacing w:after="240" w:line="240" w:lineRule="auto"/>
        <w:ind w:left="2268" w:hanging="567"/>
        <w:contextualSpacing w:val="0"/>
        <w:rPr>
          <w:rFonts w:ascii="Cambria" w:hAnsi="Cambria"/>
          <w:szCs w:val="24"/>
        </w:rPr>
      </w:pPr>
      <w:r w:rsidRPr="008E3606">
        <w:rPr>
          <w:rFonts w:ascii="Cambria" w:hAnsi="Cambria"/>
          <w:szCs w:val="24"/>
        </w:rPr>
        <w:t>Opciones de tipo de interés automáticas: Tasas máximas (techos) y mínimas (pisos) implícitas en activos y pasivos; opciones de permuta (swaptions) u opciones de amortización anticipada implícitas en activos y pasivos mayoristas y techos, pisos y swaptions explícitos.</w:t>
      </w:r>
    </w:p>
    <w:p w14:paraId="0CFD1403" w14:textId="77777777" w:rsidR="00E10BA0" w:rsidRPr="008E3606" w:rsidRDefault="00E10BA0" w:rsidP="00E10BA0">
      <w:pPr>
        <w:widowControl w:val="0"/>
        <w:spacing w:after="240" w:line="240" w:lineRule="auto"/>
        <w:ind w:left="1134"/>
        <w:rPr>
          <w:sz w:val="24"/>
        </w:rPr>
      </w:pPr>
      <w:r w:rsidRPr="008E3606">
        <w:rPr>
          <w:sz w:val="24"/>
        </w:rPr>
        <w:t>Un ejemplo de producto con opciones automáticas implícitas sobre tasas de interés es un préstamo hipotecario a interés variable con caps y/o floors implícitos.</w:t>
      </w:r>
    </w:p>
    <w:p w14:paraId="63F5610C" w14:textId="77777777" w:rsidR="00E10BA0" w:rsidRPr="008E3606" w:rsidRDefault="00E10BA0" w:rsidP="00E10BA0">
      <w:pPr>
        <w:pStyle w:val="Prrafodelista"/>
        <w:widowControl w:val="0"/>
        <w:numPr>
          <w:ilvl w:val="0"/>
          <w:numId w:val="25"/>
        </w:numPr>
        <w:spacing w:after="0" w:line="240" w:lineRule="auto"/>
        <w:ind w:left="1701" w:hanging="577"/>
        <w:contextualSpacing w:val="0"/>
        <w:rPr>
          <w:rFonts w:ascii="Cambria" w:hAnsi="Cambria"/>
          <w:b/>
          <w:bCs/>
          <w:color w:val="auto"/>
          <w:szCs w:val="24"/>
        </w:rPr>
      </w:pPr>
      <w:r w:rsidRPr="008E3606">
        <w:rPr>
          <w:rFonts w:ascii="Cambria" w:hAnsi="Cambria"/>
          <w:b/>
          <w:bCs/>
          <w:color w:val="auto"/>
          <w:szCs w:val="24"/>
        </w:rPr>
        <w:t>Posiciones no susceptibles de estandarización</w:t>
      </w:r>
    </w:p>
    <w:p w14:paraId="5798FEC5" w14:textId="77777777" w:rsidR="00E10BA0" w:rsidRPr="008E3606" w:rsidRDefault="00E10BA0" w:rsidP="00E10BA0">
      <w:pPr>
        <w:widowControl w:val="0"/>
        <w:spacing w:after="240" w:line="240" w:lineRule="auto"/>
        <w:ind w:left="1134"/>
        <w:rPr>
          <w:sz w:val="24"/>
        </w:rPr>
      </w:pPr>
      <w:r w:rsidRPr="008E3606">
        <w:rPr>
          <w:sz w:val="24"/>
        </w:rPr>
        <w:t>Las posiciones no susceptibles de estandarización incluyen:</w:t>
      </w:r>
    </w:p>
    <w:p w14:paraId="2372BD9C" w14:textId="77777777" w:rsidR="00E10BA0" w:rsidRPr="008E3606" w:rsidRDefault="00E10BA0" w:rsidP="00B21E78">
      <w:pPr>
        <w:pStyle w:val="Prrafodelista"/>
        <w:widowControl w:val="0"/>
        <w:numPr>
          <w:ilvl w:val="0"/>
          <w:numId w:val="43"/>
        </w:numPr>
        <w:spacing w:after="240" w:line="240" w:lineRule="auto"/>
        <w:ind w:left="2268" w:hanging="567"/>
        <w:contextualSpacing w:val="0"/>
        <w:rPr>
          <w:rFonts w:ascii="Cambria" w:hAnsi="Cambria"/>
          <w:szCs w:val="24"/>
        </w:rPr>
      </w:pPr>
      <w:r w:rsidRPr="008E3606">
        <w:rPr>
          <w:rFonts w:ascii="Cambria" w:hAnsi="Cambria"/>
          <w:szCs w:val="24"/>
        </w:rPr>
        <w:t>Depósitos sin vencimiento (</w:t>
      </w:r>
      <w:r w:rsidRPr="008E3606">
        <w:rPr>
          <w:rFonts w:ascii="Cambria" w:hAnsi="Cambria"/>
          <w:color w:val="auto"/>
          <w:szCs w:val="24"/>
        </w:rPr>
        <w:t>Non-Maturity Deposits - NMD por sus siglas en inglés)</w:t>
      </w:r>
      <w:r w:rsidRPr="008E3606">
        <w:rPr>
          <w:rFonts w:ascii="Cambria" w:hAnsi="Cambria"/>
          <w:szCs w:val="24"/>
        </w:rPr>
        <w:t xml:space="preserve">, </w:t>
      </w:r>
    </w:p>
    <w:p w14:paraId="03E0CEAF" w14:textId="77777777" w:rsidR="00E10BA0" w:rsidRPr="008E3606" w:rsidRDefault="00E10BA0" w:rsidP="00B21E78">
      <w:pPr>
        <w:pStyle w:val="Prrafodelista"/>
        <w:widowControl w:val="0"/>
        <w:numPr>
          <w:ilvl w:val="0"/>
          <w:numId w:val="43"/>
        </w:numPr>
        <w:spacing w:after="240" w:line="240" w:lineRule="auto"/>
        <w:ind w:left="2268" w:hanging="567"/>
        <w:contextualSpacing w:val="0"/>
        <w:rPr>
          <w:rFonts w:ascii="Cambria" w:hAnsi="Cambria"/>
          <w:color w:val="auto"/>
          <w:szCs w:val="24"/>
        </w:rPr>
      </w:pPr>
      <w:r w:rsidRPr="008E3606">
        <w:rPr>
          <w:rFonts w:ascii="Cambria" w:hAnsi="Cambria"/>
          <w:szCs w:val="24"/>
        </w:rPr>
        <w:t xml:space="preserve">Préstamos a interés fijo sujetos a riesgo de amortización anticipada y </w:t>
      </w:r>
    </w:p>
    <w:p w14:paraId="6265CE36" w14:textId="77777777" w:rsidR="00E10BA0" w:rsidRPr="008E3606" w:rsidRDefault="00E10BA0" w:rsidP="00B21E78">
      <w:pPr>
        <w:pStyle w:val="Prrafodelista"/>
        <w:widowControl w:val="0"/>
        <w:numPr>
          <w:ilvl w:val="0"/>
          <w:numId w:val="43"/>
        </w:numPr>
        <w:spacing w:after="240" w:line="240" w:lineRule="auto"/>
        <w:ind w:left="2268" w:hanging="567"/>
        <w:contextualSpacing w:val="0"/>
        <w:rPr>
          <w:rFonts w:ascii="Cambria" w:hAnsi="Cambria"/>
          <w:color w:val="auto"/>
          <w:szCs w:val="24"/>
        </w:rPr>
      </w:pPr>
      <w:r w:rsidRPr="008E3606">
        <w:rPr>
          <w:rFonts w:ascii="Cambria" w:hAnsi="Cambria"/>
          <w:szCs w:val="24"/>
        </w:rPr>
        <w:t>Depósitos a plazo sujetos a riesgo de reembolso anticipado.</w:t>
      </w:r>
    </w:p>
    <w:p w14:paraId="76A4E81F" w14:textId="77777777" w:rsidR="00E10BA0" w:rsidRPr="008E3606" w:rsidRDefault="00E10BA0" w:rsidP="00E10BA0">
      <w:pPr>
        <w:widowControl w:val="0"/>
        <w:spacing w:after="240" w:line="240" w:lineRule="auto"/>
        <w:ind w:left="2268"/>
        <w:rPr>
          <w:b/>
          <w:bCs/>
          <w:color w:val="4472C4" w:themeColor="accent1"/>
          <w:sz w:val="24"/>
          <w:u w:val="single"/>
        </w:rPr>
      </w:pPr>
      <w:r w:rsidRPr="008E3606">
        <w:rPr>
          <w:b/>
          <w:bCs/>
          <w:color w:val="4472C4" w:themeColor="accent1"/>
          <w:sz w:val="24"/>
          <w:u w:val="single"/>
        </w:rPr>
        <w:t>Tratamiento de los depósitos sin vencimiento (NMD)</w:t>
      </w:r>
    </w:p>
    <w:p w14:paraId="2F69ECCB" w14:textId="77777777" w:rsidR="00E10BA0" w:rsidRPr="008E3606" w:rsidRDefault="00E10BA0" w:rsidP="00E10BA0">
      <w:pPr>
        <w:widowControl w:val="0"/>
        <w:spacing w:after="240"/>
        <w:ind w:left="2268"/>
        <w:rPr>
          <w:sz w:val="24"/>
        </w:rPr>
      </w:pPr>
      <w:r w:rsidRPr="008E3606">
        <w:rPr>
          <w:sz w:val="24"/>
        </w:rPr>
        <w:t xml:space="preserve">Según las medidas basadas en el VEP y en el MNI, los supuestos de comportamiento para los NMD son un determinante material de las exposiciones al RTILB. La entidad debe documentar, monitorear y actualizar regularmente los supuestos clave para los saldos y el comportamiento de los NMD, y realizar una adecuada distribución de los mismos según su propia estimación, atendiendo las reglas de estandarización aquí señaladas. Para determinar los supuestos apropiados para los NMD la entidad debe analizar su base de depositantes e identificar la proporción de depósitos básicos, es decir, los NMD que son poco probable que cambien el precio, incluso bajo cambios significativos en el entorno de tasas de interés. Los supuestos deben variar según las características del depositante: minorista o mayorista, y las características de la cuenta: transaccional o no transaccional. </w:t>
      </w:r>
    </w:p>
    <w:p w14:paraId="0DADE138" w14:textId="77777777" w:rsidR="00E10BA0" w:rsidRPr="008E3606" w:rsidRDefault="00E10BA0" w:rsidP="00E10BA0">
      <w:pPr>
        <w:widowControl w:val="0"/>
        <w:spacing w:after="240"/>
        <w:ind w:left="2268"/>
        <w:rPr>
          <w:sz w:val="24"/>
        </w:rPr>
      </w:pPr>
      <w:r w:rsidRPr="008E3606">
        <w:rPr>
          <w:sz w:val="24"/>
        </w:rPr>
        <w:t>A continuación, la información de dichas categorías:</w:t>
      </w:r>
    </w:p>
    <w:p w14:paraId="62A5E108" w14:textId="77777777" w:rsidR="00E10BA0" w:rsidRPr="008E3606" w:rsidRDefault="00E10BA0" w:rsidP="00B21E78">
      <w:pPr>
        <w:pStyle w:val="Prrafodelista"/>
        <w:widowControl w:val="0"/>
        <w:numPr>
          <w:ilvl w:val="0"/>
          <w:numId w:val="44"/>
        </w:numPr>
        <w:spacing w:after="240" w:line="240" w:lineRule="auto"/>
        <w:ind w:left="2835" w:hanging="567"/>
        <w:contextualSpacing w:val="0"/>
        <w:rPr>
          <w:rFonts w:ascii="Cambria" w:hAnsi="Cambria"/>
          <w:szCs w:val="24"/>
        </w:rPr>
      </w:pPr>
      <w:r w:rsidRPr="008E3606">
        <w:rPr>
          <w:rFonts w:ascii="Cambria" w:hAnsi="Cambria"/>
          <w:i/>
          <w:szCs w:val="24"/>
        </w:rPr>
        <w:t>Depósitos minoristas transaccionales.</w:t>
      </w:r>
      <w:r w:rsidRPr="008E3606">
        <w:rPr>
          <w:rFonts w:ascii="Cambria" w:hAnsi="Cambria"/>
          <w:szCs w:val="24"/>
        </w:rPr>
        <w:t xml:space="preserve"> Incluye los depósitos de personas naturales en los que el componente de remuneración no es relevante en la decisión del cliente de mantener sus recursos en la cuenta. Se considera que los depósitos judiciales y aquellos realizados por clientes de pequeñas empresas y gestionados como exposiciones minoristas también tienen características de RTILB similares a las de las cuentas minoristas y, por lo tanto, pueden tratarse como depósitos minoristas. Los depósitos minoristas deben considerarse mantenidos en una cuenta transaccional cuando se realizan transacciones regulares en esa cuenta o cuando el depósito no genera intereses. </w:t>
      </w:r>
    </w:p>
    <w:p w14:paraId="10B6D8E2" w14:textId="77777777" w:rsidR="00E10BA0" w:rsidRPr="008E3606" w:rsidRDefault="00E10BA0" w:rsidP="00B21E78">
      <w:pPr>
        <w:pStyle w:val="Prrafodelista"/>
        <w:widowControl w:val="0"/>
        <w:numPr>
          <w:ilvl w:val="0"/>
          <w:numId w:val="44"/>
        </w:numPr>
        <w:spacing w:after="240" w:line="240" w:lineRule="auto"/>
        <w:ind w:left="2835" w:hanging="567"/>
        <w:contextualSpacing w:val="0"/>
        <w:rPr>
          <w:rFonts w:ascii="Cambria" w:hAnsi="Cambria"/>
          <w:szCs w:val="24"/>
        </w:rPr>
      </w:pPr>
      <w:r w:rsidRPr="008E3606">
        <w:rPr>
          <w:rFonts w:ascii="Cambria" w:hAnsi="Cambria"/>
          <w:i/>
          <w:szCs w:val="24"/>
        </w:rPr>
        <w:t>Depósitos minoristas no transaccionales.</w:t>
      </w:r>
      <w:r w:rsidRPr="008E3606">
        <w:rPr>
          <w:rFonts w:ascii="Cambria" w:hAnsi="Cambria"/>
          <w:szCs w:val="24"/>
        </w:rPr>
        <w:t xml:space="preserve"> Incluye las cuentas de personas naturales (contempla las reguladas) cuyo componente de remuneración es relevante en la decisión del cliente de mantener sus fondos. </w:t>
      </w:r>
    </w:p>
    <w:p w14:paraId="51AB1BEF" w14:textId="77777777" w:rsidR="00E10BA0" w:rsidRPr="008E3606" w:rsidRDefault="00E10BA0" w:rsidP="00B21E78">
      <w:pPr>
        <w:pStyle w:val="Prrafodelista"/>
        <w:widowControl w:val="0"/>
        <w:numPr>
          <w:ilvl w:val="0"/>
          <w:numId w:val="44"/>
        </w:numPr>
        <w:spacing w:after="240" w:line="240" w:lineRule="auto"/>
        <w:ind w:left="2835" w:hanging="567"/>
        <w:contextualSpacing w:val="0"/>
        <w:rPr>
          <w:rFonts w:ascii="Cambria" w:hAnsi="Cambria"/>
          <w:szCs w:val="24"/>
        </w:rPr>
      </w:pPr>
      <w:r w:rsidRPr="008E3606">
        <w:rPr>
          <w:rFonts w:ascii="Cambria" w:hAnsi="Cambria"/>
          <w:i/>
          <w:szCs w:val="24"/>
        </w:rPr>
        <w:t>Depósitos mayoristas.</w:t>
      </w:r>
      <w:r w:rsidRPr="008E3606">
        <w:rPr>
          <w:rFonts w:ascii="Cambria" w:hAnsi="Cambria"/>
          <w:szCs w:val="24"/>
        </w:rPr>
        <w:t xml:space="preserve"> Comprende las cuentas de empresas y otros clientes mayoristas, las cuentas interbancarias u otras cuentas altamente sensibles al precio. En esta categoría la entidad debe analizar de forma independiente los depósitos a la vista respecto de los fondos de inversión colectiva, depósitos de entidades del sector público, entidades financieras, empresas del sector real y empresas unipersonales.</w:t>
      </w:r>
    </w:p>
    <w:p w14:paraId="2C5B84C1" w14:textId="77777777" w:rsidR="00E10BA0" w:rsidRPr="008E3606" w:rsidRDefault="00E10BA0" w:rsidP="00E10BA0">
      <w:pPr>
        <w:widowControl w:val="0"/>
        <w:spacing w:after="240"/>
        <w:ind w:left="2268"/>
        <w:rPr>
          <w:sz w:val="24"/>
        </w:rPr>
      </w:pPr>
      <w:r w:rsidRPr="008E3606">
        <w:rPr>
          <w:sz w:val="24"/>
        </w:rPr>
        <w:t>Para efectuar una adecuada clasificación de los depósitos sin vencimiento la entidad debe:</w:t>
      </w:r>
    </w:p>
    <w:p w14:paraId="4E00AD4A" w14:textId="77777777" w:rsidR="00E10BA0" w:rsidRPr="008E3606" w:rsidRDefault="00E10BA0" w:rsidP="00E10BA0">
      <w:pPr>
        <w:widowControl w:val="0"/>
        <w:spacing w:after="240" w:line="240" w:lineRule="auto"/>
        <w:ind w:left="2835" w:hanging="577"/>
        <w:rPr>
          <w:sz w:val="24"/>
        </w:rPr>
      </w:pPr>
      <w:r w:rsidRPr="008E3606">
        <w:rPr>
          <w:sz w:val="24"/>
        </w:rPr>
        <w:t>i.1)</w:t>
      </w:r>
      <w:r w:rsidRPr="008E3606">
        <w:rPr>
          <w:sz w:val="24"/>
        </w:rPr>
        <w:tab/>
        <w:t>Clasificar los depósitos en función de la contraparte:</w:t>
      </w:r>
    </w:p>
    <w:p w14:paraId="0B04CD2C" w14:textId="77777777" w:rsidR="00E10BA0" w:rsidRPr="008E3606" w:rsidRDefault="00E10BA0" w:rsidP="00E10BA0">
      <w:pPr>
        <w:widowControl w:val="0"/>
        <w:spacing w:after="240" w:line="240" w:lineRule="auto"/>
        <w:ind w:left="3402" w:hanging="577"/>
        <w:rPr>
          <w:sz w:val="24"/>
        </w:rPr>
      </w:pPr>
      <w:r w:rsidRPr="008E3606">
        <w:rPr>
          <w:sz w:val="24"/>
        </w:rPr>
        <w:t>i.1.1)</w:t>
      </w:r>
      <w:r w:rsidRPr="008E3606">
        <w:rPr>
          <w:sz w:val="24"/>
        </w:rPr>
        <w:tab/>
        <w:t>Depósitos minoristas: i) transaccionales y ii) no transaccionales</w:t>
      </w:r>
    </w:p>
    <w:p w14:paraId="523FC9EE" w14:textId="77777777" w:rsidR="00E10BA0" w:rsidRPr="008E3606" w:rsidRDefault="00E10BA0" w:rsidP="00E10BA0">
      <w:pPr>
        <w:widowControl w:val="0"/>
        <w:spacing w:after="240" w:line="240" w:lineRule="auto"/>
        <w:ind w:left="3402" w:hanging="577"/>
        <w:rPr>
          <w:sz w:val="24"/>
        </w:rPr>
      </w:pPr>
      <w:r w:rsidRPr="008E3606">
        <w:rPr>
          <w:sz w:val="24"/>
        </w:rPr>
        <w:t>i.1.2)</w:t>
      </w:r>
      <w:r w:rsidRPr="008E3606">
        <w:rPr>
          <w:sz w:val="24"/>
        </w:rPr>
        <w:tab/>
        <w:t>Depósitos mayoristas</w:t>
      </w:r>
    </w:p>
    <w:p w14:paraId="74328B18" w14:textId="77777777" w:rsidR="00E10BA0" w:rsidRPr="008E3606" w:rsidRDefault="00E10BA0" w:rsidP="00E10BA0">
      <w:pPr>
        <w:widowControl w:val="0"/>
        <w:spacing w:after="240" w:line="240" w:lineRule="auto"/>
        <w:ind w:left="2835" w:hanging="577"/>
        <w:rPr>
          <w:sz w:val="24"/>
        </w:rPr>
      </w:pPr>
      <w:r w:rsidRPr="008E3606">
        <w:rPr>
          <w:sz w:val="24"/>
        </w:rPr>
        <w:t>i.2)</w:t>
      </w:r>
      <w:r w:rsidRPr="008E3606">
        <w:rPr>
          <w:sz w:val="24"/>
        </w:rPr>
        <w:tab/>
        <w:t>Clasificar las posiciones pasivas sin flujos futuros conocidos (NMD) en estables y no estables utilizando los cambios de volumen observados durante los últimos 10 años. La porción estable de los NMD es aquella que se mantiene sin retirar con un alto grado de probabilidad. Los depósitos básicos son la proporción de NMD estables que son poco probables que se reprecien aun cuando haya cambios significativos en las tasas de interés, la parte restante constituye los NMD no básicos. La entidad de reciente constitución debe utilizar la información de los cambios de volumen observados (sobre el comportamiento de esta clase de depósitos del mercado local) que se considera para presentar las proyecciones financieras del procedimiento de autorización previstas en el Estatuto Orgánico del Sistema Financiero, asimismo debe continuar actualizando la serie requerida de los últimos 10 años con información propia.</w:t>
      </w:r>
    </w:p>
    <w:p w14:paraId="520F1D8A" w14:textId="77777777" w:rsidR="00E10BA0" w:rsidRPr="008E3606" w:rsidRDefault="00E10BA0" w:rsidP="00E10BA0">
      <w:pPr>
        <w:widowControl w:val="0"/>
        <w:spacing w:after="240" w:line="240" w:lineRule="auto"/>
        <w:ind w:left="2835" w:hanging="577"/>
        <w:rPr>
          <w:sz w:val="24"/>
        </w:rPr>
      </w:pPr>
      <w:r w:rsidRPr="008E3606">
        <w:rPr>
          <w:sz w:val="24"/>
        </w:rPr>
        <w:t>i.3)</w:t>
      </w:r>
      <w:r w:rsidRPr="008E3606">
        <w:rPr>
          <w:sz w:val="24"/>
        </w:rPr>
        <w:tab/>
        <w:t>Identificar de la parte estable, el componente básico y no básico.</w:t>
      </w:r>
    </w:p>
    <w:p w14:paraId="28ED20DC" w14:textId="77777777" w:rsidR="00E10BA0" w:rsidRPr="008E3606" w:rsidRDefault="00E10BA0" w:rsidP="00E10BA0">
      <w:pPr>
        <w:widowControl w:val="0"/>
        <w:spacing w:after="240" w:line="240" w:lineRule="auto"/>
        <w:ind w:left="2835" w:hanging="577"/>
        <w:rPr>
          <w:sz w:val="24"/>
        </w:rPr>
      </w:pPr>
      <w:r w:rsidRPr="008E3606">
        <w:rPr>
          <w:sz w:val="24"/>
        </w:rPr>
        <w:t>i.4)</w:t>
      </w:r>
      <w:r w:rsidRPr="008E3606">
        <w:rPr>
          <w:sz w:val="24"/>
        </w:rPr>
        <w:tab/>
        <w:t>Para determinar el valor de los depósitos básicos deberá multiplicar el valor de los depósitos estables por la tasa de traspaso interna (∆ tasa de los depósitos/∆ de la tasa de mercado).</w:t>
      </w:r>
    </w:p>
    <w:p w14:paraId="2C1256B7" w14:textId="77777777" w:rsidR="00E10BA0" w:rsidRPr="008E3606" w:rsidRDefault="00E10BA0" w:rsidP="00E10BA0">
      <w:pPr>
        <w:widowControl w:val="0"/>
        <w:spacing w:after="240" w:line="240" w:lineRule="auto"/>
        <w:ind w:left="2835" w:hanging="577"/>
        <w:rPr>
          <w:sz w:val="24"/>
        </w:rPr>
      </w:pPr>
      <w:r w:rsidRPr="008E3606">
        <w:rPr>
          <w:sz w:val="24"/>
        </w:rPr>
        <w:t>i.5)</w:t>
      </w:r>
      <w:r w:rsidRPr="008E3606">
        <w:rPr>
          <w:sz w:val="24"/>
        </w:rPr>
        <w:tab/>
        <w:t>El valor anterior se debe impactar por el choque de las tasas de interés: i) multiplicar por 0.8 ante subidas de las tasas de interés a corto plazo, ii) multiplicar por 1.2 ante disminuciones de las tasas de interés a corto plazo.</w:t>
      </w:r>
    </w:p>
    <w:p w14:paraId="56956633" w14:textId="77777777" w:rsidR="00E10BA0" w:rsidRPr="008E3606" w:rsidRDefault="00E10BA0" w:rsidP="00E10BA0">
      <w:pPr>
        <w:widowControl w:val="0"/>
        <w:spacing w:after="240" w:line="240" w:lineRule="auto"/>
        <w:ind w:left="2835" w:hanging="577"/>
        <w:rPr>
          <w:sz w:val="24"/>
        </w:rPr>
      </w:pPr>
      <w:r w:rsidRPr="008E3606">
        <w:rPr>
          <w:sz w:val="24"/>
        </w:rPr>
        <w:t>i.6)</w:t>
      </w:r>
      <w:r w:rsidRPr="008E3606">
        <w:rPr>
          <w:sz w:val="24"/>
        </w:rPr>
        <w:tab/>
        <w:t xml:space="preserve">Efectuar la asignación del valor de los depósitos básicos anteriormente definidos considerando los límites máximos de proporción básica establecidos en la Tabla 6. </w:t>
      </w:r>
    </w:p>
    <w:p w14:paraId="3C7E8373" w14:textId="77777777" w:rsidR="00E10BA0" w:rsidRPr="008E3606" w:rsidRDefault="00E10BA0" w:rsidP="00E10BA0">
      <w:pPr>
        <w:widowControl w:val="0"/>
        <w:spacing w:after="240" w:line="240" w:lineRule="auto"/>
        <w:ind w:left="2835" w:hanging="577"/>
        <w:rPr>
          <w:sz w:val="24"/>
        </w:rPr>
      </w:pPr>
      <w:r w:rsidRPr="008E3606">
        <w:rPr>
          <w:sz w:val="24"/>
        </w:rPr>
        <w:t>i.7)</w:t>
      </w:r>
      <w:r w:rsidRPr="008E3606">
        <w:rPr>
          <w:sz w:val="24"/>
        </w:rPr>
        <w:tab/>
        <w:t xml:space="preserve">Los NMD básicos se deben mapear en el intervalo de tiempo apropiado considerando el límite máximo al vencimiento promedio de los depósitos según lo establecido en la tabla 6. </w:t>
      </w:r>
    </w:p>
    <w:p w14:paraId="5C85B335" w14:textId="77777777" w:rsidR="00E10BA0" w:rsidRPr="008E3606" w:rsidRDefault="00E10BA0" w:rsidP="00E10BA0">
      <w:pPr>
        <w:widowControl w:val="0"/>
        <w:spacing w:after="240" w:line="240" w:lineRule="auto"/>
        <w:ind w:left="2835" w:hanging="577"/>
        <w:rPr>
          <w:sz w:val="24"/>
        </w:rPr>
      </w:pPr>
      <w:r w:rsidRPr="008E3606">
        <w:rPr>
          <w:sz w:val="24"/>
        </w:rPr>
        <w:t>i.8)</w:t>
      </w:r>
      <w:r w:rsidRPr="008E3606">
        <w:rPr>
          <w:sz w:val="24"/>
        </w:rPr>
        <w:tab/>
        <w:t>Los depósitos no básicos deben mapearse en la primera banda de tiempo bajo el entendido que para el RTILB estos depósitos se consideran no estables.</w:t>
      </w:r>
    </w:p>
    <w:p w14:paraId="1038EFB1" w14:textId="77777777" w:rsidR="00E10BA0" w:rsidRPr="008E3606" w:rsidRDefault="00E10BA0" w:rsidP="00E10BA0">
      <w:pPr>
        <w:widowControl w:val="0"/>
        <w:spacing w:after="240"/>
        <w:jc w:val="center"/>
        <w:rPr>
          <w:b/>
          <w:bCs/>
          <w:sz w:val="24"/>
        </w:rPr>
      </w:pPr>
      <w:r w:rsidRPr="008E3606">
        <w:rPr>
          <w:b/>
          <w:bCs/>
          <w:sz w:val="24"/>
        </w:rPr>
        <w:t>Tabla 6: Límite sobre depósitos básicos (Core) y vencimiento promedio</w:t>
      </w:r>
    </w:p>
    <w:tbl>
      <w:tblPr>
        <w:tblW w:w="6794" w:type="dxa"/>
        <w:jc w:val="center"/>
        <w:tblCellMar>
          <w:left w:w="70" w:type="dxa"/>
          <w:right w:w="70" w:type="dxa"/>
        </w:tblCellMar>
        <w:tblLook w:val="04A0" w:firstRow="1" w:lastRow="0" w:firstColumn="1" w:lastColumn="0" w:noHBand="0" w:noVBand="1"/>
      </w:tblPr>
      <w:tblGrid>
        <w:gridCol w:w="1833"/>
        <w:gridCol w:w="1985"/>
        <w:gridCol w:w="2976"/>
      </w:tblGrid>
      <w:tr w:rsidR="00E10BA0" w:rsidRPr="008E3606" w14:paraId="046BCB0D" w14:textId="77777777" w:rsidTr="007E453E">
        <w:trPr>
          <w:trHeight w:val="176"/>
          <w:jc w:val="center"/>
        </w:trPr>
        <w:tc>
          <w:tcPr>
            <w:tcW w:w="1833" w:type="dxa"/>
            <w:tcBorders>
              <w:top w:val="single" w:sz="8" w:space="0" w:color="auto"/>
              <w:left w:val="single" w:sz="8" w:space="0" w:color="auto"/>
              <w:bottom w:val="single" w:sz="4" w:space="0" w:color="auto"/>
              <w:right w:val="nil"/>
            </w:tcBorders>
            <w:shd w:val="clear" w:color="000000" w:fill="FFFFFF"/>
            <w:vAlign w:val="center"/>
            <w:hideMark/>
          </w:tcPr>
          <w:p w14:paraId="7350214E" w14:textId="77777777" w:rsidR="00E10BA0" w:rsidRPr="008E3606" w:rsidRDefault="00E10BA0" w:rsidP="007E453E">
            <w:pPr>
              <w:widowControl w:val="0"/>
              <w:spacing w:line="247" w:lineRule="auto"/>
              <w:ind w:left="11" w:hanging="11"/>
              <w:jc w:val="center"/>
              <w:rPr>
                <w:b/>
                <w:bCs/>
                <w:sz w:val="24"/>
                <w:lang w:eastAsia="es-CO"/>
              </w:rPr>
            </w:pPr>
            <w:r w:rsidRPr="008E3606">
              <w:rPr>
                <w:b/>
                <w:bCs/>
                <w:sz w:val="24"/>
                <w:lang w:eastAsia="es-CO"/>
              </w:rPr>
              <w:t>Categoría</w:t>
            </w:r>
          </w:p>
        </w:tc>
        <w:tc>
          <w:tcPr>
            <w:tcW w:w="1985"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41A9C87" w14:textId="77777777" w:rsidR="00E10BA0" w:rsidRPr="008E3606" w:rsidRDefault="00E10BA0" w:rsidP="007E453E">
            <w:pPr>
              <w:widowControl w:val="0"/>
              <w:spacing w:line="247" w:lineRule="auto"/>
              <w:ind w:left="11" w:hanging="11"/>
              <w:jc w:val="center"/>
              <w:rPr>
                <w:b/>
                <w:bCs/>
                <w:sz w:val="24"/>
                <w:lang w:eastAsia="es-CO"/>
              </w:rPr>
            </w:pPr>
            <w:r w:rsidRPr="008E3606">
              <w:rPr>
                <w:b/>
                <w:bCs/>
                <w:sz w:val="24"/>
                <w:lang w:eastAsia="es-CO"/>
              </w:rPr>
              <w:t xml:space="preserve">Límite máximo de proporción básica (%)  </w:t>
            </w:r>
            <m:oMath>
              <m:sSup>
                <m:sSupPr>
                  <m:ctrlPr>
                    <w:rPr>
                      <w:rFonts w:ascii="Cambria Math" w:hAnsi="Cambria Math" w:cs="Cambria Math"/>
                      <w:b/>
                      <w:bCs/>
                      <w:i/>
                      <w:sz w:val="24"/>
                      <w:lang w:eastAsia="es-CO"/>
                    </w:rPr>
                  </m:ctrlPr>
                </m:sSupPr>
                <m:e>
                  <m:r>
                    <m:rPr>
                      <m:sty m:val="bi"/>
                    </m:rPr>
                    <w:rPr>
                      <w:rFonts w:ascii="Cambria Math" w:hAnsi="Cambria Math" w:cs="Cambria Math"/>
                      <w:sz w:val="24"/>
                      <w:lang w:eastAsia="es-CO"/>
                    </w:rPr>
                    <m:t>ω</m:t>
                  </m:r>
                </m:e>
                <m:sup>
                  <m:r>
                    <m:rPr>
                      <m:sty m:val="bi"/>
                    </m:rPr>
                    <w:rPr>
                      <w:rFonts w:ascii="Cambria Math" w:hAnsi="Cambria Math" w:cs="Cambria Math"/>
                      <w:sz w:val="24"/>
                      <w:lang w:eastAsia="es-CO"/>
                    </w:rPr>
                    <m:t>+</m:t>
                  </m:r>
                </m:sup>
              </m:sSup>
            </m:oMath>
          </w:p>
        </w:tc>
        <w:tc>
          <w:tcPr>
            <w:tcW w:w="2976" w:type="dxa"/>
            <w:tcBorders>
              <w:top w:val="single" w:sz="8" w:space="0" w:color="auto"/>
              <w:left w:val="nil"/>
              <w:bottom w:val="single" w:sz="4" w:space="0" w:color="auto"/>
              <w:right w:val="single" w:sz="8" w:space="0" w:color="auto"/>
            </w:tcBorders>
            <w:shd w:val="clear" w:color="000000" w:fill="FFFFFF"/>
            <w:vAlign w:val="center"/>
            <w:hideMark/>
          </w:tcPr>
          <w:p w14:paraId="6BF3D629" w14:textId="77777777" w:rsidR="00E10BA0" w:rsidRPr="008E3606" w:rsidRDefault="00E10BA0" w:rsidP="007E453E">
            <w:pPr>
              <w:widowControl w:val="0"/>
              <w:spacing w:line="247" w:lineRule="auto"/>
              <w:ind w:left="11" w:hanging="11"/>
              <w:jc w:val="center"/>
              <w:rPr>
                <w:b/>
                <w:bCs/>
                <w:sz w:val="24"/>
                <w:lang w:eastAsia="es-CO"/>
              </w:rPr>
            </w:pPr>
            <w:r w:rsidRPr="008E3606">
              <w:rPr>
                <w:b/>
                <w:bCs/>
                <w:sz w:val="24"/>
                <w:lang w:eastAsia="es-CO"/>
              </w:rPr>
              <w:t xml:space="preserve">Límite máximo al vencimiento promedio de los depósitos core </w:t>
            </w:r>
            <m:oMath>
              <m:sSup>
                <m:sSupPr>
                  <m:ctrlPr>
                    <w:rPr>
                      <w:rFonts w:ascii="Cambria Math" w:hAnsi="Cambria Math"/>
                      <w:b/>
                      <w:bCs/>
                      <w:i/>
                      <w:sz w:val="24"/>
                      <w:lang w:eastAsia="es-CO"/>
                    </w:rPr>
                  </m:ctrlPr>
                </m:sSupPr>
                <m:e>
                  <m:r>
                    <m:rPr>
                      <m:sty m:val="bi"/>
                    </m:rPr>
                    <w:rPr>
                      <w:rFonts w:ascii="Cambria Math" w:hAnsi="Cambria Math"/>
                      <w:sz w:val="24"/>
                      <w:lang w:eastAsia="es-CO"/>
                    </w:rPr>
                    <m:t>t</m:t>
                  </m:r>
                </m:e>
                <m:sup>
                  <m:r>
                    <m:rPr>
                      <m:sty m:val="bi"/>
                    </m:rPr>
                    <w:rPr>
                      <w:rFonts w:ascii="Cambria Math" w:hAnsi="Cambria Math"/>
                      <w:sz w:val="24"/>
                      <w:lang w:eastAsia="es-CO"/>
                    </w:rPr>
                    <m:t>+</m:t>
                  </m:r>
                </m:sup>
              </m:sSup>
            </m:oMath>
            <w:r w:rsidRPr="008E3606">
              <w:rPr>
                <w:rFonts w:eastAsiaTheme="minorEastAsia"/>
                <w:b/>
                <w:bCs/>
                <w:sz w:val="24"/>
                <w:lang w:eastAsia="es-CO"/>
              </w:rPr>
              <w:t>(años)</w:t>
            </w:r>
          </w:p>
        </w:tc>
      </w:tr>
      <w:tr w:rsidR="00E10BA0" w:rsidRPr="008E3606" w14:paraId="23525811" w14:textId="77777777" w:rsidTr="007E453E">
        <w:trPr>
          <w:trHeight w:val="168"/>
          <w:jc w:val="center"/>
        </w:trPr>
        <w:tc>
          <w:tcPr>
            <w:tcW w:w="1833" w:type="dxa"/>
            <w:tcBorders>
              <w:top w:val="nil"/>
              <w:left w:val="single" w:sz="8" w:space="0" w:color="auto"/>
              <w:bottom w:val="nil"/>
              <w:right w:val="nil"/>
            </w:tcBorders>
            <w:shd w:val="clear" w:color="000000" w:fill="FFFFFF"/>
            <w:noWrap/>
            <w:vAlign w:val="bottom"/>
            <w:hideMark/>
          </w:tcPr>
          <w:p w14:paraId="3659516B" w14:textId="77777777" w:rsidR="00E10BA0" w:rsidRPr="008E3606" w:rsidRDefault="00E10BA0" w:rsidP="007E453E">
            <w:pPr>
              <w:widowControl w:val="0"/>
              <w:spacing w:line="247" w:lineRule="auto"/>
              <w:ind w:left="11" w:hanging="11"/>
              <w:rPr>
                <w:sz w:val="24"/>
                <w:lang w:eastAsia="es-CO"/>
              </w:rPr>
            </w:pPr>
            <w:r w:rsidRPr="008E3606">
              <w:rPr>
                <w:sz w:val="24"/>
                <w:lang w:eastAsia="es-CO"/>
              </w:rPr>
              <w:t>Minorista Transaccional</w:t>
            </w:r>
          </w:p>
        </w:tc>
        <w:tc>
          <w:tcPr>
            <w:tcW w:w="1985" w:type="dxa"/>
            <w:tcBorders>
              <w:top w:val="nil"/>
              <w:left w:val="single" w:sz="4" w:space="0" w:color="auto"/>
              <w:bottom w:val="nil"/>
              <w:right w:val="single" w:sz="4" w:space="0" w:color="auto"/>
            </w:tcBorders>
            <w:shd w:val="clear" w:color="000000" w:fill="FFFFFF"/>
            <w:noWrap/>
            <w:vAlign w:val="center"/>
            <w:hideMark/>
          </w:tcPr>
          <w:p w14:paraId="1B954958" w14:textId="77777777" w:rsidR="00E10BA0" w:rsidRPr="008E3606" w:rsidRDefault="00E10BA0" w:rsidP="007E453E">
            <w:pPr>
              <w:widowControl w:val="0"/>
              <w:spacing w:line="247" w:lineRule="auto"/>
              <w:ind w:left="11" w:hanging="11"/>
              <w:jc w:val="center"/>
              <w:rPr>
                <w:sz w:val="24"/>
                <w:lang w:eastAsia="es-CO"/>
              </w:rPr>
            </w:pPr>
            <w:r w:rsidRPr="008E3606">
              <w:rPr>
                <w:sz w:val="24"/>
                <w:lang w:eastAsia="es-CO"/>
              </w:rPr>
              <w:t>90%</w:t>
            </w:r>
          </w:p>
        </w:tc>
        <w:tc>
          <w:tcPr>
            <w:tcW w:w="2976" w:type="dxa"/>
            <w:tcBorders>
              <w:top w:val="nil"/>
              <w:left w:val="nil"/>
              <w:bottom w:val="nil"/>
              <w:right w:val="single" w:sz="8" w:space="0" w:color="auto"/>
            </w:tcBorders>
            <w:shd w:val="clear" w:color="000000" w:fill="FFFFFF"/>
            <w:noWrap/>
            <w:vAlign w:val="center"/>
            <w:hideMark/>
          </w:tcPr>
          <w:p w14:paraId="492B75C8" w14:textId="77777777" w:rsidR="00E10BA0" w:rsidRPr="008E3606" w:rsidRDefault="00E10BA0" w:rsidP="007E453E">
            <w:pPr>
              <w:widowControl w:val="0"/>
              <w:spacing w:line="247" w:lineRule="auto"/>
              <w:ind w:left="11" w:hanging="11"/>
              <w:jc w:val="center"/>
              <w:rPr>
                <w:sz w:val="24"/>
                <w:lang w:eastAsia="es-CO"/>
              </w:rPr>
            </w:pPr>
            <w:r w:rsidRPr="008E3606">
              <w:rPr>
                <w:sz w:val="24"/>
                <w:lang w:eastAsia="es-CO"/>
              </w:rPr>
              <w:t>5</w:t>
            </w:r>
          </w:p>
        </w:tc>
      </w:tr>
      <w:tr w:rsidR="00E10BA0" w:rsidRPr="008E3606" w14:paraId="41D5E3E4" w14:textId="77777777" w:rsidTr="007E453E">
        <w:trPr>
          <w:trHeight w:val="168"/>
          <w:jc w:val="center"/>
        </w:trPr>
        <w:tc>
          <w:tcPr>
            <w:tcW w:w="1833" w:type="dxa"/>
            <w:tcBorders>
              <w:top w:val="nil"/>
              <w:left w:val="single" w:sz="8" w:space="0" w:color="auto"/>
              <w:bottom w:val="nil"/>
              <w:right w:val="nil"/>
            </w:tcBorders>
            <w:shd w:val="clear" w:color="000000" w:fill="FFFFFF"/>
            <w:noWrap/>
            <w:vAlign w:val="bottom"/>
            <w:hideMark/>
          </w:tcPr>
          <w:p w14:paraId="290958EC" w14:textId="77777777" w:rsidR="00E10BA0" w:rsidRPr="008E3606" w:rsidRDefault="00E10BA0" w:rsidP="007E453E">
            <w:pPr>
              <w:widowControl w:val="0"/>
              <w:spacing w:line="247" w:lineRule="auto"/>
              <w:ind w:left="11" w:hanging="11"/>
              <w:rPr>
                <w:sz w:val="24"/>
                <w:lang w:eastAsia="es-CO"/>
              </w:rPr>
            </w:pPr>
            <w:r w:rsidRPr="008E3606">
              <w:rPr>
                <w:sz w:val="24"/>
                <w:lang w:eastAsia="es-CO"/>
              </w:rPr>
              <w:t xml:space="preserve">Minorista no transaccional </w:t>
            </w:r>
          </w:p>
        </w:tc>
        <w:tc>
          <w:tcPr>
            <w:tcW w:w="1985" w:type="dxa"/>
            <w:tcBorders>
              <w:top w:val="nil"/>
              <w:left w:val="single" w:sz="4" w:space="0" w:color="auto"/>
              <w:bottom w:val="nil"/>
              <w:right w:val="single" w:sz="4" w:space="0" w:color="auto"/>
            </w:tcBorders>
            <w:shd w:val="clear" w:color="000000" w:fill="FFFFFF"/>
            <w:noWrap/>
            <w:vAlign w:val="center"/>
            <w:hideMark/>
          </w:tcPr>
          <w:p w14:paraId="66A519EB" w14:textId="77777777" w:rsidR="00E10BA0" w:rsidRPr="008E3606" w:rsidRDefault="00E10BA0" w:rsidP="007E453E">
            <w:pPr>
              <w:widowControl w:val="0"/>
              <w:spacing w:line="247" w:lineRule="auto"/>
              <w:ind w:left="11" w:hanging="11"/>
              <w:jc w:val="center"/>
              <w:rPr>
                <w:sz w:val="24"/>
                <w:lang w:eastAsia="es-CO"/>
              </w:rPr>
            </w:pPr>
            <w:r w:rsidRPr="008E3606">
              <w:rPr>
                <w:sz w:val="24"/>
                <w:lang w:eastAsia="es-CO"/>
              </w:rPr>
              <w:t>70%</w:t>
            </w:r>
          </w:p>
        </w:tc>
        <w:tc>
          <w:tcPr>
            <w:tcW w:w="2976" w:type="dxa"/>
            <w:tcBorders>
              <w:top w:val="nil"/>
              <w:left w:val="nil"/>
              <w:bottom w:val="nil"/>
              <w:right w:val="single" w:sz="8" w:space="0" w:color="auto"/>
            </w:tcBorders>
            <w:shd w:val="clear" w:color="000000" w:fill="FFFFFF"/>
            <w:noWrap/>
            <w:vAlign w:val="center"/>
            <w:hideMark/>
          </w:tcPr>
          <w:p w14:paraId="66E03173" w14:textId="77777777" w:rsidR="00E10BA0" w:rsidRPr="008E3606" w:rsidRDefault="00E10BA0" w:rsidP="007E453E">
            <w:pPr>
              <w:widowControl w:val="0"/>
              <w:spacing w:line="247" w:lineRule="auto"/>
              <w:ind w:left="11" w:hanging="11"/>
              <w:jc w:val="center"/>
              <w:rPr>
                <w:sz w:val="24"/>
                <w:lang w:eastAsia="es-CO"/>
              </w:rPr>
            </w:pPr>
            <w:r w:rsidRPr="008E3606">
              <w:rPr>
                <w:sz w:val="24"/>
                <w:lang w:eastAsia="es-CO"/>
              </w:rPr>
              <w:t>4.5</w:t>
            </w:r>
          </w:p>
        </w:tc>
      </w:tr>
      <w:tr w:rsidR="00E10BA0" w:rsidRPr="008E3606" w14:paraId="518E310A" w14:textId="77777777" w:rsidTr="007E453E">
        <w:trPr>
          <w:trHeight w:val="176"/>
          <w:jc w:val="center"/>
        </w:trPr>
        <w:tc>
          <w:tcPr>
            <w:tcW w:w="1833" w:type="dxa"/>
            <w:tcBorders>
              <w:top w:val="nil"/>
              <w:left w:val="single" w:sz="8" w:space="0" w:color="auto"/>
              <w:bottom w:val="single" w:sz="8" w:space="0" w:color="auto"/>
              <w:right w:val="nil"/>
            </w:tcBorders>
            <w:shd w:val="clear" w:color="000000" w:fill="FFFFFF"/>
            <w:noWrap/>
            <w:vAlign w:val="bottom"/>
            <w:hideMark/>
          </w:tcPr>
          <w:p w14:paraId="459476DF" w14:textId="77777777" w:rsidR="00E10BA0" w:rsidRPr="008E3606" w:rsidRDefault="00E10BA0" w:rsidP="007E453E">
            <w:pPr>
              <w:widowControl w:val="0"/>
              <w:spacing w:line="247" w:lineRule="auto"/>
              <w:ind w:left="11" w:hanging="11"/>
              <w:rPr>
                <w:sz w:val="24"/>
                <w:lang w:eastAsia="es-CO"/>
              </w:rPr>
            </w:pPr>
            <w:r w:rsidRPr="008E3606">
              <w:rPr>
                <w:sz w:val="24"/>
                <w:lang w:eastAsia="es-CO"/>
              </w:rPr>
              <w:t>Mayorista</w:t>
            </w:r>
          </w:p>
        </w:tc>
        <w:tc>
          <w:tcPr>
            <w:tcW w:w="1985" w:type="dxa"/>
            <w:tcBorders>
              <w:top w:val="nil"/>
              <w:left w:val="single" w:sz="4" w:space="0" w:color="auto"/>
              <w:bottom w:val="single" w:sz="8" w:space="0" w:color="auto"/>
              <w:right w:val="single" w:sz="4" w:space="0" w:color="auto"/>
            </w:tcBorders>
            <w:shd w:val="clear" w:color="000000" w:fill="FFFFFF"/>
            <w:noWrap/>
            <w:vAlign w:val="center"/>
            <w:hideMark/>
          </w:tcPr>
          <w:p w14:paraId="6BA12911" w14:textId="77777777" w:rsidR="00E10BA0" w:rsidRPr="008E3606" w:rsidRDefault="00E10BA0" w:rsidP="007E453E">
            <w:pPr>
              <w:widowControl w:val="0"/>
              <w:spacing w:line="247" w:lineRule="auto"/>
              <w:ind w:left="11" w:hanging="11"/>
              <w:jc w:val="center"/>
              <w:rPr>
                <w:sz w:val="24"/>
                <w:lang w:eastAsia="es-CO"/>
              </w:rPr>
            </w:pPr>
            <w:r w:rsidRPr="008E3606">
              <w:rPr>
                <w:sz w:val="24"/>
                <w:lang w:eastAsia="es-CO"/>
              </w:rPr>
              <w:t>50%</w:t>
            </w:r>
          </w:p>
        </w:tc>
        <w:tc>
          <w:tcPr>
            <w:tcW w:w="2976" w:type="dxa"/>
            <w:tcBorders>
              <w:top w:val="nil"/>
              <w:left w:val="nil"/>
              <w:bottom w:val="single" w:sz="8" w:space="0" w:color="auto"/>
              <w:right w:val="single" w:sz="8" w:space="0" w:color="auto"/>
            </w:tcBorders>
            <w:shd w:val="clear" w:color="000000" w:fill="FFFFFF"/>
            <w:noWrap/>
            <w:vAlign w:val="center"/>
            <w:hideMark/>
          </w:tcPr>
          <w:p w14:paraId="20B16C23" w14:textId="77777777" w:rsidR="00E10BA0" w:rsidRPr="008E3606" w:rsidRDefault="00E10BA0" w:rsidP="007E453E">
            <w:pPr>
              <w:widowControl w:val="0"/>
              <w:spacing w:line="247" w:lineRule="auto"/>
              <w:ind w:left="11" w:hanging="11"/>
              <w:jc w:val="center"/>
              <w:rPr>
                <w:sz w:val="24"/>
                <w:lang w:eastAsia="es-CO"/>
              </w:rPr>
            </w:pPr>
            <w:r w:rsidRPr="008E3606">
              <w:rPr>
                <w:sz w:val="24"/>
                <w:lang w:eastAsia="es-CO"/>
              </w:rPr>
              <w:t>4</w:t>
            </w:r>
          </w:p>
        </w:tc>
      </w:tr>
    </w:tbl>
    <w:p w14:paraId="56FC1A8F" w14:textId="77777777" w:rsidR="00E10BA0" w:rsidRPr="008E3606" w:rsidRDefault="00E10BA0" w:rsidP="00E10BA0">
      <w:pPr>
        <w:widowControl w:val="0"/>
        <w:spacing w:before="240" w:line="240" w:lineRule="auto"/>
        <w:ind w:left="2268"/>
        <w:rPr>
          <w:sz w:val="24"/>
        </w:rPr>
      </w:pPr>
      <w:r w:rsidRPr="008E3606">
        <w:rPr>
          <w:sz w:val="24"/>
        </w:rPr>
        <w:t xml:space="preserve">La entidad debe contar con un procedimiento apropiado de asignación de los flujos de efectivo para cada categoría de los </w:t>
      </w:r>
      <w:r w:rsidRPr="008E3606">
        <w:rPr>
          <w:b/>
          <w:bCs/>
          <w:sz w:val="24"/>
        </w:rPr>
        <w:t>depósitos estables</w:t>
      </w:r>
      <w:r w:rsidRPr="008E3606">
        <w:rPr>
          <w:sz w:val="24"/>
        </w:rPr>
        <w:t>, hasta el vencimiento promedio máximo por categoría, según los parámetros establecidos en la siguiente tabla:</w:t>
      </w:r>
    </w:p>
    <w:p w14:paraId="2093B632" w14:textId="77777777" w:rsidR="00E10BA0" w:rsidRPr="008E3606" w:rsidRDefault="00E10BA0" w:rsidP="00E10BA0">
      <w:pPr>
        <w:widowControl w:val="0"/>
        <w:spacing w:after="240" w:line="240" w:lineRule="auto"/>
        <w:ind w:left="2268"/>
        <w:rPr>
          <w:sz w:val="24"/>
        </w:rPr>
      </w:pPr>
      <w:r w:rsidRPr="008E3606">
        <w:rPr>
          <w:sz w:val="24"/>
        </w:rPr>
        <w:t>ii.1)</w:t>
      </w:r>
      <w:r w:rsidRPr="008E3606">
        <w:rPr>
          <w:sz w:val="24"/>
        </w:rPr>
        <w:tab/>
        <w:t>Depósitos estables</w:t>
      </w:r>
    </w:p>
    <w:p w14:paraId="5DC15243" w14:textId="77777777" w:rsidR="00E10BA0" w:rsidRPr="008E3606" w:rsidRDefault="00E10BA0" w:rsidP="00E10BA0">
      <w:pPr>
        <w:widowControl w:val="0"/>
        <w:spacing w:after="240" w:line="240" w:lineRule="auto"/>
        <w:ind w:left="2268"/>
        <w:rPr>
          <w:sz w:val="24"/>
        </w:rPr>
      </w:pPr>
      <w:r w:rsidRPr="008E3606">
        <w:rPr>
          <w:sz w:val="24"/>
        </w:rPr>
        <w:t>Se debe considerar como depósitos estables bajo el mismo criterio establecido en el Indicador de Financiamiento Neto Estable.</w:t>
      </w:r>
    </w:p>
    <w:tbl>
      <w:tblPr>
        <w:tblStyle w:val="Tablaconcuadrcula"/>
        <w:tblW w:w="0" w:type="auto"/>
        <w:tblInd w:w="10" w:type="dxa"/>
        <w:tblLook w:val="04A0" w:firstRow="1" w:lastRow="0" w:firstColumn="1" w:lastColumn="0" w:noHBand="0" w:noVBand="1"/>
      </w:tblPr>
      <w:tblGrid>
        <w:gridCol w:w="3015"/>
        <w:gridCol w:w="2895"/>
        <w:gridCol w:w="2908"/>
      </w:tblGrid>
      <w:tr w:rsidR="00E10BA0" w:rsidRPr="008E3606" w14:paraId="00AEC182" w14:textId="77777777" w:rsidTr="007E453E">
        <w:tc>
          <w:tcPr>
            <w:tcW w:w="3015" w:type="dxa"/>
            <w:shd w:val="clear" w:color="auto" w:fill="0070C0"/>
            <w:vAlign w:val="center"/>
          </w:tcPr>
          <w:p w14:paraId="5C7DB3B9" w14:textId="77777777" w:rsidR="00E10BA0" w:rsidRPr="008E3606" w:rsidRDefault="00E10BA0" w:rsidP="007E453E">
            <w:pPr>
              <w:widowControl w:val="0"/>
              <w:spacing w:line="240" w:lineRule="auto"/>
              <w:jc w:val="center"/>
              <w:rPr>
                <w:b/>
                <w:bCs/>
                <w:color w:val="FFFFFF" w:themeColor="background1"/>
                <w:sz w:val="24"/>
              </w:rPr>
            </w:pPr>
            <w:r w:rsidRPr="008E3606">
              <w:rPr>
                <w:b/>
                <w:bCs/>
                <w:color w:val="FFFFFF" w:themeColor="background1"/>
                <w:sz w:val="24"/>
              </w:rPr>
              <w:t>Categoría</w:t>
            </w:r>
          </w:p>
        </w:tc>
        <w:tc>
          <w:tcPr>
            <w:tcW w:w="2895" w:type="dxa"/>
            <w:shd w:val="clear" w:color="auto" w:fill="0070C0"/>
            <w:vAlign w:val="center"/>
          </w:tcPr>
          <w:p w14:paraId="5D64A2D0" w14:textId="77777777" w:rsidR="00E10BA0" w:rsidRPr="008E3606" w:rsidRDefault="00E10BA0" w:rsidP="007E453E">
            <w:pPr>
              <w:widowControl w:val="0"/>
              <w:spacing w:line="240" w:lineRule="auto"/>
              <w:jc w:val="center"/>
              <w:rPr>
                <w:b/>
                <w:bCs/>
                <w:color w:val="FFFFFF" w:themeColor="background1"/>
                <w:sz w:val="24"/>
              </w:rPr>
            </w:pPr>
            <w:r w:rsidRPr="008E3606">
              <w:rPr>
                <w:b/>
                <w:bCs/>
                <w:color w:val="FFFFFF" w:themeColor="background1"/>
                <w:sz w:val="24"/>
              </w:rPr>
              <w:t>Límite máximo de proporción estable (%)</w:t>
            </w:r>
          </w:p>
        </w:tc>
        <w:tc>
          <w:tcPr>
            <w:tcW w:w="2908" w:type="dxa"/>
            <w:shd w:val="clear" w:color="auto" w:fill="0070C0"/>
            <w:vAlign w:val="center"/>
          </w:tcPr>
          <w:p w14:paraId="78C6E0E6" w14:textId="77777777" w:rsidR="00E10BA0" w:rsidRPr="008E3606" w:rsidRDefault="00E10BA0" w:rsidP="007E453E">
            <w:pPr>
              <w:widowControl w:val="0"/>
              <w:spacing w:line="240" w:lineRule="auto"/>
              <w:jc w:val="center"/>
              <w:rPr>
                <w:b/>
                <w:bCs/>
                <w:color w:val="FFFFFF" w:themeColor="background1"/>
                <w:sz w:val="24"/>
              </w:rPr>
            </w:pPr>
            <w:r w:rsidRPr="008E3606">
              <w:rPr>
                <w:b/>
                <w:bCs/>
                <w:color w:val="FFFFFF" w:themeColor="background1"/>
                <w:sz w:val="24"/>
              </w:rPr>
              <w:t>Límite máximo de vencimiento (años)</w:t>
            </w:r>
          </w:p>
        </w:tc>
      </w:tr>
      <w:tr w:rsidR="00E10BA0" w:rsidRPr="008E3606" w14:paraId="68D8121B" w14:textId="77777777" w:rsidTr="007E453E">
        <w:tc>
          <w:tcPr>
            <w:tcW w:w="3015" w:type="dxa"/>
          </w:tcPr>
          <w:p w14:paraId="4B4245B5" w14:textId="77777777" w:rsidR="00E10BA0" w:rsidRPr="008E3606" w:rsidRDefault="00E10BA0" w:rsidP="007E453E">
            <w:pPr>
              <w:widowControl w:val="0"/>
              <w:spacing w:line="240" w:lineRule="auto"/>
              <w:rPr>
                <w:b/>
                <w:bCs/>
                <w:sz w:val="24"/>
              </w:rPr>
            </w:pPr>
            <w:r w:rsidRPr="008E3606">
              <w:rPr>
                <w:b/>
                <w:bCs/>
                <w:sz w:val="24"/>
              </w:rPr>
              <w:t xml:space="preserve">Minorista </w:t>
            </w:r>
            <w:r w:rsidRPr="008E3606">
              <w:rPr>
                <w:b/>
                <w:bCs/>
                <w:sz w:val="24"/>
                <w:vertAlign w:val="superscript"/>
              </w:rPr>
              <w:t>1/</w:t>
            </w:r>
            <w:r w:rsidRPr="008E3606">
              <w:rPr>
                <w:b/>
                <w:bCs/>
                <w:sz w:val="24"/>
              </w:rPr>
              <w:t xml:space="preserve"> </w:t>
            </w:r>
          </w:p>
        </w:tc>
        <w:tc>
          <w:tcPr>
            <w:tcW w:w="2895" w:type="dxa"/>
          </w:tcPr>
          <w:p w14:paraId="48791469" w14:textId="77777777" w:rsidR="00E10BA0" w:rsidRPr="008E3606" w:rsidRDefault="00E10BA0" w:rsidP="007E453E">
            <w:pPr>
              <w:widowControl w:val="0"/>
              <w:spacing w:line="240" w:lineRule="auto"/>
              <w:jc w:val="center"/>
              <w:rPr>
                <w:b/>
                <w:bCs/>
                <w:sz w:val="24"/>
              </w:rPr>
            </w:pPr>
          </w:p>
        </w:tc>
        <w:tc>
          <w:tcPr>
            <w:tcW w:w="2908" w:type="dxa"/>
          </w:tcPr>
          <w:p w14:paraId="6810D569" w14:textId="77777777" w:rsidR="00E10BA0" w:rsidRPr="008E3606" w:rsidRDefault="00E10BA0" w:rsidP="007E453E">
            <w:pPr>
              <w:widowControl w:val="0"/>
              <w:spacing w:line="240" w:lineRule="auto"/>
              <w:jc w:val="center"/>
              <w:rPr>
                <w:b/>
                <w:bCs/>
                <w:sz w:val="24"/>
              </w:rPr>
            </w:pPr>
          </w:p>
        </w:tc>
      </w:tr>
      <w:tr w:rsidR="00E10BA0" w:rsidRPr="008E3606" w14:paraId="79F4E201" w14:textId="77777777" w:rsidTr="007E453E">
        <w:tc>
          <w:tcPr>
            <w:tcW w:w="3015" w:type="dxa"/>
          </w:tcPr>
          <w:p w14:paraId="443B8467" w14:textId="77777777" w:rsidR="00E10BA0" w:rsidRPr="008E3606" w:rsidRDefault="00E10BA0" w:rsidP="007E453E">
            <w:pPr>
              <w:widowControl w:val="0"/>
              <w:spacing w:line="240" w:lineRule="auto"/>
              <w:rPr>
                <w:sz w:val="24"/>
              </w:rPr>
            </w:pPr>
            <w:r w:rsidRPr="008E3606">
              <w:rPr>
                <w:sz w:val="24"/>
              </w:rPr>
              <w:tab/>
              <w:t xml:space="preserve">Transaccional </w:t>
            </w:r>
            <w:r w:rsidRPr="008E3606">
              <w:rPr>
                <w:sz w:val="24"/>
                <w:vertAlign w:val="superscript"/>
              </w:rPr>
              <w:t>2/</w:t>
            </w:r>
          </w:p>
        </w:tc>
        <w:tc>
          <w:tcPr>
            <w:tcW w:w="2895" w:type="dxa"/>
          </w:tcPr>
          <w:p w14:paraId="3A534127" w14:textId="77777777" w:rsidR="00E10BA0" w:rsidRPr="008E3606" w:rsidRDefault="00E10BA0" w:rsidP="007E453E">
            <w:pPr>
              <w:widowControl w:val="0"/>
              <w:spacing w:line="240" w:lineRule="auto"/>
              <w:jc w:val="center"/>
              <w:rPr>
                <w:sz w:val="24"/>
              </w:rPr>
            </w:pPr>
            <w:r w:rsidRPr="008E3606">
              <w:rPr>
                <w:sz w:val="24"/>
              </w:rPr>
              <w:t>90%</w:t>
            </w:r>
          </w:p>
        </w:tc>
        <w:tc>
          <w:tcPr>
            <w:tcW w:w="2908" w:type="dxa"/>
          </w:tcPr>
          <w:p w14:paraId="26F757ED" w14:textId="77777777" w:rsidR="00E10BA0" w:rsidRPr="008E3606" w:rsidRDefault="00E10BA0" w:rsidP="007E453E">
            <w:pPr>
              <w:widowControl w:val="0"/>
              <w:spacing w:line="240" w:lineRule="auto"/>
              <w:jc w:val="center"/>
              <w:rPr>
                <w:sz w:val="24"/>
              </w:rPr>
            </w:pPr>
            <w:r w:rsidRPr="008E3606">
              <w:rPr>
                <w:sz w:val="24"/>
              </w:rPr>
              <w:t>5</w:t>
            </w:r>
          </w:p>
        </w:tc>
      </w:tr>
      <w:tr w:rsidR="00E10BA0" w:rsidRPr="008E3606" w14:paraId="6B3AABB8" w14:textId="77777777" w:rsidTr="007E453E">
        <w:tc>
          <w:tcPr>
            <w:tcW w:w="3015" w:type="dxa"/>
          </w:tcPr>
          <w:p w14:paraId="428F486F" w14:textId="77777777" w:rsidR="00E10BA0" w:rsidRPr="008E3606" w:rsidRDefault="00E10BA0" w:rsidP="007E453E">
            <w:pPr>
              <w:widowControl w:val="0"/>
              <w:spacing w:line="240" w:lineRule="auto"/>
              <w:rPr>
                <w:sz w:val="24"/>
              </w:rPr>
            </w:pPr>
            <w:r w:rsidRPr="008E3606">
              <w:rPr>
                <w:sz w:val="24"/>
              </w:rPr>
              <w:tab/>
              <w:t>No transaccional</w:t>
            </w:r>
          </w:p>
        </w:tc>
        <w:tc>
          <w:tcPr>
            <w:tcW w:w="2895" w:type="dxa"/>
          </w:tcPr>
          <w:p w14:paraId="0DDA9EC6" w14:textId="77777777" w:rsidR="00E10BA0" w:rsidRPr="008E3606" w:rsidRDefault="00E10BA0" w:rsidP="007E453E">
            <w:pPr>
              <w:widowControl w:val="0"/>
              <w:spacing w:line="240" w:lineRule="auto"/>
              <w:jc w:val="center"/>
              <w:rPr>
                <w:sz w:val="24"/>
              </w:rPr>
            </w:pPr>
            <w:r w:rsidRPr="008E3606">
              <w:rPr>
                <w:sz w:val="24"/>
              </w:rPr>
              <w:t>70%</w:t>
            </w:r>
          </w:p>
        </w:tc>
        <w:tc>
          <w:tcPr>
            <w:tcW w:w="2908" w:type="dxa"/>
          </w:tcPr>
          <w:p w14:paraId="1709BA3E" w14:textId="77777777" w:rsidR="00E10BA0" w:rsidRPr="008E3606" w:rsidRDefault="00E10BA0" w:rsidP="007E453E">
            <w:pPr>
              <w:widowControl w:val="0"/>
              <w:spacing w:line="240" w:lineRule="auto"/>
              <w:jc w:val="center"/>
              <w:rPr>
                <w:sz w:val="24"/>
              </w:rPr>
            </w:pPr>
            <w:r w:rsidRPr="008E3606">
              <w:rPr>
                <w:sz w:val="24"/>
              </w:rPr>
              <w:t>4.5</w:t>
            </w:r>
          </w:p>
        </w:tc>
      </w:tr>
      <w:tr w:rsidR="00E10BA0" w:rsidRPr="008E3606" w14:paraId="4F8B253A" w14:textId="77777777" w:rsidTr="007E453E">
        <w:tc>
          <w:tcPr>
            <w:tcW w:w="3015" w:type="dxa"/>
          </w:tcPr>
          <w:p w14:paraId="44DAB1D2" w14:textId="77777777" w:rsidR="00E10BA0" w:rsidRPr="008E3606" w:rsidRDefault="00E10BA0" w:rsidP="007E453E">
            <w:pPr>
              <w:widowControl w:val="0"/>
              <w:spacing w:line="240" w:lineRule="auto"/>
              <w:rPr>
                <w:b/>
                <w:bCs/>
                <w:sz w:val="24"/>
              </w:rPr>
            </w:pPr>
            <w:r w:rsidRPr="008E3606">
              <w:rPr>
                <w:b/>
                <w:bCs/>
                <w:sz w:val="24"/>
              </w:rPr>
              <w:t>Mayorista</w:t>
            </w:r>
          </w:p>
        </w:tc>
        <w:tc>
          <w:tcPr>
            <w:tcW w:w="2895" w:type="dxa"/>
          </w:tcPr>
          <w:p w14:paraId="14E4A86C" w14:textId="77777777" w:rsidR="00E10BA0" w:rsidRPr="008E3606" w:rsidRDefault="00E10BA0" w:rsidP="007E453E">
            <w:pPr>
              <w:widowControl w:val="0"/>
              <w:spacing w:line="240" w:lineRule="auto"/>
              <w:jc w:val="center"/>
              <w:rPr>
                <w:b/>
                <w:bCs/>
                <w:sz w:val="24"/>
              </w:rPr>
            </w:pPr>
            <w:r w:rsidRPr="008E3606">
              <w:rPr>
                <w:b/>
                <w:bCs/>
                <w:sz w:val="24"/>
              </w:rPr>
              <w:t>50%</w:t>
            </w:r>
          </w:p>
        </w:tc>
        <w:tc>
          <w:tcPr>
            <w:tcW w:w="2908" w:type="dxa"/>
          </w:tcPr>
          <w:p w14:paraId="231DF6A0" w14:textId="77777777" w:rsidR="00E10BA0" w:rsidRPr="008E3606" w:rsidRDefault="00E10BA0" w:rsidP="007E453E">
            <w:pPr>
              <w:widowControl w:val="0"/>
              <w:spacing w:line="240" w:lineRule="auto"/>
              <w:jc w:val="center"/>
              <w:rPr>
                <w:b/>
                <w:bCs/>
                <w:sz w:val="24"/>
              </w:rPr>
            </w:pPr>
            <w:r w:rsidRPr="008E3606">
              <w:rPr>
                <w:b/>
                <w:bCs/>
                <w:sz w:val="24"/>
              </w:rPr>
              <w:t>4</w:t>
            </w:r>
          </w:p>
        </w:tc>
      </w:tr>
    </w:tbl>
    <w:p w14:paraId="281FF864" w14:textId="77777777" w:rsidR="00E10BA0" w:rsidRPr="008E3606" w:rsidRDefault="00E10BA0" w:rsidP="00E10BA0">
      <w:pPr>
        <w:widowControl w:val="0"/>
        <w:spacing w:after="240" w:line="240" w:lineRule="auto"/>
        <w:rPr>
          <w:sz w:val="24"/>
        </w:rPr>
      </w:pPr>
      <w:r w:rsidRPr="008E3606">
        <w:rPr>
          <w:sz w:val="24"/>
        </w:rPr>
        <w:t xml:space="preserve">1/ Los depósitos minoristas corresponden a los realizados por personas físicas. Esta definición debe ser consistente con la utilizada en el Acuerdo SUGEF 17-13. También se asigna el mismo tratamiento que minoristas a los depósitos de MIPyMEs. </w:t>
      </w:r>
    </w:p>
    <w:p w14:paraId="6D88D164" w14:textId="77777777" w:rsidR="00E10BA0" w:rsidRPr="008E3606" w:rsidRDefault="00E10BA0" w:rsidP="00E10BA0">
      <w:pPr>
        <w:widowControl w:val="0"/>
        <w:spacing w:after="240" w:line="240" w:lineRule="auto"/>
        <w:rPr>
          <w:sz w:val="24"/>
        </w:rPr>
      </w:pPr>
      <w:r w:rsidRPr="008E3606">
        <w:rPr>
          <w:sz w:val="24"/>
        </w:rPr>
        <w:t>2/ Se consideran depósitos minoristas mantenidos en una cuenta transaccional cuando en dicha cuenta se realicen regularmente operaciones (por ejemplo, cuando se abonen regularmente salarios) o cuando el depósito no devengue intereses.</w:t>
      </w:r>
    </w:p>
    <w:p w14:paraId="34D5EAF5" w14:textId="77777777" w:rsidR="00E10BA0" w:rsidRPr="008E3606" w:rsidRDefault="00E10BA0" w:rsidP="00E10BA0">
      <w:pPr>
        <w:widowControl w:val="0"/>
        <w:spacing w:after="240" w:line="240" w:lineRule="auto"/>
        <w:ind w:left="2258"/>
        <w:rPr>
          <w:b/>
          <w:bCs/>
          <w:color w:val="4472C4" w:themeColor="accent1"/>
          <w:sz w:val="24"/>
          <w:u w:val="single"/>
        </w:rPr>
      </w:pPr>
      <w:r w:rsidRPr="008E3606">
        <w:rPr>
          <w:b/>
          <w:bCs/>
          <w:color w:val="4472C4" w:themeColor="accent1"/>
          <w:sz w:val="24"/>
          <w:u w:val="single"/>
        </w:rPr>
        <w:t xml:space="preserve">Tratamiento de posiciones con opciones conductuales distintas de NMD </w:t>
      </w:r>
    </w:p>
    <w:p w14:paraId="0DA375C6" w14:textId="77777777" w:rsidR="00E10BA0" w:rsidRPr="008E3606" w:rsidRDefault="00E10BA0" w:rsidP="00E10BA0">
      <w:pPr>
        <w:widowControl w:val="0"/>
        <w:spacing w:after="240" w:line="240" w:lineRule="auto"/>
        <w:ind w:left="2268"/>
        <w:rPr>
          <w:sz w:val="24"/>
          <w:u w:val="single"/>
        </w:rPr>
      </w:pPr>
      <w:r w:rsidRPr="008E3606">
        <w:rPr>
          <w:sz w:val="24"/>
          <w:u w:val="single"/>
        </w:rPr>
        <w:t xml:space="preserve">Préstamos a interés fijo sujetos a riesgo de amortización anticipada </w:t>
      </w:r>
    </w:p>
    <w:p w14:paraId="52E9EC51" w14:textId="77777777" w:rsidR="00E10BA0" w:rsidRPr="008E3606" w:rsidRDefault="00E10BA0" w:rsidP="00E10BA0">
      <w:pPr>
        <w:widowControl w:val="0"/>
        <w:spacing w:after="240"/>
        <w:ind w:left="2268"/>
        <w:rPr>
          <w:sz w:val="24"/>
        </w:rPr>
      </w:pPr>
      <w:r w:rsidRPr="008E3606">
        <w:rPr>
          <w:sz w:val="24"/>
        </w:rPr>
        <w:t xml:space="preserve">La entidad debe realizar la estimación de la Tasa de Prepago Condicional de referencia para cada cartera </w:t>
      </w:r>
      <m:oMath>
        <m:r>
          <w:rPr>
            <w:rFonts w:ascii="Cambria Math" w:hAnsi="Cambria Math"/>
            <w:sz w:val="24"/>
          </w:rPr>
          <m:t>p</m:t>
        </m:r>
      </m:oMath>
      <w:r w:rsidRPr="008E3606">
        <w:rPr>
          <w:sz w:val="24"/>
        </w:rPr>
        <w:t xml:space="preserve"> de los productos crediticios homogéneos expuestos a prepago y denominados en la moneda </w:t>
      </w:r>
      <m:oMath>
        <m:r>
          <w:rPr>
            <w:rFonts w:ascii="Cambria Math" w:hAnsi="Cambria Math"/>
            <w:sz w:val="24"/>
          </w:rPr>
          <m:t>c</m:t>
        </m:r>
      </m:oMath>
      <w:r w:rsidRPr="008E3606">
        <w:rPr>
          <w:sz w:val="24"/>
        </w:rPr>
        <w:t>, basada en una observación histórica que sea consistente en el tiempo. La tasa de prepago debe reflejar los pagos anticipados anuales esperados y se utiliza para distribuir los flujos de efectivo a lo largo de las bandas de tiempo.</w:t>
      </w:r>
    </w:p>
    <w:p w14:paraId="731BD2E3" w14:textId="77777777" w:rsidR="00E10BA0" w:rsidRPr="008E3606" w:rsidRDefault="00E10BA0" w:rsidP="00E10BA0">
      <w:pPr>
        <w:widowControl w:val="0"/>
        <w:spacing w:after="240"/>
        <w:ind w:left="2268"/>
        <w:rPr>
          <w:sz w:val="24"/>
        </w:rPr>
      </w:pPr>
      <w:r w:rsidRPr="008E3606">
        <w:rPr>
          <w:sz w:val="24"/>
        </w:rPr>
        <w:t>La Tasa de Prepago Condicional</w:t>
      </w:r>
      <w:r w:rsidRPr="008E3606">
        <w:rPr>
          <w:rFonts w:eastAsiaTheme="minorEastAsia"/>
          <w:sz w:val="24"/>
        </w:rPr>
        <w:t xml:space="preserve"> </w:t>
      </w:r>
      <m:oMath>
        <m:sSubSup>
          <m:sSubSupPr>
            <m:ctrlPr>
              <w:rPr>
                <w:rFonts w:ascii="Cambria Math" w:hAnsi="Cambria Math"/>
                <w:i/>
                <w:sz w:val="24"/>
              </w:rPr>
            </m:ctrlPr>
          </m:sSubSupPr>
          <m:e>
            <m:r>
              <w:rPr>
                <w:rFonts w:ascii="Cambria Math" w:hAnsi="Cambria Math"/>
                <w:sz w:val="24"/>
              </w:rPr>
              <m:t>TPC</m:t>
            </m:r>
          </m:e>
          <m:sub>
            <m:r>
              <w:rPr>
                <w:rFonts w:ascii="Cambria Math" w:hAnsi="Cambria Math"/>
                <w:sz w:val="24"/>
              </w:rPr>
              <m:t xml:space="preserve">i,c </m:t>
            </m:r>
          </m:sub>
          <m:sup>
            <m:r>
              <w:rPr>
                <w:rFonts w:ascii="Cambria Math" w:hAnsi="Cambria Math"/>
                <w:sz w:val="24"/>
              </w:rPr>
              <m:t>p</m:t>
            </m:r>
          </m:sup>
        </m:sSubSup>
      </m:oMath>
      <w:r w:rsidRPr="008E3606">
        <w:rPr>
          <w:sz w:val="24"/>
        </w:rPr>
        <w:t xml:space="preserve"> para cada cartera de productos crediticios homogéneos expuestos al pago anticipado denominados en la moneda </w:t>
      </w:r>
      <m:oMath>
        <m:r>
          <w:rPr>
            <w:rFonts w:ascii="Cambria Math" w:hAnsi="Cambria Math"/>
            <w:sz w:val="24"/>
          </w:rPr>
          <m:t>c</m:t>
        </m:r>
      </m:oMath>
      <w:r w:rsidRPr="008E3606">
        <w:rPr>
          <w:sz w:val="24"/>
        </w:rPr>
        <w:t>, en el escenario de tasa de interés</w:t>
      </w:r>
      <m:oMath>
        <m:r>
          <w:rPr>
            <w:rFonts w:ascii="Cambria Math" w:hAnsi="Cambria Math"/>
            <w:sz w:val="24"/>
          </w:rPr>
          <m:t xml:space="preserve"> i</m:t>
        </m:r>
      </m:oMath>
      <w:r w:rsidRPr="008E3606">
        <w:rPr>
          <w:sz w:val="24"/>
        </w:rPr>
        <w:t>, se determina utilizando la siguiente fórmula:</w:t>
      </w:r>
    </w:p>
    <w:p w14:paraId="0D764B26" w14:textId="77777777" w:rsidR="00E10BA0" w:rsidRPr="008E3606" w:rsidRDefault="00C04686" w:rsidP="00E10BA0">
      <w:pPr>
        <w:widowControl w:val="0"/>
        <w:spacing w:after="240"/>
        <w:ind w:left="2268"/>
        <w:rPr>
          <w:rFonts w:eastAsiaTheme="minorEastAsia"/>
          <w:sz w:val="24"/>
        </w:rPr>
      </w:pPr>
      <m:oMathPara>
        <m:oMath>
          <m:sSubSup>
            <m:sSubSupPr>
              <m:ctrlPr>
                <w:rPr>
                  <w:rFonts w:ascii="Cambria Math" w:hAnsi="Cambria Math"/>
                  <w:sz w:val="24"/>
                </w:rPr>
              </m:ctrlPr>
            </m:sSubSupPr>
            <m:e>
              <m:r>
                <w:rPr>
                  <w:rFonts w:ascii="Cambria Math" w:hAnsi="Cambria Math"/>
                  <w:sz w:val="24"/>
                </w:rPr>
                <m:t>TPC</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r>
            <m:rPr>
              <m:sty m:val="p"/>
            </m:rPr>
            <w:rPr>
              <w:rFonts w:ascii="Cambria Math" w:hAnsi="Cambria Math"/>
              <w:sz w:val="24"/>
            </w:rPr>
            <m:t>=</m:t>
          </m:r>
          <m:func>
            <m:funcPr>
              <m:ctrlPr>
                <w:rPr>
                  <w:rFonts w:ascii="Cambria Math" w:hAnsi="Cambria Math"/>
                  <w:sz w:val="24"/>
                </w:rPr>
              </m:ctrlPr>
            </m:funcPr>
            <m:fName>
              <m:r>
                <m:rPr>
                  <m:sty m:val="p"/>
                </m:rPr>
                <w:rPr>
                  <w:rFonts w:ascii="Cambria Math" w:hAnsi="Cambria Math"/>
                  <w:sz w:val="24"/>
                </w:rPr>
                <m:t>min</m:t>
              </m:r>
            </m:fName>
            <m:e>
              <m:r>
                <m:rPr>
                  <m:sty m:val="p"/>
                </m:rPr>
                <w:rPr>
                  <w:rFonts w:ascii="Cambria Math" w:hAnsi="Cambria Math"/>
                  <w:sz w:val="24"/>
                </w:rPr>
                <m:t xml:space="preserve">(1, </m:t>
              </m:r>
              <m:sSub>
                <m:sSubPr>
                  <m:ctrlPr>
                    <w:rPr>
                      <w:rFonts w:ascii="Cambria Math" w:hAnsi="Cambria Math"/>
                      <w:sz w:val="24"/>
                    </w:rPr>
                  </m:ctrlPr>
                </m:sSubPr>
                <m:e>
                  <m:r>
                    <w:rPr>
                      <w:rFonts w:ascii="Cambria Math" w:hAnsi="Cambria Math"/>
                      <w:sz w:val="24"/>
                    </w:rPr>
                    <m:t>γ</m:t>
                  </m:r>
                </m:e>
                <m:sub>
                  <m:r>
                    <w:rPr>
                      <w:rFonts w:ascii="Cambria Math" w:hAnsi="Cambria Math"/>
                      <w:sz w:val="24"/>
                    </w:rPr>
                    <m:t>i</m:t>
                  </m:r>
                </m:sub>
              </m:sSub>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TPC</m:t>
                  </m:r>
                </m:e>
                <m:sub>
                  <m:r>
                    <m:rPr>
                      <m:sty m:val="p"/>
                    </m:rPr>
                    <w:rPr>
                      <w:rFonts w:ascii="Cambria Math" w:hAnsi="Cambria Math"/>
                      <w:sz w:val="24"/>
                    </w:rPr>
                    <m:t>0,</m:t>
                  </m:r>
                  <m:r>
                    <w:rPr>
                      <w:rFonts w:ascii="Cambria Math" w:hAnsi="Cambria Math"/>
                      <w:sz w:val="24"/>
                    </w:rPr>
                    <m:t>c</m:t>
                  </m:r>
                  <m:r>
                    <m:rPr>
                      <m:sty m:val="p"/>
                    </m:rPr>
                    <w:rPr>
                      <w:rFonts w:ascii="Cambria Math" w:hAnsi="Cambria Math"/>
                      <w:sz w:val="24"/>
                    </w:rPr>
                    <m:t xml:space="preserve"> </m:t>
                  </m:r>
                </m:sub>
                <m:sup>
                  <m:r>
                    <w:rPr>
                      <w:rFonts w:ascii="Cambria Math" w:hAnsi="Cambria Math"/>
                      <w:sz w:val="24"/>
                    </w:rPr>
                    <m:t>p</m:t>
                  </m:r>
                </m:sup>
              </m:sSubSup>
              <m:r>
                <m:rPr>
                  <m:sty m:val="p"/>
                </m:rPr>
                <w:rPr>
                  <w:rFonts w:ascii="Cambria Math" w:hAnsi="Cambria Math"/>
                  <w:sz w:val="24"/>
                </w:rPr>
                <m:t xml:space="preserve"> )</m:t>
              </m:r>
            </m:e>
          </m:func>
        </m:oMath>
      </m:oMathPara>
    </w:p>
    <w:p w14:paraId="0E2DADE0" w14:textId="77777777" w:rsidR="00E10BA0" w:rsidRPr="008E3606" w:rsidRDefault="00E10BA0" w:rsidP="00E10BA0">
      <w:pPr>
        <w:widowControl w:val="0"/>
        <w:spacing w:after="240"/>
        <w:ind w:left="2268"/>
        <w:rPr>
          <w:sz w:val="24"/>
        </w:rPr>
      </w:pPr>
      <w:r w:rsidRPr="008E3606">
        <w:rPr>
          <w:sz w:val="24"/>
        </w:rPr>
        <w:t xml:space="preserve">Donde </w:t>
      </w:r>
      <m:oMath>
        <m:sSubSup>
          <m:sSubSupPr>
            <m:ctrlPr>
              <w:rPr>
                <w:rFonts w:ascii="Cambria Math" w:hAnsi="Cambria Math"/>
                <w:i/>
                <w:sz w:val="24"/>
              </w:rPr>
            </m:ctrlPr>
          </m:sSubSupPr>
          <m:e>
            <m:r>
              <w:rPr>
                <w:rFonts w:ascii="Cambria Math" w:hAnsi="Cambria Math"/>
                <w:sz w:val="24"/>
              </w:rPr>
              <m:t>TPC</m:t>
            </m:r>
          </m:e>
          <m:sub>
            <m:r>
              <w:rPr>
                <w:rFonts w:ascii="Cambria Math" w:hAnsi="Cambria Math"/>
                <w:sz w:val="24"/>
              </w:rPr>
              <m:t xml:space="preserve">0,c </m:t>
            </m:r>
          </m:sub>
          <m:sup>
            <m:r>
              <w:rPr>
                <w:rFonts w:ascii="Cambria Math" w:hAnsi="Cambria Math"/>
                <w:sz w:val="24"/>
              </w:rPr>
              <m:t>p</m:t>
            </m:r>
          </m:sup>
        </m:sSubSup>
        <m:r>
          <w:rPr>
            <w:rFonts w:ascii="Cambria Math" w:hAnsi="Cambria Math"/>
            <w:sz w:val="24"/>
          </w:rPr>
          <m:t xml:space="preserve"> </m:t>
        </m:r>
      </m:oMath>
      <w:r w:rsidRPr="008E3606">
        <w:rPr>
          <w:rFonts w:eastAsiaTheme="minorEastAsia"/>
          <w:sz w:val="24"/>
        </w:rPr>
        <w:t xml:space="preserve">es la tasa de prepago condicional </w:t>
      </w:r>
      <w:r w:rsidRPr="008E3606">
        <w:rPr>
          <w:sz w:val="24"/>
        </w:rPr>
        <w:t xml:space="preserve">base de una cartera </w:t>
      </w:r>
      <m:oMath>
        <m:r>
          <w:rPr>
            <w:rFonts w:ascii="Cambria Math" w:hAnsi="Cambria Math"/>
            <w:sz w:val="24"/>
          </w:rPr>
          <m:t>p</m:t>
        </m:r>
      </m:oMath>
      <w:r w:rsidRPr="008E3606">
        <w:rPr>
          <w:sz w:val="24"/>
        </w:rPr>
        <w:t xml:space="preserve"> de prepago homogéneo, en la moneda </w:t>
      </w:r>
      <m:oMath>
        <m:r>
          <w:rPr>
            <w:rFonts w:ascii="Cambria Math" w:hAnsi="Cambria Math"/>
            <w:sz w:val="24"/>
          </w:rPr>
          <m:t>c</m:t>
        </m:r>
      </m:oMath>
      <w:r w:rsidRPr="008E3606">
        <w:rPr>
          <w:sz w:val="24"/>
        </w:rPr>
        <w:t xml:space="preserve"> y dada la estructura vigente de plazos de las tasas de interés.</w:t>
      </w:r>
    </w:p>
    <w:p w14:paraId="09741F47" w14:textId="77777777" w:rsidR="00E10BA0" w:rsidRPr="008E3606" w:rsidRDefault="00C04686" w:rsidP="00E10BA0">
      <w:pPr>
        <w:widowControl w:val="0"/>
        <w:spacing w:after="240"/>
        <w:ind w:left="2268"/>
        <w:rPr>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i</m:t>
            </m:r>
          </m:sub>
        </m:sSub>
      </m:oMath>
      <w:r w:rsidR="00E10BA0" w:rsidRPr="008E3606">
        <w:rPr>
          <w:sz w:val="24"/>
        </w:rPr>
        <w:t xml:space="preserve"> es el ponderador del escenario </w:t>
      </w:r>
      <m:oMath>
        <m:r>
          <w:rPr>
            <w:rFonts w:ascii="Cambria Math" w:hAnsi="Cambria Math"/>
            <w:sz w:val="24"/>
          </w:rPr>
          <m:t>i</m:t>
        </m:r>
      </m:oMath>
      <w:r w:rsidR="00E10BA0" w:rsidRPr="008E3606">
        <w:rPr>
          <w:sz w:val="24"/>
        </w:rPr>
        <w:t>, que toma dos valores:</w:t>
      </w:r>
    </w:p>
    <w:p w14:paraId="46E0A369" w14:textId="77777777" w:rsidR="00E10BA0" w:rsidRPr="008E3606" w:rsidRDefault="00C04686" w:rsidP="00B21E78">
      <w:pPr>
        <w:pStyle w:val="Prrafodelista"/>
        <w:widowControl w:val="0"/>
        <w:numPr>
          <w:ilvl w:val="0"/>
          <w:numId w:val="45"/>
        </w:numPr>
        <w:spacing w:after="240" w:line="240" w:lineRule="auto"/>
        <w:ind w:left="2268" w:hanging="10"/>
        <w:contextualSpacing w:val="0"/>
        <w:rPr>
          <w:rFonts w:ascii="Cambria" w:hAnsi="Cambria"/>
          <w:szCs w:val="24"/>
        </w:rPr>
      </w:pPr>
      <m:oMath>
        <m:sSub>
          <m:sSubPr>
            <m:ctrlPr>
              <w:rPr>
                <w:rFonts w:ascii="Cambria Math" w:hAnsi="Cambria Math"/>
                <w:szCs w:val="24"/>
              </w:rPr>
            </m:ctrlPr>
          </m:sSubPr>
          <m:e>
            <m:r>
              <w:rPr>
                <w:rFonts w:ascii="Cambria Math" w:hAnsi="Cambria Math"/>
                <w:szCs w:val="24"/>
              </w:rPr>
              <m:t>γ</m:t>
            </m:r>
          </m:e>
          <m:sub>
            <m:r>
              <w:rPr>
                <w:rFonts w:ascii="Cambria Math" w:hAnsi="Cambria Math"/>
                <w:szCs w:val="24"/>
              </w:rPr>
              <m:t>i</m:t>
            </m:r>
          </m:sub>
        </m:sSub>
      </m:oMath>
      <w:r w:rsidR="00E10BA0" w:rsidRPr="008E3606">
        <w:rPr>
          <w:rFonts w:ascii="Cambria" w:hAnsi="Cambria"/>
          <w:szCs w:val="24"/>
        </w:rPr>
        <w:t xml:space="preserve"> = 0.8 para los escenarios 1, 3 y 5 (paralelo al alza, inclinación y subida de tasas en el corto plazo)</w:t>
      </w:r>
    </w:p>
    <w:p w14:paraId="32E9CAF6" w14:textId="77777777" w:rsidR="00E10BA0" w:rsidRPr="008E3606" w:rsidRDefault="00C04686" w:rsidP="00B21E78">
      <w:pPr>
        <w:pStyle w:val="Prrafodelista"/>
        <w:widowControl w:val="0"/>
        <w:numPr>
          <w:ilvl w:val="0"/>
          <w:numId w:val="45"/>
        </w:numPr>
        <w:spacing w:after="240" w:line="240" w:lineRule="auto"/>
        <w:ind w:left="2268" w:hanging="10"/>
        <w:contextualSpacing w:val="0"/>
        <w:rPr>
          <w:rFonts w:ascii="Cambria" w:hAnsi="Cambria"/>
          <w:szCs w:val="24"/>
        </w:rPr>
      </w:pPr>
      <m:oMath>
        <m:sSub>
          <m:sSubPr>
            <m:ctrlPr>
              <w:rPr>
                <w:rFonts w:ascii="Cambria Math" w:hAnsi="Cambria Math"/>
                <w:szCs w:val="24"/>
              </w:rPr>
            </m:ctrlPr>
          </m:sSubPr>
          <m:e>
            <m:r>
              <w:rPr>
                <w:rFonts w:ascii="Cambria Math" w:hAnsi="Cambria Math"/>
                <w:szCs w:val="24"/>
              </w:rPr>
              <m:t>γ</m:t>
            </m:r>
          </m:e>
          <m:sub>
            <m:r>
              <w:rPr>
                <w:rFonts w:ascii="Cambria Math" w:hAnsi="Cambria Math"/>
                <w:szCs w:val="24"/>
              </w:rPr>
              <m:t>i</m:t>
            </m:r>
          </m:sub>
        </m:sSub>
      </m:oMath>
      <w:r w:rsidR="00E10BA0" w:rsidRPr="008E3606">
        <w:rPr>
          <w:rFonts w:ascii="Cambria" w:hAnsi="Cambria"/>
          <w:szCs w:val="24"/>
        </w:rPr>
        <w:t xml:space="preserve"> = 1.2 para los escenarios 2, 4 y 6 (paralelo a la baja, aplanamiento y una baja de tasas en el corto plazo)</w:t>
      </w:r>
    </w:p>
    <w:p w14:paraId="4E1C14B6" w14:textId="77777777" w:rsidR="00E10BA0" w:rsidRPr="008E3606" w:rsidRDefault="00E10BA0" w:rsidP="00E10BA0">
      <w:pPr>
        <w:widowControl w:val="0"/>
        <w:spacing w:after="240"/>
        <w:ind w:left="2268"/>
        <w:rPr>
          <w:rFonts w:eastAsiaTheme="minorEastAsia"/>
          <w:sz w:val="24"/>
        </w:rPr>
      </w:pPr>
      <w:r w:rsidRPr="008E3606">
        <w:rPr>
          <w:sz w:val="24"/>
        </w:rPr>
        <w:t xml:space="preserve">Los pagos anticipados de los préstamos a tasa fija deben reflejarse en los flujos de efectivo correspondientes (pagos programados de los préstamos, pagos anticipados y pagos de intereses). El flujo de caja para la banda de tiempo </w:t>
      </w:r>
      <m:oMath>
        <m:sSub>
          <m:sSubPr>
            <m:ctrlPr>
              <w:rPr>
                <w:rFonts w:ascii="Cambria Math" w:hAnsi="Cambria Math"/>
                <w:sz w:val="24"/>
              </w:rPr>
            </m:ctrlPr>
          </m:sSubPr>
          <m:e>
            <m:r>
              <w:rPr>
                <w:rFonts w:ascii="Cambria Math" w:hAnsi="Cambria Math"/>
                <w:sz w:val="24"/>
              </w:rPr>
              <m:t>t</m:t>
            </m:r>
          </m:e>
          <m:sub>
            <m:r>
              <w:rPr>
                <w:rFonts w:ascii="Cambria Math" w:hAnsi="Cambria Math"/>
                <w:sz w:val="24"/>
              </w:rPr>
              <m:t>k</m:t>
            </m:r>
          </m:sub>
        </m:sSub>
      </m:oMath>
      <w:r w:rsidRPr="008E3606">
        <w:rPr>
          <w:rFonts w:eastAsiaTheme="minorEastAsia"/>
          <w:sz w:val="24"/>
        </w:rPr>
        <w:t xml:space="preserve"> es la suma de los siguientes dos componentes:</w:t>
      </w:r>
    </w:p>
    <w:p w14:paraId="26535FB0" w14:textId="77777777" w:rsidR="00E10BA0" w:rsidRPr="008E3606" w:rsidRDefault="00C04686" w:rsidP="00E10BA0">
      <w:pPr>
        <w:widowControl w:val="0"/>
        <w:spacing w:after="240"/>
        <w:ind w:left="2268"/>
        <w:rPr>
          <w:rFonts w:eastAsiaTheme="minorEastAsia"/>
          <w:sz w:val="24"/>
        </w:rPr>
      </w:pPr>
      <m:oMathPara>
        <m:oMath>
          <m:sSubSup>
            <m:sSubSupPr>
              <m:ctrlPr>
                <w:rPr>
                  <w:rFonts w:ascii="Cambria Math" w:hAnsi="Cambria Math"/>
                  <w:sz w:val="24"/>
                </w:rPr>
              </m:ctrlPr>
            </m:sSubSupPr>
            <m:e>
              <m:r>
                <w:rPr>
                  <w:rFonts w:ascii="Cambria Math" w:hAnsi="Cambria Math"/>
                  <w:sz w:val="24"/>
                </w:rPr>
                <m:t>FC</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t</m:t>
                  </m:r>
                </m:e>
                <m:sub>
                  <m:r>
                    <w:rPr>
                      <w:rFonts w:ascii="Cambria Math" w:hAnsi="Cambria Math"/>
                      <w:sz w:val="24"/>
                    </w:rPr>
                    <m:t>k</m:t>
                  </m:r>
                </m:sub>
              </m:sSub>
            </m:e>
          </m:d>
          <m:r>
            <m:rPr>
              <m:sty m:val="p"/>
            </m:rPr>
            <w:rPr>
              <w:rFonts w:ascii="Cambria Math" w:hAnsi="Cambria Math"/>
              <w:sz w:val="24"/>
            </w:rPr>
            <m:t xml:space="preserve">= </m:t>
          </m:r>
          <m:sSubSup>
            <m:sSubSupPr>
              <m:ctrlPr>
                <w:rPr>
                  <w:rFonts w:ascii="Cambria Math" w:hAnsi="Cambria Math"/>
                  <w:sz w:val="24"/>
                </w:rPr>
              </m:ctrlPr>
            </m:sSubSupPr>
            <m:e>
              <m:r>
                <w:rPr>
                  <w:rFonts w:ascii="Cambria Math" w:hAnsi="Cambria Math"/>
                  <w:sz w:val="24"/>
                </w:rPr>
                <m:t>FC</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m:rPr>
                  <m:sty m:val="p"/>
                </m:rPr>
                <w:rPr>
                  <w:rFonts w:ascii="Cambria Math" w:hAnsi="Cambria Math"/>
                  <w:sz w:val="24"/>
                </w:rPr>
                <m:t>1</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t</m:t>
                  </m:r>
                </m:e>
                <m:sub>
                  <m:r>
                    <w:rPr>
                      <w:rFonts w:ascii="Cambria Math" w:hAnsi="Cambria Math"/>
                      <w:sz w:val="24"/>
                    </w:rPr>
                    <m:t>k</m:t>
                  </m:r>
                </m:sub>
              </m:sSub>
            </m:e>
          </m:d>
          <m:r>
            <m:rPr>
              <m:sty m:val="p"/>
            </m:rPr>
            <w:rPr>
              <w:rFonts w:ascii="Cambria Math" w:hAnsi="Cambria Math"/>
              <w:sz w:val="24"/>
            </w:rPr>
            <m:t xml:space="preserve">+ </m:t>
          </m:r>
          <m:sSubSup>
            <m:sSubSupPr>
              <m:ctrlPr>
                <w:rPr>
                  <w:rFonts w:ascii="Cambria Math" w:hAnsi="Cambria Math"/>
                  <w:sz w:val="24"/>
                </w:rPr>
              </m:ctrlPr>
            </m:sSubSupPr>
            <m:e>
              <m:r>
                <w:rPr>
                  <w:rFonts w:ascii="Cambria Math" w:hAnsi="Cambria Math"/>
                  <w:sz w:val="24"/>
                </w:rPr>
                <m:t>FC</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t</m:t>
                  </m:r>
                </m:e>
                <m:sub>
                  <m:r>
                    <w:rPr>
                      <w:rFonts w:ascii="Cambria Math" w:hAnsi="Cambria Math"/>
                      <w:sz w:val="24"/>
                    </w:rPr>
                    <m:t>k</m:t>
                  </m:r>
                </m:sub>
              </m:sSub>
            </m:e>
          </m:d>
        </m:oMath>
      </m:oMathPara>
    </w:p>
    <w:p w14:paraId="678AA70C" w14:textId="77777777" w:rsidR="00E10BA0" w:rsidRPr="008E3606" w:rsidRDefault="00E10BA0" w:rsidP="00E10BA0">
      <w:pPr>
        <w:widowControl w:val="0"/>
        <w:spacing w:line="247" w:lineRule="auto"/>
        <w:ind w:left="2268" w:hanging="11"/>
        <w:rPr>
          <w:sz w:val="24"/>
        </w:rPr>
      </w:pPr>
      <w:r w:rsidRPr="008E3606">
        <w:rPr>
          <w:sz w:val="24"/>
        </w:rPr>
        <w:t>Donde,</w:t>
      </w:r>
    </w:p>
    <w:p w14:paraId="4D375578" w14:textId="77777777" w:rsidR="00E10BA0" w:rsidRPr="008E3606" w:rsidRDefault="00C04686" w:rsidP="00E10BA0">
      <w:pPr>
        <w:widowControl w:val="0"/>
        <w:spacing w:line="247" w:lineRule="auto"/>
        <w:ind w:left="2268" w:hanging="11"/>
        <w:rPr>
          <w:sz w:val="24"/>
        </w:rPr>
      </w:pPr>
      <m:oMath>
        <m:sSubSup>
          <m:sSubSupPr>
            <m:ctrlPr>
              <w:rPr>
                <w:rFonts w:ascii="Cambria Math" w:hAnsi="Cambria Math"/>
                <w:i/>
                <w:sz w:val="24"/>
              </w:rPr>
            </m:ctrlPr>
          </m:sSubSupPr>
          <m:e>
            <m:r>
              <w:rPr>
                <w:rFonts w:ascii="Cambria Math" w:hAnsi="Cambria Math"/>
                <w:sz w:val="24"/>
              </w:rPr>
              <m:t>FC</m:t>
            </m:r>
          </m:e>
          <m:sub>
            <m:r>
              <w:rPr>
                <w:rFonts w:ascii="Cambria Math" w:hAnsi="Cambria Math"/>
                <w:sz w:val="24"/>
              </w:rPr>
              <m:t>i,c</m:t>
            </m:r>
          </m:sub>
          <m:sup>
            <m:r>
              <w:rPr>
                <w:rFonts w:ascii="Cambria Math" w:hAnsi="Cambria Math"/>
                <w:sz w:val="24"/>
              </w:rPr>
              <m:t>1</m:t>
            </m:r>
          </m:sup>
        </m:sSub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oMath>
      <w:r w:rsidR="00E10BA0" w:rsidRPr="008E3606">
        <w:rPr>
          <w:sz w:val="24"/>
        </w:rPr>
        <w:t xml:space="preserve"> se refiere a los pagos programados de intereses y principal (capital, sin prepago) </w:t>
      </w:r>
    </w:p>
    <w:p w14:paraId="5ED6BBD3" w14:textId="77777777" w:rsidR="00E10BA0" w:rsidRPr="008E3606" w:rsidRDefault="00C04686" w:rsidP="00E10BA0">
      <w:pPr>
        <w:widowControl w:val="0"/>
        <w:spacing w:after="240"/>
        <w:ind w:left="2268"/>
        <w:rPr>
          <w:sz w:val="24"/>
        </w:rPr>
      </w:pPr>
      <m:oMath>
        <m:sSubSup>
          <m:sSubSupPr>
            <m:ctrlPr>
              <w:rPr>
                <w:rFonts w:ascii="Cambria Math" w:hAnsi="Cambria Math"/>
                <w:i/>
                <w:sz w:val="24"/>
              </w:rPr>
            </m:ctrlPr>
          </m:sSubSupPr>
          <m:e>
            <m:r>
              <w:rPr>
                <w:rFonts w:ascii="Cambria Math" w:hAnsi="Cambria Math"/>
                <w:sz w:val="24"/>
              </w:rPr>
              <m:t>FC</m:t>
            </m:r>
          </m:e>
          <m:sub>
            <m:r>
              <w:rPr>
                <w:rFonts w:ascii="Cambria Math" w:hAnsi="Cambria Math"/>
                <w:sz w:val="24"/>
              </w:rPr>
              <m:t>i,c</m:t>
            </m:r>
          </m:sub>
          <m:sup>
            <m:r>
              <w:rPr>
                <w:rFonts w:ascii="Cambria Math" w:hAnsi="Cambria Math"/>
                <w:sz w:val="24"/>
              </w:rPr>
              <m:t>2</m:t>
            </m:r>
          </m:sup>
        </m:sSub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oMath>
      <w:r w:rsidR="00E10BA0" w:rsidRPr="008E3606">
        <w:rPr>
          <w:sz w:val="24"/>
        </w:rPr>
        <w:t xml:space="preserve"> se refiere al flujo de caja del prepago.</w:t>
      </w:r>
    </w:p>
    <w:p w14:paraId="6EF088AF" w14:textId="77777777" w:rsidR="00E10BA0" w:rsidRPr="008E3606" w:rsidRDefault="00E10BA0" w:rsidP="00E10BA0">
      <w:pPr>
        <w:widowControl w:val="0"/>
        <w:spacing w:after="240"/>
        <w:ind w:left="2268"/>
        <w:rPr>
          <w:sz w:val="24"/>
        </w:rPr>
      </w:pPr>
      <w:r w:rsidRPr="008E3606">
        <w:rPr>
          <w:sz w:val="24"/>
        </w:rPr>
        <w:t>El flujo de caja del prepago se calcula con la siguiente fórmula:</w:t>
      </w:r>
    </w:p>
    <w:p w14:paraId="1CB88528" w14:textId="77777777" w:rsidR="00E10BA0" w:rsidRPr="008E3606" w:rsidRDefault="00C04686" w:rsidP="00E10BA0">
      <w:pPr>
        <w:widowControl w:val="0"/>
        <w:spacing w:after="240"/>
        <w:ind w:left="2268"/>
        <w:rPr>
          <w:rFonts w:eastAsiaTheme="minorEastAsia"/>
          <w:sz w:val="24"/>
        </w:rPr>
      </w:pPr>
      <m:oMathPara>
        <m:oMath>
          <m:sSubSup>
            <m:sSubSupPr>
              <m:ctrlPr>
                <w:rPr>
                  <w:rFonts w:ascii="Cambria Math" w:hAnsi="Cambria Math"/>
                  <w:sz w:val="24"/>
                </w:rPr>
              </m:ctrlPr>
            </m:sSubSupPr>
            <m:e>
              <m:r>
                <w:rPr>
                  <w:rFonts w:ascii="Cambria Math" w:hAnsi="Cambria Math"/>
                  <w:sz w:val="24"/>
                </w:rPr>
                <m:t>FC</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t</m:t>
                  </m:r>
                </m:e>
                <m:sub>
                  <m:r>
                    <w:rPr>
                      <w:rFonts w:ascii="Cambria Math" w:hAnsi="Cambria Math"/>
                      <w:sz w:val="24"/>
                    </w:rPr>
                    <m:t>k</m:t>
                  </m:r>
                </m:sub>
              </m:sSub>
            </m:e>
          </m:d>
          <m:r>
            <m:rPr>
              <m:sty m:val="p"/>
            </m:rPr>
            <w:rPr>
              <w:rFonts w:ascii="Cambria Math" w:hAnsi="Cambria Math"/>
              <w:sz w:val="24"/>
            </w:rPr>
            <m:t xml:space="preserve">= </m:t>
          </m:r>
          <m:sSubSup>
            <m:sSubSupPr>
              <m:ctrlPr>
                <w:rPr>
                  <w:rFonts w:ascii="Cambria Math" w:hAnsi="Cambria Math"/>
                  <w:sz w:val="24"/>
                </w:rPr>
              </m:ctrlPr>
            </m:sSubSupPr>
            <m:e>
              <m:r>
                <w:rPr>
                  <w:rFonts w:ascii="Cambria Math" w:hAnsi="Cambria Math"/>
                  <w:sz w:val="24"/>
                </w:rPr>
                <m:t>TPC</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r>
            <m:rPr>
              <m:sty m:val="p"/>
            </m:rPr>
            <w:rPr>
              <w:rFonts w:ascii="Cambria Math" w:hAnsi="Cambria Math"/>
              <w:sz w:val="24"/>
            </w:rPr>
            <m:t xml:space="preserve">* </m:t>
          </m:r>
          <m:sSubSup>
            <m:sSubSupPr>
              <m:ctrlPr>
                <w:rPr>
                  <w:rFonts w:ascii="Cambria Math" w:hAnsi="Cambria Math"/>
                  <w:sz w:val="24"/>
                </w:rPr>
              </m:ctrlPr>
            </m:sSubSupPr>
            <m:e>
              <m:r>
                <w:rPr>
                  <w:rFonts w:ascii="Cambria Math" w:hAnsi="Cambria Math"/>
                  <w:sz w:val="24"/>
                </w:rPr>
                <m:t>N</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t</m:t>
              </m:r>
            </m:e>
            <m:sub>
              <m:r>
                <w:rPr>
                  <w:rFonts w:ascii="Cambria Math" w:hAnsi="Cambria Math"/>
                  <w:sz w:val="24"/>
                </w:rPr>
                <m:t>k</m:t>
              </m:r>
              <m:r>
                <m:rPr>
                  <m:sty m:val="p"/>
                </m:rPr>
                <w:rPr>
                  <w:rFonts w:ascii="Cambria Math" w:hAnsi="Cambria Math"/>
                  <w:sz w:val="24"/>
                </w:rPr>
                <m:t>-1</m:t>
              </m:r>
            </m:sub>
          </m:sSub>
          <m:r>
            <m:rPr>
              <m:sty m:val="p"/>
            </m:rPr>
            <w:rPr>
              <w:rFonts w:ascii="Cambria Math" w:hAnsi="Cambria Math"/>
              <w:sz w:val="24"/>
            </w:rPr>
            <m:t>)</m:t>
          </m:r>
        </m:oMath>
      </m:oMathPara>
    </w:p>
    <w:p w14:paraId="6DD91271" w14:textId="77777777" w:rsidR="00E10BA0" w:rsidRPr="008E3606" w:rsidRDefault="00E10BA0" w:rsidP="00E10BA0">
      <w:pPr>
        <w:widowControl w:val="0"/>
        <w:spacing w:after="240"/>
        <w:ind w:left="2268"/>
        <w:rPr>
          <w:sz w:val="24"/>
        </w:rPr>
      </w:pPr>
      <w:r w:rsidRPr="008E3606">
        <w:rPr>
          <w:sz w:val="24"/>
        </w:rPr>
        <w:t>Donde,</w:t>
      </w:r>
    </w:p>
    <w:p w14:paraId="3BA55AC2" w14:textId="77777777" w:rsidR="00E10BA0" w:rsidRPr="008E3606" w:rsidRDefault="00E10BA0" w:rsidP="00E10BA0">
      <w:pPr>
        <w:widowControl w:val="0"/>
        <w:spacing w:after="240"/>
        <w:ind w:left="2268"/>
        <w:rPr>
          <w:sz w:val="24"/>
        </w:rPr>
      </w:pPr>
      <w:r w:rsidRPr="008E3606">
        <w:rPr>
          <w:sz w:val="24"/>
        </w:rPr>
        <w:t xml:space="preserve">Los flujos de efectivo base (es decir, dada la curva de rendimiento de la tasa de interés actual y la </w:t>
      </w:r>
      <m:oMath>
        <m:r>
          <w:rPr>
            <w:rFonts w:ascii="Cambria Math" w:hAnsi="Cambria Math"/>
            <w:sz w:val="24"/>
          </w:rPr>
          <m:t>TPC</m:t>
        </m:r>
      </m:oMath>
      <w:r w:rsidRPr="008E3606">
        <w:rPr>
          <w:sz w:val="24"/>
        </w:rPr>
        <w:t xml:space="preserve"> base) están dados por </w:t>
      </w:r>
      <m:oMath>
        <m:r>
          <w:rPr>
            <w:rFonts w:ascii="Cambria Math" w:hAnsi="Cambria Math"/>
            <w:sz w:val="24"/>
          </w:rPr>
          <m:t>i=0</m:t>
        </m:r>
      </m:oMath>
      <w:r w:rsidRPr="008E3606">
        <w:rPr>
          <w:sz w:val="24"/>
        </w:rPr>
        <w:t xml:space="preserve">, mientras que los escenarios de choque de la tasa de interés se dan para </w:t>
      </w:r>
      <m:oMath>
        <m:r>
          <w:rPr>
            <w:rFonts w:ascii="Cambria Math" w:hAnsi="Cambria Math"/>
            <w:sz w:val="24"/>
          </w:rPr>
          <m:t>i=1 a 6</m:t>
        </m:r>
      </m:oMath>
      <w:r w:rsidRPr="008E3606">
        <w:rPr>
          <w:sz w:val="24"/>
        </w:rPr>
        <w:t>.</w:t>
      </w:r>
    </w:p>
    <w:p w14:paraId="519798EC" w14:textId="77777777" w:rsidR="00E10BA0" w:rsidRPr="008E3606" w:rsidRDefault="00C04686" w:rsidP="00E10BA0">
      <w:pPr>
        <w:widowControl w:val="0"/>
        <w:spacing w:after="240"/>
        <w:ind w:left="2268"/>
        <w:rPr>
          <w:sz w:val="24"/>
        </w:rPr>
      </w:pPr>
      <m:oMath>
        <m:sSubSup>
          <m:sSubSupPr>
            <m:ctrlPr>
              <w:rPr>
                <w:rFonts w:ascii="Cambria Math" w:hAnsi="Cambria Math"/>
                <w:i/>
                <w:sz w:val="24"/>
              </w:rPr>
            </m:ctrlPr>
          </m:sSubSupPr>
          <m:e>
            <m:r>
              <w:rPr>
                <w:rFonts w:ascii="Cambria Math" w:hAnsi="Cambria Math"/>
                <w:sz w:val="24"/>
              </w:rPr>
              <m:t>N</m:t>
            </m:r>
          </m:e>
          <m:sub>
            <m:r>
              <w:rPr>
                <w:rFonts w:ascii="Cambria Math" w:hAnsi="Cambria Math"/>
                <w:sz w:val="24"/>
              </w:rPr>
              <m:t>i,c</m:t>
            </m:r>
          </m:sub>
          <m:sup>
            <m:r>
              <w:rPr>
                <w:rFonts w:ascii="Cambria Math" w:hAnsi="Cambria Math"/>
                <w:sz w:val="24"/>
              </w:rPr>
              <m:t>p</m:t>
            </m:r>
          </m:sup>
        </m:sSubSup>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k-1</m:t>
            </m:r>
          </m:sub>
        </m:sSub>
        <m:r>
          <w:rPr>
            <w:rFonts w:ascii="Cambria Math" w:hAnsi="Cambria Math"/>
            <w:sz w:val="24"/>
          </w:rPr>
          <m:t>)</m:t>
        </m:r>
      </m:oMath>
      <w:r w:rsidR="00E10BA0" w:rsidRPr="008E3606">
        <w:rPr>
          <w:sz w:val="24"/>
        </w:rPr>
        <w:t xml:space="preserve"> es el valor del nominal restante en la banda de tiempo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k-1</m:t>
            </m:r>
          </m:sub>
        </m:sSub>
      </m:oMath>
      <w:r w:rsidR="00E10BA0" w:rsidRPr="008E3606">
        <w:rPr>
          <w:sz w:val="24"/>
        </w:rPr>
        <w:t xml:space="preserve"> calculado con el escenario de estrés </w:t>
      </w:r>
      <w:r w:rsidR="00E10BA0" w:rsidRPr="008E3606">
        <w:rPr>
          <w:i/>
          <w:sz w:val="24"/>
        </w:rPr>
        <w:t>i</w:t>
      </w:r>
      <w:r w:rsidR="00E10BA0" w:rsidRPr="008E3606">
        <w:rPr>
          <w:sz w:val="24"/>
        </w:rPr>
        <w:t>.</w:t>
      </w:r>
    </w:p>
    <w:p w14:paraId="3FD26469" w14:textId="77777777" w:rsidR="00E10BA0" w:rsidRPr="008E3606" w:rsidRDefault="00E10BA0" w:rsidP="00E10BA0">
      <w:pPr>
        <w:widowControl w:val="0"/>
        <w:spacing w:after="240" w:line="240" w:lineRule="auto"/>
        <w:ind w:left="2258"/>
        <w:rPr>
          <w:b/>
          <w:bCs/>
          <w:color w:val="4472C4" w:themeColor="accent1"/>
          <w:sz w:val="24"/>
          <w:u w:val="single"/>
        </w:rPr>
      </w:pPr>
      <w:r w:rsidRPr="008E3606">
        <w:rPr>
          <w:b/>
          <w:bCs/>
          <w:color w:val="4472C4" w:themeColor="accent1"/>
          <w:sz w:val="24"/>
          <w:u w:val="single"/>
        </w:rPr>
        <w:t>Depósitos a plazo sujetos a riesgo de reembolso anticipado.</w:t>
      </w:r>
    </w:p>
    <w:p w14:paraId="0562DF59" w14:textId="77777777" w:rsidR="00E10BA0" w:rsidRPr="008E3606" w:rsidRDefault="00E10BA0" w:rsidP="00B21E78">
      <w:pPr>
        <w:pStyle w:val="Prrafodelista"/>
        <w:widowControl w:val="0"/>
        <w:numPr>
          <w:ilvl w:val="0"/>
          <w:numId w:val="47"/>
        </w:numPr>
        <w:spacing w:after="240" w:line="240" w:lineRule="auto"/>
        <w:contextualSpacing w:val="0"/>
        <w:rPr>
          <w:rFonts w:ascii="Cambria" w:hAnsi="Cambria"/>
          <w:color w:val="auto"/>
          <w:szCs w:val="24"/>
          <w:u w:val="single"/>
        </w:rPr>
      </w:pPr>
      <w:r w:rsidRPr="008E3606">
        <w:rPr>
          <w:rFonts w:ascii="Cambria" w:hAnsi="Cambria"/>
          <w:szCs w:val="24"/>
          <w:u w:val="single"/>
        </w:rPr>
        <w:t>Tratamiento de los Depósitos</w:t>
      </w:r>
    </w:p>
    <w:p w14:paraId="3D1F0C95" w14:textId="77777777" w:rsidR="00E10BA0" w:rsidRPr="008E3606" w:rsidRDefault="00E10BA0" w:rsidP="00E10BA0">
      <w:pPr>
        <w:widowControl w:val="0"/>
        <w:spacing w:after="240"/>
        <w:ind w:left="2268"/>
        <w:rPr>
          <w:sz w:val="24"/>
        </w:rPr>
      </w:pPr>
      <w:r w:rsidRPr="008E3606">
        <w:rPr>
          <w:sz w:val="24"/>
        </w:rPr>
        <w:t xml:space="preserve">Para los depósitos minoristas que cumplan con alguna de las condiciones siguientes, la entidad debe ubicar los flujos de efectivo repreciados en los puntos medios de las bandas de tiempo hasta su fecha de vencimiento contractual correspondiente si se puede demostrar que: </w:t>
      </w:r>
    </w:p>
    <w:p w14:paraId="6B329342" w14:textId="77777777" w:rsidR="00E10BA0" w:rsidRPr="008E3606" w:rsidRDefault="00E10BA0" w:rsidP="00E10BA0">
      <w:pPr>
        <w:widowControl w:val="0"/>
        <w:spacing w:after="240" w:line="240" w:lineRule="auto"/>
        <w:ind w:left="2835" w:hanging="567"/>
        <w:rPr>
          <w:sz w:val="24"/>
        </w:rPr>
      </w:pPr>
      <w:r w:rsidRPr="008E3606">
        <w:rPr>
          <w:sz w:val="24"/>
        </w:rPr>
        <w:t>i.1)</w:t>
      </w:r>
      <w:r w:rsidRPr="008E3606">
        <w:rPr>
          <w:sz w:val="24"/>
        </w:rPr>
        <w:tab/>
        <w:t>El depositante no tiene derecho legal o contractual a retirar el depósito; o</w:t>
      </w:r>
    </w:p>
    <w:p w14:paraId="0E4830BC" w14:textId="77777777" w:rsidR="00E10BA0" w:rsidRPr="008E3606" w:rsidRDefault="00E10BA0" w:rsidP="00E10BA0">
      <w:pPr>
        <w:pStyle w:val="Prrafodelista"/>
        <w:widowControl w:val="0"/>
        <w:spacing w:after="240" w:line="240" w:lineRule="auto"/>
        <w:ind w:left="2835" w:hanging="567"/>
        <w:contextualSpacing w:val="0"/>
        <w:rPr>
          <w:rFonts w:ascii="Cambria" w:hAnsi="Cambria"/>
          <w:szCs w:val="24"/>
        </w:rPr>
      </w:pPr>
      <w:r w:rsidRPr="008E3606">
        <w:rPr>
          <w:rFonts w:ascii="Cambria" w:hAnsi="Cambria"/>
          <w:szCs w:val="24"/>
        </w:rPr>
        <w:t>i.2)</w:t>
      </w:r>
      <w:r w:rsidRPr="008E3606">
        <w:rPr>
          <w:rFonts w:ascii="Cambria" w:hAnsi="Cambria"/>
          <w:szCs w:val="24"/>
        </w:rPr>
        <w:tab/>
        <w:t>El retiro anticipado resultaría en una multa significativa que al menos compensa la pérdida de los intereses entre la fecha del retiro y la fecha del vencimiento contractual, así como el costo económico de modificar el plazo contractual.</w:t>
      </w:r>
    </w:p>
    <w:p w14:paraId="155D3A34" w14:textId="77777777" w:rsidR="00C409C8" w:rsidRPr="008E3606" w:rsidRDefault="00C409C8" w:rsidP="00E10BA0">
      <w:pPr>
        <w:widowControl w:val="0"/>
        <w:spacing w:after="240"/>
        <w:ind w:left="2268"/>
        <w:rPr>
          <w:sz w:val="24"/>
        </w:rPr>
      </w:pPr>
    </w:p>
    <w:p w14:paraId="02824330" w14:textId="563DA12E" w:rsidR="00E10BA0" w:rsidRPr="008E3606" w:rsidDel="006D2A7E" w:rsidRDefault="00E10BA0" w:rsidP="00E10BA0">
      <w:pPr>
        <w:widowControl w:val="0"/>
        <w:spacing w:after="240"/>
        <w:ind w:left="2268"/>
        <w:rPr>
          <w:sz w:val="24"/>
        </w:rPr>
      </w:pPr>
      <w:r w:rsidRPr="008E3606">
        <w:rPr>
          <w:sz w:val="24"/>
        </w:rPr>
        <w:t>Si no se cumple ninguna de las condiciones antes mencionadas, es decir, cuando se trate de un depósito minorista con opción de retiro anticipado (aplica para el caso de los depósitos con retiro anticipado de las jurisdicciones internacionales que así lo permitan), el depósito se debe clasificar como una opción automática de tasa de interés y tratarse según las siguientes instrucciones:</w:t>
      </w:r>
    </w:p>
    <w:p w14:paraId="5A584654" w14:textId="77777777" w:rsidR="00E10BA0" w:rsidRPr="008E3606" w:rsidRDefault="00E10BA0" w:rsidP="00E10BA0">
      <w:pPr>
        <w:widowControl w:val="0"/>
        <w:spacing w:after="240"/>
        <w:ind w:left="2268"/>
        <w:rPr>
          <w:i/>
          <w:sz w:val="24"/>
        </w:rPr>
      </w:pPr>
      <w:r w:rsidRPr="008E3606">
        <w:rPr>
          <w:sz w:val="24"/>
        </w:rPr>
        <w:t xml:space="preserve">La entidad debe determinar la proporción de redención de los depósitos a plazo de referencia </w:t>
      </w:r>
      <m:oMath>
        <m:sSubSup>
          <m:sSubSupPr>
            <m:ctrlPr>
              <w:rPr>
                <w:rFonts w:ascii="Cambria Math" w:hAnsi="Cambria Math"/>
                <w:i/>
                <w:sz w:val="24"/>
              </w:rPr>
            </m:ctrlPr>
          </m:sSubSupPr>
          <m:e>
            <m:r>
              <w:rPr>
                <w:rFonts w:ascii="Cambria Math" w:hAnsi="Cambria Math"/>
                <w:sz w:val="24"/>
              </w:rPr>
              <m:t>PRDP</m:t>
            </m:r>
          </m:e>
          <m:sub>
            <m:r>
              <w:rPr>
                <w:rFonts w:ascii="Cambria Math" w:hAnsi="Cambria Math"/>
                <w:sz w:val="24"/>
              </w:rPr>
              <m:t>0,c</m:t>
            </m:r>
          </m:sub>
          <m:sup>
            <m:r>
              <w:rPr>
                <w:rFonts w:ascii="Cambria Math" w:hAnsi="Cambria Math"/>
                <w:sz w:val="24"/>
              </w:rPr>
              <m:t>p</m:t>
            </m:r>
          </m:sup>
        </m:sSubSup>
      </m:oMath>
      <w:r w:rsidRPr="008E3606">
        <w:rPr>
          <w:sz w:val="24"/>
        </w:rPr>
        <w:t xml:space="preserve"> aplicable a cada cartera homogénea</w:t>
      </w:r>
      <w:r w:rsidRPr="008E3606">
        <w:rPr>
          <w:rFonts w:eastAsiaTheme="minorEastAsia"/>
          <w:sz w:val="24"/>
        </w:rPr>
        <w:t xml:space="preserve"> </w:t>
      </w:r>
      <m:oMath>
        <m:r>
          <w:rPr>
            <w:rFonts w:ascii="Cambria Math" w:hAnsi="Cambria Math"/>
            <w:sz w:val="24"/>
          </w:rPr>
          <m:t xml:space="preserve"> p</m:t>
        </m:r>
      </m:oMath>
      <w:r w:rsidRPr="008E3606">
        <w:rPr>
          <w:sz w:val="24"/>
        </w:rPr>
        <w:t xml:space="preserve"> de depósitos a plazo en la moneda </w:t>
      </w:r>
      <m:oMath>
        <m:r>
          <w:rPr>
            <w:rFonts w:ascii="Cambria Math" w:hAnsi="Cambria Math"/>
            <w:sz w:val="24"/>
          </w:rPr>
          <m:t>c</m:t>
        </m:r>
      </m:oMath>
      <w:r w:rsidRPr="008E3606">
        <w:rPr>
          <w:sz w:val="24"/>
        </w:rPr>
        <w:t xml:space="preserve"> y utilizarlo para ubicar los flujos de efectivo de reprecio. Los depósitos a plazo que se espera retirar anticipadamente se colocan en el intervalo de tiempo </w:t>
      </w:r>
      <w:r w:rsidRPr="008E3606">
        <w:rPr>
          <w:i/>
          <w:iCs/>
          <w:sz w:val="24"/>
        </w:rPr>
        <w:t xml:space="preserve">overnight </w:t>
      </w:r>
      <w:r w:rsidRPr="008E3606">
        <w:rPr>
          <w:sz w:val="24"/>
        </w:rPr>
        <w:t>(</w:t>
      </w:r>
      <m:oMath>
        <m:r>
          <w:rPr>
            <w:rFonts w:ascii="Cambria Math" w:hAnsi="Cambria Math"/>
            <w:sz w:val="24"/>
          </w:rPr>
          <m:t>k=1</m:t>
        </m:r>
      </m:oMath>
      <w:r w:rsidRPr="008E3606">
        <w:rPr>
          <w:sz w:val="24"/>
        </w:rPr>
        <w:t>) (equivalente al punto medio del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oMath>
      <w:r w:rsidRPr="008E3606">
        <w:rPr>
          <w:sz w:val="24"/>
        </w:rPr>
        <w:t>)).</w:t>
      </w:r>
    </w:p>
    <w:p w14:paraId="078EDFB6" w14:textId="77777777" w:rsidR="00E10BA0" w:rsidRPr="008E3606" w:rsidRDefault="00E10BA0" w:rsidP="00E10BA0">
      <w:pPr>
        <w:widowControl w:val="0"/>
        <w:spacing w:after="240"/>
        <w:ind w:left="2268"/>
        <w:rPr>
          <w:sz w:val="24"/>
        </w:rPr>
      </w:pPr>
      <w:r w:rsidRPr="008E3606">
        <w:rPr>
          <w:sz w:val="24"/>
        </w:rPr>
        <w:t xml:space="preserve">El índice de amortización de los depósitos a plazo para el período </w:t>
      </w:r>
      <m:oMath>
        <m:r>
          <w:rPr>
            <w:rFonts w:ascii="Cambria Math" w:hAnsi="Cambria Math"/>
            <w:sz w:val="24"/>
          </w:rPr>
          <m:t>k</m:t>
        </m:r>
      </m:oMath>
      <w:r w:rsidRPr="008E3606">
        <w:rPr>
          <w:sz w:val="24"/>
        </w:rPr>
        <w:t xml:space="preserve"> o el punto medio del período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oMath>
      <w:r w:rsidRPr="008E3606">
        <w:rPr>
          <w:sz w:val="24"/>
        </w:rPr>
        <w:t xml:space="preserve"> se obtiene multiplicando </w:t>
      </w:r>
      <m:oMath>
        <m:sSubSup>
          <m:sSubSupPr>
            <m:ctrlPr>
              <w:rPr>
                <w:rFonts w:ascii="Cambria Math" w:hAnsi="Cambria Math"/>
                <w:i/>
                <w:sz w:val="24"/>
              </w:rPr>
            </m:ctrlPr>
          </m:sSubSupPr>
          <m:e>
            <m:r>
              <w:rPr>
                <w:rFonts w:ascii="Cambria Math" w:hAnsi="Cambria Math"/>
                <w:sz w:val="24"/>
              </w:rPr>
              <m:t>PRDP</m:t>
            </m:r>
          </m:e>
          <m:sub>
            <m:r>
              <w:rPr>
                <w:rFonts w:ascii="Cambria Math" w:hAnsi="Cambria Math"/>
                <w:sz w:val="24"/>
              </w:rPr>
              <m:t>0,c</m:t>
            </m:r>
          </m:sub>
          <m:sup>
            <m:r>
              <w:rPr>
                <w:rFonts w:ascii="Cambria Math" w:hAnsi="Cambria Math"/>
                <w:sz w:val="24"/>
              </w:rPr>
              <m:t>p</m:t>
            </m:r>
          </m:sup>
        </m:sSubSup>
      </m:oMath>
      <w:r w:rsidRPr="008E3606">
        <w:rPr>
          <w:sz w:val="24"/>
        </w:rPr>
        <w:t xml:space="preserve"> por un escalar </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oMath>
      <w:r w:rsidRPr="008E3606">
        <w:rPr>
          <w:sz w:val="24"/>
        </w:rPr>
        <w:t xml:space="preserve"> que depende del escenario </w:t>
      </w:r>
      <m:oMath>
        <m:r>
          <w:rPr>
            <w:rFonts w:ascii="Cambria Math" w:hAnsi="Cambria Math"/>
            <w:sz w:val="24"/>
          </w:rPr>
          <m:t>i</m:t>
        </m:r>
      </m:oMath>
      <w:r w:rsidRPr="008E3606">
        <w:rPr>
          <w:sz w:val="24"/>
        </w:rPr>
        <w:t>, como sigue:</w:t>
      </w:r>
    </w:p>
    <w:p w14:paraId="0F28EF69" w14:textId="77777777" w:rsidR="00E10BA0" w:rsidRPr="008E3606" w:rsidRDefault="00C04686" w:rsidP="00E10BA0">
      <w:pPr>
        <w:widowControl w:val="0"/>
        <w:spacing w:after="240"/>
        <w:ind w:left="2268"/>
        <w:jc w:val="center"/>
        <w:rPr>
          <w:rFonts w:eastAsiaTheme="minorEastAsia"/>
          <w:sz w:val="24"/>
        </w:rPr>
      </w:pPr>
      <m:oMath>
        <m:sSubSup>
          <m:sSubSupPr>
            <m:ctrlPr>
              <w:rPr>
                <w:rFonts w:ascii="Cambria Math" w:hAnsi="Cambria Math"/>
                <w:sz w:val="24"/>
              </w:rPr>
            </m:ctrlPr>
          </m:sSubSupPr>
          <m:e>
            <m:r>
              <w:rPr>
                <w:rFonts w:ascii="Cambria Math" w:hAnsi="Cambria Math"/>
                <w:sz w:val="24"/>
              </w:rPr>
              <m:t>PRDP</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r>
          <m:rPr>
            <m:sty m:val="p"/>
          </m:rPr>
          <w:rPr>
            <w:rFonts w:ascii="Cambria Math" w:eastAsiaTheme="minorEastAsia" w:hAnsi="Cambria Math"/>
            <w:sz w:val="24"/>
          </w:rPr>
          <m:t>=</m:t>
        </m:r>
      </m:oMath>
      <w:r w:rsidR="00E10BA0" w:rsidRPr="008E3606">
        <w:rPr>
          <w:rFonts w:eastAsiaTheme="minorEastAsia"/>
          <w:sz w:val="24"/>
        </w:rPr>
        <w:t xml:space="preserve"> </w:t>
      </w:r>
      <m:oMath>
        <m:func>
          <m:funcPr>
            <m:ctrlPr>
              <w:rPr>
                <w:rFonts w:ascii="Cambria Math" w:hAnsi="Cambria Math"/>
                <w:sz w:val="24"/>
              </w:rPr>
            </m:ctrlPr>
          </m:funcPr>
          <m:fName>
            <m:r>
              <m:rPr>
                <m:sty m:val="p"/>
              </m:rPr>
              <w:rPr>
                <w:rFonts w:ascii="Cambria Math" w:hAnsi="Cambria Math"/>
                <w:sz w:val="24"/>
              </w:rPr>
              <m:t>min</m:t>
            </m:r>
          </m:fName>
          <m:e>
            <m:r>
              <m:rPr>
                <m:sty m:val="p"/>
              </m:rPr>
              <w:rPr>
                <w:rFonts w:ascii="Cambria Math" w:hAnsi="Cambria Math"/>
                <w:sz w:val="24"/>
              </w:rPr>
              <m:t xml:space="preserve">(1, </m:t>
            </m:r>
            <m:sSub>
              <m:sSubPr>
                <m:ctrlPr>
                  <w:rPr>
                    <w:rFonts w:ascii="Cambria Math" w:hAnsi="Cambria Math"/>
                    <w:sz w:val="24"/>
                  </w:rPr>
                </m:ctrlPr>
              </m:sSubPr>
              <m:e>
                <m:r>
                  <w:rPr>
                    <w:rFonts w:ascii="Cambria Math" w:hAnsi="Cambria Math"/>
                    <w:sz w:val="24"/>
                  </w:rPr>
                  <m:t>μ</m:t>
                </m:r>
              </m:e>
              <m:sub>
                <m:r>
                  <w:rPr>
                    <w:rFonts w:ascii="Cambria Math" w:hAnsi="Cambria Math"/>
                    <w:sz w:val="24"/>
                  </w:rPr>
                  <m:t>i</m:t>
                </m:r>
              </m:sub>
            </m:sSub>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PRDP</m:t>
                </m:r>
              </m:e>
              <m:sub>
                <m:r>
                  <m:rPr>
                    <m:sty m:val="p"/>
                  </m:rPr>
                  <w:rPr>
                    <w:rFonts w:ascii="Cambria Math" w:hAnsi="Cambria Math"/>
                    <w:sz w:val="24"/>
                  </w:rPr>
                  <m:t>0,</m:t>
                </m:r>
                <m:r>
                  <w:rPr>
                    <w:rFonts w:ascii="Cambria Math" w:hAnsi="Cambria Math"/>
                    <w:sz w:val="24"/>
                  </w:rPr>
                  <m:t>c</m:t>
                </m:r>
              </m:sub>
              <m:sup>
                <m:r>
                  <w:rPr>
                    <w:rFonts w:ascii="Cambria Math" w:hAnsi="Cambria Math"/>
                    <w:sz w:val="24"/>
                  </w:rPr>
                  <m:t>p</m:t>
                </m:r>
              </m:sup>
            </m:sSubSup>
            <m:r>
              <m:rPr>
                <m:sty m:val="p"/>
              </m:rPr>
              <w:rPr>
                <w:rFonts w:ascii="Cambria Math" w:hAnsi="Cambria Math"/>
                <w:sz w:val="24"/>
              </w:rPr>
              <m:t>)</m:t>
            </m:r>
          </m:e>
        </m:func>
      </m:oMath>
    </w:p>
    <w:p w14:paraId="30753BA7" w14:textId="77777777" w:rsidR="00E10BA0" w:rsidRPr="008E3606" w:rsidRDefault="00E10BA0" w:rsidP="00E10BA0">
      <w:pPr>
        <w:widowControl w:val="0"/>
        <w:spacing w:after="240"/>
        <w:ind w:left="2268"/>
        <w:rPr>
          <w:sz w:val="24"/>
        </w:rPr>
      </w:pPr>
      <w:r w:rsidRPr="008E3606">
        <w:rPr>
          <w:sz w:val="24"/>
        </w:rPr>
        <w:t xml:space="preserve">Donde </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r>
          <w:rPr>
            <w:rFonts w:ascii="Cambria Math" w:hAnsi="Cambria Math"/>
            <w:sz w:val="24"/>
          </w:rPr>
          <m:t xml:space="preserve"> </m:t>
        </m:r>
      </m:oMath>
      <w:r w:rsidRPr="008E3606">
        <w:rPr>
          <w:sz w:val="24"/>
        </w:rPr>
        <w:t xml:space="preserve">es el ponderador del escenario </w:t>
      </w:r>
      <m:oMath>
        <m:r>
          <w:rPr>
            <w:rFonts w:ascii="Cambria Math" w:hAnsi="Cambria Math"/>
            <w:sz w:val="24"/>
          </w:rPr>
          <m:t>i</m:t>
        </m:r>
      </m:oMath>
      <w:r w:rsidRPr="008E3606">
        <w:rPr>
          <w:sz w:val="24"/>
        </w:rPr>
        <w:t xml:space="preserve">. El coeficiente </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r>
          <w:rPr>
            <w:rFonts w:ascii="Cambria Math" w:hAnsi="Cambria Math"/>
            <w:sz w:val="24"/>
          </w:rPr>
          <m:t xml:space="preserve"> </m:t>
        </m:r>
      </m:oMath>
      <w:r w:rsidRPr="008E3606">
        <w:rPr>
          <w:sz w:val="24"/>
        </w:rPr>
        <w:t>toma dos valores:</w:t>
      </w:r>
    </w:p>
    <w:p w14:paraId="1C7E4B77" w14:textId="77777777" w:rsidR="00E10BA0" w:rsidRPr="008E3606" w:rsidRDefault="00C04686" w:rsidP="00B21E78">
      <w:pPr>
        <w:pStyle w:val="Prrafodelista"/>
        <w:widowControl w:val="0"/>
        <w:numPr>
          <w:ilvl w:val="0"/>
          <w:numId w:val="45"/>
        </w:numPr>
        <w:spacing w:after="0" w:line="240" w:lineRule="auto"/>
        <w:ind w:left="2835" w:hanging="578"/>
        <w:contextualSpacing w:val="0"/>
        <w:rPr>
          <w:rFonts w:ascii="Cambria" w:hAnsi="Cambria"/>
          <w:szCs w:val="24"/>
        </w:rPr>
      </w:pPr>
      <m:oMath>
        <m:sSub>
          <m:sSubPr>
            <m:ctrlPr>
              <w:rPr>
                <w:rFonts w:ascii="Cambria Math" w:hAnsi="Cambria Math"/>
                <w:i/>
                <w:szCs w:val="24"/>
              </w:rPr>
            </m:ctrlPr>
          </m:sSubPr>
          <m:e>
            <m:r>
              <w:rPr>
                <w:rFonts w:ascii="Cambria Math" w:hAnsi="Cambria Math"/>
                <w:szCs w:val="24"/>
              </w:rPr>
              <m:t>μ</m:t>
            </m:r>
          </m:e>
          <m:sub>
            <m:r>
              <w:rPr>
                <w:rFonts w:ascii="Cambria Math" w:hAnsi="Cambria Math"/>
                <w:szCs w:val="24"/>
              </w:rPr>
              <m:t>i</m:t>
            </m:r>
          </m:sub>
        </m:sSub>
      </m:oMath>
      <w:r w:rsidR="00E10BA0" w:rsidRPr="008E3606">
        <w:rPr>
          <w:rFonts w:ascii="Cambria" w:hAnsi="Cambria"/>
          <w:szCs w:val="24"/>
        </w:rPr>
        <w:t xml:space="preserve">= 1.2 para los escenarios 1, 4 y 5 (paralelo al alza, </w:t>
      </w:r>
      <w:r w:rsidR="00E10BA0" w:rsidRPr="008E3606">
        <w:rPr>
          <w:rFonts w:ascii="Cambria" w:eastAsiaTheme="minorEastAsia" w:hAnsi="Cambria"/>
          <w:szCs w:val="24"/>
        </w:rPr>
        <w:t>aplanamiento</w:t>
      </w:r>
      <w:r w:rsidR="00E10BA0" w:rsidRPr="008E3606">
        <w:rPr>
          <w:rFonts w:ascii="Cambria" w:hAnsi="Cambria"/>
          <w:szCs w:val="24"/>
        </w:rPr>
        <w:t xml:space="preserve"> y subida de tasas en el corto plazo)</w:t>
      </w:r>
    </w:p>
    <w:p w14:paraId="3421C6E2" w14:textId="77777777" w:rsidR="00E10BA0" w:rsidRPr="008E3606" w:rsidRDefault="00C04686" w:rsidP="00B21E78">
      <w:pPr>
        <w:pStyle w:val="Prrafodelista"/>
        <w:widowControl w:val="0"/>
        <w:numPr>
          <w:ilvl w:val="0"/>
          <w:numId w:val="45"/>
        </w:numPr>
        <w:spacing w:after="240" w:line="240" w:lineRule="auto"/>
        <w:ind w:left="2835" w:hanging="577"/>
        <w:contextualSpacing w:val="0"/>
        <w:rPr>
          <w:rFonts w:ascii="Cambria" w:hAnsi="Cambria"/>
          <w:szCs w:val="24"/>
        </w:rPr>
      </w:pPr>
      <m:oMath>
        <m:sSub>
          <m:sSubPr>
            <m:ctrlPr>
              <w:rPr>
                <w:rFonts w:ascii="Cambria Math" w:hAnsi="Cambria Math"/>
                <w:i/>
                <w:szCs w:val="24"/>
              </w:rPr>
            </m:ctrlPr>
          </m:sSubPr>
          <m:e>
            <m:r>
              <w:rPr>
                <w:rFonts w:ascii="Cambria Math" w:hAnsi="Cambria Math"/>
                <w:szCs w:val="24"/>
              </w:rPr>
              <m:t>μ</m:t>
            </m:r>
          </m:e>
          <m:sub>
            <m:r>
              <w:rPr>
                <w:rFonts w:ascii="Cambria Math" w:hAnsi="Cambria Math"/>
                <w:szCs w:val="24"/>
              </w:rPr>
              <m:t>i</m:t>
            </m:r>
          </m:sub>
        </m:sSub>
      </m:oMath>
      <w:r w:rsidR="00E10BA0" w:rsidRPr="008E3606">
        <w:rPr>
          <w:rFonts w:ascii="Cambria" w:hAnsi="Cambria"/>
          <w:szCs w:val="24"/>
        </w:rPr>
        <w:t xml:space="preserve"> = 0.8 para los escenarios 2, 3 y 6 (paralelo a la baja, inclinación y una baja de tasas en el corto plazo).</w:t>
      </w:r>
    </w:p>
    <w:p w14:paraId="0ED79DDA" w14:textId="77777777" w:rsidR="00E10BA0" w:rsidRPr="008E3606" w:rsidRDefault="00E10BA0" w:rsidP="00E10BA0">
      <w:pPr>
        <w:widowControl w:val="0"/>
        <w:spacing w:after="240"/>
        <w:ind w:left="2268"/>
        <w:rPr>
          <w:sz w:val="24"/>
        </w:rPr>
      </w:pPr>
      <w:r w:rsidRPr="008E3606">
        <w:rPr>
          <w:sz w:val="24"/>
        </w:rPr>
        <w:t xml:space="preserve">Finalmente, la entidad debe clasificarlos dentro de la banda de tiempo </w:t>
      </w:r>
      <w:r w:rsidRPr="008E3606">
        <w:rPr>
          <w:i/>
          <w:sz w:val="24"/>
        </w:rPr>
        <w:t xml:space="preserve">overnight </w:t>
      </w:r>
      <w:r w:rsidRPr="008E3606">
        <w:rPr>
          <w:sz w:val="24"/>
        </w:rPr>
        <w:t>(</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r>
          <w:rPr>
            <w:rFonts w:ascii="Cambria Math" w:hAnsi="Cambria Math"/>
            <w:sz w:val="24"/>
          </w:rPr>
          <m:t>)</m:t>
        </m:r>
      </m:oMath>
      <w:r w:rsidRPr="008E3606">
        <w:rPr>
          <w:sz w:val="24"/>
        </w:rPr>
        <w:t>. Los flujos de caja correspondientes están dados por la siguiente ecuación:</w:t>
      </w:r>
    </w:p>
    <w:p w14:paraId="00CF6E32" w14:textId="77777777" w:rsidR="00E10BA0" w:rsidRPr="008E3606" w:rsidRDefault="00C04686" w:rsidP="00E10BA0">
      <w:pPr>
        <w:widowControl w:val="0"/>
        <w:spacing w:after="240"/>
        <w:ind w:left="2268"/>
        <w:rPr>
          <w:rFonts w:eastAsiaTheme="minorEastAsia"/>
          <w:sz w:val="24"/>
        </w:rPr>
      </w:pPr>
      <m:oMathPara>
        <m:oMath>
          <m:sSubSup>
            <m:sSubSupPr>
              <m:ctrlPr>
                <w:rPr>
                  <w:rFonts w:ascii="Cambria Math" w:hAnsi="Cambria Math"/>
                  <w:sz w:val="24"/>
                </w:rPr>
              </m:ctrlPr>
            </m:sSubSupPr>
            <m:e>
              <m:r>
                <w:rPr>
                  <w:rFonts w:ascii="Cambria Math" w:hAnsi="Cambria Math"/>
                  <w:sz w:val="24"/>
                </w:rPr>
                <m:t>FC</m:t>
              </m:r>
            </m:e>
            <m:sub>
              <m:r>
                <w:rPr>
                  <w:rFonts w:ascii="Cambria Math" w:hAnsi="Cambria Math"/>
                  <w:sz w:val="24"/>
                </w:rPr>
                <m:t>ic</m:t>
              </m:r>
            </m:sub>
            <m:sup>
              <m:r>
                <w:rPr>
                  <w:rFonts w:ascii="Cambria Math" w:hAnsi="Cambria Math"/>
                  <w:sz w:val="24"/>
                </w:rPr>
                <m:t>p</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t</m:t>
                  </m:r>
                </m:e>
                <m:sub>
                  <m:r>
                    <m:rPr>
                      <m:sty m:val="p"/>
                    </m:rPr>
                    <w:rPr>
                      <w:rFonts w:ascii="Cambria Math" w:hAnsi="Cambria Math"/>
                      <w:sz w:val="24"/>
                    </w:rPr>
                    <m:t>1</m:t>
                  </m:r>
                </m:sub>
              </m:sSub>
            </m:e>
          </m:d>
          <m:r>
            <m:rPr>
              <m:sty m:val="p"/>
            </m:rPr>
            <w:rPr>
              <w:rFonts w:ascii="Cambria Math" w:hAnsi="Cambria Math"/>
              <w:sz w:val="24"/>
            </w:rPr>
            <m:t xml:space="preserve">= </m:t>
          </m:r>
          <m:sSubSup>
            <m:sSubSupPr>
              <m:ctrlPr>
                <w:rPr>
                  <w:rFonts w:ascii="Cambria Math" w:hAnsi="Cambria Math"/>
                  <w:sz w:val="24"/>
                </w:rPr>
              </m:ctrlPr>
            </m:sSubSupPr>
            <m:e>
              <m:r>
                <w:rPr>
                  <w:rFonts w:ascii="Cambria Math" w:hAnsi="Cambria Math"/>
                  <w:sz w:val="24"/>
                </w:rPr>
                <m:t>PRDP</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r>
            <m:rPr>
              <m:sty m:val="p"/>
            </m:rPr>
            <w:rPr>
              <w:rFonts w:ascii="Cambria Math" w:hAnsi="Cambria Math"/>
              <w:sz w:val="24"/>
            </w:rPr>
            <m:t xml:space="preserve">* </m:t>
          </m:r>
          <m:sSubSup>
            <m:sSubSupPr>
              <m:ctrlPr>
                <w:rPr>
                  <w:rFonts w:ascii="Cambria Math" w:hAnsi="Cambria Math"/>
                  <w:sz w:val="24"/>
                </w:rPr>
              </m:ctrlPr>
            </m:sSubSupPr>
            <m:e>
              <m:r>
                <w:rPr>
                  <w:rFonts w:ascii="Cambria Math" w:hAnsi="Cambria Math"/>
                  <w:sz w:val="24"/>
                </w:rPr>
                <m:t>DP</m:t>
              </m:r>
            </m:e>
            <m:sub>
              <m:r>
                <w:rPr>
                  <w:rFonts w:ascii="Cambria Math" w:hAnsi="Cambria Math"/>
                  <w:sz w:val="24"/>
                </w:rPr>
                <m:t>i</m:t>
              </m:r>
              <m:r>
                <m:rPr>
                  <m:sty m:val="p"/>
                </m:rPr>
                <w:rPr>
                  <w:rFonts w:ascii="Cambria Math" w:hAnsi="Cambria Math"/>
                  <w:sz w:val="24"/>
                </w:rPr>
                <m:t>,</m:t>
              </m:r>
              <m:r>
                <w:rPr>
                  <w:rFonts w:ascii="Cambria Math" w:hAnsi="Cambria Math"/>
                  <w:sz w:val="24"/>
                </w:rPr>
                <m:t>c</m:t>
              </m:r>
            </m:sub>
            <m:sup>
              <m:r>
                <w:rPr>
                  <w:rFonts w:ascii="Cambria Math" w:hAnsi="Cambria Math"/>
                  <w:sz w:val="24"/>
                </w:rPr>
                <m:t>p</m:t>
              </m:r>
            </m:sup>
          </m:sSubSup>
        </m:oMath>
      </m:oMathPara>
    </w:p>
    <w:p w14:paraId="30C317E8" w14:textId="77777777" w:rsidR="00E10BA0" w:rsidRPr="008E3606" w:rsidRDefault="00E10BA0" w:rsidP="00E10BA0">
      <w:pPr>
        <w:widowControl w:val="0"/>
        <w:spacing w:line="247" w:lineRule="auto"/>
        <w:ind w:left="2268" w:hanging="11"/>
        <w:rPr>
          <w:sz w:val="24"/>
        </w:rPr>
      </w:pPr>
      <w:r w:rsidRPr="008E3606">
        <w:rPr>
          <w:sz w:val="24"/>
        </w:rPr>
        <w:t>Donde,</w:t>
      </w:r>
    </w:p>
    <w:p w14:paraId="4778EB69" w14:textId="77777777" w:rsidR="00E10BA0" w:rsidRPr="008E3606" w:rsidRDefault="00C04686" w:rsidP="00E10BA0">
      <w:pPr>
        <w:widowControl w:val="0"/>
        <w:spacing w:after="240"/>
        <w:ind w:left="2268"/>
        <w:rPr>
          <w:sz w:val="24"/>
        </w:rPr>
      </w:pPr>
      <m:oMath>
        <m:sSubSup>
          <m:sSubSupPr>
            <m:ctrlPr>
              <w:rPr>
                <w:rFonts w:ascii="Cambria Math" w:hAnsi="Cambria Math"/>
                <w:i/>
                <w:sz w:val="24"/>
              </w:rPr>
            </m:ctrlPr>
          </m:sSubSupPr>
          <m:e>
            <m:r>
              <w:rPr>
                <w:rFonts w:ascii="Cambria Math" w:hAnsi="Cambria Math"/>
                <w:sz w:val="24"/>
              </w:rPr>
              <m:t>DP</m:t>
            </m:r>
          </m:e>
          <m:sub>
            <m:r>
              <w:rPr>
                <w:rFonts w:ascii="Cambria Math" w:hAnsi="Cambria Math"/>
                <w:sz w:val="24"/>
              </w:rPr>
              <m:t>i,c</m:t>
            </m:r>
          </m:sub>
          <m:sup>
            <m:r>
              <w:rPr>
                <w:rFonts w:ascii="Cambria Math" w:hAnsi="Cambria Math"/>
                <w:sz w:val="24"/>
              </w:rPr>
              <m:t>p</m:t>
            </m:r>
          </m:sup>
        </m:sSubSup>
        <m:r>
          <w:rPr>
            <w:rFonts w:ascii="Cambria Math" w:hAnsi="Cambria Math"/>
            <w:sz w:val="24"/>
          </w:rPr>
          <m:t xml:space="preserve"> </m:t>
        </m:r>
      </m:oMath>
      <w:r w:rsidR="00E10BA0" w:rsidRPr="008E3606">
        <w:rPr>
          <w:sz w:val="24"/>
        </w:rPr>
        <w:t xml:space="preserve">es el monto remanente del depósito a plazo para los depósitos de clase </w:t>
      </w:r>
      <m:oMath>
        <m:r>
          <w:rPr>
            <w:rFonts w:ascii="Cambria Math" w:hAnsi="Cambria Math"/>
            <w:sz w:val="24"/>
          </w:rPr>
          <m:t>p</m:t>
        </m:r>
      </m:oMath>
      <w:r w:rsidR="00E10BA0" w:rsidRPr="008E3606">
        <w:rPr>
          <w:rFonts w:eastAsiaTheme="minorEastAsia"/>
          <w:sz w:val="24"/>
        </w:rPr>
        <w:t>.</w:t>
      </w:r>
    </w:p>
    <w:p w14:paraId="04EBEF1B" w14:textId="77777777" w:rsidR="00E10BA0" w:rsidRPr="008E3606" w:rsidRDefault="00E10BA0" w:rsidP="00E10BA0">
      <w:pPr>
        <w:widowControl w:val="0"/>
        <w:spacing w:after="240" w:line="240" w:lineRule="auto"/>
        <w:ind w:left="2268"/>
        <w:rPr>
          <w:b/>
          <w:bCs/>
          <w:color w:val="4472C4" w:themeColor="accent1"/>
          <w:sz w:val="24"/>
          <w:u w:val="single"/>
        </w:rPr>
      </w:pPr>
      <w:r w:rsidRPr="008E3606">
        <w:rPr>
          <w:b/>
          <w:bCs/>
          <w:color w:val="4472C4" w:themeColor="accent1"/>
          <w:sz w:val="24"/>
          <w:u w:val="single"/>
        </w:rPr>
        <w:t>Opciones automáticas sobre tasas de interés</w:t>
      </w:r>
    </w:p>
    <w:p w14:paraId="6A409368" w14:textId="77777777" w:rsidR="00E10BA0" w:rsidRPr="008E3606" w:rsidRDefault="00E10BA0" w:rsidP="00B21E78">
      <w:pPr>
        <w:pStyle w:val="Prrafodelista"/>
        <w:widowControl w:val="0"/>
        <w:numPr>
          <w:ilvl w:val="0"/>
          <w:numId w:val="48"/>
        </w:numPr>
        <w:spacing w:after="240" w:line="240" w:lineRule="auto"/>
        <w:contextualSpacing w:val="0"/>
        <w:rPr>
          <w:rFonts w:ascii="Cambria" w:hAnsi="Cambria"/>
          <w:b/>
          <w:bCs/>
          <w:strike/>
          <w:color w:val="4472C4" w:themeColor="accent1"/>
          <w:szCs w:val="24"/>
          <w:u w:val="single"/>
        </w:rPr>
      </w:pPr>
      <w:r w:rsidRPr="008E3606">
        <w:rPr>
          <w:rFonts w:ascii="Cambria" w:hAnsi="Cambria"/>
          <w:szCs w:val="24"/>
          <w:u w:val="single"/>
        </w:rPr>
        <w:t>Cálculo de las opciones automáticas (KAO</w:t>
      </w:r>
    </w:p>
    <w:p w14:paraId="4A63EA40" w14:textId="77777777" w:rsidR="00E10BA0" w:rsidRPr="008E3606" w:rsidRDefault="00E10BA0" w:rsidP="00E10BA0">
      <w:pPr>
        <w:widowControl w:val="0"/>
        <w:spacing w:after="240"/>
        <w:ind w:left="2268"/>
        <w:rPr>
          <w:sz w:val="24"/>
        </w:rPr>
      </w:pPr>
      <w:r w:rsidRPr="008E3606">
        <w:rPr>
          <w:sz w:val="24"/>
        </w:rPr>
        <w:t>La entidad debe computar un complemento por efecto de la opcionalidad automática. Para el cálculo del VEP, las opciones se deben descontar al valor presente.</w:t>
      </w:r>
    </w:p>
    <w:p w14:paraId="5F3EF58C" w14:textId="77777777" w:rsidR="00C409C8" w:rsidRPr="008E3606" w:rsidRDefault="00C409C8" w:rsidP="00E10BA0">
      <w:pPr>
        <w:widowControl w:val="0"/>
        <w:spacing w:after="240"/>
        <w:ind w:left="2268"/>
        <w:rPr>
          <w:sz w:val="24"/>
        </w:rPr>
      </w:pPr>
    </w:p>
    <w:p w14:paraId="761E818C" w14:textId="348EA439" w:rsidR="00E10BA0" w:rsidRPr="008E3606" w:rsidRDefault="00E10BA0" w:rsidP="00E10BA0">
      <w:pPr>
        <w:widowControl w:val="0"/>
        <w:spacing w:after="240"/>
        <w:ind w:left="2268"/>
        <w:rPr>
          <w:sz w:val="24"/>
        </w:rPr>
      </w:pPr>
      <w:r w:rsidRPr="008E3606">
        <w:rPr>
          <w:sz w:val="24"/>
        </w:rPr>
        <w:t xml:space="preserve">Para adicionar al VEP todas las opciones automáticas de tasa de interés </w:t>
      </w:r>
      <m:oMath>
        <m:r>
          <w:rPr>
            <w:rFonts w:ascii="Cambria Math" w:hAnsi="Cambria Math"/>
            <w:sz w:val="24"/>
          </w:rPr>
          <m:t>i</m:t>
        </m:r>
      </m:oMath>
      <w:r w:rsidRPr="008E3606">
        <w:rPr>
          <w:sz w:val="24"/>
        </w:rPr>
        <w:t xml:space="preserve">, compradas y vendidas, ya sean explícitas o implícitas o aquellas exposiciones que presenten un comportamiento similar a una opción automática, la entidad debe realizar el siguiente cálculo: </w:t>
      </w:r>
    </w:p>
    <w:p w14:paraId="0B5CD212" w14:textId="77777777" w:rsidR="00E10BA0" w:rsidRPr="008E3606" w:rsidRDefault="00E10BA0" w:rsidP="00E10BA0">
      <w:pPr>
        <w:pStyle w:val="Prrafodelista"/>
        <w:widowControl w:val="0"/>
        <w:spacing w:after="240" w:line="240" w:lineRule="auto"/>
        <w:ind w:left="2835" w:hanging="567"/>
        <w:contextualSpacing w:val="0"/>
        <w:rPr>
          <w:rFonts w:ascii="Cambria" w:eastAsiaTheme="minorEastAsia" w:hAnsi="Cambria"/>
          <w:szCs w:val="24"/>
        </w:rPr>
      </w:pPr>
      <w:r w:rsidRPr="008E3606">
        <w:rPr>
          <w:rFonts w:ascii="Cambria" w:hAnsi="Cambria"/>
          <w:szCs w:val="24"/>
        </w:rPr>
        <w:t>i.1)</w:t>
      </w:r>
      <w:r w:rsidRPr="008E3606">
        <w:rPr>
          <w:rFonts w:ascii="Cambria" w:hAnsi="Cambria"/>
          <w:szCs w:val="24"/>
        </w:rPr>
        <w:tab/>
        <w:t>Se debe realizar el cálculo con base en la estimación del cambio en el valor razonable de cada opción de tasa de interés comprada o vendida</w:t>
      </w:r>
      <w:r w:rsidRPr="008E3606">
        <w:rPr>
          <w:rFonts w:ascii="Cambria" w:eastAsiaTheme="minorEastAsia" w:hAnsi="Cambria"/>
          <w:szCs w:val="24"/>
        </w:rPr>
        <w:t>, de acuerdo con la siguiente ecuación:</w:t>
      </w:r>
    </w:p>
    <w:p w14:paraId="02F3B9E9" w14:textId="77777777" w:rsidR="00E10BA0" w:rsidRPr="008E3606" w:rsidRDefault="00E10BA0" w:rsidP="00E10BA0">
      <w:pPr>
        <w:widowControl w:val="0"/>
        <w:spacing w:after="240"/>
        <w:ind w:left="2268"/>
        <w:rPr>
          <w:sz w:val="24"/>
        </w:rPr>
      </w:pPr>
      <m:oMathPara>
        <m:oMath>
          <m:r>
            <m:rPr>
              <m:sty m:val="p"/>
            </m:rPr>
            <w:rPr>
              <w:rFonts w:ascii="Cambria Math" w:hAnsi="Cambria Math"/>
              <w:sz w:val="24"/>
            </w:rPr>
            <m:t>∆</m:t>
          </m:r>
          <m:r>
            <w:rPr>
              <w:rFonts w:ascii="Cambria Math" w:hAnsi="Cambria Math"/>
              <w:sz w:val="24"/>
            </w:rPr>
            <m:t>VR</m:t>
          </m:r>
          <m:sSub>
            <m:sSubPr>
              <m:ctrlPr>
                <w:rPr>
                  <w:rFonts w:ascii="Cambria Math" w:hAnsi="Cambria Math"/>
                  <w:sz w:val="24"/>
                </w:rPr>
              </m:ctrlPr>
            </m:sSubPr>
            <m:e>
              <m:r>
                <w:rPr>
                  <w:rFonts w:ascii="Cambria Math" w:hAnsi="Cambria Math"/>
                  <w:sz w:val="24"/>
                </w:rPr>
                <m:t>OA</m:t>
              </m:r>
            </m:e>
            <m:sub>
              <m:r>
                <w:rPr>
                  <w:rFonts w:ascii="Cambria Math" w:hAnsi="Cambria Math"/>
                  <w:sz w:val="24"/>
                </w:rPr>
                <m:t>i</m:t>
              </m:r>
              <m:r>
                <m:rPr>
                  <m:sty m:val="p"/>
                </m:rPr>
                <w:rPr>
                  <w:rFonts w:ascii="Cambria Math" w:hAnsi="Cambria Math"/>
                  <w:sz w:val="24"/>
                </w:rPr>
                <m:t>,</m:t>
              </m:r>
              <m:r>
                <w:rPr>
                  <w:rFonts w:ascii="Cambria Math" w:hAnsi="Cambria Math"/>
                  <w:sz w:val="24"/>
                </w:rPr>
                <m:t>j</m:t>
              </m:r>
              <m:r>
                <m:rPr>
                  <m:sty m:val="p"/>
                </m:rPr>
                <w:rPr>
                  <w:rFonts w:ascii="Cambria Math" w:hAnsi="Cambria Math"/>
                  <w:sz w:val="24"/>
                </w:rPr>
                <m:t xml:space="preserve"> </m:t>
              </m:r>
            </m:sub>
          </m:sSub>
          <m:r>
            <m:rPr>
              <m:sty m:val="p"/>
            </m:rPr>
            <w:rPr>
              <w:rFonts w:ascii="Cambria Math" w:hAnsi="Cambria Math"/>
              <w:sz w:val="24"/>
            </w:rPr>
            <m:t xml:space="preserve">= </m:t>
          </m:r>
          <m:r>
            <w:rPr>
              <w:rFonts w:ascii="Cambria Math" w:hAnsi="Cambria Math"/>
              <w:sz w:val="24"/>
            </w:rPr>
            <m:t>VR</m:t>
          </m:r>
          <m:sSub>
            <m:sSubPr>
              <m:ctrlPr>
                <w:rPr>
                  <w:rFonts w:ascii="Cambria Math" w:hAnsi="Cambria Math"/>
                  <w:sz w:val="24"/>
                </w:rPr>
              </m:ctrlPr>
            </m:sSubPr>
            <m:e>
              <m:r>
                <w:rPr>
                  <w:rFonts w:ascii="Cambria Math" w:hAnsi="Cambria Math"/>
                  <w:sz w:val="24"/>
                </w:rPr>
                <m:t>OA</m:t>
              </m:r>
            </m:e>
            <m:sub>
              <m:r>
                <w:rPr>
                  <w:rFonts w:ascii="Cambria Math" w:hAnsi="Cambria Math"/>
                  <w:sz w:val="24"/>
                </w:rPr>
                <m:t>i</m:t>
              </m:r>
              <m:r>
                <m:rPr>
                  <m:sty m:val="p"/>
                </m:rPr>
                <w:rPr>
                  <w:rFonts w:ascii="Cambria Math" w:hAnsi="Cambria Math"/>
                  <w:sz w:val="24"/>
                </w:rPr>
                <m:t>,</m:t>
              </m:r>
              <m:r>
                <w:rPr>
                  <w:rFonts w:ascii="Cambria Math" w:hAnsi="Cambria Math"/>
                  <w:sz w:val="24"/>
                </w:rPr>
                <m:t>j</m:t>
              </m:r>
              <m:r>
                <m:rPr>
                  <m:sty m:val="p"/>
                </m:rPr>
                <w:rPr>
                  <w:rFonts w:ascii="Cambria Math" w:hAnsi="Cambria Math"/>
                  <w:sz w:val="24"/>
                </w:rPr>
                <m:t xml:space="preserve"> </m:t>
              </m:r>
            </m:sub>
          </m:sSub>
          <m:r>
            <m:rPr>
              <m:sty m:val="p"/>
            </m:rPr>
            <w:rPr>
              <w:rFonts w:ascii="Cambria Math" w:hAnsi="Cambria Math"/>
              <w:sz w:val="24"/>
            </w:rPr>
            <m:t>-</m:t>
          </m:r>
          <m:sSub>
            <m:sSubPr>
              <m:ctrlPr>
                <w:rPr>
                  <w:rFonts w:ascii="Cambria Math" w:hAnsi="Cambria Math"/>
                  <w:sz w:val="24"/>
                </w:rPr>
              </m:ctrlPr>
            </m:sSubPr>
            <m:e>
              <m:sSub>
                <m:sSubPr>
                  <m:ctrlPr>
                    <w:rPr>
                      <w:rFonts w:ascii="Cambria Math" w:hAnsi="Cambria Math"/>
                      <w:i/>
                      <w:sz w:val="24"/>
                    </w:rPr>
                  </m:ctrlPr>
                </m:sSubPr>
                <m:e>
                  <m:r>
                    <w:rPr>
                      <w:rFonts w:ascii="Cambria Math" w:hAnsi="Cambria Math"/>
                      <w:sz w:val="24"/>
                    </w:rPr>
                    <m:t>VROA</m:t>
                  </m:r>
                </m:e>
                <m:sub>
                  <m:r>
                    <m:rPr>
                      <m:sty m:val="p"/>
                    </m:rPr>
                    <w:rPr>
                      <w:rFonts w:ascii="Cambria Math" w:hAnsi="Cambria Math"/>
                      <w:sz w:val="24"/>
                    </w:rPr>
                    <m:t>0,</m:t>
                  </m:r>
                  <m:r>
                    <w:rPr>
                      <w:rFonts w:ascii="Cambria Math" w:hAnsi="Cambria Math"/>
                      <w:sz w:val="24"/>
                    </w:rPr>
                    <m:t>j</m:t>
                  </m:r>
                </m:sub>
              </m:sSub>
            </m:e>
            <m:sub>
              <m:r>
                <m:rPr>
                  <m:sty m:val="p"/>
                </m:rPr>
                <w:rPr>
                  <w:rFonts w:ascii="Cambria Math" w:hAnsi="Cambria Math"/>
                  <w:sz w:val="24"/>
                </w:rPr>
                <m:t xml:space="preserve"> </m:t>
              </m:r>
            </m:sub>
          </m:sSub>
        </m:oMath>
      </m:oMathPara>
    </w:p>
    <w:p w14:paraId="3D183D72" w14:textId="77777777" w:rsidR="00E10BA0" w:rsidRPr="008E3606" w:rsidRDefault="00E10BA0" w:rsidP="00E10BA0">
      <w:pPr>
        <w:widowControl w:val="0"/>
        <w:spacing w:line="247" w:lineRule="auto"/>
        <w:ind w:left="2268" w:hanging="11"/>
        <w:rPr>
          <w:sz w:val="24"/>
        </w:rPr>
      </w:pPr>
      <w:r w:rsidRPr="008E3606">
        <w:rPr>
          <w:sz w:val="24"/>
        </w:rPr>
        <w:t>Donde,</w:t>
      </w:r>
    </w:p>
    <w:p w14:paraId="65FA22F7" w14:textId="77777777" w:rsidR="00E10BA0" w:rsidRPr="008E3606" w:rsidRDefault="00E10BA0" w:rsidP="00E10BA0">
      <w:pPr>
        <w:widowControl w:val="0"/>
        <w:spacing w:line="247" w:lineRule="auto"/>
        <w:ind w:left="2268" w:hanging="11"/>
        <w:rPr>
          <w:sz w:val="24"/>
        </w:rPr>
      </w:pPr>
      <m:oMath>
        <m:r>
          <w:rPr>
            <w:rFonts w:ascii="Cambria Math" w:hAnsi="Cambria Math"/>
            <w:sz w:val="24"/>
          </w:rPr>
          <m:t>VR</m:t>
        </m:r>
        <m:sSub>
          <m:sSubPr>
            <m:ctrlPr>
              <w:rPr>
                <w:rFonts w:ascii="Cambria Math" w:hAnsi="Cambria Math"/>
                <w:i/>
                <w:iCs/>
                <w:sz w:val="24"/>
              </w:rPr>
            </m:ctrlPr>
          </m:sSubPr>
          <m:e>
            <m:r>
              <w:rPr>
                <w:rFonts w:ascii="Cambria Math" w:hAnsi="Cambria Math"/>
                <w:sz w:val="24"/>
              </w:rPr>
              <m:t>OA</m:t>
            </m:r>
          </m:e>
          <m:sub>
            <m:r>
              <w:rPr>
                <w:rFonts w:ascii="Cambria Math" w:hAnsi="Cambria Math"/>
                <w:sz w:val="24"/>
              </w:rPr>
              <m:t xml:space="preserve">i, j </m:t>
            </m:r>
          </m:sub>
        </m:sSub>
      </m:oMath>
      <w:r w:rsidRPr="008E3606">
        <w:rPr>
          <w:sz w:val="24"/>
        </w:rPr>
        <w:t xml:space="preserve">: Valor razonable de la opción automática j dada la curva de rendimiento estresada en el escenario </w:t>
      </w:r>
      <m:oMath>
        <m:r>
          <w:rPr>
            <w:rFonts w:ascii="Cambria Math" w:hAnsi="Cambria Math"/>
            <w:sz w:val="24"/>
          </w:rPr>
          <m:t>i</m:t>
        </m:r>
      </m:oMath>
      <w:r w:rsidRPr="008E3606">
        <w:rPr>
          <w:sz w:val="24"/>
        </w:rPr>
        <w:t xml:space="preserve"> y un incremento de la volatilidad del 25%.</w:t>
      </w:r>
    </w:p>
    <w:p w14:paraId="481C54CB" w14:textId="77777777" w:rsidR="00E10BA0" w:rsidRPr="008E3606" w:rsidRDefault="00E10BA0" w:rsidP="00E10BA0">
      <w:pPr>
        <w:widowControl w:val="0"/>
        <w:spacing w:after="240"/>
        <w:ind w:left="2268"/>
        <w:rPr>
          <w:sz w:val="24"/>
        </w:rPr>
      </w:pPr>
      <m:oMath>
        <m:r>
          <w:rPr>
            <w:rFonts w:ascii="Cambria Math" w:hAnsi="Cambria Math"/>
            <w:sz w:val="24"/>
          </w:rPr>
          <m:t>VR</m:t>
        </m:r>
        <m:sSub>
          <m:sSubPr>
            <m:ctrlPr>
              <w:rPr>
                <w:rFonts w:ascii="Cambria Math" w:hAnsi="Cambria Math"/>
                <w:i/>
                <w:iCs/>
                <w:sz w:val="24"/>
              </w:rPr>
            </m:ctrlPr>
          </m:sSubPr>
          <m:e>
            <m:r>
              <w:rPr>
                <w:rFonts w:ascii="Cambria Math" w:hAnsi="Cambria Math"/>
                <w:sz w:val="24"/>
              </w:rPr>
              <m:t>OA</m:t>
            </m:r>
          </m:e>
          <m:sub>
            <m:r>
              <w:rPr>
                <w:rFonts w:ascii="Cambria Math" w:hAnsi="Cambria Math"/>
                <w:sz w:val="24"/>
              </w:rPr>
              <m:t xml:space="preserve">0, j </m:t>
            </m:r>
          </m:sub>
        </m:sSub>
      </m:oMath>
      <w:r w:rsidRPr="008E3606">
        <w:rPr>
          <w:sz w:val="24"/>
        </w:rPr>
        <w:t>: Valor razonable de la opción automática j dada la curva de rendimiento actual y las condiciones de volatilidad actuales.</w:t>
      </w:r>
    </w:p>
    <w:p w14:paraId="01EDBB47" w14:textId="77777777" w:rsidR="00E10BA0" w:rsidRPr="008E3606" w:rsidRDefault="00E10BA0" w:rsidP="00E10BA0">
      <w:pPr>
        <w:widowControl w:val="0"/>
        <w:spacing w:after="240"/>
        <w:ind w:left="2268"/>
        <w:rPr>
          <w:sz w:val="24"/>
        </w:rPr>
      </w:pPr>
      <m:oMath>
        <m:r>
          <w:rPr>
            <w:rFonts w:ascii="Cambria Math" w:hAnsi="Cambria Math"/>
            <w:sz w:val="24"/>
          </w:rPr>
          <m:t>i</m:t>
        </m:r>
      </m:oMath>
      <w:r w:rsidRPr="008E3606">
        <w:rPr>
          <w:sz w:val="24"/>
        </w:rPr>
        <w:t xml:space="preserve"> = escenario de choque de tasas de interés (del 1 al 6).</w:t>
      </w:r>
    </w:p>
    <w:p w14:paraId="183649DE" w14:textId="77777777" w:rsidR="00E10BA0" w:rsidRPr="008E3606" w:rsidRDefault="00E10BA0" w:rsidP="00E10BA0">
      <w:pPr>
        <w:pStyle w:val="Prrafodelista"/>
        <w:widowControl w:val="0"/>
        <w:spacing w:after="240" w:line="240" w:lineRule="auto"/>
        <w:ind w:left="2835" w:hanging="567"/>
        <w:contextualSpacing w:val="0"/>
        <w:rPr>
          <w:rFonts w:ascii="Cambria" w:hAnsi="Cambria"/>
          <w:szCs w:val="24"/>
        </w:rPr>
      </w:pPr>
      <w:r w:rsidRPr="008E3606">
        <w:rPr>
          <w:rFonts w:ascii="Cambria" w:hAnsi="Cambria"/>
          <w:szCs w:val="24"/>
        </w:rPr>
        <w:t>i.2)</w:t>
      </w:r>
      <w:r w:rsidRPr="008E3606">
        <w:rPr>
          <w:rFonts w:ascii="Cambria" w:hAnsi="Cambria"/>
          <w:szCs w:val="24"/>
        </w:rPr>
        <w:tab/>
        <w:t xml:space="preserve">El KAO describe la medida del riesgo de tasa de interés de las opciones automáticas implícitas y explícitas vendidas y compradas bajo el escenario de tasas de tasas de interés </w:t>
      </w:r>
      <m:oMath>
        <m:r>
          <w:rPr>
            <w:rFonts w:ascii="Cambria Math" w:hAnsi="Cambria Math"/>
            <w:szCs w:val="24"/>
          </w:rPr>
          <m:t xml:space="preserve">i </m:t>
        </m:r>
      </m:oMath>
      <w:r w:rsidRPr="008E3606">
        <w:rPr>
          <w:rFonts w:ascii="Cambria" w:eastAsiaTheme="minorEastAsia" w:hAnsi="Cambria"/>
          <w:szCs w:val="24"/>
        </w:rPr>
        <w:t xml:space="preserve">en la moneda </w:t>
      </w:r>
      <m:oMath>
        <m:r>
          <w:rPr>
            <w:rFonts w:ascii="Cambria Math" w:eastAsiaTheme="minorEastAsia" w:hAnsi="Cambria Math"/>
            <w:szCs w:val="24"/>
          </w:rPr>
          <m:t>c</m:t>
        </m:r>
      </m:oMath>
      <w:r w:rsidRPr="008E3606">
        <w:rPr>
          <w:rFonts w:ascii="Cambria" w:hAnsi="Cambria"/>
          <w:szCs w:val="24"/>
        </w:rPr>
        <w:t xml:space="preserve"> se calcula de la siguiente manera, donde n </w:t>
      </w:r>
      <m:oMath>
        <m:r>
          <w:rPr>
            <w:rFonts w:ascii="Cambria Math" w:hAnsi="Cambria Math"/>
            <w:szCs w:val="24"/>
          </w:rPr>
          <m:t>c</m:t>
        </m:r>
      </m:oMath>
      <w:r w:rsidRPr="008E3606">
        <w:rPr>
          <w:rFonts w:ascii="Cambria" w:hAnsi="Cambria"/>
          <w:szCs w:val="24"/>
        </w:rPr>
        <w:t xml:space="preserve"> (m </w:t>
      </w:r>
      <m:oMath>
        <m:r>
          <w:rPr>
            <w:rFonts w:ascii="Cambria Math" w:hAnsi="Cambria Math"/>
            <w:szCs w:val="24"/>
          </w:rPr>
          <m:t>c)</m:t>
        </m:r>
      </m:oMath>
      <w:r w:rsidRPr="008E3606">
        <w:rPr>
          <w:rFonts w:ascii="Cambria" w:hAnsi="Cambria"/>
          <w:szCs w:val="24"/>
        </w:rPr>
        <w:t xml:space="preserve"> es el número de opciones vendadas (compradas) en la moneda </w:t>
      </w:r>
      <m:oMath>
        <m:r>
          <w:rPr>
            <w:rFonts w:ascii="Cambria Math" w:hAnsi="Cambria Math"/>
            <w:szCs w:val="24"/>
          </w:rPr>
          <m:t>c</m:t>
        </m:r>
      </m:oMath>
      <w:r w:rsidRPr="008E3606">
        <w:rPr>
          <w:rFonts w:ascii="Cambria" w:hAnsi="Cambria"/>
          <w:szCs w:val="24"/>
        </w:rPr>
        <w:t>:</w:t>
      </w:r>
    </w:p>
    <w:p w14:paraId="75BC9088" w14:textId="77777777" w:rsidR="00E10BA0" w:rsidRPr="008E3606" w:rsidRDefault="00C04686" w:rsidP="00E10BA0">
      <w:pPr>
        <w:widowControl w:val="0"/>
        <w:spacing w:after="240"/>
        <w:ind w:left="2268"/>
        <w:rPr>
          <w:sz w:val="24"/>
        </w:rPr>
      </w:pPr>
      <m:oMathPara>
        <m:oMath>
          <m:sSub>
            <m:sSubPr>
              <m:ctrlPr>
                <w:rPr>
                  <w:rFonts w:ascii="Cambria Math" w:hAnsi="Cambria Math"/>
                  <w:sz w:val="24"/>
                </w:rPr>
              </m:ctrlPr>
            </m:sSubPr>
            <m:e>
              <m:r>
                <w:rPr>
                  <w:rFonts w:ascii="Cambria Math" w:hAnsi="Cambria Math"/>
                  <w:sz w:val="24"/>
                </w:rPr>
                <m:t>KAO</m:t>
              </m:r>
            </m:e>
            <m:sub>
              <m:r>
                <w:rPr>
                  <w:rFonts w:ascii="Cambria Math" w:hAnsi="Cambria Math"/>
                  <w:sz w:val="24"/>
                </w:rPr>
                <m:t>i</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j</m:t>
              </m:r>
              <m:r>
                <m:rPr>
                  <m:sty m:val="p"/>
                </m:rPr>
                <w:rPr>
                  <w:rFonts w:ascii="Cambria Math" w:hAnsi="Cambria Math"/>
                  <w:sz w:val="24"/>
                </w:rPr>
                <m:t>=1</m:t>
              </m:r>
            </m:sub>
            <m:sup>
              <m:r>
                <w:rPr>
                  <w:rFonts w:ascii="Cambria Math" w:hAnsi="Cambria Math"/>
                  <w:sz w:val="24"/>
                </w:rPr>
                <m:t>N</m:t>
              </m:r>
            </m:sup>
            <m:e>
              <m:r>
                <m:rPr>
                  <m:sty m:val="p"/>
                </m:rPr>
                <w:rPr>
                  <w:rFonts w:ascii="Cambria Math" w:hAnsi="Cambria Math"/>
                  <w:sz w:val="24"/>
                </w:rPr>
                <m:t>∆</m:t>
              </m:r>
              <m:r>
                <w:rPr>
                  <w:rFonts w:ascii="Cambria Math" w:hAnsi="Cambria Math"/>
                  <w:sz w:val="24"/>
                </w:rPr>
                <m:t>VR</m:t>
              </m:r>
              <m:sSub>
                <m:sSubPr>
                  <m:ctrlPr>
                    <w:rPr>
                      <w:rFonts w:ascii="Cambria Math" w:hAnsi="Cambria Math"/>
                      <w:sz w:val="24"/>
                    </w:rPr>
                  </m:ctrlPr>
                </m:sSubPr>
                <m:e>
                  <m:r>
                    <w:rPr>
                      <w:rFonts w:ascii="Cambria Math" w:hAnsi="Cambria Math"/>
                      <w:sz w:val="24"/>
                    </w:rPr>
                    <m:t>OA</m:t>
                  </m:r>
                </m:e>
                <m:sub>
                  <m:r>
                    <w:rPr>
                      <w:rFonts w:ascii="Cambria Math" w:hAnsi="Cambria Math"/>
                      <w:sz w:val="24"/>
                    </w:rPr>
                    <m:t>i</m:t>
                  </m:r>
                  <m:r>
                    <m:rPr>
                      <m:sty m:val="p"/>
                    </m:rPr>
                    <w:rPr>
                      <w:rFonts w:ascii="Cambria Math" w:hAnsi="Cambria Math"/>
                      <w:sz w:val="24"/>
                    </w:rPr>
                    <m:t>,</m:t>
                  </m:r>
                  <m:r>
                    <w:rPr>
                      <w:rFonts w:ascii="Cambria Math" w:hAnsi="Cambria Math"/>
                      <w:sz w:val="24"/>
                    </w:rPr>
                    <m:t>n</m:t>
                  </m:r>
                  <m:r>
                    <m:rPr>
                      <m:sty m:val="p"/>
                    </m:rPr>
                    <w:rPr>
                      <w:rFonts w:ascii="Cambria Math" w:hAnsi="Cambria Math"/>
                      <w:sz w:val="24"/>
                    </w:rPr>
                    <m:t xml:space="preserve"> </m:t>
                  </m:r>
                </m:sub>
              </m:sSub>
              <m:r>
                <m:rPr>
                  <m:sty m:val="p"/>
                </m:rPr>
                <w:rPr>
                  <w:rFonts w:ascii="Cambria Math" w:hAnsi="Cambria Math"/>
                  <w:sz w:val="24"/>
                </w:rPr>
                <m:t>-</m:t>
              </m:r>
            </m:e>
          </m:nary>
          <m:nary>
            <m:naryPr>
              <m:chr m:val="∑"/>
              <m:limLoc m:val="undOvr"/>
              <m:ctrlPr>
                <w:rPr>
                  <w:rFonts w:ascii="Cambria Math" w:hAnsi="Cambria Math"/>
                  <w:sz w:val="24"/>
                </w:rPr>
              </m:ctrlPr>
            </m:naryPr>
            <m:sub>
              <m:r>
                <w:rPr>
                  <w:rFonts w:ascii="Cambria Math" w:hAnsi="Cambria Math"/>
                  <w:sz w:val="24"/>
                </w:rPr>
                <m:t>j</m:t>
              </m:r>
              <m:r>
                <m:rPr>
                  <m:sty m:val="p"/>
                </m:rPr>
                <w:rPr>
                  <w:rFonts w:ascii="Cambria Math" w:hAnsi="Cambria Math"/>
                  <w:sz w:val="24"/>
                </w:rPr>
                <m:t>=1</m:t>
              </m:r>
            </m:sub>
            <m:sup>
              <m:r>
                <w:rPr>
                  <w:rFonts w:ascii="Cambria Math" w:hAnsi="Cambria Math"/>
                  <w:sz w:val="24"/>
                </w:rPr>
                <m:t>M</m:t>
              </m:r>
            </m:sup>
            <m:e>
              <m:r>
                <m:rPr>
                  <m:sty m:val="p"/>
                </m:rPr>
                <w:rPr>
                  <w:rFonts w:ascii="Cambria Math" w:hAnsi="Cambria Math"/>
                  <w:sz w:val="24"/>
                </w:rPr>
                <m:t>∆</m:t>
              </m:r>
              <m:r>
                <w:rPr>
                  <w:rFonts w:ascii="Cambria Math" w:hAnsi="Cambria Math"/>
                  <w:sz w:val="24"/>
                </w:rPr>
                <m:t>VR</m:t>
              </m:r>
              <m:sSub>
                <m:sSubPr>
                  <m:ctrlPr>
                    <w:rPr>
                      <w:rFonts w:ascii="Cambria Math" w:hAnsi="Cambria Math"/>
                      <w:sz w:val="24"/>
                    </w:rPr>
                  </m:ctrlPr>
                </m:sSubPr>
                <m:e>
                  <m:r>
                    <w:rPr>
                      <w:rFonts w:ascii="Cambria Math" w:hAnsi="Cambria Math"/>
                      <w:sz w:val="24"/>
                    </w:rPr>
                    <m:t>OA</m:t>
                  </m:r>
                </m:e>
                <m:sub>
                  <m:r>
                    <w:rPr>
                      <w:rFonts w:ascii="Cambria Math" w:hAnsi="Cambria Math"/>
                      <w:sz w:val="24"/>
                    </w:rPr>
                    <m:t>i</m:t>
                  </m:r>
                  <m:r>
                    <m:rPr>
                      <m:sty m:val="p"/>
                    </m:rPr>
                    <w:rPr>
                      <w:rFonts w:ascii="Cambria Math" w:hAnsi="Cambria Math"/>
                      <w:sz w:val="24"/>
                    </w:rPr>
                    <m:t>,</m:t>
                  </m:r>
                  <m:r>
                    <w:rPr>
                      <w:rFonts w:ascii="Cambria Math" w:hAnsi="Cambria Math"/>
                      <w:sz w:val="24"/>
                    </w:rPr>
                    <m:t>m</m:t>
                  </m:r>
                </m:sub>
              </m:sSub>
            </m:e>
          </m:nary>
        </m:oMath>
      </m:oMathPara>
    </w:p>
    <w:p w14:paraId="5E019BCE" w14:textId="77777777" w:rsidR="00E10BA0" w:rsidRPr="008E3606" w:rsidRDefault="00E10BA0" w:rsidP="00E10BA0">
      <w:pPr>
        <w:widowControl w:val="0"/>
        <w:spacing w:line="247" w:lineRule="auto"/>
        <w:ind w:left="2268" w:hanging="11"/>
        <w:rPr>
          <w:sz w:val="24"/>
        </w:rPr>
      </w:pPr>
      <w:r w:rsidRPr="008E3606">
        <w:rPr>
          <w:sz w:val="24"/>
        </w:rPr>
        <w:t>Donde,</w:t>
      </w:r>
    </w:p>
    <w:p w14:paraId="7EC304F9" w14:textId="77777777" w:rsidR="00E10BA0" w:rsidRPr="008E3606" w:rsidRDefault="00E10BA0" w:rsidP="00E10BA0">
      <w:pPr>
        <w:widowControl w:val="0"/>
        <w:spacing w:line="247" w:lineRule="auto"/>
        <w:ind w:left="2268" w:hanging="11"/>
        <w:rPr>
          <w:sz w:val="24"/>
        </w:rPr>
      </w:pPr>
      <m:oMath>
        <m:r>
          <m:rPr>
            <m:sty m:val="p"/>
          </m:rPr>
          <w:rPr>
            <w:rFonts w:ascii="Cambria Math" w:hAnsi="Cambria Math"/>
            <w:sz w:val="24"/>
          </w:rPr>
          <m:t>j ϵ n:</m:t>
        </m:r>
      </m:oMath>
      <w:r w:rsidRPr="008E3606">
        <w:rPr>
          <w:sz w:val="24"/>
        </w:rPr>
        <w:t xml:space="preserve"> Opciones automáticas de tasa de interés vendidas</w:t>
      </w:r>
    </w:p>
    <w:p w14:paraId="1AA2CE2E" w14:textId="77777777" w:rsidR="00E10BA0" w:rsidRPr="008E3606" w:rsidRDefault="00E10BA0" w:rsidP="00E10BA0">
      <w:pPr>
        <w:widowControl w:val="0"/>
        <w:spacing w:line="247" w:lineRule="auto"/>
        <w:ind w:left="2268" w:hanging="11"/>
        <w:rPr>
          <w:sz w:val="24"/>
        </w:rPr>
      </w:pPr>
      <m:oMath>
        <m:r>
          <m:rPr>
            <m:sty m:val="p"/>
          </m:rPr>
          <w:rPr>
            <w:rFonts w:ascii="Cambria Math" w:hAnsi="Cambria Math"/>
            <w:sz w:val="24"/>
          </w:rPr>
          <m:t>j ϵ m:</m:t>
        </m:r>
      </m:oMath>
      <w:r w:rsidRPr="008E3606">
        <w:rPr>
          <w:sz w:val="24"/>
        </w:rPr>
        <w:t xml:space="preserve"> Opciones automáticas de tasa de interés compradas</w:t>
      </w:r>
    </w:p>
    <w:p w14:paraId="72CC68CA" w14:textId="77777777" w:rsidR="00E10BA0" w:rsidRPr="008E3606" w:rsidRDefault="00E10BA0" w:rsidP="00E10BA0">
      <w:pPr>
        <w:widowControl w:val="0"/>
        <w:spacing w:after="240"/>
        <w:ind w:left="2268"/>
        <w:rPr>
          <w:rFonts w:eastAsiaTheme="minorEastAsia"/>
          <w:sz w:val="24"/>
        </w:rPr>
      </w:pPr>
      <m:oMath>
        <m:r>
          <w:rPr>
            <w:rFonts w:ascii="Cambria Math" w:hAnsi="Cambria Math"/>
            <w:sz w:val="24"/>
          </w:rPr>
          <m:t>∆VR</m:t>
        </m:r>
        <m:sSub>
          <m:sSubPr>
            <m:ctrlPr>
              <w:rPr>
                <w:rFonts w:ascii="Cambria Math" w:hAnsi="Cambria Math"/>
                <w:i/>
                <w:sz w:val="24"/>
              </w:rPr>
            </m:ctrlPr>
          </m:sSubPr>
          <m:e>
            <m:r>
              <w:rPr>
                <w:rFonts w:ascii="Cambria Math" w:hAnsi="Cambria Math"/>
                <w:sz w:val="24"/>
              </w:rPr>
              <m:t>OA</m:t>
            </m:r>
          </m:e>
          <m:sub>
            <m:r>
              <w:rPr>
                <w:rFonts w:ascii="Cambria Math" w:hAnsi="Cambria Math"/>
                <w:sz w:val="24"/>
              </w:rPr>
              <m:t xml:space="preserve">i,j </m:t>
            </m:r>
          </m:sub>
        </m:sSub>
        <m:r>
          <w:rPr>
            <w:rFonts w:ascii="Cambria Math" w:hAnsi="Cambria Math"/>
            <w:sz w:val="24"/>
          </w:rPr>
          <m:t xml:space="preserve">: </m:t>
        </m:r>
      </m:oMath>
      <w:r w:rsidRPr="008E3606">
        <w:rPr>
          <w:sz w:val="24"/>
        </w:rPr>
        <w:t xml:space="preserve">Cambio del valor razonable de la opción automática </w:t>
      </w:r>
      <m:oMath>
        <m:r>
          <w:rPr>
            <w:rFonts w:ascii="Cambria Math" w:hAnsi="Cambria Math"/>
            <w:sz w:val="24"/>
          </w:rPr>
          <m:t>j</m:t>
        </m:r>
      </m:oMath>
      <w:r w:rsidRPr="008E3606">
        <w:rPr>
          <w:rFonts w:eastAsiaTheme="minorEastAsia"/>
          <w:sz w:val="24"/>
        </w:rPr>
        <w:t>.</w:t>
      </w:r>
    </w:p>
    <w:p w14:paraId="26DD026C" w14:textId="77777777" w:rsidR="00E10BA0" w:rsidRPr="008E3606" w:rsidRDefault="00E10BA0" w:rsidP="00E10BA0">
      <w:pPr>
        <w:widowControl w:val="0"/>
        <w:spacing w:after="240" w:line="240" w:lineRule="auto"/>
        <w:ind w:left="2268"/>
        <w:rPr>
          <w:b/>
          <w:bCs/>
          <w:color w:val="4472C4" w:themeColor="accent1"/>
          <w:sz w:val="24"/>
          <w:u w:val="single"/>
        </w:rPr>
      </w:pPr>
      <w:r w:rsidRPr="008E3606">
        <w:rPr>
          <w:b/>
          <w:bCs/>
          <w:color w:val="4472C4" w:themeColor="accent1"/>
          <w:sz w:val="24"/>
          <w:u w:val="single"/>
        </w:rPr>
        <w:t>Escenarios estándar de perturbaciones de tasas de interés</w:t>
      </w:r>
    </w:p>
    <w:p w14:paraId="07B2B896" w14:textId="77777777" w:rsidR="00E10BA0" w:rsidRPr="008E3606" w:rsidRDefault="00E10BA0" w:rsidP="00E10BA0">
      <w:pPr>
        <w:widowControl w:val="0"/>
        <w:spacing w:after="240" w:line="240" w:lineRule="auto"/>
        <w:ind w:left="2268"/>
        <w:rPr>
          <w:sz w:val="24"/>
        </w:rPr>
      </w:pPr>
      <w:r w:rsidRPr="008E3606">
        <w:rPr>
          <w:sz w:val="24"/>
        </w:rPr>
        <w:t xml:space="preserve">Las entidades deben aplicar seis escenarios de estrés de las tasas de interés para captar los riesgos de brecha paralelos y no paralelos para VEP. Estos escenarios se aplican a exposiciones IRRBB en cada moneda en la que el banco mantiene posiciones. </w:t>
      </w:r>
    </w:p>
    <w:p w14:paraId="6E6013AD" w14:textId="77777777" w:rsidR="00E10BA0" w:rsidRPr="008E3606" w:rsidRDefault="00E10BA0" w:rsidP="00E10BA0">
      <w:pPr>
        <w:widowControl w:val="0"/>
        <w:spacing w:after="240" w:line="240" w:lineRule="auto"/>
        <w:ind w:left="2268"/>
        <w:rPr>
          <w:sz w:val="24"/>
        </w:rPr>
      </w:pPr>
      <w:r w:rsidRPr="008E3606">
        <w:rPr>
          <w:sz w:val="24"/>
        </w:rPr>
        <w:t>Estos escenarios se deben considerar para las exposiciones de RTILB en cada moneda en la que la entidad tenga posiciones significativas, es decir aquellas que representen más del 5% de las posiciones expuestas al RTILB en activos o pasivos, según corresponda, en cada moneda.</w:t>
      </w:r>
    </w:p>
    <w:p w14:paraId="186907BE" w14:textId="77777777" w:rsidR="00C409C8" w:rsidRPr="008E3606" w:rsidRDefault="00C409C8" w:rsidP="00E10BA0">
      <w:pPr>
        <w:widowControl w:val="0"/>
        <w:spacing w:after="240" w:line="240" w:lineRule="auto"/>
        <w:ind w:left="2268"/>
        <w:rPr>
          <w:sz w:val="24"/>
        </w:rPr>
      </w:pPr>
    </w:p>
    <w:p w14:paraId="76DFD519" w14:textId="745C6A5A" w:rsidR="00E10BA0" w:rsidRPr="008E3606" w:rsidRDefault="00E10BA0" w:rsidP="00E10BA0">
      <w:pPr>
        <w:widowControl w:val="0"/>
        <w:spacing w:after="240" w:line="240" w:lineRule="auto"/>
        <w:ind w:left="2268"/>
        <w:rPr>
          <w:sz w:val="24"/>
        </w:rPr>
      </w:pPr>
      <w:r w:rsidRPr="008E3606">
        <w:rPr>
          <w:sz w:val="24"/>
        </w:rPr>
        <w:t>Con este enfoque, el RTILB se cuantifica mediante los seis escenarios siguientes:</w:t>
      </w:r>
    </w:p>
    <w:p w14:paraId="03FF06AA" w14:textId="77777777" w:rsidR="00E10BA0" w:rsidRPr="008E3606" w:rsidRDefault="00E10BA0" w:rsidP="00E10BA0">
      <w:pPr>
        <w:pStyle w:val="Prrafodelista"/>
        <w:widowControl w:val="0"/>
        <w:numPr>
          <w:ilvl w:val="0"/>
          <w:numId w:val="26"/>
        </w:numPr>
        <w:spacing w:after="0" w:line="240" w:lineRule="auto"/>
        <w:ind w:left="2835" w:hanging="577"/>
        <w:contextualSpacing w:val="0"/>
        <w:rPr>
          <w:rFonts w:ascii="Cambria" w:hAnsi="Cambria"/>
          <w:szCs w:val="24"/>
        </w:rPr>
      </w:pPr>
      <w:r w:rsidRPr="008E3606">
        <w:rPr>
          <w:rFonts w:ascii="Cambria" w:hAnsi="Cambria"/>
          <w:szCs w:val="24"/>
        </w:rPr>
        <w:t xml:space="preserve">Subida en paralelo; </w:t>
      </w:r>
    </w:p>
    <w:p w14:paraId="69AF4E7E" w14:textId="77777777" w:rsidR="00E10BA0" w:rsidRPr="008E3606" w:rsidRDefault="00E10BA0" w:rsidP="00E10BA0">
      <w:pPr>
        <w:pStyle w:val="Prrafodelista"/>
        <w:widowControl w:val="0"/>
        <w:numPr>
          <w:ilvl w:val="0"/>
          <w:numId w:val="26"/>
        </w:numPr>
        <w:spacing w:after="0" w:line="240" w:lineRule="auto"/>
        <w:ind w:left="2835" w:hanging="577"/>
        <w:contextualSpacing w:val="0"/>
        <w:rPr>
          <w:rFonts w:ascii="Cambria" w:hAnsi="Cambria"/>
          <w:color w:val="auto"/>
          <w:szCs w:val="24"/>
        </w:rPr>
      </w:pPr>
      <w:r w:rsidRPr="008E3606">
        <w:rPr>
          <w:rFonts w:ascii="Cambria" w:hAnsi="Cambria"/>
          <w:szCs w:val="24"/>
        </w:rPr>
        <w:t xml:space="preserve">Bajada en paralelo; </w:t>
      </w:r>
    </w:p>
    <w:p w14:paraId="05633475" w14:textId="77777777" w:rsidR="00E10BA0" w:rsidRPr="008E3606" w:rsidRDefault="00E10BA0" w:rsidP="00E10BA0">
      <w:pPr>
        <w:pStyle w:val="Prrafodelista"/>
        <w:widowControl w:val="0"/>
        <w:numPr>
          <w:ilvl w:val="0"/>
          <w:numId w:val="26"/>
        </w:numPr>
        <w:spacing w:after="0" w:line="240" w:lineRule="auto"/>
        <w:ind w:left="2835" w:hanging="577"/>
        <w:contextualSpacing w:val="0"/>
        <w:rPr>
          <w:rFonts w:ascii="Cambria" w:hAnsi="Cambria"/>
          <w:color w:val="auto"/>
          <w:szCs w:val="24"/>
        </w:rPr>
      </w:pPr>
      <w:r w:rsidRPr="008E3606">
        <w:rPr>
          <w:rFonts w:ascii="Cambria" w:hAnsi="Cambria"/>
          <w:szCs w:val="24"/>
        </w:rPr>
        <w:t xml:space="preserve">Mayor pendiente (bajada de tasas a corto y subida de tasas a largo); </w:t>
      </w:r>
    </w:p>
    <w:p w14:paraId="49E02992" w14:textId="77777777" w:rsidR="00E10BA0" w:rsidRPr="008E3606" w:rsidRDefault="00E10BA0" w:rsidP="00E10BA0">
      <w:pPr>
        <w:pStyle w:val="Prrafodelista"/>
        <w:widowControl w:val="0"/>
        <w:numPr>
          <w:ilvl w:val="0"/>
          <w:numId w:val="26"/>
        </w:numPr>
        <w:spacing w:after="0" w:line="240" w:lineRule="auto"/>
        <w:ind w:left="2835" w:hanging="577"/>
        <w:contextualSpacing w:val="0"/>
        <w:rPr>
          <w:rFonts w:ascii="Cambria" w:hAnsi="Cambria"/>
          <w:color w:val="auto"/>
          <w:szCs w:val="24"/>
        </w:rPr>
      </w:pPr>
      <w:r w:rsidRPr="008E3606">
        <w:rPr>
          <w:rFonts w:ascii="Cambria" w:hAnsi="Cambria"/>
          <w:szCs w:val="24"/>
        </w:rPr>
        <w:t xml:space="preserve">Menor pendiente (subida de tasas a corto y bajada de tasas a largo); </w:t>
      </w:r>
    </w:p>
    <w:p w14:paraId="37A7A14D" w14:textId="77777777" w:rsidR="00E10BA0" w:rsidRPr="008E3606" w:rsidRDefault="00E10BA0" w:rsidP="00E10BA0">
      <w:pPr>
        <w:pStyle w:val="Prrafodelista"/>
        <w:widowControl w:val="0"/>
        <w:numPr>
          <w:ilvl w:val="0"/>
          <w:numId w:val="26"/>
        </w:numPr>
        <w:spacing w:after="0" w:line="240" w:lineRule="auto"/>
        <w:ind w:left="2835" w:hanging="577"/>
        <w:contextualSpacing w:val="0"/>
        <w:rPr>
          <w:rFonts w:ascii="Cambria" w:hAnsi="Cambria"/>
          <w:color w:val="auto"/>
          <w:szCs w:val="24"/>
        </w:rPr>
      </w:pPr>
      <w:r w:rsidRPr="008E3606">
        <w:rPr>
          <w:rFonts w:ascii="Cambria" w:hAnsi="Cambria"/>
          <w:szCs w:val="24"/>
        </w:rPr>
        <w:t>Subida de tasas a corto; y</w:t>
      </w:r>
    </w:p>
    <w:p w14:paraId="34E3E9F4" w14:textId="77777777" w:rsidR="00E10BA0" w:rsidRPr="008E3606" w:rsidRDefault="00E10BA0" w:rsidP="00E10BA0">
      <w:pPr>
        <w:pStyle w:val="Prrafodelista"/>
        <w:widowControl w:val="0"/>
        <w:numPr>
          <w:ilvl w:val="0"/>
          <w:numId w:val="26"/>
        </w:numPr>
        <w:spacing w:after="240" w:line="240" w:lineRule="auto"/>
        <w:ind w:left="2835" w:hanging="577"/>
        <w:contextualSpacing w:val="0"/>
        <w:rPr>
          <w:rFonts w:ascii="Cambria" w:hAnsi="Cambria"/>
          <w:color w:val="auto"/>
          <w:szCs w:val="24"/>
        </w:rPr>
      </w:pPr>
      <w:r w:rsidRPr="008E3606">
        <w:rPr>
          <w:rFonts w:ascii="Cambria" w:hAnsi="Cambria"/>
          <w:szCs w:val="24"/>
        </w:rPr>
        <w:t>Bajada de tasas a corto.</w:t>
      </w:r>
    </w:p>
    <w:p w14:paraId="26930D75" w14:textId="77777777" w:rsidR="00E10BA0" w:rsidRPr="008E3606" w:rsidRDefault="00E10BA0" w:rsidP="00E10BA0">
      <w:pPr>
        <w:widowControl w:val="0"/>
        <w:spacing w:after="240" w:line="240" w:lineRule="auto"/>
        <w:ind w:left="2268"/>
        <w:rPr>
          <w:sz w:val="24"/>
        </w:rPr>
      </w:pPr>
      <w:r w:rsidRPr="008E3606">
        <w:rPr>
          <w:sz w:val="24"/>
        </w:rPr>
        <w:t>El calibrado de la perturbación de las tasas de interés para las monedas USD (Dólar de los Estados Unidos de América) y COL (colones costarricenses) es el siguiente:</w:t>
      </w:r>
    </w:p>
    <w:p w14:paraId="727816D8" w14:textId="77777777" w:rsidR="00E10BA0" w:rsidRPr="008E3606" w:rsidRDefault="00E10BA0" w:rsidP="00E10BA0">
      <w:pPr>
        <w:widowControl w:val="0"/>
        <w:spacing w:after="240" w:line="240" w:lineRule="auto"/>
        <w:ind w:left="2268"/>
        <w:rPr>
          <w:sz w:val="24"/>
        </w:rPr>
      </w:pPr>
      <w:r w:rsidRPr="008E3606">
        <w:rPr>
          <w:sz w:val="24"/>
        </w:rPr>
        <w:t xml:space="preserve">Magnitud específica de las perturbaciones de tasas de interés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R</m:t>
                </m:r>
              </m:e>
            </m:acc>
          </m:e>
          <m:sub>
            <m:r>
              <w:rPr>
                <w:rFonts w:ascii="Cambria Math" w:hAnsi="Cambria Math"/>
                <w:sz w:val="24"/>
              </w:rPr>
              <m:t>tipodeperturbación,c</m:t>
            </m:r>
          </m:sub>
        </m:sSub>
      </m:oMath>
    </w:p>
    <w:tbl>
      <w:tblPr>
        <w:tblStyle w:val="Tablaconcuadrcula"/>
        <w:tblW w:w="0" w:type="auto"/>
        <w:jc w:val="center"/>
        <w:tblLook w:val="04A0" w:firstRow="1" w:lastRow="0" w:firstColumn="1" w:lastColumn="0" w:noHBand="0" w:noVBand="1"/>
      </w:tblPr>
      <w:tblGrid>
        <w:gridCol w:w="2689"/>
        <w:gridCol w:w="708"/>
        <w:gridCol w:w="993"/>
      </w:tblGrid>
      <w:tr w:rsidR="00E10BA0" w:rsidRPr="008E3606" w14:paraId="0D3D6330" w14:textId="77777777" w:rsidTr="007E453E">
        <w:trPr>
          <w:jc w:val="center"/>
        </w:trPr>
        <w:tc>
          <w:tcPr>
            <w:tcW w:w="2689" w:type="dxa"/>
          </w:tcPr>
          <w:p w14:paraId="04115867" w14:textId="77777777" w:rsidR="00E10BA0" w:rsidRPr="008E3606" w:rsidRDefault="00E10BA0" w:rsidP="007E453E">
            <w:pPr>
              <w:widowControl w:val="0"/>
              <w:spacing w:line="240" w:lineRule="auto"/>
              <w:ind w:hanging="11"/>
              <w:rPr>
                <w:b/>
                <w:bCs/>
                <w:sz w:val="24"/>
              </w:rPr>
            </w:pPr>
            <w:r w:rsidRPr="008E3606">
              <w:rPr>
                <w:b/>
                <w:bCs/>
                <w:sz w:val="24"/>
              </w:rPr>
              <w:t xml:space="preserve">Tipo de perturbación </w:t>
            </w:r>
          </w:p>
        </w:tc>
        <w:tc>
          <w:tcPr>
            <w:tcW w:w="708" w:type="dxa"/>
          </w:tcPr>
          <w:p w14:paraId="28792BAE" w14:textId="77777777" w:rsidR="00E10BA0" w:rsidRPr="008E3606" w:rsidRDefault="00E10BA0" w:rsidP="007E453E">
            <w:pPr>
              <w:widowControl w:val="0"/>
              <w:spacing w:line="240" w:lineRule="auto"/>
              <w:ind w:hanging="11"/>
              <w:rPr>
                <w:b/>
                <w:bCs/>
                <w:sz w:val="24"/>
              </w:rPr>
            </w:pPr>
            <w:r w:rsidRPr="008E3606">
              <w:rPr>
                <w:b/>
                <w:bCs/>
                <w:sz w:val="24"/>
              </w:rPr>
              <w:t>USD</w:t>
            </w:r>
          </w:p>
        </w:tc>
        <w:tc>
          <w:tcPr>
            <w:tcW w:w="993" w:type="dxa"/>
          </w:tcPr>
          <w:p w14:paraId="4B8D77E5" w14:textId="77777777" w:rsidR="00E10BA0" w:rsidRPr="008E3606" w:rsidRDefault="00E10BA0" w:rsidP="007E453E">
            <w:pPr>
              <w:widowControl w:val="0"/>
              <w:spacing w:line="240" w:lineRule="auto"/>
              <w:ind w:hanging="11"/>
              <w:rPr>
                <w:b/>
                <w:bCs/>
                <w:sz w:val="24"/>
              </w:rPr>
            </w:pPr>
            <w:r w:rsidRPr="008E3606">
              <w:rPr>
                <w:b/>
                <w:bCs/>
                <w:sz w:val="24"/>
              </w:rPr>
              <w:t>COL</w:t>
            </w:r>
          </w:p>
        </w:tc>
      </w:tr>
      <w:tr w:rsidR="00E10BA0" w:rsidRPr="008E3606" w14:paraId="2CA1DB5C" w14:textId="77777777" w:rsidTr="007E453E">
        <w:trPr>
          <w:jc w:val="center"/>
        </w:trPr>
        <w:tc>
          <w:tcPr>
            <w:tcW w:w="2689" w:type="dxa"/>
          </w:tcPr>
          <w:p w14:paraId="0712D77F" w14:textId="77777777" w:rsidR="00E10BA0" w:rsidRPr="008E3606" w:rsidRDefault="00E10BA0" w:rsidP="007E453E">
            <w:pPr>
              <w:widowControl w:val="0"/>
              <w:spacing w:line="240" w:lineRule="auto"/>
              <w:ind w:hanging="11"/>
              <w:rPr>
                <w:sz w:val="24"/>
              </w:rPr>
            </w:pPr>
            <w:r w:rsidRPr="008E3606">
              <w:rPr>
                <w:sz w:val="24"/>
              </w:rPr>
              <w:t>Paralelo</w:t>
            </w:r>
          </w:p>
        </w:tc>
        <w:tc>
          <w:tcPr>
            <w:tcW w:w="708" w:type="dxa"/>
          </w:tcPr>
          <w:p w14:paraId="78E1D94F" w14:textId="77777777" w:rsidR="00E10BA0" w:rsidRPr="008E3606" w:rsidRDefault="00E10BA0" w:rsidP="007E453E">
            <w:pPr>
              <w:widowControl w:val="0"/>
              <w:spacing w:line="240" w:lineRule="auto"/>
              <w:ind w:hanging="11"/>
              <w:rPr>
                <w:sz w:val="24"/>
              </w:rPr>
            </w:pPr>
            <w:r w:rsidRPr="008E3606">
              <w:rPr>
                <w:sz w:val="24"/>
              </w:rPr>
              <w:t>200</w:t>
            </w:r>
          </w:p>
        </w:tc>
        <w:tc>
          <w:tcPr>
            <w:tcW w:w="993" w:type="dxa"/>
          </w:tcPr>
          <w:p w14:paraId="0B5A920E" w14:textId="77777777" w:rsidR="00E10BA0" w:rsidRPr="008E3606" w:rsidRDefault="00E10BA0" w:rsidP="007E453E">
            <w:pPr>
              <w:widowControl w:val="0"/>
              <w:spacing w:line="240" w:lineRule="auto"/>
              <w:ind w:hanging="11"/>
              <w:rPr>
                <w:sz w:val="24"/>
              </w:rPr>
            </w:pPr>
            <w:r w:rsidRPr="008E3606">
              <w:rPr>
                <w:sz w:val="24"/>
              </w:rPr>
              <w:t>400</w:t>
            </w:r>
          </w:p>
        </w:tc>
      </w:tr>
      <w:tr w:rsidR="00E10BA0" w:rsidRPr="008E3606" w14:paraId="6FFE41E0" w14:textId="77777777" w:rsidTr="007E453E">
        <w:trPr>
          <w:jc w:val="center"/>
        </w:trPr>
        <w:tc>
          <w:tcPr>
            <w:tcW w:w="2689" w:type="dxa"/>
          </w:tcPr>
          <w:p w14:paraId="58691BB5" w14:textId="77777777" w:rsidR="00E10BA0" w:rsidRPr="008E3606" w:rsidRDefault="00E10BA0" w:rsidP="007E453E">
            <w:pPr>
              <w:widowControl w:val="0"/>
              <w:spacing w:line="240" w:lineRule="auto"/>
              <w:ind w:hanging="11"/>
              <w:rPr>
                <w:sz w:val="24"/>
              </w:rPr>
            </w:pPr>
            <w:r w:rsidRPr="008E3606">
              <w:rPr>
                <w:sz w:val="24"/>
              </w:rPr>
              <w:t>Corto</w:t>
            </w:r>
          </w:p>
        </w:tc>
        <w:tc>
          <w:tcPr>
            <w:tcW w:w="708" w:type="dxa"/>
          </w:tcPr>
          <w:p w14:paraId="5358CCF0" w14:textId="77777777" w:rsidR="00E10BA0" w:rsidRPr="008E3606" w:rsidRDefault="00E10BA0" w:rsidP="007E453E">
            <w:pPr>
              <w:widowControl w:val="0"/>
              <w:spacing w:line="240" w:lineRule="auto"/>
              <w:ind w:hanging="11"/>
              <w:rPr>
                <w:sz w:val="24"/>
              </w:rPr>
            </w:pPr>
            <w:r w:rsidRPr="008E3606">
              <w:rPr>
                <w:sz w:val="24"/>
              </w:rPr>
              <w:t>300</w:t>
            </w:r>
          </w:p>
        </w:tc>
        <w:tc>
          <w:tcPr>
            <w:tcW w:w="993" w:type="dxa"/>
          </w:tcPr>
          <w:p w14:paraId="10BAF965" w14:textId="77777777" w:rsidR="00E10BA0" w:rsidRPr="008E3606" w:rsidRDefault="00E10BA0" w:rsidP="007E453E">
            <w:pPr>
              <w:widowControl w:val="0"/>
              <w:spacing w:line="240" w:lineRule="auto"/>
              <w:ind w:hanging="11"/>
              <w:rPr>
                <w:sz w:val="24"/>
              </w:rPr>
            </w:pPr>
            <w:r w:rsidRPr="008E3606">
              <w:rPr>
                <w:sz w:val="24"/>
              </w:rPr>
              <w:t>550</w:t>
            </w:r>
          </w:p>
        </w:tc>
      </w:tr>
      <w:tr w:rsidR="00E10BA0" w:rsidRPr="008E3606" w14:paraId="08B27BD5" w14:textId="77777777" w:rsidTr="007E453E">
        <w:trPr>
          <w:jc w:val="center"/>
        </w:trPr>
        <w:tc>
          <w:tcPr>
            <w:tcW w:w="2689" w:type="dxa"/>
          </w:tcPr>
          <w:p w14:paraId="08321255" w14:textId="77777777" w:rsidR="00E10BA0" w:rsidRPr="008E3606" w:rsidRDefault="00E10BA0" w:rsidP="007E453E">
            <w:pPr>
              <w:widowControl w:val="0"/>
              <w:spacing w:line="240" w:lineRule="auto"/>
              <w:ind w:hanging="11"/>
              <w:rPr>
                <w:sz w:val="24"/>
              </w:rPr>
            </w:pPr>
            <w:r w:rsidRPr="008E3606">
              <w:rPr>
                <w:sz w:val="24"/>
              </w:rPr>
              <w:t>Largo</w:t>
            </w:r>
          </w:p>
        </w:tc>
        <w:tc>
          <w:tcPr>
            <w:tcW w:w="708" w:type="dxa"/>
          </w:tcPr>
          <w:p w14:paraId="03F60659" w14:textId="77777777" w:rsidR="00E10BA0" w:rsidRPr="008E3606" w:rsidRDefault="00E10BA0" w:rsidP="007E453E">
            <w:pPr>
              <w:widowControl w:val="0"/>
              <w:spacing w:line="240" w:lineRule="auto"/>
              <w:ind w:hanging="11"/>
              <w:rPr>
                <w:sz w:val="24"/>
              </w:rPr>
            </w:pPr>
            <w:r w:rsidRPr="008E3606">
              <w:rPr>
                <w:sz w:val="24"/>
              </w:rPr>
              <w:t>150</w:t>
            </w:r>
          </w:p>
        </w:tc>
        <w:tc>
          <w:tcPr>
            <w:tcW w:w="993" w:type="dxa"/>
          </w:tcPr>
          <w:p w14:paraId="105E320B" w14:textId="77777777" w:rsidR="00E10BA0" w:rsidRPr="008E3606" w:rsidRDefault="00E10BA0" w:rsidP="007E453E">
            <w:pPr>
              <w:widowControl w:val="0"/>
              <w:spacing w:line="240" w:lineRule="auto"/>
              <w:ind w:hanging="11"/>
              <w:rPr>
                <w:sz w:val="24"/>
              </w:rPr>
            </w:pPr>
            <w:r w:rsidRPr="008E3606">
              <w:rPr>
                <w:sz w:val="24"/>
              </w:rPr>
              <w:t>250</w:t>
            </w:r>
          </w:p>
        </w:tc>
      </w:tr>
    </w:tbl>
    <w:p w14:paraId="424557D2" w14:textId="77777777" w:rsidR="00E10BA0" w:rsidRPr="008E3606" w:rsidRDefault="00E10BA0" w:rsidP="00E10BA0">
      <w:pPr>
        <w:widowControl w:val="0"/>
        <w:spacing w:before="240" w:after="240" w:line="240" w:lineRule="auto"/>
        <w:ind w:left="2268" w:hanging="11"/>
        <w:rPr>
          <w:sz w:val="24"/>
        </w:rPr>
      </w:pPr>
      <w:r w:rsidRPr="008E3606">
        <w:rPr>
          <w:sz w:val="24"/>
        </w:rPr>
        <w:t>La tabla anterior muestra solamente los escenarios para las monedas USD y COL, por ser estas las representativas en el modelo de negocio de las entidades supervisadas. En caso de que la entidad mantenga posiciones significativas en otras monedas, puede utilizar los escenarios predefinidos establecidos en el Marco de Basilea.</w:t>
      </w:r>
      <w:r w:rsidRPr="008E3606">
        <w:rPr>
          <w:rStyle w:val="Refdenotaalpie"/>
          <w:sz w:val="24"/>
        </w:rPr>
        <w:footnoteReference w:id="2"/>
      </w:r>
    </w:p>
    <w:p w14:paraId="7946EB07" w14:textId="77777777" w:rsidR="00E10BA0" w:rsidRPr="008E3606" w:rsidRDefault="00E10BA0" w:rsidP="00E10BA0">
      <w:pPr>
        <w:widowControl w:val="0"/>
        <w:spacing w:after="240" w:line="240" w:lineRule="auto"/>
        <w:ind w:left="2268"/>
        <w:rPr>
          <w:sz w:val="24"/>
        </w:rPr>
      </w:pPr>
      <w:r w:rsidRPr="008E3606">
        <w:rPr>
          <w:sz w:val="24"/>
        </w:rPr>
        <w:t>Según las perturbaciones indicadas para la tasa libre de riesgo paralelas, a corto y a largo plazo, para cada moneda c, se aplicarán los siguientes parámetros para los seis escenarios de alteración de la tasa de interés:</w:t>
      </w:r>
    </w:p>
    <w:p w14:paraId="30B36048" w14:textId="77777777" w:rsidR="00E10BA0" w:rsidRPr="008E3606" w:rsidRDefault="00E10BA0" w:rsidP="00E10BA0">
      <w:pPr>
        <w:widowControl w:val="0"/>
        <w:spacing w:after="240" w:line="240" w:lineRule="auto"/>
        <w:ind w:left="2268"/>
        <w:rPr>
          <w:sz w:val="24"/>
        </w:rPr>
      </w:pPr>
      <w:r w:rsidRPr="008E3606">
        <w:rPr>
          <w:sz w:val="24"/>
        </w:rPr>
        <w:t xml:space="preserve">(i) </w:t>
      </w:r>
      <w:r w:rsidRPr="008E3606">
        <w:rPr>
          <w:sz w:val="24"/>
          <w:u w:val="single"/>
        </w:rPr>
        <w:t>Perturbación en paralelo para la moneda c:</w:t>
      </w:r>
      <w:r w:rsidRPr="008E3606">
        <w:rPr>
          <w:sz w:val="24"/>
        </w:rPr>
        <w:t xml:space="preserve"> una perturbación constante paralela al alza o a la baja en todos los tramos temporales:</w:t>
      </w:r>
    </w:p>
    <w:p w14:paraId="6C8183FE" w14:textId="77777777" w:rsidR="00E10BA0" w:rsidRPr="008E3606" w:rsidRDefault="00C04686" w:rsidP="00E10BA0">
      <w:pPr>
        <w:widowControl w:val="0"/>
        <w:spacing w:after="240" w:line="240" w:lineRule="auto"/>
        <w:ind w:left="2268"/>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paralelo, 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R</m:t>
                  </m:r>
                </m:e>
              </m:acc>
            </m:e>
            <m:sub>
              <m:r>
                <w:rPr>
                  <w:rFonts w:ascii="Cambria Math" w:hAnsi="Cambria Math"/>
                  <w:sz w:val="24"/>
                </w:rPr>
                <m:t>paralelo, c</m:t>
              </m:r>
            </m:sub>
          </m:sSub>
        </m:oMath>
      </m:oMathPara>
    </w:p>
    <w:p w14:paraId="3FB19F4F" w14:textId="77777777" w:rsidR="00E10BA0" w:rsidRPr="008E3606" w:rsidRDefault="00E10BA0" w:rsidP="00E10BA0">
      <w:pPr>
        <w:widowControl w:val="0"/>
        <w:spacing w:after="240" w:line="240" w:lineRule="auto"/>
        <w:ind w:left="2268"/>
        <w:rPr>
          <w:sz w:val="24"/>
        </w:rPr>
      </w:pPr>
      <w:r w:rsidRPr="008E3606">
        <w:rPr>
          <w:sz w:val="24"/>
        </w:rPr>
        <w:t>Donde t</w:t>
      </w:r>
      <w:r w:rsidRPr="008E3606">
        <w:rPr>
          <w:sz w:val="24"/>
          <w:vertAlign w:val="subscript"/>
        </w:rPr>
        <w:t>k</w:t>
      </w:r>
      <w:r w:rsidRPr="008E3606">
        <w:rPr>
          <w:sz w:val="24"/>
        </w:rPr>
        <w:t xml:space="preserve"> es el punto medio (en tiempo) del tramo k-ésimo y t</w:t>
      </w:r>
      <w:r w:rsidRPr="008E3606">
        <w:rPr>
          <w:sz w:val="24"/>
          <w:vertAlign w:val="subscript"/>
        </w:rPr>
        <w:t>K</w:t>
      </w:r>
      <w:r w:rsidRPr="008E3606">
        <w:rPr>
          <w:sz w:val="24"/>
        </w:rPr>
        <w:t xml:space="preserve"> es el punto medio (en tiempo) del último tramo K.</w:t>
      </w:r>
    </w:p>
    <w:p w14:paraId="1C39733E" w14:textId="77777777" w:rsidR="00E10BA0" w:rsidRPr="008E3606" w:rsidRDefault="00E10BA0" w:rsidP="00E10BA0">
      <w:pPr>
        <w:widowControl w:val="0"/>
        <w:spacing w:after="240" w:line="240" w:lineRule="auto"/>
        <w:ind w:left="2268"/>
        <w:rPr>
          <w:sz w:val="24"/>
        </w:rPr>
      </w:pPr>
      <w:r w:rsidRPr="008E3606">
        <w:rPr>
          <w:sz w:val="24"/>
        </w:rPr>
        <w:t xml:space="preserve">(ii) </w:t>
      </w:r>
      <w:r w:rsidRPr="008E3606">
        <w:rPr>
          <w:sz w:val="24"/>
          <w:u w:val="single"/>
        </w:rPr>
        <w:t>Perturbación de la tasa a corto para la moneda c</w:t>
      </w:r>
      <w:r w:rsidRPr="008E3606">
        <w:rPr>
          <w:sz w:val="24"/>
        </w:rPr>
        <w:t xml:space="preserve">: la perturbación al alza o a la baja es máxima en el punto medio de vencimiento más corto. Dicha perturbación, a través del escalar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corto</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e</m:t>
            </m:r>
          </m:e>
          <m:sup>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num>
              <m:den>
                <m:r>
                  <w:rPr>
                    <w:rFonts w:ascii="Cambria Math" w:hAnsi="Cambria Math"/>
                    <w:sz w:val="24"/>
                  </w:rPr>
                  <m:t>x</m:t>
                </m:r>
              </m:den>
            </m:f>
          </m:sup>
        </m:sSup>
      </m:oMath>
      <w:r w:rsidRPr="008E3606">
        <w:rPr>
          <w:sz w:val="24"/>
        </w:rPr>
        <w:t>, donde x=4, disminuye hacia 0 en el vencimiento del punto más largo de la estructura temporal.</w:t>
      </w:r>
    </w:p>
    <w:p w14:paraId="6306C752" w14:textId="77777777" w:rsidR="00E10BA0" w:rsidRPr="008E3606" w:rsidRDefault="00C04686" w:rsidP="00E10BA0">
      <w:pPr>
        <w:widowControl w:val="0"/>
        <w:spacing w:after="240" w:line="240" w:lineRule="auto"/>
        <w:ind w:left="2268"/>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corto, 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R</m:t>
                  </m:r>
                </m:e>
              </m:acc>
            </m:e>
            <m:sub>
              <m:r>
                <w:rPr>
                  <w:rFonts w:ascii="Cambria Math" w:hAnsi="Cambria Math"/>
                  <w:sz w:val="24"/>
                </w:rPr>
                <m:t>corto, c</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corto</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oMath>
      </m:oMathPara>
    </w:p>
    <w:p w14:paraId="16197EAA" w14:textId="77777777" w:rsidR="00E10BA0" w:rsidRPr="008E3606" w:rsidRDefault="00E10BA0" w:rsidP="00E10BA0">
      <w:pPr>
        <w:widowControl w:val="0"/>
        <w:spacing w:after="240" w:line="240" w:lineRule="auto"/>
        <w:ind w:left="2268"/>
        <w:rPr>
          <w:sz w:val="24"/>
        </w:rPr>
      </w:pPr>
      <w:r w:rsidRPr="008E3606">
        <w:rPr>
          <w:sz w:val="24"/>
        </w:rPr>
        <w:t xml:space="preserve">(iii) </w:t>
      </w:r>
      <w:r w:rsidRPr="008E3606">
        <w:rPr>
          <w:sz w:val="24"/>
          <w:u w:val="single"/>
        </w:rPr>
        <w:t>Perturbación de la tasa a largo para la moneda c</w:t>
      </w:r>
      <w:r w:rsidRPr="008E3606">
        <w:rPr>
          <w:sz w:val="24"/>
        </w:rPr>
        <w:t xml:space="preserve">: (nota: solo se utilizan en perturbaciones rotacionales): la perturbación es máxima en el punto medio del estrato temporal más largo y está relacionada con el factor escalar corto como sigue: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largo</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=1-</m:t>
        </m:r>
        <m:sSub>
          <m:sSubPr>
            <m:ctrlPr>
              <w:rPr>
                <w:rFonts w:ascii="Cambria Math" w:hAnsi="Cambria Math"/>
                <w:i/>
                <w:sz w:val="24"/>
              </w:rPr>
            </m:ctrlPr>
          </m:sSubPr>
          <m:e>
            <m:r>
              <w:rPr>
                <w:rFonts w:ascii="Cambria Math" w:hAnsi="Cambria Math"/>
                <w:sz w:val="24"/>
              </w:rPr>
              <m:t>S</m:t>
            </m:r>
          </m:e>
          <m:sub>
            <m:r>
              <w:rPr>
                <w:rFonts w:ascii="Cambria Math" w:hAnsi="Cambria Math"/>
                <w:sz w:val="24"/>
              </w:rPr>
              <m:t>corto</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oMath>
    </w:p>
    <w:p w14:paraId="6B1D0C7B" w14:textId="77777777" w:rsidR="00E10BA0" w:rsidRPr="008E3606" w:rsidRDefault="00C04686" w:rsidP="00E10BA0">
      <w:pPr>
        <w:widowControl w:val="0"/>
        <w:spacing w:after="240" w:line="240" w:lineRule="auto"/>
        <w:ind w:left="2268"/>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largo,c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R</m:t>
                  </m:r>
                </m:e>
              </m:acc>
            </m:e>
            <m:sub>
              <m:r>
                <w:rPr>
                  <w:rFonts w:ascii="Cambria Math" w:hAnsi="Cambria Math"/>
                  <w:sz w:val="24"/>
                </w:rPr>
                <m:t>largo,c</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largo</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oMath>
      </m:oMathPara>
    </w:p>
    <w:p w14:paraId="5474CAE3" w14:textId="77777777" w:rsidR="00E10BA0" w:rsidRPr="008E3606" w:rsidRDefault="00E10BA0" w:rsidP="00E10BA0">
      <w:pPr>
        <w:widowControl w:val="0"/>
        <w:spacing w:after="240" w:line="240" w:lineRule="auto"/>
        <w:ind w:left="2268"/>
        <w:rPr>
          <w:sz w:val="24"/>
        </w:rPr>
      </w:pPr>
      <w:r w:rsidRPr="008E3606">
        <w:rPr>
          <w:sz w:val="24"/>
        </w:rPr>
        <w:t xml:space="preserve">(iv) </w:t>
      </w:r>
      <w:r w:rsidRPr="008E3606">
        <w:rPr>
          <w:sz w:val="24"/>
          <w:u w:val="single"/>
        </w:rPr>
        <w:t>Perturbaciones de rotación para la moneda c</w:t>
      </w:r>
      <w:r w:rsidRPr="008E3606">
        <w:rPr>
          <w:sz w:val="24"/>
        </w:rPr>
        <w:t>: conllevan rotaciones de la estructura temporal (es decir, aplanamiento e inclinación de la pendiente) de las tasas de interés por las que tanto las tasas a largo como a corto plazo se ven perturbadas y la modificación de las tasas de interés en cada punto medio de vencimiento se obtiene aplicando las siguientes fórmulas a dichos choques:</w:t>
      </w:r>
    </w:p>
    <w:p w14:paraId="1F983837" w14:textId="77777777" w:rsidR="00E10BA0" w:rsidRPr="008E3606" w:rsidRDefault="00C04686" w:rsidP="00E10BA0">
      <w:pPr>
        <w:widowControl w:val="0"/>
        <w:spacing w:after="240" w:line="240" w:lineRule="auto"/>
        <w:ind w:left="2268"/>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mayorpendiente,c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 xml:space="preserve">=-065* </m:t>
          </m:r>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corto, 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e>
          </m:d>
          <m:r>
            <w:rPr>
              <w:rFonts w:ascii="Cambria Math" w:hAnsi="Cambria Math"/>
              <w:sz w:val="24"/>
            </w:rPr>
            <m:t>+0.9*</m:t>
          </m:r>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largo,c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e>
          </m:d>
        </m:oMath>
      </m:oMathPara>
    </w:p>
    <w:p w14:paraId="2DB14FFA" w14:textId="77777777" w:rsidR="00E10BA0" w:rsidRPr="008E3606" w:rsidRDefault="00C04686" w:rsidP="00E10BA0">
      <w:pPr>
        <w:widowControl w:val="0"/>
        <w:spacing w:after="240" w:line="240" w:lineRule="auto"/>
        <w:ind w:left="2268"/>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menorpendiente,c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 xml:space="preserve">=+0.8* </m:t>
          </m:r>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corto, 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e>
          </m:d>
          <m:r>
            <w:rPr>
              <w:rFonts w:ascii="Cambria Math" w:hAnsi="Cambria Math"/>
              <w:sz w:val="24"/>
            </w:rPr>
            <m:t>-0.6*</m:t>
          </m:r>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largo,c</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e>
          </m:d>
        </m:oMath>
      </m:oMathPara>
    </w:p>
    <w:p w14:paraId="1E84855B" w14:textId="77777777" w:rsidR="00C409C8" w:rsidRPr="008E3606" w:rsidRDefault="00C409C8" w:rsidP="00E10BA0">
      <w:pPr>
        <w:widowControl w:val="0"/>
        <w:spacing w:after="240" w:line="240" w:lineRule="auto"/>
        <w:ind w:left="2268"/>
        <w:rPr>
          <w:sz w:val="24"/>
        </w:rPr>
      </w:pPr>
    </w:p>
    <w:p w14:paraId="0655F3EE" w14:textId="16A3A1D7" w:rsidR="00E10BA0" w:rsidRPr="008E3606" w:rsidRDefault="00E10BA0" w:rsidP="00E10BA0">
      <w:pPr>
        <w:widowControl w:val="0"/>
        <w:spacing w:after="240" w:line="240" w:lineRule="auto"/>
        <w:ind w:left="2268"/>
        <w:rPr>
          <w:sz w:val="24"/>
        </w:rPr>
      </w:pPr>
      <w:r w:rsidRPr="008E3606">
        <w:rPr>
          <w:sz w:val="24"/>
        </w:rPr>
        <w:t>Ejemplos:</w:t>
      </w:r>
    </w:p>
    <w:p w14:paraId="2A7B973A" w14:textId="77777777" w:rsidR="00E10BA0" w:rsidRPr="008E3606" w:rsidRDefault="00E10BA0" w:rsidP="00E10BA0">
      <w:pPr>
        <w:widowControl w:val="0"/>
        <w:spacing w:after="240" w:line="240" w:lineRule="auto"/>
        <w:ind w:left="2268"/>
        <w:rPr>
          <w:sz w:val="24"/>
        </w:rPr>
      </w:pPr>
      <w:r w:rsidRPr="008E3606">
        <w:rPr>
          <w:sz w:val="24"/>
          <w:u w:val="single"/>
        </w:rPr>
        <w:t>Bajada de la tasa a corto</w:t>
      </w:r>
      <w:r w:rsidRPr="008E3606">
        <w:rPr>
          <w:sz w:val="24"/>
        </w:rPr>
        <w:t>: Considere el método estándar con K=19 estratos temporales y t</w:t>
      </w:r>
      <w:r w:rsidRPr="008E3606">
        <w:rPr>
          <w:sz w:val="24"/>
          <w:vertAlign w:val="subscript"/>
        </w:rPr>
        <w:t>K</w:t>
      </w:r>
      <w:r w:rsidRPr="008E3606">
        <w:rPr>
          <w:sz w:val="24"/>
        </w:rPr>
        <w:t>=25 años (el punto medio (en tiempo) del estrato K de mayor vencimiento) y donde t</w:t>
      </w:r>
      <w:r w:rsidRPr="008E3606">
        <w:rPr>
          <w:sz w:val="24"/>
          <w:vertAlign w:val="subscript"/>
        </w:rPr>
        <w:t xml:space="preserve">k </w:t>
      </w:r>
      <w:r w:rsidRPr="008E3606">
        <w:rPr>
          <w:sz w:val="24"/>
        </w:rPr>
        <w:t>es el punto medio (en tiempo) del estrato k.</w:t>
      </w:r>
    </w:p>
    <w:p w14:paraId="62655486" w14:textId="77777777" w:rsidR="00E10BA0" w:rsidRPr="008E3606" w:rsidRDefault="00E10BA0" w:rsidP="00E10BA0">
      <w:pPr>
        <w:widowControl w:val="0"/>
        <w:spacing w:after="240" w:line="240" w:lineRule="auto"/>
        <w:ind w:left="2268"/>
        <w:rPr>
          <w:sz w:val="24"/>
        </w:rPr>
      </w:pPr>
      <w:r w:rsidRPr="008E3606">
        <w:rPr>
          <w:sz w:val="24"/>
        </w:rPr>
        <w:t>En el marco estándar, si k=10 con t</w:t>
      </w:r>
      <w:r w:rsidRPr="008E3606">
        <w:rPr>
          <w:sz w:val="24"/>
          <w:vertAlign w:val="subscript"/>
        </w:rPr>
        <w:t>k</w:t>
      </w:r>
      <w:r w:rsidRPr="008E3606">
        <w:rPr>
          <w:sz w:val="24"/>
        </w:rPr>
        <w:t xml:space="preserve">=3,5 años, el ajuste escalar para la perturbación a corto sería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corto</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m:t>
                </m:r>
              </m:e>
              <m:sub>
                <m:r>
                  <w:rPr>
                    <w:rFonts w:ascii="Cambria Math" w:hAnsi="Cambria Math"/>
                    <w:sz w:val="24"/>
                  </w:rPr>
                  <m:t>k</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e</m:t>
            </m:r>
          </m:e>
          <m:sup>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-3.5</m:t>
                    </m:r>
                  </m:e>
                  <m:sub/>
                </m:sSub>
              </m:num>
              <m:den>
                <m:r>
                  <w:rPr>
                    <w:rFonts w:ascii="Cambria Math" w:hAnsi="Cambria Math"/>
                    <w:sz w:val="24"/>
                  </w:rPr>
                  <m:t>4</m:t>
                </m:r>
              </m:den>
            </m:f>
          </m:sup>
        </m:sSup>
      </m:oMath>
      <w:r w:rsidRPr="008E3606">
        <w:rPr>
          <w:sz w:val="24"/>
        </w:rPr>
        <w:t xml:space="preserve"> </w:t>
      </w:r>
      <w:r w:rsidRPr="008E3606">
        <w:rPr>
          <w:rFonts w:cs="Segoe UI Historic"/>
          <w:sz w:val="24"/>
        </w:rPr>
        <w:t>= 0.417.</w:t>
      </w:r>
      <w:r w:rsidRPr="008E3606">
        <w:rPr>
          <w:sz w:val="24"/>
        </w:rPr>
        <w:t xml:space="preserve"> La entidad multiplicaría esta cifra por el valor de la tasa de interés a corto plazo para obtener la cuantía que debe añadir o restar de la curva de rendimientos en dicho punto de vencimiento. Si la perturbación de tasas a corto fuera +100 pb, el aumento de la curva de rendimientos para t</w:t>
      </w:r>
      <w:r w:rsidRPr="008E3606">
        <w:rPr>
          <w:sz w:val="24"/>
          <w:vertAlign w:val="subscript"/>
        </w:rPr>
        <w:t>k</w:t>
      </w:r>
      <w:r w:rsidRPr="008E3606">
        <w:rPr>
          <w:sz w:val="24"/>
        </w:rPr>
        <w:t xml:space="preserve">=3,5 años sería 41,7 pb. </w:t>
      </w:r>
    </w:p>
    <w:p w14:paraId="64688B51" w14:textId="77777777" w:rsidR="00E10BA0" w:rsidRPr="008E3606" w:rsidRDefault="00E10BA0" w:rsidP="00E10BA0">
      <w:pPr>
        <w:widowControl w:val="0"/>
        <w:spacing w:after="240" w:line="240" w:lineRule="auto"/>
        <w:ind w:left="2268"/>
        <w:rPr>
          <w:sz w:val="24"/>
        </w:rPr>
      </w:pPr>
      <w:r w:rsidRPr="008E3606">
        <w:rPr>
          <w:sz w:val="24"/>
          <w:u w:val="single"/>
        </w:rPr>
        <w:t>Inclinación de la pendiente</w:t>
      </w:r>
      <w:r w:rsidRPr="008E3606">
        <w:rPr>
          <w:sz w:val="24"/>
        </w:rPr>
        <w:t>: se asume el mismo punto de la curva de rendimientos citado antes, t</w:t>
      </w:r>
      <w:r w:rsidRPr="008E3606">
        <w:rPr>
          <w:sz w:val="24"/>
          <w:vertAlign w:val="subscript"/>
        </w:rPr>
        <w:t>k</w:t>
      </w:r>
      <w:r w:rsidRPr="008E3606">
        <w:rPr>
          <w:sz w:val="24"/>
        </w:rPr>
        <w:t>=3,5 años. Si el valor absoluto de la perturbación de la tasa a corto fuera 100 pb y el valor absoluto de la perturbación de la tasa a largo fuera 100 pb (como para el yen japonés), el cambio de la curva de rendimientos en t</w:t>
      </w:r>
      <w:r w:rsidRPr="008E3606">
        <w:rPr>
          <w:sz w:val="24"/>
          <w:vertAlign w:val="subscript"/>
        </w:rPr>
        <w:t>k</w:t>
      </w:r>
      <w:r w:rsidRPr="008E3606">
        <w:rPr>
          <w:sz w:val="24"/>
        </w:rPr>
        <w:t>=3,5 años sería la suma del efecto de la primera más la segunda perturbación en puntos básicos: − 0.65 ∙ 100bp ∙ 0.417 + 0.9 ∙ 100bp ∙ (1 − 0.417) = +25.4bp.</w:t>
      </w:r>
    </w:p>
    <w:p w14:paraId="19B59F2F" w14:textId="77777777" w:rsidR="00E10BA0" w:rsidRPr="008E3606" w:rsidRDefault="00E10BA0" w:rsidP="00E10BA0">
      <w:pPr>
        <w:widowControl w:val="0"/>
        <w:spacing w:after="240" w:line="240" w:lineRule="auto"/>
        <w:ind w:left="2268"/>
        <w:rPr>
          <w:sz w:val="24"/>
        </w:rPr>
      </w:pPr>
      <w:r w:rsidRPr="008E3606">
        <w:rPr>
          <w:sz w:val="24"/>
          <w:u w:val="single"/>
        </w:rPr>
        <w:t>Aplanamiento de la pendiente</w:t>
      </w:r>
      <w:r w:rsidRPr="008E3606">
        <w:rPr>
          <w:sz w:val="24"/>
        </w:rPr>
        <w:t>: el correspondiente cambio en la curva de vencimientos para las perturbaciones en el ejemplo anterior para t</w:t>
      </w:r>
      <w:r w:rsidRPr="008E3606">
        <w:rPr>
          <w:sz w:val="24"/>
          <w:vertAlign w:val="subscript"/>
        </w:rPr>
        <w:t>k</w:t>
      </w:r>
      <w:r w:rsidRPr="008E3606">
        <w:rPr>
          <w:sz w:val="24"/>
        </w:rPr>
        <w:t>=3,5 años sería: + 0.8 ∙ 100bp ∙ 0.417 − 0.6 ∙ 100bp ∙ (1 − 0.417) = −1.6bp.</w:t>
      </w:r>
    </w:p>
    <w:p w14:paraId="67A8921B" w14:textId="77777777" w:rsidR="00E10BA0" w:rsidRPr="008E3606" w:rsidRDefault="00E10BA0" w:rsidP="00E10BA0">
      <w:pPr>
        <w:widowControl w:val="0"/>
        <w:spacing w:after="240" w:line="240" w:lineRule="auto"/>
        <w:ind w:left="2268"/>
        <w:rPr>
          <w:sz w:val="24"/>
        </w:rPr>
      </w:pPr>
      <w:r w:rsidRPr="008E3606">
        <w:rPr>
          <w:sz w:val="24"/>
        </w:rPr>
        <w:t>Después de computar los seis escenarios de los choques a la curva de rendimientos, se debe determinar el VEP para cada uno de éstos y se calcula la diferencia frente al escenario base. Como se indica en el apartado siguiente, este valor será el máximo entre cero y el valor de los cambios del VEP (</w:t>
      </w:r>
      <w:r w:rsidRPr="008E3606">
        <w:rPr>
          <w:sz w:val="24"/>
        </w:rPr>
        <w:sym w:font="Symbol" w:char="F044"/>
      </w:r>
      <w:r w:rsidRPr="008E3606">
        <w:rPr>
          <w:sz w:val="24"/>
        </w:rPr>
        <w:t>VEP) de los distintos escenarios.</w:t>
      </w:r>
    </w:p>
    <w:p w14:paraId="48FA1350" w14:textId="77777777" w:rsidR="00E10BA0" w:rsidRPr="008E3606" w:rsidRDefault="00E10BA0" w:rsidP="00E10BA0">
      <w:pPr>
        <w:widowControl w:val="0"/>
        <w:spacing w:after="240" w:line="240" w:lineRule="auto"/>
        <w:ind w:left="2268"/>
        <w:rPr>
          <w:b/>
          <w:bCs/>
          <w:color w:val="4472C4" w:themeColor="accent1"/>
          <w:sz w:val="24"/>
          <w:u w:val="single"/>
        </w:rPr>
      </w:pPr>
      <w:r w:rsidRPr="008E3606">
        <w:rPr>
          <w:b/>
          <w:bCs/>
          <w:color w:val="4472C4" w:themeColor="accent1"/>
          <w:sz w:val="24"/>
          <w:u w:val="single"/>
        </w:rPr>
        <w:t>Cálculo de la medida estándar de riesgo VEP</w:t>
      </w:r>
    </w:p>
    <w:p w14:paraId="3CC3C76B" w14:textId="77777777" w:rsidR="00E10BA0" w:rsidRPr="008E3606" w:rsidRDefault="00E10BA0" w:rsidP="00E10BA0">
      <w:pPr>
        <w:pStyle w:val="Prrafodelista"/>
        <w:widowControl w:val="0"/>
        <w:numPr>
          <w:ilvl w:val="0"/>
          <w:numId w:val="27"/>
        </w:numPr>
        <w:spacing w:after="240" w:line="240" w:lineRule="auto"/>
        <w:ind w:left="2835" w:hanging="577"/>
        <w:contextualSpacing w:val="0"/>
        <w:rPr>
          <w:rFonts w:ascii="Cambria" w:hAnsi="Cambria"/>
          <w:szCs w:val="24"/>
        </w:rPr>
      </w:pPr>
      <w:r w:rsidRPr="008E3606">
        <w:rPr>
          <w:rFonts w:ascii="Cambria" w:hAnsi="Cambria"/>
          <w:szCs w:val="24"/>
        </w:rPr>
        <w:t>Bajo cada escenario de tasa de interés todos los flujos de caja (</w:t>
      </w:r>
      <w:r w:rsidRPr="008E3606">
        <w:rPr>
          <w:rFonts w:ascii="Cambria" w:hAnsi="Cambria" w:cs="Cambria Math"/>
          <w:szCs w:val="24"/>
        </w:rPr>
        <w:t>𝐹𝐶</w:t>
      </w:r>
      <w:r w:rsidRPr="008E3606">
        <w:rPr>
          <w:rFonts w:ascii="Cambria" w:hAnsi="Cambria"/>
          <w:szCs w:val="24"/>
        </w:rPr>
        <w:t xml:space="preserve"> (</w:t>
      </w:r>
      <w:r w:rsidRPr="008E3606">
        <w:rPr>
          <w:rFonts w:ascii="Cambria" w:hAnsi="Cambria" w:cs="Cambria Math"/>
          <w:szCs w:val="24"/>
        </w:rPr>
        <w:t>𝑡</w:t>
      </w:r>
      <w:r w:rsidRPr="008E3606">
        <w:rPr>
          <w:rFonts w:ascii="Cambria" w:hAnsi="Cambria" w:cs="Cambria Math"/>
          <w:szCs w:val="24"/>
          <w:vertAlign w:val="subscript"/>
        </w:rPr>
        <w:t>𝑘</w:t>
      </w:r>
      <w:r w:rsidRPr="008E3606">
        <w:rPr>
          <w:rFonts w:ascii="Cambria" w:hAnsi="Cambria"/>
          <w:szCs w:val="24"/>
        </w:rPr>
        <w:t>)) deben incorporarse en el respectivo tramo temporal. Para cada tramo todos los flujos de caja positivos o negativos son neteados para formar una única posición corta o larga.</w:t>
      </w:r>
    </w:p>
    <w:p w14:paraId="3DC6282A" w14:textId="77777777" w:rsidR="00E10BA0" w:rsidRPr="008E3606" w:rsidRDefault="00E10BA0" w:rsidP="00E10BA0">
      <w:pPr>
        <w:widowControl w:val="0"/>
        <w:spacing w:after="240" w:line="240" w:lineRule="auto"/>
        <w:ind w:left="2268"/>
        <w:jc w:val="center"/>
        <w:rPr>
          <w:sz w:val="24"/>
        </w:rPr>
      </w:pPr>
      <w:r w:rsidRPr="008E3606">
        <w:rPr>
          <w:rFonts w:cs="Cambria Math"/>
          <w:sz w:val="24"/>
        </w:rPr>
        <w:t>𝐹𝐶</w:t>
      </w:r>
      <w:r w:rsidRPr="008E3606">
        <w:rPr>
          <w:sz w:val="24"/>
        </w:rPr>
        <w:t>(</w:t>
      </w:r>
      <w:r w:rsidRPr="008E3606">
        <w:rPr>
          <w:rFonts w:cs="Cambria Math"/>
          <w:sz w:val="24"/>
        </w:rPr>
        <w:t>𝑡</w:t>
      </w:r>
      <w:r w:rsidRPr="008E3606">
        <w:rPr>
          <w:rFonts w:cs="Cambria Math"/>
          <w:sz w:val="24"/>
          <w:vertAlign w:val="subscript"/>
        </w:rPr>
        <w:t>𝑘</w:t>
      </w:r>
      <w:r w:rsidRPr="008E3606">
        <w:rPr>
          <w:sz w:val="24"/>
        </w:rPr>
        <w:t xml:space="preserve">) = </w:t>
      </w:r>
      <w:r w:rsidRPr="008E3606">
        <w:rPr>
          <w:rFonts w:cs="Cambria Math"/>
          <w:sz w:val="24"/>
        </w:rPr>
        <w:t>𝐹𝐶</w:t>
      </w:r>
      <w:r w:rsidRPr="008E3606">
        <w:rPr>
          <w:rFonts w:cs="Cambria Math"/>
          <w:sz w:val="24"/>
          <w:vertAlign w:val="subscript"/>
        </w:rPr>
        <w:t>𝐴</w:t>
      </w:r>
      <w:r w:rsidRPr="008E3606">
        <w:rPr>
          <w:sz w:val="24"/>
        </w:rPr>
        <w:t>(</w:t>
      </w:r>
      <w:r w:rsidRPr="008E3606">
        <w:rPr>
          <w:rFonts w:cs="Cambria Math"/>
          <w:sz w:val="24"/>
        </w:rPr>
        <w:t>𝑡</w:t>
      </w:r>
      <w:r w:rsidRPr="008E3606">
        <w:rPr>
          <w:rFonts w:cs="Cambria Math"/>
          <w:sz w:val="24"/>
          <w:vertAlign w:val="subscript"/>
        </w:rPr>
        <w:t>𝑘</w:t>
      </w:r>
      <w:r w:rsidRPr="008E3606">
        <w:rPr>
          <w:sz w:val="24"/>
        </w:rPr>
        <w:t xml:space="preserve">) − </w:t>
      </w:r>
      <w:r w:rsidRPr="008E3606">
        <w:rPr>
          <w:rFonts w:cs="Cambria Math"/>
          <w:sz w:val="24"/>
        </w:rPr>
        <w:t>𝐹𝐶</w:t>
      </w:r>
      <w:r w:rsidRPr="008E3606">
        <w:rPr>
          <w:rFonts w:cs="Cambria Math"/>
          <w:sz w:val="24"/>
          <w:vertAlign w:val="subscript"/>
        </w:rPr>
        <w:t>𝑃</w:t>
      </w:r>
      <w:r w:rsidRPr="008E3606">
        <w:rPr>
          <w:sz w:val="24"/>
        </w:rPr>
        <w:t>(</w:t>
      </w:r>
      <w:r w:rsidRPr="008E3606">
        <w:rPr>
          <w:rFonts w:cs="Cambria Math"/>
          <w:sz w:val="24"/>
        </w:rPr>
        <w:t>𝑡</w:t>
      </w:r>
      <w:r w:rsidRPr="008E3606">
        <w:rPr>
          <w:rFonts w:cs="Cambria Math"/>
          <w:sz w:val="24"/>
          <w:vertAlign w:val="subscript"/>
        </w:rPr>
        <w:t>𝑘</w:t>
      </w:r>
      <w:r w:rsidRPr="008E3606">
        <w:rPr>
          <w:sz w:val="24"/>
        </w:rPr>
        <w:t>)</w:t>
      </w:r>
    </w:p>
    <w:p w14:paraId="75FFBA5B" w14:textId="77777777" w:rsidR="00E10BA0" w:rsidRPr="008E3606" w:rsidRDefault="00E10BA0" w:rsidP="00E10BA0">
      <w:pPr>
        <w:widowControl w:val="0"/>
        <w:spacing w:line="240" w:lineRule="auto"/>
        <w:ind w:left="2268" w:hanging="11"/>
        <w:rPr>
          <w:sz w:val="24"/>
        </w:rPr>
      </w:pPr>
      <w:r w:rsidRPr="008E3606">
        <w:rPr>
          <w:sz w:val="24"/>
        </w:rPr>
        <w:t>Donde:</w:t>
      </w:r>
    </w:p>
    <w:p w14:paraId="6E9D32DC" w14:textId="77777777" w:rsidR="00E10BA0" w:rsidRPr="008E3606" w:rsidRDefault="00E10BA0" w:rsidP="00E10BA0">
      <w:pPr>
        <w:widowControl w:val="0"/>
        <w:spacing w:line="240" w:lineRule="auto"/>
        <w:ind w:left="2268" w:hanging="11"/>
        <w:rPr>
          <w:rFonts w:cs="Cambria Math"/>
          <w:sz w:val="24"/>
        </w:rPr>
      </w:pPr>
      <w:r w:rsidRPr="008E3606">
        <w:rPr>
          <w:rFonts w:cs="Cambria Math"/>
          <w:sz w:val="24"/>
        </w:rPr>
        <w:t>𝐹𝐶</w:t>
      </w:r>
      <w:r w:rsidRPr="008E3606">
        <w:rPr>
          <w:rFonts w:cs="Cambria Math"/>
          <w:sz w:val="24"/>
          <w:vertAlign w:val="subscript"/>
        </w:rPr>
        <w:t>𝐴</w:t>
      </w:r>
      <w:r w:rsidRPr="008E3606">
        <w:rPr>
          <w:sz w:val="24"/>
        </w:rPr>
        <w:t>(</w:t>
      </w:r>
      <w:r w:rsidRPr="008E3606">
        <w:rPr>
          <w:rFonts w:cs="Cambria Math"/>
          <w:sz w:val="24"/>
        </w:rPr>
        <w:t>𝑡</w:t>
      </w:r>
      <w:r w:rsidRPr="008E3606">
        <w:rPr>
          <w:rFonts w:cs="Cambria Math"/>
          <w:sz w:val="24"/>
          <w:vertAlign w:val="subscript"/>
        </w:rPr>
        <w:t>𝑘</w:t>
      </w:r>
      <w:r w:rsidRPr="008E3606">
        <w:rPr>
          <w:sz w:val="24"/>
        </w:rPr>
        <w:t xml:space="preserve">): flujos de caja de los activos para el tramo temporal </w:t>
      </w:r>
      <w:r w:rsidRPr="008E3606">
        <w:rPr>
          <w:rFonts w:cs="Cambria Math"/>
          <w:sz w:val="24"/>
        </w:rPr>
        <w:t>𝑡</w:t>
      </w:r>
      <w:r w:rsidRPr="008E3606">
        <w:rPr>
          <w:rFonts w:cs="Cambria Math"/>
          <w:sz w:val="24"/>
          <w:vertAlign w:val="subscript"/>
        </w:rPr>
        <w:t>𝑘</w:t>
      </w:r>
    </w:p>
    <w:p w14:paraId="1FB5213A" w14:textId="77777777" w:rsidR="00E10BA0" w:rsidRPr="008E3606" w:rsidRDefault="00E10BA0" w:rsidP="00E10BA0">
      <w:pPr>
        <w:widowControl w:val="0"/>
        <w:spacing w:after="240" w:line="240" w:lineRule="auto"/>
        <w:ind w:left="2268"/>
        <w:jc w:val="left"/>
        <w:rPr>
          <w:sz w:val="24"/>
        </w:rPr>
      </w:pPr>
      <w:r w:rsidRPr="008E3606">
        <w:rPr>
          <w:rFonts w:cs="Cambria Math"/>
          <w:sz w:val="24"/>
        </w:rPr>
        <w:t>𝐹𝐶</w:t>
      </w:r>
      <w:r w:rsidRPr="008E3606">
        <w:rPr>
          <w:rFonts w:cs="Cambria Math"/>
          <w:sz w:val="24"/>
          <w:vertAlign w:val="subscript"/>
        </w:rPr>
        <w:t>𝑃</w:t>
      </w:r>
      <w:r w:rsidRPr="008E3606">
        <w:rPr>
          <w:sz w:val="24"/>
        </w:rPr>
        <w:t>(</w:t>
      </w:r>
      <w:r w:rsidRPr="008E3606">
        <w:rPr>
          <w:rFonts w:cs="Cambria Math"/>
          <w:sz w:val="24"/>
        </w:rPr>
        <w:t>𝑡</w:t>
      </w:r>
      <w:r w:rsidRPr="008E3606">
        <w:rPr>
          <w:rFonts w:cs="Cambria Math"/>
          <w:sz w:val="24"/>
          <w:vertAlign w:val="subscript"/>
        </w:rPr>
        <w:t>𝑘</w:t>
      </w:r>
      <w:r w:rsidRPr="008E3606">
        <w:rPr>
          <w:sz w:val="24"/>
        </w:rPr>
        <w:t xml:space="preserve">): flujos de caja de los pasivos para la banda de tiempo </w:t>
      </w:r>
      <w:r w:rsidRPr="008E3606">
        <w:rPr>
          <w:rFonts w:cs="Cambria Math"/>
          <w:sz w:val="24"/>
        </w:rPr>
        <w:t>𝑡</w:t>
      </w:r>
      <w:r w:rsidRPr="008E3606">
        <w:rPr>
          <w:rFonts w:cs="Cambria Math"/>
          <w:sz w:val="24"/>
          <w:vertAlign w:val="subscript"/>
        </w:rPr>
        <w:t>k</w:t>
      </w:r>
    </w:p>
    <w:p w14:paraId="02C878EE" w14:textId="77777777" w:rsidR="00E10BA0" w:rsidRPr="008E3606" w:rsidRDefault="00E10BA0" w:rsidP="00E10BA0">
      <w:pPr>
        <w:pStyle w:val="Prrafodelista"/>
        <w:widowControl w:val="0"/>
        <w:numPr>
          <w:ilvl w:val="0"/>
          <w:numId w:val="27"/>
        </w:numPr>
        <w:spacing w:after="240" w:line="240" w:lineRule="auto"/>
        <w:ind w:left="2835" w:hanging="577"/>
        <w:contextualSpacing w:val="0"/>
        <w:rPr>
          <w:rFonts w:ascii="Cambria" w:hAnsi="Cambria"/>
          <w:szCs w:val="24"/>
        </w:rPr>
      </w:pPr>
      <w:r w:rsidRPr="008E3606">
        <w:rPr>
          <w:rFonts w:ascii="Cambria" w:hAnsi="Cambria"/>
          <w:szCs w:val="24"/>
        </w:rPr>
        <w:t>Los flujos de caja netos en cada tramo temporal se deben ponderar por un factor de descuento compuesto continuo, que refleja el escenario de tasas de interés i para la moneda c correspondiente, de acuerdo con los choques prestablecidos.</w:t>
      </w:r>
    </w:p>
    <w:p w14:paraId="5FD3E12E" w14:textId="77777777" w:rsidR="00E10BA0" w:rsidRPr="008E3606" w:rsidRDefault="00E10BA0" w:rsidP="00E10BA0">
      <w:pPr>
        <w:pStyle w:val="Prrafodelista"/>
        <w:widowControl w:val="0"/>
        <w:spacing w:after="240" w:line="240" w:lineRule="auto"/>
        <w:ind w:left="2835"/>
        <w:contextualSpacing w:val="0"/>
        <w:rPr>
          <w:rFonts w:ascii="Cambria" w:hAnsi="Cambria"/>
          <w:szCs w:val="24"/>
        </w:rPr>
      </w:pPr>
      <w:r w:rsidRPr="008E3606">
        <w:rPr>
          <w:rFonts w:ascii="Cambria" w:hAnsi="Cambria"/>
          <w:szCs w:val="24"/>
        </w:rPr>
        <w:t>Este flujo de caja debe ser descontado utilizando una curva de interés cero cupón, libre de riesgo correspondiente a cada moneda, como se describe en la siguiente fórmula.</w:t>
      </w:r>
    </w:p>
    <w:p w14:paraId="5E728DAF" w14:textId="77777777" w:rsidR="00E10BA0" w:rsidRPr="008E3606" w:rsidRDefault="00E10BA0" w:rsidP="00E10BA0">
      <w:pPr>
        <w:widowControl w:val="0"/>
        <w:spacing w:after="240" w:line="240" w:lineRule="auto"/>
        <w:ind w:left="2268"/>
        <w:jc w:val="center"/>
        <w:rPr>
          <w:sz w:val="24"/>
        </w:rPr>
      </w:pPr>
      <w:r w:rsidRPr="008E3606">
        <w:rPr>
          <w:rFonts w:cs="Cambria Math"/>
          <w:sz w:val="24"/>
        </w:rPr>
        <w:t>𝐹𝐷</w:t>
      </w:r>
      <w:r w:rsidRPr="008E3606">
        <w:rPr>
          <w:rFonts w:cs="Cambria Math"/>
          <w:sz w:val="24"/>
          <w:vertAlign w:val="subscript"/>
        </w:rPr>
        <w:t>𝑖</w:t>
      </w:r>
      <w:r w:rsidRPr="008E3606">
        <w:rPr>
          <w:sz w:val="24"/>
        </w:rPr>
        <w:t>(</w:t>
      </w:r>
      <w:r w:rsidRPr="008E3606">
        <w:rPr>
          <w:rFonts w:cs="Cambria Math"/>
          <w:sz w:val="24"/>
        </w:rPr>
        <w:t>𝑡</w:t>
      </w:r>
      <w:r w:rsidRPr="008E3606">
        <w:rPr>
          <w:rFonts w:cs="Cambria Math"/>
          <w:sz w:val="24"/>
          <w:vertAlign w:val="subscript"/>
        </w:rPr>
        <w:t>𝑘</w:t>
      </w:r>
      <w:r w:rsidRPr="008E3606">
        <w:rPr>
          <w:sz w:val="24"/>
        </w:rPr>
        <w:t>) = exp(−</w:t>
      </w:r>
      <w:r w:rsidRPr="008E3606">
        <w:rPr>
          <w:rFonts w:cs="Cambria Math"/>
          <w:sz w:val="24"/>
        </w:rPr>
        <w:t>𝑅</w:t>
      </w:r>
      <w:r w:rsidRPr="008E3606">
        <w:rPr>
          <w:rFonts w:cs="Cambria Math"/>
          <w:sz w:val="24"/>
          <w:vertAlign w:val="subscript"/>
        </w:rPr>
        <w:t xml:space="preserve">𝑖 </w:t>
      </w:r>
      <w:r w:rsidRPr="008E3606">
        <w:rPr>
          <w:sz w:val="24"/>
        </w:rPr>
        <w:t>(</w:t>
      </w:r>
      <w:r w:rsidRPr="008E3606">
        <w:rPr>
          <w:rFonts w:cs="Cambria Math"/>
          <w:sz w:val="24"/>
        </w:rPr>
        <w:t>𝑡</w:t>
      </w:r>
      <w:r w:rsidRPr="008E3606">
        <w:rPr>
          <w:rFonts w:cs="Cambria Math"/>
          <w:sz w:val="24"/>
          <w:vertAlign w:val="subscript"/>
        </w:rPr>
        <w:t>𝑘</w:t>
      </w:r>
      <w:r w:rsidRPr="008E3606">
        <w:rPr>
          <w:sz w:val="24"/>
        </w:rPr>
        <w:t xml:space="preserve">) * </w:t>
      </w:r>
      <w:r w:rsidRPr="008E3606">
        <w:rPr>
          <w:rFonts w:cs="Cambria Math"/>
          <w:sz w:val="24"/>
        </w:rPr>
        <w:t>𝑡</w:t>
      </w:r>
      <w:r w:rsidRPr="008E3606">
        <w:rPr>
          <w:rFonts w:cs="Cambria Math"/>
          <w:sz w:val="24"/>
          <w:vertAlign w:val="subscript"/>
        </w:rPr>
        <w:t>𝑘</w:t>
      </w:r>
      <w:r w:rsidRPr="008E3606">
        <w:rPr>
          <w:sz w:val="24"/>
        </w:rPr>
        <w:t>)</w:t>
      </w:r>
    </w:p>
    <w:p w14:paraId="6BB25999" w14:textId="77777777" w:rsidR="00E10BA0" w:rsidRPr="008E3606" w:rsidRDefault="00E10BA0" w:rsidP="00E10BA0">
      <w:pPr>
        <w:widowControl w:val="0"/>
        <w:spacing w:line="240" w:lineRule="auto"/>
        <w:ind w:left="2268" w:hanging="11"/>
        <w:rPr>
          <w:sz w:val="24"/>
        </w:rPr>
      </w:pPr>
      <w:r w:rsidRPr="008E3606">
        <w:rPr>
          <w:sz w:val="24"/>
        </w:rPr>
        <w:t>Donde:</w:t>
      </w:r>
    </w:p>
    <w:p w14:paraId="3424396B" w14:textId="77777777" w:rsidR="00E10BA0" w:rsidRPr="008E3606" w:rsidRDefault="00E10BA0" w:rsidP="00E10BA0">
      <w:pPr>
        <w:widowControl w:val="0"/>
        <w:spacing w:line="240" w:lineRule="auto"/>
        <w:ind w:left="2268" w:hanging="11"/>
        <w:rPr>
          <w:rFonts w:cs="Cambria Math"/>
          <w:sz w:val="24"/>
        </w:rPr>
      </w:pPr>
      <w:r w:rsidRPr="008E3606">
        <w:rPr>
          <w:rFonts w:cs="Cambria Math"/>
          <w:sz w:val="24"/>
        </w:rPr>
        <w:t xml:space="preserve">𝐹𝐷: factor de descuento. </w:t>
      </w:r>
    </w:p>
    <w:p w14:paraId="6CBB9B01" w14:textId="77777777" w:rsidR="00E10BA0" w:rsidRPr="008E3606" w:rsidRDefault="00E10BA0" w:rsidP="00E10BA0">
      <w:pPr>
        <w:widowControl w:val="0"/>
        <w:spacing w:line="240" w:lineRule="auto"/>
        <w:ind w:left="2268" w:hanging="11"/>
        <w:rPr>
          <w:rFonts w:cs="Cambria Math"/>
          <w:sz w:val="24"/>
        </w:rPr>
      </w:pPr>
      <w:r w:rsidRPr="008E3606">
        <w:rPr>
          <w:rFonts w:cs="Cambria Math"/>
          <w:sz w:val="24"/>
        </w:rPr>
        <w:t>𝑅</w:t>
      </w:r>
      <w:r w:rsidRPr="008E3606">
        <w:rPr>
          <w:rFonts w:cs="Cambria Math"/>
          <w:sz w:val="24"/>
          <w:vertAlign w:val="subscript"/>
        </w:rPr>
        <w:t>𝑖</w:t>
      </w:r>
      <w:r w:rsidRPr="008E3606">
        <w:rPr>
          <w:rFonts w:cs="Cambria Math"/>
          <w:sz w:val="24"/>
        </w:rPr>
        <w:t xml:space="preserve"> : tasa libre de riesgo para el escenario de tasa de interés 𝑖. </w:t>
      </w:r>
    </w:p>
    <w:p w14:paraId="74366D19" w14:textId="77777777" w:rsidR="00E10BA0" w:rsidRPr="008E3606" w:rsidRDefault="00E10BA0" w:rsidP="00E10BA0">
      <w:pPr>
        <w:widowControl w:val="0"/>
        <w:spacing w:line="240" w:lineRule="auto"/>
        <w:ind w:left="2268" w:hanging="11"/>
        <w:rPr>
          <w:rFonts w:cs="Cambria Math"/>
          <w:sz w:val="24"/>
        </w:rPr>
      </w:pPr>
      <w:r w:rsidRPr="008E3606">
        <w:rPr>
          <w:rFonts w:cs="Cambria Math"/>
          <w:sz w:val="24"/>
        </w:rPr>
        <w:t>𝑡</w:t>
      </w:r>
      <w:r w:rsidRPr="008E3606">
        <w:rPr>
          <w:rFonts w:cs="Cambria Math"/>
          <w:sz w:val="24"/>
          <w:vertAlign w:val="subscript"/>
        </w:rPr>
        <w:t>𝑘</w:t>
      </w:r>
      <w:r w:rsidRPr="008E3606">
        <w:rPr>
          <w:rFonts w:cs="Cambria Math"/>
          <w:sz w:val="24"/>
        </w:rPr>
        <w:t>: punto medio para cada tramo temporal (𝑘).</w:t>
      </w:r>
    </w:p>
    <w:p w14:paraId="67043C1C" w14:textId="5CFCBC23" w:rsidR="00E10BA0" w:rsidRPr="008E3606" w:rsidRDefault="00E10BA0" w:rsidP="00E10BA0">
      <w:pPr>
        <w:widowControl w:val="0"/>
        <w:spacing w:after="240" w:line="240" w:lineRule="auto"/>
        <w:ind w:left="2268"/>
        <w:rPr>
          <w:rFonts w:cs="Cambria Math"/>
          <w:sz w:val="24"/>
        </w:rPr>
      </w:pPr>
      <w:r w:rsidRPr="008E3606">
        <w:rPr>
          <w:rFonts w:cs="Cambria Math"/>
          <w:sz w:val="24"/>
        </w:rPr>
        <w:t>𝑖: escenario de estrés de tasa de interés para la moneda c correspondiente</w:t>
      </w:r>
    </w:p>
    <w:p w14:paraId="66CA80E0" w14:textId="77777777" w:rsidR="00C409C8" w:rsidRPr="008E3606" w:rsidRDefault="00C409C8" w:rsidP="00E10BA0">
      <w:pPr>
        <w:widowControl w:val="0"/>
        <w:spacing w:after="240" w:line="240" w:lineRule="auto"/>
        <w:ind w:left="2268"/>
        <w:rPr>
          <w:rFonts w:cs="Cambria Math"/>
          <w:sz w:val="24"/>
        </w:rPr>
      </w:pPr>
    </w:p>
    <w:p w14:paraId="2882EAE5" w14:textId="77777777" w:rsidR="00E10BA0" w:rsidRPr="008E3606" w:rsidRDefault="00E10BA0" w:rsidP="00E10BA0">
      <w:pPr>
        <w:pStyle w:val="Prrafodelista"/>
        <w:widowControl w:val="0"/>
        <w:numPr>
          <w:ilvl w:val="0"/>
          <w:numId w:val="27"/>
        </w:numPr>
        <w:spacing w:after="240" w:line="240" w:lineRule="auto"/>
        <w:ind w:left="2835" w:hanging="577"/>
        <w:contextualSpacing w:val="0"/>
        <w:rPr>
          <w:rFonts w:ascii="Cambria" w:hAnsi="Cambria"/>
          <w:szCs w:val="24"/>
        </w:rPr>
      </w:pPr>
      <w:r w:rsidRPr="008E3606">
        <w:rPr>
          <w:rFonts w:ascii="Cambria" w:hAnsi="Cambria"/>
          <w:szCs w:val="24"/>
        </w:rPr>
        <w:t>Las exposiciones netas ponderadas por riesgo se deben sumar para determinar el VEP bajo cada escenario, excluyendo las posiciones de opciones de tasas de interés automáticas.</w:t>
      </w:r>
    </w:p>
    <w:p w14:paraId="417A1C2C" w14:textId="77777777" w:rsidR="00E10BA0" w:rsidRPr="008E3606" w:rsidRDefault="00C04686" w:rsidP="00E10BA0">
      <w:pPr>
        <w:widowControl w:val="0"/>
        <w:spacing w:after="240"/>
        <w:ind w:left="2268"/>
        <w:jc w:val="center"/>
        <w:rPr>
          <w:sz w:val="24"/>
          <w:lang w:val="en-US"/>
        </w:rPr>
      </w:pPr>
      <m:oMathPara>
        <m:oMath>
          <m:sSubSup>
            <m:sSubSupPr>
              <m:ctrlPr>
                <w:rPr>
                  <w:rFonts w:ascii="Cambria Math" w:hAnsi="Cambria Math"/>
                  <w:sz w:val="24"/>
                  <w:lang w:val="en-US"/>
                </w:rPr>
              </m:ctrlPr>
            </m:sSubSupPr>
            <m:e>
              <m:r>
                <w:rPr>
                  <w:rFonts w:ascii="Cambria Math" w:hAnsi="Cambria Math"/>
                  <w:sz w:val="24"/>
                  <w:lang w:val="en-US"/>
                </w:rPr>
                <m:t>VEP</m:t>
              </m:r>
            </m:e>
            <m:sub>
              <m:r>
                <w:rPr>
                  <w:rFonts w:ascii="Cambria Math" w:hAnsi="Cambria Math"/>
                  <w:sz w:val="24"/>
                  <w:lang w:val="en-US"/>
                </w:rPr>
                <m:t>i</m:t>
              </m:r>
            </m:sub>
            <m:sup>
              <m:r>
                <m:rPr>
                  <m:sty m:val="p"/>
                </m:rPr>
                <w:rPr>
                  <w:rFonts w:ascii="Cambria Math" w:hAnsi="Cambria Math"/>
                  <w:sz w:val="24"/>
                  <w:lang w:val="en-US"/>
                </w:rPr>
                <m:t>excl. KAO</m:t>
              </m:r>
            </m:sup>
          </m:sSubSup>
          <m:r>
            <m:rPr>
              <m:sty m:val="p"/>
            </m:rPr>
            <w:rPr>
              <w:rFonts w:ascii="Cambria Math" w:hAnsi="Cambria Math"/>
              <w:sz w:val="24"/>
              <w:lang w:val="en-US"/>
            </w:rPr>
            <m:t xml:space="preserve">= </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r>
                <w:rPr>
                  <w:rFonts w:ascii="Cambria Math" w:hAnsi="Cambria Math"/>
                  <w:sz w:val="24"/>
                  <w:lang w:val="en-US"/>
                </w:rPr>
                <m:t>F</m:t>
              </m:r>
              <m:sSub>
                <m:sSubPr>
                  <m:ctrlPr>
                    <w:rPr>
                      <w:rFonts w:ascii="Cambria Math" w:hAnsi="Cambria Math"/>
                      <w:sz w:val="24"/>
                      <w:lang w:val="en-US"/>
                    </w:rPr>
                  </m:ctrlPr>
                </m:sSubPr>
                <m:e>
                  <m:r>
                    <w:rPr>
                      <w:rFonts w:ascii="Cambria Math" w:hAnsi="Cambria Math"/>
                      <w:sz w:val="24"/>
                      <w:lang w:val="en-US"/>
                    </w:rPr>
                    <m:t>C</m:t>
                  </m:r>
                </m:e>
                <m:sub>
                  <m:r>
                    <w:rPr>
                      <w:rFonts w:ascii="Cambria Math" w:hAnsi="Cambria Math"/>
                      <w:sz w:val="24"/>
                      <w:lang w:val="en-US"/>
                    </w:rPr>
                    <m:t>Ai</m:t>
                  </m:r>
                  <m:r>
                    <m:rPr>
                      <m:sty m:val="p"/>
                    </m:rPr>
                    <w:rPr>
                      <w:rFonts w:ascii="Cambria Math" w:hAnsi="Cambria Math"/>
                      <w:sz w:val="24"/>
                      <w:lang w:val="en-US"/>
                    </w:rPr>
                    <m:t>,</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FD</m:t>
                  </m:r>
                </m:e>
                <m:sub>
                  <m:r>
                    <w:rPr>
                      <w:rFonts w:ascii="Cambria Math" w:hAnsi="Cambria Math"/>
                      <w:sz w:val="24"/>
                      <w:lang w:val="en-US"/>
                    </w:rPr>
                    <m:t>i</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 xml:space="preserve">)- </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r>
                <w:rPr>
                  <w:rFonts w:ascii="Cambria Math" w:hAnsi="Cambria Math"/>
                  <w:sz w:val="24"/>
                  <w:lang w:val="en-US"/>
                </w:rPr>
                <m:t>F</m:t>
              </m:r>
              <m:sSub>
                <m:sSubPr>
                  <m:ctrlPr>
                    <w:rPr>
                      <w:rFonts w:ascii="Cambria Math" w:hAnsi="Cambria Math"/>
                      <w:sz w:val="24"/>
                      <w:lang w:val="en-US"/>
                    </w:rPr>
                  </m:ctrlPr>
                </m:sSubPr>
                <m:e>
                  <m:r>
                    <w:rPr>
                      <w:rFonts w:ascii="Cambria Math" w:hAnsi="Cambria Math"/>
                      <w:sz w:val="24"/>
                      <w:lang w:val="en-US"/>
                    </w:rPr>
                    <m:t>C</m:t>
                  </m:r>
                </m:e>
                <m:sub>
                  <m:r>
                    <w:rPr>
                      <w:rFonts w:ascii="Cambria Math" w:hAnsi="Cambria Math"/>
                      <w:sz w:val="24"/>
                      <w:lang w:val="en-US"/>
                    </w:rPr>
                    <m:t>Pi</m:t>
                  </m:r>
                  <m:r>
                    <m:rPr>
                      <m:sty m:val="p"/>
                    </m:rPr>
                    <w:rPr>
                      <w:rFonts w:ascii="Cambria Math" w:hAnsi="Cambria Math"/>
                      <w:sz w:val="24"/>
                      <w:lang w:val="en-US"/>
                    </w:rPr>
                    <m:t>,</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FD</m:t>
                  </m:r>
                </m:e>
                <m:sub>
                  <m:r>
                    <w:rPr>
                      <w:rFonts w:ascii="Cambria Math" w:hAnsi="Cambria Math"/>
                      <w:sz w:val="24"/>
                      <w:lang w:val="en-US"/>
                    </w:rPr>
                    <m:t>i</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m:t>
          </m:r>
        </m:oMath>
      </m:oMathPara>
    </w:p>
    <w:p w14:paraId="04979AAE" w14:textId="77777777" w:rsidR="00E10BA0" w:rsidRPr="008E3606" w:rsidRDefault="00C04686" w:rsidP="00E10BA0">
      <w:pPr>
        <w:widowControl w:val="0"/>
        <w:spacing w:after="240"/>
        <w:ind w:left="2268"/>
        <w:rPr>
          <w:rFonts w:eastAsiaTheme="minorEastAsia"/>
          <w:sz w:val="24"/>
          <w:lang w:val="en-US"/>
        </w:rPr>
      </w:pPr>
      <m:oMathPara>
        <m:oMath>
          <m:sSubSup>
            <m:sSubSupPr>
              <m:ctrlPr>
                <w:rPr>
                  <w:rFonts w:ascii="Cambria Math" w:hAnsi="Cambria Math"/>
                  <w:sz w:val="24"/>
                  <w:lang w:val="en-US"/>
                </w:rPr>
              </m:ctrlPr>
            </m:sSubSupPr>
            <m:e>
              <m:r>
                <w:rPr>
                  <w:rFonts w:ascii="Cambria Math" w:hAnsi="Cambria Math"/>
                  <w:sz w:val="24"/>
                  <w:lang w:val="en-US"/>
                </w:rPr>
                <m:t>VEP</m:t>
              </m:r>
            </m:e>
            <m:sub>
              <m:r>
                <w:rPr>
                  <w:rFonts w:ascii="Cambria Math" w:hAnsi="Cambria Math"/>
                  <w:sz w:val="24"/>
                  <w:lang w:val="en-US"/>
                </w:rPr>
                <m:t>i</m:t>
              </m:r>
            </m:sub>
            <m:sup>
              <m:r>
                <m:rPr>
                  <m:sty m:val="p"/>
                </m:rPr>
                <w:rPr>
                  <w:rFonts w:ascii="Cambria Math" w:hAnsi="Cambria Math"/>
                  <w:sz w:val="24"/>
                  <w:lang w:val="en-US"/>
                </w:rPr>
                <m:t>excl. KAO</m:t>
              </m:r>
            </m:sup>
          </m:sSubSup>
          <m:r>
            <m:rPr>
              <m:sty m:val="p"/>
            </m:rPr>
            <w:rPr>
              <w:rFonts w:ascii="Cambria Math" w:hAnsi="Cambria Math"/>
              <w:sz w:val="24"/>
            </w:rPr>
            <m:t xml:space="preserve">= </m:t>
          </m:r>
          <m:sSubSup>
            <m:sSubSupPr>
              <m:ctrlPr>
                <w:rPr>
                  <w:rFonts w:ascii="Cambria Math" w:hAnsi="Cambria Math"/>
                  <w:sz w:val="24"/>
                  <w:lang w:val="en-US"/>
                </w:rPr>
              </m:ctrlPr>
            </m:sSubSupPr>
            <m:e>
              <m:r>
                <w:rPr>
                  <w:rFonts w:ascii="Cambria Math" w:hAnsi="Cambria Math"/>
                  <w:sz w:val="24"/>
                  <w:lang w:val="en-US"/>
                </w:rPr>
                <m:t>VEP</m:t>
              </m:r>
            </m:e>
            <m:sub>
              <m:r>
                <w:rPr>
                  <w:rFonts w:ascii="Cambria Math" w:hAnsi="Cambria Math"/>
                  <w:sz w:val="24"/>
                  <w:lang w:val="en-US"/>
                </w:rPr>
                <m:t>i</m:t>
              </m:r>
              <m:r>
                <m:rPr>
                  <m:sty m:val="p"/>
                </m:rPr>
                <w:rPr>
                  <w:rFonts w:ascii="Cambria Math" w:hAnsi="Cambria Math"/>
                  <w:sz w:val="24"/>
                  <w:lang w:val="en-US"/>
                </w:rPr>
                <m:t>,</m:t>
              </m:r>
              <m:r>
                <w:rPr>
                  <w:rFonts w:ascii="Cambria Math" w:hAnsi="Cambria Math"/>
                  <w:sz w:val="24"/>
                  <w:lang w:val="en-US"/>
                </w:rPr>
                <m:t>A</m:t>
              </m:r>
            </m:sub>
            <m:sup>
              <m:r>
                <m:rPr>
                  <m:sty m:val="p"/>
                </m:rPr>
                <w:rPr>
                  <w:rFonts w:ascii="Cambria Math" w:hAnsi="Cambria Math"/>
                  <w:sz w:val="24"/>
                  <w:lang w:val="en-US"/>
                </w:rPr>
                <m:t>excl. KAO</m:t>
              </m:r>
            </m:sup>
          </m:sSubSup>
          <m:r>
            <m:rPr>
              <m:sty m:val="p"/>
            </m:rPr>
            <w:rPr>
              <w:rFonts w:ascii="Cambria Math" w:hAnsi="Cambria Math"/>
              <w:sz w:val="24"/>
            </w:rPr>
            <m:t>-</m:t>
          </m:r>
          <m:sSubSup>
            <m:sSubSupPr>
              <m:ctrlPr>
                <w:rPr>
                  <w:rFonts w:ascii="Cambria Math" w:hAnsi="Cambria Math"/>
                  <w:sz w:val="24"/>
                  <w:lang w:val="en-US"/>
                </w:rPr>
              </m:ctrlPr>
            </m:sSubSupPr>
            <m:e>
              <m:r>
                <w:rPr>
                  <w:rFonts w:ascii="Cambria Math" w:hAnsi="Cambria Math"/>
                  <w:sz w:val="24"/>
                  <w:lang w:val="en-US"/>
                </w:rPr>
                <m:t>VEP</m:t>
              </m:r>
            </m:e>
            <m:sub>
              <m:r>
                <w:rPr>
                  <w:rFonts w:ascii="Cambria Math" w:hAnsi="Cambria Math"/>
                  <w:sz w:val="24"/>
                  <w:lang w:val="en-US"/>
                </w:rPr>
                <m:t>i</m:t>
              </m:r>
              <m:r>
                <m:rPr>
                  <m:sty m:val="p"/>
                </m:rPr>
                <w:rPr>
                  <w:rFonts w:ascii="Cambria Math" w:hAnsi="Cambria Math"/>
                  <w:sz w:val="24"/>
                  <w:lang w:val="en-US"/>
                </w:rPr>
                <m:t>,</m:t>
              </m:r>
              <m:r>
                <w:rPr>
                  <w:rFonts w:ascii="Cambria Math" w:hAnsi="Cambria Math"/>
                  <w:sz w:val="24"/>
                  <w:lang w:val="en-US"/>
                </w:rPr>
                <m:t>P</m:t>
              </m:r>
            </m:sub>
            <m:sup>
              <m:r>
                <m:rPr>
                  <m:sty m:val="p"/>
                </m:rPr>
                <w:rPr>
                  <w:rFonts w:ascii="Cambria Math" w:hAnsi="Cambria Math"/>
                  <w:sz w:val="24"/>
                  <w:lang w:val="en-US"/>
                </w:rPr>
                <m:t>excl. KAO</m:t>
              </m:r>
            </m:sup>
          </m:sSubSup>
        </m:oMath>
      </m:oMathPara>
    </w:p>
    <w:p w14:paraId="4715BEC1" w14:textId="77777777" w:rsidR="00E10BA0" w:rsidRPr="008E3606" w:rsidRDefault="00C04686" w:rsidP="00E10BA0">
      <w:pPr>
        <w:widowControl w:val="0"/>
        <w:spacing w:after="240"/>
        <w:ind w:left="2268"/>
        <w:rPr>
          <w:rFonts w:eastAsiaTheme="minorEastAsia"/>
          <w:sz w:val="24"/>
          <w:lang w:val="en-US"/>
        </w:rPr>
      </w:pPr>
      <m:oMathPara>
        <m:oMath>
          <m:sSubSup>
            <m:sSubSupPr>
              <m:ctrlPr>
                <w:rPr>
                  <w:rFonts w:ascii="Cambria Math" w:hAnsi="Cambria Math"/>
                  <w:sz w:val="24"/>
                  <w:lang w:val="en-US"/>
                </w:rPr>
              </m:ctrlPr>
            </m:sSubSupPr>
            <m:e>
              <m:r>
                <w:rPr>
                  <w:rFonts w:ascii="Cambria Math" w:hAnsi="Cambria Math"/>
                  <w:sz w:val="24"/>
                  <w:lang w:val="en-US"/>
                </w:rPr>
                <m:t>VEP</m:t>
              </m:r>
            </m:e>
            <m:sub>
              <m:r>
                <w:rPr>
                  <w:rFonts w:ascii="Cambria Math" w:hAnsi="Cambria Math"/>
                  <w:sz w:val="24"/>
                  <w:lang w:val="en-US"/>
                </w:rPr>
                <m:t>i</m:t>
              </m:r>
            </m:sub>
            <m:sup>
              <m:r>
                <m:rPr>
                  <m:sty m:val="p"/>
                </m:rPr>
                <w:rPr>
                  <w:rFonts w:ascii="Cambria Math" w:hAnsi="Cambria Math"/>
                  <w:sz w:val="24"/>
                  <w:lang w:val="en-US"/>
                </w:rPr>
                <m:t>excl. KAO</m:t>
              </m:r>
            </m:sup>
          </m:sSubSup>
          <m:r>
            <m:rPr>
              <m:sty m:val="p"/>
            </m:rPr>
            <w:rPr>
              <w:rFonts w:ascii="Cambria Math" w:hAnsi="Cambria Math"/>
              <w:sz w:val="24"/>
              <w:lang w:val="en-US"/>
            </w:rPr>
            <m:t xml:space="preserve">= </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r>
                <w:rPr>
                  <w:rFonts w:ascii="Cambria Math" w:hAnsi="Cambria Math"/>
                  <w:sz w:val="24"/>
                  <w:lang w:val="en-US"/>
                </w:rPr>
                <m:t>F</m:t>
              </m:r>
              <m:sSub>
                <m:sSubPr>
                  <m:ctrlPr>
                    <w:rPr>
                      <w:rFonts w:ascii="Cambria Math" w:hAnsi="Cambria Math"/>
                      <w:sz w:val="24"/>
                      <w:lang w:val="en-US"/>
                    </w:rPr>
                  </m:ctrlPr>
                </m:sSubPr>
                <m:e>
                  <m:r>
                    <w:rPr>
                      <w:rFonts w:ascii="Cambria Math" w:hAnsi="Cambria Math"/>
                      <w:sz w:val="24"/>
                      <w:lang w:val="en-US"/>
                    </w:rPr>
                    <m:t>C</m:t>
                  </m:r>
                </m:e>
                <m:sub>
                  <m:r>
                    <w:rPr>
                      <w:rFonts w:ascii="Cambria Math" w:hAnsi="Cambria Math"/>
                      <w:sz w:val="24"/>
                      <w:lang w:val="en-US"/>
                    </w:rPr>
                    <m:t>i</m:t>
                  </m:r>
                  <m:r>
                    <m:rPr>
                      <m:sty m:val="p"/>
                    </m:rPr>
                    <w:rPr>
                      <w:rFonts w:ascii="Cambria Math" w:hAnsi="Cambria Math"/>
                      <w:sz w:val="24"/>
                      <w:lang w:val="en-US"/>
                    </w:rPr>
                    <m:t>,</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FD</m:t>
                  </m:r>
                </m:e>
                <m:sub>
                  <m:r>
                    <w:rPr>
                      <w:rFonts w:ascii="Cambria Math" w:hAnsi="Cambria Math"/>
                      <w:sz w:val="24"/>
                      <w:lang w:val="en-US"/>
                    </w:rPr>
                    <m:t>i</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m:t>
          </m:r>
        </m:oMath>
      </m:oMathPara>
    </w:p>
    <w:p w14:paraId="2843DF23" w14:textId="77777777" w:rsidR="00E10BA0" w:rsidRPr="008E3606" w:rsidRDefault="00C04686" w:rsidP="00E10BA0">
      <w:pPr>
        <w:widowControl w:val="0"/>
        <w:spacing w:line="247" w:lineRule="auto"/>
        <w:ind w:left="2268" w:hanging="11"/>
        <w:rPr>
          <w:sz w:val="24"/>
        </w:rPr>
      </w:pPr>
      <m:oMath>
        <m:sSubSup>
          <m:sSubSupPr>
            <m:ctrlPr>
              <w:rPr>
                <w:rFonts w:ascii="Cambria Math" w:eastAsiaTheme="minorEastAsia" w:hAnsi="Cambria Math"/>
                <w:i/>
                <w:sz w:val="24"/>
                <w:lang w:val="en-US"/>
              </w:rPr>
            </m:ctrlPr>
          </m:sSubSupPr>
          <m:e>
            <m:r>
              <w:rPr>
                <w:rFonts w:ascii="Cambria Math" w:eastAsiaTheme="minorEastAsia" w:hAnsi="Cambria Math"/>
                <w:sz w:val="24"/>
                <w:lang w:val="en-US"/>
              </w:rPr>
              <m:t>VEP</m:t>
            </m:r>
          </m:e>
          <m:sub>
            <m:r>
              <w:rPr>
                <w:rFonts w:ascii="Cambria Math" w:eastAsiaTheme="minorEastAsia" w:hAnsi="Cambria Math"/>
                <w:sz w:val="24"/>
                <w:lang w:val="en-US"/>
              </w:rPr>
              <m:t>i</m:t>
            </m:r>
          </m:sub>
          <m:sup>
            <m:r>
              <m:rPr>
                <m:sty m:val="p"/>
              </m:rPr>
              <w:rPr>
                <w:rFonts w:ascii="Cambria Math" w:eastAsiaTheme="minorEastAsia" w:hAnsi="Cambria Math"/>
                <w:sz w:val="24"/>
              </w:rPr>
              <m:t>excl. KAO</m:t>
            </m:r>
          </m:sup>
        </m:sSubSup>
        <m:r>
          <w:rPr>
            <w:rFonts w:ascii="Cambria Math" w:hAnsi="Cambria Math"/>
            <w:sz w:val="24"/>
          </w:rPr>
          <m:t>:</m:t>
        </m:r>
      </m:oMath>
      <w:r w:rsidR="00E10BA0" w:rsidRPr="008E3606">
        <w:rPr>
          <w:sz w:val="24"/>
        </w:rPr>
        <w:t xml:space="preserve"> Valor económico del patrimonio (sin incluir opciones automáticas)</w:t>
      </w:r>
    </w:p>
    <w:p w14:paraId="4ED40034" w14:textId="77777777" w:rsidR="00E10BA0" w:rsidRPr="008E3606" w:rsidRDefault="00E10BA0" w:rsidP="00E10BA0">
      <w:pPr>
        <w:widowControl w:val="0"/>
        <w:spacing w:after="240"/>
        <w:ind w:left="2268"/>
        <w:rPr>
          <w:rFonts w:eastAsiaTheme="minorEastAsia"/>
          <w:sz w:val="24"/>
        </w:rPr>
      </w:pPr>
      <m:oMath>
        <m:r>
          <w:rPr>
            <w:rFonts w:ascii="Cambria Math" w:hAnsi="Cambria Math"/>
            <w:sz w:val="24"/>
          </w:rPr>
          <m:t>FC</m:t>
        </m:r>
      </m:oMath>
      <w:r w:rsidRPr="008E3606">
        <w:rPr>
          <w:sz w:val="24"/>
        </w:rPr>
        <w:t>: Flujo de caja</w:t>
      </w:r>
      <w:r w:rsidRPr="008E3606">
        <w:rPr>
          <w:rFonts w:eastAsiaTheme="minorEastAsia"/>
          <w:sz w:val="24"/>
        </w:rPr>
        <w:tab/>
      </w:r>
    </w:p>
    <w:p w14:paraId="3618B776" w14:textId="77777777" w:rsidR="00E10BA0" w:rsidRPr="008E3606" w:rsidRDefault="00E10BA0" w:rsidP="00E10BA0">
      <w:pPr>
        <w:pStyle w:val="Prrafodelista"/>
        <w:widowControl w:val="0"/>
        <w:numPr>
          <w:ilvl w:val="0"/>
          <w:numId w:val="27"/>
        </w:numPr>
        <w:spacing w:after="240" w:line="240" w:lineRule="auto"/>
        <w:ind w:left="2835" w:hanging="577"/>
        <w:contextualSpacing w:val="0"/>
        <w:rPr>
          <w:rFonts w:ascii="Cambria" w:hAnsi="Cambria"/>
          <w:szCs w:val="24"/>
        </w:rPr>
      </w:pPr>
      <w:r w:rsidRPr="008E3606">
        <w:rPr>
          <w:rFonts w:ascii="Cambria" w:hAnsi="Cambria"/>
          <w:szCs w:val="24"/>
        </w:rPr>
        <w:t xml:space="preserve">El cambio completo en el VEP para cada escenario i y moneda </w:t>
      </w:r>
      <m:oMath>
        <m:r>
          <w:rPr>
            <w:rFonts w:ascii="Cambria Math" w:hAnsi="Cambria Math"/>
            <w:szCs w:val="24"/>
          </w:rPr>
          <m:t>c</m:t>
        </m:r>
      </m:oMath>
      <w:r w:rsidRPr="008E3606">
        <w:rPr>
          <w:rFonts w:ascii="Cambria" w:hAnsi="Cambria"/>
          <w:szCs w:val="24"/>
        </w:rPr>
        <w:t xml:space="preserve"> se determina restando el resultado base del VEP bajo la curva de rendimiento actual, escenario base, y agregando el riesgo de las opciones automáticas de tasas de interés.</w:t>
      </w:r>
    </w:p>
    <w:p w14:paraId="6D430B46" w14:textId="77777777" w:rsidR="00E10BA0" w:rsidRPr="008E3606" w:rsidRDefault="00C04686" w:rsidP="00E10BA0">
      <w:pPr>
        <w:widowControl w:val="0"/>
        <w:spacing w:after="240"/>
        <w:ind w:left="2268"/>
        <w:rPr>
          <w:rFonts w:eastAsiaTheme="minorEastAsia"/>
          <w:sz w:val="24"/>
          <w:lang w:val="en-US"/>
        </w:rPr>
      </w:pPr>
      <m:oMathPara>
        <m:oMath>
          <m:sSubSup>
            <m:sSubSupPr>
              <m:ctrlPr>
                <w:rPr>
                  <w:rFonts w:ascii="Cambria Math" w:hAnsi="Cambria Math"/>
                  <w:sz w:val="24"/>
                  <w:lang w:val="en-US"/>
                </w:rPr>
              </m:ctrlPr>
            </m:sSubSupPr>
            <m:e>
              <m:r>
                <m:rPr>
                  <m:sty m:val="p"/>
                </m:rPr>
                <w:rPr>
                  <w:rFonts w:ascii="Cambria Math" w:hAnsi="Cambria Math"/>
                  <w:sz w:val="24"/>
                  <w:lang w:val="en-US"/>
                </w:rPr>
                <m:t>∆</m:t>
              </m:r>
              <m:r>
                <w:rPr>
                  <w:rFonts w:ascii="Cambria Math" w:hAnsi="Cambria Math"/>
                  <w:sz w:val="24"/>
                  <w:lang w:val="en-US"/>
                </w:rPr>
                <m:t>VEP</m:t>
              </m:r>
            </m:e>
            <m:sub>
              <m:r>
                <w:rPr>
                  <w:rFonts w:ascii="Cambria Math" w:hAnsi="Cambria Math"/>
                  <w:sz w:val="24"/>
                  <w:lang w:val="en-US"/>
                </w:rPr>
                <m:t>i</m:t>
              </m:r>
            </m:sub>
            <m:sup>
              <m:r>
                <m:rPr>
                  <m:sty m:val="p"/>
                </m:rPr>
                <w:rPr>
                  <w:rFonts w:ascii="Cambria Math" w:hAnsi="Cambria Math"/>
                  <w:sz w:val="24"/>
                  <w:lang w:val="en-US"/>
                </w:rPr>
                <m:t>excl. KAO</m:t>
              </m:r>
            </m:sup>
          </m:sSubSup>
          <m:r>
            <m:rPr>
              <m:sty m:val="p"/>
            </m:rPr>
            <w:rPr>
              <w:rFonts w:ascii="Cambria Math" w:hAnsi="Cambria Math"/>
              <w:sz w:val="24"/>
            </w:rPr>
            <m:t xml:space="preserve">= </m:t>
          </m:r>
          <m:sSubSup>
            <m:sSubSupPr>
              <m:ctrlPr>
                <w:rPr>
                  <w:rFonts w:ascii="Cambria Math" w:hAnsi="Cambria Math"/>
                  <w:sz w:val="24"/>
                  <w:lang w:val="en-US"/>
                </w:rPr>
              </m:ctrlPr>
            </m:sSubSupPr>
            <m:e>
              <m:r>
                <w:rPr>
                  <w:rFonts w:ascii="Cambria Math" w:hAnsi="Cambria Math"/>
                  <w:sz w:val="24"/>
                  <w:lang w:val="en-US"/>
                </w:rPr>
                <m:t>VEP</m:t>
              </m:r>
            </m:e>
            <m:sub>
              <m:r>
                <m:rPr>
                  <m:sty m:val="p"/>
                </m:rPr>
                <w:rPr>
                  <w:rFonts w:ascii="Cambria Math" w:hAnsi="Cambria Math"/>
                  <w:sz w:val="24"/>
                  <w:lang w:val="en-US"/>
                </w:rPr>
                <m:t>0</m:t>
              </m:r>
            </m:sub>
            <m:sup>
              <m:r>
                <m:rPr>
                  <m:sty m:val="p"/>
                </m:rPr>
                <w:rPr>
                  <w:rFonts w:ascii="Cambria Math" w:hAnsi="Cambria Math"/>
                  <w:sz w:val="24"/>
                  <w:lang w:val="en-US"/>
                </w:rPr>
                <m:t>excl. KAO</m:t>
              </m:r>
            </m:sup>
          </m:sSubSup>
          <m:r>
            <m:rPr>
              <m:sty m:val="p"/>
            </m:rPr>
            <w:rPr>
              <w:rFonts w:ascii="Cambria Math" w:hAnsi="Cambria Math"/>
              <w:sz w:val="24"/>
            </w:rPr>
            <m:t>-</m:t>
          </m:r>
          <m:sSubSup>
            <m:sSubSupPr>
              <m:ctrlPr>
                <w:rPr>
                  <w:rFonts w:ascii="Cambria Math" w:hAnsi="Cambria Math"/>
                  <w:sz w:val="24"/>
                  <w:lang w:val="en-US"/>
                </w:rPr>
              </m:ctrlPr>
            </m:sSubSupPr>
            <m:e>
              <m:r>
                <w:rPr>
                  <w:rFonts w:ascii="Cambria Math" w:hAnsi="Cambria Math"/>
                  <w:sz w:val="24"/>
                  <w:lang w:val="en-US"/>
                </w:rPr>
                <m:t>VEP</m:t>
              </m:r>
            </m:e>
            <m:sub>
              <m:r>
                <w:rPr>
                  <w:rFonts w:ascii="Cambria Math" w:hAnsi="Cambria Math"/>
                  <w:sz w:val="24"/>
                  <w:lang w:val="en-US"/>
                </w:rPr>
                <m:t>i</m:t>
              </m:r>
            </m:sub>
            <m:sup>
              <m:r>
                <m:rPr>
                  <m:sty m:val="p"/>
                </m:rPr>
                <w:rPr>
                  <w:rFonts w:ascii="Cambria Math" w:hAnsi="Cambria Math"/>
                  <w:sz w:val="24"/>
                  <w:lang w:val="en-US"/>
                </w:rPr>
                <m:t>excl. KAO</m:t>
              </m:r>
            </m:sup>
          </m:sSubSup>
        </m:oMath>
      </m:oMathPara>
    </w:p>
    <w:p w14:paraId="40145B5D" w14:textId="77777777" w:rsidR="00E10BA0" w:rsidRPr="008E3606" w:rsidRDefault="00C04686" w:rsidP="00E10BA0">
      <w:pPr>
        <w:widowControl w:val="0"/>
        <w:spacing w:after="240"/>
        <w:ind w:left="2268"/>
        <w:rPr>
          <w:sz w:val="24"/>
          <w:lang w:val="en-US"/>
        </w:rPr>
      </w:pPr>
      <m:oMathPara>
        <m:oMath>
          <m:sSubSup>
            <m:sSubSupPr>
              <m:ctrlPr>
                <w:rPr>
                  <w:rFonts w:ascii="Cambria Math" w:hAnsi="Cambria Math"/>
                  <w:sz w:val="24"/>
                  <w:lang w:val="en-US"/>
                </w:rPr>
              </m:ctrlPr>
            </m:sSubSupPr>
            <m:e>
              <m:r>
                <m:rPr>
                  <m:sty m:val="p"/>
                </m:rPr>
                <w:rPr>
                  <w:rFonts w:ascii="Cambria Math" w:hAnsi="Cambria Math"/>
                  <w:sz w:val="24"/>
                  <w:lang w:val="en-US"/>
                </w:rPr>
                <m:t>∆</m:t>
              </m:r>
              <m:r>
                <w:rPr>
                  <w:rFonts w:ascii="Cambria Math" w:hAnsi="Cambria Math"/>
                  <w:sz w:val="24"/>
                  <w:lang w:val="en-US"/>
                </w:rPr>
                <m:t>VEP</m:t>
              </m:r>
            </m:e>
            <m:sub>
              <m:r>
                <w:rPr>
                  <w:rFonts w:ascii="Cambria Math" w:hAnsi="Cambria Math"/>
                  <w:sz w:val="24"/>
                  <w:lang w:val="en-US"/>
                </w:rPr>
                <m:t>i</m:t>
              </m:r>
            </m:sub>
            <m:sup>
              <m:r>
                <m:rPr>
                  <m:sty m:val="p"/>
                </m:rPr>
                <w:rPr>
                  <w:rFonts w:ascii="Cambria Math" w:hAnsi="Cambria Math"/>
                  <w:sz w:val="24"/>
                  <w:lang w:val="en-US"/>
                </w:rPr>
                <m:t>excl. KAO</m:t>
              </m:r>
            </m:sup>
          </m:sSubSup>
          <m:r>
            <m:rPr>
              <m:sty m:val="p"/>
            </m:rPr>
            <w:rPr>
              <w:rFonts w:ascii="Cambria Math" w:hAnsi="Cambria Math"/>
              <w:sz w:val="24"/>
              <w:lang w:val="en-US"/>
            </w:rPr>
            <m:t xml:space="preserve">= </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sSub>
                <m:sSubPr>
                  <m:ctrlPr>
                    <w:rPr>
                      <w:rFonts w:ascii="Cambria Math" w:hAnsi="Cambria Math"/>
                      <w:sz w:val="24"/>
                      <w:lang w:val="en-US"/>
                    </w:rPr>
                  </m:ctrlPr>
                </m:sSubPr>
                <m:e>
                  <m:r>
                    <w:rPr>
                      <w:rFonts w:ascii="Cambria Math" w:hAnsi="Cambria Math"/>
                      <w:sz w:val="24"/>
                      <w:lang w:val="en-US"/>
                    </w:rPr>
                    <m:t>FC</m:t>
                  </m:r>
                </m:e>
                <m:sub>
                  <m:r>
                    <m:rPr>
                      <m:sty m:val="p"/>
                    </m:rPr>
                    <w:rPr>
                      <w:rFonts w:ascii="Cambria Math" w:hAnsi="Cambria Math"/>
                      <w:sz w:val="24"/>
                      <w:lang w:val="en-US"/>
                    </w:rPr>
                    <m:t>0</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FD</m:t>
                  </m:r>
                </m:e>
                <m:sub>
                  <m:r>
                    <m:rPr>
                      <m:sty m:val="p"/>
                    </m:rPr>
                    <w:rPr>
                      <w:rFonts w:ascii="Cambria Math" w:hAnsi="Cambria Math"/>
                      <w:sz w:val="24"/>
                      <w:lang w:val="en-US"/>
                    </w:rPr>
                    <m:t>0</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sSub>
                <m:sSubPr>
                  <m:ctrlPr>
                    <w:rPr>
                      <w:rFonts w:ascii="Cambria Math" w:hAnsi="Cambria Math"/>
                      <w:sz w:val="24"/>
                      <w:lang w:val="en-US"/>
                    </w:rPr>
                  </m:ctrlPr>
                </m:sSubPr>
                <m:e>
                  <m:r>
                    <w:rPr>
                      <w:rFonts w:ascii="Cambria Math" w:hAnsi="Cambria Math"/>
                      <w:sz w:val="24"/>
                      <w:lang w:val="en-US"/>
                    </w:rPr>
                    <m:t>FC</m:t>
                  </m:r>
                </m:e>
                <m:sub>
                  <m:r>
                    <w:rPr>
                      <w:rFonts w:ascii="Cambria Math" w:hAnsi="Cambria Math"/>
                      <w:sz w:val="24"/>
                      <w:lang w:val="en-US"/>
                    </w:rPr>
                    <m:t>i</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r>
                <w:rPr>
                  <w:rFonts w:ascii="Cambria Math" w:hAnsi="Cambria Math"/>
                  <w:sz w:val="24"/>
                  <w:lang w:val="en-US"/>
                </w:rPr>
                <m:t>F</m:t>
              </m:r>
              <m:sSub>
                <m:sSubPr>
                  <m:ctrlPr>
                    <w:rPr>
                      <w:rFonts w:ascii="Cambria Math" w:hAnsi="Cambria Math"/>
                      <w:sz w:val="24"/>
                      <w:lang w:val="en-US"/>
                    </w:rPr>
                  </m:ctrlPr>
                </m:sSubPr>
                <m:e>
                  <m:r>
                    <w:rPr>
                      <w:rFonts w:ascii="Cambria Math" w:hAnsi="Cambria Math"/>
                      <w:sz w:val="24"/>
                      <w:lang w:val="en-US"/>
                    </w:rPr>
                    <m:t>D</m:t>
                  </m:r>
                </m:e>
                <m:sub>
                  <m:r>
                    <w:rPr>
                      <w:rFonts w:ascii="Cambria Math" w:hAnsi="Cambria Math"/>
                      <w:sz w:val="24"/>
                      <w:lang w:val="en-US"/>
                    </w:rPr>
                    <m:t>i</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m:t>
          </m:r>
        </m:oMath>
      </m:oMathPara>
    </w:p>
    <w:p w14:paraId="6801DE04" w14:textId="77777777" w:rsidR="00E10BA0" w:rsidRPr="008E3606" w:rsidRDefault="00C04686" w:rsidP="00E10BA0">
      <w:pPr>
        <w:widowControl w:val="0"/>
        <w:spacing w:after="240"/>
        <w:ind w:left="2268"/>
        <w:rPr>
          <w:sz w:val="24"/>
          <w:lang w:val="en-US"/>
        </w:rPr>
      </w:pPr>
      <m:oMathPara>
        <m:oMath>
          <m:sSub>
            <m:sSubPr>
              <m:ctrlPr>
                <w:rPr>
                  <w:rFonts w:ascii="Cambria Math" w:hAnsi="Cambria Math"/>
                  <w:sz w:val="24"/>
                  <w:lang w:val="en-US"/>
                </w:rPr>
              </m:ctrlPr>
            </m:sSubPr>
            <m:e>
              <m:r>
                <m:rPr>
                  <m:sty m:val="p"/>
                </m:rPr>
                <w:rPr>
                  <w:rFonts w:ascii="Cambria Math" w:hAnsi="Cambria Math"/>
                  <w:sz w:val="24"/>
                  <w:lang w:val="en-US"/>
                </w:rPr>
                <m:t>∆</m:t>
              </m:r>
              <m:r>
                <w:rPr>
                  <w:rFonts w:ascii="Cambria Math" w:hAnsi="Cambria Math"/>
                  <w:sz w:val="24"/>
                  <w:lang w:val="en-US"/>
                </w:rPr>
                <m:t>VEP</m:t>
              </m:r>
            </m:e>
            <m:sub>
              <m:r>
                <w:rPr>
                  <w:rFonts w:ascii="Cambria Math" w:hAnsi="Cambria Math"/>
                  <w:sz w:val="24"/>
                  <w:lang w:val="en-US"/>
                </w:rPr>
                <m:t>i</m:t>
              </m:r>
            </m:sub>
          </m:sSub>
          <m:r>
            <m:rPr>
              <m:sty m:val="p"/>
            </m:rPr>
            <w:rPr>
              <w:rFonts w:ascii="Cambria Math" w:hAnsi="Cambria Math"/>
              <w:sz w:val="24"/>
              <w:lang w:val="en-US"/>
            </w:rPr>
            <m:t xml:space="preserve">= </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sSub>
                <m:sSubPr>
                  <m:ctrlPr>
                    <w:rPr>
                      <w:rFonts w:ascii="Cambria Math" w:hAnsi="Cambria Math"/>
                      <w:sz w:val="24"/>
                      <w:lang w:val="en-US"/>
                    </w:rPr>
                  </m:ctrlPr>
                </m:sSubPr>
                <m:e>
                  <m:r>
                    <w:rPr>
                      <w:rFonts w:ascii="Cambria Math" w:hAnsi="Cambria Math"/>
                      <w:sz w:val="24"/>
                      <w:lang w:val="en-US"/>
                    </w:rPr>
                    <m:t>FC</m:t>
                  </m:r>
                </m:e>
                <m:sub>
                  <m:r>
                    <m:rPr>
                      <m:sty m:val="p"/>
                    </m:rPr>
                    <w:rPr>
                      <w:rFonts w:ascii="Cambria Math" w:hAnsi="Cambria Math"/>
                      <w:sz w:val="24"/>
                      <w:lang w:val="en-US"/>
                    </w:rPr>
                    <m:t>0</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FD</m:t>
                  </m:r>
                </m:e>
                <m:sub>
                  <m:r>
                    <m:rPr>
                      <m:sty m:val="p"/>
                    </m:rPr>
                    <w:rPr>
                      <w:rFonts w:ascii="Cambria Math" w:hAnsi="Cambria Math"/>
                      <w:sz w:val="24"/>
                      <w:lang w:val="en-US"/>
                    </w:rPr>
                    <m:t>0</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m:t>
          </m:r>
          <m:nary>
            <m:naryPr>
              <m:chr m:val="∑"/>
              <m:limLoc m:val="undOvr"/>
              <m:ctrlPr>
                <w:rPr>
                  <w:rFonts w:ascii="Cambria Math" w:hAnsi="Cambria Math"/>
                  <w:sz w:val="24"/>
                  <w:lang w:val="en-US"/>
                </w:rPr>
              </m:ctrlPr>
            </m:naryPr>
            <m:sub>
              <m:r>
                <w:rPr>
                  <w:rFonts w:ascii="Cambria Math" w:hAnsi="Cambria Math"/>
                  <w:sz w:val="24"/>
                  <w:lang w:val="en-US"/>
                </w:rPr>
                <m:t>k</m:t>
              </m:r>
              <m:r>
                <m:rPr>
                  <m:sty m:val="p"/>
                </m:rPr>
                <w:rPr>
                  <w:rFonts w:ascii="Cambria Math" w:hAnsi="Cambria Math"/>
                  <w:sz w:val="24"/>
                  <w:lang w:val="en-US"/>
                </w:rPr>
                <m:t>=1</m:t>
              </m:r>
            </m:sub>
            <m:sup>
              <m:r>
                <w:rPr>
                  <w:rFonts w:ascii="Cambria Math" w:hAnsi="Cambria Math"/>
                  <w:sz w:val="24"/>
                  <w:lang w:val="en-US"/>
                </w:rPr>
                <m:t>k</m:t>
              </m:r>
            </m:sup>
            <m:e>
              <m:sSub>
                <m:sSubPr>
                  <m:ctrlPr>
                    <w:rPr>
                      <w:rFonts w:ascii="Cambria Math" w:hAnsi="Cambria Math"/>
                      <w:sz w:val="24"/>
                      <w:lang w:val="en-US"/>
                    </w:rPr>
                  </m:ctrlPr>
                </m:sSubPr>
                <m:e>
                  <m:r>
                    <w:rPr>
                      <w:rFonts w:ascii="Cambria Math" w:hAnsi="Cambria Math"/>
                      <w:sz w:val="24"/>
                      <w:lang w:val="en-US"/>
                    </w:rPr>
                    <m:t>FC</m:t>
                  </m:r>
                </m:e>
                <m:sub>
                  <m:r>
                    <w:rPr>
                      <w:rFonts w:ascii="Cambria Math" w:hAnsi="Cambria Math"/>
                      <w:sz w:val="24"/>
                      <w:lang w:val="en-US"/>
                    </w:rPr>
                    <m:t>i</m:t>
                  </m:r>
                </m:sub>
              </m:sSub>
              <m:d>
                <m:dPr>
                  <m:ctrlPr>
                    <w:rPr>
                      <w:rFonts w:ascii="Cambria Math" w:hAnsi="Cambria Math"/>
                      <w:sz w:val="24"/>
                      <w:lang w:val="en-US"/>
                    </w:rPr>
                  </m:ctrlPr>
                </m:dPr>
                <m:e>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d>
              <m:r>
                <m:rPr>
                  <m:sty m:val="p"/>
                </m:rPr>
                <w:rPr>
                  <w:rFonts w:ascii="Cambria Math" w:hAnsi="Cambria Math"/>
                  <w:sz w:val="24"/>
                  <w:lang w:val="en-US"/>
                </w:rPr>
                <m:t xml:space="preserve">. </m:t>
              </m:r>
              <m:r>
                <w:rPr>
                  <w:rFonts w:ascii="Cambria Math" w:hAnsi="Cambria Math"/>
                  <w:sz w:val="24"/>
                  <w:lang w:val="en-US"/>
                </w:rPr>
                <m:t>F</m:t>
              </m:r>
              <m:sSub>
                <m:sSubPr>
                  <m:ctrlPr>
                    <w:rPr>
                      <w:rFonts w:ascii="Cambria Math" w:hAnsi="Cambria Math"/>
                      <w:sz w:val="24"/>
                      <w:lang w:val="en-US"/>
                    </w:rPr>
                  </m:ctrlPr>
                </m:sSubPr>
                <m:e>
                  <m:r>
                    <w:rPr>
                      <w:rFonts w:ascii="Cambria Math" w:hAnsi="Cambria Math"/>
                      <w:sz w:val="24"/>
                      <w:lang w:val="en-US"/>
                    </w:rPr>
                    <m:t>D</m:t>
                  </m:r>
                </m:e>
                <m:sub>
                  <m:r>
                    <w:rPr>
                      <w:rFonts w:ascii="Cambria Math" w:hAnsi="Cambria Math"/>
                      <w:sz w:val="24"/>
                      <w:lang w:val="en-US"/>
                    </w:rPr>
                    <m:t>i</m:t>
                  </m:r>
                </m:sub>
              </m:sSub>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t</m:t>
                  </m:r>
                </m:e>
                <m:sub>
                  <m:r>
                    <w:rPr>
                      <w:rFonts w:ascii="Cambria Math" w:hAnsi="Cambria Math"/>
                      <w:sz w:val="24"/>
                      <w:lang w:val="en-US"/>
                    </w:rPr>
                    <m:t>k</m:t>
                  </m:r>
                </m:sub>
              </m:sSub>
            </m:e>
          </m:nary>
          <m:r>
            <m:rPr>
              <m:sty m:val="p"/>
            </m:rPr>
            <w:rPr>
              <w:rFonts w:ascii="Cambria Math" w:hAnsi="Cambria Math"/>
              <w:sz w:val="24"/>
              <w:lang w:val="en-US"/>
            </w:rPr>
            <m:t>)+</m:t>
          </m:r>
          <m:sSub>
            <m:sSubPr>
              <m:ctrlPr>
                <w:rPr>
                  <w:rFonts w:ascii="Cambria Math" w:hAnsi="Cambria Math"/>
                  <w:sz w:val="24"/>
                  <w:lang w:val="en-US"/>
                </w:rPr>
              </m:ctrlPr>
            </m:sSubPr>
            <m:e>
              <m:r>
                <w:rPr>
                  <w:rFonts w:ascii="Cambria Math" w:hAnsi="Cambria Math"/>
                  <w:sz w:val="24"/>
                  <w:lang w:val="en-US"/>
                </w:rPr>
                <m:t>KAO</m:t>
              </m:r>
            </m:e>
            <m:sub>
              <m:r>
                <w:rPr>
                  <w:rFonts w:ascii="Cambria Math" w:hAnsi="Cambria Math"/>
                  <w:sz w:val="24"/>
                  <w:lang w:val="en-US"/>
                </w:rPr>
                <m:t>i</m:t>
              </m:r>
            </m:sub>
          </m:sSub>
        </m:oMath>
      </m:oMathPara>
    </w:p>
    <w:p w14:paraId="2AAF3A7D" w14:textId="77777777" w:rsidR="00E10BA0" w:rsidRPr="008E3606" w:rsidRDefault="00E10BA0" w:rsidP="00E10BA0">
      <w:pPr>
        <w:pStyle w:val="Prrafodelista"/>
        <w:widowControl w:val="0"/>
        <w:numPr>
          <w:ilvl w:val="0"/>
          <w:numId w:val="27"/>
        </w:numPr>
        <w:spacing w:after="240" w:line="240" w:lineRule="auto"/>
        <w:ind w:left="2835" w:hanging="577"/>
        <w:contextualSpacing w:val="0"/>
        <w:rPr>
          <w:rFonts w:ascii="Cambria" w:hAnsi="Cambria"/>
          <w:szCs w:val="24"/>
        </w:rPr>
      </w:pPr>
      <w:r w:rsidRPr="008E3606">
        <w:rPr>
          <w:rFonts w:ascii="Cambria" w:hAnsi="Cambria"/>
          <w:szCs w:val="24"/>
        </w:rPr>
        <w:t xml:space="preserve">El cálculo de las pérdidas del VEP (cuando el </w:t>
      </w:r>
      <m:oMath>
        <m:sSub>
          <m:sSubPr>
            <m:ctrlPr>
              <w:rPr>
                <w:rFonts w:ascii="Cambria Math" w:hAnsi="Cambria Math"/>
                <w:szCs w:val="24"/>
              </w:rPr>
            </m:ctrlPr>
          </m:sSubPr>
          <m:e>
            <m:r>
              <m:rPr>
                <m:sty m:val="p"/>
              </m:rPr>
              <w:rPr>
                <w:rFonts w:ascii="Cambria Math" w:hAnsi="Cambria Math"/>
                <w:szCs w:val="24"/>
              </w:rPr>
              <m:t>∆</m:t>
            </m:r>
            <m:r>
              <w:rPr>
                <w:rFonts w:ascii="Cambria Math" w:hAnsi="Cambria Math"/>
                <w:szCs w:val="24"/>
              </w:rPr>
              <m:t>VEP</m:t>
            </m:r>
          </m:e>
          <m:sub>
            <m:r>
              <w:rPr>
                <w:rFonts w:ascii="Cambria Math" w:hAnsi="Cambria Math"/>
                <w:szCs w:val="24"/>
              </w:rPr>
              <m:t>i</m:t>
            </m:r>
            <m:r>
              <m:rPr>
                <m:sty m:val="p"/>
              </m:rPr>
              <w:rPr>
                <w:rFonts w:ascii="Cambria Math" w:hAnsi="Cambria Math"/>
                <w:szCs w:val="24"/>
              </w:rPr>
              <m:t>,</m:t>
            </m:r>
            <m:r>
              <w:rPr>
                <w:rFonts w:ascii="Cambria Math" w:hAnsi="Cambria Math"/>
                <w:szCs w:val="24"/>
              </w:rPr>
              <m:t>c</m:t>
            </m:r>
          </m:sub>
        </m:sSub>
      </m:oMath>
      <w:r w:rsidRPr="008E3606">
        <w:rPr>
          <w:rFonts w:ascii="Cambria" w:hAnsi="Cambria"/>
          <w:szCs w:val="24"/>
        </w:rPr>
        <w:t xml:space="preserve"> sea mayor a cero para la respectiva moneda y escenario de choque) se debe realizar de la siguiente forma:</w:t>
      </w:r>
    </w:p>
    <w:p w14:paraId="1F638AA1" w14:textId="77777777" w:rsidR="00E10BA0" w:rsidRPr="008E3606" w:rsidRDefault="00E10BA0" w:rsidP="00B21E78">
      <w:pPr>
        <w:pStyle w:val="Prrafodelista"/>
        <w:widowControl w:val="0"/>
        <w:numPr>
          <w:ilvl w:val="0"/>
          <w:numId w:val="46"/>
        </w:numPr>
        <w:spacing w:after="240" w:line="240" w:lineRule="auto"/>
        <w:ind w:left="3402" w:hanging="578"/>
        <w:contextualSpacing w:val="0"/>
        <w:rPr>
          <w:rFonts w:ascii="Cambria" w:hAnsi="Cambria"/>
          <w:szCs w:val="24"/>
        </w:rPr>
      </w:pPr>
      <w:r w:rsidRPr="008E3606">
        <w:rPr>
          <w:rFonts w:ascii="Cambria" w:hAnsi="Cambria"/>
          <w:szCs w:val="24"/>
        </w:rPr>
        <w:t xml:space="preserve">Calcular la pérdida máxima para cada moneda </w:t>
      </w:r>
      <m:oMath>
        <m:r>
          <w:rPr>
            <w:rFonts w:ascii="Cambria Math" w:hAnsi="Cambria Math"/>
            <w:szCs w:val="24"/>
          </w:rPr>
          <m:t>c</m:t>
        </m:r>
      </m:oMath>
      <w:r w:rsidRPr="008E3606">
        <w:rPr>
          <w:rFonts w:ascii="Cambria" w:hAnsi="Cambria"/>
          <w:szCs w:val="24"/>
        </w:rPr>
        <w:t xml:space="preserve"> agregada para un escenario de choque de tasa de interés </w:t>
      </w:r>
      <m:oMath>
        <m:r>
          <w:rPr>
            <w:rFonts w:ascii="Cambria Math" w:hAnsi="Cambria Math"/>
            <w:szCs w:val="24"/>
          </w:rPr>
          <m:t>i</m:t>
        </m:r>
      </m:oMath>
      <w:r w:rsidRPr="008E3606">
        <w:rPr>
          <w:rFonts w:ascii="Cambria" w:hAnsi="Cambria"/>
          <w:szCs w:val="24"/>
        </w:rPr>
        <w:t>.</w:t>
      </w:r>
    </w:p>
    <w:p w14:paraId="48CA0553" w14:textId="77777777" w:rsidR="00E10BA0" w:rsidRPr="008E3606" w:rsidRDefault="00C04686" w:rsidP="00E10BA0">
      <w:pPr>
        <w:pStyle w:val="Prrafodelista"/>
        <w:widowControl w:val="0"/>
        <w:spacing w:after="240"/>
        <w:ind w:left="3402" w:hanging="578"/>
        <w:contextualSpacing w:val="0"/>
        <w:rPr>
          <w:rFonts w:ascii="Cambria" w:eastAsiaTheme="minorEastAsia" w:hAnsi="Cambria"/>
          <w:szCs w:val="24"/>
          <w:lang w:val="en-US"/>
        </w:rPr>
      </w:pPr>
      <m:oMathPara>
        <m:oMath>
          <m:sSub>
            <m:sSubPr>
              <m:ctrlPr>
                <w:rPr>
                  <w:rFonts w:ascii="Cambria Math" w:hAnsi="Cambria Math"/>
                  <w:szCs w:val="24"/>
                  <w:lang w:val="en-US"/>
                </w:rPr>
              </m:ctrlPr>
            </m:sSubPr>
            <m:e>
              <m:r>
                <m:rPr>
                  <m:sty m:val="p"/>
                </m:rPr>
                <w:rPr>
                  <w:rFonts w:ascii="Cambria Math" w:hAnsi="Cambria Math"/>
                  <w:szCs w:val="24"/>
                  <w:lang w:val="en-US"/>
                </w:rPr>
                <m:t>∆</m:t>
              </m:r>
              <m:r>
                <w:rPr>
                  <w:rFonts w:ascii="Cambria Math" w:hAnsi="Cambria Math"/>
                  <w:szCs w:val="24"/>
                  <w:lang w:val="en-US"/>
                </w:rPr>
                <m:t>VEP</m:t>
              </m:r>
            </m:e>
            <m:sub>
              <m:r>
                <w:rPr>
                  <w:rFonts w:ascii="Cambria Math" w:hAnsi="Cambria Math"/>
                  <w:szCs w:val="24"/>
                  <w:lang w:val="en-US"/>
                </w:rPr>
                <m:t>i</m:t>
              </m:r>
            </m:sub>
          </m:sSub>
          <m:r>
            <m:rPr>
              <m:sty m:val="p"/>
            </m:rPr>
            <w:rPr>
              <w:rFonts w:ascii="Cambria Math" w:hAnsi="Cambria Math"/>
              <w:szCs w:val="24"/>
              <w:lang w:val="en-US"/>
            </w:rPr>
            <m:t>=</m:t>
          </m:r>
          <m:nary>
            <m:naryPr>
              <m:chr m:val="∑"/>
              <m:limLoc m:val="undOvr"/>
              <m:supHide m:val="1"/>
              <m:ctrlPr>
                <w:rPr>
                  <w:rFonts w:ascii="Cambria Math" w:hAnsi="Cambria Math"/>
                  <w:szCs w:val="24"/>
                  <w:lang w:val="en-US"/>
                </w:rPr>
              </m:ctrlPr>
            </m:naryPr>
            <m:sub>
              <m:r>
                <w:rPr>
                  <w:rFonts w:ascii="Cambria Math" w:hAnsi="Cambria Math"/>
                  <w:szCs w:val="24"/>
                  <w:lang w:val="en-US"/>
                </w:rPr>
                <m:t>c</m:t>
              </m:r>
            </m:sub>
            <m:sup/>
            <m:e>
              <m:sSub>
                <m:sSubPr>
                  <m:ctrlPr>
                    <w:rPr>
                      <w:rFonts w:ascii="Cambria Math" w:hAnsi="Cambria Math"/>
                      <w:szCs w:val="24"/>
                      <w:lang w:val="en-US"/>
                    </w:rPr>
                  </m:ctrlPr>
                </m:sSubPr>
                <m:e>
                  <m:r>
                    <m:rPr>
                      <m:sty m:val="p"/>
                    </m:rPr>
                    <w:rPr>
                      <w:rFonts w:ascii="Cambria Math" w:hAnsi="Cambria Math"/>
                      <w:szCs w:val="24"/>
                      <w:lang w:val="en-US"/>
                    </w:rPr>
                    <m:t>max⁡(0,∆</m:t>
                  </m:r>
                  <m:r>
                    <w:rPr>
                      <w:rFonts w:ascii="Cambria Math" w:hAnsi="Cambria Math"/>
                      <w:szCs w:val="24"/>
                      <w:lang w:val="en-US"/>
                    </w:rPr>
                    <m:t>VEP</m:t>
                  </m:r>
                </m:e>
                <m:sub>
                  <m:r>
                    <w:rPr>
                      <w:rFonts w:ascii="Cambria Math" w:hAnsi="Cambria Math"/>
                      <w:szCs w:val="24"/>
                      <w:lang w:val="en-US"/>
                    </w:rPr>
                    <m:t>i</m:t>
                  </m:r>
                  <m:r>
                    <m:rPr>
                      <m:sty m:val="p"/>
                    </m:rPr>
                    <w:rPr>
                      <w:rFonts w:ascii="Cambria Math" w:hAnsi="Cambria Math"/>
                      <w:szCs w:val="24"/>
                      <w:lang w:val="en-US"/>
                    </w:rPr>
                    <m:t>,</m:t>
                  </m:r>
                  <m:r>
                    <w:rPr>
                      <w:rFonts w:ascii="Cambria Math" w:hAnsi="Cambria Math"/>
                      <w:szCs w:val="24"/>
                      <w:lang w:val="en-US"/>
                    </w:rPr>
                    <m:t>c</m:t>
                  </m:r>
                </m:sub>
              </m:sSub>
              <m:r>
                <m:rPr>
                  <m:sty m:val="p"/>
                </m:rPr>
                <w:rPr>
                  <w:rFonts w:ascii="Cambria Math" w:hAnsi="Cambria Math"/>
                  <w:szCs w:val="24"/>
                  <w:lang w:val="en-US"/>
                </w:rPr>
                <m:t>)</m:t>
              </m:r>
            </m:e>
          </m:nary>
        </m:oMath>
      </m:oMathPara>
    </w:p>
    <w:p w14:paraId="093B1BE5" w14:textId="77777777" w:rsidR="00E10BA0" w:rsidRPr="008E3606" w:rsidRDefault="00E10BA0" w:rsidP="00B21E78">
      <w:pPr>
        <w:pStyle w:val="Prrafodelista"/>
        <w:widowControl w:val="0"/>
        <w:numPr>
          <w:ilvl w:val="0"/>
          <w:numId w:val="46"/>
        </w:numPr>
        <w:spacing w:after="240" w:line="240" w:lineRule="auto"/>
        <w:ind w:left="3402" w:hanging="578"/>
        <w:contextualSpacing w:val="0"/>
        <w:rPr>
          <w:rFonts w:ascii="Cambria" w:hAnsi="Cambria"/>
          <w:szCs w:val="24"/>
        </w:rPr>
      </w:pPr>
      <w:r w:rsidRPr="008E3606">
        <w:rPr>
          <w:rFonts w:ascii="Cambria" w:hAnsi="Cambria"/>
          <w:szCs w:val="24"/>
        </w:rPr>
        <w:t xml:space="preserve">Obtener el escenario </w:t>
      </w:r>
      <m:oMath>
        <m:r>
          <w:rPr>
            <w:rFonts w:ascii="Cambria Math" w:hAnsi="Cambria Math"/>
            <w:szCs w:val="24"/>
          </w:rPr>
          <m:t>i</m:t>
        </m:r>
      </m:oMath>
      <w:r w:rsidRPr="008E3606">
        <w:rPr>
          <w:rFonts w:ascii="Cambria" w:hAnsi="Cambria"/>
          <w:szCs w:val="24"/>
        </w:rPr>
        <w:t xml:space="preserve"> en el cual se registra la pérdida máxima. Esta definirá la medida estandarizada del VEP:</w:t>
      </w:r>
    </w:p>
    <w:p w14:paraId="3BA9D265" w14:textId="77777777" w:rsidR="00E10BA0" w:rsidRPr="008E3606" w:rsidRDefault="00E10BA0" w:rsidP="00E10BA0">
      <w:pPr>
        <w:widowControl w:val="0"/>
        <w:spacing w:after="240"/>
        <w:ind w:left="3402" w:hanging="578"/>
        <w:rPr>
          <w:rFonts w:eastAsiaTheme="minorEastAsia"/>
          <w:sz w:val="24"/>
          <w:lang w:val="en-US"/>
        </w:rPr>
      </w:pPr>
      <m:oMathPara>
        <m:oMath>
          <m:r>
            <w:rPr>
              <w:rFonts w:ascii="Cambria Math" w:hAnsi="Cambria Math"/>
              <w:sz w:val="24"/>
              <w:lang w:val="en-US"/>
            </w:rPr>
            <m:t>Medida</m:t>
          </m:r>
          <m:r>
            <m:rPr>
              <m:sty m:val="p"/>
            </m:rPr>
            <w:rPr>
              <w:rFonts w:ascii="Cambria Math" w:hAnsi="Cambria Math"/>
              <w:sz w:val="24"/>
              <w:lang w:val="en-US"/>
            </w:rPr>
            <m:t xml:space="preserve"> </m:t>
          </m:r>
          <m:r>
            <w:rPr>
              <w:rFonts w:ascii="Cambria Math" w:hAnsi="Cambria Math"/>
              <w:sz w:val="24"/>
              <w:lang w:val="en-US"/>
            </w:rPr>
            <m:t>estandarizada</m:t>
          </m:r>
          <m:r>
            <m:rPr>
              <m:sty m:val="p"/>
            </m:rPr>
            <w:rPr>
              <w:rFonts w:ascii="Cambria Math" w:hAnsi="Cambria Math"/>
              <w:sz w:val="24"/>
              <w:lang w:val="en-US"/>
            </w:rPr>
            <m:t xml:space="preserve"> </m:t>
          </m:r>
          <m:r>
            <w:rPr>
              <w:rFonts w:ascii="Cambria Math" w:hAnsi="Cambria Math"/>
              <w:sz w:val="24"/>
              <w:lang w:val="en-US"/>
            </w:rPr>
            <m:t>del</m:t>
          </m:r>
          <m:r>
            <m:rPr>
              <m:sty m:val="p"/>
            </m:rPr>
            <w:rPr>
              <w:rFonts w:ascii="Cambria Math" w:hAnsi="Cambria Math"/>
              <w:sz w:val="24"/>
              <w:lang w:val="en-US"/>
            </w:rPr>
            <m:t xml:space="preserve"> </m:t>
          </m:r>
          <m:r>
            <w:rPr>
              <w:rFonts w:ascii="Cambria Math" w:hAnsi="Cambria Math"/>
              <w:sz w:val="24"/>
              <w:lang w:val="en-US"/>
            </w:rPr>
            <m:t>VEP</m:t>
          </m:r>
          <m:r>
            <m:rPr>
              <m:sty m:val="p"/>
            </m:rPr>
            <w:rPr>
              <w:rFonts w:ascii="Cambria Math" w:hAnsi="Cambria Math"/>
              <w:sz w:val="24"/>
              <w:lang w:val="en-US"/>
            </w:rPr>
            <m:t xml:space="preserve">= </m:t>
          </m:r>
          <m:func>
            <m:funcPr>
              <m:ctrlPr>
                <w:rPr>
                  <w:rFonts w:ascii="Cambria Math" w:hAnsi="Cambria Math"/>
                  <w:sz w:val="24"/>
                  <w:lang w:val="en-US"/>
                </w:rPr>
              </m:ctrlPr>
            </m:funcPr>
            <m:fName>
              <m:limLow>
                <m:limLowPr>
                  <m:ctrlPr>
                    <w:rPr>
                      <w:rFonts w:ascii="Cambria Math" w:hAnsi="Cambria Math"/>
                      <w:sz w:val="24"/>
                      <w:lang w:val="en-US"/>
                    </w:rPr>
                  </m:ctrlPr>
                </m:limLowPr>
                <m:e>
                  <m:r>
                    <m:rPr>
                      <m:sty m:val="p"/>
                    </m:rPr>
                    <w:rPr>
                      <w:rFonts w:ascii="Cambria Math" w:hAnsi="Cambria Math"/>
                      <w:sz w:val="24"/>
                      <w:lang w:val="en-US"/>
                    </w:rPr>
                    <m:t>max</m:t>
                  </m:r>
                </m:e>
                <m:lim>
                  <m:r>
                    <w:rPr>
                      <w:rFonts w:ascii="Cambria Math" w:hAnsi="Cambria Math"/>
                      <w:sz w:val="24"/>
                      <w:lang w:val="en-US"/>
                    </w:rPr>
                    <m:t>i</m:t>
                  </m:r>
                  <m:r>
                    <m:rPr>
                      <m:sty m:val="p"/>
                    </m:rPr>
                    <w:rPr>
                      <w:rFonts w:ascii="Cambria Math" w:hAnsi="Cambria Math"/>
                      <w:sz w:val="24"/>
                      <w:lang w:val="en-US"/>
                    </w:rPr>
                    <m:t>∈(1,2,…6)</m:t>
                  </m:r>
                </m:lim>
              </m:limLow>
            </m:fName>
            <m:e>
              <m:sSub>
                <m:sSubPr>
                  <m:ctrlPr>
                    <w:rPr>
                      <w:rFonts w:ascii="Cambria Math" w:hAnsi="Cambria Math"/>
                      <w:sz w:val="24"/>
                      <w:lang w:val="en-US"/>
                    </w:rPr>
                  </m:ctrlPr>
                </m:sSubPr>
                <m:e>
                  <m:r>
                    <m:rPr>
                      <m:sty m:val="p"/>
                    </m:rPr>
                    <w:rPr>
                      <w:rFonts w:ascii="Cambria Math" w:hAnsi="Cambria Math"/>
                      <w:sz w:val="24"/>
                      <w:lang w:val="en-US"/>
                    </w:rPr>
                    <m:t>∆</m:t>
                  </m:r>
                  <m:r>
                    <w:rPr>
                      <w:rFonts w:ascii="Cambria Math" w:hAnsi="Cambria Math"/>
                      <w:sz w:val="24"/>
                      <w:lang w:val="en-US"/>
                    </w:rPr>
                    <m:t>VEP</m:t>
                  </m:r>
                </m:e>
                <m:sub>
                  <m:r>
                    <w:rPr>
                      <w:rFonts w:ascii="Cambria Math" w:hAnsi="Cambria Math"/>
                      <w:sz w:val="24"/>
                      <w:lang w:val="en-US"/>
                    </w:rPr>
                    <m:t>i</m:t>
                  </m:r>
                </m:sub>
              </m:sSub>
            </m:e>
          </m:func>
        </m:oMath>
      </m:oMathPara>
    </w:p>
    <w:p w14:paraId="0058F500" w14:textId="77777777" w:rsidR="00E10BA0" w:rsidRPr="008E3606" w:rsidRDefault="00E10BA0" w:rsidP="00E10BA0">
      <w:pPr>
        <w:widowControl w:val="0"/>
        <w:spacing w:after="240" w:line="240" w:lineRule="auto"/>
        <w:ind w:left="2268"/>
        <w:rPr>
          <w:b/>
          <w:bCs/>
          <w:color w:val="4472C4" w:themeColor="accent1"/>
          <w:sz w:val="24"/>
          <w:u w:val="single"/>
        </w:rPr>
      </w:pPr>
      <w:r w:rsidRPr="008E3606">
        <w:rPr>
          <w:b/>
          <w:bCs/>
          <w:color w:val="4472C4" w:themeColor="accent1"/>
          <w:sz w:val="24"/>
          <w:u w:val="single"/>
        </w:rPr>
        <w:t>Resumen de pasos para el cálculo del VEP</w:t>
      </w:r>
    </w:p>
    <w:p w14:paraId="6FBBA27E" w14:textId="77777777" w:rsidR="00E10BA0" w:rsidRPr="008E3606" w:rsidRDefault="00E10BA0" w:rsidP="00E10BA0">
      <w:pPr>
        <w:widowControl w:val="0"/>
        <w:spacing w:after="240" w:line="240" w:lineRule="auto"/>
        <w:ind w:left="2268"/>
        <w:rPr>
          <w:sz w:val="24"/>
        </w:rPr>
      </w:pPr>
      <w:r w:rsidRPr="008E3606">
        <w:rPr>
          <w:sz w:val="24"/>
        </w:rPr>
        <w:t>Para el cálculo del VEP la entidad debe seguir los siguientes pasos:</w:t>
      </w:r>
      <w:r w:rsidRPr="008E3606">
        <w:rPr>
          <w:rStyle w:val="Refdenotaalpie"/>
          <w:sz w:val="24"/>
        </w:rPr>
        <w:footnoteReference w:id="3"/>
      </w:r>
      <w:r w:rsidRPr="008E3606">
        <w:rPr>
          <w:sz w:val="24"/>
        </w:rPr>
        <w:t xml:space="preserve"> </w:t>
      </w:r>
    </w:p>
    <w:p w14:paraId="0C559D09" w14:textId="77777777" w:rsidR="00E10BA0" w:rsidRPr="008E3606" w:rsidRDefault="00E10BA0" w:rsidP="00E10BA0">
      <w:pPr>
        <w:pStyle w:val="Prrafodelista"/>
        <w:widowControl w:val="0"/>
        <w:numPr>
          <w:ilvl w:val="0"/>
          <w:numId w:val="28"/>
        </w:numPr>
        <w:spacing w:after="0" w:line="240" w:lineRule="auto"/>
        <w:ind w:left="2835" w:hanging="578"/>
        <w:contextualSpacing w:val="0"/>
        <w:rPr>
          <w:rFonts w:ascii="Cambria" w:hAnsi="Cambria"/>
          <w:color w:val="auto"/>
          <w:szCs w:val="24"/>
        </w:rPr>
      </w:pPr>
      <w:r w:rsidRPr="008E3606">
        <w:rPr>
          <w:rFonts w:ascii="Cambria" w:hAnsi="Cambria"/>
          <w:color w:val="auto"/>
          <w:szCs w:val="24"/>
        </w:rPr>
        <w:t>Asignar las posiciones en activos y pasivos del libro bancario a una de las siguientes categorías:</w:t>
      </w:r>
    </w:p>
    <w:p w14:paraId="4B761B4A" w14:textId="77777777" w:rsidR="00E10BA0" w:rsidRPr="008E3606" w:rsidRDefault="00E10BA0" w:rsidP="00E10BA0">
      <w:pPr>
        <w:pStyle w:val="Prrafodelista"/>
        <w:widowControl w:val="0"/>
        <w:numPr>
          <w:ilvl w:val="0"/>
          <w:numId w:val="28"/>
        </w:numPr>
        <w:spacing w:after="0" w:line="240" w:lineRule="auto"/>
        <w:ind w:left="2835" w:hanging="578"/>
        <w:contextualSpacing w:val="0"/>
        <w:rPr>
          <w:rFonts w:ascii="Cambria" w:hAnsi="Cambria"/>
          <w:color w:val="auto"/>
          <w:szCs w:val="24"/>
        </w:rPr>
      </w:pPr>
      <w:r w:rsidRPr="008E3606">
        <w:rPr>
          <w:rFonts w:ascii="Cambria" w:hAnsi="Cambria"/>
          <w:color w:val="auto"/>
          <w:szCs w:val="24"/>
        </w:rPr>
        <w:t xml:space="preserve">Atribuir los flujos de efectivo de los activos y pasivos a los 19 tramos temporales. </w:t>
      </w:r>
    </w:p>
    <w:p w14:paraId="0D01C87E" w14:textId="77777777" w:rsidR="00E10BA0" w:rsidRPr="008E3606" w:rsidRDefault="00E10BA0" w:rsidP="00E10BA0">
      <w:pPr>
        <w:pStyle w:val="Prrafodelista"/>
        <w:widowControl w:val="0"/>
        <w:numPr>
          <w:ilvl w:val="0"/>
          <w:numId w:val="28"/>
        </w:numPr>
        <w:spacing w:after="0" w:line="240" w:lineRule="auto"/>
        <w:ind w:left="2835" w:hanging="578"/>
        <w:contextualSpacing w:val="0"/>
        <w:rPr>
          <w:rFonts w:ascii="Cambria" w:hAnsi="Cambria"/>
          <w:color w:val="auto"/>
          <w:szCs w:val="24"/>
        </w:rPr>
      </w:pPr>
      <w:r w:rsidRPr="008E3606">
        <w:rPr>
          <w:rFonts w:ascii="Cambria" w:hAnsi="Cambria"/>
          <w:color w:val="auto"/>
          <w:szCs w:val="24"/>
        </w:rPr>
        <w:t>Determinación de ∆VEP para cada uno de los escenarios de estrés de tasas de interés para cada moneda.</w:t>
      </w:r>
    </w:p>
    <w:p w14:paraId="18753EC0" w14:textId="77777777" w:rsidR="00E10BA0" w:rsidRPr="008E3606" w:rsidRDefault="00E10BA0" w:rsidP="00E10BA0">
      <w:pPr>
        <w:pStyle w:val="Prrafodelista"/>
        <w:widowControl w:val="0"/>
        <w:numPr>
          <w:ilvl w:val="0"/>
          <w:numId w:val="28"/>
        </w:numPr>
        <w:spacing w:after="0" w:line="240" w:lineRule="auto"/>
        <w:ind w:left="2835" w:hanging="578"/>
        <w:contextualSpacing w:val="0"/>
        <w:rPr>
          <w:rFonts w:ascii="Cambria" w:hAnsi="Cambria"/>
          <w:color w:val="auto"/>
          <w:szCs w:val="24"/>
        </w:rPr>
      </w:pPr>
      <w:r w:rsidRPr="008E3606">
        <w:rPr>
          <w:rFonts w:ascii="Cambria" w:hAnsi="Cambria"/>
          <w:color w:val="auto"/>
          <w:szCs w:val="24"/>
        </w:rPr>
        <w:t>Sumar a los cambios en el VEP los efectos adicionales por cambios en el valor de opciones automáticas sobre tasas de interés, sean estas explícitas o implícitas.</w:t>
      </w:r>
    </w:p>
    <w:p w14:paraId="64F50F55" w14:textId="77777777" w:rsidR="00E10BA0" w:rsidRPr="008E3606" w:rsidRDefault="00E10BA0" w:rsidP="00E10BA0">
      <w:pPr>
        <w:pStyle w:val="Prrafodelista"/>
        <w:widowControl w:val="0"/>
        <w:numPr>
          <w:ilvl w:val="0"/>
          <w:numId w:val="28"/>
        </w:numPr>
        <w:spacing w:after="240" w:line="240" w:lineRule="auto"/>
        <w:ind w:left="2835" w:hanging="577"/>
        <w:contextualSpacing w:val="0"/>
        <w:rPr>
          <w:rFonts w:ascii="Cambria" w:hAnsi="Cambria"/>
          <w:color w:val="auto"/>
          <w:szCs w:val="24"/>
        </w:rPr>
      </w:pPr>
      <w:r w:rsidRPr="008E3606">
        <w:rPr>
          <w:rFonts w:ascii="Cambria" w:hAnsi="Cambria"/>
          <w:color w:val="auto"/>
          <w:szCs w:val="24"/>
        </w:rPr>
        <w:t>El ∆VEP bajo la metodología estándar será el valor absoluto de la máxima caída en el VEP, calculado para cada uno de los seis escenarios de estrés de tasas de interés.</w:t>
      </w:r>
    </w:p>
    <w:p w14:paraId="2607B1E8" w14:textId="79889765" w:rsidR="00E10BA0" w:rsidRPr="008E3606" w:rsidRDefault="00E10BA0" w:rsidP="00E10BA0">
      <w:pPr>
        <w:widowControl w:val="0"/>
        <w:spacing w:after="240" w:line="259" w:lineRule="auto"/>
        <w:jc w:val="left"/>
        <w:rPr>
          <w:sz w:val="24"/>
        </w:rPr>
      </w:pPr>
    </w:p>
    <w:p w14:paraId="1040E355" w14:textId="77777777" w:rsidR="00E10BA0" w:rsidRPr="008E3606" w:rsidRDefault="00E10BA0" w:rsidP="00D92BF5">
      <w:pPr>
        <w:pStyle w:val="Ttulo1"/>
        <w:spacing w:after="240"/>
        <w:ind w:left="0" w:firstLine="0"/>
        <w:rPr>
          <w:rFonts w:ascii="Cambria" w:hAnsi="Cambria" w:cs="Times New Roman"/>
          <w:szCs w:val="24"/>
        </w:rPr>
      </w:pPr>
      <w:bookmarkStart w:id="5" w:name="_Toc153190205"/>
      <w:r w:rsidRPr="008E3606">
        <w:rPr>
          <w:rFonts w:ascii="Cambria" w:hAnsi="Cambria" w:cs="Times New Roman"/>
          <w:szCs w:val="24"/>
        </w:rPr>
        <w:t>V. CALCULO DE LOS COMPONENTES ADICIONALES POR CLASE DE ACTIVOS, PARA EFECTOS DEL RIESGO DE CREDITO DE CONTRAPARTE (RCC)</w:t>
      </w:r>
      <w:bookmarkEnd w:id="5"/>
      <w:r w:rsidRPr="008E3606">
        <w:rPr>
          <w:rFonts w:ascii="Cambria" w:hAnsi="Cambria" w:cs="Times New Roman"/>
          <w:szCs w:val="24"/>
        </w:rPr>
        <w:t xml:space="preserve"> </w:t>
      </w:r>
    </w:p>
    <w:p w14:paraId="245DE363" w14:textId="77777777" w:rsidR="00E10BA0" w:rsidRPr="008E3606" w:rsidRDefault="00E10BA0" w:rsidP="00E10BA0">
      <w:pPr>
        <w:pStyle w:val="Prrafodelista"/>
        <w:widowControl w:val="0"/>
        <w:numPr>
          <w:ilvl w:val="0"/>
          <w:numId w:val="22"/>
        </w:numPr>
        <w:spacing w:after="240" w:line="259" w:lineRule="auto"/>
        <w:ind w:left="567" w:hanging="567"/>
        <w:contextualSpacing w:val="0"/>
        <w:jc w:val="left"/>
        <w:rPr>
          <w:rFonts w:ascii="Cambria" w:hAnsi="Cambria"/>
          <w:b/>
          <w:bCs/>
          <w:color w:val="auto"/>
          <w:szCs w:val="24"/>
        </w:rPr>
      </w:pPr>
      <w:r w:rsidRPr="008E3606">
        <w:rPr>
          <w:rFonts w:ascii="Cambria" w:hAnsi="Cambria"/>
          <w:b/>
          <w:bCs/>
          <w:color w:val="auto"/>
          <w:szCs w:val="24"/>
        </w:rPr>
        <w:t>PARAMETROS UTILIZADOS</w:t>
      </w:r>
    </w:p>
    <w:p w14:paraId="40E90696" w14:textId="77777777" w:rsidR="00E10BA0" w:rsidRPr="008E3606" w:rsidRDefault="00E10BA0" w:rsidP="00E10BA0">
      <w:pPr>
        <w:pStyle w:val="Prrafodelista"/>
        <w:widowControl w:val="0"/>
        <w:numPr>
          <w:ilvl w:val="0"/>
          <w:numId w:val="20"/>
        </w:numPr>
        <w:spacing w:after="240" w:line="240" w:lineRule="auto"/>
        <w:ind w:left="1134" w:hanging="567"/>
        <w:contextualSpacing w:val="0"/>
        <w:rPr>
          <w:rFonts w:ascii="Cambria" w:hAnsi="Cambria"/>
          <w:color w:val="auto"/>
          <w:szCs w:val="24"/>
        </w:rPr>
      </w:pPr>
      <w:r w:rsidRPr="008E3606">
        <w:rPr>
          <w:rFonts w:ascii="Cambria" w:hAnsi="Cambria"/>
          <w:color w:val="auto"/>
          <w:szCs w:val="24"/>
        </w:rPr>
        <w:t>Para calcular el componente Adicional</w:t>
      </w:r>
      <w:r w:rsidRPr="008E3606">
        <w:rPr>
          <w:rFonts w:ascii="Cambria" w:hAnsi="Cambria"/>
          <w:color w:val="auto"/>
          <w:szCs w:val="24"/>
          <w:vertAlign w:val="superscript"/>
        </w:rPr>
        <w:t>agregado</w:t>
      </w:r>
      <w:r w:rsidRPr="008E3606">
        <w:rPr>
          <w:rFonts w:ascii="Cambria" w:hAnsi="Cambria"/>
          <w:color w:val="auto"/>
          <w:szCs w:val="24"/>
        </w:rPr>
        <w:t xml:space="preserve"> la entidad debe calcular componentes adicionales para cada clase de activos dentro del conjunto de compensación. Para este efecto, se utilizarán las siguientes clases de activos:</w:t>
      </w:r>
    </w:p>
    <w:p w14:paraId="46AE761E" w14:textId="77777777" w:rsidR="00E10BA0" w:rsidRPr="008E3606" w:rsidRDefault="00E10BA0" w:rsidP="00E10BA0">
      <w:pPr>
        <w:pStyle w:val="Prrafodelista"/>
        <w:widowControl w:val="0"/>
        <w:numPr>
          <w:ilvl w:val="0"/>
          <w:numId w:val="19"/>
        </w:numPr>
        <w:spacing w:after="240" w:line="240" w:lineRule="auto"/>
        <w:ind w:left="1701" w:hanging="567"/>
        <w:contextualSpacing w:val="0"/>
        <w:jc w:val="left"/>
        <w:rPr>
          <w:rFonts w:ascii="Cambria" w:hAnsi="Cambria"/>
          <w:color w:val="auto"/>
          <w:szCs w:val="24"/>
        </w:rPr>
      </w:pPr>
      <w:r w:rsidRPr="008E3606">
        <w:rPr>
          <w:rFonts w:ascii="Cambria" w:hAnsi="Cambria"/>
          <w:color w:val="auto"/>
          <w:szCs w:val="24"/>
        </w:rPr>
        <w:t>Derivados sobre tasas de interés, y</w:t>
      </w:r>
    </w:p>
    <w:p w14:paraId="2DF63DA2" w14:textId="77777777" w:rsidR="00E10BA0" w:rsidRPr="008E3606" w:rsidRDefault="00E10BA0" w:rsidP="00E10BA0">
      <w:pPr>
        <w:pStyle w:val="Prrafodelista"/>
        <w:widowControl w:val="0"/>
        <w:numPr>
          <w:ilvl w:val="0"/>
          <w:numId w:val="19"/>
        </w:numPr>
        <w:spacing w:after="240" w:line="240" w:lineRule="auto"/>
        <w:ind w:left="1701" w:hanging="567"/>
        <w:contextualSpacing w:val="0"/>
        <w:jc w:val="left"/>
        <w:rPr>
          <w:rFonts w:ascii="Cambria" w:hAnsi="Cambria"/>
          <w:color w:val="auto"/>
          <w:szCs w:val="24"/>
        </w:rPr>
      </w:pPr>
      <w:r w:rsidRPr="008E3606">
        <w:rPr>
          <w:rFonts w:ascii="Cambria" w:hAnsi="Cambria"/>
          <w:color w:val="auto"/>
          <w:szCs w:val="24"/>
        </w:rPr>
        <w:t xml:space="preserve">Derivados sobre monedas extranjeras. </w:t>
      </w:r>
    </w:p>
    <w:p w14:paraId="5AA7366F" w14:textId="77777777" w:rsidR="00E10BA0" w:rsidRPr="008E3606" w:rsidRDefault="00E10BA0" w:rsidP="00E10BA0">
      <w:pPr>
        <w:pStyle w:val="Prrafodelista"/>
        <w:widowControl w:val="0"/>
        <w:numPr>
          <w:ilvl w:val="0"/>
          <w:numId w:val="20"/>
        </w:numPr>
        <w:spacing w:after="240" w:line="240" w:lineRule="auto"/>
        <w:ind w:left="1134" w:hanging="567"/>
        <w:contextualSpacing w:val="0"/>
        <w:jc w:val="left"/>
        <w:rPr>
          <w:rFonts w:ascii="Cambria" w:hAnsi="Cambria"/>
          <w:color w:val="auto"/>
          <w:szCs w:val="24"/>
        </w:rPr>
      </w:pPr>
      <w:r w:rsidRPr="008E3606">
        <w:rPr>
          <w:rFonts w:ascii="Cambria" w:hAnsi="Cambria"/>
          <w:color w:val="auto"/>
          <w:szCs w:val="24"/>
        </w:rPr>
        <w:t xml:space="preserve">Para cada operación debe determinarse el factor o factores de riesgo primarios, a efecto de asignarla a una o más de las clases de activos. </w:t>
      </w:r>
    </w:p>
    <w:p w14:paraId="5BE01E35" w14:textId="77777777" w:rsidR="00E10BA0" w:rsidRPr="008E3606" w:rsidRDefault="00E10BA0" w:rsidP="00E10BA0">
      <w:pPr>
        <w:pStyle w:val="Prrafodelista"/>
        <w:widowControl w:val="0"/>
        <w:numPr>
          <w:ilvl w:val="0"/>
          <w:numId w:val="20"/>
        </w:numPr>
        <w:spacing w:after="240" w:line="240" w:lineRule="auto"/>
        <w:ind w:left="1134" w:hanging="567"/>
        <w:contextualSpacing w:val="0"/>
        <w:jc w:val="left"/>
        <w:rPr>
          <w:rFonts w:ascii="Cambria" w:hAnsi="Cambria"/>
          <w:color w:val="auto"/>
          <w:szCs w:val="24"/>
        </w:rPr>
      </w:pPr>
      <w:r w:rsidRPr="008E3606">
        <w:rPr>
          <w:rFonts w:ascii="Cambria" w:hAnsi="Cambria"/>
          <w:color w:val="auto"/>
          <w:szCs w:val="24"/>
        </w:rPr>
        <w:t>Se definen formulas específicas para cada clase de activos, sin embargo, todas usan los siguientes pasos generales:</w:t>
      </w:r>
    </w:p>
    <w:p w14:paraId="3FF3C7F2" w14:textId="77777777" w:rsidR="00E10BA0" w:rsidRPr="008E3606" w:rsidRDefault="00E10BA0" w:rsidP="00E10BA0">
      <w:pPr>
        <w:pStyle w:val="Prrafodelista"/>
        <w:widowControl w:val="0"/>
        <w:numPr>
          <w:ilvl w:val="0"/>
          <w:numId w:val="21"/>
        </w:numPr>
        <w:spacing w:after="240" w:line="240" w:lineRule="auto"/>
        <w:ind w:left="1701" w:hanging="567"/>
        <w:contextualSpacing w:val="0"/>
        <w:jc w:val="left"/>
        <w:rPr>
          <w:rFonts w:ascii="Cambria" w:hAnsi="Cambria"/>
          <w:b/>
          <w:bCs/>
          <w:color w:val="auto"/>
          <w:szCs w:val="24"/>
        </w:rPr>
      </w:pPr>
      <w:r w:rsidRPr="008E3606">
        <w:rPr>
          <w:rFonts w:ascii="Cambria" w:hAnsi="Cambria"/>
          <w:b/>
          <w:bCs/>
          <w:color w:val="auto"/>
          <w:szCs w:val="24"/>
        </w:rPr>
        <w:t>Nocional efectivo (D</w:t>
      </w:r>
      <w:r w:rsidRPr="008E3606">
        <w:rPr>
          <w:rFonts w:ascii="Cambria" w:hAnsi="Cambria"/>
          <w:b/>
          <w:bCs/>
          <w:color w:val="auto"/>
          <w:szCs w:val="24"/>
          <w:vertAlign w:val="subscript"/>
        </w:rPr>
        <w:t>i</w:t>
      </w:r>
      <w:r w:rsidRPr="008E3606">
        <w:rPr>
          <w:rFonts w:ascii="Cambria" w:hAnsi="Cambria"/>
          <w:b/>
          <w:bCs/>
          <w:color w:val="auto"/>
          <w:szCs w:val="24"/>
        </w:rPr>
        <w:t>)</w:t>
      </w:r>
    </w:p>
    <w:p w14:paraId="064A6FF3" w14:textId="77777777" w:rsidR="00E10BA0" w:rsidRPr="008E3606" w:rsidRDefault="00E10BA0" w:rsidP="00E10BA0">
      <w:pPr>
        <w:widowControl w:val="0"/>
        <w:spacing w:after="240" w:line="240" w:lineRule="auto"/>
        <w:ind w:left="1134"/>
        <w:rPr>
          <w:sz w:val="24"/>
        </w:rPr>
      </w:pPr>
      <w:r w:rsidRPr="008E3606">
        <w:rPr>
          <w:sz w:val="24"/>
        </w:rPr>
        <w:t>Debe calcularse para cada operación dentro del conjunto de compensación. El nocional efectivo es una medida de la sensibilidad de la operación a movimientos en los factores de riesgo subyacentes, tales como tasas de interés o tipos de cambio). Se calcula mediante la siguiente formula:</w:t>
      </w:r>
    </w:p>
    <w:p w14:paraId="70B5795E" w14:textId="77777777" w:rsidR="00E10BA0" w:rsidRPr="008E3606" w:rsidRDefault="00E10BA0" w:rsidP="00E10BA0">
      <w:pPr>
        <w:widowControl w:val="0"/>
        <w:spacing w:after="240" w:line="240" w:lineRule="auto"/>
        <w:jc w:val="center"/>
        <w:rPr>
          <w:b/>
          <w:bCs/>
          <w:sz w:val="24"/>
        </w:rPr>
      </w:pPr>
      <w:r w:rsidRPr="008E3606">
        <w:rPr>
          <w:b/>
          <w:bCs/>
          <w:sz w:val="24"/>
        </w:rPr>
        <w:t>D</w:t>
      </w:r>
      <w:r w:rsidRPr="008E3606">
        <w:rPr>
          <w:b/>
          <w:bCs/>
          <w:sz w:val="24"/>
          <w:vertAlign w:val="subscript"/>
        </w:rPr>
        <w:t>i</w:t>
      </w:r>
      <w:r w:rsidRPr="008E3606">
        <w:rPr>
          <w:b/>
          <w:bCs/>
          <w:sz w:val="24"/>
        </w:rPr>
        <w:t xml:space="preserve"> = d</w:t>
      </w:r>
      <w:r w:rsidRPr="008E3606">
        <w:rPr>
          <w:b/>
          <w:bCs/>
          <w:sz w:val="24"/>
          <w:vertAlign w:val="subscript"/>
        </w:rPr>
        <w:t>i</w:t>
      </w:r>
      <w:r w:rsidRPr="008E3606">
        <w:rPr>
          <w:b/>
          <w:bCs/>
          <w:sz w:val="24"/>
        </w:rPr>
        <w:t xml:space="preserve"> x FM</w:t>
      </w:r>
      <w:r w:rsidRPr="008E3606">
        <w:rPr>
          <w:b/>
          <w:bCs/>
          <w:sz w:val="24"/>
          <w:vertAlign w:val="subscript"/>
        </w:rPr>
        <w:t>i</w:t>
      </w:r>
      <w:r w:rsidRPr="008E3606">
        <w:rPr>
          <w:b/>
          <w:bCs/>
          <w:sz w:val="24"/>
        </w:rPr>
        <w:t xml:space="preserve"> x </w:t>
      </w:r>
      <w:r w:rsidRPr="008E3606">
        <w:rPr>
          <w:b/>
          <w:bCs/>
          <w:sz w:val="24"/>
        </w:rPr>
        <w:sym w:font="Symbol" w:char="F064"/>
      </w:r>
      <w:r w:rsidRPr="008E3606">
        <w:rPr>
          <w:b/>
          <w:bCs/>
          <w:sz w:val="24"/>
          <w:vertAlign w:val="subscript"/>
        </w:rPr>
        <w:t>i</w:t>
      </w:r>
    </w:p>
    <w:p w14:paraId="7CFDFEE9" w14:textId="77777777" w:rsidR="00E10BA0" w:rsidRPr="008E3606" w:rsidRDefault="00E10BA0" w:rsidP="00E10BA0">
      <w:pPr>
        <w:pStyle w:val="Prrafodelista"/>
        <w:widowControl w:val="0"/>
        <w:spacing w:after="0" w:line="259" w:lineRule="auto"/>
        <w:ind w:left="1134" w:firstLine="0"/>
        <w:contextualSpacing w:val="0"/>
        <w:jc w:val="left"/>
        <w:rPr>
          <w:rFonts w:ascii="Cambria" w:hAnsi="Cambria"/>
          <w:color w:val="auto"/>
          <w:szCs w:val="24"/>
        </w:rPr>
      </w:pPr>
      <w:r w:rsidRPr="008E3606">
        <w:rPr>
          <w:rFonts w:ascii="Cambria" w:hAnsi="Cambria"/>
          <w:color w:val="auto"/>
          <w:szCs w:val="24"/>
        </w:rPr>
        <w:t>Donde:</w:t>
      </w:r>
    </w:p>
    <w:p w14:paraId="372922E9" w14:textId="77777777" w:rsidR="00E10BA0" w:rsidRPr="008E3606" w:rsidRDefault="00E10BA0" w:rsidP="00E10BA0">
      <w:pPr>
        <w:pStyle w:val="Prrafodelista"/>
        <w:widowControl w:val="0"/>
        <w:spacing w:after="240" w:line="259" w:lineRule="auto"/>
        <w:ind w:left="1134" w:firstLine="0"/>
        <w:contextualSpacing w:val="0"/>
        <w:jc w:val="left"/>
        <w:rPr>
          <w:rFonts w:ascii="Cambria" w:hAnsi="Cambria"/>
          <w:color w:val="auto"/>
          <w:szCs w:val="24"/>
        </w:rPr>
      </w:pPr>
      <w:r w:rsidRPr="008E3606">
        <w:rPr>
          <w:rFonts w:ascii="Cambria" w:hAnsi="Cambria"/>
          <w:color w:val="auto"/>
          <w:szCs w:val="24"/>
        </w:rPr>
        <w:t>d</w:t>
      </w:r>
      <w:r w:rsidRPr="008E3606">
        <w:rPr>
          <w:rFonts w:ascii="Cambria" w:hAnsi="Cambria"/>
          <w:color w:val="auto"/>
          <w:szCs w:val="24"/>
          <w:vertAlign w:val="subscript"/>
        </w:rPr>
        <w:t>i</w:t>
      </w:r>
      <w:r w:rsidRPr="008E3606">
        <w:rPr>
          <w:rFonts w:ascii="Cambria" w:hAnsi="Cambria"/>
          <w:color w:val="auto"/>
          <w:szCs w:val="24"/>
        </w:rPr>
        <w:t xml:space="preserve"> = nocional ajustado. Esta es una medida del tamaño de la operación. </w:t>
      </w:r>
    </w:p>
    <w:p w14:paraId="402D1EA2" w14:textId="77777777" w:rsidR="00E10BA0" w:rsidRPr="008E3606" w:rsidRDefault="00E10BA0" w:rsidP="00E10BA0">
      <w:pPr>
        <w:widowControl w:val="0"/>
        <w:spacing w:after="240" w:line="259" w:lineRule="auto"/>
        <w:ind w:left="1134"/>
        <w:rPr>
          <w:color w:val="372F32"/>
          <w:sz w:val="24"/>
          <w:shd w:val="clear" w:color="auto" w:fill="FFFFFF"/>
          <w:lang w:val="es"/>
        </w:rPr>
      </w:pPr>
      <w:r w:rsidRPr="008E3606">
        <w:rPr>
          <w:color w:val="372F32"/>
          <w:sz w:val="24"/>
          <w:shd w:val="clear" w:color="auto" w:fill="FFFFFF"/>
          <w:lang w:val="es"/>
        </w:rPr>
        <w:t>Para los derivados en la clase de activos de moneda extranjera, este es el valor nocional de la parte de moneda extranjera del contrato de derivados, convertido a la moneda nacional. En el caso de los derivados de la clase de tasas de interés el importe nocional se ajusta mediante una medida de la duración del instrumento para tener en cuenta el hecho de que el valor de los instrumentos con duraciones más largas es más sensible a los movimientos de los factores de riesgo subyacentes, tales como las tasas de interés.</w:t>
      </w:r>
    </w:p>
    <w:p w14:paraId="1DFD0C76" w14:textId="77777777" w:rsidR="00E10BA0" w:rsidRPr="008E3606" w:rsidRDefault="00E10BA0" w:rsidP="00E10BA0">
      <w:pPr>
        <w:widowControl w:val="0"/>
        <w:spacing w:after="240" w:line="259" w:lineRule="auto"/>
        <w:ind w:left="1134"/>
        <w:rPr>
          <w:color w:val="372F32"/>
          <w:sz w:val="24"/>
          <w:shd w:val="clear" w:color="auto" w:fill="FFFFFF"/>
          <w:lang w:val="es"/>
        </w:rPr>
      </w:pPr>
      <w:r w:rsidRPr="008E3606">
        <w:rPr>
          <w:color w:val="372F32"/>
          <w:sz w:val="24"/>
          <w:shd w:val="clear" w:color="auto" w:fill="FFFFFF"/>
          <w:lang w:val="es"/>
        </w:rPr>
        <w:t>Para los derivados de tasas de interés, el nocional ajustado a nivel de cada operación es el resultado de multiplicar el monto nocional, convertido a la moneda nacional, por la duración regulatoria (DR), según la siguiente formula:</w:t>
      </w:r>
    </w:p>
    <w:p w14:paraId="0FD3DC05" w14:textId="77777777" w:rsidR="00E10BA0" w:rsidRPr="008E3606" w:rsidRDefault="00E10BA0" w:rsidP="00E10BA0">
      <w:pPr>
        <w:widowControl w:val="0"/>
        <w:spacing w:after="240" w:line="259" w:lineRule="auto"/>
        <w:ind w:left="1134"/>
        <w:jc w:val="center"/>
        <w:rPr>
          <w:b/>
          <w:bCs/>
          <w:color w:val="372F32"/>
          <w:sz w:val="24"/>
          <w:shd w:val="clear" w:color="auto" w:fill="FFFFFF"/>
          <w:lang w:val="es"/>
        </w:rPr>
      </w:pPr>
      <w:r w:rsidRPr="008E3606">
        <w:rPr>
          <w:b/>
          <w:bCs/>
          <w:color w:val="372F32"/>
          <w:sz w:val="24"/>
          <w:shd w:val="clear" w:color="auto" w:fill="FFFFFF"/>
          <w:lang w:val="es"/>
        </w:rPr>
        <w:t>d</w:t>
      </w:r>
      <w:r w:rsidRPr="008E3606">
        <w:rPr>
          <w:b/>
          <w:bCs/>
          <w:color w:val="372F32"/>
          <w:sz w:val="24"/>
          <w:shd w:val="clear" w:color="auto" w:fill="FFFFFF"/>
          <w:vertAlign w:val="subscript"/>
          <w:lang w:val="es"/>
        </w:rPr>
        <w:t>i</w:t>
      </w:r>
      <w:r w:rsidRPr="008E3606">
        <w:rPr>
          <w:b/>
          <w:bCs/>
          <w:color w:val="372F32"/>
          <w:sz w:val="24"/>
          <w:shd w:val="clear" w:color="auto" w:fill="FFFFFF"/>
          <w:lang w:val="es"/>
        </w:rPr>
        <w:t xml:space="preserve"> = Nocional x DR</w:t>
      </w:r>
    </w:p>
    <w:p w14:paraId="4DAC546D" w14:textId="77777777" w:rsidR="00E10BA0" w:rsidRPr="008E3606" w:rsidRDefault="00E10BA0" w:rsidP="00E10BA0">
      <w:pPr>
        <w:widowControl w:val="0"/>
        <w:spacing w:after="240" w:line="259" w:lineRule="auto"/>
        <w:ind w:left="1134"/>
        <w:rPr>
          <w:color w:val="372F32"/>
          <w:sz w:val="24"/>
          <w:shd w:val="clear" w:color="auto" w:fill="FFFFFF"/>
          <w:lang w:val="es"/>
        </w:rPr>
      </w:pPr>
      <w:r w:rsidRPr="008E3606">
        <w:rPr>
          <w:color w:val="372F32"/>
          <w:sz w:val="24"/>
          <w:shd w:val="clear" w:color="auto" w:fill="FFFFFF"/>
          <w:lang w:val="es"/>
        </w:rPr>
        <w:t xml:space="preserve">Donde, </w:t>
      </w:r>
    </w:p>
    <w:p w14:paraId="672FC4AB" w14:textId="77777777" w:rsidR="00E10BA0" w:rsidRPr="008E3606" w:rsidRDefault="00E10BA0" w:rsidP="00E10BA0">
      <w:pPr>
        <w:widowControl w:val="0"/>
        <w:spacing w:after="240" w:line="259" w:lineRule="auto"/>
        <w:ind w:left="1134"/>
        <w:jc w:val="center"/>
        <w:rPr>
          <w:color w:val="372F32"/>
          <w:sz w:val="24"/>
          <w:shd w:val="clear" w:color="auto" w:fill="FFFFFF"/>
          <w:lang w:val="en-US"/>
        </w:rPr>
      </w:pPr>
      <w:r w:rsidRPr="008E3606">
        <w:rPr>
          <w:color w:val="372F32"/>
          <w:sz w:val="24"/>
          <w:shd w:val="clear" w:color="auto" w:fill="FFFFFF"/>
          <w:lang w:val="en-US"/>
        </w:rPr>
        <w:t xml:space="preserve">DR = </w:t>
      </w:r>
      <m:oMath>
        <m:f>
          <m:fPr>
            <m:ctrlPr>
              <w:rPr>
                <w:rFonts w:ascii="Cambria Math" w:hAnsi="Cambria Math"/>
                <w:iCs/>
                <w:color w:val="372F32"/>
                <w:sz w:val="24"/>
                <w:shd w:val="clear" w:color="auto" w:fill="FFFFFF"/>
                <w:lang w:val="es"/>
              </w:rPr>
            </m:ctrlPr>
          </m:fPr>
          <m:num>
            <m:func>
              <m:funcPr>
                <m:ctrlPr>
                  <w:rPr>
                    <w:rFonts w:ascii="Cambria Math" w:hAnsi="Cambria Math"/>
                    <w:iCs/>
                    <w:color w:val="372F32"/>
                    <w:sz w:val="24"/>
                    <w:shd w:val="clear" w:color="auto" w:fill="FFFFFF"/>
                    <w:lang w:val="es"/>
                  </w:rPr>
                </m:ctrlPr>
              </m:funcPr>
              <m:fName>
                <m:r>
                  <m:rPr>
                    <m:sty m:val="p"/>
                  </m:rPr>
                  <w:rPr>
                    <w:rFonts w:ascii="Cambria Math" w:hAnsi="Cambria Math"/>
                    <w:color w:val="372F32"/>
                    <w:sz w:val="24"/>
                    <w:shd w:val="clear" w:color="auto" w:fill="FFFFFF"/>
                    <w:lang w:val="en-US"/>
                  </w:rPr>
                  <m:t>exp</m:t>
                </m:r>
              </m:fName>
              <m:e>
                <m:d>
                  <m:dPr>
                    <m:ctrlPr>
                      <w:rPr>
                        <w:rFonts w:ascii="Cambria Math" w:hAnsi="Cambria Math"/>
                        <w:iCs/>
                        <w:color w:val="372F32"/>
                        <w:sz w:val="24"/>
                        <w:shd w:val="clear" w:color="auto" w:fill="FFFFFF"/>
                        <w:lang w:val="es"/>
                      </w:rPr>
                    </m:ctrlPr>
                  </m:dPr>
                  <m:e>
                    <m:r>
                      <m:rPr>
                        <m:sty m:val="p"/>
                      </m:rPr>
                      <w:rPr>
                        <w:rFonts w:ascii="Cambria Math" w:hAnsi="Cambria Math"/>
                        <w:color w:val="372F32"/>
                        <w:sz w:val="24"/>
                        <w:shd w:val="clear" w:color="auto" w:fill="FFFFFF"/>
                        <w:lang w:val="en-US"/>
                      </w:rPr>
                      <m:t>-0.05 x S</m:t>
                    </m:r>
                  </m:e>
                </m:d>
              </m:e>
            </m:func>
            <m:r>
              <m:rPr>
                <m:sty m:val="p"/>
              </m:rPr>
              <w:rPr>
                <w:rFonts w:ascii="Cambria Math" w:hAnsi="Cambria Math"/>
                <w:color w:val="372F32"/>
                <w:sz w:val="24"/>
                <w:shd w:val="clear" w:color="auto" w:fill="FFFFFF"/>
                <w:lang w:val="en-US"/>
              </w:rPr>
              <m:t>-exp⁡(-0.05 x E)</m:t>
            </m:r>
          </m:num>
          <m:den>
            <m:r>
              <m:rPr>
                <m:sty m:val="p"/>
              </m:rPr>
              <w:rPr>
                <w:rFonts w:ascii="Cambria Math" w:hAnsi="Cambria Math"/>
                <w:color w:val="372F32"/>
                <w:sz w:val="24"/>
                <w:shd w:val="clear" w:color="auto" w:fill="FFFFFF"/>
                <w:lang w:val="en-US"/>
              </w:rPr>
              <m:t>0.05</m:t>
            </m:r>
          </m:den>
        </m:f>
      </m:oMath>
    </w:p>
    <w:p w14:paraId="2E98C39E" w14:textId="77777777" w:rsidR="00E10BA0" w:rsidRPr="008E3606" w:rsidRDefault="00E10BA0" w:rsidP="00E10BA0">
      <w:pPr>
        <w:widowControl w:val="0"/>
        <w:spacing w:after="240" w:line="259" w:lineRule="auto"/>
        <w:ind w:left="1134"/>
        <w:rPr>
          <w:color w:val="372F32"/>
          <w:sz w:val="24"/>
          <w:shd w:val="clear" w:color="auto" w:fill="FFFFFF"/>
          <w:lang w:val="es"/>
        </w:rPr>
      </w:pPr>
      <w:r w:rsidRPr="008E3606">
        <w:rPr>
          <w:color w:val="372F32"/>
          <w:sz w:val="24"/>
          <w:shd w:val="clear" w:color="auto" w:fill="FFFFFF"/>
          <w:lang w:val="es"/>
        </w:rPr>
        <w:t>S</w:t>
      </w:r>
      <w:r w:rsidRPr="008E3606">
        <w:rPr>
          <w:color w:val="372F32"/>
          <w:sz w:val="24"/>
          <w:shd w:val="clear" w:color="auto" w:fill="FFFFFF"/>
          <w:vertAlign w:val="subscript"/>
          <w:lang w:val="es"/>
        </w:rPr>
        <w:t>i</w:t>
      </w:r>
      <w:r w:rsidRPr="008E3606">
        <w:rPr>
          <w:color w:val="372F32"/>
          <w:sz w:val="24"/>
          <w:shd w:val="clear" w:color="auto" w:fill="FFFFFF"/>
          <w:lang w:val="es"/>
        </w:rPr>
        <w:t xml:space="preserve"> corresponde al periodo de tiempo transcurrido desde la fecha de cálculo hasta la fecha de inicio del periodo de referencia de las tasas de interés en el contrato. Si el derivado hace referencia al valor de otra tasa de interés, el periodo de tiempo debe estar determinado con base en el instrumento subyacente.</w:t>
      </w:r>
    </w:p>
    <w:p w14:paraId="359542AA" w14:textId="77777777" w:rsidR="00E10BA0" w:rsidRPr="008E3606" w:rsidRDefault="00E10BA0" w:rsidP="00E10BA0">
      <w:pPr>
        <w:widowControl w:val="0"/>
        <w:spacing w:after="240" w:line="259" w:lineRule="auto"/>
        <w:ind w:left="1134"/>
        <w:rPr>
          <w:color w:val="372F32"/>
          <w:sz w:val="24"/>
          <w:shd w:val="clear" w:color="auto" w:fill="FFFFFF"/>
          <w:lang w:val="es"/>
        </w:rPr>
      </w:pPr>
      <w:r w:rsidRPr="008E3606">
        <w:rPr>
          <w:color w:val="372F32"/>
          <w:sz w:val="24"/>
          <w:shd w:val="clear" w:color="auto" w:fill="FFFFFF"/>
          <w:lang w:val="es"/>
        </w:rPr>
        <w:t>E</w:t>
      </w:r>
      <w:r w:rsidRPr="008E3606">
        <w:rPr>
          <w:color w:val="372F32"/>
          <w:sz w:val="24"/>
          <w:shd w:val="clear" w:color="auto" w:fill="FFFFFF"/>
          <w:vertAlign w:val="subscript"/>
          <w:lang w:val="es"/>
        </w:rPr>
        <w:t>i</w:t>
      </w:r>
      <w:r w:rsidRPr="008E3606">
        <w:rPr>
          <w:color w:val="372F32"/>
          <w:sz w:val="24"/>
          <w:shd w:val="clear" w:color="auto" w:fill="FFFFFF"/>
          <w:lang w:val="es"/>
        </w:rPr>
        <w:t xml:space="preserve"> corresponde al periodo de tiempo transcurrido desde la fecha de cálculo hasta la fecha de finalización del periodo de referencia de las tasas de interés en el contrato. Si el derivado hace referencia al valor de otra tasa de interés, el periodo de tiempo debe estar determinado con base en el instrumento subyacente</w:t>
      </w:r>
    </w:p>
    <w:p w14:paraId="3A2B4B6D" w14:textId="77777777" w:rsidR="00E10BA0" w:rsidRPr="008E3606" w:rsidRDefault="00E10BA0" w:rsidP="00E10BA0">
      <w:pPr>
        <w:widowControl w:val="0"/>
        <w:spacing w:after="240" w:line="259" w:lineRule="auto"/>
        <w:ind w:left="1134"/>
        <w:rPr>
          <w:color w:val="372F32"/>
          <w:sz w:val="24"/>
          <w:shd w:val="clear" w:color="auto" w:fill="FFFFFF"/>
          <w:lang w:val="es"/>
        </w:rPr>
      </w:pPr>
      <w:r w:rsidRPr="008E3606">
        <w:rPr>
          <w:color w:val="372F32"/>
          <w:sz w:val="24"/>
          <w:shd w:val="clear" w:color="auto" w:fill="FFFFFF"/>
          <w:lang w:val="es"/>
        </w:rPr>
        <w:t>Para los derivados sobre monedas extranjeras, el nocional ajustado se define como el nocional de la pata de moneda extranjera del contrato, convertida a la moneda nacional. Si ambos tramos de un derivado cambiario están denominados en monedas distintas de la moneda nacional, el importe nocional de cada tramo se convierte a la moneda nacional y el tramo con el mayor valor en moneda nacional es el importe nocional ajustado.</w:t>
      </w:r>
    </w:p>
    <w:p w14:paraId="29F95C02" w14:textId="464CABCF" w:rsidR="00E10BA0" w:rsidRPr="008E3606" w:rsidRDefault="00E10BA0" w:rsidP="00BB55E7">
      <w:pPr>
        <w:widowControl w:val="0"/>
        <w:spacing w:line="259" w:lineRule="auto"/>
        <w:ind w:left="1701" w:hanging="567"/>
        <w:rPr>
          <w:color w:val="372F32"/>
          <w:sz w:val="24"/>
          <w:shd w:val="clear" w:color="auto" w:fill="FFFFFF"/>
          <w:lang w:val="es"/>
        </w:rPr>
      </w:pPr>
      <w:r w:rsidRPr="008E3606">
        <w:rPr>
          <w:color w:val="372F32"/>
          <w:sz w:val="24"/>
          <w:shd w:val="clear" w:color="auto" w:fill="FFFFFF"/>
        </w:rPr>
        <w:t>FM = Factor de madurez.</w:t>
      </w:r>
      <w:r w:rsidRPr="008E3606">
        <w:rPr>
          <w:color w:val="372F32"/>
          <w:sz w:val="24"/>
          <w:shd w:val="clear" w:color="auto" w:fill="FFFFFF"/>
          <w:lang w:val="es"/>
        </w:rPr>
        <w:t xml:space="preserve"> El factor de madurez es un parámetro que toma en cuenta el período de tiempo durante el cual se calcula la exposición futura potencial (EPF). Este será igual al menor plazo entre un año y el plazo remanente para la finalización del contrato, acotado a un piso mínimo de 10 días hábiles.</w:t>
      </w:r>
    </w:p>
    <w:p w14:paraId="0667FC18" w14:textId="77777777" w:rsidR="00BB55E7" w:rsidRPr="008E3606" w:rsidRDefault="00BB55E7" w:rsidP="00BB55E7">
      <w:pPr>
        <w:widowControl w:val="0"/>
        <w:spacing w:line="259" w:lineRule="auto"/>
        <w:ind w:left="1701" w:hanging="567"/>
        <w:rPr>
          <w:color w:val="372F32"/>
          <w:sz w:val="24"/>
          <w:shd w:val="clear" w:color="auto" w:fill="FFFFFF"/>
          <w:lang w:val="es"/>
        </w:rPr>
      </w:pPr>
    </w:p>
    <w:p w14:paraId="5E4B702C" w14:textId="77777777" w:rsidR="00E10BA0" w:rsidRPr="008E3606" w:rsidRDefault="00E10BA0" w:rsidP="00BB55E7">
      <w:pPr>
        <w:widowControl w:val="0"/>
        <w:spacing w:after="240" w:line="259" w:lineRule="auto"/>
        <w:ind w:left="1701" w:hanging="567"/>
        <w:rPr>
          <w:color w:val="372F32"/>
          <w:sz w:val="24"/>
          <w:shd w:val="clear" w:color="auto" w:fill="FFFFFF"/>
        </w:rPr>
      </w:pPr>
      <w:r w:rsidRPr="008E3606">
        <w:rPr>
          <w:color w:val="372F32"/>
          <w:sz w:val="24"/>
          <w:shd w:val="clear" w:color="auto" w:fill="FFFFFF"/>
        </w:rPr>
        <w:t>δ = El delta se utiliza para garantizar que el nocional efectivo tome en cuenta la dirección de la operación, es decir, si la operación es larga o corta, al tener un signo positivo o negativo. El factor será +1 para posiciones largas en el factor de riesgo primario, y será -1 para posiciones cortas en el factor de riesgo primario.</w:t>
      </w:r>
    </w:p>
    <w:p w14:paraId="0F1B31B6" w14:textId="77777777" w:rsidR="00E10BA0" w:rsidRPr="008E3606" w:rsidRDefault="00E10BA0" w:rsidP="00E10BA0">
      <w:pPr>
        <w:pStyle w:val="Prrafodelista"/>
        <w:widowControl w:val="0"/>
        <w:numPr>
          <w:ilvl w:val="0"/>
          <w:numId w:val="21"/>
        </w:numPr>
        <w:spacing w:after="240" w:line="240" w:lineRule="auto"/>
        <w:ind w:left="1701" w:hanging="567"/>
        <w:contextualSpacing w:val="0"/>
        <w:jc w:val="left"/>
        <w:rPr>
          <w:rFonts w:ascii="Cambria" w:hAnsi="Cambria"/>
          <w:b/>
          <w:bCs/>
          <w:color w:val="auto"/>
          <w:szCs w:val="24"/>
        </w:rPr>
      </w:pPr>
      <w:r w:rsidRPr="008E3606">
        <w:rPr>
          <w:rFonts w:ascii="Cambria" w:hAnsi="Cambria"/>
          <w:b/>
          <w:bCs/>
          <w:color w:val="auto"/>
          <w:szCs w:val="24"/>
        </w:rPr>
        <w:t>Factor regulatorio (FR)</w:t>
      </w:r>
    </w:p>
    <w:p w14:paraId="214ED1E9" w14:textId="77777777" w:rsidR="00E10BA0" w:rsidRPr="008E3606" w:rsidRDefault="00E10BA0" w:rsidP="00BB55E7">
      <w:pPr>
        <w:widowControl w:val="0"/>
        <w:shd w:val="clear" w:color="auto" w:fill="FFFFFF"/>
        <w:spacing w:after="240" w:line="240" w:lineRule="auto"/>
        <w:ind w:left="1701"/>
        <w:textAlignment w:val="baseline"/>
        <w:rPr>
          <w:color w:val="372F32"/>
          <w:sz w:val="24"/>
          <w:lang w:val="es"/>
        </w:rPr>
      </w:pPr>
      <w:r w:rsidRPr="008E3606">
        <w:rPr>
          <w:color w:val="372F32"/>
          <w:sz w:val="24"/>
          <w:lang w:val="es"/>
        </w:rPr>
        <w:t>Se establece para cada operación individual dentro del conjunto de compensación. El FR es el cambio en el valor del factor de riesgo subyacente en el que se basa el cálculo de la exposición futura potencial (EFP), considerando la volatilidad de los factores de riesgo subyacentes. Para las clases de activos, los factores son los siguientes:</w:t>
      </w:r>
    </w:p>
    <w:tbl>
      <w:tblPr>
        <w:tblStyle w:val="Tablaconcuadrcula"/>
        <w:tblW w:w="0" w:type="auto"/>
        <w:jc w:val="center"/>
        <w:tblLook w:val="04A0" w:firstRow="1" w:lastRow="0" w:firstColumn="1" w:lastColumn="0" w:noHBand="0" w:noVBand="1"/>
      </w:tblPr>
      <w:tblGrid>
        <w:gridCol w:w="2134"/>
        <w:gridCol w:w="2132"/>
      </w:tblGrid>
      <w:tr w:rsidR="00E10BA0" w:rsidRPr="008E3606" w14:paraId="49292B30" w14:textId="77777777" w:rsidTr="007E453E">
        <w:trPr>
          <w:jc w:val="center"/>
        </w:trPr>
        <w:tc>
          <w:tcPr>
            <w:tcW w:w="2134" w:type="dxa"/>
          </w:tcPr>
          <w:p w14:paraId="67D7935C" w14:textId="77777777" w:rsidR="00E10BA0" w:rsidRPr="008E3606" w:rsidRDefault="00E10BA0" w:rsidP="007E453E">
            <w:pPr>
              <w:widowControl w:val="0"/>
              <w:spacing w:line="240" w:lineRule="auto"/>
              <w:jc w:val="left"/>
              <w:textAlignment w:val="baseline"/>
              <w:rPr>
                <w:b/>
                <w:bCs/>
                <w:color w:val="372F32"/>
                <w:sz w:val="24"/>
                <w:lang w:val="es"/>
              </w:rPr>
            </w:pPr>
            <w:r w:rsidRPr="008E3606">
              <w:rPr>
                <w:b/>
                <w:bCs/>
                <w:color w:val="372F32"/>
                <w:sz w:val="24"/>
                <w:lang w:val="es"/>
              </w:rPr>
              <w:t>Clase de Activo</w:t>
            </w:r>
          </w:p>
        </w:tc>
        <w:tc>
          <w:tcPr>
            <w:tcW w:w="2132" w:type="dxa"/>
          </w:tcPr>
          <w:p w14:paraId="543D27B5" w14:textId="77777777" w:rsidR="00E10BA0" w:rsidRPr="008E3606" w:rsidRDefault="00E10BA0" w:rsidP="007E453E">
            <w:pPr>
              <w:widowControl w:val="0"/>
              <w:spacing w:line="240" w:lineRule="auto"/>
              <w:jc w:val="left"/>
              <w:textAlignment w:val="baseline"/>
              <w:rPr>
                <w:b/>
                <w:bCs/>
                <w:color w:val="372F32"/>
                <w:sz w:val="24"/>
                <w:lang w:val="es"/>
              </w:rPr>
            </w:pPr>
            <w:r w:rsidRPr="008E3606">
              <w:rPr>
                <w:b/>
                <w:bCs/>
                <w:color w:val="372F32"/>
                <w:sz w:val="24"/>
                <w:lang w:val="es"/>
              </w:rPr>
              <w:t>Factor Supervisor</w:t>
            </w:r>
          </w:p>
        </w:tc>
      </w:tr>
      <w:tr w:rsidR="00E10BA0" w:rsidRPr="008E3606" w14:paraId="54154469" w14:textId="77777777" w:rsidTr="007E453E">
        <w:trPr>
          <w:jc w:val="center"/>
        </w:trPr>
        <w:tc>
          <w:tcPr>
            <w:tcW w:w="2134" w:type="dxa"/>
          </w:tcPr>
          <w:p w14:paraId="4B6AA182" w14:textId="77777777" w:rsidR="00E10BA0" w:rsidRPr="008E3606" w:rsidRDefault="00E10BA0" w:rsidP="007E453E">
            <w:pPr>
              <w:widowControl w:val="0"/>
              <w:spacing w:line="240" w:lineRule="auto"/>
              <w:jc w:val="left"/>
              <w:textAlignment w:val="baseline"/>
              <w:rPr>
                <w:color w:val="372F32"/>
                <w:sz w:val="24"/>
                <w:lang w:val="es"/>
              </w:rPr>
            </w:pPr>
            <w:r w:rsidRPr="008E3606">
              <w:rPr>
                <w:color w:val="372F32"/>
                <w:sz w:val="24"/>
                <w:lang w:val="es"/>
              </w:rPr>
              <w:t>Tasas de Interés</w:t>
            </w:r>
          </w:p>
        </w:tc>
        <w:tc>
          <w:tcPr>
            <w:tcW w:w="2132" w:type="dxa"/>
          </w:tcPr>
          <w:p w14:paraId="54C2E698" w14:textId="77777777" w:rsidR="00E10BA0" w:rsidRPr="008E3606" w:rsidRDefault="00E10BA0" w:rsidP="007E453E">
            <w:pPr>
              <w:widowControl w:val="0"/>
              <w:spacing w:line="240" w:lineRule="auto"/>
              <w:jc w:val="center"/>
              <w:textAlignment w:val="baseline"/>
              <w:rPr>
                <w:color w:val="372F32"/>
                <w:sz w:val="24"/>
                <w:lang w:val="es"/>
              </w:rPr>
            </w:pPr>
            <w:r w:rsidRPr="008E3606">
              <w:rPr>
                <w:color w:val="372F32"/>
                <w:sz w:val="24"/>
                <w:lang w:val="es"/>
              </w:rPr>
              <w:t>0.50%</w:t>
            </w:r>
          </w:p>
        </w:tc>
      </w:tr>
      <w:tr w:rsidR="00E10BA0" w:rsidRPr="008E3606" w14:paraId="30AD28AF" w14:textId="77777777" w:rsidTr="007E453E">
        <w:trPr>
          <w:jc w:val="center"/>
        </w:trPr>
        <w:tc>
          <w:tcPr>
            <w:tcW w:w="2134" w:type="dxa"/>
          </w:tcPr>
          <w:p w14:paraId="4EEE5F43" w14:textId="77777777" w:rsidR="00E10BA0" w:rsidRPr="008E3606" w:rsidRDefault="00E10BA0" w:rsidP="007E453E">
            <w:pPr>
              <w:widowControl w:val="0"/>
              <w:spacing w:line="240" w:lineRule="auto"/>
              <w:jc w:val="left"/>
              <w:textAlignment w:val="baseline"/>
              <w:rPr>
                <w:color w:val="372F32"/>
                <w:sz w:val="24"/>
                <w:lang w:val="es"/>
              </w:rPr>
            </w:pPr>
            <w:r w:rsidRPr="008E3606">
              <w:rPr>
                <w:color w:val="372F32"/>
                <w:sz w:val="24"/>
                <w:lang w:val="es"/>
              </w:rPr>
              <w:t>Monedas extranjeras</w:t>
            </w:r>
          </w:p>
        </w:tc>
        <w:tc>
          <w:tcPr>
            <w:tcW w:w="2132" w:type="dxa"/>
          </w:tcPr>
          <w:p w14:paraId="29C9757E" w14:textId="77777777" w:rsidR="00E10BA0" w:rsidRPr="008E3606" w:rsidRDefault="00E10BA0" w:rsidP="007E453E">
            <w:pPr>
              <w:widowControl w:val="0"/>
              <w:spacing w:line="240" w:lineRule="auto"/>
              <w:jc w:val="center"/>
              <w:textAlignment w:val="baseline"/>
              <w:rPr>
                <w:color w:val="372F32"/>
                <w:sz w:val="24"/>
                <w:lang w:val="es"/>
              </w:rPr>
            </w:pPr>
            <w:r w:rsidRPr="008E3606">
              <w:rPr>
                <w:color w:val="372F32"/>
                <w:sz w:val="24"/>
                <w:lang w:val="es"/>
              </w:rPr>
              <w:t>4.0%</w:t>
            </w:r>
          </w:p>
        </w:tc>
      </w:tr>
    </w:tbl>
    <w:p w14:paraId="7DFE871B" w14:textId="77777777" w:rsidR="00E10BA0" w:rsidRPr="008E3606" w:rsidRDefault="00E10BA0" w:rsidP="00E10BA0">
      <w:pPr>
        <w:pStyle w:val="Prrafodelista"/>
        <w:widowControl w:val="0"/>
        <w:numPr>
          <w:ilvl w:val="0"/>
          <w:numId w:val="21"/>
        </w:numPr>
        <w:spacing w:after="240" w:line="240" w:lineRule="auto"/>
        <w:ind w:left="1701" w:hanging="567"/>
        <w:contextualSpacing w:val="0"/>
        <w:rPr>
          <w:rFonts w:ascii="Cambria" w:hAnsi="Cambria"/>
          <w:color w:val="auto"/>
          <w:szCs w:val="24"/>
        </w:rPr>
      </w:pPr>
      <w:r w:rsidRPr="008E3606">
        <w:rPr>
          <w:rFonts w:ascii="Cambria" w:hAnsi="Cambria"/>
          <w:color w:val="auto"/>
          <w:szCs w:val="24"/>
        </w:rPr>
        <w:t>Las operaciones dentro de cada clase de activos se separan en conjuntos de cobertura específicos (“hedging sets”). El objetivo de los conjuntos de cobertura es agrupar las operaciones dentro del conjunto de compensación, donde las posiciones largas y cortas pueden compensarse entre sí en el cálculo de la exposición potencial futura (EPF).</w:t>
      </w:r>
    </w:p>
    <w:p w14:paraId="2892063B" w14:textId="77777777" w:rsidR="00E10BA0" w:rsidRPr="008E3606" w:rsidRDefault="00E10BA0" w:rsidP="00E10BA0">
      <w:pPr>
        <w:pStyle w:val="Prrafodelista"/>
        <w:widowControl w:val="0"/>
        <w:numPr>
          <w:ilvl w:val="0"/>
          <w:numId w:val="21"/>
        </w:numPr>
        <w:spacing w:after="240" w:line="240" w:lineRule="auto"/>
        <w:ind w:left="1701" w:hanging="567"/>
        <w:contextualSpacing w:val="0"/>
        <w:rPr>
          <w:rFonts w:ascii="Cambria" w:hAnsi="Cambria"/>
          <w:color w:val="auto"/>
          <w:szCs w:val="24"/>
        </w:rPr>
      </w:pPr>
      <w:r w:rsidRPr="008E3606">
        <w:rPr>
          <w:rFonts w:ascii="Cambria" w:hAnsi="Cambria"/>
          <w:color w:val="auto"/>
          <w:szCs w:val="24"/>
        </w:rPr>
        <w:t xml:space="preserve">Se aplican fórmulas de agregación para agregar los nocionales efectivos (D) y los factores regulatorios (FR) de todas las operaciones dentro de un conjunto de cobertura y finalmente para obtener el Adicional al nivel de cada clase de activo. </w:t>
      </w:r>
    </w:p>
    <w:p w14:paraId="0505BCCF" w14:textId="77777777" w:rsidR="00E10BA0" w:rsidRPr="008E3606" w:rsidRDefault="00E10BA0" w:rsidP="00E10BA0">
      <w:pPr>
        <w:widowControl w:val="0"/>
        <w:spacing w:after="240" w:line="259" w:lineRule="auto"/>
        <w:jc w:val="left"/>
        <w:rPr>
          <w:sz w:val="24"/>
        </w:rPr>
      </w:pPr>
    </w:p>
    <w:p w14:paraId="48290D97" w14:textId="77777777" w:rsidR="00E10BA0" w:rsidRPr="008E3606" w:rsidRDefault="00E10BA0" w:rsidP="002442E2">
      <w:pPr>
        <w:pStyle w:val="Prrafodelista"/>
        <w:widowControl w:val="0"/>
        <w:numPr>
          <w:ilvl w:val="0"/>
          <w:numId w:val="22"/>
        </w:numPr>
        <w:spacing w:after="240" w:line="259" w:lineRule="auto"/>
        <w:ind w:left="567" w:hanging="567"/>
        <w:contextualSpacing w:val="0"/>
        <w:rPr>
          <w:rFonts w:ascii="Cambria" w:hAnsi="Cambria"/>
          <w:b/>
          <w:bCs/>
          <w:color w:val="auto"/>
          <w:szCs w:val="24"/>
        </w:rPr>
      </w:pPr>
      <w:r w:rsidRPr="008E3606">
        <w:rPr>
          <w:rFonts w:ascii="Cambria" w:hAnsi="Cambria"/>
          <w:b/>
          <w:bCs/>
          <w:color w:val="auto"/>
          <w:szCs w:val="24"/>
        </w:rPr>
        <w:t>CALCULO DEL COMPONENTE ADICIONAL PARA CADA CLASE DE ACTIVOS DERIVADOS</w:t>
      </w:r>
    </w:p>
    <w:p w14:paraId="69FB4321" w14:textId="77777777" w:rsidR="00E10BA0" w:rsidRPr="008E3606" w:rsidRDefault="00E10BA0" w:rsidP="00E10BA0">
      <w:pPr>
        <w:widowControl w:val="0"/>
        <w:spacing w:after="240"/>
        <w:ind w:left="1134" w:hanging="567"/>
        <w:rPr>
          <w:b/>
          <w:bCs/>
          <w:sz w:val="24"/>
        </w:rPr>
      </w:pPr>
      <w:r w:rsidRPr="008E3606">
        <w:rPr>
          <w:b/>
          <w:bCs/>
          <w:sz w:val="24"/>
        </w:rPr>
        <w:t>1.</w:t>
      </w:r>
      <w:r w:rsidRPr="008E3606">
        <w:rPr>
          <w:b/>
          <w:bCs/>
          <w:sz w:val="24"/>
        </w:rPr>
        <w:tab/>
        <w:t>Cálculo del componente Adicional</w:t>
      </w:r>
      <w:r w:rsidRPr="008E3606">
        <w:rPr>
          <w:b/>
          <w:bCs/>
          <w:sz w:val="24"/>
          <w:vertAlign w:val="superscript"/>
        </w:rPr>
        <w:t>Tasas</w:t>
      </w:r>
      <w:r w:rsidRPr="008E3606">
        <w:rPr>
          <w:b/>
          <w:bCs/>
          <w:sz w:val="24"/>
        </w:rPr>
        <w:t xml:space="preserve"> </w:t>
      </w:r>
    </w:p>
    <w:p w14:paraId="674B2AB1" w14:textId="77777777" w:rsidR="00E10BA0" w:rsidRPr="008E3606" w:rsidRDefault="00E10BA0" w:rsidP="00E10BA0">
      <w:pPr>
        <w:widowControl w:val="0"/>
        <w:shd w:val="clear" w:color="auto" w:fill="FFFFFF"/>
        <w:spacing w:after="240"/>
        <w:ind w:left="1134"/>
        <w:textAlignment w:val="baseline"/>
        <w:rPr>
          <w:color w:val="372F32"/>
          <w:sz w:val="24"/>
        </w:rPr>
      </w:pPr>
      <w:bookmarkStart w:id="6" w:name="paragraph_CRE_52_20230101_52_56"/>
      <w:bookmarkEnd w:id="6"/>
      <w:r w:rsidRPr="008E3606">
        <w:rPr>
          <w:color w:val="372F32"/>
          <w:sz w:val="24"/>
          <w:lang w:val="es"/>
        </w:rPr>
        <w:t>El cálculo del componente adicional para la clase de activos derivados de tasas de interés refleja el riesgo de que derivados con diferentes vencimientos estén imperfectamente correlacionados. Esto lo hace asignando las operaciones a tramos de vencimiento en los que se permite la compensación completa de posiciones largas y cortas, y mediante el uso de una fórmula de agregación que solo permite una compensación limitada entre tramos de vencimiento. Esta asignación de derivados a tramos de vencimientos y el proceso de agregación (pasos 3 a 5 a continuación) solo se utilizan en la clase de activos derivados de tasas de interés.</w:t>
      </w:r>
    </w:p>
    <w:p w14:paraId="49B1C31C" w14:textId="77777777" w:rsidR="00E10BA0" w:rsidRPr="008E3606" w:rsidRDefault="00E10BA0" w:rsidP="00E10BA0">
      <w:pPr>
        <w:widowControl w:val="0"/>
        <w:shd w:val="clear" w:color="auto" w:fill="FFFFFF"/>
        <w:spacing w:after="240"/>
        <w:ind w:left="1134"/>
        <w:textAlignment w:val="baseline"/>
        <w:rPr>
          <w:color w:val="372F32"/>
          <w:sz w:val="24"/>
        </w:rPr>
      </w:pPr>
      <w:bookmarkStart w:id="7" w:name="paragraph_CRE_52_20230101_52_57"/>
      <w:bookmarkEnd w:id="7"/>
      <w:r w:rsidRPr="008E3606">
        <w:rPr>
          <w:color w:val="372F32"/>
          <w:sz w:val="24"/>
        </w:rPr>
        <w:t>El adicional para la clase de activos de derivados de tasas de interés (Adicional</w:t>
      </w:r>
      <w:r w:rsidRPr="008E3606">
        <w:rPr>
          <w:color w:val="372F32"/>
          <w:sz w:val="24"/>
          <w:vertAlign w:val="superscript"/>
        </w:rPr>
        <w:t>tasas</w:t>
      </w:r>
      <w:r w:rsidRPr="008E3606">
        <w:rPr>
          <w:color w:val="372F32"/>
          <w:sz w:val="24"/>
        </w:rPr>
        <w:t>) dentro de un conjunto de compensación se calcula aplicando los siguientes pasos:</w:t>
      </w:r>
    </w:p>
    <w:p w14:paraId="4396D7D9" w14:textId="77777777"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lang w:val="es"/>
        </w:rPr>
      </w:pPr>
      <w:r w:rsidRPr="008E3606">
        <w:rPr>
          <w:rFonts w:ascii="Cambria" w:hAnsi="Cambria"/>
          <w:color w:val="372F32"/>
          <w:szCs w:val="24"/>
          <w:lang w:val="es"/>
        </w:rPr>
        <w:t>Paso 1: Calcule el nocional efectivo (D</w:t>
      </w:r>
      <w:r w:rsidRPr="008E3606">
        <w:rPr>
          <w:rFonts w:ascii="Cambria" w:hAnsi="Cambria"/>
          <w:color w:val="372F32"/>
          <w:szCs w:val="24"/>
          <w:vertAlign w:val="subscript"/>
          <w:lang w:val="es"/>
        </w:rPr>
        <w:t>i</w:t>
      </w:r>
      <w:r w:rsidRPr="008E3606">
        <w:rPr>
          <w:rFonts w:ascii="Cambria" w:hAnsi="Cambria"/>
          <w:color w:val="372F32"/>
          <w:szCs w:val="24"/>
          <w:lang w:val="es"/>
        </w:rPr>
        <w:t>) para cada operación i dentro del conjunto de compensación que se encuentra en la clase de activos derivados de tasas de interés. Para cada operación i, el nocional efectivo</w:t>
      </w:r>
      <w:r w:rsidRPr="008E3606">
        <w:rPr>
          <w:rFonts w:ascii="Cambria" w:hAnsi="Cambria"/>
          <w:szCs w:val="24"/>
          <w:lang w:val="es"/>
        </w:rPr>
        <w:t xml:space="preserve"> D</w:t>
      </w:r>
      <w:r w:rsidRPr="008E3606">
        <w:rPr>
          <w:rFonts w:ascii="Cambria" w:hAnsi="Cambria"/>
          <w:szCs w:val="24"/>
          <w:vertAlign w:val="subscript"/>
          <w:lang w:val="es"/>
        </w:rPr>
        <w:t>i</w:t>
      </w:r>
      <w:r w:rsidRPr="008E3606">
        <w:rPr>
          <w:rFonts w:ascii="Cambria" w:hAnsi="Cambria"/>
          <w:szCs w:val="24"/>
          <w:lang w:val="es"/>
        </w:rPr>
        <w:t xml:space="preserve"> </w:t>
      </w:r>
      <w:r w:rsidRPr="008E3606">
        <w:rPr>
          <w:rFonts w:ascii="Cambria" w:hAnsi="Cambria"/>
          <w:color w:val="372F32"/>
          <w:szCs w:val="24"/>
          <w:lang w:val="es"/>
        </w:rPr>
        <w:t>se calcula con la siguiente formula, donde cada término se define en el apartado A. PARÁNETROS UTILIZADOS, de este Sección:</w:t>
      </w:r>
    </w:p>
    <w:p w14:paraId="0CE36F09" w14:textId="77777777" w:rsidR="00E10BA0" w:rsidRPr="008E3606" w:rsidRDefault="00E10BA0" w:rsidP="00E10BA0">
      <w:pPr>
        <w:widowControl w:val="0"/>
        <w:spacing w:after="240" w:line="240" w:lineRule="auto"/>
        <w:jc w:val="center"/>
        <w:rPr>
          <w:b/>
          <w:bCs/>
          <w:sz w:val="24"/>
          <w:lang w:val="en-US"/>
        </w:rPr>
      </w:pPr>
      <w:r w:rsidRPr="008E3606">
        <w:rPr>
          <w:b/>
          <w:bCs/>
          <w:sz w:val="24"/>
          <w:lang w:val="en-US"/>
        </w:rPr>
        <w:t>D</w:t>
      </w:r>
      <w:r w:rsidRPr="008E3606">
        <w:rPr>
          <w:b/>
          <w:bCs/>
          <w:sz w:val="24"/>
          <w:vertAlign w:val="subscript"/>
          <w:lang w:val="en-US"/>
        </w:rPr>
        <w:t>i</w:t>
      </w:r>
      <w:r w:rsidRPr="008E3606">
        <w:rPr>
          <w:b/>
          <w:bCs/>
          <w:sz w:val="24"/>
          <w:lang w:val="en-US"/>
        </w:rPr>
        <w:t xml:space="preserve"> = d</w:t>
      </w:r>
      <w:r w:rsidRPr="008E3606">
        <w:rPr>
          <w:b/>
          <w:bCs/>
          <w:sz w:val="24"/>
          <w:vertAlign w:val="subscript"/>
          <w:lang w:val="en-US"/>
        </w:rPr>
        <w:t>i</w:t>
      </w:r>
      <w:r w:rsidRPr="008E3606">
        <w:rPr>
          <w:b/>
          <w:bCs/>
          <w:sz w:val="24"/>
          <w:lang w:val="en-US"/>
        </w:rPr>
        <w:t xml:space="preserve"> x FM</w:t>
      </w:r>
      <w:r w:rsidRPr="008E3606">
        <w:rPr>
          <w:b/>
          <w:bCs/>
          <w:sz w:val="24"/>
          <w:vertAlign w:val="subscript"/>
          <w:lang w:val="en-US"/>
        </w:rPr>
        <w:t>i</w:t>
      </w:r>
      <w:r w:rsidRPr="008E3606">
        <w:rPr>
          <w:b/>
          <w:bCs/>
          <w:sz w:val="24"/>
          <w:lang w:val="en-US"/>
        </w:rPr>
        <w:t xml:space="preserve"> x </w:t>
      </w:r>
      <w:r w:rsidRPr="008E3606">
        <w:rPr>
          <w:b/>
          <w:bCs/>
          <w:sz w:val="24"/>
        </w:rPr>
        <w:sym w:font="Symbol" w:char="F064"/>
      </w:r>
      <w:r w:rsidRPr="008E3606">
        <w:rPr>
          <w:b/>
          <w:bCs/>
          <w:sz w:val="24"/>
          <w:vertAlign w:val="subscript"/>
          <w:lang w:val="en-US"/>
        </w:rPr>
        <w:t>i</w:t>
      </w:r>
    </w:p>
    <w:p w14:paraId="0C275F86" w14:textId="77777777"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lang w:val="es"/>
        </w:rPr>
      </w:pPr>
      <w:r w:rsidRPr="008E3606">
        <w:rPr>
          <w:rFonts w:ascii="Cambria" w:hAnsi="Cambria"/>
          <w:color w:val="372F32"/>
          <w:szCs w:val="24"/>
          <w:lang w:val="es"/>
        </w:rPr>
        <w:t>Paso 2: Asigne las operaciones en la clase de activos derivados de tasas de interés a los conjuntos de cobertura. Para esta clase de activos los conjuntos de cobertura consisten en todos los derivados que hacen referencia a la misma moneda.</w:t>
      </w:r>
    </w:p>
    <w:p w14:paraId="521C7F2A" w14:textId="77777777"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rPr>
      </w:pPr>
      <w:r w:rsidRPr="008E3606">
        <w:rPr>
          <w:rFonts w:ascii="Cambria" w:hAnsi="Cambria"/>
          <w:color w:val="372F32"/>
          <w:szCs w:val="24"/>
          <w:lang w:val="es"/>
        </w:rPr>
        <w:t>Paso 3: Dentro de cada conjunto de cobertura, asigne cada una de las operaciones a los siguientes tres tramos de vencimiento: i) menos de un año, ii) entre uno y cinco años, y iii) más de cinco años.</w:t>
      </w:r>
    </w:p>
    <w:p w14:paraId="2A4761B9" w14:textId="77777777"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rPr>
      </w:pPr>
      <w:r w:rsidRPr="008E3606">
        <w:rPr>
          <w:rFonts w:ascii="Cambria" w:hAnsi="Cambria"/>
          <w:color w:val="372F32"/>
          <w:szCs w:val="24"/>
          <w:lang w:val="es"/>
        </w:rPr>
        <w:t xml:space="preserve">Paso 4: Calcule el nocional efectivo de cada tramo de vencimiento mediante la sumatoria de los nocionales efectivos de todas las operaciones, calculados en el Paso 1. </w:t>
      </w:r>
      <w:r w:rsidRPr="008E3606">
        <w:rPr>
          <w:rFonts w:ascii="Cambria" w:hAnsi="Cambria"/>
          <w:color w:val="372F32"/>
          <w:szCs w:val="24"/>
        </w:rPr>
        <w:t>Por ejemplo, sean D</w:t>
      </w:r>
      <w:r w:rsidRPr="008E3606">
        <w:rPr>
          <w:rFonts w:ascii="Cambria" w:hAnsi="Cambria"/>
          <w:color w:val="372F32"/>
          <w:szCs w:val="24"/>
          <w:vertAlign w:val="superscript"/>
        </w:rPr>
        <w:t>T1</w:t>
      </w:r>
      <w:r w:rsidRPr="008E3606">
        <w:rPr>
          <w:rFonts w:ascii="Cambria" w:hAnsi="Cambria"/>
          <w:color w:val="372F32"/>
          <w:szCs w:val="24"/>
        </w:rPr>
        <w:t>, D</w:t>
      </w:r>
      <w:r w:rsidRPr="008E3606">
        <w:rPr>
          <w:rFonts w:ascii="Cambria" w:hAnsi="Cambria"/>
          <w:color w:val="372F32"/>
          <w:szCs w:val="24"/>
          <w:vertAlign w:val="superscript"/>
        </w:rPr>
        <w:t>T2</w:t>
      </w:r>
      <w:r w:rsidRPr="008E3606">
        <w:rPr>
          <w:rFonts w:ascii="Cambria" w:hAnsi="Cambria"/>
          <w:color w:val="372F32"/>
          <w:szCs w:val="24"/>
        </w:rPr>
        <w:t xml:space="preserve"> y D</w:t>
      </w:r>
      <w:r w:rsidRPr="008E3606">
        <w:rPr>
          <w:rFonts w:ascii="Cambria" w:hAnsi="Cambria"/>
          <w:color w:val="372F32"/>
          <w:szCs w:val="24"/>
          <w:vertAlign w:val="superscript"/>
        </w:rPr>
        <w:t>T3</w:t>
      </w:r>
      <w:r w:rsidRPr="008E3606">
        <w:rPr>
          <w:rFonts w:ascii="Cambria" w:hAnsi="Cambria"/>
          <w:color w:val="372F32"/>
          <w:szCs w:val="24"/>
        </w:rPr>
        <w:t xml:space="preserve"> los nocionales efectivos de los tramos 1, 2 y 3 respectivamente.</w:t>
      </w:r>
    </w:p>
    <w:p w14:paraId="0F7CCC87" w14:textId="77777777"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lang w:val="es"/>
        </w:rPr>
      </w:pPr>
      <w:r w:rsidRPr="008E3606">
        <w:rPr>
          <w:rFonts w:ascii="Cambria" w:hAnsi="Cambria"/>
          <w:color w:val="372F32"/>
          <w:szCs w:val="24"/>
          <w:lang w:val="es"/>
        </w:rPr>
        <w:t>Paso 5: Calcule el nocional efectivo del conjunto de cobertura (NE</w:t>
      </w:r>
      <w:r w:rsidRPr="008E3606">
        <w:rPr>
          <w:rFonts w:ascii="Cambria" w:hAnsi="Cambria"/>
          <w:color w:val="372F32"/>
          <w:szCs w:val="24"/>
          <w:vertAlign w:val="subscript"/>
          <w:lang w:val="es"/>
        </w:rPr>
        <w:t>CCB</w:t>
      </w:r>
      <w:r w:rsidRPr="008E3606">
        <w:rPr>
          <w:rFonts w:ascii="Cambria" w:hAnsi="Cambria"/>
          <w:color w:val="372F32"/>
          <w:szCs w:val="24"/>
          <w:lang w:val="es"/>
        </w:rPr>
        <w:t>) mediante cualquiera de las siguientes dos fórmulas de agregación. Queda a criterio de la entidad la elección de la formula, correspondiendo la última de ellas al caso en la entidad haya decidido no reconocer compensaciones entre posiciones largas y cortas a través de los tramos de vencimiento:</w:t>
      </w:r>
    </w:p>
    <w:p w14:paraId="41BF141C" w14:textId="77777777" w:rsidR="00E10BA0" w:rsidRPr="008E3606" w:rsidRDefault="00E10BA0" w:rsidP="00E10BA0">
      <w:pPr>
        <w:widowControl w:val="0"/>
        <w:shd w:val="clear" w:color="auto" w:fill="FFFFFF"/>
        <w:ind w:left="1701"/>
        <w:textAlignment w:val="baseline"/>
        <w:rPr>
          <w:color w:val="372F32"/>
          <w:sz w:val="24"/>
          <w:lang w:val="es"/>
        </w:rPr>
      </w:pPr>
      <w:r w:rsidRPr="008E3606">
        <w:rPr>
          <w:color w:val="372F32"/>
          <w:sz w:val="24"/>
          <w:lang w:val="es"/>
        </w:rPr>
        <w:t>Fórmula con compensación:</w:t>
      </w:r>
    </w:p>
    <w:p w14:paraId="5A73516F" w14:textId="77777777" w:rsidR="00E10BA0" w:rsidRPr="008E3606" w:rsidRDefault="00E10BA0" w:rsidP="00E10BA0">
      <w:pPr>
        <w:widowControl w:val="0"/>
        <w:shd w:val="clear" w:color="auto" w:fill="FFFFFF"/>
        <w:spacing w:after="240"/>
        <w:ind w:left="1701"/>
        <w:jc w:val="left"/>
        <w:textAlignment w:val="baseline"/>
        <w:rPr>
          <w:color w:val="372F32"/>
          <w:sz w:val="24"/>
          <w:lang w:val="es"/>
        </w:rPr>
      </w:pPr>
      <w:r w:rsidRPr="008E3606">
        <w:rPr>
          <w:color w:val="372F32"/>
          <w:sz w:val="24"/>
          <w:lang w:val="es"/>
        </w:rPr>
        <w:t>NE</w:t>
      </w:r>
      <w:r w:rsidRPr="008E3606">
        <w:rPr>
          <w:color w:val="372F32"/>
          <w:sz w:val="24"/>
          <w:vertAlign w:val="subscript"/>
          <w:lang w:val="es"/>
        </w:rPr>
        <w:t>CCB</w:t>
      </w:r>
      <w:r w:rsidRPr="008E3606">
        <w:rPr>
          <w:color w:val="372F32"/>
          <w:sz w:val="24"/>
          <w:lang w:val="es"/>
        </w:rPr>
        <w:t xml:space="preserve"> = </w:t>
      </w:r>
      <m:oMath>
        <m:sSup>
          <m:sSupPr>
            <m:ctrlPr>
              <w:rPr>
                <w:rFonts w:ascii="Cambria Math" w:hAnsi="Cambria Math"/>
                <w:i/>
                <w:color w:val="372F32"/>
                <w:sz w:val="24"/>
                <w:lang w:val="es"/>
              </w:rPr>
            </m:ctrlPr>
          </m:sSupPr>
          <m:e>
            <m:d>
              <m:dPr>
                <m:begChr m:val="["/>
                <m:endChr m:val="]"/>
                <m:ctrlPr>
                  <w:rPr>
                    <w:rFonts w:ascii="Cambria Math" w:hAnsi="Cambria Math"/>
                    <w:i/>
                    <w:color w:val="372F32"/>
                    <w:sz w:val="24"/>
                    <w:lang w:val="es"/>
                  </w:rPr>
                </m:ctrlPr>
              </m:dPr>
              <m:e>
                <m:sSup>
                  <m:sSupPr>
                    <m:ctrlPr>
                      <w:rPr>
                        <w:rFonts w:ascii="Cambria Math" w:hAnsi="Cambria Math"/>
                        <w:i/>
                        <w:color w:val="372F32"/>
                        <w:sz w:val="24"/>
                        <w:lang w:val="es"/>
                      </w:rPr>
                    </m:ctrlPr>
                  </m:sSupPr>
                  <m:e>
                    <m:d>
                      <m:dPr>
                        <m:ctrlPr>
                          <w:rPr>
                            <w:rFonts w:ascii="Cambria Math" w:hAnsi="Cambria Math"/>
                            <w:i/>
                            <w:color w:val="372F32"/>
                            <w:sz w:val="24"/>
                            <w:lang w:val="es"/>
                          </w:rPr>
                        </m:ctrlPr>
                      </m:dPr>
                      <m:e>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T1</m:t>
                            </m:r>
                          </m:sup>
                        </m:sSup>
                      </m:e>
                    </m:d>
                  </m:e>
                  <m:sup>
                    <m:r>
                      <w:rPr>
                        <w:rFonts w:ascii="Cambria Math" w:hAnsi="Cambria Math"/>
                        <w:color w:val="372F32"/>
                        <w:sz w:val="24"/>
                        <w:lang w:val="es"/>
                      </w:rPr>
                      <m:t>2</m:t>
                    </m:r>
                  </m:sup>
                </m:sSup>
                <m:r>
                  <w:rPr>
                    <w:rFonts w:ascii="Cambria Math" w:hAnsi="Cambria Math"/>
                    <w:color w:val="372F32"/>
                    <w:sz w:val="24"/>
                    <w:lang w:val="es"/>
                  </w:rPr>
                  <m:t>+</m:t>
                </m:r>
                <m:sSup>
                  <m:sSupPr>
                    <m:ctrlPr>
                      <w:rPr>
                        <w:rFonts w:ascii="Cambria Math" w:hAnsi="Cambria Math"/>
                        <w:i/>
                        <w:color w:val="372F32"/>
                        <w:sz w:val="24"/>
                        <w:lang w:val="es"/>
                      </w:rPr>
                    </m:ctrlPr>
                  </m:sSupPr>
                  <m:e>
                    <m:d>
                      <m:dPr>
                        <m:ctrlPr>
                          <w:rPr>
                            <w:rFonts w:ascii="Cambria Math" w:hAnsi="Cambria Math"/>
                            <w:i/>
                            <w:color w:val="372F32"/>
                            <w:sz w:val="24"/>
                            <w:lang w:val="es"/>
                          </w:rPr>
                        </m:ctrlPr>
                      </m:dPr>
                      <m:e>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T2</m:t>
                            </m:r>
                          </m:sup>
                        </m:sSup>
                      </m:e>
                    </m:d>
                  </m:e>
                  <m:sup>
                    <m:r>
                      <w:rPr>
                        <w:rFonts w:ascii="Cambria Math" w:hAnsi="Cambria Math"/>
                        <w:color w:val="372F32"/>
                        <w:sz w:val="24"/>
                        <w:lang w:val="es"/>
                      </w:rPr>
                      <m:t>2</m:t>
                    </m:r>
                  </m:sup>
                </m:sSup>
                <m:r>
                  <w:rPr>
                    <w:rFonts w:ascii="Cambria Math" w:hAnsi="Cambria Math"/>
                    <w:color w:val="372F32"/>
                    <w:sz w:val="24"/>
                    <w:lang w:val="es"/>
                  </w:rPr>
                  <m:t>+</m:t>
                </m:r>
                <m:sSup>
                  <m:sSupPr>
                    <m:ctrlPr>
                      <w:rPr>
                        <w:rFonts w:ascii="Cambria Math" w:hAnsi="Cambria Math"/>
                        <w:i/>
                        <w:color w:val="372F32"/>
                        <w:sz w:val="24"/>
                        <w:lang w:val="es"/>
                      </w:rPr>
                    </m:ctrlPr>
                  </m:sSupPr>
                  <m:e>
                    <m:d>
                      <m:dPr>
                        <m:ctrlPr>
                          <w:rPr>
                            <w:rFonts w:ascii="Cambria Math" w:hAnsi="Cambria Math"/>
                            <w:i/>
                            <w:color w:val="372F32"/>
                            <w:sz w:val="24"/>
                            <w:lang w:val="es"/>
                          </w:rPr>
                        </m:ctrlPr>
                      </m:dPr>
                      <m:e>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T3</m:t>
                            </m:r>
                          </m:sup>
                        </m:sSup>
                      </m:e>
                    </m:d>
                  </m:e>
                  <m:sup>
                    <m:r>
                      <w:rPr>
                        <w:rFonts w:ascii="Cambria Math" w:hAnsi="Cambria Math"/>
                        <w:color w:val="372F32"/>
                        <w:sz w:val="24"/>
                        <w:lang w:val="es"/>
                      </w:rPr>
                      <m:t>2</m:t>
                    </m:r>
                  </m:sup>
                </m:sSup>
                <m:r>
                  <w:rPr>
                    <w:rFonts w:ascii="Cambria Math" w:hAnsi="Cambria Math"/>
                    <w:color w:val="372F32"/>
                    <w:sz w:val="24"/>
                    <w:lang w:val="es"/>
                  </w:rPr>
                  <m:t>+1.4*</m:t>
                </m:r>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T1</m:t>
                    </m:r>
                  </m:sup>
                </m:sSup>
                <m:r>
                  <w:rPr>
                    <w:rFonts w:ascii="Cambria Math" w:hAnsi="Cambria Math"/>
                    <w:color w:val="372F32"/>
                    <w:sz w:val="24"/>
                    <w:lang w:val="es"/>
                  </w:rPr>
                  <m:t>*</m:t>
                </m:r>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T2</m:t>
                    </m:r>
                  </m:sup>
                </m:sSup>
                <m:r>
                  <w:rPr>
                    <w:rFonts w:ascii="Cambria Math" w:hAnsi="Cambria Math"/>
                    <w:color w:val="372F32"/>
                    <w:sz w:val="24"/>
                    <w:lang w:val="es"/>
                  </w:rPr>
                  <m:t>+1.4*</m:t>
                </m:r>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T2</m:t>
                    </m:r>
                  </m:sup>
                </m:sSup>
                <m:r>
                  <w:rPr>
                    <w:rFonts w:ascii="Cambria Math" w:hAnsi="Cambria Math"/>
                    <w:color w:val="372F32"/>
                    <w:sz w:val="24"/>
                    <w:lang w:val="es"/>
                  </w:rPr>
                  <m:t>*</m:t>
                </m:r>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T3</m:t>
                    </m:r>
                  </m:sup>
                </m:sSup>
                <m:r>
                  <w:rPr>
                    <w:rFonts w:ascii="Cambria Math" w:hAnsi="Cambria Math"/>
                    <w:color w:val="372F32"/>
                    <w:sz w:val="24"/>
                    <w:lang w:val="es"/>
                  </w:rPr>
                  <m:t>+0.6*</m:t>
                </m:r>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T1</m:t>
                    </m:r>
                  </m:sup>
                </m:sSup>
                <m:r>
                  <w:rPr>
                    <w:rFonts w:ascii="Cambria Math" w:hAnsi="Cambria Math"/>
                    <w:color w:val="372F32"/>
                    <w:sz w:val="24"/>
                    <w:lang w:val="es"/>
                  </w:rPr>
                  <m:t>*</m:t>
                </m:r>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T3</m:t>
                    </m:r>
                  </m:sup>
                </m:sSup>
              </m:e>
            </m:d>
          </m:e>
          <m:sup>
            <m:r>
              <w:rPr>
                <w:rFonts w:ascii="Cambria Math" w:hAnsi="Cambria Math"/>
                <w:color w:val="372F32"/>
                <w:sz w:val="24"/>
                <w:lang w:val="es"/>
              </w:rPr>
              <m:t>1/2</m:t>
            </m:r>
          </m:sup>
        </m:sSup>
      </m:oMath>
    </w:p>
    <w:p w14:paraId="1507F24F" w14:textId="77777777" w:rsidR="00E10BA0" w:rsidRPr="008E3606" w:rsidRDefault="00E10BA0" w:rsidP="00E10BA0">
      <w:pPr>
        <w:widowControl w:val="0"/>
        <w:shd w:val="clear" w:color="auto" w:fill="FFFFFF"/>
        <w:spacing w:line="247" w:lineRule="auto"/>
        <w:ind w:left="1701" w:hanging="11"/>
        <w:textAlignment w:val="baseline"/>
        <w:rPr>
          <w:color w:val="372F32"/>
          <w:sz w:val="24"/>
          <w:lang w:val="es"/>
        </w:rPr>
      </w:pPr>
      <w:r w:rsidRPr="008E3606">
        <w:rPr>
          <w:color w:val="372F32"/>
          <w:sz w:val="24"/>
          <w:lang w:val="es"/>
        </w:rPr>
        <w:t>Fórmula sin compensación:</w:t>
      </w:r>
    </w:p>
    <w:p w14:paraId="6CE77226" w14:textId="77777777" w:rsidR="00E10BA0" w:rsidRPr="008E3606" w:rsidRDefault="00E10BA0" w:rsidP="00E10BA0">
      <w:pPr>
        <w:widowControl w:val="0"/>
        <w:shd w:val="clear" w:color="auto" w:fill="FFFFFF"/>
        <w:spacing w:after="240"/>
        <w:ind w:left="1701"/>
        <w:jc w:val="left"/>
        <w:textAlignment w:val="baseline"/>
        <w:rPr>
          <w:color w:val="372F32"/>
          <w:sz w:val="24"/>
          <w:lang w:val="es"/>
        </w:rPr>
      </w:pPr>
      <w:r w:rsidRPr="008E3606">
        <w:rPr>
          <w:color w:val="372F32"/>
          <w:sz w:val="24"/>
          <w:lang w:val="es"/>
        </w:rPr>
        <w:t>NE</w:t>
      </w:r>
      <w:r w:rsidRPr="008E3606">
        <w:rPr>
          <w:color w:val="372F32"/>
          <w:sz w:val="24"/>
          <w:vertAlign w:val="subscript"/>
          <w:lang w:val="es"/>
        </w:rPr>
        <w:t>CCB</w:t>
      </w:r>
      <w:r w:rsidRPr="008E3606">
        <w:rPr>
          <w:color w:val="372F32"/>
          <w:sz w:val="24"/>
          <w:lang w:val="es"/>
        </w:rPr>
        <w:t xml:space="preserve"> = </w:t>
      </w:r>
      <m:oMath>
        <m:sSup>
          <m:sSupPr>
            <m:ctrlPr>
              <w:rPr>
                <w:rFonts w:ascii="Cambria Math" w:hAnsi="Cambria Math"/>
                <w:i/>
                <w:color w:val="372F32"/>
                <w:sz w:val="24"/>
                <w:lang w:val="es"/>
              </w:rPr>
            </m:ctrlPr>
          </m:sSupPr>
          <m:e>
            <m:d>
              <m:dPr>
                <m:begChr m:val="|"/>
                <m:endChr m:val="|"/>
                <m:ctrlPr>
                  <w:rPr>
                    <w:rFonts w:ascii="Cambria Math" w:hAnsi="Cambria Math"/>
                    <w:i/>
                    <w:color w:val="372F32"/>
                    <w:sz w:val="24"/>
                    <w:lang w:val="es"/>
                  </w:rPr>
                </m:ctrlPr>
              </m:dPr>
              <m:e>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T1</m:t>
                    </m:r>
                  </m:sup>
                </m:sSup>
              </m:e>
            </m:d>
            <m:r>
              <w:rPr>
                <w:rFonts w:ascii="Cambria Math" w:hAnsi="Cambria Math"/>
                <w:color w:val="372F32"/>
                <w:sz w:val="24"/>
                <w:lang w:val="es"/>
              </w:rPr>
              <m:t>+</m:t>
            </m:r>
            <m:d>
              <m:dPr>
                <m:begChr m:val="|"/>
                <m:endChr m:val="|"/>
                <m:ctrlPr>
                  <w:rPr>
                    <w:rFonts w:ascii="Cambria Math" w:hAnsi="Cambria Math"/>
                    <w:i/>
                    <w:color w:val="372F32"/>
                    <w:sz w:val="24"/>
                    <w:lang w:val="es"/>
                  </w:rPr>
                </m:ctrlPr>
              </m:dPr>
              <m:e>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T2</m:t>
                    </m:r>
                  </m:sup>
                </m:sSup>
              </m:e>
            </m:d>
            <m:r>
              <w:rPr>
                <w:rFonts w:ascii="Cambria Math" w:hAnsi="Cambria Math"/>
                <w:color w:val="372F32"/>
                <w:sz w:val="24"/>
                <w:lang w:val="es"/>
              </w:rPr>
              <m:t>+</m:t>
            </m:r>
            <m:d>
              <m:dPr>
                <m:begChr m:val="|"/>
                <m:endChr m:val="|"/>
                <m:ctrlPr>
                  <w:rPr>
                    <w:rFonts w:ascii="Cambria Math" w:hAnsi="Cambria Math"/>
                    <w:i/>
                    <w:color w:val="372F32"/>
                    <w:sz w:val="24"/>
                    <w:lang w:val="es"/>
                  </w:rPr>
                </m:ctrlPr>
              </m:dPr>
              <m:e>
                <m:sSup>
                  <m:sSupPr>
                    <m:ctrlPr>
                      <w:rPr>
                        <w:rFonts w:ascii="Cambria Math" w:hAnsi="Cambria Math"/>
                        <w:i/>
                        <w:color w:val="372F32"/>
                        <w:sz w:val="24"/>
                        <w:lang w:val="es"/>
                      </w:rPr>
                    </m:ctrlPr>
                  </m:sSupPr>
                  <m:e>
                    <m:r>
                      <w:rPr>
                        <w:rFonts w:ascii="Cambria Math" w:hAnsi="Cambria Math"/>
                        <w:color w:val="372F32"/>
                        <w:sz w:val="24"/>
                        <w:lang w:val="es"/>
                      </w:rPr>
                      <m:t>D</m:t>
                    </m:r>
                  </m:e>
                  <m:sup>
                    <m:r>
                      <w:rPr>
                        <w:rFonts w:ascii="Cambria Math" w:hAnsi="Cambria Math"/>
                        <w:color w:val="372F32"/>
                        <w:sz w:val="24"/>
                        <w:lang w:val="es"/>
                      </w:rPr>
                      <m:t>T3</m:t>
                    </m:r>
                  </m:sup>
                </m:sSup>
              </m:e>
            </m:d>
          </m:e>
          <m:sup/>
        </m:sSup>
      </m:oMath>
    </w:p>
    <w:p w14:paraId="06131784" w14:textId="77777777"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lang w:val="es"/>
        </w:rPr>
      </w:pPr>
      <w:r w:rsidRPr="008E3606">
        <w:rPr>
          <w:rFonts w:ascii="Cambria" w:hAnsi="Cambria"/>
          <w:color w:val="372F32"/>
          <w:szCs w:val="24"/>
          <w:lang w:val="es"/>
        </w:rPr>
        <w:t>Paso 6: Calcule el Adicional al nivel del conjunto de cobertura (Adicional</w:t>
      </w:r>
      <w:r w:rsidRPr="008E3606">
        <w:rPr>
          <w:rFonts w:ascii="Cambria" w:hAnsi="Cambria"/>
          <w:color w:val="372F32"/>
          <w:szCs w:val="24"/>
          <w:vertAlign w:val="subscript"/>
          <w:lang w:val="es"/>
        </w:rPr>
        <w:t>CCB</w:t>
      </w:r>
      <w:r w:rsidRPr="008E3606">
        <w:rPr>
          <w:rFonts w:ascii="Cambria" w:hAnsi="Cambria"/>
          <w:color w:val="372F32"/>
          <w:szCs w:val="24"/>
          <w:lang w:val="es"/>
        </w:rPr>
        <w:t>) mediante la multiplicación del nocional efectivo del conjunto de cobertura (NE</w:t>
      </w:r>
      <w:r w:rsidRPr="008E3606">
        <w:rPr>
          <w:rFonts w:ascii="Cambria" w:hAnsi="Cambria"/>
          <w:color w:val="372F32"/>
          <w:szCs w:val="24"/>
          <w:vertAlign w:val="subscript"/>
          <w:lang w:val="es"/>
        </w:rPr>
        <w:t>CCB</w:t>
      </w:r>
      <w:r w:rsidRPr="008E3606">
        <w:rPr>
          <w:rFonts w:ascii="Cambria" w:hAnsi="Cambria"/>
          <w:color w:val="372F32"/>
          <w:szCs w:val="24"/>
          <w:lang w:val="es"/>
        </w:rPr>
        <w:t>) por el factor regulatorio (FR). Como se indica en el apartado A de esta Sección, el FR para la clase de activo derivado de tasas de interés es de 0.50%, de manera que el Adicional</w:t>
      </w:r>
      <w:r w:rsidRPr="008E3606">
        <w:rPr>
          <w:rFonts w:ascii="Cambria" w:hAnsi="Cambria"/>
          <w:color w:val="372F32"/>
          <w:szCs w:val="24"/>
          <w:vertAlign w:val="subscript"/>
          <w:lang w:val="es"/>
        </w:rPr>
        <w:t>CCB</w:t>
      </w:r>
      <w:r w:rsidRPr="008E3606">
        <w:rPr>
          <w:rFonts w:ascii="Cambria" w:hAnsi="Cambria"/>
          <w:color w:val="372F32"/>
          <w:szCs w:val="24"/>
          <w:lang w:val="es"/>
        </w:rPr>
        <w:t xml:space="preserve"> = NE</w:t>
      </w:r>
      <w:r w:rsidRPr="008E3606">
        <w:rPr>
          <w:rFonts w:ascii="Cambria" w:hAnsi="Cambria"/>
          <w:color w:val="372F32"/>
          <w:szCs w:val="24"/>
          <w:vertAlign w:val="subscript"/>
          <w:lang w:val="es"/>
        </w:rPr>
        <w:t>CCB</w:t>
      </w:r>
      <w:r w:rsidRPr="008E3606">
        <w:rPr>
          <w:rFonts w:ascii="Cambria" w:hAnsi="Cambria"/>
          <w:color w:val="372F32"/>
          <w:szCs w:val="24"/>
          <w:lang w:val="es"/>
        </w:rPr>
        <w:t xml:space="preserve"> * 0.005.</w:t>
      </w:r>
    </w:p>
    <w:p w14:paraId="2579D23C" w14:textId="59E0B15A" w:rsidR="00E10BA0" w:rsidRPr="008E3606" w:rsidRDefault="00E10BA0" w:rsidP="00E10BA0">
      <w:pPr>
        <w:pStyle w:val="Prrafodelista"/>
        <w:widowControl w:val="0"/>
        <w:numPr>
          <w:ilvl w:val="0"/>
          <w:numId w:val="23"/>
        </w:numPr>
        <w:shd w:val="clear" w:color="auto" w:fill="FFFFFF"/>
        <w:spacing w:after="240"/>
        <w:ind w:left="1701" w:hanging="567"/>
        <w:contextualSpacing w:val="0"/>
        <w:textAlignment w:val="baseline"/>
        <w:rPr>
          <w:rFonts w:ascii="Cambria" w:hAnsi="Cambria"/>
          <w:color w:val="372F32"/>
          <w:szCs w:val="24"/>
          <w:lang w:val="es"/>
        </w:rPr>
      </w:pPr>
      <w:r w:rsidRPr="008E3606">
        <w:rPr>
          <w:rFonts w:ascii="Cambria" w:hAnsi="Cambria"/>
          <w:color w:val="372F32"/>
          <w:szCs w:val="24"/>
          <w:lang w:val="es"/>
        </w:rPr>
        <w:t>Paso 7: Calcule el Adicional al nivel de la clase de activo (Adicional</w:t>
      </w:r>
      <w:r w:rsidRPr="008E3606">
        <w:rPr>
          <w:rFonts w:ascii="Cambria" w:hAnsi="Cambria"/>
          <w:color w:val="372F32"/>
          <w:szCs w:val="24"/>
          <w:vertAlign w:val="superscript"/>
          <w:lang w:val="es"/>
        </w:rPr>
        <w:t>tasas</w:t>
      </w:r>
      <w:r w:rsidRPr="008E3606">
        <w:rPr>
          <w:rFonts w:ascii="Cambria" w:hAnsi="Cambria"/>
          <w:color w:val="372F32"/>
          <w:szCs w:val="24"/>
          <w:lang w:val="es"/>
        </w:rPr>
        <w:t>), mediante la sumatoria de todos los adicionales calculados al nivel de los conjuntos de cobertura, calculados según el paso 6.</w:t>
      </w:r>
    </w:p>
    <w:p w14:paraId="1C00A017" w14:textId="77777777" w:rsidR="00C409C8" w:rsidRPr="008E3606" w:rsidRDefault="00C409C8" w:rsidP="00C409C8">
      <w:pPr>
        <w:widowControl w:val="0"/>
        <w:shd w:val="clear" w:color="auto" w:fill="FFFFFF"/>
        <w:spacing w:after="240"/>
        <w:textAlignment w:val="baseline"/>
        <w:rPr>
          <w:color w:val="372F32"/>
          <w:sz w:val="24"/>
          <w:lang w:val="es"/>
        </w:rPr>
      </w:pPr>
    </w:p>
    <w:p w14:paraId="4D8312E0" w14:textId="77777777" w:rsidR="00E10BA0" w:rsidRPr="008E3606" w:rsidRDefault="00E10BA0" w:rsidP="00E10BA0">
      <w:pPr>
        <w:widowControl w:val="0"/>
        <w:spacing w:after="240"/>
        <w:ind w:left="1134" w:hanging="567"/>
        <w:rPr>
          <w:b/>
          <w:bCs/>
          <w:sz w:val="24"/>
        </w:rPr>
      </w:pPr>
      <w:r w:rsidRPr="008E3606">
        <w:rPr>
          <w:b/>
          <w:bCs/>
          <w:sz w:val="24"/>
        </w:rPr>
        <w:t>2.</w:t>
      </w:r>
      <w:r w:rsidRPr="008E3606">
        <w:rPr>
          <w:b/>
          <w:bCs/>
          <w:sz w:val="24"/>
        </w:rPr>
        <w:tab/>
        <w:t xml:space="preserve">Cálculo del componente AdicionalFX </w:t>
      </w:r>
    </w:p>
    <w:p w14:paraId="3877F55D" w14:textId="77777777" w:rsidR="00E10BA0" w:rsidRPr="008E3606" w:rsidRDefault="00E10BA0" w:rsidP="00E10BA0">
      <w:pPr>
        <w:widowControl w:val="0"/>
        <w:shd w:val="clear" w:color="auto" w:fill="FFFFFF"/>
        <w:spacing w:after="240"/>
        <w:ind w:left="1134"/>
        <w:textAlignment w:val="baseline"/>
        <w:rPr>
          <w:bCs/>
          <w:color w:val="372F32"/>
          <w:sz w:val="24"/>
          <w:lang w:val="es"/>
        </w:rPr>
      </w:pPr>
      <w:bookmarkStart w:id="8" w:name="paragraph_CRE_52_20230101_52_58"/>
      <w:bookmarkStart w:id="9" w:name="paragraph_CRE_52_20230101_52_59"/>
      <w:bookmarkEnd w:id="8"/>
      <w:bookmarkEnd w:id="9"/>
      <w:r w:rsidRPr="008E3606">
        <w:rPr>
          <w:bCs/>
          <w:color w:val="372F32"/>
          <w:sz w:val="24"/>
          <w:lang w:val="es"/>
        </w:rPr>
        <w:t>Los pasos para calcular el Adicional para la clase de activos derivados en monedas extranjeras son similares a los pasos para la clase de activos derivados de tasas de interés, excepto que no deben asignarse las operaciones por tramos de vencimiento. Esto implica significa que hay una compensación total de posiciones largas y cortas dentro de los conjuntos de cobertura de la clase de activos derivados en monedas extranjeras.</w:t>
      </w:r>
    </w:p>
    <w:p w14:paraId="6D0CD064" w14:textId="77777777" w:rsidR="00E10BA0" w:rsidRPr="008E3606" w:rsidRDefault="00E10BA0" w:rsidP="00E10BA0">
      <w:pPr>
        <w:widowControl w:val="0"/>
        <w:shd w:val="clear" w:color="auto" w:fill="FFFFFF"/>
        <w:spacing w:after="240"/>
        <w:ind w:left="1134"/>
        <w:textAlignment w:val="baseline"/>
        <w:rPr>
          <w:color w:val="372F32"/>
          <w:sz w:val="24"/>
        </w:rPr>
      </w:pPr>
      <w:r w:rsidRPr="008E3606">
        <w:rPr>
          <w:color w:val="372F32"/>
          <w:sz w:val="24"/>
        </w:rPr>
        <w:t>El adicional para la clase de activos de derivados de monedas extranjeras (Adicional</w:t>
      </w:r>
      <w:r w:rsidRPr="008E3606">
        <w:rPr>
          <w:color w:val="372F32"/>
          <w:sz w:val="24"/>
          <w:vertAlign w:val="superscript"/>
        </w:rPr>
        <w:t>FX</w:t>
      </w:r>
      <w:r w:rsidRPr="008E3606">
        <w:rPr>
          <w:color w:val="372F32"/>
          <w:sz w:val="24"/>
        </w:rPr>
        <w:t>) dentro de un conjunto de compensación se calcula aplicando los siguientes pasos:</w:t>
      </w:r>
    </w:p>
    <w:p w14:paraId="1FA383D7" w14:textId="77777777" w:rsidR="00E10BA0" w:rsidRPr="008E3606" w:rsidRDefault="00E10BA0" w:rsidP="00E10BA0">
      <w:pPr>
        <w:pStyle w:val="Prrafodelista"/>
        <w:widowControl w:val="0"/>
        <w:numPr>
          <w:ilvl w:val="0"/>
          <w:numId w:val="24"/>
        </w:numPr>
        <w:shd w:val="clear" w:color="auto" w:fill="FFFFFF"/>
        <w:spacing w:after="240"/>
        <w:ind w:left="1701" w:hanging="567"/>
        <w:contextualSpacing w:val="0"/>
        <w:textAlignment w:val="baseline"/>
        <w:rPr>
          <w:rFonts w:ascii="Cambria" w:hAnsi="Cambria"/>
          <w:color w:val="372F32"/>
          <w:szCs w:val="24"/>
        </w:rPr>
      </w:pPr>
      <w:r w:rsidRPr="008E3606">
        <w:rPr>
          <w:rFonts w:ascii="Cambria" w:hAnsi="Cambria"/>
          <w:bCs/>
          <w:color w:val="372F32"/>
          <w:szCs w:val="24"/>
        </w:rPr>
        <w:t>Paso 1: Calcule el nocional efectivo (Di) para cada operación i dentro del conjunto de compensación que se encuentra en la clase de activos derivados de monedas extranjeras.</w:t>
      </w:r>
      <w:r w:rsidRPr="008E3606">
        <w:rPr>
          <w:rFonts w:ascii="Cambria" w:hAnsi="Cambria"/>
          <w:color w:val="372F32"/>
          <w:szCs w:val="24"/>
        </w:rPr>
        <w:t xml:space="preserve"> Este se calcula con la siguiente formula, donde cada término se define en el apartado A. PARÁNETROS UTILIZADOS, de este Sección:</w:t>
      </w:r>
    </w:p>
    <w:p w14:paraId="5F059E27" w14:textId="77777777" w:rsidR="00E10BA0" w:rsidRPr="008E3606" w:rsidRDefault="00E10BA0" w:rsidP="00E10BA0">
      <w:pPr>
        <w:pStyle w:val="Prrafodelista"/>
        <w:widowControl w:val="0"/>
        <w:spacing w:after="240" w:line="240" w:lineRule="auto"/>
        <w:ind w:left="1701" w:hanging="567"/>
        <w:contextualSpacing w:val="0"/>
        <w:jc w:val="center"/>
        <w:rPr>
          <w:rFonts w:ascii="Cambria" w:hAnsi="Cambria"/>
          <w:b/>
          <w:bCs/>
          <w:color w:val="auto"/>
          <w:szCs w:val="24"/>
          <w:lang w:val="en-US"/>
        </w:rPr>
      </w:pPr>
      <w:r w:rsidRPr="008E3606">
        <w:rPr>
          <w:rFonts w:ascii="Cambria" w:hAnsi="Cambria"/>
          <w:b/>
          <w:bCs/>
          <w:color w:val="auto"/>
          <w:szCs w:val="24"/>
          <w:lang w:val="en-US"/>
        </w:rPr>
        <w:t>D</w:t>
      </w:r>
      <w:r w:rsidRPr="008E3606">
        <w:rPr>
          <w:rFonts w:ascii="Cambria" w:hAnsi="Cambria"/>
          <w:b/>
          <w:bCs/>
          <w:color w:val="auto"/>
          <w:szCs w:val="24"/>
          <w:vertAlign w:val="subscript"/>
          <w:lang w:val="en-US"/>
        </w:rPr>
        <w:t>i</w:t>
      </w:r>
      <w:r w:rsidRPr="008E3606">
        <w:rPr>
          <w:rFonts w:ascii="Cambria" w:hAnsi="Cambria"/>
          <w:b/>
          <w:bCs/>
          <w:color w:val="auto"/>
          <w:szCs w:val="24"/>
          <w:lang w:val="en-US"/>
        </w:rPr>
        <w:t xml:space="preserve"> = d</w:t>
      </w:r>
      <w:r w:rsidRPr="008E3606">
        <w:rPr>
          <w:rFonts w:ascii="Cambria" w:hAnsi="Cambria"/>
          <w:b/>
          <w:bCs/>
          <w:color w:val="auto"/>
          <w:szCs w:val="24"/>
          <w:vertAlign w:val="subscript"/>
          <w:lang w:val="en-US"/>
        </w:rPr>
        <w:t>i</w:t>
      </w:r>
      <w:r w:rsidRPr="008E3606">
        <w:rPr>
          <w:rFonts w:ascii="Cambria" w:hAnsi="Cambria"/>
          <w:b/>
          <w:bCs/>
          <w:color w:val="auto"/>
          <w:szCs w:val="24"/>
          <w:lang w:val="en-US"/>
        </w:rPr>
        <w:t xml:space="preserve"> x FM</w:t>
      </w:r>
      <w:r w:rsidRPr="008E3606">
        <w:rPr>
          <w:rFonts w:ascii="Cambria" w:hAnsi="Cambria"/>
          <w:b/>
          <w:bCs/>
          <w:color w:val="auto"/>
          <w:szCs w:val="24"/>
          <w:vertAlign w:val="subscript"/>
          <w:lang w:val="en-US"/>
        </w:rPr>
        <w:t>i</w:t>
      </w:r>
      <w:r w:rsidRPr="008E3606">
        <w:rPr>
          <w:rFonts w:ascii="Cambria" w:hAnsi="Cambria"/>
          <w:b/>
          <w:bCs/>
          <w:color w:val="auto"/>
          <w:szCs w:val="24"/>
          <w:lang w:val="en-US"/>
        </w:rPr>
        <w:t xml:space="preserve"> x </w:t>
      </w:r>
      <w:r w:rsidRPr="008E3606">
        <w:rPr>
          <w:rFonts w:ascii="Cambria" w:hAnsi="Cambria"/>
          <w:szCs w:val="24"/>
        </w:rPr>
        <w:sym w:font="Symbol" w:char="F064"/>
      </w:r>
      <w:r w:rsidRPr="008E3606">
        <w:rPr>
          <w:rFonts w:ascii="Cambria" w:hAnsi="Cambria"/>
          <w:b/>
          <w:bCs/>
          <w:color w:val="auto"/>
          <w:szCs w:val="24"/>
          <w:vertAlign w:val="subscript"/>
          <w:lang w:val="en-US"/>
        </w:rPr>
        <w:t>i</w:t>
      </w:r>
    </w:p>
    <w:p w14:paraId="75913035" w14:textId="77777777" w:rsidR="00E10BA0" w:rsidRPr="008E3606" w:rsidRDefault="00E10BA0" w:rsidP="00E10BA0">
      <w:pPr>
        <w:pStyle w:val="Prrafodelista"/>
        <w:widowControl w:val="0"/>
        <w:numPr>
          <w:ilvl w:val="0"/>
          <w:numId w:val="24"/>
        </w:numPr>
        <w:shd w:val="clear" w:color="auto" w:fill="FFFFFF"/>
        <w:spacing w:after="240"/>
        <w:ind w:left="1701" w:hanging="567"/>
        <w:contextualSpacing w:val="0"/>
        <w:textAlignment w:val="baseline"/>
        <w:rPr>
          <w:rFonts w:ascii="Cambria" w:hAnsi="Cambria" w:cs="Open Sans"/>
          <w:color w:val="372F32"/>
          <w:szCs w:val="24"/>
        </w:rPr>
      </w:pPr>
      <w:r w:rsidRPr="008E3606">
        <w:rPr>
          <w:rFonts w:ascii="Cambria" w:hAnsi="Cambria"/>
          <w:color w:val="372F32"/>
          <w:szCs w:val="24"/>
          <w:lang w:val="es"/>
        </w:rPr>
        <w:t xml:space="preserve">Paso 2: Asigne las operaciones en la clase de activos derivados de tasas de interés a los conjuntos de cobertura. Para esta clase de activos los conjuntos de cobertura consisten en todos los derivados que hacen referencia a un mismo par de monedas. Por ejemplo, las operaciones </w:t>
      </w:r>
      <w:r w:rsidRPr="008E3606">
        <w:rPr>
          <w:rFonts w:ascii="Cambria" w:hAnsi="Cambria"/>
          <w:szCs w:val="24"/>
          <w:lang w:val="es"/>
        </w:rPr>
        <w:t>ColónUS$ y EURUS$ se asignan a conjuntos de cobertura separados.</w:t>
      </w:r>
    </w:p>
    <w:p w14:paraId="5DF34CA0" w14:textId="77777777" w:rsidR="00E10BA0" w:rsidRPr="008E3606" w:rsidRDefault="00E10BA0" w:rsidP="00E10BA0">
      <w:pPr>
        <w:pStyle w:val="Prrafodelista"/>
        <w:widowControl w:val="0"/>
        <w:numPr>
          <w:ilvl w:val="0"/>
          <w:numId w:val="24"/>
        </w:numPr>
        <w:shd w:val="clear" w:color="auto" w:fill="FFFFFF"/>
        <w:spacing w:after="240"/>
        <w:ind w:left="1701" w:hanging="567"/>
        <w:contextualSpacing w:val="0"/>
        <w:textAlignment w:val="baseline"/>
        <w:rPr>
          <w:rFonts w:ascii="Cambria" w:hAnsi="Cambria" w:cs="Open Sans"/>
          <w:color w:val="372F32"/>
          <w:szCs w:val="24"/>
        </w:rPr>
      </w:pPr>
      <w:r w:rsidRPr="008E3606">
        <w:rPr>
          <w:rFonts w:ascii="Cambria" w:hAnsi="Cambria"/>
          <w:color w:val="372F32"/>
          <w:szCs w:val="24"/>
          <w:lang w:val="es"/>
        </w:rPr>
        <w:t>Paso 3: Calcule el nocional efectivo del conjunto de cobertura (NE</w:t>
      </w:r>
      <w:r w:rsidRPr="008E3606">
        <w:rPr>
          <w:rFonts w:ascii="Cambria" w:hAnsi="Cambria"/>
          <w:color w:val="372F32"/>
          <w:szCs w:val="24"/>
          <w:vertAlign w:val="subscript"/>
          <w:lang w:val="es"/>
        </w:rPr>
        <w:t>CCB</w:t>
      </w:r>
      <w:r w:rsidRPr="008E3606">
        <w:rPr>
          <w:rFonts w:ascii="Cambria" w:hAnsi="Cambria"/>
          <w:color w:val="372F32"/>
          <w:szCs w:val="24"/>
          <w:lang w:val="es"/>
        </w:rPr>
        <w:t>) mediante la sumatoria de los nocionales efectivos al nivel de operaciones, calculados en el Paso 1.</w:t>
      </w:r>
    </w:p>
    <w:p w14:paraId="59CF7B34" w14:textId="77777777" w:rsidR="00E10BA0" w:rsidRPr="008E3606" w:rsidRDefault="00E10BA0" w:rsidP="00E10BA0">
      <w:pPr>
        <w:pStyle w:val="Prrafodelista"/>
        <w:widowControl w:val="0"/>
        <w:numPr>
          <w:ilvl w:val="0"/>
          <w:numId w:val="24"/>
        </w:numPr>
        <w:shd w:val="clear" w:color="auto" w:fill="FFFFFF"/>
        <w:spacing w:after="240"/>
        <w:ind w:left="1701" w:hanging="567"/>
        <w:contextualSpacing w:val="0"/>
        <w:textAlignment w:val="baseline"/>
        <w:rPr>
          <w:rFonts w:ascii="Cambria" w:hAnsi="Cambria" w:cs="Open Sans"/>
          <w:color w:val="372F32"/>
          <w:szCs w:val="24"/>
        </w:rPr>
      </w:pPr>
      <w:r w:rsidRPr="008E3606">
        <w:rPr>
          <w:rFonts w:ascii="Cambria" w:hAnsi="Cambria"/>
          <w:color w:val="372F32"/>
          <w:szCs w:val="24"/>
          <w:lang w:val="es"/>
        </w:rPr>
        <w:t>Paso 4: Calcule el Adicional al nivel del conjunto de cobertura (Adicional</w:t>
      </w:r>
      <w:r w:rsidRPr="008E3606">
        <w:rPr>
          <w:rFonts w:ascii="Cambria" w:hAnsi="Cambria"/>
          <w:color w:val="372F32"/>
          <w:szCs w:val="24"/>
          <w:vertAlign w:val="subscript"/>
          <w:lang w:val="es"/>
        </w:rPr>
        <w:t>CCB</w:t>
      </w:r>
      <w:r w:rsidRPr="008E3606">
        <w:rPr>
          <w:rFonts w:ascii="Cambria" w:hAnsi="Cambria"/>
          <w:color w:val="372F32"/>
          <w:szCs w:val="24"/>
          <w:lang w:val="es"/>
        </w:rPr>
        <w:t>) mediante la multiplicación del valor absoluto del nocional efectivo del conjunto de cobertura (NE</w:t>
      </w:r>
      <w:r w:rsidRPr="008E3606">
        <w:rPr>
          <w:rFonts w:ascii="Cambria" w:hAnsi="Cambria"/>
          <w:color w:val="372F32"/>
          <w:szCs w:val="24"/>
          <w:vertAlign w:val="subscript"/>
          <w:lang w:val="es"/>
        </w:rPr>
        <w:t>CCB</w:t>
      </w:r>
      <w:r w:rsidRPr="008E3606">
        <w:rPr>
          <w:rFonts w:ascii="Cambria" w:hAnsi="Cambria"/>
          <w:color w:val="372F32"/>
          <w:szCs w:val="24"/>
          <w:lang w:val="es"/>
        </w:rPr>
        <w:t>) por el factor regulatorio (FR). Como se indica en el apartado A de esta Sección, el FR para la clase de activo derivado de monedas extranjeras es de 4.0%, de manera que el Adicional</w:t>
      </w:r>
      <w:r w:rsidRPr="008E3606">
        <w:rPr>
          <w:rFonts w:ascii="Cambria" w:hAnsi="Cambria"/>
          <w:color w:val="372F32"/>
          <w:szCs w:val="24"/>
          <w:vertAlign w:val="subscript"/>
          <w:lang w:val="es"/>
        </w:rPr>
        <w:t>CCB</w:t>
      </w:r>
      <w:r w:rsidRPr="008E3606">
        <w:rPr>
          <w:rFonts w:ascii="Cambria" w:hAnsi="Cambria"/>
          <w:color w:val="372F32"/>
          <w:szCs w:val="24"/>
          <w:lang w:val="es"/>
        </w:rPr>
        <w:t xml:space="preserve"> = NE</w:t>
      </w:r>
      <w:r w:rsidRPr="008E3606">
        <w:rPr>
          <w:rFonts w:ascii="Cambria" w:hAnsi="Cambria"/>
          <w:color w:val="372F32"/>
          <w:szCs w:val="24"/>
          <w:vertAlign w:val="subscript"/>
          <w:lang w:val="es"/>
        </w:rPr>
        <w:t>CCB</w:t>
      </w:r>
      <w:r w:rsidRPr="008E3606">
        <w:rPr>
          <w:rFonts w:ascii="Cambria" w:hAnsi="Cambria"/>
          <w:color w:val="372F32"/>
          <w:szCs w:val="24"/>
          <w:lang w:val="es"/>
        </w:rPr>
        <w:t xml:space="preserve"> * 0.04</w:t>
      </w:r>
    </w:p>
    <w:p w14:paraId="07B65502" w14:textId="7134D7E7" w:rsidR="00E10BA0" w:rsidRPr="008E3606" w:rsidRDefault="00E10BA0" w:rsidP="00E10BA0">
      <w:pPr>
        <w:pStyle w:val="Prrafodelista"/>
        <w:widowControl w:val="0"/>
        <w:numPr>
          <w:ilvl w:val="0"/>
          <w:numId w:val="24"/>
        </w:numPr>
        <w:shd w:val="clear" w:color="auto" w:fill="FFFFFF"/>
        <w:spacing w:after="240"/>
        <w:ind w:left="1701" w:hanging="567"/>
        <w:contextualSpacing w:val="0"/>
        <w:textAlignment w:val="baseline"/>
        <w:rPr>
          <w:rFonts w:ascii="Cambria" w:hAnsi="Cambria"/>
          <w:szCs w:val="24"/>
        </w:rPr>
      </w:pPr>
      <w:r w:rsidRPr="008E3606">
        <w:rPr>
          <w:rFonts w:ascii="Cambria" w:hAnsi="Cambria"/>
          <w:color w:val="372F32"/>
          <w:szCs w:val="24"/>
          <w:lang w:val="es"/>
        </w:rPr>
        <w:t>Paso 5: Calcule el Adicional al nivel de la clase de activo (Adicional</w:t>
      </w:r>
      <w:r w:rsidRPr="008E3606">
        <w:rPr>
          <w:rFonts w:ascii="Cambria" w:hAnsi="Cambria"/>
          <w:color w:val="372F32"/>
          <w:szCs w:val="24"/>
          <w:vertAlign w:val="superscript"/>
          <w:lang w:val="es"/>
        </w:rPr>
        <w:t>FX</w:t>
      </w:r>
      <w:r w:rsidRPr="008E3606">
        <w:rPr>
          <w:rFonts w:ascii="Cambria" w:hAnsi="Cambria"/>
          <w:color w:val="372F32"/>
          <w:szCs w:val="24"/>
          <w:lang w:val="es"/>
        </w:rPr>
        <w:t xml:space="preserve">), mediante la sumatoria de todos los adicionales calculados al nivel de los conjuntos de cobertura, calculados según el paso 4. </w:t>
      </w:r>
      <w:r w:rsidRPr="008E3606">
        <w:rPr>
          <w:rFonts w:ascii="Cambria" w:hAnsi="Cambria"/>
          <w:szCs w:val="24"/>
          <w:lang w:val="es"/>
        </w:rPr>
        <w:t>Por ejemplo, si en la clase de derivados sobre monedas extranjeras del conjunto de compensación se tienen operaciones ColónUS$ y EURUS$, el Adicional</w:t>
      </w:r>
      <w:r w:rsidRPr="008E3606">
        <w:rPr>
          <w:rFonts w:ascii="Cambria" w:hAnsi="Cambria"/>
          <w:szCs w:val="24"/>
          <w:vertAlign w:val="superscript"/>
          <w:lang w:val="es"/>
        </w:rPr>
        <w:t>FX</w:t>
      </w:r>
      <w:r w:rsidRPr="008E3606">
        <w:rPr>
          <w:rFonts w:ascii="Cambria" w:hAnsi="Cambria"/>
          <w:szCs w:val="24"/>
          <w:lang w:val="es"/>
        </w:rPr>
        <w:t xml:space="preserve"> será igual a la suma de los componentes |Adicional</w:t>
      </w:r>
      <w:r w:rsidRPr="008E3606">
        <w:rPr>
          <w:rFonts w:ascii="Cambria" w:hAnsi="Cambria"/>
          <w:szCs w:val="24"/>
          <w:vertAlign w:val="superscript"/>
          <w:lang w:val="es"/>
        </w:rPr>
        <w:t>ColónUS$</w:t>
      </w:r>
      <w:r w:rsidRPr="008E3606">
        <w:rPr>
          <w:rFonts w:ascii="Cambria" w:hAnsi="Cambria"/>
          <w:szCs w:val="24"/>
          <w:lang w:val="es"/>
        </w:rPr>
        <w:t>| + |Adicional</w:t>
      </w:r>
      <w:r w:rsidRPr="008E3606">
        <w:rPr>
          <w:rFonts w:ascii="Cambria" w:hAnsi="Cambria"/>
          <w:szCs w:val="24"/>
          <w:vertAlign w:val="superscript"/>
          <w:lang w:val="es"/>
        </w:rPr>
        <w:t>EURUS$</w:t>
      </w:r>
      <w:r w:rsidRPr="008E3606">
        <w:rPr>
          <w:rFonts w:ascii="Cambria" w:hAnsi="Cambria"/>
          <w:szCs w:val="24"/>
        </w:rPr>
        <w:t>|.</w:t>
      </w:r>
    </w:p>
    <w:p w14:paraId="134BB35B" w14:textId="6F917015" w:rsidR="00C409C8" w:rsidRPr="008E3606" w:rsidRDefault="00C409C8" w:rsidP="00C409C8">
      <w:pPr>
        <w:widowControl w:val="0"/>
        <w:shd w:val="clear" w:color="auto" w:fill="FFFFFF"/>
        <w:spacing w:after="240"/>
        <w:textAlignment w:val="baseline"/>
        <w:rPr>
          <w:sz w:val="24"/>
        </w:rPr>
      </w:pPr>
    </w:p>
    <w:p w14:paraId="3985BB62" w14:textId="77777777" w:rsidR="00C409C8" w:rsidRPr="008E3606" w:rsidRDefault="00C409C8" w:rsidP="00C409C8">
      <w:pPr>
        <w:widowControl w:val="0"/>
        <w:shd w:val="clear" w:color="auto" w:fill="FFFFFF"/>
        <w:spacing w:after="240"/>
        <w:textAlignment w:val="baseline"/>
        <w:rPr>
          <w:sz w:val="24"/>
        </w:rPr>
      </w:pPr>
    </w:p>
    <w:p w14:paraId="78E7DC67" w14:textId="77777777" w:rsidR="00E10BA0" w:rsidRPr="008E3606" w:rsidRDefault="00E10BA0" w:rsidP="00EC45CB">
      <w:pPr>
        <w:pStyle w:val="Prrafodelista"/>
        <w:widowControl w:val="0"/>
        <w:numPr>
          <w:ilvl w:val="0"/>
          <w:numId w:val="22"/>
        </w:numPr>
        <w:spacing w:after="240" w:line="259" w:lineRule="auto"/>
        <w:ind w:left="567" w:hanging="567"/>
        <w:contextualSpacing w:val="0"/>
        <w:rPr>
          <w:rFonts w:ascii="Cambria" w:hAnsi="Cambria"/>
          <w:b/>
          <w:bCs/>
          <w:color w:val="auto"/>
          <w:szCs w:val="24"/>
        </w:rPr>
      </w:pPr>
      <w:r w:rsidRPr="008E3606">
        <w:rPr>
          <w:rFonts w:ascii="Cambria" w:hAnsi="Cambria"/>
          <w:b/>
          <w:bCs/>
          <w:color w:val="auto"/>
          <w:szCs w:val="24"/>
        </w:rPr>
        <w:t xml:space="preserve">CÁLCULO DEL COMPONENTE ADICIONAL AGREGADO </w:t>
      </w:r>
    </w:p>
    <w:p w14:paraId="71FF61D6" w14:textId="77777777" w:rsidR="00E10BA0" w:rsidRPr="008E3606" w:rsidRDefault="00E10BA0" w:rsidP="00E10BA0">
      <w:pPr>
        <w:widowControl w:val="0"/>
        <w:shd w:val="clear" w:color="auto" w:fill="FFFFFF"/>
        <w:spacing w:after="240"/>
        <w:textAlignment w:val="baseline"/>
        <w:rPr>
          <w:color w:val="372F32"/>
          <w:sz w:val="24"/>
          <w:lang w:val="es"/>
        </w:rPr>
      </w:pPr>
      <w:r w:rsidRPr="008E3606">
        <w:rPr>
          <w:color w:val="372F32"/>
          <w:sz w:val="24"/>
          <w:lang w:val="es"/>
        </w:rPr>
        <w:t>Finalmente, los respectivos Adicionales para cada clase de activos son agregados usando la siguiente formula:</w:t>
      </w:r>
    </w:p>
    <w:p w14:paraId="1572F475" w14:textId="5F3FD188" w:rsidR="00E10BA0" w:rsidRPr="008E3606" w:rsidRDefault="00E10BA0" w:rsidP="00C409C8">
      <w:pPr>
        <w:widowControl w:val="0"/>
        <w:spacing w:after="240" w:line="259" w:lineRule="auto"/>
        <w:jc w:val="center"/>
        <w:rPr>
          <w:b/>
          <w:bCs/>
          <w:sz w:val="24"/>
          <w:vertAlign w:val="superscript"/>
          <w:lang w:val="es"/>
        </w:rPr>
      </w:pPr>
      <w:r w:rsidRPr="008E3606">
        <w:rPr>
          <w:b/>
          <w:bCs/>
          <w:color w:val="372F32"/>
          <w:sz w:val="24"/>
          <w:shd w:val="clear" w:color="auto" w:fill="FFFFFF"/>
          <w:lang w:val="es"/>
        </w:rPr>
        <w:t>Adicional</w:t>
      </w:r>
      <w:r w:rsidRPr="008E3606">
        <w:rPr>
          <w:b/>
          <w:bCs/>
          <w:color w:val="372F32"/>
          <w:sz w:val="24"/>
          <w:shd w:val="clear" w:color="auto" w:fill="FFFFFF"/>
          <w:vertAlign w:val="superscript"/>
          <w:lang w:val="es"/>
        </w:rPr>
        <w:t>agregado</w:t>
      </w:r>
      <w:r w:rsidRPr="008E3606">
        <w:rPr>
          <w:b/>
          <w:bCs/>
          <w:color w:val="372F32"/>
          <w:sz w:val="24"/>
          <w:shd w:val="clear" w:color="auto" w:fill="FFFFFF"/>
          <w:lang w:val="es"/>
        </w:rPr>
        <w:t xml:space="preserve"> = </w:t>
      </w:r>
      <w:r w:rsidRPr="008E3606">
        <w:rPr>
          <w:b/>
          <w:bCs/>
          <w:sz w:val="24"/>
          <w:lang w:val="es"/>
        </w:rPr>
        <w:t>Adicional</w:t>
      </w:r>
      <w:r w:rsidRPr="008E3606">
        <w:rPr>
          <w:b/>
          <w:bCs/>
          <w:sz w:val="24"/>
          <w:vertAlign w:val="superscript"/>
          <w:lang w:val="es"/>
        </w:rPr>
        <w:t>Tasas</w:t>
      </w:r>
      <w:r w:rsidRPr="008E3606">
        <w:rPr>
          <w:b/>
          <w:bCs/>
          <w:sz w:val="24"/>
          <w:lang w:val="es"/>
        </w:rPr>
        <w:t xml:space="preserve">  + Adicional</w:t>
      </w:r>
      <w:r w:rsidRPr="008E3606">
        <w:rPr>
          <w:b/>
          <w:bCs/>
          <w:sz w:val="24"/>
          <w:vertAlign w:val="superscript"/>
          <w:lang w:val="es"/>
        </w:rPr>
        <w:t>FX</w:t>
      </w:r>
    </w:p>
    <w:p w14:paraId="2E5649F7" w14:textId="77777777" w:rsidR="00C409C8" w:rsidRPr="008E3606" w:rsidRDefault="00C409C8" w:rsidP="00C409C8">
      <w:pPr>
        <w:widowControl w:val="0"/>
        <w:spacing w:after="240" w:line="259" w:lineRule="auto"/>
        <w:jc w:val="center"/>
        <w:rPr>
          <w:b/>
          <w:bCs/>
          <w:sz w:val="24"/>
        </w:rPr>
      </w:pPr>
    </w:p>
    <w:p w14:paraId="7618F242" w14:textId="77777777" w:rsidR="00E10BA0" w:rsidRPr="008E3606" w:rsidRDefault="00E10BA0" w:rsidP="00EC45CB">
      <w:pPr>
        <w:pStyle w:val="Ttulo1"/>
        <w:spacing w:after="240"/>
        <w:ind w:left="0" w:firstLine="0"/>
        <w:rPr>
          <w:rFonts w:ascii="Cambria" w:hAnsi="Cambria" w:cs="Times New Roman"/>
          <w:szCs w:val="24"/>
        </w:rPr>
      </w:pPr>
      <w:bookmarkStart w:id="10" w:name="_Toc153190206"/>
      <w:r w:rsidRPr="008E3606">
        <w:rPr>
          <w:rFonts w:ascii="Cambria" w:hAnsi="Cambria" w:cs="Times New Roman"/>
          <w:szCs w:val="24"/>
        </w:rPr>
        <w:t>VI. UTILIDAD OPERACIONAL BRUTA AJUSTADA (UOBA) PARA EFECTOS DEL CÁLCULO DEL RIESGO OPERACIONAL</w:t>
      </w:r>
      <w:bookmarkEnd w:id="10"/>
      <w:r w:rsidRPr="008E3606">
        <w:rPr>
          <w:rFonts w:ascii="Cambria" w:hAnsi="Cambria" w:cs="Times New Roman"/>
          <w:szCs w:val="24"/>
        </w:rPr>
        <w:t xml:space="preserve"> </w:t>
      </w:r>
    </w:p>
    <w:p w14:paraId="3612D24D" w14:textId="77777777" w:rsidR="00E10BA0" w:rsidRPr="008E3606" w:rsidRDefault="00E10BA0" w:rsidP="00E10BA0">
      <w:pPr>
        <w:widowControl w:val="0"/>
        <w:spacing w:after="240" w:line="240" w:lineRule="auto"/>
        <w:ind w:left="1128" w:hanging="1133"/>
        <w:rPr>
          <w:sz w:val="24"/>
        </w:rPr>
      </w:pPr>
      <w:r w:rsidRPr="008E3606">
        <w:rPr>
          <w:sz w:val="24"/>
          <w:u w:val="single" w:color="000000"/>
        </w:rPr>
        <w:t>Objetivo</w:t>
      </w:r>
      <w:r w:rsidRPr="008E3606">
        <w:rPr>
          <w:sz w:val="24"/>
        </w:rPr>
        <w:t>:</w:t>
      </w:r>
      <w:r w:rsidRPr="008E3606">
        <w:rPr>
          <w:sz w:val="24"/>
        </w:rPr>
        <w:tab/>
        <w:t xml:space="preserve">Establecer la equivalencia de cuentas entre el Plan de Cuentas vigente a partir de enero del 2008 y el Plan de Cuentas vigente hasta diciembre del 2007, para el cálculo de la Utilidad Operacional Bruta Ajustada Promedio. </w:t>
      </w:r>
    </w:p>
    <w:p w14:paraId="0B1AA56C" w14:textId="77777777" w:rsidR="00E10BA0" w:rsidRPr="008E3606" w:rsidRDefault="00E10BA0" w:rsidP="00E10BA0">
      <w:pPr>
        <w:widowControl w:val="0"/>
        <w:spacing w:after="240" w:line="240" w:lineRule="auto"/>
        <w:ind w:left="5"/>
        <w:rPr>
          <w:sz w:val="24"/>
        </w:rPr>
      </w:pPr>
      <w:r w:rsidRPr="008E3606">
        <w:rPr>
          <w:sz w:val="24"/>
        </w:rPr>
        <w:t xml:space="preserve">La equivalencia de cuentas es la siguiente:  </w:t>
      </w:r>
    </w:p>
    <w:p w14:paraId="1848E4B9" w14:textId="77777777" w:rsidR="00E10BA0" w:rsidRPr="008E3606" w:rsidRDefault="00E10BA0" w:rsidP="00E10BA0">
      <w:pPr>
        <w:widowControl w:val="0"/>
        <w:spacing w:after="240"/>
        <w:rPr>
          <w:b/>
          <w:bCs/>
          <w:sz w:val="24"/>
        </w:rPr>
      </w:pPr>
      <w:r w:rsidRPr="008E3606">
        <w:rPr>
          <w:b/>
          <w:bCs/>
          <w:sz w:val="24"/>
        </w:rPr>
        <w:t xml:space="preserve">Utilidad Operacional Bruta Ajustada para efectos de cálculo del Riesgo Operacional Equivalencia de cuentas entre Plan de Cuentas 2020, Plan de cuentas 2008 y Plan de Cuentas 2003 </w:t>
      </w:r>
    </w:p>
    <w:tbl>
      <w:tblPr>
        <w:tblStyle w:val="TableGrid"/>
        <w:tblW w:w="9634" w:type="dxa"/>
        <w:tblInd w:w="5" w:type="dxa"/>
        <w:tblCellMar>
          <w:top w:w="13" w:type="dxa"/>
          <w:left w:w="69" w:type="dxa"/>
          <w:right w:w="7" w:type="dxa"/>
        </w:tblCellMar>
        <w:tblLook w:val="04A0" w:firstRow="1" w:lastRow="0" w:firstColumn="1" w:lastColumn="0" w:noHBand="0" w:noVBand="1"/>
      </w:tblPr>
      <w:tblGrid>
        <w:gridCol w:w="3115"/>
        <w:gridCol w:w="3542"/>
        <w:gridCol w:w="2977"/>
      </w:tblGrid>
      <w:tr w:rsidR="00E10BA0" w:rsidRPr="008E3606" w14:paraId="03565920" w14:textId="77777777" w:rsidTr="007E453E">
        <w:trPr>
          <w:trHeight w:val="406"/>
        </w:trPr>
        <w:tc>
          <w:tcPr>
            <w:tcW w:w="3115" w:type="dxa"/>
            <w:tcBorders>
              <w:top w:val="single" w:sz="4" w:space="0" w:color="000000"/>
              <w:left w:val="single" w:sz="4" w:space="0" w:color="000000"/>
              <w:bottom w:val="single" w:sz="4" w:space="0" w:color="000000"/>
              <w:right w:val="single" w:sz="4" w:space="0" w:color="000000"/>
            </w:tcBorders>
            <w:vAlign w:val="center"/>
          </w:tcPr>
          <w:p w14:paraId="3F7B416F" w14:textId="77777777" w:rsidR="00E10BA0" w:rsidRPr="008E3606" w:rsidRDefault="00E10BA0" w:rsidP="007E453E">
            <w:pPr>
              <w:widowControl w:val="0"/>
              <w:spacing w:line="240" w:lineRule="auto"/>
              <w:ind w:right="62"/>
              <w:jc w:val="center"/>
              <w:rPr>
                <w:sz w:val="24"/>
              </w:rPr>
            </w:pPr>
            <w:r w:rsidRPr="008E3606">
              <w:rPr>
                <w:b/>
                <w:sz w:val="24"/>
              </w:rPr>
              <w:t>Plan de Cuentas 2020</w:t>
            </w:r>
          </w:p>
        </w:tc>
        <w:tc>
          <w:tcPr>
            <w:tcW w:w="3542" w:type="dxa"/>
            <w:tcBorders>
              <w:top w:val="single" w:sz="4" w:space="0" w:color="000000"/>
              <w:left w:val="single" w:sz="4" w:space="0" w:color="000000"/>
              <w:bottom w:val="single" w:sz="4" w:space="0" w:color="000000"/>
              <w:right w:val="single" w:sz="4" w:space="0" w:color="000000"/>
            </w:tcBorders>
            <w:vAlign w:val="center"/>
          </w:tcPr>
          <w:p w14:paraId="768A09F3" w14:textId="77777777" w:rsidR="00E10BA0" w:rsidRPr="008E3606" w:rsidRDefault="00E10BA0" w:rsidP="007E453E">
            <w:pPr>
              <w:widowControl w:val="0"/>
              <w:spacing w:line="240" w:lineRule="auto"/>
              <w:ind w:right="62"/>
              <w:jc w:val="center"/>
              <w:rPr>
                <w:sz w:val="24"/>
              </w:rPr>
            </w:pPr>
            <w:r w:rsidRPr="008E3606">
              <w:rPr>
                <w:b/>
                <w:sz w:val="24"/>
              </w:rPr>
              <w:t>Plan de Cuentas 2008</w:t>
            </w:r>
          </w:p>
        </w:tc>
        <w:tc>
          <w:tcPr>
            <w:tcW w:w="2976" w:type="dxa"/>
            <w:tcBorders>
              <w:top w:val="single" w:sz="4" w:space="0" w:color="000000"/>
              <w:left w:val="single" w:sz="4" w:space="0" w:color="000000"/>
              <w:bottom w:val="single" w:sz="4" w:space="0" w:color="000000"/>
              <w:right w:val="single" w:sz="4" w:space="0" w:color="000000"/>
            </w:tcBorders>
            <w:vAlign w:val="center"/>
          </w:tcPr>
          <w:p w14:paraId="28ACAC2F" w14:textId="77777777" w:rsidR="00E10BA0" w:rsidRPr="008E3606" w:rsidRDefault="00E10BA0" w:rsidP="007E453E">
            <w:pPr>
              <w:widowControl w:val="0"/>
              <w:spacing w:line="240" w:lineRule="auto"/>
              <w:ind w:right="57"/>
              <w:jc w:val="center"/>
              <w:rPr>
                <w:sz w:val="24"/>
              </w:rPr>
            </w:pPr>
            <w:r w:rsidRPr="008E3606">
              <w:rPr>
                <w:b/>
                <w:sz w:val="24"/>
              </w:rPr>
              <w:t>Plan de Cuentas 2003</w:t>
            </w:r>
          </w:p>
        </w:tc>
      </w:tr>
      <w:tr w:rsidR="00E10BA0" w:rsidRPr="008E3606" w14:paraId="6BC0155C" w14:textId="77777777" w:rsidTr="007E453E">
        <w:trPr>
          <w:trHeight w:val="205"/>
        </w:trPr>
        <w:tc>
          <w:tcPr>
            <w:tcW w:w="3115" w:type="dxa"/>
            <w:tcBorders>
              <w:top w:val="single" w:sz="4" w:space="0" w:color="000000"/>
              <w:left w:val="single" w:sz="4" w:space="0" w:color="000000"/>
              <w:bottom w:val="single" w:sz="4" w:space="0" w:color="000000"/>
              <w:right w:val="single" w:sz="4" w:space="0" w:color="000000"/>
            </w:tcBorders>
            <w:vAlign w:val="center"/>
          </w:tcPr>
          <w:p w14:paraId="22A5D022" w14:textId="77777777" w:rsidR="00E10BA0" w:rsidRPr="008E3606" w:rsidRDefault="00E10BA0" w:rsidP="007E453E">
            <w:pPr>
              <w:widowControl w:val="0"/>
              <w:spacing w:line="240" w:lineRule="auto"/>
              <w:ind w:left="3"/>
              <w:rPr>
                <w:sz w:val="24"/>
              </w:rPr>
            </w:pPr>
            <w:r w:rsidRPr="008E3606">
              <w:rPr>
                <w:sz w:val="24"/>
              </w:rPr>
              <w:t>C(500) Ingresos</w:t>
            </w:r>
          </w:p>
        </w:tc>
        <w:tc>
          <w:tcPr>
            <w:tcW w:w="3542" w:type="dxa"/>
            <w:tcBorders>
              <w:top w:val="single" w:sz="4" w:space="0" w:color="000000"/>
              <w:left w:val="single" w:sz="4" w:space="0" w:color="000000"/>
              <w:bottom w:val="single" w:sz="4" w:space="0" w:color="000000"/>
              <w:right w:val="single" w:sz="4" w:space="0" w:color="000000"/>
            </w:tcBorders>
            <w:vAlign w:val="center"/>
          </w:tcPr>
          <w:p w14:paraId="4E2E61F9" w14:textId="77777777" w:rsidR="00E10BA0" w:rsidRPr="008E3606" w:rsidRDefault="00E10BA0" w:rsidP="007E453E">
            <w:pPr>
              <w:widowControl w:val="0"/>
              <w:spacing w:line="240" w:lineRule="auto"/>
              <w:rPr>
                <w:sz w:val="24"/>
              </w:rPr>
            </w:pPr>
            <w:r w:rsidRPr="008E3606">
              <w:rPr>
                <w:sz w:val="24"/>
              </w:rPr>
              <w:t>C(500) Ingresos</w:t>
            </w:r>
          </w:p>
        </w:tc>
        <w:tc>
          <w:tcPr>
            <w:tcW w:w="2976" w:type="dxa"/>
            <w:tcBorders>
              <w:top w:val="single" w:sz="4" w:space="0" w:color="000000"/>
              <w:left w:val="single" w:sz="4" w:space="0" w:color="000000"/>
              <w:bottom w:val="single" w:sz="4" w:space="0" w:color="000000"/>
              <w:right w:val="single" w:sz="4" w:space="0" w:color="000000"/>
            </w:tcBorders>
            <w:vAlign w:val="center"/>
          </w:tcPr>
          <w:p w14:paraId="64715B15" w14:textId="77777777" w:rsidR="00E10BA0" w:rsidRPr="008E3606" w:rsidRDefault="00E10BA0" w:rsidP="007E453E">
            <w:pPr>
              <w:widowControl w:val="0"/>
              <w:spacing w:line="240" w:lineRule="auto"/>
              <w:ind w:left="3"/>
              <w:rPr>
                <w:sz w:val="24"/>
              </w:rPr>
            </w:pPr>
            <w:r w:rsidRPr="008E3606">
              <w:rPr>
                <w:sz w:val="24"/>
              </w:rPr>
              <w:t>C(500) Ingresos</w:t>
            </w:r>
          </w:p>
        </w:tc>
      </w:tr>
      <w:tr w:rsidR="00E10BA0" w:rsidRPr="008E3606" w14:paraId="01B7E5A4" w14:textId="77777777" w:rsidTr="00C409C8">
        <w:trPr>
          <w:trHeight w:val="666"/>
        </w:trPr>
        <w:tc>
          <w:tcPr>
            <w:tcW w:w="3115" w:type="dxa"/>
            <w:tcBorders>
              <w:top w:val="single" w:sz="4" w:space="0" w:color="000000"/>
              <w:left w:val="single" w:sz="4" w:space="0" w:color="000000"/>
              <w:bottom w:val="single" w:sz="4" w:space="0" w:color="000000"/>
              <w:right w:val="single" w:sz="4" w:space="0" w:color="000000"/>
            </w:tcBorders>
            <w:vAlign w:val="center"/>
          </w:tcPr>
          <w:p w14:paraId="4300575E" w14:textId="77777777" w:rsidR="00E10BA0" w:rsidRPr="008E3606" w:rsidRDefault="00E10BA0" w:rsidP="007E453E">
            <w:pPr>
              <w:widowControl w:val="0"/>
              <w:spacing w:line="240" w:lineRule="auto"/>
              <w:ind w:left="3" w:right="62"/>
              <w:rPr>
                <w:sz w:val="24"/>
              </w:rPr>
            </w:pPr>
            <w:r w:rsidRPr="008E3606">
              <w:rPr>
                <w:sz w:val="24"/>
              </w:rPr>
              <w:t>Menos C(519.09) Ganancia en la negociación de instrumentos financieros al valor razonable con cambios en resultados - suscripción de emisiones</w:t>
            </w:r>
          </w:p>
        </w:tc>
        <w:tc>
          <w:tcPr>
            <w:tcW w:w="3542" w:type="dxa"/>
            <w:tcBorders>
              <w:top w:val="single" w:sz="4" w:space="0" w:color="000000"/>
              <w:left w:val="single" w:sz="4" w:space="0" w:color="000000"/>
              <w:bottom w:val="single" w:sz="4" w:space="0" w:color="000000"/>
              <w:right w:val="single" w:sz="4" w:space="0" w:color="000000"/>
            </w:tcBorders>
            <w:vAlign w:val="center"/>
          </w:tcPr>
          <w:p w14:paraId="7F248F2E" w14:textId="77777777" w:rsidR="00E10BA0" w:rsidRPr="008E3606" w:rsidRDefault="00E10BA0" w:rsidP="007E453E">
            <w:pPr>
              <w:widowControl w:val="0"/>
              <w:spacing w:line="240" w:lineRule="auto"/>
              <w:ind w:right="62"/>
              <w:rPr>
                <w:sz w:val="24"/>
              </w:rPr>
            </w:pPr>
            <w:r w:rsidRPr="008E3606">
              <w:rPr>
                <w:sz w:val="24"/>
              </w:rPr>
              <w:t>Menos C(519.09) Ganancia en la negociación de instrumentos financieros mantenidos para negociar-suscripción de emisiones</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14:paraId="3895D657" w14:textId="77777777" w:rsidR="00E10BA0" w:rsidRPr="008E3606" w:rsidRDefault="00E10BA0" w:rsidP="007E453E">
            <w:pPr>
              <w:widowControl w:val="0"/>
              <w:spacing w:line="240" w:lineRule="auto"/>
              <w:ind w:left="3" w:right="63"/>
              <w:rPr>
                <w:sz w:val="24"/>
              </w:rPr>
            </w:pPr>
            <w:r w:rsidRPr="008E3606">
              <w:rPr>
                <w:sz w:val="24"/>
              </w:rPr>
              <w:t>Menos C(519.07) Ajuste al valor razonable de las inversiones en valores</w:t>
            </w:r>
          </w:p>
          <w:p w14:paraId="674CA08B" w14:textId="77777777" w:rsidR="00E10BA0" w:rsidRPr="008E3606" w:rsidRDefault="00E10BA0" w:rsidP="007E453E">
            <w:pPr>
              <w:widowControl w:val="0"/>
              <w:spacing w:line="240" w:lineRule="auto"/>
              <w:ind w:left="3"/>
              <w:rPr>
                <w:sz w:val="24"/>
              </w:rPr>
            </w:pPr>
            <w:r w:rsidRPr="008E3606">
              <w:rPr>
                <w:sz w:val="24"/>
              </w:rPr>
              <w:t>negociables</w:t>
            </w:r>
          </w:p>
        </w:tc>
      </w:tr>
      <w:tr w:rsidR="00E10BA0" w:rsidRPr="008E3606" w14:paraId="12001D1B" w14:textId="77777777" w:rsidTr="007E453E">
        <w:trPr>
          <w:trHeight w:val="925"/>
        </w:trPr>
        <w:tc>
          <w:tcPr>
            <w:tcW w:w="3115" w:type="dxa"/>
            <w:tcBorders>
              <w:top w:val="single" w:sz="4" w:space="0" w:color="000000"/>
              <w:left w:val="single" w:sz="4" w:space="0" w:color="000000"/>
              <w:bottom w:val="single" w:sz="4" w:space="0" w:color="000000"/>
              <w:right w:val="single" w:sz="4" w:space="0" w:color="000000"/>
            </w:tcBorders>
            <w:vAlign w:val="center"/>
          </w:tcPr>
          <w:p w14:paraId="06F182B3" w14:textId="77777777" w:rsidR="00E10BA0" w:rsidRPr="008E3606" w:rsidRDefault="00E10BA0" w:rsidP="007E453E">
            <w:pPr>
              <w:widowControl w:val="0"/>
              <w:spacing w:line="240" w:lineRule="auto"/>
              <w:ind w:left="3" w:right="62"/>
              <w:rPr>
                <w:sz w:val="24"/>
              </w:rPr>
            </w:pPr>
            <w:r w:rsidRPr="008E3606">
              <w:rPr>
                <w:sz w:val="24"/>
              </w:rPr>
              <w:t>Menos C(519.10) Ganancia en la negociación de instrumentos financieros al valor razonable con cambios en otros resultados</w:t>
            </w:r>
          </w:p>
        </w:tc>
        <w:tc>
          <w:tcPr>
            <w:tcW w:w="3542" w:type="dxa"/>
            <w:tcBorders>
              <w:top w:val="single" w:sz="4" w:space="0" w:color="000000"/>
              <w:left w:val="single" w:sz="4" w:space="0" w:color="000000"/>
              <w:bottom w:val="single" w:sz="4" w:space="0" w:color="000000"/>
              <w:right w:val="single" w:sz="4" w:space="0" w:color="000000"/>
            </w:tcBorders>
            <w:vAlign w:val="center"/>
          </w:tcPr>
          <w:p w14:paraId="7A2FB065" w14:textId="77777777" w:rsidR="00E10BA0" w:rsidRPr="008E3606" w:rsidRDefault="00E10BA0" w:rsidP="007E453E">
            <w:pPr>
              <w:widowControl w:val="0"/>
              <w:spacing w:line="240" w:lineRule="auto"/>
              <w:ind w:right="62"/>
              <w:rPr>
                <w:sz w:val="24"/>
              </w:rPr>
            </w:pPr>
            <w:r w:rsidRPr="008E3606">
              <w:rPr>
                <w:sz w:val="24"/>
              </w:rPr>
              <w:t>Menos C(519.10) Ganancia en la negociación de instrumentos financieros mantenidos para negociar-otros</w:t>
            </w:r>
          </w:p>
        </w:tc>
        <w:tc>
          <w:tcPr>
            <w:tcW w:w="0" w:type="auto"/>
            <w:vMerge/>
            <w:tcBorders>
              <w:top w:val="nil"/>
              <w:left w:val="single" w:sz="4" w:space="0" w:color="000000"/>
              <w:bottom w:val="single" w:sz="4" w:space="0" w:color="000000"/>
              <w:right w:val="single" w:sz="4" w:space="0" w:color="000000"/>
            </w:tcBorders>
            <w:vAlign w:val="center"/>
          </w:tcPr>
          <w:p w14:paraId="128EF956" w14:textId="77777777" w:rsidR="00E10BA0" w:rsidRPr="008E3606" w:rsidRDefault="00E10BA0" w:rsidP="007E453E">
            <w:pPr>
              <w:widowControl w:val="0"/>
              <w:spacing w:line="240" w:lineRule="auto"/>
              <w:rPr>
                <w:sz w:val="24"/>
              </w:rPr>
            </w:pPr>
          </w:p>
        </w:tc>
      </w:tr>
      <w:tr w:rsidR="00E10BA0" w:rsidRPr="008E3606" w14:paraId="5BBE90B7" w14:textId="77777777" w:rsidTr="00C409C8">
        <w:trPr>
          <w:trHeight w:val="343"/>
        </w:trPr>
        <w:tc>
          <w:tcPr>
            <w:tcW w:w="3115" w:type="dxa"/>
            <w:tcBorders>
              <w:top w:val="single" w:sz="4" w:space="0" w:color="000000"/>
              <w:left w:val="single" w:sz="4" w:space="0" w:color="000000"/>
              <w:bottom w:val="single" w:sz="4" w:space="0" w:color="000000"/>
              <w:right w:val="single" w:sz="4" w:space="0" w:color="000000"/>
            </w:tcBorders>
            <w:vAlign w:val="center"/>
          </w:tcPr>
          <w:p w14:paraId="29694584" w14:textId="77777777" w:rsidR="00E10BA0" w:rsidRPr="008E3606" w:rsidRDefault="00E10BA0" w:rsidP="007E453E">
            <w:pPr>
              <w:widowControl w:val="0"/>
              <w:spacing w:line="240" w:lineRule="auto"/>
              <w:ind w:left="3" w:right="60"/>
              <w:rPr>
                <w:sz w:val="24"/>
              </w:rPr>
            </w:pPr>
            <w:r w:rsidRPr="008E3606">
              <w:rPr>
                <w:sz w:val="24"/>
              </w:rPr>
              <w:t>Menos C(519.11.M.01) Ganancia realizada en instrumentos financieros al valor razonable con cambios en otro resultado integral – recursos propios</w:t>
            </w:r>
          </w:p>
        </w:tc>
        <w:tc>
          <w:tcPr>
            <w:tcW w:w="3542" w:type="dxa"/>
            <w:tcBorders>
              <w:top w:val="single" w:sz="4" w:space="0" w:color="000000"/>
              <w:left w:val="single" w:sz="4" w:space="0" w:color="000000"/>
              <w:bottom w:val="single" w:sz="4" w:space="0" w:color="000000"/>
              <w:right w:val="single" w:sz="4" w:space="0" w:color="000000"/>
            </w:tcBorders>
            <w:vAlign w:val="center"/>
          </w:tcPr>
          <w:p w14:paraId="469C8EFA" w14:textId="77777777" w:rsidR="00E10BA0" w:rsidRPr="008E3606" w:rsidRDefault="00E10BA0" w:rsidP="007E453E">
            <w:pPr>
              <w:widowControl w:val="0"/>
              <w:spacing w:line="240" w:lineRule="auto"/>
              <w:ind w:right="63"/>
              <w:rPr>
                <w:sz w:val="24"/>
              </w:rPr>
            </w:pPr>
            <w:r w:rsidRPr="008E3606">
              <w:rPr>
                <w:sz w:val="24"/>
              </w:rPr>
              <w:t>Menos C(519.11.M.01) Ganancia realizada en instrumentos financieros disponibles para la venta-recursos propios</w:t>
            </w:r>
          </w:p>
        </w:tc>
        <w:tc>
          <w:tcPr>
            <w:tcW w:w="2976" w:type="dxa"/>
            <w:tcBorders>
              <w:top w:val="single" w:sz="4" w:space="0" w:color="000000"/>
              <w:left w:val="single" w:sz="4" w:space="0" w:color="000000"/>
              <w:bottom w:val="single" w:sz="4" w:space="0" w:color="000000"/>
              <w:right w:val="single" w:sz="4" w:space="0" w:color="000000"/>
            </w:tcBorders>
            <w:vAlign w:val="center"/>
          </w:tcPr>
          <w:p w14:paraId="7F25E53B" w14:textId="77777777" w:rsidR="00E10BA0" w:rsidRPr="008E3606" w:rsidRDefault="00E10BA0" w:rsidP="007E453E">
            <w:pPr>
              <w:widowControl w:val="0"/>
              <w:tabs>
                <w:tab w:val="right" w:pos="2899"/>
              </w:tabs>
              <w:spacing w:line="240" w:lineRule="auto"/>
              <w:rPr>
                <w:sz w:val="24"/>
              </w:rPr>
            </w:pPr>
            <w:r w:rsidRPr="008E3606">
              <w:rPr>
                <w:sz w:val="24"/>
              </w:rPr>
              <w:t xml:space="preserve">Menos </w:t>
            </w:r>
            <w:r w:rsidRPr="008E3606">
              <w:rPr>
                <w:sz w:val="24"/>
              </w:rPr>
              <w:tab/>
              <w:t>C(519.08)</w:t>
            </w:r>
          </w:p>
          <w:p w14:paraId="6BD81585" w14:textId="77777777" w:rsidR="00E10BA0" w:rsidRPr="008E3606" w:rsidRDefault="00E10BA0" w:rsidP="007E453E">
            <w:pPr>
              <w:widowControl w:val="0"/>
              <w:spacing w:line="240" w:lineRule="auto"/>
              <w:ind w:left="3" w:right="62"/>
              <w:rPr>
                <w:sz w:val="24"/>
              </w:rPr>
            </w:pPr>
            <w:r w:rsidRPr="008E3606">
              <w:rPr>
                <w:sz w:val="24"/>
              </w:rPr>
              <w:t>Liquidación de ajuste por cambio en el valor razonable de las inversiones en valores disponibles para la venta</w:t>
            </w:r>
          </w:p>
        </w:tc>
      </w:tr>
      <w:tr w:rsidR="00E10BA0" w:rsidRPr="008E3606" w14:paraId="4B1FC363" w14:textId="77777777" w:rsidTr="00C409C8">
        <w:trPr>
          <w:trHeight w:val="586"/>
        </w:trPr>
        <w:tc>
          <w:tcPr>
            <w:tcW w:w="3115" w:type="dxa"/>
            <w:tcBorders>
              <w:top w:val="single" w:sz="4" w:space="0" w:color="000000"/>
              <w:left w:val="single" w:sz="4" w:space="0" w:color="000000"/>
              <w:bottom w:val="single" w:sz="4" w:space="0" w:color="000000"/>
              <w:right w:val="single" w:sz="4" w:space="0" w:color="000000"/>
            </w:tcBorders>
            <w:vAlign w:val="center"/>
          </w:tcPr>
          <w:p w14:paraId="38C2B0FF" w14:textId="77777777" w:rsidR="00E10BA0" w:rsidRPr="008E3606" w:rsidRDefault="00E10BA0" w:rsidP="007E453E">
            <w:pPr>
              <w:widowControl w:val="0"/>
              <w:spacing w:line="240" w:lineRule="auto"/>
              <w:ind w:left="3" w:right="60"/>
              <w:rPr>
                <w:sz w:val="24"/>
              </w:rPr>
            </w:pPr>
            <w:r w:rsidRPr="008E3606">
              <w:rPr>
                <w:sz w:val="24"/>
              </w:rPr>
              <w:t>Menos C(519.11.M.03) Ganancia realizada en instrumentos financieros al valor razonable con cambios en otro resultado integral – Reserva liquidez</w:t>
            </w:r>
          </w:p>
        </w:tc>
        <w:tc>
          <w:tcPr>
            <w:tcW w:w="3542" w:type="dxa"/>
            <w:tcBorders>
              <w:top w:val="single" w:sz="4" w:space="0" w:color="000000"/>
              <w:left w:val="single" w:sz="4" w:space="0" w:color="000000"/>
              <w:bottom w:val="single" w:sz="4" w:space="0" w:color="000000"/>
              <w:right w:val="single" w:sz="4" w:space="0" w:color="000000"/>
            </w:tcBorders>
            <w:vAlign w:val="center"/>
          </w:tcPr>
          <w:p w14:paraId="200CEB6C" w14:textId="77777777" w:rsidR="00E10BA0" w:rsidRPr="008E3606" w:rsidRDefault="00E10BA0" w:rsidP="007E453E">
            <w:pPr>
              <w:widowControl w:val="0"/>
              <w:spacing w:line="240" w:lineRule="auto"/>
              <w:ind w:right="63"/>
              <w:rPr>
                <w:sz w:val="24"/>
              </w:rPr>
            </w:pPr>
            <w:r w:rsidRPr="008E3606">
              <w:rPr>
                <w:sz w:val="24"/>
              </w:rPr>
              <w:t>Menos C(519.11.M.03) Ganancia realizada en instrumentos financieros disponibles para la venta-reserva liquidez</w:t>
            </w:r>
          </w:p>
        </w:tc>
        <w:tc>
          <w:tcPr>
            <w:tcW w:w="2976" w:type="dxa"/>
            <w:tcBorders>
              <w:top w:val="single" w:sz="4" w:space="0" w:color="000000"/>
              <w:left w:val="single" w:sz="4" w:space="0" w:color="000000"/>
              <w:bottom w:val="single" w:sz="4" w:space="0" w:color="000000"/>
              <w:right w:val="single" w:sz="4" w:space="0" w:color="000000"/>
            </w:tcBorders>
            <w:vAlign w:val="center"/>
          </w:tcPr>
          <w:p w14:paraId="2AB05E56" w14:textId="77777777" w:rsidR="00E10BA0" w:rsidRPr="008E3606" w:rsidRDefault="00E10BA0" w:rsidP="007E453E">
            <w:pPr>
              <w:widowControl w:val="0"/>
              <w:spacing w:line="240" w:lineRule="auto"/>
              <w:ind w:left="3"/>
              <w:rPr>
                <w:sz w:val="24"/>
              </w:rPr>
            </w:pPr>
          </w:p>
        </w:tc>
      </w:tr>
      <w:tr w:rsidR="00E10BA0" w:rsidRPr="008E3606" w14:paraId="60F4EDE4" w14:textId="77777777" w:rsidTr="00C409C8">
        <w:trPr>
          <w:trHeight w:val="93"/>
        </w:trPr>
        <w:tc>
          <w:tcPr>
            <w:tcW w:w="3115" w:type="dxa"/>
            <w:tcBorders>
              <w:top w:val="single" w:sz="4" w:space="0" w:color="000000"/>
              <w:left w:val="single" w:sz="4" w:space="0" w:color="000000"/>
              <w:bottom w:val="single" w:sz="4" w:space="0" w:color="000000"/>
              <w:right w:val="single" w:sz="4" w:space="0" w:color="000000"/>
            </w:tcBorders>
            <w:vAlign w:val="center"/>
          </w:tcPr>
          <w:p w14:paraId="1C978502" w14:textId="77777777" w:rsidR="00E10BA0" w:rsidRPr="008E3606" w:rsidRDefault="00E10BA0" w:rsidP="007E453E">
            <w:pPr>
              <w:widowControl w:val="0"/>
              <w:spacing w:line="240" w:lineRule="auto"/>
              <w:ind w:left="2" w:right="59"/>
              <w:rPr>
                <w:sz w:val="24"/>
              </w:rPr>
            </w:pPr>
            <w:r w:rsidRPr="008E3606">
              <w:rPr>
                <w:sz w:val="24"/>
              </w:rPr>
              <w:t>Menos C(520) Ingresos por recuperación de activos y disminución de estimaciones y provisiones</w:t>
            </w:r>
          </w:p>
        </w:tc>
        <w:tc>
          <w:tcPr>
            <w:tcW w:w="3542" w:type="dxa"/>
            <w:tcBorders>
              <w:top w:val="single" w:sz="4" w:space="0" w:color="000000"/>
              <w:left w:val="single" w:sz="4" w:space="0" w:color="000000"/>
              <w:bottom w:val="single" w:sz="4" w:space="0" w:color="000000"/>
              <w:right w:val="single" w:sz="4" w:space="0" w:color="000000"/>
            </w:tcBorders>
            <w:vAlign w:val="center"/>
          </w:tcPr>
          <w:p w14:paraId="7BD6619C" w14:textId="77777777" w:rsidR="00E10BA0" w:rsidRPr="008E3606" w:rsidRDefault="00E10BA0" w:rsidP="007E453E">
            <w:pPr>
              <w:widowControl w:val="0"/>
              <w:spacing w:line="240" w:lineRule="auto"/>
              <w:ind w:right="60"/>
              <w:rPr>
                <w:sz w:val="24"/>
              </w:rPr>
            </w:pPr>
            <w:r w:rsidRPr="008E3606">
              <w:rPr>
                <w:sz w:val="24"/>
              </w:rPr>
              <w:t>Menos C(520) Ingresos por recuperación de activos y disminución de estimaciones y provisiones</w:t>
            </w:r>
          </w:p>
        </w:tc>
        <w:tc>
          <w:tcPr>
            <w:tcW w:w="2976" w:type="dxa"/>
            <w:tcBorders>
              <w:top w:val="single" w:sz="4" w:space="0" w:color="000000"/>
              <w:left w:val="single" w:sz="4" w:space="0" w:color="000000"/>
              <w:bottom w:val="single" w:sz="4" w:space="0" w:color="000000"/>
              <w:right w:val="single" w:sz="4" w:space="0" w:color="000000"/>
            </w:tcBorders>
            <w:vAlign w:val="center"/>
          </w:tcPr>
          <w:p w14:paraId="6A6B8D3D" w14:textId="77777777" w:rsidR="00E10BA0" w:rsidRPr="008E3606" w:rsidRDefault="00E10BA0" w:rsidP="007E453E">
            <w:pPr>
              <w:widowControl w:val="0"/>
              <w:spacing w:line="240" w:lineRule="auto"/>
              <w:ind w:left="3"/>
              <w:rPr>
                <w:sz w:val="24"/>
              </w:rPr>
            </w:pPr>
            <w:r w:rsidRPr="008E3606">
              <w:rPr>
                <w:sz w:val="24"/>
              </w:rPr>
              <w:t>Menos 520 INGRESOS POR RECUPERACIONES DE</w:t>
            </w:r>
          </w:p>
          <w:p w14:paraId="3B1648D5" w14:textId="77777777" w:rsidR="00E10BA0" w:rsidRPr="008E3606" w:rsidRDefault="00E10BA0" w:rsidP="007E453E">
            <w:pPr>
              <w:widowControl w:val="0"/>
              <w:spacing w:line="240" w:lineRule="auto"/>
              <w:ind w:left="3"/>
              <w:rPr>
                <w:sz w:val="24"/>
              </w:rPr>
            </w:pPr>
            <w:r w:rsidRPr="008E3606">
              <w:rPr>
                <w:sz w:val="24"/>
              </w:rPr>
              <w:t>ACTIVOS FINANCIEROS</w:t>
            </w:r>
          </w:p>
        </w:tc>
      </w:tr>
      <w:tr w:rsidR="00E10BA0" w:rsidRPr="008E3606" w14:paraId="3E86DEDC" w14:textId="77777777" w:rsidTr="007E453E">
        <w:trPr>
          <w:trHeight w:val="406"/>
        </w:trPr>
        <w:tc>
          <w:tcPr>
            <w:tcW w:w="9634" w:type="dxa"/>
            <w:gridSpan w:val="3"/>
            <w:tcBorders>
              <w:top w:val="single" w:sz="4" w:space="0" w:color="000000"/>
              <w:left w:val="single" w:sz="4" w:space="0" w:color="000000"/>
              <w:bottom w:val="single" w:sz="4" w:space="0" w:color="000000"/>
              <w:right w:val="single" w:sz="4" w:space="0" w:color="000000"/>
            </w:tcBorders>
            <w:vAlign w:val="center"/>
          </w:tcPr>
          <w:p w14:paraId="2F572DDA" w14:textId="77777777" w:rsidR="00E10BA0" w:rsidRPr="008E3606" w:rsidRDefault="00E10BA0" w:rsidP="007E453E">
            <w:pPr>
              <w:widowControl w:val="0"/>
              <w:spacing w:line="240" w:lineRule="auto"/>
              <w:ind w:right="59"/>
              <w:rPr>
                <w:sz w:val="24"/>
              </w:rPr>
            </w:pPr>
            <w:r w:rsidRPr="008E3606">
              <w:rPr>
                <w:b/>
                <w:sz w:val="24"/>
              </w:rPr>
              <w:t>MENOS GASTOS AJUSTADOS</w:t>
            </w:r>
          </w:p>
        </w:tc>
      </w:tr>
      <w:tr w:rsidR="00E10BA0" w:rsidRPr="008E3606" w14:paraId="564E741A" w14:textId="77777777" w:rsidTr="007E453E">
        <w:trPr>
          <w:trHeight w:val="26"/>
        </w:trPr>
        <w:tc>
          <w:tcPr>
            <w:tcW w:w="3115" w:type="dxa"/>
            <w:tcBorders>
              <w:top w:val="single" w:sz="4" w:space="0" w:color="000000"/>
              <w:left w:val="single" w:sz="4" w:space="0" w:color="000000"/>
              <w:bottom w:val="single" w:sz="4" w:space="0" w:color="000000"/>
              <w:right w:val="single" w:sz="4" w:space="0" w:color="000000"/>
            </w:tcBorders>
            <w:vAlign w:val="center"/>
          </w:tcPr>
          <w:p w14:paraId="57206F85" w14:textId="77777777" w:rsidR="00E10BA0" w:rsidRPr="008E3606" w:rsidRDefault="00E10BA0" w:rsidP="007E453E">
            <w:pPr>
              <w:widowControl w:val="0"/>
              <w:spacing w:line="240" w:lineRule="auto"/>
              <w:ind w:left="3"/>
              <w:rPr>
                <w:sz w:val="24"/>
              </w:rPr>
            </w:pPr>
            <w:r w:rsidRPr="008E3606">
              <w:rPr>
                <w:sz w:val="24"/>
              </w:rPr>
              <w:t>C(400) Gastos</w:t>
            </w:r>
          </w:p>
        </w:tc>
        <w:tc>
          <w:tcPr>
            <w:tcW w:w="3542" w:type="dxa"/>
            <w:tcBorders>
              <w:top w:val="single" w:sz="4" w:space="0" w:color="000000"/>
              <w:left w:val="single" w:sz="4" w:space="0" w:color="000000"/>
              <w:bottom w:val="single" w:sz="4" w:space="0" w:color="000000"/>
              <w:right w:val="single" w:sz="4" w:space="0" w:color="000000"/>
            </w:tcBorders>
            <w:vAlign w:val="center"/>
          </w:tcPr>
          <w:p w14:paraId="126313BE" w14:textId="77777777" w:rsidR="00E10BA0" w:rsidRPr="008E3606" w:rsidRDefault="00E10BA0" w:rsidP="007E453E">
            <w:pPr>
              <w:widowControl w:val="0"/>
              <w:spacing w:line="240" w:lineRule="auto"/>
              <w:rPr>
                <w:sz w:val="24"/>
              </w:rPr>
            </w:pPr>
            <w:r w:rsidRPr="008E3606">
              <w:rPr>
                <w:sz w:val="24"/>
              </w:rPr>
              <w:t>C(400) Gastos</w:t>
            </w:r>
          </w:p>
        </w:tc>
        <w:tc>
          <w:tcPr>
            <w:tcW w:w="2976" w:type="dxa"/>
            <w:tcBorders>
              <w:top w:val="single" w:sz="4" w:space="0" w:color="000000"/>
              <w:left w:val="single" w:sz="4" w:space="0" w:color="000000"/>
              <w:bottom w:val="single" w:sz="4" w:space="0" w:color="000000"/>
              <w:right w:val="single" w:sz="4" w:space="0" w:color="000000"/>
            </w:tcBorders>
            <w:vAlign w:val="center"/>
          </w:tcPr>
          <w:p w14:paraId="7DF90C01" w14:textId="77777777" w:rsidR="00E10BA0" w:rsidRPr="008E3606" w:rsidRDefault="00E10BA0" w:rsidP="007E453E">
            <w:pPr>
              <w:widowControl w:val="0"/>
              <w:spacing w:line="240" w:lineRule="auto"/>
              <w:ind w:left="3"/>
              <w:rPr>
                <w:sz w:val="24"/>
              </w:rPr>
            </w:pPr>
            <w:r w:rsidRPr="008E3606">
              <w:rPr>
                <w:sz w:val="24"/>
              </w:rPr>
              <w:t>C(400) Gastos</w:t>
            </w:r>
          </w:p>
        </w:tc>
      </w:tr>
      <w:tr w:rsidR="00E10BA0" w:rsidRPr="008E3606" w14:paraId="73A48F09" w14:textId="77777777" w:rsidTr="00C409C8">
        <w:trPr>
          <w:trHeight w:val="354"/>
        </w:trPr>
        <w:tc>
          <w:tcPr>
            <w:tcW w:w="3115" w:type="dxa"/>
            <w:tcBorders>
              <w:top w:val="single" w:sz="4" w:space="0" w:color="000000"/>
              <w:left w:val="single" w:sz="4" w:space="0" w:color="000000"/>
              <w:bottom w:val="single" w:sz="4" w:space="0" w:color="000000"/>
              <w:right w:val="single" w:sz="4" w:space="0" w:color="000000"/>
            </w:tcBorders>
            <w:vAlign w:val="center"/>
          </w:tcPr>
          <w:p w14:paraId="1AC8FF76" w14:textId="77777777" w:rsidR="00E10BA0" w:rsidRPr="008E3606" w:rsidRDefault="00E10BA0" w:rsidP="007E453E">
            <w:pPr>
              <w:widowControl w:val="0"/>
              <w:spacing w:line="240" w:lineRule="auto"/>
              <w:ind w:left="3" w:right="62"/>
              <w:rPr>
                <w:sz w:val="24"/>
              </w:rPr>
            </w:pPr>
            <w:r w:rsidRPr="008E3606">
              <w:rPr>
                <w:sz w:val="24"/>
              </w:rPr>
              <w:t>Menos C(419.10) Pérdida en la negociación de instrumentos financieros al valor razonable con cambios en resultados</w:t>
            </w:r>
          </w:p>
        </w:tc>
        <w:tc>
          <w:tcPr>
            <w:tcW w:w="3542" w:type="dxa"/>
            <w:tcBorders>
              <w:top w:val="single" w:sz="4" w:space="0" w:color="000000"/>
              <w:left w:val="single" w:sz="4" w:space="0" w:color="000000"/>
              <w:bottom w:val="single" w:sz="4" w:space="0" w:color="000000"/>
              <w:right w:val="single" w:sz="4" w:space="0" w:color="000000"/>
            </w:tcBorders>
            <w:vAlign w:val="center"/>
          </w:tcPr>
          <w:p w14:paraId="2BFD0891" w14:textId="77777777" w:rsidR="00E10BA0" w:rsidRPr="008E3606" w:rsidRDefault="00E10BA0" w:rsidP="007E453E">
            <w:pPr>
              <w:widowControl w:val="0"/>
              <w:spacing w:line="240" w:lineRule="auto"/>
              <w:ind w:right="62"/>
              <w:rPr>
                <w:sz w:val="24"/>
              </w:rPr>
            </w:pPr>
            <w:r w:rsidRPr="008E3606">
              <w:rPr>
                <w:sz w:val="24"/>
              </w:rPr>
              <w:t>Menos C(419.10) Pérdida en la negociación de instrumentos financieros mantenidos para negociar</w:t>
            </w:r>
          </w:p>
        </w:tc>
        <w:tc>
          <w:tcPr>
            <w:tcW w:w="2976" w:type="dxa"/>
            <w:tcBorders>
              <w:top w:val="single" w:sz="4" w:space="0" w:color="000000"/>
              <w:left w:val="single" w:sz="4" w:space="0" w:color="000000"/>
              <w:bottom w:val="single" w:sz="4" w:space="0" w:color="000000"/>
              <w:right w:val="single" w:sz="4" w:space="0" w:color="000000"/>
            </w:tcBorders>
            <w:vAlign w:val="center"/>
          </w:tcPr>
          <w:p w14:paraId="253E6D15" w14:textId="77777777" w:rsidR="00E10BA0" w:rsidRPr="008E3606" w:rsidRDefault="00E10BA0" w:rsidP="007E453E">
            <w:pPr>
              <w:widowControl w:val="0"/>
              <w:spacing w:line="240" w:lineRule="auto"/>
              <w:ind w:left="3" w:right="63"/>
              <w:rPr>
                <w:sz w:val="24"/>
              </w:rPr>
            </w:pPr>
            <w:r w:rsidRPr="008E3606">
              <w:rPr>
                <w:sz w:val="24"/>
              </w:rPr>
              <w:t>Menos C(419.07) Ajuste al valor razonable de las inversiones en valores</w:t>
            </w:r>
          </w:p>
          <w:p w14:paraId="66EB8044" w14:textId="77777777" w:rsidR="00E10BA0" w:rsidRPr="008E3606" w:rsidRDefault="00E10BA0" w:rsidP="007E453E">
            <w:pPr>
              <w:widowControl w:val="0"/>
              <w:spacing w:line="240" w:lineRule="auto"/>
              <w:ind w:left="3"/>
              <w:rPr>
                <w:sz w:val="24"/>
              </w:rPr>
            </w:pPr>
            <w:r w:rsidRPr="008E3606">
              <w:rPr>
                <w:sz w:val="24"/>
              </w:rPr>
              <w:t>negociables</w:t>
            </w:r>
          </w:p>
        </w:tc>
      </w:tr>
      <w:tr w:rsidR="00E10BA0" w:rsidRPr="008E3606" w14:paraId="4BCB37D3" w14:textId="77777777" w:rsidTr="00C409C8">
        <w:trPr>
          <w:trHeight w:val="664"/>
        </w:trPr>
        <w:tc>
          <w:tcPr>
            <w:tcW w:w="3115" w:type="dxa"/>
            <w:tcBorders>
              <w:top w:val="single" w:sz="4" w:space="0" w:color="000000"/>
              <w:left w:val="single" w:sz="4" w:space="0" w:color="000000"/>
              <w:bottom w:val="single" w:sz="4" w:space="0" w:color="000000"/>
              <w:right w:val="single" w:sz="4" w:space="0" w:color="000000"/>
            </w:tcBorders>
            <w:vAlign w:val="center"/>
          </w:tcPr>
          <w:p w14:paraId="0B104069" w14:textId="65092609" w:rsidR="00E10BA0" w:rsidRPr="008E3606" w:rsidRDefault="00E10BA0" w:rsidP="007E453E">
            <w:pPr>
              <w:widowControl w:val="0"/>
              <w:tabs>
                <w:tab w:val="right" w:pos="3038"/>
              </w:tabs>
              <w:spacing w:line="240" w:lineRule="auto"/>
              <w:rPr>
                <w:sz w:val="24"/>
              </w:rPr>
            </w:pPr>
            <w:r w:rsidRPr="008E3606">
              <w:rPr>
                <w:sz w:val="24"/>
              </w:rPr>
              <w:t>Menos C(419.11.M.01)</w:t>
            </w:r>
          </w:p>
          <w:p w14:paraId="0983C49B" w14:textId="77777777" w:rsidR="00E10BA0" w:rsidRPr="008E3606" w:rsidRDefault="00E10BA0" w:rsidP="007E453E">
            <w:pPr>
              <w:widowControl w:val="0"/>
              <w:spacing w:line="240" w:lineRule="auto"/>
              <w:ind w:left="3" w:right="60"/>
              <w:rPr>
                <w:sz w:val="24"/>
              </w:rPr>
            </w:pPr>
            <w:r w:rsidRPr="008E3606">
              <w:rPr>
                <w:sz w:val="24"/>
              </w:rPr>
              <w:t>Pérdida realizada en instrumentos financieros al valor razonable con cambios en otro resultado integral – Recursos propios</w:t>
            </w:r>
          </w:p>
        </w:tc>
        <w:tc>
          <w:tcPr>
            <w:tcW w:w="3542" w:type="dxa"/>
            <w:tcBorders>
              <w:top w:val="single" w:sz="4" w:space="0" w:color="000000"/>
              <w:left w:val="single" w:sz="4" w:space="0" w:color="000000"/>
              <w:bottom w:val="single" w:sz="4" w:space="0" w:color="000000"/>
              <w:right w:val="single" w:sz="4" w:space="0" w:color="000000"/>
            </w:tcBorders>
            <w:vAlign w:val="center"/>
          </w:tcPr>
          <w:p w14:paraId="1F1A143A" w14:textId="77777777" w:rsidR="00E10BA0" w:rsidRPr="008E3606" w:rsidRDefault="00E10BA0" w:rsidP="007E453E">
            <w:pPr>
              <w:widowControl w:val="0"/>
              <w:spacing w:line="240" w:lineRule="auto"/>
              <w:ind w:right="62"/>
              <w:rPr>
                <w:sz w:val="24"/>
              </w:rPr>
            </w:pPr>
            <w:r w:rsidRPr="008E3606">
              <w:rPr>
                <w:sz w:val="24"/>
              </w:rPr>
              <w:t>Menos C(419.11.M.01) Pérdida realizada en instrumentos financieros disponibles para la venta-recursos propios</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14:paraId="4686A519" w14:textId="53BA0C11" w:rsidR="00E10BA0" w:rsidRPr="008E3606" w:rsidRDefault="00E10BA0" w:rsidP="007E453E">
            <w:pPr>
              <w:widowControl w:val="0"/>
              <w:tabs>
                <w:tab w:val="right" w:pos="2899"/>
              </w:tabs>
              <w:spacing w:line="240" w:lineRule="auto"/>
              <w:rPr>
                <w:sz w:val="24"/>
              </w:rPr>
            </w:pPr>
            <w:r w:rsidRPr="008E3606">
              <w:rPr>
                <w:sz w:val="24"/>
              </w:rPr>
              <w:t>Menos C(419.08)</w:t>
            </w:r>
          </w:p>
          <w:p w14:paraId="36789A7B" w14:textId="77777777" w:rsidR="00E10BA0" w:rsidRPr="008E3606" w:rsidRDefault="00E10BA0" w:rsidP="007E453E">
            <w:pPr>
              <w:widowControl w:val="0"/>
              <w:spacing w:line="240" w:lineRule="auto"/>
              <w:ind w:left="3" w:right="62"/>
              <w:rPr>
                <w:sz w:val="24"/>
              </w:rPr>
            </w:pPr>
            <w:r w:rsidRPr="008E3606">
              <w:rPr>
                <w:sz w:val="24"/>
              </w:rPr>
              <w:t>Liquidación de ajuste por cambio en el valor razonable de las inversiones en valores disponibles para la venta</w:t>
            </w:r>
          </w:p>
        </w:tc>
      </w:tr>
      <w:tr w:rsidR="00E10BA0" w:rsidRPr="008E3606" w14:paraId="662E226D" w14:textId="77777777" w:rsidTr="00C409C8">
        <w:trPr>
          <w:trHeight w:val="610"/>
        </w:trPr>
        <w:tc>
          <w:tcPr>
            <w:tcW w:w="3115" w:type="dxa"/>
            <w:tcBorders>
              <w:top w:val="single" w:sz="4" w:space="0" w:color="000000"/>
              <w:left w:val="single" w:sz="4" w:space="0" w:color="000000"/>
              <w:bottom w:val="single" w:sz="4" w:space="0" w:color="000000"/>
              <w:right w:val="single" w:sz="4" w:space="0" w:color="000000"/>
            </w:tcBorders>
            <w:vAlign w:val="center"/>
          </w:tcPr>
          <w:p w14:paraId="4E297D02" w14:textId="2B052321" w:rsidR="00E10BA0" w:rsidRPr="008E3606" w:rsidRDefault="00E10BA0" w:rsidP="007E453E">
            <w:pPr>
              <w:widowControl w:val="0"/>
              <w:tabs>
                <w:tab w:val="right" w:pos="3038"/>
              </w:tabs>
              <w:spacing w:line="240" w:lineRule="auto"/>
              <w:rPr>
                <w:sz w:val="24"/>
              </w:rPr>
            </w:pPr>
            <w:r w:rsidRPr="008E3606">
              <w:rPr>
                <w:sz w:val="24"/>
              </w:rPr>
              <w:t>Menos C(419.11.M.03)</w:t>
            </w:r>
          </w:p>
          <w:p w14:paraId="28AD8A06" w14:textId="77777777" w:rsidR="00E10BA0" w:rsidRPr="008E3606" w:rsidRDefault="00E10BA0" w:rsidP="007E453E">
            <w:pPr>
              <w:widowControl w:val="0"/>
              <w:spacing w:line="240" w:lineRule="auto"/>
              <w:ind w:left="3" w:right="60"/>
              <w:rPr>
                <w:sz w:val="24"/>
              </w:rPr>
            </w:pPr>
            <w:r w:rsidRPr="008E3606">
              <w:rPr>
                <w:sz w:val="24"/>
              </w:rPr>
              <w:t>Pérdida realizada en instrumentos financieros al valor razonable con cambios en otro resultado integral – Reserva liquidez</w:t>
            </w:r>
          </w:p>
        </w:tc>
        <w:tc>
          <w:tcPr>
            <w:tcW w:w="3542" w:type="dxa"/>
            <w:tcBorders>
              <w:top w:val="single" w:sz="4" w:space="0" w:color="000000"/>
              <w:left w:val="single" w:sz="4" w:space="0" w:color="000000"/>
              <w:bottom w:val="single" w:sz="4" w:space="0" w:color="000000"/>
              <w:right w:val="single" w:sz="4" w:space="0" w:color="000000"/>
            </w:tcBorders>
            <w:vAlign w:val="center"/>
          </w:tcPr>
          <w:p w14:paraId="2494C8EB" w14:textId="77777777" w:rsidR="00E10BA0" w:rsidRPr="008E3606" w:rsidRDefault="00E10BA0" w:rsidP="007E453E">
            <w:pPr>
              <w:widowControl w:val="0"/>
              <w:spacing w:line="240" w:lineRule="auto"/>
              <w:ind w:right="62"/>
              <w:rPr>
                <w:sz w:val="24"/>
              </w:rPr>
            </w:pPr>
            <w:r w:rsidRPr="008E3606">
              <w:rPr>
                <w:sz w:val="24"/>
              </w:rPr>
              <w:t>Menos C(419.11.M.03) Pérdida realizada en instrumentos financieros disponibles para la venta-reserva liquidez</w:t>
            </w:r>
          </w:p>
        </w:tc>
        <w:tc>
          <w:tcPr>
            <w:tcW w:w="0" w:type="auto"/>
            <w:vMerge/>
            <w:tcBorders>
              <w:top w:val="nil"/>
              <w:left w:val="single" w:sz="4" w:space="0" w:color="000000"/>
              <w:bottom w:val="single" w:sz="4" w:space="0" w:color="000000"/>
              <w:right w:val="single" w:sz="4" w:space="0" w:color="000000"/>
            </w:tcBorders>
            <w:vAlign w:val="center"/>
          </w:tcPr>
          <w:p w14:paraId="7AECB6CF" w14:textId="77777777" w:rsidR="00E10BA0" w:rsidRPr="008E3606" w:rsidRDefault="00E10BA0" w:rsidP="007E453E">
            <w:pPr>
              <w:widowControl w:val="0"/>
              <w:spacing w:line="240" w:lineRule="auto"/>
              <w:rPr>
                <w:sz w:val="24"/>
              </w:rPr>
            </w:pPr>
          </w:p>
        </w:tc>
      </w:tr>
      <w:tr w:rsidR="00E10BA0" w:rsidRPr="008E3606" w14:paraId="6F27882F" w14:textId="77777777" w:rsidTr="00C409C8">
        <w:trPr>
          <w:trHeight w:val="117"/>
        </w:trPr>
        <w:tc>
          <w:tcPr>
            <w:tcW w:w="3115" w:type="dxa"/>
            <w:tcBorders>
              <w:top w:val="single" w:sz="4" w:space="0" w:color="000000"/>
              <w:left w:val="single" w:sz="4" w:space="0" w:color="000000"/>
              <w:bottom w:val="single" w:sz="4" w:space="0" w:color="000000"/>
              <w:right w:val="single" w:sz="4" w:space="0" w:color="000000"/>
            </w:tcBorders>
            <w:vAlign w:val="center"/>
          </w:tcPr>
          <w:p w14:paraId="12EB99ED" w14:textId="77777777" w:rsidR="00E10BA0" w:rsidRPr="008E3606" w:rsidRDefault="00E10BA0" w:rsidP="007E453E">
            <w:pPr>
              <w:widowControl w:val="0"/>
              <w:spacing w:line="240" w:lineRule="auto"/>
              <w:ind w:left="3" w:right="62"/>
              <w:rPr>
                <w:sz w:val="24"/>
              </w:rPr>
            </w:pPr>
            <w:r w:rsidRPr="008E3606">
              <w:rPr>
                <w:sz w:val="24"/>
              </w:rPr>
              <w:t>Menos C(420) Gasto por estimación de deterioro de activos</w:t>
            </w:r>
          </w:p>
        </w:tc>
        <w:tc>
          <w:tcPr>
            <w:tcW w:w="3542" w:type="dxa"/>
            <w:tcBorders>
              <w:top w:val="single" w:sz="4" w:space="0" w:color="000000"/>
              <w:left w:val="single" w:sz="4" w:space="0" w:color="000000"/>
              <w:bottom w:val="single" w:sz="4" w:space="0" w:color="000000"/>
              <w:right w:val="single" w:sz="4" w:space="0" w:color="000000"/>
            </w:tcBorders>
            <w:vAlign w:val="center"/>
          </w:tcPr>
          <w:p w14:paraId="144E25C3" w14:textId="1F6AF36B" w:rsidR="00E10BA0" w:rsidRPr="008E3606" w:rsidRDefault="00E10BA0" w:rsidP="00C409C8">
            <w:pPr>
              <w:widowControl w:val="0"/>
              <w:tabs>
                <w:tab w:val="center" w:pos="1389"/>
                <w:tab w:val="center" w:pos="2407"/>
                <w:tab w:val="right" w:pos="3466"/>
              </w:tabs>
              <w:spacing w:line="240" w:lineRule="auto"/>
              <w:rPr>
                <w:sz w:val="24"/>
              </w:rPr>
            </w:pPr>
            <w:r w:rsidRPr="008E3606">
              <w:rPr>
                <w:sz w:val="24"/>
              </w:rPr>
              <w:t xml:space="preserve">Menos C(420) </w:t>
            </w:r>
            <w:r w:rsidRPr="008E3606">
              <w:rPr>
                <w:sz w:val="24"/>
              </w:rPr>
              <w:tab/>
              <w:t>Gasto por</w:t>
            </w:r>
            <w:r w:rsidR="00C409C8" w:rsidRPr="008E3606">
              <w:rPr>
                <w:sz w:val="24"/>
              </w:rPr>
              <w:t xml:space="preserve"> </w:t>
            </w:r>
            <w:r w:rsidRPr="008E3606">
              <w:rPr>
                <w:sz w:val="24"/>
              </w:rPr>
              <w:t>estimación de deterioro de activos</w:t>
            </w:r>
          </w:p>
        </w:tc>
        <w:tc>
          <w:tcPr>
            <w:tcW w:w="2976" w:type="dxa"/>
            <w:tcBorders>
              <w:top w:val="single" w:sz="4" w:space="0" w:color="000000"/>
              <w:left w:val="single" w:sz="4" w:space="0" w:color="000000"/>
              <w:bottom w:val="single" w:sz="4" w:space="0" w:color="000000"/>
              <w:right w:val="single" w:sz="4" w:space="0" w:color="000000"/>
            </w:tcBorders>
            <w:vAlign w:val="center"/>
          </w:tcPr>
          <w:p w14:paraId="150B5779" w14:textId="77777777" w:rsidR="00E10BA0" w:rsidRPr="008E3606" w:rsidRDefault="00E10BA0" w:rsidP="007E453E">
            <w:pPr>
              <w:widowControl w:val="0"/>
              <w:spacing w:line="240" w:lineRule="auto"/>
              <w:ind w:left="3" w:right="59"/>
              <w:rPr>
                <w:sz w:val="24"/>
              </w:rPr>
            </w:pPr>
            <w:r w:rsidRPr="008E3606">
              <w:rPr>
                <w:sz w:val="24"/>
              </w:rPr>
              <w:t>Menos C(420) Gastos por deterioro de inversiones en valores y estimación de incobrabilidad de la cartera de crédito</w:t>
            </w:r>
          </w:p>
        </w:tc>
      </w:tr>
      <w:tr w:rsidR="00E10BA0" w:rsidRPr="008E3606" w14:paraId="0E94DC2F" w14:textId="77777777" w:rsidTr="00C409C8">
        <w:trPr>
          <w:trHeight w:val="205"/>
        </w:trPr>
        <w:tc>
          <w:tcPr>
            <w:tcW w:w="3115" w:type="dxa"/>
            <w:tcBorders>
              <w:top w:val="single" w:sz="4" w:space="0" w:color="000000"/>
              <w:left w:val="single" w:sz="4" w:space="0" w:color="000000"/>
              <w:bottom w:val="single" w:sz="4" w:space="0" w:color="000000"/>
              <w:right w:val="single" w:sz="4" w:space="0" w:color="000000"/>
            </w:tcBorders>
            <w:vAlign w:val="center"/>
          </w:tcPr>
          <w:p w14:paraId="5AA05B00" w14:textId="77777777" w:rsidR="00E10BA0" w:rsidRPr="008E3606" w:rsidRDefault="00E10BA0" w:rsidP="007E453E">
            <w:pPr>
              <w:widowControl w:val="0"/>
              <w:spacing w:line="240" w:lineRule="auto"/>
              <w:ind w:left="2" w:right="62"/>
              <w:rPr>
                <w:sz w:val="24"/>
              </w:rPr>
            </w:pPr>
            <w:r w:rsidRPr="008E3606">
              <w:rPr>
                <w:sz w:val="24"/>
              </w:rPr>
              <w:t>Menos C(432.11)  Pérdida por estimación de deterioro y disposición regulatoria de bienes mantenidos para la venta</w:t>
            </w:r>
          </w:p>
        </w:tc>
        <w:tc>
          <w:tcPr>
            <w:tcW w:w="3542" w:type="dxa"/>
            <w:tcBorders>
              <w:top w:val="single" w:sz="4" w:space="0" w:color="000000"/>
              <w:left w:val="single" w:sz="4" w:space="0" w:color="000000"/>
              <w:bottom w:val="single" w:sz="4" w:space="0" w:color="000000"/>
              <w:right w:val="single" w:sz="4" w:space="0" w:color="000000"/>
            </w:tcBorders>
            <w:vAlign w:val="center"/>
          </w:tcPr>
          <w:p w14:paraId="54CFE671" w14:textId="77777777" w:rsidR="00E10BA0" w:rsidRPr="008E3606" w:rsidRDefault="00E10BA0" w:rsidP="007E453E">
            <w:pPr>
              <w:widowControl w:val="0"/>
              <w:spacing w:line="240" w:lineRule="auto"/>
              <w:ind w:right="62"/>
              <w:rPr>
                <w:sz w:val="24"/>
              </w:rPr>
            </w:pPr>
            <w:r w:rsidRPr="008E3606">
              <w:rPr>
                <w:sz w:val="24"/>
              </w:rPr>
              <w:t>Menos C(432.11) Pérdida por estimación de deterioro y disposición legal de bienes realizables</w:t>
            </w:r>
          </w:p>
        </w:tc>
        <w:tc>
          <w:tcPr>
            <w:tcW w:w="2976" w:type="dxa"/>
            <w:tcBorders>
              <w:top w:val="single" w:sz="4" w:space="0" w:color="000000"/>
              <w:left w:val="single" w:sz="4" w:space="0" w:color="000000"/>
              <w:bottom w:val="single" w:sz="4" w:space="0" w:color="000000"/>
              <w:right w:val="single" w:sz="4" w:space="0" w:color="000000"/>
            </w:tcBorders>
            <w:vAlign w:val="center"/>
          </w:tcPr>
          <w:p w14:paraId="46C855EA" w14:textId="77777777" w:rsidR="00E10BA0" w:rsidRPr="008E3606" w:rsidRDefault="00E10BA0" w:rsidP="007E453E">
            <w:pPr>
              <w:widowControl w:val="0"/>
              <w:spacing w:line="240" w:lineRule="auto"/>
              <w:ind w:left="2" w:right="59"/>
              <w:rPr>
                <w:sz w:val="24"/>
              </w:rPr>
            </w:pPr>
            <w:r w:rsidRPr="008E3606">
              <w:rPr>
                <w:sz w:val="24"/>
              </w:rPr>
              <w:t>Menos C(432.01) Gastos por valores, inmuebles y otros bienes adquiridos en recuperación de créditos.</w:t>
            </w:r>
          </w:p>
        </w:tc>
      </w:tr>
      <w:tr w:rsidR="00E10BA0" w:rsidRPr="008E3606" w14:paraId="5EA96C64" w14:textId="77777777" w:rsidTr="00C409C8">
        <w:trPr>
          <w:trHeight w:val="233"/>
        </w:trPr>
        <w:tc>
          <w:tcPr>
            <w:tcW w:w="3115" w:type="dxa"/>
            <w:tcBorders>
              <w:top w:val="single" w:sz="4" w:space="0" w:color="000000"/>
              <w:left w:val="single" w:sz="4" w:space="0" w:color="000000"/>
              <w:bottom w:val="single" w:sz="4" w:space="0" w:color="000000"/>
              <w:right w:val="single" w:sz="4" w:space="0" w:color="000000"/>
            </w:tcBorders>
            <w:vAlign w:val="center"/>
          </w:tcPr>
          <w:p w14:paraId="7FCFB94F" w14:textId="77777777" w:rsidR="00E10BA0" w:rsidRPr="008E3606" w:rsidRDefault="00E10BA0" w:rsidP="007E453E">
            <w:pPr>
              <w:widowControl w:val="0"/>
              <w:spacing w:line="240" w:lineRule="auto"/>
              <w:ind w:left="3"/>
              <w:rPr>
                <w:sz w:val="24"/>
              </w:rPr>
            </w:pPr>
            <w:r w:rsidRPr="008E3606">
              <w:rPr>
                <w:sz w:val="24"/>
              </w:rPr>
              <w:t>Menos C(439.19) Pérdidas por siniestros</w:t>
            </w:r>
          </w:p>
        </w:tc>
        <w:tc>
          <w:tcPr>
            <w:tcW w:w="3542" w:type="dxa"/>
            <w:tcBorders>
              <w:top w:val="single" w:sz="4" w:space="0" w:color="000000"/>
              <w:left w:val="single" w:sz="4" w:space="0" w:color="000000"/>
              <w:bottom w:val="single" w:sz="4" w:space="0" w:color="000000"/>
              <w:right w:val="single" w:sz="4" w:space="0" w:color="000000"/>
            </w:tcBorders>
            <w:vAlign w:val="center"/>
          </w:tcPr>
          <w:p w14:paraId="5F04FB6A" w14:textId="77777777" w:rsidR="00E10BA0" w:rsidRPr="008E3606" w:rsidRDefault="00E10BA0" w:rsidP="007E453E">
            <w:pPr>
              <w:widowControl w:val="0"/>
              <w:spacing w:line="240" w:lineRule="auto"/>
              <w:rPr>
                <w:sz w:val="24"/>
              </w:rPr>
            </w:pPr>
            <w:r w:rsidRPr="008E3606">
              <w:rPr>
                <w:sz w:val="24"/>
              </w:rPr>
              <w:t>Menos C(439.19) Pérdidas por siniestros</w:t>
            </w:r>
          </w:p>
        </w:tc>
        <w:tc>
          <w:tcPr>
            <w:tcW w:w="2976" w:type="dxa"/>
            <w:tcBorders>
              <w:top w:val="single" w:sz="4" w:space="0" w:color="000000"/>
              <w:left w:val="single" w:sz="4" w:space="0" w:color="000000"/>
              <w:bottom w:val="single" w:sz="4" w:space="0" w:color="000000"/>
              <w:right w:val="single" w:sz="4" w:space="0" w:color="000000"/>
            </w:tcBorders>
            <w:vAlign w:val="center"/>
          </w:tcPr>
          <w:p w14:paraId="5D2E0B1D" w14:textId="77777777" w:rsidR="00E10BA0" w:rsidRPr="008E3606" w:rsidRDefault="00E10BA0" w:rsidP="007E453E">
            <w:pPr>
              <w:widowControl w:val="0"/>
              <w:spacing w:line="240" w:lineRule="auto"/>
              <w:ind w:left="3"/>
              <w:rPr>
                <w:sz w:val="24"/>
              </w:rPr>
            </w:pPr>
            <w:r w:rsidRPr="008E3606">
              <w:rPr>
                <w:sz w:val="24"/>
              </w:rPr>
              <w:t>Menos C(461.01) Pérdidas</w:t>
            </w:r>
          </w:p>
          <w:p w14:paraId="4A6D502B" w14:textId="77777777" w:rsidR="00E10BA0" w:rsidRPr="008E3606" w:rsidRDefault="00E10BA0" w:rsidP="007E453E">
            <w:pPr>
              <w:widowControl w:val="0"/>
              <w:spacing w:line="240" w:lineRule="auto"/>
              <w:ind w:left="2"/>
              <w:rPr>
                <w:sz w:val="24"/>
              </w:rPr>
            </w:pPr>
            <w:r w:rsidRPr="008E3606">
              <w:rPr>
                <w:sz w:val="24"/>
              </w:rPr>
              <w:t>por siniestros</w:t>
            </w:r>
          </w:p>
        </w:tc>
      </w:tr>
      <w:tr w:rsidR="00E10BA0" w:rsidRPr="008E3606" w14:paraId="394C79AD" w14:textId="77777777" w:rsidTr="00C409C8">
        <w:trPr>
          <w:trHeight w:val="29"/>
        </w:trPr>
        <w:tc>
          <w:tcPr>
            <w:tcW w:w="3115" w:type="dxa"/>
            <w:tcBorders>
              <w:top w:val="single" w:sz="4" w:space="0" w:color="000000"/>
              <w:left w:val="single" w:sz="4" w:space="0" w:color="000000"/>
              <w:bottom w:val="single" w:sz="4" w:space="0" w:color="000000"/>
              <w:right w:val="single" w:sz="4" w:space="0" w:color="000000"/>
            </w:tcBorders>
            <w:vAlign w:val="center"/>
          </w:tcPr>
          <w:p w14:paraId="24B03250" w14:textId="77777777" w:rsidR="00E10BA0" w:rsidRPr="008E3606" w:rsidRDefault="00E10BA0" w:rsidP="007E453E">
            <w:pPr>
              <w:widowControl w:val="0"/>
              <w:spacing w:line="240" w:lineRule="auto"/>
              <w:ind w:left="3"/>
              <w:rPr>
                <w:sz w:val="24"/>
              </w:rPr>
            </w:pPr>
            <w:r w:rsidRPr="008E3606">
              <w:rPr>
                <w:sz w:val="24"/>
              </w:rPr>
              <w:t>Menos C(442) Gastos por</w:t>
            </w:r>
          </w:p>
          <w:p w14:paraId="1686F5D1" w14:textId="77777777" w:rsidR="00E10BA0" w:rsidRPr="008E3606" w:rsidRDefault="00E10BA0" w:rsidP="007E453E">
            <w:pPr>
              <w:widowControl w:val="0"/>
              <w:spacing w:line="240" w:lineRule="auto"/>
              <w:ind w:left="3"/>
              <w:rPr>
                <w:sz w:val="24"/>
              </w:rPr>
            </w:pPr>
            <w:r w:rsidRPr="008E3606">
              <w:rPr>
                <w:sz w:val="24"/>
              </w:rPr>
              <w:t>servicios externos</w:t>
            </w:r>
          </w:p>
        </w:tc>
        <w:tc>
          <w:tcPr>
            <w:tcW w:w="3542" w:type="dxa"/>
            <w:tcBorders>
              <w:top w:val="single" w:sz="4" w:space="0" w:color="000000"/>
              <w:left w:val="single" w:sz="4" w:space="0" w:color="000000"/>
              <w:bottom w:val="single" w:sz="4" w:space="0" w:color="000000"/>
              <w:right w:val="single" w:sz="4" w:space="0" w:color="000000"/>
            </w:tcBorders>
            <w:vAlign w:val="center"/>
          </w:tcPr>
          <w:p w14:paraId="529102BB" w14:textId="77777777" w:rsidR="00E10BA0" w:rsidRPr="008E3606" w:rsidRDefault="00E10BA0" w:rsidP="007E453E">
            <w:pPr>
              <w:widowControl w:val="0"/>
              <w:spacing w:line="240" w:lineRule="auto"/>
              <w:rPr>
                <w:sz w:val="24"/>
              </w:rPr>
            </w:pPr>
            <w:r w:rsidRPr="008E3606">
              <w:rPr>
                <w:sz w:val="24"/>
              </w:rPr>
              <w:t>Menos C(442) Gastos por servicios externos</w:t>
            </w:r>
          </w:p>
        </w:tc>
        <w:tc>
          <w:tcPr>
            <w:tcW w:w="2976" w:type="dxa"/>
            <w:tcBorders>
              <w:top w:val="single" w:sz="4" w:space="0" w:color="000000"/>
              <w:left w:val="single" w:sz="4" w:space="0" w:color="000000"/>
              <w:bottom w:val="single" w:sz="4" w:space="0" w:color="000000"/>
              <w:right w:val="single" w:sz="4" w:space="0" w:color="000000"/>
            </w:tcBorders>
            <w:vAlign w:val="center"/>
          </w:tcPr>
          <w:p w14:paraId="2022956E" w14:textId="77777777" w:rsidR="00E10BA0" w:rsidRPr="008E3606" w:rsidRDefault="00E10BA0" w:rsidP="007E453E">
            <w:pPr>
              <w:widowControl w:val="0"/>
              <w:spacing w:line="240" w:lineRule="auto"/>
              <w:ind w:left="3"/>
              <w:rPr>
                <w:sz w:val="24"/>
              </w:rPr>
            </w:pPr>
            <w:r w:rsidRPr="008E3606">
              <w:rPr>
                <w:sz w:val="24"/>
              </w:rPr>
              <w:t>Menos C(442) Gastos por</w:t>
            </w:r>
          </w:p>
          <w:p w14:paraId="69CB5A1A" w14:textId="77777777" w:rsidR="00E10BA0" w:rsidRPr="008E3606" w:rsidRDefault="00E10BA0" w:rsidP="007E453E">
            <w:pPr>
              <w:widowControl w:val="0"/>
              <w:spacing w:line="240" w:lineRule="auto"/>
              <w:ind w:left="3"/>
              <w:rPr>
                <w:sz w:val="24"/>
              </w:rPr>
            </w:pPr>
            <w:r w:rsidRPr="008E3606">
              <w:rPr>
                <w:sz w:val="24"/>
              </w:rPr>
              <w:t>servicios externos</w:t>
            </w:r>
          </w:p>
        </w:tc>
      </w:tr>
      <w:tr w:rsidR="00E10BA0" w:rsidRPr="008E3606" w14:paraId="41ADB71C" w14:textId="77777777" w:rsidTr="00C409C8">
        <w:trPr>
          <w:trHeight w:val="247"/>
        </w:trPr>
        <w:tc>
          <w:tcPr>
            <w:tcW w:w="3115" w:type="dxa"/>
            <w:tcBorders>
              <w:top w:val="single" w:sz="4" w:space="0" w:color="000000"/>
              <w:left w:val="single" w:sz="4" w:space="0" w:color="000000"/>
              <w:bottom w:val="single" w:sz="4" w:space="0" w:color="000000"/>
              <w:right w:val="single" w:sz="4" w:space="0" w:color="000000"/>
            </w:tcBorders>
            <w:vAlign w:val="center"/>
          </w:tcPr>
          <w:p w14:paraId="45E4C0B5" w14:textId="77777777" w:rsidR="00E10BA0" w:rsidRPr="008E3606" w:rsidRDefault="00E10BA0" w:rsidP="007E453E">
            <w:pPr>
              <w:widowControl w:val="0"/>
              <w:spacing w:line="240" w:lineRule="auto"/>
              <w:ind w:left="2" w:right="59"/>
              <w:rPr>
                <w:sz w:val="24"/>
              </w:rPr>
            </w:pPr>
            <w:r w:rsidRPr="008E3606">
              <w:rPr>
                <w:sz w:val="24"/>
              </w:rPr>
              <w:t>Menos C(450) Impuestos y participaciones sobre la utilidad</w:t>
            </w:r>
          </w:p>
        </w:tc>
        <w:tc>
          <w:tcPr>
            <w:tcW w:w="3542" w:type="dxa"/>
            <w:tcBorders>
              <w:top w:val="single" w:sz="4" w:space="0" w:color="000000"/>
              <w:left w:val="single" w:sz="4" w:space="0" w:color="000000"/>
              <w:bottom w:val="single" w:sz="4" w:space="0" w:color="000000"/>
              <w:right w:val="single" w:sz="4" w:space="0" w:color="000000"/>
            </w:tcBorders>
            <w:vAlign w:val="center"/>
          </w:tcPr>
          <w:p w14:paraId="69BA90BC" w14:textId="0F939184" w:rsidR="00E10BA0" w:rsidRPr="008E3606" w:rsidRDefault="00E10BA0" w:rsidP="00C409C8">
            <w:pPr>
              <w:widowControl w:val="0"/>
              <w:tabs>
                <w:tab w:val="center" w:pos="1314"/>
                <w:tab w:val="center" w:pos="2470"/>
                <w:tab w:val="right" w:pos="3466"/>
              </w:tabs>
              <w:spacing w:line="240" w:lineRule="auto"/>
              <w:rPr>
                <w:sz w:val="24"/>
              </w:rPr>
            </w:pPr>
            <w:r w:rsidRPr="008E3606">
              <w:rPr>
                <w:sz w:val="24"/>
              </w:rPr>
              <w:t xml:space="preserve">Menos C(450) </w:t>
            </w:r>
            <w:r w:rsidRPr="008E3606">
              <w:rPr>
                <w:sz w:val="24"/>
              </w:rPr>
              <w:tab/>
              <w:t>Impuestos y</w:t>
            </w:r>
            <w:r w:rsidR="00C409C8" w:rsidRPr="008E3606">
              <w:rPr>
                <w:sz w:val="24"/>
              </w:rPr>
              <w:t xml:space="preserve"> </w:t>
            </w:r>
            <w:r w:rsidRPr="008E3606">
              <w:rPr>
                <w:sz w:val="24"/>
              </w:rPr>
              <w:t>participaciones sobre la utilidad</w:t>
            </w:r>
          </w:p>
        </w:tc>
        <w:tc>
          <w:tcPr>
            <w:tcW w:w="2976" w:type="dxa"/>
            <w:tcBorders>
              <w:top w:val="single" w:sz="4" w:space="0" w:color="000000"/>
              <w:left w:val="single" w:sz="4" w:space="0" w:color="000000"/>
              <w:bottom w:val="single" w:sz="4" w:space="0" w:color="000000"/>
              <w:right w:val="single" w:sz="4" w:space="0" w:color="000000"/>
            </w:tcBorders>
            <w:vAlign w:val="center"/>
          </w:tcPr>
          <w:p w14:paraId="354F63A0" w14:textId="77777777" w:rsidR="00E10BA0" w:rsidRPr="008E3606" w:rsidRDefault="00E10BA0" w:rsidP="007E453E">
            <w:pPr>
              <w:widowControl w:val="0"/>
              <w:spacing w:line="240" w:lineRule="auto"/>
              <w:ind w:left="2" w:right="59"/>
              <w:rPr>
                <w:sz w:val="24"/>
              </w:rPr>
            </w:pPr>
            <w:r w:rsidRPr="008E3606">
              <w:rPr>
                <w:sz w:val="24"/>
              </w:rPr>
              <w:t>Menos C(450) Impuesto y participaciones sobre la utilidad</w:t>
            </w:r>
          </w:p>
        </w:tc>
      </w:tr>
      <w:tr w:rsidR="00E10BA0" w:rsidRPr="008E3606" w14:paraId="5086A6C8" w14:textId="77777777" w:rsidTr="00C409C8">
        <w:trPr>
          <w:trHeight w:val="29"/>
        </w:trPr>
        <w:tc>
          <w:tcPr>
            <w:tcW w:w="9634" w:type="dxa"/>
            <w:gridSpan w:val="3"/>
            <w:tcBorders>
              <w:top w:val="single" w:sz="4" w:space="0" w:color="000000"/>
              <w:left w:val="single" w:sz="4" w:space="0" w:color="000000"/>
              <w:bottom w:val="single" w:sz="4" w:space="0" w:color="000000"/>
              <w:right w:val="single" w:sz="4" w:space="0" w:color="000000"/>
            </w:tcBorders>
            <w:vAlign w:val="center"/>
          </w:tcPr>
          <w:p w14:paraId="405679AD" w14:textId="77777777" w:rsidR="00E10BA0" w:rsidRPr="008E3606" w:rsidRDefault="00E10BA0" w:rsidP="007E453E">
            <w:pPr>
              <w:widowControl w:val="0"/>
              <w:spacing w:line="240" w:lineRule="auto"/>
              <w:ind w:right="62"/>
              <w:rPr>
                <w:sz w:val="24"/>
              </w:rPr>
            </w:pPr>
            <w:r w:rsidRPr="008E3606">
              <w:rPr>
                <w:b/>
                <w:sz w:val="24"/>
              </w:rPr>
              <w:t>UTILIDAD OPERACIONAL BRUTA AJUSTADA</w:t>
            </w:r>
          </w:p>
        </w:tc>
      </w:tr>
    </w:tbl>
    <w:p w14:paraId="58B924B1" w14:textId="77777777" w:rsidR="00E10BA0" w:rsidRPr="008E3606" w:rsidRDefault="00E10BA0" w:rsidP="00E10BA0">
      <w:pPr>
        <w:widowControl w:val="0"/>
        <w:spacing w:after="240" w:line="240" w:lineRule="auto"/>
        <w:rPr>
          <w:b/>
          <w:sz w:val="24"/>
        </w:rPr>
      </w:pPr>
      <w:r w:rsidRPr="008E3606">
        <w:rPr>
          <w:b/>
          <w:sz w:val="24"/>
        </w:rPr>
        <w:t xml:space="preserve"> </w:t>
      </w:r>
    </w:p>
    <w:p w14:paraId="0554FD78" w14:textId="77777777" w:rsidR="00E10BA0" w:rsidRPr="008E3606" w:rsidRDefault="00E10BA0" w:rsidP="00D92BF5">
      <w:pPr>
        <w:pStyle w:val="Ttulo1"/>
        <w:spacing w:after="240"/>
        <w:ind w:left="0" w:firstLine="0"/>
        <w:rPr>
          <w:rFonts w:ascii="Cambria" w:hAnsi="Cambria" w:cs="Times New Roman"/>
          <w:szCs w:val="24"/>
        </w:rPr>
      </w:pPr>
      <w:bookmarkStart w:id="11" w:name="_Toc153190207"/>
      <w:r w:rsidRPr="008E3606">
        <w:rPr>
          <w:rFonts w:ascii="Cambria" w:hAnsi="Cambria" w:cs="Times New Roman"/>
          <w:szCs w:val="24"/>
        </w:rPr>
        <w:t>VII. REQUERIMIENTO PATRIMONIAL POR RIESGO CAMBIARIO Y CÓMPUTO DE LÍMITES</w:t>
      </w:r>
      <w:bookmarkEnd w:id="11"/>
      <w:r w:rsidRPr="008E3606">
        <w:rPr>
          <w:rFonts w:ascii="Cambria" w:hAnsi="Cambria" w:cs="Times New Roman"/>
          <w:szCs w:val="24"/>
        </w:rPr>
        <w:t xml:space="preserve"> </w:t>
      </w:r>
    </w:p>
    <w:p w14:paraId="288CA170" w14:textId="77777777" w:rsidR="00E10BA0" w:rsidRPr="008E3606" w:rsidRDefault="00E10BA0" w:rsidP="00E10BA0">
      <w:pPr>
        <w:widowControl w:val="0"/>
        <w:spacing w:after="240" w:line="240" w:lineRule="auto"/>
        <w:ind w:left="1128" w:hanging="1133"/>
        <w:rPr>
          <w:sz w:val="24"/>
        </w:rPr>
      </w:pPr>
      <w:r w:rsidRPr="008E3606">
        <w:rPr>
          <w:sz w:val="24"/>
          <w:u w:val="single" w:color="000000"/>
        </w:rPr>
        <w:t>Objetivo</w:t>
      </w:r>
      <w:r w:rsidRPr="008E3606">
        <w:rPr>
          <w:sz w:val="24"/>
        </w:rPr>
        <w:t>:</w:t>
      </w:r>
      <w:r w:rsidRPr="008E3606">
        <w:rPr>
          <w:sz w:val="24"/>
        </w:rPr>
        <w:tab/>
        <w:t xml:space="preserve">Establecer las cuentas utilizadas para el cálculo de la posición neta total en moneda extranjera. </w:t>
      </w:r>
    </w:p>
    <w:p w14:paraId="361A0C0C" w14:textId="77777777" w:rsidR="00E10BA0" w:rsidRPr="008E3606" w:rsidRDefault="00E10BA0" w:rsidP="00E10BA0">
      <w:pPr>
        <w:widowControl w:val="0"/>
        <w:spacing w:after="240" w:line="240" w:lineRule="auto"/>
        <w:ind w:left="5"/>
        <w:rPr>
          <w:sz w:val="24"/>
        </w:rPr>
      </w:pPr>
      <w:r w:rsidRPr="008E3606">
        <w:rPr>
          <w:sz w:val="24"/>
        </w:rPr>
        <w:t xml:space="preserve">Este reporte complementa la información indicada en la Sección V del Capítulo V del Acuerdo SUGEF 3-06 y deberá enviarse a la SUGEF a más tardar el sexto día hábil de cada mes.   </w:t>
      </w:r>
    </w:p>
    <w:p w14:paraId="204CF157" w14:textId="77777777" w:rsidR="00E10BA0" w:rsidRPr="008E3606" w:rsidRDefault="00E10BA0" w:rsidP="00E10BA0">
      <w:pPr>
        <w:widowControl w:val="0"/>
        <w:pBdr>
          <w:top w:val="single" w:sz="4" w:space="0" w:color="000000"/>
          <w:left w:val="single" w:sz="4" w:space="31" w:color="000000"/>
          <w:bottom w:val="single" w:sz="5" w:space="0" w:color="000000"/>
          <w:right w:val="single" w:sz="4" w:space="0" w:color="000000"/>
        </w:pBdr>
        <w:spacing w:line="240" w:lineRule="auto"/>
        <w:ind w:left="567"/>
        <w:rPr>
          <w:sz w:val="24"/>
        </w:rPr>
      </w:pPr>
      <w:r w:rsidRPr="008E3606">
        <w:rPr>
          <w:rFonts w:eastAsia="Calibri"/>
          <w:sz w:val="24"/>
        </w:rPr>
        <w:t>ENTIDAD_______________________________________________________________________</w:t>
      </w:r>
    </w:p>
    <w:p w14:paraId="42D36D4C" w14:textId="77777777" w:rsidR="00E10BA0" w:rsidRPr="008E3606" w:rsidRDefault="00E10BA0" w:rsidP="00E10BA0">
      <w:pPr>
        <w:widowControl w:val="0"/>
        <w:pBdr>
          <w:top w:val="single" w:sz="4" w:space="0" w:color="000000"/>
          <w:left w:val="single" w:sz="4" w:space="31" w:color="000000"/>
          <w:bottom w:val="single" w:sz="5" w:space="0" w:color="000000"/>
          <w:right w:val="single" w:sz="4" w:space="0" w:color="000000"/>
        </w:pBdr>
        <w:spacing w:line="240" w:lineRule="auto"/>
        <w:ind w:left="567"/>
        <w:rPr>
          <w:sz w:val="24"/>
        </w:rPr>
      </w:pPr>
      <w:r w:rsidRPr="008E3606">
        <w:rPr>
          <w:rFonts w:eastAsia="Calibri"/>
          <w:sz w:val="24"/>
        </w:rPr>
        <w:t>POSICIONES AFECTAS A RIESGO CAMBIARIO</w:t>
      </w:r>
    </w:p>
    <w:p w14:paraId="4414DC85" w14:textId="77777777" w:rsidR="00E10BA0" w:rsidRPr="008E3606" w:rsidRDefault="00E10BA0" w:rsidP="00E10BA0">
      <w:pPr>
        <w:widowControl w:val="0"/>
        <w:pBdr>
          <w:top w:val="single" w:sz="4" w:space="0" w:color="000000"/>
          <w:left w:val="single" w:sz="4" w:space="31" w:color="000000"/>
          <w:bottom w:val="single" w:sz="5" w:space="0" w:color="000000"/>
          <w:right w:val="single" w:sz="4" w:space="0" w:color="000000"/>
        </w:pBdr>
        <w:spacing w:line="240" w:lineRule="auto"/>
        <w:ind w:left="567"/>
        <w:rPr>
          <w:sz w:val="24"/>
        </w:rPr>
      </w:pPr>
      <w:r w:rsidRPr="008E3606">
        <w:rPr>
          <w:rFonts w:eastAsia="Calibri"/>
          <w:sz w:val="24"/>
        </w:rPr>
        <w:t>(Expresado en colones)</w:t>
      </w:r>
    </w:p>
    <w:p w14:paraId="6F5CA0F9" w14:textId="77777777" w:rsidR="00E10BA0" w:rsidRPr="008E3606" w:rsidRDefault="00E10BA0" w:rsidP="00E10BA0">
      <w:pPr>
        <w:widowControl w:val="0"/>
        <w:pBdr>
          <w:top w:val="single" w:sz="4" w:space="0" w:color="000000"/>
          <w:left w:val="single" w:sz="4" w:space="31" w:color="000000"/>
          <w:bottom w:val="single" w:sz="5" w:space="0" w:color="000000"/>
          <w:right w:val="single" w:sz="4" w:space="0" w:color="000000"/>
        </w:pBdr>
        <w:spacing w:line="240" w:lineRule="auto"/>
        <w:ind w:left="567"/>
        <w:rPr>
          <w:sz w:val="24"/>
        </w:rPr>
      </w:pPr>
      <w:r w:rsidRPr="008E3606">
        <w:rPr>
          <w:rFonts w:eastAsia="Calibri"/>
          <w:sz w:val="24"/>
        </w:rPr>
        <w:t>Al _____ de _______________ de ________</w:t>
      </w:r>
    </w:p>
    <w:p w14:paraId="4F98554F" w14:textId="77777777" w:rsidR="00E10BA0" w:rsidRPr="008E3606" w:rsidRDefault="00E10BA0" w:rsidP="00E10BA0">
      <w:pPr>
        <w:widowControl w:val="0"/>
        <w:spacing w:line="240" w:lineRule="auto"/>
        <w:ind w:left="29"/>
        <w:jc w:val="left"/>
        <w:rPr>
          <w:sz w:val="24"/>
        </w:rPr>
      </w:pPr>
      <w:r w:rsidRPr="008E3606">
        <w:rPr>
          <w:rFonts w:eastAsia="Calibri"/>
          <w:b/>
          <w:sz w:val="24"/>
        </w:rPr>
        <w:t xml:space="preserve">A. POSICIÓN EN MONEDA EXTRANJERA DE CONTADO </w:t>
      </w:r>
    </w:p>
    <w:tbl>
      <w:tblPr>
        <w:tblStyle w:val="TableGrid"/>
        <w:tblW w:w="8493" w:type="dxa"/>
        <w:tblInd w:w="7" w:type="dxa"/>
        <w:tblCellMar>
          <w:top w:w="42" w:type="dxa"/>
          <w:left w:w="20" w:type="dxa"/>
          <w:right w:w="21" w:type="dxa"/>
        </w:tblCellMar>
        <w:tblLook w:val="04A0" w:firstRow="1" w:lastRow="0" w:firstColumn="1" w:lastColumn="0" w:noHBand="0" w:noVBand="1"/>
      </w:tblPr>
      <w:tblGrid>
        <w:gridCol w:w="7501"/>
        <w:gridCol w:w="992"/>
      </w:tblGrid>
      <w:tr w:rsidR="00E10BA0" w:rsidRPr="008E3606" w14:paraId="6C34F0AC" w14:textId="77777777" w:rsidTr="007E453E">
        <w:trPr>
          <w:trHeight w:val="23"/>
        </w:trPr>
        <w:tc>
          <w:tcPr>
            <w:tcW w:w="7501" w:type="dxa"/>
            <w:tcBorders>
              <w:top w:val="single" w:sz="5" w:space="0" w:color="000000"/>
              <w:left w:val="single" w:sz="4" w:space="0" w:color="000000"/>
              <w:bottom w:val="single" w:sz="4" w:space="0" w:color="000000"/>
              <w:right w:val="single" w:sz="4" w:space="0" w:color="000000"/>
            </w:tcBorders>
            <w:shd w:val="clear" w:color="auto" w:fill="E7E6E6"/>
          </w:tcPr>
          <w:p w14:paraId="220DA46C" w14:textId="77777777" w:rsidR="00E10BA0" w:rsidRPr="008E3606" w:rsidRDefault="00E10BA0" w:rsidP="007E453E">
            <w:pPr>
              <w:widowControl w:val="0"/>
              <w:spacing w:line="240" w:lineRule="auto"/>
              <w:jc w:val="left"/>
              <w:rPr>
                <w:sz w:val="24"/>
              </w:rPr>
            </w:pPr>
            <w:r w:rsidRPr="008E3606">
              <w:rPr>
                <w:rFonts w:eastAsia="Calibri"/>
                <w:b/>
                <w:sz w:val="24"/>
              </w:rPr>
              <w:t>A.1 ACTIVOS EN MONEDA EXTRANJERA</w:t>
            </w:r>
          </w:p>
        </w:tc>
        <w:tc>
          <w:tcPr>
            <w:tcW w:w="992" w:type="dxa"/>
            <w:tcBorders>
              <w:top w:val="single" w:sz="5" w:space="0" w:color="000000"/>
              <w:left w:val="single" w:sz="4" w:space="0" w:color="000000"/>
              <w:bottom w:val="single" w:sz="4" w:space="0" w:color="000000"/>
              <w:right w:val="single" w:sz="4" w:space="0" w:color="000000"/>
            </w:tcBorders>
            <w:shd w:val="clear" w:color="auto" w:fill="E7E6E6"/>
          </w:tcPr>
          <w:p w14:paraId="00698C38" w14:textId="77777777" w:rsidR="00E10BA0" w:rsidRPr="008E3606" w:rsidRDefault="00E10BA0" w:rsidP="007E453E">
            <w:pPr>
              <w:widowControl w:val="0"/>
              <w:spacing w:line="240" w:lineRule="auto"/>
              <w:jc w:val="left"/>
              <w:rPr>
                <w:sz w:val="24"/>
              </w:rPr>
            </w:pPr>
          </w:p>
        </w:tc>
      </w:tr>
      <w:tr w:rsidR="00E10BA0" w:rsidRPr="008E3606" w14:paraId="7754F0A6" w14:textId="77777777" w:rsidTr="007E453E">
        <w:trPr>
          <w:trHeight w:val="268"/>
        </w:trPr>
        <w:tc>
          <w:tcPr>
            <w:tcW w:w="7501" w:type="dxa"/>
            <w:tcBorders>
              <w:top w:val="single" w:sz="4" w:space="0" w:color="000000"/>
              <w:left w:val="single" w:sz="4" w:space="0" w:color="000000"/>
              <w:bottom w:val="single" w:sz="4" w:space="0" w:color="000000"/>
              <w:right w:val="single" w:sz="4" w:space="0" w:color="000000"/>
            </w:tcBorders>
          </w:tcPr>
          <w:p w14:paraId="4601D665" w14:textId="77777777" w:rsidR="00E10BA0" w:rsidRPr="008E3606" w:rsidRDefault="00E10BA0" w:rsidP="007E453E">
            <w:pPr>
              <w:widowControl w:val="0"/>
              <w:spacing w:line="240" w:lineRule="auto"/>
              <w:rPr>
                <w:sz w:val="24"/>
              </w:rPr>
            </w:pPr>
            <w:r w:rsidRPr="008E3606">
              <w:rPr>
                <w:rFonts w:eastAsia="Calibri"/>
                <w:sz w:val="24"/>
              </w:rPr>
              <w:t>Activos en moneda extranjera: De los saldos del plan de cuentas: sumatoria de todas las partidas de activo</w:t>
            </w:r>
            <w:r w:rsidRPr="008E3606">
              <w:rPr>
                <w:rFonts w:eastAsia="Calibri"/>
                <w:sz w:val="24"/>
                <w:vertAlign w:val="superscript"/>
              </w:rPr>
              <w:footnoteReference w:id="4"/>
            </w:r>
            <w:r w:rsidRPr="008E3606">
              <w:rPr>
                <w:rFonts w:eastAsia="Calibri"/>
                <w:sz w:val="24"/>
                <w:vertAlign w:val="superscript"/>
              </w:rPr>
              <w:t xml:space="preserve"> </w:t>
            </w:r>
            <w:r w:rsidRPr="008E3606">
              <w:rPr>
                <w:rFonts w:eastAsia="Calibri"/>
                <w:sz w:val="24"/>
              </w:rPr>
              <w:t>que tienen como sexto dígito el número 2 (No considerar las cuentas asociadas con el registro de estimaciones, tales como 129.02.2, 129.03.2, 129.04.2,</w:t>
            </w:r>
          </w:p>
          <w:p w14:paraId="4F8AB5BC" w14:textId="77777777" w:rsidR="00E10BA0" w:rsidRPr="008E3606" w:rsidRDefault="00E10BA0" w:rsidP="007E453E">
            <w:pPr>
              <w:widowControl w:val="0"/>
              <w:spacing w:line="240" w:lineRule="auto"/>
              <w:ind w:right="1"/>
              <w:rPr>
                <w:sz w:val="24"/>
              </w:rPr>
            </w:pPr>
            <w:r w:rsidRPr="008E3606">
              <w:rPr>
                <w:rFonts w:eastAsia="Calibri"/>
                <w:sz w:val="24"/>
              </w:rPr>
              <w:t>129.05.2, 129.06.2, 129.07.2, 129.08.2, 139.01.2, 139.02.2, 139.10.2, 139.52.2, 149.02.2, 149.04.2, 149.05.2, 149.07.2, 149.09.2, 159.01.2, 159.02.2, 159.03.2, 159.04.2, 159.05.2, 159.06.2, 159.07.2, 159.08.2, 159.09.2, 159.10.2, 169.01.2, 169.02.2, 169.03.2, 169.04.2, 169.05.2).</w:t>
            </w:r>
          </w:p>
        </w:tc>
        <w:tc>
          <w:tcPr>
            <w:tcW w:w="992" w:type="dxa"/>
            <w:tcBorders>
              <w:top w:val="single" w:sz="4" w:space="0" w:color="000000"/>
              <w:left w:val="single" w:sz="4" w:space="0" w:color="000000"/>
              <w:bottom w:val="single" w:sz="4" w:space="0" w:color="000000"/>
              <w:right w:val="single" w:sz="4" w:space="0" w:color="000000"/>
            </w:tcBorders>
          </w:tcPr>
          <w:p w14:paraId="176ACD5C" w14:textId="77777777" w:rsidR="00E10BA0" w:rsidRPr="008E3606" w:rsidRDefault="00E10BA0" w:rsidP="007E453E">
            <w:pPr>
              <w:widowControl w:val="0"/>
              <w:spacing w:line="240" w:lineRule="auto"/>
              <w:jc w:val="left"/>
              <w:rPr>
                <w:sz w:val="24"/>
              </w:rPr>
            </w:pPr>
          </w:p>
        </w:tc>
      </w:tr>
      <w:tr w:rsidR="00E10BA0" w:rsidRPr="008E3606" w14:paraId="18A5CAE7" w14:textId="77777777" w:rsidTr="007E453E">
        <w:trPr>
          <w:trHeight w:val="18"/>
        </w:trPr>
        <w:tc>
          <w:tcPr>
            <w:tcW w:w="7501" w:type="dxa"/>
            <w:tcBorders>
              <w:top w:val="single" w:sz="4" w:space="0" w:color="000000"/>
              <w:left w:val="single" w:sz="4" w:space="0" w:color="000000"/>
              <w:bottom w:val="single" w:sz="5" w:space="0" w:color="000000"/>
              <w:right w:val="single" w:sz="4" w:space="0" w:color="000000"/>
            </w:tcBorders>
            <w:shd w:val="clear" w:color="auto" w:fill="E7E6E6"/>
          </w:tcPr>
          <w:p w14:paraId="10A11348" w14:textId="77777777" w:rsidR="00E10BA0" w:rsidRPr="008E3606" w:rsidRDefault="00E10BA0" w:rsidP="007E453E">
            <w:pPr>
              <w:widowControl w:val="0"/>
              <w:spacing w:line="240" w:lineRule="auto"/>
              <w:jc w:val="left"/>
              <w:rPr>
                <w:sz w:val="24"/>
              </w:rPr>
            </w:pPr>
            <w:r w:rsidRPr="008E3606">
              <w:rPr>
                <w:rFonts w:eastAsia="Calibri"/>
                <w:b/>
                <w:sz w:val="24"/>
              </w:rPr>
              <w:t>A.2 PASIVOS EN MONEDA EXTRANJERA</w:t>
            </w:r>
          </w:p>
        </w:tc>
        <w:tc>
          <w:tcPr>
            <w:tcW w:w="992" w:type="dxa"/>
            <w:tcBorders>
              <w:top w:val="single" w:sz="4" w:space="0" w:color="000000"/>
              <w:left w:val="single" w:sz="4" w:space="0" w:color="000000"/>
              <w:bottom w:val="single" w:sz="5" w:space="0" w:color="000000"/>
              <w:right w:val="single" w:sz="4" w:space="0" w:color="000000"/>
            </w:tcBorders>
            <w:shd w:val="clear" w:color="auto" w:fill="E7E6E6"/>
          </w:tcPr>
          <w:p w14:paraId="0E6D781E" w14:textId="77777777" w:rsidR="00E10BA0" w:rsidRPr="008E3606" w:rsidRDefault="00E10BA0" w:rsidP="007E453E">
            <w:pPr>
              <w:widowControl w:val="0"/>
              <w:spacing w:line="240" w:lineRule="auto"/>
              <w:jc w:val="left"/>
              <w:rPr>
                <w:sz w:val="24"/>
              </w:rPr>
            </w:pPr>
          </w:p>
        </w:tc>
      </w:tr>
      <w:tr w:rsidR="00E10BA0" w:rsidRPr="008E3606" w14:paraId="3BBB60E5"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tcPr>
          <w:p w14:paraId="2B65B5A5" w14:textId="77777777" w:rsidR="00E10BA0" w:rsidRPr="008E3606" w:rsidRDefault="00E10BA0" w:rsidP="007E453E">
            <w:pPr>
              <w:widowControl w:val="0"/>
              <w:spacing w:line="240" w:lineRule="auto"/>
              <w:jc w:val="left"/>
              <w:rPr>
                <w:sz w:val="24"/>
              </w:rPr>
            </w:pPr>
            <w:r w:rsidRPr="008E3606">
              <w:rPr>
                <w:rFonts w:eastAsia="Calibri"/>
                <w:sz w:val="24"/>
              </w:rPr>
              <w:t>Pasivos en moneda extranjera: De los saldos del plan de cuentas: sumatoria de todas las partidas de pasivo que tienen como sexto dígito un 2.</w:t>
            </w:r>
          </w:p>
        </w:tc>
        <w:tc>
          <w:tcPr>
            <w:tcW w:w="992" w:type="dxa"/>
            <w:tcBorders>
              <w:top w:val="single" w:sz="5" w:space="0" w:color="000000"/>
              <w:left w:val="single" w:sz="4" w:space="0" w:color="000000"/>
              <w:bottom w:val="single" w:sz="5" w:space="0" w:color="000000"/>
              <w:right w:val="single" w:sz="4" w:space="0" w:color="000000"/>
            </w:tcBorders>
          </w:tcPr>
          <w:p w14:paraId="77F6377B" w14:textId="77777777" w:rsidR="00E10BA0" w:rsidRPr="008E3606" w:rsidRDefault="00E10BA0" w:rsidP="007E453E">
            <w:pPr>
              <w:widowControl w:val="0"/>
              <w:spacing w:line="240" w:lineRule="auto"/>
              <w:jc w:val="left"/>
              <w:rPr>
                <w:sz w:val="24"/>
              </w:rPr>
            </w:pPr>
          </w:p>
        </w:tc>
      </w:tr>
      <w:tr w:rsidR="00E10BA0" w:rsidRPr="008E3606" w14:paraId="38297698"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shd w:val="clear" w:color="auto" w:fill="E7E6E6"/>
          </w:tcPr>
          <w:p w14:paraId="1E810ABC" w14:textId="77777777" w:rsidR="00E10BA0" w:rsidRPr="008E3606" w:rsidRDefault="00E10BA0" w:rsidP="007E453E">
            <w:pPr>
              <w:widowControl w:val="0"/>
              <w:spacing w:line="240" w:lineRule="auto"/>
              <w:jc w:val="left"/>
              <w:rPr>
                <w:sz w:val="24"/>
              </w:rPr>
            </w:pPr>
            <w:r w:rsidRPr="008E3606">
              <w:rPr>
                <w:rFonts w:eastAsia="Calibri"/>
                <w:b/>
                <w:sz w:val="24"/>
              </w:rPr>
              <w:t>POSICIÓN NETA EN MONEDA EXTRANJERA DE CONTADO (A.1 menos A.2)</w:t>
            </w:r>
          </w:p>
        </w:tc>
        <w:tc>
          <w:tcPr>
            <w:tcW w:w="992" w:type="dxa"/>
            <w:tcBorders>
              <w:top w:val="single" w:sz="5" w:space="0" w:color="000000"/>
              <w:left w:val="single" w:sz="4" w:space="0" w:color="000000"/>
              <w:bottom w:val="single" w:sz="5" w:space="0" w:color="000000"/>
              <w:right w:val="single" w:sz="4" w:space="0" w:color="000000"/>
            </w:tcBorders>
            <w:shd w:val="clear" w:color="auto" w:fill="E7E6E6"/>
          </w:tcPr>
          <w:p w14:paraId="57858418" w14:textId="77777777" w:rsidR="00E10BA0" w:rsidRPr="008E3606" w:rsidRDefault="00E10BA0" w:rsidP="007E453E">
            <w:pPr>
              <w:widowControl w:val="0"/>
              <w:spacing w:line="240" w:lineRule="auto"/>
              <w:jc w:val="left"/>
              <w:rPr>
                <w:sz w:val="24"/>
              </w:rPr>
            </w:pPr>
          </w:p>
        </w:tc>
      </w:tr>
      <w:tr w:rsidR="00E10BA0" w:rsidRPr="008E3606" w14:paraId="44C3FFC9"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tcPr>
          <w:p w14:paraId="29B771F2" w14:textId="77777777" w:rsidR="00E10BA0" w:rsidRPr="008E3606" w:rsidRDefault="00E10BA0" w:rsidP="007E453E">
            <w:pPr>
              <w:widowControl w:val="0"/>
              <w:spacing w:line="240" w:lineRule="auto"/>
              <w:jc w:val="left"/>
              <w:rPr>
                <w:sz w:val="24"/>
              </w:rPr>
            </w:pPr>
            <w:r w:rsidRPr="008E3606">
              <w:rPr>
                <w:rFonts w:eastAsia="Calibri"/>
                <w:b/>
                <w:sz w:val="24"/>
              </w:rPr>
              <w:t>B. POSICIÓN NETA EN MONEDA EXTRANJERA DE DERIVADOS CAMBIARIOS</w:t>
            </w:r>
          </w:p>
        </w:tc>
        <w:tc>
          <w:tcPr>
            <w:tcW w:w="992" w:type="dxa"/>
            <w:tcBorders>
              <w:top w:val="single" w:sz="5" w:space="0" w:color="000000"/>
              <w:left w:val="single" w:sz="4" w:space="0" w:color="000000"/>
              <w:bottom w:val="single" w:sz="5" w:space="0" w:color="000000"/>
              <w:right w:val="single" w:sz="4" w:space="0" w:color="000000"/>
            </w:tcBorders>
          </w:tcPr>
          <w:p w14:paraId="7D9B2AC0" w14:textId="77777777" w:rsidR="00E10BA0" w:rsidRPr="008E3606" w:rsidRDefault="00E10BA0" w:rsidP="007E453E">
            <w:pPr>
              <w:widowControl w:val="0"/>
              <w:spacing w:line="240" w:lineRule="auto"/>
              <w:jc w:val="left"/>
              <w:rPr>
                <w:sz w:val="24"/>
              </w:rPr>
            </w:pPr>
          </w:p>
        </w:tc>
      </w:tr>
      <w:tr w:rsidR="00E10BA0" w:rsidRPr="008E3606" w14:paraId="4762B10C"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shd w:val="clear" w:color="auto" w:fill="E7E6E6"/>
          </w:tcPr>
          <w:p w14:paraId="2E389B8F" w14:textId="77777777" w:rsidR="00E10BA0" w:rsidRPr="008E3606" w:rsidRDefault="00E10BA0" w:rsidP="007E453E">
            <w:pPr>
              <w:widowControl w:val="0"/>
              <w:spacing w:line="240" w:lineRule="auto"/>
              <w:jc w:val="left"/>
              <w:rPr>
                <w:sz w:val="24"/>
              </w:rPr>
            </w:pPr>
            <w:r w:rsidRPr="008E3606">
              <w:rPr>
                <w:rFonts w:eastAsia="Calibri"/>
                <w:b/>
                <w:sz w:val="24"/>
              </w:rPr>
              <w:t>B.1 POSICIÓN ACTIVA</w:t>
            </w:r>
          </w:p>
        </w:tc>
        <w:tc>
          <w:tcPr>
            <w:tcW w:w="992" w:type="dxa"/>
            <w:tcBorders>
              <w:top w:val="single" w:sz="5" w:space="0" w:color="000000"/>
              <w:left w:val="single" w:sz="4" w:space="0" w:color="000000"/>
              <w:bottom w:val="single" w:sz="5" w:space="0" w:color="000000"/>
              <w:right w:val="single" w:sz="4" w:space="0" w:color="000000"/>
            </w:tcBorders>
            <w:shd w:val="clear" w:color="auto" w:fill="E7E6E6"/>
          </w:tcPr>
          <w:p w14:paraId="4CB4991C" w14:textId="77777777" w:rsidR="00E10BA0" w:rsidRPr="008E3606" w:rsidRDefault="00E10BA0" w:rsidP="007E453E">
            <w:pPr>
              <w:widowControl w:val="0"/>
              <w:spacing w:line="240" w:lineRule="auto"/>
              <w:jc w:val="left"/>
              <w:rPr>
                <w:sz w:val="24"/>
              </w:rPr>
            </w:pPr>
          </w:p>
        </w:tc>
      </w:tr>
      <w:tr w:rsidR="00E10BA0" w:rsidRPr="008E3606" w14:paraId="6428C40D"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tcPr>
          <w:p w14:paraId="302EE616" w14:textId="77777777" w:rsidR="00E10BA0" w:rsidRPr="008E3606" w:rsidRDefault="00E10BA0" w:rsidP="007E453E">
            <w:pPr>
              <w:widowControl w:val="0"/>
              <w:spacing w:line="240" w:lineRule="auto"/>
              <w:jc w:val="left"/>
              <w:rPr>
                <w:sz w:val="24"/>
              </w:rPr>
            </w:pPr>
            <w:r w:rsidRPr="008E3606">
              <w:rPr>
                <w:rFonts w:eastAsia="Calibri"/>
                <w:sz w:val="24"/>
              </w:rPr>
              <w:t>631.01.M.01 Compra a futuro - swaps - cobertura valor razonable</w:t>
            </w:r>
          </w:p>
        </w:tc>
        <w:tc>
          <w:tcPr>
            <w:tcW w:w="992" w:type="dxa"/>
            <w:tcBorders>
              <w:top w:val="single" w:sz="5" w:space="0" w:color="000000"/>
              <w:left w:val="single" w:sz="4" w:space="0" w:color="000000"/>
              <w:bottom w:val="single" w:sz="5" w:space="0" w:color="000000"/>
              <w:right w:val="single" w:sz="4" w:space="0" w:color="000000"/>
            </w:tcBorders>
          </w:tcPr>
          <w:p w14:paraId="123DB3D6" w14:textId="77777777" w:rsidR="00E10BA0" w:rsidRPr="008E3606" w:rsidRDefault="00E10BA0" w:rsidP="007E453E">
            <w:pPr>
              <w:widowControl w:val="0"/>
              <w:spacing w:line="240" w:lineRule="auto"/>
              <w:jc w:val="left"/>
              <w:rPr>
                <w:sz w:val="24"/>
              </w:rPr>
            </w:pPr>
          </w:p>
        </w:tc>
      </w:tr>
      <w:tr w:rsidR="00E10BA0" w:rsidRPr="008E3606" w14:paraId="352ED298"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tcPr>
          <w:p w14:paraId="0AF6001E" w14:textId="77777777" w:rsidR="00E10BA0" w:rsidRPr="008E3606" w:rsidRDefault="00E10BA0" w:rsidP="007E453E">
            <w:pPr>
              <w:widowControl w:val="0"/>
              <w:spacing w:line="240" w:lineRule="auto"/>
              <w:jc w:val="left"/>
              <w:rPr>
                <w:sz w:val="24"/>
              </w:rPr>
            </w:pPr>
            <w:r w:rsidRPr="008E3606">
              <w:rPr>
                <w:rFonts w:eastAsia="Calibri"/>
                <w:sz w:val="24"/>
              </w:rPr>
              <w:t>631.01.M.02 Compra a futuro - forwards - cobertura valor razonable</w:t>
            </w:r>
          </w:p>
        </w:tc>
        <w:tc>
          <w:tcPr>
            <w:tcW w:w="992" w:type="dxa"/>
            <w:tcBorders>
              <w:top w:val="single" w:sz="5" w:space="0" w:color="000000"/>
              <w:left w:val="single" w:sz="4" w:space="0" w:color="000000"/>
              <w:bottom w:val="single" w:sz="5" w:space="0" w:color="000000"/>
              <w:right w:val="single" w:sz="4" w:space="0" w:color="000000"/>
            </w:tcBorders>
          </w:tcPr>
          <w:p w14:paraId="1A6F26C3" w14:textId="77777777" w:rsidR="00E10BA0" w:rsidRPr="008E3606" w:rsidRDefault="00E10BA0" w:rsidP="007E453E">
            <w:pPr>
              <w:widowControl w:val="0"/>
              <w:spacing w:line="240" w:lineRule="auto"/>
              <w:jc w:val="left"/>
              <w:rPr>
                <w:sz w:val="24"/>
              </w:rPr>
            </w:pPr>
          </w:p>
        </w:tc>
      </w:tr>
      <w:tr w:rsidR="00E10BA0" w:rsidRPr="008E3606" w14:paraId="6AFEA8E0"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tcPr>
          <w:p w14:paraId="6051DD32" w14:textId="77777777" w:rsidR="00E10BA0" w:rsidRPr="008E3606" w:rsidRDefault="00E10BA0" w:rsidP="007E453E">
            <w:pPr>
              <w:widowControl w:val="0"/>
              <w:spacing w:line="240" w:lineRule="auto"/>
              <w:jc w:val="left"/>
              <w:rPr>
                <w:sz w:val="24"/>
              </w:rPr>
            </w:pPr>
            <w:r w:rsidRPr="008E3606">
              <w:rPr>
                <w:rFonts w:eastAsia="Calibri"/>
                <w:sz w:val="24"/>
              </w:rPr>
              <w:t>631.01.M.03 Compra a futuro - swaps - cobertura flujos efectivo</w:t>
            </w:r>
          </w:p>
        </w:tc>
        <w:tc>
          <w:tcPr>
            <w:tcW w:w="992" w:type="dxa"/>
            <w:tcBorders>
              <w:top w:val="single" w:sz="5" w:space="0" w:color="000000"/>
              <w:left w:val="single" w:sz="4" w:space="0" w:color="000000"/>
              <w:bottom w:val="single" w:sz="5" w:space="0" w:color="000000"/>
              <w:right w:val="single" w:sz="4" w:space="0" w:color="000000"/>
            </w:tcBorders>
          </w:tcPr>
          <w:p w14:paraId="3F9FA80C" w14:textId="77777777" w:rsidR="00E10BA0" w:rsidRPr="008E3606" w:rsidRDefault="00E10BA0" w:rsidP="007E453E">
            <w:pPr>
              <w:widowControl w:val="0"/>
              <w:spacing w:line="240" w:lineRule="auto"/>
              <w:jc w:val="left"/>
              <w:rPr>
                <w:sz w:val="24"/>
              </w:rPr>
            </w:pPr>
          </w:p>
        </w:tc>
      </w:tr>
      <w:tr w:rsidR="00E10BA0" w:rsidRPr="008E3606" w14:paraId="73201C11" w14:textId="77777777" w:rsidTr="007E453E">
        <w:trPr>
          <w:trHeight w:val="23"/>
        </w:trPr>
        <w:tc>
          <w:tcPr>
            <w:tcW w:w="7501" w:type="dxa"/>
            <w:tcBorders>
              <w:top w:val="single" w:sz="5" w:space="0" w:color="000000"/>
              <w:left w:val="single" w:sz="4" w:space="0" w:color="000000"/>
              <w:bottom w:val="single" w:sz="5" w:space="0" w:color="000000"/>
              <w:right w:val="single" w:sz="4" w:space="0" w:color="000000"/>
            </w:tcBorders>
          </w:tcPr>
          <w:p w14:paraId="46A19562" w14:textId="77777777" w:rsidR="00E10BA0" w:rsidRPr="008E3606" w:rsidRDefault="00E10BA0" w:rsidP="007E453E">
            <w:pPr>
              <w:widowControl w:val="0"/>
              <w:spacing w:line="240" w:lineRule="auto"/>
              <w:jc w:val="left"/>
              <w:rPr>
                <w:sz w:val="24"/>
              </w:rPr>
            </w:pPr>
            <w:r w:rsidRPr="008E3606">
              <w:rPr>
                <w:rFonts w:eastAsia="Calibri"/>
                <w:sz w:val="24"/>
              </w:rPr>
              <w:t>631.01.M.04 Compra a futuro - forwards - cobertura flujos efectivo</w:t>
            </w:r>
          </w:p>
        </w:tc>
        <w:tc>
          <w:tcPr>
            <w:tcW w:w="992" w:type="dxa"/>
            <w:tcBorders>
              <w:top w:val="single" w:sz="5" w:space="0" w:color="000000"/>
              <w:left w:val="single" w:sz="4" w:space="0" w:color="000000"/>
              <w:bottom w:val="single" w:sz="5" w:space="0" w:color="000000"/>
              <w:right w:val="single" w:sz="4" w:space="0" w:color="000000"/>
            </w:tcBorders>
          </w:tcPr>
          <w:p w14:paraId="3FEC9BC1" w14:textId="77777777" w:rsidR="00E10BA0" w:rsidRPr="008E3606" w:rsidRDefault="00E10BA0" w:rsidP="007E453E">
            <w:pPr>
              <w:widowControl w:val="0"/>
              <w:spacing w:line="240" w:lineRule="auto"/>
              <w:jc w:val="left"/>
              <w:rPr>
                <w:sz w:val="24"/>
              </w:rPr>
            </w:pPr>
          </w:p>
        </w:tc>
      </w:tr>
      <w:tr w:rsidR="00E10BA0" w:rsidRPr="008E3606" w14:paraId="149CE781" w14:textId="77777777" w:rsidTr="007E453E">
        <w:trPr>
          <w:trHeight w:val="179"/>
        </w:trPr>
        <w:tc>
          <w:tcPr>
            <w:tcW w:w="7501" w:type="dxa"/>
            <w:tcBorders>
              <w:top w:val="single" w:sz="5" w:space="0" w:color="000000"/>
              <w:left w:val="single" w:sz="4" w:space="0" w:color="000000"/>
              <w:bottom w:val="single" w:sz="4" w:space="0" w:color="000000"/>
              <w:right w:val="single" w:sz="4" w:space="0" w:color="000000"/>
            </w:tcBorders>
          </w:tcPr>
          <w:p w14:paraId="31E1BA07" w14:textId="77777777" w:rsidR="00E10BA0" w:rsidRPr="008E3606" w:rsidRDefault="00E10BA0" w:rsidP="007E453E">
            <w:pPr>
              <w:widowControl w:val="0"/>
              <w:spacing w:line="240" w:lineRule="auto"/>
              <w:jc w:val="left"/>
              <w:rPr>
                <w:sz w:val="24"/>
              </w:rPr>
            </w:pPr>
            <w:r w:rsidRPr="008E3606">
              <w:rPr>
                <w:rFonts w:eastAsia="Calibri"/>
                <w:sz w:val="24"/>
              </w:rPr>
              <w:t>631.01.M.99 Compra a futuro de moneda extranjera - otros</w:t>
            </w:r>
          </w:p>
        </w:tc>
        <w:tc>
          <w:tcPr>
            <w:tcW w:w="992" w:type="dxa"/>
            <w:tcBorders>
              <w:top w:val="single" w:sz="5" w:space="0" w:color="000000"/>
              <w:left w:val="single" w:sz="4" w:space="0" w:color="000000"/>
              <w:bottom w:val="single" w:sz="4" w:space="0" w:color="000000"/>
              <w:right w:val="single" w:sz="4" w:space="0" w:color="000000"/>
            </w:tcBorders>
          </w:tcPr>
          <w:p w14:paraId="3BAA7024" w14:textId="77777777" w:rsidR="00E10BA0" w:rsidRPr="008E3606" w:rsidRDefault="00E10BA0" w:rsidP="007E453E">
            <w:pPr>
              <w:widowControl w:val="0"/>
              <w:spacing w:line="240" w:lineRule="auto"/>
              <w:jc w:val="left"/>
              <w:rPr>
                <w:sz w:val="24"/>
              </w:rPr>
            </w:pPr>
          </w:p>
        </w:tc>
      </w:tr>
      <w:tr w:rsidR="00E10BA0" w:rsidRPr="008E3606" w14:paraId="01137A1F"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6269EBD8" w14:textId="77777777" w:rsidR="00E10BA0" w:rsidRPr="008E3606" w:rsidRDefault="00E10BA0" w:rsidP="007E453E">
            <w:pPr>
              <w:widowControl w:val="0"/>
              <w:spacing w:line="240" w:lineRule="auto"/>
              <w:jc w:val="left"/>
              <w:rPr>
                <w:sz w:val="24"/>
              </w:rPr>
            </w:pPr>
            <w:r w:rsidRPr="008E3606">
              <w:rPr>
                <w:rFonts w:eastAsia="Calibri"/>
                <w:sz w:val="24"/>
              </w:rPr>
              <w:t>632.01.M.01 Compra a futuro - swaps</w:t>
            </w:r>
          </w:p>
        </w:tc>
        <w:tc>
          <w:tcPr>
            <w:tcW w:w="992" w:type="dxa"/>
            <w:tcBorders>
              <w:top w:val="single" w:sz="4" w:space="0" w:color="000000"/>
              <w:left w:val="single" w:sz="4" w:space="0" w:color="000000"/>
              <w:bottom w:val="single" w:sz="4" w:space="0" w:color="000000"/>
              <w:right w:val="single" w:sz="4" w:space="0" w:color="000000"/>
            </w:tcBorders>
          </w:tcPr>
          <w:p w14:paraId="1489AF36" w14:textId="77777777" w:rsidR="00E10BA0" w:rsidRPr="008E3606" w:rsidRDefault="00E10BA0" w:rsidP="007E453E">
            <w:pPr>
              <w:widowControl w:val="0"/>
              <w:spacing w:line="240" w:lineRule="auto"/>
              <w:jc w:val="left"/>
              <w:rPr>
                <w:sz w:val="24"/>
              </w:rPr>
            </w:pPr>
          </w:p>
        </w:tc>
      </w:tr>
      <w:tr w:rsidR="00E10BA0" w:rsidRPr="008E3606" w14:paraId="7C56095D"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6340A005" w14:textId="77777777" w:rsidR="00E10BA0" w:rsidRPr="008E3606" w:rsidRDefault="00E10BA0" w:rsidP="007E453E">
            <w:pPr>
              <w:widowControl w:val="0"/>
              <w:spacing w:line="240" w:lineRule="auto"/>
              <w:jc w:val="left"/>
              <w:rPr>
                <w:sz w:val="24"/>
              </w:rPr>
            </w:pPr>
            <w:r w:rsidRPr="008E3606">
              <w:rPr>
                <w:rFonts w:eastAsia="Calibri"/>
                <w:sz w:val="24"/>
              </w:rPr>
              <w:t>632.01.M.02 Compra a futuro - forwards</w:t>
            </w:r>
          </w:p>
        </w:tc>
        <w:tc>
          <w:tcPr>
            <w:tcW w:w="992" w:type="dxa"/>
            <w:tcBorders>
              <w:top w:val="single" w:sz="4" w:space="0" w:color="000000"/>
              <w:left w:val="single" w:sz="4" w:space="0" w:color="000000"/>
              <w:bottom w:val="single" w:sz="4" w:space="0" w:color="000000"/>
              <w:right w:val="single" w:sz="4" w:space="0" w:color="000000"/>
            </w:tcBorders>
          </w:tcPr>
          <w:p w14:paraId="4147D8D4" w14:textId="77777777" w:rsidR="00E10BA0" w:rsidRPr="008E3606" w:rsidRDefault="00E10BA0" w:rsidP="007E453E">
            <w:pPr>
              <w:widowControl w:val="0"/>
              <w:spacing w:line="240" w:lineRule="auto"/>
              <w:jc w:val="left"/>
              <w:rPr>
                <w:sz w:val="24"/>
              </w:rPr>
            </w:pPr>
          </w:p>
        </w:tc>
      </w:tr>
      <w:tr w:rsidR="00E10BA0" w:rsidRPr="008E3606" w14:paraId="4E95211F"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0BB23883" w14:textId="77777777" w:rsidR="00E10BA0" w:rsidRPr="008E3606" w:rsidRDefault="00E10BA0" w:rsidP="007E453E">
            <w:pPr>
              <w:widowControl w:val="0"/>
              <w:spacing w:line="240" w:lineRule="auto"/>
              <w:jc w:val="left"/>
              <w:rPr>
                <w:sz w:val="24"/>
              </w:rPr>
            </w:pPr>
            <w:r w:rsidRPr="008E3606">
              <w:rPr>
                <w:rFonts w:eastAsia="Calibri"/>
                <w:sz w:val="24"/>
              </w:rPr>
              <w:t>632.01.M.99 Compras a futuro de moneda extranjera - otros</w:t>
            </w:r>
          </w:p>
        </w:tc>
        <w:tc>
          <w:tcPr>
            <w:tcW w:w="992" w:type="dxa"/>
            <w:tcBorders>
              <w:top w:val="single" w:sz="4" w:space="0" w:color="000000"/>
              <w:left w:val="single" w:sz="4" w:space="0" w:color="000000"/>
              <w:bottom w:val="single" w:sz="4" w:space="0" w:color="000000"/>
              <w:right w:val="single" w:sz="4" w:space="0" w:color="000000"/>
            </w:tcBorders>
          </w:tcPr>
          <w:p w14:paraId="4F2EB9A7" w14:textId="77777777" w:rsidR="00E10BA0" w:rsidRPr="008E3606" w:rsidRDefault="00E10BA0" w:rsidP="007E453E">
            <w:pPr>
              <w:widowControl w:val="0"/>
              <w:spacing w:line="240" w:lineRule="auto"/>
              <w:jc w:val="left"/>
              <w:rPr>
                <w:sz w:val="24"/>
              </w:rPr>
            </w:pPr>
          </w:p>
        </w:tc>
      </w:tr>
      <w:tr w:rsidR="00E10BA0" w:rsidRPr="008E3606" w14:paraId="293EC692"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4A2479DA" w14:textId="77777777" w:rsidR="00E10BA0" w:rsidRPr="008E3606" w:rsidRDefault="00E10BA0" w:rsidP="007E453E">
            <w:pPr>
              <w:widowControl w:val="0"/>
              <w:spacing w:line="240" w:lineRule="auto"/>
              <w:jc w:val="left"/>
              <w:rPr>
                <w:sz w:val="24"/>
              </w:rPr>
            </w:pPr>
            <w:r w:rsidRPr="008E3606">
              <w:rPr>
                <w:rFonts w:eastAsia="Calibri"/>
                <w:b/>
                <w:sz w:val="24"/>
              </w:rPr>
              <w:t>Total posición Activa Divisas</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746386FE" w14:textId="77777777" w:rsidR="00E10BA0" w:rsidRPr="008E3606" w:rsidRDefault="00E10BA0" w:rsidP="007E453E">
            <w:pPr>
              <w:widowControl w:val="0"/>
              <w:spacing w:line="240" w:lineRule="auto"/>
              <w:jc w:val="left"/>
              <w:rPr>
                <w:sz w:val="24"/>
              </w:rPr>
            </w:pPr>
          </w:p>
        </w:tc>
      </w:tr>
      <w:tr w:rsidR="00E10BA0" w:rsidRPr="008E3606" w14:paraId="323C83C6" w14:textId="77777777" w:rsidTr="007E453E">
        <w:trPr>
          <w:trHeight w:val="181"/>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68549219" w14:textId="77777777" w:rsidR="00E10BA0" w:rsidRPr="008E3606" w:rsidRDefault="00E10BA0" w:rsidP="007E453E">
            <w:pPr>
              <w:widowControl w:val="0"/>
              <w:spacing w:line="240" w:lineRule="auto"/>
              <w:jc w:val="left"/>
              <w:rPr>
                <w:sz w:val="24"/>
              </w:rPr>
            </w:pPr>
            <w:r w:rsidRPr="008E3606">
              <w:rPr>
                <w:rFonts w:eastAsia="Calibri"/>
                <w:b/>
                <w:sz w:val="24"/>
              </w:rPr>
              <w:t>B.2 POSICIÓN PASIVA</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0F75B8BA" w14:textId="77777777" w:rsidR="00E10BA0" w:rsidRPr="008E3606" w:rsidRDefault="00E10BA0" w:rsidP="007E453E">
            <w:pPr>
              <w:widowControl w:val="0"/>
              <w:spacing w:line="240" w:lineRule="auto"/>
              <w:jc w:val="left"/>
              <w:rPr>
                <w:sz w:val="24"/>
              </w:rPr>
            </w:pPr>
          </w:p>
        </w:tc>
      </w:tr>
      <w:tr w:rsidR="00E10BA0" w:rsidRPr="008E3606" w14:paraId="104015C0" w14:textId="77777777" w:rsidTr="007E453E">
        <w:trPr>
          <w:trHeight w:val="179"/>
        </w:trPr>
        <w:tc>
          <w:tcPr>
            <w:tcW w:w="7501" w:type="dxa"/>
            <w:tcBorders>
              <w:top w:val="single" w:sz="4" w:space="0" w:color="000000"/>
              <w:left w:val="single" w:sz="4" w:space="0" w:color="000000"/>
              <w:bottom w:val="single" w:sz="4" w:space="0" w:color="000000"/>
              <w:right w:val="single" w:sz="4" w:space="0" w:color="000000"/>
            </w:tcBorders>
          </w:tcPr>
          <w:p w14:paraId="5698125A" w14:textId="77777777" w:rsidR="00E10BA0" w:rsidRPr="008E3606" w:rsidRDefault="00E10BA0" w:rsidP="007E453E">
            <w:pPr>
              <w:widowControl w:val="0"/>
              <w:spacing w:line="240" w:lineRule="auto"/>
              <w:jc w:val="left"/>
              <w:rPr>
                <w:sz w:val="24"/>
              </w:rPr>
            </w:pPr>
            <w:r w:rsidRPr="008E3606">
              <w:rPr>
                <w:rFonts w:eastAsia="Calibri"/>
                <w:sz w:val="24"/>
              </w:rPr>
              <w:t>641.02.M.01 Venta a futuro - swaps - cobertura valor razonable</w:t>
            </w:r>
          </w:p>
        </w:tc>
        <w:tc>
          <w:tcPr>
            <w:tcW w:w="992" w:type="dxa"/>
            <w:tcBorders>
              <w:top w:val="single" w:sz="4" w:space="0" w:color="000000"/>
              <w:left w:val="single" w:sz="4" w:space="0" w:color="000000"/>
              <w:bottom w:val="single" w:sz="4" w:space="0" w:color="000000"/>
              <w:right w:val="single" w:sz="4" w:space="0" w:color="000000"/>
            </w:tcBorders>
          </w:tcPr>
          <w:p w14:paraId="2304F537" w14:textId="77777777" w:rsidR="00E10BA0" w:rsidRPr="008E3606" w:rsidRDefault="00E10BA0" w:rsidP="007E453E">
            <w:pPr>
              <w:widowControl w:val="0"/>
              <w:spacing w:line="240" w:lineRule="auto"/>
              <w:jc w:val="left"/>
              <w:rPr>
                <w:sz w:val="24"/>
              </w:rPr>
            </w:pPr>
          </w:p>
        </w:tc>
      </w:tr>
      <w:tr w:rsidR="00E10BA0" w:rsidRPr="008E3606" w14:paraId="00AEEF64"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058F2744" w14:textId="77777777" w:rsidR="00E10BA0" w:rsidRPr="008E3606" w:rsidRDefault="00E10BA0" w:rsidP="007E453E">
            <w:pPr>
              <w:widowControl w:val="0"/>
              <w:spacing w:line="240" w:lineRule="auto"/>
              <w:jc w:val="left"/>
              <w:rPr>
                <w:sz w:val="24"/>
              </w:rPr>
            </w:pPr>
            <w:r w:rsidRPr="008E3606">
              <w:rPr>
                <w:rFonts w:eastAsia="Calibri"/>
                <w:sz w:val="24"/>
              </w:rPr>
              <w:t>641.02.M.02 Venta a futuro - forwards - cobertura valor razonable</w:t>
            </w:r>
          </w:p>
        </w:tc>
        <w:tc>
          <w:tcPr>
            <w:tcW w:w="992" w:type="dxa"/>
            <w:tcBorders>
              <w:top w:val="single" w:sz="4" w:space="0" w:color="000000"/>
              <w:left w:val="single" w:sz="4" w:space="0" w:color="000000"/>
              <w:bottom w:val="single" w:sz="4" w:space="0" w:color="000000"/>
              <w:right w:val="single" w:sz="4" w:space="0" w:color="000000"/>
            </w:tcBorders>
          </w:tcPr>
          <w:p w14:paraId="5FE21E3D" w14:textId="77777777" w:rsidR="00E10BA0" w:rsidRPr="008E3606" w:rsidRDefault="00E10BA0" w:rsidP="007E453E">
            <w:pPr>
              <w:widowControl w:val="0"/>
              <w:spacing w:line="240" w:lineRule="auto"/>
              <w:jc w:val="left"/>
              <w:rPr>
                <w:sz w:val="24"/>
              </w:rPr>
            </w:pPr>
          </w:p>
        </w:tc>
      </w:tr>
      <w:tr w:rsidR="00E10BA0" w:rsidRPr="008E3606" w14:paraId="5D0759E2"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52229203" w14:textId="77777777" w:rsidR="00E10BA0" w:rsidRPr="008E3606" w:rsidRDefault="00E10BA0" w:rsidP="007E453E">
            <w:pPr>
              <w:widowControl w:val="0"/>
              <w:spacing w:line="240" w:lineRule="auto"/>
              <w:jc w:val="left"/>
              <w:rPr>
                <w:sz w:val="24"/>
              </w:rPr>
            </w:pPr>
            <w:r w:rsidRPr="008E3606">
              <w:rPr>
                <w:rFonts w:eastAsia="Calibri"/>
                <w:sz w:val="24"/>
              </w:rPr>
              <w:t>641.02.M.03 Venta a futuro - swaps - cobertura flujos efectivo</w:t>
            </w:r>
          </w:p>
        </w:tc>
        <w:tc>
          <w:tcPr>
            <w:tcW w:w="992" w:type="dxa"/>
            <w:tcBorders>
              <w:top w:val="single" w:sz="4" w:space="0" w:color="000000"/>
              <w:left w:val="single" w:sz="4" w:space="0" w:color="000000"/>
              <w:bottom w:val="single" w:sz="4" w:space="0" w:color="000000"/>
              <w:right w:val="single" w:sz="4" w:space="0" w:color="000000"/>
            </w:tcBorders>
          </w:tcPr>
          <w:p w14:paraId="13487042" w14:textId="77777777" w:rsidR="00E10BA0" w:rsidRPr="008E3606" w:rsidRDefault="00E10BA0" w:rsidP="007E453E">
            <w:pPr>
              <w:widowControl w:val="0"/>
              <w:spacing w:line="240" w:lineRule="auto"/>
              <w:jc w:val="left"/>
              <w:rPr>
                <w:sz w:val="24"/>
              </w:rPr>
            </w:pPr>
          </w:p>
        </w:tc>
      </w:tr>
      <w:tr w:rsidR="00E10BA0" w:rsidRPr="008E3606" w14:paraId="571552D2"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7E101EFF" w14:textId="77777777" w:rsidR="00E10BA0" w:rsidRPr="008E3606" w:rsidRDefault="00E10BA0" w:rsidP="007E453E">
            <w:pPr>
              <w:widowControl w:val="0"/>
              <w:spacing w:line="240" w:lineRule="auto"/>
              <w:jc w:val="left"/>
              <w:rPr>
                <w:sz w:val="24"/>
              </w:rPr>
            </w:pPr>
            <w:r w:rsidRPr="008E3606">
              <w:rPr>
                <w:rFonts w:eastAsia="Calibri"/>
                <w:sz w:val="24"/>
              </w:rPr>
              <w:t>641.02.M.04 Venta a futuro - forwards - cobertura flujos efectivo</w:t>
            </w:r>
          </w:p>
        </w:tc>
        <w:tc>
          <w:tcPr>
            <w:tcW w:w="992" w:type="dxa"/>
            <w:tcBorders>
              <w:top w:val="single" w:sz="4" w:space="0" w:color="000000"/>
              <w:left w:val="single" w:sz="4" w:space="0" w:color="000000"/>
              <w:bottom w:val="single" w:sz="4" w:space="0" w:color="000000"/>
              <w:right w:val="single" w:sz="4" w:space="0" w:color="000000"/>
            </w:tcBorders>
          </w:tcPr>
          <w:p w14:paraId="4B820C0E" w14:textId="77777777" w:rsidR="00E10BA0" w:rsidRPr="008E3606" w:rsidRDefault="00E10BA0" w:rsidP="007E453E">
            <w:pPr>
              <w:widowControl w:val="0"/>
              <w:spacing w:line="240" w:lineRule="auto"/>
              <w:jc w:val="left"/>
              <w:rPr>
                <w:sz w:val="24"/>
              </w:rPr>
            </w:pPr>
          </w:p>
        </w:tc>
      </w:tr>
      <w:tr w:rsidR="00E10BA0" w:rsidRPr="008E3606" w14:paraId="041838C7"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6817250B" w14:textId="77777777" w:rsidR="00E10BA0" w:rsidRPr="008E3606" w:rsidRDefault="00E10BA0" w:rsidP="007E453E">
            <w:pPr>
              <w:widowControl w:val="0"/>
              <w:spacing w:line="240" w:lineRule="auto"/>
              <w:jc w:val="left"/>
              <w:rPr>
                <w:sz w:val="24"/>
              </w:rPr>
            </w:pPr>
            <w:r w:rsidRPr="008E3606">
              <w:rPr>
                <w:rFonts w:eastAsia="Calibri"/>
                <w:sz w:val="24"/>
              </w:rPr>
              <w:t>641.02.M.99 Venta a futuro de moneda extranjera - otras coberturas</w:t>
            </w:r>
          </w:p>
        </w:tc>
        <w:tc>
          <w:tcPr>
            <w:tcW w:w="992" w:type="dxa"/>
            <w:tcBorders>
              <w:top w:val="single" w:sz="4" w:space="0" w:color="000000"/>
              <w:left w:val="single" w:sz="4" w:space="0" w:color="000000"/>
              <w:bottom w:val="single" w:sz="4" w:space="0" w:color="000000"/>
              <w:right w:val="single" w:sz="4" w:space="0" w:color="000000"/>
            </w:tcBorders>
          </w:tcPr>
          <w:p w14:paraId="5AF50045" w14:textId="77777777" w:rsidR="00E10BA0" w:rsidRPr="008E3606" w:rsidRDefault="00E10BA0" w:rsidP="007E453E">
            <w:pPr>
              <w:widowControl w:val="0"/>
              <w:spacing w:line="240" w:lineRule="auto"/>
              <w:jc w:val="left"/>
              <w:rPr>
                <w:sz w:val="24"/>
              </w:rPr>
            </w:pPr>
          </w:p>
        </w:tc>
      </w:tr>
      <w:tr w:rsidR="00E10BA0" w:rsidRPr="008E3606" w14:paraId="5A60556C"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3046D860" w14:textId="77777777" w:rsidR="00E10BA0" w:rsidRPr="008E3606" w:rsidRDefault="00E10BA0" w:rsidP="007E453E">
            <w:pPr>
              <w:widowControl w:val="0"/>
              <w:spacing w:line="240" w:lineRule="auto"/>
              <w:jc w:val="left"/>
              <w:rPr>
                <w:sz w:val="24"/>
              </w:rPr>
            </w:pPr>
            <w:r w:rsidRPr="008E3606">
              <w:rPr>
                <w:rFonts w:eastAsia="Calibri"/>
                <w:sz w:val="24"/>
              </w:rPr>
              <w:t>642.02.M.01 Venta a futuro - swaps</w:t>
            </w:r>
          </w:p>
        </w:tc>
        <w:tc>
          <w:tcPr>
            <w:tcW w:w="992" w:type="dxa"/>
            <w:tcBorders>
              <w:top w:val="single" w:sz="4" w:space="0" w:color="000000"/>
              <w:left w:val="single" w:sz="4" w:space="0" w:color="000000"/>
              <w:bottom w:val="single" w:sz="4" w:space="0" w:color="000000"/>
              <w:right w:val="single" w:sz="4" w:space="0" w:color="000000"/>
            </w:tcBorders>
          </w:tcPr>
          <w:p w14:paraId="28E7A98D" w14:textId="77777777" w:rsidR="00E10BA0" w:rsidRPr="008E3606" w:rsidRDefault="00E10BA0" w:rsidP="007E453E">
            <w:pPr>
              <w:widowControl w:val="0"/>
              <w:spacing w:line="240" w:lineRule="auto"/>
              <w:jc w:val="left"/>
              <w:rPr>
                <w:sz w:val="24"/>
              </w:rPr>
            </w:pPr>
          </w:p>
        </w:tc>
      </w:tr>
      <w:tr w:rsidR="00E10BA0" w:rsidRPr="008E3606" w14:paraId="7DF71F1E"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3CB9E9D9" w14:textId="77777777" w:rsidR="00E10BA0" w:rsidRPr="008E3606" w:rsidRDefault="00E10BA0" w:rsidP="007E453E">
            <w:pPr>
              <w:widowControl w:val="0"/>
              <w:spacing w:line="240" w:lineRule="auto"/>
              <w:jc w:val="left"/>
              <w:rPr>
                <w:sz w:val="24"/>
              </w:rPr>
            </w:pPr>
            <w:r w:rsidRPr="008E3606">
              <w:rPr>
                <w:rFonts w:eastAsia="Calibri"/>
                <w:sz w:val="24"/>
              </w:rPr>
              <w:t>642.02.M.02 Venta a futuro - forwards</w:t>
            </w:r>
          </w:p>
        </w:tc>
        <w:tc>
          <w:tcPr>
            <w:tcW w:w="992" w:type="dxa"/>
            <w:tcBorders>
              <w:top w:val="single" w:sz="4" w:space="0" w:color="000000"/>
              <w:left w:val="single" w:sz="4" w:space="0" w:color="000000"/>
              <w:bottom w:val="single" w:sz="4" w:space="0" w:color="000000"/>
              <w:right w:val="single" w:sz="4" w:space="0" w:color="000000"/>
            </w:tcBorders>
          </w:tcPr>
          <w:p w14:paraId="434D0CF6" w14:textId="77777777" w:rsidR="00E10BA0" w:rsidRPr="008E3606" w:rsidRDefault="00E10BA0" w:rsidP="007E453E">
            <w:pPr>
              <w:widowControl w:val="0"/>
              <w:spacing w:line="240" w:lineRule="auto"/>
              <w:jc w:val="left"/>
              <w:rPr>
                <w:sz w:val="24"/>
              </w:rPr>
            </w:pPr>
          </w:p>
        </w:tc>
      </w:tr>
      <w:tr w:rsidR="00E10BA0" w:rsidRPr="008E3606" w14:paraId="3019B3BF"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tcPr>
          <w:p w14:paraId="0C71B55E" w14:textId="77777777" w:rsidR="00E10BA0" w:rsidRPr="008E3606" w:rsidRDefault="00E10BA0" w:rsidP="007E453E">
            <w:pPr>
              <w:widowControl w:val="0"/>
              <w:spacing w:line="240" w:lineRule="auto"/>
              <w:jc w:val="left"/>
              <w:rPr>
                <w:sz w:val="24"/>
              </w:rPr>
            </w:pPr>
            <w:r w:rsidRPr="008E3606">
              <w:rPr>
                <w:rFonts w:eastAsia="Calibri"/>
                <w:sz w:val="24"/>
              </w:rPr>
              <w:t>642.02.M.99 Ventas a futuro de moneda extranjera - otros</w:t>
            </w:r>
          </w:p>
        </w:tc>
        <w:tc>
          <w:tcPr>
            <w:tcW w:w="992" w:type="dxa"/>
            <w:tcBorders>
              <w:top w:val="single" w:sz="4" w:space="0" w:color="000000"/>
              <w:left w:val="single" w:sz="4" w:space="0" w:color="000000"/>
              <w:bottom w:val="single" w:sz="4" w:space="0" w:color="000000"/>
              <w:right w:val="single" w:sz="4" w:space="0" w:color="000000"/>
            </w:tcBorders>
          </w:tcPr>
          <w:p w14:paraId="0147872E" w14:textId="77777777" w:rsidR="00E10BA0" w:rsidRPr="008E3606" w:rsidRDefault="00E10BA0" w:rsidP="007E453E">
            <w:pPr>
              <w:widowControl w:val="0"/>
              <w:spacing w:line="240" w:lineRule="auto"/>
              <w:jc w:val="left"/>
              <w:rPr>
                <w:sz w:val="24"/>
              </w:rPr>
            </w:pPr>
          </w:p>
        </w:tc>
      </w:tr>
      <w:tr w:rsidR="00E10BA0" w:rsidRPr="008E3606" w14:paraId="69556475" w14:textId="77777777" w:rsidTr="007E453E">
        <w:trPr>
          <w:trHeight w:val="180"/>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65117D87" w14:textId="77777777" w:rsidR="00E10BA0" w:rsidRPr="008E3606" w:rsidRDefault="00E10BA0" w:rsidP="007E453E">
            <w:pPr>
              <w:widowControl w:val="0"/>
              <w:spacing w:line="240" w:lineRule="auto"/>
              <w:jc w:val="left"/>
              <w:rPr>
                <w:sz w:val="24"/>
              </w:rPr>
            </w:pPr>
            <w:r w:rsidRPr="008E3606">
              <w:rPr>
                <w:rFonts w:eastAsia="Calibri"/>
                <w:sz w:val="24"/>
              </w:rPr>
              <w:t>Total posición Pasiva Divisas</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6B0992E6" w14:textId="77777777" w:rsidR="00E10BA0" w:rsidRPr="008E3606" w:rsidRDefault="00E10BA0" w:rsidP="007E453E">
            <w:pPr>
              <w:widowControl w:val="0"/>
              <w:spacing w:line="240" w:lineRule="auto"/>
              <w:jc w:val="left"/>
              <w:rPr>
                <w:sz w:val="24"/>
              </w:rPr>
            </w:pPr>
          </w:p>
        </w:tc>
      </w:tr>
      <w:tr w:rsidR="00E10BA0" w:rsidRPr="008E3606" w14:paraId="338FD51C" w14:textId="77777777" w:rsidTr="007E453E">
        <w:trPr>
          <w:trHeight w:val="181"/>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0BFBD3B8" w14:textId="77777777" w:rsidR="00E10BA0" w:rsidRPr="008E3606" w:rsidRDefault="00E10BA0" w:rsidP="007E453E">
            <w:pPr>
              <w:widowControl w:val="0"/>
              <w:spacing w:line="240" w:lineRule="auto"/>
              <w:jc w:val="left"/>
              <w:rPr>
                <w:sz w:val="24"/>
              </w:rPr>
            </w:pPr>
            <w:r w:rsidRPr="008E3606">
              <w:rPr>
                <w:rFonts w:eastAsia="Calibri"/>
                <w:b/>
                <w:sz w:val="24"/>
              </w:rPr>
              <w:t>POSICIÓN NETA EN MONEDA EXTRANJERA DE DERIVADOS CAMBIARIOS (B.1 menos B.2)</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56F5ECF2" w14:textId="77777777" w:rsidR="00E10BA0" w:rsidRPr="008E3606" w:rsidRDefault="00E10BA0" w:rsidP="007E453E">
            <w:pPr>
              <w:widowControl w:val="0"/>
              <w:spacing w:line="240" w:lineRule="auto"/>
              <w:jc w:val="left"/>
              <w:rPr>
                <w:sz w:val="24"/>
              </w:rPr>
            </w:pPr>
          </w:p>
        </w:tc>
      </w:tr>
      <w:tr w:rsidR="00E10BA0" w:rsidRPr="008E3606" w14:paraId="2F0D9363" w14:textId="77777777" w:rsidTr="007E453E">
        <w:trPr>
          <w:trHeight w:val="58"/>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2FEF5ACE" w14:textId="77777777" w:rsidR="00E10BA0" w:rsidRPr="008E3606" w:rsidRDefault="00E10BA0" w:rsidP="007E453E">
            <w:pPr>
              <w:widowControl w:val="0"/>
              <w:spacing w:line="240" w:lineRule="auto"/>
              <w:jc w:val="left"/>
              <w:rPr>
                <w:sz w:val="24"/>
              </w:rPr>
            </w:pPr>
            <w:r w:rsidRPr="008E3606">
              <w:rPr>
                <w:rFonts w:eastAsia="Calibri"/>
                <w:b/>
                <w:sz w:val="24"/>
              </w:rPr>
              <w:t>C. POSICIÓN NETA TOTAL EN MONEDA EXTRANJERA (A + B)</w:t>
            </w:r>
          </w:p>
          <w:p w14:paraId="0C7B5D31" w14:textId="77777777" w:rsidR="00E10BA0" w:rsidRPr="008E3606" w:rsidRDefault="00E10BA0" w:rsidP="007E453E">
            <w:pPr>
              <w:widowControl w:val="0"/>
              <w:spacing w:line="240" w:lineRule="auto"/>
              <w:jc w:val="left"/>
              <w:rPr>
                <w:sz w:val="24"/>
              </w:rPr>
            </w:pPr>
            <w:r w:rsidRPr="008E3606">
              <w:rPr>
                <w:rFonts w:eastAsia="Calibri"/>
                <w:b/>
                <w:sz w:val="24"/>
              </w:rPr>
              <w:t>(ARTÍCULO 21, SUGEF 9-20)</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73B2D7CC" w14:textId="77777777" w:rsidR="00E10BA0" w:rsidRPr="008E3606" w:rsidRDefault="00E10BA0" w:rsidP="007E453E">
            <w:pPr>
              <w:widowControl w:val="0"/>
              <w:spacing w:line="240" w:lineRule="auto"/>
              <w:jc w:val="left"/>
              <w:rPr>
                <w:sz w:val="24"/>
              </w:rPr>
            </w:pPr>
          </w:p>
        </w:tc>
      </w:tr>
      <w:tr w:rsidR="00E10BA0" w:rsidRPr="008E3606" w14:paraId="6B23378A" w14:textId="77777777" w:rsidTr="007E453E">
        <w:trPr>
          <w:trHeight w:val="177"/>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36DC148F" w14:textId="77777777" w:rsidR="00E10BA0" w:rsidRPr="008E3606" w:rsidRDefault="00E10BA0" w:rsidP="007E453E">
            <w:pPr>
              <w:widowControl w:val="0"/>
              <w:spacing w:line="240" w:lineRule="auto"/>
              <w:jc w:val="left"/>
              <w:rPr>
                <w:sz w:val="24"/>
              </w:rPr>
            </w:pPr>
            <w:r w:rsidRPr="008E3606">
              <w:rPr>
                <w:rFonts w:eastAsia="Calibri"/>
                <w:b/>
                <w:sz w:val="24"/>
              </w:rPr>
              <w:t xml:space="preserve">D. REQUERIMIENTO DE CAPITAL POR RIESGO CAMBIARIO </w:t>
            </w:r>
          </w:p>
          <w:p w14:paraId="340D7263" w14:textId="77777777" w:rsidR="00E10BA0" w:rsidRPr="008E3606" w:rsidRDefault="00E10BA0" w:rsidP="007E453E">
            <w:pPr>
              <w:widowControl w:val="0"/>
              <w:spacing w:line="240" w:lineRule="auto"/>
              <w:jc w:val="left"/>
              <w:rPr>
                <w:sz w:val="24"/>
              </w:rPr>
            </w:pPr>
            <w:r w:rsidRPr="008E3606">
              <w:rPr>
                <w:rFonts w:eastAsia="Calibri"/>
                <w:b/>
                <w:sz w:val="24"/>
              </w:rPr>
              <w:t>(SECCIÓN V DEL CAPÍTULO V, SUGEF 3-06)</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02EA21E6" w14:textId="77777777" w:rsidR="00E10BA0" w:rsidRPr="008E3606" w:rsidRDefault="00E10BA0" w:rsidP="007E453E">
            <w:pPr>
              <w:widowControl w:val="0"/>
              <w:spacing w:line="240" w:lineRule="auto"/>
              <w:jc w:val="left"/>
              <w:rPr>
                <w:sz w:val="24"/>
              </w:rPr>
            </w:pPr>
          </w:p>
        </w:tc>
      </w:tr>
      <w:tr w:rsidR="00E10BA0" w:rsidRPr="008E3606" w14:paraId="71E29606" w14:textId="77777777" w:rsidTr="007E453E">
        <w:trPr>
          <w:trHeight w:val="18"/>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411691CF" w14:textId="77777777" w:rsidR="00E10BA0" w:rsidRPr="008E3606" w:rsidRDefault="00E10BA0" w:rsidP="007E453E">
            <w:pPr>
              <w:widowControl w:val="0"/>
              <w:spacing w:line="240" w:lineRule="auto"/>
              <w:jc w:val="left"/>
              <w:rPr>
                <w:sz w:val="24"/>
              </w:rPr>
            </w:pPr>
            <w:r w:rsidRPr="008E3606">
              <w:rPr>
                <w:rFonts w:eastAsia="Calibri"/>
                <w:b/>
                <w:sz w:val="24"/>
              </w:rPr>
              <w:t>E. PATRIMONIO CONTABLE [C(300) + C(500) - C(400)]</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19E49987" w14:textId="77777777" w:rsidR="00E10BA0" w:rsidRPr="008E3606" w:rsidRDefault="00E10BA0" w:rsidP="007E453E">
            <w:pPr>
              <w:widowControl w:val="0"/>
              <w:spacing w:line="240" w:lineRule="auto"/>
              <w:jc w:val="left"/>
              <w:rPr>
                <w:sz w:val="24"/>
              </w:rPr>
            </w:pPr>
          </w:p>
        </w:tc>
      </w:tr>
      <w:tr w:rsidR="00E10BA0" w:rsidRPr="008E3606" w14:paraId="579CF727" w14:textId="77777777" w:rsidTr="007E453E">
        <w:trPr>
          <w:trHeight w:val="18"/>
        </w:trPr>
        <w:tc>
          <w:tcPr>
            <w:tcW w:w="7501" w:type="dxa"/>
            <w:tcBorders>
              <w:top w:val="single" w:sz="4" w:space="0" w:color="000000"/>
              <w:left w:val="single" w:sz="4" w:space="0" w:color="000000"/>
              <w:bottom w:val="single" w:sz="4" w:space="0" w:color="000000"/>
              <w:right w:val="single" w:sz="4" w:space="0" w:color="000000"/>
            </w:tcBorders>
            <w:shd w:val="clear" w:color="auto" w:fill="E7E6E6"/>
          </w:tcPr>
          <w:p w14:paraId="1CA2570C" w14:textId="77777777" w:rsidR="00E10BA0" w:rsidRPr="008E3606" w:rsidRDefault="00E10BA0" w:rsidP="007E453E">
            <w:pPr>
              <w:widowControl w:val="0"/>
              <w:spacing w:line="240" w:lineRule="auto"/>
              <w:jc w:val="left"/>
              <w:rPr>
                <w:sz w:val="24"/>
              </w:rPr>
            </w:pPr>
            <w:r w:rsidRPr="008E3606">
              <w:rPr>
                <w:rFonts w:eastAsia="Calibri"/>
                <w:b/>
                <w:sz w:val="24"/>
              </w:rPr>
              <w:t>F. CAPITAL BASE (Según SUGEF 3-06)</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1AF22C5F" w14:textId="77777777" w:rsidR="00E10BA0" w:rsidRPr="008E3606" w:rsidRDefault="00E10BA0" w:rsidP="007E453E">
            <w:pPr>
              <w:widowControl w:val="0"/>
              <w:spacing w:line="240" w:lineRule="auto"/>
              <w:jc w:val="left"/>
              <w:rPr>
                <w:sz w:val="24"/>
              </w:rPr>
            </w:pPr>
          </w:p>
        </w:tc>
      </w:tr>
      <w:tr w:rsidR="00E10BA0" w:rsidRPr="008E3606" w14:paraId="5C211D3A" w14:textId="77777777" w:rsidTr="007E453E">
        <w:trPr>
          <w:trHeight w:val="18"/>
        </w:trPr>
        <w:tc>
          <w:tcPr>
            <w:tcW w:w="7501" w:type="dxa"/>
            <w:tcBorders>
              <w:top w:val="single" w:sz="4" w:space="0" w:color="000000"/>
              <w:left w:val="single" w:sz="4" w:space="0" w:color="000000"/>
              <w:bottom w:val="single" w:sz="4" w:space="0" w:color="000000"/>
              <w:right w:val="single" w:sz="3" w:space="0" w:color="000000"/>
            </w:tcBorders>
            <w:shd w:val="clear" w:color="auto" w:fill="E7E6E6"/>
          </w:tcPr>
          <w:p w14:paraId="3BC26750" w14:textId="77777777" w:rsidR="00E10BA0" w:rsidRPr="008E3606" w:rsidRDefault="00E10BA0" w:rsidP="007E453E">
            <w:pPr>
              <w:widowControl w:val="0"/>
              <w:spacing w:line="240" w:lineRule="auto"/>
              <w:jc w:val="left"/>
              <w:rPr>
                <w:sz w:val="24"/>
              </w:rPr>
            </w:pPr>
            <w:r w:rsidRPr="008E3606">
              <w:rPr>
                <w:rFonts w:eastAsia="Calibri"/>
                <w:b/>
                <w:sz w:val="24"/>
              </w:rPr>
              <w:t>G. LÍMITE PARA LA POSICIÓN NETA TOTAL EN MONEDA EXTRANJERA [-100%&lt;C/E&lt;100%]</w:t>
            </w:r>
          </w:p>
          <w:p w14:paraId="2C02413B" w14:textId="77777777" w:rsidR="00E10BA0" w:rsidRPr="008E3606" w:rsidRDefault="00E10BA0" w:rsidP="007E453E">
            <w:pPr>
              <w:widowControl w:val="0"/>
              <w:spacing w:line="240" w:lineRule="auto"/>
              <w:jc w:val="left"/>
              <w:rPr>
                <w:sz w:val="24"/>
              </w:rPr>
            </w:pPr>
            <w:r w:rsidRPr="008E3606">
              <w:rPr>
                <w:rFonts w:eastAsia="Calibri"/>
                <w:b/>
                <w:sz w:val="24"/>
              </w:rPr>
              <w:t>(Artículo 21, SUGEF 9-20)</w:t>
            </w:r>
          </w:p>
        </w:tc>
        <w:tc>
          <w:tcPr>
            <w:tcW w:w="992" w:type="dxa"/>
            <w:tcBorders>
              <w:top w:val="single" w:sz="4" w:space="0" w:color="000000"/>
              <w:left w:val="single" w:sz="3" w:space="0" w:color="000000"/>
              <w:bottom w:val="single" w:sz="4" w:space="0" w:color="000000"/>
              <w:right w:val="single" w:sz="4" w:space="0" w:color="000000"/>
            </w:tcBorders>
            <w:shd w:val="clear" w:color="auto" w:fill="E7E6E6"/>
          </w:tcPr>
          <w:p w14:paraId="6D8D2DC0" w14:textId="77777777" w:rsidR="00E10BA0" w:rsidRPr="008E3606" w:rsidRDefault="00E10BA0" w:rsidP="007E453E">
            <w:pPr>
              <w:widowControl w:val="0"/>
              <w:spacing w:line="240" w:lineRule="auto"/>
              <w:jc w:val="left"/>
              <w:rPr>
                <w:sz w:val="24"/>
              </w:rPr>
            </w:pPr>
          </w:p>
        </w:tc>
      </w:tr>
    </w:tbl>
    <w:p w14:paraId="7D6B2B49" w14:textId="77777777" w:rsidR="00E10BA0" w:rsidRPr="008E3606" w:rsidRDefault="00E10BA0" w:rsidP="00E10BA0">
      <w:pPr>
        <w:widowControl w:val="0"/>
        <w:spacing w:after="240" w:line="240" w:lineRule="auto"/>
        <w:ind w:left="657" w:right="1"/>
        <w:jc w:val="left"/>
        <w:rPr>
          <w:sz w:val="24"/>
        </w:rPr>
      </w:pPr>
    </w:p>
    <w:p w14:paraId="13687AF8" w14:textId="77777777" w:rsidR="00E10BA0" w:rsidRPr="008E3606" w:rsidRDefault="00E10BA0" w:rsidP="00D92BF5">
      <w:pPr>
        <w:pStyle w:val="Ttulo1"/>
        <w:spacing w:after="240"/>
        <w:ind w:left="0" w:firstLine="0"/>
        <w:rPr>
          <w:rFonts w:ascii="Cambria" w:hAnsi="Cambria" w:cs="Times New Roman"/>
          <w:szCs w:val="24"/>
        </w:rPr>
      </w:pPr>
      <w:bookmarkStart w:id="12" w:name="_Toc153190208"/>
      <w:r w:rsidRPr="008E3606">
        <w:rPr>
          <w:rFonts w:ascii="Cambria" w:hAnsi="Cambria" w:cs="Times New Roman"/>
          <w:szCs w:val="24"/>
        </w:rPr>
        <w:t>VIII. CÁLCULO DE LOS COLCHONES DE CAPITAL TOTALES</w:t>
      </w:r>
      <w:bookmarkEnd w:id="12"/>
    </w:p>
    <w:p w14:paraId="2A4241DB" w14:textId="77777777" w:rsidR="00E10BA0" w:rsidRPr="008E3606" w:rsidRDefault="00E10BA0" w:rsidP="00E10BA0">
      <w:pPr>
        <w:widowControl w:val="0"/>
        <w:spacing w:after="240" w:line="240" w:lineRule="auto"/>
        <w:ind w:left="1134" w:hanging="1134"/>
        <w:jc w:val="left"/>
        <w:rPr>
          <w:sz w:val="24"/>
        </w:rPr>
      </w:pPr>
      <w:r w:rsidRPr="008E3606">
        <w:rPr>
          <w:b/>
          <w:bCs/>
          <w:sz w:val="24"/>
        </w:rPr>
        <w:t>Objetivo</w:t>
      </w:r>
      <w:r w:rsidRPr="008E3606">
        <w:rPr>
          <w:sz w:val="24"/>
        </w:rPr>
        <w:t>:</w:t>
      </w:r>
      <w:r w:rsidRPr="008E3606">
        <w:rPr>
          <w:sz w:val="24"/>
        </w:rPr>
        <w:tab/>
        <w:t>indicar los colchones totales de capital, según la condición de entidad de importancia sistémica y el nivel de exposición al RTILB.</w:t>
      </w:r>
    </w:p>
    <w:p w14:paraId="4AE52628" w14:textId="77777777" w:rsidR="00E10BA0" w:rsidRPr="008E3606" w:rsidRDefault="00E10BA0" w:rsidP="00E10BA0">
      <w:pPr>
        <w:pStyle w:val="Prrafodelista"/>
        <w:widowControl w:val="0"/>
        <w:numPr>
          <w:ilvl w:val="0"/>
          <w:numId w:val="17"/>
        </w:numPr>
        <w:spacing w:after="240" w:line="240" w:lineRule="auto"/>
        <w:ind w:left="567" w:hanging="567"/>
        <w:contextualSpacing w:val="0"/>
        <w:rPr>
          <w:rFonts w:ascii="Cambria" w:hAnsi="Cambria"/>
          <w:color w:val="auto"/>
          <w:szCs w:val="24"/>
        </w:rPr>
      </w:pPr>
      <w:r w:rsidRPr="008E3606">
        <w:rPr>
          <w:rFonts w:ascii="Cambria" w:hAnsi="Cambria"/>
          <w:color w:val="auto"/>
          <w:szCs w:val="24"/>
        </w:rPr>
        <w:t xml:space="preserve">De conformidad con el punto </w:t>
      </w:r>
      <w:r w:rsidRPr="008E3606">
        <w:rPr>
          <w:rFonts w:ascii="Cambria" w:hAnsi="Cambria"/>
          <w:i/>
          <w:iCs/>
          <w:color w:val="auto"/>
          <w:szCs w:val="24"/>
        </w:rPr>
        <w:t xml:space="preserve">8. </w:t>
      </w:r>
      <w:r w:rsidRPr="008E3606">
        <w:rPr>
          <w:rFonts w:ascii="Cambria" w:hAnsi="Cambria"/>
          <w:i/>
          <w:iCs/>
          <w:szCs w:val="24"/>
        </w:rPr>
        <w:t>Porcentaje de gradualidad para aplicar el requerimiento adicional de capital por conservación de 2.50%</w:t>
      </w:r>
      <w:r w:rsidRPr="008E3606">
        <w:rPr>
          <w:rFonts w:ascii="Cambria" w:hAnsi="Cambria"/>
          <w:szCs w:val="24"/>
        </w:rPr>
        <w:t xml:space="preserve"> </w:t>
      </w:r>
      <w:r w:rsidRPr="008E3606">
        <w:rPr>
          <w:rFonts w:ascii="Cambria" w:hAnsi="Cambria"/>
          <w:color w:val="auto"/>
          <w:szCs w:val="24"/>
        </w:rPr>
        <w:t xml:space="preserve">del </w:t>
      </w:r>
      <w:r w:rsidRPr="008E3606">
        <w:rPr>
          <w:rFonts w:ascii="Cambria" w:hAnsi="Cambria"/>
          <w:i/>
          <w:iCs/>
          <w:color w:val="auto"/>
          <w:szCs w:val="24"/>
        </w:rPr>
        <w:t>Transitorio XVII.</w:t>
      </w:r>
      <w:r w:rsidRPr="008E3606">
        <w:rPr>
          <w:rFonts w:ascii="Cambria" w:hAnsi="Cambria"/>
          <w:i/>
          <w:iCs/>
          <w:szCs w:val="24"/>
        </w:rPr>
        <w:t xml:space="preserve"> Gradualidad en la aplicación de otros efectos regulatorios</w:t>
      </w:r>
      <w:r w:rsidRPr="008E3606">
        <w:rPr>
          <w:rFonts w:ascii="Cambria" w:hAnsi="Cambria"/>
          <w:color w:val="auto"/>
          <w:szCs w:val="24"/>
        </w:rPr>
        <w:t xml:space="preserve"> del Acuerdo SUGEF 3-06, el colchón de conservación entra en vigencia plena a partir del primero de enero de 2025, para todas las entidades supervisadas.</w:t>
      </w:r>
    </w:p>
    <w:p w14:paraId="53F59DD4" w14:textId="77777777" w:rsidR="00E10BA0" w:rsidRPr="008E3606" w:rsidRDefault="00E10BA0" w:rsidP="00E10BA0">
      <w:pPr>
        <w:pStyle w:val="Prrafodelista"/>
        <w:widowControl w:val="0"/>
        <w:numPr>
          <w:ilvl w:val="0"/>
          <w:numId w:val="17"/>
        </w:numPr>
        <w:spacing w:after="240" w:line="240" w:lineRule="auto"/>
        <w:ind w:left="567" w:hanging="567"/>
        <w:contextualSpacing w:val="0"/>
        <w:rPr>
          <w:rFonts w:ascii="Cambria" w:hAnsi="Cambria"/>
          <w:color w:val="auto"/>
          <w:szCs w:val="24"/>
        </w:rPr>
      </w:pPr>
      <w:r w:rsidRPr="008E3606">
        <w:rPr>
          <w:rFonts w:ascii="Cambria" w:hAnsi="Cambria"/>
          <w:color w:val="auto"/>
          <w:szCs w:val="24"/>
        </w:rPr>
        <w:t xml:space="preserve">De conformidad con el punto </w:t>
      </w:r>
      <w:r w:rsidRPr="008E3606">
        <w:rPr>
          <w:rFonts w:ascii="Cambria" w:hAnsi="Cambria"/>
          <w:i/>
          <w:iCs/>
          <w:color w:val="auto"/>
          <w:szCs w:val="24"/>
        </w:rPr>
        <w:t>9. Porcentajes de gradualidad para aplicar el requerimiento adicional de capital por importancia sistémica</w:t>
      </w:r>
      <w:r w:rsidRPr="008E3606">
        <w:rPr>
          <w:rFonts w:ascii="Cambria" w:hAnsi="Cambria"/>
          <w:color w:val="auto"/>
          <w:szCs w:val="24"/>
        </w:rPr>
        <w:t xml:space="preserve"> del </w:t>
      </w:r>
      <w:r w:rsidRPr="008E3606">
        <w:rPr>
          <w:rFonts w:ascii="Cambria" w:hAnsi="Cambria"/>
          <w:i/>
          <w:iCs/>
          <w:color w:val="auto"/>
          <w:szCs w:val="24"/>
        </w:rPr>
        <w:t>Transitorio XVII.</w:t>
      </w:r>
      <w:r w:rsidRPr="008E3606">
        <w:rPr>
          <w:rFonts w:ascii="Cambria" w:hAnsi="Cambria"/>
          <w:i/>
          <w:iCs/>
          <w:szCs w:val="24"/>
        </w:rPr>
        <w:t xml:space="preserve"> Gradualidad en la aplicación de otros efectos regulatorios</w:t>
      </w:r>
      <w:r w:rsidRPr="008E3606">
        <w:rPr>
          <w:rFonts w:ascii="Cambria" w:hAnsi="Cambria"/>
          <w:color w:val="auto"/>
          <w:szCs w:val="24"/>
        </w:rPr>
        <w:t xml:space="preserve"> del Acuerdo SUGEF 3-06, el colchón de Importancia Sistémica entra en vigencia plena a partir del primero de enero de 2025, únicamente para las entidades calificadas de importancia sistémica.</w:t>
      </w:r>
    </w:p>
    <w:p w14:paraId="10B4AAEE" w14:textId="77777777" w:rsidR="00E10BA0" w:rsidRPr="008E3606" w:rsidRDefault="00E10BA0" w:rsidP="00E10BA0">
      <w:pPr>
        <w:pStyle w:val="Prrafodelista"/>
        <w:widowControl w:val="0"/>
        <w:numPr>
          <w:ilvl w:val="0"/>
          <w:numId w:val="17"/>
        </w:numPr>
        <w:spacing w:after="240" w:line="240" w:lineRule="auto"/>
        <w:ind w:left="567" w:hanging="567"/>
        <w:contextualSpacing w:val="0"/>
        <w:rPr>
          <w:rFonts w:ascii="Cambria" w:hAnsi="Cambria"/>
          <w:color w:val="auto"/>
          <w:szCs w:val="24"/>
        </w:rPr>
      </w:pPr>
      <w:r w:rsidRPr="008E3606">
        <w:rPr>
          <w:rFonts w:ascii="Cambria" w:hAnsi="Cambria"/>
          <w:color w:val="auto"/>
          <w:szCs w:val="24"/>
        </w:rPr>
        <w:t>De conformidad con el Transitorio XXIX del Acuerdo SUGEF 3-06, el colchón por RTILB entra en vigencia según la siguiente gradualidad:</w:t>
      </w:r>
    </w:p>
    <w:tbl>
      <w:tblPr>
        <w:tblW w:w="7785" w:type="dxa"/>
        <w:jc w:val="center"/>
        <w:tblCellMar>
          <w:left w:w="70" w:type="dxa"/>
          <w:right w:w="70" w:type="dxa"/>
        </w:tblCellMar>
        <w:tblLook w:val="04A0" w:firstRow="1" w:lastRow="0" w:firstColumn="1" w:lastColumn="0" w:noHBand="0" w:noVBand="1"/>
      </w:tblPr>
      <w:tblGrid>
        <w:gridCol w:w="4107"/>
        <w:gridCol w:w="1242"/>
        <w:gridCol w:w="1161"/>
        <w:gridCol w:w="1275"/>
      </w:tblGrid>
      <w:tr w:rsidR="00E10BA0" w:rsidRPr="008E3606" w14:paraId="26A7C816" w14:textId="77777777" w:rsidTr="007E453E">
        <w:trPr>
          <w:trHeight w:val="20"/>
          <w:jc w:val="center"/>
        </w:trPr>
        <w:tc>
          <w:tcPr>
            <w:tcW w:w="4107" w:type="dxa"/>
            <w:tcBorders>
              <w:top w:val="single" w:sz="4" w:space="0" w:color="auto"/>
              <w:left w:val="single" w:sz="4" w:space="0" w:color="auto"/>
              <w:bottom w:val="single" w:sz="4" w:space="0" w:color="auto"/>
              <w:right w:val="single" w:sz="4" w:space="0" w:color="auto"/>
            </w:tcBorders>
            <w:shd w:val="clear" w:color="000000" w:fill="E2EFDA"/>
          </w:tcPr>
          <w:p w14:paraId="7E0E28ED" w14:textId="77777777" w:rsidR="00E10BA0" w:rsidRPr="008E3606" w:rsidRDefault="00E10BA0" w:rsidP="007E453E">
            <w:pPr>
              <w:widowControl w:val="0"/>
              <w:spacing w:line="240" w:lineRule="auto"/>
              <w:jc w:val="center"/>
              <w:rPr>
                <w:b/>
                <w:bCs/>
                <w:sz w:val="24"/>
              </w:rPr>
            </w:pPr>
            <w:r w:rsidRPr="008E3606">
              <w:rPr>
                <w:b/>
                <w:bCs/>
                <w:sz w:val="24"/>
              </w:rPr>
              <w:t>RTILB</w:t>
            </w:r>
          </w:p>
        </w:tc>
        <w:tc>
          <w:tcPr>
            <w:tcW w:w="124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044FC58" w14:textId="77777777" w:rsidR="00E10BA0" w:rsidRPr="008E3606" w:rsidRDefault="00E10BA0" w:rsidP="007E453E">
            <w:pPr>
              <w:widowControl w:val="0"/>
              <w:spacing w:line="240" w:lineRule="auto"/>
              <w:jc w:val="center"/>
              <w:rPr>
                <w:b/>
                <w:bCs/>
                <w:sz w:val="24"/>
              </w:rPr>
            </w:pPr>
            <w:r w:rsidRPr="008E3606">
              <w:rPr>
                <w:b/>
                <w:bCs/>
                <w:sz w:val="24"/>
              </w:rPr>
              <w:t>A partir del primero de enero de 2025</w:t>
            </w:r>
          </w:p>
        </w:tc>
        <w:tc>
          <w:tcPr>
            <w:tcW w:w="1161" w:type="dxa"/>
            <w:tcBorders>
              <w:top w:val="single" w:sz="4" w:space="0" w:color="auto"/>
              <w:left w:val="nil"/>
              <w:bottom w:val="single" w:sz="4" w:space="0" w:color="auto"/>
              <w:right w:val="single" w:sz="4" w:space="0" w:color="auto"/>
            </w:tcBorders>
            <w:shd w:val="clear" w:color="000000" w:fill="E2EFDA"/>
            <w:vAlign w:val="center"/>
            <w:hideMark/>
          </w:tcPr>
          <w:p w14:paraId="71917357" w14:textId="77777777" w:rsidR="00E10BA0" w:rsidRPr="008E3606" w:rsidRDefault="00E10BA0" w:rsidP="007E453E">
            <w:pPr>
              <w:widowControl w:val="0"/>
              <w:spacing w:line="240" w:lineRule="auto"/>
              <w:jc w:val="center"/>
              <w:rPr>
                <w:b/>
                <w:bCs/>
                <w:sz w:val="24"/>
              </w:rPr>
            </w:pPr>
            <w:r w:rsidRPr="008E3606">
              <w:rPr>
                <w:b/>
                <w:bCs/>
                <w:sz w:val="24"/>
              </w:rPr>
              <w:t>A partir del primero de julio de 2025</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7402B35C" w14:textId="77777777" w:rsidR="00E10BA0" w:rsidRPr="008E3606" w:rsidRDefault="00E10BA0" w:rsidP="007E453E">
            <w:pPr>
              <w:widowControl w:val="0"/>
              <w:spacing w:line="240" w:lineRule="auto"/>
              <w:jc w:val="center"/>
              <w:rPr>
                <w:b/>
                <w:bCs/>
                <w:sz w:val="24"/>
              </w:rPr>
            </w:pPr>
            <w:r w:rsidRPr="008E3606">
              <w:rPr>
                <w:b/>
                <w:bCs/>
                <w:sz w:val="24"/>
              </w:rPr>
              <w:t>A partir del primero de enero de 2026</w:t>
            </w:r>
          </w:p>
        </w:tc>
      </w:tr>
      <w:tr w:rsidR="00E10BA0" w:rsidRPr="008E3606" w14:paraId="19C4A52B" w14:textId="77777777" w:rsidTr="007E453E">
        <w:trPr>
          <w:trHeight w:val="20"/>
          <w:jc w:val="center"/>
        </w:trPr>
        <w:tc>
          <w:tcPr>
            <w:tcW w:w="4107" w:type="dxa"/>
            <w:tcBorders>
              <w:top w:val="nil"/>
              <w:left w:val="single" w:sz="4" w:space="0" w:color="auto"/>
              <w:bottom w:val="single" w:sz="4" w:space="0" w:color="auto"/>
              <w:right w:val="single" w:sz="4" w:space="0" w:color="auto"/>
            </w:tcBorders>
            <w:shd w:val="clear" w:color="000000" w:fill="E2EFDA"/>
          </w:tcPr>
          <w:p w14:paraId="0DB3AA9E" w14:textId="77777777" w:rsidR="00E10BA0" w:rsidRPr="008E3606" w:rsidRDefault="00E10BA0" w:rsidP="007E453E">
            <w:pPr>
              <w:widowControl w:val="0"/>
              <w:spacing w:line="240" w:lineRule="auto"/>
              <w:jc w:val="left"/>
              <w:rPr>
                <w:sz w:val="24"/>
              </w:rPr>
            </w:pPr>
            <w:r w:rsidRPr="008E3606">
              <w:rPr>
                <w:sz w:val="24"/>
              </w:rPr>
              <w:t>Igual o menor al 15% del CN1</w:t>
            </w:r>
          </w:p>
        </w:tc>
        <w:tc>
          <w:tcPr>
            <w:tcW w:w="1242" w:type="dxa"/>
            <w:tcBorders>
              <w:top w:val="nil"/>
              <w:left w:val="single" w:sz="4" w:space="0" w:color="auto"/>
              <w:bottom w:val="single" w:sz="4" w:space="0" w:color="auto"/>
              <w:right w:val="single" w:sz="4" w:space="0" w:color="auto"/>
            </w:tcBorders>
            <w:shd w:val="clear" w:color="000000" w:fill="E2EFDA"/>
            <w:noWrap/>
            <w:vAlign w:val="bottom"/>
            <w:hideMark/>
          </w:tcPr>
          <w:p w14:paraId="40A532D6" w14:textId="77777777" w:rsidR="00E10BA0" w:rsidRPr="008E3606" w:rsidRDefault="00E10BA0" w:rsidP="007E453E">
            <w:pPr>
              <w:widowControl w:val="0"/>
              <w:spacing w:line="240" w:lineRule="auto"/>
              <w:jc w:val="center"/>
              <w:rPr>
                <w:sz w:val="24"/>
              </w:rPr>
            </w:pPr>
            <w:r w:rsidRPr="008E3606">
              <w:rPr>
                <w:sz w:val="24"/>
              </w:rPr>
              <w:t>0,000%</w:t>
            </w:r>
          </w:p>
        </w:tc>
        <w:tc>
          <w:tcPr>
            <w:tcW w:w="1161" w:type="dxa"/>
            <w:tcBorders>
              <w:top w:val="nil"/>
              <w:left w:val="nil"/>
              <w:bottom w:val="single" w:sz="4" w:space="0" w:color="auto"/>
              <w:right w:val="single" w:sz="4" w:space="0" w:color="auto"/>
            </w:tcBorders>
            <w:shd w:val="clear" w:color="000000" w:fill="E2EFDA"/>
            <w:noWrap/>
            <w:vAlign w:val="bottom"/>
            <w:hideMark/>
          </w:tcPr>
          <w:p w14:paraId="1C9C0181" w14:textId="77777777" w:rsidR="00E10BA0" w:rsidRPr="008E3606" w:rsidRDefault="00E10BA0" w:rsidP="007E453E">
            <w:pPr>
              <w:widowControl w:val="0"/>
              <w:spacing w:line="240" w:lineRule="auto"/>
              <w:jc w:val="center"/>
              <w:rPr>
                <w:sz w:val="24"/>
              </w:rPr>
            </w:pPr>
            <w:r w:rsidRPr="008E3606">
              <w:rPr>
                <w:sz w:val="24"/>
              </w:rPr>
              <w:t>0,000%</w:t>
            </w:r>
          </w:p>
        </w:tc>
        <w:tc>
          <w:tcPr>
            <w:tcW w:w="1275" w:type="dxa"/>
            <w:tcBorders>
              <w:top w:val="nil"/>
              <w:left w:val="nil"/>
              <w:bottom w:val="single" w:sz="4" w:space="0" w:color="auto"/>
              <w:right w:val="single" w:sz="4" w:space="0" w:color="auto"/>
            </w:tcBorders>
            <w:shd w:val="clear" w:color="000000" w:fill="E2EFDA"/>
            <w:noWrap/>
            <w:vAlign w:val="bottom"/>
            <w:hideMark/>
          </w:tcPr>
          <w:p w14:paraId="27F26976" w14:textId="77777777" w:rsidR="00E10BA0" w:rsidRPr="008E3606" w:rsidRDefault="00E10BA0" w:rsidP="007E453E">
            <w:pPr>
              <w:widowControl w:val="0"/>
              <w:spacing w:line="240" w:lineRule="auto"/>
              <w:jc w:val="center"/>
              <w:rPr>
                <w:sz w:val="24"/>
              </w:rPr>
            </w:pPr>
            <w:r w:rsidRPr="008E3606">
              <w:rPr>
                <w:sz w:val="24"/>
              </w:rPr>
              <w:t>0,000%</w:t>
            </w:r>
          </w:p>
        </w:tc>
      </w:tr>
      <w:tr w:rsidR="00E10BA0" w:rsidRPr="008E3606" w14:paraId="707DE63C" w14:textId="77777777" w:rsidTr="007E453E">
        <w:trPr>
          <w:trHeight w:val="20"/>
          <w:jc w:val="center"/>
        </w:trPr>
        <w:tc>
          <w:tcPr>
            <w:tcW w:w="4107" w:type="dxa"/>
            <w:tcBorders>
              <w:top w:val="nil"/>
              <w:left w:val="single" w:sz="4" w:space="0" w:color="auto"/>
              <w:bottom w:val="single" w:sz="4" w:space="0" w:color="auto"/>
              <w:right w:val="single" w:sz="4" w:space="0" w:color="auto"/>
            </w:tcBorders>
            <w:shd w:val="clear" w:color="000000" w:fill="E2EFDA"/>
          </w:tcPr>
          <w:p w14:paraId="2801192C" w14:textId="77777777" w:rsidR="00E10BA0" w:rsidRPr="008E3606" w:rsidRDefault="00E10BA0" w:rsidP="007E453E">
            <w:pPr>
              <w:widowControl w:val="0"/>
              <w:spacing w:line="240" w:lineRule="auto"/>
              <w:jc w:val="left"/>
              <w:rPr>
                <w:sz w:val="24"/>
              </w:rPr>
            </w:pPr>
            <w:r w:rsidRPr="008E3606">
              <w:rPr>
                <w:sz w:val="24"/>
              </w:rPr>
              <w:t>Mayor a 15% pero igual o menor a 30% del CN1</w:t>
            </w:r>
          </w:p>
        </w:tc>
        <w:tc>
          <w:tcPr>
            <w:tcW w:w="1242" w:type="dxa"/>
            <w:tcBorders>
              <w:top w:val="nil"/>
              <w:left w:val="single" w:sz="4" w:space="0" w:color="auto"/>
              <w:bottom w:val="single" w:sz="4" w:space="0" w:color="auto"/>
              <w:right w:val="single" w:sz="4" w:space="0" w:color="auto"/>
            </w:tcBorders>
            <w:shd w:val="clear" w:color="000000" w:fill="E2EFDA"/>
            <w:noWrap/>
            <w:vAlign w:val="bottom"/>
            <w:hideMark/>
          </w:tcPr>
          <w:p w14:paraId="4D2F6973" w14:textId="77777777" w:rsidR="00E10BA0" w:rsidRPr="008E3606" w:rsidRDefault="00E10BA0" w:rsidP="007E453E">
            <w:pPr>
              <w:widowControl w:val="0"/>
              <w:spacing w:line="240" w:lineRule="auto"/>
              <w:jc w:val="center"/>
              <w:rPr>
                <w:sz w:val="24"/>
              </w:rPr>
            </w:pPr>
            <w:r w:rsidRPr="008E3606">
              <w:rPr>
                <w:sz w:val="24"/>
              </w:rPr>
              <w:t>0,000%</w:t>
            </w:r>
          </w:p>
        </w:tc>
        <w:tc>
          <w:tcPr>
            <w:tcW w:w="1161" w:type="dxa"/>
            <w:tcBorders>
              <w:top w:val="nil"/>
              <w:left w:val="nil"/>
              <w:bottom w:val="single" w:sz="4" w:space="0" w:color="auto"/>
              <w:right w:val="single" w:sz="4" w:space="0" w:color="auto"/>
            </w:tcBorders>
            <w:shd w:val="clear" w:color="000000" w:fill="E2EFDA"/>
            <w:noWrap/>
            <w:vAlign w:val="bottom"/>
            <w:hideMark/>
          </w:tcPr>
          <w:p w14:paraId="2EED5105" w14:textId="77777777" w:rsidR="00E10BA0" w:rsidRPr="008E3606" w:rsidRDefault="00E10BA0" w:rsidP="007E453E">
            <w:pPr>
              <w:widowControl w:val="0"/>
              <w:spacing w:line="240" w:lineRule="auto"/>
              <w:jc w:val="center"/>
              <w:rPr>
                <w:sz w:val="24"/>
              </w:rPr>
            </w:pPr>
            <w:r w:rsidRPr="008E3606">
              <w:rPr>
                <w:sz w:val="24"/>
              </w:rPr>
              <w:t>0,250%</w:t>
            </w:r>
          </w:p>
        </w:tc>
        <w:tc>
          <w:tcPr>
            <w:tcW w:w="1275" w:type="dxa"/>
            <w:tcBorders>
              <w:top w:val="nil"/>
              <w:left w:val="nil"/>
              <w:bottom w:val="single" w:sz="4" w:space="0" w:color="auto"/>
              <w:right w:val="single" w:sz="4" w:space="0" w:color="auto"/>
            </w:tcBorders>
            <w:shd w:val="clear" w:color="000000" w:fill="E2EFDA"/>
            <w:noWrap/>
            <w:vAlign w:val="bottom"/>
            <w:hideMark/>
          </w:tcPr>
          <w:p w14:paraId="614A0A66" w14:textId="77777777" w:rsidR="00E10BA0" w:rsidRPr="008E3606" w:rsidRDefault="00E10BA0" w:rsidP="007E453E">
            <w:pPr>
              <w:widowControl w:val="0"/>
              <w:spacing w:line="240" w:lineRule="auto"/>
              <w:jc w:val="center"/>
              <w:rPr>
                <w:sz w:val="24"/>
              </w:rPr>
            </w:pPr>
            <w:r w:rsidRPr="008E3606">
              <w:rPr>
                <w:sz w:val="24"/>
              </w:rPr>
              <w:t>0,500%</w:t>
            </w:r>
          </w:p>
        </w:tc>
      </w:tr>
      <w:tr w:rsidR="00E10BA0" w:rsidRPr="008E3606" w14:paraId="34180694" w14:textId="77777777" w:rsidTr="007E453E">
        <w:trPr>
          <w:trHeight w:val="20"/>
          <w:jc w:val="center"/>
        </w:trPr>
        <w:tc>
          <w:tcPr>
            <w:tcW w:w="4107" w:type="dxa"/>
            <w:tcBorders>
              <w:top w:val="nil"/>
              <w:left w:val="single" w:sz="4" w:space="0" w:color="auto"/>
              <w:bottom w:val="single" w:sz="4" w:space="0" w:color="auto"/>
              <w:right w:val="single" w:sz="4" w:space="0" w:color="auto"/>
            </w:tcBorders>
            <w:shd w:val="clear" w:color="000000" w:fill="E2EFDA"/>
          </w:tcPr>
          <w:p w14:paraId="28F67D51" w14:textId="77777777" w:rsidR="00E10BA0" w:rsidRPr="008E3606" w:rsidRDefault="00E10BA0" w:rsidP="007E453E">
            <w:pPr>
              <w:widowControl w:val="0"/>
              <w:spacing w:line="240" w:lineRule="auto"/>
              <w:jc w:val="left"/>
              <w:rPr>
                <w:sz w:val="24"/>
              </w:rPr>
            </w:pPr>
            <w:r w:rsidRPr="008E3606">
              <w:rPr>
                <w:sz w:val="24"/>
              </w:rPr>
              <w:t>Mayor a 30% pero igual o menor a 60% del CN1</w:t>
            </w:r>
          </w:p>
        </w:tc>
        <w:tc>
          <w:tcPr>
            <w:tcW w:w="1242" w:type="dxa"/>
            <w:tcBorders>
              <w:top w:val="nil"/>
              <w:left w:val="single" w:sz="4" w:space="0" w:color="auto"/>
              <w:bottom w:val="single" w:sz="4" w:space="0" w:color="auto"/>
              <w:right w:val="single" w:sz="4" w:space="0" w:color="auto"/>
            </w:tcBorders>
            <w:shd w:val="clear" w:color="000000" w:fill="E2EFDA"/>
            <w:noWrap/>
            <w:vAlign w:val="bottom"/>
            <w:hideMark/>
          </w:tcPr>
          <w:p w14:paraId="13324719" w14:textId="77777777" w:rsidR="00E10BA0" w:rsidRPr="008E3606" w:rsidRDefault="00E10BA0" w:rsidP="007E453E">
            <w:pPr>
              <w:widowControl w:val="0"/>
              <w:spacing w:line="240" w:lineRule="auto"/>
              <w:jc w:val="center"/>
              <w:rPr>
                <w:sz w:val="24"/>
              </w:rPr>
            </w:pPr>
            <w:r w:rsidRPr="008E3606">
              <w:rPr>
                <w:sz w:val="24"/>
              </w:rPr>
              <w:t>0,000%</w:t>
            </w:r>
          </w:p>
        </w:tc>
        <w:tc>
          <w:tcPr>
            <w:tcW w:w="1161" w:type="dxa"/>
            <w:tcBorders>
              <w:top w:val="nil"/>
              <w:left w:val="nil"/>
              <w:bottom w:val="single" w:sz="4" w:space="0" w:color="auto"/>
              <w:right w:val="single" w:sz="4" w:space="0" w:color="auto"/>
            </w:tcBorders>
            <w:shd w:val="clear" w:color="000000" w:fill="E2EFDA"/>
            <w:noWrap/>
            <w:vAlign w:val="bottom"/>
            <w:hideMark/>
          </w:tcPr>
          <w:p w14:paraId="0ADE462E" w14:textId="77777777" w:rsidR="00E10BA0" w:rsidRPr="008E3606" w:rsidRDefault="00E10BA0" w:rsidP="007E453E">
            <w:pPr>
              <w:widowControl w:val="0"/>
              <w:spacing w:line="240" w:lineRule="auto"/>
              <w:jc w:val="center"/>
              <w:rPr>
                <w:sz w:val="24"/>
              </w:rPr>
            </w:pPr>
            <w:r w:rsidRPr="008E3606">
              <w:rPr>
                <w:sz w:val="24"/>
              </w:rPr>
              <w:t>0,750%</w:t>
            </w:r>
          </w:p>
        </w:tc>
        <w:tc>
          <w:tcPr>
            <w:tcW w:w="1275" w:type="dxa"/>
            <w:tcBorders>
              <w:top w:val="nil"/>
              <w:left w:val="nil"/>
              <w:bottom w:val="single" w:sz="4" w:space="0" w:color="auto"/>
              <w:right w:val="single" w:sz="4" w:space="0" w:color="auto"/>
            </w:tcBorders>
            <w:shd w:val="clear" w:color="000000" w:fill="E2EFDA"/>
            <w:noWrap/>
            <w:vAlign w:val="bottom"/>
            <w:hideMark/>
          </w:tcPr>
          <w:p w14:paraId="0C36F9C1" w14:textId="77777777" w:rsidR="00E10BA0" w:rsidRPr="008E3606" w:rsidRDefault="00E10BA0" w:rsidP="007E453E">
            <w:pPr>
              <w:widowControl w:val="0"/>
              <w:spacing w:line="240" w:lineRule="auto"/>
              <w:jc w:val="center"/>
              <w:rPr>
                <w:sz w:val="24"/>
              </w:rPr>
            </w:pPr>
            <w:r w:rsidRPr="008E3606">
              <w:rPr>
                <w:sz w:val="24"/>
              </w:rPr>
              <w:t>1,500%</w:t>
            </w:r>
          </w:p>
        </w:tc>
      </w:tr>
      <w:tr w:rsidR="00E10BA0" w:rsidRPr="008E3606" w14:paraId="39B5094B" w14:textId="77777777" w:rsidTr="007E453E">
        <w:trPr>
          <w:trHeight w:val="20"/>
          <w:jc w:val="center"/>
        </w:trPr>
        <w:tc>
          <w:tcPr>
            <w:tcW w:w="4107" w:type="dxa"/>
            <w:tcBorders>
              <w:top w:val="nil"/>
              <w:left w:val="single" w:sz="4" w:space="0" w:color="auto"/>
              <w:bottom w:val="single" w:sz="4" w:space="0" w:color="auto"/>
              <w:right w:val="single" w:sz="4" w:space="0" w:color="auto"/>
            </w:tcBorders>
            <w:shd w:val="clear" w:color="000000" w:fill="E2EFDA"/>
          </w:tcPr>
          <w:p w14:paraId="18C12EB7" w14:textId="77777777" w:rsidR="00E10BA0" w:rsidRPr="008E3606" w:rsidRDefault="00E10BA0" w:rsidP="007E453E">
            <w:pPr>
              <w:widowControl w:val="0"/>
              <w:spacing w:line="240" w:lineRule="auto"/>
              <w:jc w:val="left"/>
              <w:rPr>
                <w:sz w:val="24"/>
              </w:rPr>
            </w:pPr>
            <w:r w:rsidRPr="008E3606">
              <w:rPr>
                <w:sz w:val="24"/>
              </w:rPr>
              <w:t>Mayor a 60% del CN1</w:t>
            </w:r>
          </w:p>
        </w:tc>
        <w:tc>
          <w:tcPr>
            <w:tcW w:w="1242" w:type="dxa"/>
            <w:tcBorders>
              <w:top w:val="nil"/>
              <w:left w:val="single" w:sz="4" w:space="0" w:color="auto"/>
              <w:bottom w:val="single" w:sz="4" w:space="0" w:color="auto"/>
              <w:right w:val="single" w:sz="4" w:space="0" w:color="auto"/>
            </w:tcBorders>
            <w:shd w:val="clear" w:color="000000" w:fill="E2EFDA"/>
            <w:noWrap/>
            <w:vAlign w:val="bottom"/>
            <w:hideMark/>
          </w:tcPr>
          <w:p w14:paraId="4629D8E1" w14:textId="77777777" w:rsidR="00E10BA0" w:rsidRPr="008E3606" w:rsidRDefault="00E10BA0" w:rsidP="007E453E">
            <w:pPr>
              <w:widowControl w:val="0"/>
              <w:spacing w:line="240" w:lineRule="auto"/>
              <w:jc w:val="center"/>
              <w:rPr>
                <w:sz w:val="24"/>
              </w:rPr>
            </w:pPr>
            <w:r w:rsidRPr="008E3606">
              <w:rPr>
                <w:sz w:val="24"/>
              </w:rPr>
              <w:t>0,000%</w:t>
            </w:r>
          </w:p>
        </w:tc>
        <w:tc>
          <w:tcPr>
            <w:tcW w:w="1161" w:type="dxa"/>
            <w:tcBorders>
              <w:top w:val="nil"/>
              <w:left w:val="nil"/>
              <w:bottom w:val="single" w:sz="4" w:space="0" w:color="auto"/>
              <w:right w:val="single" w:sz="4" w:space="0" w:color="auto"/>
            </w:tcBorders>
            <w:shd w:val="clear" w:color="000000" w:fill="E2EFDA"/>
            <w:noWrap/>
            <w:vAlign w:val="bottom"/>
            <w:hideMark/>
          </w:tcPr>
          <w:p w14:paraId="4E7204A2" w14:textId="77777777" w:rsidR="00E10BA0" w:rsidRPr="008E3606" w:rsidRDefault="00E10BA0" w:rsidP="007E453E">
            <w:pPr>
              <w:widowControl w:val="0"/>
              <w:spacing w:line="240" w:lineRule="auto"/>
              <w:jc w:val="center"/>
              <w:rPr>
                <w:sz w:val="24"/>
              </w:rPr>
            </w:pPr>
            <w:r w:rsidRPr="008E3606">
              <w:rPr>
                <w:sz w:val="24"/>
              </w:rPr>
              <w:t>1,250%</w:t>
            </w:r>
          </w:p>
        </w:tc>
        <w:tc>
          <w:tcPr>
            <w:tcW w:w="1275" w:type="dxa"/>
            <w:tcBorders>
              <w:top w:val="nil"/>
              <w:left w:val="nil"/>
              <w:bottom w:val="single" w:sz="4" w:space="0" w:color="auto"/>
              <w:right w:val="single" w:sz="4" w:space="0" w:color="auto"/>
            </w:tcBorders>
            <w:shd w:val="clear" w:color="000000" w:fill="E2EFDA"/>
            <w:noWrap/>
            <w:vAlign w:val="bottom"/>
            <w:hideMark/>
          </w:tcPr>
          <w:p w14:paraId="07288CFA" w14:textId="77777777" w:rsidR="00E10BA0" w:rsidRPr="008E3606" w:rsidRDefault="00E10BA0" w:rsidP="007E453E">
            <w:pPr>
              <w:widowControl w:val="0"/>
              <w:spacing w:line="240" w:lineRule="auto"/>
              <w:jc w:val="center"/>
              <w:rPr>
                <w:sz w:val="24"/>
              </w:rPr>
            </w:pPr>
            <w:r w:rsidRPr="008E3606">
              <w:rPr>
                <w:sz w:val="24"/>
              </w:rPr>
              <w:t>2,500%</w:t>
            </w:r>
          </w:p>
        </w:tc>
      </w:tr>
    </w:tbl>
    <w:p w14:paraId="71325E1B" w14:textId="77777777" w:rsidR="00E10BA0" w:rsidRPr="008E3606" w:rsidRDefault="00E10BA0" w:rsidP="00E10BA0">
      <w:pPr>
        <w:widowControl w:val="0"/>
        <w:spacing w:before="240" w:after="240" w:line="240" w:lineRule="auto"/>
        <w:rPr>
          <w:sz w:val="24"/>
        </w:rPr>
      </w:pPr>
      <w:r w:rsidRPr="008E3606">
        <w:rPr>
          <w:sz w:val="24"/>
        </w:rPr>
        <w:t>A continuación, se ejemplifica el resultado del colchón de capital total considerando el nivel del colchón por RTILB que aplicará a partir del primero de enero de 2025 (Colchón igual a 0%) y el que aplicará a partir del primero de enero de 2026.</w:t>
      </w:r>
    </w:p>
    <w:p w14:paraId="3451262C" w14:textId="5F08D476" w:rsidR="00E10BA0" w:rsidRPr="008E3606" w:rsidRDefault="00E10BA0" w:rsidP="00E10BA0">
      <w:pPr>
        <w:widowControl w:val="0"/>
        <w:spacing w:after="240" w:line="240" w:lineRule="auto"/>
        <w:rPr>
          <w:sz w:val="24"/>
        </w:rPr>
      </w:pPr>
      <w:r w:rsidRPr="008E3606">
        <w:rPr>
          <w:sz w:val="24"/>
        </w:rPr>
        <w:t xml:space="preserve">Para determinar el colchón total y los rangos de restricción a la distribución que aplicarán a partir del primero de julio de 2025, sustituya el porcentaje en la línea indicada </w:t>
      </w:r>
      <w:r w:rsidRPr="008E3606">
        <w:rPr>
          <w:b/>
          <w:bCs/>
          <w:sz w:val="24"/>
        </w:rPr>
        <w:t>Colchón por RTILB</w:t>
      </w:r>
      <w:r w:rsidRPr="008E3606">
        <w:rPr>
          <w:sz w:val="24"/>
        </w:rPr>
        <w:t xml:space="preserve"> por el porcentaje correspondiente a partir de dicha fecha y calcule el colchón total. Luego utilice dicho dato para calcular los niveles mínimo y máximo, según se indica a continuación:</w:t>
      </w:r>
    </w:p>
    <w:tbl>
      <w:tblPr>
        <w:tblW w:w="6885" w:type="dxa"/>
        <w:jc w:val="center"/>
        <w:shd w:val="clear" w:color="auto" w:fill="D9E2F3" w:themeFill="accent1" w:themeFillTint="33"/>
        <w:tblCellMar>
          <w:left w:w="70" w:type="dxa"/>
          <w:right w:w="70" w:type="dxa"/>
        </w:tblCellMar>
        <w:tblLook w:val="04A0" w:firstRow="1" w:lastRow="0" w:firstColumn="1" w:lastColumn="0" w:noHBand="0" w:noVBand="1"/>
      </w:tblPr>
      <w:tblGrid>
        <w:gridCol w:w="1843"/>
        <w:gridCol w:w="2680"/>
        <w:gridCol w:w="2356"/>
        <w:gridCol w:w="6"/>
      </w:tblGrid>
      <w:tr w:rsidR="00E10BA0" w:rsidRPr="008E3606" w14:paraId="0C7B7784" w14:textId="77777777" w:rsidTr="007E453E">
        <w:trPr>
          <w:trHeight w:val="20"/>
          <w:jc w:val="center"/>
        </w:trPr>
        <w:tc>
          <w:tcPr>
            <w:tcW w:w="1843" w:type="dxa"/>
            <w:tcBorders>
              <w:top w:val="nil"/>
              <w:left w:val="nil"/>
              <w:bottom w:val="nil"/>
              <w:right w:val="nil"/>
            </w:tcBorders>
            <w:shd w:val="clear" w:color="auto" w:fill="D9E2F3" w:themeFill="accent1" w:themeFillTint="33"/>
            <w:noWrap/>
            <w:vAlign w:val="bottom"/>
            <w:hideMark/>
          </w:tcPr>
          <w:p w14:paraId="28324346" w14:textId="77777777" w:rsidR="00E10BA0" w:rsidRPr="008E3606" w:rsidRDefault="00E10BA0" w:rsidP="007E453E">
            <w:pPr>
              <w:widowControl w:val="0"/>
              <w:spacing w:line="240" w:lineRule="auto"/>
              <w:jc w:val="left"/>
              <w:rPr>
                <w:sz w:val="24"/>
              </w:rPr>
            </w:pPr>
          </w:p>
        </w:tc>
        <w:tc>
          <w:tcPr>
            <w:tcW w:w="5042" w:type="dxa"/>
            <w:gridSpan w:val="3"/>
            <w:tcBorders>
              <w:top w:val="nil"/>
              <w:left w:val="single" w:sz="4" w:space="0" w:color="auto"/>
              <w:bottom w:val="single" w:sz="4" w:space="0" w:color="auto"/>
              <w:right w:val="single" w:sz="4" w:space="0" w:color="000000"/>
            </w:tcBorders>
            <w:shd w:val="clear" w:color="auto" w:fill="D9E2F3" w:themeFill="accent1" w:themeFillTint="33"/>
            <w:noWrap/>
            <w:vAlign w:val="bottom"/>
            <w:hideMark/>
          </w:tcPr>
          <w:p w14:paraId="2B4B8D60" w14:textId="77777777" w:rsidR="00E10BA0" w:rsidRPr="008E3606" w:rsidRDefault="00E10BA0" w:rsidP="007E453E">
            <w:pPr>
              <w:widowControl w:val="0"/>
              <w:spacing w:line="240" w:lineRule="auto"/>
              <w:jc w:val="center"/>
              <w:rPr>
                <w:b/>
                <w:bCs/>
                <w:sz w:val="24"/>
              </w:rPr>
            </w:pPr>
            <w:r w:rsidRPr="008E3606">
              <w:rPr>
                <w:b/>
                <w:bCs/>
                <w:sz w:val="24"/>
              </w:rPr>
              <w:t>CCN1/APR</w:t>
            </w:r>
          </w:p>
        </w:tc>
      </w:tr>
      <w:tr w:rsidR="00E10BA0" w:rsidRPr="008E3606" w14:paraId="56F31AD3" w14:textId="77777777" w:rsidTr="007E453E">
        <w:trPr>
          <w:gridAfter w:val="1"/>
          <w:wAfter w:w="6" w:type="dxa"/>
          <w:trHeight w:val="20"/>
          <w:jc w:val="cent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7A4BC0C" w14:textId="77777777" w:rsidR="00E10BA0" w:rsidRPr="008E3606" w:rsidRDefault="00E10BA0" w:rsidP="007E453E">
            <w:pPr>
              <w:widowControl w:val="0"/>
              <w:spacing w:line="240" w:lineRule="auto"/>
              <w:jc w:val="center"/>
              <w:rPr>
                <w:b/>
                <w:bCs/>
                <w:sz w:val="24"/>
              </w:rPr>
            </w:pPr>
            <w:r w:rsidRPr="008E3606">
              <w:rPr>
                <w:b/>
                <w:bCs/>
                <w:sz w:val="24"/>
              </w:rPr>
              <w:t>Porcentaje de Restricción y Prohibición</w:t>
            </w:r>
          </w:p>
        </w:tc>
        <w:tc>
          <w:tcPr>
            <w:tcW w:w="2680" w:type="dxa"/>
            <w:tcBorders>
              <w:top w:val="nil"/>
              <w:left w:val="nil"/>
              <w:bottom w:val="single" w:sz="4" w:space="0" w:color="auto"/>
              <w:right w:val="single" w:sz="4" w:space="0" w:color="auto"/>
            </w:tcBorders>
            <w:shd w:val="clear" w:color="auto" w:fill="D9E2F3" w:themeFill="accent1" w:themeFillTint="33"/>
            <w:vAlign w:val="center"/>
            <w:hideMark/>
          </w:tcPr>
          <w:p w14:paraId="05CF01F0" w14:textId="77777777" w:rsidR="00E10BA0" w:rsidRPr="008E3606" w:rsidRDefault="00E10BA0" w:rsidP="007E453E">
            <w:pPr>
              <w:widowControl w:val="0"/>
              <w:spacing w:line="240" w:lineRule="auto"/>
              <w:jc w:val="center"/>
              <w:rPr>
                <w:b/>
                <w:bCs/>
                <w:sz w:val="24"/>
              </w:rPr>
            </w:pPr>
            <w:r w:rsidRPr="008E3606">
              <w:rPr>
                <w:b/>
                <w:bCs/>
                <w:sz w:val="24"/>
              </w:rPr>
              <w:t>Mayor a:</w:t>
            </w:r>
          </w:p>
        </w:tc>
        <w:tc>
          <w:tcPr>
            <w:tcW w:w="2356" w:type="dxa"/>
            <w:tcBorders>
              <w:top w:val="nil"/>
              <w:left w:val="nil"/>
              <w:bottom w:val="single" w:sz="4" w:space="0" w:color="auto"/>
              <w:right w:val="single" w:sz="4" w:space="0" w:color="auto"/>
            </w:tcBorders>
            <w:shd w:val="clear" w:color="auto" w:fill="D9E2F3" w:themeFill="accent1" w:themeFillTint="33"/>
            <w:vAlign w:val="center"/>
            <w:hideMark/>
          </w:tcPr>
          <w:p w14:paraId="718A051D" w14:textId="77777777" w:rsidR="00E10BA0" w:rsidRPr="008E3606" w:rsidRDefault="00E10BA0" w:rsidP="007E453E">
            <w:pPr>
              <w:widowControl w:val="0"/>
              <w:spacing w:line="240" w:lineRule="auto"/>
              <w:jc w:val="center"/>
              <w:rPr>
                <w:b/>
                <w:bCs/>
                <w:sz w:val="24"/>
              </w:rPr>
            </w:pPr>
            <w:r w:rsidRPr="008E3606">
              <w:rPr>
                <w:b/>
                <w:bCs/>
                <w:sz w:val="24"/>
              </w:rPr>
              <w:t>Menor o igual a:</w:t>
            </w:r>
          </w:p>
        </w:tc>
      </w:tr>
      <w:tr w:rsidR="00E10BA0" w:rsidRPr="008E3606" w14:paraId="19BD0292" w14:textId="77777777" w:rsidTr="007E453E">
        <w:trPr>
          <w:gridAfter w:val="1"/>
          <w:wAfter w:w="6" w:type="dxa"/>
          <w:trHeight w:val="20"/>
          <w:jc w:val="center"/>
        </w:trPr>
        <w:tc>
          <w:tcPr>
            <w:tcW w:w="1843"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7590311" w14:textId="77777777" w:rsidR="00E10BA0" w:rsidRPr="008E3606" w:rsidRDefault="00E10BA0" w:rsidP="007E453E">
            <w:pPr>
              <w:widowControl w:val="0"/>
              <w:spacing w:line="240" w:lineRule="auto"/>
              <w:jc w:val="center"/>
              <w:rPr>
                <w:sz w:val="24"/>
              </w:rPr>
            </w:pPr>
            <w:r w:rsidRPr="008E3606">
              <w:rPr>
                <w:sz w:val="24"/>
              </w:rPr>
              <w:t>100%</w:t>
            </w:r>
          </w:p>
        </w:tc>
        <w:tc>
          <w:tcPr>
            <w:tcW w:w="2680" w:type="dxa"/>
            <w:tcBorders>
              <w:top w:val="nil"/>
              <w:left w:val="nil"/>
              <w:bottom w:val="single" w:sz="4" w:space="0" w:color="auto"/>
              <w:right w:val="single" w:sz="4" w:space="0" w:color="auto"/>
            </w:tcBorders>
            <w:shd w:val="clear" w:color="auto" w:fill="D9E2F3" w:themeFill="accent1" w:themeFillTint="33"/>
            <w:noWrap/>
            <w:vAlign w:val="bottom"/>
            <w:hideMark/>
          </w:tcPr>
          <w:p w14:paraId="3CD78B07" w14:textId="77777777" w:rsidR="00E10BA0" w:rsidRPr="008E3606" w:rsidRDefault="00E10BA0" w:rsidP="007E453E">
            <w:pPr>
              <w:widowControl w:val="0"/>
              <w:spacing w:line="240" w:lineRule="auto"/>
              <w:jc w:val="center"/>
              <w:rPr>
                <w:b/>
                <w:bCs/>
                <w:sz w:val="24"/>
              </w:rPr>
            </w:pPr>
            <w:r w:rsidRPr="008E3606">
              <w:rPr>
                <w:b/>
                <w:bCs/>
                <w:sz w:val="24"/>
              </w:rPr>
              <w:t>6,500%</w:t>
            </w:r>
          </w:p>
        </w:tc>
        <w:tc>
          <w:tcPr>
            <w:tcW w:w="2356" w:type="dxa"/>
            <w:tcBorders>
              <w:top w:val="nil"/>
              <w:left w:val="nil"/>
              <w:bottom w:val="single" w:sz="4" w:space="0" w:color="auto"/>
              <w:right w:val="single" w:sz="4" w:space="0" w:color="auto"/>
            </w:tcBorders>
            <w:shd w:val="clear" w:color="auto" w:fill="D9E2F3" w:themeFill="accent1" w:themeFillTint="33"/>
            <w:noWrap/>
            <w:vAlign w:val="bottom"/>
            <w:hideMark/>
          </w:tcPr>
          <w:p w14:paraId="33FD5BF1" w14:textId="77777777" w:rsidR="00E10BA0" w:rsidRPr="008E3606" w:rsidRDefault="00E10BA0" w:rsidP="007E453E">
            <w:pPr>
              <w:widowControl w:val="0"/>
              <w:spacing w:line="240" w:lineRule="auto"/>
              <w:jc w:val="right"/>
              <w:rPr>
                <w:sz w:val="24"/>
              </w:rPr>
            </w:pPr>
            <w:r w:rsidRPr="008E3606">
              <w:rPr>
                <w:sz w:val="24"/>
              </w:rPr>
              <w:t>6.500% + [1*(Colchón /4)]</w:t>
            </w:r>
          </w:p>
        </w:tc>
      </w:tr>
      <w:tr w:rsidR="00E10BA0" w:rsidRPr="008E3606" w14:paraId="3DADF186" w14:textId="77777777" w:rsidTr="007E453E">
        <w:trPr>
          <w:gridAfter w:val="1"/>
          <w:wAfter w:w="6" w:type="dxa"/>
          <w:trHeight w:val="20"/>
          <w:jc w:val="center"/>
        </w:trPr>
        <w:tc>
          <w:tcPr>
            <w:tcW w:w="1843"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318629A" w14:textId="77777777" w:rsidR="00E10BA0" w:rsidRPr="008E3606" w:rsidRDefault="00E10BA0" w:rsidP="007E453E">
            <w:pPr>
              <w:widowControl w:val="0"/>
              <w:spacing w:line="240" w:lineRule="auto"/>
              <w:jc w:val="center"/>
              <w:rPr>
                <w:sz w:val="24"/>
              </w:rPr>
            </w:pPr>
            <w:r w:rsidRPr="008E3606">
              <w:rPr>
                <w:sz w:val="24"/>
              </w:rPr>
              <w:t>80%</w:t>
            </w:r>
          </w:p>
        </w:tc>
        <w:tc>
          <w:tcPr>
            <w:tcW w:w="2680" w:type="dxa"/>
            <w:tcBorders>
              <w:top w:val="nil"/>
              <w:left w:val="nil"/>
              <w:bottom w:val="single" w:sz="4" w:space="0" w:color="auto"/>
              <w:right w:val="single" w:sz="4" w:space="0" w:color="auto"/>
            </w:tcBorders>
            <w:shd w:val="clear" w:color="auto" w:fill="D9E2F3" w:themeFill="accent1" w:themeFillTint="33"/>
            <w:noWrap/>
            <w:vAlign w:val="bottom"/>
            <w:hideMark/>
          </w:tcPr>
          <w:p w14:paraId="598B4CF7" w14:textId="77777777" w:rsidR="00E10BA0" w:rsidRPr="008E3606" w:rsidRDefault="00E10BA0" w:rsidP="007E453E">
            <w:pPr>
              <w:widowControl w:val="0"/>
              <w:spacing w:line="240" w:lineRule="auto"/>
              <w:jc w:val="center"/>
              <w:rPr>
                <w:sz w:val="24"/>
              </w:rPr>
            </w:pPr>
            <w:r w:rsidRPr="008E3606">
              <w:rPr>
                <w:sz w:val="24"/>
              </w:rPr>
              <w:t>6.500% + [1*(Colchón /4)]</w:t>
            </w:r>
          </w:p>
        </w:tc>
        <w:tc>
          <w:tcPr>
            <w:tcW w:w="2356" w:type="dxa"/>
            <w:tcBorders>
              <w:top w:val="nil"/>
              <w:left w:val="nil"/>
              <w:bottom w:val="single" w:sz="4" w:space="0" w:color="auto"/>
              <w:right w:val="single" w:sz="4" w:space="0" w:color="auto"/>
            </w:tcBorders>
            <w:shd w:val="clear" w:color="auto" w:fill="D9E2F3" w:themeFill="accent1" w:themeFillTint="33"/>
            <w:noWrap/>
            <w:vAlign w:val="bottom"/>
            <w:hideMark/>
          </w:tcPr>
          <w:p w14:paraId="50148137" w14:textId="77777777" w:rsidR="00E10BA0" w:rsidRPr="008E3606" w:rsidRDefault="00E10BA0" w:rsidP="007E453E">
            <w:pPr>
              <w:widowControl w:val="0"/>
              <w:spacing w:line="240" w:lineRule="auto"/>
              <w:jc w:val="right"/>
              <w:rPr>
                <w:sz w:val="24"/>
              </w:rPr>
            </w:pPr>
            <w:r w:rsidRPr="008E3606">
              <w:rPr>
                <w:sz w:val="24"/>
              </w:rPr>
              <w:t>6.500% + [2*(Colchón /4)]</w:t>
            </w:r>
          </w:p>
        </w:tc>
      </w:tr>
      <w:tr w:rsidR="00E10BA0" w:rsidRPr="008E3606" w14:paraId="0874A7E9" w14:textId="77777777" w:rsidTr="007E453E">
        <w:trPr>
          <w:gridAfter w:val="1"/>
          <w:wAfter w:w="6" w:type="dxa"/>
          <w:trHeight w:val="20"/>
          <w:jc w:val="center"/>
        </w:trPr>
        <w:tc>
          <w:tcPr>
            <w:tcW w:w="1843"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51773A6" w14:textId="77777777" w:rsidR="00E10BA0" w:rsidRPr="008E3606" w:rsidRDefault="00E10BA0" w:rsidP="007E453E">
            <w:pPr>
              <w:widowControl w:val="0"/>
              <w:spacing w:line="240" w:lineRule="auto"/>
              <w:jc w:val="center"/>
              <w:rPr>
                <w:sz w:val="24"/>
              </w:rPr>
            </w:pPr>
            <w:r w:rsidRPr="008E3606">
              <w:rPr>
                <w:sz w:val="24"/>
              </w:rPr>
              <w:t>60%</w:t>
            </w:r>
          </w:p>
        </w:tc>
        <w:tc>
          <w:tcPr>
            <w:tcW w:w="2680" w:type="dxa"/>
            <w:tcBorders>
              <w:top w:val="nil"/>
              <w:left w:val="nil"/>
              <w:bottom w:val="single" w:sz="4" w:space="0" w:color="auto"/>
              <w:right w:val="single" w:sz="4" w:space="0" w:color="auto"/>
            </w:tcBorders>
            <w:shd w:val="clear" w:color="auto" w:fill="D9E2F3" w:themeFill="accent1" w:themeFillTint="33"/>
            <w:noWrap/>
            <w:vAlign w:val="bottom"/>
            <w:hideMark/>
          </w:tcPr>
          <w:p w14:paraId="7FBC9C90" w14:textId="77777777" w:rsidR="00E10BA0" w:rsidRPr="008E3606" w:rsidRDefault="00E10BA0" w:rsidP="007E453E">
            <w:pPr>
              <w:widowControl w:val="0"/>
              <w:spacing w:line="240" w:lineRule="auto"/>
              <w:jc w:val="center"/>
              <w:rPr>
                <w:sz w:val="24"/>
              </w:rPr>
            </w:pPr>
            <w:r w:rsidRPr="008E3606">
              <w:rPr>
                <w:sz w:val="24"/>
              </w:rPr>
              <w:t>6.500% + [2*(Colchón /4)]</w:t>
            </w:r>
          </w:p>
        </w:tc>
        <w:tc>
          <w:tcPr>
            <w:tcW w:w="2356" w:type="dxa"/>
            <w:tcBorders>
              <w:top w:val="nil"/>
              <w:left w:val="nil"/>
              <w:bottom w:val="single" w:sz="4" w:space="0" w:color="auto"/>
              <w:right w:val="single" w:sz="4" w:space="0" w:color="auto"/>
            </w:tcBorders>
            <w:shd w:val="clear" w:color="auto" w:fill="D9E2F3" w:themeFill="accent1" w:themeFillTint="33"/>
            <w:noWrap/>
            <w:vAlign w:val="bottom"/>
            <w:hideMark/>
          </w:tcPr>
          <w:p w14:paraId="01CF4AC9" w14:textId="77777777" w:rsidR="00E10BA0" w:rsidRPr="008E3606" w:rsidRDefault="00E10BA0" w:rsidP="007E453E">
            <w:pPr>
              <w:widowControl w:val="0"/>
              <w:spacing w:line="240" w:lineRule="auto"/>
              <w:jc w:val="right"/>
              <w:rPr>
                <w:sz w:val="24"/>
              </w:rPr>
            </w:pPr>
            <w:r w:rsidRPr="008E3606">
              <w:rPr>
                <w:sz w:val="24"/>
              </w:rPr>
              <w:t>6.500% + [3*(Colchón /4)]</w:t>
            </w:r>
          </w:p>
        </w:tc>
      </w:tr>
      <w:tr w:rsidR="00E10BA0" w:rsidRPr="008E3606" w14:paraId="0ABA4861" w14:textId="77777777" w:rsidTr="007E453E">
        <w:trPr>
          <w:gridAfter w:val="1"/>
          <w:wAfter w:w="6" w:type="dxa"/>
          <w:trHeight w:val="20"/>
          <w:jc w:val="center"/>
        </w:trPr>
        <w:tc>
          <w:tcPr>
            <w:tcW w:w="1843"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E5A5389" w14:textId="77777777" w:rsidR="00E10BA0" w:rsidRPr="008E3606" w:rsidRDefault="00E10BA0" w:rsidP="007E453E">
            <w:pPr>
              <w:widowControl w:val="0"/>
              <w:spacing w:line="240" w:lineRule="auto"/>
              <w:jc w:val="center"/>
              <w:rPr>
                <w:sz w:val="24"/>
              </w:rPr>
            </w:pPr>
            <w:r w:rsidRPr="008E3606">
              <w:rPr>
                <w:sz w:val="24"/>
              </w:rPr>
              <w:t>40%</w:t>
            </w:r>
          </w:p>
        </w:tc>
        <w:tc>
          <w:tcPr>
            <w:tcW w:w="2680" w:type="dxa"/>
            <w:tcBorders>
              <w:top w:val="nil"/>
              <w:left w:val="nil"/>
              <w:bottom w:val="single" w:sz="4" w:space="0" w:color="auto"/>
              <w:right w:val="single" w:sz="4" w:space="0" w:color="auto"/>
            </w:tcBorders>
            <w:shd w:val="clear" w:color="auto" w:fill="D9E2F3" w:themeFill="accent1" w:themeFillTint="33"/>
            <w:noWrap/>
            <w:vAlign w:val="bottom"/>
            <w:hideMark/>
          </w:tcPr>
          <w:p w14:paraId="6A43A0F3" w14:textId="77777777" w:rsidR="00E10BA0" w:rsidRPr="008E3606" w:rsidRDefault="00E10BA0" w:rsidP="007E453E">
            <w:pPr>
              <w:widowControl w:val="0"/>
              <w:spacing w:line="240" w:lineRule="auto"/>
              <w:jc w:val="center"/>
              <w:rPr>
                <w:sz w:val="24"/>
              </w:rPr>
            </w:pPr>
            <w:r w:rsidRPr="008E3606">
              <w:rPr>
                <w:sz w:val="24"/>
              </w:rPr>
              <w:t>6.500% + [3*(Colchón /4)]</w:t>
            </w:r>
          </w:p>
        </w:tc>
        <w:tc>
          <w:tcPr>
            <w:tcW w:w="2356" w:type="dxa"/>
            <w:tcBorders>
              <w:top w:val="nil"/>
              <w:left w:val="nil"/>
              <w:bottom w:val="single" w:sz="4" w:space="0" w:color="auto"/>
              <w:right w:val="single" w:sz="4" w:space="0" w:color="auto"/>
            </w:tcBorders>
            <w:shd w:val="clear" w:color="auto" w:fill="D9E2F3" w:themeFill="accent1" w:themeFillTint="33"/>
            <w:noWrap/>
            <w:vAlign w:val="bottom"/>
            <w:hideMark/>
          </w:tcPr>
          <w:p w14:paraId="3F827473" w14:textId="77777777" w:rsidR="00E10BA0" w:rsidRPr="008E3606" w:rsidRDefault="00E10BA0" w:rsidP="007E453E">
            <w:pPr>
              <w:widowControl w:val="0"/>
              <w:spacing w:line="240" w:lineRule="auto"/>
              <w:jc w:val="right"/>
              <w:rPr>
                <w:sz w:val="24"/>
              </w:rPr>
            </w:pPr>
            <w:r w:rsidRPr="008E3606">
              <w:rPr>
                <w:sz w:val="24"/>
              </w:rPr>
              <w:t>6.500% + [4*(Colchón /4)]</w:t>
            </w:r>
          </w:p>
        </w:tc>
      </w:tr>
      <w:tr w:rsidR="00E10BA0" w:rsidRPr="008E3606" w14:paraId="3C11A662" w14:textId="77777777" w:rsidTr="007E453E">
        <w:trPr>
          <w:gridAfter w:val="1"/>
          <w:wAfter w:w="6" w:type="dxa"/>
          <w:trHeight w:val="20"/>
          <w:jc w:val="center"/>
        </w:trPr>
        <w:tc>
          <w:tcPr>
            <w:tcW w:w="1843"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7777A98" w14:textId="77777777" w:rsidR="00E10BA0" w:rsidRPr="008E3606" w:rsidRDefault="00E10BA0" w:rsidP="007E453E">
            <w:pPr>
              <w:widowControl w:val="0"/>
              <w:spacing w:line="240" w:lineRule="auto"/>
              <w:jc w:val="center"/>
              <w:rPr>
                <w:sz w:val="24"/>
              </w:rPr>
            </w:pPr>
            <w:r w:rsidRPr="008E3606">
              <w:rPr>
                <w:sz w:val="24"/>
              </w:rPr>
              <w:t>0%</w:t>
            </w:r>
          </w:p>
        </w:tc>
        <w:tc>
          <w:tcPr>
            <w:tcW w:w="2680" w:type="dxa"/>
            <w:tcBorders>
              <w:top w:val="nil"/>
              <w:left w:val="nil"/>
              <w:bottom w:val="single" w:sz="4" w:space="0" w:color="auto"/>
              <w:right w:val="single" w:sz="4" w:space="0" w:color="auto"/>
            </w:tcBorders>
            <w:shd w:val="clear" w:color="auto" w:fill="D9E2F3" w:themeFill="accent1" w:themeFillTint="33"/>
            <w:noWrap/>
            <w:vAlign w:val="bottom"/>
            <w:hideMark/>
          </w:tcPr>
          <w:p w14:paraId="2DA6EC64" w14:textId="77777777" w:rsidR="00E10BA0" w:rsidRPr="008E3606" w:rsidRDefault="00E10BA0" w:rsidP="007E453E">
            <w:pPr>
              <w:widowControl w:val="0"/>
              <w:spacing w:line="240" w:lineRule="auto"/>
              <w:jc w:val="center"/>
              <w:rPr>
                <w:b/>
                <w:bCs/>
                <w:sz w:val="24"/>
              </w:rPr>
            </w:pPr>
            <w:r w:rsidRPr="008E3606">
              <w:rPr>
                <w:b/>
                <w:bCs/>
                <w:sz w:val="24"/>
              </w:rPr>
              <w:t>6.500% + [4*(Colchón /4)]</w:t>
            </w:r>
          </w:p>
        </w:tc>
        <w:tc>
          <w:tcPr>
            <w:tcW w:w="2356" w:type="dxa"/>
            <w:tcBorders>
              <w:top w:val="nil"/>
              <w:left w:val="nil"/>
              <w:bottom w:val="single" w:sz="4" w:space="0" w:color="auto"/>
              <w:right w:val="single" w:sz="4" w:space="0" w:color="auto"/>
            </w:tcBorders>
            <w:shd w:val="clear" w:color="auto" w:fill="D9E2F3" w:themeFill="accent1" w:themeFillTint="33"/>
            <w:noWrap/>
            <w:vAlign w:val="bottom"/>
            <w:hideMark/>
          </w:tcPr>
          <w:p w14:paraId="77C783A1" w14:textId="77777777" w:rsidR="00E10BA0" w:rsidRPr="008E3606" w:rsidRDefault="00E10BA0" w:rsidP="007E453E">
            <w:pPr>
              <w:widowControl w:val="0"/>
              <w:spacing w:line="240" w:lineRule="auto"/>
              <w:jc w:val="left"/>
              <w:rPr>
                <w:sz w:val="24"/>
              </w:rPr>
            </w:pPr>
            <w:r w:rsidRPr="008E3606">
              <w:rPr>
                <w:sz w:val="24"/>
              </w:rPr>
              <w:t> </w:t>
            </w:r>
          </w:p>
        </w:tc>
      </w:tr>
    </w:tbl>
    <w:p w14:paraId="0C28D0DA" w14:textId="2FFF91D3" w:rsidR="00E10BA0" w:rsidRPr="008E3606" w:rsidRDefault="00E10BA0" w:rsidP="00E10BA0">
      <w:pPr>
        <w:widowControl w:val="0"/>
        <w:spacing w:after="240" w:line="259" w:lineRule="auto"/>
        <w:jc w:val="left"/>
        <w:rPr>
          <w:sz w:val="24"/>
        </w:rPr>
      </w:pPr>
    </w:p>
    <w:p w14:paraId="14E0E71B" w14:textId="77777777" w:rsidR="00E10BA0" w:rsidRPr="008E3606" w:rsidRDefault="00E10BA0" w:rsidP="00E10BA0">
      <w:pPr>
        <w:pStyle w:val="Prrafodelista"/>
        <w:widowControl w:val="0"/>
        <w:numPr>
          <w:ilvl w:val="0"/>
          <w:numId w:val="18"/>
        </w:numPr>
        <w:spacing w:after="240" w:line="240" w:lineRule="auto"/>
        <w:ind w:left="567" w:hanging="567"/>
        <w:contextualSpacing w:val="0"/>
        <w:jc w:val="left"/>
        <w:rPr>
          <w:rFonts w:ascii="Cambria" w:hAnsi="Cambria"/>
          <w:b/>
          <w:bCs/>
          <w:color w:val="auto"/>
          <w:szCs w:val="24"/>
        </w:rPr>
      </w:pPr>
      <w:r w:rsidRPr="008E3606">
        <w:rPr>
          <w:rFonts w:ascii="Cambria" w:hAnsi="Cambria"/>
          <w:b/>
          <w:bCs/>
          <w:color w:val="auto"/>
          <w:szCs w:val="24"/>
        </w:rPr>
        <w:t xml:space="preserve">Entidad no calificada de importancia Sistémica </w:t>
      </w:r>
    </w:p>
    <w:p w14:paraId="130EBB39" w14:textId="77777777" w:rsidR="00E10BA0" w:rsidRPr="008E3606" w:rsidRDefault="00E10BA0" w:rsidP="00E10BA0">
      <w:pPr>
        <w:widowControl w:val="0"/>
        <w:spacing w:after="240" w:line="240" w:lineRule="auto"/>
        <w:jc w:val="center"/>
        <w:rPr>
          <w:sz w:val="24"/>
        </w:rPr>
      </w:pPr>
      <w:r w:rsidRPr="008E3606">
        <w:rPr>
          <w:noProof/>
          <w:sz w:val="24"/>
        </w:rPr>
        <w:drawing>
          <wp:inline distT="0" distB="0" distL="0" distR="0" wp14:anchorId="4FA31AE9" wp14:editId="3F4C494A">
            <wp:extent cx="5645103" cy="2106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977" cy="2122756"/>
                    </a:xfrm>
                    <a:prstGeom prst="rect">
                      <a:avLst/>
                    </a:prstGeom>
                    <a:noFill/>
                    <a:ln>
                      <a:noFill/>
                    </a:ln>
                  </pic:spPr>
                </pic:pic>
              </a:graphicData>
            </a:graphic>
          </wp:inline>
        </w:drawing>
      </w:r>
    </w:p>
    <w:p w14:paraId="373126F7" w14:textId="77777777" w:rsidR="00E10BA0" w:rsidRPr="008E3606" w:rsidRDefault="00E10BA0" w:rsidP="00E10BA0">
      <w:pPr>
        <w:widowControl w:val="0"/>
        <w:spacing w:after="240" w:line="240" w:lineRule="auto"/>
        <w:jc w:val="center"/>
        <w:rPr>
          <w:sz w:val="24"/>
        </w:rPr>
      </w:pPr>
      <w:r w:rsidRPr="008E3606">
        <w:rPr>
          <w:noProof/>
          <w:sz w:val="24"/>
        </w:rPr>
        <w:drawing>
          <wp:inline distT="0" distB="0" distL="0" distR="0" wp14:anchorId="6CA48441" wp14:editId="7E72B2C9">
            <wp:extent cx="5717119" cy="22205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4500" cy="2281724"/>
                    </a:xfrm>
                    <a:prstGeom prst="rect">
                      <a:avLst/>
                    </a:prstGeom>
                    <a:noFill/>
                    <a:ln>
                      <a:noFill/>
                    </a:ln>
                  </pic:spPr>
                </pic:pic>
              </a:graphicData>
            </a:graphic>
          </wp:inline>
        </w:drawing>
      </w:r>
    </w:p>
    <w:p w14:paraId="73B0A07A" w14:textId="77777777" w:rsidR="00E10BA0" w:rsidRPr="008E3606" w:rsidRDefault="00E10BA0" w:rsidP="00E10BA0">
      <w:pPr>
        <w:widowControl w:val="0"/>
        <w:spacing w:after="240" w:line="240" w:lineRule="auto"/>
        <w:jc w:val="center"/>
        <w:rPr>
          <w:sz w:val="24"/>
        </w:rPr>
      </w:pPr>
    </w:p>
    <w:p w14:paraId="5A0964DA" w14:textId="77777777" w:rsidR="00E10BA0" w:rsidRPr="008E3606" w:rsidRDefault="00E10BA0" w:rsidP="00E10BA0">
      <w:pPr>
        <w:widowControl w:val="0"/>
        <w:spacing w:after="240" w:line="240" w:lineRule="auto"/>
        <w:jc w:val="center"/>
        <w:rPr>
          <w:sz w:val="24"/>
        </w:rPr>
      </w:pPr>
      <w:r w:rsidRPr="008E3606">
        <w:rPr>
          <w:noProof/>
          <w:sz w:val="24"/>
        </w:rPr>
        <w:drawing>
          <wp:inline distT="0" distB="0" distL="0" distR="0" wp14:anchorId="1141CEEB" wp14:editId="24ABD7A1">
            <wp:extent cx="5725886" cy="223635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684" cy="2281969"/>
                    </a:xfrm>
                    <a:prstGeom prst="rect">
                      <a:avLst/>
                    </a:prstGeom>
                    <a:noFill/>
                    <a:ln>
                      <a:noFill/>
                    </a:ln>
                  </pic:spPr>
                </pic:pic>
              </a:graphicData>
            </a:graphic>
          </wp:inline>
        </w:drawing>
      </w:r>
    </w:p>
    <w:p w14:paraId="356ED4D7" w14:textId="77777777" w:rsidR="00E10BA0" w:rsidRPr="008E3606" w:rsidRDefault="00E10BA0" w:rsidP="00E10BA0">
      <w:pPr>
        <w:widowControl w:val="0"/>
        <w:spacing w:after="240" w:line="259" w:lineRule="auto"/>
        <w:jc w:val="left"/>
        <w:rPr>
          <w:sz w:val="24"/>
        </w:rPr>
      </w:pPr>
    </w:p>
    <w:p w14:paraId="77E8072E" w14:textId="77777777" w:rsidR="00E10BA0" w:rsidRPr="008E3606" w:rsidRDefault="00E10BA0" w:rsidP="00E10BA0">
      <w:pPr>
        <w:pStyle w:val="Prrafodelista"/>
        <w:widowControl w:val="0"/>
        <w:numPr>
          <w:ilvl w:val="0"/>
          <w:numId w:val="18"/>
        </w:numPr>
        <w:spacing w:after="240" w:line="240" w:lineRule="auto"/>
        <w:ind w:left="567" w:hanging="567"/>
        <w:contextualSpacing w:val="0"/>
        <w:jc w:val="left"/>
        <w:rPr>
          <w:rFonts w:ascii="Cambria" w:hAnsi="Cambria"/>
          <w:b/>
          <w:bCs/>
          <w:color w:val="auto"/>
          <w:szCs w:val="24"/>
        </w:rPr>
      </w:pPr>
      <w:r w:rsidRPr="008E3606">
        <w:rPr>
          <w:rFonts w:ascii="Cambria" w:hAnsi="Cambria"/>
          <w:b/>
          <w:bCs/>
          <w:color w:val="auto"/>
          <w:szCs w:val="24"/>
        </w:rPr>
        <w:t>Entidad calificada de importancia Sistémica 1</w:t>
      </w:r>
    </w:p>
    <w:p w14:paraId="1B687011"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6F7BEF30" wp14:editId="0093EB05">
            <wp:extent cx="5617210" cy="2095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7210" cy="2095500"/>
                    </a:xfrm>
                    <a:prstGeom prst="rect">
                      <a:avLst/>
                    </a:prstGeom>
                    <a:noFill/>
                    <a:ln>
                      <a:noFill/>
                    </a:ln>
                  </pic:spPr>
                </pic:pic>
              </a:graphicData>
            </a:graphic>
          </wp:inline>
        </w:drawing>
      </w:r>
    </w:p>
    <w:p w14:paraId="109FF580"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45ABC58E" wp14:editId="69C6AEE7">
            <wp:extent cx="5983605" cy="23241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3605" cy="2324100"/>
                    </a:xfrm>
                    <a:prstGeom prst="rect">
                      <a:avLst/>
                    </a:prstGeom>
                    <a:noFill/>
                    <a:ln>
                      <a:noFill/>
                    </a:ln>
                  </pic:spPr>
                </pic:pic>
              </a:graphicData>
            </a:graphic>
          </wp:inline>
        </w:drawing>
      </w:r>
    </w:p>
    <w:p w14:paraId="21634578"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0630C2D1" wp14:editId="17AE78D0">
            <wp:extent cx="5965190" cy="232981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5190" cy="2329815"/>
                    </a:xfrm>
                    <a:prstGeom prst="rect">
                      <a:avLst/>
                    </a:prstGeom>
                    <a:noFill/>
                    <a:ln>
                      <a:noFill/>
                    </a:ln>
                  </pic:spPr>
                </pic:pic>
              </a:graphicData>
            </a:graphic>
          </wp:inline>
        </w:drawing>
      </w:r>
    </w:p>
    <w:p w14:paraId="786CD1AD" w14:textId="77777777" w:rsidR="00E10BA0" w:rsidRPr="008E3606" w:rsidRDefault="00E10BA0" w:rsidP="00E10BA0">
      <w:pPr>
        <w:pStyle w:val="Prrafodelista"/>
        <w:widowControl w:val="0"/>
        <w:numPr>
          <w:ilvl w:val="0"/>
          <w:numId w:val="18"/>
        </w:numPr>
        <w:spacing w:after="240" w:line="240" w:lineRule="auto"/>
        <w:ind w:left="567" w:hanging="567"/>
        <w:contextualSpacing w:val="0"/>
        <w:jc w:val="left"/>
        <w:rPr>
          <w:rFonts w:ascii="Cambria" w:hAnsi="Cambria"/>
          <w:b/>
          <w:bCs/>
          <w:color w:val="auto"/>
          <w:szCs w:val="24"/>
        </w:rPr>
      </w:pPr>
      <w:r w:rsidRPr="008E3606">
        <w:rPr>
          <w:rFonts w:ascii="Cambria" w:hAnsi="Cambria"/>
          <w:b/>
          <w:bCs/>
          <w:color w:val="auto"/>
          <w:szCs w:val="24"/>
        </w:rPr>
        <w:t>Entidad calificada de importancia Sistémica 2</w:t>
      </w:r>
    </w:p>
    <w:p w14:paraId="01B4C5D3"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1B5D6F79" wp14:editId="6A8A395D">
            <wp:extent cx="5617210" cy="2095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7210" cy="2095500"/>
                    </a:xfrm>
                    <a:prstGeom prst="rect">
                      <a:avLst/>
                    </a:prstGeom>
                    <a:noFill/>
                    <a:ln>
                      <a:noFill/>
                    </a:ln>
                  </pic:spPr>
                </pic:pic>
              </a:graphicData>
            </a:graphic>
          </wp:inline>
        </w:drawing>
      </w:r>
    </w:p>
    <w:p w14:paraId="54418B79"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53C79EC4" wp14:editId="2C22BA51">
            <wp:extent cx="5983605" cy="23241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3605" cy="2324100"/>
                    </a:xfrm>
                    <a:prstGeom prst="rect">
                      <a:avLst/>
                    </a:prstGeom>
                    <a:noFill/>
                    <a:ln>
                      <a:noFill/>
                    </a:ln>
                  </pic:spPr>
                </pic:pic>
              </a:graphicData>
            </a:graphic>
          </wp:inline>
        </w:drawing>
      </w:r>
    </w:p>
    <w:p w14:paraId="71909000"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4B528B98" wp14:editId="38C21BB6">
            <wp:extent cx="5965190" cy="232981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5190" cy="2329815"/>
                    </a:xfrm>
                    <a:prstGeom prst="rect">
                      <a:avLst/>
                    </a:prstGeom>
                    <a:noFill/>
                    <a:ln>
                      <a:noFill/>
                    </a:ln>
                  </pic:spPr>
                </pic:pic>
              </a:graphicData>
            </a:graphic>
          </wp:inline>
        </w:drawing>
      </w:r>
    </w:p>
    <w:p w14:paraId="51F1312E" w14:textId="77777777" w:rsidR="00E10BA0" w:rsidRPr="008E3606" w:rsidRDefault="00E10BA0" w:rsidP="00E10BA0">
      <w:pPr>
        <w:pStyle w:val="Prrafodelista"/>
        <w:widowControl w:val="0"/>
        <w:numPr>
          <w:ilvl w:val="0"/>
          <w:numId w:val="18"/>
        </w:numPr>
        <w:spacing w:after="240" w:line="240" w:lineRule="auto"/>
        <w:ind w:left="567" w:hanging="567"/>
        <w:contextualSpacing w:val="0"/>
        <w:jc w:val="left"/>
        <w:rPr>
          <w:rFonts w:ascii="Cambria" w:hAnsi="Cambria"/>
          <w:b/>
          <w:bCs/>
          <w:color w:val="auto"/>
          <w:szCs w:val="24"/>
        </w:rPr>
      </w:pPr>
      <w:r w:rsidRPr="008E3606">
        <w:rPr>
          <w:rFonts w:ascii="Cambria" w:hAnsi="Cambria"/>
          <w:b/>
          <w:bCs/>
          <w:color w:val="auto"/>
          <w:szCs w:val="24"/>
        </w:rPr>
        <w:t>Entidad calificada de importancia Sistémica 3</w:t>
      </w:r>
    </w:p>
    <w:p w14:paraId="2CF8A22E"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09ADF8A0" wp14:editId="7227CDFD">
            <wp:extent cx="5617210" cy="20955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7210" cy="2095500"/>
                    </a:xfrm>
                    <a:prstGeom prst="rect">
                      <a:avLst/>
                    </a:prstGeom>
                    <a:noFill/>
                    <a:ln>
                      <a:noFill/>
                    </a:ln>
                  </pic:spPr>
                </pic:pic>
              </a:graphicData>
            </a:graphic>
          </wp:inline>
        </w:drawing>
      </w:r>
    </w:p>
    <w:p w14:paraId="1A452290"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7C166821" wp14:editId="02A5B8B2">
            <wp:extent cx="5983605" cy="23241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3605" cy="2324100"/>
                    </a:xfrm>
                    <a:prstGeom prst="rect">
                      <a:avLst/>
                    </a:prstGeom>
                    <a:noFill/>
                    <a:ln>
                      <a:noFill/>
                    </a:ln>
                  </pic:spPr>
                </pic:pic>
              </a:graphicData>
            </a:graphic>
          </wp:inline>
        </w:drawing>
      </w:r>
    </w:p>
    <w:p w14:paraId="694BBA96"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2AAB3E23" wp14:editId="067B8469">
            <wp:extent cx="5965190" cy="232981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5190" cy="2329815"/>
                    </a:xfrm>
                    <a:prstGeom prst="rect">
                      <a:avLst/>
                    </a:prstGeom>
                    <a:noFill/>
                    <a:ln>
                      <a:noFill/>
                    </a:ln>
                  </pic:spPr>
                </pic:pic>
              </a:graphicData>
            </a:graphic>
          </wp:inline>
        </w:drawing>
      </w:r>
    </w:p>
    <w:p w14:paraId="19420940" w14:textId="77777777" w:rsidR="00E10BA0" w:rsidRPr="008E3606" w:rsidRDefault="00E10BA0" w:rsidP="00E10BA0">
      <w:pPr>
        <w:pStyle w:val="Prrafodelista"/>
        <w:widowControl w:val="0"/>
        <w:numPr>
          <w:ilvl w:val="0"/>
          <w:numId w:val="18"/>
        </w:numPr>
        <w:spacing w:after="240" w:line="240" w:lineRule="auto"/>
        <w:ind w:left="567" w:hanging="567"/>
        <w:contextualSpacing w:val="0"/>
        <w:jc w:val="left"/>
        <w:rPr>
          <w:rFonts w:ascii="Cambria" w:hAnsi="Cambria"/>
          <w:b/>
          <w:bCs/>
          <w:color w:val="auto"/>
          <w:szCs w:val="24"/>
        </w:rPr>
      </w:pPr>
      <w:r w:rsidRPr="008E3606">
        <w:rPr>
          <w:rFonts w:ascii="Cambria" w:hAnsi="Cambria"/>
          <w:b/>
          <w:bCs/>
          <w:color w:val="auto"/>
          <w:szCs w:val="24"/>
        </w:rPr>
        <w:t>Entidad calificada de importancia Sistémica 4</w:t>
      </w:r>
    </w:p>
    <w:p w14:paraId="1569A04A"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4B936365" wp14:editId="7058FCD2">
            <wp:extent cx="5617210" cy="20955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7210" cy="2095500"/>
                    </a:xfrm>
                    <a:prstGeom prst="rect">
                      <a:avLst/>
                    </a:prstGeom>
                    <a:noFill/>
                    <a:ln>
                      <a:noFill/>
                    </a:ln>
                  </pic:spPr>
                </pic:pic>
              </a:graphicData>
            </a:graphic>
          </wp:inline>
        </w:drawing>
      </w:r>
    </w:p>
    <w:p w14:paraId="1036E7AA"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20E7EA0B" wp14:editId="7C0A753E">
            <wp:extent cx="5983605" cy="23241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3605" cy="2324100"/>
                    </a:xfrm>
                    <a:prstGeom prst="rect">
                      <a:avLst/>
                    </a:prstGeom>
                    <a:noFill/>
                    <a:ln>
                      <a:noFill/>
                    </a:ln>
                  </pic:spPr>
                </pic:pic>
              </a:graphicData>
            </a:graphic>
          </wp:inline>
        </w:drawing>
      </w:r>
    </w:p>
    <w:p w14:paraId="256221C0" w14:textId="77777777" w:rsidR="00E10BA0" w:rsidRPr="008E3606" w:rsidRDefault="00E10BA0" w:rsidP="00E10BA0">
      <w:pPr>
        <w:widowControl w:val="0"/>
        <w:spacing w:after="240" w:line="259" w:lineRule="auto"/>
        <w:jc w:val="left"/>
        <w:rPr>
          <w:sz w:val="24"/>
        </w:rPr>
      </w:pPr>
      <w:r w:rsidRPr="008E3606">
        <w:rPr>
          <w:noProof/>
          <w:sz w:val="24"/>
        </w:rPr>
        <w:drawing>
          <wp:inline distT="0" distB="0" distL="0" distR="0" wp14:anchorId="3840D624" wp14:editId="2A63FE6B">
            <wp:extent cx="5965190" cy="232981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5190" cy="2329815"/>
                    </a:xfrm>
                    <a:prstGeom prst="rect">
                      <a:avLst/>
                    </a:prstGeom>
                    <a:noFill/>
                    <a:ln>
                      <a:noFill/>
                    </a:ln>
                  </pic:spPr>
                </pic:pic>
              </a:graphicData>
            </a:graphic>
          </wp:inline>
        </w:drawing>
      </w:r>
    </w:p>
    <w:p w14:paraId="40B5970B" w14:textId="79DB4DE6" w:rsidR="00E10BA0" w:rsidRPr="008E3606" w:rsidRDefault="00E10BA0" w:rsidP="00E10BA0">
      <w:pPr>
        <w:widowControl w:val="0"/>
        <w:spacing w:after="240" w:line="259" w:lineRule="auto"/>
        <w:jc w:val="left"/>
        <w:rPr>
          <w:sz w:val="24"/>
        </w:rPr>
      </w:pPr>
    </w:p>
    <w:p w14:paraId="1170681A" w14:textId="77777777" w:rsidR="00E10BA0" w:rsidRPr="008E3606" w:rsidRDefault="00E10BA0" w:rsidP="0096711B">
      <w:pPr>
        <w:pStyle w:val="Ttulo1"/>
        <w:spacing w:after="240"/>
        <w:ind w:left="0" w:firstLine="0"/>
        <w:rPr>
          <w:rFonts w:ascii="Cambria" w:hAnsi="Cambria" w:cs="Times New Roman"/>
          <w:szCs w:val="24"/>
        </w:rPr>
      </w:pPr>
      <w:bookmarkStart w:id="13" w:name="_Toc153190209"/>
      <w:r w:rsidRPr="008E3606">
        <w:rPr>
          <w:rFonts w:ascii="Cambria" w:hAnsi="Cambria" w:cs="Times New Roman"/>
          <w:szCs w:val="24"/>
        </w:rPr>
        <w:t>IX ELEMENTOS DE LA EXPOSICIÓN TOTAL DE LA ENTIDAD PARA EL CÁLCULO DEL INDICADOR DE APALANCAMIENTO</w:t>
      </w:r>
      <w:bookmarkEnd w:id="13"/>
    </w:p>
    <w:p w14:paraId="20565E87" w14:textId="77777777" w:rsidR="00E10BA0" w:rsidRPr="008E3606" w:rsidRDefault="00E10BA0" w:rsidP="00E10BA0">
      <w:pPr>
        <w:widowControl w:val="0"/>
        <w:spacing w:after="240" w:line="240" w:lineRule="auto"/>
        <w:ind w:left="1134" w:right="106" w:hanging="1149"/>
        <w:jc w:val="left"/>
        <w:rPr>
          <w:sz w:val="24"/>
        </w:rPr>
      </w:pPr>
      <w:r w:rsidRPr="008E3606">
        <w:rPr>
          <w:b/>
          <w:sz w:val="24"/>
        </w:rPr>
        <w:t>Objetivo:</w:t>
      </w:r>
      <w:r w:rsidRPr="008E3606">
        <w:rPr>
          <w:b/>
          <w:sz w:val="24"/>
        </w:rPr>
        <w:tab/>
      </w:r>
      <w:r w:rsidRPr="008E3606">
        <w:rPr>
          <w:sz w:val="24"/>
        </w:rPr>
        <w:t xml:space="preserve">Proveer a las entidades una guía para el cálculo de la exposición total de la entidad del indicador de apalancamiento. </w:t>
      </w:r>
    </w:p>
    <w:tbl>
      <w:tblPr>
        <w:tblStyle w:val="TableGrid"/>
        <w:tblW w:w="9494" w:type="dxa"/>
        <w:tblInd w:w="5" w:type="dxa"/>
        <w:tblCellMar>
          <w:top w:w="13" w:type="dxa"/>
          <w:left w:w="105" w:type="dxa"/>
          <w:right w:w="53" w:type="dxa"/>
        </w:tblCellMar>
        <w:tblLook w:val="04A0" w:firstRow="1" w:lastRow="0" w:firstColumn="1" w:lastColumn="0" w:noHBand="0" w:noVBand="1"/>
      </w:tblPr>
      <w:tblGrid>
        <w:gridCol w:w="2943"/>
        <w:gridCol w:w="4279"/>
        <w:gridCol w:w="2272"/>
      </w:tblGrid>
      <w:tr w:rsidR="00E10BA0" w:rsidRPr="008E3606" w14:paraId="7C8F79B8" w14:textId="77777777" w:rsidTr="007E453E">
        <w:trPr>
          <w:trHeight w:val="276"/>
        </w:trPr>
        <w:tc>
          <w:tcPr>
            <w:tcW w:w="7222" w:type="dxa"/>
            <w:gridSpan w:val="2"/>
            <w:tcBorders>
              <w:top w:val="single" w:sz="4" w:space="0" w:color="000000"/>
              <w:left w:val="single" w:sz="4" w:space="0" w:color="000000"/>
              <w:bottom w:val="single" w:sz="4" w:space="0" w:color="000000"/>
              <w:right w:val="single" w:sz="4" w:space="0" w:color="000000"/>
            </w:tcBorders>
          </w:tcPr>
          <w:p w14:paraId="2C75138C" w14:textId="77777777" w:rsidR="00E10BA0" w:rsidRPr="008E3606" w:rsidRDefault="00E10BA0" w:rsidP="007E453E">
            <w:pPr>
              <w:widowControl w:val="0"/>
              <w:spacing w:line="240" w:lineRule="auto"/>
              <w:ind w:left="2"/>
              <w:jc w:val="left"/>
              <w:rPr>
                <w:sz w:val="24"/>
              </w:rPr>
            </w:pPr>
            <w:r w:rsidRPr="008E3606">
              <w:rPr>
                <w:b/>
                <w:sz w:val="24"/>
              </w:rPr>
              <w:t xml:space="preserve">Elementos de la Exposición Total de la entidad </w:t>
            </w:r>
          </w:p>
        </w:tc>
        <w:tc>
          <w:tcPr>
            <w:tcW w:w="2272" w:type="dxa"/>
            <w:tcBorders>
              <w:top w:val="single" w:sz="4" w:space="0" w:color="000000"/>
              <w:left w:val="single" w:sz="4" w:space="0" w:color="000000"/>
              <w:bottom w:val="single" w:sz="4" w:space="0" w:color="000000"/>
              <w:right w:val="single" w:sz="4" w:space="0" w:color="000000"/>
            </w:tcBorders>
          </w:tcPr>
          <w:p w14:paraId="227BA5AC" w14:textId="07D729B3" w:rsidR="00E10BA0" w:rsidRPr="008E3606" w:rsidRDefault="00E10BA0" w:rsidP="007E453E">
            <w:pPr>
              <w:widowControl w:val="0"/>
              <w:spacing w:line="240" w:lineRule="auto"/>
              <w:ind w:right="58"/>
              <w:jc w:val="center"/>
              <w:rPr>
                <w:sz w:val="24"/>
              </w:rPr>
            </w:pPr>
            <w:r w:rsidRPr="008E3606">
              <w:rPr>
                <w:b/>
                <w:sz w:val="24"/>
              </w:rPr>
              <w:t>ARTÍCULO 8</w:t>
            </w:r>
            <w:r w:rsidR="006850EE" w:rsidRPr="008E3606">
              <w:rPr>
                <w:b/>
                <w:sz w:val="24"/>
              </w:rPr>
              <w:t>8</w:t>
            </w:r>
            <w:r w:rsidRPr="008E3606">
              <w:rPr>
                <w:b/>
                <w:sz w:val="24"/>
              </w:rPr>
              <w:t xml:space="preserve"> </w:t>
            </w:r>
          </w:p>
        </w:tc>
      </w:tr>
      <w:tr w:rsidR="00E10BA0" w:rsidRPr="008E3606" w14:paraId="773FC143" w14:textId="77777777" w:rsidTr="007E453E">
        <w:trPr>
          <w:trHeight w:val="274"/>
        </w:trPr>
        <w:tc>
          <w:tcPr>
            <w:tcW w:w="2943" w:type="dxa"/>
            <w:tcBorders>
              <w:top w:val="single" w:sz="4" w:space="0" w:color="000000"/>
              <w:left w:val="single" w:sz="4" w:space="0" w:color="000000"/>
              <w:bottom w:val="single" w:sz="4" w:space="0" w:color="000000"/>
              <w:right w:val="single" w:sz="4" w:space="0" w:color="000000"/>
            </w:tcBorders>
          </w:tcPr>
          <w:p w14:paraId="273D7790" w14:textId="77777777" w:rsidR="00E10BA0" w:rsidRPr="008E3606" w:rsidRDefault="00E10BA0" w:rsidP="007E453E">
            <w:pPr>
              <w:widowControl w:val="0"/>
              <w:spacing w:line="240" w:lineRule="auto"/>
              <w:ind w:left="3"/>
              <w:jc w:val="left"/>
              <w:rPr>
                <w:sz w:val="24"/>
              </w:rPr>
            </w:pPr>
            <w:r w:rsidRPr="008E3606">
              <w:rPr>
                <w:b/>
                <w:sz w:val="24"/>
              </w:rPr>
              <w:t xml:space="preserve">CUENTA CONTABLE </w:t>
            </w:r>
          </w:p>
        </w:tc>
        <w:tc>
          <w:tcPr>
            <w:tcW w:w="4279" w:type="dxa"/>
            <w:tcBorders>
              <w:top w:val="single" w:sz="4" w:space="0" w:color="000000"/>
              <w:left w:val="single" w:sz="4" w:space="0" w:color="000000"/>
              <w:bottom w:val="single" w:sz="4" w:space="0" w:color="000000"/>
              <w:right w:val="single" w:sz="4" w:space="0" w:color="000000"/>
            </w:tcBorders>
          </w:tcPr>
          <w:p w14:paraId="7C20A28E" w14:textId="77777777" w:rsidR="00E10BA0" w:rsidRPr="008E3606" w:rsidRDefault="00E10BA0" w:rsidP="007E453E">
            <w:pPr>
              <w:widowControl w:val="0"/>
              <w:spacing w:line="240" w:lineRule="auto"/>
              <w:jc w:val="left"/>
              <w:rPr>
                <w:sz w:val="24"/>
              </w:rPr>
            </w:pPr>
            <w:r w:rsidRPr="008E3606">
              <w:rPr>
                <w:b/>
                <w:sz w:val="24"/>
              </w:rPr>
              <w:t xml:space="preserve">DESCRIPCIÓN </w:t>
            </w:r>
          </w:p>
        </w:tc>
        <w:tc>
          <w:tcPr>
            <w:tcW w:w="2272" w:type="dxa"/>
            <w:tcBorders>
              <w:top w:val="single" w:sz="4" w:space="0" w:color="000000"/>
              <w:left w:val="single" w:sz="4" w:space="0" w:color="000000"/>
              <w:bottom w:val="single" w:sz="4" w:space="0" w:color="000000"/>
              <w:right w:val="single" w:sz="4" w:space="0" w:color="000000"/>
            </w:tcBorders>
          </w:tcPr>
          <w:p w14:paraId="0B091A39" w14:textId="77777777" w:rsidR="00E10BA0" w:rsidRPr="008E3606" w:rsidRDefault="00E10BA0" w:rsidP="007E453E">
            <w:pPr>
              <w:widowControl w:val="0"/>
              <w:spacing w:line="240" w:lineRule="auto"/>
              <w:ind w:left="43"/>
              <w:jc w:val="left"/>
              <w:rPr>
                <w:sz w:val="24"/>
              </w:rPr>
            </w:pPr>
            <w:r w:rsidRPr="008E3606">
              <w:rPr>
                <w:b/>
                <w:sz w:val="24"/>
              </w:rPr>
              <w:t xml:space="preserve">REFERENCIA 3-06 </w:t>
            </w:r>
          </w:p>
        </w:tc>
      </w:tr>
      <w:tr w:rsidR="00E10BA0" w:rsidRPr="008E3606" w14:paraId="46CA927D" w14:textId="77777777" w:rsidTr="007E453E">
        <w:trPr>
          <w:trHeight w:val="1332"/>
        </w:trPr>
        <w:tc>
          <w:tcPr>
            <w:tcW w:w="7222" w:type="dxa"/>
            <w:gridSpan w:val="2"/>
            <w:tcBorders>
              <w:top w:val="single" w:sz="4" w:space="0" w:color="000000"/>
              <w:left w:val="single" w:sz="4" w:space="0" w:color="000000"/>
              <w:bottom w:val="single" w:sz="4" w:space="0" w:color="000000"/>
              <w:right w:val="single" w:sz="4" w:space="0" w:color="000000"/>
            </w:tcBorders>
          </w:tcPr>
          <w:p w14:paraId="63E62F42" w14:textId="77777777" w:rsidR="00E10BA0" w:rsidRPr="008E3606" w:rsidRDefault="00E10BA0" w:rsidP="007E453E">
            <w:pPr>
              <w:widowControl w:val="0"/>
              <w:spacing w:line="240" w:lineRule="auto"/>
              <w:ind w:left="2" w:right="55"/>
              <w:rPr>
                <w:sz w:val="24"/>
              </w:rPr>
            </w:pPr>
            <w:r w:rsidRPr="008E3606">
              <w:rPr>
                <w:sz w:val="24"/>
              </w:rPr>
              <w:t xml:space="preserve">Los activos totales, restando el importe de las deducciones efectuadas en el cálculo del CCN1. Cuando el importe de la deducción corresponda al resultado neto positivo de restar activos y pasivos, para efectos del cálculo del Indicador de Apalancamiento de la entidad se restará el saldo en libros del activo, sin aplicar neteo alguno con pasivos. </w:t>
            </w:r>
          </w:p>
        </w:tc>
        <w:tc>
          <w:tcPr>
            <w:tcW w:w="2272" w:type="dxa"/>
            <w:tcBorders>
              <w:top w:val="single" w:sz="4" w:space="0" w:color="000000"/>
              <w:left w:val="single" w:sz="4" w:space="0" w:color="000000"/>
              <w:bottom w:val="single" w:sz="4" w:space="0" w:color="000000"/>
              <w:right w:val="single" w:sz="4" w:space="0" w:color="000000"/>
            </w:tcBorders>
            <w:vAlign w:val="center"/>
          </w:tcPr>
          <w:p w14:paraId="10AFE400" w14:textId="77777777" w:rsidR="00E10BA0" w:rsidRPr="008E3606" w:rsidRDefault="00E10BA0" w:rsidP="007E453E">
            <w:pPr>
              <w:widowControl w:val="0"/>
              <w:spacing w:line="240" w:lineRule="auto"/>
              <w:ind w:right="55"/>
              <w:jc w:val="center"/>
              <w:rPr>
                <w:sz w:val="24"/>
              </w:rPr>
            </w:pPr>
            <w:r w:rsidRPr="008E3606">
              <w:rPr>
                <w:sz w:val="24"/>
              </w:rPr>
              <w:t xml:space="preserve">Literal a) </w:t>
            </w:r>
          </w:p>
        </w:tc>
      </w:tr>
      <w:tr w:rsidR="00E10BA0" w:rsidRPr="008E3606" w14:paraId="52CAAA8A" w14:textId="77777777" w:rsidTr="007E453E">
        <w:trPr>
          <w:trHeight w:val="274"/>
        </w:trPr>
        <w:tc>
          <w:tcPr>
            <w:tcW w:w="2943" w:type="dxa"/>
            <w:tcBorders>
              <w:top w:val="single" w:sz="4" w:space="0" w:color="000000"/>
              <w:left w:val="single" w:sz="4" w:space="0" w:color="000000"/>
              <w:bottom w:val="single" w:sz="4" w:space="0" w:color="000000"/>
              <w:right w:val="single" w:sz="4" w:space="0" w:color="000000"/>
            </w:tcBorders>
          </w:tcPr>
          <w:p w14:paraId="6462B1FB" w14:textId="77777777" w:rsidR="00E10BA0" w:rsidRPr="008E3606" w:rsidRDefault="00E10BA0" w:rsidP="007E453E">
            <w:pPr>
              <w:widowControl w:val="0"/>
              <w:spacing w:line="240" w:lineRule="auto"/>
              <w:ind w:left="3"/>
              <w:jc w:val="left"/>
              <w:rPr>
                <w:sz w:val="24"/>
              </w:rPr>
            </w:pPr>
            <w:r w:rsidRPr="008E3606">
              <w:rPr>
                <w:sz w:val="24"/>
              </w:rPr>
              <w:t xml:space="preserve">CC 10000000 </w:t>
            </w:r>
          </w:p>
        </w:tc>
        <w:tc>
          <w:tcPr>
            <w:tcW w:w="4279" w:type="dxa"/>
            <w:tcBorders>
              <w:top w:val="single" w:sz="4" w:space="0" w:color="000000"/>
              <w:left w:val="single" w:sz="4" w:space="0" w:color="000000"/>
              <w:bottom w:val="single" w:sz="4" w:space="0" w:color="000000"/>
              <w:right w:val="single" w:sz="4" w:space="0" w:color="000000"/>
            </w:tcBorders>
          </w:tcPr>
          <w:p w14:paraId="3952CB97" w14:textId="77777777" w:rsidR="00E10BA0" w:rsidRPr="008E3606" w:rsidRDefault="00E10BA0" w:rsidP="007E453E">
            <w:pPr>
              <w:widowControl w:val="0"/>
              <w:spacing w:line="240" w:lineRule="auto"/>
              <w:jc w:val="left"/>
              <w:rPr>
                <w:sz w:val="24"/>
              </w:rPr>
            </w:pPr>
            <w:r w:rsidRPr="008E3606">
              <w:rPr>
                <w:sz w:val="24"/>
              </w:rPr>
              <w:t xml:space="preserve">Activo </w:t>
            </w:r>
          </w:p>
        </w:tc>
        <w:tc>
          <w:tcPr>
            <w:tcW w:w="2272" w:type="dxa"/>
            <w:tcBorders>
              <w:top w:val="single" w:sz="4" w:space="0" w:color="000000"/>
              <w:left w:val="single" w:sz="4" w:space="0" w:color="000000"/>
              <w:bottom w:val="single" w:sz="4" w:space="0" w:color="000000"/>
              <w:right w:val="single" w:sz="4" w:space="0" w:color="000000"/>
            </w:tcBorders>
          </w:tcPr>
          <w:p w14:paraId="38593ECA"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27ADC82" w14:textId="77777777" w:rsidTr="007E453E">
        <w:trPr>
          <w:trHeight w:val="276"/>
        </w:trPr>
        <w:tc>
          <w:tcPr>
            <w:tcW w:w="2943" w:type="dxa"/>
            <w:tcBorders>
              <w:top w:val="single" w:sz="4" w:space="0" w:color="000000"/>
              <w:left w:val="single" w:sz="4" w:space="0" w:color="000000"/>
              <w:bottom w:val="single" w:sz="4" w:space="0" w:color="000000"/>
              <w:right w:val="single" w:sz="4" w:space="0" w:color="000000"/>
            </w:tcBorders>
          </w:tcPr>
          <w:p w14:paraId="43FD6432" w14:textId="77777777" w:rsidR="00E10BA0" w:rsidRPr="008E3606" w:rsidRDefault="00E10BA0" w:rsidP="007E453E">
            <w:pPr>
              <w:widowControl w:val="0"/>
              <w:spacing w:line="240" w:lineRule="auto"/>
              <w:ind w:left="2"/>
              <w:jc w:val="left"/>
              <w:rPr>
                <w:sz w:val="24"/>
              </w:rPr>
            </w:pPr>
            <w:r w:rsidRPr="008E3606">
              <w:rPr>
                <w:sz w:val="24"/>
              </w:rPr>
              <w:t xml:space="preserve">MENOS: DA (Nuevo A) </w:t>
            </w:r>
          </w:p>
        </w:tc>
        <w:tc>
          <w:tcPr>
            <w:tcW w:w="4279" w:type="dxa"/>
            <w:tcBorders>
              <w:top w:val="single" w:sz="4" w:space="0" w:color="000000"/>
              <w:left w:val="single" w:sz="4" w:space="0" w:color="000000"/>
              <w:bottom w:val="single" w:sz="4" w:space="0" w:color="000000"/>
              <w:right w:val="single" w:sz="4" w:space="0" w:color="000000"/>
            </w:tcBorders>
          </w:tcPr>
          <w:p w14:paraId="6AF9B9DD" w14:textId="77777777" w:rsidR="00E10BA0" w:rsidRPr="008E3606" w:rsidRDefault="00E10BA0" w:rsidP="007E453E">
            <w:pPr>
              <w:widowControl w:val="0"/>
              <w:spacing w:line="240" w:lineRule="auto"/>
              <w:jc w:val="left"/>
              <w:rPr>
                <w:sz w:val="24"/>
              </w:rPr>
            </w:pPr>
            <w:r w:rsidRPr="008E3606">
              <w:rPr>
                <w:sz w:val="24"/>
              </w:rPr>
              <w:t xml:space="preserve">Deducciones del CCN1 </w:t>
            </w:r>
          </w:p>
        </w:tc>
        <w:tc>
          <w:tcPr>
            <w:tcW w:w="2272" w:type="dxa"/>
            <w:tcBorders>
              <w:top w:val="single" w:sz="4" w:space="0" w:color="000000"/>
              <w:left w:val="single" w:sz="4" w:space="0" w:color="000000"/>
              <w:bottom w:val="single" w:sz="4" w:space="0" w:color="000000"/>
              <w:right w:val="single" w:sz="4" w:space="0" w:color="000000"/>
            </w:tcBorders>
          </w:tcPr>
          <w:p w14:paraId="095C3C1D"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B802FAB" w14:textId="77777777" w:rsidTr="007E453E">
        <w:trPr>
          <w:trHeight w:val="274"/>
        </w:trPr>
        <w:tc>
          <w:tcPr>
            <w:tcW w:w="9494" w:type="dxa"/>
            <w:gridSpan w:val="3"/>
            <w:tcBorders>
              <w:top w:val="single" w:sz="4" w:space="0" w:color="000000"/>
              <w:left w:val="single" w:sz="4" w:space="0" w:color="000000"/>
              <w:bottom w:val="single" w:sz="4" w:space="0" w:color="000000"/>
              <w:right w:val="single" w:sz="4" w:space="0" w:color="000000"/>
            </w:tcBorders>
          </w:tcPr>
          <w:p w14:paraId="2E6A3501" w14:textId="77777777" w:rsidR="00E10BA0" w:rsidRPr="008E3606" w:rsidRDefault="00E10BA0" w:rsidP="007E453E">
            <w:pPr>
              <w:widowControl w:val="0"/>
              <w:spacing w:line="240" w:lineRule="auto"/>
              <w:ind w:left="3"/>
              <w:jc w:val="left"/>
              <w:rPr>
                <w:sz w:val="24"/>
              </w:rPr>
            </w:pPr>
            <w:r w:rsidRPr="008E3606">
              <w:rPr>
                <w:sz w:val="24"/>
              </w:rPr>
              <w:t xml:space="preserve"> </w:t>
            </w:r>
          </w:p>
        </w:tc>
      </w:tr>
      <w:tr w:rsidR="00E10BA0" w:rsidRPr="008E3606" w14:paraId="5CB9D22B" w14:textId="77777777" w:rsidTr="007E453E">
        <w:trPr>
          <w:trHeight w:val="804"/>
        </w:trPr>
        <w:tc>
          <w:tcPr>
            <w:tcW w:w="7222" w:type="dxa"/>
            <w:gridSpan w:val="2"/>
            <w:tcBorders>
              <w:top w:val="single" w:sz="4" w:space="0" w:color="000000"/>
              <w:left w:val="single" w:sz="4" w:space="0" w:color="000000"/>
              <w:bottom w:val="single" w:sz="4" w:space="0" w:color="000000"/>
              <w:right w:val="single" w:sz="4" w:space="0" w:color="000000"/>
            </w:tcBorders>
          </w:tcPr>
          <w:p w14:paraId="3FB197D3" w14:textId="77777777" w:rsidR="00E10BA0" w:rsidRPr="008E3606" w:rsidRDefault="00E10BA0" w:rsidP="007E453E">
            <w:pPr>
              <w:widowControl w:val="0"/>
              <w:spacing w:line="240" w:lineRule="auto"/>
              <w:ind w:left="2" w:right="55"/>
              <w:rPr>
                <w:sz w:val="24"/>
              </w:rPr>
            </w:pPr>
            <w:r w:rsidRPr="008E3606">
              <w:rPr>
                <w:sz w:val="24"/>
              </w:rPr>
              <w:t>Las exposiciones con derivados se determinarán como el importe obtenido según se establece en el Artículo 78 de este Reglamento. Este valor se toma sin aplicar los porcentajes de ponderación de riesgo, únicamente se admite la resta de las estimaciones específicas registradas.</w:t>
            </w:r>
          </w:p>
        </w:tc>
        <w:tc>
          <w:tcPr>
            <w:tcW w:w="2272" w:type="dxa"/>
            <w:tcBorders>
              <w:top w:val="single" w:sz="4" w:space="0" w:color="000000"/>
              <w:left w:val="single" w:sz="4" w:space="0" w:color="000000"/>
              <w:bottom w:val="single" w:sz="4" w:space="0" w:color="000000"/>
              <w:right w:val="single" w:sz="4" w:space="0" w:color="000000"/>
            </w:tcBorders>
            <w:vAlign w:val="center"/>
          </w:tcPr>
          <w:p w14:paraId="1B1A584A" w14:textId="77777777" w:rsidR="00E10BA0" w:rsidRPr="008E3606" w:rsidRDefault="00E10BA0" w:rsidP="007E453E">
            <w:pPr>
              <w:widowControl w:val="0"/>
              <w:spacing w:line="240" w:lineRule="auto"/>
              <w:ind w:right="55"/>
              <w:jc w:val="center"/>
              <w:rPr>
                <w:sz w:val="24"/>
              </w:rPr>
            </w:pPr>
            <w:r w:rsidRPr="008E3606">
              <w:rPr>
                <w:sz w:val="24"/>
              </w:rPr>
              <w:t xml:space="preserve">Literal b) </w:t>
            </w:r>
          </w:p>
        </w:tc>
      </w:tr>
      <w:tr w:rsidR="00E10BA0" w:rsidRPr="008E3606" w14:paraId="7F60022D" w14:textId="77777777" w:rsidTr="007E453E">
        <w:trPr>
          <w:trHeight w:val="274"/>
        </w:trPr>
        <w:tc>
          <w:tcPr>
            <w:tcW w:w="7222" w:type="dxa"/>
            <w:gridSpan w:val="2"/>
            <w:tcBorders>
              <w:top w:val="single" w:sz="4" w:space="0" w:color="000000"/>
              <w:left w:val="single" w:sz="4" w:space="0" w:color="000000"/>
              <w:bottom w:val="single" w:sz="4" w:space="0" w:color="000000"/>
              <w:right w:val="single" w:sz="4" w:space="0" w:color="000000"/>
            </w:tcBorders>
          </w:tcPr>
          <w:p w14:paraId="5FC099CE" w14:textId="77777777" w:rsidR="00E10BA0" w:rsidRPr="008E3606" w:rsidRDefault="00E10BA0" w:rsidP="007E453E">
            <w:pPr>
              <w:widowControl w:val="0"/>
              <w:spacing w:line="240" w:lineRule="auto"/>
              <w:ind w:left="3"/>
              <w:jc w:val="left"/>
              <w:rPr>
                <w:sz w:val="24"/>
              </w:rPr>
            </w:pPr>
            <w:r w:rsidRPr="008E3606">
              <w:rPr>
                <w:sz w:val="24"/>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7AD95A09"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2116D95" w14:textId="77777777" w:rsidTr="007E453E">
        <w:trPr>
          <w:trHeight w:val="1332"/>
        </w:trPr>
        <w:tc>
          <w:tcPr>
            <w:tcW w:w="7222" w:type="dxa"/>
            <w:gridSpan w:val="2"/>
            <w:tcBorders>
              <w:top w:val="single" w:sz="4" w:space="0" w:color="000000"/>
              <w:left w:val="single" w:sz="4" w:space="0" w:color="000000"/>
              <w:bottom w:val="single" w:sz="4" w:space="0" w:color="000000"/>
              <w:right w:val="single" w:sz="4" w:space="0" w:color="000000"/>
            </w:tcBorders>
          </w:tcPr>
          <w:p w14:paraId="214082BE" w14:textId="30A6BF22" w:rsidR="00E10BA0" w:rsidRPr="008E3606" w:rsidRDefault="00E10BA0" w:rsidP="007E453E">
            <w:pPr>
              <w:widowControl w:val="0"/>
              <w:spacing w:line="240" w:lineRule="auto"/>
              <w:ind w:left="2" w:right="55"/>
              <w:rPr>
                <w:sz w:val="24"/>
              </w:rPr>
            </w:pPr>
            <w:r w:rsidRPr="008E3606">
              <w:rPr>
                <w:sz w:val="24"/>
              </w:rPr>
              <w:t>Los pasivos contingentes totales, los cuales se incluyen luego de aplicar los equivalentes de crédito establecidos en el Artículo 40 del Acuerdo Sugef 3</w:t>
            </w:r>
            <w:r w:rsidR="0046519F" w:rsidRPr="008E3606">
              <w:rPr>
                <w:sz w:val="24"/>
              </w:rPr>
              <w:t>-</w:t>
            </w:r>
            <w:r w:rsidRPr="008E3606">
              <w:rPr>
                <w:sz w:val="24"/>
              </w:rPr>
              <w:t xml:space="preserve">06. Las líneas de crédito para tarjetas de crédito se sumarán a la Exposición Total de la entidad, aplicando un factor de equivalente de riesgo de crédito de 10%. </w:t>
            </w:r>
          </w:p>
        </w:tc>
        <w:tc>
          <w:tcPr>
            <w:tcW w:w="2272" w:type="dxa"/>
            <w:tcBorders>
              <w:top w:val="single" w:sz="4" w:space="0" w:color="000000"/>
              <w:left w:val="single" w:sz="4" w:space="0" w:color="000000"/>
              <w:bottom w:val="single" w:sz="4" w:space="0" w:color="000000"/>
              <w:right w:val="single" w:sz="4" w:space="0" w:color="000000"/>
            </w:tcBorders>
            <w:vAlign w:val="center"/>
          </w:tcPr>
          <w:p w14:paraId="42E47962" w14:textId="77777777" w:rsidR="00E10BA0" w:rsidRPr="008E3606" w:rsidRDefault="00E10BA0" w:rsidP="007E453E">
            <w:pPr>
              <w:widowControl w:val="0"/>
              <w:spacing w:line="240" w:lineRule="auto"/>
              <w:ind w:right="55"/>
              <w:jc w:val="center"/>
              <w:rPr>
                <w:sz w:val="24"/>
              </w:rPr>
            </w:pPr>
            <w:r w:rsidRPr="008E3606">
              <w:rPr>
                <w:sz w:val="24"/>
              </w:rPr>
              <w:t xml:space="preserve">Literal c) </w:t>
            </w:r>
          </w:p>
        </w:tc>
      </w:tr>
      <w:tr w:rsidR="00E10BA0" w:rsidRPr="008E3606" w14:paraId="75BEC164" w14:textId="77777777" w:rsidTr="007E453E">
        <w:trPr>
          <w:trHeight w:val="276"/>
        </w:trPr>
        <w:tc>
          <w:tcPr>
            <w:tcW w:w="2943" w:type="dxa"/>
            <w:tcBorders>
              <w:top w:val="single" w:sz="4" w:space="0" w:color="000000"/>
              <w:left w:val="single" w:sz="4" w:space="0" w:color="000000"/>
              <w:bottom w:val="single" w:sz="4" w:space="0" w:color="000000"/>
              <w:right w:val="single" w:sz="4" w:space="0" w:color="000000"/>
            </w:tcBorders>
          </w:tcPr>
          <w:p w14:paraId="01A5C3D3" w14:textId="77777777" w:rsidR="00E10BA0" w:rsidRPr="008E3606" w:rsidRDefault="00E10BA0" w:rsidP="007E453E">
            <w:pPr>
              <w:widowControl w:val="0"/>
              <w:spacing w:line="240" w:lineRule="auto"/>
              <w:ind w:left="3"/>
              <w:jc w:val="left"/>
              <w:rPr>
                <w:sz w:val="24"/>
              </w:rPr>
            </w:pPr>
            <w:r w:rsidRPr="008E3606">
              <w:rPr>
                <w:sz w:val="24"/>
              </w:rPr>
              <w:t>CC 61103000 * 5%</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4F562F32" w14:textId="77777777" w:rsidR="00E10BA0" w:rsidRPr="008E3606" w:rsidRDefault="00E10BA0" w:rsidP="007E453E">
            <w:pPr>
              <w:widowControl w:val="0"/>
              <w:spacing w:line="240" w:lineRule="auto"/>
              <w:jc w:val="left"/>
              <w:rPr>
                <w:sz w:val="24"/>
              </w:rPr>
            </w:pPr>
            <w:r w:rsidRPr="008E3606">
              <w:rPr>
                <w:sz w:val="24"/>
              </w:rPr>
              <w:t xml:space="preserve">Garantías de participación </w:t>
            </w:r>
          </w:p>
        </w:tc>
        <w:tc>
          <w:tcPr>
            <w:tcW w:w="2272" w:type="dxa"/>
            <w:tcBorders>
              <w:top w:val="single" w:sz="4" w:space="0" w:color="000000"/>
              <w:left w:val="single" w:sz="4" w:space="0" w:color="000000"/>
              <w:bottom w:val="single" w:sz="4" w:space="0" w:color="000000"/>
              <w:right w:val="single" w:sz="4" w:space="0" w:color="000000"/>
            </w:tcBorders>
          </w:tcPr>
          <w:p w14:paraId="385D7E30"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5B0B3437" w14:textId="77777777" w:rsidTr="007E453E">
        <w:trPr>
          <w:trHeight w:val="538"/>
        </w:trPr>
        <w:tc>
          <w:tcPr>
            <w:tcW w:w="2943" w:type="dxa"/>
            <w:tcBorders>
              <w:top w:val="single" w:sz="4" w:space="0" w:color="000000"/>
              <w:left w:val="single" w:sz="4" w:space="0" w:color="000000"/>
              <w:bottom w:val="single" w:sz="4" w:space="0" w:color="000000"/>
              <w:right w:val="single" w:sz="4" w:space="0" w:color="000000"/>
            </w:tcBorders>
            <w:vAlign w:val="center"/>
          </w:tcPr>
          <w:p w14:paraId="320DFDE2" w14:textId="77777777" w:rsidR="00E10BA0" w:rsidRPr="008E3606" w:rsidRDefault="00E10BA0" w:rsidP="007E453E">
            <w:pPr>
              <w:widowControl w:val="0"/>
              <w:spacing w:line="240" w:lineRule="auto"/>
              <w:ind w:left="3"/>
              <w:jc w:val="left"/>
              <w:rPr>
                <w:sz w:val="24"/>
              </w:rPr>
            </w:pPr>
            <w:r w:rsidRPr="008E3606">
              <w:rPr>
                <w:sz w:val="24"/>
              </w:rPr>
              <w:t>CC 61300000 * 5%</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5DD197F3" w14:textId="64676415" w:rsidR="00E10BA0" w:rsidRPr="008E3606" w:rsidRDefault="00E10BA0" w:rsidP="007E453E">
            <w:pPr>
              <w:widowControl w:val="0"/>
              <w:spacing w:line="240" w:lineRule="auto"/>
              <w:jc w:val="left"/>
              <w:rPr>
                <w:sz w:val="24"/>
              </w:rPr>
            </w:pPr>
            <w:r w:rsidRPr="008E3606">
              <w:rPr>
                <w:sz w:val="24"/>
              </w:rPr>
              <w:t>Cartas de crédito confirmadas no</w:t>
            </w:r>
            <w:r w:rsidR="0046519F" w:rsidRPr="008E3606">
              <w:rPr>
                <w:sz w:val="24"/>
              </w:rPr>
              <w:t xml:space="preserve"> </w:t>
            </w:r>
            <w:r w:rsidRPr="008E3606">
              <w:rPr>
                <w:sz w:val="24"/>
              </w:rPr>
              <w:t xml:space="preserve">negociadas </w:t>
            </w:r>
          </w:p>
        </w:tc>
        <w:tc>
          <w:tcPr>
            <w:tcW w:w="2272" w:type="dxa"/>
            <w:tcBorders>
              <w:top w:val="single" w:sz="4" w:space="0" w:color="000000"/>
              <w:left w:val="single" w:sz="4" w:space="0" w:color="000000"/>
              <w:bottom w:val="single" w:sz="4" w:space="0" w:color="000000"/>
              <w:right w:val="single" w:sz="4" w:space="0" w:color="000000"/>
            </w:tcBorders>
            <w:vAlign w:val="center"/>
          </w:tcPr>
          <w:p w14:paraId="4CBF1EBE"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1F8A7D40" w14:textId="77777777" w:rsidTr="007E453E">
        <w:trPr>
          <w:trHeight w:val="276"/>
        </w:trPr>
        <w:tc>
          <w:tcPr>
            <w:tcW w:w="2943" w:type="dxa"/>
            <w:tcBorders>
              <w:top w:val="single" w:sz="4" w:space="0" w:color="000000"/>
              <w:left w:val="single" w:sz="4" w:space="0" w:color="000000"/>
              <w:bottom w:val="single" w:sz="4" w:space="0" w:color="000000"/>
              <w:right w:val="single" w:sz="4" w:space="0" w:color="000000"/>
            </w:tcBorders>
          </w:tcPr>
          <w:p w14:paraId="57DF0FF9" w14:textId="77777777" w:rsidR="00E10BA0" w:rsidRPr="008E3606" w:rsidRDefault="00E10BA0" w:rsidP="007E453E">
            <w:pPr>
              <w:widowControl w:val="0"/>
              <w:spacing w:line="240" w:lineRule="auto"/>
              <w:ind w:left="3"/>
              <w:jc w:val="left"/>
              <w:rPr>
                <w:sz w:val="24"/>
              </w:rPr>
            </w:pPr>
            <w:r w:rsidRPr="008E3606">
              <w:rPr>
                <w:sz w:val="24"/>
              </w:rPr>
              <w:t>CC 61502000 * 10%</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2374B62D" w14:textId="77777777" w:rsidR="00E10BA0" w:rsidRPr="008E3606" w:rsidRDefault="00E10BA0" w:rsidP="007E453E">
            <w:pPr>
              <w:widowControl w:val="0"/>
              <w:spacing w:line="240" w:lineRule="auto"/>
              <w:jc w:val="left"/>
              <w:rPr>
                <w:sz w:val="24"/>
              </w:rPr>
            </w:pPr>
            <w:r w:rsidRPr="008E3606">
              <w:rPr>
                <w:sz w:val="24"/>
              </w:rPr>
              <w:t xml:space="preserve">Líneas de crédito para tarjetas de crédito </w:t>
            </w:r>
          </w:p>
        </w:tc>
        <w:tc>
          <w:tcPr>
            <w:tcW w:w="2272" w:type="dxa"/>
            <w:tcBorders>
              <w:top w:val="single" w:sz="4" w:space="0" w:color="000000"/>
              <w:left w:val="single" w:sz="4" w:space="0" w:color="000000"/>
              <w:bottom w:val="single" w:sz="4" w:space="0" w:color="000000"/>
              <w:right w:val="single" w:sz="4" w:space="0" w:color="000000"/>
            </w:tcBorders>
          </w:tcPr>
          <w:p w14:paraId="4F7D935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96957F2" w14:textId="77777777" w:rsidTr="007E453E">
        <w:trPr>
          <w:trHeight w:val="538"/>
        </w:trPr>
        <w:tc>
          <w:tcPr>
            <w:tcW w:w="2943" w:type="dxa"/>
            <w:tcBorders>
              <w:top w:val="single" w:sz="4" w:space="0" w:color="000000"/>
              <w:left w:val="single" w:sz="4" w:space="0" w:color="000000"/>
              <w:bottom w:val="single" w:sz="4" w:space="0" w:color="000000"/>
              <w:right w:val="single" w:sz="4" w:space="0" w:color="000000"/>
            </w:tcBorders>
            <w:vAlign w:val="center"/>
          </w:tcPr>
          <w:p w14:paraId="1EF3B168" w14:textId="77777777" w:rsidR="00E10BA0" w:rsidRPr="008E3606" w:rsidRDefault="00E10BA0" w:rsidP="007E453E">
            <w:pPr>
              <w:widowControl w:val="0"/>
              <w:spacing w:line="240" w:lineRule="auto"/>
              <w:ind w:left="3"/>
              <w:jc w:val="left"/>
              <w:rPr>
                <w:sz w:val="24"/>
              </w:rPr>
            </w:pPr>
            <w:r w:rsidRPr="008E3606">
              <w:rPr>
                <w:sz w:val="24"/>
              </w:rPr>
              <w:t>CC 81401000 * 10%</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05E99C41" w14:textId="77777777" w:rsidR="00E10BA0" w:rsidRPr="008E3606" w:rsidRDefault="00E10BA0" w:rsidP="007E453E">
            <w:pPr>
              <w:widowControl w:val="0"/>
              <w:spacing w:line="240" w:lineRule="auto"/>
              <w:jc w:val="left"/>
              <w:rPr>
                <w:sz w:val="24"/>
              </w:rPr>
            </w:pPr>
            <w:r w:rsidRPr="008E3606">
              <w:rPr>
                <w:sz w:val="24"/>
              </w:rPr>
              <w:t xml:space="preserve">Líneas de crédito otorgadas pendientes de utilización </w:t>
            </w:r>
          </w:p>
        </w:tc>
        <w:tc>
          <w:tcPr>
            <w:tcW w:w="2272" w:type="dxa"/>
            <w:tcBorders>
              <w:top w:val="single" w:sz="4" w:space="0" w:color="000000"/>
              <w:left w:val="single" w:sz="4" w:space="0" w:color="000000"/>
              <w:bottom w:val="single" w:sz="4" w:space="0" w:color="000000"/>
              <w:right w:val="single" w:sz="4" w:space="0" w:color="000000"/>
            </w:tcBorders>
            <w:vAlign w:val="center"/>
          </w:tcPr>
          <w:p w14:paraId="6E1C294D"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2BCAB140" w14:textId="77777777" w:rsidTr="007E453E">
        <w:trPr>
          <w:trHeight w:val="276"/>
        </w:trPr>
        <w:tc>
          <w:tcPr>
            <w:tcW w:w="2943" w:type="dxa"/>
            <w:tcBorders>
              <w:top w:val="single" w:sz="4" w:space="0" w:color="000000"/>
              <w:left w:val="single" w:sz="4" w:space="0" w:color="000000"/>
              <w:bottom w:val="single" w:sz="4" w:space="0" w:color="000000"/>
              <w:right w:val="single" w:sz="4" w:space="0" w:color="000000"/>
            </w:tcBorders>
          </w:tcPr>
          <w:p w14:paraId="695FCB2F" w14:textId="77777777" w:rsidR="00E10BA0" w:rsidRPr="008E3606" w:rsidRDefault="00E10BA0" w:rsidP="007E453E">
            <w:pPr>
              <w:widowControl w:val="0"/>
              <w:spacing w:line="240" w:lineRule="auto"/>
              <w:ind w:left="3"/>
              <w:jc w:val="left"/>
              <w:rPr>
                <w:sz w:val="24"/>
              </w:rPr>
            </w:pPr>
            <w:r w:rsidRPr="008E3606">
              <w:rPr>
                <w:sz w:val="24"/>
              </w:rPr>
              <w:t>CC 61101000 * 25%</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1B02B5F9" w14:textId="77777777" w:rsidR="00E10BA0" w:rsidRPr="008E3606" w:rsidRDefault="00E10BA0" w:rsidP="007E453E">
            <w:pPr>
              <w:widowControl w:val="0"/>
              <w:spacing w:line="240" w:lineRule="auto"/>
              <w:jc w:val="left"/>
              <w:rPr>
                <w:sz w:val="24"/>
              </w:rPr>
            </w:pPr>
            <w:r w:rsidRPr="008E3606">
              <w:rPr>
                <w:sz w:val="24"/>
              </w:rPr>
              <w:t xml:space="preserve">Avales otorgados </w:t>
            </w:r>
          </w:p>
        </w:tc>
        <w:tc>
          <w:tcPr>
            <w:tcW w:w="2272" w:type="dxa"/>
            <w:tcBorders>
              <w:top w:val="single" w:sz="4" w:space="0" w:color="000000"/>
              <w:left w:val="single" w:sz="4" w:space="0" w:color="000000"/>
              <w:bottom w:val="single" w:sz="4" w:space="0" w:color="000000"/>
              <w:right w:val="single" w:sz="4" w:space="0" w:color="000000"/>
            </w:tcBorders>
          </w:tcPr>
          <w:p w14:paraId="520BDA83"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735E0F52" w14:textId="77777777" w:rsidTr="007E453E">
        <w:trPr>
          <w:trHeight w:val="274"/>
        </w:trPr>
        <w:tc>
          <w:tcPr>
            <w:tcW w:w="2943" w:type="dxa"/>
            <w:tcBorders>
              <w:top w:val="single" w:sz="4" w:space="0" w:color="000000"/>
              <w:left w:val="single" w:sz="4" w:space="0" w:color="000000"/>
              <w:bottom w:val="single" w:sz="4" w:space="0" w:color="000000"/>
              <w:right w:val="single" w:sz="4" w:space="0" w:color="000000"/>
            </w:tcBorders>
          </w:tcPr>
          <w:p w14:paraId="19FEC00A" w14:textId="77777777" w:rsidR="00E10BA0" w:rsidRPr="008E3606" w:rsidRDefault="00E10BA0" w:rsidP="007E453E">
            <w:pPr>
              <w:widowControl w:val="0"/>
              <w:spacing w:line="240" w:lineRule="auto"/>
              <w:ind w:left="3"/>
              <w:jc w:val="left"/>
              <w:rPr>
                <w:sz w:val="24"/>
              </w:rPr>
            </w:pPr>
            <w:r w:rsidRPr="008E3606">
              <w:rPr>
                <w:sz w:val="24"/>
              </w:rPr>
              <w:t>CC 61102000 * 25%</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5D1A06AA" w14:textId="77777777" w:rsidR="00E10BA0" w:rsidRPr="008E3606" w:rsidRDefault="00E10BA0" w:rsidP="007E453E">
            <w:pPr>
              <w:widowControl w:val="0"/>
              <w:spacing w:line="240" w:lineRule="auto"/>
              <w:jc w:val="left"/>
              <w:rPr>
                <w:sz w:val="24"/>
              </w:rPr>
            </w:pPr>
            <w:r w:rsidRPr="008E3606">
              <w:rPr>
                <w:sz w:val="24"/>
              </w:rPr>
              <w:t xml:space="preserve">Garantías de cumplimiento </w:t>
            </w:r>
          </w:p>
        </w:tc>
        <w:tc>
          <w:tcPr>
            <w:tcW w:w="2272" w:type="dxa"/>
            <w:tcBorders>
              <w:top w:val="single" w:sz="4" w:space="0" w:color="000000"/>
              <w:left w:val="single" w:sz="4" w:space="0" w:color="000000"/>
              <w:bottom w:val="single" w:sz="4" w:space="0" w:color="000000"/>
              <w:right w:val="single" w:sz="4" w:space="0" w:color="000000"/>
            </w:tcBorders>
          </w:tcPr>
          <w:p w14:paraId="4A7E891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0DFB80E" w14:textId="77777777" w:rsidTr="007E453E">
        <w:trPr>
          <w:trHeight w:val="274"/>
        </w:trPr>
        <w:tc>
          <w:tcPr>
            <w:tcW w:w="2943" w:type="dxa"/>
            <w:tcBorders>
              <w:top w:val="single" w:sz="4" w:space="0" w:color="000000"/>
              <w:left w:val="single" w:sz="4" w:space="0" w:color="000000"/>
              <w:bottom w:val="single" w:sz="4" w:space="0" w:color="000000"/>
              <w:right w:val="single" w:sz="4" w:space="0" w:color="000000"/>
            </w:tcBorders>
          </w:tcPr>
          <w:p w14:paraId="7A7EA011" w14:textId="77777777" w:rsidR="00E10BA0" w:rsidRPr="008E3606" w:rsidRDefault="00E10BA0" w:rsidP="007E453E">
            <w:pPr>
              <w:widowControl w:val="0"/>
              <w:spacing w:line="240" w:lineRule="auto"/>
              <w:ind w:left="3"/>
              <w:jc w:val="left"/>
              <w:rPr>
                <w:sz w:val="24"/>
              </w:rPr>
            </w:pPr>
            <w:r w:rsidRPr="008E3606">
              <w:rPr>
                <w:sz w:val="24"/>
              </w:rPr>
              <w:t>CC 61104000 * 25%</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66CF9FF0" w14:textId="77777777" w:rsidR="00E10BA0" w:rsidRPr="008E3606" w:rsidRDefault="00E10BA0" w:rsidP="007E453E">
            <w:pPr>
              <w:widowControl w:val="0"/>
              <w:spacing w:line="240" w:lineRule="auto"/>
              <w:jc w:val="left"/>
              <w:rPr>
                <w:sz w:val="24"/>
              </w:rPr>
            </w:pPr>
            <w:r w:rsidRPr="008E3606">
              <w:rPr>
                <w:sz w:val="24"/>
              </w:rPr>
              <w:t xml:space="preserve">Otras garantías </w:t>
            </w:r>
          </w:p>
        </w:tc>
        <w:tc>
          <w:tcPr>
            <w:tcW w:w="2272" w:type="dxa"/>
            <w:tcBorders>
              <w:top w:val="single" w:sz="4" w:space="0" w:color="000000"/>
              <w:left w:val="single" w:sz="4" w:space="0" w:color="000000"/>
              <w:bottom w:val="single" w:sz="4" w:space="0" w:color="000000"/>
              <w:right w:val="single" w:sz="4" w:space="0" w:color="000000"/>
            </w:tcBorders>
          </w:tcPr>
          <w:p w14:paraId="4637AC74"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580627C" w14:textId="77777777" w:rsidTr="007E453E">
        <w:trPr>
          <w:trHeight w:val="540"/>
        </w:trPr>
        <w:tc>
          <w:tcPr>
            <w:tcW w:w="2943" w:type="dxa"/>
            <w:tcBorders>
              <w:top w:val="single" w:sz="4" w:space="0" w:color="000000"/>
              <w:left w:val="single" w:sz="4" w:space="0" w:color="000000"/>
              <w:bottom w:val="single" w:sz="4" w:space="0" w:color="000000"/>
              <w:right w:val="single" w:sz="4" w:space="0" w:color="000000"/>
            </w:tcBorders>
            <w:vAlign w:val="center"/>
          </w:tcPr>
          <w:p w14:paraId="01A4C9BB" w14:textId="77777777" w:rsidR="00E10BA0" w:rsidRPr="008E3606" w:rsidRDefault="00E10BA0" w:rsidP="007E453E">
            <w:pPr>
              <w:widowControl w:val="0"/>
              <w:spacing w:line="240" w:lineRule="auto"/>
              <w:ind w:left="3"/>
              <w:jc w:val="left"/>
              <w:rPr>
                <w:sz w:val="24"/>
              </w:rPr>
            </w:pPr>
            <w:r w:rsidRPr="008E3606">
              <w:rPr>
                <w:sz w:val="24"/>
              </w:rPr>
              <w:t>CC 61105000 * 25%</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29DBB9D7" w14:textId="77777777" w:rsidR="00E10BA0" w:rsidRPr="008E3606" w:rsidRDefault="00E10BA0" w:rsidP="007E453E">
            <w:pPr>
              <w:widowControl w:val="0"/>
              <w:spacing w:line="240" w:lineRule="auto"/>
              <w:rPr>
                <w:sz w:val="24"/>
              </w:rPr>
            </w:pPr>
            <w:r w:rsidRPr="008E3606">
              <w:rPr>
                <w:sz w:val="24"/>
              </w:rPr>
              <w:t xml:space="preserve">Garantía subsidiaria que otorga el BANHVI a las entidades del sector Vivienda </w:t>
            </w:r>
          </w:p>
        </w:tc>
        <w:tc>
          <w:tcPr>
            <w:tcW w:w="2272" w:type="dxa"/>
            <w:tcBorders>
              <w:top w:val="single" w:sz="4" w:space="0" w:color="000000"/>
              <w:left w:val="single" w:sz="4" w:space="0" w:color="000000"/>
              <w:bottom w:val="single" w:sz="4" w:space="0" w:color="000000"/>
              <w:right w:val="single" w:sz="4" w:space="0" w:color="000000"/>
            </w:tcBorders>
            <w:vAlign w:val="center"/>
          </w:tcPr>
          <w:p w14:paraId="6D753BB4"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4CB07252" w14:textId="77777777" w:rsidTr="007E453E">
        <w:trPr>
          <w:trHeight w:val="538"/>
        </w:trPr>
        <w:tc>
          <w:tcPr>
            <w:tcW w:w="2943" w:type="dxa"/>
            <w:tcBorders>
              <w:top w:val="single" w:sz="4" w:space="0" w:color="000000"/>
              <w:left w:val="single" w:sz="4" w:space="0" w:color="000000"/>
              <w:bottom w:val="single" w:sz="4" w:space="0" w:color="000000"/>
              <w:right w:val="single" w:sz="4" w:space="0" w:color="000000"/>
            </w:tcBorders>
            <w:vAlign w:val="center"/>
          </w:tcPr>
          <w:p w14:paraId="694F1B77" w14:textId="77777777" w:rsidR="00E10BA0" w:rsidRPr="008E3606" w:rsidRDefault="00E10BA0" w:rsidP="007E453E">
            <w:pPr>
              <w:widowControl w:val="0"/>
              <w:spacing w:line="240" w:lineRule="auto"/>
              <w:ind w:left="3"/>
              <w:jc w:val="left"/>
              <w:rPr>
                <w:sz w:val="24"/>
              </w:rPr>
            </w:pPr>
            <w:r w:rsidRPr="008E3606">
              <w:rPr>
                <w:sz w:val="24"/>
              </w:rPr>
              <w:t>CC 61501000 * 50%</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1ADD9E11" w14:textId="77777777" w:rsidR="00E10BA0" w:rsidRPr="008E3606" w:rsidRDefault="00E10BA0" w:rsidP="007E453E">
            <w:pPr>
              <w:widowControl w:val="0"/>
              <w:spacing w:line="240" w:lineRule="auto"/>
              <w:jc w:val="left"/>
              <w:rPr>
                <w:sz w:val="24"/>
              </w:rPr>
            </w:pPr>
            <w:r w:rsidRPr="008E3606">
              <w:rPr>
                <w:sz w:val="24"/>
              </w:rPr>
              <w:t xml:space="preserve">Líneas de crédito para sobregiros en cuenta corriente </w:t>
            </w:r>
          </w:p>
        </w:tc>
        <w:tc>
          <w:tcPr>
            <w:tcW w:w="2272" w:type="dxa"/>
            <w:tcBorders>
              <w:top w:val="single" w:sz="4" w:space="0" w:color="000000"/>
              <w:left w:val="single" w:sz="4" w:space="0" w:color="000000"/>
              <w:bottom w:val="single" w:sz="4" w:space="0" w:color="000000"/>
              <w:right w:val="single" w:sz="4" w:space="0" w:color="000000"/>
            </w:tcBorders>
            <w:vAlign w:val="center"/>
          </w:tcPr>
          <w:p w14:paraId="4305B2FD"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64D979F4" w14:textId="77777777" w:rsidTr="007E453E">
        <w:trPr>
          <w:trHeight w:val="276"/>
        </w:trPr>
        <w:tc>
          <w:tcPr>
            <w:tcW w:w="2943" w:type="dxa"/>
            <w:tcBorders>
              <w:top w:val="single" w:sz="4" w:space="0" w:color="000000"/>
              <w:left w:val="single" w:sz="4" w:space="0" w:color="000000"/>
              <w:bottom w:val="single" w:sz="4" w:space="0" w:color="000000"/>
              <w:right w:val="single" w:sz="4" w:space="0" w:color="000000"/>
            </w:tcBorders>
          </w:tcPr>
          <w:p w14:paraId="281E8889" w14:textId="77777777" w:rsidR="00E10BA0" w:rsidRPr="008E3606" w:rsidRDefault="00E10BA0" w:rsidP="007E453E">
            <w:pPr>
              <w:widowControl w:val="0"/>
              <w:spacing w:line="240" w:lineRule="auto"/>
              <w:ind w:left="3"/>
              <w:jc w:val="left"/>
              <w:rPr>
                <w:sz w:val="24"/>
              </w:rPr>
            </w:pPr>
            <w:r w:rsidRPr="008E3606">
              <w:rPr>
                <w:sz w:val="24"/>
              </w:rPr>
              <w:t>CC 61503000 * 50%</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3668B3F5" w14:textId="77777777" w:rsidR="00E10BA0" w:rsidRPr="008E3606" w:rsidRDefault="00E10BA0" w:rsidP="007E453E">
            <w:pPr>
              <w:widowControl w:val="0"/>
              <w:spacing w:line="240" w:lineRule="auto"/>
              <w:jc w:val="left"/>
              <w:rPr>
                <w:sz w:val="24"/>
              </w:rPr>
            </w:pPr>
            <w:r w:rsidRPr="008E3606">
              <w:rPr>
                <w:sz w:val="24"/>
              </w:rPr>
              <w:t xml:space="preserve">Líneas de crédito para factoraje </w:t>
            </w:r>
          </w:p>
        </w:tc>
        <w:tc>
          <w:tcPr>
            <w:tcW w:w="2272" w:type="dxa"/>
            <w:tcBorders>
              <w:top w:val="single" w:sz="4" w:space="0" w:color="000000"/>
              <w:left w:val="single" w:sz="4" w:space="0" w:color="000000"/>
              <w:bottom w:val="single" w:sz="4" w:space="0" w:color="000000"/>
              <w:right w:val="single" w:sz="4" w:space="0" w:color="000000"/>
            </w:tcBorders>
          </w:tcPr>
          <w:p w14:paraId="69CC7CB7"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3B7C8BD8" w14:textId="77777777" w:rsidTr="007E453E">
        <w:trPr>
          <w:trHeight w:val="538"/>
        </w:trPr>
        <w:tc>
          <w:tcPr>
            <w:tcW w:w="2943" w:type="dxa"/>
            <w:tcBorders>
              <w:top w:val="single" w:sz="4" w:space="0" w:color="000000"/>
              <w:left w:val="single" w:sz="4" w:space="0" w:color="000000"/>
              <w:bottom w:val="single" w:sz="4" w:space="0" w:color="000000"/>
              <w:right w:val="single" w:sz="4" w:space="0" w:color="000000"/>
            </w:tcBorders>
            <w:vAlign w:val="center"/>
          </w:tcPr>
          <w:p w14:paraId="0628810D" w14:textId="77777777" w:rsidR="00E10BA0" w:rsidRPr="008E3606" w:rsidRDefault="00E10BA0" w:rsidP="007E453E">
            <w:pPr>
              <w:widowControl w:val="0"/>
              <w:spacing w:line="240" w:lineRule="auto"/>
              <w:ind w:left="3"/>
              <w:jc w:val="left"/>
              <w:rPr>
                <w:sz w:val="24"/>
              </w:rPr>
            </w:pPr>
            <w:r w:rsidRPr="008E3606">
              <w:rPr>
                <w:sz w:val="24"/>
              </w:rPr>
              <w:t>CC 61599000 * 50%</w:t>
            </w:r>
            <w:r w:rsidRPr="008E3606">
              <w:rPr>
                <w:b/>
                <w:sz w:val="24"/>
              </w:rPr>
              <w:t xml:space="preserve"> </w:t>
            </w:r>
          </w:p>
        </w:tc>
        <w:tc>
          <w:tcPr>
            <w:tcW w:w="4279" w:type="dxa"/>
            <w:tcBorders>
              <w:top w:val="single" w:sz="4" w:space="0" w:color="000000"/>
              <w:left w:val="single" w:sz="4" w:space="0" w:color="000000"/>
              <w:bottom w:val="single" w:sz="4" w:space="0" w:color="000000"/>
              <w:right w:val="single" w:sz="4" w:space="0" w:color="000000"/>
            </w:tcBorders>
          </w:tcPr>
          <w:p w14:paraId="5AEB896B" w14:textId="77777777" w:rsidR="00E10BA0" w:rsidRPr="008E3606" w:rsidRDefault="00E10BA0" w:rsidP="007E453E">
            <w:pPr>
              <w:widowControl w:val="0"/>
              <w:spacing w:line="240" w:lineRule="auto"/>
              <w:jc w:val="left"/>
              <w:rPr>
                <w:sz w:val="24"/>
              </w:rPr>
            </w:pPr>
            <w:r w:rsidRPr="008E3606">
              <w:rPr>
                <w:sz w:val="24"/>
              </w:rPr>
              <w:t xml:space="preserve">Otras líneas de crédito de utilización automática </w:t>
            </w:r>
          </w:p>
        </w:tc>
        <w:tc>
          <w:tcPr>
            <w:tcW w:w="2272" w:type="dxa"/>
            <w:tcBorders>
              <w:top w:val="single" w:sz="4" w:space="0" w:color="000000"/>
              <w:left w:val="single" w:sz="4" w:space="0" w:color="000000"/>
              <w:bottom w:val="single" w:sz="4" w:space="0" w:color="000000"/>
              <w:right w:val="single" w:sz="4" w:space="0" w:color="000000"/>
            </w:tcBorders>
            <w:vAlign w:val="center"/>
          </w:tcPr>
          <w:p w14:paraId="1903A278" w14:textId="77777777" w:rsidR="00E10BA0" w:rsidRPr="008E3606" w:rsidRDefault="00E10BA0" w:rsidP="007E453E">
            <w:pPr>
              <w:widowControl w:val="0"/>
              <w:spacing w:line="240" w:lineRule="auto"/>
              <w:jc w:val="left"/>
              <w:rPr>
                <w:sz w:val="24"/>
              </w:rPr>
            </w:pPr>
            <w:r w:rsidRPr="008E3606">
              <w:rPr>
                <w:sz w:val="24"/>
              </w:rPr>
              <w:t xml:space="preserve"> </w:t>
            </w:r>
          </w:p>
        </w:tc>
      </w:tr>
      <w:tr w:rsidR="00E10BA0" w:rsidRPr="008E3606" w14:paraId="0A69C3F7" w14:textId="77777777" w:rsidTr="007E453E">
        <w:trPr>
          <w:trHeight w:val="276"/>
        </w:trPr>
        <w:tc>
          <w:tcPr>
            <w:tcW w:w="9494" w:type="dxa"/>
            <w:gridSpan w:val="3"/>
            <w:tcBorders>
              <w:top w:val="single" w:sz="4" w:space="0" w:color="000000"/>
              <w:left w:val="single" w:sz="4" w:space="0" w:color="000000"/>
              <w:bottom w:val="single" w:sz="4" w:space="0" w:color="000000"/>
              <w:right w:val="single" w:sz="4" w:space="0" w:color="000000"/>
            </w:tcBorders>
          </w:tcPr>
          <w:p w14:paraId="340DA46D" w14:textId="77777777" w:rsidR="00E10BA0" w:rsidRPr="008E3606" w:rsidRDefault="00E10BA0" w:rsidP="007E453E">
            <w:pPr>
              <w:widowControl w:val="0"/>
              <w:spacing w:line="240" w:lineRule="auto"/>
              <w:ind w:left="3"/>
              <w:jc w:val="left"/>
              <w:rPr>
                <w:sz w:val="24"/>
              </w:rPr>
            </w:pPr>
            <w:r w:rsidRPr="008E3606">
              <w:rPr>
                <w:sz w:val="24"/>
              </w:rPr>
              <w:t xml:space="preserve"> </w:t>
            </w:r>
          </w:p>
        </w:tc>
      </w:tr>
      <w:tr w:rsidR="00E10BA0" w:rsidRPr="008E3606" w14:paraId="1753BE36" w14:textId="77777777" w:rsidTr="007E453E">
        <w:trPr>
          <w:trHeight w:val="1332"/>
        </w:trPr>
        <w:tc>
          <w:tcPr>
            <w:tcW w:w="7222" w:type="dxa"/>
            <w:gridSpan w:val="2"/>
            <w:tcBorders>
              <w:top w:val="single" w:sz="4" w:space="0" w:color="000000"/>
              <w:left w:val="single" w:sz="4" w:space="0" w:color="000000"/>
              <w:bottom w:val="single" w:sz="4" w:space="0" w:color="000000"/>
              <w:right w:val="single" w:sz="4" w:space="0" w:color="000000"/>
            </w:tcBorders>
          </w:tcPr>
          <w:p w14:paraId="168F9075" w14:textId="77777777" w:rsidR="00E10BA0" w:rsidRPr="008E3606" w:rsidRDefault="00E10BA0" w:rsidP="007E453E">
            <w:pPr>
              <w:widowControl w:val="0"/>
              <w:spacing w:line="240" w:lineRule="auto"/>
              <w:ind w:left="3" w:right="54"/>
              <w:rPr>
                <w:sz w:val="24"/>
              </w:rPr>
            </w:pPr>
            <w:r w:rsidRPr="008E3606">
              <w:rPr>
                <w:sz w:val="24"/>
              </w:rPr>
              <w:t xml:space="preserve">Otras exposiciones fuera de balance, tales como líneas de crédito otorgadas en las que no exista compromiso contractual ineludible por parte de la entidad de girar los fondos no desembolsados. Para los efectos del cálculo del Indicador de Apalancamiento, se aplicará a estas exposiciones un factor de equivalente de riesgo de crédito de 10%. </w:t>
            </w:r>
          </w:p>
        </w:tc>
        <w:tc>
          <w:tcPr>
            <w:tcW w:w="2272" w:type="dxa"/>
            <w:tcBorders>
              <w:top w:val="single" w:sz="4" w:space="0" w:color="000000"/>
              <w:left w:val="single" w:sz="4" w:space="0" w:color="000000"/>
              <w:bottom w:val="single" w:sz="4" w:space="0" w:color="000000"/>
              <w:right w:val="single" w:sz="4" w:space="0" w:color="000000"/>
            </w:tcBorders>
            <w:vAlign w:val="center"/>
          </w:tcPr>
          <w:p w14:paraId="1CA5950C" w14:textId="77777777" w:rsidR="00E10BA0" w:rsidRPr="008E3606" w:rsidRDefault="00E10BA0" w:rsidP="007E453E">
            <w:pPr>
              <w:widowControl w:val="0"/>
              <w:spacing w:line="240" w:lineRule="auto"/>
              <w:ind w:right="55"/>
              <w:jc w:val="center"/>
              <w:rPr>
                <w:sz w:val="24"/>
              </w:rPr>
            </w:pPr>
            <w:r w:rsidRPr="008E3606">
              <w:rPr>
                <w:sz w:val="24"/>
              </w:rPr>
              <w:t xml:space="preserve">Literal d) </w:t>
            </w:r>
          </w:p>
        </w:tc>
      </w:tr>
      <w:tr w:rsidR="00E10BA0" w:rsidRPr="008E3606" w14:paraId="6764CE9D" w14:textId="77777777" w:rsidTr="007E453E">
        <w:trPr>
          <w:trHeight w:val="540"/>
        </w:trPr>
        <w:tc>
          <w:tcPr>
            <w:tcW w:w="2943" w:type="dxa"/>
            <w:tcBorders>
              <w:top w:val="single" w:sz="4" w:space="0" w:color="000000"/>
              <w:left w:val="single" w:sz="4" w:space="0" w:color="000000"/>
              <w:bottom w:val="single" w:sz="4" w:space="0" w:color="000000"/>
              <w:right w:val="single" w:sz="4" w:space="0" w:color="000000"/>
            </w:tcBorders>
          </w:tcPr>
          <w:p w14:paraId="02B4D0B9" w14:textId="77777777" w:rsidR="00E10BA0" w:rsidRPr="008E3606" w:rsidRDefault="00E10BA0" w:rsidP="007E453E">
            <w:pPr>
              <w:widowControl w:val="0"/>
              <w:spacing w:line="240" w:lineRule="auto"/>
              <w:ind w:left="3"/>
              <w:jc w:val="left"/>
              <w:rPr>
                <w:sz w:val="24"/>
              </w:rPr>
            </w:pPr>
            <w:r w:rsidRPr="008E3606">
              <w:rPr>
                <w:sz w:val="24"/>
              </w:rPr>
              <w:t xml:space="preserve">(CC 81400000 MENOS CC </w:t>
            </w:r>
          </w:p>
          <w:p w14:paraId="6DB7F809" w14:textId="77777777" w:rsidR="00E10BA0" w:rsidRPr="008E3606" w:rsidRDefault="00E10BA0" w:rsidP="007E453E">
            <w:pPr>
              <w:widowControl w:val="0"/>
              <w:spacing w:line="240" w:lineRule="auto"/>
              <w:ind w:left="3"/>
              <w:jc w:val="left"/>
              <w:rPr>
                <w:sz w:val="24"/>
              </w:rPr>
            </w:pPr>
            <w:r w:rsidRPr="008E3606">
              <w:rPr>
                <w:sz w:val="24"/>
              </w:rPr>
              <w:t xml:space="preserve">81401000) * 10% </w:t>
            </w:r>
          </w:p>
        </w:tc>
        <w:tc>
          <w:tcPr>
            <w:tcW w:w="4279" w:type="dxa"/>
            <w:tcBorders>
              <w:top w:val="single" w:sz="4" w:space="0" w:color="000000"/>
              <w:left w:val="single" w:sz="4" w:space="0" w:color="000000"/>
              <w:bottom w:val="single" w:sz="4" w:space="0" w:color="000000"/>
              <w:right w:val="single" w:sz="4" w:space="0" w:color="000000"/>
            </w:tcBorders>
          </w:tcPr>
          <w:p w14:paraId="45B35F44" w14:textId="77777777" w:rsidR="00E10BA0" w:rsidRPr="008E3606" w:rsidRDefault="00E10BA0" w:rsidP="007E453E">
            <w:pPr>
              <w:widowControl w:val="0"/>
              <w:spacing w:line="240" w:lineRule="auto"/>
              <w:jc w:val="left"/>
              <w:rPr>
                <w:sz w:val="24"/>
              </w:rPr>
            </w:pPr>
            <w:r w:rsidRPr="008E3606">
              <w:rPr>
                <w:sz w:val="24"/>
              </w:rPr>
              <w:t xml:space="preserve">Líneas de crédito otorgadas pendientes de utilización </w:t>
            </w:r>
          </w:p>
        </w:tc>
        <w:tc>
          <w:tcPr>
            <w:tcW w:w="2272" w:type="dxa"/>
            <w:tcBorders>
              <w:top w:val="single" w:sz="4" w:space="0" w:color="000000"/>
              <w:left w:val="single" w:sz="4" w:space="0" w:color="000000"/>
              <w:bottom w:val="single" w:sz="4" w:space="0" w:color="000000"/>
              <w:right w:val="single" w:sz="4" w:space="0" w:color="000000"/>
            </w:tcBorders>
          </w:tcPr>
          <w:p w14:paraId="0D5A9723" w14:textId="77777777" w:rsidR="00E10BA0" w:rsidRPr="008E3606" w:rsidRDefault="00E10BA0" w:rsidP="007E453E">
            <w:pPr>
              <w:widowControl w:val="0"/>
              <w:spacing w:line="240" w:lineRule="auto"/>
              <w:jc w:val="left"/>
              <w:rPr>
                <w:sz w:val="24"/>
              </w:rPr>
            </w:pPr>
            <w:r w:rsidRPr="008E3606">
              <w:rPr>
                <w:sz w:val="24"/>
              </w:rPr>
              <w:t xml:space="preserve"> </w:t>
            </w:r>
          </w:p>
        </w:tc>
      </w:tr>
    </w:tbl>
    <w:p w14:paraId="2FB58BF0" w14:textId="42B069CB" w:rsidR="00E10BA0" w:rsidRDefault="00E10BA0" w:rsidP="002B3FA0">
      <w:pPr>
        <w:pStyle w:val="CentradoResaltado"/>
        <w:spacing w:before="0" w:after="0" w:line="240" w:lineRule="auto"/>
        <w:jc w:val="both"/>
        <w:rPr>
          <w:sz w:val="24"/>
        </w:rPr>
      </w:pPr>
    </w:p>
    <w:p w14:paraId="04D76E8F" w14:textId="77777777" w:rsidR="002B3FA0" w:rsidRPr="008E3606" w:rsidRDefault="002B3FA0" w:rsidP="002B3FA0">
      <w:pPr>
        <w:pStyle w:val="CentradoResaltado"/>
        <w:spacing w:before="0" w:after="0" w:line="240" w:lineRule="auto"/>
        <w:jc w:val="both"/>
        <w:rPr>
          <w:sz w:val="24"/>
        </w:rPr>
      </w:pPr>
    </w:p>
    <w:p w14:paraId="19164C3D" w14:textId="723D457B" w:rsidR="00181ABF" w:rsidRPr="008E3606" w:rsidRDefault="00912149" w:rsidP="00181ABF">
      <w:pPr>
        <w:pStyle w:val="Texto"/>
        <w:spacing w:before="0" w:after="0" w:line="240" w:lineRule="auto"/>
        <w:rPr>
          <w:sz w:val="24"/>
        </w:rPr>
      </w:pPr>
      <w:r w:rsidRPr="008E3606">
        <w:rPr>
          <w:noProof/>
          <w:sz w:val="24"/>
          <w:lang w:val="es-CR" w:eastAsia="es-CR"/>
        </w:rPr>
        <w:drawing>
          <wp:anchor distT="0" distB="0" distL="114300" distR="114300" simplePos="0" relativeHeight="251659264" behindDoc="1" locked="0" layoutInCell="1" allowOverlap="1" wp14:anchorId="4AA3D535" wp14:editId="4C984178">
            <wp:simplePos x="0" y="0"/>
            <wp:positionH relativeFrom="column">
              <wp:posOffset>-196850</wp:posOffset>
            </wp:positionH>
            <wp:positionV relativeFrom="paragraph">
              <wp:posOffset>194368</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8E3606">
        <w:rPr>
          <w:sz w:val="24"/>
        </w:rPr>
        <w:t>Atentamente,</w:t>
      </w:r>
    </w:p>
    <w:p w14:paraId="077788FF" w14:textId="5C16D02D" w:rsidR="00181ABF" w:rsidRPr="008E3606" w:rsidRDefault="00181ABF" w:rsidP="00181ABF">
      <w:pPr>
        <w:spacing w:line="240" w:lineRule="auto"/>
        <w:rPr>
          <w:sz w:val="24"/>
        </w:rPr>
      </w:pPr>
    </w:p>
    <w:p w14:paraId="0FCF4108" w14:textId="268B0728" w:rsidR="00181ABF" w:rsidRPr="008E3606" w:rsidRDefault="00181ABF" w:rsidP="00181ABF">
      <w:pPr>
        <w:spacing w:line="240" w:lineRule="auto"/>
        <w:rPr>
          <w:sz w:val="24"/>
        </w:rPr>
      </w:pPr>
    </w:p>
    <w:p w14:paraId="1CFE91B2" w14:textId="11FC047C" w:rsidR="00181ABF" w:rsidRPr="008E3606" w:rsidRDefault="00181ABF" w:rsidP="00181ABF">
      <w:pPr>
        <w:spacing w:after="160" w:line="259" w:lineRule="auto"/>
        <w:jc w:val="left"/>
        <w:rPr>
          <w:sz w:val="24"/>
        </w:rPr>
      </w:pPr>
      <w:bookmarkStart w:id="14" w:name="_Hlk53758837"/>
      <w:r w:rsidRPr="008E3606">
        <w:rPr>
          <w:sz w:val="24"/>
        </w:rPr>
        <w:t>Rocío Aguilar Montoya</w:t>
      </w:r>
      <w:r w:rsidRPr="008E3606">
        <w:rPr>
          <w:sz w:val="24"/>
        </w:rPr>
        <w:br/>
      </w:r>
      <w:r w:rsidRPr="008E3606">
        <w:rPr>
          <w:b/>
          <w:bCs/>
          <w:sz w:val="24"/>
        </w:rPr>
        <w:t>Superintendente General</w:t>
      </w:r>
    </w:p>
    <w:bookmarkEnd w:id="14"/>
    <w:p w14:paraId="521BA241" w14:textId="77777777" w:rsidR="00181ABF" w:rsidRPr="008E3606" w:rsidRDefault="00181ABF" w:rsidP="00181ABF">
      <w:pPr>
        <w:pStyle w:val="Negrita"/>
        <w:spacing w:line="240" w:lineRule="auto"/>
        <w:rPr>
          <w:sz w:val="24"/>
        </w:rPr>
      </w:pPr>
    </w:p>
    <w:p w14:paraId="0AA72E31" w14:textId="07819298" w:rsidR="00E42AAC" w:rsidRPr="008E3606" w:rsidRDefault="00190652">
      <w:pPr>
        <w:rPr>
          <w:b/>
          <w:bCs/>
          <w:sz w:val="24"/>
        </w:rPr>
      </w:pPr>
      <w:r w:rsidRPr="008E3606">
        <w:rPr>
          <w:b/>
          <w:bCs/>
          <w:sz w:val="24"/>
        </w:rPr>
        <w:t>GSC/GAA/MFC/RED/</w:t>
      </w:r>
      <w:r w:rsidR="00D22C7B" w:rsidRPr="008E3606">
        <w:rPr>
          <w:b/>
          <w:bCs/>
          <w:sz w:val="24"/>
        </w:rPr>
        <w:t>XMR/</w:t>
      </w:r>
      <w:r w:rsidRPr="008E3606">
        <w:rPr>
          <w:b/>
          <w:bCs/>
          <w:sz w:val="24"/>
        </w:rPr>
        <w:t>gvl*</w:t>
      </w:r>
    </w:p>
    <w:sectPr w:rsidR="00E42AAC" w:rsidRPr="008E3606">
      <w:headerReference w:type="default" r:id="rId32"/>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B98F" w14:textId="77777777" w:rsidR="00342E9C" w:rsidRDefault="00342E9C" w:rsidP="00181ABF">
      <w:pPr>
        <w:spacing w:line="240" w:lineRule="auto"/>
      </w:pPr>
      <w:r>
        <w:separator/>
      </w:r>
    </w:p>
  </w:endnote>
  <w:endnote w:type="continuationSeparator" w:id="0">
    <w:p w14:paraId="19D52E8D" w14:textId="77777777" w:rsidR="00342E9C" w:rsidRDefault="00342E9C"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6967F1BF" w14:textId="77777777" w:rsidTr="00825A38">
      <w:tc>
        <w:tcPr>
          <w:tcW w:w="7356" w:type="dxa"/>
        </w:tcPr>
        <w:p w14:paraId="681E7A74" w14:textId="77777777" w:rsidR="00825A38" w:rsidRDefault="00825A38" w:rsidP="00825A38">
          <w:pPr>
            <w:pStyle w:val="Piedepgina"/>
          </w:pPr>
          <w:r>
            <w:rPr>
              <w:b/>
              <w:noProof/>
              <w:color w:val="046BAC"/>
              <w:sz w:val="18"/>
            </w:rPr>
            <mc:AlternateContent>
              <mc:Choice Requires="wps">
                <w:drawing>
                  <wp:anchor distT="0" distB="0" distL="114300" distR="114300" simplePos="0" relativeHeight="251660288" behindDoc="0" locked="0" layoutInCell="0" allowOverlap="1" wp14:anchorId="01D5F17A" wp14:editId="079D7FE2">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D1BBD"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D5F17A" id="_x0000_t202" coordsize="21600,21600" o:spt="202" path="m,l,21600r21600,l21600,xe">
                    <v:stroke joinstyle="miter"/>
                    <v:path gradientshapeok="t" o:connecttype="rect"/>
                  </v:shapetype>
                  <v:shape id="MSIPCMa8994304a1b9467300e87a5c"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A3D1BBD"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r:id="rId2" w:history="1">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14:paraId="744CB47D" w14:textId="77777777" w:rsidR="00825A38" w:rsidRPr="009349F3" w:rsidRDefault="00825A38" w:rsidP="00181ABF">
          <w:pPr>
            <w:pStyle w:val="Piedepgina"/>
            <w:rPr>
              <w:b/>
              <w:color w:val="7F7F7F" w:themeColor="text1" w:themeTint="80"/>
              <w:sz w:val="16"/>
              <w:szCs w:val="16"/>
            </w:rPr>
          </w:pPr>
        </w:p>
      </w:tc>
      <w:tc>
        <w:tcPr>
          <w:tcW w:w="1472" w:type="dxa"/>
        </w:tcPr>
        <w:p w14:paraId="3DB52562"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53B221B9" w14:textId="77777777" w:rsidR="00181ABF" w:rsidRPr="00181ABF" w:rsidRDefault="00825A38" w:rsidP="00181ABF">
    <w:pPr>
      <w:pStyle w:val="Piedepgina"/>
    </w:pPr>
    <w:r>
      <w:rPr>
        <w:noProof/>
      </w:rPr>
      <w:drawing>
        <wp:anchor distT="0" distB="0" distL="114300" distR="114300" simplePos="0" relativeHeight="251659264" behindDoc="1" locked="0" layoutInCell="1" allowOverlap="1" wp14:anchorId="403FBB2C" wp14:editId="67FC6F0C">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BF8A" w14:textId="77777777" w:rsidR="00342E9C" w:rsidRDefault="00342E9C" w:rsidP="00181ABF">
      <w:pPr>
        <w:spacing w:line="240" w:lineRule="auto"/>
      </w:pPr>
      <w:r>
        <w:separator/>
      </w:r>
    </w:p>
  </w:footnote>
  <w:footnote w:type="continuationSeparator" w:id="0">
    <w:p w14:paraId="4A4872D1" w14:textId="77777777" w:rsidR="00342E9C" w:rsidRDefault="00342E9C" w:rsidP="00181ABF">
      <w:pPr>
        <w:spacing w:line="240" w:lineRule="auto"/>
      </w:pPr>
      <w:r>
        <w:continuationSeparator/>
      </w:r>
    </w:p>
  </w:footnote>
  <w:footnote w:id="1">
    <w:p w14:paraId="59241275" w14:textId="77777777" w:rsidR="00E10BA0" w:rsidRDefault="00E10BA0" w:rsidP="00E10BA0">
      <w:pPr>
        <w:pStyle w:val="Textonotapie"/>
      </w:pPr>
      <w:r w:rsidRPr="001F778C">
        <w:rPr>
          <w:rStyle w:val="Refdenotaalpie"/>
        </w:rPr>
        <w:footnoteRef/>
      </w:r>
      <w:r w:rsidRPr="001F778C">
        <w:t xml:space="preserve"> Este es el cargo por riesgo específico relacionado con el emisor del instrumento. También se aplicará un requisito de capital separado para cubrir el riesgo de crédito de la contraparte, según lo disponen las normas de riesgo de crédito.</w:t>
      </w:r>
    </w:p>
  </w:footnote>
  <w:footnote w:id="2">
    <w:p w14:paraId="57E4E633" w14:textId="77777777" w:rsidR="00E10BA0" w:rsidRPr="00CE0AC9" w:rsidRDefault="00E10BA0" w:rsidP="00E10BA0">
      <w:pPr>
        <w:pStyle w:val="Textonotapie"/>
        <w:rPr>
          <w:lang w:val="es-CR"/>
        </w:rPr>
      </w:pPr>
      <w:r>
        <w:rPr>
          <w:rStyle w:val="Refdenotaalpie"/>
        </w:rPr>
        <w:footnoteRef/>
      </w:r>
      <w:r w:rsidRPr="00CE0AC9">
        <w:rPr>
          <w:lang w:val="es-CR"/>
        </w:rPr>
        <w:t xml:space="preserve"> </w:t>
      </w:r>
      <w:hyperlink r:id="rId1" w:history="1">
        <w:r w:rsidRPr="00CE0AC9">
          <w:rPr>
            <w:rStyle w:val="Hipervnculo"/>
            <w:lang w:val="es-CR"/>
          </w:rPr>
          <w:t>https://www.bis.org/basel_framework/chapter/SRP/31.htm?inforce=20191215&amp;published=20191215</w:t>
        </w:r>
      </w:hyperlink>
      <w:r w:rsidRPr="00CE0AC9">
        <w:rPr>
          <w:lang w:val="es-CR"/>
        </w:rPr>
        <w:t xml:space="preserve"> Referen</w:t>
      </w:r>
      <w:r>
        <w:rPr>
          <w:lang w:val="es-CR"/>
        </w:rPr>
        <w:t>cia párrafo SRP31.90.</w:t>
      </w:r>
    </w:p>
  </w:footnote>
  <w:footnote w:id="3">
    <w:p w14:paraId="03600840" w14:textId="77777777" w:rsidR="00E10BA0" w:rsidRPr="00D33FE5" w:rsidRDefault="00E10BA0" w:rsidP="00E10BA0">
      <w:pPr>
        <w:pStyle w:val="Textonotapie"/>
      </w:pPr>
      <w:r>
        <w:rPr>
          <w:rStyle w:val="Refdenotaalpie"/>
        </w:rPr>
        <w:footnoteRef/>
      </w:r>
      <w:r>
        <w:t xml:space="preserve"> </w:t>
      </w:r>
      <w:r w:rsidRPr="00D33FE5">
        <w:t>Referencia al Marco de Basilea SRP31.95</w:t>
      </w:r>
    </w:p>
  </w:footnote>
  <w:footnote w:id="4">
    <w:p w14:paraId="4460E8B1" w14:textId="1A76ED17" w:rsidR="00E10BA0" w:rsidRDefault="00E10BA0" w:rsidP="00C409C8">
      <w:pPr>
        <w:pStyle w:val="footnotedescription"/>
        <w:spacing w:after="4"/>
        <w:jc w:val="both"/>
      </w:pPr>
      <w:r>
        <w:rPr>
          <w:rStyle w:val="footnotemark"/>
        </w:rPr>
        <w:footnoteRef/>
      </w:r>
      <w:r>
        <w:rPr>
          <w:sz w:val="16"/>
        </w:rPr>
        <w:t xml:space="preserve"> Corresponde a las partidas de activo monetario, según la definición incluida en el párrafo 16 de la NIC 21 </w:t>
      </w:r>
      <w:r>
        <w:rPr>
          <w:i/>
          <w:sz w:val="16"/>
        </w:rPr>
        <w:t>“Efecto de las variaciones en las tasas de cambio de la moneda extranjera”</w:t>
      </w:r>
      <w:r>
        <w:rPr>
          <w:sz w:val="16"/>
        </w:rPr>
        <w:t xml:space="preserve"> dispone que una partida monetaria tiene como característica esencial el derecho a recibir (o la obligación de entregar) una cantidad fija o determinable de unidades monetarias.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F6A0" w14:textId="739A9518" w:rsidR="00181ABF" w:rsidRDefault="00181ABF" w:rsidP="00825A38">
    <w:pPr>
      <w:pStyle w:val="Encabezado"/>
      <w:jc w:val="left"/>
    </w:pPr>
    <w:r>
      <w:rPr>
        <w:noProof/>
        <w:lang w:val="es-CR" w:eastAsia="es-CR"/>
      </w:rPr>
      <w:drawing>
        <wp:inline distT="0" distB="0" distL="0" distR="0" wp14:anchorId="29EF7CF2" wp14:editId="63990EB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14:paraId="0C56BBF3" w14:textId="77777777" w:rsidR="006850EE" w:rsidRDefault="006850EE" w:rsidP="00825A38">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A5A"/>
    <w:multiLevelType w:val="hybridMultilevel"/>
    <w:tmpl w:val="E0861D70"/>
    <w:lvl w:ilvl="0" w:tplc="140A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91B28"/>
    <w:multiLevelType w:val="hybridMultilevel"/>
    <w:tmpl w:val="07E4F9A2"/>
    <w:lvl w:ilvl="0" w:tplc="4FDAE90A">
      <w:start w:val="1"/>
      <w:numFmt w:val="lowerRoman"/>
      <w:lvlText w:val="%1)"/>
      <w:lvlJc w:val="righ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C143A"/>
    <w:multiLevelType w:val="hybridMultilevel"/>
    <w:tmpl w:val="6652EF6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77A7887"/>
    <w:multiLevelType w:val="hybridMultilevel"/>
    <w:tmpl w:val="78921F4C"/>
    <w:lvl w:ilvl="0" w:tplc="F4A4DBD0">
      <w:start w:val="1"/>
      <w:numFmt w:val="lowerRoman"/>
      <w:lvlText w:val="%1)"/>
      <w:lvlJc w:val="left"/>
      <w:pPr>
        <w:ind w:left="2978" w:hanging="720"/>
      </w:pPr>
      <w:rPr>
        <w:rFonts w:hint="default"/>
        <w:b w:val="0"/>
        <w:strike w:val="0"/>
        <w:color w:val="000000"/>
      </w:rPr>
    </w:lvl>
    <w:lvl w:ilvl="1" w:tplc="140A0019" w:tentative="1">
      <w:start w:val="1"/>
      <w:numFmt w:val="lowerLetter"/>
      <w:lvlText w:val="%2."/>
      <w:lvlJc w:val="left"/>
      <w:pPr>
        <w:ind w:left="3338" w:hanging="360"/>
      </w:pPr>
    </w:lvl>
    <w:lvl w:ilvl="2" w:tplc="140A001B" w:tentative="1">
      <w:start w:val="1"/>
      <w:numFmt w:val="lowerRoman"/>
      <w:lvlText w:val="%3."/>
      <w:lvlJc w:val="right"/>
      <w:pPr>
        <w:ind w:left="4058" w:hanging="180"/>
      </w:pPr>
    </w:lvl>
    <w:lvl w:ilvl="3" w:tplc="140A000F" w:tentative="1">
      <w:start w:val="1"/>
      <w:numFmt w:val="decimal"/>
      <w:lvlText w:val="%4."/>
      <w:lvlJc w:val="left"/>
      <w:pPr>
        <w:ind w:left="4778" w:hanging="360"/>
      </w:pPr>
    </w:lvl>
    <w:lvl w:ilvl="4" w:tplc="140A0019" w:tentative="1">
      <w:start w:val="1"/>
      <w:numFmt w:val="lowerLetter"/>
      <w:lvlText w:val="%5."/>
      <w:lvlJc w:val="left"/>
      <w:pPr>
        <w:ind w:left="5498" w:hanging="360"/>
      </w:pPr>
    </w:lvl>
    <w:lvl w:ilvl="5" w:tplc="140A001B" w:tentative="1">
      <w:start w:val="1"/>
      <w:numFmt w:val="lowerRoman"/>
      <w:lvlText w:val="%6."/>
      <w:lvlJc w:val="right"/>
      <w:pPr>
        <w:ind w:left="6218" w:hanging="180"/>
      </w:pPr>
    </w:lvl>
    <w:lvl w:ilvl="6" w:tplc="140A000F" w:tentative="1">
      <w:start w:val="1"/>
      <w:numFmt w:val="decimal"/>
      <w:lvlText w:val="%7."/>
      <w:lvlJc w:val="left"/>
      <w:pPr>
        <w:ind w:left="6938" w:hanging="360"/>
      </w:pPr>
    </w:lvl>
    <w:lvl w:ilvl="7" w:tplc="140A0019" w:tentative="1">
      <w:start w:val="1"/>
      <w:numFmt w:val="lowerLetter"/>
      <w:lvlText w:val="%8."/>
      <w:lvlJc w:val="left"/>
      <w:pPr>
        <w:ind w:left="7658" w:hanging="360"/>
      </w:pPr>
    </w:lvl>
    <w:lvl w:ilvl="8" w:tplc="140A001B" w:tentative="1">
      <w:start w:val="1"/>
      <w:numFmt w:val="lowerRoman"/>
      <w:lvlText w:val="%9."/>
      <w:lvlJc w:val="right"/>
      <w:pPr>
        <w:ind w:left="8378" w:hanging="180"/>
      </w:pPr>
    </w:lvl>
  </w:abstractNum>
  <w:abstractNum w:abstractNumId="4" w15:restartNumberingAfterBreak="0">
    <w:nsid w:val="0D5539E7"/>
    <w:multiLevelType w:val="hybridMultilevel"/>
    <w:tmpl w:val="5C4655D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4C08E4"/>
    <w:multiLevelType w:val="hybridMultilevel"/>
    <w:tmpl w:val="A3CAE90A"/>
    <w:lvl w:ilvl="0" w:tplc="14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997999"/>
    <w:multiLevelType w:val="hybridMultilevel"/>
    <w:tmpl w:val="4260C8E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16B62C6"/>
    <w:multiLevelType w:val="hybridMultilevel"/>
    <w:tmpl w:val="26A29094"/>
    <w:lvl w:ilvl="0" w:tplc="1E9CA462">
      <w:start w:val="1"/>
      <w:numFmt w:val="lowerLetter"/>
      <w:lvlText w:val="%1)"/>
      <w:lvlJc w:val="left"/>
      <w:pPr>
        <w:ind w:left="180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9" w15:restartNumberingAfterBreak="0">
    <w:nsid w:val="16C95127"/>
    <w:multiLevelType w:val="hybridMultilevel"/>
    <w:tmpl w:val="DDE07D10"/>
    <w:lvl w:ilvl="0" w:tplc="140A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DE0E1C"/>
    <w:multiLevelType w:val="hybridMultilevel"/>
    <w:tmpl w:val="A06E24C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DD464D"/>
    <w:multiLevelType w:val="hybridMultilevel"/>
    <w:tmpl w:val="AB4E51B8"/>
    <w:lvl w:ilvl="0" w:tplc="65DC1BC2">
      <w:start w:val="1"/>
      <w:numFmt w:val="lowerLetter"/>
      <w:lvlText w:val="%1)"/>
      <w:lvlJc w:val="left"/>
      <w:pPr>
        <w:ind w:left="180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906473"/>
    <w:multiLevelType w:val="hybridMultilevel"/>
    <w:tmpl w:val="BE741E8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6CF18C7"/>
    <w:multiLevelType w:val="hybridMultilevel"/>
    <w:tmpl w:val="D2C0B9B6"/>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A4743C"/>
    <w:multiLevelType w:val="hybridMultilevel"/>
    <w:tmpl w:val="6CC66E2C"/>
    <w:lvl w:ilvl="0" w:tplc="140A0017">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F087EEF"/>
    <w:multiLevelType w:val="hybridMultilevel"/>
    <w:tmpl w:val="CC6A94B0"/>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76CEC"/>
    <w:multiLevelType w:val="hybridMultilevel"/>
    <w:tmpl w:val="708881D0"/>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910252"/>
    <w:multiLevelType w:val="hybridMultilevel"/>
    <w:tmpl w:val="37203B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2D31A3"/>
    <w:multiLevelType w:val="hybridMultilevel"/>
    <w:tmpl w:val="EB3E325A"/>
    <w:lvl w:ilvl="0" w:tplc="097EA34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6D9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41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A09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A06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004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02D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63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CFA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F971C2"/>
    <w:multiLevelType w:val="hybridMultilevel"/>
    <w:tmpl w:val="AAB2F780"/>
    <w:lvl w:ilvl="0" w:tplc="0298CC48">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DE7406"/>
    <w:multiLevelType w:val="hybridMultilevel"/>
    <w:tmpl w:val="2AAC95AA"/>
    <w:lvl w:ilvl="0" w:tplc="140A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3902D8A"/>
    <w:multiLevelType w:val="hybridMultilevel"/>
    <w:tmpl w:val="E5F69320"/>
    <w:lvl w:ilvl="0" w:tplc="83A02FB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7536BC5"/>
    <w:multiLevelType w:val="hybridMultilevel"/>
    <w:tmpl w:val="4646792C"/>
    <w:lvl w:ilvl="0" w:tplc="2110CB6A">
      <w:start w:val="1"/>
      <w:numFmt w:val="lowerLetter"/>
      <w:lvlText w:val="%1)"/>
      <w:lvlJc w:val="left"/>
      <w:pPr>
        <w:ind w:left="1080" w:hanging="360"/>
      </w:pPr>
      <w:rPr>
        <w:rFonts w:hint="default"/>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4C1505A9"/>
    <w:multiLevelType w:val="hybridMultilevel"/>
    <w:tmpl w:val="4EFEB632"/>
    <w:lvl w:ilvl="0" w:tplc="238041A4">
      <w:start w:val="1"/>
      <w:numFmt w:val="lowerRoman"/>
      <w:lvlText w:val="%1)"/>
      <w:lvlJc w:val="right"/>
      <w:pPr>
        <w:ind w:left="1277" w:hanging="360"/>
      </w:pPr>
      <w:rPr>
        <w:rFonts w:hint="default"/>
        <w:b/>
        <w:bCs/>
      </w:rPr>
    </w:lvl>
    <w:lvl w:ilvl="1" w:tplc="140A0019" w:tentative="1">
      <w:start w:val="1"/>
      <w:numFmt w:val="lowerLetter"/>
      <w:lvlText w:val="%2."/>
      <w:lvlJc w:val="left"/>
      <w:pPr>
        <w:ind w:left="1997" w:hanging="360"/>
      </w:pPr>
    </w:lvl>
    <w:lvl w:ilvl="2" w:tplc="140A001B" w:tentative="1">
      <w:start w:val="1"/>
      <w:numFmt w:val="lowerRoman"/>
      <w:lvlText w:val="%3."/>
      <w:lvlJc w:val="right"/>
      <w:pPr>
        <w:ind w:left="2717" w:hanging="180"/>
      </w:pPr>
    </w:lvl>
    <w:lvl w:ilvl="3" w:tplc="140A000F" w:tentative="1">
      <w:start w:val="1"/>
      <w:numFmt w:val="decimal"/>
      <w:lvlText w:val="%4."/>
      <w:lvlJc w:val="left"/>
      <w:pPr>
        <w:ind w:left="3437" w:hanging="360"/>
      </w:pPr>
    </w:lvl>
    <w:lvl w:ilvl="4" w:tplc="140A0019" w:tentative="1">
      <w:start w:val="1"/>
      <w:numFmt w:val="lowerLetter"/>
      <w:lvlText w:val="%5."/>
      <w:lvlJc w:val="left"/>
      <w:pPr>
        <w:ind w:left="4157" w:hanging="360"/>
      </w:pPr>
    </w:lvl>
    <w:lvl w:ilvl="5" w:tplc="140A001B" w:tentative="1">
      <w:start w:val="1"/>
      <w:numFmt w:val="lowerRoman"/>
      <w:lvlText w:val="%6."/>
      <w:lvlJc w:val="right"/>
      <w:pPr>
        <w:ind w:left="4877" w:hanging="180"/>
      </w:pPr>
    </w:lvl>
    <w:lvl w:ilvl="6" w:tplc="140A000F" w:tentative="1">
      <w:start w:val="1"/>
      <w:numFmt w:val="decimal"/>
      <w:lvlText w:val="%7."/>
      <w:lvlJc w:val="left"/>
      <w:pPr>
        <w:ind w:left="5597" w:hanging="360"/>
      </w:pPr>
    </w:lvl>
    <w:lvl w:ilvl="7" w:tplc="140A0019" w:tentative="1">
      <w:start w:val="1"/>
      <w:numFmt w:val="lowerLetter"/>
      <w:lvlText w:val="%8."/>
      <w:lvlJc w:val="left"/>
      <w:pPr>
        <w:ind w:left="6317" w:hanging="360"/>
      </w:pPr>
    </w:lvl>
    <w:lvl w:ilvl="8" w:tplc="140A001B" w:tentative="1">
      <w:start w:val="1"/>
      <w:numFmt w:val="lowerRoman"/>
      <w:lvlText w:val="%9."/>
      <w:lvlJc w:val="right"/>
      <w:pPr>
        <w:ind w:left="7037" w:hanging="180"/>
      </w:pPr>
    </w:lvl>
  </w:abstractNum>
  <w:abstractNum w:abstractNumId="24" w15:restartNumberingAfterBreak="0">
    <w:nsid w:val="4DAD3895"/>
    <w:multiLevelType w:val="hybridMultilevel"/>
    <w:tmpl w:val="8988BC9C"/>
    <w:lvl w:ilvl="0" w:tplc="140A0017">
      <w:start w:val="1"/>
      <w:numFmt w:val="lowerLetter"/>
      <w:lvlText w:val="%1)"/>
      <w:lvlJc w:val="left"/>
      <w:pPr>
        <w:ind w:left="1080" w:hanging="360"/>
      </w:pPr>
      <w:rPr>
        <w:rFonts w:hint="default"/>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4E195C49"/>
    <w:multiLevelType w:val="hybridMultilevel"/>
    <w:tmpl w:val="295E4E3E"/>
    <w:lvl w:ilvl="0" w:tplc="140A0001">
      <w:start w:val="1"/>
      <w:numFmt w:val="bullet"/>
      <w:lvlText w:val=""/>
      <w:lvlJc w:val="left"/>
      <w:pPr>
        <w:ind w:left="1854" w:hanging="360"/>
      </w:pPr>
      <w:rPr>
        <w:rFonts w:ascii="Symbol" w:hAnsi="Symbol" w:hint="default"/>
      </w:rPr>
    </w:lvl>
    <w:lvl w:ilvl="1" w:tplc="140A0003" w:tentative="1">
      <w:start w:val="1"/>
      <w:numFmt w:val="bullet"/>
      <w:lvlText w:val="o"/>
      <w:lvlJc w:val="left"/>
      <w:pPr>
        <w:ind w:left="2574" w:hanging="360"/>
      </w:pPr>
      <w:rPr>
        <w:rFonts w:ascii="Courier New" w:hAnsi="Courier New" w:cs="Courier New" w:hint="default"/>
      </w:rPr>
    </w:lvl>
    <w:lvl w:ilvl="2" w:tplc="140A0005" w:tentative="1">
      <w:start w:val="1"/>
      <w:numFmt w:val="bullet"/>
      <w:lvlText w:val=""/>
      <w:lvlJc w:val="left"/>
      <w:pPr>
        <w:ind w:left="3294" w:hanging="360"/>
      </w:pPr>
      <w:rPr>
        <w:rFonts w:ascii="Wingdings" w:hAnsi="Wingdings" w:hint="default"/>
      </w:rPr>
    </w:lvl>
    <w:lvl w:ilvl="3" w:tplc="140A0001" w:tentative="1">
      <w:start w:val="1"/>
      <w:numFmt w:val="bullet"/>
      <w:lvlText w:val=""/>
      <w:lvlJc w:val="left"/>
      <w:pPr>
        <w:ind w:left="4014" w:hanging="360"/>
      </w:pPr>
      <w:rPr>
        <w:rFonts w:ascii="Symbol" w:hAnsi="Symbol" w:hint="default"/>
      </w:rPr>
    </w:lvl>
    <w:lvl w:ilvl="4" w:tplc="140A0003" w:tentative="1">
      <w:start w:val="1"/>
      <w:numFmt w:val="bullet"/>
      <w:lvlText w:val="o"/>
      <w:lvlJc w:val="left"/>
      <w:pPr>
        <w:ind w:left="4734" w:hanging="360"/>
      </w:pPr>
      <w:rPr>
        <w:rFonts w:ascii="Courier New" w:hAnsi="Courier New" w:cs="Courier New" w:hint="default"/>
      </w:rPr>
    </w:lvl>
    <w:lvl w:ilvl="5" w:tplc="140A0005" w:tentative="1">
      <w:start w:val="1"/>
      <w:numFmt w:val="bullet"/>
      <w:lvlText w:val=""/>
      <w:lvlJc w:val="left"/>
      <w:pPr>
        <w:ind w:left="5454" w:hanging="360"/>
      </w:pPr>
      <w:rPr>
        <w:rFonts w:ascii="Wingdings" w:hAnsi="Wingdings" w:hint="default"/>
      </w:rPr>
    </w:lvl>
    <w:lvl w:ilvl="6" w:tplc="140A0001" w:tentative="1">
      <w:start w:val="1"/>
      <w:numFmt w:val="bullet"/>
      <w:lvlText w:val=""/>
      <w:lvlJc w:val="left"/>
      <w:pPr>
        <w:ind w:left="6174" w:hanging="360"/>
      </w:pPr>
      <w:rPr>
        <w:rFonts w:ascii="Symbol" w:hAnsi="Symbol" w:hint="default"/>
      </w:rPr>
    </w:lvl>
    <w:lvl w:ilvl="7" w:tplc="140A0003" w:tentative="1">
      <w:start w:val="1"/>
      <w:numFmt w:val="bullet"/>
      <w:lvlText w:val="o"/>
      <w:lvlJc w:val="left"/>
      <w:pPr>
        <w:ind w:left="6894" w:hanging="360"/>
      </w:pPr>
      <w:rPr>
        <w:rFonts w:ascii="Courier New" w:hAnsi="Courier New" w:cs="Courier New" w:hint="default"/>
      </w:rPr>
    </w:lvl>
    <w:lvl w:ilvl="8" w:tplc="140A0005" w:tentative="1">
      <w:start w:val="1"/>
      <w:numFmt w:val="bullet"/>
      <w:lvlText w:val=""/>
      <w:lvlJc w:val="left"/>
      <w:pPr>
        <w:ind w:left="7614" w:hanging="360"/>
      </w:pPr>
      <w:rPr>
        <w:rFonts w:ascii="Wingdings" w:hAnsi="Wingdings" w:hint="default"/>
      </w:rPr>
    </w:lvl>
  </w:abstractNum>
  <w:abstractNum w:abstractNumId="2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7" w15:restartNumberingAfterBreak="0">
    <w:nsid w:val="541F7C3B"/>
    <w:multiLevelType w:val="hybridMultilevel"/>
    <w:tmpl w:val="4F9803B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86C6185"/>
    <w:multiLevelType w:val="hybridMultilevel"/>
    <w:tmpl w:val="115EA506"/>
    <w:lvl w:ilvl="0" w:tplc="140A000D">
      <w:start w:val="1"/>
      <w:numFmt w:val="bullet"/>
      <w:lvlText w:val=""/>
      <w:lvlJc w:val="left"/>
      <w:pPr>
        <w:ind w:left="2520" w:hanging="360"/>
      </w:pPr>
      <w:rPr>
        <w:rFonts w:ascii="Wingdings" w:hAnsi="Wingdings" w:hint="default"/>
      </w:rPr>
    </w:lvl>
    <w:lvl w:ilvl="1" w:tplc="140A0003" w:tentative="1">
      <w:start w:val="1"/>
      <w:numFmt w:val="bullet"/>
      <w:lvlText w:val="o"/>
      <w:lvlJc w:val="left"/>
      <w:pPr>
        <w:ind w:left="3240" w:hanging="360"/>
      </w:pPr>
      <w:rPr>
        <w:rFonts w:ascii="Courier New" w:hAnsi="Courier New" w:cs="Courier New" w:hint="default"/>
      </w:rPr>
    </w:lvl>
    <w:lvl w:ilvl="2" w:tplc="140A0005" w:tentative="1">
      <w:start w:val="1"/>
      <w:numFmt w:val="bullet"/>
      <w:lvlText w:val=""/>
      <w:lvlJc w:val="left"/>
      <w:pPr>
        <w:ind w:left="3960" w:hanging="360"/>
      </w:pPr>
      <w:rPr>
        <w:rFonts w:ascii="Wingdings" w:hAnsi="Wingdings" w:hint="default"/>
      </w:rPr>
    </w:lvl>
    <w:lvl w:ilvl="3" w:tplc="140A0001" w:tentative="1">
      <w:start w:val="1"/>
      <w:numFmt w:val="bullet"/>
      <w:lvlText w:val=""/>
      <w:lvlJc w:val="left"/>
      <w:pPr>
        <w:ind w:left="4680" w:hanging="360"/>
      </w:pPr>
      <w:rPr>
        <w:rFonts w:ascii="Symbol" w:hAnsi="Symbol" w:hint="default"/>
      </w:rPr>
    </w:lvl>
    <w:lvl w:ilvl="4" w:tplc="140A0003" w:tentative="1">
      <w:start w:val="1"/>
      <w:numFmt w:val="bullet"/>
      <w:lvlText w:val="o"/>
      <w:lvlJc w:val="left"/>
      <w:pPr>
        <w:ind w:left="5400" w:hanging="360"/>
      </w:pPr>
      <w:rPr>
        <w:rFonts w:ascii="Courier New" w:hAnsi="Courier New" w:cs="Courier New" w:hint="default"/>
      </w:rPr>
    </w:lvl>
    <w:lvl w:ilvl="5" w:tplc="140A0005" w:tentative="1">
      <w:start w:val="1"/>
      <w:numFmt w:val="bullet"/>
      <w:lvlText w:val=""/>
      <w:lvlJc w:val="left"/>
      <w:pPr>
        <w:ind w:left="6120" w:hanging="360"/>
      </w:pPr>
      <w:rPr>
        <w:rFonts w:ascii="Wingdings" w:hAnsi="Wingdings" w:hint="default"/>
      </w:rPr>
    </w:lvl>
    <w:lvl w:ilvl="6" w:tplc="140A0001" w:tentative="1">
      <w:start w:val="1"/>
      <w:numFmt w:val="bullet"/>
      <w:lvlText w:val=""/>
      <w:lvlJc w:val="left"/>
      <w:pPr>
        <w:ind w:left="6840" w:hanging="360"/>
      </w:pPr>
      <w:rPr>
        <w:rFonts w:ascii="Symbol" w:hAnsi="Symbol" w:hint="default"/>
      </w:rPr>
    </w:lvl>
    <w:lvl w:ilvl="7" w:tplc="140A0003" w:tentative="1">
      <w:start w:val="1"/>
      <w:numFmt w:val="bullet"/>
      <w:lvlText w:val="o"/>
      <w:lvlJc w:val="left"/>
      <w:pPr>
        <w:ind w:left="7560" w:hanging="360"/>
      </w:pPr>
      <w:rPr>
        <w:rFonts w:ascii="Courier New" w:hAnsi="Courier New" w:cs="Courier New" w:hint="default"/>
      </w:rPr>
    </w:lvl>
    <w:lvl w:ilvl="8" w:tplc="140A0005" w:tentative="1">
      <w:start w:val="1"/>
      <w:numFmt w:val="bullet"/>
      <w:lvlText w:val=""/>
      <w:lvlJc w:val="left"/>
      <w:pPr>
        <w:ind w:left="8280" w:hanging="360"/>
      </w:pPr>
      <w:rPr>
        <w:rFonts w:ascii="Wingdings" w:hAnsi="Wingdings" w:hint="default"/>
      </w:rPr>
    </w:lvl>
  </w:abstractNum>
  <w:abstractNum w:abstractNumId="29" w15:restartNumberingAfterBreak="0">
    <w:nsid w:val="59804E3C"/>
    <w:multiLevelType w:val="hybridMultilevel"/>
    <w:tmpl w:val="A22AD1C8"/>
    <w:lvl w:ilvl="0" w:tplc="140A000D">
      <w:start w:val="1"/>
      <w:numFmt w:val="bullet"/>
      <w:lvlText w:val=""/>
      <w:lvlJc w:val="left"/>
      <w:pPr>
        <w:ind w:left="755" w:hanging="360"/>
      </w:pPr>
      <w:rPr>
        <w:rFonts w:ascii="Wingdings" w:hAnsi="Wingdings" w:hint="default"/>
      </w:rPr>
    </w:lvl>
    <w:lvl w:ilvl="1" w:tplc="140A0003" w:tentative="1">
      <w:start w:val="1"/>
      <w:numFmt w:val="bullet"/>
      <w:lvlText w:val="o"/>
      <w:lvlJc w:val="left"/>
      <w:pPr>
        <w:ind w:left="1475" w:hanging="360"/>
      </w:pPr>
      <w:rPr>
        <w:rFonts w:ascii="Courier New" w:hAnsi="Courier New" w:cs="Courier New" w:hint="default"/>
      </w:rPr>
    </w:lvl>
    <w:lvl w:ilvl="2" w:tplc="140A0005" w:tentative="1">
      <w:start w:val="1"/>
      <w:numFmt w:val="bullet"/>
      <w:lvlText w:val=""/>
      <w:lvlJc w:val="left"/>
      <w:pPr>
        <w:ind w:left="2195" w:hanging="360"/>
      </w:pPr>
      <w:rPr>
        <w:rFonts w:ascii="Wingdings" w:hAnsi="Wingdings" w:hint="default"/>
      </w:rPr>
    </w:lvl>
    <w:lvl w:ilvl="3" w:tplc="140A0001" w:tentative="1">
      <w:start w:val="1"/>
      <w:numFmt w:val="bullet"/>
      <w:lvlText w:val=""/>
      <w:lvlJc w:val="left"/>
      <w:pPr>
        <w:ind w:left="2915" w:hanging="360"/>
      </w:pPr>
      <w:rPr>
        <w:rFonts w:ascii="Symbol" w:hAnsi="Symbol" w:hint="default"/>
      </w:rPr>
    </w:lvl>
    <w:lvl w:ilvl="4" w:tplc="140A0003" w:tentative="1">
      <w:start w:val="1"/>
      <w:numFmt w:val="bullet"/>
      <w:lvlText w:val="o"/>
      <w:lvlJc w:val="left"/>
      <w:pPr>
        <w:ind w:left="3635" w:hanging="360"/>
      </w:pPr>
      <w:rPr>
        <w:rFonts w:ascii="Courier New" w:hAnsi="Courier New" w:cs="Courier New" w:hint="default"/>
      </w:rPr>
    </w:lvl>
    <w:lvl w:ilvl="5" w:tplc="140A0005" w:tentative="1">
      <w:start w:val="1"/>
      <w:numFmt w:val="bullet"/>
      <w:lvlText w:val=""/>
      <w:lvlJc w:val="left"/>
      <w:pPr>
        <w:ind w:left="4355" w:hanging="360"/>
      </w:pPr>
      <w:rPr>
        <w:rFonts w:ascii="Wingdings" w:hAnsi="Wingdings" w:hint="default"/>
      </w:rPr>
    </w:lvl>
    <w:lvl w:ilvl="6" w:tplc="140A0001" w:tentative="1">
      <w:start w:val="1"/>
      <w:numFmt w:val="bullet"/>
      <w:lvlText w:val=""/>
      <w:lvlJc w:val="left"/>
      <w:pPr>
        <w:ind w:left="5075" w:hanging="360"/>
      </w:pPr>
      <w:rPr>
        <w:rFonts w:ascii="Symbol" w:hAnsi="Symbol" w:hint="default"/>
      </w:rPr>
    </w:lvl>
    <w:lvl w:ilvl="7" w:tplc="140A0003" w:tentative="1">
      <w:start w:val="1"/>
      <w:numFmt w:val="bullet"/>
      <w:lvlText w:val="o"/>
      <w:lvlJc w:val="left"/>
      <w:pPr>
        <w:ind w:left="5795" w:hanging="360"/>
      </w:pPr>
      <w:rPr>
        <w:rFonts w:ascii="Courier New" w:hAnsi="Courier New" w:cs="Courier New" w:hint="default"/>
      </w:rPr>
    </w:lvl>
    <w:lvl w:ilvl="8" w:tplc="140A0005" w:tentative="1">
      <w:start w:val="1"/>
      <w:numFmt w:val="bullet"/>
      <w:lvlText w:val=""/>
      <w:lvlJc w:val="left"/>
      <w:pPr>
        <w:ind w:left="6515" w:hanging="360"/>
      </w:pPr>
      <w:rPr>
        <w:rFonts w:ascii="Wingdings" w:hAnsi="Wingdings" w:hint="default"/>
      </w:rPr>
    </w:lvl>
  </w:abstractNum>
  <w:abstractNum w:abstractNumId="30" w15:restartNumberingAfterBreak="0">
    <w:nsid w:val="59CC420E"/>
    <w:multiLevelType w:val="hybridMultilevel"/>
    <w:tmpl w:val="BD946EBA"/>
    <w:lvl w:ilvl="0" w:tplc="7D5E03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50054D"/>
    <w:multiLevelType w:val="hybridMultilevel"/>
    <w:tmpl w:val="39969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761581"/>
    <w:multiLevelType w:val="hybridMultilevel"/>
    <w:tmpl w:val="7E9204E8"/>
    <w:lvl w:ilvl="0" w:tplc="79BCB0DE">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FE6FE9"/>
    <w:multiLevelType w:val="hybridMultilevel"/>
    <w:tmpl w:val="9CC8536E"/>
    <w:lvl w:ilvl="0" w:tplc="4F3C1D52">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39544E"/>
    <w:multiLevelType w:val="hybridMultilevel"/>
    <w:tmpl w:val="1BA6FA8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5" w15:restartNumberingAfterBreak="0">
    <w:nsid w:val="63A505A5"/>
    <w:multiLevelType w:val="hybridMultilevel"/>
    <w:tmpl w:val="0B144628"/>
    <w:lvl w:ilvl="0" w:tplc="140A0011">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D21E4E"/>
    <w:multiLevelType w:val="hybridMultilevel"/>
    <w:tmpl w:val="7376E644"/>
    <w:lvl w:ilvl="0" w:tplc="856018AA">
      <w:start w:val="1"/>
      <w:numFmt w:val="lowerLetter"/>
      <w:lvlText w:val="%1)"/>
      <w:lvlJc w:val="left"/>
      <w:pPr>
        <w:ind w:left="720" w:hanging="360"/>
      </w:pPr>
      <w:rPr>
        <w:rFonts w:ascii="inherit" w:hAnsi="inherit" w:cs="Open San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5412E6E"/>
    <w:multiLevelType w:val="hybridMultilevel"/>
    <w:tmpl w:val="8B22FEC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7085CC7"/>
    <w:multiLevelType w:val="hybridMultilevel"/>
    <w:tmpl w:val="8402BA6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7155B28"/>
    <w:multiLevelType w:val="hybridMultilevel"/>
    <w:tmpl w:val="DD80210A"/>
    <w:lvl w:ilvl="0" w:tplc="37029A46">
      <w:numFmt w:val="bullet"/>
      <w:lvlText w:val="•"/>
      <w:lvlJc w:val="left"/>
      <w:pPr>
        <w:ind w:left="1070" w:hanging="71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87E74C1"/>
    <w:multiLevelType w:val="hybridMultilevel"/>
    <w:tmpl w:val="4A808DC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B1551DC"/>
    <w:multiLevelType w:val="hybridMultilevel"/>
    <w:tmpl w:val="8A1CE5A8"/>
    <w:lvl w:ilvl="0" w:tplc="140A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F3512C0"/>
    <w:multiLevelType w:val="hybridMultilevel"/>
    <w:tmpl w:val="57E0A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D2128424">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43" w15:restartNumberingAfterBreak="0">
    <w:nsid w:val="6FD875B1"/>
    <w:multiLevelType w:val="hybridMultilevel"/>
    <w:tmpl w:val="6CD0C958"/>
    <w:lvl w:ilvl="0" w:tplc="65724BC0">
      <w:start w:val="1"/>
      <w:numFmt w:val="lowerRoman"/>
      <w:lvlText w:val="%1)"/>
      <w:lvlJc w:val="left"/>
      <w:pPr>
        <w:ind w:left="2978" w:hanging="720"/>
      </w:pPr>
      <w:rPr>
        <w:rFonts w:hint="default"/>
        <w:color w:val="000000"/>
      </w:rPr>
    </w:lvl>
    <w:lvl w:ilvl="1" w:tplc="140A0019" w:tentative="1">
      <w:start w:val="1"/>
      <w:numFmt w:val="lowerLetter"/>
      <w:lvlText w:val="%2."/>
      <w:lvlJc w:val="left"/>
      <w:pPr>
        <w:ind w:left="3338" w:hanging="360"/>
      </w:pPr>
    </w:lvl>
    <w:lvl w:ilvl="2" w:tplc="140A001B" w:tentative="1">
      <w:start w:val="1"/>
      <w:numFmt w:val="lowerRoman"/>
      <w:lvlText w:val="%3."/>
      <w:lvlJc w:val="right"/>
      <w:pPr>
        <w:ind w:left="4058" w:hanging="180"/>
      </w:pPr>
    </w:lvl>
    <w:lvl w:ilvl="3" w:tplc="140A000F" w:tentative="1">
      <w:start w:val="1"/>
      <w:numFmt w:val="decimal"/>
      <w:lvlText w:val="%4."/>
      <w:lvlJc w:val="left"/>
      <w:pPr>
        <w:ind w:left="4778" w:hanging="360"/>
      </w:pPr>
    </w:lvl>
    <w:lvl w:ilvl="4" w:tplc="140A0019" w:tentative="1">
      <w:start w:val="1"/>
      <w:numFmt w:val="lowerLetter"/>
      <w:lvlText w:val="%5."/>
      <w:lvlJc w:val="left"/>
      <w:pPr>
        <w:ind w:left="5498" w:hanging="360"/>
      </w:pPr>
    </w:lvl>
    <w:lvl w:ilvl="5" w:tplc="140A001B" w:tentative="1">
      <w:start w:val="1"/>
      <w:numFmt w:val="lowerRoman"/>
      <w:lvlText w:val="%6."/>
      <w:lvlJc w:val="right"/>
      <w:pPr>
        <w:ind w:left="6218" w:hanging="180"/>
      </w:pPr>
    </w:lvl>
    <w:lvl w:ilvl="6" w:tplc="140A000F" w:tentative="1">
      <w:start w:val="1"/>
      <w:numFmt w:val="decimal"/>
      <w:lvlText w:val="%7."/>
      <w:lvlJc w:val="left"/>
      <w:pPr>
        <w:ind w:left="6938" w:hanging="360"/>
      </w:pPr>
    </w:lvl>
    <w:lvl w:ilvl="7" w:tplc="140A0019" w:tentative="1">
      <w:start w:val="1"/>
      <w:numFmt w:val="lowerLetter"/>
      <w:lvlText w:val="%8."/>
      <w:lvlJc w:val="left"/>
      <w:pPr>
        <w:ind w:left="7658" w:hanging="360"/>
      </w:pPr>
    </w:lvl>
    <w:lvl w:ilvl="8" w:tplc="140A001B" w:tentative="1">
      <w:start w:val="1"/>
      <w:numFmt w:val="lowerRoman"/>
      <w:lvlText w:val="%9."/>
      <w:lvlJc w:val="right"/>
      <w:pPr>
        <w:ind w:left="8378" w:hanging="180"/>
      </w:pPr>
    </w:lvl>
  </w:abstractNum>
  <w:abstractNum w:abstractNumId="44" w15:restartNumberingAfterBreak="0">
    <w:nsid w:val="71354B14"/>
    <w:multiLevelType w:val="hybridMultilevel"/>
    <w:tmpl w:val="37203B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0C0D7D"/>
    <w:multiLevelType w:val="hybridMultilevel"/>
    <w:tmpl w:val="510A72E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768C3928"/>
    <w:multiLevelType w:val="multilevel"/>
    <w:tmpl w:val="94761AC2"/>
    <w:lvl w:ilvl="0">
      <w:start w:val="1"/>
      <w:numFmt w:val="bullet"/>
      <w:lvlText w:val=""/>
      <w:lvlJc w:val="left"/>
      <w:pPr>
        <w:ind w:left="786" w:hanging="360"/>
      </w:pPr>
      <w:rPr>
        <w:rFonts w:ascii="Symbol" w:hAnsi="Symbol" w:hint="default"/>
      </w:rPr>
    </w:lvl>
    <w:lvl w:ilvl="1">
      <w:start w:val="3"/>
      <w:numFmt w:val="decimal"/>
      <w:isLgl/>
      <w:lvlText w:val="%1.%2"/>
      <w:lvlJc w:val="left"/>
      <w:pPr>
        <w:ind w:left="1275" w:hanging="495"/>
      </w:pPr>
      <w:rPr>
        <w:rFonts w:eastAsiaTheme="majorEastAsia" w:hint="default"/>
      </w:rPr>
    </w:lvl>
    <w:lvl w:ilvl="2">
      <w:start w:val="1"/>
      <w:numFmt w:val="decimal"/>
      <w:isLgl/>
      <w:lvlText w:val="%1.%2.%3"/>
      <w:lvlJc w:val="left"/>
      <w:pPr>
        <w:ind w:left="1854" w:hanging="720"/>
      </w:pPr>
      <w:rPr>
        <w:rFonts w:eastAsiaTheme="majorEastAsia" w:hint="default"/>
      </w:rPr>
    </w:lvl>
    <w:lvl w:ilvl="3">
      <w:start w:val="1"/>
      <w:numFmt w:val="decimal"/>
      <w:isLgl/>
      <w:lvlText w:val="%1.%2.%3.%4"/>
      <w:lvlJc w:val="left"/>
      <w:pPr>
        <w:ind w:left="2208" w:hanging="720"/>
      </w:pPr>
      <w:rPr>
        <w:rFonts w:eastAsiaTheme="majorEastAsia" w:hint="default"/>
      </w:rPr>
    </w:lvl>
    <w:lvl w:ilvl="4">
      <w:start w:val="1"/>
      <w:numFmt w:val="decimal"/>
      <w:isLgl/>
      <w:lvlText w:val="%1.%2.%3.%4.%5"/>
      <w:lvlJc w:val="left"/>
      <w:pPr>
        <w:ind w:left="2922" w:hanging="1080"/>
      </w:pPr>
      <w:rPr>
        <w:rFonts w:eastAsiaTheme="majorEastAsia" w:hint="default"/>
      </w:rPr>
    </w:lvl>
    <w:lvl w:ilvl="5">
      <w:start w:val="1"/>
      <w:numFmt w:val="decimal"/>
      <w:isLgl/>
      <w:lvlText w:val="%1.%2.%3.%4.%5.%6"/>
      <w:lvlJc w:val="left"/>
      <w:pPr>
        <w:ind w:left="3276" w:hanging="1080"/>
      </w:pPr>
      <w:rPr>
        <w:rFonts w:eastAsiaTheme="majorEastAsia" w:hint="default"/>
      </w:rPr>
    </w:lvl>
    <w:lvl w:ilvl="6">
      <w:start w:val="1"/>
      <w:numFmt w:val="decimal"/>
      <w:isLgl/>
      <w:lvlText w:val="%1.%2.%3.%4.%5.%6.%7"/>
      <w:lvlJc w:val="left"/>
      <w:pPr>
        <w:ind w:left="3990" w:hanging="1440"/>
      </w:pPr>
      <w:rPr>
        <w:rFonts w:eastAsiaTheme="majorEastAsia" w:hint="default"/>
      </w:rPr>
    </w:lvl>
    <w:lvl w:ilvl="7">
      <w:start w:val="1"/>
      <w:numFmt w:val="decimal"/>
      <w:isLgl/>
      <w:lvlText w:val="%1.%2.%3.%4.%5.%6.%7.%8"/>
      <w:lvlJc w:val="left"/>
      <w:pPr>
        <w:ind w:left="4344" w:hanging="1440"/>
      </w:pPr>
      <w:rPr>
        <w:rFonts w:eastAsiaTheme="majorEastAsia" w:hint="default"/>
      </w:rPr>
    </w:lvl>
    <w:lvl w:ilvl="8">
      <w:start w:val="1"/>
      <w:numFmt w:val="decimal"/>
      <w:isLgl/>
      <w:lvlText w:val="%1.%2.%3.%4.%5.%6.%7.%8.%9"/>
      <w:lvlJc w:val="left"/>
      <w:pPr>
        <w:ind w:left="4698" w:hanging="1440"/>
      </w:pPr>
      <w:rPr>
        <w:rFonts w:eastAsiaTheme="majorEastAsia" w:hint="default"/>
      </w:rPr>
    </w:lvl>
  </w:abstractNum>
  <w:abstractNum w:abstractNumId="47" w15:restartNumberingAfterBreak="0">
    <w:nsid w:val="785519A7"/>
    <w:multiLevelType w:val="hybridMultilevel"/>
    <w:tmpl w:val="4A808D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DE25C5"/>
    <w:multiLevelType w:val="hybridMultilevel"/>
    <w:tmpl w:val="62DE34F8"/>
    <w:lvl w:ilvl="0" w:tplc="140A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074025"/>
    <w:multiLevelType w:val="hybridMultilevel"/>
    <w:tmpl w:val="0E58AA3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0" w15:restartNumberingAfterBreak="0">
    <w:nsid w:val="7E55698D"/>
    <w:multiLevelType w:val="hybridMultilevel"/>
    <w:tmpl w:val="2EC0F5C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47501425">
    <w:abstractNumId w:val="8"/>
  </w:num>
  <w:num w:numId="2" w16cid:durableId="1771192549">
    <w:abstractNumId w:val="26"/>
  </w:num>
  <w:num w:numId="3" w16cid:durableId="836847743">
    <w:abstractNumId w:val="18"/>
  </w:num>
  <w:num w:numId="4" w16cid:durableId="1734501411">
    <w:abstractNumId w:val="19"/>
  </w:num>
  <w:num w:numId="5" w16cid:durableId="1676610652">
    <w:abstractNumId w:val="40"/>
  </w:num>
  <w:num w:numId="6" w16cid:durableId="1238903172">
    <w:abstractNumId w:val="28"/>
  </w:num>
  <w:num w:numId="7" w16cid:durableId="1620259203">
    <w:abstractNumId w:val="29"/>
  </w:num>
  <w:num w:numId="8" w16cid:durableId="1037001755">
    <w:abstractNumId w:val="34"/>
  </w:num>
  <w:num w:numId="9" w16cid:durableId="468523658">
    <w:abstractNumId w:val="24"/>
  </w:num>
  <w:num w:numId="10" w16cid:durableId="1598051122">
    <w:abstractNumId w:val="6"/>
  </w:num>
  <w:num w:numId="11" w16cid:durableId="1578051075">
    <w:abstractNumId w:val="21"/>
  </w:num>
  <w:num w:numId="12" w16cid:durableId="1993675174">
    <w:abstractNumId w:val="10"/>
  </w:num>
  <w:num w:numId="13" w16cid:durableId="1306008313">
    <w:abstractNumId w:val="7"/>
  </w:num>
  <w:num w:numId="14" w16cid:durableId="171531664">
    <w:abstractNumId w:val="11"/>
  </w:num>
  <w:num w:numId="15" w16cid:durableId="942305927">
    <w:abstractNumId w:val="5"/>
  </w:num>
  <w:num w:numId="16" w16cid:durableId="106774863">
    <w:abstractNumId w:val="2"/>
  </w:num>
  <w:num w:numId="17" w16cid:durableId="1085420812">
    <w:abstractNumId w:val="45"/>
  </w:num>
  <w:num w:numId="18" w16cid:durableId="1400127739">
    <w:abstractNumId w:val="4"/>
  </w:num>
  <w:num w:numId="19" w16cid:durableId="802961945">
    <w:abstractNumId w:val="38"/>
  </w:num>
  <w:num w:numId="20" w16cid:durableId="412556185">
    <w:abstractNumId w:val="42"/>
  </w:num>
  <w:num w:numId="21" w16cid:durableId="1888101745">
    <w:abstractNumId w:val="22"/>
  </w:num>
  <w:num w:numId="22" w16cid:durableId="432944002">
    <w:abstractNumId w:val="37"/>
  </w:num>
  <w:num w:numId="23" w16cid:durableId="1386953239">
    <w:abstractNumId w:val="36"/>
  </w:num>
  <w:num w:numId="24" w16cid:durableId="1059748165">
    <w:abstractNumId w:val="50"/>
  </w:num>
  <w:num w:numId="25" w16cid:durableId="459761527">
    <w:abstractNumId w:val="13"/>
  </w:num>
  <w:num w:numId="26" w16cid:durableId="372534375">
    <w:abstractNumId w:val="9"/>
  </w:num>
  <w:num w:numId="27" w16cid:durableId="2111318548">
    <w:abstractNumId w:val="44"/>
  </w:num>
  <w:num w:numId="28" w16cid:durableId="1908372273">
    <w:abstractNumId w:val="17"/>
  </w:num>
  <w:num w:numId="29" w16cid:durableId="1828981108">
    <w:abstractNumId w:val="25"/>
  </w:num>
  <w:num w:numId="30" w16cid:durableId="1644188917">
    <w:abstractNumId w:val="15"/>
  </w:num>
  <w:num w:numId="31" w16cid:durableId="195586423">
    <w:abstractNumId w:val="35"/>
  </w:num>
  <w:num w:numId="32" w16cid:durableId="1456288085">
    <w:abstractNumId w:val="14"/>
  </w:num>
  <w:num w:numId="33" w16cid:durableId="981424914">
    <w:abstractNumId w:val="41"/>
  </w:num>
  <w:num w:numId="34" w16cid:durableId="9794955">
    <w:abstractNumId w:val="20"/>
  </w:num>
  <w:num w:numId="35" w16cid:durableId="387922981">
    <w:abstractNumId w:val="16"/>
  </w:num>
  <w:num w:numId="36" w16cid:durableId="241449845">
    <w:abstractNumId w:val="48"/>
  </w:num>
  <w:num w:numId="37" w16cid:durableId="662588323">
    <w:abstractNumId w:val="47"/>
  </w:num>
  <w:num w:numId="38" w16cid:durableId="1865942968">
    <w:abstractNumId w:val="27"/>
  </w:num>
  <w:num w:numId="39" w16cid:durableId="1507087486">
    <w:abstractNumId w:val="0"/>
  </w:num>
  <w:num w:numId="40" w16cid:durableId="710418360">
    <w:abstractNumId w:val="32"/>
  </w:num>
  <w:num w:numId="41" w16cid:durableId="176040008">
    <w:abstractNumId w:val="33"/>
  </w:num>
  <w:num w:numId="42" w16cid:durableId="1956515732">
    <w:abstractNumId w:val="23"/>
  </w:num>
  <w:num w:numId="43" w16cid:durableId="1546143011">
    <w:abstractNumId w:val="1"/>
  </w:num>
  <w:num w:numId="44" w16cid:durableId="118841248">
    <w:abstractNumId w:val="46"/>
  </w:num>
  <w:num w:numId="45" w16cid:durableId="76639827">
    <w:abstractNumId w:val="31"/>
  </w:num>
  <w:num w:numId="46" w16cid:durableId="1694842628">
    <w:abstractNumId w:val="30"/>
  </w:num>
  <w:num w:numId="47" w16cid:durableId="951058567">
    <w:abstractNumId w:val="43"/>
  </w:num>
  <w:num w:numId="48" w16cid:durableId="1514412891">
    <w:abstractNumId w:val="3"/>
  </w:num>
  <w:num w:numId="49" w16cid:durableId="1883470526">
    <w:abstractNumId w:val="12"/>
  </w:num>
  <w:num w:numId="50" w16cid:durableId="1512335550">
    <w:abstractNumId w:val="49"/>
  </w:num>
  <w:num w:numId="51" w16cid:durableId="831792517">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C"/>
    <w:rsid w:val="000202E3"/>
    <w:rsid w:val="00102691"/>
    <w:rsid w:val="0014253C"/>
    <w:rsid w:val="00181ABF"/>
    <w:rsid w:val="00190652"/>
    <w:rsid w:val="00226DDC"/>
    <w:rsid w:val="002442E2"/>
    <w:rsid w:val="002B3FA0"/>
    <w:rsid w:val="003172BE"/>
    <w:rsid w:val="00342E9C"/>
    <w:rsid w:val="0046105A"/>
    <w:rsid w:val="0046519F"/>
    <w:rsid w:val="00522947"/>
    <w:rsid w:val="00554BAD"/>
    <w:rsid w:val="006850EE"/>
    <w:rsid w:val="007034D4"/>
    <w:rsid w:val="00825A38"/>
    <w:rsid w:val="0083444A"/>
    <w:rsid w:val="008C7F0D"/>
    <w:rsid w:val="008E3606"/>
    <w:rsid w:val="00912149"/>
    <w:rsid w:val="00937EF0"/>
    <w:rsid w:val="0096711B"/>
    <w:rsid w:val="009743A5"/>
    <w:rsid w:val="00A159FF"/>
    <w:rsid w:val="00A73937"/>
    <w:rsid w:val="00A90875"/>
    <w:rsid w:val="00A9648E"/>
    <w:rsid w:val="00AE3A27"/>
    <w:rsid w:val="00AF2879"/>
    <w:rsid w:val="00B21E78"/>
    <w:rsid w:val="00B548A6"/>
    <w:rsid w:val="00B77744"/>
    <w:rsid w:val="00BB55E7"/>
    <w:rsid w:val="00C04686"/>
    <w:rsid w:val="00C23C60"/>
    <w:rsid w:val="00C409C8"/>
    <w:rsid w:val="00D22C7B"/>
    <w:rsid w:val="00D2422E"/>
    <w:rsid w:val="00D43C47"/>
    <w:rsid w:val="00D67CC3"/>
    <w:rsid w:val="00D90222"/>
    <w:rsid w:val="00D92BF5"/>
    <w:rsid w:val="00D960C8"/>
    <w:rsid w:val="00DF2ACF"/>
    <w:rsid w:val="00E10BA0"/>
    <w:rsid w:val="00E42AAC"/>
    <w:rsid w:val="00E80405"/>
    <w:rsid w:val="00EC45CB"/>
    <w:rsid w:val="00EE1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DB2F"/>
  <w15:chartTrackingRefBased/>
  <w15:docId w15:val="{65E46229-9921-495F-831B-DFE69BA5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E10BA0"/>
    <w:pPr>
      <w:widowControl w:val="0"/>
      <w:pBdr>
        <w:top w:val="single" w:sz="4" w:space="1" w:color="auto"/>
        <w:left w:val="single" w:sz="4" w:space="4" w:color="auto"/>
        <w:bottom w:val="single" w:sz="4" w:space="1" w:color="auto"/>
        <w:right w:val="single" w:sz="4" w:space="4" w:color="auto"/>
      </w:pBdr>
      <w:spacing w:line="240" w:lineRule="auto"/>
      <w:ind w:left="10" w:hanging="10"/>
      <w:outlineLvl w:val="0"/>
    </w:pPr>
    <w:rPr>
      <w:rFonts w:asciiTheme="minorHAnsi" w:hAnsiTheme="minorHAnsi" w:cstheme="minorHAnsi"/>
      <w:b/>
      <w:bCs/>
      <w:color w:val="000000"/>
      <w:sz w:val="24"/>
      <w:szCs w:val="22"/>
      <w:lang w:val="es-CR" w:eastAsia="es-CR"/>
    </w:rPr>
  </w:style>
  <w:style w:type="paragraph" w:styleId="Ttulo2">
    <w:name w:val="heading 2"/>
    <w:next w:val="Normal"/>
    <w:link w:val="Ttulo2Car"/>
    <w:uiPriority w:val="9"/>
    <w:unhideWhenUsed/>
    <w:qFormat/>
    <w:rsid w:val="00E10BA0"/>
    <w:pPr>
      <w:keepNext/>
      <w:keepLines/>
      <w:spacing w:after="229" w:line="248" w:lineRule="auto"/>
      <w:ind w:left="576" w:right="622" w:hanging="10"/>
      <w:jc w:val="both"/>
      <w:outlineLvl w:val="1"/>
    </w:pPr>
    <w:rPr>
      <w:rFonts w:ascii="Times New Roman" w:eastAsia="Times New Roman" w:hAnsi="Times New Roman" w:cs="Times New Roman"/>
      <w:i/>
      <w:color w:val="0070C0"/>
      <w:sz w:val="24"/>
      <w:lang w:eastAsia="es-CR"/>
    </w:rPr>
  </w:style>
  <w:style w:type="paragraph" w:styleId="Ttulo3">
    <w:name w:val="heading 3"/>
    <w:next w:val="Normal"/>
    <w:link w:val="Ttulo3Car"/>
    <w:uiPriority w:val="9"/>
    <w:unhideWhenUsed/>
    <w:qFormat/>
    <w:rsid w:val="00E10BA0"/>
    <w:pPr>
      <w:keepNext/>
      <w:keepLines/>
      <w:spacing w:after="450" w:line="265" w:lineRule="auto"/>
      <w:ind w:left="10" w:right="1" w:hanging="10"/>
      <w:jc w:val="center"/>
      <w:outlineLvl w:val="2"/>
    </w:pPr>
    <w:rPr>
      <w:rFonts w:ascii="Times New Roman" w:eastAsia="Times New Roman" w:hAnsi="Times New Roman" w:cs="Times New Roman"/>
      <w:b/>
      <w:color w:val="000000"/>
      <w:sz w:val="24"/>
      <w:lang w:eastAsia="es-CR"/>
    </w:rPr>
  </w:style>
  <w:style w:type="paragraph" w:styleId="Ttulo4">
    <w:name w:val="heading 4"/>
    <w:next w:val="Normal"/>
    <w:link w:val="Ttulo4Car"/>
    <w:uiPriority w:val="9"/>
    <w:unhideWhenUsed/>
    <w:qFormat/>
    <w:rsid w:val="00E10BA0"/>
    <w:pPr>
      <w:keepNext/>
      <w:keepLines/>
      <w:spacing w:after="210" w:line="267" w:lineRule="auto"/>
      <w:ind w:left="10" w:right="1" w:hanging="10"/>
      <w:jc w:val="both"/>
      <w:outlineLvl w:val="3"/>
    </w:pPr>
    <w:rPr>
      <w:rFonts w:ascii="Times New Roman" w:eastAsia="Times New Roman" w:hAnsi="Times New Roman" w:cs="Times New Roman"/>
      <w:b/>
      <w:color w:val="000000"/>
      <w:sz w:val="24"/>
      <w:lang w:eastAsia="es-CR"/>
    </w:rPr>
  </w:style>
  <w:style w:type="paragraph" w:styleId="Ttulo5">
    <w:name w:val="heading 5"/>
    <w:next w:val="Normal"/>
    <w:link w:val="Ttulo5Car"/>
    <w:uiPriority w:val="9"/>
    <w:unhideWhenUsed/>
    <w:qFormat/>
    <w:rsid w:val="00E10BA0"/>
    <w:pPr>
      <w:keepNext/>
      <w:keepLines/>
      <w:spacing w:after="210" w:line="267" w:lineRule="auto"/>
      <w:ind w:left="10" w:right="1" w:hanging="10"/>
      <w:jc w:val="both"/>
      <w:outlineLvl w:val="4"/>
    </w:pPr>
    <w:rPr>
      <w:rFonts w:ascii="Times New Roman" w:eastAsia="Times New Roman" w:hAnsi="Times New Roman" w:cs="Times New Roman"/>
      <w:b/>
      <w:color w:val="000000"/>
      <w:sz w:val="24"/>
      <w:lang w:eastAsia="es-CR"/>
    </w:rPr>
  </w:style>
  <w:style w:type="paragraph" w:styleId="Ttulo6">
    <w:name w:val="heading 6"/>
    <w:next w:val="Normal"/>
    <w:link w:val="Ttulo6Car"/>
    <w:uiPriority w:val="9"/>
    <w:unhideWhenUsed/>
    <w:qFormat/>
    <w:rsid w:val="00E10BA0"/>
    <w:pPr>
      <w:keepNext/>
      <w:keepLines/>
      <w:spacing w:after="210" w:line="267" w:lineRule="auto"/>
      <w:ind w:left="10" w:right="1" w:hanging="10"/>
      <w:jc w:val="both"/>
      <w:outlineLvl w:val="5"/>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1Car">
    <w:name w:val="Título 1 Car"/>
    <w:basedOn w:val="Fuentedeprrafopredeter"/>
    <w:link w:val="Ttulo1"/>
    <w:uiPriority w:val="9"/>
    <w:rsid w:val="00E10BA0"/>
    <w:rPr>
      <w:rFonts w:eastAsia="Times New Roman" w:cstheme="minorHAnsi"/>
      <w:b/>
      <w:bCs/>
      <w:color w:val="000000"/>
      <w:sz w:val="24"/>
      <w:lang w:eastAsia="es-CR"/>
    </w:rPr>
  </w:style>
  <w:style w:type="character" w:customStyle="1" w:styleId="Ttulo2Car">
    <w:name w:val="Título 2 Car"/>
    <w:basedOn w:val="Fuentedeprrafopredeter"/>
    <w:link w:val="Ttulo2"/>
    <w:uiPriority w:val="9"/>
    <w:rsid w:val="00E10BA0"/>
    <w:rPr>
      <w:rFonts w:ascii="Times New Roman" w:eastAsia="Times New Roman" w:hAnsi="Times New Roman" w:cs="Times New Roman"/>
      <w:i/>
      <w:color w:val="0070C0"/>
      <w:sz w:val="24"/>
      <w:lang w:eastAsia="es-CR"/>
    </w:rPr>
  </w:style>
  <w:style w:type="character" w:customStyle="1" w:styleId="Ttulo3Car">
    <w:name w:val="Título 3 Car"/>
    <w:basedOn w:val="Fuentedeprrafopredeter"/>
    <w:link w:val="Ttulo3"/>
    <w:uiPriority w:val="9"/>
    <w:rsid w:val="00E10BA0"/>
    <w:rPr>
      <w:rFonts w:ascii="Times New Roman" w:eastAsia="Times New Roman" w:hAnsi="Times New Roman" w:cs="Times New Roman"/>
      <w:b/>
      <w:color w:val="000000"/>
      <w:sz w:val="24"/>
      <w:lang w:eastAsia="es-CR"/>
    </w:rPr>
  </w:style>
  <w:style w:type="character" w:customStyle="1" w:styleId="Ttulo4Car">
    <w:name w:val="Título 4 Car"/>
    <w:basedOn w:val="Fuentedeprrafopredeter"/>
    <w:link w:val="Ttulo4"/>
    <w:uiPriority w:val="9"/>
    <w:rsid w:val="00E10BA0"/>
    <w:rPr>
      <w:rFonts w:ascii="Times New Roman" w:eastAsia="Times New Roman" w:hAnsi="Times New Roman" w:cs="Times New Roman"/>
      <w:b/>
      <w:color w:val="000000"/>
      <w:sz w:val="24"/>
      <w:lang w:eastAsia="es-CR"/>
    </w:rPr>
  </w:style>
  <w:style w:type="character" w:customStyle="1" w:styleId="Ttulo5Car">
    <w:name w:val="Título 5 Car"/>
    <w:basedOn w:val="Fuentedeprrafopredeter"/>
    <w:link w:val="Ttulo5"/>
    <w:uiPriority w:val="9"/>
    <w:rsid w:val="00E10BA0"/>
    <w:rPr>
      <w:rFonts w:ascii="Times New Roman" w:eastAsia="Times New Roman" w:hAnsi="Times New Roman" w:cs="Times New Roman"/>
      <w:b/>
      <w:color w:val="000000"/>
      <w:sz w:val="24"/>
      <w:lang w:eastAsia="es-CR"/>
    </w:rPr>
  </w:style>
  <w:style w:type="character" w:customStyle="1" w:styleId="Ttulo6Car">
    <w:name w:val="Título 6 Car"/>
    <w:basedOn w:val="Fuentedeprrafopredeter"/>
    <w:link w:val="Ttulo6"/>
    <w:uiPriority w:val="9"/>
    <w:rsid w:val="00E10BA0"/>
    <w:rPr>
      <w:rFonts w:ascii="Times New Roman" w:eastAsia="Times New Roman" w:hAnsi="Times New Roman" w:cs="Times New Roman"/>
      <w:b/>
      <w:color w:val="000000"/>
      <w:sz w:val="24"/>
      <w:lang w:eastAsia="es-CR"/>
    </w:rPr>
  </w:style>
  <w:style w:type="paragraph" w:customStyle="1" w:styleId="footnotedescription">
    <w:name w:val="footnote description"/>
    <w:next w:val="Normal"/>
    <w:link w:val="footnotedescriptionChar"/>
    <w:hidden/>
    <w:rsid w:val="00E10BA0"/>
    <w:pPr>
      <w:spacing w:after="0"/>
    </w:pPr>
    <w:rPr>
      <w:rFonts w:ascii="Times New Roman" w:eastAsia="Times New Roman" w:hAnsi="Times New Roman" w:cs="Times New Roman"/>
      <w:color w:val="000000"/>
      <w:sz w:val="20"/>
      <w:lang w:eastAsia="es-CR"/>
    </w:rPr>
  </w:style>
  <w:style w:type="character" w:customStyle="1" w:styleId="footnotedescriptionChar">
    <w:name w:val="footnote description Char"/>
    <w:link w:val="footnotedescription"/>
    <w:rsid w:val="00E10BA0"/>
    <w:rPr>
      <w:rFonts w:ascii="Times New Roman" w:eastAsia="Times New Roman" w:hAnsi="Times New Roman" w:cs="Times New Roman"/>
      <w:color w:val="000000"/>
      <w:sz w:val="20"/>
      <w:lang w:eastAsia="es-CR"/>
    </w:rPr>
  </w:style>
  <w:style w:type="character" w:customStyle="1" w:styleId="footnotemark">
    <w:name w:val="footnote mark"/>
    <w:hidden/>
    <w:rsid w:val="00E10BA0"/>
    <w:rPr>
      <w:rFonts w:ascii="Times New Roman" w:eastAsia="Times New Roman" w:hAnsi="Times New Roman" w:cs="Times New Roman"/>
      <w:color w:val="000000"/>
      <w:sz w:val="20"/>
      <w:vertAlign w:val="superscript"/>
    </w:rPr>
  </w:style>
  <w:style w:type="table" w:customStyle="1" w:styleId="TableGrid">
    <w:name w:val="TableGrid"/>
    <w:rsid w:val="00E10BA0"/>
    <w:pPr>
      <w:spacing w:after="0" w:line="240" w:lineRule="auto"/>
    </w:pPr>
    <w:rPr>
      <w:rFonts w:eastAsiaTheme="minorEastAsia"/>
      <w:lang w:eastAsia="es-CR"/>
    </w:rPr>
    <w:tblPr>
      <w:tblCellMar>
        <w:top w:w="0" w:type="dxa"/>
        <w:left w:w="0" w:type="dxa"/>
        <w:bottom w:w="0" w:type="dxa"/>
        <w:right w:w="0" w:type="dxa"/>
      </w:tblCellMar>
    </w:tbl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E10BA0"/>
    <w:pPr>
      <w:spacing w:after="229" w:line="248" w:lineRule="auto"/>
      <w:ind w:left="720" w:hanging="10"/>
      <w:contextualSpacing/>
    </w:pPr>
    <w:rPr>
      <w:rFonts w:ascii="Times New Roman" w:hAnsi="Times New Roman"/>
      <w:color w:val="000000"/>
      <w:sz w:val="24"/>
      <w:szCs w:val="22"/>
      <w:lang w:val="es-CR" w:eastAsia="es-CR"/>
    </w:rPr>
  </w:style>
  <w:style w:type="character" w:styleId="Refdenotaalpie">
    <w:name w:val="footnote reference"/>
    <w:basedOn w:val="Fuentedeprrafopredeter"/>
    <w:uiPriority w:val="99"/>
    <w:rsid w:val="00E10BA0"/>
    <w:rPr>
      <w:vertAlign w:val="superscript"/>
    </w:rPr>
  </w:style>
  <w:style w:type="paragraph" w:styleId="Textonotapie">
    <w:name w:val="footnote text"/>
    <w:basedOn w:val="Normal"/>
    <w:link w:val="TextonotapieCar"/>
    <w:uiPriority w:val="99"/>
    <w:rsid w:val="00E10BA0"/>
    <w:pPr>
      <w:spacing w:after="240" w:line="264" w:lineRule="auto"/>
      <w:jc w:val="left"/>
    </w:pPr>
    <w:rPr>
      <w:rFonts w:ascii="Times New Roman" w:eastAsia="SimSun" w:hAnsi="Times New Roman"/>
      <w:sz w:val="20"/>
      <w:szCs w:val="20"/>
      <w:lang w:val="es-AR"/>
    </w:rPr>
  </w:style>
  <w:style w:type="character" w:customStyle="1" w:styleId="TextonotapieCar">
    <w:name w:val="Texto nota pie Car"/>
    <w:basedOn w:val="Fuentedeprrafopredeter"/>
    <w:link w:val="Textonotapie"/>
    <w:uiPriority w:val="99"/>
    <w:rsid w:val="00E10BA0"/>
    <w:rPr>
      <w:rFonts w:ascii="Times New Roman" w:eastAsia="SimSun" w:hAnsi="Times New Roman" w:cs="Times New Roman"/>
      <w:sz w:val="20"/>
      <w:szCs w:val="20"/>
      <w:lang w:val="es-AR"/>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E10BA0"/>
    <w:rPr>
      <w:rFonts w:ascii="Times New Roman" w:eastAsia="Times New Roman" w:hAnsi="Times New Roman" w:cs="Times New Roman"/>
      <w:color w:val="000000"/>
      <w:sz w:val="24"/>
      <w:lang w:eastAsia="es-CR"/>
    </w:rPr>
  </w:style>
  <w:style w:type="character" w:styleId="Mencinsinresolver">
    <w:name w:val="Unresolved Mention"/>
    <w:basedOn w:val="Fuentedeprrafopredeter"/>
    <w:uiPriority w:val="99"/>
    <w:semiHidden/>
    <w:unhideWhenUsed/>
    <w:rsid w:val="00E10BA0"/>
    <w:rPr>
      <w:color w:val="605E5C"/>
      <w:shd w:val="clear" w:color="auto" w:fill="E1DFDD"/>
    </w:rPr>
  </w:style>
  <w:style w:type="paragraph" w:styleId="NormalWeb">
    <w:name w:val="Normal (Web)"/>
    <w:basedOn w:val="Normal"/>
    <w:uiPriority w:val="99"/>
    <w:unhideWhenUsed/>
    <w:rsid w:val="00E10BA0"/>
    <w:pPr>
      <w:spacing w:before="100" w:beforeAutospacing="1" w:after="100" w:afterAutospacing="1" w:line="240" w:lineRule="auto"/>
      <w:jc w:val="left"/>
    </w:pPr>
    <w:rPr>
      <w:rFonts w:ascii="Times New Roman" w:hAnsi="Times New Roman"/>
      <w:sz w:val="24"/>
      <w:lang w:val="es-CR" w:eastAsia="es-CR"/>
    </w:rPr>
  </w:style>
  <w:style w:type="character" w:customStyle="1" w:styleId="firstword">
    <w:name w:val="firstword"/>
    <w:basedOn w:val="Fuentedeprrafopredeter"/>
    <w:rsid w:val="00E10BA0"/>
  </w:style>
  <w:style w:type="character" w:styleId="Textoennegrita">
    <w:name w:val="Strong"/>
    <w:basedOn w:val="Fuentedeprrafopredeter"/>
    <w:uiPriority w:val="22"/>
    <w:qFormat/>
    <w:rsid w:val="00E10BA0"/>
    <w:rPr>
      <w:b/>
      <w:bCs/>
    </w:rPr>
  </w:style>
  <w:style w:type="paragraph" w:styleId="TtuloTDC">
    <w:name w:val="TOC Heading"/>
    <w:basedOn w:val="Ttulo1"/>
    <w:next w:val="Normal"/>
    <w:uiPriority w:val="39"/>
    <w:unhideWhenUsed/>
    <w:qFormat/>
    <w:rsid w:val="00E10BA0"/>
    <w:pPr>
      <w:keepNext/>
      <w:keepLines/>
      <w:widowControl/>
      <w:pBdr>
        <w:top w:val="none" w:sz="0" w:space="0" w:color="auto"/>
        <w:left w:val="none" w:sz="0" w:space="0" w:color="auto"/>
        <w:bottom w:val="none" w:sz="0" w:space="0" w:color="auto"/>
        <w:right w:val="none" w:sz="0" w:space="0" w:color="auto"/>
      </w:pBdr>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DC1">
    <w:name w:val="toc 1"/>
    <w:basedOn w:val="Normal"/>
    <w:next w:val="Normal"/>
    <w:autoRedefine/>
    <w:uiPriority w:val="39"/>
    <w:unhideWhenUsed/>
    <w:rsid w:val="00E10BA0"/>
    <w:pPr>
      <w:tabs>
        <w:tab w:val="right" w:leader="dot" w:pos="8828"/>
      </w:tabs>
      <w:spacing w:after="100" w:line="248" w:lineRule="auto"/>
      <w:ind w:hanging="10"/>
    </w:pPr>
    <w:rPr>
      <w:rFonts w:ascii="Times New Roman" w:hAnsi="Times New Roman"/>
      <w:color w:val="000000"/>
      <w:sz w:val="24"/>
      <w:szCs w:val="22"/>
      <w:lang w:val="es-CR" w:eastAsia="es-CR"/>
    </w:rPr>
  </w:style>
  <w:style w:type="paragraph" w:styleId="TDC3">
    <w:name w:val="toc 3"/>
    <w:basedOn w:val="Normal"/>
    <w:next w:val="Normal"/>
    <w:autoRedefine/>
    <w:uiPriority w:val="39"/>
    <w:unhideWhenUsed/>
    <w:rsid w:val="00E10BA0"/>
    <w:pPr>
      <w:spacing w:after="100" w:line="248" w:lineRule="auto"/>
      <w:ind w:left="480" w:hanging="10"/>
    </w:pPr>
    <w:rPr>
      <w:rFonts w:ascii="Times New Roman" w:hAnsi="Times New Roman"/>
      <w:color w:val="000000"/>
      <w:sz w:val="24"/>
      <w:szCs w:val="22"/>
      <w:lang w:val="es-CR" w:eastAsia="es-CR"/>
    </w:rPr>
  </w:style>
  <w:style w:type="character" w:customStyle="1" w:styleId="footnote">
    <w:name w:val="footnote"/>
    <w:basedOn w:val="Fuentedeprrafopredeter"/>
    <w:rsid w:val="00E10BA0"/>
  </w:style>
  <w:style w:type="character" w:styleId="Hipervnculovisitado">
    <w:name w:val="FollowedHyperlink"/>
    <w:basedOn w:val="Fuentedeprrafopredeter"/>
    <w:uiPriority w:val="99"/>
    <w:semiHidden/>
    <w:unhideWhenUsed/>
    <w:rsid w:val="00E10BA0"/>
    <w:rPr>
      <w:color w:val="954F72" w:themeColor="followedHyperlink"/>
      <w:u w:val="single"/>
    </w:rPr>
  </w:style>
  <w:style w:type="paragraph" w:styleId="Revisin">
    <w:name w:val="Revision"/>
    <w:hidden/>
    <w:uiPriority w:val="99"/>
    <w:semiHidden/>
    <w:rsid w:val="00E10BA0"/>
    <w:pPr>
      <w:spacing w:after="0" w:line="240" w:lineRule="auto"/>
    </w:pPr>
    <w:rPr>
      <w:rFonts w:ascii="Times New Roman" w:eastAsia="Times New Roman" w:hAnsi="Times New Roman" w:cs="Times New Roman"/>
      <w:color w:val="000000"/>
      <w:sz w:val="24"/>
      <w:lang w:eastAsia="es-CR"/>
    </w:rPr>
  </w:style>
  <w:style w:type="character" w:styleId="Refdecomentario">
    <w:name w:val="annotation reference"/>
    <w:basedOn w:val="Fuentedeprrafopredeter"/>
    <w:uiPriority w:val="99"/>
    <w:semiHidden/>
    <w:unhideWhenUsed/>
    <w:rsid w:val="00E10BA0"/>
    <w:rPr>
      <w:sz w:val="16"/>
      <w:szCs w:val="16"/>
    </w:rPr>
  </w:style>
  <w:style w:type="paragraph" w:styleId="Textocomentario">
    <w:name w:val="annotation text"/>
    <w:basedOn w:val="Normal"/>
    <w:link w:val="TextocomentarioCar"/>
    <w:uiPriority w:val="99"/>
    <w:semiHidden/>
    <w:unhideWhenUsed/>
    <w:rsid w:val="00E10BA0"/>
    <w:pPr>
      <w:spacing w:after="229" w:line="240" w:lineRule="auto"/>
      <w:ind w:left="10" w:hanging="10"/>
    </w:pPr>
    <w:rPr>
      <w:rFonts w:ascii="Times New Roman" w:hAnsi="Times New Roman"/>
      <w:color w:val="000000"/>
      <w:sz w:val="20"/>
      <w:szCs w:val="20"/>
      <w:lang w:val="es-CR" w:eastAsia="es-CR"/>
    </w:rPr>
  </w:style>
  <w:style w:type="character" w:customStyle="1" w:styleId="TextocomentarioCar">
    <w:name w:val="Texto comentario Car"/>
    <w:basedOn w:val="Fuentedeprrafopredeter"/>
    <w:link w:val="Textocomentario"/>
    <w:uiPriority w:val="99"/>
    <w:semiHidden/>
    <w:rsid w:val="00E10BA0"/>
    <w:rPr>
      <w:rFonts w:ascii="Times New Roman" w:eastAsia="Times New Roman" w:hAnsi="Times New Roman" w:cs="Times New Roman"/>
      <w:color w:val="000000"/>
      <w:sz w:val="20"/>
      <w:szCs w:val="20"/>
      <w:lang w:eastAsia="es-CR"/>
    </w:rPr>
  </w:style>
  <w:style w:type="paragraph" w:styleId="Sinespaciado">
    <w:name w:val="No Spacing"/>
    <w:uiPriority w:val="1"/>
    <w:qFormat/>
    <w:rsid w:val="00E10BA0"/>
    <w:pPr>
      <w:spacing w:after="0" w:line="240" w:lineRule="auto"/>
      <w:jc w:val="both"/>
    </w:pPr>
    <w:rPr>
      <w:rFonts w:ascii="Arial" w:hAnsi="Arial" w:cs="Arial"/>
      <w:sz w:val="18"/>
      <w:szCs w:val="18"/>
      <w:lang w:val="es-CO"/>
    </w:rPr>
  </w:style>
  <w:style w:type="paragraph" w:styleId="Asuntodelcomentario">
    <w:name w:val="annotation subject"/>
    <w:basedOn w:val="Textocomentario"/>
    <w:next w:val="Textocomentario"/>
    <w:link w:val="AsuntodelcomentarioCar"/>
    <w:uiPriority w:val="99"/>
    <w:semiHidden/>
    <w:unhideWhenUsed/>
    <w:rsid w:val="00E10BA0"/>
    <w:rPr>
      <w:b/>
      <w:bCs/>
    </w:rPr>
  </w:style>
  <w:style w:type="character" w:customStyle="1" w:styleId="AsuntodelcomentarioCar">
    <w:name w:val="Asunto del comentario Car"/>
    <w:basedOn w:val="TextocomentarioCar"/>
    <w:link w:val="Asuntodelcomentario"/>
    <w:uiPriority w:val="99"/>
    <w:semiHidden/>
    <w:rsid w:val="00E10BA0"/>
    <w:rPr>
      <w:rFonts w:ascii="Times New Roman" w:eastAsia="Times New Roman" w:hAnsi="Times New Roman" w:cs="Times New Roman"/>
      <w:b/>
      <w:bCs/>
      <w:color w:val="000000"/>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gef.fi.cr/normativa/normativa_en_consulta.aspx"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ormativaenconsulta@sugef.fi.cr"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glossaryDocument" Target="glossary/document.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9.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s.org/basel_framework/chapter/SRP/31.htm?inforce=20191215&amp;published=201912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F53E333C54EB8BF5460A7180B9E12"/>
        <w:category>
          <w:name w:val="General"/>
          <w:gallery w:val="placeholder"/>
        </w:category>
        <w:types>
          <w:type w:val="bbPlcHdr"/>
        </w:types>
        <w:behaviors>
          <w:behavior w:val="content"/>
        </w:behaviors>
        <w:guid w:val="{131D2CC1-1E59-4EBB-A51B-2D77653EB752}"/>
      </w:docPartPr>
      <w:docPartBody>
        <w:p w:rsidR="004E1C74" w:rsidRDefault="004E1C74">
          <w:pPr>
            <w:pStyle w:val="DB3F53E333C54EB8BF5460A7180B9E12"/>
          </w:pPr>
          <w:r w:rsidRPr="001E0779">
            <w:rPr>
              <w:rStyle w:val="Textodelmarcadordeposicin"/>
            </w:rPr>
            <w:t>Haga clic aquí para escribir texto.</w:t>
          </w:r>
        </w:p>
      </w:docPartBody>
    </w:docPart>
    <w:docPart>
      <w:docPartPr>
        <w:name w:val="8003DACCDBE3405DB9C5CD053127D242"/>
        <w:category>
          <w:name w:val="General"/>
          <w:gallery w:val="placeholder"/>
        </w:category>
        <w:types>
          <w:type w:val="bbPlcHdr"/>
        </w:types>
        <w:behaviors>
          <w:behavior w:val="content"/>
        </w:behaviors>
        <w:guid w:val="{BAD9CC95-4B7F-4741-B895-3E2D44BA3B02}"/>
      </w:docPartPr>
      <w:docPartBody>
        <w:p w:rsidR="004E1C74" w:rsidRDefault="004E1C74">
          <w:pPr>
            <w:pStyle w:val="8003DACCDBE3405DB9C5CD053127D24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74"/>
    <w:rsid w:val="004E1C74"/>
    <w:rsid w:val="00B70C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B3F53E333C54EB8BF5460A7180B9E12">
    <w:name w:val="DB3F53E333C54EB8BF5460A7180B9E12"/>
  </w:style>
  <w:style w:type="paragraph" w:customStyle="1" w:styleId="8003DACCDBE3405DB9C5CD053127D242">
    <w:name w:val="8003DACCDBE3405DB9C5CD053127D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3N7KXJol4edI1RNeWUJk0hi0UhICLWsma0HWYZU5WZU=</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nu0Z9opzRCVSODZa8H+2gMJRqEbQMAbmaCBMqvWxGX4=</DigestValue>
    </Reference>
  </SignedInfo>
  <SignatureValue>ZtQjrI8YZJTPXRRNmXxtArLtGrVkytX0Mm8aNnp/krjvZhOugae3/bPd9LpfCYArVzMzA22BpvvH
wFpscPrEltfKbnUXCraFZf6OIao/iflrqFeBR018+zC2ofugWMzWTLGnDMGtqPW65VEjMKftXFzh
nh1Pi4uQ1+41lkIMue4sF2HgUEF34dHsRD8LzK1IRQYHpxfirpzIvM8+eLeVg5RKgayYirBw2oCI
HLZH8Xo2EKX/KVaxDs1j4H4f5qVKNSbu+/9vExGDX1Xkdb+6j6S1kT/EzV7IaFpLSnt513wGiU5V
+2i6QsjCaJcu5WI6m8SVre5Ri7BopnOnUposTQ==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/tQJm/ss0wg832mEG0bv+MuQoXppZjQ8A/ZXuca52S8=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VQRyj1zXRd3jEfeWz8GYRKVp0kpvkdHRWuc26D1Y9jk=</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TF2j6waBYR5eRxx+p6EjGx8EEfkDP9mloNk15sglNsE=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AZJf1ahHXxM6fZ3MzTyI8n6xBkLHKspkCH/7b8JwUuk=</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4UgOglD7eXkE9+wEQVMj/udghrM8BuVFq7Q1M6nnVKs=</DigestValue>
      </Reference>
      <Reference URI="/word/endnotes.xml?ContentType=application/vnd.openxmlformats-officedocument.wordprocessingml.endnotes+xml">
        <DigestMethod Algorithm="http://www.w3.org/2001/04/xmlenc#sha256"/>
        <DigestValue>URv1WPXsEMV23icKf1/mIKJn8Qd3HLQKWi1f7XwfPsE=</DigestValue>
      </Reference>
      <Reference URI="/word/fontTable.xml?ContentType=application/vnd.openxmlformats-officedocument.wordprocessingml.fontTable+xml">
        <DigestMethod Algorithm="http://www.w3.org/2001/04/xmlenc#sha256"/>
        <DigestValue>O1XLmBwbEf9xpcR7mRJbi5OnoIZ5Sh9NECsFh4WZohA=</DigestValue>
      </Reference>
      <Reference URI="/word/footer1.xml?ContentType=application/vnd.openxmlformats-officedocument.wordprocessingml.footer+xml">
        <DigestMethod Algorithm="http://www.w3.org/2001/04/xmlenc#sha256"/>
        <DigestValue>tftl/tAl+Oy5Wi1qj6k1fkHqbR3nFWuAD/CTlRck7/U=</DigestValue>
      </Reference>
      <Reference URI="/word/footnotes.xml?ContentType=application/vnd.openxmlformats-officedocument.wordprocessingml.footnotes+xml">
        <DigestMethod Algorithm="http://www.w3.org/2001/04/xmlenc#sha256"/>
        <DigestValue>b5JhLWQI2X1RKqoSBxJsFDk7k4ANUAzrPzt/igPeZZk=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PfFgn8lRNlugV9WyAn3+69nCC13YwszeiJdr30NV6Yg=</DigestValue>
      </Reference>
      <Reference URI="/word/glossary/fontTable.xml?ContentType=application/vnd.openxmlformats-officedocument.wordprocessingml.fontTable+xml">
        <DigestMethod Algorithm="http://www.w3.org/2001/04/xmlenc#sha256"/>
        <DigestValue>O1XLmBwbEf9xpcR7mRJbi5OnoIZ5Sh9NECsFh4WZohA=</DigestValue>
      </Reference>
      <Reference URI="/word/glossary/settings.xml?ContentType=application/vnd.openxmlformats-officedocument.wordprocessingml.settings+xml">
        <DigestMethod Algorithm="http://www.w3.org/2001/04/xmlenc#sha256"/>
        <DigestValue>OOOI2aZMheW07KH/SbKYbD6hVlhNPzHBjFPlYcVb5Nk=</DigestValue>
      </Reference>
      <Reference URI="/word/glossary/styles.xml?ContentType=application/vnd.openxmlformats-officedocument.wordprocessingml.styles+xml">
        <DigestMethod Algorithm="http://www.w3.org/2001/04/xmlenc#sha256"/>
        <DigestValue>V+XuSaoKbkPLs5yTmrmCoOBuQCzQkUuwAq2tsmLPcVo=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1ss4uQM86k0WKHaFIrN9XnJqFojuJpfLjIPSIDuQxes=</DigestValue>
      </Reference>
      <Reference URI="/word/media/image1.png?ContentType=image/png">
        <DigestMethod Algorithm="http://www.w3.org/2001/04/xmlenc#sha256"/>
        <DigestValue>fKbWnrWkoraoAWwD5mrDRBe0CEdzlK20A7PGxJitdRk=</DigestValue>
      </Reference>
      <Reference URI="/word/media/image10.emf?ContentType=image/x-emf">
        <DigestMethod Algorithm="http://www.w3.org/2001/04/xmlenc#sha256"/>
        <DigestValue>8Rmaojqkxx5V5Pldi1UDRUmh2TbBM/PLidLDT3jV048=</DigestValue>
      </Reference>
      <Reference URI="/word/media/image11.emf?ContentType=image/x-emf">
        <DigestMethod Algorithm="http://www.w3.org/2001/04/xmlenc#sha256"/>
        <DigestValue>57dtlbgnBsYM80tdn1Io5O2dnRTIJOnLjEgQYB0H26A=</DigestValue>
      </Reference>
      <Reference URI="/word/media/image12.emf?ContentType=image/x-emf">
        <DigestMethod Algorithm="http://www.w3.org/2001/04/xmlenc#sha256"/>
        <DigestValue>eGr6tSFO5+ryNs+ql6uK2YyLcxr4egiwTL/7PWhmI8Q=</DigestValue>
      </Reference>
      <Reference URI="/word/media/image13.emf?ContentType=image/x-emf">
        <DigestMethod Algorithm="http://www.w3.org/2001/04/xmlenc#sha256"/>
        <DigestValue>r2N46lZZH6dpRef5yitj7mbp92iEwUb0TqGz2k3Gkkc=</DigestValue>
      </Reference>
      <Reference URI="/word/media/image14.emf?ContentType=image/x-emf">
        <DigestMethod Algorithm="http://www.w3.org/2001/04/xmlenc#sha256"/>
        <DigestValue>FXutp498A1zVBN/17h8G4mphzOcstnsPGZuxmI78YKU=</DigestValue>
      </Reference>
      <Reference URI="/word/media/image15.emf?ContentType=image/x-emf">
        <DigestMethod Algorithm="http://www.w3.org/2001/04/xmlenc#sha256"/>
        <DigestValue>au/T97bK0F7v+6a1+KnmXvyTw+GBgGG7yhPj/VjBkcY=</DigestValue>
      </Reference>
      <Reference URI="/word/media/image16.emf?ContentType=image/x-emf">
        <DigestMethod Algorithm="http://www.w3.org/2001/04/xmlenc#sha256"/>
        <DigestValue>zrGUIq3FzlIdkRXaC8WmWoF88eW50CK7VvNtoq6kYRE=</DigestValue>
      </Reference>
      <Reference URI="/word/media/image17.jpeg?ContentType=image/jpeg">
        <DigestMethod Algorithm="http://www.w3.org/2001/04/xmlenc#sha256"/>
        <DigestValue>xyj69l3DW8glKu5smMXAwtOjzbX6e4vINW9rhAbhtrc=</DigestValue>
      </Reference>
      <Reference URI="/word/media/image18.png?ContentType=image/png">
        <DigestMethod Algorithm="http://www.w3.org/2001/04/xmlenc#sha256"/>
        <DigestValue>qpOpLv7+AIBBXGXobYzZUmN/7IR83yO/J/JVrvtB94I=</DigestValue>
      </Reference>
      <Reference URI="/word/media/image19.jpg?ContentType=image/jpeg">
        <DigestMethod Algorithm="http://www.w3.org/2001/04/xmlenc#sha256"/>
        <DigestValue>zyKZDXRRMHeFN/OvQ/elTJaO1CkITOV7pAfWw0zDw7o=</DigestValue>
      </Reference>
      <Reference URI="/word/media/image2.emf?ContentType=image/x-emf">
        <DigestMethod Algorithm="http://www.w3.org/2001/04/xmlenc#sha256"/>
        <DigestValue>TOl3QJxQUzjOlPsXNoajWrvUXuv7xt43tmCTd4tksHE=</DigestValue>
      </Reference>
      <Reference URI="/word/media/image3.emf?ContentType=image/x-emf">
        <DigestMethod Algorithm="http://www.w3.org/2001/04/xmlenc#sha256"/>
        <DigestValue>gjBbEkxgr2stRU+5c+j4Boemr0uZdknLSVEsg2JRZbY=</DigestValue>
      </Reference>
      <Reference URI="/word/media/image4.emf?ContentType=image/x-emf">
        <DigestMethod Algorithm="http://www.w3.org/2001/04/xmlenc#sha256"/>
        <DigestValue>mInjbBaTa9HykHC5ziy6xVmdSz3kc0s1+lPRVrw3Fz8=</DigestValue>
      </Reference>
      <Reference URI="/word/media/image5.emf?ContentType=image/x-emf">
        <DigestMethod Algorithm="http://www.w3.org/2001/04/xmlenc#sha256"/>
        <DigestValue>NOQ4kFKeClkvV7EEtow56XJPjSN4MudriNvRN4gH6l8=</DigestValue>
      </Reference>
      <Reference URI="/word/media/image6.emf?ContentType=image/x-emf">
        <DigestMethod Algorithm="http://www.w3.org/2001/04/xmlenc#sha256"/>
        <DigestValue>X11g4ylyalnmUKt6rjIMFMCK14Ebl+HKvXGacqfJBPU=</DigestValue>
      </Reference>
      <Reference URI="/word/media/image7.emf?ContentType=image/x-emf">
        <DigestMethod Algorithm="http://www.w3.org/2001/04/xmlenc#sha256"/>
        <DigestValue>4WHYDiVHNXy4L4bvWiyCpi/EUjmfZizKif8Tak009Cw=</DigestValue>
      </Reference>
      <Reference URI="/word/media/image8.emf?ContentType=image/x-emf">
        <DigestMethod Algorithm="http://www.w3.org/2001/04/xmlenc#sha256"/>
        <DigestValue>bAYQZmj0grw4++iytNRCcJKw5U9SKmKdwuHOcDDS5IY=</DigestValue>
      </Reference>
      <Reference URI="/word/media/image9.emf?ContentType=image/x-emf">
        <DigestMethod Algorithm="http://www.w3.org/2001/04/xmlenc#sha256"/>
        <DigestValue>OaOcqdUEBbSt2zY3veiRBsJ4fZ/cSd26n69AX0yhidc=</DigestValue>
      </Reference>
      <Reference URI="/word/numbering.xml?ContentType=application/vnd.openxmlformats-officedocument.wordprocessingml.numbering+xml">
        <DigestMethod Algorithm="http://www.w3.org/2001/04/xmlenc#sha256"/>
        <DigestValue>RJ6a6uLpY3TVTZGSNkz3NIFYlZhublBQs5eBLGwoSQI=</DigestValue>
      </Reference>
      <Reference URI="/word/settings.xml?ContentType=application/vnd.openxmlformats-officedocument.wordprocessingml.settings+xml">
        <DigestMethod Algorithm="http://www.w3.org/2001/04/xmlenc#sha256"/>
        <DigestValue>Q0uRjOQSnLChNgx7AetYaNRPOs2zXpBkfnNSzecWeH0=</DigestValue>
      </Reference>
      <Reference URI="/word/styles.xml?ContentType=application/vnd.openxmlformats-officedocument.wordprocessingml.styles+xml">
        <DigestMethod Algorithm="http://www.w3.org/2001/04/xmlenc#sha256"/>
        <DigestValue>jZw+ZkxONVWiK5eyHyKKC+eTOKnedH4ryE8Ms/xBjS4=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2023-12-18T20:03:08Z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2023-12-18T20:03:08Z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rfXxCIhFejMPvcaqeUsFuXMvM+7/a10VVHLF26edF8CBBgTN40YDzIwMjMxMjE4MjAwMz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DIwMDMxMFowLwYJKoZIhvcNAQkEMSIEICGylGzL+66+YWBSkaQ/RXAmJw2QKlQFnvME/gJ/bmAuMDcGCyqGSIb3DQEJEAIvMSgwJjAkMCIEIDcrk3iY5iZu+N7/iFpVKDYeTZ9u7elabVQcL5d9tumpMA0GCSqGSIb3DQEBAQUABIIBAHh19vvBYKwtYdAsTWkJlODu1tAgBekSnrj92Un9EnGUkxyNCU1QNiWmTietxiFbcMJ7qgUSWsVXOhlVxusnPJlSTVnhQ7r4tNoh6xGhzDkY/7Yyh5964EV9wAvv4goAyJ0CJoyk50z/cVIn50zxzN9f6ykVSqC429n1aQirW6cz/e4rf6TFhYp6rzsMxv9vdjDYAJ9ljPFQa8qX1DUE3eQPHi9YKQ3pmEur/dNepUulSDBWERAwwuHqs8y2UOBiafLsOzy0tVgUDWgz9IOSNxqDIYuOmz+/Nw7g15/kz+OiaPgHHcn1J1OHdVr4hcPAqFOfltWhuGhKC55jn/pX6c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dZQHMvswsOjcrIso5gIGD+t+BOk=</xd:ByKey>
                  </xd:ResponderID>
                  <xd:ProducedAt>2023-12-18T01:48:28Z</xd:ProducedAt>
                </xd:OCSPIdentifier>
                <xd:DigestAlgAndValue>
                  <DigestMethod Algorithm="http://www.w3.org/2001/04/xmlenc#sha256"/>
                  <DigestValue>9akNzDLlDAQUvQr0e5jqGcAW0W6MXBWvAUcEzfbfl9U=</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1lAcy+zCw6NysiyjmAgYP634E6RgPMjAyMzEyMTgwMTQ4MjhaMIGZMIGWMEwwCQYFKw4DAhoFAAQUzgxHzN03kqP+e9oD7BphnZQwSGIEFF8FGEEQ3hUvOunAFqPnoWpS0TrsAhMUAAkdibcwGcw4YG8RAAEACR2JgAAYDzIwMjMxMjE4MDAxMDA2WqARGA8yMDIzMTIxOTEyMzAwNlqhIDAeMBwGCSsGAQQBgjcVBAQPFw0yMzEyMTkwMDIwMDZaMA0GCSqGSIb3DQEBCwUAA4IBAQBD10C2I/cSUepUmDTLhXUsgbOpvdKusZt/xWMVH9Idqt3zSO1Rv8mc7z6RkudjxgUEy1WJ1G5w+cekyJyHkgEr27P6MS9WiO6+ASgA27+5baUHKUjiZ4zovDKxmrE050nAqnn64XDCgx2eZikxbAJjhcO1k6wqtofiuIv4uA31ESDkpp23LjCrViKr4rQomjfhonquvwN9SvEAJBDxUR3onfvAHDT6ZIyW6jo0ukwO3LQ6WxUI3+BQFfNCyEavUpmKdU4pHEwbbQpS8+PNXKM3+4TUYjbBEMC+CU+Z2onB0uLxafqfXtzXeuBZct394AwAO7aw6iwiqC8OWi5MZxREoIIEjTCCBIkwggSFMIIDbaADAgECAhMUABKaE2fKIfIc5pIwAAIAEpoTMA0GCSqGSIb3DQEBCwUAMIGZMRkwFwYDVQQFExBDUEotNC0wMDAtMDA0MDE3MQswCQYDVQQGEwJDUjEkMCIGA1UEChMbQkFOQ08gQ0VOVFJBTCBERSBDT1NUQSBSSUNBMSIwIAYDVQQLExlESVZJU0lPTiBTSVNURU1BUyBERSBQQUdPMSUwIwYDVQQDExxDQSBTSU5QRSAtIFBFUlNPTkEgRklTSUNBIHYyMB4XDTIzMTIwNzAxNDU0OVoXDTIzMTIyMTAxNDU0OVowGjEYMBYGA1UEAxMPUE9SVkVOSVIuZmRpLmNyMIIBIjANBgkqhkiG9w0BAQEFAAOCAQ8AMIIBCgKCAQEAm79PhpG3uEVaMmW4Awqc1u8P9Iki94a2t/iBFlNrPeX0o99jfTABNBCYudz57ae37kdvEyYLwEcPNN8mA8tUYNc6MFvNNxxhsm4rVwtd/EaFduTcBAwx+/wBFjf9oqLddTYHBbWzio13spAEwC3pW5yevO+Q+Cg9bHQn6mMR9pCv8R5UoZwV62ojAYukH3+F+vL9xDKnywT/m7/Yhum7JNEIuCLCAQ6MzpvMWQ9GGKaQsIzWRW7llrB3UfbtaJrxGNGdk2CSxwSETNoRtpRJgwxPKQbI1xsP8GAuw1lu/Y3/evNVnssFviFvUy9XNErsXDwmvZC9AHNPIi7+9jWWIQIDAQABo4IBQjCCAT4wPQYJKwYBBAGCNxUHBDAwLgYmKwYBBAGCNxUIhcTqW4LR4zWVkRuC+ZcYhqXLa4F/g/b8d4G48TMCAWQCAQcwEwYDVR0lBAwwCgYIKwYBBQUHAwkwDgYDVR0PAQH/BAQDAgeAMBsGCSsGAQQBgjcVCgQOMAwwCgYIKwYBBQUHAwkwDwYJKwYBBQUHMAEFBAIFADAfBgNVHSMEGDAWgBRfBRhBEN4VLzrpwBaj56FqUtE67DAdBgNVHQ4EFgQUdZQHMvswsOjcrIso5gIGD+t+BOkwGgYDVR0RBBMwEYIPUE9SVkVOSVIuZmRpLmNyME4GCSsGAQQBgjcZAgRBMD+gPQYKKwYBBAGCNxkCAaAvBC1TLTEtNS0yMS0zMjM5NTUwODc4LTc1Mzc5OTczOS0xNzU2NjAxNTAzLTExMDcwDQYJKoZIhvcNAQELBQADggEBAL7WX2KKWTjsAM7juKg0gNYbYTdhBmZImMU11tjEiNOHKrBiINkyjCOE6wlCpLn+xPuglGc2PdDj2Ruq8s3v1oV9trjo1u+1lGyu4r2kdHw17oMaKWibqN6SVqZcDoPq8Vif2Rg10zhQsezcj7dhvIShdkbS/Cv+unaZmYvSQKPKZemThYNxwybfrPVdKgPGP8Vlgg4MTTC2Hd4yCY1mriKRoRm+ZbiychSKaG1y9taqwuTGDSjLoQDuvpbXbzpAsyfNDEYaESUfLv41GTNmdao8STjH24WrL40I4O/wrhJm8d/IBtYNmUYqcX3M0lLDjkWP9MOkK8/Eri4yCL7Mbr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vdmrGR71bIqW/XJ0sUV3j9M626qm6WTSNEXNMjkXOECBBgTN44YDzIwMjMxMjE4MjAwMz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DIwMDMxMFowLwYJKoZIhvcNAQkEMSIEICm2NXekJC7ZDc2Tkhs7D67Iqi4xgfcsb5RV4RbwC8fuMDcGCyqGSIb3DQEJEAIvMSgwJjAkMCIEIDcrk3iY5iZu+N7/iFpVKDYeTZ9u7elabVQcL5d9tumpMA0GCSqGSIb3DQEBAQUABIIBAMgxfyU3ccp4Q3Ubhsi1HNlh2VdWj3NBOdWLYvf3x7EMvQNcQVQA/Tv/Dx4QyqvqrbviRimHwU9FNMKuMNL5txC3uD8vwoYunnQFMoxE0runhBN36+uSRwLVWW7O6FcBwkdFgfp8tnT/MelGNoV1fl7P8rys80Z0BnnwCI3dQWG8pT6zGERREblYI/jiybHKTS0hjUP24V/y04qWnw7XUt+iN75zQLoAJPlULWFjR2EBAgpJIKMrjBMMAU7xQT6+yOv32OvWgnr7LeGSYjz3uc0cEWWiqCiLXejQTITAJ2z0UgSGI8oxJ4ExlaJ0vcYYtmZU0YDUSJ3JGBT7DtrPUx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entidades supervisadas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Copiar a: Saliente Normas.
Saliente Administrativo para realizar la publicación en la Gaceta.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2022-12-07T06:00:00+00:00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Consulta externa- Lineamientos Generales para la Aplicación del Reglamento sobre la Suficiencia Patrimonial de Entidades Financieras, Acuerdo SUGEF 3-06</Subject1>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E57C54E2-3A3D-4530-852B-1D3C19DA9CDF}"/>
</file>

<file path=customXml/itemProps4.xml><?xml version="1.0" encoding="utf-8"?>
<ds:datastoreItem xmlns:ds="http://schemas.openxmlformats.org/officeDocument/2006/customXml" ds:itemID="{3F398A10-8704-4BBC-B16C-27EF7A2BCD6E}"/>
</file>

<file path=customXml/itemProps5.xml><?xml version="1.0" encoding="utf-8"?>
<ds:datastoreItem xmlns:ds="http://schemas.openxmlformats.org/officeDocument/2006/customXml" ds:itemID="{BB344CBA-067C-4AC0-888E-1954402E65A9}"/>
</file>

<file path=customXml/itemProps6.xml><?xml version="1.0" encoding="utf-8"?>
<ds:datastoreItem xmlns:ds="http://schemas.openxmlformats.org/officeDocument/2006/customXml" ds:itemID="{CD9C5C46-4EC6-49CA-83B5-E968F7B5A25E}"/>
</file>

<file path=docProps/app.xml><?xml version="1.0" encoding="utf-8"?>
<Properties xmlns="http://schemas.openxmlformats.org/officeDocument/2006/extended-properties" xmlns:vt="http://schemas.openxmlformats.org/officeDocument/2006/docPropsVTypes">
  <Template>plantilla-SGF-DST-DNO-22.dotx</Template>
  <TotalTime>1307</TotalTime>
  <Pages>67</Pages>
  <Words>16433</Words>
  <Characters>90384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ECHEVERRIA DELGADO RAQUEL</dc:creator>
  <cp:keywords/>
  <dc:description/>
  <cp:lastModifiedBy>VARGAS LEAL MARIA GABRIELA</cp:lastModifiedBy>
  <cp:revision>28</cp:revision>
  <dcterms:created xsi:type="dcterms:W3CDTF">2023-12-06T21:50:00Z</dcterms:created>
  <dcterms:modified xsi:type="dcterms:W3CDTF">2023-12-18T16:12:00Z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126;#Oficio|417b7e3a-1426-4267-afb3-20be5f4d6412</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139700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f1fd9d7f-da86-405a-9476-87cbb240632e,6;769919c7-9da3-41ff-b395-8ac0bca7c92c,9;</vt:lpwstr>
  </property>
  <property fmtid="{D5CDD505-2E9C-101B-9397-08002B2CF9AE}" pid="16" name="MSIP_Label_b8b4be34-365a-4a68-b9fb-75c1b6874315_Enabled">
    <vt:lpwstr>true</vt:lpwstr>
  </property>
  <property fmtid="{D5CDD505-2E9C-101B-9397-08002B2CF9AE}" pid="17" name="MSIP_Label_b8b4be34-365a-4a68-b9fb-75c1b6874315_SetDate">
    <vt:lpwstr>2023-12-18T16:12:33Z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5910cb12-3a45-4cd1-922f-96c86d6ef8e6</vt:lpwstr>
  </property>
  <property fmtid="{D5CDD505-2E9C-101B-9397-08002B2CF9AE}" pid="22" name="MSIP_Label_b8b4be34-365a-4a68-b9fb-75c1b6874315_ContentBits">
    <vt:lpwstr>2</vt:lpwstr>
  </property>
</Properties>
</file>