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678F0" w:rsidR="003554C5" w:rsidP="00482135" w:rsidRDefault="003554C5" w14:paraId="70D41132" w14:textId="77777777">
      <w:pPr>
        <w:tabs>
          <w:tab w:val="left" w:pos="2843"/>
        </w:tabs>
        <w:spacing w:line="240" w:lineRule="auto"/>
        <w:contextualSpacing/>
        <w:rPr>
          <w:sz w:val="24"/>
        </w:rPr>
      </w:pPr>
    </w:p>
    <w:p w:rsidRPr="009678F0" w:rsidR="00251BA2" w:rsidP="00482135" w:rsidRDefault="00251BA2" w14:paraId="12A4A467" w14:textId="77777777">
      <w:pPr>
        <w:pStyle w:val="Texto0"/>
        <w:spacing w:before="0" w:after="0" w:line="240" w:lineRule="auto"/>
        <w:contextualSpacing/>
        <w:jc w:val="center"/>
        <w:rPr>
          <w:sz w:val="24"/>
        </w:rPr>
      </w:pPr>
      <w:r w:rsidRPr="009678F0">
        <w:rPr>
          <w:b/>
          <w:sz w:val="24"/>
        </w:rPr>
        <w:t>Resolución</w:t>
      </w:r>
    </w:p>
    <w:p w:rsidRPr="009678F0" w:rsidR="00251BA2" w:rsidP="00482135" w:rsidRDefault="009678F0" w14:paraId="5143B2FF" w14:textId="721BB612">
      <w:pPr>
        <w:pStyle w:val="Texto0"/>
        <w:spacing w:before="0" w:after="0" w:line="240" w:lineRule="auto"/>
        <w:contextualSpacing/>
        <w:jc w:val="center"/>
        <w:rPr>
          <w:sz w:val="24"/>
        </w:rPr>
      </w:pPr>
      <w:r w:rsidRPr="009678F0">
        <w:rPr>
          <w:sz w:val="24"/>
        </w:rPr>
        <w:t>29</w:t>
      </w:r>
      <w:r w:rsidRPr="009678F0" w:rsidR="004353F2">
        <w:rPr>
          <w:sz w:val="24"/>
        </w:rPr>
        <w:t xml:space="preserve"> de </w:t>
      </w:r>
      <w:r w:rsidRPr="009678F0">
        <w:rPr>
          <w:sz w:val="24"/>
        </w:rPr>
        <w:t>octu</w:t>
      </w:r>
      <w:r w:rsidRPr="009678F0" w:rsidR="005B3656">
        <w:rPr>
          <w:sz w:val="24"/>
        </w:rPr>
        <w:t>bre</w:t>
      </w:r>
      <w:r w:rsidRPr="009678F0" w:rsidR="004353F2">
        <w:rPr>
          <w:sz w:val="24"/>
        </w:rPr>
        <w:t xml:space="preserve"> del 2021</w:t>
      </w:r>
    </w:p>
    <w:sdt>
      <w:sdtPr>
        <w:rPr>
          <w:sz w:val="24"/>
        </w:rPr>
        <w:alias w:val="Consecutivo"/>
        <w:tag w:val="Consecutivo"/>
        <w:id w:val="2052717023"/>
        <w:placeholder>
          <w:docPart w:val="C7EA259747C3476A918838FE91963471"/>
        </w:placeholder>
        <w:text/>
      </w:sdtPr>
      <w:sdtEndPr/>
      <w:sdtContent>
        <w:p w:rsidRPr="009678F0" w:rsidR="00251BA2" w:rsidP="00482135" w:rsidRDefault="00C928C7" w14:paraId="2D36C797" w14:textId="77777777">
          <w:pPr>
            <w:tabs>
              <w:tab w:val="left" w:pos="2843"/>
            </w:tabs>
            <w:spacing w:line="240" w:lineRule="auto"/>
            <w:contextualSpacing/>
            <w:jc w:val="center"/>
            <w:rPr>
              <w:sz w:val="24"/>
            </w:rPr>
          </w:pPr>
          <w:r>
            <w:t>SGF-3103-2021</w:t>
          </w:r>
        </w:p>
      </w:sdtContent>
    </w:sdt>
    <w:p w:rsidRPr="009678F0" w:rsidR="00251BA2" w:rsidP="00482135" w:rsidRDefault="009678F0" w14:paraId="2993B55D" w14:textId="0685E0F9">
      <w:pPr>
        <w:tabs>
          <w:tab w:val="left" w:pos="2843"/>
        </w:tabs>
        <w:spacing w:line="240" w:lineRule="auto"/>
        <w:contextualSpacing/>
        <w:jc w:val="center"/>
        <w:rPr>
          <w:sz w:val="24"/>
        </w:rPr>
      </w:pPr>
      <w:sdt>
        <w:sdtPr>
          <w:rPr>
            <w:sz w:val="24"/>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9678F0" w:rsidR="00C928C7">
            <w:rPr>
              <w:sz w:val="24"/>
              <w:lang w:val="es-CR"/>
            </w:rPr>
            <w:t>SGF-PUBLICO</w:t>
          </w:r>
        </w:sdtContent>
      </w:sdt>
    </w:p>
    <w:p w:rsidRPr="009678F0" w:rsidR="008F01AF" w:rsidP="00482135" w:rsidRDefault="008F01AF" w14:paraId="42777C34" w14:textId="77777777">
      <w:pPr>
        <w:widowControl w:val="0"/>
        <w:spacing w:line="240" w:lineRule="auto"/>
        <w:ind w:left="34" w:right="86"/>
        <w:contextualSpacing/>
        <w:outlineLvl w:val="0"/>
        <w:rPr>
          <w:b/>
          <w:sz w:val="24"/>
          <w:lang w:val="es-CR"/>
        </w:rPr>
      </w:pPr>
    </w:p>
    <w:p w:rsidRPr="009678F0" w:rsidR="00482135" w:rsidP="00482135" w:rsidRDefault="00482135" w14:paraId="4B12FDE2" w14:textId="77777777">
      <w:pPr>
        <w:widowControl w:val="0"/>
        <w:spacing w:line="240" w:lineRule="auto"/>
        <w:ind w:left="34" w:right="86"/>
        <w:contextualSpacing/>
        <w:outlineLvl w:val="0"/>
        <w:rPr>
          <w:b/>
          <w:sz w:val="24"/>
          <w:lang w:val="es-CR"/>
        </w:rPr>
      </w:pPr>
      <w:r w:rsidRPr="009678F0">
        <w:rPr>
          <w:b/>
          <w:sz w:val="24"/>
          <w:lang w:val="es-CR"/>
        </w:rPr>
        <w:t xml:space="preserve">Dirigida a: </w:t>
      </w:r>
    </w:p>
    <w:p w:rsidRPr="009678F0" w:rsidR="00482135" w:rsidP="00482135" w:rsidRDefault="00482135" w14:paraId="32A2B04D" w14:textId="77777777">
      <w:pPr>
        <w:widowControl w:val="0"/>
        <w:spacing w:line="240" w:lineRule="auto"/>
        <w:ind w:left="34" w:right="86"/>
        <w:contextualSpacing/>
        <w:outlineLvl w:val="0"/>
        <w:rPr>
          <w:b/>
          <w:sz w:val="24"/>
          <w:lang w:val="es-CR"/>
        </w:rPr>
      </w:pPr>
    </w:p>
    <w:p w:rsidRPr="009678F0" w:rsidR="00482135" w:rsidP="00482135" w:rsidRDefault="00482135" w14:paraId="265254B6" w14:textId="77777777">
      <w:pPr>
        <w:widowControl w:val="0"/>
        <w:numPr>
          <w:ilvl w:val="0"/>
          <w:numId w:val="13"/>
        </w:numPr>
        <w:spacing w:after="200" w:line="240" w:lineRule="auto"/>
        <w:ind w:left="567" w:right="86" w:hanging="567"/>
        <w:contextualSpacing/>
        <w:rPr>
          <w:b/>
          <w:sz w:val="24"/>
          <w:lang w:val="es-CR" w:eastAsia="es-ES"/>
        </w:rPr>
      </w:pPr>
      <w:r w:rsidRPr="009678F0">
        <w:rPr>
          <w:b/>
          <w:sz w:val="24"/>
          <w:lang w:val="es-CR" w:eastAsia="es-ES"/>
        </w:rPr>
        <w:t>Bancos Comerciales del Estado</w:t>
      </w:r>
    </w:p>
    <w:p w:rsidRPr="009678F0" w:rsidR="00482135" w:rsidP="00482135" w:rsidRDefault="00482135" w14:paraId="3F88A2AF" w14:textId="77777777">
      <w:pPr>
        <w:widowControl w:val="0"/>
        <w:numPr>
          <w:ilvl w:val="0"/>
          <w:numId w:val="13"/>
        </w:numPr>
        <w:spacing w:after="200" w:line="240" w:lineRule="auto"/>
        <w:ind w:left="567" w:right="86" w:hanging="567"/>
        <w:contextualSpacing/>
        <w:rPr>
          <w:b/>
          <w:sz w:val="24"/>
          <w:lang w:val="es-CR" w:eastAsia="es-ES"/>
        </w:rPr>
      </w:pPr>
      <w:r w:rsidRPr="009678F0">
        <w:rPr>
          <w:b/>
          <w:sz w:val="24"/>
          <w:lang w:val="es-CR" w:eastAsia="es-ES"/>
        </w:rPr>
        <w:t>Bancos Creados por Leyes Especiales</w:t>
      </w:r>
    </w:p>
    <w:p w:rsidRPr="009678F0" w:rsidR="00482135" w:rsidP="00482135" w:rsidRDefault="00482135" w14:paraId="77D5E1DF" w14:textId="77777777">
      <w:pPr>
        <w:widowControl w:val="0"/>
        <w:numPr>
          <w:ilvl w:val="0"/>
          <w:numId w:val="13"/>
        </w:numPr>
        <w:spacing w:after="200" w:line="240" w:lineRule="auto"/>
        <w:ind w:left="567" w:right="86" w:hanging="567"/>
        <w:contextualSpacing/>
        <w:rPr>
          <w:b/>
          <w:sz w:val="24"/>
          <w:lang w:val="es-CR" w:eastAsia="es-ES"/>
        </w:rPr>
      </w:pPr>
      <w:r w:rsidRPr="009678F0">
        <w:rPr>
          <w:b/>
          <w:sz w:val="24"/>
          <w:lang w:val="es-CR" w:eastAsia="es-ES"/>
        </w:rPr>
        <w:t>Bancos Privados</w:t>
      </w:r>
    </w:p>
    <w:p w:rsidRPr="009678F0" w:rsidR="00482135" w:rsidP="00482135" w:rsidRDefault="00482135" w14:paraId="63472118" w14:textId="77777777">
      <w:pPr>
        <w:widowControl w:val="0"/>
        <w:numPr>
          <w:ilvl w:val="0"/>
          <w:numId w:val="13"/>
        </w:numPr>
        <w:spacing w:after="200" w:line="240" w:lineRule="auto"/>
        <w:ind w:left="567" w:right="86" w:hanging="567"/>
        <w:contextualSpacing/>
        <w:rPr>
          <w:b/>
          <w:sz w:val="24"/>
          <w:lang w:val="es-CR" w:eastAsia="es-ES"/>
        </w:rPr>
      </w:pPr>
      <w:r w:rsidRPr="009678F0">
        <w:rPr>
          <w:b/>
          <w:sz w:val="24"/>
          <w:lang w:val="es-CR" w:eastAsia="es-ES"/>
        </w:rPr>
        <w:t>Empresas Financieras no Bancarias</w:t>
      </w:r>
    </w:p>
    <w:p w:rsidRPr="009678F0" w:rsidR="00482135" w:rsidP="00482135" w:rsidRDefault="00482135" w14:paraId="3ACD83F0" w14:textId="77777777">
      <w:pPr>
        <w:widowControl w:val="0"/>
        <w:numPr>
          <w:ilvl w:val="0"/>
          <w:numId w:val="13"/>
        </w:numPr>
        <w:spacing w:after="200" w:line="240" w:lineRule="auto"/>
        <w:ind w:left="567" w:right="86" w:hanging="567"/>
        <w:contextualSpacing/>
        <w:rPr>
          <w:b/>
          <w:sz w:val="24"/>
          <w:lang w:val="es-CR" w:eastAsia="es-ES"/>
        </w:rPr>
      </w:pPr>
      <w:r w:rsidRPr="009678F0">
        <w:rPr>
          <w:b/>
          <w:sz w:val="24"/>
          <w:lang w:val="es-CR" w:eastAsia="es-ES"/>
        </w:rPr>
        <w:t>Otras Entidades Financieras</w:t>
      </w:r>
    </w:p>
    <w:p w:rsidRPr="009678F0" w:rsidR="00482135" w:rsidP="00482135" w:rsidRDefault="00482135" w14:paraId="794B6F71" w14:textId="77777777">
      <w:pPr>
        <w:widowControl w:val="0"/>
        <w:numPr>
          <w:ilvl w:val="0"/>
          <w:numId w:val="13"/>
        </w:numPr>
        <w:spacing w:after="200" w:line="240" w:lineRule="auto"/>
        <w:ind w:left="567" w:right="86" w:hanging="567"/>
        <w:contextualSpacing/>
        <w:rPr>
          <w:b/>
          <w:sz w:val="24"/>
          <w:lang w:val="es-CR" w:eastAsia="es-ES"/>
        </w:rPr>
      </w:pPr>
      <w:r w:rsidRPr="009678F0">
        <w:rPr>
          <w:b/>
          <w:sz w:val="24"/>
          <w:lang w:val="es-CR" w:eastAsia="es-ES"/>
        </w:rPr>
        <w:t>Organizaciones Cooperativas de Ahorro y Crédito</w:t>
      </w:r>
    </w:p>
    <w:p w:rsidRPr="009678F0" w:rsidR="00482135" w:rsidP="00482135" w:rsidRDefault="00482135" w14:paraId="5DFF3969" w14:textId="77777777">
      <w:pPr>
        <w:widowControl w:val="0"/>
        <w:numPr>
          <w:ilvl w:val="0"/>
          <w:numId w:val="13"/>
        </w:numPr>
        <w:spacing w:after="200" w:line="240" w:lineRule="auto"/>
        <w:ind w:left="567" w:right="86" w:hanging="567"/>
        <w:contextualSpacing/>
        <w:rPr>
          <w:b/>
          <w:sz w:val="24"/>
          <w:lang w:val="es-CR" w:eastAsia="es-ES"/>
        </w:rPr>
      </w:pPr>
      <w:r w:rsidRPr="009678F0">
        <w:rPr>
          <w:b/>
          <w:sz w:val="24"/>
          <w:lang w:val="es-CR" w:eastAsia="es-ES"/>
        </w:rPr>
        <w:t>Entidades Autorizadas del Sistema Financiera Nacional para la Vivienda</w:t>
      </w:r>
    </w:p>
    <w:p w:rsidRPr="009678F0" w:rsidR="00482135" w:rsidP="00482135" w:rsidRDefault="00482135" w14:paraId="234A589F" w14:textId="77777777">
      <w:pPr>
        <w:pStyle w:val="Texto0"/>
        <w:spacing w:line="240" w:lineRule="auto"/>
        <w:contextualSpacing/>
        <w:rPr>
          <w:b/>
          <w:sz w:val="24"/>
        </w:rPr>
      </w:pPr>
    </w:p>
    <w:p w:rsidRPr="009678F0" w:rsidR="002F2C49" w:rsidP="002F2C49" w:rsidRDefault="007F0078" w14:paraId="2D38D4B4" w14:textId="3FB68207">
      <w:pPr>
        <w:pStyle w:val="Texto0"/>
        <w:spacing w:line="240" w:lineRule="auto"/>
        <w:contextualSpacing/>
        <w:rPr>
          <w:i/>
          <w:iCs/>
          <w:sz w:val="24"/>
          <w:lang w:val="es-419"/>
        </w:rPr>
      </w:pPr>
      <w:r w:rsidRPr="009678F0">
        <w:rPr>
          <w:b/>
          <w:sz w:val="24"/>
        </w:rPr>
        <w:t xml:space="preserve">Asunto: </w:t>
      </w:r>
      <w:r w:rsidRPr="009678F0" w:rsidR="002F2C49">
        <w:rPr>
          <w:i/>
          <w:iCs/>
          <w:sz w:val="24"/>
          <w:lang w:val="es-419"/>
        </w:rPr>
        <w:t>Aclaración sobre tratamiento contable de intereses devengados por más de 180 días.</w:t>
      </w:r>
    </w:p>
    <w:p w:rsidRPr="009678F0" w:rsidR="002F2C49" w:rsidP="002F2C49" w:rsidRDefault="002F2C49" w14:paraId="7844BDAD" w14:textId="77777777">
      <w:pPr>
        <w:spacing w:line="240" w:lineRule="auto"/>
        <w:ind w:left="34"/>
        <w:contextualSpacing/>
        <w:outlineLvl w:val="0"/>
        <w:rPr>
          <w:b/>
          <w:sz w:val="24"/>
        </w:rPr>
      </w:pPr>
    </w:p>
    <w:p w:rsidRPr="009678F0" w:rsidR="009678F0" w:rsidP="009678F0" w:rsidRDefault="009678F0" w14:paraId="13431612" w14:textId="77777777">
      <w:pPr>
        <w:spacing w:line="240" w:lineRule="auto"/>
        <w:ind w:left="34"/>
        <w:contextualSpacing/>
        <w:outlineLvl w:val="0"/>
        <w:rPr>
          <w:sz w:val="24"/>
        </w:rPr>
      </w:pPr>
      <w:r w:rsidRPr="009678F0">
        <w:rPr>
          <w:b/>
          <w:sz w:val="24"/>
        </w:rPr>
        <w:t>La Superintendente General de Entidades Financieras,</w:t>
      </w:r>
    </w:p>
    <w:p w:rsidRPr="009678F0" w:rsidR="009678F0" w:rsidP="009678F0" w:rsidRDefault="009678F0" w14:paraId="0FB26F55" w14:textId="77777777">
      <w:pPr>
        <w:spacing w:line="240" w:lineRule="auto"/>
        <w:ind w:left="34"/>
        <w:contextualSpacing/>
        <w:rPr>
          <w:sz w:val="24"/>
        </w:rPr>
      </w:pPr>
    </w:p>
    <w:p w:rsidRPr="009678F0" w:rsidR="009678F0" w:rsidP="009678F0" w:rsidRDefault="009678F0" w14:paraId="4B65CB99" w14:textId="77777777">
      <w:pPr>
        <w:spacing w:line="240" w:lineRule="auto"/>
        <w:ind w:left="34"/>
        <w:outlineLvl w:val="0"/>
        <w:rPr>
          <w:sz w:val="24"/>
        </w:rPr>
      </w:pPr>
      <w:r w:rsidRPr="009678F0">
        <w:rPr>
          <w:b/>
          <w:sz w:val="24"/>
        </w:rPr>
        <w:t>Considerando que</w:t>
      </w:r>
      <w:r w:rsidRPr="009678F0">
        <w:rPr>
          <w:sz w:val="24"/>
        </w:rPr>
        <w:t>:</w:t>
      </w:r>
    </w:p>
    <w:p w:rsidRPr="009678F0" w:rsidR="009678F0" w:rsidP="009678F0" w:rsidRDefault="009678F0" w14:paraId="1B407D82" w14:textId="77777777">
      <w:pPr>
        <w:spacing w:line="240" w:lineRule="auto"/>
        <w:ind w:left="34"/>
        <w:outlineLvl w:val="0"/>
        <w:rPr>
          <w:sz w:val="24"/>
        </w:rPr>
      </w:pPr>
    </w:p>
    <w:p w:rsidRPr="009678F0" w:rsidR="009678F0" w:rsidP="009678F0" w:rsidRDefault="009678F0" w14:paraId="141B9E4D" w14:textId="77777777">
      <w:pPr>
        <w:pStyle w:val="Prrafodelista"/>
        <w:numPr>
          <w:ilvl w:val="0"/>
          <w:numId w:val="24"/>
        </w:numPr>
        <w:spacing w:line="240" w:lineRule="auto"/>
        <w:jc w:val="both"/>
        <w:rPr>
          <w:rFonts w:ascii="Cambria" w:hAnsi="Cambria"/>
          <w:sz w:val="24"/>
          <w:szCs w:val="24"/>
        </w:rPr>
      </w:pPr>
      <w:r w:rsidRPr="009678F0">
        <w:rPr>
          <w:rFonts w:ascii="Cambria" w:hAnsi="Cambria"/>
          <w:sz w:val="24"/>
          <w:szCs w:val="24"/>
        </w:rPr>
        <w:t xml:space="preserve">El inciso f) del Artículo 131 de la Ley 7558 “Ley Orgánica del Banco Central de Costa Rica”, dispone entre las funciones del Superintendente General de Entidades Financieras, la de ordenar que se ajuste o corrija el valor contabilizado de los activos, los pasivos, el patrimonio y las demás cuentas </w:t>
      </w:r>
      <w:proofErr w:type="spellStart"/>
      <w:r w:rsidRPr="009678F0">
        <w:rPr>
          <w:rFonts w:ascii="Cambria" w:hAnsi="Cambria"/>
          <w:sz w:val="24"/>
          <w:szCs w:val="24"/>
        </w:rPr>
        <w:t>extrabalance</w:t>
      </w:r>
      <w:proofErr w:type="spellEnd"/>
      <w:r w:rsidRPr="009678F0">
        <w:rPr>
          <w:rFonts w:ascii="Cambria" w:hAnsi="Cambria"/>
          <w:sz w:val="24"/>
          <w:szCs w:val="24"/>
        </w:rPr>
        <w:t xml:space="preserve"> de las entidades y de las empresas fiscalizadas, así como cualquier otro proceso o procedimiento, de conformidad con las leyes y las normas dictadas por el </w:t>
      </w:r>
      <w:proofErr w:type="spellStart"/>
      <w:r w:rsidRPr="009678F0">
        <w:rPr>
          <w:rFonts w:ascii="Cambria" w:hAnsi="Cambria"/>
          <w:sz w:val="24"/>
          <w:szCs w:val="24"/>
        </w:rPr>
        <w:t>Conassif</w:t>
      </w:r>
      <w:proofErr w:type="spellEnd"/>
      <w:r w:rsidRPr="009678F0">
        <w:rPr>
          <w:rFonts w:ascii="Cambria" w:hAnsi="Cambria"/>
          <w:sz w:val="24"/>
          <w:szCs w:val="24"/>
        </w:rPr>
        <w:t>.</w:t>
      </w:r>
    </w:p>
    <w:p w:rsidRPr="009678F0" w:rsidR="009678F0" w:rsidP="009678F0" w:rsidRDefault="009678F0" w14:paraId="02949AB0" w14:textId="77777777">
      <w:pPr>
        <w:pStyle w:val="Prrafodelista"/>
        <w:spacing w:line="240" w:lineRule="auto"/>
        <w:ind w:left="360"/>
        <w:rPr>
          <w:rFonts w:ascii="Cambria" w:hAnsi="Cambria"/>
          <w:sz w:val="24"/>
          <w:szCs w:val="24"/>
        </w:rPr>
      </w:pPr>
    </w:p>
    <w:p w:rsidRPr="009678F0" w:rsidR="009678F0" w:rsidP="009678F0" w:rsidRDefault="009678F0" w14:paraId="19FEF395" w14:textId="77777777">
      <w:pPr>
        <w:pStyle w:val="Prrafodelista"/>
        <w:numPr>
          <w:ilvl w:val="0"/>
          <w:numId w:val="24"/>
        </w:numPr>
        <w:spacing w:line="240" w:lineRule="auto"/>
        <w:jc w:val="both"/>
        <w:rPr>
          <w:rFonts w:ascii="Cambria" w:hAnsi="Cambria"/>
          <w:sz w:val="24"/>
          <w:szCs w:val="24"/>
        </w:rPr>
      </w:pPr>
      <w:r w:rsidRPr="009678F0">
        <w:rPr>
          <w:rFonts w:ascii="Cambria" w:hAnsi="Cambria"/>
          <w:sz w:val="24"/>
          <w:szCs w:val="24"/>
        </w:rPr>
        <w:t xml:space="preserve">En el caso particular de los intereses sobre los créditos, existen disposiciones legales y reglamentarias sobre el devengo de intereses. En el caso de operaciones vencidas, el numeral 3) del artículo 56 de la Ley Orgánica del Sistema Bancario Nacional, Ley N. 1644, dispone que </w:t>
      </w:r>
      <w:r w:rsidRPr="009678F0">
        <w:rPr>
          <w:rFonts w:ascii="Cambria" w:hAnsi="Cambria"/>
          <w:i/>
          <w:iCs/>
          <w:sz w:val="24"/>
          <w:szCs w:val="24"/>
        </w:rPr>
        <w:t>“3) […] Las comisiones e intereses de operaciones de préstamos y descuentos vencidas a más de ciento ochenta días, devengados y no percibidos, se contabilizarán como utilidades cuando sean percibidos.”</w:t>
      </w:r>
      <w:r w:rsidRPr="009678F0">
        <w:rPr>
          <w:rFonts w:ascii="Cambria" w:hAnsi="Cambria"/>
          <w:sz w:val="24"/>
          <w:szCs w:val="24"/>
        </w:rPr>
        <w:t xml:space="preserve"> Por otra parte, de manera general, el artículo 19 del Acuerdo SUGEF 30-18 “Reglamento de Información Financiera” (RIF), establece que </w:t>
      </w:r>
      <w:r w:rsidRPr="009678F0">
        <w:rPr>
          <w:rFonts w:ascii="Cambria" w:hAnsi="Cambria"/>
          <w:i/>
          <w:iCs/>
          <w:sz w:val="24"/>
          <w:szCs w:val="24"/>
        </w:rPr>
        <w:t xml:space="preserve">“Las entidades reguladas deberán contar con políticas y procedimientos para determinar el momento de la suspensión del registro del devengo de las comisiones </w:t>
      </w:r>
      <w:r w:rsidRPr="009678F0">
        <w:rPr>
          <w:rFonts w:ascii="Cambria" w:hAnsi="Cambria"/>
          <w:i/>
          <w:iCs/>
          <w:sz w:val="24"/>
          <w:szCs w:val="24"/>
        </w:rPr>
        <w:lastRenderedPageBreak/>
        <w:t>e intereses de operaciones de préstamos. Sin embargo, el plazo de la suspensión del devengo no debe ser mayor a ciento ochenta días.”</w:t>
      </w:r>
      <w:r w:rsidRPr="009678F0">
        <w:rPr>
          <w:rFonts w:ascii="Cambria" w:hAnsi="Cambria"/>
          <w:sz w:val="24"/>
          <w:szCs w:val="24"/>
        </w:rPr>
        <w:t xml:space="preserve"> Adicionalmente, el anexo 1 del Acuerdo SUGEF 30-18 establece las cuentas contables para el registro de los intereses. Para este fin, define las cuentas 138 “Productos por Cobrar Asociados a Cartera de Créditos” y 816 “Productos por Cobrar en Suspenso”. La primera es la cuenta del activo donde se acumulan los intereses devengados y la segunda es la cuenta de orden donde se registran los intereses con suspensión de devengo. </w:t>
      </w:r>
    </w:p>
    <w:p w:rsidRPr="009678F0" w:rsidR="009678F0" w:rsidP="009678F0" w:rsidRDefault="009678F0" w14:paraId="64D363F6" w14:textId="77777777">
      <w:pPr>
        <w:pStyle w:val="Prrafodelista"/>
        <w:spacing w:line="240" w:lineRule="auto"/>
        <w:ind w:left="360"/>
        <w:jc w:val="both"/>
        <w:rPr>
          <w:rFonts w:ascii="Cambria" w:hAnsi="Cambria"/>
          <w:sz w:val="24"/>
          <w:szCs w:val="24"/>
        </w:rPr>
      </w:pPr>
    </w:p>
    <w:p w:rsidRPr="009678F0" w:rsidR="009678F0" w:rsidP="009678F0" w:rsidRDefault="009678F0" w14:paraId="1CAEB421" w14:textId="77777777">
      <w:pPr>
        <w:pStyle w:val="Prrafodelista"/>
        <w:numPr>
          <w:ilvl w:val="0"/>
          <w:numId w:val="24"/>
        </w:numPr>
        <w:spacing w:line="240" w:lineRule="auto"/>
        <w:jc w:val="both"/>
        <w:rPr>
          <w:rFonts w:ascii="Cambria" w:hAnsi="Cambria"/>
          <w:sz w:val="24"/>
          <w:szCs w:val="24"/>
        </w:rPr>
      </w:pPr>
      <w:r w:rsidRPr="009678F0">
        <w:rPr>
          <w:rFonts w:ascii="Cambria" w:hAnsi="Cambria"/>
          <w:sz w:val="24"/>
          <w:szCs w:val="24"/>
        </w:rPr>
        <w:t xml:space="preserve">Mediante Circular Externa SGF-1090-2020 del 01 de abril 2020, </w:t>
      </w:r>
      <w:proofErr w:type="gramStart"/>
      <w:r w:rsidRPr="009678F0">
        <w:rPr>
          <w:rFonts w:ascii="Cambria" w:hAnsi="Cambria"/>
          <w:sz w:val="24"/>
          <w:szCs w:val="24"/>
        </w:rPr>
        <w:t>en razón de</w:t>
      </w:r>
      <w:proofErr w:type="gramEnd"/>
      <w:r w:rsidRPr="009678F0">
        <w:rPr>
          <w:rFonts w:ascii="Cambria" w:hAnsi="Cambria"/>
          <w:sz w:val="24"/>
          <w:szCs w:val="24"/>
        </w:rPr>
        <w:t xml:space="preserve"> las flexibilidades que las entidades estaban otorgando a sus clientes para el pago de sus obligaciones, la Superintendencias aclaró cuáles son las disposiciones que rigen el registro contable de los intereses devengados.</w:t>
      </w:r>
    </w:p>
    <w:p w:rsidRPr="009678F0" w:rsidR="009678F0" w:rsidP="009678F0" w:rsidRDefault="009678F0" w14:paraId="75410EB5" w14:textId="77777777">
      <w:pPr>
        <w:pStyle w:val="Prrafodelista"/>
        <w:spacing w:line="240" w:lineRule="auto"/>
        <w:ind w:left="360"/>
        <w:jc w:val="both"/>
        <w:rPr>
          <w:rFonts w:ascii="Cambria" w:hAnsi="Cambria"/>
          <w:sz w:val="24"/>
          <w:szCs w:val="24"/>
        </w:rPr>
      </w:pPr>
    </w:p>
    <w:p w:rsidRPr="009678F0" w:rsidR="009678F0" w:rsidP="009678F0" w:rsidRDefault="009678F0" w14:paraId="5BDE22D9" w14:textId="77777777">
      <w:pPr>
        <w:pStyle w:val="Prrafodelista"/>
        <w:numPr>
          <w:ilvl w:val="0"/>
          <w:numId w:val="24"/>
        </w:numPr>
        <w:spacing w:line="240" w:lineRule="auto"/>
        <w:jc w:val="both"/>
        <w:rPr>
          <w:rFonts w:ascii="Cambria" w:hAnsi="Cambria"/>
          <w:sz w:val="24"/>
          <w:szCs w:val="24"/>
        </w:rPr>
      </w:pPr>
      <w:r w:rsidRPr="009678F0">
        <w:rPr>
          <w:rFonts w:ascii="Cambria" w:hAnsi="Cambria"/>
          <w:sz w:val="24"/>
          <w:szCs w:val="24"/>
        </w:rPr>
        <w:t xml:space="preserve">Desde el punto de vista prudencial, entre las medidas que recomienda el </w:t>
      </w:r>
      <w:proofErr w:type="spellStart"/>
      <w:r w:rsidRPr="009678F0">
        <w:rPr>
          <w:rFonts w:ascii="Cambria" w:hAnsi="Cambria"/>
          <w:sz w:val="24"/>
          <w:szCs w:val="24"/>
        </w:rPr>
        <w:t>Financial</w:t>
      </w:r>
      <w:proofErr w:type="spellEnd"/>
      <w:r w:rsidRPr="009678F0">
        <w:rPr>
          <w:rFonts w:ascii="Cambria" w:hAnsi="Cambria"/>
          <w:sz w:val="24"/>
          <w:szCs w:val="24"/>
        </w:rPr>
        <w:t xml:space="preserve"> </w:t>
      </w:r>
      <w:proofErr w:type="spellStart"/>
      <w:r w:rsidRPr="009678F0">
        <w:rPr>
          <w:rFonts w:ascii="Cambria" w:hAnsi="Cambria"/>
          <w:sz w:val="24"/>
          <w:szCs w:val="24"/>
        </w:rPr>
        <w:t>Stability</w:t>
      </w:r>
      <w:proofErr w:type="spellEnd"/>
      <w:r w:rsidRPr="009678F0">
        <w:rPr>
          <w:rFonts w:ascii="Cambria" w:hAnsi="Cambria"/>
          <w:sz w:val="24"/>
          <w:szCs w:val="24"/>
        </w:rPr>
        <w:t xml:space="preserve"> </w:t>
      </w:r>
      <w:proofErr w:type="spellStart"/>
      <w:r w:rsidRPr="009678F0">
        <w:rPr>
          <w:rFonts w:ascii="Cambria" w:hAnsi="Cambria"/>
          <w:sz w:val="24"/>
          <w:szCs w:val="24"/>
        </w:rPr>
        <w:t>Institute</w:t>
      </w:r>
      <w:proofErr w:type="spellEnd"/>
      <w:r w:rsidRPr="009678F0">
        <w:rPr>
          <w:rFonts w:ascii="Cambria" w:hAnsi="Cambria"/>
          <w:sz w:val="24"/>
          <w:szCs w:val="24"/>
        </w:rPr>
        <w:t xml:space="preserve"> en el documento “</w:t>
      </w:r>
      <w:proofErr w:type="spellStart"/>
      <w:r w:rsidRPr="009678F0">
        <w:rPr>
          <w:rFonts w:ascii="Cambria" w:hAnsi="Cambria"/>
          <w:sz w:val="24"/>
          <w:szCs w:val="24"/>
        </w:rPr>
        <w:t>Prudential</w:t>
      </w:r>
      <w:proofErr w:type="spellEnd"/>
      <w:r w:rsidRPr="009678F0">
        <w:rPr>
          <w:rFonts w:ascii="Cambria" w:hAnsi="Cambria"/>
          <w:sz w:val="24"/>
          <w:szCs w:val="24"/>
        </w:rPr>
        <w:t xml:space="preserve"> response </w:t>
      </w:r>
      <w:proofErr w:type="spellStart"/>
      <w:r w:rsidRPr="009678F0">
        <w:rPr>
          <w:rFonts w:ascii="Cambria" w:hAnsi="Cambria"/>
          <w:sz w:val="24"/>
          <w:szCs w:val="24"/>
        </w:rPr>
        <w:t>to</w:t>
      </w:r>
      <w:proofErr w:type="spellEnd"/>
      <w:r w:rsidRPr="009678F0">
        <w:rPr>
          <w:rFonts w:ascii="Cambria" w:hAnsi="Cambria"/>
          <w:sz w:val="24"/>
          <w:szCs w:val="24"/>
        </w:rPr>
        <w:t xml:space="preserve"> </w:t>
      </w:r>
      <w:proofErr w:type="spellStart"/>
      <w:r w:rsidRPr="009678F0">
        <w:rPr>
          <w:rFonts w:ascii="Cambria" w:hAnsi="Cambria"/>
          <w:sz w:val="24"/>
          <w:szCs w:val="24"/>
        </w:rPr>
        <w:t>debt</w:t>
      </w:r>
      <w:proofErr w:type="spellEnd"/>
      <w:r w:rsidRPr="009678F0">
        <w:rPr>
          <w:rFonts w:ascii="Cambria" w:hAnsi="Cambria"/>
          <w:sz w:val="24"/>
          <w:szCs w:val="24"/>
        </w:rPr>
        <w:t xml:space="preserve"> </w:t>
      </w:r>
      <w:proofErr w:type="spellStart"/>
      <w:r w:rsidRPr="009678F0">
        <w:rPr>
          <w:rFonts w:ascii="Cambria" w:hAnsi="Cambria"/>
          <w:sz w:val="24"/>
          <w:szCs w:val="24"/>
        </w:rPr>
        <w:t>under</w:t>
      </w:r>
      <w:proofErr w:type="spellEnd"/>
      <w:r w:rsidRPr="009678F0">
        <w:rPr>
          <w:rFonts w:ascii="Cambria" w:hAnsi="Cambria"/>
          <w:sz w:val="24"/>
          <w:szCs w:val="24"/>
        </w:rPr>
        <w:t xml:space="preserve"> Covid-19: </w:t>
      </w:r>
      <w:proofErr w:type="spellStart"/>
      <w:r w:rsidRPr="009678F0">
        <w:rPr>
          <w:rFonts w:ascii="Cambria" w:hAnsi="Cambria"/>
          <w:sz w:val="24"/>
          <w:szCs w:val="24"/>
        </w:rPr>
        <w:t>the</w:t>
      </w:r>
      <w:proofErr w:type="spellEnd"/>
      <w:r w:rsidRPr="009678F0">
        <w:rPr>
          <w:rFonts w:ascii="Cambria" w:hAnsi="Cambria"/>
          <w:sz w:val="24"/>
          <w:szCs w:val="24"/>
        </w:rPr>
        <w:t xml:space="preserve"> </w:t>
      </w:r>
      <w:proofErr w:type="spellStart"/>
      <w:r w:rsidRPr="009678F0">
        <w:rPr>
          <w:rFonts w:ascii="Cambria" w:hAnsi="Cambria"/>
          <w:sz w:val="24"/>
          <w:szCs w:val="24"/>
        </w:rPr>
        <w:t>supervisory</w:t>
      </w:r>
      <w:proofErr w:type="spellEnd"/>
      <w:r w:rsidRPr="009678F0">
        <w:rPr>
          <w:rFonts w:ascii="Cambria" w:hAnsi="Cambria"/>
          <w:sz w:val="24"/>
          <w:szCs w:val="24"/>
        </w:rPr>
        <w:t xml:space="preserve"> </w:t>
      </w:r>
      <w:proofErr w:type="spellStart"/>
      <w:r w:rsidRPr="009678F0">
        <w:rPr>
          <w:rFonts w:ascii="Cambria" w:hAnsi="Cambria"/>
          <w:sz w:val="24"/>
          <w:szCs w:val="24"/>
        </w:rPr>
        <w:t>challenges</w:t>
      </w:r>
      <w:proofErr w:type="spellEnd"/>
      <w:r w:rsidRPr="009678F0">
        <w:rPr>
          <w:rFonts w:ascii="Cambria" w:hAnsi="Cambria"/>
          <w:sz w:val="24"/>
          <w:szCs w:val="24"/>
        </w:rPr>
        <w:t xml:space="preserve">” (FSI </w:t>
      </w:r>
      <w:proofErr w:type="spellStart"/>
      <w:r w:rsidRPr="009678F0">
        <w:rPr>
          <w:rFonts w:ascii="Cambria" w:hAnsi="Cambria"/>
          <w:sz w:val="24"/>
          <w:szCs w:val="24"/>
        </w:rPr>
        <w:t>Briefs</w:t>
      </w:r>
      <w:proofErr w:type="spellEnd"/>
      <w:r w:rsidRPr="009678F0">
        <w:rPr>
          <w:rFonts w:ascii="Cambria" w:hAnsi="Cambria"/>
          <w:sz w:val="24"/>
          <w:szCs w:val="24"/>
        </w:rPr>
        <w:t xml:space="preserve"> N. 10), menciona que: </w:t>
      </w:r>
      <w:r w:rsidRPr="009678F0">
        <w:rPr>
          <w:rFonts w:ascii="Cambria" w:hAnsi="Cambria"/>
          <w:i/>
          <w:iCs/>
          <w:sz w:val="24"/>
          <w:szCs w:val="24"/>
        </w:rPr>
        <w:t>“En general, cuanto más largo sea el periodo del “feriado de pago” (“</w:t>
      </w:r>
      <w:proofErr w:type="spellStart"/>
      <w:r w:rsidRPr="009678F0">
        <w:rPr>
          <w:rFonts w:ascii="Cambria" w:hAnsi="Cambria"/>
          <w:i/>
          <w:iCs/>
          <w:sz w:val="24"/>
          <w:szCs w:val="24"/>
        </w:rPr>
        <w:t>payment</w:t>
      </w:r>
      <w:proofErr w:type="spellEnd"/>
      <w:r w:rsidRPr="009678F0">
        <w:rPr>
          <w:rFonts w:ascii="Cambria" w:hAnsi="Cambria"/>
          <w:i/>
          <w:iCs/>
          <w:sz w:val="24"/>
          <w:szCs w:val="24"/>
        </w:rPr>
        <w:t xml:space="preserve"> </w:t>
      </w:r>
      <w:proofErr w:type="spellStart"/>
      <w:r w:rsidRPr="009678F0">
        <w:rPr>
          <w:rFonts w:ascii="Cambria" w:hAnsi="Cambria"/>
          <w:i/>
          <w:iCs/>
          <w:sz w:val="24"/>
          <w:szCs w:val="24"/>
        </w:rPr>
        <w:t>holiday</w:t>
      </w:r>
      <w:proofErr w:type="spellEnd"/>
      <w:r w:rsidRPr="009678F0">
        <w:rPr>
          <w:rFonts w:ascii="Cambria" w:hAnsi="Cambria"/>
          <w:i/>
          <w:iCs/>
          <w:sz w:val="24"/>
          <w:szCs w:val="24"/>
        </w:rPr>
        <w:t>”) otorgado, mayores serán los montos que se reconocen en resultados y se reflejan en el balance del banco. Si al vencimiento del plazo el deudor no puede realizar el pago, es posible que sea necesario reversar los montos que se reconocieron previamente en las ganancias del banco.”</w:t>
      </w:r>
      <w:r w:rsidRPr="009678F0">
        <w:rPr>
          <w:rFonts w:ascii="Cambria" w:hAnsi="Cambria"/>
          <w:sz w:val="24"/>
          <w:szCs w:val="24"/>
        </w:rPr>
        <w:t xml:space="preserve"> (Traducción libre).  </w:t>
      </w:r>
    </w:p>
    <w:p w:rsidRPr="009678F0" w:rsidR="009678F0" w:rsidP="009678F0" w:rsidRDefault="009678F0" w14:paraId="73EBCAA7" w14:textId="77777777">
      <w:pPr>
        <w:pStyle w:val="Prrafodelista"/>
        <w:spacing w:line="240" w:lineRule="auto"/>
        <w:ind w:left="360"/>
        <w:rPr>
          <w:rFonts w:ascii="Cambria" w:hAnsi="Cambria"/>
          <w:sz w:val="24"/>
          <w:szCs w:val="24"/>
        </w:rPr>
      </w:pPr>
    </w:p>
    <w:p w:rsidRPr="009678F0" w:rsidR="009678F0" w:rsidP="009678F0" w:rsidRDefault="009678F0" w14:paraId="37CA511E" w14:textId="77777777">
      <w:pPr>
        <w:pStyle w:val="Prrafodelista"/>
        <w:numPr>
          <w:ilvl w:val="0"/>
          <w:numId w:val="24"/>
        </w:numPr>
        <w:spacing w:line="240" w:lineRule="auto"/>
        <w:jc w:val="both"/>
        <w:rPr>
          <w:rFonts w:ascii="Cambria" w:hAnsi="Cambria"/>
          <w:sz w:val="24"/>
          <w:szCs w:val="24"/>
        </w:rPr>
      </w:pPr>
      <w:r w:rsidRPr="009678F0">
        <w:rPr>
          <w:rFonts w:ascii="Cambria" w:hAnsi="Cambria"/>
          <w:sz w:val="24"/>
          <w:szCs w:val="24"/>
        </w:rPr>
        <w:t xml:space="preserve">Lo anterior plantea la necesidad de reiterar al sector supervisado lo dispuesto en el Artículo 19 del RIF, </w:t>
      </w:r>
      <w:bookmarkStart w:name="_Hlk81834996" w:id="0"/>
      <w:r w:rsidRPr="009678F0">
        <w:rPr>
          <w:rFonts w:ascii="Cambria" w:hAnsi="Cambria"/>
          <w:sz w:val="24"/>
          <w:szCs w:val="24"/>
        </w:rPr>
        <w:t>con el fin de evitar que en lo sucesivo se aplique el devengo de intereses por más de 180 días</w:t>
      </w:r>
      <w:bookmarkEnd w:id="0"/>
      <w:r w:rsidRPr="009678F0">
        <w:rPr>
          <w:rFonts w:ascii="Cambria" w:hAnsi="Cambria"/>
          <w:sz w:val="24"/>
          <w:szCs w:val="24"/>
        </w:rPr>
        <w:t>. La suspensión del devengo de intereses más allá de 180 días responde al interés prudencial de preservar la integralidad del patrimonio, evitando que decisiones de pago de dividendos, excedentes u otros beneficios de similar naturaleza, así como la distribución de bonos, incentivos u otro tipo de compensación a los funcionarios o empleados de la entidad, vayan en menoscabo de dicho patrimonio. De manera alternativa, dadas las implicaciones operativas de aplicar la suspensión del devengo de intereses directamente desde los sistemas informáticos de cada entidad, se admite que los efectos en los resultados del ejercicio sean corregidos mediante el registro al cierre de cada mes, de un monto de estimaciones equivalente al 100% de los productos devengados a más de 180 días en el respectivo mes.</w:t>
      </w:r>
    </w:p>
    <w:p w:rsidRPr="009678F0" w:rsidR="009678F0" w:rsidP="009678F0" w:rsidRDefault="009678F0" w14:paraId="6796CDD4" w14:textId="77777777">
      <w:pPr>
        <w:spacing w:line="240" w:lineRule="auto"/>
        <w:rPr>
          <w:b/>
          <w:bCs/>
          <w:sz w:val="24"/>
          <w:lang w:val="es-CR"/>
        </w:rPr>
      </w:pPr>
      <w:r w:rsidRPr="009678F0">
        <w:rPr>
          <w:b/>
          <w:bCs/>
          <w:sz w:val="24"/>
          <w:lang w:val="es-CR"/>
        </w:rPr>
        <w:t xml:space="preserve">Dispone: </w:t>
      </w:r>
    </w:p>
    <w:p w:rsidRPr="009678F0" w:rsidR="009678F0" w:rsidP="009678F0" w:rsidRDefault="009678F0" w14:paraId="1F63275E" w14:textId="77777777">
      <w:pPr>
        <w:spacing w:line="240" w:lineRule="auto"/>
        <w:rPr>
          <w:sz w:val="24"/>
          <w:lang w:val="es-CR"/>
        </w:rPr>
      </w:pPr>
    </w:p>
    <w:p w:rsidRPr="009678F0" w:rsidR="009678F0" w:rsidP="009678F0" w:rsidRDefault="009678F0" w14:paraId="39EA0376" w14:textId="77777777">
      <w:pPr>
        <w:pStyle w:val="Prrafodelista"/>
        <w:numPr>
          <w:ilvl w:val="0"/>
          <w:numId w:val="26"/>
        </w:numPr>
        <w:spacing w:before="120" w:after="120" w:line="240" w:lineRule="auto"/>
        <w:ind w:left="426" w:hanging="426"/>
        <w:contextualSpacing w:val="0"/>
        <w:jc w:val="both"/>
        <w:rPr>
          <w:rFonts w:ascii="Cambria" w:hAnsi="Cambria"/>
          <w:sz w:val="24"/>
          <w:szCs w:val="24"/>
        </w:rPr>
      </w:pPr>
      <w:r w:rsidRPr="009678F0">
        <w:rPr>
          <w:rFonts w:ascii="Cambria" w:hAnsi="Cambria"/>
          <w:sz w:val="24"/>
          <w:szCs w:val="24"/>
        </w:rPr>
        <w:t xml:space="preserve">Reiterar lo dispuesto en el Artículo 19 del “Reglamento de Información Financiera”, Acuerdo SUGEF 30-18, de manera que a partir del </w:t>
      </w:r>
      <w:r w:rsidRPr="009678F0">
        <w:rPr>
          <w:rFonts w:ascii="Cambria" w:hAnsi="Cambria"/>
          <w:b/>
          <w:bCs/>
          <w:sz w:val="24"/>
          <w:szCs w:val="24"/>
        </w:rPr>
        <w:t>primero de noviembre de 2021</w:t>
      </w:r>
      <w:r w:rsidRPr="009678F0">
        <w:rPr>
          <w:rFonts w:ascii="Cambria" w:hAnsi="Cambria"/>
          <w:sz w:val="24"/>
          <w:szCs w:val="24"/>
        </w:rPr>
        <w:t xml:space="preserve"> inclusive, se suspenda el registro contable como ingresos de la entidad, del devengo de intereses por más de 180 días. Alternativamente, </w:t>
      </w:r>
      <w:r w:rsidRPr="009678F0">
        <w:rPr>
          <w:rFonts w:ascii="Cambria" w:hAnsi="Cambria"/>
          <w:sz w:val="24"/>
          <w:szCs w:val="24"/>
        </w:rPr>
        <w:lastRenderedPageBreak/>
        <w:t>para el mes de noviembre de 2021 y los meses subsiguientes, se admitirá que la entidad efectúe la corrección de este efecto en los resultados del ejercicio,</w:t>
      </w:r>
      <w:r w:rsidRPr="009678F0">
        <w:rPr>
          <w:rFonts w:ascii="Cambria" w:hAnsi="Cambria"/>
          <w:sz w:val="24"/>
          <w:szCs w:val="24"/>
          <w:lang w:val="es-ES"/>
        </w:rPr>
        <w:t xml:space="preserve"> mediante el registro al cierre de cada mes, de un monto de estimaciones equivalente al 100% de los productos devengados a más de 180 días en el respectivo mes. A más tardar al 30 de noviembre de 2021 cada entidad supervisada informará a la Superintendencia su cronograma para la aplicación de la suspensión del devengo desde sus sistemas informáticos.</w:t>
      </w:r>
    </w:p>
    <w:p w:rsidRPr="009678F0" w:rsidR="009678F0" w:rsidP="009678F0" w:rsidRDefault="009678F0" w14:paraId="61939630" w14:textId="77777777">
      <w:pPr>
        <w:pStyle w:val="Prrafodelista"/>
        <w:numPr>
          <w:ilvl w:val="0"/>
          <w:numId w:val="26"/>
        </w:numPr>
        <w:spacing w:before="120" w:after="120" w:line="240" w:lineRule="auto"/>
        <w:ind w:left="426" w:hanging="426"/>
        <w:contextualSpacing w:val="0"/>
        <w:jc w:val="both"/>
        <w:rPr>
          <w:rFonts w:ascii="Cambria" w:hAnsi="Cambria"/>
          <w:sz w:val="24"/>
          <w:szCs w:val="24"/>
        </w:rPr>
      </w:pPr>
      <w:proofErr w:type="gramStart"/>
      <w:r w:rsidRPr="009678F0">
        <w:rPr>
          <w:rFonts w:ascii="Cambria" w:hAnsi="Cambria"/>
          <w:sz w:val="24"/>
          <w:szCs w:val="24"/>
        </w:rPr>
        <w:t>Aclarar</w:t>
      </w:r>
      <w:proofErr w:type="gramEnd"/>
      <w:r w:rsidRPr="009678F0">
        <w:rPr>
          <w:rFonts w:ascii="Cambria" w:hAnsi="Cambria"/>
          <w:sz w:val="24"/>
          <w:szCs w:val="24"/>
        </w:rPr>
        <w:t xml:space="preserve"> que el registro de intereses en la Cuenta 138 “PRODUCTOS POR COBRAR ASOCIADOS A CARTERA DE CRÉDITOS” debe ser congruente con lo establecido en el Artículo 19 del Reglamento de Información Financiera”, Acuerdo SUGEF 30-18. En este sentido, en dicha cuenta contable deben registrarse los intereses hasta los 180 días de devengo. Los intereses devengados por más de 180 días se registran en la cuenta 816 “PRODUCTOS POR COBRAR EN SUSPENSO”, y se contabilizarán como ingreso cuando sean percibidos.</w:t>
      </w:r>
    </w:p>
    <w:p w:rsidRPr="009678F0" w:rsidR="009678F0" w:rsidP="009678F0" w:rsidRDefault="009678F0" w14:paraId="75F5A4D9" w14:textId="3830F9A5">
      <w:pPr>
        <w:pStyle w:val="Prrafodelista"/>
        <w:numPr>
          <w:ilvl w:val="0"/>
          <w:numId w:val="26"/>
        </w:numPr>
        <w:spacing w:before="120" w:after="120" w:line="240" w:lineRule="auto"/>
        <w:ind w:left="426" w:hanging="426"/>
        <w:contextualSpacing w:val="0"/>
        <w:jc w:val="both"/>
        <w:rPr>
          <w:rFonts w:ascii="Cambria" w:hAnsi="Cambria"/>
          <w:sz w:val="24"/>
          <w:szCs w:val="24"/>
        </w:rPr>
      </w:pPr>
      <w:r w:rsidRPr="009678F0">
        <w:rPr>
          <w:rFonts w:ascii="Cambria" w:hAnsi="Cambria"/>
          <w:sz w:val="24"/>
          <w:szCs w:val="24"/>
        </w:rPr>
        <w:t>Derogar la Resolución SGF-2</w:t>
      </w:r>
      <w:r w:rsidRPr="009678F0">
        <w:rPr>
          <w:rFonts w:ascii="Cambria" w:hAnsi="Cambria"/>
          <w:sz w:val="24"/>
          <w:szCs w:val="24"/>
        </w:rPr>
        <w:t>8</w:t>
      </w:r>
      <w:r w:rsidRPr="009678F0">
        <w:rPr>
          <w:rFonts w:ascii="Cambria" w:hAnsi="Cambria"/>
          <w:sz w:val="24"/>
          <w:szCs w:val="24"/>
        </w:rPr>
        <w:t>1</w:t>
      </w:r>
      <w:r w:rsidRPr="009678F0">
        <w:rPr>
          <w:rFonts w:ascii="Cambria" w:hAnsi="Cambria"/>
          <w:sz w:val="24"/>
          <w:szCs w:val="24"/>
        </w:rPr>
        <w:t>3</w:t>
      </w:r>
      <w:r w:rsidRPr="009678F0">
        <w:rPr>
          <w:rFonts w:ascii="Cambria" w:hAnsi="Cambria"/>
          <w:sz w:val="24"/>
          <w:szCs w:val="24"/>
        </w:rPr>
        <w:t xml:space="preserve"> del 28 de setiembre del 2021.</w:t>
      </w:r>
    </w:p>
    <w:p w:rsidRPr="009678F0" w:rsidR="002F2C49" w:rsidP="002F2C49" w:rsidRDefault="002F2C49" w14:paraId="7C8A6FE3" w14:textId="77777777">
      <w:pPr>
        <w:spacing w:line="240" w:lineRule="auto"/>
        <w:rPr>
          <w:sz w:val="24"/>
          <w:lang w:val="es-CR"/>
        </w:rPr>
      </w:pPr>
    </w:p>
    <w:p w:rsidRPr="009678F0" w:rsidR="002F2C49" w:rsidP="002F2C49" w:rsidRDefault="002F2C49" w14:paraId="65F3532B" w14:textId="77777777">
      <w:pPr>
        <w:spacing w:line="240" w:lineRule="auto"/>
        <w:contextualSpacing/>
        <w:rPr>
          <w:sz w:val="24"/>
        </w:rPr>
      </w:pPr>
      <w:r w:rsidRPr="009678F0">
        <w:rPr>
          <w:sz w:val="24"/>
        </w:rPr>
        <w:t>Rige a partir de su comunicación.</w:t>
      </w:r>
    </w:p>
    <w:p w:rsidRPr="009678F0" w:rsidR="00894A79" w:rsidP="00894A79" w:rsidRDefault="00894A79" w14:paraId="07D5F451" w14:textId="77777777">
      <w:pPr>
        <w:spacing w:line="240" w:lineRule="auto"/>
        <w:contextualSpacing/>
        <w:rPr>
          <w:sz w:val="24"/>
        </w:rPr>
      </w:pPr>
    </w:p>
    <w:p w:rsidRPr="009678F0" w:rsidR="00251BA2" w:rsidP="00482135" w:rsidRDefault="00251BA2" w14:paraId="612C57B3" w14:textId="69B463CD">
      <w:pPr>
        <w:pStyle w:val="Texto0"/>
        <w:spacing w:before="0" w:after="0" w:line="240" w:lineRule="auto"/>
        <w:contextualSpacing/>
        <w:rPr>
          <w:sz w:val="24"/>
        </w:rPr>
      </w:pPr>
      <w:r w:rsidRPr="009678F0">
        <w:rPr>
          <w:sz w:val="24"/>
        </w:rPr>
        <w:t>Atentamente,</w:t>
      </w:r>
    </w:p>
    <w:p w:rsidRPr="009678F0" w:rsidR="00251BA2" w:rsidP="00482135" w:rsidRDefault="00251BA2" w14:paraId="7D2D4C49" w14:textId="77777777">
      <w:pPr>
        <w:spacing w:line="240" w:lineRule="auto"/>
        <w:contextualSpacing/>
        <w:rPr>
          <w:sz w:val="24"/>
        </w:rPr>
      </w:pPr>
      <w:r w:rsidRPr="009678F0">
        <w:rPr>
          <w:noProof/>
          <w:sz w:val="24"/>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9678F0" w:rsidR="00251BA2" w:rsidP="00482135" w:rsidRDefault="00251BA2" w14:paraId="4DD479B1" w14:textId="77777777">
      <w:pPr>
        <w:spacing w:line="240" w:lineRule="auto"/>
        <w:contextualSpacing/>
        <w:rPr>
          <w:sz w:val="24"/>
        </w:rPr>
      </w:pPr>
    </w:p>
    <w:p w:rsidRPr="009678F0" w:rsidR="00251BA2" w:rsidP="00482135" w:rsidRDefault="00251BA2" w14:paraId="6B4D47CD" w14:textId="77777777">
      <w:pPr>
        <w:spacing w:line="240" w:lineRule="auto"/>
        <w:contextualSpacing/>
        <w:rPr>
          <w:sz w:val="24"/>
        </w:rPr>
      </w:pPr>
    </w:p>
    <w:p w:rsidRPr="009678F0" w:rsidR="0056149B" w:rsidP="00482135" w:rsidRDefault="00F639DE" w14:paraId="4A4063B2" w14:textId="3920C902">
      <w:pPr>
        <w:spacing w:line="240" w:lineRule="auto"/>
        <w:contextualSpacing/>
        <w:rPr>
          <w:sz w:val="24"/>
        </w:rPr>
      </w:pPr>
      <w:r w:rsidRPr="009678F0">
        <w:rPr>
          <w:sz w:val="24"/>
        </w:rPr>
        <w:t>Rocío Aguilar Montoya</w:t>
      </w:r>
    </w:p>
    <w:p w:rsidRPr="009678F0" w:rsidR="00251BA2" w:rsidP="00482135" w:rsidRDefault="00251BA2" w14:paraId="0EC86EC6" w14:textId="2CA6860C">
      <w:pPr>
        <w:spacing w:line="240" w:lineRule="auto"/>
        <w:contextualSpacing/>
        <w:rPr>
          <w:sz w:val="24"/>
        </w:rPr>
      </w:pPr>
      <w:r w:rsidRPr="009678F0">
        <w:rPr>
          <w:b/>
          <w:sz w:val="24"/>
        </w:rPr>
        <w:t>Superintendente</w:t>
      </w:r>
      <w:r w:rsidRPr="009678F0" w:rsidR="00E34E82">
        <w:rPr>
          <w:b/>
          <w:sz w:val="24"/>
        </w:rPr>
        <w:t xml:space="preserve"> General</w:t>
      </w:r>
    </w:p>
    <w:p w:rsidRPr="009678F0" w:rsidR="00251BA2" w:rsidP="00482135" w:rsidRDefault="00251BA2" w14:paraId="3A4E599A" w14:textId="77777777">
      <w:pPr>
        <w:spacing w:line="240" w:lineRule="auto"/>
        <w:contextualSpacing/>
        <w:rPr>
          <w:sz w:val="24"/>
        </w:rPr>
      </w:pPr>
    </w:p>
    <w:p w:rsidRPr="009678F0" w:rsidR="00A26E9E" w:rsidP="007F0078" w:rsidRDefault="005B160F" w14:paraId="31BC3841" w14:textId="4A7B0B01">
      <w:pPr>
        <w:spacing w:before="120" w:after="120" w:line="240" w:lineRule="auto"/>
        <w:contextualSpacing/>
        <w:rPr>
          <w:sz w:val="24"/>
        </w:rPr>
      </w:pPr>
      <w:r w:rsidRPr="009678F0">
        <w:rPr>
          <w:rFonts w:eastAsia="Calibri"/>
          <w:b/>
          <w:bCs/>
          <w:sz w:val="24"/>
          <w:lang w:val="es-CR"/>
        </w:rPr>
        <w:t>J</w:t>
      </w:r>
      <w:r w:rsidRPr="009678F0" w:rsidR="0056149B">
        <w:rPr>
          <w:rFonts w:eastAsia="Calibri"/>
          <w:b/>
          <w:bCs/>
          <w:sz w:val="24"/>
          <w:lang w:val="es-CR"/>
        </w:rPr>
        <w:t>SC/</w:t>
      </w:r>
      <w:proofErr w:type="spellStart"/>
      <w:r w:rsidRPr="009678F0" w:rsidR="00251BA2">
        <w:rPr>
          <w:rFonts w:eastAsia="Calibri"/>
          <w:b/>
          <w:bCs/>
          <w:sz w:val="24"/>
          <w:lang w:val="es-CR"/>
        </w:rPr>
        <w:t>gvl</w:t>
      </w:r>
      <w:proofErr w:type="spellEnd"/>
      <w:r w:rsidRPr="009678F0" w:rsidR="00251BA2">
        <w:rPr>
          <w:rFonts w:eastAsia="Calibri"/>
          <w:b/>
          <w:bCs/>
          <w:sz w:val="24"/>
          <w:lang w:val="es-CR"/>
        </w:rPr>
        <w:t>*</w:t>
      </w:r>
    </w:p>
    <w:sectPr w:rsidRPr="009678F0" w:rsidR="00A26E9E" w:rsidSect="005739A8">
      <w:headerReference w:type="even" r:id="rId14"/>
      <w:headerReference w:type="default" r:id="rId15"/>
      <w:footerReference w:type="even"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CF6A7" w14:textId="77777777" w:rsidR="0024561E" w:rsidRDefault="0024561E" w:rsidP="00D43D57">
      <w:r>
        <w:separator/>
      </w:r>
    </w:p>
  </w:endnote>
  <w:endnote w:type="continuationSeparator" w:id="0">
    <w:p w14:paraId="0177EBE7" w14:textId="77777777" w:rsidR="0024561E" w:rsidRDefault="0024561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293B" w:rsidRDefault="00F5293B" w14:paraId="2D6E421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r>
            <w:t xml:space="preserve">   (506) 2243-4848</w:t>
          </w:r>
        </w:p>
        <w:p w:rsidR="008F1461" w:rsidP="000C62BB" w:rsidRDefault="008F1461" w14:paraId="07F0E6EB"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724311">
            <w:rPr>
              <w:noProof/>
            </w:rPr>
            <w:t>1</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8393A" w14:textId="77777777" w:rsidR="0024561E" w:rsidRDefault="0024561E" w:rsidP="00D43D57">
      <w:r>
        <w:separator/>
      </w:r>
    </w:p>
  </w:footnote>
  <w:footnote w:type="continuationSeparator" w:id="0">
    <w:p w14:paraId="47887835" w14:textId="77777777" w:rsidR="0024561E" w:rsidRDefault="0024561E"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293B" w:rsidRDefault="00F5293B" w14:paraId="44A9D43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7706D"/>
    <w:multiLevelType w:val="hybridMultilevel"/>
    <w:tmpl w:val="6B622AB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30961C71"/>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0000CC3"/>
    <w:multiLevelType w:val="hybridMultilevel"/>
    <w:tmpl w:val="E7C40EFC"/>
    <w:lvl w:ilvl="0" w:tplc="76C29216">
      <w:start w:val="1"/>
      <w:numFmt w:val="upperRoman"/>
      <w:lvlText w:val="%1."/>
      <w:lvlJc w:val="right"/>
      <w:pPr>
        <w:ind w:left="720" w:hanging="360"/>
      </w:pPr>
      <w:rPr>
        <w:rFonts w:ascii="Cambria" w:hAnsi="Cambria"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15:restartNumberingAfterBreak="0">
    <w:nsid w:val="470A0FED"/>
    <w:multiLevelType w:val="hybridMultilevel"/>
    <w:tmpl w:val="536A9706"/>
    <w:lvl w:ilvl="0" w:tplc="5A8620BE">
      <w:start w:val="1"/>
      <w:numFmt w:val="lowerLetter"/>
      <w:lvlText w:val="%1)"/>
      <w:lvlJc w:val="left"/>
      <w:pPr>
        <w:tabs>
          <w:tab w:val="num" w:pos="720"/>
        </w:tabs>
        <w:ind w:left="720" w:hanging="360"/>
      </w:pPr>
    </w:lvl>
    <w:lvl w:ilvl="1" w:tplc="6AC47604" w:tentative="1">
      <w:start w:val="1"/>
      <w:numFmt w:val="lowerLetter"/>
      <w:lvlText w:val="%2)"/>
      <w:lvlJc w:val="left"/>
      <w:pPr>
        <w:tabs>
          <w:tab w:val="num" w:pos="1440"/>
        </w:tabs>
        <w:ind w:left="1440" w:hanging="360"/>
      </w:pPr>
    </w:lvl>
    <w:lvl w:ilvl="2" w:tplc="D6A87CF4" w:tentative="1">
      <w:start w:val="1"/>
      <w:numFmt w:val="lowerLetter"/>
      <w:lvlText w:val="%3)"/>
      <w:lvlJc w:val="left"/>
      <w:pPr>
        <w:tabs>
          <w:tab w:val="num" w:pos="2160"/>
        </w:tabs>
        <w:ind w:left="2160" w:hanging="360"/>
      </w:pPr>
    </w:lvl>
    <w:lvl w:ilvl="3" w:tplc="42D0A600" w:tentative="1">
      <w:start w:val="1"/>
      <w:numFmt w:val="lowerLetter"/>
      <w:lvlText w:val="%4)"/>
      <w:lvlJc w:val="left"/>
      <w:pPr>
        <w:tabs>
          <w:tab w:val="num" w:pos="2880"/>
        </w:tabs>
        <w:ind w:left="2880" w:hanging="360"/>
      </w:pPr>
    </w:lvl>
    <w:lvl w:ilvl="4" w:tplc="FA10F34C" w:tentative="1">
      <w:start w:val="1"/>
      <w:numFmt w:val="lowerLetter"/>
      <w:lvlText w:val="%5)"/>
      <w:lvlJc w:val="left"/>
      <w:pPr>
        <w:tabs>
          <w:tab w:val="num" w:pos="3600"/>
        </w:tabs>
        <w:ind w:left="3600" w:hanging="360"/>
      </w:pPr>
    </w:lvl>
    <w:lvl w:ilvl="5" w:tplc="58504842" w:tentative="1">
      <w:start w:val="1"/>
      <w:numFmt w:val="lowerLetter"/>
      <w:lvlText w:val="%6)"/>
      <w:lvlJc w:val="left"/>
      <w:pPr>
        <w:tabs>
          <w:tab w:val="num" w:pos="4320"/>
        </w:tabs>
        <w:ind w:left="4320" w:hanging="360"/>
      </w:pPr>
    </w:lvl>
    <w:lvl w:ilvl="6" w:tplc="9DDA328C" w:tentative="1">
      <w:start w:val="1"/>
      <w:numFmt w:val="lowerLetter"/>
      <w:lvlText w:val="%7)"/>
      <w:lvlJc w:val="left"/>
      <w:pPr>
        <w:tabs>
          <w:tab w:val="num" w:pos="5040"/>
        </w:tabs>
        <w:ind w:left="5040" w:hanging="360"/>
      </w:pPr>
    </w:lvl>
    <w:lvl w:ilvl="7" w:tplc="7578ED22" w:tentative="1">
      <w:start w:val="1"/>
      <w:numFmt w:val="lowerLetter"/>
      <w:lvlText w:val="%8)"/>
      <w:lvlJc w:val="left"/>
      <w:pPr>
        <w:tabs>
          <w:tab w:val="num" w:pos="5760"/>
        </w:tabs>
        <w:ind w:left="5760" w:hanging="360"/>
      </w:pPr>
    </w:lvl>
    <w:lvl w:ilvl="8" w:tplc="D0A270D0" w:tentative="1">
      <w:start w:val="1"/>
      <w:numFmt w:val="lowerLetter"/>
      <w:lvlText w:val="%9)"/>
      <w:lvlJc w:val="left"/>
      <w:pPr>
        <w:tabs>
          <w:tab w:val="num" w:pos="6480"/>
        </w:tabs>
        <w:ind w:left="6480" w:hanging="360"/>
      </w:pPr>
    </w:lvl>
  </w:abstractNum>
  <w:abstractNum w:abstractNumId="16" w15:restartNumberingAfterBreak="0">
    <w:nsid w:val="4F827E5E"/>
    <w:multiLevelType w:val="hybridMultilevel"/>
    <w:tmpl w:val="6B622AB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11C6420"/>
    <w:multiLevelType w:val="hybridMultilevel"/>
    <w:tmpl w:val="7DCC59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9" w15:restartNumberingAfterBreak="0">
    <w:nsid w:val="58E5206B"/>
    <w:multiLevelType w:val="hybridMultilevel"/>
    <w:tmpl w:val="3EB29E8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99F6D14"/>
    <w:multiLevelType w:val="hybridMultilevel"/>
    <w:tmpl w:val="217CFB9C"/>
    <w:lvl w:ilvl="0" w:tplc="5D32D958">
      <w:start w:val="1"/>
      <w:numFmt w:val="decimal"/>
      <w:lvlText w:val="%1."/>
      <w:lvlJc w:val="left"/>
      <w:pPr>
        <w:ind w:left="360" w:hanging="360"/>
      </w:pPr>
      <w:rPr>
        <w:i w:val="0"/>
        <w:strike w:val="0"/>
        <w:color w:val="auto"/>
        <w:lang w:val="es-CR"/>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7238E0"/>
    <w:multiLevelType w:val="hybridMultilevel"/>
    <w:tmpl w:val="2BF247C4"/>
    <w:lvl w:ilvl="0" w:tplc="2382789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23" w15:restartNumberingAfterBreak="0">
    <w:nsid w:val="7CCB4ADD"/>
    <w:multiLevelType w:val="hybridMultilevel"/>
    <w:tmpl w:val="FB246016"/>
    <w:lvl w:ilvl="0" w:tplc="DA22ED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15:restartNumberingAfterBreak="0">
    <w:nsid w:val="7F2C0DEB"/>
    <w:multiLevelType w:val="hybridMultilevel"/>
    <w:tmpl w:val="B8AA0570"/>
    <w:lvl w:ilvl="0" w:tplc="B6E877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3"/>
  </w:num>
  <w:num w:numId="18">
    <w:abstractNumId w:val="14"/>
  </w:num>
  <w:num w:numId="19">
    <w:abstractNumId w:val="12"/>
  </w:num>
  <w:num w:numId="20">
    <w:abstractNumId w:val="21"/>
  </w:num>
  <w:num w:numId="21">
    <w:abstractNumId w:val="17"/>
  </w:num>
  <w:num w:numId="22">
    <w:abstractNumId w:val="19"/>
  </w:num>
  <w:num w:numId="23">
    <w:abstractNumId w:val="15"/>
  </w:num>
  <w:num w:numId="24">
    <w:abstractNumId w:val="20"/>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A2"/>
    <w:rsid w:val="000064A4"/>
    <w:rsid w:val="000235B5"/>
    <w:rsid w:val="00026C85"/>
    <w:rsid w:val="00041BDD"/>
    <w:rsid w:val="000439A6"/>
    <w:rsid w:val="00046426"/>
    <w:rsid w:val="00060C03"/>
    <w:rsid w:val="000646DD"/>
    <w:rsid w:val="00067D6D"/>
    <w:rsid w:val="000728EA"/>
    <w:rsid w:val="0008092A"/>
    <w:rsid w:val="00081865"/>
    <w:rsid w:val="00082968"/>
    <w:rsid w:val="00086804"/>
    <w:rsid w:val="00093C37"/>
    <w:rsid w:val="000B3CF7"/>
    <w:rsid w:val="000C20E9"/>
    <w:rsid w:val="000C2932"/>
    <w:rsid w:val="000C4E7F"/>
    <w:rsid w:val="000C62BB"/>
    <w:rsid w:val="000D18B9"/>
    <w:rsid w:val="000D7C47"/>
    <w:rsid w:val="000E0AC6"/>
    <w:rsid w:val="000F34AE"/>
    <w:rsid w:val="001052E8"/>
    <w:rsid w:val="00117501"/>
    <w:rsid w:val="001248F1"/>
    <w:rsid w:val="001322B4"/>
    <w:rsid w:val="001327EB"/>
    <w:rsid w:val="001343DE"/>
    <w:rsid w:val="00134F64"/>
    <w:rsid w:val="001425DC"/>
    <w:rsid w:val="00153356"/>
    <w:rsid w:val="0016220C"/>
    <w:rsid w:val="001653C6"/>
    <w:rsid w:val="00170FA2"/>
    <w:rsid w:val="00172B8C"/>
    <w:rsid w:val="001946F4"/>
    <w:rsid w:val="001A311A"/>
    <w:rsid w:val="001A6574"/>
    <w:rsid w:val="001B4D6A"/>
    <w:rsid w:val="001B5593"/>
    <w:rsid w:val="001C075B"/>
    <w:rsid w:val="001C27FB"/>
    <w:rsid w:val="001C5806"/>
    <w:rsid w:val="001E0448"/>
    <w:rsid w:val="00212B7C"/>
    <w:rsid w:val="00220C1C"/>
    <w:rsid w:val="00230C67"/>
    <w:rsid w:val="00234BEA"/>
    <w:rsid w:val="0024561E"/>
    <w:rsid w:val="00251BA2"/>
    <w:rsid w:val="002577CD"/>
    <w:rsid w:val="002645B7"/>
    <w:rsid w:val="002670B9"/>
    <w:rsid w:val="00291E3E"/>
    <w:rsid w:val="002A14D5"/>
    <w:rsid w:val="002C56A4"/>
    <w:rsid w:val="002C57C2"/>
    <w:rsid w:val="002E2B0A"/>
    <w:rsid w:val="002E3589"/>
    <w:rsid w:val="002E56D1"/>
    <w:rsid w:val="002E571B"/>
    <w:rsid w:val="002F08D5"/>
    <w:rsid w:val="002F2C49"/>
    <w:rsid w:val="003009F0"/>
    <w:rsid w:val="003060E2"/>
    <w:rsid w:val="00310570"/>
    <w:rsid w:val="00317BBB"/>
    <w:rsid w:val="00322A87"/>
    <w:rsid w:val="003267FB"/>
    <w:rsid w:val="003312B8"/>
    <w:rsid w:val="00336111"/>
    <w:rsid w:val="003503A2"/>
    <w:rsid w:val="003554C5"/>
    <w:rsid w:val="00365794"/>
    <w:rsid w:val="00373B22"/>
    <w:rsid w:val="00385CC2"/>
    <w:rsid w:val="00392BC1"/>
    <w:rsid w:val="003C4C71"/>
    <w:rsid w:val="003E24D5"/>
    <w:rsid w:val="003E4EDB"/>
    <w:rsid w:val="003E72FD"/>
    <w:rsid w:val="003F5B38"/>
    <w:rsid w:val="003F6025"/>
    <w:rsid w:val="00410551"/>
    <w:rsid w:val="00414B77"/>
    <w:rsid w:val="0042119B"/>
    <w:rsid w:val="00427002"/>
    <w:rsid w:val="004353F2"/>
    <w:rsid w:val="00445881"/>
    <w:rsid w:val="00447A41"/>
    <w:rsid w:val="00460345"/>
    <w:rsid w:val="00482135"/>
    <w:rsid w:val="004822E6"/>
    <w:rsid w:val="00492FE3"/>
    <w:rsid w:val="004A78CC"/>
    <w:rsid w:val="004B5F88"/>
    <w:rsid w:val="004C7711"/>
    <w:rsid w:val="004D7F44"/>
    <w:rsid w:val="004F74E7"/>
    <w:rsid w:val="005105C4"/>
    <w:rsid w:val="0053623F"/>
    <w:rsid w:val="005439EA"/>
    <w:rsid w:val="00550D78"/>
    <w:rsid w:val="00557369"/>
    <w:rsid w:val="0056149B"/>
    <w:rsid w:val="005706D1"/>
    <w:rsid w:val="005739A8"/>
    <w:rsid w:val="005751FC"/>
    <w:rsid w:val="00577A95"/>
    <w:rsid w:val="005852CF"/>
    <w:rsid w:val="00590F07"/>
    <w:rsid w:val="00592968"/>
    <w:rsid w:val="0059392E"/>
    <w:rsid w:val="005B160F"/>
    <w:rsid w:val="005B3656"/>
    <w:rsid w:val="005B448F"/>
    <w:rsid w:val="005C173B"/>
    <w:rsid w:val="005D5973"/>
    <w:rsid w:val="005D76C3"/>
    <w:rsid w:val="005E07F2"/>
    <w:rsid w:val="005E39BB"/>
    <w:rsid w:val="005E6E11"/>
    <w:rsid w:val="006033C4"/>
    <w:rsid w:val="00603B3F"/>
    <w:rsid w:val="00604A3D"/>
    <w:rsid w:val="0060703F"/>
    <w:rsid w:val="00614D68"/>
    <w:rsid w:val="00620B23"/>
    <w:rsid w:val="00623B8F"/>
    <w:rsid w:val="0062633F"/>
    <w:rsid w:val="00630B5C"/>
    <w:rsid w:val="00635AC4"/>
    <w:rsid w:val="00640202"/>
    <w:rsid w:val="00641B27"/>
    <w:rsid w:val="00662901"/>
    <w:rsid w:val="00674A3A"/>
    <w:rsid w:val="00681F7A"/>
    <w:rsid w:val="0068612F"/>
    <w:rsid w:val="00692661"/>
    <w:rsid w:val="00695B1A"/>
    <w:rsid w:val="00696B83"/>
    <w:rsid w:val="006A6899"/>
    <w:rsid w:val="006C2059"/>
    <w:rsid w:val="006E30B1"/>
    <w:rsid w:val="006E3610"/>
    <w:rsid w:val="006E36EA"/>
    <w:rsid w:val="006E6DE5"/>
    <w:rsid w:val="006E6F58"/>
    <w:rsid w:val="0071134B"/>
    <w:rsid w:val="00714DC4"/>
    <w:rsid w:val="00715376"/>
    <w:rsid w:val="00724311"/>
    <w:rsid w:val="00726D7F"/>
    <w:rsid w:val="00742018"/>
    <w:rsid w:val="0074397B"/>
    <w:rsid w:val="007455FF"/>
    <w:rsid w:val="00755896"/>
    <w:rsid w:val="00756D7B"/>
    <w:rsid w:val="00765619"/>
    <w:rsid w:val="00765A21"/>
    <w:rsid w:val="00766625"/>
    <w:rsid w:val="007726CC"/>
    <w:rsid w:val="007736D4"/>
    <w:rsid w:val="007815A6"/>
    <w:rsid w:val="00793FEA"/>
    <w:rsid w:val="0079518D"/>
    <w:rsid w:val="007A743B"/>
    <w:rsid w:val="007B18D6"/>
    <w:rsid w:val="007B51DD"/>
    <w:rsid w:val="007B5B03"/>
    <w:rsid w:val="007C0CC9"/>
    <w:rsid w:val="007D1328"/>
    <w:rsid w:val="007E41BD"/>
    <w:rsid w:val="007F0078"/>
    <w:rsid w:val="007F1723"/>
    <w:rsid w:val="007F1E6F"/>
    <w:rsid w:val="007F327D"/>
    <w:rsid w:val="007F3A44"/>
    <w:rsid w:val="007F5430"/>
    <w:rsid w:val="007F7B1E"/>
    <w:rsid w:val="0081409F"/>
    <w:rsid w:val="008202A0"/>
    <w:rsid w:val="00821711"/>
    <w:rsid w:val="0082353A"/>
    <w:rsid w:val="00827170"/>
    <w:rsid w:val="008310AB"/>
    <w:rsid w:val="00832753"/>
    <w:rsid w:val="00842773"/>
    <w:rsid w:val="008529FD"/>
    <w:rsid w:val="0085692C"/>
    <w:rsid w:val="00864362"/>
    <w:rsid w:val="00887400"/>
    <w:rsid w:val="00892042"/>
    <w:rsid w:val="00892708"/>
    <w:rsid w:val="00893B0D"/>
    <w:rsid w:val="00894A79"/>
    <w:rsid w:val="00895097"/>
    <w:rsid w:val="008A1AA2"/>
    <w:rsid w:val="008A63B7"/>
    <w:rsid w:val="008A7E01"/>
    <w:rsid w:val="008B3838"/>
    <w:rsid w:val="008C0BF0"/>
    <w:rsid w:val="008D0528"/>
    <w:rsid w:val="008E5850"/>
    <w:rsid w:val="008F01AF"/>
    <w:rsid w:val="008F1461"/>
    <w:rsid w:val="008F33F5"/>
    <w:rsid w:val="00904CBE"/>
    <w:rsid w:val="00906CC5"/>
    <w:rsid w:val="00911645"/>
    <w:rsid w:val="00930D01"/>
    <w:rsid w:val="00936085"/>
    <w:rsid w:val="009475B6"/>
    <w:rsid w:val="009578D4"/>
    <w:rsid w:val="00960893"/>
    <w:rsid w:val="00962265"/>
    <w:rsid w:val="009678F0"/>
    <w:rsid w:val="0097235C"/>
    <w:rsid w:val="00977CEE"/>
    <w:rsid w:val="00982147"/>
    <w:rsid w:val="00983CB1"/>
    <w:rsid w:val="00984A65"/>
    <w:rsid w:val="009908DE"/>
    <w:rsid w:val="00995FD5"/>
    <w:rsid w:val="009B5E5E"/>
    <w:rsid w:val="009C47FE"/>
    <w:rsid w:val="009E79C1"/>
    <w:rsid w:val="009F54CB"/>
    <w:rsid w:val="00A11D68"/>
    <w:rsid w:val="00A23019"/>
    <w:rsid w:val="00A26E9E"/>
    <w:rsid w:val="00A34523"/>
    <w:rsid w:val="00A4334A"/>
    <w:rsid w:val="00A76A2E"/>
    <w:rsid w:val="00A84CDB"/>
    <w:rsid w:val="00A906DD"/>
    <w:rsid w:val="00A95C52"/>
    <w:rsid w:val="00AC2066"/>
    <w:rsid w:val="00AC5138"/>
    <w:rsid w:val="00AC5E12"/>
    <w:rsid w:val="00AD1E09"/>
    <w:rsid w:val="00AD72C4"/>
    <w:rsid w:val="00AD7B1E"/>
    <w:rsid w:val="00AE1A5C"/>
    <w:rsid w:val="00AE326C"/>
    <w:rsid w:val="00AE3929"/>
    <w:rsid w:val="00AE6001"/>
    <w:rsid w:val="00AF256E"/>
    <w:rsid w:val="00AF45B7"/>
    <w:rsid w:val="00B079EC"/>
    <w:rsid w:val="00B1318C"/>
    <w:rsid w:val="00B34216"/>
    <w:rsid w:val="00B43C40"/>
    <w:rsid w:val="00B45F56"/>
    <w:rsid w:val="00B464F6"/>
    <w:rsid w:val="00B51077"/>
    <w:rsid w:val="00B71860"/>
    <w:rsid w:val="00B77CF0"/>
    <w:rsid w:val="00B80284"/>
    <w:rsid w:val="00B820CD"/>
    <w:rsid w:val="00B84E87"/>
    <w:rsid w:val="00B90216"/>
    <w:rsid w:val="00B94DE2"/>
    <w:rsid w:val="00BA112E"/>
    <w:rsid w:val="00BA711C"/>
    <w:rsid w:val="00BB0F2F"/>
    <w:rsid w:val="00BB470C"/>
    <w:rsid w:val="00BC03D6"/>
    <w:rsid w:val="00BD71E9"/>
    <w:rsid w:val="00BE119A"/>
    <w:rsid w:val="00BE6A0B"/>
    <w:rsid w:val="00BE7B10"/>
    <w:rsid w:val="00BF3029"/>
    <w:rsid w:val="00C039CE"/>
    <w:rsid w:val="00C1795E"/>
    <w:rsid w:val="00C20F90"/>
    <w:rsid w:val="00C22C6C"/>
    <w:rsid w:val="00C40C45"/>
    <w:rsid w:val="00C414C9"/>
    <w:rsid w:val="00C42047"/>
    <w:rsid w:val="00C5093E"/>
    <w:rsid w:val="00C60480"/>
    <w:rsid w:val="00C64425"/>
    <w:rsid w:val="00C722B5"/>
    <w:rsid w:val="00C809BA"/>
    <w:rsid w:val="00C81EBC"/>
    <w:rsid w:val="00C928C7"/>
    <w:rsid w:val="00C9305E"/>
    <w:rsid w:val="00CA3FA8"/>
    <w:rsid w:val="00CA4FE0"/>
    <w:rsid w:val="00CB07CA"/>
    <w:rsid w:val="00CC03EB"/>
    <w:rsid w:val="00CD60C9"/>
    <w:rsid w:val="00D03728"/>
    <w:rsid w:val="00D06E99"/>
    <w:rsid w:val="00D102F8"/>
    <w:rsid w:val="00D10AD8"/>
    <w:rsid w:val="00D2424F"/>
    <w:rsid w:val="00D26EDE"/>
    <w:rsid w:val="00D32808"/>
    <w:rsid w:val="00D41118"/>
    <w:rsid w:val="00D43D57"/>
    <w:rsid w:val="00D44331"/>
    <w:rsid w:val="00D44EF3"/>
    <w:rsid w:val="00D45FC0"/>
    <w:rsid w:val="00D54C08"/>
    <w:rsid w:val="00D55151"/>
    <w:rsid w:val="00D55CA3"/>
    <w:rsid w:val="00D7237D"/>
    <w:rsid w:val="00D807DC"/>
    <w:rsid w:val="00D96D0A"/>
    <w:rsid w:val="00DA0158"/>
    <w:rsid w:val="00DB3508"/>
    <w:rsid w:val="00DB3E70"/>
    <w:rsid w:val="00DB7D64"/>
    <w:rsid w:val="00DC2193"/>
    <w:rsid w:val="00DC3B8E"/>
    <w:rsid w:val="00DE08C6"/>
    <w:rsid w:val="00DF2FE4"/>
    <w:rsid w:val="00E0013C"/>
    <w:rsid w:val="00E11252"/>
    <w:rsid w:val="00E13C47"/>
    <w:rsid w:val="00E34E82"/>
    <w:rsid w:val="00E5185D"/>
    <w:rsid w:val="00E676F4"/>
    <w:rsid w:val="00E75AC8"/>
    <w:rsid w:val="00E82177"/>
    <w:rsid w:val="00E85D8D"/>
    <w:rsid w:val="00EA013A"/>
    <w:rsid w:val="00EB4E27"/>
    <w:rsid w:val="00EB71D8"/>
    <w:rsid w:val="00EC2E48"/>
    <w:rsid w:val="00ED0FDD"/>
    <w:rsid w:val="00EE00D4"/>
    <w:rsid w:val="00EE3A47"/>
    <w:rsid w:val="00EE761B"/>
    <w:rsid w:val="00EF0C8B"/>
    <w:rsid w:val="00F025B3"/>
    <w:rsid w:val="00F037C1"/>
    <w:rsid w:val="00F10AFE"/>
    <w:rsid w:val="00F1102D"/>
    <w:rsid w:val="00F1297C"/>
    <w:rsid w:val="00F12A97"/>
    <w:rsid w:val="00F33277"/>
    <w:rsid w:val="00F438BD"/>
    <w:rsid w:val="00F50E5F"/>
    <w:rsid w:val="00F5293B"/>
    <w:rsid w:val="00F6038D"/>
    <w:rsid w:val="00F6197C"/>
    <w:rsid w:val="00F639DE"/>
    <w:rsid w:val="00F654F5"/>
    <w:rsid w:val="00F731A3"/>
    <w:rsid w:val="00F73412"/>
    <w:rsid w:val="00F8514F"/>
    <w:rsid w:val="00F8680D"/>
    <w:rsid w:val="00F945BC"/>
    <w:rsid w:val="00FA06A7"/>
    <w:rsid w:val="00FA1E58"/>
    <w:rsid w:val="00FA54DF"/>
    <w:rsid w:val="00FB2752"/>
    <w:rsid w:val="00FB79EB"/>
    <w:rsid w:val="00FC374C"/>
    <w:rsid w:val="00FD5ED8"/>
    <w:rsid w:val="00FE1A1B"/>
    <w:rsid w:val="00FE41AC"/>
    <w:rsid w:val="00FE44E2"/>
    <w:rsid w:val="00FF6756"/>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251BA2"/>
    <w:rPr>
      <w:rFonts w:ascii="Calibri" w:hAnsi="Calibri" w:cs="Calibri"/>
      <w:sz w:val="22"/>
      <w:szCs w:val="22"/>
      <w:lang w:eastAsia="en-U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Tablaconcuadrcu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 w:type="table" w:styleId="Tablaconcuadrcula4-nfasis6">
    <w:name w:val="Grid Table 4 Accent 6"/>
    <w:basedOn w:val="Tablanormal"/>
    <w:uiPriority w:val="49"/>
    <w:rsid w:val="00894A79"/>
    <w:tblPr>
      <w:tblStyleRowBandSize w:val="1"/>
      <w:tblStyleColBandSize w:val="1"/>
      <w:tblBorders>
        <w:top w:val="single" w:sz="4" w:space="0" w:color="BFD1E7" w:themeColor="accent6" w:themeTint="99"/>
        <w:left w:val="single" w:sz="4" w:space="0" w:color="BFD1E7" w:themeColor="accent6" w:themeTint="99"/>
        <w:bottom w:val="single" w:sz="4" w:space="0" w:color="BFD1E7" w:themeColor="accent6" w:themeTint="99"/>
        <w:right w:val="single" w:sz="4" w:space="0" w:color="BFD1E7" w:themeColor="accent6" w:themeTint="99"/>
        <w:insideH w:val="single" w:sz="4" w:space="0" w:color="BFD1E7" w:themeColor="accent6" w:themeTint="99"/>
        <w:insideV w:val="single" w:sz="4" w:space="0" w:color="BFD1E7" w:themeColor="accent6" w:themeTint="99"/>
      </w:tblBorders>
    </w:tblPr>
    <w:tblStylePr w:type="firstRow">
      <w:rPr>
        <w:b/>
        <w:bCs/>
        <w:color w:val="000000" w:themeColor="background1"/>
      </w:rPr>
      <w:tblPr/>
      <w:tcPr>
        <w:tcBorders>
          <w:top w:val="single" w:sz="4" w:space="0" w:color="95B3D7" w:themeColor="accent6"/>
          <w:left w:val="single" w:sz="4" w:space="0" w:color="95B3D7" w:themeColor="accent6"/>
          <w:bottom w:val="single" w:sz="4" w:space="0" w:color="95B3D7" w:themeColor="accent6"/>
          <w:right w:val="single" w:sz="4" w:space="0" w:color="95B3D7" w:themeColor="accent6"/>
          <w:insideH w:val="nil"/>
          <w:insideV w:val="nil"/>
        </w:tcBorders>
        <w:shd w:val="clear" w:color="auto" w:fill="95B3D7" w:themeFill="accent6"/>
      </w:tcPr>
    </w:tblStylePr>
    <w:tblStylePr w:type="lastRow">
      <w:rPr>
        <w:b/>
        <w:bCs/>
      </w:rPr>
      <w:tblPr/>
      <w:tcPr>
        <w:tcBorders>
          <w:top w:val="double" w:sz="4" w:space="0" w:color="95B3D7" w:themeColor="accent6"/>
        </w:tcBorders>
      </w:tcPr>
    </w:tblStylePr>
    <w:tblStylePr w:type="firstCol">
      <w:rPr>
        <w:b/>
        <w:bCs/>
      </w:rPr>
    </w:tblStylePr>
    <w:tblStylePr w:type="lastCol">
      <w:rPr>
        <w:b/>
        <w:bCs/>
      </w:rPr>
    </w:tblStylePr>
    <w:tblStylePr w:type="band1Vert">
      <w:tblPr/>
      <w:tcPr>
        <w:shd w:val="clear" w:color="auto" w:fill="E9EFF7" w:themeFill="accent6" w:themeFillTint="33"/>
      </w:tcPr>
    </w:tblStylePr>
    <w:tblStylePr w:type="band1Horz">
      <w:tblPr/>
      <w:tcPr>
        <w:shd w:val="clear" w:color="auto" w:fill="E9EFF7"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975226">
      <w:bodyDiv w:val="1"/>
      <w:marLeft w:val="0"/>
      <w:marRight w:val="0"/>
      <w:marTop w:val="0"/>
      <w:marBottom w:val="0"/>
      <w:divBdr>
        <w:top w:val="none" w:sz="0" w:space="0" w:color="auto"/>
        <w:left w:val="none" w:sz="0" w:space="0" w:color="auto"/>
        <w:bottom w:val="none" w:sz="0" w:space="0" w:color="auto"/>
        <w:right w:val="none" w:sz="0" w:space="0" w:color="auto"/>
      </w:divBdr>
      <w:divsChild>
        <w:div w:id="957374224">
          <w:marLeft w:val="547"/>
          <w:marRight w:val="0"/>
          <w:marTop w:val="0"/>
          <w:marBottom w:val="0"/>
          <w:divBdr>
            <w:top w:val="none" w:sz="0" w:space="0" w:color="auto"/>
            <w:left w:val="none" w:sz="0" w:space="0" w:color="auto"/>
            <w:bottom w:val="none" w:sz="0" w:space="0" w:color="auto"/>
            <w:right w:val="none" w:sz="0" w:space="0" w:color="auto"/>
          </w:divBdr>
        </w:div>
      </w:divsChild>
    </w:div>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AF"/>
    <w:rsid w:val="000B4FAF"/>
    <w:rsid w:val="000C3C4A"/>
    <w:rsid w:val="005C01CC"/>
    <w:rsid w:val="00B93B4F"/>
    <w:rsid w:val="00BD3BEA"/>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5B6hXC/PA0od97OtJd0/s6/soKpKzVsrP8S79YKwbgQ=</DigestValue>
    </Reference>
    <Reference Type="http://www.w3.org/2000/09/xmldsig#Object" URI="#idOfficeObject">
      <DigestMethod Algorithm="http://www.w3.org/2001/04/xmlenc#sha256"/>
      <DigestValue>0ZPXYZXacVSpqZ7KOuuDjLUGb36RaqAJqZV6Y1pDrgE=</DigestValue>
    </Reference>
    <Reference Type="http://uri.etsi.org/01903#SignedProperties" URI="#idSignedProperties">
      <Transforms>
        <Transform Algorithm="http://www.w3.org/TR/2001/REC-xml-c14n-20010315"/>
      </Transforms>
      <DigestMethod Algorithm="http://www.w3.org/2001/04/xmlenc#sha256"/>
      <DigestValue>oT/p8U/g8B56SPrJzYWxSj7xA+61fgs7LeHgOhFpEW8=</DigestValue>
    </Reference>
  </SignedInfo>
  <SignatureValue>OQruCfsXeW9sNdRK4kOLPKtJBXNx7UIuuBn4gQitFjhBpkOOluhfFd2RkFPIprM0RtUvpxWp9D7B
ejYkECuf54++uViZ+9fEkWR5khSZRMyxrtgW43FYy+uPm7CRYUA5WzQ5FYvUDYL2wYncKAJXgbP1
oUbEK4Huu+Z55ED88QLbzoLX0ChUvyPxfOt26bAb4kYnjswxjsMJKcUP4ytDs/5bJX8HESGccHuL
koE+EcIsRyGiqEAm3N6wtFVQdJypNdS06+AdddtXo9xfR2GZqGYxfuDCedr0V7iTIe2Y6TuPBuDy
cwSpUZ2j9SURsy7OP9oY5FJY+fav/6b9UyV5pA==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W6wESlsWD4FQQV448X1JWKZrK+C0TDkY58MfU2vBm0Y=</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F0C3Z8J7ASkLVk8vmLljhLSd6dp8+zrJHf4YRhxvFS8=</DigestValue>
      </Reference>
      <Reference URI="/word/endnotes.xml?ContentType=application/vnd.openxmlformats-officedocument.wordprocessingml.endnotes+xml">
        <DigestMethod Algorithm="http://www.w3.org/2001/04/xmlenc#sha256"/>
        <DigestValue>jZ9AEV9n9fH+UJ6IlFmOXtaxmhZcVPorTW5nezAsFEs=</DigestValue>
      </Reference>
      <Reference URI="/word/fontTable.xml?ContentType=application/vnd.openxmlformats-officedocument.wordprocessingml.fontTable+xml">
        <DigestMethod Algorithm="http://www.w3.org/2001/04/xmlenc#sha256"/>
        <DigestValue>83WHwuNzmiuSbt4FzhZdzfBZ7Xss/69t5HlNrOT4UeQ=</DigestValue>
      </Reference>
      <Reference URI="/word/footer1.xml?ContentType=application/vnd.openxmlformats-officedocument.wordprocessingml.footer+xml">
        <DigestMethod Algorithm="http://www.w3.org/2001/04/xmlenc#sha256"/>
        <DigestValue>3/nYLridAGA5udhOLkwbdBdyaHG4c7Zb+My86C1V0lY=</DigestValue>
      </Reference>
      <Reference URI="/word/footer2.xml?ContentType=application/vnd.openxmlformats-officedocument.wordprocessingml.footer+xml">
        <DigestMethod Algorithm="http://www.w3.org/2001/04/xmlenc#sha256"/>
        <DigestValue>bQKepJTYN5R/IhG773AT2704XdAVm6HjzsLHlZ9/UW8=</DigestValue>
      </Reference>
      <Reference URI="/word/footer3.xml?ContentType=application/vnd.openxmlformats-officedocument.wordprocessingml.footer+xml">
        <DigestMethod Algorithm="http://www.w3.org/2001/04/xmlenc#sha256"/>
        <DigestValue>9otTiA4rYnTRFqNSf7qQ8WWE4iINy/yrXP/gAbziMhk=</DigestValue>
      </Reference>
      <Reference URI="/word/footnotes.xml?ContentType=application/vnd.openxmlformats-officedocument.wordprocessingml.footnotes+xml">
        <DigestMethod Algorithm="http://www.w3.org/2001/04/xmlenc#sha256"/>
        <DigestValue>QeQhheyrF5nr/f3ZbLT9uEMGQBoBKmH5e1YnH4CQl4c=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MN/6EmJz6u9IAWCP0U0pQHhZxR4TSpr570HPuzVITUk=</DigestValue>
      </Reference>
      <Reference URI="/word/glossary/fontTable.xml?ContentType=application/vnd.openxmlformats-officedocument.wordprocessingml.fontTable+xml">
        <DigestMethod Algorithm="http://www.w3.org/2001/04/xmlenc#sha256"/>
        <DigestValue>HosGqxutd+bBtsDKiPIVZhaTeF5j2nw+IkbsPdgyqPs=</DigestValue>
      </Reference>
      <Reference URI="/word/glossary/settings.xml?ContentType=application/vnd.openxmlformats-officedocument.wordprocessingml.settings+xml">
        <DigestMethod Algorithm="http://www.w3.org/2001/04/xmlenc#sha256"/>
        <DigestValue>9xP3pNswrxpB3l0P8u8vftPvCGdOMCTU9gAqgXlk+no=</DigestValue>
      </Reference>
      <Reference URI="/word/glossary/styles.xml?ContentType=application/vnd.openxmlformats-officedocument.wordprocessingml.styles+xml">
        <DigestMethod Algorithm="http://www.w3.org/2001/04/xmlenc#sha256"/>
        <DigestValue>1qxskvlDliv8nWP/zZuKuJ2SdTBjQ/IolxUyNpVjUkk=</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Yt02F1NVCdEnQazBnULd3+gVpBadU5LTNPrhsTX4t7s=</DigestValue>
      </Reference>
      <Reference URI="/word/header2.xml?ContentType=application/vnd.openxmlformats-officedocument.wordprocessingml.header+xml">
        <DigestMethod Algorithm="http://www.w3.org/2001/04/xmlenc#sha256"/>
        <DigestValue>ahCd626Jn3F/ke4Y91LdUCmm8+WuY79XI24p60Y6Qpk=</DigestValue>
      </Reference>
      <Reference URI="/word/header3.xml?ContentType=application/vnd.openxmlformats-officedocument.wordprocessingml.header+xml">
        <DigestMethod Algorithm="http://www.w3.org/2001/04/xmlenc#sha256"/>
        <DigestValue>RNo/iyIr0vV5JKaEDTwpiaWH3yNYeb+IasnRfhJy3Uc=</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GDvndMUdtVm+hom12MXysg66bdORQcw8SwbJW6WJKQM=</DigestValue>
      </Reference>
      <Reference URI="/word/settings.xml?ContentType=application/vnd.openxmlformats-officedocument.wordprocessingml.settings+xml">
        <DigestMethod Algorithm="http://www.w3.org/2001/04/xmlenc#sha256"/>
        <DigestValue>0woI8RJL3miMX7sH91VsHQAA8QOvrpIbs7w8QnAC9WQ=</DigestValue>
      </Reference>
      <Reference URI="/word/styles.xml?ContentType=application/vnd.openxmlformats-officedocument.wordprocessingml.styles+xml">
        <DigestMethod Algorithm="http://www.w3.org/2001/04/xmlenc#sha256"/>
        <DigestValue>2wzqrqmo1pjymD73C+MjqyvvE+N8ZXdZFyjFR/VtJIU=</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r7d+KwAE+fXKQXaAe0iTH1IwyGqhJ/M127v96X2V0qs=</DigestValue>
      </Reference>
    </Manifest>
    <SignatureProperties>
      <SignatureProperty Id="idSignatureTime" Target="#idPackageSignature">
        <mdssi:SignatureTime xmlns:mdssi="http://schemas.openxmlformats.org/package/2006/digital-signature">
          <mdssi:Format>YYYY-MM-DDThh:mm:ssTZD</mdssi:Format>
          <mdssi:Value>2021-10-29T20:45:30Z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2021-10-29T20:45:30Z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ILobPDy664zmz9zRc4Jr0MeEgdBrpMK4eUTFPNlObs8CBA0YvAUYDzIwMjExMDI5MjA0NT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</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ses1OwWtSgLeoxP0oX6bwXsv+wU=</xd:ByKey>
                  </xd:ResponderID>
                  <xd:ProducedAt>2021-10-29T20:45:25Z</xd:ProducedAt>
                </xd:OCSPIdentifier>
                <xd:DigestAlgAndValue>
                  <DigestMethod Algorithm="http://www.w3.org/2001/04/xmlenc#sha256"/>
                  <DigestValue>3B9/MTGBmTffFGKFTeMWjoi2YuBS9l5+H97bx8xaSrk=</DigestValue>
                </xd:DigestAlgAndValue>
              </xd:OCSPRef>
            </xd:OCSPRefs>
            <xd:CRLRefs>
              <xd:CRLRef>
                <xd:DigestAlgAndValue>
                  <DigestMethod Algorithm="http://www.w3.org/2001/04/xmlenc#sha256"/>
                  <DigestValue>X4vX2zXpiL2u3SHroUSBP76miXao4kD4Dn1umSiVqks=</DigestValue>
                </xd:DigestAlgAndValue>
                <xd:CRLIdentifier>
                  <xd:Issuer>CN=CA POLITICA PERSONA FISICA - COSTA RICA v2, OU=DCFD, O=MICITT, C=CR, SERIALNUMBER=CPJ-2-100-098311</xd:Issuer>
                  <xd:IssueTime>2021-10-21T17:01:51Z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ZUVonMp53O362unJW7WvNd3p3eNvXP0jJOiS6l4M59sCBA0YvAYYDzIwMjExMDI5MjA0NT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b875e23b-67d9-4b2e-bdec-edacbf90b326">
      <Value>183</Value>
      <Value>63</Value>
      <Value>109</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Se envía a la Entrante de Administrativo para que realice la publicación en el Diario Oficial La Gaceta.
Resolución Devengo de intereses OCTUBRE
Copiar a SALIENTE NORMAS</ObservacionesCorrespondencia>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Resolución Devengo de intereses OCTUBRE</Subject1>
    <Entrante_x0020_relacionado xmlns="b875e23b-67d9-4b2e-bdec-edacbf90b326">
      <Url xsi:nil="true"/>
      <Description xsi:nil="true"/>
    </Entrante_x0020_relacionado>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283BF82E-1A70-4392-8CF2-7DEAFF1953AE}">
  <ds:schemaRef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b875e23b-67d9-4b2e-bdec-edacbf90b326"/>
    <ds:schemaRef ds:uri="http://schemas.microsoft.com/office/2006/metadata/properties"/>
  </ds:schemaRefs>
</ds:datastoreItem>
</file>

<file path=customXml/itemProps2.xml><?xml version="1.0" encoding="utf-8"?>
<ds:datastoreItem xmlns:ds="http://schemas.openxmlformats.org/officeDocument/2006/customXml" ds:itemID="{6A3F729C-749F-4225-BAB6-C5AC38229CD3}"/>
</file>

<file path=customXml/itemProps3.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4.xml><?xml version="1.0" encoding="utf-8"?>
<ds:datastoreItem xmlns:ds="http://schemas.openxmlformats.org/officeDocument/2006/customXml" ds:itemID="{5EA8A51A-5E24-4C5D-B7D7-18591C74DB33}"/>
</file>

<file path=customXml/itemProps5.xml><?xml version="1.0" encoding="utf-8"?>
<ds:datastoreItem xmlns:ds="http://schemas.openxmlformats.org/officeDocument/2006/customXml" ds:itemID="{BBC61481-DF94-464C-9836-FEC4F342A612}"/>
</file>

<file path=customXml/itemProps6.xml><?xml version="1.0" encoding="utf-8"?>
<ds:datastoreItem xmlns:ds="http://schemas.openxmlformats.org/officeDocument/2006/customXml" ds:itemID="{F0F97050-B5B7-4AA5-8E6D-20F04B2C40C5}">
  <ds:schemaRefs>
    <ds:schemaRef ds:uri="http://schemas.openxmlformats.org/officeDocument/2006/bibliography"/>
  </ds:schemaRefs>
</ds:datastoreItem>
</file>

<file path=customXml/itemProps7.xml><?xml version="1.0" encoding="utf-8"?>
<ds:datastoreItem xmlns:ds="http://schemas.openxmlformats.org/officeDocument/2006/customXml" ds:itemID="{27A4EDCC-C60B-4283-BBD0-DAC6B3CA95A4}"/>
</file>

<file path=docProps/app.xml><?xml version="1.0" encoding="utf-8"?>
<Properties xmlns="http://schemas.openxmlformats.org/officeDocument/2006/extended-properties" xmlns:vt="http://schemas.openxmlformats.org/officeDocument/2006/docPropsVTypes">
  <Template>plantilla-SGF-13-Normas</Template>
  <TotalTime>9</TotalTime>
  <Pages>3</Pages>
  <Words>887</Words>
  <Characters>4881</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3</cp:revision>
  <cp:lastPrinted>2015-07-30T22:36:00Z</cp:lastPrinted>
  <dcterms:created xsi:type="dcterms:W3CDTF">2021-10-29T20:19:00Z</dcterms:created>
  <dcterms:modified xsi:type="dcterms:W3CDTF">2021-10-29T20:26:00Z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183;#Resolución|8250c29f-4595-4728-bcc1-a5fc6a20ed53</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109;#Área Coordinación Administrativa|39ce7748-92aa-4572-8334-49785789cb1c</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ConfidencialidadNueva">
    <vt:lpwstr>1;#Público|99c2402f-8ec3-4ca8-8024-be52e4e7f629</vt:lpwstr>
  </property>
  <property fmtid="{D5CDD505-2E9C-101B-9397-08002B2CF9AE}" pid="14" name="Order">
    <vt:r8>84800</vt:r8>
  </property>
  <property fmtid="{D5CDD505-2E9C-101B-9397-08002B2CF9AE}" pid="16" name="lb0b7da792b243d9bfa96ad7487ad734">
    <vt:lpwstr>Público|99c2402f-8ec3-4ca8-8024-be52e4e7f629</vt:lpwstr>
  </property>
  <property fmtid="{D5CDD505-2E9C-101B-9397-08002B2CF9AE}" pid="17" name="WorkflowChangePath">
    <vt:lpwstr>58129e4d-2a7c-4442-ab86-f4288b01d5ff,5;7dedacbb-5c77-4a35-8847-40abd1245d4d,7;</vt:lpwstr>
  </property>
</Properties>
</file>