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25AB2" w:rsidR="007E6845" w:rsidP="007E6845" w:rsidRDefault="007E6845" w14:paraId="6EA6409E" w14:textId="4BE9DE8F">
      <w:pPr>
        <w:pStyle w:val="Texto0"/>
        <w:spacing w:before="0" w:after="0" w:line="240" w:lineRule="auto"/>
        <w:jc w:val="center"/>
        <w:outlineLvl w:val="0"/>
        <w:rPr>
          <w:b/>
          <w:sz w:val="24"/>
        </w:rPr>
      </w:pPr>
      <w:r w:rsidRPr="00325AB2">
        <w:rPr>
          <w:b/>
          <w:sz w:val="24"/>
        </w:rPr>
        <w:t>Resolución</w:t>
      </w:r>
      <w:r w:rsidR="00750D2B">
        <w:rPr>
          <w:b/>
          <w:sz w:val="24"/>
        </w:rPr>
        <w:t xml:space="preserve"> </w:t>
      </w:r>
    </w:p>
    <w:p w:rsidRPr="002E2B0A" w:rsidR="007E6845" w:rsidP="007E6845" w:rsidRDefault="00B67893" w14:paraId="5C315780" w14:textId="75A7D5EF">
      <w:pPr>
        <w:pStyle w:val="Texto0"/>
        <w:spacing w:before="0" w:after="0" w:line="240" w:lineRule="auto"/>
        <w:jc w:val="center"/>
        <w:outlineLvl w:val="0"/>
        <w:rPr>
          <w:sz w:val="24"/>
        </w:rPr>
      </w:pPr>
      <w:r>
        <w:rPr>
          <w:sz w:val="24"/>
        </w:rPr>
        <w:t>0</w:t>
      </w:r>
      <w:r w:rsidR="00CB5F94">
        <w:rPr>
          <w:sz w:val="24"/>
        </w:rPr>
        <w:t>5</w:t>
      </w:r>
      <w:r w:rsidR="007E6845">
        <w:rPr>
          <w:sz w:val="24"/>
        </w:rPr>
        <w:t xml:space="preserve"> de </w:t>
      </w:r>
      <w:r w:rsidR="00281935">
        <w:rPr>
          <w:sz w:val="24"/>
        </w:rPr>
        <w:t>octubre</w:t>
      </w:r>
      <w:r w:rsidR="007E6845">
        <w:rPr>
          <w:sz w:val="24"/>
        </w:rPr>
        <w:t xml:space="preserve"> 2018</w:t>
      </w:r>
    </w:p>
    <w:sdt>
      <w:sdtPr>
        <w:rPr>
          <w:sz w:val="24"/>
        </w:rPr>
        <w:alias w:val="Consecutivo"/>
        <w:tag w:val="Consecutivo"/>
        <w:id w:val="2052717023"/>
        <w:placeholder>
          <w:docPart w:val="9B0026D98F354F53AC65DAFAA6F72D56"/>
        </w:placeholder>
        <w:text/>
      </w:sdtPr>
      <w:sdtEndPr/>
      <w:sdtContent>
        <w:p w:rsidR="007E6845" w:rsidP="007E6845" w:rsidRDefault="007E6845" w14:paraId="6BF6A642" w14:textId="77777777">
          <w:pPr>
            <w:tabs>
              <w:tab w:val="left" w:pos="2843"/>
            </w:tabs>
            <w:spacing w:line="240" w:lineRule="auto"/>
            <w:jc w:val="center"/>
            <w:outlineLvl w:val="0"/>
            <w:rPr>
              <w:sz w:val="24"/>
            </w:rPr>
          </w:pPr>
          <w:r>
            <w:t>SGF-3051-2018</w:t>
          </w:r>
        </w:p>
      </w:sdtContent>
    </w:sdt>
    <w:p w:rsidRPr="002E2B0A" w:rsidR="007E6845" w:rsidP="007E6845" w:rsidRDefault="00A3025B" w14:paraId="0EB528FF" w14:textId="3F740755">
      <w:pPr>
        <w:tabs>
          <w:tab w:val="left" w:pos="2843"/>
        </w:tabs>
        <w:spacing w:line="240" w:lineRule="auto"/>
        <w:jc w:val="center"/>
        <w:outlineLvl w:val="0"/>
        <w:rPr>
          <w:sz w:val="24"/>
        </w:rPr>
      </w:pPr>
      <w:sdt>
        <w:sdtPr>
          <w:rPr>
            <w:sz w:val="24"/>
          </w:rPr>
          <w:alias w:val="Confidencialidad"/>
          <w:tag w:val="Confidencialidad"/>
          <w:id w:val="1447896894"/>
          <w:placeholder>
            <w:docPart w:val="910788D3A43C4AA9930CD502EBA3A3D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E6845">
            <w:rPr>
              <w:sz w:val="24"/>
            </w:rPr>
            <w:t>SGF-PUBLICO</w:t>
          </w:r>
        </w:sdtContent>
      </w:sdt>
    </w:p>
    <w:p w:rsidRPr="002018D1" w:rsidR="007E6845" w:rsidP="007E6845" w:rsidRDefault="007E6845" w14:paraId="56F27C27" w14:textId="53C208CA">
      <w:pPr>
        <w:tabs>
          <w:tab w:val="left" w:pos="2843"/>
        </w:tabs>
        <w:spacing w:line="240" w:lineRule="auto"/>
        <w:rPr>
          <w:rFonts w:asciiTheme="majorHAnsi" w:hAnsiTheme="majorHAnsi"/>
          <w:sz w:val="24"/>
        </w:rPr>
      </w:pPr>
    </w:p>
    <w:p w:rsidR="00AA20BC" w:rsidP="007E6845" w:rsidRDefault="007E6845" w14:paraId="3E55F796" w14:textId="77777777">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Dirigida a</w:t>
      </w:r>
      <w:r w:rsidRPr="002018D1">
        <w:rPr>
          <w:rFonts w:asciiTheme="majorHAnsi" w:hAnsiTheme="majorHAnsi"/>
          <w:b/>
          <w:sz w:val="24"/>
          <w:lang w:val="es-CR"/>
        </w:rPr>
        <w:t>:</w:t>
      </w:r>
      <w:r>
        <w:rPr>
          <w:rFonts w:asciiTheme="majorHAnsi" w:hAnsiTheme="majorHAnsi"/>
          <w:b/>
          <w:sz w:val="24"/>
          <w:lang w:val="es-CR"/>
        </w:rPr>
        <w:t xml:space="preserve"> </w:t>
      </w:r>
    </w:p>
    <w:p w:rsidR="00AA20BC" w:rsidP="007E6845" w:rsidRDefault="00AA20BC" w14:paraId="643324BA" w14:textId="77777777">
      <w:pPr>
        <w:widowControl w:val="0"/>
        <w:spacing w:line="240" w:lineRule="auto"/>
        <w:ind w:left="34" w:right="86"/>
        <w:outlineLvl w:val="0"/>
        <w:rPr>
          <w:rFonts w:asciiTheme="majorHAnsi" w:hAnsiTheme="majorHAnsi"/>
          <w:b/>
          <w:sz w:val="24"/>
          <w:lang w:val="es-CR"/>
        </w:rPr>
      </w:pPr>
    </w:p>
    <w:p w:rsidR="00AA20BC" w:rsidP="00AA20BC" w:rsidRDefault="00AA20BC" w14:paraId="1914D55B" w14:textId="138941EE">
      <w:pPr>
        <w:widowControl w:val="0"/>
        <w:numPr>
          <w:ilvl w:val="0"/>
          <w:numId w:val="19"/>
        </w:numPr>
        <w:spacing w:after="200" w:line="240" w:lineRule="auto"/>
        <w:ind w:left="567" w:right="86" w:hanging="567"/>
        <w:contextualSpacing/>
        <w:rPr>
          <w:b/>
          <w:sz w:val="24"/>
          <w:lang w:val="es-CR" w:eastAsia="es-ES"/>
        </w:rPr>
      </w:pPr>
      <w:r w:rsidRPr="00C256B9">
        <w:rPr>
          <w:b/>
          <w:sz w:val="24"/>
          <w:lang w:val="es-CR" w:eastAsia="es-ES"/>
        </w:rPr>
        <w:t xml:space="preserve">Bancos </w:t>
      </w:r>
      <w:r w:rsidR="005A7846">
        <w:rPr>
          <w:b/>
          <w:sz w:val="24"/>
          <w:lang w:val="es-CR" w:eastAsia="es-ES"/>
        </w:rPr>
        <w:t>Comerciales d</w:t>
      </w:r>
      <w:r>
        <w:rPr>
          <w:b/>
          <w:sz w:val="24"/>
          <w:lang w:val="es-CR" w:eastAsia="es-ES"/>
        </w:rPr>
        <w:t>el Estado</w:t>
      </w:r>
    </w:p>
    <w:p w:rsidR="00AA20BC" w:rsidP="00AA20BC" w:rsidRDefault="005A7846" w14:paraId="4F49D01C" w14:textId="7AF801ED">
      <w:pPr>
        <w:widowControl w:val="0"/>
        <w:numPr>
          <w:ilvl w:val="0"/>
          <w:numId w:val="19"/>
        </w:numPr>
        <w:spacing w:after="200" w:line="240" w:lineRule="auto"/>
        <w:ind w:left="567" w:right="86" w:hanging="567"/>
        <w:contextualSpacing/>
        <w:rPr>
          <w:b/>
          <w:sz w:val="24"/>
          <w:lang w:val="es-CR" w:eastAsia="es-ES"/>
        </w:rPr>
      </w:pPr>
      <w:r>
        <w:rPr>
          <w:b/>
          <w:sz w:val="24"/>
          <w:lang w:val="es-CR" w:eastAsia="es-ES"/>
        </w:rPr>
        <w:t>Bancos Creados p</w:t>
      </w:r>
      <w:r w:rsidR="00AA20BC">
        <w:rPr>
          <w:b/>
          <w:sz w:val="24"/>
          <w:lang w:val="es-CR" w:eastAsia="es-ES"/>
        </w:rPr>
        <w:t>or Leyes Especiales</w:t>
      </w:r>
    </w:p>
    <w:p w:rsidR="00AA20BC" w:rsidP="00AA20BC" w:rsidRDefault="00AA20BC" w14:paraId="5DC1AA05" w14:textId="77777777">
      <w:pPr>
        <w:widowControl w:val="0"/>
        <w:numPr>
          <w:ilvl w:val="0"/>
          <w:numId w:val="19"/>
        </w:numPr>
        <w:spacing w:after="200" w:line="240" w:lineRule="auto"/>
        <w:ind w:left="567" w:right="86" w:hanging="567"/>
        <w:contextualSpacing/>
        <w:rPr>
          <w:b/>
          <w:sz w:val="24"/>
          <w:lang w:val="es-CR" w:eastAsia="es-ES"/>
        </w:rPr>
      </w:pPr>
      <w:r>
        <w:rPr>
          <w:b/>
          <w:sz w:val="24"/>
          <w:lang w:val="es-CR" w:eastAsia="es-ES"/>
        </w:rPr>
        <w:t>Bancos Privados</w:t>
      </w:r>
    </w:p>
    <w:p w:rsidR="00AA20BC" w:rsidP="00AA20BC" w:rsidRDefault="005A7846" w14:paraId="69A47893" w14:textId="35569A37">
      <w:pPr>
        <w:widowControl w:val="0"/>
        <w:numPr>
          <w:ilvl w:val="0"/>
          <w:numId w:val="19"/>
        </w:numPr>
        <w:spacing w:after="200" w:line="240" w:lineRule="auto"/>
        <w:ind w:left="567" w:right="86" w:hanging="567"/>
        <w:contextualSpacing/>
        <w:rPr>
          <w:b/>
          <w:sz w:val="24"/>
          <w:lang w:val="es-CR" w:eastAsia="es-ES"/>
        </w:rPr>
      </w:pPr>
      <w:r>
        <w:rPr>
          <w:b/>
          <w:sz w:val="24"/>
          <w:lang w:val="es-CR" w:eastAsia="es-ES"/>
        </w:rPr>
        <w:t>Empresas Financieras n</w:t>
      </w:r>
      <w:r w:rsidR="00AA20BC">
        <w:rPr>
          <w:b/>
          <w:sz w:val="24"/>
          <w:lang w:val="es-CR" w:eastAsia="es-ES"/>
        </w:rPr>
        <w:t>o Bancarias</w:t>
      </w:r>
    </w:p>
    <w:p w:rsidR="00AA20BC" w:rsidP="00AA20BC" w:rsidRDefault="00AA20BC" w14:paraId="65B29BC8" w14:textId="68D7DE69">
      <w:pPr>
        <w:widowControl w:val="0"/>
        <w:numPr>
          <w:ilvl w:val="0"/>
          <w:numId w:val="19"/>
        </w:numPr>
        <w:spacing w:after="200" w:line="240" w:lineRule="auto"/>
        <w:ind w:left="567" w:right="86" w:hanging="567"/>
        <w:contextualSpacing/>
        <w:rPr>
          <w:b/>
          <w:sz w:val="24"/>
          <w:lang w:val="es-CR" w:eastAsia="es-ES"/>
        </w:rPr>
      </w:pPr>
      <w:r>
        <w:rPr>
          <w:b/>
          <w:sz w:val="24"/>
          <w:lang w:val="es-CR" w:eastAsia="es-ES"/>
        </w:rPr>
        <w:t>Organizaciones Cooperativas de Ahorro y Crédito</w:t>
      </w:r>
    </w:p>
    <w:p w:rsidR="00AA20BC" w:rsidP="00AA20BC" w:rsidRDefault="00AA20BC" w14:paraId="100F3594" w14:textId="6D5CFFA2">
      <w:pPr>
        <w:widowControl w:val="0"/>
        <w:numPr>
          <w:ilvl w:val="0"/>
          <w:numId w:val="19"/>
        </w:numPr>
        <w:spacing w:after="200" w:line="240" w:lineRule="auto"/>
        <w:ind w:left="567" w:right="86" w:hanging="567"/>
        <w:contextualSpacing/>
        <w:rPr>
          <w:b/>
          <w:sz w:val="24"/>
          <w:lang w:val="es-CR" w:eastAsia="es-ES"/>
        </w:rPr>
      </w:pPr>
      <w:r>
        <w:rPr>
          <w:b/>
          <w:sz w:val="24"/>
          <w:lang w:val="es-CR" w:eastAsia="es-ES"/>
        </w:rPr>
        <w:t>Entidades Autorizadas del Sistema Financiera Nacional para la Vivienda</w:t>
      </w:r>
    </w:p>
    <w:p w:rsidR="00AA20BC" w:rsidP="00AA20BC" w:rsidRDefault="00AA20BC" w14:paraId="32873426" w14:textId="77777777">
      <w:pPr>
        <w:widowControl w:val="0"/>
        <w:numPr>
          <w:ilvl w:val="0"/>
          <w:numId w:val="19"/>
        </w:numPr>
        <w:spacing w:after="200" w:line="240" w:lineRule="auto"/>
        <w:ind w:left="567" w:right="86" w:hanging="567"/>
        <w:contextualSpacing/>
        <w:rPr>
          <w:b/>
          <w:sz w:val="24"/>
          <w:lang w:val="es-CR" w:eastAsia="es-ES"/>
        </w:rPr>
      </w:pPr>
      <w:r>
        <w:rPr>
          <w:b/>
          <w:sz w:val="24"/>
          <w:lang w:val="es-CR" w:eastAsia="es-ES"/>
        </w:rPr>
        <w:t>Otras Entidades Financieras</w:t>
      </w:r>
    </w:p>
    <w:p w:rsidRPr="00E04F8F" w:rsidR="007E6845" w:rsidP="007E6845" w:rsidRDefault="007E6845" w14:paraId="05EDFBFF" w14:textId="77777777">
      <w:pPr>
        <w:widowControl w:val="0"/>
        <w:spacing w:line="240" w:lineRule="auto"/>
        <w:ind w:left="34" w:right="86"/>
        <w:rPr>
          <w:rFonts w:asciiTheme="majorHAnsi" w:hAnsiTheme="majorHAnsi"/>
          <w:sz w:val="24"/>
          <w:lang w:val="es-CR"/>
        </w:rPr>
      </w:pPr>
    </w:p>
    <w:p w:rsidRPr="00325AB2" w:rsidR="007E6845" w:rsidP="007E6845" w:rsidRDefault="007E6845" w14:paraId="15E91957" w14:textId="26745057">
      <w:pPr>
        <w:pStyle w:val="Texto0"/>
        <w:spacing w:after="0" w:line="240" w:lineRule="auto"/>
        <w:rPr>
          <w:rFonts w:asciiTheme="majorHAnsi" w:hAnsiTheme="majorHAnsi"/>
          <w:b/>
          <w:sz w:val="24"/>
        </w:rPr>
      </w:pPr>
      <w:r w:rsidRPr="00325AB2">
        <w:rPr>
          <w:rFonts w:asciiTheme="majorHAnsi" w:hAnsiTheme="majorHAnsi"/>
          <w:b/>
          <w:sz w:val="24"/>
        </w:rPr>
        <w:t xml:space="preserve">Asunto: </w:t>
      </w:r>
      <w:r w:rsidRPr="00325AB2">
        <w:rPr>
          <w:rFonts w:asciiTheme="majorHAnsi" w:hAnsiTheme="majorHAnsi"/>
          <w:sz w:val="24"/>
        </w:rPr>
        <w:t xml:space="preserve">Modificación de los Lineamentos Generales </w:t>
      </w:r>
      <w:r w:rsidR="0019166E">
        <w:rPr>
          <w:rFonts w:asciiTheme="majorHAnsi" w:hAnsiTheme="majorHAnsi"/>
          <w:sz w:val="24"/>
        </w:rPr>
        <w:t>para el</w:t>
      </w:r>
      <w:r w:rsidRPr="00325AB2">
        <w:rPr>
          <w:rFonts w:asciiTheme="majorHAnsi" w:hAnsiTheme="majorHAnsi"/>
          <w:sz w:val="24"/>
        </w:rPr>
        <w:t xml:space="preserve"> </w:t>
      </w:r>
      <w:r w:rsidRPr="00325AB2">
        <w:rPr>
          <w:rFonts w:asciiTheme="majorHAnsi" w:hAnsiTheme="majorHAnsi"/>
          <w:i/>
          <w:sz w:val="24"/>
        </w:rPr>
        <w:t>Reglamento sobre administración del riesgo de liquidez</w:t>
      </w:r>
      <w:r w:rsidRPr="00325AB2">
        <w:rPr>
          <w:rFonts w:asciiTheme="majorHAnsi" w:hAnsiTheme="majorHAnsi"/>
          <w:sz w:val="24"/>
        </w:rPr>
        <w:t>, Acuerdo SUGEF 17-13</w:t>
      </w:r>
      <w:r>
        <w:rPr>
          <w:rFonts w:asciiTheme="majorHAnsi" w:hAnsiTheme="majorHAnsi"/>
          <w:sz w:val="24"/>
        </w:rPr>
        <w:t>.</w:t>
      </w:r>
    </w:p>
    <w:p w:rsidR="007E6845" w:rsidP="007E6845" w:rsidRDefault="007E6845" w14:paraId="2A7DDED2" w14:textId="77777777">
      <w:pPr>
        <w:pStyle w:val="Texto0"/>
        <w:spacing w:after="0" w:line="240" w:lineRule="auto"/>
        <w:rPr>
          <w:rFonts w:asciiTheme="majorHAnsi" w:hAnsiTheme="majorHAnsi"/>
          <w:sz w:val="24"/>
        </w:rPr>
      </w:pPr>
      <w:r w:rsidRPr="00D019E9">
        <w:rPr>
          <w:rFonts w:asciiTheme="majorHAnsi" w:hAnsiTheme="majorHAnsi"/>
          <w:sz w:val="24"/>
        </w:rPr>
        <w:t xml:space="preserve">Superintendencia General de Entidades Financieras. Despacho del Superintendente General de Entidades Financieras. Santa Ana, el </w:t>
      </w:r>
      <w:r>
        <w:rPr>
          <w:rFonts w:asciiTheme="majorHAnsi" w:hAnsiTheme="majorHAnsi"/>
          <w:sz w:val="24"/>
        </w:rPr>
        <w:t>28</w:t>
      </w:r>
      <w:r w:rsidRPr="00D019E9">
        <w:rPr>
          <w:rFonts w:asciiTheme="majorHAnsi" w:hAnsiTheme="majorHAnsi"/>
          <w:sz w:val="24"/>
        </w:rPr>
        <w:t xml:space="preserve"> de setiembre del 2018.</w:t>
      </w:r>
    </w:p>
    <w:p w:rsidRPr="00325AB2" w:rsidR="007E6845" w:rsidP="007E6845" w:rsidRDefault="007E6845" w14:paraId="39D9EB51" w14:textId="77777777">
      <w:pPr>
        <w:pStyle w:val="Texto0"/>
        <w:spacing w:before="0" w:after="0" w:line="240" w:lineRule="auto"/>
        <w:rPr>
          <w:rFonts w:asciiTheme="majorHAnsi" w:hAnsiTheme="majorHAnsi"/>
          <w:sz w:val="24"/>
        </w:rPr>
      </w:pPr>
    </w:p>
    <w:p w:rsidRPr="00E04F8F" w:rsidR="007E6845" w:rsidP="007E6845" w:rsidRDefault="007E6845" w14:paraId="305BF6AB" w14:textId="77777777">
      <w:pPr>
        <w:spacing w:line="240" w:lineRule="auto"/>
        <w:ind w:left="34"/>
        <w:jc w:val="left"/>
        <w:outlineLvl w:val="0"/>
        <w:rPr>
          <w:rFonts w:asciiTheme="majorHAnsi" w:hAnsiTheme="majorHAnsi"/>
          <w:sz w:val="24"/>
        </w:rPr>
      </w:pPr>
      <w:r w:rsidRPr="00325AB2">
        <w:rPr>
          <w:rFonts w:asciiTheme="majorHAnsi" w:hAnsiTheme="majorHAnsi"/>
          <w:b/>
          <w:sz w:val="24"/>
        </w:rPr>
        <w:t>El Superintendente General de Entidades Financieras,</w:t>
      </w:r>
    </w:p>
    <w:p w:rsidRPr="00E04F8F" w:rsidR="007E6845" w:rsidP="007E6845" w:rsidRDefault="007E6845" w14:paraId="10CC39E5" w14:textId="77777777">
      <w:pPr>
        <w:spacing w:line="240" w:lineRule="auto"/>
        <w:ind w:left="34"/>
        <w:jc w:val="left"/>
        <w:rPr>
          <w:rFonts w:asciiTheme="majorHAnsi" w:hAnsiTheme="majorHAnsi"/>
          <w:sz w:val="24"/>
        </w:rPr>
      </w:pPr>
    </w:p>
    <w:p w:rsidRPr="00E04F8F" w:rsidR="007E6845" w:rsidP="007E6845" w:rsidRDefault="007E6845" w14:paraId="1C8249B9" w14:textId="5312BC3C">
      <w:pPr>
        <w:spacing w:line="240" w:lineRule="auto"/>
        <w:ind w:left="34"/>
        <w:jc w:val="left"/>
        <w:outlineLvl w:val="0"/>
        <w:rPr>
          <w:rFonts w:asciiTheme="majorHAnsi" w:hAnsiTheme="majorHAnsi"/>
          <w:b/>
          <w:sz w:val="24"/>
        </w:rPr>
      </w:pPr>
      <w:r w:rsidRPr="00D019E9">
        <w:rPr>
          <w:rFonts w:asciiTheme="majorHAnsi" w:hAnsiTheme="majorHAnsi"/>
          <w:b/>
          <w:sz w:val="24"/>
        </w:rPr>
        <w:t>Considerando que</w:t>
      </w:r>
      <w:r w:rsidRPr="00D019E9">
        <w:rPr>
          <w:rFonts w:asciiTheme="majorHAnsi" w:hAnsiTheme="majorHAnsi"/>
          <w:sz w:val="24"/>
        </w:rPr>
        <w:t>:</w:t>
      </w:r>
    </w:p>
    <w:p w:rsidRPr="00FC2294" w:rsidR="007E6845" w:rsidP="007E6845" w:rsidRDefault="007E6845" w14:paraId="4D530C48" w14:textId="5A9AC6EB">
      <w:pPr>
        <w:pStyle w:val="Prrafodelista"/>
        <w:numPr>
          <w:ilvl w:val="0"/>
          <w:numId w:val="13"/>
        </w:numPr>
        <w:spacing w:before="120" w:after="120" w:line="240" w:lineRule="auto"/>
        <w:contextualSpacing w:val="0"/>
        <w:jc w:val="both"/>
        <w:rPr>
          <w:rFonts w:asciiTheme="majorHAnsi" w:hAnsiTheme="majorHAnsi"/>
          <w:sz w:val="24"/>
          <w:szCs w:val="24"/>
        </w:rPr>
      </w:pPr>
      <w:r w:rsidRPr="00D019E9">
        <w:rPr>
          <w:rFonts w:asciiTheme="majorHAnsi" w:hAnsiTheme="majorHAnsi"/>
          <w:sz w:val="24"/>
          <w:szCs w:val="24"/>
        </w:rPr>
        <w:t xml:space="preserve">El Consejo Nacional de Supervisión del Sistema Financiero </w:t>
      </w:r>
      <w:r>
        <w:rPr>
          <w:rFonts w:asciiTheme="majorHAnsi" w:hAnsiTheme="majorHAnsi"/>
          <w:sz w:val="24"/>
          <w:szCs w:val="24"/>
        </w:rPr>
        <w:t xml:space="preserve">(CONASSIF) </w:t>
      </w:r>
      <w:r w:rsidRPr="00D019E9">
        <w:rPr>
          <w:rFonts w:asciiTheme="majorHAnsi" w:hAnsiTheme="majorHAnsi"/>
          <w:sz w:val="24"/>
          <w:szCs w:val="24"/>
        </w:rPr>
        <w:t xml:space="preserve">aprobó </w:t>
      </w:r>
      <w:r>
        <w:rPr>
          <w:rFonts w:asciiTheme="majorHAnsi" w:hAnsiTheme="majorHAnsi"/>
          <w:sz w:val="24"/>
          <w:szCs w:val="24"/>
        </w:rPr>
        <w:t>según Artículo 7</w:t>
      </w:r>
      <w:r w:rsidRPr="00D019E9">
        <w:rPr>
          <w:rFonts w:asciiTheme="majorHAnsi" w:hAnsiTheme="majorHAnsi"/>
          <w:sz w:val="24"/>
          <w:szCs w:val="24"/>
        </w:rPr>
        <w:t xml:space="preserve"> del </w:t>
      </w:r>
      <w:r>
        <w:rPr>
          <w:rFonts w:asciiTheme="majorHAnsi" w:hAnsiTheme="majorHAnsi"/>
          <w:sz w:val="24"/>
          <w:szCs w:val="24"/>
        </w:rPr>
        <w:t>A</w:t>
      </w:r>
      <w:r w:rsidRPr="00D019E9">
        <w:rPr>
          <w:rFonts w:asciiTheme="majorHAnsi" w:hAnsiTheme="majorHAnsi"/>
          <w:sz w:val="24"/>
          <w:szCs w:val="24"/>
        </w:rPr>
        <w:t xml:space="preserve">cta de la </w:t>
      </w:r>
      <w:r>
        <w:rPr>
          <w:rFonts w:asciiTheme="majorHAnsi" w:hAnsiTheme="majorHAnsi"/>
          <w:sz w:val="24"/>
          <w:szCs w:val="24"/>
        </w:rPr>
        <w:t>s</w:t>
      </w:r>
      <w:r w:rsidRPr="00D019E9">
        <w:rPr>
          <w:rFonts w:asciiTheme="majorHAnsi" w:hAnsiTheme="majorHAnsi"/>
          <w:sz w:val="24"/>
          <w:szCs w:val="24"/>
        </w:rPr>
        <w:t xml:space="preserve">esión 1058-2013, celebrada el 19 de agosto del 2013 el </w:t>
      </w:r>
      <w:r w:rsidRPr="00D019E9">
        <w:rPr>
          <w:rFonts w:asciiTheme="majorHAnsi" w:hAnsiTheme="majorHAnsi"/>
          <w:i/>
          <w:sz w:val="24"/>
          <w:szCs w:val="24"/>
        </w:rPr>
        <w:t>Reglamento sobre administración del riesgo de liquidez</w:t>
      </w:r>
      <w:r>
        <w:rPr>
          <w:rFonts w:asciiTheme="majorHAnsi" w:hAnsiTheme="majorHAnsi"/>
          <w:sz w:val="24"/>
          <w:szCs w:val="24"/>
        </w:rPr>
        <w:t>,</w:t>
      </w:r>
      <w:r w:rsidRPr="00D019E9">
        <w:rPr>
          <w:rFonts w:asciiTheme="majorHAnsi" w:hAnsiTheme="majorHAnsi"/>
          <w:sz w:val="24"/>
          <w:szCs w:val="24"/>
        </w:rPr>
        <w:t xml:space="preserve"> Acuerdo SUGEF 17-13</w:t>
      </w:r>
      <w:r w:rsidRPr="00FC2294">
        <w:rPr>
          <w:rFonts w:asciiTheme="majorHAnsi" w:hAnsiTheme="majorHAnsi"/>
          <w:sz w:val="24"/>
          <w:szCs w:val="24"/>
        </w:rPr>
        <w:t xml:space="preserve">. </w:t>
      </w:r>
      <w:r w:rsidRPr="00BA0891">
        <w:rPr>
          <w:rFonts w:asciiTheme="majorHAnsi" w:hAnsiTheme="majorHAnsi"/>
          <w:sz w:val="24"/>
          <w:szCs w:val="24"/>
        </w:rPr>
        <w:t>Publicado en el Diario Oficial La Gaceta N° 166 del 30 de agosto del 2013.</w:t>
      </w:r>
    </w:p>
    <w:p w:rsidRPr="00D019E9" w:rsidR="007E6845" w:rsidP="007E6845" w:rsidRDefault="007E6845" w14:paraId="060B0A57" w14:textId="2157B487">
      <w:pPr>
        <w:pStyle w:val="Prrafodelista"/>
        <w:numPr>
          <w:ilvl w:val="0"/>
          <w:numId w:val="13"/>
        </w:numPr>
        <w:spacing w:before="120" w:after="120" w:line="240" w:lineRule="auto"/>
        <w:contextualSpacing w:val="0"/>
        <w:jc w:val="both"/>
        <w:rPr>
          <w:rFonts w:asciiTheme="majorHAnsi" w:hAnsiTheme="majorHAnsi"/>
          <w:sz w:val="24"/>
          <w:szCs w:val="24"/>
        </w:rPr>
      </w:pPr>
      <w:r w:rsidRPr="00D019E9">
        <w:rPr>
          <w:rFonts w:asciiTheme="majorHAnsi" w:hAnsiTheme="majorHAnsi"/>
          <w:sz w:val="24"/>
          <w:szCs w:val="24"/>
          <w:lang w:val="es-ES"/>
        </w:rPr>
        <w:t xml:space="preserve">El Artículo 4 del Acuerdo SUGEF </w:t>
      </w:r>
      <w:r w:rsidRPr="00D019E9">
        <w:rPr>
          <w:rFonts w:asciiTheme="majorHAnsi" w:hAnsiTheme="majorHAnsi"/>
          <w:sz w:val="24"/>
          <w:szCs w:val="24"/>
        </w:rPr>
        <w:t>17-13</w:t>
      </w:r>
      <w:r w:rsidRPr="00D019E9">
        <w:rPr>
          <w:rFonts w:asciiTheme="majorHAnsi" w:hAnsiTheme="majorHAnsi"/>
          <w:sz w:val="24"/>
          <w:szCs w:val="24"/>
          <w:lang w:val="es-ES"/>
        </w:rPr>
        <w:t xml:space="preserve">, dispone que el Superintendente debe emitir y modificar los </w:t>
      </w:r>
      <w:r>
        <w:rPr>
          <w:rFonts w:asciiTheme="majorHAnsi" w:hAnsiTheme="majorHAnsi"/>
          <w:sz w:val="24"/>
          <w:szCs w:val="24"/>
          <w:lang w:val="es-ES"/>
        </w:rPr>
        <w:t>L</w:t>
      </w:r>
      <w:r w:rsidRPr="00D019E9">
        <w:rPr>
          <w:rFonts w:asciiTheme="majorHAnsi" w:hAnsiTheme="majorHAnsi"/>
          <w:sz w:val="24"/>
          <w:szCs w:val="24"/>
          <w:lang w:val="es-ES"/>
        </w:rPr>
        <w:t xml:space="preserve">ineamientos </w:t>
      </w:r>
      <w:r>
        <w:rPr>
          <w:rFonts w:asciiTheme="majorHAnsi" w:hAnsiTheme="majorHAnsi"/>
          <w:sz w:val="24"/>
          <w:szCs w:val="24"/>
          <w:lang w:val="es-ES"/>
        </w:rPr>
        <w:t>G</w:t>
      </w:r>
      <w:r w:rsidRPr="00D019E9">
        <w:rPr>
          <w:rFonts w:asciiTheme="majorHAnsi" w:hAnsiTheme="majorHAnsi"/>
          <w:sz w:val="24"/>
          <w:szCs w:val="24"/>
          <w:lang w:val="es-ES"/>
        </w:rPr>
        <w:t xml:space="preserve">enerales para una mejor implementación de dicho </w:t>
      </w:r>
      <w:r>
        <w:rPr>
          <w:rFonts w:asciiTheme="majorHAnsi" w:hAnsiTheme="majorHAnsi"/>
          <w:sz w:val="24"/>
          <w:szCs w:val="24"/>
          <w:lang w:val="es-ES"/>
        </w:rPr>
        <w:t>A</w:t>
      </w:r>
      <w:r w:rsidRPr="00D019E9">
        <w:rPr>
          <w:rFonts w:asciiTheme="majorHAnsi" w:hAnsiTheme="majorHAnsi"/>
          <w:sz w:val="24"/>
          <w:szCs w:val="24"/>
          <w:lang w:val="es-ES"/>
        </w:rPr>
        <w:t xml:space="preserve">cuerdo. </w:t>
      </w:r>
    </w:p>
    <w:p w:rsidRPr="00D019E9" w:rsidR="007E6845" w:rsidP="007E6845" w:rsidRDefault="007E6845" w14:paraId="70985975" w14:textId="27D4B5F1">
      <w:pPr>
        <w:pStyle w:val="Prrafodelista"/>
        <w:numPr>
          <w:ilvl w:val="0"/>
          <w:numId w:val="13"/>
        </w:numPr>
        <w:spacing w:before="120" w:after="120" w:line="240" w:lineRule="auto"/>
        <w:contextualSpacing w:val="0"/>
        <w:jc w:val="both"/>
        <w:rPr>
          <w:rFonts w:asciiTheme="majorHAnsi" w:hAnsiTheme="majorHAnsi"/>
          <w:sz w:val="24"/>
          <w:szCs w:val="24"/>
        </w:rPr>
      </w:pPr>
      <w:r w:rsidRPr="00D019E9">
        <w:rPr>
          <w:rFonts w:asciiTheme="majorHAnsi" w:hAnsiTheme="majorHAnsi"/>
          <w:sz w:val="24"/>
          <w:szCs w:val="24"/>
          <w:lang w:val="es-ES"/>
        </w:rPr>
        <w:lastRenderedPageBreak/>
        <w:t xml:space="preserve">El inciso b) </w:t>
      </w:r>
      <w:r>
        <w:rPr>
          <w:rFonts w:asciiTheme="majorHAnsi" w:hAnsiTheme="majorHAnsi"/>
          <w:sz w:val="24"/>
          <w:szCs w:val="24"/>
          <w:lang w:val="es-ES"/>
        </w:rPr>
        <w:t>del A</w:t>
      </w:r>
      <w:r w:rsidRPr="00D019E9">
        <w:rPr>
          <w:rFonts w:asciiTheme="majorHAnsi" w:hAnsiTheme="majorHAnsi"/>
          <w:sz w:val="24"/>
          <w:szCs w:val="24"/>
          <w:lang w:val="es-ES"/>
        </w:rPr>
        <w:t xml:space="preserve">rtículo 131 de la </w:t>
      </w:r>
      <w:r w:rsidRPr="004E6798">
        <w:rPr>
          <w:rFonts w:asciiTheme="majorHAnsi" w:hAnsiTheme="majorHAnsi"/>
          <w:i/>
          <w:sz w:val="24"/>
          <w:szCs w:val="24"/>
          <w:lang w:val="es-ES"/>
        </w:rPr>
        <w:t>Ley Orgánica del Banco Central de Costa Rica</w:t>
      </w:r>
      <w:r w:rsidRPr="00D019E9">
        <w:rPr>
          <w:rFonts w:asciiTheme="majorHAnsi" w:hAnsiTheme="majorHAnsi"/>
          <w:sz w:val="24"/>
          <w:szCs w:val="24"/>
          <w:lang w:val="es-ES"/>
        </w:rPr>
        <w:t>, Ley N° 7558</w:t>
      </w:r>
      <w:r>
        <w:rPr>
          <w:rFonts w:asciiTheme="majorHAnsi" w:hAnsiTheme="majorHAnsi"/>
          <w:sz w:val="24"/>
          <w:szCs w:val="24"/>
          <w:lang w:val="es-ES"/>
        </w:rPr>
        <w:t>,</w:t>
      </w:r>
      <w:r w:rsidRPr="00D019E9">
        <w:rPr>
          <w:rFonts w:asciiTheme="majorHAnsi" w:hAnsiTheme="majorHAnsi"/>
          <w:sz w:val="24"/>
          <w:szCs w:val="24"/>
          <w:lang w:val="es-ES"/>
        </w:rPr>
        <w:t xml:space="preserve"> dispone que le corresponde al Superintendente General de Entidades Financieras tomar las medidas necesarias para ejecutar los acuerdos del C</w:t>
      </w:r>
      <w:r>
        <w:rPr>
          <w:rFonts w:asciiTheme="majorHAnsi" w:hAnsiTheme="majorHAnsi"/>
          <w:sz w:val="24"/>
          <w:szCs w:val="24"/>
          <w:lang w:val="es-ES"/>
        </w:rPr>
        <w:t>ONASSIF</w:t>
      </w:r>
      <w:r w:rsidRPr="00D019E9">
        <w:rPr>
          <w:rFonts w:asciiTheme="majorHAnsi" w:hAnsiTheme="majorHAnsi"/>
          <w:sz w:val="24"/>
          <w:szCs w:val="24"/>
          <w:lang w:val="es-ES"/>
        </w:rPr>
        <w:t>.</w:t>
      </w:r>
    </w:p>
    <w:p w:rsidRPr="00D019E9" w:rsidR="007E6845" w:rsidP="007E6845" w:rsidRDefault="007E6845" w14:paraId="1FACE401" w14:textId="4793C19B">
      <w:pPr>
        <w:pStyle w:val="Prrafodelista"/>
        <w:numPr>
          <w:ilvl w:val="0"/>
          <w:numId w:val="13"/>
        </w:numPr>
        <w:spacing w:before="120" w:after="120" w:line="240" w:lineRule="auto"/>
        <w:contextualSpacing w:val="0"/>
        <w:jc w:val="both"/>
        <w:rPr>
          <w:rFonts w:asciiTheme="majorHAnsi" w:hAnsiTheme="majorHAnsi"/>
          <w:bCs/>
          <w:sz w:val="24"/>
          <w:szCs w:val="24"/>
          <w:lang w:val="es-ES"/>
        </w:rPr>
      </w:pPr>
      <w:r>
        <w:rPr>
          <w:rFonts w:asciiTheme="majorHAnsi" w:hAnsiTheme="majorHAnsi"/>
          <w:bCs/>
          <w:sz w:val="24"/>
          <w:szCs w:val="24"/>
          <w:lang w:val="es-ES"/>
        </w:rPr>
        <w:t>Mediante Artículo 6 del A</w:t>
      </w:r>
      <w:r w:rsidRPr="00D019E9">
        <w:rPr>
          <w:rFonts w:asciiTheme="majorHAnsi" w:hAnsiTheme="majorHAnsi"/>
          <w:bCs/>
          <w:sz w:val="24"/>
          <w:szCs w:val="24"/>
          <w:lang w:val="es-ES"/>
        </w:rPr>
        <w:t xml:space="preserve">cta de sesión 1433-2018 del 30 de julio del 2018, el CONASSIF adicionó </w:t>
      </w:r>
      <w:r>
        <w:rPr>
          <w:rFonts w:asciiTheme="majorHAnsi" w:hAnsiTheme="majorHAnsi"/>
          <w:bCs/>
          <w:sz w:val="24"/>
          <w:szCs w:val="24"/>
          <w:lang w:val="es-ES"/>
        </w:rPr>
        <w:t xml:space="preserve">el </w:t>
      </w:r>
      <w:r w:rsidRPr="00D019E9">
        <w:rPr>
          <w:rFonts w:asciiTheme="majorHAnsi" w:hAnsiTheme="majorHAnsi"/>
          <w:bCs/>
          <w:sz w:val="24"/>
          <w:szCs w:val="24"/>
          <w:lang w:val="es-ES"/>
        </w:rPr>
        <w:t>párrafo 3 al</w:t>
      </w:r>
      <w:r>
        <w:rPr>
          <w:rFonts w:asciiTheme="majorHAnsi" w:hAnsiTheme="majorHAnsi"/>
          <w:bCs/>
          <w:sz w:val="24"/>
          <w:szCs w:val="24"/>
          <w:lang w:val="es-ES"/>
        </w:rPr>
        <w:t xml:space="preserve"> A</w:t>
      </w:r>
      <w:r w:rsidRPr="00D019E9">
        <w:rPr>
          <w:rFonts w:asciiTheme="majorHAnsi" w:hAnsiTheme="majorHAnsi"/>
          <w:bCs/>
          <w:sz w:val="24"/>
          <w:szCs w:val="24"/>
          <w:lang w:val="es-ES"/>
        </w:rPr>
        <w:t xml:space="preserve">rtículo 15. </w:t>
      </w:r>
      <w:r w:rsidRPr="00D019E9">
        <w:rPr>
          <w:rFonts w:asciiTheme="majorHAnsi" w:hAnsiTheme="majorHAnsi"/>
          <w:bCs/>
          <w:i/>
          <w:sz w:val="24"/>
          <w:szCs w:val="24"/>
          <w:lang w:val="es-ES"/>
        </w:rPr>
        <w:t>Indicador de Cobertura de Liquidez</w:t>
      </w:r>
      <w:r w:rsidRPr="00D019E9">
        <w:rPr>
          <w:rFonts w:asciiTheme="majorHAnsi" w:hAnsiTheme="majorHAnsi"/>
          <w:bCs/>
          <w:sz w:val="24"/>
          <w:szCs w:val="24"/>
          <w:lang w:val="es-ES"/>
        </w:rPr>
        <w:t xml:space="preserve"> del </w:t>
      </w:r>
      <w:r>
        <w:rPr>
          <w:rFonts w:asciiTheme="majorHAnsi" w:hAnsiTheme="majorHAnsi"/>
          <w:bCs/>
          <w:sz w:val="24"/>
          <w:szCs w:val="24"/>
          <w:lang w:val="es-ES"/>
        </w:rPr>
        <w:t>A</w:t>
      </w:r>
      <w:r w:rsidRPr="00D019E9">
        <w:rPr>
          <w:rFonts w:asciiTheme="majorHAnsi" w:hAnsiTheme="majorHAnsi"/>
          <w:bCs/>
          <w:sz w:val="24"/>
          <w:szCs w:val="24"/>
          <w:lang w:val="es-ES"/>
        </w:rPr>
        <w:t xml:space="preserve">cuerdo SUGEF 17-13, en el cual dispone que la entidad debe notificar de inmediato a la Superintendencia cuando su </w:t>
      </w:r>
      <w:r>
        <w:rPr>
          <w:rFonts w:asciiTheme="majorHAnsi" w:hAnsiTheme="majorHAnsi"/>
          <w:bCs/>
          <w:sz w:val="24"/>
          <w:szCs w:val="24"/>
          <w:lang w:val="es-ES"/>
        </w:rPr>
        <w:t>ICL ha disminuido</w:t>
      </w:r>
      <w:r w:rsidRPr="00D019E9">
        <w:rPr>
          <w:rFonts w:asciiTheme="majorHAnsi" w:hAnsiTheme="majorHAnsi"/>
          <w:bCs/>
          <w:sz w:val="24"/>
          <w:szCs w:val="24"/>
          <w:lang w:val="es-ES"/>
        </w:rPr>
        <w:t xml:space="preserve">, o es previsible que </w:t>
      </w:r>
      <w:r>
        <w:rPr>
          <w:rFonts w:asciiTheme="majorHAnsi" w:hAnsiTheme="majorHAnsi"/>
          <w:bCs/>
          <w:sz w:val="24"/>
          <w:szCs w:val="24"/>
          <w:lang w:val="es-ES"/>
        </w:rPr>
        <w:t>disminuya</w:t>
      </w:r>
      <w:r w:rsidRPr="00D019E9">
        <w:rPr>
          <w:rFonts w:asciiTheme="majorHAnsi" w:hAnsiTheme="majorHAnsi"/>
          <w:bCs/>
          <w:sz w:val="24"/>
          <w:szCs w:val="24"/>
          <w:lang w:val="es-ES"/>
        </w:rPr>
        <w:t xml:space="preserve"> </w:t>
      </w:r>
      <w:r>
        <w:rPr>
          <w:rFonts w:asciiTheme="majorHAnsi" w:hAnsiTheme="majorHAnsi"/>
          <w:bCs/>
          <w:sz w:val="24"/>
          <w:szCs w:val="24"/>
          <w:lang w:val="es-ES"/>
        </w:rPr>
        <w:t>por debajo del</w:t>
      </w:r>
      <w:r w:rsidRPr="00D019E9">
        <w:rPr>
          <w:rFonts w:asciiTheme="majorHAnsi" w:hAnsiTheme="majorHAnsi"/>
          <w:bCs/>
          <w:sz w:val="24"/>
          <w:szCs w:val="24"/>
          <w:lang w:val="es-ES"/>
        </w:rPr>
        <w:t xml:space="preserve"> 100% y que</w:t>
      </w:r>
      <w:r>
        <w:rPr>
          <w:rFonts w:asciiTheme="majorHAnsi" w:hAnsiTheme="majorHAnsi"/>
          <w:bCs/>
          <w:sz w:val="24"/>
          <w:szCs w:val="24"/>
          <w:lang w:val="es-ES"/>
        </w:rPr>
        <w:t>,</w:t>
      </w:r>
      <w:r w:rsidRPr="00D019E9">
        <w:rPr>
          <w:rFonts w:asciiTheme="majorHAnsi" w:hAnsiTheme="majorHAnsi"/>
          <w:bCs/>
          <w:sz w:val="24"/>
          <w:szCs w:val="24"/>
          <w:lang w:val="es-ES"/>
        </w:rPr>
        <w:t xml:space="preserve"> por medio de Lineamientos Generales, la Superintendencia establecerá la información mínima que debe acompañar la notificación sobre esta situación y que se establecerá los requerimientos mínimos de un </w:t>
      </w:r>
      <w:r w:rsidRPr="00D019E9">
        <w:rPr>
          <w:rFonts w:asciiTheme="majorHAnsi" w:hAnsiTheme="majorHAnsi"/>
          <w:bCs/>
          <w:i/>
          <w:sz w:val="24"/>
          <w:szCs w:val="24"/>
          <w:lang w:val="es-ES"/>
        </w:rPr>
        <w:t>Plan de Restablecimiento de Liquidez</w:t>
      </w:r>
      <w:r w:rsidRPr="00D019E9">
        <w:rPr>
          <w:rFonts w:asciiTheme="majorHAnsi" w:hAnsiTheme="majorHAnsi"/>
          <w:bCs/>
          <w:sz w:val="24"/>
          <w:szCs w:val="24"/>
          <w:lang w:val="es-ES"/>
        </w:rPr>
        <w:t xml:space="preserve"> o un </w:t>
      </w:r>
      <w:r w:rsidRPr="00D019E9">
        <w:rPr>
          <w:rFonts w:asciiTheme="majorHAnsi" w:hAnsiTheme="majorHAnsi"/>
          <w:bCs/>
          <w:i/>
          <w:sz w:val="24"/>
          <w:szCs w:val="24"/>
          <w:lang w:val="es-ES"/>
        </w:rPr>
        <w:t>Informe sobre el Restablecimiento del Faltante de Liquidez</w:t>
      </w:r>
      <w:r w:rsidRPr="00D019E9">
        <w:rPr>
          <w:rFonts w:asciiTheme="majorHAnsi" w:hAnsiTheme="majorHAnsi"/>
          <w:bCs/>
          <w:sz w:val="24"/>
          <w:szCs w:val="24"/>
          <w:lang w:val="es-ES"/>
        </w:rPr>
        <w:t xml:space="preserve">. En ese sentido se reforman los </w:t>
      </w:r>
      <w:r w:rsidRPr="00D019E9">
        <w:rPr>
          <w:rFonts w:asciiTheme="majorHAnsi" w:hAnsiTheme="majorHAnsi"/>
          <w:bCs/>
          <w:i/>
          <w:sz w:val="24"/>
          <w:szCs w:val="24"/>
          <w:lang w:val="es-ES"/>
        </w:rPr>
        <w:t>Lineamientos Generales para el Reglamento sobre la administración del riesgo de liquidez</w:t>
      </w:r>
      <w:r w:rsidRPr="00D019E9">
        <w:rPr>
          <w:rFonts w:asciiTheme="majorHAnsi" w:hAnsiTheme="majorHAnsi"/>
          <w:bCs/>
          <w:sz w:val="24"/>
          <w:szCs w:val="24"/>
          <w:lang w:val="es-ES"/>
        </w:rPr>
        <w:t>, emitidos por el Superintendente mediante re</w:t>
      </w:r>
      <w:r>
        <w:rPr>
          <w:rFonts w:asciiTheme="majorHAnsi" w:hAnsiTheme="majorHAnsi"/>
          <w:bCs/>
          <w:sz w:val="24"/>
          <w:szCs w:val="24"/>
          <w:lang w:val="es-ES"/>
        </w:rPr>
        <w:t xml:space="preserve">solución SUGEF-R-0296-2014 del </w:t>
      </w:r>
      <w:r w:rsidRPr="00D019E9">
        <w:rPr>
          <w:rFonts w:asciiTheme="majorHAnsi" w:hAnsiTheme="majorHAnsi"/>
          <w:bCs/>
          <w:sz w:val="24"/>
          <w:szCs w:val="24"/>
          <w:lang w:val="es-ES"/>
        </w:rPr>
        <w:t xml:space="preserve">2 de mayo del 2014. </w:t>
      </w:r>
    </w:p>
    <w:p w:rsidR="007E6845" w:rsidP="007E6845" w:rsidRDefault="007E6845" w14:paraId="46B3AFA3" w14:textId="36BD8616">
      <w:pPr>
        <w:pStyle w:val="Prrafodelista"/>
        <w:numPr>
          <w:ilvl w:val="0"/>
          <w:numId w:val="13"/>
        </w:numPr>
        <w:spacing w:before="120" w:after="120" w:line="240" w:lineRule="auto"/>
        <w:contextualSpacing w:val="0"/>
        <w:jc w:val="both"/>
        <w:rPr>
          <w:rFonts w:asciiTheme="majorHAnsi" w:hAnsiTheme="majorHAnsi"/>
          <w:bCs/>
          <w:sz w:val="24"/>
          <w:szCs w:val="24"/>
          <w:lang w:val="es-ES"/>
        </w:rPr>
      </w:pPr>
      <w:r>
        <w:rPr>
          <w:rFonts w:asciiTheme="majorHAnsi" w:hAnsiTheme="majorHAnsi"/>
          <w:bCs/>
          <w:sz w:val="24"/>
          <w:szCs w:val="24"/>
          <w:lang w:val="es-ES"/>
        </w:rPr>
        <w:t xml:space="preserve">Asimismo, </w:t>
      </w:r>
      <w:r w:rsidRPr="00D019E9">
        <w:rPr>
          <w:rFonts w:asciiTheme="majorHAnsi" w:hAnsiTheme="majorHAnsi"/>
          <w:bCs/>
          <w:sz w:val="24"/>
          <w:szCs w:val="24"/>
          <w:lang w:val="es-ES"/>
        </w:rPr>
        <w:t>se establece en el párrafo sétimo del artículo 15.</w:t>
      </w:r>
      <w:r>
        <w:rPr>
          <w:rFonts w:asciiTheme="majorHAnsi" w:hAnsiTheme="majorHAnsi"/>
          <w:bCs/>
          <w:i/>
          <w:sz w:val="24"/>
          <w:szCs w:val="24"/>
          <w:lang w:val="es-ES"/>
        </w:rPr>
        <w:t xml:space="preserve"> </w:t>
      </w:r>
      <w:r w:rsidRPr="00D019E9">
        <w:rPr>
          <w:rFonts w:asciiTheme="majorHAnsi" w:hAnsiTheme="majorHAnsi"/>
          <w:bCs/>
          <w:i/>
          <w:sz w:val="24"/>
          <w:szCs w:val="24"/>
          <w:lang w:val="es-ES"/>
        </w:rPr>
        <w:t>Indicador de Cobertura de Liquidez</w:t>
      </w:r>
      <w:r w:rsidRPr="00D019E9">
        <w:rPr>
          <w:rFonts w:asciiTheme="majorHAnsi" w:hAnsiTheme="majorHAnsi"/>
          <w:bCs/>
          <w:sz w:val="24"/>
          <w:szCs w:val="24"/>
          <w:lang w:val="es-ES"/>
        </w:rPr>
        <w:t xml:space="preserve"> del acuerdo SUGEF 17-13, que en los </w:t>
      </w:r>
      <w:r>
        <w:rPr>
          <w:rFonts w:asciiTheme="majorHAnsi" w:hAnsiTheme="majorHAnsi"/>
          <w:bCs/>
          <w:sz w:val="24"/>
          <w:szCs w:val="24"/>
          <w:lang w:val="es-ES"/>
        </w:rPr>
        <w:t>L</w:t>
      </w:r>
      <w:r w:rsidRPr="00D019E9">
        <w:rPr>
          <w:rFonts w:asciiTheme="majorHAnsi" w:hAnsiTheme="majorHAnsi"/>
          <w:bCs/>
          <w:sz w:val="24"/>
          <w:szCs w:val="24"/>
          <w:lang w:val="es-ES"/>
        </w:rPr>
        <w:t xml:space="preserve">ineamientos </w:t>
      </w:r>
      <w:r>
        <w:rPr>
          <w:rFonts w:asciiTheme="majorHAnsi" w:hAnsiTheme="majorHAnsi"/>
          <w:bCs/>
          <w:sz w:val="24"/>
          <w:szCs w:val="24"/>
          <w:lang w:val="es-ES"/>
        </w:rPr>
        <w:t>G</w:t>
      </w:r>
      <w:r w:rsidRPr="00D019E9">
        <w:rPr>
          <w:rFonts w:asciiTheme="majorHAnsi" w:hAnsiTheme="majorHAnsi"/>
          <w:bCs/>
          <w:sz w:val="24"/>
          <w:szCs w:val="24"/>
          <w:lang w:val="es-ES"/>
        </w:rPr>
        <w:t xml:space="preserve">enerales se describirá la forma en que la entidad informará mensualmente a la SUGEF, cuando se realicen intercambios de liquidez entre monedas, por lo que se adiciona la </w:t>
      </w:r>
      <w:r>
        <w:rPr>
          <w:rFonts w:asciiTheme="majorHAnsi" w:hAnsiTheme="majorHAnsi"/>
          <w:bCs/>
          <w:sz w:val="24"/>
          <w:szCs w:val="24"/>
          <w:lang w:val="es-ES"/>
        </w:rPr>
        <w:t>sección correspondiente en los L</w:t>
      </w:r>
      <w:r w:rsidRPr="00D019E9">
        <w:rPr>
          <w:rFonts w:asciiTheme="majorHAnsi" w:hAnsiTheme="majorHAnsi"/>
          <w:bCs/>
          <w:sz w:val="24"/>
          <w:szCs w:val="24"/>
          <w:lang w:val="es-ES"/>
        </w:rPr>
        <w:t xml:space="preserve">ineamientos </w:t>
      </w:r>
      <w:r>
        <w:rPr>
          <w:rFonts w:asciiTheme="majorHAnsi" w:hAnsiTheme="majorHAnsi"/>
          <w:bCs/>
          <w:sz w:val="24"/>
          <w:szCs w:val="24"/>
          <w:lang w:val="es-ES"/>
        </w:rPr>
        <w:t>G</w:t>
      </w:r>
      <w:r w:rsidRPr="00D019E9">
        <w:rPr>
          <w:rFonts w:asciiTheme="majorHAnsi" w:hAnsiTheme="majorHAnsi"/>
          <w:bCs/>
          <w:sz w:val="24"/>
          <w:szCs w:val="24"/>
          <w:lang w:val="es-ES"/>
        </w:rPr>
        <w:t>enerales.</w:t>
      </w:r>
    </w:p>
    <w:p w:rsidRPr="0019166E" w:rsidR="00EC1410" w:rsidP="00EC1410" w:rsidRDefault="0019166E" w14:paraId="375A2596" w14:textId="207FADCE">
      <w:pPr>
        <w:pStyle w:val="Prrafodelista"/>
        <w:numPr>
          <w:ilvl w:val="0"/>
          <w:numId w:val="13"/>
        </w:numPr>
        <w:spacing w:before="120" w:after="120" w:line="240" w:lineRule="auto"/>
        <w:contextualSpacing w:val="0"/>
        <w:jc w:val="both"/>
        <w:rPr>
          <w:rFonts w:asciiTheme="majorHAnsi" w:hAnsiTheme="majorHAnsi"/>
          <w:bCs/>
          <w:sz w:val="24"/>
        </w:rPr>
      </w:pPr>
      <w:r>
        <w:rPr>
          <w:rFonts w:asciiTheme="majorHAnsi" w:hAnsiTheme="majorHAnsi"/>
          <w:bCs/>
          <w:sz w:val="24"/>
          <w:szCs w:val="24"/>
          <w:lang w:val="es-ES"/>
        </w:rPr>
        <w:t xml:space="preserve">El </w:t>
      </w:r>
      <w:r w:rsidRPr="0019166E">
        <w:rPr>
          <w:rFonts w:asciiTheme="majorHAnsi" w:hAnsiTheme="majorHAnsi"/>
          <w:bCs/>
          <w:sz w:val="24"/>
        </w:rPr>
        <w:t>párrafo último del inciso i.</w:t>
      </w:r>
      <w:r w:rsidR="0058350E">
        <w:rPr>
          <w:rFonts w:asciiTheme="majorHAnsi" w:hAnsiTheme="majorHAnsi"/>
          <w:bCs/>
          <w:sz w:val="24"/>
        </w:rPr>
        <w:t xml:space="preserve"> del acápite G) del Artículo 17.</w:t>
      </w:r>
      <w:r w:rsidR="00EC1410">
        <w:rPr>
          <w:rFonts w:asciiTheme="majorHAnsi" w:hAnsiTheme="majorHAnsi"/>
          <w:bCs/>
          <w:sz w:val="24"/>
        </w:rPr>
        <w:t xml:space="preserve"> Salidas de efectivo totales</w:t>
      </w:r>
      <w:r w:rsidRPr="0019166E">
        <w:rPr>
          <w:rFonts w:asciiTheme="majorHAnsi" w:hAnsiTheme="majorHAnsi"/>
          <w:bCs/>
          <w:sz w:val="24"/>
        </w:rPr>
        <w:t xml:space="preserve"> del </w:t>
      </w:r>
      <w:r w:rsidRPr="00EC1410">
        <w:rPr>
          <w:rFonts w:asciiTheme="majorHAnsi" w:hAnsiTheme="majorHAnsi"/>
          <w:bCs/>
          <w:i/>
          <w:sz w:val="24"/>
        </w:rPr>
        <w:t>Reglamento sobre Administración del Riesgo de Liquidez</w:t>
      </w:r>
      <w:r w:rsidR="0058350E">
        <w:rPr>
          <w:rFonts w:asciiTheme="majorHAnsi" w:hAnsiTheme="majorHAnsi"/>
          <w:bCs/>
          <w:sz w:val="24"/>
        </w:rPr>
        <w:t xml:space="preserve"> establece que </w:t>
      </w:r>
      <w:r w:rsidR="00C24CF4">
        <w:rPr>
          <w:rFonts w:asciiTheme="majorHAnsi" w:hAnsiTheme="majorHAnsi"/>
          <w:bCs/>
          <w:sz w:val="24"/>
        </w:rPr>
        <w:t>la entidad debe computar</w:t>
      </w:r>
      <w:r w:rsidR="0058350E">
        <w:rPr>
          <w:rFonts w:asciiTheme="majorHAnsi" w:hAnsiTheme="majorHAnsi"/>
          <w:bCs/>
          <w:sz w:val="24"/>
        </w:rPr>
        <w:t xml:space="preserve"> el uso de la </w:t>
      </w:r>
      <w:r w:rsidRPr="0058350E" w:rsidR="0058350E">
        <w:rPr>
          <w:rFonts w:asciiTheme="majorHAnsi" w:hAnsiTheme="majorHAnsi"/>
          <w:bCs/>
          <w:sz w:val="24"/>
          <w:lang w:val="es-ES"/>
        </w:rPr>
        <w:t xml:space="preserve">línea crédito de utilización automática de clientes minoristas, </w:t>
      </w:r>
      <w:r w:rsidR="00D071D0">
        <w:rPr>
          <w:rFonts w:asciiTheme="majorHAnsi" w:hAnsiTheme="majorHAnsi"/>
          <w:bCs/>
          <w:sz w:val="24"/>
          <w:lang w:val="es-ES"/>
        </w:rPr>
        <w:t xml:space="preserve">para lo cual se propone en los Lineamientos Generales, </w:t>
      </w:r>
      <w:r w:rsidR="00C24CF4">
        <w:rPr>
          <w:rFonts w:asciiTheme="majorHAnsi" w:hAnsiTheme="majorHAnsi"/>
          <w:bCs/>
          <w:sz w:val="24"/>
          <w:lang w:val="es-ES"/>
        </w:rPr>
        <w:t>con el propósito de uniformar</w:t>
      </w:r>
      <w:r w:rsidR="00D071D0">
        <w:rPr>
          <w:rFonts w:asciiTheme="majorHAnsi" w:hAnsiTheme="majorHAnsi"/>
          <w:bCs/>
          <w:sz w:val="24"/>
          <w:lang w:val="es-ES"/>
        </w:rPr>
        <w:t xml:space="preserve">, </w:t>
      </w:r>
      <w:r w:rsidR="00C24CF4">
        <w:rPr>
          <w:rFonts w:asciiTheme="majorHAnsi" w:hAnsiTheme="majorHAnsi"/>
          <w:bCs/>
          <w:sz w:val="24"/>
          <w:lang w:val="es-ES"/>
        </w:rPr>
        <w:t xml:space="preserve">el </w:t>
      </w:r>
      <w:r w:rsidR="00D071D0">
        <w:rPr>
          <w:rFonts w:asciiTheme="majorHAnsi" w:hAnsiTheme="majorHAnsi"/>
          <w:bCs/>
          <w:sz w:val="24"/>
          <w:lang w:val="es-ES"/>
        </w:rPr>
        <w:t xml:space="preserve">contenido mínimo del </w:t>
      </w:r>
      <w:r w:rsidR="00C24CF4">
        <w:rPr>
          <w:rFonts w:asciiTheme="majorHAnsi" w:hAnsiTheme="majorHAnsi"/>
          <w:bCs/>
          <w:sz w:val="24"/>
          <w:lang w:val="es-ES"/>
        </w:rPr>
        <w:t xml:space="preserve">informe que se espera que </w:t>
      </w:r>
      <w:r w:rsidR="006F21EC">
        <w:rPr>
          <w:rFonts w:asciiTheme="majorHAnsi" w:hAnsiTheme="majorHAnsi"/>
          <w:bCs/>
          <w:sz w:val="24"/>
          <w:lang w:val="es-ES"/>
        </w:rPr>
        <w:t xml:space="preserve">la entidad </w:t>
      </w:r>
      <w:r w:rsidR="006F21EC">
        <w:rPr>
          <w:rFonts w:asciiTheme="majorHAnsi" w:hAnsiTheme="majorHAnsi"/>
          <w:bCs/>
          <w:sz w:val="24"/>
          <w:lang w:val="es-ES"/>
        </w:rPr>
        <w:lastRenderedPageBreak/>
        <w:t>tenga a disposición de la SUGEF</w:t>
      </w:r>
      <w:r w:rsidR="00D071D0">
        <w:rPr>
          <w:rFonts w:asciiTheme="majorHAnsi" w:hAnsiTheme="majorHAnsi"/>
          <w:bCs/>
          <w:sz w:val="24"/>
          <w:lang w:val="es-ES"/>
        </w:rPr>
        <w:t xml:space="preserve"> y la periodicidad de su actualización</w:t>
      </w:r>
      <w:r w:rsidRPr="00C24CF4" w:rsidR="00EC1410">
        <w:rPr>
          <w:rFonts w:asciiTheme="majorHAnsi" w:hAnsiTheme="majorHAnsi"/>
          <w:bCs/>
          <w:sz w:val="24"/>
        </w:rPr>
        <w:t xml:space="preserve">. </w:t>
      </w:r>
    </w:p>
    <w:p w:rsidRPr="0019166E" w:rsidR="0019166E" w:rsidP="0019166E" w:rsidRDefault="0019166E" w14:paraId="4EAC0366" w14:textId="69BD512A">
      <w:pPr>
        <w:spacing w:line="240" w:lineRule="auto"/>
        <w:ind w:left="709"/>
        <w:rPr>
          <w:rFonts w:eastAsia="Calibri" w:asciiTheme="majorHAnsi" w:hAnsiTheme="majorHAnsi"/>
          <w:bCs/>
          <w:sz w:val="24"/>
        </w:rPr>
      </w:pPr>
    </w:p>
    <w:p w:rsidRPr="00D019E9" w:rsidR="007E6845" w:rsidP="007E6845" w:rsidRDefault="007E6845" w14:paraId="3D42B30F" w14:textId="77777777">
      <w:pPr>
        <w:spacing w:before="120" w:after="120" w:line="240" w:lineRule="auto"/>
        <w:ind w:left="33"/>
        <w:rPr>
          <w:rFonts w:asciiTheme="majorHAnsi" w:hAnsiTheme="majorHAnsi"/>
          <w:sz w:val="24"/>
        </w:rPr>
      </w:pPr>
      <w:r w:rsidRPr="00D019E9">
        <w:rPr>
          <w:rFonts w:asciiTheme="majorHAnsi" w:hAnsiTheme="majorHAnsi"/>
          <w:b/>
          <w:sz w:val="24"/>
        </w:rPr>
        <w:t>Dispone</w:t>
      </w:r>
      <w:r w:rsidRPr="00D019E9">
        <w:rPr>
          <w:rFonts w:asciiTheme="majorHAnsi" w:hAnsiTheme="majorHAnsi"/>
          <w:sz w:val="24"/>
        </w:rPr>
        <w:t>:</w:t>
      </w:r>
    </w:p>
    <w:p w:rsidRPr="00FC2294" w:rsidR="007E6845" w:rsidP="007E6845" w:rsidRDefault="007E6845" w14:paraId="42DC1DBE" w14:textId="1B8FFF98">
      <w:pPr>
        <w:spacing w:before="120" w:after="120" w:line="240" w:lineRule="auto"/>
        <w:ind w:left="33"/>
        <w:rPr>
          <w:rFonts w:asciiTheme="majorHAnsi" w:hAnsiTheme="majorHAnsi"/>
          <w:sz w:val="24"/>
        </w:rPr>
      </w:pPr>
      <w:r w:rsidRPr="00FC2294">
        <w:rPr>
          <w:rFonts w:asciiTheme="majorHAnsi" w:hAnsiTheme="majorHAnsi"/>
          <w:sz w:val="24"/>
        </w:rPr>
        <w:t xml:space="preserve">Modificar los </w:t>
      </w:r>
      <w:r w:rsidRPr="00FC2294">
        <w:rPr>
          <w:rFonts w:asciiTheme="majorHAnsi" w:hAnsiTheme="majorHAnsi"/>
          <w:bCs/>
          <w:i/>
          <w:sz w:val="24"/>
        </w:rPr>
        <w:t>Lineamientos Generales para el Reglamento sobre la administración del riesgo de liquidez</w:t>
      </w:r>
      <w:r w:rsidR="0019166E">
        <w:rPr>
          <w:rFonts w:asciiTheme="majorHAnsi" w:hAnsiTheme="majorHAnsi"/>
          <w:bCs/>
          <w:i/>
          <w:sz w:val="24"/>
        </w:rPr>
        <w:t>,</w:t>
      </w:r>
      <w:r w:rsidRPr="00FC2294">
        <w:rPr>
          <w:rFonts w:asciiTheme="majorHAnsi" w:hAnsiTheme="majorHAnsi"/>
          <w:bCs/>
          <w:sz w:val="24"/>
        </w:rPr>
        <w:t xml:space="preserve"> </w:t>
      </w:r>
      <w:r w:rsidR="00EE388F">
        <w:rPr>
          <w:rFonts w:asciiTheme="majorHAnsi" w:hAnsiTheme="majorHAnsi"/>
          <w:bCs/>
          <w:sz w:val="24"/>
        </w:rPr>
        <w:t xml:space="preserve">Acuerdo </w:t>
      </w:r>
      <w:r w:rsidR="00CC22C3">
        <w:rPr>
          <w:rFonts w:asciiTheme="majorHAnsi" w:hAnsiTheme="majorHAnsi"/>
          <w:bCs/>
          <w:sz w:val="24"/>
        </w:rPr>
        <w:t>SUGEF 1</w:t>
      </w:r>
      <w:r w:rsidR="00EE388F">
        <w:rPr>
          <w:rFonts w:asciiTheme="majorHAnsi" w:hAnsiTheme="majorHAnsi"/>
          <w:bCs/>
          <w:sz w:val="24"/>
        </w:rPr>
        <w:t>7-13</w:t>
      </w:r>
      <w:r w:rsidR="0019166E">
        <w:rPr>
          <w:rFonts w:asciiTheme="majorHAnsi" w:hAnsiTheme="majorHAnsi"/>
          <w:bCs/>
          <w:sz w:val="24"/>
        </w:rPr>
        <w:t>,</w:t>
      </w:r>
      <w:r w:rsidR="00EE388F">
        <w:rPr>
          <w:rFonts w:asciiTheme="majorHAnsi" w:hAnsiTheme="majorHAnsi"/>
          <w:bCs/>
          <w:sz w:val="24"/>
        </w:rPr>
        <w:t xml:space="preserve"> </w:t>
      </w:r>
      <w:r w:rsidRPr="00FC2294">
        <w:rPr>
          <w:rFonts w:asciiTheme="majorHAnsi" w:hAnsiTheme="majorHAnsi"/>
          <w:sz w:val="24"/>
        </w:rPr>
        <w:t>conforme se indica seguidamente:</w:t>
      </w:r>
    </w:p>
    <w:p w:rsidRPr="00FC2294" w:rsidR="007E6845" w:rsidP="007E6845" w:rsidRDefault="007E6845" w14:paraId="116DCCF4" w14:textId="02B26097">
      <w:pPr>
        <w:pStyle w:val="Prrafodelista"/>
        <w:numPr>
          <w:ilvl w:val="0"/>
          <w:numId w:val="15"/>
        </w:numPr>
        <w:spacing w:before="120" w:after="120" w:line="240" w:lineRule="auto"/>
        <w:jc w:val="both"/>
        <w:rPr>
          <w:rFonts w:asciiTheme="majorHAnsi" w:hAnsiTheme="majorHAnsi"/>
          <w:sz w:val="24"/>
          <w:szCs w:val="24"/>
        </w:rPr>
      </w:pPr>
      <w:r w:rsidRPr="00FC2294">
        <w:rPr>
          <w:rFonts w:asciiTheme="majorHAnsi" w:hAnsiTheme="majorHAnsi"/>
          <w:sz w:val="24"/>
          <w:szCs w:val="24"/>
        </w:rPr>
        <w:t xml:space="preserve">Adicionar a los </w:t>
      </w:r>
      <w:r w:rsidRPr="00FC2294">
        <w:rPr>
          <w:rFonts w:asciiTheme="majorHAnsi" w:hAnsiTheme="majorHAnsi"/>
          <w:bCs/>
          <w:i/>
          <w:sz w:val="24"/>
          <w:szCs w:val="24"/>
        </w:rPr>
        <w:t>Lineamientos Generales para el Reglamento sobre la Administración del Riesgo de Liquidez</w:t>
      </w:r>
      <w:r w:rsidRPr="00FC2294">
        <w:rPr>
          <w:rFonts w:asciiTheme="majorHAnsi" w:hAnsiTheme="majorHAnsi"/>
          <w:sz w:val="24"/>
          <w:szCs w:val="24"/>
        </w:rPr>
        <w:t xml:space="preserve">, </w:t>
      </w:r>
      <w:r w:rsidR="00E9207B">
        <w:rPr>
          <w:rFonts w:asciiTheme="majorHAnsi" w:hAnsiTheme="majorHAnsi"/>
          <w:bCs/>
          <w:sz w:val="24"/>
        </w:rPr>
        <w:t xml:space="preserve">Acuerdo </w:t>
      </w:r>
      <w:r w:rsidR="00D7707B">
        <w:rPr>
          <w:rFonts w:asciiTheme="majorHAnsi" w:hAnsiTheme="majorHAnsi"/>
          <w:bCs/>
          <w:sz w:val="24"/>
        </w:rPr>
        <w:t>SUGEF</w:t>
      </w:r>
      <w:r w:rsidR="00E9207B">
        <w:rPr>
          <w:rFonts w:asciiTheme="majorHAnsi" w:hAnsiTheme="majorHAnsi"/>
          <w:bCs/>
          <w:sz w:val="24"/>
        </w:rPr>
        <w:t xml:space="preserve"> 17-13  </w:t>
      </w:r>
      <w:r w:rsidRPr="00FC2294">
        <w:rPr>
          <w:rFonts w:asciiTheme="majorHAnsi" w:hAnsiTheme="majorHAnsi"/>
          <w:sz w:val="24"/>
          <w:szCs w:val="24"/>
        </w:rPr>
        <w:t xml:space="preserve">la sección </w:t>
      </w:r>
      <w:r w:rsidRPr="00FC2294">
        <w:rPr>
          <w:rFonts w:asciiTheme="majorHAnsi" w:hAnsiTheme="majorHAnsi"/>
          <w:b/>
          <w:i/>
          <w:sz w:val="24"/>
          <w:szCs w:val="24"/>
        </w:rPr>
        <w:t>11. “Requerimientos mínimos del Plan de Restablecimiento de Liquidez, cuando el Indicador de Cobertura de Liquidez sea inferior al 100%, causado por una situación de tensión</w:t>
      </w:r>
      <w:r w:rsidRPr="00FC2294">
        <w:rPr>
          <w:rFonts w:asciiTheme="majorHAnsi" w:hAnsiTheme="majorHAnsi"/>
          <w:sz w:val="24"/>
          <w:szCs w:val="24"/>
        </w:rPr>
        <w:t>”,  conforme se detalla seguidamente:</w:t>
      </w:r>
    </w:p>
    <w:p w:rsidRPr="006D73B9" w:rsidR="007E6845" w:rsidP="007E6845" w:rsidRDefault="007E6845" w14:paraId="3C5C78B2" w14:textId="637B02EB">
      <w:pPr>
        <w:pStyle w:val="Estilo2"/>
        <w:widowControl w:val="0"/>
        <w:spacing w:after="120" w:line="240" w:lineRule="auto"/>
        <w:ind w:left="284" w:right="283"/>
        <w:jc w:val="both"/>
        <w:rPr>
          <w:rFonts w:ascii="Cambria" w:hAnsi="Cambria" w:cs="Times New Roman"/>
          <w:b w:val="0"/>
        </w:rPr>
      </w:pPr>
      <w:r w:rsidRPr="00FC2294">
        <w:rPr>
          <w:rFonts w:ascii="Cambria" w:hAnsi="Cambria" w:cs="Times New Roman"/>
          <w:i/>
        </w:rPr>
        <w:t>“11. R</w:t>
      </w:r>
      <w:r w:rsidRPr="00FC2294">
        <w:rPr>
          <w:rFonts w:asciiTheme="majorHAnsi" w:hAnsiTheme="majorHAnsi"/>
          <w:i/>
        </w:rPr>
        <w:t>equerimientos mínimos del Plan de Restablecimiento de Liquidez, cuando el Indicador de Cobertura de Liquidez sea inferior al 100%, causad</w:t>
      </w:r>
      <w:r>
        <w:rPr>
          <w:rFonts w:asciiTheme="majorHAnsi" w:hAnsiTheme="majorHAnsi"/>
          <w:i/>
        </w:rPr>
        <w:t>o</w:t>
      </w:r>
      <w:r w:rsidRPr="00FC2294">
        <w:rPr>
          <w:rFonts w:asciiTheme="majorHAnsi" w:hAnsiTheme="majorHAnsi"/>
          <w:i/>
        </w:rPr>
        <w:t xml:space="preserve"> por una situación de tensión”.</w:t>
      </w:r>
    </w:p>
    <w:p w:rsidRPr="006D73B9" w:rsidR="007E6845" w:rsidP="007E6845" w:rsidRDefault="007E6845" w14:paraId="428F0627" w14:textId="23742C21">
      <w:pPr>
        <w:widowControl w:val="0"/>
        <w:spacing w:after="120" w:line="240" w:lineRule="auto"/>
        <w:ind w:left="284" w:right="283"/>
        <w:rPr>
          <w:sz w:val="24"/>
          <w:lang w:val="es-MX"/>
        </w:rPr>
      </w:pPr>
      <w:r w:rsidRPr="00FC2294">
        <w:rPr>
          <w:b/>
          <w:i/>
          <w:sz w:val="24"/>
          <w:lang w:val="es-MX"/>
        </w:rPr>
        <w:t>Objetivo</w:t>
      </w:r>
      <w:r w:rsidRPr="00FC2294">
        <w:rPr>
          <w:i/>
          <w:sz w:val="24"/>
          <w:lang w:val="es-MX"/>
        </w:rPr>
        <w:t>: Definir la información que la entidad remitirá a la SUGEF sobre el Plan de restablecimiento de liquidez, cuando el Indicador de Cobertura de Liquidez sea inferior al 100%, causad</w:t>
      </w:r>
      <w:r>
        <w:rPr>
          <w:i/>
          <w:sz w:val="24"/>
          <w:lang w:val="es-MX"/>
        </w:rPr>
        <w:t>o</w:t>
      </w:r>
      <w:r w:rsidRPr="00FC2294">
        <w:rPr>
          <w:i/>
          <w:sz w:val="24"/>
          <w:lang w:val="es-MX"/>
        </w:rPr>
        <w:t xml:space="preserve"> por una situación de tensión. </w:t>
      </w:r>
    </w:p>
    <w:p w:rsidRPr="006D73B9" w:rsidR="007E6845" w:rsidP="007E6845" w:rsidRDefault="007E6845" w14:paraId="03EBD692" w14:textId="77777777">
      <w:pPr>
        <w:widowControl w:val="0"/>
        <w:spacing w:after="120" w:line="240" w:lineRule="auto"/>
        <w:ind w:left="284" w:right="283"/>
        <w:rPr>
          <w:rFonts w:asciiTheme="majorHAnsi" w:hAnsiTheme="majorHAnsi"/>
          <w:sz w:val="24"/>
        </w:rPr>
      </w:pPr>
      <w:r>
        <w:rPr>
          <w:rFonts w:asciiTheme="majorHAnsi" w:hAnsiTheme="majorHAnsi"/>
          <w:i/>
          <w:sz w:val="24"/>
          <w:lang w:val="es-CR"/>
        </w:rPr>
        <w:t xml:space="preserve">Se espera que la </w:t>
      </w:r>
      <w:r w:rsidRPr="00FC2294">
        <w:rPr>
          <w:rFonts w:asciiTheme="majorHAnsi" w:hAnsiTheme="majorHAnsi"/>
          <w:i/>
          <w:sz w:val="24"/>
          <w:lang w:val="es-CR"/>
        </w:rPr>
        <w:t>entidad adjunt</w:t>
      </w:r>
      <w:r>
        <w:rPr>
          <w:rFonts w:asciiTheme="majorHAnsi" w:hAnsiTheme="majorHAnsi"/>
          <w:i/>
          <w:sz w:val="24"/>
          <w:lang w:val="es-CR"/>
        </w:rPr>
        <w:t>e</w:t>
      </w:r>
      <w:r w:rsidRPr="00FC2294">
        <w:rPr>
          <w:rFonts w:asciiTheme="majorHAnsi" w:hAnsiTheme="majorHAnsi"/>
          <w:i/>
          <w:sz w:val="24"/>
          <w:lang w:val="es-CR"/>
        </w:rPr>
        <w:t xml:space="preserve"> a la notificación</w:t>
      </w:r>
      <w:r>
        <w:rPr>
          <w:rFonts w:asciiTheme="majorHAnsi" w:hAnsiTheme="majorHAnsi"/>
          <w:i/>
          <w:sz w:val="24"/>
          <w:lang w:val="es-CR"/>
        </w:rPr>
        <w:t>,</w:t>
      </w:r>
      <w:r w:rsidRPr="00FC2294">
        <w:rPr>
          <w:rFonts w:asciiTheme="majorHAnsi" w:hAnsiTheme="majorHAnsi"/>
          <w:i/>
          <w:sz w:val="24"/>
          <w:lang w:val="es-CR"/>
        </w:rPr>
        <w:t xml:space="preserve"> un </w:t>
      </w:r>
      <w:r w:rsidRPr="00FC2294">
        <w:rPr>
          <w:rFonts w:asciiTheme="majorHAnsi" w:hAnsiTheme="majorHAnsi"/>
          <w:i/>
          <w:sz w:val="24"/>
        </w:rPr>
        <w:t>informe que explique las causas de la caída del Indicador de Cobertura de Liquidez por debajo del 100%, o la expectativa de las causas que darán lugar a dicha situación; las medidas que se aplicarán para que el Indicador de Cobertura de Liquidez sea al menos del 100%; las expectativas sobre la posible duración de la situación; y la activación del Plan de Contingencia de Liquidez de la entidad.</w:t>
      </w:r>
    </w:p>
    <w:p w:rsidRPr="006D73B9" w:rsidR="007E6845" w:rsidP="007E6845" w:rsidRDefault="007E6845" w14:paraId="09934EB2" w14:textId="77777777">
      <w:pPr>
        <w:widowControl w:val="0"/>
        <w:spacing w:after="120" w:line="240" w:lineRule="auto"/>
        <w:ind w:left="283" w:right="283"/>
        <w:rPr>
          <w:rFonts w:asciiTheme="majorHAnsi" w:hAnsiTheme="majorHAnsi"/>
          <w:sz w:val="24"/>
          <w:lang w:val="es-MX"/>
        </w:rPr>
      </w:pPr>
      <w:r w:rsidRPr="00FC2294">
        <w:rPr>
          <w:rFonts w:asciiTheme="majorHAnsi" w:hAnsiTheme="majorHAnsi"/>
          <w:i/>
          <w:sz w:val="24"/>
        </w:rPr>
        <w:t>La entidad debe presentar un Plan de Restablecimiento de Liquidez en un plazo no mayor a los cinco días hábiles, posterior a la notificación. Este plan deberá comprender, al menos, los elementos siguientes:</w:t>
      </w:r>
    </w:p>
    <w:p w:rsidRPr="006D73B9" w:rsidR="007E6845" w:rsidP="007E6845" w:rsidRDefault="007E6845" w14:paraId="733ECA38" w14:textId="77777777">
      <w:pPr>
        <w:pStyle w:val="Prrafodelista"/>
        <w:numPr>
          <w:ilvl w:val="0"/>
          <w:numId w:val="14"/>
        </w:numPr>
        <w:jc w:val="both"/>
        <w:rPr>
          <w:rFonts w:asciiTheme="majorHAnsi" w:hAnsiTheme="majorHAnsi"/>
          <w:sz w:val="24"/>
          <w:szCs w:val="24"/>
          <w:lang w:val="es-MX"/>
        </w:rPr>
      </w:pPr>
      <w:r w:rsidRPr="00FC2294">
        <w:rPr>
          <w:rFonts w:asciiTheme="majorHAnsi" w:hAnsiTheme="majorHAnsi"/>
          <w:i/>
          <w:sz w:val="24"/>
          <w:szCs w:val="24"/>
          <w:lang w:val="es-MX"/>
        </w:rPr>
        <w:lastRenderedPageBreak/>
        <w:t>El porcentaje y monto del faltante de liquidez según el Índice de Cobertura de Liquidez.</w:t>
      </w:r>
    </w:p>
    <w:p w:rsidRPr="006D73B9" w:rsidR="007E6845" w:rsidP="007E6845" w:rsidRDefault="007E6845" w14:paraId="4AE0B217" w14:textId="77777777">
      <w:pPr>
        <w:pStyle w:val="Prrafodelista"/>
        <w:numPr>
          <w:ilvl w:val="0"/>
          <w:numId w:val="14"/>
        </w:numPr>
        <w:jc w:val="both"/>
        <w:rPr>
          <w:rFonts w:asciiTheme="majorHAnsi" w:hAnsiTheme="majorHAnsi"/>
          <w:sz w:val="24"/>
          <w:szCs w:val="24"/>
          <w:lang w:val="es-MX"/>
        </w:rPr>
      </w:pPr>
      <w:r w:rsidRPr="00FC2294">
        <w:rPr>
          <w:rFonts w:asciiTheme="majorHAnsi" w:hAnsiTheme="majorHAnsi"/>
          <w:i/>
          <w:sz w:val="24"/>
          <w:szCs w:val="24"/>
          <w:lang w:val="es-MX"/>
        </w:rPr>
        <w:t>Identificar las fuentes de recursos para incrementar sus Activos Líquidos de Alta Calidad, o bien reducir las Salidas Netas de Efectivo.</w:t>
      </w:r>
    </w:p>
    <w:p w:rsidRPr="006D73B9" w:rsidR="007E6845" w:rsidP="007E6845" w:rsidRDefault="007E6845" w14:paraId="291CFDFD" w14:textId="77777777">
      <w:pPr>
        <w:pStyle w:val="Prrafodelista"/>
        <w:numPr>
          <w:ilvl w:val="0"/>
          <w:numId w:val="14"/>
        </w:numPr>
        <w:jc w:val="both"/>
        <w:rPr>
          <w:rFonts w:asciiTheme="majorHAnsi" w:hAnsiTheme="majorHAnsi"/>
          <w:sz w:val="24"/>
          <w:szCs w:val="24"/>
          <w:lang w:val="es-MX"/>
        </w:rPr>
      </w:pPr>
      <w:r w:rsidRPr="00FC2294">
        <w:rPr>
          <w:rFonts w:asciiTheme="majorHAnsi" w:hAnsiTheme="majorHAnsi"/>
          <w:i/>
          <w:sz w:val="24"/>
          <w:szCs w:val="24"/>
          <w:lang w:val="es-MX"/>
        </w:rPr>
        <w:t>Indicar el plazo en el cual la entidad pretende que el Indicador de Cobertura de Liquidez sea al menos del 100%. Este plazo no deberá exceder los tres meses.</w:t>
      </w:r>
    </w:p>
    <w:p w:rsidRPr="006D73B9" w:rsidR="007E6845" w:rsidP="007E6845" w:rsidRDefault="007E6845" w14:paraId="5848A063" w14:textId="5D4B955E">
      <w:pPr>
        <w:pStyle w:val="Prrafodelista"/>
        <w:numPr>
          <w:ilvl w:val="0"/>
          <w:numId w:val="14"/>
        </w:numPr>
        <w:jc w:val="both"/>
        <w:rPr>
          <w:rFonts w:asciiTheme="majorHAnsi" w:hAnsiTheme="majorHAnsi"/>
          <w:sz w:val="24"/>
          <w:szCs w:val="24"/>
          <w:lang w:val="es-MX"/>
        </w:rPr>
      </w:pPr>
      <w:r w:rsidRPr="00FC2294">
        <w:rPr>
          <w:rFonts w:asciiTheme="majorHAnsi" w:hAnsiTheme="majorHAnsi"/>
          <w:i/>
          <w:sz w:val="24"/>
          <w:szCs w:val="24"/>
          <w:lang w:val="es-MX"/>
        </w:rPr>
        <w:t xml:space="preserve">Un </w:t>
      </w:r>
      <w:r>
        <w:rPr>
          <w:rFonts w:asciiTheme="majorHAnsi" w:hAnsiTheme="majorHAnsi"/>
          <w:i/>
          <w:sz w:val="24"/>
          <w:szCs w:val="24"/>
          <w:lang w:val="es-MX"/>
        </w:rPr>
        <w:t xml:space="preserve">plan de acción mediante el cual </w:t>
      </w:r>
      <w:r w:rsidRPr="00FC2294">
        <w:rPr>
          <w:rFonts w:asciiTheme="majorHAnsi" w:hAnsiTheme="majorHAnsi"/>
          <w:i/>
          <w:sz w:val="24"/>
          <w:szCs w:val="24"/>
          <w:lang w:val="es-MX"/>
        </w:rPr>
        <w:t xml:space="preserve">la entidad </w:t>
      </w:r>
      <w:r>
        <w:rPr>
          <w:rFonts w:asciiTheme="majorHAnsi" w:hAnsiTheme="majorHAnsi"/>
          <w:i/>
          <w:sz w:val="24"/>
          <w:szCs w:val="24"/>
          <w:lang w:val="es-MX"/>
        </w:rPr>
        <w:t>logrará que</w:t>
      </w:r>
      <w:r w:rsidRPr="00FC2294">
        <w:rPr>
          <w:rFonts w:asciiTheme="majorHAnsi" w:hAnsiTheme="majorHAnsi"/>
          <w:i/>
          <w:sz w:val="24"/>
          <w:szCs w:val="24"/>
          <w:lang w:val="es-MX"/>
        </w:rPr>
        <w:t xml:space="preserve"> </w:t>
      </w:r>
      <w:r>
        <w:rPr>
          <w:rFonts w:asciiTheme="majorHAnsi" w:hAnsiTheme="majorHAnsi"/>
          <w:i/>
          <w:sz w:val="24"/>
          <w:szCs w:val="24"/>
          <w:lang w:val="es-MX"/>
        </w:rPr>
        <w:t>el Índice de Cobertura de Liquidez sea al menos del 100%</w:t>
      </w:r>
      <w:r w:rsidRPr="00FC2294">
        <w:rPr>
          <w:rFonts w:asciiTheme="majorHAnsi" w:hAnsiTheme="majorHAnsi"/>
          <w:i/>
          <w:sz w:val="24"/>
          <w:szCs w:val="24"/>
          <w:lang w:val="es-MX"/>
        </w:rPr>
        <w:t xml:space="preserve">, precisando </w:t>
      </w:r>
      <w:r>
        <w:rPr>
          <w:rFonts w:asciiTheme="majorHAnsi" w:hAnsiTheme="majorHAnsi"/>
          <w:i/>
          <w:sz w:val="24"/>
          <w:szCs w:val="24"/>
          <w:lang w:val="es-MX"/>
        </w:rPr>
        <w:t xml:space="preserve">las actividades y </w:t>
      </w:r>
      <w:r w:rsidRPr="00FC2294">
        <w:rPr>
          <w:rFonts w:asciiTheme="majorHAnsi" w:hAnsiTheme="majorHAnsi"/>
          <w:i/>
          <w:sz w:val="24"/>
          <w:szCs w:val="24"/>
          <w:lang w:val="es-MX"/>
        </w:rPr>
        <w:t>las fechas o etapas en las que pretenda llevar a cabo cada una de las acciones necesarias para restaurar su situación de liquidez.</w:t>
      </w:r>
    </w:p>
    <w:p w:rsidRPr="006D73B9" w:rsidR="007E6845" w:rsidP="007E6845" w:rsidRDefault="007E6845" w14:paraId="753DC8C2" w14:textId="77777777">
      <w:pPr>
        <w:pStyle w:val="Prrafodelista"/>
        <w:numPr>
          <w:ilvl w:val="0"/>
          <w:numId w:val="14"/>
        </w:numPr>
        <w:jc w:val="both"/>
        <w:rPr>
          <w:rFonts w:asciiTheme="majorHAnsi" w:hAnsiTheme="majorHAnsi"/>
          <w:sz w:val="24"/>
          <w:szCs w:val="24"/>
          <w:lang w:val="es-MX"/>
        </w:rPr>
      </w:pPr>
      <w:r w:rsidRPr="00FC2294">
        <w:rPr>
          <w:rFonts w:asciiTheme="majorHAnsi" w:hAnsiTheme="majorHAnsi"/>
          <w:i/>
          <w:sz w:val="24"/>
          <w:szCs w:val="24"/>
          <w:lang w:val="es-MX"/>
        </w:rPr>
        <w:t xml:space="preserve">Detalle de la información que la entidad remitirá </w:t>
      </w:r>
      <w:r>
        <w:rPr>
          <w:rFonts w:asciiTheme="majorHAnsi" w:hAnsiTheme="majorHAnsi"/>
          <w:i/>
          <w:sz w:val="24"/>
          <w:szCs w:val="24"/>
          <w:lang w:val="es-MX"/>
        </w:rPr>
        <w:t>periódicamente</w:t>
      </w:r>
      <w:r w:rsidRPr="00FC2294">
        <w:rPr>
          <w:rFonts w:asciiTheme="majorHAnsi" w:hAnsiTheme="majorHAnsi"/>
          <w:i/>
          <w:sz w:val="24"/>
          <w:szCs w:val="24"/>
          <w:lang w:val="es-MX"/>
        </w:rPr>
        <w:t xml:space="preserve"> a la SUGEF y que permita dar s</w:t>
      </w:r>
      <w:r>
        <w:rPr>
          <w:rFonts w:asciiTheme="majorHAnsi" w:hAnsiTheme="majorHAnsi"/>
          <w:i/>
          <w:sz w:val="24"/>
          <w:szCs w:val="24"/>
          <w:lang w:val="es-MX"/>
        </w:rPr>
        <w:t>eguimiento al cumplimiento del P</w:t>
      </w:r>
      <w:r w:rsidRPr="00FC2294">
        <w:rPr>
          <w:rFonts w:asciiTheme="majorHAnsi" w:hAnsiTheme="majorHAnsi"/>
          <w:i/>
          <w:sz w:val="24"/>
          <w:szCs w:val="24"/>
          <w:lang w:val="es-MX"/>
        </w:rPr>
        <w:t xml:space="preserve">lan de </w:t>
      </w:r>
      <w:r>
        <w:rPr>
          <w:rFonts w:asciiTheme="majorHAnsi" w:hAnsiTheme="majorHAnsi"/>
          <w:i/>
          <w:sz w:val="24"/>
          <w:szCs w:val="24"/>
          <w:lang w:val="es-MX"/>
        </w:rPr>
        <w:t>R</w:t>
      </w:r>
      <w:r w:rsidRPr="00FC2294">
        <w:rPr>
          <w:rFonts w:asciiTheme="majorHAnsi" w:hAnsiTheme="majorHAnsi"/>
          <w:i/>
          <w:sz w:val="24"/>
          <w:szCs w:val="24"/>
          <w:lang w:val="es-MX"/>
        </w:rPr>
        <w:t>establecimiento</w:t>
      </w:r>
      <w:r>
        <w:rPr>
          <w:rFonts w:asciiTheme="majorHAnsi" w:hAnsiTheme="majorHAnsi"/>
          <w:i/>
          <w:sz w:val="24"/>
          <w:szCs w:val="24"/>
          <w:lang w:val="es-MX"/>
        </w:rPr>
        <w:t xml:space="preserve"> de Liquidez</w:t>
      </w:r>
      <w:r w:rsidRPr="00FC2294">
        <w:rPr>
          <w:rFonts w:asciiTheme="majorHAnsi" w:hAnsiTheme="majorHAnsi"/>
          <w:i/>
          <w:sz w:val="24"/>
          <w:szCs w:val="24"/>
          <w:lang w:val="es-MX"/>
        </w:rPr>
        <w:t>.</w:t>
      </w:r>
    </w:p>
    <w:p w:rsidRPr="00FC2294" w:rsidR="007E6845" w:rsidP="007E6845" w:rsidRDefault="007E6845" w14:paraId="5E4BAFAA" w14:textId="6498D49F">
      <w:pPr>
        <w:widowControl w:val="0"/>
        <w:spacing w:after="120" w:line="240" w:lineRule="auto"/>
        <w:ind w:left="393" w:right="283"/>
        <w:rPr>
          <w:rFonts w:asciiTheme="majorHAnsi" w:hAnsiTheme="majorHAnsi"/>
          <w:i/>
          <w:sz w:val="24"/>
        </w:rPr>
      </w:pPr>
      <w:r w:rsidRPr="00F72AD6">
        <w:rPr>
          <w:rFonts w:asciiTheme="majorHAnsi" w:hAnsiTheme="majorHAnsi"/>
          <w:i/>
          <w:sz w:val="24"/>
          <w:lang w:val="es-MX"/>
        </w:rPr>
        <w:t>La SUGEF dispone de cinco días hábiles, posterior a su presentación a la SUGEF, para objetar el Plan de Restablecimiento de Liquidez.</w:t>
      </w:r>
      <w:r>
        <w:rPr>
          <w:rFonts w:asciiTheme="majorHAnsi" w:hAnsiTheme="majorHAnsi"/>
          <w:i/>
          <w:sz w:val="24"/>
          <w:lang w:val="es-MX"/>
        </w:rPr>
        <w:t xml:space="preserve"> Este plazo </w:t>
      </w:r>
      <w:r w:rsidRPr="00EF17AE">
        <w:rPr>
          <w:rFonts w:asciiTheme="majorHAnsi" w:hAnsiTheme="majorHAnsi"/>
          <w:i/>
          <w:sz w:val="24"/>
          <w:lang w:val="es-MX"/>
        </w:rPr>
        <w:t>p</w:t>
      </w:r>
      <w:r>
        <w:rPr>
          <w:rFonts w:asciiTheme="majorHAnsi" w:hAnsiTheme="majorHAnsi"/>
          <w:i/>
          <w:sz w:val="24"/>
          <w:lang w:val="es-MX"/>
        </w:rPr>
        <w:t>odrá</w:t>
      </w:r>
      <w:r w:rsidRPr="00EF17AE">
        <w:rPr>
          <w:rFonts w:asciiTheme="majorHAnsi" w:hAnsiTheme="majorHAnsi"/>
          <w:i/>
          <w:sz w:val="24"/>
          <w:lang w:val="es-MX"/>
        </w:rPr>
        <w:t xml:space="preserve"> </w:t>
      </w:r>
      <w:r>
        <w:rPr>
          <w:rFonts w:asciiTheme="majorHAnsi" w:hAnsiTheme="majorHAnsi"/>
          <w:i/>
          <w:sz w:val="24"/>
          <w:lang w:val="es-MX"/>
        </w:rPr>
        <w:t>prolongarse</w:t>
      </w:r>
      <w:r w:rsidRPr="00EF17AE">
        <w:rPr>
          <w:rFonts w:asciiTheme="majorHAnsi" w:hAnsiTheme="majorHAnsi"/>
          <w:i/>
          <w:sz w:val="24"/>
          <w:lang w:val="es-MX"/>
        </w:rPr>
        <w:t xml:space="preserve"> en caso de que SUGEF solicite ampliaciones, acla</w:t>
      </w:r>
      <w:r>
        <w:rPr>
          <w:rFonts w:asciiTheme="majorHAnsi" w:hAnsiTheme="majorHAnsi"/>
          <w:i/>
          <w:sz w:val="24"/>
          <w:lang w:val="es-MX"/>
        </w:rPr>
        <w:t xml:space="preserve">raciones o correcciones al </w:t>
      </w:r>
      <w:r w:rsidRPr="00F72AD6">
        <w:rPr>
          <w:rFonts w:asciiTheme="majorHAnsi" w:hAnsiTheme="majorHAnsi"/>
          <w:i/>
          <w:sz w:val="24"/>
          <w:lang w:val="es-MX"/>
        </w:rPr>
        <w:t>Plan de Restablecimiento de Liquidez</w:t>
      </w:r>
      <w:r>
        <w:rPr>
          <w:rFonts w:asciiTheme="majorHAnsi" w:hAnsiTheme="majorHAnsi"/>
          <w:i/>
          <w:sz w:val="24"/>
          <w:lang w:val="es-MX"/>
        </w:rPr>
        <w:t>.</w:t>
      </w:r>
    </w:p>
    <w:p w:rsidRPr="00FC2294" w:rsidR="007E6845" w:rsidP="007E6845" w:rsidRDefault="007E6845" w14:paraId="189EE9E5" w14:textId="684BB25C">
      <w:pPr>
        <w:pStyle w:val="Prrafodelista"/>
        <w:numPr>
          <w:ilvl w:val="0"/>
          <w:numId w:val="15"/>
        </w:numPr>
        <w:spacing w:before="120" w:after="120" w:line="240" w:lineRule="auto"/>
        <w:jc w:val="both"/>
        <w:rPr>
          <w:rFonts w:asciiTheme="majorHAnsi" w:hAnsiTheme="majorHAnsi"/>
          <w:sz w:val="24"/>
          <w:szCs w:val="24"/>
        </w:rPr>
      </w:pPr>
      <w:r w:rsidRPr="00FC2294">
        <w:rPr>
          <w:rFonts w:asciiTheme="majorHAnsi" w:hAnsiTheme="majorHAnsi"/>
          <w:sz w:val="24"/>
          <w:szCs w:val="24"/>
        </w:rPr>
        <w:t xml:space="preserve">Adicionar </w:t>
      </w:r>
      <w:r w:rsidRPr="00FC2294">
        <w:rPr>
          <w:rFonts w:asciiTheme="majorHAnsi" w:hAnsiTheme="majorHAnsi"/>
          <w:bCs/>
          <w:sz w:val="24"/>
          <w:szCs w:val="24"/>
          <w:lang w:val="es-ES"/>
        </w:rPr>
        <w:t xml:space="preserve">a los </w:t>
      </w:r>
      <w:r w:rsidRPr="00FC2294">
        <w:rPr>
          <w:rFonts w:asciiTheme="majorHAnsi" w:hAnsiTheme="majorHAnsi"/>
          <w:bCs/>
          <w:i/>
          <w:sz w:val="24"/>
          <w:szCs w:val="24"/>
          <w:lang w:val="es-ES"/>
        </w:rPr>
        <w:t xml:space="preserve">Lineamientos Generales para el Reglamento sobre Administración del Riesgo de Liquidez, </w:t>
      </w:r>
      <w:r w:rsidRPr="00FC2294">
        <w:rPr>
          <w:rFonts w:asciiTheme="majorHAnsi" w:hAnsiTheme="majorHAnsi"/>
          <w:sz w:val="24"/>
          <w:szCs w:val="24"/>
        </w:rPr>
        <w:t xml:space="preserve">la sección </w:t>
      </w:r>
      <w:r w:rsidRPr="00FC2294">
        <w:rPr>
          <w:rFonts w:asciiTheme="majorHAnsi" w:hAnsiTheme="majorHAnsi"/>
          <w:b/>
          <w:i/>
          <w:sz w:val="24"/>
          <w:szCs w:val="24"/>
        </w:rPr>
        <w:t xml:space="preserve">“12. Informe sobre el Restablecimiento del Faltante de Liquidez, cuando el Indicador de Cobertura de Liquidez fue inferior al 100% debido a una situación de tensión”, </w:t>
      </w:r>
      <w:r w:rsidRPr="00FC2294">
        <w:rPr>
          <w:rFonts w:asciiTheme="majorHAnsi" w:hAnsiTheme="majorHAnsi"/>
          <w:bCs/>
          <w:sz w:val="24"/>
          <w:szCs w:val="24"/>
          <w:lang w:val="es-ES"/>
        </w:rPr>
        <w:t>conforme</w:t>
      </w:r>
      <w:r>
        <w:rPr>
          <w:rFonts w:asciiTheme="majorHAnsi" w:hAnsiTheme="majorHAnsi"/>
          <w:bCs/>
          <w:sz w:val="24"/>
          <w:szCs w:val="24"/>
          <w:lang w:val="es-ES"/>
        </w:rPr>
        <w:t xml:space="preserve"> se </w:t>
      </w:r>
      <w:r w:rsidRPr="00FC2294">
        <w:rPr>
          <w:rFonts w:asciiTheme="majorHAnsi" w:hAnsiTheme="majorHAnsi"/>
          <w:bCs/>
          <w:sz w:val="24"/>
          <w:szCs w:val="24"/>
          <w:lang w:val="es-ES"/>
        </w:rPr>
        <w:t>detalla a continuación:</w:t>
      </w:r>
    </w:p>
    <w:p w:rsidRPr="00FC2294" w:rsidR="007E6845" w:rsidP="007E6845" w:rsidRDefault="007E6845" w14:paraId="237FC791" w14:textId="77777777">
      <w:pPr>
        <w:widowControl w:val="0"/>
        <w:spacing w:after="120" w:line="240" w:lineRule="auto"/>
        <w:ind w:left="284" w:right="283"/>
        <w:rPr>
          <w:b/>
          <w:i/>
          <w:sz w:val="24"/>
          <w:lang w:val="es-MX" w:eastAsia="es-ES"/>
        </w:rPr>
      </w:pPr>
      <w:r w:rsidRPr="00FC2294">
        <w:rPr>
          <w:b/>
          <w:i/>
          <w:sz w:val="24"/>
          <w:lang w:val="es-MX" w:eastAsia="es-ES"/>
        </w:rPr>
        <w:t>“12. Informe sobre el Restablecimiento del Faltante de Liquidez, cuando el Indicador de Cobertura de Liquidez fue inferior al 100%</w:t>
      </w:r>
      <w:r>
        <w:rPr>
          <w:b/>
          <w:i/>
          <w:sz w:val="24"/>
          <w:lang w:val="es-MX" w:eastAsia="es-ES"/>
        </w:rPr>
        <w:t>,</w:t>
      </w:r>
      <w:r w:rsidRPr="00FC2294">
        <w:rPr>
          <w:b/>
          <w:i/>
          <w:sz w:val="24"/>
          <w:lang w:val="es-MX" w:eastAsia="es-ES"/>
        </w:rPr>
        <w:t xml:space="preserve"> debido a una </w:t>
      </w:r>
      <w:r w:rsidRPr="00FC2294">
        <w:rPr>
          <w:b/>
          <w:i/>
          <w:sz w:val="24"/>
          <w:lang w:val="es-MX" w:eastAsia="es-ES"/>
        </w:rPr>
        <w:lastRenderedPageBreak/>
        <w:t>situación de tensión”.</w:t>
      </w:r>
    </w:p>
    <w:p w:rsidRPr="006D73B9" w:rsidR="007E6845" w:rsidP="007E6845" w:rsidRDefault="007E6845" w14:paraId="7817C330" w14:textId="74D1AF62">
      <w:pPr>
        <w:widowControl w:val="0"/>
        <w:spacing w:after="120" w:line="240" w:lineRule="auto"/>
        <w:ind w:left="284" w:right="283"/>
        <w:rPr>
          <w:sz w:val="24"/>
          <w:lang w:val="es-MX"/>
        </w:rPr>
      </w:pPr>
      <w:r w:rsidRPr="00FC2294">
        <w:rPr>
          <w:b/>
          <w:i/>
          <w:sz w:val="24"/>
          <w:lang w:val="es-MX"/>
        </w:rPr>
        <w:t>Objetivo</w:t>
      </w:r>
      <w:r w:rsidRPr="00FC2294">
        <w:rPr>
          <w:i/>
          <w:sz w:val="24"/>
          <w:lang w:val="es-MX"/>
        </w:rPr>
        <w:t>: Definir la información que la entidad remitirá a la SUGEF si realizó un restablecimiento de liquidez, cuando el Indicador de Cobertura de Liquidez fue inferior al 100% deb</w:t>
      </w:r>
      <w:r>
        <w:rPr>
          <w:i/>
          <w:sz w:val="24"/>
          <w:lang w:val="es-MX"/>
        </w:rPr>
        <w:t>ido a una situación de tensión.</w:t>
      </w:r>
    </w:p>
    <w:p w:rsidRPr="006D73B9" w:rsidR="007E6845" w:rsidP="007E6845" w:rsidRDefault="007E6845" w14:paraId="42A80D83" w14:textId="5AF4310A">
      <w:pPr>
        <w:widowControl w:val="0"/>
        <w:spacing w:after="120" w:line="240" w:lineRule="auto"/>
        <w:ind w:left="284" w:right="283"/>
        <w:rPr>
          <w:rFonts w:asciiTheme="majorHAnsi" w:hAnsiTheme="majorHAnsi"/>
          <w:sz w:val="24"/>
        </w:rPr>
      </w:pPr>
      <w:r>
        <w:rPr>
          <w:rFonts w:asciiTheme="majorHAnsi" w:hAnsiTheme="majorHAnsi"/>
          <w:i/>
          <w:sz w:val="24"/>
          <w:lang w:val="es-CR"/>
        </w:rPr>
        <w:t>Se espera que l</w:t>
      </w:r>
      <w:r w:rsidRPr="00FC2294">
        <w:rPr>
          <w:rFonts w:asciiTheme="majorHAnsi" w:hAnsiTheme="majorHAnsi"/>
          <w:i/>
          <w:sz w:val="24"/>
          <w:lang w:val="es-CR"/>
        </w:rPr>
        <w:t>a entidad adjunt</w:t>
      </w:r>
      <w:r>
        <w:rPr>
          <w:rFonts w:asciiTheme="majorHAnsi" w:hAnsiTheme="majorHAnsi"/>
          <w:i/>
          <w:sz w:val="24"/>
          <w:lang w:val="es-CR"/>
        </w:rPr>
        <w:t>e</w:t>
      </w:r>
      <w:r w:rsidRPr="00FC2294">
        <w:rPr>
          <w:rFonts w:asciiTheme="majorHAnsi" w:hAnsiTheme="majorHAnsi"/>
          <w:i/>
          <w:sz w:val="24"/>
          <w:lang w:val="es-CR"/>
        </w:rPr>
        <w:t xml:space="preserve"> a la notificación</w:t>
      </w:r>
      <w:r>
        <w:rPr>
          <w:rFonts w:asciiTheme="majorHAnsi" w:hAnsiTheme="majorHAnsi"/>
          <w:i/>
          <w:sz w:val="24"/>
          <w:lang w:val="es-CR"/>
        </w:rPr>
        <w:t>,</w:t>
      </w:r>
      <w:r w:rsidRPr="00FC2294">
        <w:rPr>
          <w:rFonts w:asciiTheme="majorHAnsi" w:hAnsiTheme="majorHAnsi"/>
          <w:i/>
          <w:sz w:val="24"/>
          <w:lang w:val="es-CR"/>
        </w:rPr>
        <w:t xml:space="preserve"> un </w:t>
      </w:r>
      <w:r w:rsidRPr="00FC2294">
        <w:rPr>
          <w:rFonts w:asciiTheme="majorHAnsi" w:hAnsiTheme="majorHAnsi"/>
          <w:i/>
          <w:sz w:val="24"/>
        </w:rPr>
        <w:t xml:space="preserve">informe que explique las causas de la </w:t>
      </w:r>
      <w:r>
        <w:rPr>
          <w:rFonts w:asciiTheme="majorHAnsi" w:hAnsiTheme="majorHAnsi"/>
          <w:i/>
          <w:sz w:val="24"/>
        </w:rPr>
        <w:t>reducción</w:t>
      </w:r>
      <w:r w:rsidRPr="00FC2294">
        <w:rPr>
          <w:rFonts w:asciiTheme="majorHAnsi" w:hAnsiTheme="majorHAnsi"/>
          <w:i/>
          <w:sz w:val="24"/>
        </w:rPr>
        <w:t xml:space="preserve"> del Indicador de Cobertura de Liquidez por debajo del 100%, las medidas que aplicaron para que el Indicador de Cobertura de Liquidez fuese al menos del 100%; la duración de la situación; </w:t>
      </w:r>
      <w:r w:rsidRPr="00C63728">
        <w:rPr>
          <w:rFonts w:asciiTheme="majorHAnsi" w:hAnsiTheme="majorHAnsi"/>
          <w:i/>
          <w:sz w:val="24"/>
        </w:rPr>
        <w:t xml:space="preserve">y el </w:t>
      </w:r>
      <w:r>
        <w:rPr>
          <w:rFonts w:asciiTheme="majorHAnsi" w:hAnsiTheme="majorHAnsi"/>
          <w:i/>
          <w:sz w:val="24"/>
        </w:rPr>
        <w:t xml:space="preserve">periodo en el cual la entidad activó el </w:t>
      </w:r>
      <w:r w:rsidRPr="00C63728">
        <w:rPr>
          <w:rFonts w:asciiTheme="majorHAnsi" w:hAnsiTheme="majorHAnsi"/>
          <w:i/>
          <w:sz w:val="24"/>
        </w:rPr>
        <w:t>Plan de Contin</w:t>
      </w:r>
      <w:r>
        <w:rPr>
          <w:rFonts w:asciiTheme="majorHAnsi" w:hAnsiTheme="majorHAnsi"/>
          <w:i/>
          <w:sz w:val="24"/>
        </w:rPr>
        <w:t>gencia de Liquidez</w:t>
      </w:r>
      <w:r w:rsidRPr="00FC2294">
        <w:rPr>
          <w:rFonts w:asciiTheme="majorHAnsi" w:hAnsiTheme="majorHAnsi"/>
          <w:i/>
          <w:sz w:val="24"/>
        </w:rPr>
        <w:t>.</w:t>
      </w:r>
    </w:p>
    <w:p w:rsidRPr="006D73B9" w:rsidR="007E6845" w:rsidP="007E6845" w:rsidRDefault="007E6845" w14:paraId="441B24D8" w14:textId="695D5CCD">
      <w:pPr>
        <w:widowControl w:val="0"/>
        <w:spacing w:after="120" w:line="240" w:lineRule="auto"/>
        <w:ind w:left="283" w:right="283"/>
        <w:rPr>
          <w:rFonts w:asciiTheme="majorHAnsi" w:hAnsiTheme="majorHAnsi"/>
          <w:sz w:val="24"/>
        </w:rPr>
      </w:pPr>
      <w:r>
        <w:rPr>
          <w:rFonts w:asciiTheme="majorHAnsi" w:hAnsiTheme="majorHAnsi"/>
          <w:i/>
          <w:sz w:val="24"/>
        </w:rPr>
        <w:t>Se espera que l</w:t>
      </w:r>
      <w:r w:rsidRPr="00FC2294">
        <w:rPr>
          <w:rFonts w:asciiTheme="majorHAnsi" w:hAnsiTheme="majorHAnsi"/>
          <w:i/>
          <w:sz w:val="24"/>
        </w:rPr>
        <w:t>a entidad present</w:t>
      </w:r>
      <w:r>
        <w:rPr>
          <w:rFonts w:asciiTheme="majorHAnsi" w:hAnsiTheme="majorHAnsi"/>
          <w:i/>
          <w:sz w:val="24"/>
        </w:rPr>
        <w:t>e</w:t>
      </w:r>
      <w:r w:rsidRPr="00FC2294">
        <w:rPr>
          <w:rFonts w:asciiTheme="majorHAnsi" w:hAnsiTheme="majorHAnsi"/>
          <w:i/>
          <w:sz w:val="24"/>
        </w:rPr>
        <w:t xml:space="preserve"> un Informe sobre el </w:t>
      </w:r>
      <w:r>
        <w:rPr>
          <w:rFonts w:asciiTheme="majorHAnsi" w:hAnsiTheme="majorHAnsi"/>
          <w:i/>
          <w:sz w:val="24"/>
        </w:rPr>
        <w:t>R</w:t>
      </w:r>
      <w:r w:rsidRPr="00FC2294">
        <w:rPr>
          <w:rFonts w:asciiTheme="majorHAnsi" w:hAnsiTheme="majorHAnsi"/>
          <w:i/>
          <w:sz w:val="24"/>
        </w:rPr>
        <w:t xml:space="preserve">establecimiento del </w:t>
      </w:r>
      <w:r>
        <w:rPr>
          <w:rFonts w:asciiTheme="majorHAnsi" w:hAnsiTheme="majorHAnsi"/>
          <w:i/>
          <w:sz w:val="24"/>
        </w:rPr>
        <w:t>F</w:t>
      </w:r>
      <w:r w:rsidRPr="00FC2294">
        <w:rPr>
          <w:rFonts w:asciiTheme="majorHAnsi" w:hAnsiTheme="majorHAnsi"/>
          <w:i/>
          <w:sz w:val="24"/>
        </w:rPr>
        <w:t xml:space="preserve">altante de </w:t>
      </w:r>
      <w:r>
        <w:rPr>
          <w:rFonts w:asciiTheme="majorHAnsi" w:hAnsiTheme="majorHAnsi"/>
          <w:i/>
          <w:sz w:val="24"/>
        </w:rPr>
        <w:t>L</w:t>
      </w:r>
      <w:r w:rsidRPr="00FC2294">
        <w:rPr>
          <w:rFonts w:asciiTheme="majorHAnsi" w:hAnsiTheme="majorHAnsi"/>
          <w:i/>
          <w:sz w:val="24"/>
        </w:rPr>
        <w:t>iquidez</w:t>
      </w:r>
      <w:r>
        <w:rPr>
          <w:rFonts w:asciiTheme="majorHAnsi" w:hAnsiTheme="majorHAnsi"/>
          <w:i/>
          <w:sz w:val="24"/>
        </w:rPr>
        <w:t>,</w:t>
      </w:r>
      <w:r w:rsidRPr="00FC2294">
        <w:rPr>
          <w:rFonts w:asciiTheme="majorHAnsi" w:hAnsiTheme="majorHAnsi"/>
          <w:i/>
          <w:sz w:val="24"/>
        </w:rPr>
        <w:t xml:space="preserve"> en un plazo no mayor a los </w:t>
      </w:r>
      <w:r>
        <w:rPr>
          <w:rFonts w:asciiTheme="majorHAnsi" w:hAnsiTheme="majorHAnsi"/>
          <w:i/>
          <w:sz w:val="24"/>
        </w:rPr>
        <w:t>cinco</w:t>
      </w:r>
      <w:r w:rsidRPr="00FC2294">
        <w:rPr>
          <w:rFonts w:asciiTheme="majorHAnsi" w:hAnsiTheme="majorHAnsi"/>
          <w:i/>
          <w:sz w:val="24"/>
        </w:rPr>
        <w:t xml:space="preserve"> días hábiles, posterior a la notificación. </w:t>
      </w:r>
      <w:r>
        <w:rPr>
          <w:rFonts w:asciiTheme="majorHAnsi" w:hAnsiTheme="majorHAnsi"/>
          <w:i/>
          <w:sz w:val="24"/>
        </w:rPr>
        <w:t>El</w:t>
      </w:r>
      <w:r w:rsidRPr="00FC2294">
        <w:rPr>
          <w:rFonts w:asciiTheme="majorHAnsi" w:hAnsiTheme="majorHAnsi"/>
          <w:i/>
          <w:sz w:val="24"/>
        </w:rPr>
        <w:t xml:space="preserve"> informe </w:t>
      </w:r>
      <w:r>
        <w:rPr>
          <w:rFonts w:asciiTheme="majorHAnsi" w:hAnsiTheme="majorHAnsi"/>
          <w:i/>
          <w:sz w:val="24"/>
        </w:rPr>
        <w:t>incluirá</w:t>
      </w:r>
      <w:r w:rsidRPr="00FC2294">
        <w:rPr>
          <w:rFonts w:asciiTheme="majorHAnsi" w:hAnsiTheme="majorHAnsi"/>
          <w:i/>
          <w:sz w:val="24"/>
        </w:rPr>
        <w:t xml:space="preserve">, al menos, </w:t>
      </w:r>
      <w:r>
        <w:rPr>
          <w:rFonts w:asciiTheme="majorHAnsi" w:hAnsiTheme="majorHAnsi"/>
          <w:i/>
          <w:sz w:val="24"/>
        </w:rPr>
        <w:t>la siguiente información</w:t>
      </w:r>
      <w:r w:rsidRPr="00FC2294">
        <w:rPr>
          <w:rFonts w:asciiTheme="majorHAnsi" w:hAnsiTheme="majorHAnsi"/>
          <w:i/>
          <w:sz w:val="24"/>
        </w:rPr>
        <w:t>:</w:t>
      </w:r>
    </w:p>
    <w:p w:rsidRPr="006D73B9" w:rsidR="007E6845" w:rsidP="007E6845" w:rsidRDefault="007E6845" w14:paraId="60614C88" w14:textId="77777777">
      <w:pPr>
        <w:pStyle w:val="Prrafodelista"/>
        <w:widowControl w:val="0"/>
        <w:numPr>
          <w:ilvl w:val="0"/>
          <w:numId w:val="17"/>
        </w:numPr>
        <w:spacing w:after="120" w:line="240" w:lineRule="auto"/>
        <w:ind w:right="283"/>
        <w:contextualSpacing w:val="0"/>
        <w:jc w:val="both"/>
        <w:rPr>
          <w:rFonts w:asciiTheme="majorHAnsi" w:hAnsiTheme="majorHAnsi"/>
          <w:sz w:val="24"/>
          <w:szCs w:val="24"/>
          <w:lang w:val="es-MX"/>
        </w:rPr>
      </w:pPr>
      <w:r w:rsidRPr="00953825">
        <w:rPr>
          <w:rFonts w:asciiTheme="majorHAnsi" w:hAnsiTheme="majorHAnsi"/>
          <w:i/>
          <w:sz w:val="24"/>
          <w:szCs w:val="24"/>
          <w:lang w:val="es-MX"/>
        </w:rPr>
        <w:t>El porcentaje y monto del faltante de liquidez según el Índice</w:t>
      </w:r>
      <w:r w:rsidRPr="00953825">
        <w:rPr>
          <w:rFonts w:asciiTheme="majorHAnsi" w:hAnsiTheme="majorHAnsi"/>
          <w:i/>
          <w:sz w:val="24"/>
          <w:szCs w:val="24"/>
          <w:lang w:val="es-ES"/>
        </w:rPr>
        <w:t xml:space="preserve"> de Cobertura de Liquidez</w:t>
      </w:r>
      <w:r w:rsidRPr="00953825">
        <w:rPr>
          <w:rFonts w:asciiTheme="majorHAnsi" w:hAnsiTheme="majorHAnsi"/>
          <w:i/>
          <w:sz w:val="24"/>
          <w:szCs w:val="24"/>
          <w:lang w:val="es-MX"/>
        </w:rPr>
        <w:t>.</w:t>
      </w:r>
    </w:p>
    <w:p w:rsidRPr="006D73B9" w:rsidR="007E6845" w:rsidP="007E6845" w:rsidRDefault="007E6845" w14:paraId="0FC1E3FD" w14:textId="77777777">
      <w:pPr>
        <w:pStyle w:val="Prrafodelista"/>
        <w:widowControl w:val="0"/>
        <w:numPr>
          <w:ilvl w:val="0"/>
          <w:numId w:val="17"/>
        </w:numPr>
        <w:spacing w:after="120" w:line="240" w:lineRule="auto"/>
        <w:ind w:right="283"/>
        <w:contextualSpacing w:val="0"/>
        <w:jc w:val="both"/>
        <w:rPr>
          <w:rFonts w:asciiTheme="majorHAnsi" w:hAnsiTheme="majorHAnsi"/>
          <w:sz w:val="24"/>
          <w:szCs w:val="24"/>
          <w:lang w:val="es-MX"/>
        </w:rPr>
      </w:pPr>
      <w:r w:rsidRPr="00953825">
        <w:rPr>
          <w:rFonts w:asciiTheme="majorHAnsi" w:hAnsiTheme="majorHAnsi"/>
          <w:i/>
          <w:sz w:val="24"/>
          <w:szCs w:val="24"/>
          <w:lang w:val="es-ES"/>
        </w:rPr>
        <w:t>Las fuentes de recursos que utilizó para incrementar sus Activos Líquidos de Alta Calidad, o reducir las Salidas Netas de Efectivo.</w:t>
      </w:r>
    </w:p>
    <w:p w:rsidRPr="006D73B9" w:rsidR="007E6845" w:rsidP="007E6845" w:rsidRDefault="007E6845" w14:paraId="1C540793" w14:textId="3FB33BA2">
      <w:pPr>
        <w:pStyle w:val="Prrafodelista"/>
        <w:widowControl w:val="0"/>
        <w:numPr>
          <w:ilvl w:val="0"/>
          <w:numId w:val="17"/>
        </w:numPr>
        <w:spacing w:after="120" w:line="240" w:lineRule="auto"/>
        <w:ind w:right="283"/>
        <w:contextualSpacing w:val="0"/>
        <w:jc w:val="both"/>
        <w:rPr>
          <w:rFonts w:asciiTheme="majorHAnsi" w:hAnsiTheme="majorHAnsi"/>
          <w:sz w:val="24"/>
          <w:szCs w:val="24"/>
          <w:lang w:val="es-MX"/>
        </w:rPr>
      </w:pPr>
      <w:r w:rsidRPr="00953825">
        <w:rPr>
          <w:rFonts w:asciiTheme="majorHAnsi" w:hAnsiTheme="majorHAnsi"/>
          <w:i/>
          <w:sz w:val="24"/>
          <w:szCs w:val="24"/>
          <w:lang w:val="es-ES"/>
        </w:rPr>
        <w:t>El plazo en el cual la entidad mantuvo que Índice de Cobertura de Liquidez inferior al 100%.</w:t>
      </w:r>
    </w:p>
    <w:p w:rsidRPr="00953825" w:rsidR="007E6845" w:rsidP="007E6845" w:rsidRDefault="007E6845" w14:paraId="5EB361C0" w14:textId="77777777">
      <w:pPr>
        <w:pStyle w:val="Prrafodelista"/>
        <w:widowControl w:val="0"/>
        <w:numPr>
          <w:ilvl w:val="0"/>
          <w:numId w:val="17"/>
        </w:numPr>
        <w:spacing w:after="120" w:line="240" w:lineRule="auto"/>
        <w:ind w:right="283"/>
        <w:contextualSpacing w:val="0"/>
        <w:jc w:val="both"/>
        <w:rPr>
          <w:rFonts w:asciiTheme="majorHAnsi" w:hAnsiTheme="majorHAnsi"/>
          <w:i/>
          <w:sz w:val="24"/>
          <w:szCs w:val="24"/>
          <w:lang w:val="es-MX"/>
        </w:rPr>
      </w:pPr>
      <w:r w:rsidRPr="00953825">
        <w:rPr>
          <w:rFonts w:asciiTheme="majorHAnsi" w:hAnsiTheme="majorHAnsi"/>
          <w:i/>
          <w:sz w:val="24"/>
          <w:szCs w:val="24"/>
          <w:lang w:val="es-ES"/>
        </w:rPr>
        <w:t>Acciones adoptadas para evitar que está(s) situación(es) no vuelva</w:t>
      </w:r>
      <w:r>
        <w:rPr>
          <w:rFonts w:asciiTheme="majorHAnsi" w:hAnsiTheme="majorHAnsi"/>
          <w:i/>
          <w:sz w:val="24"/>
          <w:szCs w:val="24"/>
          <w:lang w:val="es-ES"/>
        </w:rPr>
        <w:t>(n)</w:t>
      </w:r>
      <w:r w:rsidRPr="00953825">
        <w:rPr>
          <w:rFonts w:asciiTheme="majorHAnsi" w:hAnsiTheme="majorHAnsi"/>
          <w:i/>
          <w:sz w:val="24"/>
          <w:szCs w:val="24"/>
          <w:lang w:val="es-ES"/>
        </w:rPr>
        <w:t xml:space="preserve"> a materializarse. </w:t>
      </w:r>
    </w:p>
    <w:p w:rsidRPr="00FC2294" w:rsidR="007E6845" w:rsidP="007E6845" w:rsidRDefault="007E6845" w14:paraId="22B9EA4E" w14:textId="77777777">
      <w:pPr>
        <w:pStyle w:val="Prrafodelista"/>
        <w:spacing w:before="120" w:after="120" w:line="240" w:lineRule="auto"/>
        <w:ind w:left="393"/>
        <w:jc w:val="both"/>
        <w:rPr>
          <w:rFonts w:asciiTheme="majorHAnsi" w:hAnsiTheme="majorHAnsi"/>
          <w:i/>
          <w:sz w:val="24"/>
          <w:szCs w:val="24"/>
        </w:rPr>
      </w:pPr>
      <w:r w:rsidRPr="00FC2294">
        <w:rPr>
          <w:rFonts w:asciiTheme="majorHAnsi" w:hAnsiTheme="majorHAnsi"/>
          <w:i/>
          <w:sz w:val="24"/>
          <w:szCs w:val="24"/>
        </w:rPr>
        <w:t>La SUGEF dispone de</w:t>
      </w:r>
      <w:r>
        <w:rPr>
          <w:rFonts w:asciiTheme="majorHAnsi" w:hAnsiTheme="majorHAnsi"/>
          <w:i/>
          <w:sz w:val="24"/>
          <w:szCs w:val="24"/>
        </w:rPr>
        <w:t xml:space="preserve"> cinco </w:t>
      </w:r>
      <w:r w:rsidRPr="00FC2294">
        <w:rPr>
          <w:rFonts w:asciiTheme="majorHAnsi" w:hAnsiTheme="majorHAnsi"/>
          <w:i/>
          <w:sz w:val="24"/>
          <w:szCs w:val="24"/>
        </w:rPr>
        <w:t>días hábiles, posterior a su presentación a la SUGEF, para objetar el Informe sobre el Restablecimiento del Faltante de Liquidez.</w:t>
      </w:r>
      <w:r w:rsidRPr="00FC2294">
        <w:rPr>
          <w:rFonts w:asciiTheme="majorHAnsi" w:hAnsiTheme="majorHAnsi"/>
          <w:i/>
          <w:sz w:val="24"/>
          <w:szCs w:val="24"/>
          <w:lang w:val="es-ES"/>
        </w:rPr>
        <w:t>”</w:t>
      </w:r>
    </w:p>
    <w:p w:rsidRPr="00FC2294" w:rsidR="007E6845" w:rsidP="007E6845" w:rsidRDefault="007E6845" w14:paraId="515E66DC" w14:textId="77777777">
      <w:pPr>
        <w:pStyle w:val="Prrafodelista"/>
        <w:spacing w:before="120" w:after="120" w:line="240" w:lineRule="auto"/>
        <w:ind w:left="393"/>
        <w:jc w:val="both"/>
        <w:rPr>
          <w:rFonts w:asciiTheme="majorHAnsi" w:hAnsiTheme="majorHAnsi"/>
          <w:sz w:val="24"/>
          <w:szCs w:val="24"/>
        </w:rPr>
      </w:pPr>
    </w:p>
    <w:p w:rsidRPr="00FC2294" w:rsidR="007E6845" w:rsidP="007E6845" w:rsidRDefault="007E6845" w14:paraId="2D9CEC6D" w14:textId="04426CB3">
      <w:pPr>
        <w:pStyle w:val="Prrafodelista"/>
        <w:numPr>
          <w:ilvl w:val="0"/>
          <w:numId w:val="15"/>
        </w:numPr>
        <w:spacing w:before="120" w:after="120" w:line="240" w:lineRule="auto"/>
        <w:jc w:val="both"/>
        <w:rPr>
          <w:rFonts w:asciiTheme="majorHAnsi" w:hAnsiTheme="majorHAnsi"/>
          <w:sz w:val="24"/>
          <w:szCs w:val="24"/>
        </w:rPr>
      </w:pPr>
      <w:r w:rsidRPr="00FC2294">
        <w:rPr>
          <w:rFonts w:asciiTheme="majorHAnsi" w:hAnsiTheme="majorHAnsi"/>
          <w:sz w:val="24"/>
          <w:szCs w:val="24"/>
        </w:rPr>
        <w:t xml:space="preserve">Adicionar </w:t>
      </w:r>
      <w:r w:rsidRPr="00FC2294">
        <w:rPr>
          <w:rFonts w:asciiTheme="majorHAnsi" w:hAnsiTheme="majorHAnsi"/>
          <w:bCs/>
          <w:sz w:val="24"/>
          <w:szCs w:val="24"/>
          <w:lang w:val="es-ES"/>
        </w:rPr>
        <w:t xml:space="preserve">a los </w:t>
      </w:r>
      <w:r w:rsidRPr="00FC2294">
        <w:rPr>
          <w:rFonts w:asciiTheme="majorHAnsi" w:hAnsiTheme="majorHAnsi"/>
          <w:bCs/>
          <w:i/>
          <w:sz w:val="24"/>
          <w:szCs w:val="24"/>
          <w:lang w:val="es-ES"/>
        </w:rPr>
        <w:t xml:space="preserve">Lineamientos Generales para el Reglamento sobre Administración del Riesgo de Liquidez, </w:t>
      </w:r>
      <w:r w:rsidRPr="00FC2294">
        <w:rPr>
          <w:rFonts w:asciiTheme="majorHAnsi" w:hAnsiTheme="majorHAnsi"/>
          <w:sz w:val="24"/>
          <w:szCs w:val="24"/>
        </w:rPr>
        <w:t xml:space="preserve">la sección </w:t>
      </w:r>
      <w:r w:rsidRPr="00FC2294">
        <w:rPr>
          <w:rFonts w:asciiTheme="majorHAnsi" w:hAnsiTheme="majorHAnsi"/>
          <w:b/>
          <w:i/>
          <w:sz w:val="24"/>
          <w:szCs w:val="24"/>
        </w:rPr>
        <w:t>13. “</w:t>
      </w:r>
      <w:r w:rsidRPr="00FC2294">
        <w:rPr>
          <w:rFonts w:asciiTheme="majorHAnsi" w:hAnsiTheme="majorHAnsi"/>
          <w:b/>
          <w:bCs/>
          <w:i/>
          <w:sz w:val="24"/>
          <w:szCs w:val="24"/>
        </w:rPr>
        <w:t xml:space="preserve">Informe de </w:t>
      </w:r>
      <w:r w:rsidRPr="00FC2294">
        <w:rPr>
          <w:rFonts w:asciiTheme="majorHAnsi" w:hAnsiTheme="majorHAnsi"/>
          <w:b/>
          <w:bCs/>
          <w:i/>
          <w:sz w:val="24"/>
          <w:szCs w:val="24"/>
          <w:lang w:val="es-ES"/>
        </w:rPr>
        <w:t xml:space="preserve">intercambios de liquidez entre monedas”, </w:t>
      </w:r>
      <w:r w:rsidRPr="00FC2294">
        <w:rPr>
          <w:rFonts w:asciiTheme="majorHAnsi" w:hAnsiTheme="majorHAnsi"/>
          <w:bCs/>
          <w:sz w:val="24"/>
          <w:szCs w:val="24"/>
          <w:lang w:val="es-ES"/>
        </w:rPr>
        <w:t>conforme se  detalla a continuación:</w:t>
      </w:r>
    </w:p>
    <w:p w:rsidRPr="00FC2294" w:rsidR="007E6845" w:rsidP="007E6845" w:rsidRDefault="007E6845" w14:paraId="7826D7A7" w14:textId="77777777">
      <w:pPr>
        <w:spacing w:before="120" w:after="120" w:line="240" w:lineRule="auto"/>
        <w:ind w:left="393"/>
        <w:rPr>
          <w:rFonts w:asciiTheme="majorHAnsi" w:hAnsiTheme="majorHAnsi"/>
          <w:sz w:val="24"/>
        </w:rPr>
      </w:pPr>
      <w:r w:rsidRPr="00FC2294">
        <w:rPr>
          <w:rFonts w:asciiTheme="majorHAnsi" w:hAnsiTheme="majorHAnsi"/>
          <w:b/>
          <w:i/>
          <w:sz w:val="24"/>
          <w:lang w:val="es-CR"/>
        </w:rPr>
        <w:t>“</w:t>
      </w:r>
      <w:r w:rsidRPr="00FC2294">
        <w:rPr>
          <w:rFonts w:asciiTheme="majorHAnsi" w:hAnsiTheme="majorHAnsi"/>
          <w:b/>
          <w:sz w:val="24"/>
        </w:rPr>
        <w:t xml:space="preserve">13. </w:t>
      </w:r>
      <w:r w:rsidRPr="00FC2294">
        <w:rPr>
          <w:rFonts w:asciiTheme="majorHAnsi" w:hAnsiTheme="majorHAnsi"/>
          <w:b/>
          <w:bCs/>
          <w:sz w:val="24"/>
        </w:rPr>
        <w:t xml:space="preserve">Informe de </w:t>
      </w:r>
      <w:r w:rsidRPr="00FC2294">
        <w:rPr>
          <w:rFonts w:eastAsia="Calibri" w:asciiTheme="majorHAnsi" w:hAnsiTheme="majorHAnsi"/>
          <w:b/>
          <w:bCs/>
          <w:sz w:val="24"/>
        </w:rPr>
        <w:t>intercambios de liquidez entre monedas.</w:t>
      </w:r>
    </w:p>
    <w:p w:rsidRPr="00FC2294" w:rsidR="007E6845" w:rsidP="007E6845" w:rsidRDefault="007E6845" w14:paraId="052C1B81" w14:textId="6FC4257E">
      <w:pPr>
        <w:spacing w:before="120" w:after="120" w:line="240" w:lineRule="auto"/>
        <w:ind w:left="426"/>
        <w:rPr>
          <w:rFonts w:eastAsia="Calibri" w:asciiTheme="majorHAnsi" w:hAnsiTheme="majorHAnsi"/>
          <w:bCs/>
          <w:i/>
          <w:sz w:val="24"/>
        </w:rPr>
      </w:pPr>
      <w:r w:rsidRPr="00FC2294">
        <w:rPr>
          <w:b/>
          <w:i/>
          <w:sz w:val="24"/>
          <w:lang w:val="es-MX"/>
        </w:rPr>
        <w:lastRenderedPageBreak/>
        <w:t>Objetivo</w:t>
      </w:r>
      <w:r w:rsidRPr="00FC2294">
        <w:rPr>
          <w:i/>
          <w:sz w:val="24"/>
          <w:lang w:val="es-MX"/>
        </w:rPr>
        <w:t xml:space="preserve">: </w:t>
      </w:r>
      <w:r w:rsidRPr="00FC2294">
        <w:rPr>
          <w:rFonts w:eastAsia="Calibri" w:asciiTheme="majorHAnsi" w:hAnsiTheme="majorHAnsi"/>
          <w:bCs/>
          <w:i/>
          <w:sz w:val="24"/>
        </w:rPr>
        <w:t xml:space="preserve">Definir la información que la entidad remitirá a la SUGEF, cuando realice intercambios de liquidez de una moneda a otra, </w:t>
      </w:r>
      <w:r w:rsidRPr="00A70FE9">
        <w:rPr>
          <w:rFonts w:eastAsia="Calibri" w:asciiTheme="majorHAnsi" w:hAnsiTheme="majorHAnsi"/>
          <w:bCs/>
          <w:i/>
          <w:sz w:val="24"/>
        </w:rPr>
        <w:t xml:space="preserve">que se realizaron </w:t>
      </w:r>
      <w:r>
        <w:rPr>
          <w:rFonts w:eastAsia="Calibri" w:asciiTheme="majorHAnsi" w:hAnsiTheme="majorHAnsi"/>
          <w:bCs/>
          <w:i/>
          <w:sz w:val="24"/>
        </w:rPr>
        <w:t>en</w:t>
      </w:r>
      <w:r w:rsidRPr="00A70FE9">
        <w:rPr>
          <w:rFonts w:eastAsia="Calibri" w:asciiTheme="majorHAnsi" w:hAnsiTheme="majorHAnsi"/>
          <w:bCs/>
          <w:i/>
          <w:sz w:val="24"/>
        </w:rPr>
        <w:t xml:space="preserve"> el mes </w:t>
      </w:r>
      <w:r>
        <w:rPr>
          <w:rFonts w:eastAsia="Calibri" w:asciiTheme="majorHAnsi" w:hAnsiTheme="majorHAnsi"/>
          <w:bCs/>
          <w:i/>
          <w:sz w:val="24"/>
        </w:rPr>
        <w:t xml:space="preserve">para el </w:t>
      </w:r>
      <w:r w:rsidRPr="00A70FE9">
        <w:rPr>
          <w:rFonts w:eastAsia="Calibri" w:asciiTheme="majorHAnsi" w:hAnsiTheme="majorHAnsi"/>
          <w:bCs/>
          <w:i/>
          <w:sz w:val="24"/>
        </w:rPr>
        <w:t>que se reporta</w:t>
      </w:r>
      <w:r w:rsidRPr="00FC2294">
        <w:rPr>
          <w:rFonts w:eastAsia="Calibri" w:asciiTheme="majorHAnsi" w:hAnsiTheme="majorHAnsi"/>
          <w:bCs/>
          <w:i/>
          <w:sz w:val="24"/>
        </w:rPr>
        <w:t xml:space="preserve"> </w:t>
      </w:r>
      <w:r>
        <w:rPr>
          <w:rFonts w:eastAsia="Calibri" w:asciiTheme="majorHAnsi" w:hAnsiTheme="majorHAnsi"/>
          <w:bCs/>
          <w:i/>
          <w:sz w:val="24"/>
        </w:rPr>
        <w:t xml:space="preserve">el </w:t>
      </w:r>
      <w:r w:rsidRPr="00FC2294">
        <w:rPr>
          <w:rFonts w:eastAsia="Calibri" w:asciiTheme="majorHAnsi" w:hAnsiTheme="majorHAnsi"/>
          <w:bCs/>
          <w:i/>
          <w:sz w:val="24"/>
        </w:rPr>
        <w:t>Í</w:t>
      </w:r>
      <w:r>
        <w:rPr>
          <w:rFonts w:eastAsia="Calibri" w:asciiTheme="majorHAnsi" w:hAnsiTheme="majorHAnsi"/>
          <w:bCs/>
          <w:i/>
          <w:sz w:val="24"/>
        </w:rPr>
        <w:t>ndice de Cobertura de Liquidez.</w:t>
      </w:r>
    </w:p>
    <w:p w:rsidRPr="00FC2294" w:rsidR="007E6845" w:rsidP="007E6845" w:rsidRDefault="007E6845" w14:paraId="0827E4D4" w14:textId="3F8516B0">
      <w:pPr>
        <w:spacing w:before="120" w:after="120"/>
        <w:ind w:left="426"/>
        <w:rPr>
          <w:rFonts w:eastAsia="Calibri" w:asciiTheme="majorHAnsi" w:hAnsiTheme="majorHAnsi"/>
          <w:bCs/>
          <w:i/>
          <w:sz w:val="24"/>
        </w:rPr>
      </w:pPr>
      <w:r>
        <w:rPr>
          <w:rFonts w:eastAsia="Calibri" w:asciiTheme="majorHAnsi" w:hAnsiTheme="majorHAnsi"/>
          <w:bCs/>
          <w:i/>
          <w:sz w:val="24"/>
        </w:rPr>
        <w:t>Se espera que la entidad</w:t>
      </w:r>
      <w:r w:rsidRPr="00FC2294">
        <w:rPr>
          <w:rFonts w:eastAsia="Calibri" w:asciiTheme="majorHAnsi" w:hAnsiTheme="majorHAnsi"/>
          <w:bCs/>
          <w:i/>
          <w:sz w:val="24"/>
        </w:rPr>
        <w:t xml:space="preserve"> present</w:t>
      </w:r>
      <w:r>
        <w:rPr>
          <w:rFonts w:eastAsia="Calibri" w:asciiTheme="majorHAnsi" w:hAnsiTheme="majorHAnsi"/>
          <w:bCs/>
          <w:i/>
          <w:sz w:val="24"/>
        </w:rPr>
        <w:t>e</w:t>
      </w:r>
      <w:r w:rsidRPr="00FC2294">
        <w:rPr>
          <w:rFonts w:eastAsia="Calibri" w:asciiTheme="majorHAnsi" w:hAnsiTheme="majorHAnsi"/>
          <w:bCs/>
          <w:i/>
          <w:sz w:val="24"/>
        </w:rPr>
        <w:t xml:space="preserve"> a la SUGEF un informe, por escrito, que describa los intercambios de liquidez que se realizaron </w:t>
      </w:r>
      <w:r>
        <w:rPr>
          <w:rFonts w:eastAsia="Calibri" w:asciiTheme="majorHAnsi" w:hAnsiTheme="majorHAnsi"/>
          <w:bCs/>
          <w:i/>
          <w:sz w:val="24"/>
        </w:rPr>
        <w:t xml:space="preserve">en </w:t>
      </w:r>
      <w:r w:rsidRPr="00FC2294">
        <w:rPr>
          <w:rFonts w:eastAsia="Calibri" w:asciiTheme="majorHAnsi" w:hAnsiTheme="majorHAnsi"/>
          <w:bCs/>
          <w:i/>
          <w:sz w:val="24"/>
        </w:rPr>
        <w:t xml:space="preserve">el mes </w:t>
      </w:r>
      <w:r>
        <w:rPr>
          <w:rFonts w:eastAsia="Calibri" w:asciiTheme="majorHAnsi" w:hAnsiTheme="majorHAnsi"/>
          <w:bCs/>
          <w:i/>
          <w:sz w:val="24"/>
        </w:rPr>
        <w:t>para el que se reporta el</w:t>
      </w:r>
      <w:r w:rsidRPr="00FC2294">
        <w:rPr>
          <w:rFonts w:eastAsia="Calibri" w:asciiTheme="majorHAnsi" w:hAnsiTheme="majorHAnsi"/>
          <w:bCs/>
          <w:i/>
          <w:sz w:val="24"/>
        </w:rPr>
        <w:t xml:space="preserve"> Índice de Cobertura de Liquidez. E</w:t>
      </w:r>
      <w:r>
        <w:rPr>
          <w:rFonts w:eastAsia="Calibri" w:asciiTheme="majorHAnsi" w:hAnsiTheme="majorHAnsi"/>
          <w:bCs/>
          <w:i/>
          <w:sz w:val="24"/>
        </w:rPr>
        <w:t>l</w:t>
      </w:r>
      <w:r w:rsidRPr="00FC2294">
        <w:rPr>
          <w:rFonts w:eastAsia="Calibri" w:asciiTheme="majorHAnsi" w:hAnsiTheme="majorHAnsi"/>
          <w:bCs/>
          <w:i/>
          <w:sz w:val="24"/>
        </w:rPr>
        <w:t xml:space="preserve"> informe, incluirá, al menos, l</w:t>
      </w:r>
      <w:r>
        <w:rPr>
          <w:rFonts w:eastAsia="Calibri" w:asciiTheme="majorHAnsi" w:hAnsiTheme="majorHAnsi"/>
          <w:bCs/>
          <w:i/>
          <w:sz w:val="24"/>
        </w:rPr>
        <w:t>a</w:t>
      </w:r>
      <w:r w:rsidRPr="00FC2294">
        <w:rPr>
          <w:rFonts w:eastAsia="Calibri" w:asciiTheme="majorHAnsi" w:hAnsiTheme="majorHAnsi"/>
          <w:bCs/>
          <w:i/>
          <w:sz w:val="24"/>
        </w:rPr>
        <w:t xml:space="preserve"> siguiente</w:t>
      </w:r>
      <w:r>
        <w:rPr>
          <w:rFonts w:eastAsia="Calibri" w:asciiTheme="majorHAnsi" w:hAnsiTheme="majorHAnsi"/>
          <w:bCs/>
          <w:i/>
          <w:sz w:val="24"/>
        </w:rPr>
        <w:t xml:space="preserve"> información</w:t>
      </w:r>
      <w:r w:rsidRPr="00FC2294">
        <w:rPr>
          <w:rFonts w:eastAsia="Calibri" w:asciiTheme="majorHAnsi" w:hAnsiTheme="majorHAnsi"/>
          <w:bCs/>
          <w:i/>
          <w:sz w:val="24"/>
        </w:rPr>
        <w:t>:</w:t>
      </w:r>
    </w:p>
    <w:p w:rsidRPr="00FC2294" w:rsidR="007E6845" w:rsidP="007E6845" w:rsidRDefault="007E6845" w14:paraId="7D825EFF" w14:textId="77777777">
      <w:pPr>
        <w:pStyle w:val="Prrafodelista"/>
        <w:numPr>
          <w:ilvl w:val="0"/>
          <w:numId w:val="16"/>
        </w:numPr>
        <w:spacing w:before="120" w:after="120" w:line="240" w:lineRule="auto"/>
        <w:rPr>
          <w:rFonts w:ascii="Cambria" w:hAnsi="Cambria" w:eastAsia="Times New Roman"/>
          <w:i/>
          <w:sz w:val="24"/>
          <w:szCs w:val="24"/>
          <w:lang w:val="es-MX"/>
        </w:rPr>
      </w:pPr>
      <w:r w:rsidRPr="00FC2294">
        <w:rPr>
          <w:rFonts w:ascii="Cambria" w:hAnsi="Cambria" w:eastAsia="Times New Roman"/>
          <w:i/>
          <w:sz w:val="24"/>
          <w:szCs w:val="24"/>
          <w:lang w:val="es-MX"/>
        </w:rPr>
        <w:t>Fecha en que se realizó el intercambio de liquidez.</w:t>
      </w:r>
    </w:p>
    <w:p w:rsidRPr="00FC2294" w:rsidR="007E6845" w:rsidP="007E6845" w:rsidRDefault="007E6845" w14:paraId="0D834F81" w14:textId="77777777">
      <w:pPr>
        <w:pStyle w:val="Prrafodelista"/>
        <w:numPr>
          <w:ilvl w:val="0"/>
          <w:numId w:val="16"/>
        </w:numPr>
        <w:spacing w:before="120" w:after="120" w:line="240" w:lineRule="auto"/>
        <w:rPr>
          <w:rFonts w:ascii="Cambria" w:hAnsi="Cambria" w:eastAsia="Times New Roman"/>
          <w:i/>
          <w:sz w:val="24"/>
          <w:szCs w:val="24"/>
          <w:lang w:val="es-MX"/>
        </w:rPr>
      </w:pPr>
      <w:r w:rsidRPr="00FC2294">
        <w:rPr>
          <w:rFonts w:ascii="Cambria" w:hAnsi="Cambria" w:eastAsia="Times New Roman"/>
          <w:i/>
          <w:sz w:val="24"/>
          <w:szCs w:val="24"/>
          <w:lang w:val="es-MX"/>
        </w:rPr>
        <w:t>La descripción del intercambio de liquidez.</w:t>
      </w:r>
    </w:p>
    <w:p w:rsidRPr="00FC2294" w:rsidR="007E6845" w:rsidP="007E6845" w:rsidRDefault="007E6845" w14:paraId="018DCCE0" w14:textId="77777777">
      <w:pPr>
        <w:pStyle w:val="Prrafodelista"/>
        <w:numPr>
          <w:ilvl w:val="0"/>
          <w:numId w:val="16"/>
        </w:numPr>
        <w:spacing w:before="120" w:after="120" w:line="240" w:lineRule="auto"/>
        <w:rPr>
          <w:rFonts w:ascii="Cambria" w:hAnsi="Cambria" w:eastAsia="Times New Roman"/>
          <w:i/>
          <w:sz w:val="24"/>
          <w:szCs w:val="24"/>
          <w:lang w:val="es-MX"/>
        </w:rPr>
      </w:pPr>
      <w:r w:rsidRPr="00FC2294">
        <w:rPr>
          <w:rFonts w:ascii="Cambria" w:hAnsi="Cambria" w:eastAsia="Times New Roman"/>
          <w:i/>
          <w:sz w:val="24"/>
          <w:szCs w:val="24"/>
          <w:lang w:val="es-MX"/>
        </w:rPr>
        <w:t>Monedas en que se realizó el intercambio de liquidez.</w:t>
      </w:r>
    </w:p>
    <w:p w:rsidRPr="00FC2294" w:rsidR="007E6845" w:rsidP="007E6845" w:rsidRDefault="007E6845" w14:paraId="37F96C04" w14:textId="77777777">
      <w:pPr>
        <w:pStyle w:val="Prrafodelista"/>
        <w:numPr>
          <w:ilvl w:val="0"/>
          <w:numId w:val="16"/>
        </w:numPr>
        <w:spacing w:before="120" w:after="120" w:line="240" w:lineRule="auto"/>
        <w:rPr>
          <w:rFonts w:ascii="Cambria" w:hAnsi="Cambria" w:eastAsia="Times New Roman"/>
          <w:i/>
          <w:sz w:val="24"/>
          <w:szCs w:val="24"/>
          <w:lang w:val="es-MX"/>
        </w:rPr>
      </w:pPr>
      <w:r w:rsidRPr="00FC2294">
        <w:rPr>
          <w:rFonts w:ascii="Cambria" w:hAnsi="Cambria" w:eastAsia="Times New Roman"/>
          <w:i/>
          <w:sz w:val="24"/>
          <w:szCs w:val="24"/>
          <w:lang w:val="es-MX"/>
        </w:rPr>
        <w:t>El monto total del intercambio de liquidez según moneda.</w:t>
      </w:r>
    </w:p>
    <w:p w:rsidRPr="00FC2294" w:rsidR="007E6845" w:rsidP="007E6845" w:rsidRDefault="007E6845" w14:paraId="76B1A999" w14:textId="77777777">
      <w:pPr>
        <w:spacing w:before="120" w:after="120"/>
        <w:ind w:left="426"/>
        <w:rPr>
          <w:rFonts w:eastAsia="Calibri" w:asciiTheme="majorHAnsi" w:hAnsiTheme="majorHAnsi"/>
          <w:bCs/>
          <w:i/>
          <w:sz w:val="24"/>
        </w:rPr>
      </w:pPr>
      <w:r w:rsidRPr="00FC2294">
        <w:rPr>
          <w:rFonts w:eastAsia="Calibri" w:asciiTheme="majorHAnsi" w:hAnsiTheme="majorHAnsi"/>
          <w:bCs/>
          <w:i/>
          <w:sz w:val="24"/>
        </w:rPr>
        <w:t>Este informe se remitirá a la SUGEF a más tardar el octavo día hábil posterior al cierre de cada mes”.</w:t>
      </w:r>
    </w:p>
    <w:p w:rsidRPr="00FC2294" w:rsidR="007E6845" w:rsidP="007E6845" w:rsidRDefault="007E6845" w14:paraId="18C43737" w14:textId="4C8FDA1A">
      <w:pPr>
        <w:pStyle w:val="Prrafodelista"/>
        <w:numPr>
          <w:ilvl w:val="0"/>
          <w:numId w:val="15"/>
        </w:numPr>
        <w:spacing w:before="120" w:after="120" w:line="240" w:lineRule="auto"/>
        <w:jc w:val="both"/>
        <w:rPr>
          <w:rFonts w:asciiTheme="majorHAnsi" w:hAnsiTheme="majorHAnsi"/>
          <w:sz w:val="24"/>
          <w:szCs w:val="24"/>
        </w:rPr>
      </w:pPr>
      <w:r w:rsidRPr="00FC2294">
        <w:rPr>
          <w:rFonts w:asciiTheme="majorHAnsi" w:hAnsiTheme="majorHAnsi"/>
          <w:sz w:val="24"/>
          <w:szCs w:val="24"/>
        </w:rPr>
        <w:t xml:space="preserve">Adicionar </w:t>
      </w:r>
      <w:r w:rsidRPr="00FC2294">
        <w:rPr>
          <w:rFonts w:asciiTheme="majorHAnsi" w:hAnsiTheme="majorHAnsi"/>
          <w:bCs/>
          <w:sz w:val="24"/>
          <w:szCs w:val="24"/>
          <w:lang w:val="es-ES"/>
        </w:rPr>
        <w:t xml:space="preserve">a los </w:t>
      </w:r>
      <w:r w:rsidRPr="00FC2294">
        <w:rPr>
          <w:rFonts w:asciiTheme="majorHAnsi" w:hAnsiTheme="majorHAnsi"/>
          <w:bCs/>
          <w:i/>
          <w:sz w:val="24"/>
          <w:szCs w:val="24"/>
          <w:lang w:val="es-ES"/>
        </w:rPr>
        <w:t xml:space="preserve">Lineamientos Generales para el Reglamento sobre Administración del Riesgo de Liquidez, </w:t>
      </w:r>
      <w:r w:rsidRPr="00FC2294">
        <w:rPr>
          <w:rFonts w:asciiTheme="majorHAnsi" w:hAnsiTheme="majorHAnsi"/>
          <w:sz w:val="24"/>
          <w:szCs w:val="24"/>
        </w:rPr>
        <w:t xml:space="preserve">la sección </w:t>
      </w:r>
      <w:r w:rsidRPr="00FC2294">
        <w:rPr>
          <w:rFonts w:asciiTheme="majorHAnsi" w:hAnsiTheme="majorHAnsi"/>
          <w:b/>
          <w:i/>
          <w:sz w:val="24"/>
          <w:szCs w:val="24"/>
        </w:rPr>
        <w:t>14. “</w:t>
      </w:r>
      <w:r w:rsidRPr="00FC2294">
        <w:rPr>
          <w:rFonts w:asciiTheme="majorHAnsi" w:hAnsiTheme="majorHAnsi"/>
          <w:b/>
          <w:bCs/>
          <w:i/>
          <w:sz w:val="24"/>
          <w:szCs w:val="24"/>
        </w:rPr>
        <w:t xml:space="preserve">Informe sobre el porcentaje de uso, según moneda, de las </w:t>
      </w:r>
      <w:r w:rsidRPr="00FC2294">
        <w:rPr>
          <w:rFonts w:asciiTheme="majorHAnsi" w:hAnsiTheme="majorHAnsi"/>
          <w:b/>
          <w:bCs/>
          <w:i/>
          <w:sz w:val="24"/>
          <w:szCs w:val="24"/>
          <w:lang w:val="es-ES"/>
        </w:rPr>
        <w:t xml:space="preserve">líneas de crédito y facilidades de liquidez de utilización automática, por moneda, con clientes minoristas”, </w:t>
      </w:r>
      <w:r w:rsidRPr="00FC2294">
        <w:rPr>
          <w:rFonts w:asciiTheme="majorHAnsi" w:hAnsiTheme="majorHAnsi"/>
          <w:bCs/>
          <w:sz w:val="24"/>
          <w:szCs w:val="24"/>
          <w:lang w:val="es-ES"/>
        </w:rPr>
        <w:t>conforme se  detalla a continuación:</w:t>
      </w:r>
    </w:p>
    <w:p w:rsidRPr="00FC2294" w:rsidR="007E6845" w:rsidP="007E6845" w:rsidRDefault="007E6845" w14:paraId="3A86EA5C" w14:textId="77777777">
      <w:pPr>
        <w:spacing w:before="120" w:after="120" w:line="240" w:lineRule="auto"/>
        <w:ind w:left="393"/>
        <w:rPr>
          <w:rFonts w:asciiTheme="majorHAnsi" w:hAnsiTheme="majorHAnsi"/>
          <w:b/>
          <w:bCs/>
          <w:sz w:val="24"/>
        </w:rPr>
      </w:pPr>
      <w:r w:rsidRPr="00FC2294">
        <w:rPr>
          <w:rFonts w:asciiTheme="majorHAnsi" w:hAnsiTheme="majorHAnsi"/>
          <w:b/>
          <w:i/>
          <w:sz w:val="24"/>
          <w:lang w:val="es-CR"/>
        </w:rPr>
        <w:t>“</w:t>
      </w:r>
      <w:r w:rsidRPr="00FC2294">
        <w:rPr>
          <w:rFonts w:asciiTheme="majorHAnsi" w:hAnsiTheme="majorHAnsi"/>
          <w:b/>
          <w:sz w:val="24"/>
        </w:rPr>
        <w:t xml:space="preserve">14. </w:t>
      </w:r>
      <w:r w:rsidRPr="00FC2294">
        <w:rPr>
          <w:rFonts w:asciiTheme="majorHAnsi" w:hAnsiTheme="majorHAnsi"/>
          <w:b/>
          <w:bCs/>
          <w:sz w:val="24"/>
        </w:rPr>
        <w:t>Informe sobre el porcentaje de uso, según moneda, de las líneas de crédito y facilidades de liquidez de utilización automática, por moneda, con clientes minoristas</w:t>
      </w:r>
    </w:p>
    <w:p w:rsidR="001C74DE" w:rsidP="007E6845" w:rsidRDefault="007E6845" w14:paraId="4BBCAB1D" w14:textId="77777777">
      <w:pPr>
        <w:spacing w:before="120" w:after="120"/>
        <w:ind w:left="360"/>
        <w:rPr>
          <w:rFonts w:eastAsia="Calibri" w:asciiTheme="majorHAnsi" w:hAnsiTheme="majorHAnsi"/>
          <w:bCs/>
          <w:i/>
          <w:sz w:val="24"/>
        </w:rPr>
      </w:pPr>
      <w:r w:rsidRPr="00FC2294">
        <w:rPr>
          <w:rFonts w:eastAsia="Calibri" w:asciiTheme="majorHAnsi" w:hAnsiTheme="majorHAnsi"/>
          <w:bCs/>
          <w:i/>
          <w:sz w:val="24"/>
        </w:rPr>
        <w:t xml:space="preserve">Se espera que la entidad elabore un informe que respalde el porcentaje de uso, según moneda, de las líneas de crédito y facilidades de liquidez de utilización automática, por moneda, con clientes minoristas a la que hace referencia el párrafo último del inciso i. del acápite G) del Artículo 17, Salidas de efectivo totales, del </w:t>
      </w:r>
      <w:r w:rsidRPr="00FC2294">
        <w:rPr>
          <w:rFonts w:asciiTheme="majorHAnsi" w:hAnsiTheme="majorHAnsi"/>
          <w:bCs/>
          <w:i/>
          <w:sz w:val="24"/>
        </w:rPr>
        <w:t>Reglamento sobre Administración del Riesgo de Liquidez</w:t>
      </w:r>
      <w:r w:rsidRPr="00FC2294">
        <w:rPr>
          <w:rFonts w:eastAsia="Calibri" w:asciiTheme="majorHAnsi" w:hAnsiTheme="majorHAnsi"/>
          <w:bCs/>
          <w:i/>
          <w:sz w:val="24"/>
        </w:rPr>
        <w:t xml:space="preserve">. </w:t>
      </w:r>
    </w:p>
    <w:p w:rsidRPr="00FC2294" w:rsidR="007E6845" w:rsidP="007E6845" w:rsidRDefault="007E6845" w14:paraId="64D999CC" w14:textId="2692330C">
      <w:pPr>
        <w:spacing w:before="120" w:after="120"/>
        <w:ind w:left="360"/>
        <w:rPr>
          <w:i/>
          <w:sz w:val="24"/>
          <w:lang w:val="es-MX"/>
        </w:rPr>
      </w:pPr>
      <w:r w:rsidRPr="00FC2294">
        <w:rPr>
          <w:rFonts w:eastAsia="Calibri" w:asciiTheme="majorHAnsi" w:hAnsiTheme="majorHAnsi"/>
          <w:bCs/>
          <w:i/>
          <w:sz w:val="24"/>
        </w:rPr>
        <w:t>Se espera que este informe contenga, al menos, la siguiente información:</w:t>
      </w:r>
    </w:p>
    <w:p w:rsidR="007E6845" w:rsidP="00EC1410" w:rsidRDefault="007E6845" w14:paraId="1FA77C82" w14:textId="77777777">
      <w:pPr>
        <w:pStyle w:val="Prrafodelista"/>
        <w:spacing w:before="120" w:after="120" w:line="240" w:lineRule="auto"/>
        <w:ind w:left="1146"/>
        <w:rPr>
          <w:rFonts w:ascii="Cambria" w:hAnsi="Cambria" w:eastAsia="Times New Roman"/>
          <w:i/>
          <w:sz w:val="24"/>
          <w:szCs w:val="24"/>
          <w:lang w:val="es-MX"/>
        </w:rPr>
      </w:pPr>
      <w:r w:rsidRPr="00FC2294">
        <w:rPr>
          <w:rFonts w:ascii="Cambria" w:hAnsi="Cambria" w:eastAsia="Times New Roman"/>
          <w:i/>
          <w:sz w:val="24"/>
          <w:szCs w:val="24"/>
          <w:lang w:val="es-MX"/>
        </w:rPr>
        <w:lastRenderedPageBreak/>
        <w:t>El porcentaje de uso agregado, según moneda, calculado con información de los últimos dos años, de las líneas de crédito y facilidades de liquidez de utilización automática, por moneda, con clientes minoristas.</w:t>
      </w:r>
    </w:p>
    <w:p w:rsidR="007E6845" w:rsidP="007E6845" w:rsidRDefault="007E6845" w14:paraId="42384B10" w14:textId="77777777">
      <w:pPr>
        <w:spacing w:before="120" w:after="120"/>
        <w:ind w:left="360"/>
        <w:rPr>
          <w:rFonts w:eastAsia="Calibri" w:asciiTheme="majorHAnsi" w:hAnsiTheme="majorHAnsi"/>
          <w:bCs/>
          <w:i/>
          <w:sz w:val="24"/>
        </w:rPr>
      </w:pPr>
      <w:r>
        <w:rPr>
          <w:rFonts w:eastAsia="Calibri" w:asciiTheme="majorHAnsi" w:hAnsiTheme="majorHAnsi"/>
          <w:bCs/>
          <w:i/>
          <w:sz w:val="24"/>
        </w:rPr>
        <w:t>La entidad debe actualizar los resultados de este informe con una periodicidad semestral.</w:t>
      </w:r>
    </w:p>
    <w:p w:rsidRPr="00FC2294" w:rsidR="007E6845" w:rsidP="007E6845" w:rsidRDefault="007E6845" w14:paraId="3926DEE3" w14:textId="77777777">
      <w:pPr>
        <w:spacing w:before="120" w:after="120"/>
        <w:ind w:left="360"/>
        <w:rPr>
          <w:rFonts w:eastAsia="Calibri" w:asciiTheme="majorHAnsi" w:hAnsiTheme="majorHAnsi"/>
          <w:bCs/>
          <w:sz w:val="24"/>
        </w:rPr>
      </w:pPr>
      <w:r w:rsidRPr="00FC2294">
        <w:rPr>
          <w:rFonts w:eastAsia="Calibri" w:asciiTheme="majorHAnsi" w:hAnsiTheme="majorHAnsi"/>
          <w:bCs/>
          <w:i/>
          <w:sz w:val="24"/>
        </w:rPr>
        <w:t>Se espera que este informe este a disposición de la SUGEF para su revisión cuando ésta lo considere oportuno, y podrá solicitar ajustes según lo requiera.”</w:t>
      </w:r>
    </w:p>
    <w:p w:rsidRPr="00FC2294" w:rsidR="007E6845" w:rsidP="007E6845" w:rsidRDefault="007E6845" w14:paraId="234177F1" w14:textId="77777777">
      <w:pPr>
        <w:spacing w:before="120" w:after="120" w:line="240" w:lineRule="auto"/>
        <w:rPr>
          <w:rFonts w:asciiTheme="majorHAnsi" w:hAnsiTheme="majorHAnsi"/>
          <w:sz w:val="24"/>
        </w:rPr>
      </w:pPr>
      <w:r w:rsidRPr="00FC2294">
        <w:rPr>
          <w:rFonts w:eastAsia="Calibri" w:asciiTheme="majorHAnsi" w:hAnsiTheme="majorHAnsi"/>
          <w:bCs/>
          <w:sz w:val="24"/>
        </w:rPr>
        <w:t>Esta modificación a los lineamientos rige a partir del 1 de noviembre de 2018.</w:t>
      </w:r>
      <w:r w:rsidRPr="00FC2294">
        <w:rPr>
          <w:rFonts w:asciiTheme="majorHAnsi" w:hAnsiTheme="majorHAnsi"/>
          <w:sz w:val="24"/>
        </w:rPr>
        <w:t xml:space="preserve">” </w:t>
      </w:r>
    </w:p>
    <w:p w:rsidR="007E6845" w:rsidP="007E6845" w:rsidRDefault="007E6845" w14:paraId="21A32B59" w14:textId="77777777">
      <w:pPr>
        <w:pStyle w:val="Texto0"/>
        <w:spacing w:before="0" w:after="0" w:line="240" w:lineRule="auto"/>
        <w:rPr>
          <w:sz w:val="24"/>
        </w:rPr>
      </w:pPr>
    </w:p>
    <w:p w:rsidRPr="002E2B0A" w:rsidR="007E6845" w:rsidP="007E6845" w:rsidRDefault="007C4C64" w14:paraId="0BC2C429" w14:textId="5F883562">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299D9F29" wp14:anchorId="1610A224">
            <wp:simplePos x="0" y="0"/>
            <wp:positionH relativeFrom="column">
              <wp:posOffset>-173355</wp:posOffset>
            </wp:positionH>
            <wp:positionV relativeFrom="paragraph">
              <wp:posOffset>236855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E6845">
        <w:rPr>
          <w:sz w:val="24"/>
        </w:rPr>
        <w:t>Atentamente,</w:t>
      </w:r>
    </w:p>
    <w:p w:rsidR="007E6845" w:rsidP="007E6845" w:rsidRDefault="007E6845" w14:paraId="49EC0FAB" w14:textId="4D2A017F">
      <w:pPr>
        <w:spacing w:line="240" w:lineRule="auto"/>
        <w:rPr>
          <w:sz w:val="24"/>
        </w:rPr>
      </w:pPr>
    </w:p>
    <w:p w:rsidR="007C4C64" w:rsidP="007E6845" w:rsidRDefault="007C4C64" w14:paraId="4ABBCAAB" w14:textId="306174F0">
      <w:pPr>
        <w:spacing w:line="240" w:lineRule="auto"/>
        <w:rPr>
          <w:sz w:val="24"/>
        </w:rPr>
      </w:pPr>
    </w:p>
    <w:p w:rsidRPr="002E2B0A" w:rsidR="007C4C64" w:rsidP="007E6845" w:rsidRDefault="007C4C64" w14:paraId="1CA73E6F" w14:textId="065A2B2C">
      <w:pPr>
        <w:spacing w:line="240" w:lineRule="auto"/>
        <w:rPr>
          <w:sz w:val="24"/>
        </w:rPr>
      </w:pPr>
    </w:p>
    <w:p w:rsidR="007E6845" w:rsidP="007E6845" w:rsidRDefault="007E6845" w14:paraId="0021E47F" w14:textId="77777777">
      <w:pPr>
        <w:jc w:val="left"/>
        <w:rPr>
          <w:sz w:val="24"/>
        </w:rPr>
      </w:pPr>
      <w:r>
        <w:rPr>
          <w:sz w:val="24"/>
        </w:rPr>
        <w:t>Bernardo Alfaro A.</w:t>
      </w:r>
      <w:r>
        <w:rPr>
          <w:sz w:val="24"/>
        </w:rPr>
        <w:br/>
      </w:r>
      <w:r w:rsidRPr="00072CDB">
        <w:rPr>
          <w:b/>
          <w:sz w:val="24"/>
        </w:rPr>
        <w:t>Superintendente</w:t>
      </w:r>
    </w:p>
    <w:p w:rsidR="007E6845" w:rsidP="007E6845" w:rsidRDefault="007E6845" w14:paraId="2F4799A7" w14:textId="3F9E12F7">
      <w:pPr>
        <w:pStyle w:val="Negrita"/>
        <w:tabs>
          <w:tab w:val="left" w:pos="6847"/>
        </w:tabs>
        <w:spacing w:line="240" w:lineRule="auto"/>
        <w:jc w:val="left"/>
        <w:rPr>
          <w:b w:val="0"/>
          <w:sz w:val="24"/>
        </w:rPr>
      </w:pPr>
    </w:p>
    <w:p w:rsidR="007C4C64" w:rsidP="007E6845" w:rsidRDefault="007C4C64" w14:paraId="4AD8DB75" w14:textId="77777777">
      <w:pPr>
        <w:pStyle w:val="Negrita"/>
        <w:tabs>
          <w:tab w:val="left" w:pos="6847"/>
        </w:tabs>
        <w:spacing w:line="240" w:lineRule="auto"/>
        <w:jc w:val="left"/>
        <w:rPr>
          <w:b w:val="0"/>
          <w:sz w:val="24"/>
        </w:rPr>
      </w:pPr>
    </w:p>
    <w:p w:rsidRPr="007C4C64" w:rsidR="007C4C64" w:rsidP="007C4C64" w:rsidRDefault="00A3025B" w14:paraId="32A5B0CF" w14:textId="77777777">
      <w:pPr>
        <w:spacing w:before="120" w:after="120" w:line="240" w:lineRule="auto"/>
        <w:contextualSpacing/>
        <w:rPr>
          <w:rFonts w:eastAsia="Calibri" w:asciiTheme="majorHAnsi" w:hAnsiTheme="majorHAnsi"/>
          <w:bCs/>
          <w:sz w:val="20"/>
        </w:rPr>
      </w:pPr>
      <w:sdt>
        <w:sdtPr>
          <w:rPr>
            <w:rFonts w:eastAsia="Calibri" w:asciiTheme="majorHAnsi" w:hAnsiTheme="majorHAnsi"/>
            <w:bCs/>
            <w:sz w:val="20"/>
          </w:rPr>
          <w:alias w:val="Unidad generadora"/>
          <w:tag w:val="unidad generadora"/>
          <w:id w:val="11415835"/>
          <w:placeholder>
            <w:docPart w:val="DE9C6C0A9AA54AC6824F404760546934"/>
          </w:placeholder>
        </w:sdtPr>
        <w:sdtEndPr/>
        <w:sdtContent>
          <w:r w:rsidRPr="007C4C64" w:rsidR="007C4C64">
            <w:rPr>
              <w:rFonts w:eastAsia="Calibri" w:asciiTheme="majorHAnsi" w:hAnsiTheme="majorHAnsi"/>
              <w:bCs/>
              <w:sz w:val="20"/>
            </w:rPr>
            <w:t>Unidad generadora:</w:t>
          </w:r>
        </w:sdtContent>
      </w:sdt>
      <w:r w:rsidRPr="007C4C64" w:rsidR="007C4C64">
        <w:rPr>
          <w:rFonts w:eastAsia="Calibri" w:asciiTheme="majorHAnsi" w:hAnsiTheme="majorHAnsi"/>
          <w:bCs/>
          <w:sz w:val="20"/>
        </w:rPr>
        <w:t xml:space="preserve"> Departamento de Normas, Dirección General de Servicios Técnicos</w:t>
      </w:r>
    </w:p>
    <w:p w:rsidR="007C4C64" w:rsidP="007C4C64" w:rsidRDefault="007C4C64" w14:paraId="5837AB17" w14:textId="77777777">
      <w:pPr>
        <w:spacing w:before="120" w:after="120" w:line="240" w:lineRule="auto"/>
        <w:contextualSpacing/>
        <w:rPr>
          <w:rFonts w:eastAsia="Calibri" w:asciiTheme="majorHAnsi" w:hAnsiTheme="majorHAnsi"/>
          <w:bCs/>
          <w:sz w:val="20"/>
        </w:rPr>
      </w:pPr>
    </w:p>
    <w:p w:rsidRPr="007C4C64" w:rsidR="007C4C64" w:rsidP="007C4C64" w:rsidRDefault="007C4C64" w14:paraId="197CCCA5" w14:textId="77777777">
      <w:pPr>
        <w:spacing w:before="120" w:after="120" w:line="240" w:lineRule="auto"/>
        <w:contextualSpacing/>
        <w:rPr>
          <w:rFonts w:eastAsia="Calibri" w:asciiTheme="majorHAnsi" w:hAnsiTheme="majorHAnsi"/>
          <w:bCs/>
          <w:sz w:val="20"/>
        </w:rPr>
      </w:pPr>
      <w:r w:rsidRPr="007C4C64">
        <w:rPr>
          <w:rFonts w:eastAsia="Calibri" w:asciiTheme="majorHAnsi" w:hAnsiTheme="majorHAnsi"/>
          <w:bCs/>
          <w:sz w:val="20"/>
        </w:rPr>
        <w:t xml:space="preserve">Categoría: </w:t>
      </w:r>
      <w:sdt>
        <w:sdtPr>
          <w:rPr>
            <w:rFonts w:eastAsia="Calibri" w:asciiTheme="majorHAnsi" w:hAnsiTheme="majorHAnsi"/>
            <w:bCs/>
            <w:sz w:val="20"/>
          </w:rPr>
          <w:alias w:val="Categoria"/>
          <w:tag w:val="categoria"/>
          <w:id w:val="11415837"/>
          <w:placeholder>
            <w:docPart w:val="0302B78D1F29441491559DFA4E461862"/>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7C4C64">
            <w:rPr>
              <w:rFonts w:eastAsia="Calibri" w:asciiTheme="majorHAnsi" w:hAnsiTheme="majorHAnsi"/>
              <w:bCs/>
              <w:sz w:val="20"/>
            </w:rPr>
            <w:t>Comunicado</w:t>
          </w:r>
        </w:sdtContent>
      </w:sdt>
      <w:r w:rsidRPr="007C4C64">
        <w:rPr>
          <w:rFonts w:eastAsia="Calibri" w:asciiTheme="majorHAnsi" w:hAnsiTheme="majorHAnsi"/>
          <w:bCs/>
          <w:sz w:val="20"/>
        </w:rPr>
        <w:t xml:space="preserve"> </w:t>
      </w:r>
    </w:p>
    <w:p w:rsidR="007C4C64" w:rsidP="007C4C64" w:rsidRDefault="007C4C64" w14:paraId="4B50075F" w14:textId="77777777">
      <w:pPr>
        <w:spacing w:before="120" w:after="120" w:line="240" w:lineRule="auto"/>
        <w:contextualSpacing/>
        <w:rPr>
          <w:rFonts w:eastAsia="Calibri" w:asciiTheme="majorHAnsi" w:hAnsiTheme="majorHAnsi"/>
          <w:bCs/>
          <w:sz w:val="20"/>
        </w:rPr>
      </w:pPr>
    </w:p>
    <w:p w:rsidRPr="00A3025B" w:rsidR="007C4C64" w:rsidP="007C4C64" w:rsidRDefault="007C4C64" w14:paraId="264E58CD" w14:textId="7C1EF954">
      <w:pPr>
        <w:spacing w:before="120" w:after="120" w:line="240" w:lineRule="auto"/>
        <w:contextualSpacing/>
        <w:rPr>
          <w:rFonts w:eastAsia="Calibri" w:asciiTheme="majorHAnsi" w:hAnsiTheme="majorHAnsi"/>
          <w:b/>
          <w:bCs/>
          <w:sz w:val="18"/>
        </w:rPr>
      </w:pPr>
      <w:r w:rsidRPr="00A3025B">
        <w:rPr>
          <w:rFonts w:eastAsia="Calibri" w:asciiTheme="majorHAnsi" w:hAnsiTheme="majorHAnsi"/>
          <w:b/>
          <w:bCs/>
          <w:sz w:val="18"/>
        </w:rPr>
        <w:t>CGM/GAA/ILL/gvl*</w:t>
      </w:r>
    </w:p>
    <w:p w:rsidR="007E6845" w:rsidP="007E6845" w:rsidRDefault="007E6845" w14:paraId="3A09B3E1" w14:textId="77777777">
      <w:pPr>
        <w:pStyle w:val="Negrita"/>
      </w:pPr>
      <w:bookmarkStart w:name="_GoBack" w:id="0"/>
      <w:bookmarkEnd w:id="0"/>
    </w:p>
    <w:p w:rsidR="00A26E9E" w:rsidP="007E6845" w:rsidRDefault="00A26E9E" w14:paraId="21469402" w14:textId="55E93515"/>
    <w:sectPr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1D40C" w14:textId="77777777" w:rsidR="00AA20BC" w:rsidRDefault="00AA20BC" w:rsidP="00D43D57">
      <w:r>
        <w:separator/>
      </w:r>
    </w:p>
  </w:endnote>
  <w:endnote w:type="continuationSeparator" w:id="0">
    <w:p w14:paraId="617C917A" w14:textId="77777777" w:rsidR="00AA20BC" w:rsidRDefault="00AA20BC" w:rsidP="00D43D57">
      <w:r>
        <w:continuationSeparator/>
      </w:r>
    </w:p>
  </w:endnote>
  <w:endnote w:type="continuationNotice" w:id="1">
    <w:p w14:paraId="5F8996F9" w14:textId="77777777" w:rsidR="00CA308D" w:rsidRDefault="00CA30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C" w:rsidRDefault="00AA20BC" w14:paraId="646D9269"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AA20BC" w:rsidTr="008F1461" w14:paraId="4E72711D" w14:textId="77777777">
      <w:trPr>
        <w:trHeight w:val="546"/>
      </w:trPr>
      <w:tc>
        <w:tcPr>
          <w:tcW w:w="3189" w:type="dxa"/>
          <w:shd w:val="clear" w:color="auto" w:fill="FFFFFF"/>
          <w:vAlign w:val="center"/>
        </w:tcPr>
        <w:p w:rsidR="00AA20BC" w:rsidP="000C62BB" w:rsidRDefault="00AA20BC" w14:paraId="5A96A24F" w14:textId="77777777">
          <w:pPr>
            <w:pStyle w:val="Piepagina"/>
          </w:pPr>
          <w:r>
            <w:rPr>
              <w:b/>
              <w:bCs/>
            </w:rPr>
            <w:t>Teléfono</w:t>
          </w:r>
          <w:r>
            <w:t xml:space="preserve">   (506) 2243-4848</w:t>
          </w:r>
        </w:p>
        <w:p w:rsidR="00AA20BC" w:rsidP="000C62BB" w:rsidRDefault="00AA20BC" w14:paraId="5FDD8B36" w14:textId="77777777">
          <w:pPr>
            <w:pStyle w:val="Piepagina"/>
          </w:pPr>
          <w:r>
            <w:rPr>
              <w:b/>
              <w:bCs/>
            </w:rPr>
            <w:t>Facsímile</w:t>
          </w:r>
          <w:r>
            <w:t xml:space="preserve">  (506) 2243-4849</w:t>
          </w:r>
        </w:p>
      </w:tc>
      <w:tc>
        <w:tcPr>
          <w:tcW w:w="2835" w:type="dxa"/>
          <w:shd w:val="clear" w:color="auto" w:fill="FFFFFF"/>
          <w:vAlign w:val="center"/>
        </w:tcPr>
        <w:p w:rsidR="00AA20BC" w:rsidP="000C62BB" w:rsidRDefault="00AA20BC" w14:paraId="513280A4" w14:textId="77777777">
          <w:pPr>
            <w:pStyle w:val="Piepagina"/>
          </w:pPr>
          <w:r>
            <w:rPr>
              <w:b/>
              <w:bCs/>
            </w:rPr>
            <w:t>Apartado</w:t>
          </w:r>
          <w:r>
            <w:t xml:space="preserve"> 2762-1000</w:t>
          </w:r>
        </w:p>
        <w:p w:rsidR="00AA20BC" w:rsidP="000C62BB" w:rsidRDefault="00AA20BC" w14:paraId="197DEE3E" w14:textId="77777777">
          <w:pPr>
            <w:pStyle w:val="Piepagina"/>
          </w:pPr>
          <w:r>
            <w:t>San José, Costa Rica</w:t>
          </w:r>
        </w:p>
      </w:tc>
      <w:tc>
        <w:tcPr>
          <w:tcW w:w="2410" w:type="dxa"/>
          <w:shd w:val="clear" w:color="auto" w:fill="FFFFFF"/>
          <w:vAlign w:val="center"/>
        </w:tcPr>
        <w:p w:rsidR="00AA20BC" w:rsidP="000C62BB" w:rsidRDefault="00AA20BC" w14:paraId="0F299220" w14:textId="77777777">
          <w:pPr>
            <w:pStyle w:val="Piepagina"/>
          </w:pPr>
          <w:r>
            <w:t>www.sugef.fi.cr</w:t>
          </w:r>
        </w:p>
        <w:p w:rsidR="00AA20BC" w:rsidP="000C62BB" w:rsidRDefault="00AA20BC" w14:paraId="48D781AF" w14:textId="77777777">
          <w:pPr>
            <w:pStyle w:val="Piepagina"/>
          </w:pPr>
          <w:r>
            <w:t>sugefcr@sugef.fi.cr</w:t>
          </w:r>
        </w:p>
      </w:tc>
      <w:tc>
        <w:tcPr>
          <w:tcW w:w="260" w:type="dxa"/>
          <w:shd w:val="clear" w:color="auto" w:fill="FFFFFF"/>
        </w:tcPr>
        <w:p w:rsidR="00AA20BC" w:rsidP="000C62BB" w:rsidRDefault="00AA20BC" w14:paraId="0E96E8EC" w14:textId="77777777">
          <w:pPr>
            <w:pStyle w:val="Piepagina"/>
          </w:pPr>
          <w:r>
            <w:fldChar w:fldCharType="begin"/>
          </w:r>
          <w:r>
            <w:instrText>PAGE   \* MERGEFORMAT</w:instrText>
          </w:r>
          <w:r>
            <w:fldChar w:fldCharType="separate"/>
          </w:r>
          <w:r w:rsidR="00A3025B">
            <w:rPr>
              <w:noProof/>
            </w:rPr>
            <w:t>5</w:t>
          </w:r>
          <w:r>
            <w:fldChar w:fldCharType="end"/>
          </w:r>
        </w:p>
      </w:tc>
    </w:tr>
  </w:tbl>
  <w:p w:rsidRPr="000C62BB" w:rsidR="00AA20BC" w:rsidRDefault="00AA20BC" w14:paraId="176A3509" w14:textId="77777777">
    <w:pPr>
      <w:pStyle w:val="Piedepgina"/>
      <w:jc w:val="right"/>
      <w:rPr>
        <w:color w:val="969696"/>
        <w:sz w:val="20"/>
        <w:szCs w:val="20"/>
      </w:rPr>
    </w:pPr>
  </w:p>
  <w:p w:rsidR="00AA20BC" w:rsidP="00FA54DF" w:rsidRDefault="00AA20BC" w14:paraId="60816964"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C" w:rsidP="008C0BF0" w:rsidRDefault="00AA20BC" w14:paraId="5C61A34E" w14:textId="77777777">
    <w:pPr>
      <w:pStyle w:val="Piepagina"/>
      <w:jc w:val="center"/>
    </w:pPr>
    <w:r>
      <w:rPr>
        <w:noProof/>
        <w:lang w:val="es-CR" w:eastAsia="es-CR"/>
      </w:rPr>
      <w:drawing>
        <wp:anchor distT="0" distB="0" distL="114300" distR="114300" simplePos="0" relativeHeight="251658240" behindDoc="1" locked="0" layoutInCell="1" allowOverlap="1" wp14:editId="03844877" wp14:anchorId="6832E4E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58241" behindDoc="0" locked="0" layoutInCell="1" allowOverlap="1" wp14:editId="20460F02" wp14:anchorId="04DCA8D8">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AA20BC" w:rsidRDefault="00AA20BC" w14:paraId="3ABA7D78" w14:textId="77777777">
                          <w:pPr>
                            <w:rPr>
                              <w:color w:val="003A68"/>
                              <w:sz w:val="14"/>
                              <w:szCs w:val="14"/>
                            </w:rPr>
                          </w:pPr>
                          <w:r w:rsidRPr="00FA54DF">
                            <w:rPr>
                              <w:color w:val="003A68"/>
                              <w:sz w:val="14"/>
                              <w:szCs w:val="14"/>
                            </w:rPr>
                            <w:t xml:space="preserve">T. (506) 2243-3631   </w:t>
                          </w:r>
                        </w:p>
                        <w:p w:rsidRPr="00FA54DF" w:rsidR="00AA20BC" w:rsidRDefault="00AA20BC" w14:paraId="1F6C31D9" w14:textId="77777777">
                          <w:pPr>
                            <w:rPr>
                              <w:color w:val="003A68"/>
                              <w:sz w:val="14"/>
                              <w:szCs w:val="14"/>
                            </w:rPr>
                          </w:pPr>
                          <w:r w:rsidRPr="00FA54DF">
                            <w:rPr>
                              <w:color w:val="003A68"/>
                              <w:sz w:val="14"/>
                              <w:szCs w:val="14"/>
                            </w:rPr>
                            <w:t xml:space="preserve">F. (506) 2243-4579   </w:t>
                          </w:r>
                        </w:p>
                        <w:p w:rsidR="00AA20BC" w:rsidRDefault="00AA20BC" w14:paraId="14C10FBA" w14:textId="77777777">
                          <w:pPr>
                            <w:rPr>
                              <w:color w:val="003A68"/>
                              <w:sz w:val="14"/>
                              <w:szCs w:val="14"/>
                            </w:rPr>
                          </w:pPr>
                          <w:r w:rsidRPr="00FA54DF">
                            <w:rPr>
                              <w:color w:val="003A68"/>
                              <w:sz w:val="14"/>
                              <w:szCs w:val="14"/>
                            </w:rPr>
                            <w:t>Apdo. 10058-1000</w:t>
                          </w:r>
                        </w:p>
                        <w:p w:rsidR="00AA20BC" w:rsidRDefault="00AA20BC" w14:paraId="4D850765" w14:textId="77777777">
                          <w:pPr>
                            <w:rPr>
                              <w:color w:val="003A68"/>
                              <w:sz w:val="14"/>
                              <w:szCs w:val="14"/>
                            </w:rPr>
                          </w:pPr>
                          <w:r w:rsidRPr="00FA54DF">
                            <w:rPr>
                              <w:color w:val="003A68"/>
                              <w:sz w:val="14"/>
                              <w:szCs w:val="14"/>
                            </w:rPr>
                            <w:t>Av. 1 y Central, Calles 2 y 4</w:t>
                          </w:r>
                        </w:p>
                        <w:p w:rsidRPr="00FA54DF" w:rsidR="00AA20BC" w:rsidRDefault="00AA20BC" w14:paraId="037989B5"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DCA8D8">
              <v:stroke joinstyle="miter"/>
              <v:path gradientshapeok="t" o:connecttype="rect"/>
            </v:shapetype>
            <v:shape id="Text Box 3" style="position:absolute;left:0;text-align:left;margin-left:344.3pt;margin-top:.45pt;width:139.25pt;height:6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AA20BC" w:rsidRDefault="00AA20BC" w14:paraId="3ABA7D78" w14:textId="77777777">
                    <w:pPr>
                      <w:rPr>
                        <w:color w:val="003A68"/>
                        <w:sz w:val="14"/>
                        <w:szCs w:val="14"/>
                      </w:rPr>
                    </w:pPr>
                    <w:r w:rsidRPr="00FA54DF">
                      <w:rPr>
                        <w:color w:val="003A68"/>
                        <w:sz w:val="14"/>
                        <w:szCs w:val="14"/>
                      </w:rPr>
                      <w:t xml:space="preserve">T. (506) 2243-3631   </w:t>
                    </w:r>
                  </w:p>
                  <w:p w:rsidRPr="00FA54DF" w:rsidR="00AA20BC" w:rsidRDefault="00AA20BC" w14:paraId="1F6C31D9" w14:textId="77777777">
                    <w:pPr>
                      <w:rPr>
                        <w:color w:val="003A68"/>
                        <w:sz w:val="14"/>
                        <w:szCs w:val="14"/>
                      </w:rPr>
                    </w:pPr>
                    <w:r w:rsidRPr="00FA54DF">
                      <w:rPr>
                        <w:color w:val="003A68"/>
                        <w:sz w:val="14"/>
                        <w:szCs w:val="14"/>
                      </w:rPr>
                      <w:t xml:space="preserve">F. (506) 2243-4579   </w:t>
                    </w:r>
                  </w:p>
                  <w:p w:rsidR="00AA20BC" w:rsidRDefault="00AA20BC" w14:paraId="14C10FBA" w14:textId="77777777">
                    <w:pPr>
                      <w:rPr>
                        <w:color w:val="003A68"/>
                        <w:sz w:val="14"/>
                        <w:szCs w:val="14"/>
                      </w:rPr>
                    </w:pPr>
                    <w:r w:rsidRPr="00FA54DF">
                      <w:rPr>
                        <w:color w:val="003A68"/>
                        <w:sz w:val="14"/>
                        <w:szCs w:val="14"/>
                      </w:rPr>
                      <w:t>Apdo. 10058-1000</w:t>
                    </w:r>
                  </w:p>
                  <w:p w:rsidR="00AA20BC" w:rsidRDefault="00AA20BC" w14:paraId="4D850765" w14:textId="77777777">
                    <w:pPr>
                      <w:rPr>
                        <w:color w:val="003A68"/>
                        <w:sz w:val="14"/>
                        <w:szCs w:val="14"/>
                      </w:rPr>
                    </w:pPr>
                    <w:r w:rsidRPr="00FA54DF">
                      <w:rPr>
                        <w:color w:val="003A68"/>
                        <w:sz w:val="14"/>
                        <w:szCs w:val="14"/>
                      </w:rPr>
                      <w:t>Av. 1 y Central, Calles 2 y 4</w:t>
                    </w:r>
                  </w:p>
                  <w:p w:rsidRPr="00FA54DF" w:rsidR="00AA20BC" w:rsidRDefault="00AA20BC" w14:paraId="037989B5" w14:textId="77777777">
                    <w:pPr>
                      <w:rPr>
                        <w:color w:val="003A68"/>
                        <w:sz w:val="14"/>
                        <w:szCs w:val="14"/>
                      </w:rPr>
                    </w:pPr>
                  </w:p>
                </w:txbxContent>
              </v:textbox>
            </v:shape>
          </w:pict>
        </mc:Fallback>
      </mc:AlternateContent>
    </w:r>
  </w:p>
  <w:p w:rsidRPr="00D43D57" w:rsidR="00AA20BC" w:rsidP="008C0BF0" w:rsidRDefault="00AA20BC" w14:paraId="28C2C8F8" w14:textId="77777777">
    <w:pPr>
      <w:pStyle w:val="Piepagina"/>
      <w:jc w:val="center"/>
    </w:pPr>
  </w:p>
  <w:p w:rsidR="00AA20BC" w:rsidRDefault="00AA20BC" w14:paraId="53A49F9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85372" w14:textId="77777777" w:rsidR="00AA20BC" w:rsidRDefault="00AA20BC" w:rsidP="00D43D57">
      <w:r>
        <w:separator/>
      </w:r>
    </w:p>
  </w:footnote>
  <w:footnote w:type="continuationSeparator" w:id="0">
    <w:p w14:paraId="658BA0F1" w14:textId="77777777" w:rsidR="00AA20BC" w:rsidRDefault="00AA20BC" w:rsidP="00D43D57">
      <w:r>
        <w:continuationSeparator/>
      </w:r>
    </w:p>
  </w:footnote>
  <w:footnote w:type="continuationNotice" w:id="1">
    <w:p w14:paraId="3D148AB0" w14:textId="77777777" w:rsidR="00CA308D" w:rsidRDefault="00CA308D">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C" w:rsidP="001327EB" w:rsidRDefault="00AA20BC" w14:paraId="3EACB1A9" w14:textId="77777777">
    <w:pPr>
      <w:pStyle w:val="Piedepgina"/>
      <w:jc w:val="center"/>
    </w:pPr>
    <w:r>
      <w:rPr>
        <w:noProof/>
        <w:lang w:val="es-CR" w:eastAsia="es-CR"/>
      </w:rPr>
      <w:drawing>
        <wp:inline distT="0" distB="0" distL="0" distR="0" wp14:anchorId="68849DCF" wp14:editId="42A7060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AA20BC" w:rsidP="00D96D0A" w:rsidRDefault="00AA20BC" w14:paraId="41C03C7E" w14:textId="77777777">
    <w:pPr>
      <w:pStyle w:val="Encabezado"/>
      <w:pBdr>
        <w:bottom w:val="single" w:color="auto" w:sz="4" w:space="3"/>
      </w:pBdr>
      <w:ind w:right="-1"/>
      <w:rPr>
        <w:b/>
        <w:sz w:val="20"/>
        <w:szCs w:val="20"/>
      </w:rPr>
    </w:pPr>
    <w:r>
      <w:rPr>
        <w:noProof/>
        <w:lang w:val="es-CR" w:eastAsia="es-CR"/>
      </w:rPr>
      <w:drawing>
        <wp:inline distT="0" distB="0" distL="0" distR="0" wp14:anchorId="1C9E6594" wp14:editId="03AB92F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AA20BC" w:rsidP="00D96D0A" w:rsidRDefault="00AA20BC" w14:paraId="06DD9328"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ABD"/>
    <w:multiLevelType w:val="hybridMultilevel"/>
    <w:tmpl w:val="01F6A3B8"/>
    <w:lvl w:ilvl="0" w:tplc="140A001B">
      <w:start w:val="1"/>
      <w:numFmt w:val="lowerRoman"/>
      <w:lvlText w:val="%1."/>
      <w:lvlJc w:val="righ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7344F85"/>
    <w:multiLevelType w:val="hybridMultilevel"/>
    <w:tmpl w:val="1CC63C5E"/>
    <w:lvl w:ilvl="0" w:tplc="F3D491A0">
      <w:start w:val="1"/>
      <w:numFmt w:val="decimal"/>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3" w15:restartNumberingAfterBreak="0">
    <w:nsid w:val="17CF0EDD"/>
    <w:multiLevelType w:val="hybridMultilevel"/>
    <w:tmpl w:val="B43AB6FC"/>
    <w:lvl w:ilvl="0" w:tplc="0D12F100">
      <w:start w:val="1"/>
      <w:numFmt w:val="lowerRoman"/>
      <w:lvlText w:val="%1."/>
      <w:lvlJc w:val="right"/>
      <w:pPr>
        <w:ind w:left="-132" w:hanging="360"/>
      </w:pPr>
      <w:rPr>
        <w:rFonts w:hint="default"/>
      </w:rPr>
    </w:lvl>
    <w:lvl w:ilvl="1" w:tplc="140A0019" w:tentative="1">
      <w:start w:val="1"/>
      <w:numFmt w:val="lowerLetter"/>
      <w:lvlText w:val="%2."/>
      <w:lvlJc w:val="left"/>
      <w:pPr>
        <w:ind w:left="588" w:hanging="360"/>
      </w:pPr>
    </w:lvl>
    <w:lvl w:ilvl="2" w:tplc="140A001B" w:tentative="1">
      <w:start w:val="1"/>
      <w:numFmt w:val="lowerRoman"/>
      <w:lvlText w:val="%3."/>
      <w:lvlJc w:val="right"/>
      <w:pPr>
        <w:ind w:left="1308" w:hanging="180"/>
      </w:pPr>
    </w:lvl>
    <w:lvl w:ilvl="3" w:tplc="140A000F" w:tentative="1">
      <w:start w:val="1"/>
      <w:numFmt w:val="decimal"/>
      <w:lvlText w:val="%4."/>
      <w:lvlJc w:val="left"/>
      <w:pPr>
        <w:ind w:left="2028" w:hanging="360"/>
      </w:pPr>
    </w:lvl>
    <w:lvl w:ilvl="4" w:tplc="140A0019" w:tentative="1">
      <w:start w:val="1"/>
      <w:numFmt w:val="lowerLetter"/>
      <w:lvlText w:val="%5."/>
      <w:lvlJc w:val="left"/>
      <w:pPr>
        <w:ind w:left="2748" w:hanging="360"/>
      </w:pPr>
    </w:lvl>
    <w:lvl w:ilvl="5" w:tplc="140A001B" w:tentative="1">
      <w:start w:val="1"/>
      <w:numFmt w:val="lowerRoman"/>
      <w:lvlText w:val="%6."/>
      <w:lvlJc w:val="right"/>
      <w:pPr>
        <w:ind w:left="3468" w:hanging="180"/>
      </w:pPr>
    </w:lvl>
    <w:lvl w:ilvl="6" w:tplc="140A000F" w:tentative="1">
      <w:start w:val="1"/>
      <w:numFmt w:val="decimal"/>
      <w:lvlText w:val="%7."/>
      <w:lvlJc w:val="left"/>
      <w:pPr>
        <w:ind w:left="4188" w:hanging="360"/>
      </w:pPr>
    </w:lvl>
    <w:lvl w:ilvl="7" w:tplc="140A0019" w:tentative="1">
      <w:start w:val="1"/>
      <w:numFmt w:val="lowerLetter"/>
      <w:lvlText w:val="%8."/>
      <w:lvlJc w:val="left"/>
      <w:pPr>
        <w:ind w:left="4908" w:hanging="360"/>
      </w:pPr>
    </w:lvl>
    <w:lvl w:ilvl="8" w:tplc="140A001B" w:tentative="1">
      <w:start w:val="1"/>
      <w:numFmt w:val="lowerRoman"/>
      <w:lvlText w:val="%9."/>
      <w:lvlJc w:val="right"/>
      <w:pPr>
        <w:ind w:left="5628" w:hanging="180"/>
      </w:pPr>
    </w:lvl>
  </w:abstractNum>
  <w:abstractNum w:abstractNumId="14" w15:restartNumberingAfterBreak="0">
    <w:nsid w:val="2BED687B"/>
    <w:multiLevelType w:val="hybridMultilevel"/>
    <w:tmpl w:val="FBCC62C8"/>
    <w:lvl w:ilvl="0" w:tplc="2D265DB2">
      <w:start w:val="1"/>
      <w:numFmt w:val="lowerRoman"/>
      <w:lvlText w:val="%1."/>
      <w:lvlJc w:val="right"/>
      <w:pPr>
        <w:ind w:left="1080" w:hanging="360"/>
      </w:pPr>
      <w:rPr>
        <w:rFonts w:hint="default"/>
        <w:b w:val="0"/>
        <w:i/>
        <w:sz w:val="22"/>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40000CC3"/>
    <w:multiLevelType w:val="hybridMultilevel"/>
    <w:tmpl w:val="E7D223EC"/>
    <w:lvl w:ilvl="0" w:tplc="76C29216">
      <w:start w:val="1"/>
      <w:numFmt w:val="upperRoman"/>
      <w:lvlText w:val="%1."/>
      <w:lvlJc w:val="right"/>
      <w:pPr>
        <w:ind w:left="720" w:hanging="360"/>
      </w:pPr>
      <w:rPr>
        <w:rFonts w:ascii="Cambria" w:hAnsi="Cambri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73603F6"/>
    <w:multiLevelType w:val="hybridMultilevel"/>
    <w:tmpl w:val="57B6557C"/>
    <w:lvl w:ilvl="0" w:tplc="D0DAE2CA">
      <w:start w:val="1"/>
      <w:numFmt w:val="lowerRoman"/>
      <w:lvlText w:val="%1."/>
      <w:lvlJc w:val="right"/>
      <w:pPr>
        <w:ind w:left="1080" w:hanging="360"/>
      </w:pPr>
      <w:rPr>
        <w:rFonts w:hint="default"/>
        <w:b w:val="0"/>
        <w:i/>
        <w:sz w:val="22"/>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15:restartNumberingAfterBreak="0">
    <w:nsid w:val="757F595B"/>
    <w:multiLevelType w:val="hybridMultilevel"/>
    <w:tmpl w:val="01F6A3B8"/>
    <w:lvl w:ilvl="0" w:tplc="140A001B">
      <w:start w:val="1"/>
      <w:numFmt w:val="lowerRoman"/>
      <w:lvlText w:val="%1."/>
      <w:lvlJc w:val="righ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B2"/>
    <w:rsid w:val="000064A4"/>
    <w:rsid w:val="000235B5"/>
    <w:rsid w:val="00026C85"/>
    <w:rsid w:val="00041BDD"/>
    <w:rsid w:val="000439A6"/>
    <w:rsid w:val="00050E8B"/>
    <w:rsid w:val="00060C03"/>
    <w:rsid w:val="000646DD"/>
    <w:rsid w:val="0007703B"/>
    <w:rsid w:val="00081865"/>
    <w:rsid w:val="00082968"/>
    <w:rsid w:val="000A5BC5"/>
    <w:rsid w:val="000C2932"/>
    <w:rsid w:val="000C62BB"/>
    <w:rsid w:val="000E0AC6"/>
    <w:rsid w:val="000E119F"/>
    <w:rsid w:val="000F34AE"/>
    <w:rsid w:val="001052E8"/>
    <w:rsid w:val="00111D20"/>
    <w:rsid w:val="00117501"/>
    <w:rsid w:val="001322B4"/>
    <w:rsid w:val="001327EB"/>
    <w:rsid w:val="00132F17"/>
    <w:rsid w:val="0016220C"/>
    <w:rsid w:val="001653C6"/>
    <w:rsid w:val="0019166E"/>
    <w:rsid w:val="001946F4"/>
    <w:rsid w:val="00197CC0"/>
    <w:rsid w:val="001A6574"/>
    <w:rsid w:val="001C075B"/>
    <w:rsid w:val="001C3CCD"/>
    <w:rsid w:val="001C5806"/>
    <w:rsid w:val="001C74DE"/>
    <w:rsid w:val="001D72B0"/>
    <w:rsid w:val="001E0448"/>
    <w:rsid w:val="00230C67"/>
    <w:rsid w:val="002645B7"/>
    <w:rsid w:val="00281935"/>
    <w:rsid w:val="00292DF0"/>
    <w:rsid w:val="002A14D5"/>
    <w:rsid w:val="002C56A4"/>
    <w:rsid w:val="002E2B0A"/>
    <w:rsid w:val="002E3589"/>
    <w:rsid w:val="002E56D1"/>
    <w:rsid w:val="002E571B"/>
    <w:rsid w:val="002F08D5"/>
    <w:rsid w:val="003060E2"/>
    <w:rsid w:val="00310570"/>
    <w:rsid w:val="00317BBB"/>
    <w:rsid w:val="00322A87"/>
    <w:rsid w:val="00325AB2"/>
    <w:rsid w:val="003267FB"/>
    <w:rsid w:val="003312B8"/>
    <w:rsid w:val="003503A2"/>
    <w:rsid w:val="003554C5"/>
    <w:rsid w:val="00365794"/>
    <w:rsid w:val="00373B22"/>
    <w:rsid w:val="00385CC2"/>
    <w:rsid w:val="003B0CD3"/>
    <w:rsid w:val="003C4C71"/>
    <w:rsid w:val="003E4EDB"/>
    <w:rsid w:val="00401ABB"/>
    <w:rsid w:val="00410551"/>
    <w:rsid w:val="00414B77"/>
    <w:rsid w:val="0041726E"/>
    <w:rsid w:val="00427002"/>
    <w:rsid w:val="00445881"/>
    <w:rsid w:val="00447A41"/>
    <w:rsid w:val="00481140"/>
    <w:rsid w:val="004822E6"/>
    <w:rsid w:val="00492FE3"/>
    <w:rsid w:val="004C7711"/>
    <w:rsid w:val="004D7F44"/>
    <w:rsid w:val="004E4750"/>
    <w:rsid w:val="004E5FB2"/>
    <w:rsid w:val="004F74E7"/>
    <w:rsid w:val="005105C4"/>
    <w:rsid w:val="0053623F"/>
    <w:rsid w:val="00550D78"/>
    <w:rsid w:val="00557369"/>
    <w:rsid w:val="005706D1"/>
    <w:rsid w:val="005739A8"/>
    <w:rsid w:val="005751FC"/>
    <w:rsid w:val="00577A95"/>
    <w:rsid w:val="0058350E"/>
    <w:rsid w:val="005852CF"/>
    <w:rsid w:val="00590F07"/>
    <w:rsid w:val="0059392E"/>
    <w:rsid w:val="005A7846"/>
    <w:rsid w:val="005B448F"/>
    <w:rsid w:val="005B7A92"/>
    <w:rsid w:val="005C173B"/>
    <w:rsid w:val="005C3CEF"/>
    <w:rsid w:val="005D7DEA"/>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0F2C"/>
    <w:rsid w:val="006C2059"/>
    <w:rsid w:val="006D73B9"/>
    <w:rsid w:val="006E3610"/>
    <w:rsid w:val="006E6F58"/>
    <w:rsid w:val="006F21EC"/>
    <w:rsid w:val="0071134B"/>
    <w:rsid w:val="00714DC4"/>
    <w:rsid w:val="00742018"/>
    <w:rsid w:val="0074397B"/>
    <w:rsid w:val="007455FF"/>
    <w:rsid w:val="00750D2B"/>
    <w:rsid w:val="00755896"/>
    <w:rsid w:val="00765619"/>
    <w:rsid w:val="007726CC"/>
    <w:rsid w:val="007736D4"/>
    <w:rsid w:val="007815A6"/>
    <w:rsid w:val="0079518D"/>
    <w:rsid w:val="007B18D6"/>
    <w:rsid w:val="007B51DD"/>
    <w:rsid w:val="007C4C64"/>
    <w:rsid w:val="007D1328"/>
    <w:rsid w:val="007E6845"/>
    <w:rsid w:val="007F1723"/>
    <w:rsid w:val="007F327D"/>
    <w:rsid w:val="007F3A44"/>
    <w:rsid w:val="007F4A3A"/>
    <w:rsid w:val="007F5430"/>
    <w:rsid w:val="00810D77"/>
    <w:rsid w:val="008202A0"/>
    <w:rsid w:val="008310AB"/>
    <w:rsid w:val="00832753"/>
    <w:rsid w:val="00842773"/>
    <w:rsid w:val="0085692C"/>
    <w:rsid w:val="0086090D"/>
    <w:rsid w:val="00864362"/>
    <w:rsid w:val="00887400"/>
    <w:rsid w:val="00892708"/>
    <w:rsid w:val="00893074"/>
    <w:rsid w:val="00893B0D"/>
    <w:rsid w:val="00895097"/>
    <w:rsid w:val="008A1AA2"/>
    <w:rsid w:val="008A63B7"/>
    <w:rsid w:val="008B3838"/>
    <w:rsid w:val="008C0BF0"/>
    <w:rsid w:val="008D0528"/>
    <w:rsid w:val="008E5850"/>
    <w:rsid w:val="008F1461"/>
    <w:rsid w:val="008F33F5"/>
    <w:rsid w:val="00902895"/>
    <w:rsid w:val="00904CBE"/>
    <w:rsid w:val="00906CC5"/>
    <w:rsid w:val="00936085"/>
    <w:rsid w:val="009475B6"/>
    <w:rsid w:val="00953825"/>
    <w:rsid w:val="009578D4"/>
    <w:rsid w:val="00961917"/>
    <w:rsid w:val="00962265"/>
    <w:rsid w:val="0097235C"/>
    <w:rsid w:val="00977CEE"/>
    <w:rsid w:val="00982147"/>
    <w:rsid w:val="00983CB1"/>
    <w:rsid w:val="00984A65"/>
    <w:rsid w:val="009908DE"/>
    <w:rsid w:val="009B5E5E"/>
    <w:rsid w:val="009C366A"/>
    <w:rsid w:val="009C47FE"/>
    <w:rsid w:val="009E089B"/>
    <w:rsid w:val="009F54CB"/>
    <w:rsid w:val="00A23019"/>
    <w:rsid w:val="00A26E9E"/>
    <w:rsid w:val="00A3025B"/>
    <w:rsid w:val="00A34523"/>
    <w:rsid w:val="00A70FE9"/>
    <w:rsid w:val="00A76A2E"/>
    <w:rsid w:val="00A84CDB"/>
    <w:rsid w:val="00A8740F"/>
    <w:rsid w:val="00A902BA"/>
    <w:rsid w:val="00A906DD"/>
    <w:rsid w:val="00A93578"/>
    <w:rsid w:val="00AA20BC"/>
    <w:rsid w:val="00AA52F6"/>
    <w:rsid w:val="00AC5138"/>
    <w:rsid w:val="00AC5E12"/>
    <w:rsid w:val="00AD7B1E"/>
    <w:rsid w:val="00AE1451"/>
    <w:rsid w:val="00AE3929"/>
    <w:rsid w:val="00AF45B7"/>
    <w:rsid w:val="00B079EC"/>
    <w:rsid w:val="00B1318C"/>
    <w:rsid w:val="00B43C40"/>
    <w:rsid w:val="00B464F6"/>
    <w:rsid w:val="00B55D3F"/>
    <w:rsid w:val="00B67893"/>
    <w:rsid w:val="00B77CF0"/>
    <w:rsid w:val="00B80284"/>
    <w:rsid w:val="00B84E87"/>
    <w:rsid w:val="00B90216"/>
    <w:rsid w:val="00B94DE2"/>
    <w:rsid w:val="00BA112E"/>
    <w:rsid w:val="00BA711C"/>
    <w:rsid w:val="00BB0F2F"/>
    <w:rsid w:val="00BB470C"/>
    <w:rsid w:val="00BC03D6"/>
    <w:rsid w:val="00BD71E9"/>
    <w:rsid w:val="00BD7411"/>
    <w:rsid w:val="00BE099E"/>
    <w:rsid w:val="00BE119A"/>
    <w:rsid w:val="00BE6A0B"/>
    <w:rsid w:val="00BE7880"/>
    <w:rsid w:val="00BE7B10"/>
    <w:rsid w:val="00C039CE"/>
    <w:rsid w:val="00C1795E"/>
    <w:rsid w:val="00C22C6C"/>
    <w:rsid w:val="00C24CF4"/>
    <w:rsid w:val="00C414C9"/>
    <w:rsid w:val="00C42047"/>
    <w:rsid w:val="00C5093E"/>
    <w:rsid w:val="00C60480"/>
    <w:rsid w:val="00C63728"/>
    <w:rsid w:val="00C64425"/>
    <w:rsid w:val="00C809BA"/>
    <w:rsid w:val="00C9305E"/>
    <w:rsid w:val="00CA308D"/>
    <w:rsid w:val="00CA3FA8"/>
    <w:rsid w:val="00CB07CA"/>
    <w:rsid w:val="00CB55BA"/>
    <w:rsid w:val="00CB5F94"/>
    <w:rsid w:val="00CC03EB"/>
    <w:rsid w:val="00CC22C3"/>
    <w:rsid w:val="00D03728"/>
    <w:rsid w:val="00D06E99"/>
    <w:rsid w:val="00D071D0"/>
    <w:rsid w:val="00D102F8"/>
    <w:rsid w:val="00D10AD8"/>
    <w:rsid w:val="00D2424F"/>
    <w:rsid w:val="00D26EDE"/>
    <w:rsid w:val="00D32808"/>
    <w:rsid w:val="00D43BEF"/>
    <w:rsid w:val="00D43D57"/>
    <w:rsid w:val="00D44EF3"/>
    <w:rsid w:val="00D45FC0"/>
    <w:rsid w:val="00D54C08"/>
    <w:rsid w:val="00D55CA3"/>
    <w:rsid w:val="00D7707B"/>
    <w:rsid w:val="00D96D0A"/>
    <w:rsid w:val="00DB3508"/>
    <w:rsid w:val="00DB3E70"/>
    <w:rsid w:val="00DB7D64"/>
    <w:rsid w:val="00DC2193"/>
    <w:rsid w:val="00DC3B8E"/>
    <w:rsid w:val="00DE08C6"/>
    <w:rsid w:val="00E0013C"/>
    <w:rsid w:val="00E04F8F"/>
    <w:rsid w:val="00E11252"/>
    <w:rsid w:val="00E13C47"/>
    <w:rsid w:val="00E5185D"/>
    <w:rsid w:val="00E75AC8"/>
    <w:rsid w:val="00E82177"/>
    <w:rsid w:val="00E9207B"/>
    <w:rsid w:val="00EB4E27"/>
    <w:rsid w:val="00EB71D8"/>
    <w:rsid w:val="00EC1410"/>
    <w:rsid w:val="00EC2E48"/>
    <w:rsid w:val="00ED0FDD"/>
    <w:rsid w:val="00EE00D4"/>
    <w:rsid w:val="00EE388F"/>
    <w:rsid w:val="00EE3A47"/>
    <w:rsid w:val="00EF0C8B"/>
    <w:rsid w:val="00EF17AE"/>
    <w:rsid w:val="00EF65EB"/>
    <w:rsid w:val="00F10AFE"/>
    <w:rsid w:val="00F1102D"/>
    <w:rsid w:val="00F1297C"/>
    <w:rsid w:val="00F12A97"/>
    <w:rsid w:val="00F33277"/>
    <w:rsid w:val="00F6038D"/>
    <w:rsid w:val="00F612C5"/>
    <w:rsid w:val="00F654F5"/>
    <w:rsid w:val="00F72AD6"/>
    <w:rsid w:val="00F731A3"/>
    <w:rsid w:val="00F73412"/>
    <w:rsid w:val="00F8680D"/>
    <w:rsid w:val="00FA0542"/>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4C126F"/>
  <w15:docId w15:val="{DDAE7FD7-1B73-4F50-AC4E-C24BF333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E6845"/>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325AB2"/>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325AB2"/>
    <w:rPr>
      <w:rFonts w:ascii="Calibri" w:hAnsi="Calibri"/>
      <w:sz w:val="22"/>
      <w:szCs w:val="22"/>
      <w:lang w:eastAsia="en-US"/>
    </w:rPr>
  </w:style>
  <w:style w:type="paragraph" w:customStyle="1" w:styleId="Estilo2">
    <w:name w:val="Estilo2"/>
    <w:basedOn w:val="Normal"/>
    <w:link w:val="Estilo2Car"/>
    <w:rsid w:val="00325AB2"/>
    <w:pPr>
      <w:spacing w:line="360" w:lineRule="auto"/>
      <w:jc w:val="left"/>
    </w:pPr>
    <w:rPr>
      <w:rFonts w:ascii="Arial" w:hAnsi="Arial" w:cs="Arial"/>
      <w:b/>
      <w:sz w:val="24"/>
      <w:lang w:val="es-MX" w:eastAsia="es-ES"/>
    </w:rPr>
  </w:style>
  <w:style w:type="character" w:customStyle="1" w:styleId="Estilo2Car">
    <w:name w:val="Estilo2 Car"/>
    <w:basedOn w:val="Fuentedeprrafopredeter"/>
    <w:link w:val="Estilo2"/>
    <w:rsid w:val="00325AB2"/>
    <w:rPr>
      <w:rFonts w:ascii="Arial" w:eastAsia="Times New Roman" w:hAnsi="Arial" w:cs="Arial"/>
      <w:b/>
      <w:sz w:val="24"/>
      <w:szCs w:val="24"/>
      <w:lang w:val="es-MX" w:eastAsia="es-ES"/>
    </w:rPr>
  </w:style>
  <w:style w:type="paragraph" w:styleId="NormalWeb">
    <w:name w:val="Normal (Web)"/>
    <w:basedOn w:val="Normal"/>
    <w:unhideWhenUsed/>
    <w:locked/>
    <w:rsid w:val="00325AB2"/>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0026D98F354F53AC65DAFAA6F72D56"/>
        <w:category>
          <w:name w:val="General"/>
          <w:gallery w:val="placeholder"/>
        </w:category>
        <w:types>
          <w:type w:val="bbPlcHdr"/>
        </w:types>
        <w:behaviors>
          <w:behavior w:val="content"/>
        </w:behaviors>
        <w:guid w:val="{41C2C63A-BD2D-40F2-A9F3-29F9BCF5A47A}"/>
      </w:docPartPr>
      <w:docPartBody>
        <w:p w:rsidR="00F01210" w:rsidRDefault="00F01210" w:rsidP="00F01210">
          <w:pPr>
            <w:pStyle w:val="9B0026D98F354F53AC65DAFAA6F72D56"/>
          </w:pPr>
          <w:r w:rsidRPr="001E0779">
            <w:rPr>
              <w:rStyle w:val="Textodelmarcadordeposicin"/>
            </w:rPr>
            <w:t>Haga clic aquí para escribir texto.</w:t>
          </w:r>
        </w:p>
      </w:docPartBody>
    </w:docPart>
    <w:docPart>
      <w:docPartPr>
        <w:name w:val="910788D3A43C4AA9930CD502EBA3A3D8"/>
        <w:category>
          <w:name w:val="General"/>
          <w:gallery w:val="placeholder"/>
        </w:category>
        <w:types>
          <w:type w:val="bbPlcHdr"/>
        </w:types>
        <w:behaviors>
          <w:behavior w:val="content"/>
        </w:behaviors>
        <w:guid w:val="{12B6A8AD-3562-4726-9767-60B3DE4762D9}"/>
      </w:docPartPr>
      <w:docPartBody>
        <w:p w:rsidR="00F01210" w:rsidRDefault="00F01210" w:rsidP="00F01210">
          <w:pPr>
            <w:pStyle w:val="910788D3A43C4AA9930CD502EBA3A3D8"/>
          </w:pPr>
          <w:r>
            <w:rPr>
              <w:rStyle w:val="Textodelmarcadordeposicin"/>
            </w:rPr>
            <w:t>Elija un elemento.</w:t>
          </w:r>
        </w:p>
      </w:docPartBody>
    </w:docPart>
    <w:docPart>
      <w:docPartPr>
        <w:name w:val="DE9C6C0A9AA54AC6824F404760546934"/>
        <w:category>
          <w:name w:val="General"/>
          <w:gallery w:val="placeholder"/>
        </w:category>
        <w:types>
          <w:type w:val="bbPlcHdr"/>
        </w:types>
        <w:behaviors>
          <w:behavior w:val="content"/>
        </w:behaviors>
        <w:guid w:val="{BD89C968-2872-43EB-8EA3-948843ECA135}"/>
      </w:docPartPr>
      <w:docPartBody>
        <w:p w:rsidR="00C03ADC" w:rsidRDefault="00F01210" w:rsidP="00F01210">
          <w:pPr>
            <w:pStyle w:val="DE9C6C0A9AA54AC6824F404760546934"/>
          </w:pPr>
          <w:r w:rsidRPr="00016D12">
            <w:rPr>
              <w:rStyle w:val="Textodelmarcadordeposicin"/>
            </w:rPr>
            <w:t>Haga clic aquí para escribir texto.</w:t>
          </w:r>
        </w:p>
      </w:docPartBody>
    </w:docPart>
    <w:docPart>
      <w:docPartPr>
        <w:name w:val="0302B78D1F29441491559DFA4E461862"/>
        <w:category>
          <w:name w:val="General"/>
          <w:gallery w:val="placeholder"/>
        </w:category>
        <w:types>
          <w:type w:val="bbPlcHdr"/>
        </w:types>
        <w:behaviors>
          <w:behavior w:val="content"/>
        </w:behaviors>
        <w:guid w:val="{A8C73713-8568-4B9E-883D-F94C31897D9E}"/>
      </w:docPartPr>
      <w:docPartBody>
        <w:p w:rsidR="00C03ADC" w:rsidRDefault="00F01210" w:rsidP="00F01210">
          <w:pPr>
            <w:pStyle w:val="0302B78D1F29441491559DFA4E461862"/>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D0"/>
    <w:rsid w:val="008209D0"/>
    <w:rsid w:val="00C03ADC"/>
    <w:rsid w:val="00F012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1210"/>
    <w:rPr>
      <w:color w:val="808080"/>
    </w:rPr>
  </w:style>
  <w:style w:type="paragraph" w:customStyle="1" w:styleId="C2183EB82AB847A1822BCED4DDE48385">
    <w:name w:val="C2183EB82AB847A1822BCED4DDE48385"/>
  </w:style>
  <w:style w:type="paragraph" w:customStyle="1" w:styleId="12EE70BD53354E1295CF95FF124C1F27">
    <w:name w:val="12EE70BD53354E1295CF95FF124C1F27"/>
  </w:style>
  <w:style w:type="paragraph" w:customStyle="1" w:styleId="9B0026D98F354F53AC65DAFAA6F72D56">
    <w:name w:val="9B0026D98F354F53AC65DAFAA6F72D56"/>
    <w:rsid w:val="00F01210"/>
  </w:style>
  <w:style w:type="paragraph" w:customStyle="1" w:styleId="910788D3A43C4AA9930CD502EBA3A3D8">
    <w:name w:val="910788D3A43C4AA9930CD502EBA3A3D8"/>
    <w:rsid w:val="00F01210"/>
  </w:style>
  <w:style w:type="paragraph" w:customStyle="1" w:styleId="1ECFD7CA2D8140E8906B9625E5641721">
    <w:name w:val="1ECFD7CA2D8140E8906B9625E5641721"/>
    <w:rsid w:val="00F01210"/>
  </w:style>
  <w:style w:type="paragraph" w:customStyle="1" w:styleId="F2C36F79E93A4DF3B1AEE5BA5710335F">
    <w:name w:val="F2C36F79E93A4DF3B1AEE5BA5710335F"/>
    <w:rsid w:val="00F01210"/>
  </w:style>
  <w:style w:type="paragraph" w:customStyle="1" w:styleId="DE9C6C0A9AA54AC6824F404760546934">
    <w:name w:val="DE9C6C0A9AA54AC6824F404760546934"/>
    <w:rsid w:val="00F01210"/>
  </w:style>
  <w:style w:type="paragraph" w:customStyle="1" w:styleId="0302B78D1F29441491559DFA4E461862">
    <w:name w:val="0302B78D1F29441491559DFA4E461862"/>
    <w:rsid w:val="00F01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jI6a8iEd/eshH8iogeRV+dUySBsamQmpfGp6kGEKcxE=</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3UQEwUZJhoUC17da0ck+Ap89veI5KoGormgz2aQU7us=</DigestValue>
    </Reference>
  </SignedInfo>
  <SignatureValue>FnDMBsvM/kv4pKOL4BRkERI9sOplqNuR97ZCK5OvZusDgim2ZTanG2Jjby+aEnWfJ3j99yZZtreG
VkXFjo5ciwOWXGCU4eJpUQ988WfoSNSf4BtC9r9qrh6hSZ0nb6rBecghIWrrs1MhzuvjBI2KCeWn
c3GU0Zj9bBrR8isgN00o8ksh1qLVVtrBIMZ/HJT8YuDARfdOhHAwRgt9qYZLV0GqSi0JejobUNYF
5J1GycJ1S1SkfmZyYjJaTmcwaE7ye23sR3RNjUbdIxfqH7mIikj4leUWeNLtECFVy8hXgAz7NVgJ
xRPZ7puBsFugrxhBySTIXnvFhzrVVlMu8szKIQ==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EnLIuaWcd5p73DzCI652u5AwkzwbeHk8ZoAcZdDxuFk=</DigestValue>
      </Reference>
      <Reference URI="/word/endnotes.xml?ContentType=application/vnd.openxmlformats-officedocument.wordprocessingml.endnotes+xml">
        <DigestMethod Algorithm="http://www.w3.org/2001/04/xmlenc#sha256"/>
        <DigestValue>9v2uYCBK0Q7Bhl9viny35leC3mWbFdL0c0zBgrDvSy4=</DigestValue>
      </Reference>
      <Reference URI="/word/fontTable.xml?ContentType=application/vnd.openxmlformats-officedocument.wordprocessingml.fontTable+xml">
        <DigestMethod Algorithm="http://www.w3.org/2001/04/xmlenc#sha256"/>
        <DigestValue>r0M4LhcMrMlS29BxGe3WEQZ2+HHBjS8jO9Pu/WEFKrs=</DigestValue>
      </Reference>
      <Reference URI="/word/footer1.xml?ContentType=application/vnd.openxmlformats-officedocument.wordprocessingml.footer+xml">
        <DigestMethod Algorithm="http://www.w3.org/2001/04/xmlenc#sha256"/>
        <DigestValue>VkDg8GqTcKuRvzHOYfy0s7OxAuuOifo5hlD0eH5CDXw=</DigestValue>
      </Reference>
      <Reference URI="/word/footer2.xml?ContentType=application/vnd.openxmlformats-officedocument.wordprocessingml.footer+xml">
        <DigestMethod Algorithm="http://www.w3.org/2001/04/xmlenc#sha256"/>
        <DigestValue>/gNHNj/eOIpWajnC0t2t/sDAriwgfuieAs1RZi328Tg=</DigestValue>
      </Reference>
      <Reference URI="/word/footnotes.xml?ContentType=application/vnd.openxmlformats-officedocument.wordprocessingml.footnotes+xml">
        <DigestMethod Algorithm="http://www.w3.org/2001/04/xmlenc#sha256"/>
        <DigestValue>fLP9zctT0OA3QAozV1NlW79NSkxE219KBJhboAoGrQY=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rql61I0weDOO9AYUIBv7WGAg6zstklaF5MXY0kBnYQs=</DigestValue>
      </Reference>
      <Reference URI="/word/glossary/fontTable.xml?ContentType=application/vnd.openxmlformats-officedocument.wordprocessingml.fontTable+xml">
        <DigestMethod Algorithm="http://www.w3.org/2001/04/xmlenc#sha256"/>
        <DigestValue>jrud+Y3HCcp06ToQkS0PGFfnCTfGpmFiUBwLejVEbVw=</DigestValue>
      </Reference>
      <Reference URI="/word/glossary/settings.xml?ContentType=application/vnd.openxmlformats-officedocument.wordprocessingml.settings+xml">
        <DigestMethod Algorithm="http://www.w3.org/2001/04/xmlenc#sha256"/>
        <DigestValue>yYcehrPS0OHoHm+QMCgmkOPN926cZ5Fl0CzEVVmIXmg=</DigestValue>
      </Reference>
      <Reference URI="/word/glossary/styles.xml?ContentType=application/vnd.openxmlformats-officedocument.wordprocessingml.styles+xml">
        <DigestMethod Algorithm="http://www.w3.org/2001/04/xmlenc#sha256"/>
        <DigestValue>Jen66vUeStNFZhnTxa5DeKUNicztPmPo06aVfg8ss3s=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iSPw7R4IpLdYzFJ6p2vELcnjY4NdLNRkov8h9D+yPLw=</DigestValue>
      </Reference>
      <Reference URI="/word/header2.xml?ContentType=application/vnd.openxmlformats-officedocument.wordprocessingml.header+xml">
        <DigestMethod Algorithm="http://www.w3.org/2001/04/xmlenc#sha256"/>
        <DigestValue>PDA+LCEE/cMVYktJaQ3XdYqJOk9TA+zYMMVFycPRnWA=</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3a10LP4Dg1tL907cReG9iQB6o3RQ7TRrumWvbuKQgAA=</DigestValue>
      </Reference>
      <Reference URI="/word/settings.xml?ContentType=application/vnd.openxmlformats-officedocument.wordprocessingml.settings+xml">
        <DigestMethod Algorithm="http://www.w3.org/2001/04/xmlenc#sha256"/>
        <DigestValue>o/4KJUuRXAxhk3BptQwFQpKhMmC5/S7KsL4k1ncTngc=</DigestValue>
      </Reference>
      <Reference URI="/word/styles.xml?ContentType=application/vnd.openxmlformats-officedocument.wordprocessingml.styles+xml">
        <DigestMethod Algorithm="http://www.w3.org/2001/04/xmlenc#sha256"/>
        <DigestValue>+N1l3ZJ8HWr5JLsTuyuLzLzj1U7BG1dySfPwAVuUIRE=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2018-10-05T16:43:52Z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2018-10-05T16:43:52Z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Todas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entrante relacionado</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Modificación de los Lineamentos Generales al Reglamento sobre administración del riesgo de liquidez, Acuerdo SUGEF 17-13.
Copiar a Salientes Normas.
Se envía al Área Admnistrativa para la respectiva publicación en La Gaceta.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Modificación de los Lineamentos Generales al Reglamento sobre administración del riesgo de liquidez, Acuerdo SUGEF 17-13</Subject1>
    <Entrante_x0020_relacionado xmlns="b875e23b-67d9-4b2e-bdec-edacbf90b326">
      <Url xsi:nil="true"/>
      <Description xsi:nil="true"/>
    </Entrante_x0020_relacionado>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8029CDF6-1B44-4C94-BF08-52029F78E642}"/>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347912D2-45B8-43E5-B860-A2F4ECC10231}"/>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859FB809-E47F-4E14-9628-A9BE661381AF}"/>
</file>

<file path=docProps/app.xml><?xml version="1.0" encoding="utf-8"?>
<Properties xmlns="http://schemas.openxmlformats.org/officeDocument/2006/extended-properties" xmlns:vt="http://schemas.openxmlformats.org/officeDocument/2006/docPropsVTypes">
  <Template>plantilla-SGF-13-Normas.dotm</Template>
  <TotalTime>346</TotalTime>
  <Pages>5</Pages>
  <Words>1608</Words>
  <Characters>8850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Arce Alpízar</dc:creator>
  <cp:lastModifiedBy>VARGAS LEAL MARIA GABRIELA</cp:lastModifiedBy>
  <cp:revision>60</cp:revision>
  <cp:lastPrinted>2015-07-30T22:36:00Z</cp:lastPrinted>
  <dcterms:created xsi:type="dcterms:W3CDTF">2018-09-21T19:39:00Z</dcterms:created>
  <dcterms:modified xsi:type="dcterms:W3CDTF">2018-10-05T15:21:00Z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23100</vt:r8>
  </property>
  <property fmtid="{D5CDD505-2E9C-101B-9397-08002B2CF9AE}" pid="13" name="Confidencialidad">
    <vt:lpwstr>Público|99c2402f-8ec3-4ca8-8024-be52e4e7f629</vt:lpwstr>
  </property>
  <property fmtid="{D5CDD505-2E9C-101B-9397-08002B2CF9AE}" pid="14" name="WorkflowChangePath">
    <vt:lpwstr>d6c6aed4-e342-4faf-a234-cd9a4f593e49,7;cb1954ac-0595-4038-a807-eb26625a3b7c,10;cb1954ac-0595-4038-a807-eb26625a3b7c,10;</vt:lpwstr>
  </property>
</Properties>
</file>