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6.xml" ContentType="application/vnd.openxmlformats-officedocument.customXmlProperties+xml"/>
  <Override PartName="/customXml/itemProps1.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47947" w14:textId="77777777" w:rsidR="00346758" w:rsidRPr="005A03F9" w:rsidRDefault="00346758" w:rsidP="005A03F9">
      <w:pPr>
        <w:pStyle w:val="Texto"/>
        <w:spacing w:before="0" w:after="0" w:line="240" w:lineRule="auto"/>
        <w:contextualSpacing/>
        <w:jc w:val="center"/>
        <w:rPr>
          <w:b/>
          <w:bCs/>
          <w:sz w:val="24"/>
        </w:rPr>
      </w:pPr>
      <w:bookmarkStart w:id="0" w:name="_Hlk148948124"/>
      <w:r w:rsidRPr="005A03F9">
        <w:rPr>
          <w:b/>
          <w:bCs/>
          <w:sz w:val="24"/>
        </w:rPr>
        <w:t>Resolución</w:t>
      </w:r>
    </w:p>
    <w:p w14:paraId="0D1D2A6F" w14:textId="640DC46D" w:rsidR="00181ABF" w:rsidRPr="005A03F9" w:rsidRDefault="002A23C6" w:rsidP="005A03F9">
      <w:pPr>
        <w:pStyle w:val="Texto"/>
        <w:spacing w:before="0" w:after="0" w:line="240" w:lineRule="auto"/>
        <w:contextualSpacing/>
        <w:jc w:val="center"/>
        <w:rPr>
          <w:sz w:val="24"/>
        </w:rPr>
      </w:pPr>
      <w:r>
        <w:rPr>
          <w:sz w:val="24"/>
        </w:rPr>
        <w:t>2</w:t>
      </w:r>
      <w:r w:rsidR="007B5906">
        <w:rPr>
          <w:sz w:val="24"/>
        </w:rPr>
        <w:t>6</w:t>
      </w:r>
      <w:r w:rsidR="00181ABF" w:rsidRPr="005A03F9">
        <w:rPr>
          <w:sz w:val="24"/>
        </w:rPr>
        <w:t xml:space="preserve"> de </w:t>
      </w:r>
      <w:r w:rsidR="00346758" w:rsidRPr="005A03F9">
        <w:rPr>
          <w:sz w:val="24"/>
        </w:rPr>
        <w:t xml:space="preserve">octubre </w:t>
      </w:r>
      <w:r w:rsidR="00181ABF" w:rsidRPr="005A03F9">
        <w:rPr>
          <w:sz w:val="24"/>
        </w:rPr>
        <w:t xml:space="preserve">de </w:t>
      </w:r>
      <w:r w:rsidR="00346758" w:rsidRPr="005A03F9">
        <w:rPr>
          <w:sz w:val="24"/>
        </w:rPr>
        <w:t>2023</w:t>
      </w:r>
    </w:p>
    <w:sdt>
      <w:sdtPr>
        <w:rPr>
          <w:sz w:val="24"/>
        </w:rPr>
        <w:alias w:val="Consecutivo"/>
        <w:tag w:val="Consecutivo"/>
        <w:id w:val="2052717023"/>
        <w:placeholder>
          <w:docPart w:val="F81BFD599DA54AE8B776F34D501683DE"/>
        </w:placeholder>
        <w:text/>
      </w:sdtPr>
      <w:sdtEndPr/>
      <w:sdtContent>
        <w:p w14:paraId="32F19687" w14:textId="46AE979C" w:rsidR="00181ABF" w:rsidRPr="005A03F9" w:rsidRDefault="007B5906" w:rsidP="005A03F9">
          <w:pPr>
            <w:tabs>
              <w:tab w:val="left" w:pos="2843"/>
            </w:tabs>
            <w:spacing w:line="240" w:lineRule="auto"/>
            <w:contextualSpacing/>
            <w:jc w:val="center"/>
            <w:rPr>
              <w:sz w:val="24"/>
            </w:rPr>
          </w:pPr>
          <w:r>
            <w:rPr>
              <w:sz w:val="24"/>
            </w:rPr>
            <w:t>SGF-2794-2023</w:t>
          </w:r>
        </w:p>
      </w:sdtContent>
    </w:sdt>
    <w:p w14:paraId="79288757" w14:textId="3D14D722" w:rsidR="00181ABF" w:rsidRPr="005A03F9" w:rsidRDefault="007B5906" w:rsidP="005A03F9">
      <w:pPr>
        <w:tabs>
          <w:tab w:val="left" w:pos="2843"/>
        </w:tabs>
        <w:spacing w:line="240" w:lineRule="auto"/>
        <w:contextualSpacing/>
        <w:jc w:val="center"/>
        <w:rPr>
          <w:sz w:val="24"/>
        </w:rPr>
      </w:pPr>
      <w:sdt>
        <w:sdtPr>
          <w:rPr>
            <w:sz w:val="24"/>
          </w:rPr>
          <w:alias w:val="Confidencialidad"/>
          <w:tag w:val="Confidencialidad"/>
          <w:id w:val="1447896894"/>
          <w:placeholder>
            <w:docPart w:val="96523CDFD71B485CBACD0A1691DE483E"/>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346758" w:rsidRPr="005A03F9">
            <w:rPr>
              <w:sz w:val="24"/>
            </w:rPr>
            <w:t>SGF-PUBLICO</w:t>
          </w:r>
        </w:sdtContent>
      </w:sdt>
    </w:p>
    <w:p w14:paraId="745330E1" w14:textId="77777777" w:rsidR="00346758" w:rsidRPr="005A03F9" w:rsidRDefault="00346758" w:rsidP="005A03F9">
      <w:pPr>
        <w:widowControl w:val="0"/>
        <w:spacing w:after="240" w:line="240" w:lineRule="auto"/>
        <w:ind w:left="34" w:right="86"/>
        <w:contextualSpacing/>
        <w:outlineLvl w:val="0"/>
        <w:rPr>
          <w:b/>
          <w:sz w:val="24"/>
        </w:rPr>
      </w:pPr>
    </w:p>
    <w:p w14:paraId="36870CF8" w14:textId="01BB698F" w:rsidR="00346758" w:rsidRDefault="00346758" w:rsidP="005A03F9">
      <w:pPr>
        <w:widowControl w:val="0"/>
        <w:spacing w:after="240" w:line="240" w:lineRule="auto"/>
        <w:ind w:left="34" w:right="86"/>
        <w:contextualSpacing/>
        <w:outlineLvl w:val="0"/>
        <w:rPr>
          <w:b/>
          <w:sz w:val="24"/>
        </w:rPr>
      </w:pPr>
      <w:r w:rsidRPr="005A03F9">
        <w:rPr>
          <w:b/>
          <w:sz w:val="24"/>
        </w:rPr>
        <w:t xml:space="preserve">Dirigida a: </w:t>
      </w:r>
    </w:p>
    <w:p w14:paraId="0DCD3B57" w14:textId="77777777" w:rsidR="005A03F9" w:rsidRPr="005A03F9" w:rsidRDefault="005A03F9" w:rsidP="005A03F9">
      <w:pPr>
        <w:widowControl w:val="0"/>
        <w:spacing w:after="240" w:line="240" w:lineRule="auto"/>
        <w:ind w:left="34" w:right="86"/>
        <w:contextualSpacing/>
        <w:outlineLvl w:val="0"/>
        <w:rPr>
          <w:b/>
          <w:sz w:val="24"/>
        </w:rPr>
      </w:pPr>
    </w:p>
    <w:p w14:paraId="760948DA" w14:textId="77777777" w:rsidR="00346758" w:rsidRPr="005A03F9" w:rsidRDefault="00346758" w:rsidP="005A03F9">
      <w:pPr>
        <w:widowControl w:val="0"/>
        <w:numPr>
          <w:ilvl w:val="0"/>
          <w:numId w:val="3"/>
        </w:numPr>
        <w:spacing w:line="240" w:lineRule="auto"/>
        <w:ind w:left="567" w:right="85" w:hanging="567"/>
        <w:contextualSpacing/>
        <w:rPr>
          <w:b/>
          <w:sz w:val="24"/>
        </w:rPr>
      </w:pPr>
      <w:r w:rsidRPr="005A03F9">
        <w:rPr>
          <w:b/>
          <w:sz w:val="24"/>
        </w:rPr>
        <w:t>Bancos Comerciales del Estado</w:t>
      </w:r>
    </w:p>
    <w:p w14:paraId="5D3CCD54" w14:textId="77777777" w:rsidR="00346758" w:rsidRPr="005A03F9" w:rsidRDefault="00346758" w:rsidP="005A03F9">
      <w:pPr>
        <w:widowControl w:val="0"/>
        <w:numPr>
          <w:ilvl w:val="0"/>
          <w:numId w:val="3"/>
        </w:numPr>
        <w:spacing w:line="240" w:lineRule="auto"/>
        <w:ind w:left="567" w:right="85" w:hanging="567"/>
        <w:contextualSpacing/>
        <w:rPr>
          <w:b/>
          <w:sz w:val="24"/>
        </w:rPr>
      </w:pPr>
      <w:r w:rsidRPr="005A03F9">
        <w:rPr>
          <w:b/>
          <w:sz w:val="24"/>
        </w:rPr>
        <w:t>Bancos Creados por Leyes Especiales</w:t>
      </w:r>
    </w:p>
    <w:p w14:paraId="009DEC5B" w14:textId="77777777" w:rsidR="00346758" w:rsidRPr="005A03F9" w:rsidRDefault="00346758" w:rsidP="005A03F9">
      <w:pPr>
        <w:widowControl w:val="0"/>
        <w:numPr>
          <w:ilvl w:val="0"/>
          <w:numId w:val="3"/>
        </w:numPr>
        <w:spacing w:line="240" w:lineRule="auto"/>
        <w:ind w:left="567" w:right="85" w:hanging="567"/>
        <w:contextualSpacing/>
        <w:rPr>
          <w:b/>
          <w:sz w:val="24"/>
        </w:rPr>
      </w:pPr>
      <w:r w:rsidRPr="005A03F9">
        <w:rPr>
          <w:b/>
          <w:sz w:val="24"/>
        </w:rPr>
        <w:t>Bancos Privados</w:t>
      </w:r>
    </w:p>
    <w:p w14:paraId="4581148F" w14:textId="77777777" w:rsidR="00346758" w:rsidRPr="005A03F9" w:rsidRDefault="00346758" w:rsidP="005A03F9">
      <w:pPr>
        <w:widowControl w:val="0"/>
        <w:numPr>
          <w:ilvl w:val="0"/>
          <w:numId w:val="3"/>
        </w:numPr>
        <w:spacing w:line="240" w:lineRule="auto"/>
        <w:ind w:left="567" w:right="85" w:hanging="567"/>
        <w:contextualSpacing/>
        <w:rPr>
          <w:b/>
          <w:sz w:val="24"/>
        </w:rPr>
      </w:pPr>
      <w:r w:rsidRPr="005A03F9">
        <w:rPr>
          <w:b/>
          <w:sz w:val="24"/>
        </w:rPr>
        <w:t>Empresas Financieras no Bancarias</w:t>
      </w:r>
    </w:p>
    <w:p w14:paraId="03FE7FF4" w14:textId="77777777" w:rsidR="00346758" w:rsidRPr="005A03F9" w:rsidRDefault="00346758" w:rsidP="005A03F9">
      <w:pPr>
        <w:widowControl w:val="0"/>
        <w:numPr>
          <w:ilvl w:val="0"/>
          <w:numId w:val="3"/>
        </w:numPr>
        <w:spacing w:line="240" w:lineRule="auto"/>
        <w:ind w:left="567" w:right="85" w:hanging="567"/>
        <w:contextualSpacing/>
        <w:rPr>
          <w:b/>
          <w:sz w:val="24"/>
        </w:rPr>
      </w:pPr>
      <w:r w:rsidRPr="005A03F9">
        <w:rPr>
          <w:b/>
          <w:sz w:val="24"/>
        </w:rPr>
        <w:t>Otras Entidades Financieras</w:t>
      </w:r>
    </w:p>
    <w:p w14:paraId="557F75F4" w14:textId="77777777" w:rsidR="00346758" w:rsidRPr="005A03F9" w:rsidRDefault="00346758" w:rsidP="005A03F9">
      <w:pPr>
        <w:widowControl w:val="0"/>
        <w:numPr>
          <w:ilvl w:val="0"/>
          <w:numId w:val="3"/>
        </w:numPr>
        <w:spacing w:line="240" w:lineRule="auto"/>
        <w:ind w:left="567" w:right="85" w:hanging="567"/>
        <w:contextualSpacing/>
        <w:rPr>
          <w:b/>
          <w:sz w:val="24"/>
        </w:rPr>
      </w:pPr>
      <w:r w:rsidRPr="005A03F9">
        <w:rPr>
          <w:b/>
          <w:sz w:val="24"/>
        </w:rPr>
        <w:t>Organizaciones Cooperativas de Ahorro y Crédito</w:t>
      </w:r>
    </w:p>
    <w:p w14:paraId="15DCE1F7" w14:textId="7CB9AB2F" w:rsidR="00346758" w:rsidRPr="005A03F9" w:rsidRDefault="00346758" w:rsidP="005A03F9">
      <w:pPr>
        <w:widowControl w:val="0"/>
        <w:numPr>
          <w:ilvl w:val="0"/>
          <w:numId w:val="3"/>
        </w:numPr>
        <w:spacing w:after="240" w:line="240" w:lineRule="auto"/>
        <w:ind w:left="567" w:right="86" w:hanging="567"/>
        <w:contextualSpacing/>
        <w:rPr>
          <w:b/>
          <w:sz w:val="24"/>
        </w:rPr>
      </w:pPr>
      <w:r w:rsidRPr="005A03F9">
        <w:rPr>
          <w:b/>
          <w:sz w:val="24"/>
        </w:rPr>
        <w:t>Entidades Autorizadas del Sistema Financiera Nacional para la Vivienda</w:t>
      </w:r>
    </w:p>
    <w:p w14:paraId="4F426A79" w14:textId="77777777" w:rsidR="00346758" w:rsidRPr="005A03F9" w:rsidRDefault="00346758" w:rsidP="005A03F9">
      <w:pPr>
        <w:pStyle w:val="Texto"/>
        <w:spacing w:before="0" w:after="0" w:line="240" w:lineRule="auto"/>
        <w:contextualSpacing/>
        <w:rPr>
          <w:sz w:val="24"/>
        </w:rPr>
      </w:pPr>
    </w:p>
    <w:p w14:paraId="278C7A7A" w14:textId="0D2FD258" w:rsidR="00346758" w:rsidRPr="005A03F9" w:rsidRDefault="00346758" w:rsidP="005A03F9">
      <w:pPr>
        <w:widowControl w:val="0"/>
        <w:spacing w:after="240" w:line="240" w:lineRule="auto"/>
        <w:ind w:left="851" w:hanging="851"/>
        <w:contextualSpacing/>
        <w:rPr>
          <w:sz w:val="24"/>
        </w:rPr>
      </w:pPr>
      <w:r w:rsidRPr="005A03F9">
        <w:rPr>
          <w:b/>
          <w:bCs/>
          <w:sz w:val="24"/>
        </w:rPr>
        <w:t>Asunto:</w:t>
      </w:r>
      <w:r w:rsidRPr="005A03F9">
        <w:rPr>
          <w:sz w:val="24"/>
        </w:rPr>
        <w:tab/>
      </w:r>
      <w:r w:rsidR="00292DEB" w:rsidRPr="005A03F9">
        <w:rPr>
          <w:sz w:val="24"/>
        </w:rPr>
        <w:t xml:space="preserve"> </w:t>
      </w:r>
      <w:r w:rsidRPr="005A03F9">
        <w:rPr>
          <w:sz w:val="24"/>
        </w:rPr>
        <w:t>Modificación de los “Lineamientos Generales para la aplicación del Capítulo IV “Administración de Riesgos Ambientales, Sociales y de Gobernanza”, Título III Administración del Riesgo de Crédito, Ambientales y Sociales</w:t>
      </w:r>
      <w:r w:rsidR="00292DEB" w:rsidRPr="005A03F9">
        <w:rPr>
          <w:sz w:val="24"/>
        </w:rPr>
        <w:t>”</w:t>
      </w:r>
      <w:r w:rsidRPr="005A03F9">
        <w:rPr>
          <w:sz w:val="24"/>
        </w:rPr>
        <w:t xml:space="preserve">, del </w:t>
      </w:r>
      <w:r w:rsidRPr="005A03F9">
        <w:rPr>
          <w:i/>
          <w:iCs/>
          <w:sz w:val="24"/>
        </w:rPr>
        <w:t>Reglamento sobre Administración Integral de Riesgos</w:t>
      </w:r>
      <w:r w:rsidRPr="005A03F9">
        <w:rPr>
          <w:sz w:val="24"/>
        </w:rPr>
        <w:t>, Acuerdo SUGEF 2-10.</w:t>
      </w:r>
    </w:p>
    <w:p w14:paraId="69264C6C" w14:textId="77777777" w:rsidR="00CD5436" w:rsidRPr="005A03F9" w:rsidRDefault="00CD5436" w:rsidP="005A03F9">
      <w:pPr>
        <w:widowControl w:val="0"/>
        <w:spacing w:after="240" w:line="240" w:lineRule="auto"/>
        <w:contextualSpacing/>
        <w:rPr>
          <w:b/>
          <w:bCs/>
          <w:sz w:val="24"/>
        </w:rPr>
      </w:pPr>
    </w:p>
    <w:p w14:paraId="5343554A" w14:textId="3D5FDE04" w:rsidR="00346758" w:rsidRDefault="00346758" w:rsidP="005A03F9">
      <w:pPr>
        <w:widowControl w:val="0"/>
        <w:spacing w:after="240" w:line="240" w:lineRule="auto"/>
        <w:contextualSpacing/>
        <w:rPr>
          <w:b/>
          <w:bCs/>
          <w:sz w:val="24"/>
        </w:rPr>
      </w:pPr>
      <w:r w:rsidRPr="005A03F9">
        <w:rPr>
          <w:b/>
          <w:bCs/>
          <w:sz w:val="24"/>
        </w:rPr>
        <w:t>La Superintendente General de Entidades Financieras,</w:t>
      </w:r>
    </w:p>
    <w:p w14:paraId="21D52283" w14:textId="77777777" w:rsidR="005A03F9" w:rsidRPr="005A03F9" w:rsidRDefault="005A03F9" w:rsidP="005A03F9">
      <w:pPr>
        <w:widowControl w:val="0"/>
        <w:spacing w:after="240" w:line="240" w:lineRule="auto"/>
        <w:contextualSpacing/>
        <w:rPr>
          <w:b/>
          <w:bCs/>
          <w:sz w:val="24"/>
        </w:rPr>
      </w:pPr>
    </w:p>
    <w:p w14:paraId="592BCFD9" w14:textId="0899B404" w:rsidR="00346758" w:rsidRDefault="00346758" w:rsidP="005A03F9">
      <w:pPr>
        <w:widowControl w:val="0"/>
        <w:spacing w:after="240" w:line="240" w:lineRule="auto"/>
        <w:contextualSpacing/>
        <w:rPr>
          <w:b/>
          <w:bCs/>
          <w:sz w:val="24"/>
        </w:rPr>
      </w:pPr>
      <w:r w:rsidRPr="005A03F9">
        <w:rPr>
          <w:b/>
          <w:bCs/>
          <w:sz w:val="24"/>
        </w:rPr>
        <w:t xml:space="preserve">Considerando que: </w:t>
      </w:r>
    </w:p>
    <w:p w14:paraId="0B9BA851" w14:textId="77777777" w:rsidR="005A03F9" w:rsidRPr="005A03F9" w:rsidRDefault="005A03F9" w:rsidP="005A03F9">
      <w:pPr>
        <w:widowControl w:val="0"/>
        <w:spacing w:after="240" w:line="240" w:lineRule="auto"/>
        <w:contextualSpacing/>
        <w:rPr>
          <w:b/>
          <w:bCs/>
          <w:sz w:val="24"/>
        </w:rPr>
      </w:pPr>
    </w:p>
    <w:p w14:paraId="00D19B1E" w14:textId="1708F395" w:rsidR="00346758" w:rsidRPr="005A03F9" w:rsidRDefault="00346758" w:rsidP="005A03F9">
      <w:pPr>
        <w:widowControl w:val="0"/>
        <w:spacing w:after="240" w:line="240" w:lineRule="auto"/>
        <w:ind w:left="567" w:hanging="567"/>
        <w:contextualSpacing/>
        <w:rPr>
          <w:sz w:val="24"/>
        </w:rPr>
      </w:pPr>
      <w:r w:rsidRPr="005A03F9">
        <w:rPr>
          <w:sz w:val="24"/>
        </w:rPr>
        <w:t>1.</w:t>
      </w:r>
      <w:r w:rsidRPr="005A03F9">
        <w:rPr>
          <w:sz w:val="24"/>
        </w:rPr>
        <w:tab/>
        <w:t xml:space="preserve">Mediante artículo 9 del acta de la sesión 862-2010 del 25 de junio del 2010, el </w:t>
      </w:r>
      <w:r w:rsidR="00041300" w:rsidRPr="005A03F9">
        <w:rPr>
          <w:sz w:val="24"/>
        </w:rPr>
        <w:t>Consejo Nacional de Supervisión del Sistema Financiero (</w:t>
      </w:r>
      <w:r w:rsidRPr="005A03F9">
        <w:rPr>
          <w:sz w:val="24"/>
        </w:rPr>
        <w:t>Conassif</w:t>
      </w:r>
      <w:r w:rsidR="00041300" w:rsidRPr="005A03F9">
        <w:rPr>
          <w:sz w:val="24"/>
        </w:rPr>
        <w:t>)</w:t>
      </w:r>
      <w:r w:rsidRPr="005A03F9">
        <w:rPr>
          <w:sz w:val="24"/>
        </w:rPr>
        <w:t xml:space="preserve"> aprobó el </w:t>
      </w:r>
      <w:r w:rsidRPr="005A03F9">
        <w:rPr>
          <w:i/>
          <w:iCs/>
          <w:sz w:val="24"/>
        </w:rPr>
        <w:t>Reglamento sobre administración integral de riesgos</w:t>
      </w:r>
      <w:r w:rsidRPr="005A03F9">
        <w:rPr>
          <w:sz w:val="24"/>
        </w:rPr>
        <w:t>, Acuerdo Sugef 2-10, publicado en el Diario Oficial La Gaceta 137 del 15 de julio de 2010. En éste se establecen aspectos fundamentales de un proceso de gestión de riesgos enfocado hacia la identificación, evaluación, monitoreo, control, mitigación y comunicación de los riesgos medulares de la entidad, debidamente conmensurado con su estrategia de negocio, el volumen y complejidad de sus operaciones y su perfil de riesgo.</w:t>
      </w:r>
    </w:p>
    <w:p w14:paraId="043874DD" w14:textId="63B4B739" w:rsidR="00346758" w:rsidRPr="005A03F9" w:rsidRDefault="00346758" w:rsidP="005A03F9">
      <w:pPr>
        <w:widowControl w:val="0"/>
        <w:spacing w:after="240" w:line="240" w:lineRule="auto"/>
        <w:ind w:left="567" w:hanging="567"/>
        <w:contextualSpacing/>
        <w:rPr>
          <w:sz w:val="24"/>
        </w:rPr>
      </w:pPr>
      <w:r w:rsidRPr="005A03F9">
        <w:rPr>
          <w:sz w:val="24"/>
        </w:rPr>
        <w:t>2.</w:t>
      </w:r>
      <w:r w:rsidRPr="005A03F9">
        <w:rPr>
          <w:sz w:val="24"/>
        </w:rPr>
        <w:tab/>
        <w:t xml:space="preserve">El </w:t>
      </w:r>
      <w:r w:rsidR="00041300" w:rsidRPr="005A03F9">
        <w:rPr>
          <w:sz w:val="24"/>
        </w:rPr>
        <w:t>Conassif</w:t>
      </w:r>
      <w:r w:rsidRPr="005A03F9">
        <w:rPr>
          <w:sz w:val="24"/>
        </w:rPr>
        <w:t xml:space="preserve"> mediante el Artículo </w:t>
      </w:r>
      <w:r w:rsidR="000D0BC8" w:rsidRPr="005A03F9">
        <w:rPr>
          <w:sz w:val="24"/>
        </w:rPr>
        <w:t>07</w:t>
      </w:r>
      <w:r w:rsidRPr="005A03F9">
        <w:rPr>
          <w:sz w:val="24"/>
        </w:rPr>
        <w:t xml:space="preserve"> de la Sesión </w:t>
      </w:r>
      <w:r w:rsidR="000D0BC8" w:rsidRPr="005A03F9">
        <w:rPr>
          <w:sz w:val="24"/>
        </w:rPr>
        <w:t xml:space="preserve">1827-2023 </w:t>
      </w:r>
      <w:r w:rsidRPr="005A03F9">
        <w:rPr>
          <w:sz w:val="24"/>
        </w:rPr>
        <w:t xml:space="preserve">del </w:t>
      </w:r>
      <w:r w:rsidR="000D0BC8" w:rsidRPr="005A03F9">
        <w:rPr>
          <w:sz w:val="24"/>
        </w:rPr>
        <w:t>16 de octubre del 2023</w:t>
      </w:r>
      <w:r w:rsidRPr="005A03F9">
        <w:rPr>
          <w:sz w:val="24"/>
        </w:rPr>
        <w:t>, aprobó la modificación al Acuerdo SUGEF 2-10, mediante la cual se incorpora el Capítulo IV “Administración de Riesgos Ambientales, Sociales y de Gobernanza” al Título III “Administración del Riesgo Crédito”.</w:t>
      </w:r>
    </w:p>
    <w:p w14:paraId="04E80726" w14:textId="77777777" w:rsidR="00346758" w:rsidRPr="005A03F9" w:rsidRDefault="00346758" w:rsidP="005A03F9">
      <w:pPr>
        <w:widowControl w:val="0"/>
        <w:spacing w:after="240" w:line="240" w:lineRule="auto"/>
        <w:ind w:left="567" w:hanging="567"/>
        <w:contextualSpacing/>
        <w:rPr>
          <w:sz w:val="24"/>
        </w:rPr>
      </w:pPr>
      <w:r w:rsidRPr="005A03F9">
        <w:rPr>
          <w:sz w:val="24"/>
        </w:rPr>
        <w:t>3.</w:t>
      </w:r>
      <w:r w:rsidRPr="005A03F9">
        <w:rPr>
          <w:sz w:val="24"/>
        </w:rPr>
        <w:tab/>
        <w:t>El Artículo 5 del Acuerdo SUGEF 2-10, establece la potestad del Superintendente para emitir los Lineamientos Generales necesarios para la aplicación de dicha regulación. Asimismo, estos Lineamientos Generales pueden ser modificados por el Superintendente cuando lo considere conveniente.</w:t>
      </w:r>
    </w:p>
    <w:p w14:paraId="5466F901" w14:textId="6D94DB01" w:rsidR="00346758" w:rsidRDefault="00346758" w:rsidP="005A03F9">
      <w:pPr>
        <w:widowControl w:val="0"/>
        <w:spacing w:after="240" w:line="240" w:lineRule="auto"/>
        <w:ind w:left="567" w:hanging="567"/>
        <w:contextualSpacing/>
        <w:rPr>
          <w:sz w:val="24"/>
        </w:rPr>
      </w:pPr>
      <w:r w:rsidRPr="005A03F9">
        <w:rPr>
          <w:sz w:val="24"/>
        </w:rPr>
        <w:t>4.</w:t>
      </w:r>
      <w:r w:rsidRPr="005A03F9">
        <w:rPr>
          <w:sz w:val="24"/>
        </w:rPr>
        <w:tab/>
        <w:t xml:space="preserve">Con </w:t>
      </w:r>
      <w:r w:rsidR="00F95109" w:rsidRPr="005A03F9">
        <w:rPr>
          <w:sz w:val="24"/>
        </w:rPr>
        <w:t xml:space="preserve">el </w:t>
      </w:r>
      <w:r w:rsidRPr="005A03F9">
        <w:rPr>
          <w:sz w:val="24"/>
        </w:rPr>
        <w:t xml:space="preserve">propósito de establecer la expectativa de la SUGEF en torno a los alcances esperados para la metodología a que se refiere el </w:t>
      </w:r>
      <w:r w:rsidRPr="005A03F9">
        <w:rPr>
          <w:i/>
          <w:iCs/>
          <w:sz w:val="24"/>
        </w:rPr>
        <w:t xml:space="preserve">Capítulo IV Administración de </w:t>
      </w:r>
      <w:r w:rsidRPr="005A03F9">
        <w:rPr>
          <w:i/>
          <w:iCs/>
          <w:sz w:val="24"/>
        </w:rPr>
        <w:lastRenderedPageBreak/>
        <w:t>Riesgos Ambientales, Sociales</w:t>
      </w:r>
      <w:r w:rsidRPr="005A03F9">
        <w:rPr>
          <w:sz w:val="24"/>
        </w:rPr>
        <w:t xml:space="preserve"> y de Gobernanza del </w:t>
      </w:r>
      <w:r w:rsidRPr="005A03F9">
        <w:rPr>
          <w:i/>
          <w:iCs/>
          <w:sz w:val="24"/>
        </w:rPr>
        <w:t>Título III Administración del Riesgo Crédito</w:t>
      </w:r>
      <w:r w:rsidRPr="005A03F9">
        <w:rPr>
          <w:sz w:val="24"/>
        </w:rPr>
        <w:t xml:space="preserve"> del Acuerdo SUGEF 2-10, se considera conveniente emitir lineamientos generales sobre este particular.</w:t>
      </w:r>
    </w:p>
    <w:p w14:paraId="02A29C52" w14:textId="77777777" w:rsidR="005A03F9" w:rsidRPr="005A03F9" w:rsidRDefault="005A03F9" w:rsidP="005A03F9">
      <w:pPr>
        <w:widowControl w:val="0"/>
        <w:spacing w:after="240" w:line="240" w:lineRule="auto"/>
        <w:ind w:left="567" w:hanging="567"/>
        <w:contextualSpacing/>
        <w:rPr>
          <w:sz w:val="24"/>
        </w:rPr>
      </w:pPr>
    </w:p>
    <w:p w14:paraId="0D6B7EC6" w14:textId="33539915" w:rsidR="00346758" w:rsidRDefault="00346758" w:rsidP="005A03F9">
      <w:pPr>
        <w:widowControl w:val="0"/>
        <w:spacing w:after="240" w:line="240" w:lineRule="auto"/>
        <w:contextualSpacing/>
        <w:rPr>
          <w:sz w:val="24"/>
        </w:rPr>
      </w:pPr>
      <w:r w:rsidRPr="005A03F9">
        <w:rPr>
          <w:b/>
          <w:bCs/>
          <w:sz w:val="24"/>
        </w:rPr>
        <w:t>Dispone</w:t>
      </w:r>
      <w:r w:rsidRPr="005A03F9">
        <w:rPr>
          <w:sz w:val="24"/>
        </w:rPr>
        <w:t xml:space="preserve">: </w:t>
      </w:r>
    </w:p>
    <w:p w14:paraId="29248350" w14:textId="77777777" w:rsidR="005A03F9" w:rsidRPr="005A03F9" w:rsidRDefault="005A03F9" w:rsidP="005A03F9">
      <w:pPr>
        <w:widowControl w:val="0"/>
        <w:spacing w:after="240" w:line="240" w:lineRule="auto"/>
        <w:contextualSpacing/>
        <w:rPr>
          <w:sz w:val="24"/>
        </w:rPr>
      </w:pPr>
    </w:p>
    <w:p w14:paraId="6FEB270D" w14:textId="7D687799" w:rsidR="00346758" w:rsidRPr="005A03F9" w:rsidRDefault="00346758" w:rsidP="005A03F9">
      <w:pPr>
        <w:widowControl w:val="0"/>
        <w:spacing w:after="240" w:line="240" w:lineRule="auto"/>
        <w:contextualSpacing/>
        <w:rPr>
          <w:sz w:val="24"/>
        </w:rPr>
      </w:pPr>
      <w:r w:rsidRPr="005A03F9">
        <w:rPr>
          <w:sz w:val="24"/>
        </w:rPr>
        <w:t xml:space="preserve">Agregar los apartados 11) y 12) a la </w:t>
      </w:r>
      <w:r w:rsidRPr="005A03F9">
        <w:rPr>
          <w:i/>
          <w:iCs/>
          <w:sz w:val="24"/>
        </w:rPr>
        <w:t>Sección A “Lineamientos Generales al TÍTULO III “ADMINISTRACIÓN DEL RIESGO DE CRÉDITO””</w:t>
      </w:r>
      <w:r w:rsidRPr="005A03F9">
        <w:rPr>
          <w:sz w:val="24"/>
        </w:rPr>
        <w:t xml:space="preserve"> del </w:t>
      </w:r>
      <w:r w:rsidRPr="005A03F9">
        <w:rPr>
          <w:i/>
          <w:iCs/>
          <w:sz w:val="24"/>
        </w:rPr>
        <w:t>Reglamento sobre Administración Integral de Riesgos</w:t>
      </w:r>
      <w:r w:rsidRPr="005A03F9">
        <w:rPr>
          <w:sz w:val="24"/>
        </w:rPr>
        <w:t>, Acuerdo SUGEF 2-10, de conformidad con el siguiente texto:</w:t>
      </w:r>
    </w:p>
    <w:p w14:paraId="6E7CA950" w14:textId="77777777" w:rsidR="00CD5436" w:rsidRPr="005A03F9" w:rsidRDefault="00CD5436" w:rsidP="005A03F9">
      <w:pPr>
        <w:widowControl w:val="0"/>
        <w:spacing w:after="240" w:line="240" w:lineRule="auto"/>
        <w:ind w:left="1134" w:right="618" w:hanging="567"/>
        <w:contextualSpacing/>
        <w:rPr>
          <w:b/>
          <w:bCs/>
          <w:i/>
          <w:iCs/>
          <w:sz w:val="24"/>
        </w:rPr>
      </w:pPr>
    </w:p>
    <w:p w14:paraId="38451B18" w14:textId="5D7F0F59" w:rsidR="00346758" w:rsidRPr="005A03F9" w:rsidRDefault="00346758" w:rsidP="005A03F9">
      <w:pPr>
        <w:widowControl w:val="0"/>
        <w:spacing w:after="240" w:line="240" w:lineRule="auto"/>
        <w:ind w:left="1134" w:right="618" w:hanging="567"/>
        <w:contextualSpacing/>
        <w:rPr>
          <w:b/>
          <w:bCs/>
          <w:i/>
          <w:iCs/>
          <w:sz w:val="24"/>
        </w:rPr>
      </w:pPr>
      <w:r w:rsidRPr="005A03F9">
        <w:rPr>
          <w:b/>
          <w:bCs/>
          <w:i/>
          <w:iCs/>
          <w:sz w:val="24"/>
        </w:rPr>
        <w:t>“11)</w:t>
      </w:r>
      <w:r w:rsidRPr="005A03F9">
        <w:rPr>
          <w:b/>
          <w:bCs/>
          <w:i/>
          <w:iCs/>
          <w:sz w:val="24"/>
        </w:rPr>
        <w:tab/>
        <w:t xml:space="preserve">Debida diligencia ambiental y social </w:t>
      </w:r>
    </w:p>
    <w:p w14:paraId="4E2D32B9" w14:textId="78CE65E2" w:rsidR="00346758" w:rsidRDefault="00346758" w:rsidP="005A03F9">
      <w:pPr>
        <w:widowControl w:val="0"/>
        <w:spacing w:after="240" w:line="240" w:lineRule="auto"/>
        <w:ind w:left="1418" w:right="618" w:hanging="992"/>
        <w:contextualSpacing/>
        <w:rPr>
          <w:i/>
          <w:iCs/>
          <w:sz w:val="24"/>
        </w:rPr>
      </w:pPr>
      <w:r w:rsidRPr="005A03F9">
        <w:rPr>
          <w:b/>
          <w:bCs/>
          <w:i/>
          <w:iCs/>
          <w:sz w:val="24"/>
        </w:rPr>
        <w:t>Objetivo:</w:t>
      </w:r>
      <w:r w:rsidR="00C63137" w:rsidRPr="005A03F9">
        <w:rPr>
          <w:b/>
          <w:bCs/>
          <w:i/>
          <w:iCs/>
          <w:sz w:val="24"/>
        </w:rPr>
        <w:t xml:space="preserve">  </w:t>
      </w:r>
      <w:r w:rsidRPr="005A03F9">
        <w:rPr>
          <w:i/>
          <w:iCs/>
          <w:sz w:val="24"/>
        </w:rPr>
        <w:t>Definir la expectativa sobre el proceso de debida diligencia en materia de riesgos ambientales y sociales para la cartera de crédito y ASG para el portafolio de inversiones.</w:t>
      </w:r>
    </w:p>
    <w:p w14:paraId="2127766E" w14:textId="77777777" w:rsidR="005A03F9" w:rsidRPr="005A03F9" w:rsidRDefault="005A03F9" w:rsidP="005A03F9">
      <w:pPr>
        <w:widowControl w:val="0"/>
        <w:spacing w:after="240" w:line="240" w:lineRule="auto"/>
        <w:ind w:left="1418" w:right="618" w:hanging="992"/>
        <w:contextualSpacing/>
        <w:rPr>
          <w:i/>
          <w:iCs/>
          <w:sz w:val="24"/>
        </w:rPr>
      </w:pPr>
    </w:p>
    <w:p w14:paraId="36FFB63A" w14:textId="77777777" w:rsidR="00346758" w:rsidRPr="005A03F9" w:rsidRDefault="00346758" w:rsidP="005A03F9">
      <w:pPr>
        <w:widowControl w:val="0"/>
        <w:numPr>
          <w:ilvl w:val="0"/>
          <w:numId w:val="4"/>
        </w:numPr>
        <w:spacing w:after="240" w:line="240" w:lineRule="auto"/>
        <w:ind w:left="1134" w:right="618" w:hanging="567"/>
        <w:contextualSpacing/>
        <w:rPr>
          <w:b/>
          <w:bCs/>
          <w:i/>
          <w:iCs/>
          <w:sz w:val="24"/>
        </w:rPr>
      </w:pPr>
      <w:r w:rsidRPr="005A03F9">
        <w:rPr>
          <w:b/>
          <w:bCs/>
          <w:i/>
          <w:iCs/>
          <w:sz w:val="24"/>
        </w:rPr>
        <w:t>Cartera de Crédito</w:t>
      </w:r>
    </w:p>
    <w:p w14:paraId="0AFEB2CE" w14:textId="01F72006" w:rsidR="00346758" w:rsidRDefault="00346758" w:rsidP="005A03F9">
      <w:pPr>
        <w:widowControl w:val="0"/>
        <w:spacing w:after="240" w:line="240" w:lineRule="auto"/>
        <w:ind w:left="567" w:right="618"/>
        <w:contextualSpacing/>
        <w:rPr>
          <w:i/>
          <w:iCs/>
          <w:sz w:val="24"/>
        </w:rPr>
      </w:pPr>
      <w:r w:rsidRPr="005A03F9">
        <w:rPr>
          <w:i/>
          <w:iCs/>
          <w:sz w:val="24"/>
        </w:rPr>
        <w:t>La debida diligencia ambiental y social (en adelante, “la debida diligencia”), consiste en la evaluación para identificar conductas o actividades del deudor que impacten o puedan impactar negativamente en el medio ambiente o en la sociedad, a los que esté expuesto según lo que se define en el inciso yy) Riesgo ambiental del Artículo 3. Definiciones del Acuerdo SUGEF 2-10.</w:t>
      </w:r>
    </w:p>
    <w:p w14:paraId="0094334A" w14:textId="77777777" w:rsidR="005A03F9" w:rsidRPr="005A03F9" w:rsidRDefault="005A03F9" w:rsidP="005A03F9">
      <w:pPr>
        <w:widowControl w:val="0"/>
        <w:spacing w:after="240" w:line="240" w:lineRule="auto"/>
        <w:ind w:left="567" w:right="618"/>
        <w:contextualSpacing/>
        <w:rPr>
          <w:i/>
          <w:iCs/>
          <w:sz w:val="24"/>
        </w:rPr>
      </w:pPr>
    </w:p>
    <w:p w14:paraId="681E333E" w14:textId="50805EB3" w:rsidR="00346758" w:rsidRDefault="00346758" w:rsidP="005A03F9">
      <w:pPr>
        <w:widowControl w:val="0"/>
        <w:spacing w:after="240" w:line="240" w:lineRule="auto"/>
        <w:ind w:left="567" w:right="618"/>
        <w:contextualSpacing/>
        <w:rPr>
          <w:i/>
          <w:iCs/>
          <w:sz w:val="24"/>
        </w:rPr>
      </w:pPr>
      <w:r w:rsidRPr="005A03F9">
        <w:rPr>
          <w:i/>
          <w:iCs/>
          <w:sz w:val="24"/>
        </w:rPr>
        <w:t>Esta evaluación debe aplicarse desde el proceso de análisis para el otorgamiento del crédito, así como en el seguimiento posterior, a fin de verificar que las condiciones del deudor no han empeorado o que requieran de un cambio en la clasificación de riesgo asignada.</w:t>
      </w:r>
    </w:p>
    <w:p w14:paraId="67BDC812" w14:textId="77777777" w:rsidR="005A03F9" w:rsidRPr="005A03F9" w:rsidRDefault="005A03F9" w:rsidP="005A03F9">
      <w:pPr>
        <w:widowControl w:val="0"/>
        <w:spacing w:after="240" w:line="240" w:lineRule="auto"/>
        <w:ind w:left="567" w:right="618"/>
        <w:contextualSpacing/>
        <w:rPr>
          <w:i/>
          <w:iCs/>
          <w:sz w:val="24"/>
        </w:rPr>
      </w:pPr>
    </w:p>
    <w:p w14:paraId="69A0CA61" w14:textId="76B13978" w:rsidR="00346758" w:rsidRDefault="00346758" w:rsidP="005A03F9">
      <w:pPr>
        <w:widowControl w:val="0"/>
        <w:spacing w:after="240" w:line="240" w:lineRule="auto"/>
        <w:ind w:left="567" w:right="618"/>
        <w:contextualSpacing/>
        <w:rPr>
          <w:i/>
          <w:iCs/>
          <w:sz w:val="24"/>
        </w:rPr>
      </w:pPr>
      <w:r w:rsidRPr="005A03F9">
        <w:rPr>
          <w:i/>
          <w:iCs/>
          <w:sz w:val="24"/>
        </w:rPr>
        <w:t>La frecuencia y el proceso de aplicación de esta debida diligencia debe ser definido por la entidad, según lo que establezca en sus políticas, considerando los riesgos que presentan las actividades de crédito, siendo que esta debida diligencia, puede ser requerida con una mayor frecuencia para algunas actividades que para otras. Por ejemplo, la entidad puede establecer niveles de intensidad en función de nivel de riesgo. Es decir, si el riesgo es elevado, la debida diligencia podría ser más fuerte o reforzada, en contraste, si el riesgo es bajo, podría ser una debida diligencia normal.</w:t>
      </w:r>
    </w:p>
    <w:p w14:paraId="07F6B61F" w14:textId="77777777" w:rsidR="005A03F9" w:rsidRPr="005A03F9" w:rsidRDefault="005A03F9" w:rsidP="005A03F9">
      <w:pPr>
        <w:widowControl w:val="0"/>
        <w:spacing w:after="240" w:line="240" w:lineRule="auto"/>
        <w:ind w:left="567" w:right="618"/>
        <w:contextualSpacing/>
        <w:rPr>
          <w:i/>
          <w:iCs/>
          <w:sz w:val="24"/>
        </w:rPr>
      </w:pPr>
    </w:p>
    <w:p w14:paraId="5880EAEA" w14:textId="1EB56AC0" w:rsidR="00346758" w:rsidRDefault="00346758" w:rsidP="005A03F9">
      <w:pPr>
        <w:widowControl w:val="0"/>
        <w:spacing w:after="240" w:line="240" w:lineRule="auto"/>
        <w:ind w:left="567" w:right="618"/>
        <w:contextualSpacing/>
        <w:rPr>
          <w:i/>
          <w:iCs/>
          <w:sz w:val="24"/>
        </w:rPr>
      </w:pPr>
      <w:r w:rsidRPr="005A03F9">
        <w:rPr>
          <w:i/>
          <w:iCs/>
          <w:sz w:val="24"/>
        </w:rPr>
        <w:t>A criterio de la entidad, la debida diligencia puede incluir aspectos como el control mínimo documental, cuestionarios, visitas de campo o análisis por técnicos expertos en la materia, entre otros; los cuales deberán estar claramente definidos en la Metodología de clasificación de operaciones crediticias.</w:t>
      </w:r>
    </w:p>
    <w:p w14:paraId="30CD1706" w14:textId="77777777" w:rsidR="005A03F9" w:rsidRPr="005A03F9" w:rsidRDefault="005A03F9" w:rsidP="005A03F9">
      <w:pPr>
        <w:widowControl w:val="0"/>
        <w:spacing w:after="240" w:line="240" w:lineRule="auto"/>
        <w:ind w:left="567" w:right="618"/>
        <w:contextualSpacing/>
        <w:rPr>
          <w:i/>
          <w:iCs/>
          <w:sz w:val="24"/>
        </w:rPr>
      </w:pPr>
    </w:p>
    <w:p w14:paraId="64C100A0" w14:textId="46F921C3" w:rsidR="00346758" w:rsidRDefault="00346758" w:rsidP="005A03F9">
      <w:pPr>
        <w:widowControl w:val="0"/>
        <w:spacing w:after="240" w:line="240" w:lineRule="auto"/>
        <w:ind w:left="567" w:right="618"/>
        <w:contextualSpacing/>
        <w:rPr>
          <w:i/>
          <w:iCs/>
          <w:sz w:val="24"/>
        </w:rPr>
      </w:pPr>
      <w:r w:rsidRPr="005A03F9">
        <w:rPr>
          <w:i/>
          <w:iCs/>
          <w:sz w:val="24"/>
        </w:rPr>
        <w:t xml:space="preserve">La debida diligencia tiene como finalidad informar y apoyar la decisión de la </w:t>
      </w:r>
      <w:r w:rsidRPr="005A03F9">
        <w:rPr>
          <w:i/>
          <w:iCs/>
          <w:sz w:val="24"/>
        </w:rPr>
        <w:lastRenderedPageBreak/>
        <w:t>entidad en el otorgamiento de créditos, así como en el proceso de administración del riesgo. Adicionalmente, la debida diligencia busca orientar sobre las acciones de manejo y mitigación de los riesgos, en línea con el marco de gestión establecido en este Reglamento.</w:t>
      </w:r>
    </w:p>
    <w:p w14:paraId="5E9114D9" w14:textId="77777777" w:rsidR="005A03F9" w:rsidRPr="005A03F9" w:rsidRDefault="005A03F9" w:rsidP="005A03F9">
      <w:pPr>
        <w:widowControl w:val="0"/>
        <w:spacing w:after="240" w:line="240" w:lineRule="auto"/>
        <w:ind w:left="567" w:right="618"/>
        <w:contextualSpacing/>
        <w:rPr>
          <w:i/>
          <w:iCs/>
          <w:sz w:val="24"/>
        </w:rPr>
      </w:pPr>
    </w:p>
    <w:p w14:paraId="5B41F05C" w14:textId="7ED9AEF5" w:rsidR="00346758" w:rsidRDefault="00346758" w:rsidP="005A03F9">
      <w:pPr>
        <w:widowControl w:val="0"/>
        <w:spacing w:after="240" w:line="240" w:lineRule="auto"/>
        <w:ind w:left="567" w:right="618"/>
        <w:contextualSpacing/>
        <w:rPr>
          <w:i/>
          <w:iCs/>
          <w:sz w:val="24"/>
        </w:rPr>
      </w:pPr>
      <w:r w:rsidRPr="005A03F9">
        <w:rPr>
          <w:i/>
          <w:iCs/>
          <w:sz w:val="24"/>
        </w:rPr>
        <w:t>Los resultados de la debida diligencia deben documentarse e incorporarse al proceso de administración del riesgo de crédito.</w:t>
      </w:r>
    </w:p>
    <w:p w14:paraId="0019DCF3" w14:textId="77777777" w:rsidR="005A03F9" w:rsidRPr="005A03F9" w:rsidRDefault="005A03F9" w:rsidP="005A03F9">
      <w:pPr>
        <w:widowControl w:val="0"/>
        <w:spacing w:after="240" w:line="240" w:lineRule="auto"/>
        <w:ind w:left="567" w:right="618"/>
        <w:contextualSpacing/>
        <w:rPr>
          <w:i/>
          <w:iCs/>
          <w:sz w:val="24"/>
        </w:rPr>
      </w:pPr>
    </w:p>
    <w:p w14:paraId="0BAEEB64" w14:textId="7D2F08E4" w:rsidR="00346758" w:rsidRDefault="00346758" w:rsidP="005A03F9">
      <w:pPr>
        <w:widowControl w:val="0"/>
        <w:spacing w:after="240" w:line="240" w:lineRule="auto"/>
        <w:ind w:left="567" w:right="618"/>
        <w:contextualSpacing/>
        <w:rPr>
          <w:i/>
          <w:iCs/>
          <w:sz w:val="24"/>
        </w:rPr>
      </w:pPr>
      <w:r w:rsidRPr="005A03F9">
        <w:rPr>
          <w:i/>
          <w:iCs/>
          <w:sz w:val="24"/>
        </w:rPr>
        <w:t>El proceso de debida diligencia debe mantenerse adecuadamente documentado por parte de la entidad. Con fines ilustrativos, a criterio de la entidad la documentación derivada del proceso de debida diligencia puede incluir aspectos como los siguientes:</w:t>
      </w:r>
    </w:p>
    <w:p w14:paraId="10750F23" w14:textId="77777777" w:rsidR="005A03F9" w:rsidRPr="005A03F9" w:rsidRDefault="005A03F9" w:rsidP="005A03F9">
      <w:pPr>
        <w:widowControl w:val="0"/>
        <w:spacing w:after="240" w:line="240" w:lineRule="auto"/>
        <w:ind w:left="567" w:right="618"/>
        <w:contextualSpacing/>
        <w:rPr>
          <w:i/>
          <w:iCs/>
          <w:sz w:val="24"/>
        </w:rPr>
      </w:pPr>
    </w:p>
    <w:p w14:paraId="5089195E" w14:textId="77777777" w:rsidR="00346758" w:rsidRPr="005A03F9" w:rsidRDefault="00346758" w:rsidP="005A03F9">
      <w:pPr>
        <w:widowControl w:val="0"/>
        <w:spacing w:after="120" w:line="240" w:lineRule="auto"/>
        <w:ind w:left="1701" w:right="618" w:hanging="567"/>
        <w:contextualSpacing/>
        <w:rPr>
          <w:i/>
          <w:iCs/>
          <w:sz w:val="24"/>
        </w:rPr>
      </w:pPr>
      <w:r w:rsidRPr="005A03F9">
        <w:rPr>
          <w:i/>
          <w:iCs/>
          <w:sz w:val="24"/>
        </w:rPr>
        <w:t>i)</w:t>
      </w:r>
      <w:r w:rsidRPr="005A03F9">
        <w:rPr>
          <w:i/>
          <w:iCs/>
          <w:sz w:val="24"/>
        </w:rPr>
        <w:tab/>
        <w:t xml:space="preserve">La descripción del proyecto, </w:t>
      </w:r>
    </w:p>
    <w:p w14:paraId="369F1446" w14:textId="77777777" w:rsidR="00346758" w:rsidRPr="005A03F9" w:rsidRDefault="00346758" w:rsidP="005A03F9">
      <w:pPr>
        <w:widowControl w:val="0"/>
        <w:spacing w:after="120" w:line="240" w:lineRule="auto"/>
        <w:ind w:left="1701" w:right="618" w:hanging="567"/>
        <w:contextualSpacing/>
        <w:rPr>
          <w:i/>
          <w:iCs/>
          <w:sz w:val="24"/>
        </w:rPr>
      </w:pPr>
      <w:r w:rsidRPr="005A03F9">
        <w:rPr>
          <w:i/>
          <w:iCs/>
          <w:sz w:val="24"/>
        </w:rPr>
        <w:t>ii)</w:t>
      </w:r>
      <w:r w:rsidRPr="005A03F9">
        <w:rPr>
          <w:i/>
          <w:iCs/>
          <w:sz w:val="24"/>
        </w:rPr>
        <w:tab/>
        <w:t>El entorno ambiental y social,</w:t>
      </w:r>
    </w:p>
    <w:p w14:paraId="0FD99534" w14:textId="77777777" w:rsidR="00346758" w:rsidRPr="005A03F9" w:rsidRDefault="00346758" w:rsidP="005A03F9">
      <w:pPr>
        <w:widowControl w:val="0"/>
        <w:spacing w:after="120" w:line="240" w:lineRule="auto"/>
        <w:ind w:left="1701" w:right="618" w:hanging="567"/>
        <w:contextualSpacing/>
        <w:rPr>
          <w:i/>
          <w:iCs/>
          <w:sz w:val="24"/>
        </w:rPr>
      </w:pPr>
      <w:r w:rsidRPr="005A03F9">
        <w:rPr>
          <w:i/>
          <w:iCs/>
          <w:sz w:val="24"/>
        </w:rPr>
        <w:t>iii)</w:t>
      </w:r>
      <w:r w:rsidRPr="005A03F9">
        <w:rPr>
          <w:i/>
          <w:iCs/>
          <w:sz w:val="24"/>
        </w:rPr>
        <w:tab/>
        <w:t xml:space="preserve">Las medidas de manejo y mitigación, </w:t>
      </w:r>
    </w:p>
    <w:p w14:paraId="293DA237" w14:textId="02B2110C" w:rsidR="00346758" w:rsidRPr="005A03F9" w:rsidRDefault="00346758" w:rsidP="005A03F9">
      <w:pPr>
        <w:widowControl w:val="0"/>
        <w:spacing w:after="120" w:line="240" w:lineRule="auto"/>
        <w:ind w:left="1701" w:right="618" w:hanging="567"/>
        <w:contextualSpacing/>
        <w:rPr>
          <w:sz w:val="24"/>
        </w:rPr>
      </w:pPr>
      <w:r w:rsidRPr="005A03F9">
        <w:rPr>
          <w:i/>
          <w:iCs/>
          <w:sz w:val="24"/>
        </w:rPr>
        <w:t>iv)</w:t>
      </w:r>
      <w:r w:rsidRPr="005A03F9">
        <w:rPr>
          <w:i/>
          <w:iCs/>
          <w:sz w:val="24"/>
        </w:rPr>
        <w:tab/>
        <w:t>Las acciones requeridas para cerrar brechas identificadas en el desempeño del deudor, así como la asignación de responsables y plazos.</w:t>
      </w:r>
    </w:p>
    <w:p w14:paraId="0444A1AD" w14:textId="77777777" w:rsidR="005722AA" w:rsidRPr="005A03F9" w:rsidRDefault="005722AA" w:rsidP="005A03F9">
      <w:pPr>
        <w:widowControl w:val="0"/>
        <w:spacing w:after="120" w:line="240" w:lineRule="auto"/>
        <w:ind w:right="618"/>
        <w:contextualSpacing/>
        <w:rPr>
          <w:sz w:val="24"/>
        </w:rPr>
      </w:pPr>
    </w:p>
    <w:p w14:paraId="5174CB86" w14:textId="77777777" w:rsidR="00346758" w:rsidRPr="005A03F9" w:rsidRDefault="00346758" w:rsidP="005A03F9">
      <w:pPr>
        <w:widowControl w:val="0"/>
        <w:numPr>
          <w:ilvl w:val="0"/>
          <w:numId w:val="4"/>
        </w:numPr>
        <w:spacing w:after="240" w:line="240" w:lineRule="auto"/>
        <w:ind w:left="1134" w:right="618" w:hanging="567"/>
        <w:contextualSpacing/>
        <w:rPr>
          <w:b/>
          <w:bCs/>
          <w:i/>
          <w:iCs/>
          <w:sz w:val="24"/>
        </w:rPr>
      </w:pPr>
      <w:r w:rsidRPr="005A03F9">
        <w:rPr>
          <w:b/>
          <w:bCs/>
          <w:i/>
          <w:iCs/>
          <w:sz w:val="24"/>
        </w:rPr>
        <w:t>Portafolio de Inversiones</w:t>
      </w:r>
    </w:p>
    <w:p w14:paraId="08B0B025" w14:textId="75D27260" w:rsidR="00346758" w:rsidRDefault="00346758" w:rsidP="005A03F9">
      <w:pPr>
        <w:widowControl w:val="0"/>
        <w:spacing w:after="240" w:line="240" w:lineRule="auto"/>
        <w:ind w:left="567" w:right="618"/>
        <w:contextualSpacing/>
        <w:rPr>
          <w:i/>
          <w:iCs/>
          <w:sz w:val="24"/>
        </w:rPr>
      </w:pPr>
      <w:r w:rsidRPr="005A03F9">
        <w:rPr>
          <w:i/>
          <w:iCs/>
          <w:sz w:val="24"/>
        </w:rPr>
        <w:t>La debida diligencia ambiental, social y de gobernanza consiste en el proceso para identificar conductas o actividades del emisor que puedan impactar negativamente, a través de situaciones ambientales (contaminación, biodiversidad y cambio climático), sociales (derechos humanos, laborales, igualdad de género) y de gobierno corporativo (transparencia, control interno, composición de órganos de dirección entre otros), para lo cual se requiere que los inversionistas analicen la información no-financiera, con el mismo rigor que la información de carácter financiero.</w:t>
      </w:r>
    </w:p>
    <w:p w14:paraId="257AC3B7" w14:textId="77777777" w:rsidR="005A03F9" w:rsidRPr="005A03F9" w:rsidRDefault="005A03F9" w:rsidP="005A03F9">
      <w:pPr>
        <w:widowControl w:val="0"/>
        <w:spacing w:after="240" w:line="240" w:lineRule="auto"/>
        <w:ind w:left="567" w:right="618"/>
        <w:contextualSpacing/>
        <w:rPr>
          <w:i/>
          <w:iCs/>
          <w:sz w:val="24"/>
        </w:rPr>
      </w:pPr>
    </w:p>
    <w:p w14:paraId="7D623475" w14:textId="71B2FA40" w:rsidR="00346758" w:rsidRDefault="00346758" w:rsidP="005A03F9">
      <w:pPr>
        <w:widowControl w:val="0"/>
        <w:spacing w:after="240" w:line="240" w:lineRule="auto"/>
        <w:ind w:left="567" w:right="618"/>
        <w:contextualSpacing/>
        <w:rPr>
          <w:i/>
          <w:iCs/>
          <w:sz w:val="24"/>
        </w:rPr>
      </w:pPr>
      <w:r w:rsidRPr="005A03F9">
        <w:rPr>
          <w:i/>
          <w:iCs/>
          <w:sz w:val="24"/>
        </w:rPr>
        <w:t>La debida diligencia debe incluir la revisión del cumplimiento de lo establecido en las políticas en relación con el tema de las inversiones ASG, la revisión del prospecto, la verificación externa realizada por un tercero experto, el control mínimo documental, análisis por técnicos expertos en la materia, entre otros.</w:t>
      </w:r>
    </w:p>
    <w:p w14:paraId="7A3760FB" w14:textId="77777777" w:rsidR="005A03F9" w:rsidRPr="005A03F9" w:rsidRDefault="005A03F9" w:rsidP="005A03F9">
      <w:pPr>
        <w:widowControl w:val="0"/>
        <w:spacing w:after="240" w:line="240" w:lineRule="auto"/>
        <w:ind w:left="567" w:right="618"/>
        <w:contextualSpacing/>
        <w:rPr>
          <w:i/>
          <w:iCs/>
          <w:sz w:val="24"/>
        </w:rPr>
      </w:pPr>
    </w:p>
    <w:p w14:paraId="3B837579" w14:textId="39908794" w:rsidR="00346758" w:rsidRDefault="00346758" w:rsidP="005A03F9">
      <w:pPr>
        <w:widowControl w:val="0"/>
        <w:spacing w:after="240" w:line="240" w:lineRule="auto"/>
        <w:ind w:left="567" w:right="618"/>
        <w:contextualSpacing/>
        <w:rPr>
          <w:i/>
          <w:iCs/>
          <w:sz w:val="24"/>
        </w:rPr>
      </w:pPr>
      <w:r w:rsidRPr="005A03F9">
        <w:rPr>
          <w:i/>
          <w:iCs/>
          <w:sz w:val="24"/>
        </w:rPr>
        <w:t>Entre los aspectos a valorar, esta debida diligencia debe asegurarse que el proyecto de emisión cuente con mecanismos de verificación o control que asegure que los fondos captados o derivados del financiamiento hayan sido utilizados según fueron detallados en el prospecto.</w:t>
      </w:r>
    </w:p>
    <w:p w14:paraId="78ADFF1F" w14:textId="77777777" w:rsidR="005A03F9" w:rsidRPr="005A03F9" w:rsidRDefault="005A03F9" w:rsidP="005A03F9">
      <w:pPr>
        <w:widowControl w:val="0"/>
        <w:spacing w:after="240" w:line="240" w:lineRule="auto"/>
        <w:ind w:left="567" w:right="618"/>
        <w:contextualSpacing/>
        <w:rPr>
          <w:i/>
          <w:iCs/>
          <w:sz w:val="24"/>
        </w:rPr>
      </w:pPr>
    </w:p>
    <w:p w14:paraId="3D3E7E4C" w14:textId="15FDC188" w:rsidR="00346758" w:rsidRPr="005A03F9" w:rsidRDefault="00346758" w:rsidP="005A03F9">
      <w:pPr>
        <w:widowControl w:val="0"/>
        <w:spacing w:after="240" w:line="240" w:lineRule="auto"/>
        <w:ind w:left="567" w:right="618"/>
        <w:contextualSpacing/>
        <w:rPr>
          <w:i/>
          <w:iCs/>
          <w:sz w:val="24"/>
        </w:rPr>
      </w:pPr>
      <w:r w:rsidRPr="005A03F9">
        <w:rPr>
          <w:i/>
          <w:iCs/>
          <w:sz w:val="24"/>
        </w:rPr>
        <w:t>El seguimiento implica la constatación mediante la información disponible al público de que el proyecto está cumpliendo con sus objetivos en materia ASG.</w:t>
      </w:r>
    </w:p>
    <w:p w14:paraId="5608B42E" w14:textId="77777777" w:rsidR="005722AA" w:rsidRPr="005A03F9" w:rsidRDefault="005722AA" w:rsidP="005A03F9">
      <w:pPr>
        <w:widowControl w:val="0"/>
        <w:spacing w:after="240" w:line="240" w:lineRule="auto"/>
        <w:ind w:left="567" w:right="618"/>
        <w:contextualSpacing/>
        <w:rPr>
          <w:i/>
          <w:iCs/>
          <w:sz w:val="24"/>
        </w:rPr>
      </w:pPr>
    </w:p>
    <w:p w14:paraId="217FED32" w14:textId="4E097E73" w:rsidR="00346758" w:rsidRPr="005A03F9" w:rsidRDefault="00346758" w:rsidP="005A03F9">
      <w:pPr>
        <w:widowControl w:val="0"/>
        <w:spacing w:after="240" w:line="240" w:lineRule="auto"/>
        <w:ind w:left="567" w:right="618"/>
        <w:contextualSpacing/>
        <w:rPr>
          <w:sz w:val="24"/>
        </w:rPr>
      </w:pPr>
      <w:r w:rsidRPr="005A03F9">
        <w:rPr>
          <w:i/>
          <w:iCs/>
          <w:sz w:val="24"/>
        </w:rPr>
        <w:t>La frecuencia y el proceso de aplicación de esta debida diligencia debe ser definido por la entidad, según lo que establezca en sus políticas, considerando los riesgos que presenta la</w:t>
      </w:r>
      <w:r w:rsidR="005722AA" w:rsidRPr="005A03F9">
        <w:rPr>
          <w:i/>
          <w:iCs/>
          <w:sz w:val="24"/>
        </w:rPr>
        <w:t xml:space="preserve"> </w:t>
      </w:r>
      <w:r w:rsidRPr="005A03F9">
        <w:rPr>
          <w:i/>
          <w:iCs/>
          <w:sz w:val="24"/>
        </w:rPr>
        <w:t>inversión.</w:t>
      </w:r>
    </w:p>
    <w:p w14:paraId="5D44E2F5" w14:textId="77777777" w:rsidR="000A15E9" w:rsidRPr="005A03F9" w:rsidRDefault="000A15E9" w:rsidP="005A03F9">
      <w:pPr>
        <w:widowControl w:val="0"/>
        <w:spacing w:after="240" w:line="240" w:lineRule="auto"/>
        <w:ind w:left="567" w:right="618"/>
        <w:contextualSpacing/>
        <w:rPr>
          <w:sz w:val="24"/>
        </w:rPr>
      </w:pPr>
    </w:p>
    <w:p w14:paraId="43BB6ADC" w14:textId="4621379B" w:rsidR="00346758" w:rsidRDefault="00346758" w:rsidP="005A03F9">
      <w:pPr>
        <w:widowControl w:val="0"/>
        <w:spacing w:after="240" w:line="240" w:lineRule="auto"/>
        <w:ind w:left="1134" w:right="618" w:hanging="567"/>
        <w:contextualSpacing/>
        <w:rPr>
          <w:b/>
          <w:bCs/>
          <w:i/>
          <w:iCs/>
          <w:sz w:val="24"/>
        </w:rPr>
      </w:pPr>
      <w:r w:rsidRPr="005A03F9">
        <w:rPr>
          <w:b/>
          <w:bCs/>
          <w:i/>
          <w:iCs/>
          <w:sz w:val="24"/>
        </w:rPr>
        <w:t>12)</w:t>
      </w:r>
      <w:r w:rsidRPr="005A03F9">
        <w:rPr>
          <w:b/>
          <w:bCs/>
          <w:i/>
          <w:iCs/>
          <w:sz w:val="24"/>
        </w:rPr>
        <w:tab/>
        <w:t>Metodología Estándar para la evaluación de riesgos ambientales y sociales (A&amp;S).</w:t>
      </w:r>
    </w:p>
    <w:p w14:paraId="035F0C28" w14:textId="77777777" w:rsidR="005A03F9" w:rsidRPr="005A03F9" w:rsidRDefault="005A03F9" w:rsidP="005A03F9">
      <w:pPr>
        <w:widowControl w:val="0"/>
        <w:spacing w:after="240" w:line="240" w:lineRule="auto"/>
        <w:ind w:left="1134" w:right="618" w:hanging="567"/>
        <w:contextualSpacing/>
        <w:rPr>
          <w:b/>
          <w:bCs/>
          <w:i/>
          <w:iCs/>
          <w:sz w:val="24"/>
        </w:rPr>
      </w:pPr>
    </w:p>
    <w:p w14:paraId="07FF4FA5" w14:textId="7061FBA6" w:rsidR="00346758" w:rsidRDefault="00346758" w:rsidP="005A03F9">
      <w:pPr>
        <w:widowControl w:val="0"/>
        <w:spacing w:after="240" w:line="240" w:lineRule="auto"/>
        <w:ind w:left="1418" w:right="618" w:hanging="992"/>
        <w:contextualSpacing/>
        <w:rPr>
          <w:i/>
          <w:iCs/>
          <w:sz w:val="24"/>
        </w:rPr>
      </w:pPr>
      <w:r w:rsidRPr="005A03F9">
        <w:rPr>
          <w:b/>
          <w:bCs/>
          <w:i/>
          <w:iCs/>
          <w:sz w:val="24"/>
        </w:rPr>
        <w:t>Objetivo:</w:t>
      </w:r>
      <w:r w:rsidRPr="005A03F9">
        <w:rPr>
          <w:b/>
          <w:bCs/>
          <w:i/>
          <w:iCs/>
          <w:sz w:val="24"/>
        </w:rPr>
        <w:tab/>
      </w:r>
      <w:r w:rsidRPr="005A03F9">
        <w:rPr>
          <w:i/>
          <w:iCs/>
          <w:sz w:val="24"/>
        </w:rPr>
        <w:t>Establecer aspectos mínimos a incluir en el desarrollo de la metodología estándar para la evaluación de riesgos A&amp;S.</w:t>
      </w:r>
    </w:p>
    <w:p w14:paraId="79FFF414" w14:textId="77777777" w:rsidR="005A03F9" w:rsidRPr="005A03F9" w:rsidRDefault="005A03F9" w:rsidP="005A03F9">
      <w:pPr>
        <w:widowControl w:val="0"/>
        <w:spacing w:after="240" w:line="240" w:lineRule="auto"/>
        <w:ind w:left="1418" w:right="618" w:hanging="992"/>
        <w:contextualSpacing/>
        <w:rPr>
          <w:i/>
          <w:iCs/>
          <w:sz w:val="24"/>
        </w:rPr>
      </w:pPr>
    </w:p>
    <w:p w14:paraId="689F189F" w14:textId="6B43AF4E" w:rsidR="00346758" w:rsidRDefault="00346758" w:rsidP="005A03F9">
      <w:pPr>
        <w:widowControl w:val="0"/>
        <w:numPr>
          <w:ilvl w:val="0"/>
          <w:numId w:val="5"/>
        </w:numPr>
        <w:spacing w:after="240" w:line="240" w:lineRule="auto"/>
        <w:ind w:left="1134" w:right="618" w:hanging="567"/>
        <w:contextualSpacing/>
        <w:rPr>
          <w:b/>
          <w:bCs/>
          <w:i/>
          <w:iCs/>
          <w:sz w:val="24"/>
        </w:rPr>
      </w:pPr>
      <w:r w:rsidRPr="005A03F9">
        <w:rPr>
          <w:b/>
          <w:bCs/>
          <w:i/>
          <w:iCs/>
          <w:sz w:val="24"/>
        </w:rPr>
        <w:t>Operaciones crediticias a las cuales aplica la metodología estándar</w:t>
      </w:r>
    </w:p>
    <w:p w14:paraId="3A8087FE" w14:textId="5B9FB8C3" w:rsidR="00346758" w:rsidRDefault="00346758" w:rsidP="005A03F9">
      <w:pPr>
        <w:widowControl w:val="0"/>
        <w:spacing w:after="240" w:line="240" w:lineRule="auto"/>
        <w:ind w:left="567" w:right="618"/>
        <w:contextualSpacing/>
        <w:rPr>
          <w:i/>
          <w:iCs/>
          <w:sz w:val="24"/>
        </w:rPr>
      </w:pPr>
      <w:r w:rsidRPr="005A03F9">
        <w:rPr>
          <w:i/>
          <w:iCs/>
          <w:sz w:val="24"/>
        </w:rPr>
        <w:t>La metodología estándar debe aplicarse al menos a las operaciones crediticias a que se refiere el Artículo 38 de este Reglamento.</w:t>
      </w:r>
    </w:p>
    <w:p w14:paraId="197FF6BF" w14:textId="77777777" w:rsidR="005A03F9" w:rsidRPr="005A03F9" w:rsidRDefault="005A03F9" w:rsidP="005A03F9">
      <w:pPr>
        <w:widowControl w:val="0"/>
        <w:spacing w:after="240" w:line="240" w:lineRule="auto"/>
        <w:ind w:left="567" w:right="618"/>
        <w:contextualSpacing/>
        <w:rPr>
          <w:i/>
          <w:iCs/>
          <w:sz w:val="24"/>
        </w:rPr>
      </w:pPr>
    </w:p>
    <w:p w14:paraId="6FEDFB41" w14:textId="77777777" w:rsidR="00346758" w:rsidRPr="005A03F9" w:rsidRDefault="00346758" w:rsidP="005A03F9">
      <w:pPr>
        <w:widowControl w:val="0"/>
        <w:spacing w:after="240" w:line="240" w:lineRule="auto"/>
        <w:ind w:left="1134" w:right="618" w:hanging="567"/>
        <w:contextualSpacing/>
        <w:rPr>
          <w:b/>
          <w:bCs/>
          <w:i/>
          <w:iCs/>
          <w:sz w:val="24"/>
        </w:rPr>
      </w:pPr>
      <w:r w:rsidRPr="005A03F9">
        <w:rPr>
          <w:b/>
          <w:bCs/>
          <w:i/>
          <w:iCs/>
          <w:sz w:val="24"/>
        </w:rPr>
        <w:t>b.</w:t>
      </w:r>
      <w:r w:rsidRPr="005A03F9">
        <w:rPr>
          <w:b/>
          <w:bCs/>
          <w:i/>
          <w:iCs/>
          <w:sz w:val="24"/>
        </w:rPr>
        <w:tab/>
        <w:t>Pasos mínimos de la metodología estándar</w:t>
      </w:r>
    </w:p>
    <w:p w14:paraId="17CCE09B" w14:textId="77777777" w:rsidR="00346758" w:rsidRPr="005A03F9" w:rsidRDefault="00346758" w:rsidP="005A03F9">
      <w:pPr>
        <w:widowControl w:val="0"/>
        <w:spacing w:after="240" w:line="240" w:lineRule="auto"/>
        <w:ind w:left="567" w:right="618"/>
        <w:contextualSpacing/>
        <w:rPr>
          <w:i/>
          <w:iCs/>
          <w:sz w:val="24"/>
        </w:rPr>
      </w:pPr>
      <w:r w:rsidRPr="005A03F9">
        <w:rPr>
          <w:i/>
          <w:iCs/>
          <w:sz w:val="24"/>
        </w:rPr>
        <w:t>La metodología estándar debe incluir al menos los siguientes pasos:</w:t>
      </w:r>
    </w:p>
    <w:p w14:paraId="29D154AE" w14:textId="77777777" w:rsidR="00346758" w:rsidRPr="005A03F9" w:rsidRDefault="00346758" w:rsidP="005A03F9">
      <w:pPr>
        <w:widowControl w:val="0"/>
        <w:spacing w:after="240" w:line="240" w:lineRule="auto"/>
        <w:ind w:left="1418" w:right="618" w:hanging="851"/>
        <w:contextualSpacing/>
        <w:rPr>
          <w:i/>
          <w:iCs/>
          <w:sz w:val="24"/>
        </w:rPr>
      </w:pPr>
      <w:r w:rsidRPr="005A03F9">
        <w:rPr>
          <w:i/>
          <w:iCs/>
          <w:sz w:val="24"/>
        </w:rPr>
        <w:t>PASO 1:</w:t>
      </w:r>
      <w:r w:rsidRPr="005A03F9">
        <w:rPr>
          <w:i/>
          <w:iCs/>
          <w:sz w:val="24"/>
        </w:rPr>
        <w:tab/>
        <w:t>Identificación de los factores de riesgo ambientales y sociales que afectan las operaciones crediticias.</w:t>
      </w:r>
    </w:p>
    <w:p w14:paraId="5EAA5DCB" w14:textId="77777777" w:rsidR="00346758" w:rsidRPr="005A03F9" w:rsidRDefault="00346758" w:rsidP="005A03F9">
      <w:pPr>
        <w:widowControl w:val="0"/>
        <w:spacing w:after="240" w:line="240" w:lineRule="auto"/>
        <w:ind w:left="1418" w:right="618" w:hanging="851"/>
        <w:contextualSpacing/>
        <w:rPr>
          <w:i/>
          <w:iCs/>
          <w:sz w:val="24"/>
        </w:rPr>
      </w:pPr>
      <w:r w:rsidRPr="005A03F9">
        <w:rPr>
          <w:i/>
          <w:iCs/>
          <w:sz w:val="24"/>
        </w:rPr>
        <w:t>PASO 2:</w:t>
      </w:r>
      <w:r w:rsidRPr="005A03F9">
        <w:rPr>
          <w:i/>
          <w:iCs/>
          <w:sz w:val="24"/>
        </w:rPr>
        <w:tab/>
        <w:t>Definición de criterios de valoración de los factores de riesgo.</w:t>
      </w:r>
    </w:p>
    <w:p w14:paraId="48DD12A2" w14:textId="6D6D31A4" w:rsidR="00346758" w:rsidRDefault="00346758" w:rsidP="005A03F9">
      <w:pPr>
        <w:widowControl w:val="0"/>
        <w:spacing w:after="240" w:line="240" w:lineRule="auto"/>
        <w:ind w:left="1418" w:right="618" w:hanging="851"/>
        <w:contextualSpacing/>
        <w:rPr>
          <w:i/>
          <w:iCs/>
          <w:sz w:val="24"/>
        </w:rPr>
      </w:pPr>
      <w:r w:rsidRPr="005A03F9">
        <w:rPr>
          <w:i/>
          <w:iCs/>
          <w:sz w:val="24"/>
        </w:rPr>
        <w:t>PASO 3:</w:t>
      </w:r>
      <w:r w:rsidRPr="005A03F9">
        <w:rPr>
          <w:i/>
          <w:iCs/>
          <w:sz w:val="24"/>
        </w:rPr>
        <w:tab/>
        <w:t>Elementos o aspectos de clasificación de las operaciones crediticias según su riesgo.</w:t>
      </w:r>
    </w:p>
    <w:p w14:paraId="11165B2A" w14:textId="77777777" w:rsidR="005A03F9" w:rsidRPr="005A03F9" w:rsidRDefault="005A03F9" w:rsidP="005A03F9">
      <w:pPr>
        <w:widowControl w:val="0"/>
        <w:spacing w:after="240" w:line="240" w:lineRule="auto"/>
        <w:ind w:left="1418" w:right="618" w:hanging="851"/>
        <w:contextualSpacing/>
        <w:rPr>
          <w:i/>
          <w:iCs/>
          <w:sz w:val="24"/>
        </w:rPr>
      </w:pPr>
    </w:p>
    <w:p w14:paraId="64209B2E" w14:textId="21B41408" w:rsidR="00346758" w:rsidRDefault="00346758" w:rsidP="005A03F9">
      <w:pPr>
        <w:widowControl w:val="0"/>
        <w:spacing w:after="240" w:line="240" w:lineRule="auto"/>
        <w:ind w:left="567" w:right="618"/>
        <w:contextualSpacing/>
        <w:rPr>
          <w:i/>
          <w:iCs/>
          <w:sz w:val="24"/>
        </w:rPr>
      </w:pPr>
      <w:r w:rsidRPr="005A03F9">
        <w:rPr>
          <w:i/>
          <w:iCs/>
          <w:sz w:val="24"/>
        </w:rPr>
        <w:t xml:space="preserve">Las entidades pueden efectuar ajustes a la metodología estándar cuando consideren que existen cambios en el entorno, la cartera de créditos o las actividades que financian con la finalidad de </w:t>
      </w:r>
      <w:r w:rsidR="000A15E9" w:rsidRPr="005A03F9">
        <w:rPr>
          <w:i/>
          <w:iCs/>
          <w:sz w:val="24"/>
        </w:rPr>
        <w:t>recopilar</w:t>
      </w:r>
      <w:r w:rsidRPr="005A03F9">
        <w:rPr>
          <w:i/>
          <w:iCs/>
          <w:sz w:val="24"/>
        </w:rPr>
        <w:t xml:space="preserve"> oportunamente factores de riesgo que surjan.</w:t>
      </w:r>
    </w:p>
    <w:p w14:paraId="14712C1C" w14:textId="77777777" w:rsidR="005A03F9" w:rsidRPr="005A03F9" w:rsidRDefault="005A03F9" w:rsidP="005A03F9">
      <w:pPr>
        <w:widowControl w:val="0"/>
        <w:spacing w:after="240" w:line="240" w:lineRule="auto"/>
        <w:ind w:left="567" w:right="618"/>
        <w:contextualSpacing/>
        <w:rPr>
          <w:i/>
          <w:iCs/>
          <w:sz w:val="24"/>
        </w:rPr>
      </w:pPr>
    </w:p>
    <w:p w14:paraId="359E9F7B" w14:textId="77777777" w:rsidR="00346758" w:rsidRPr="005A03F9" w:rsidRDefault="00346758" w:rsidP="005A03F9">
      <w:pPr>
        <w:widowControl w:val="0"/>
        <w:spacing w:after="240" w:line="240" w:lineRule="auto"/>
        <w:ind w:left="1134" w:right="618" w:hanging="567"/>
        <w:contextualSpacing/>
        <w:rPr>
          <w:b/>
          <w:bCs/>
          <w:sz w:val="24"/>
        </w:rPr>
      </w:pPr>
      <w:r w:rsidRPr="005A03F9">
        <w:rPr>
          <w:b/>
          <w:bCs/>
          <w:i/>
          <w:iCs/>
          <w:sz w:val="24"/>
        </w:rPr>
        <w:t>c.</w:t>
      </w:r>
      <w:r w:rsidRPr="005A03F9">
        <w:rPr>
          <w:b/>
          <w:bCs/>
          <w:i/>
          <w:iCs/>
          <w:sz w:val="24"/>
        </w:rPr>
        <w:tab/>
        <w:t xml:space="preserve">Desarrollo de los pasos </w:t>
      </w:r>
    </w:p>
    <w:p w14:paraId="2158FF16" w14:textId="77777777" w:rsidR="00346758" w:rsidRPr="005A03F9" w:rsidRDefault="00346758" w:rsidP="005A03F9">
      <w:pPr>
        <w:widowControl w:val="0"/>
        <w:spacing w:after="240" w:line="240" w:lineRule="auto"/>
        <w:ind w:left="567" w:right="618"/>
        <w:contextualSpacing/>
        <w:rPr>
          <w:b/>
          <w:bCs/>
          <w:i/>
          <w:iCs/>
          <w:sz w:val="24"/>
          <w:u w:val="single"/>
        </w:rPr>
      </w:pPr>
      <w:r w:rsidRPr="005A03F9">
        <w:rPr>
          <w:b/>
          <w:bCs/>
          <w:i/>
          <w:iCs/>
          <w:sz w:val="24"/>
          <w:u w:val="single"/>
        </w:rPr>
        <w:t>PASO 1: Identificación de los factores de riesgo ambientales y sociales que afectan las operaciones crediticias.</w:t>
      </w:r>
    </w:p>
    <w:p w14:paraId="6E3EBAD1" w14:textId="54B5E04C" w:rsidR="00346758" w:rsidRDefault="00346758" w:rsidP="005A03F9">
      <w:pPr>
        <w:widowControl w:val="0"/>
        <w:spacing w:after="240" w:line="240" w:lineRule="auto"/>
        <w:ind w:left="567" w:right="618"/>
        <w:contextualSpacing/>
        <w:rPr>
          <w:i/>
          <w:iCs/>
          <w:sz w:val="24"/>
        </w:rPr>
      </w:pPr>
      <w:r w:rsidRPr="005A03F9">
        <w:rPr>
          <w:i/>
          <w:iCs/>
          <w:sz w:val="24"/>
        </w:rPr>
        <w:t>Cada entidad financiera, a partir del conocimiento obtenido mediante el proceso de debida diligencia sobre la naturaleza de la actividad o proyecto objeto de financiamiento, así como su conocimiento sobre los riesgos ambientales y sociales, inherentes a estos, definirá los factores de riesgo que a su criterio sean relevantes para clasificar cada operación crediticia.</w:t>
      </w:r>
    </w:p>
    <w:p w14:paraId="606AB14E" w14:textId="77777777" w:rsidR="005A03F9" w:rsidRPr="005A03F9" w:rsidRDefault="005A03F9" w:rsidP="005A03F9">
      <w:pPr>
        <w:widowControl w:val="0"/>
        <w:spacing w:after="240" w:line="240" w:lineRule="auto"/>
        <w:ind w:left="567" w:right="618"/>
        <w:contextualSpacing/>
        <w:rPr>
          <w:i/>
          <w:iCs/>
          <w:sz w:val="24"/>
        </w:rPr>
      </w:pPr>
    </w:p>
    <w:p w14:paraId="7791DD3B" w14:textId="7820D42D" w:rsidR="00346758" w:rsidRDefault="00346758" w:rsidP="005A03F9">
      <w:pPr>
        <w:widowControl w:val="0"/>
        <w:spacing w:after="240" w:line="240" w:lineRule="auto"/>
        <w:ind w:left="567" w:right="618"/>
        <w:contextualSpacing/>
        <w:rPr>
          <w:i/>
          <w:iCs/>
          <w:sz w:val="24"/>
        </w:rPr>
      </w:pPr>
      <w:r w:rsidRPr="005A03F9">
        <w:rPr>
          <w:i/>
          <w:iCs/>
          <w:sz w:val="24"/>
        </w:rPr>
        <w:t xml:space="preserve">En el caso de negocios o actividades en los cuales el deudor ya tiene definido acciones de mitigación o que reducen ese impacto, éstas se deben considerar en la evaluación del impacto. Por ejemplo, campañas de reciclaje si es una empresa cuyo negocio utiliza o fabrica el plástico como principal insumo, campañas de reforestación si es un deudor cuya actividad es la fábrica de </w:t>
      </w:r>
      <w:r w:rsidRPr="005A03F9">
        <w:rPr>
          <w:i/>
          <w:iCs/>
          <w:sz w:val="24"/>
        </w:rPr>
        <w:lastRenderedPageBreak/>
        <w:t>muebles de madera, etc.</w:t>
      </w:r>
    </w:p>
    <w:p w14:paraId="1E78B032" w14:textId="77777777" w:rsidR="005A03F9" w:rsidRPr="005A03F9" w:rsidRDefault="005A03F9" w:rsidP="005A03F9">
      <w:pPr>
        <w:widowControl w:val="0"/>
        <w:spacing w:after="240" w:line="240" w:lineRule="auto"/>
        <w:ind w:left="567" w:right="618"/>
        <w:contextualSpacing/>
        <w:rPr>
          <w:i/>
          <w:iCs/>
          <w:sz w:val="24"/>
        </w:rPr>
      </w:pPr>
    </w:p>
    <w:p w14:paraId="67366A3E" w14:textId="374BFAAD" w:rsidR="00DD47D9" w:rsidRPr="005A03F9" w:rsidRDefault="00346758" w:rsidP="005A03F9">
      <w:pPr>
        <w:widowControl w:val="0"/>
        <w:spacing w:after="240" w:line="240" w:lineRule="auto"/>
        <w:ind w:left="567" w:right="618"/>
        <w:contextualSpacing/>
        <w:rPr>
          <w:sz w:val="24"/>
        </w:rPr>
      </w:pPr>
      <w:r w:rsidRPr="005A03F9">
        <w:rPr>
          <w:i/>
          <w:iCs/>
          <w:sz w:val="24"/>
        </w:rPr>
        <w:t>Con fines ilustrativos, la Tabla No. 1 presenta ejemplos de factores de riesgo.</w:t>
      </w:r>
    </w:p>
    <w:p w14:paraId="2520D9CA" w14:textId="63845825" w:rsidR="00346758" w:rsidRPr="005A03F9" w:rsidRDefault="00346758" w:rsidP="005A03F9">
      <w:pPr>
        <w:pStyle w:val="Prrafodelista"/>
        <w:ind w:left="567"/>
        <w:contextualSpacing/>
        <w:rPr>
          <w:rFonts w:ascii="Cambria" w:hAnsi="Cambria"/>
          <w:bCs/>
        </w:rPr>
      </w:pPr>
      <w:r w:rsidRPr="005A03F9">
        <w:rPr>
          <w:rFonts w:ascii="Cambria" w:hAnsi="Cambria"/>
          <w:bCs/>
        </w:rPr>
        <w:t>Tabla No. 1</w:t>
      </w:r>
    </w:p>
    <w:p w14:paraId="784FEF59" w14:textId="77777777" w:rsidR="00346758" w:rsidRPr="005A03F9" w:rsidRDefault="00346758" w:rsidP="005A03F9">
      <w:pPr>
        <w:pStyle w:val="Ttulo3"/>
        <w:keepNext w:val="0"/>
        <w:widowControl w:val="0"/>
        <w:tabs>
          <w:tab w:val="left" w:pos="529"/>
        </w:tabs>
        <w:ind w:left="567"/>
        <w:contextualSpacing/>
        <w:jc w:val="center"/>
        <w:rPr>
          <w:rFonts w:ascii="Cambria" w:hAnsi="Cambria"/>
          <w:bCs w:val="0"/>
          <w:szCs w:val="24"/>
        </w:rPr>
      </w:pPr>
      <w:r w:rsidRPr="005A03F9">
        <w:rPr>
          <w:rFonts w:ascii="Cambria" w:hAnsi="Cambria"/>
          <w:bCs w:val="0"/>
          <w:szCs w:val="24"/>
        </w:rPr>
        <w:t>Ejemplos de Factores de Riesgo</w:t>
      </w:r>
    </w:p>
    <w:p w14:paraId="2D9E28C9" w14:textId="77777777" w:rsidR="00346758" w:rsidRPr="005A03F9" w:rsidRDefault="00346758" w:rsidP="005A03F9">
      <w:pPr>
        <w:spacing w:line="240" w:lineRule="auto"/>
        <w:contextualSpacing/>
        <w:rPr>
          <w:sz w:val="24"/>
        </w:rPr>
      </w:pP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541"/>
      </w:tblGrid>
      <w:tr w:rsidR="00346758" w:rsidRPr="005A03F9" w14:paraId="3FED5B24" w14:textId="77777777" w:rsidTr="00DD47D9">
        <w:trPr>
          <w:trHeight w:val="375"/>
          <w:jc w:val="center"/>
        </w:trPr>
        <w:tc>
          <w:tcPr>
            <w:tcW w:w="1560" w:type="dxa"/>
            <w:shd w:val="clear" w:color="auto" w:fill="auto"/>
            <w:vAlign w:val="center"/>
          </w:tcPr>
          <w:p w14:paraId="278F7FD0" w14:textId="77777777" w:rsidR="00346758" w:rsidRPr="005A03F9" w:rsidRDefault="00346758" w:rsidP="005A03F9">
            <w:pPr>
              <w:spacing w:line="240" w:lineRule="auto"/>
              <w:contextualSpacing/>
              <w:rPr>
                <w:b/>
                <w:sz w:val="24"/>
              </w:rPr>
            </w:pPr>
            <w:r w:rsidRPr="005A03F9">
              <w:rPr>
                <w:b/>
                <w:sz w:val="24"/>
              </w:rPr>
              <w:t>Aspecto para valorar</w:t>
            </w:r>
          </w:p>
        </w:tc>
        <w:tc>
          <w:tcPr>
            <w:tcW w:w="7541" w:type="dxa"/>
            <w:shd w:val="clear" w:color="auto" w:fill="auto"/>
            <w:vAlign w:val="center"/>
          </w:tcPr>
          <w:p w14:paraId="47270B67" w14:textId="77777777" w:rsidR="00346758" w:rsidRPr="005A03F9" w:rsidRDefault="00346758" w:rsidP="005A03F9">
            <w:pPr>
              <w:spacing w:line="240" w:lineRule="auto"/>
              <w:contextualSpacing/>
              <w:rPr>
                <w:b/>
                <w:sz w:val="24"/>
              </w:rPr>
            </w:pPr>
            <w:r w:rsidRPr="005A03F9">
              <w:rPr>
                <w:b/>
                <w:sz w:val="24"/>
              </w:rPr>
              <w:t>Ejemplo de Factores de Riesgo:</w:t>
            </w:r>
          </w:p>
        </w:tc>
      </w:tr>
      <w:tr w:rsidR="00346758" w:rsidRPr="005A03F9" w14:paraId="7F6BDD9C" w14:textId="77777777" w:rsidTr="00DD47D9">
        <w:trPr>
          <w:trHeight w:val="375"/>
          <w:jc w:val="center"/>
        </w:trPr>
        <w:tc>
          <w:tcPr>
            <w:tcW w:w="1560" w:type="dxa"/>
            <w:vMerge w:val="restart"/>
            <w:tcBorders>
              <w:top w:val="single" w:sz="4" w:space="0" w:color="auto"/>
              <w:left w:val="single" w:sz="4" w:space="0" w:color="auto"/>
              <w:right w:val="single" w:sz="4" w:space="0" w:color="auto"/>
            </w:tcBorders>
            <w:shd w:val="clear" w:color="auto" w:fill="auto"/>
            <w:vAlign w:val="center"/>
          </w:tcPr>
          <w:p w14:paraId="0FCE3D10" w14:textId="77777777" w:rsidR="00346758" w:rsidRPr="005A03F9" w:rsidRDefault="00346758" w:rsidP="005A03F9">
            <w:pPr>
              <w:spacing w:line="240" w:lineRule="auto"/>
              <w:contextualSpacing/>
              <w:jc w:val="left"/>
              <w:rPr>
                <w:bCs/>
                <w:sz w:val="24"/>
              </w:rPr>
            </w:pPr>
            <w:r w:rsidRPr="005A03F9">
              <w:rPr>
                <w:bCs/>
                <w:sz w:val="24"/>
              </w:rPr>
              <w:t>Naturaleza de la actividad</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76093F23" w14:textId="77777777" w:rsidR="00346758" w:rsidRPr="005A03F9" w:rsidRDefault="00346758" w:rsidP="005A03F9">
            <w:pPr>
              <w:spacing w:line="240" w:lineRule="auto"/>
              <w:ind w:left="36"/>
              <w:contextualSpacing/>
              <w:rPr>
                <w:bCs/>
                <w:sz w:val="24"/>
              </w:rPr>
            </w:pPr>
            <w:r w:rsidRPr="005A03F9">
              <w:rPr>
                <w:bCs/>
                <w:sz w:val="24"/>
              </w:rPr>
              <w:t>Contexto ambiental:</w:t>
            </w:r>
          </w:p>
          <w:p w14:paraId="5BC827FC" w14:textId="77777777" w:rsidR="00346758" w:rsidRPr="005A03F9" w:rsidRDefault="00346758" w:rsidP="005A03F9">
            <w:pPr>
              <w:pStyle w:val="Prrafodelista"/>
              <w:numPr>
                <w:ilvl w:val="0"/>
                <w:numId w:val="6"/>
              </w:numPr>
              <w:ind w:left="36" w:firstLine="0"/>
              <w:contextualSpacing/>
              <w:jc w:val="both"/>
              <w:rPr>
                <w:rFonts w:ascii="Cambria" w:hAnsi="Cambria"/>
                <w:bCs/>
              </w:rPr>
            </w:pPr>
            <w:r w:rsidRPr="005A03F9">
              <w:rPr>
                <w:rFonts w:ascii="Cambria" w:hAnsi="Cambria"/>
                <w:bCs/>
              </w:rPr>
              <w:t>Industria: tratamiento de desechos, relación y participación con la comunidad.</w:t>
            </w:r>
          </w:p>
          <w:p w14:paraId="28B2DB92" w14:textId="77777777" w:rsidR="00346758" w:rsidRPr="005A03F9" w:rsidRDefault="00346758" w:rsidP="005A03F9">
            <w:pPr>
              <w:pStyle w:val="Prrafodelista"/>
              <w:numPr>
                <w:ilvl w:val="0"/>
                <w:numId w:val="6"/>
              </w:numPr>
              <w:ind w:left="22" w:firstLine="0"/>
              <w:contextualSpacing/>
              <w:jc w:val="both"/>
              <w:rPr>
                <w:rFonts w:ascii="Cambria" w:hAnsi="Cambria"/>
                <w:bCs/>
              </w:rPr>
            </w:pPr>
            <w:r w:rsidRPr="005A03F9">
              <w:rPr>
                <w:rFonts w:ascii="Cambria" w:hAnsi="Cambria"/>
                <w:bCs/>
              </w:rPr>
              <w:t>Agricultura: contaminación del agua y el aire por el uso de agroquímicos, la deforestación por la disponibilidad de terrenos para su uso, lo que implica una utilización desmedida del mismo.</w:t>
            </w:r>
          </w:p>
          <w:p w14:paraId="709E2E87" w14:textId="77777777" w:rsidR="00346758" w:rsidRPr="005A03F9" w:rsidRDefault="00346758" w:rsidP="005A03F9">
            <w:pPr>
              <w:pStyle w:val="Prrafodelista"/>
              <w:numPr>
                <w:ilvl w:val="0"/>
                <w:numId w:val="6"/>
              </w:numPr>
              <w:ind w:left="36" w:firstLine="0"/>
              <w:contextualSpacing/>
              <w:jc w:val="both"/>
              <w:rPr>
                <w:rFonts w:ascii="Cambria" w:hAnsi="Cambria"/>
                <w:bCs/>
              </w:rPr>
            </w:pPr>
            <w:r w:rsidRPr="005A03F9">
              <w:rPr>
                <w:rFonts w:ascii="Cambria" w:hAnsi="Cambria"/>
                <w:bCs/>
              </w:rPr>
              <w:t>Hotelería: la invasión de zonas donde existe hábitat establecido que es desplazado por la construcción de edificios y edificaciones.</w:t>
            </w:r>
          </w:p>
        </w:tc>
      </w:tr>
      <w:tr w:rsidR="00346758" w:rsidRPr="005A03F9" w14:paraId="51CEAD42" w14:textId="77777777" w:rsidTr="00DD47D9">
        <w:trPr>
          <w:trHeight w:val="375"/>
          <w:jc w:val="center"/>
        </w:trPr>
        <w:tc>
          <w:tcPr>
            <w:tcW w:w="1560" w:type="dxa"/>
            <w:vMerge/>
            <w:tcBorders>
              <w:left w:val="single" w:sz="4" w:space="0" w:color="auto"/>
              <w:right w:val="single" w:sz="4" w:space="0" w:color="auto"/>
            </w:tcBorders>
            <w:shd w:val="clear" w:color="auto" w:fill="auto"/>
          </w:tcPr>
          <w:p w14:paraId="6821B184" w14:textId="77777777" w:rsidR="00346758" w:rsidRPr="005A03F9" w:rsidRDefault="00346758" w:rsidP="005A03F9">
            <w:pPr>
              <w:spacing w:line="240" w:lineRule="auto"/>
              <w:ind w:left="142"/>
              <w:contextualSpacing/>
              <w:jc w:val="left"/>
              <w:rPr>
                <w:bCs/>
                <w:sz w:val="24"/>
              </w:rPr>
            </w:pP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6FA3FAEE" w14:textId="77777777" w:rsidR="00346758" w:rsidRPr="005A03F9" w:rsidRDefault="00346758" w:rsidP="005A03F9">
            <w:pPr>
              <w:spacing w:line="240" w:lineRule="auto"/>
              <w:ind w:left="36"/>
              <w:contextualSpacing/>
              <w:rPr>
                <w:bCs/>
                <w:sz w:val="24"/>
              </w:rPr>
            </w:pPr>
            <w:r w:rsidRPr="005A03F9">
              <w:rPr>
                <w:bCs/>
                <w:sz w:val="24"/>
              </w:rPr>
              <w:t>Contexto social:</w:t>
            </w:r>
          </w:p>
          <w:p w14:paraId="00DE5E79" w14:textId="77777777" w:rsidR="00346758" w:rsidRPr="005A03F9" w:rsidRDefault="00346758" w:rsidP="005A03F9">
            <w:pPr>
              <w:pStyle w:val="Prrafodelista"/>
              <w:numPr>
                <w:ilvl w:val="0"/>
                <w:numId w:val="6"/>
              </w:numPr>
              <w:ind w:left="36" w:firstLine="0"/>
              <w:contextualSpacing/>
              <w:jc w:val="both"/>
              <w:rPr>
                <w:rFonts w:ascii="Cambria" w:hAnsi="Cambria"/>
                <w:bCs/>
              </w:rPr>
            </w:pPr>
            <w:r w:rsidRPr="005A03F9">
              <w:rPr>
                <w:rFonts w:ascii="Cambria" w:hAnsi="Cambria"/>
                <w:bCs/>
              </w:rPr>
              <w:t>Industria: exposición de empleados a químicos tóxicos.</w:t>
            </w:r>
          </w:p>
          <w:p w14:paraId="6DDAEB8C" w14:textId="77777777" w:rsidR="00346758" w:rsidRPr="005A03F9" w:rsidRDefault="00346758" w:rsidP="005A03F9">
            <w:pPr>
              <w:pStyle w:val="Prrafodelista"/>
              <w:numPr>
                <w:ilvl w:val="0"/>
                <w:numId w:val="6"/>
              </w:numPr>
              <w:ind w:left="36" w:firstLine="0"/>
              <w:contextualSpacing/>
              <w:jc w:val="both"/>
              <w:rPr>
                <w:rFonts w:ascii="Cambria" w:hAnsi="Cambria"/>
                <w:bCs/>
              </w:rPr>
            </w:pPr>
            <w:r w:rsidRPr="005A03F9">
              <w:rPr>
                <w:rFonts w:ascii="Cambria" w:hAnsi="Cambria"/>
                <w:bCs/>
              </w:rPr>
              <w:t>Procesos de automatización con impacto en el nivel de desempleo (maquilas, etc.).</w:t>
            </w:r>
          </w:p>
          <w:p w14:paraId="028B3E6B" w14:textId="77777777" w:rsidR="00346758" w:rsidRPr="005A03F9" w:rsidRDefault="00346758" w:rsidP="005A03F9">
            <w:pPr>
              <w:pStyle w:val="Prrafodelista"/>
              <w:numPr>
                <w:ilvl w:val="0"/>
                <w:numId w:val="6"/>
              </w:numPr>
              <w:ind w:left="36" w:firstLine="0"/>
              <w:contextualSpacing/>
              <w:jc w:val="both"/>
              <w:rPr>
                <w:rFonts w:ascii="Cambria" w:hAnsi="Cambria"/>
                <w:bCs/>
              </w:rPr>
            </w:pPr>
            <w:r w:rsidRPr="005A03F9">
              <w:rPr>
                <w:rFonts w:ascii="Cambria" w:hAnsi="Cambria"/>
                <w:bCs/>
              </w:rPr>
              <w:t>Proyectos que implican el desalojo de zonas habitadas y de bajo nivel económico que promueven la precariedad, delincuencia (urbanización)</w:t>
            </w:r>
          </w:p>
          <w:p w14:paraId="32E644BF" w14:textId="77777777" w:rsidR="00346758" w:rsidRPr="005A03F9" w:rsidRDefault="00346758" w:rsidP="005A03F9">
            <w:pPr>
              <w:pStyle w:val="Prrafodelista"/>
              <w:numPr>
                <w:ilvl w:val="0"/>
                <w:numId w:val="6"/>
              </w:numPr>
              <w:ind w:left="36" w:firstLine="0"/>
              <w:contextualSpacing/>
              <w:jc w:val="both"/>
              <w:rPr>
                <w:rFonts w:ascii="Cambria" w:hAnsi="Cambria"/>
                <w:bCs/>
              </w:rPr>
            </w:pPr>
            <w:r w:rsidRPr="005A03F9">
              <w:rPr>
                <w:rFonts w:ascii="Cambria" w:hAnsi="Cambria"/>
                <w:bCs/>
              </w:rPr>
              <w:t>Actividades afectadas por posibles huelgas de grupos específicos que generen una menor demanda de los productos o servicios; o que afectan de manera recurrente la operativa del negocio, ejemplo: huelga de educadores, médicos, cierre de vías terrestres, etc.</w:t>
            </w:r>
          </w:p>
          <w:p w14:paraId="46E81DDE" w14:textId="77777777" w:rsidR="00346758" w:rsidRPr="005A03F9" w:rsidRDefault="00346758" w:rsidP="005A03F9">
            <w:pPr>
              <w:pStyle w:val="Default"/>
              <w:contextualSpacing/>
              <w:jc w:val="both"/>
              <w:rPr>
                <w:rFonts w:ascii="Cambria" w:hAnsi="Cambria" w:cs="Times New Roman"/>
                <w:bCs/>
              </w:rPr>
            </w:pPr>
          </w:p>
        </w:tc>
      </w:tr>
      <w:tr w:rsidR="00346758" w:rsidRPr="005A03F9" w14:paraId="2FEF22A9" w14:textId="77777777" w:rsidTr="00DD47D9">
        <w:trPr>
          <w:trHeight w:val="375"/>
          <w:jc w:val="center"/>
        </w:trPr>
        <w:tc>
          <w:tcPr>
            <w:tcW w:w="1560" w:type="dxa"/>
            <w:vMerge/>
            <w:tcBorders>
              <w:left w:val="single" w:sz="4" w:space="0" w:color="auto"/>
              <w:bottom w:val="single" w:sz="4" w:space="0" w:color="auto"/>
              <w:right w:val="single" w:sz="4" w:space="0" w:color="auto"/>
            </w:tcBorders>
            <w:shd w:val="clear" w:color="auto" w:fill="auto"/>
          </w:tcPr>
          <w:p w14:paraId="00D98E21" w14:textId="77777777" w:rsidR="00346758" w:rsidRPr="005A03F9" w:rsidRDefault="00346758" w:rsidP="005A03F9">
            <w:pPr>
              <w:spacing w:line="240" w:lineRule="auto"/>
              <w:ind w:left="142"/>
              <w:contextualSpacing/>
              <w:jc w:val="left"/>
              <w:rPr>
                <w:bCs/>
                <w:sz w:val="24"/>
              </w:rPr>
            </w:pP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352E309A" w14:textId="77777777" w:rsidR="00346758" w:rsidRPr="005A03F9" w:rsidRDefault="00346758" w:rsidP="005A03F9">
            <w:pPr>
              <w:spacing w:line="240" w:lineRule="auto"/>
              <w:ind w:left="36"/>
              <w:contextualSpacing/>
              <w:rPr>
                <w:bCs/>
                <w:sz w:val="24"/>
              </w:rPr>
            </w:pPr>
            <w:r w:rsidRPr="005A03F9">
              <w:rPr>
                <w:bCs/>
                <w:sz w:val="24"/>
              </w:rPr>
              <w:t>Contexto climático:</w:t>
            </w:r>
          </w:p>
          <w:p w14:paraId="480B48A8" w14:textId="77777777" w:rsidR="00346758" w:rsidRPr="005A03F9" w:rsidRDefault="00346758" w:rsidP="005A03F9">
            <w:pPr>
              <w:pStyle w:val="Prrafodelista"/>
              <w:numPr>
                <w:ilvl w:val="0"/>
                <w:numId w:val="6"/>
              </w:numPr>
              <w:ind w:left="36" w:firstLine="0"/>
              <w:contextualSpacing/>
              <w:jc w:val="both"/>
              <w:rPr>
                <w:rFonts w:ascii="Cambria" w:hAnsi="Cambria"/>
                <w:bCs/>
              </w:rPr>
            </w:pPr>
            <w:r w:rsidRPr="005A03F9">
              <w:rPr>
                <w:rFonts w:ascii="Cambria" w:hAnsi="Cambria"/>
                <w:bCs/>
              </w:rPr>
              <w:t>Agricultura: inundaciones y sequias frecuentes y con alto impacto.</w:t>
            </w:r>
          </w:p>
          <w:p w14:paraId="73EF29A9" w14:textId="77777777" w:rsidR="00346758" w:rsidRPr="005A03F9" w:rsidRDefault="00346758" w:rsidP="005A03F9">
            <w:pPr>
              <w:pStyle w:val="Prrafodelista"/>
              <w:numPr>
                <w:ilvl w:val="0"/>
                <w:numId w:val="6"/>
              </w:numPr>
              <w:ind w:left="36" w:firstLine="0"/>
              <w:contextualSpacing/>
              <w:jc w:val="both"/>
              <w:rPr>
                <w:rFonts w:ascii="Cambria" w:hAnsi="Cambria"/>
                <w:bCs/>
              </w:rPr>
            </w:pPr>
            <w:r w:rsidRPr="005A03F9">
              <w:rPr>
                <w:rFonts w:ascii="Cambria" w:hAnsi="Cambria"/>
                <w:bCs/>
              </w:rPr>
              <w:t>Agricultura: surgimiento de plagas que afectan los cultivos, sea por estaciones climáticas muy marcadas que las promueven o bien por el simple surgimiento de estas.</w:t>
            </w:r>
          </w:p>
          <w:p w14:paraId="391E2BA3" w14:textId="77777777" w:rsidR="00346758" w:rsidRPr="005A03F9" w:rsidRDefault="00346758" w:rsidP="005A03F9">
            <w:pPr>
              <w:pStyle w:val="Prrafodelista"/>
              <w:numPr>
                <w:ilvl w:val="0"/>
                <w:numId w:val="6"/>
              </w:numPr>
              <w:ind w:left="36" w:firstLine="0"/>
              <w:contextualSpacing/>
              <w:jc w:val="both"/>
              <w:rPr>
                <w:rFonts w:ascii="Cambria" w:hAnsi="Cambria"/>
                <w:bCs/>
              </w:rPr>
            </w:pPr>
            <w:r w:rsidRPr="005A03F9">
              <w:rPr>
                <w:rFonts w:ascii="Cambria" w:hAnsi="Cambria"/>
                <w:bCs/>
              </w:rPr>
              <w:t>Transportes: sin alineamiento con las metas país para la transición a una economía baja en carbono.</w:t>
            </w:r>
          </w:p>
          <w:p w14:paraId="557CCDC7" w14:textId="77777777" w:rsidR="00346758" w:rsidRPr="005A03F9" w:rsidRDefault="00346758" w:rsidP="005A03F9">
            <w:pPr>
              <w:pStyle w:val="Prrafodelista"/>
              <w:numPr>
                <w:ilvl w:val="0"/>
                <w:numId w:val="6"/>
              </w:numPr>
              <w:ind w:left="36" w:firstLine="0"/>
              <w:contextualSpacing/>
              <w:jc w:val="both"/>
              <w:rPr>
                <w:rFonts w:ascii="Cambria" w:hAnsi="Cambria"/>
                <w:bCs/>
              </w:rPr>
            </w:pPr>
            <w:r w:rsidRPr="005A03F9">
              <w:rPr>
                <w:rFonts w:ascii="Cambria" w:hAnsi="Cambria"/>
                <w:bCs/>
              </w:rPr>
              <w:t>Construcción: desarrollo de estructuras con impacto ambiental o que aumentan la huella carbono.</w:t>
            </w:r>
          </w:p>
        </w:tc>
      </w:tr>
      <w:tr w:rsidR="00346758" w:rsidRPr="005A03F9" w14:paraId="610B2E92" w14:textId="77777777" w:rsidTr="00DD47D9">
        <w:trPr>
          <w:trHeight w:val="375"/>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117F4C" w14:textId="77777777" w:rsidR="00346758" w:rsidRPr="005A03F9" w:rsidRDefault="00346758" w:rsidP="005A03F9">
            <w:pPr>
              <w:spacing w:line="240" w:lineRule="auto"/>
              <w:contextualSpacing/>
              <w:jc w:val="left"/>
              <w:rPr>
                <w:bCs/>
                <w:sz w:val="24"/>
              </w:rPr>
            </w:pPr>
            <w:r w:rsidRPr="005A03F9">
              <w:rPr>
                <w:bCs/>
                <w:sz w:val="24"/>
              </w:rPr>
              <w:t xml:space="preserve">Deudor (sensibilidad </w:t>
            </w:r>
            <w:r w:rsidRPr="005A03F9">
              <w:rPr>
                <w:bCs/>
                <w:sz w:val="24"/>
              </w:rPr>
              <w:lastRenderedPageBreak/>
              <w:t>del flujo de efectivo)</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2E4D282E" w14:textId="77777777" w:rsidR="00346758" w:rsidRPr="005A03F9" w:rsidRDefault="00346758" w:rsidP="005A03F9">
            <w:pPr>
              <w:spacing w:line="240" w:lineRule="auto"/>
              <w:ind w:left="36"/>
              <w:contextualSpacing/>
              <w:rPr>
                <w:bCs/>
                <w:sz w:val="24"/>
              </w:rPr>
            </w:pPr>
            <w:r w:rsidRPr="005A03F9">
              <w:rPr>
                <w:bCs/>
                <w:sz w:val="24"/>
              </w:rPr>
              <w:lastRenderedPageBreak/>
              <w:t xml:space="preserve">Compromiso y capacidad del deudor para gestionar los impactos y riesgos ambientales y sociales: Antecedentes de suspensión de obras por incumplimiento de permisos, licencias y requerimientos legales </w:t>
            </w:r>
            <w:r w:rsidRPr="005A03F9">
              <w:rPr>
                <w:bCs/>
                <w:sz w:val="24"/>
              </w:rPr>
              <w:lastRenderedPageBreak/>
              <w:t>establecidos por el Estado. Demandas de empleados con resultado desfavorable para el deudor.</w:t>
            </w:r>
          </w:p>
        </w:tc>
      </w:tr>
      <w:tr w:rsidR="00346758" w:rsidRPr="005A03F9" w14:paraId="2D568378" w14:textId="77777777" w:rsidTr="00DD47D9">
        <w:trPr>
          <w:trHeight w:val="375"/>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068A48" w14:textId="77777777" w:rsidR="00346758" w:rsidRPr="005A03F9" w:rsidRDefault="00346758" w:rsidP="005A03F9">
            <w:pPr>
              <w:spacing w:line="240" w:lineRule="auto"/>
              <w:contextualSpacing/>
              <w:jc w:val="left"/>
              <w:rPr>
                <w:bCs/>
                <w:sz w:val="24"/>
              </w:rPr>
            </w:pPr>
            <w:r w:rsidRPr="005A03F9">
              <w:rPr>
                <w:bCs/>
                <w:sz w:val="24"/>
              </w:rPr>
              <w:lastRenderedPageBreak/>
              <w:t>Operación crediticia (valor de la garantía colateral)</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66F3AD91" w14:textId="77777777" w:rsidR="00346758" w:rsidRPr="005A03F9" w:rsidRDefault="00346758" w:rsidP="005A03F9">
            <w:pPr>
              <w:spacing w:line="240" w:lineRule="auto"/>
              <w:ind w:left="36"/>
              <w:contextualSpacing/>
              <w:rPr>
                <w:bCs/>
                <w:sz w:val="24"/>
              </w:rPr>
            </w:pPr>
            <w:r w:rsidRPr="005A03F9">
              <w:rPr>
                <w:bCs/>
                <w:sz w:val="24"/>
              </w:rPr>
              <w:t>Ubicación geográfica: Bien inmueble que alberga la planta de procesamiento expuesto a deterioro por riesgos de deslaves o inundación. El surgimiento de asentamientos o precarios cerca de la ubicación de la garantía que afecten de forma directa en su valor de mercado.</w:t>
            </w:r>
          </w:p>
        </w:tc>
      </w:tr>
    </w:tbl>
    <w:p w14:paraId="491CCF1C" w14:textId="77777777" w:rsidR="005A03F9" w:rsidRDefault="005A03F9" w:rsidP="005A03F9">
      <w:pPr>
        <w:widowControl w:val="0"/>
        <w:spacing w:after="240" w:line="240" w:lineRule="auto"/>
        <w:ind w:left="567" w:right="618"/>
        <w:contextualSpacing/>
        <w:rPr>
          <w:b/>
          <w:bCs/>
          <w:i/>
          <w:iCs/>
          <w:sz w:val="24"/>
          <w:u w:val="single"/>
        </w:rPr>
      </w:pPr>
    </w:p>
    <w:p w14:paraId="78904ABC" w14:textId="170C2CBB" w:rsidR="00346758" w:rsidRPr="005A03F9" w:rsidRDefault="00346758" w:rsidP="005A03F9">
      <w:pPr>
        <w:widowControl w:val="0"/>
        <w:spacing w:after="240" w:line="240" w:lineRule="auto"/>
        <w:ind w:left="567" w:right="618"/>
        <w:contextualSpacing/>
        <w:rPr>
          <w:b/>
          <w:bCs/>
          <w:i/>
          <w:iCs/>
          <w:sz w:val="24"/>
          <w:u w:val="single"/>
        </w:rPr>
      </w:pPr>
      <w:r w:rsidRPr="005A03F9">
        <w:rPr>
          <w:b/>
          <w:bCs/>
          <w:i/>
          <w:iCs/>
          <w:sz w:val="24"/>
          <w:u w:val="single"/>
        </w:rPr>
        <w:t>PASO 2: Definición de criterios de valoración de los factores de riesgo</w:t>
      </w:r>
    </w:p>
    <w:p w14:paraId="52901252" w14:textId="71424274" w:rsidR="00346758" w:rsidRDefault="00346758" w:rsidP="005A03F9">
      <w:pPr>
        <w:widowControl w:val="0"/>
        <w:spacing w:after="240" w:line="240" w:lineRule="auto"/>
        <w:ind w:left="567" w:right="618"/>
        <w:contextualSpacing/>
        <w:rPr>
          <w:i/>
          <w:iCs/>
          <w:sz w:val="24"/>
        </w:rPr>
      </w:pPr>
      <w:r w:rsidRPr="005A03F9">
        <w:rPr>
          <w:i/>
          <w:iCs/>
          <w:sz w:val="24"/>
        </w:rPr>
        <w:t>La entidad debe realizar una valoración integral de los factores de riesgo identificados en el Paso 1, considerando al menos las dimensiones de “Potencialidad” e “Impacto”, según se desarrolla a continuación:</w:t>
      </w:r>
    </w:p>
    <w:p w14:paraId="15FC61D1" w14:textId="77777777" w:rsidR="005A03F9" w:rsidRPr="005A03F9" w:rsidRDefault="005A03F9" w:rsidP="005A03F9">
      <w:pPr>
        <w:widowControl w:val="0"/>
        <w:spacing w:after="240" w:line="240" w:lineRule="auto"/>
        <w:ind w:left="567" w:right="618"/>
        <w:contextualSpacing/>
        <w:rPr>
          <w:i/>
          <w:iCs/>
          <w:sz w:val="24"/>
        </w:rPr>
      </w:pPr>
    </w:p>
    <w:p w14:paraId="7C1BAFB9" w14:textId="77777777" w:rsidR="00346758" w:rsidRPr="005A03F9" w:rsidRDefault="00346758" w:rsidP="005A03F9">
      <w:pPr>
        <w:widowControl w:val="0"/>
        <w:spacing w:after="240" w:line="240" w:lineRule="auto"/>
        <w:ind w:left="1134" w:right="618" w:hanging="567"/>
        <w:contextualSpacing/>
        <w:rPr>
          <w:b/>
          <w:bCs/>
          <w:i/>
          <w:iCs/>
          <w:sz w:val="24"/>
        </w:rPr>
      </w:pPr>
      <w:r w:rsidRPr="005A03F9">
        <w:rPr>
          <w:b/>
          <w:bCs/>
          <w:i/>
          <w:iCs/>
          <w:sz w:val="24"/>
        </w:rPr>
        <w:t>i)</w:t>
      </w:r>
      <w:r w:rsidRPr="005A03F9">
        <w:rPr>
          <w:b/>
          <w:bCs/>
          <w:i/>
          <w:iCs/>
          <w:sz w:val="24"/>
        </w:rPr>
        <w:tab/>
        <w:t>Potencialidad</w:t>
      </w:r>
    </w:p>
    <w:p w14:paraId="4D31478A" w14:textId="0E414434" w:rsidR="00346758" w:rsidRDefault="00346758" w:rsidP="005A03F9">
      <w:pPr>
        <w:widowControl w:val="0"/>
        <w:spacing w:after="240" w:line="240" w:lineRule="auto"/>
        <w:ind w:left="567" w:right="618"/>
        <w:contextualSpacing/>
        <w:rPr>
          <w:i/>
          <w:iCs/>
          <w:sz w:val="24"/>
        </w:rPr>
      </w:pPr>
      <w:r w:rsidRPr="005A03F9">
        <w:rPr>
          <w:i/>
          <w:iCs/>
          <w:sz w:val="24"/>
        </w:rPr>
        <w:t>La potencialidad está referida al grado de exposición integral a factores de riesgo ambientales y sociales.</w:t>
      </w:r>
    </w:p>
    <w:p w14:paraId="78E237FC" w14:textId="77777777" w:rsidR="005A03F9" w:rsidRPr="005A03F9" w:rsidRDefault="005A03F9" w:rsidP="005A03F9">
      <w:pPr>
        <w:widowControl w:val="0"/>
        <w:spacing w:after="240" w:line="240" w:lineRule="auto"/>
        <w:ind w:left="567" w:right="618"/>
        <w:contextualSpacing/>
        <w:rPr>
          <w:i/>
          <w:iCs/>
          <w:sz w:val="24"/>
        </w:rPr>
      </w:pPr>
    </w:p>
    <w:p w14:paraId="7692525F" w14:textId="198AA820" w:rsidR="00346758" w:rsidRDefault="00346758" w:rsidP="005A03F9">
      <w:pPr>
        <w:widowControl w:val="0"/>
        <w:spacing w:after="240" w:line="240" w:lineRule="auto"/>
        <w:ind w:left="567" w:right="618"/>
        <w:contextualSpacing/>
        <w:rPr>
          <w:i/>
          <w:iCs/>
          <w:sz w:val="24"/>
        </w:rPr>
      </w:pPr>
      <w:r w:rsidRPr="005A03F9">
        <w:rPr>
          <w:i/>
          <w:iCs/>
          <w:sz w:val="24"/>
        </w:rPr>
        <w:t>La potencialidad debe estar referida a una dimensión temporal, en cuyo caso corresponderá al plazo de la operación crediticia.</w:t>
      </w:r>
    </w:p>
    <w:p w14:paraId="7760848D" w14:textId="77777777" w:rsidR="005A03F9" w:rsidRPr="005A03F9" w:rsidRDefault="005A03F9" w:rsidP="005A03F9">
      <w:pPr>
        <w:widowControl w:val="0"/>
        <w:spacing w:after="240" w:line="240" w:lineRule="auto"/>
        <w:ind w:left="567" w:right="618"/>
        <w:contextualSpacing/>
        <w:rPr>
          <w:i/>
          <w:iCs/>
          <w:sz w:val="24"/>
        </w:rPr>
      </w:pPr>
    </w:p>
    <w:p w14:paraId="666EED29" w14:textId="4CCA0684" w:rsidR="00346758" w:rsidRDefault="00346758" w:rsidP="005A03F9">
      <w:pPr>
        <w:widowControl w:val="0"/>
        <w:spacing w:after="240" w:line="240" w:lineRule="auto"/>
        <w:ind w:left="567" w:right="618"/>
        <w:contextualSpacing/>
        <w:rPr>
          <w:i/>
          <w:iCs/>
          <w:sz w:val="24"/>
        </w:rPr>
      </w:pPr>
      <w:r w:rsidRPr="005A03F9">
        <w:rPr>
          <w:i/>
          <w:iCs/>
          <w:sz w:val="24"/>
        </w:rPr>
        <w:t>Esta dimensión debe contar con al menos tres niveles de potencialidad (Alta, Media, Baja). Para los efectos de esta regulación, se sugiere que los niveles de potencialidad sean determinados con base en el criterio experto de la entidad, los cuales deberán estar claramente definidos y desarrollados en la Metodología estándar para la evaluación de riesgo ambiental y social en la cartera de créditos.</w:t>
      </w:r>
    </w:p>
    <w:p w14:paraId="7D68C200" w14:textId="77777777" w:rsidR="005A03F9" w:rsidRPr="005A03F9" w:rsidRDefault="005A03F9" w:rsidP="005A03F9">
      <w:pPr>
        <w:widowControl w:val="0"/>
        <w:spacing w:after="240" w:line="240" w:lineRule="auto"/>
        <w:ind w:left="567" w:right="618"/>
        <w:contextualSpacing/>
        <w:rPr>
          <w:i/>
          <w:iCs/>
          <w:sz w:val="24"/>
        </w:rPr>
      </w:pPr>
    </w:p>
    <w:p w14:paraId="488D3867" w14:textId="3BB89C87" w:rsidR="00346758" w:rsidRPr="005A03F9" w:rsidRDefault="00346758" w:rsidP="005A03F9">
      <w:pPr>
        <w:widowControl w:val="0"/>
        <w:spacing w:after="240" w:line="240" w:lineRule="auto"/>
        <w:ind w:left="567" w:right="618"/>
        <w:contextualSpacing/>
        <w:rPr>
          <w:i/>
          <w:iCs/>
          <w:sz w:val="24"/>
        </w:rPr>
      </w:pPr>
      <w:r w:rsidRPr="005A03F9">
        <w:rPr>
          <w:i/>
          <w:iCs/>
          <w:sz w:val="24"/>
        </w:rPr>
        <w:t>En las primera y segunda columnas de la Tabla No. 2 se incluye la definición de la dimensión “Potencialidad”, así como para los tres niveles de probabilidad. Con fines ilustrativos, en la tercera columna se indican ejemplos de aspectos a considerar en la valoración de esta dimensión.</w:t>
      </w:r>
    </w:p>
    <w:p w14:paraId="3459B186" w14:textId="36E78837" w:rsidR="00EA5E9A" w:rsidRDefault="00EA5E9A" w:rsidP="005A03F9">
      <w:pPr>
        <w:widowControl w:val="0"/>
        <w:spacing w:after="240" w:line="240" w:lineRule="auto"/>
        <w:ind w:left="567" w:right="618"/>
        <w:contextualSpacing/>
        <w:rPr>
          <w:i/>
          <w:iCs/>
          <w:sz w:val="24"/>
        </w:rPr>
      </w:pPr>
    </w:p>
    <w:p w14:paraId="6B617687" w14:textId="150CFD00" w:rsidR="005A03F9" w:rsidRDefault="005A03F9" w:rsidP="005A03F9">
      <w:pPr>
        <w:widowControl w:val="0"/>
        <w:spacing w:after="240" w:line="240" w:lineRule="auto"/>
        <w:ind w:left="567" w:right="618"/>
        <w:contextualSpacing/>
        <w:rPr>
          <w:i/>
          <w:iCs/>
          <w:sz w:val="24"/>
        </w:rPr>
      </w:pPr>
    </w:p>
    <w:p w14:paraId="2E52A877" w14:textId="3415B14D" w:rsidR="005A03F9" w:rsidRDefault="005A03F9" w:rsidP="005A03F9">
      <w:pPr>
        <w:widowControl w:val="0"/>
        <w:spacing w:after="240" w:line="240" w:lineRule="auto"/>
        <w:ind w:left="567" w:right="618"/>
        <w:contextualSpacing/>
        <w:rPr>
          <w:i/>
          <w:iCs/>
          <w:sz w:val="24"/>
        </w:rPr>
      </w:pPr>
    </w:p>
    <w:p w14:paraId="3F3FA92B" w14:textId="0849BA6E" w:rsidR="005A03F9" w:rsidRDefault="005A03F9" w:rsidP="005A03F9">
      <w:pPr>
        <w:widowControl w:val="0"/>
        <w:spacing w:after="240" w:line="240" w:lineRule="auto"/>
        <w:ind w:left="567" w:right="618"/>
        <w:contextualSpacing/>
        <w:rPr>
          <w:i/>
          <w:iCs/>
          <w:sz w:val="24"/>
        </w:rPr>
      </w:pPr>
    </w:p>
    <w:p w14:paraId="0F81BF58" w14:textId="7F963AFA" w:rsidR="005A03F9" w:rsidRDefault="005A03F9" w:rsidP="005A03F9">
      <w:pPr>
        <w:widowControl w:val="0"/>
        <w:spacing w:after="240" w:line="240" w:lineRule="auto"/>
        <w:ind w:left="567" w:right="618"/>
        <w:contextualSpacing/>
        <w:rPr>
          <w:i/>
          <w:iCs/>
          <w:sz w:val="24"/>
        </w:rPr>
      </w:pPr>
    </w:p>
    <w:p w14:paraId="416188DF" w14:textId="55CCBD2F" w:rsidR="005A03F9" w:rsidRDefault="005A03F9" w:rsidP="005A03F9">
      <w:pPr>
        <w:widowControl w:val="0"/>
        <w:spacing w:after="240" w:line="240" w:lineRule="auto"/>
        <w:ind w:left="567" w:right="618"/>
        <w:contextualSpacing/>
        <w:rPr>
          <w:i/>
          <w:iCs/>
          <w:sz w:val="24"/>
        </w:rPr>
      </w:pPr>
    </w:p>
    <w:p w14:paraId="2A829CAD" w14:textId="6FC16233" w:rsidR="005A03F9" w:rsidRDefault="005A03F9" w:rsidP="005A03F9">
      <w:pPr>
        <w:widowControl w:val="0"/>
        <w:spacing w:after="240" w:line="240" w:lineRule="auto"/>
        <w:ind w:left="567" w:right="618"/>
        <w:contextualSpacing/>
        <w:rPr>
          <w:i/>
          <w:iCs/>
          <w:sz w:val="24"/>
        </w:rPr>
      </w:pPr>
    </w:p>
    <w:p w14:paraId="68E1380F" w14:textId="23308944" w:rsidR="005A03F9" w:rsidRDefault="005A03F9" w:rsidP="005A03F9">
      <w:pPr>
        <w:widowControl w:val="0"/>
        <w:spacing w:after="240" w:line="240" w:lineRule="auto"/>
        <w:ind w:left="567" w:right="618"/>
        <w:contextualSpacing/>
        <w:rPr>
          <w:i/>
          <w:iCs/>
          <w:sz w:val="24"/>
        </w:rPr>
      </w:pPr>
    </w:p>
    <w:p w14:paraId="180ECC2C" w14:textId="0ABB7EFE" w:rsidR="005A03F9" w:rsidRDefault="005A03F9" w:rsidP="005A03F9">
      <w:pPr>
        <w:widowControl w:val="0"/>
        <w:spacing w:after="240" w:line="240" w:lineRule="auto"/>
        <w:ind w:left="567" w:right="618"/>
        <w:contextualSpacing/>
        <w:rPr>
          <w:i/>
          <w:iCs/>
          <w:sz w:val="24"/>
        </w:rPr>
      </w:pPr>
    </w:p>
    <w:p w14:paraId="560382EE" w14:textId="5FC2C830" w:rsidR="005A03F9" w:rsidRDefault="005A03F9" w:rsidP="005A03F9">
      <w:pPr>
        <w:widowControl w:val="0"/>
        <w:spacing w:after="240" w:line="240" w:lineRule="auto"/>
        <w:ind w:left="567" w:right="618"/>
        <w:contextualSpacing/>
        <w:rPr>
          <w:i/>
          <w:iCs/>
          <w:sz w:val="24"/>
        </w:rPr>
      </w:pPr>
    </w:p>
    <w:p w14:paraId="4E86D093" w14:textId="24FC69E6" w:rsidR="005A03F9" w:rsidRDefault="005A03F9" w:rsidP="005A03F9">
      <w:pPr>
        <w:widowControl w:val="0"/>
        <w:spacing w:after="240" w:line="240" w:lineRule="auto"/>
        <w:ind w:left="567" w:right="618"/>
        <w:contextualSpacing/>
        <w:rPr>
          <w:i/>
          <w:iCs/>
          <w:sz w:val="24"/>
        </w:rPr>
      </w:pPr>
    </w:p>
    <w:p w14:paraId="027775E0" w14:textId="77777777" w:rsidR="005A03F9" w:rsidRPr="005A03F9" w:rsidRDefault="005A03F9" w:rsidP="005A03F9">
      <w:pPr>
        <w:widowControl w:val="0"/>
        <w:spacing w:after="240" w:line="240" w:lineRule="auto"/>
        <w:ind w:left="567" w:right="618"/>
        <w:contextualSpacing/>
        <w:rPr>
          <w:i/>
          <w:iCs/>
          <w:sz w:val="24"/>
        </w:rPr>
      </w:pPr>
    </w:p>
    <w:p w14:paraId="6CB9A095" w14:textId="77777777" w:rsidR="00346758" w:rsidRPr="005A03F9" w:rsidRDefault="00346758" w:rsidP="005A03F9">
      <w:pPr>
        <w:pStyle w:val="Prrafodelista"/>
        <w:ind w:left="567"/>
        <w:contextualSpacing/>
        <w:rPr>
          <w:rFonts w:ascii="Cambria" w:hAnsi="Cambria"/>
          <w:bCs/>
        </w:rPr>
      </w:pPr>
      <w:r w:rsidRPr="005A03F9">
        <w:rPr>
          <w:rFonts w:ascii="Cambria" w:hAnsi="Cambria"/>
          <w:bCs/>
        </w:rPr>
        <w:lastRenderedPageBreak/>
        <w:t>Tabla No. 2</w:t>
      </w:r>
    </w:p>
    <w:p w14:paraId="285253D0" w14:textId="77777777" w:rsidR="00346758" w:rsidRPr="005A03F9" w:rsidRDefault="00346758" w:rsidP="005A03F9">
      <w:pPr>
        <w:pStyle w:val="Prrafodelista"/>
        <w:ind w:left="567"/>
        <w:contextualSpacing/>
        <w:rPr>
          <w:rFonts w:ascii="Cambria" w:hAnsi="Cambria"/>
          <w:b/>
        </w:rPr>
      </w:pPr>
      <w:r w:rsidRPr="005A03F9">
        <w:rPr>
          <w:rFonts w:ascii="Cambria" w:hAnsi="Cambria"/>
          <w:b/>
        </w:rPr>
        <w:t>Dimensión: Potencialidad</w:t>
      </w:r>
    </w:p>
    <w:p w14:paraId="79662AC0" w14:textId="77777777" w:rsidR="00346758" w:rsidRPr="005A03F9" w:rsidRDefault="00346758" w:rsidP="005A03F9">
      <w:pPr>
        <w:pStyle w:val="Prrafodelista"/>
        <w:ind w:left="567"/>
        <w:contextualSpacing/>
        <w:jc w:val="both"/>
        <w:rPr>
          <w:rFonts w:ascii="Cambria" w:hAnsi="Cambria"/>
          <w:bCs/>
        </w:rPr>
      </w:pPr>
    </w:p>
    <w:tbl>
      <w:tblPr>
        <w:tblW w:w="8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2693"/>
        <w:gridCol w:w="3828"/>
      </w:tblGrid>
      <w:tr w:rsidR="00346758" w:rsidRPr="005A03F9" w14:paraId="2F297DAC" w14:textId="77777777" w:rsidTr="0098089E">
        <w:trPr>
          <w:jc w:val="center"/>
        </w:trPr>
        <w:tc>
          <w:tcPr>
            <w:tcW w:w="1854" w:type="dxa"/>
            <w:shd w:val="clear" w:color="auto" w:fill="D9D9D9"/>
            <w:vAlign w:val="center"/>
          </w:tcPr>
          <w:p w14:paraId="5F82FFEF" w14:textId="77777777" w:rsidR="00346758" w:rsidRPr="005A03F9" w:rsidRDefault="00346758" w:rsidP="005A03F9">
            <w:pPr>
              <w:spacing w:line="240" w:lineRule="auto"/>
              <w:contextualSpacing/>
              <w:rPr>
                <w:b/>
                <w:sz w:val="24"/>
              </w:rPr>
            </w:pPr>
            <w:r w:rsidRPr="005A03F9">
              <w:rPr>
                <w:b/>
                <w:sz w:val="24"/>
              </w:rPr>
              <w:t>Definición</w:t>
            </w:r>
          </w:p>
        </w:tc>
        <w:tc>
          <w:tcPr>
            <w:tcW w:w="2693" w:type="dxa"/>
            <w:shd w:val="clear" w:color="auto" w:fill="D9D9D9"/>
            <w:vAlign w:val="center"/>
          </w:tcPr>
          <w:p w14:paraId="3FA15B27" w14:textId="77777777" w:rsidR="00346758" w:rsidRPr="005A03F9" w:rsidRDefault="00346758" w:rsidP="005A03F9">
            <w:pPr>
              <w:spacing w:line="240" w:lineRule="auto"/>
              <w:contextualSpacing/>
              <w:rPr>
                <w:b/>
                <w:sz w:val="24"/>
              </w:rPr>
            </w:pPr>
            <w:r w:rsidRPr="005A03F9">
              <w:rPr>
                <w:b/>
                <w:sz w:val="24"/>
              </w:rPr>
              <w:t>Niveles</w:t>
            </w:r>
          </w:p>
        </w:tc>
        <w:tc>
          <w:tcPr>
            <w:tcW w:w="3828" w:type="dxa"/>
            <w:shd w:val="clear" w:color="auto" w:fill="D9D9D9"/>
            <w:vAlign w:val="center"/>
          </w:tcPr>
          <w:p w14:paraId="2C32AD27" w14:textId="77777777" w:rsidR="00346758" w:rsidRPr="005A03F9" w:rsidRDefault="00346758" w:rsidP="005A03F9">
            <w:pPr>
              <w:spacing w:line="240" w:lineRule="auto"/>
              <w:contextualSpacing/>
              <w:rPr>
                <w:b/>
                <w:sz w:val="24"/>
              </w:rPr>
            </w:pPr>
            <w:r w:rsidRPr="005A03F9">
              <w:rPr>
                <w:b/>
                <w:sz w:val="24"/>
              </w:rPr>
              <w:t>Ejemplo de aspectos para valoración:</w:t>
            </w:r>
          </w:p>
        </w:tc>
      </w:tr>
      <w:tr w:rsidR="00346758" w:rsidRPr="005A03F9" w14:paraId="738D376B" w14:textId="77777777" w:rsidTr="0098089E">
        <w:trPr>
          <w:jc w:val="center"/>
        </w:trPr>
        <w:tc>
          <w:tcPr>
            <w:tcW w:w="1854" w:type="dxa"/>
            <w:shd w:val="clear" w:color="auto" w:fill="auto"/>
            <w:vAlign w:val="center"/>
          </w:tcPr>
          <w:p w14:paraId="65C6F46B" w14:textId="77777777" w:rsidR="00346758" w:rsidRPr="005A03F9" w:rsidRDefault="00346758" w:rsidP="005A03F9">
            <w:pPr>
              <w:spacing w:line="240" w:lineRule="auto"/>
              <w:ind w:right="-30"/>
              <w:contextualSpacing/>
              <w:rPr>
                <w:bCs/>
                <w:sz w:val="24"/>
              </w:rPr>
            </w:pPr>
            <w:r w:rsidRPr="005A03F9">
              <w:rPr>
                <w:bCs/>
                <w:sz w:val="24"/>
              </w:rPr>
              <w:t>Potencialidad de que la actividad o proyecto objeto de financiamiento, se vean impactados por factores de riesgo ambientales y sociales.</w:t>
            </w:r>
          </w:p>
        </w:tc>
        <w:tc>
          <w:tcPr>
            <w:tcW w:w="2693" w:type="dxa"/>
            <w:shd w:val="clear" w:color="auto" w:fill="auto"/>
          </w:tcPr>
          <w:p w14:paraId="1C9B8AE9" w14:textId="77777777" w:rsidR="00346758" w:rsidRPr="005A03F9" w:rsidRDefault="00346758" w:rsidP="005A03F9">
            <w:pPr>
              <w:spacing w:line="240" w:lineRule="auto"/>
              <w:contextualSpacing/>
              <w:rPr>
                <w:bCs/>
                <w:sz w:val="24"/>
              </w:rPr>
            </w:pPr>
            <w:r w:rsidRPr="005A03F9">
              <w:rPr>
                <w:bCs/>
                <w:sz w:val="24"/>
              </w:rPr>
              <w:t>Alta: existe potencialidad alta de que, a criterio de la entidad, la actividad o proyecto, se vean impactados por factores de riesgo ambientales y sociales.</w:t>
            </w:r>
          </w:p>
          <w:p w14:paraId="162CBE8D" w14:textId="77777777" w:rsidR="00346758" w:rsidRPr="005A03F9" w:rsidRDefault="00346758" w:rsidP="005A03F9">
            <w:pPr>
              <w:spacing w:line="240" w:lineRule="auto"/>
              <w:contextualSpacing/>
              <w:rPr>
                <w:bCs/>
                <w:sz w:val="24"/>
              </w:rPr>
            </w:pPr>
          </w:p>
          <w:p w14:paraId="4D96D9A6" w14:textId="77777777" w:rsidR="00346758" w:rsidRPr="005A03F9" w:rsidRDefault="00346758" w:rsidP="005A03F9">
            <w:pPr>
              <w:spacing w:line="240" w:lineRule="auto"/>
              <w:contextualSpacing/>
              <w:rPr>
                <w:bCs/>
                <w:sz w:val="24"/>
              </w:rPr>
            </w:pPr>
            <w:r w:rsidRPr="005A03F9">
              <w:rPr>
                <w:bCs/>
                <w:sz w:val="24"/>
              </w:rPr>
              <w:t>Media: existe potencialidad media de que, a criterio de la entidad, la actividad o proyecto, se vean impactados por factores de riesgo ambientales y sociales.</w:t>
            </w:r>
          </w:p>
          <w:p w14:paraId="2F289883" w14:textId="77777777" w:rsidR="00346758" w:rsidRPr="005A03F9" w:rsidRDefault="00346758" w:rsidP="005A03F9">
            <w:pPr>
              <w:spacing w:line="240" w:lineRule="auto"/>
              <w:contextualSpacing/>
              <w:rPr>
                <w:bCs/>
                <w:sz w:val="24"/>
              </w:rPr>
            </w:pPr>
          </w:p>
          <w:p w14:paraId="436F9FF3" w14:textId="77777777" w:rsidR="00346758" w:rsidRPr="005A03F9" w:rsidRDefault="00346758" w:rsidP="005A03F9">
            <w:pPr>
              <w:spacing w:line="240" w:lineRule="auto"/>
              <w:contextualSpacing/>
              <w:rPr>
                <w:bCs/>
                <w:sz w:val="24"/>
              </w:rPr>
            </w:pPr>
            <w:r w:rsidRPr="005A03F9">
              <w:rPr>
                <w:bCs/>
                <w:sz w:val="24"/>
              </w:rPr>
              <w:t>Baja: existe potencialidad baja o inexistente de que, a criterio de la entidad, la actividad o proyecto, se vean impactados por factores de riesgo ambientales y sociales.</w:t>
            </w:r>
          </w:p>
        </w:tc>
        <w:tc>
          <w:tcPr>
            <w:tcW w:w="3828" w:type="dxa"/>
            <w:shd w:val="clear" w:color="auto" w:fill="auto"/>
          </w:tcPr>
          <w:p w14:paraId="2C57F642" w14:textId="77777777" w:rsidR="00346758" w:rsidRPr="005A03F9" w:rsidRDefault="00346758" w:rsidP="005A03F9">
            <w:pPr>
              <w:pStyle w:val="Prrafodelista"/>
              <w:numPr>
                <w:ilvl w:val="0"/>
                <w:numId w:val="7"/>
              </w:numPr>
              <w:contextualSpacing/>
              <w:jc w:val="both"/>
              <w:rPr>
                <w:rFonts w:ascii="Cambria" w:hAnsi="Cambria"/>
                <w:bCs/>
              </w:rPr>
            </w:pPr>
            <w:r w:rsidRPr="005A03F9">
              <w:rPr>
                <w:rFonts w:ascii="Cambria" w:hAnsi="Cambria"/>
                <w:bCs/>
              </w:rPr>
              <w:t>La naturaleza particular de la actividad del deudor, el plan de inversión o el proyecto objeto de financiamiento.</w:t>
            </w:r>
          </w:p>
          <w:p w14:paraId="458F18AB" w14:textId="77777777" w:rsidR="00346758" w:rsidRPr="005A03F9" w:rsidRDefault="00346758" w:rsidP="005A03F9">
            <w:pPr>
              <w:pStyle w:val="Prrafodelista"/>
              <w:numPr>
                <w:ilvl w:val="0"/>
                <w:numId w:val="7"/>
              </w:numPr>
              <w:contextualSpacing/>
              <w:jc w:val="both"/>
              <w:rPr>
                <w:rFonts w:ascii="Cambria" w:hAnsi="Cambria"/>
                <w:bCs/>
              </w:rPr>
            </w:pPr>
            <w:r w:rsidRPr="005A03F9">
              <w:rPr>
                <w:rFonts w:ascii="Cambria" w:hAnsi="Cambria"/>
                <w:bCs/>
              </w:rPr>
              <w:t>La ubicación geográfica donde se desarrollará la actividad, el plan de inversión o el proyecto.</w:t>
            </w:r>
          </w:p>
          <w:p w14:paraId="1DB23808" w14:textId="77777777" w:rsidR="00346758" w:rsidRPr="005A03F9" w:rsidRDefault="00346758" w:rsidP="005A03F9">
            <w:pPr>
              <w:pStyle w:val="Prrafodelista"/>
              <w:numPr>
                <w:ilvl w:val="0"/>
                <w:numId w:val="7"/>
              </w:numPr>
              <w:contextualSpacing/>
              <w:jc w:val="both"/>
              <w:rPr>
                <w:rFonts w:ascii="Cambria" w:hAnsi="Cambria"/>
                <w:bCs/>
              </w:rPr>
            </w:pPr>
            <w:r w:rsidRPr="005A03F9">
              <w:rPr>
                <w:rFonts w:ascii="Cambria" w:hAnsi="Cambria"/>
                <w:bCs/>
              </w:rPr>
              <w:t>El grado de cumplimiento diligente con los permisos, licencias y requerimientos legales que establezca el Estado.</w:t>
            </w:r>
          </w:p>
          <w:p w14:paraId="591C5190" w14:textId="77777777" w:rsidR="00346758" w:rsidRPr="005A03F9" w:rsidRDefault="00346758" w:rsidP="005A03F9">
            <w:pPr>
              <w:pStyle w:val="Prrafodelista"/>
              <w:numPr>
                <w:ilvl w:val="0"/>
                <w:numId w:val="7"/>
              </w:numPr>
              <w:contextualSpacing/>
              <w:jc w:val="both"/>
              <w:rPr>
                <w:rFonts w:ascii="Cambria" w:hAnsi="Cambria"/>
                <w:bCs/>
              </w:rPr>
            </w:pPr>
            <w:r w:rsidRPr="005A03F9">
              <w:rPr>
                <w:rFonts w:ascii="Cambria" w:hAnsi="Cambria"/>
                <w:bCs/>
              </w:rPr>
              <w:t>La imposición de multas o sanciones por incumplimiento de permisos, licencias, requerimientos etc., relacionados con temas ambientales y sociales.</w:t>
            </w:r>
          </w:p>
          <w:p w14:paraId="2E71E62B" w14:textId="77777777" w:rsidR="00346758" w:rsidRPr="005A03F9" w:rsidRDefault="00346758" w:rsidP="005A03F9">
            <w:pPr>
              <w:pStyle w:val="Prrafodelista"/>
              <w:numPr>
                <w:ilvl w:val="0"/>
                <w:numId w:val="7"/>
              </w:numPr>
              <w:contextualSpacing/>
              <w:jc w:val="both"/>
              <w:rPr>
                <w:rFonts w:ascii="Cambria" w:hAnsi="Cambria"/>
                <w:bCs/>
              </w:rPr>
            </w:pPr>
            <w:r w:rsidRPr="005A03F9">
              <w:rPr>
                <w:rFonts w:ascii="Cambria" w:hAnsi="Cambria"/>
                <w:bCs/>
              </w:rPr>
              <w:t xml:space="preserve">La existencia de hechos relevantes que hagan referencia a incidentes o accidentes asociados con la actividad, el plan de inversión o el proyecto objeto de financiamiento. </w:t>
            </w:r>
          </w:p>
          <w:p w14:paraId="6297C5D4" w14:textId="77777777" w:rsidR="00346758" w:rsidRPr="005A03F9" w:rsidRDefault="00346758" w:rsidP="005A03F9">
            <w:pPr>
              <w:pStyle w:val="Prrafodelista"/>
              <w:numPr>
                <w:ilvl w:val="0"/>
                <w:numId w:val="7"/>
              </w:numPr>
              <w:contextualSpacing/>
              <w:jc w:val="both"/>
              <w:rPr>
                <w:rFonts w:ascii="Cambria" w:hAnsi="Cambria"/>
                <w:bCs/>
              </w:rPr>
            </w:pPr>
            <w:r w:rsidRPr="005A03F9">
              <w:rPr>
                <w:rFonts w:ascii="Cambria" w:hAnsi="Cambria"/>
                <w:bCs/>
              </w:rPr>
              <w:t xml:space="preserve">La existencia de quejas presentadas por partes interesadas. </w:t>
            </w:r>
          </w:p>
        </w:tc>
      </w:tr>
    </w:tbl>
    <w:p w14:paraId="0B94092C" w14:textId="77777777" w:rsidR="00346758" w:rsidRPr="005A03F9" w:rsidRDefault="00346758" w:rsidP="005A03F9">
      <w:pPr>
        <w:spacing w:line="240" w:lineRule="auto"/>
        <w:contextualSpacing/>
        <w:rPr>
          <w:sz w:val="24"/>
        </w:rPr>
      </w:pPr>
    </w:p>
    <w:p w14:paraId="010EA3A0" w14:textId="77777777" w:rsidR="00EA5E9A" w:rsidRPr="005A03F9" w:rsidRDefault="00EA5E9A" w:rsidP="005A03F9">
      <w:pPr>
        <w:widowControl w:val="0"/>
        <w:spacing w:after="240" w:line="240" w:lineRule="auto"/>
        <w:ind w:left="1134" w:right="618" w:hanging="567"/>
        <w:contextualSpacing/>
        <w:rPr>
          <w:b/>
          <w:bCs/>
          <w:i/>
          <w:iCs/>
          <w:sz w:val="24"/>
        </w:rPr>
      </w:pPr>
    </w:p>
    <w:p w14:paraId="25FD1C05" w14:textId="77777777" w:rsidR="00EA5E9A" w:rsidRPr="005A03F9" w:rsidRDefault="00EA5E9A" w:rsidP="005A03F9">
      <w:pPr>
        <w:widowControl w:val="0"/>
        <w:spacing w:after="240" w:line="240" w:lineRule="auto"/>
        <w:ind w:left="1134" w:right="618" w:hanging="567"/>
        <w:contextualSpacing/>
        <w:rPr>
          <w:b/>
          <w:bCs/>
          <w:i/>
          <w:iCs/>
          <w:sz w:val="24"/>
        </w:rPr>
      </w:pPr>
    </w:p>
    <w:p w14:paraId="4174DFA6" w14:textId="7A28C05F" w:rsidR="00346758" w:rsidRPr="005A03F9" w:rsidRDefault="00346758" w:rsidP="005A03F9">
      <w:pPr>
        <w:widowControl w:val="0"/>
        <w:spacing w:after="240" w:line="240" w:lineRule="auto"/>
        <w:ind w:left="1134" w:right="618" w:hanging="567"/>
        <w:contextualSpacing/>
        <w:rPr>
          <w:b/>
          <w:bCs/>
          <w:i/>
          <w:iCs/>
          <w:sz w:val="24"/>
        </w:rPr>
      </w:pPr>
      <w:r w:rsidRPr="005A03F9">
        <w:rPr>
          <w:b/>
          <w:bCs/>
          <w:i/>
          <w:iCs/>
          <w:sz w:val="24"/>
        </w:rPr>
        <w:t>ii)</w:t>
      </w:r>
      <w:r w:rsidRPr="005A03F9">
        <w:rPr>
          <w:b/>
          <w:bCs/>
          <w:i/>
          <w:iCs/>
          <w:sz w:val="24"/>
        </w:rPr>
        <w:tab/>
        <w:t>Impacto</w:t>
      </w:r>
    </w:p>
    <w:p w14:paraId="3BB4CC81" w14:textId="77777777" w:rsidR="00346758" w:rsidRPr="005A03F9" w:rsidRDefault="00346758" w:rsidP="005A03F9">
      <w:pPr>
        <w:widowControl w:val="0"/>
        <w:spacing w:after="240" w:line="240" w:lineRule="auto"/>
        <w:ind w:left="567" w:right="618"/>
        <w:contextualSpacing/>
        <w:rPr>
          <w:i/>
          <w:iCs/>
          <w:sz w:val="24"/>
        </w:rPr>
      </w:pPr>
      <w:r w:rsidRPr="005A03F9">
        <w:rPr>
          <w:i/>
          <w:iCs/>
          <w:sz w:val="24"/>
        </w:rPr>
        <w:t>El impacto está referido al grado de afectación negativa o adversa sobre la actividad o proyecto objeto de financiamiento, en caso de manifestarse los factores de riesgo ambientales y sociales.</w:t>
      </w:r>
    </w:p>
    <w:p w14:paraId="22164B9B" w14:textId="77777777" w:rsidR="00346758" w:rsidRPr="005A03F9" w:rsidRDefault="00346758" w:rsidP="005A03F9">
      <w:pPr>
        <w:widowControl w:val="0"/>
        <w:spacing w:after="240" w:line="240" w:lineRule="auto"/>
        <w:ind w:left="567" w:right="618"/>
        <w:contextualSpacing/>
        <w:rPr>
          <w:i/>
          <w:iCs/>
          <w:sz w:val="24"/>
        </w:rPr>
      </w:pPr>
      <w:r w:rsidRPr="005A03F9">
        <w:rPr>
          <w:i/>
          <w:iCs/>
          <w:sz w:val="24"/>
        </w:rPr>
        <w:t xml:space="preserve">Esta dimensión debe contar con al menos tres niveles de impacto (Alto, Medio, Bajo). Para los efectos de esta regulación, se sugiere que los niveles de impacto sean determinados con base en el criterio experto de la entidad, los cuales deberán estar claramente definidos y desarrollados en la Metodología estándar para la evaluación de riesgo ambiental y social en la cartera de </w:t>
      </w:r>
      <w:r w:rsidRPr="005A03F9">
        <w:rPr>
          <w:i/>
          <w:iCs/>
          <w:sz w:val="24"/>
        </w:rPr>
        <w:lastRenderedPageBreak/>
        <w:t>créditos.</w:t>
      </w:r>
    </w:p>
    <w:p w14:paraId="4C5F2B83" w14:textId="77777777" w:rsidR="00346758" w:rsidRPr="005A03F9" w:rsidRDefault="00346758" w:rsidP="005A03F9">
      <w:pPr>
        <w:widowControl w:val="0"/>
        <w:spacing w:after="240" w:line="240" w:lineRule="auto"/>
        <w:ind w:left="567" w:right="618"/>
        <w:contextualSpacing/>
        <w:rPr>
          <w:i/>
          <w:iCs/>
          <w:sz w:val="24"/>
        </w:rPr>
      </w:pPr>
      <w:r w:rsidRPr="005A03F9">
        <w:rPr>
          <w:i/>
          <w:iCs/>
          <w:sz w:val="24"/>
        </w:rPr>
        <w:t>En la primera y segunda columna de la Tabla No. 3 se incluye la definición de la dimensión de “Impacto”, así como para los tres niveles de potencialidad. Con fines ilustrativos, en la tercera columna se indican ejemplos de aspectos a considerar en la valoración de esta dimensión.</w:t>
      </w:r>
    </w:p>
    <w:p w14:paraId="7A150EE3" w14:textId="77777777" w:rsidR="00346758" w:rsidRPr="005A03F9" w:rsidRDefault="00346758" w:rsidP="005A03F9">
      <w:pPr>
        <w:pStyle w:val="Prrafodelista"/>
        <w:ind w:left="567"/>
        <w:contextualSpacing/>
        <w:rPr>
          <w:rFonts w:ascii="Cambria" w:hAnsi="Cambria"/>
          <w:bCs/>
        </w:rPr>
      </w:pPr>
      <w:r w:rsidRPr="005A03F9">
        <w:rPr>
          <w:rFonts w:ascii="Cambria" w:hAnsi="Cambria"/>
          <w:bCs/>
        </w:rPr>
        <w:t>Tabla No. 3</w:t>
      </w:r>
    </w:p>
    <w:p w14:paraId="14E9138D" w14:textId="77777777" w:rsidR="00346758" w:rsidRPr="005A03F9" w:rsidRDefault="00346758" w:rsidP="005A03F9">
      <w:pPr>
        <w:pStyle w:val="Prrafodelista"/>
        <w:ind w:left="567"/>
        <w:contextualSpacing/>
        <w:rPr>
          <w:rFonts w:ascii="Cambria" w:hAnsi="Cambria"/>
          <w:b/>
        </w:rPr>
      </w:pPr>
      <w:r w:rsidRPr="005A03F9">
        <w:rPr>
          <w:rFonts w:ascii="Cambria" w:hAnsi="Cambria"/>
          <w:b/>
        </w:rPr>
        <w:t>Dimensión: Impacto</w:t>
      </w:r>
    </w:p>
    <w:p w14:paraId="4C9FD014" w14:textId="77777777" w:rsidR="00346758" w:rsidRPr="005A03F9" w:rsidRDefault="00346758" w:rsidP="005A03F9">
      <w:pPr>
        <w:pStyle w:val="Prrafodelista"/>
        <w:ind w:left="567"/>
        <w:contextualSpacing/>
        <w:rPr>
          <w:rFonts w:ascii="Cambria" w:hAnsi="Cambria"/>
          <w:b/>
        </w:rPr>
      </w:pP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2439"/>
        <w:gridCol w:w="3974"/>
      </w:tblGrid>
      <w:tr w:rsidR="00346758" w:rsidRPr="005A03F9" w14:paraId="16066534" w14:textId="77777777" w:rsidTr="0098089E">
        <w:trPr>
          <w:jc w:val="center"/>
        </w:trPr>
        <w:tc>
          <w:tcPr>
            <w:tcW w:w="1814" w:type="dxa"/>
            <w:shd w:val="clear" w:color="auto" w:fill="D9D9D9"/>
            <w:vAlign w:val="center"/>
          </w:tcPr>
          <w:p w14:paraId="29FE7086" w14:textId="77777777" w:rsidR="00346758" w:rsidRPr="005A03F9" w:rsidRDefault="00346758" w:rsidP="005A03F9">
            <w:pPr>
              <w:spacing w:line="240" w:lineRule="auto"/>
              <w:contextualSpacing/>
              <w:rPr>
                <w:b/>
                <w:sz w:val="24"/>
              </w:rPr>
            </w:pPr>
            <w:r w:rsidRPr="005A03F9">
              <w:rPr>
                <w:b/>
                <w:sz w:val="24"/>
              </w:rPr>
              <w:t>Definición</w:t>
            </w:r>
          </w:p>
        </w:tc>
        <w:tc>
          <w:tcPr>
            <w:tcW w:w="2439" w:type="dxa"/>
            <w:shd w:val="clear" w:color="auto" w:fill="D9D9D9"/>
            <w:vAlign w:val="center"/>
          </w:tcPr>
          <w:p w14:paraId="212F95AE" w14:textId="77777777" w:rsidR="00346758" w:rsidRPr="005A03F9" w:rsidRDefault="00346758" w:rsidP="005A03F9">
            <w:pPr>
              <w:spacing w:line="240" w:lineRule="auto"/>
              <w:contextualSpacing/>
              <w:rPr>
                <w:b/>
                <w:sz w:val="24"/>
              </w:rPr>
            </w:pPr>
            <w:r w:rsidRPr="005A03F9">
              <w:rPr>
                <w:b/>
                <w:sz w:val="24"/>
              </w:rPr>
              <w:t>Niveles</w:t>
            </w:r>
          </w:p>
        </w:tc>
        <w:tc>
          <w:tcPr>
            <w:tcW w:w="3974" w:type="dxa"/>
            <w:shd w:val="clear" w:color="auto" w:fill="D9D9D9"/>
            <w:vAlign w:val="center"/>
          </w:tcPr>
          <w:p w14:paraId="398DF540" w14:textId="77777777" w:rsidR="00346758" w:rsidRPr="005A03F9" w:rsidRDefault="00346758" w:rsidP="005A03F9">
            <w:pPr>
              <w:spacing w:line="240" w:lineRule="auto"/>
              <w:contextualSpacing/>
              <w:rPr>
                <w:b/>
                <w:sz w:val="24"/>
              </w:rPr>
            </w:pPr>
            <w:r w:rsidRPr="005A03F9">
              <w:rPr>
                <w:b/>
                <w:sz w:val="24"/>
              </w:rPr>
              <w:t>Ejemplo de aspectos para valoración:</w:t>
            </w:r>
          </w:p>
        </w:tc>
      </w:tr>
      <w:tr w:rsidR="00346758" w:rsidRPr="005A03F9" w14:paraId="7459D53E" w14:textId="77777777" w:rsidTr="0098089E">
        <w:trPr>
          <w:jc w:val="center"/>
        </w:trPr>
        <w:tc>
          <w:tcPr>
            <w:tcW w:w="1814" w:type="dxa"/>
            <w:shd w:val="clear" w:color="auto" w:fill="auto"/>
            <w:vAlign w:val="center"/>
          </w:tcPr>
          <w:p w14:paraId="0E654446" w14:textId="77777777" w:rsidR="00346758" w:rsidRPr="005A03F9" w:rsidRDefault="00346758" w:rsidP="005A03F9">
            <w:pPr>
              <w:spacing w:line="240" w:lineRule="auto"/>
              <w:contextualSpacing/>
              <w:rPr>
                <w:bCs/>
                <w:sz w:val="24"/>
              </w:rPr>
            </w:pPr>
            <w:r w:rsidRPr="005A03F9">
              <w:rPr>
                <w:bCs/>
                <w:sz w:val="24"/>
              </w:rPr>
              <w:t>El impacto adverso sobre actividad o proyecto objeto de financiamiento en caso de manifestarse los factores de riesgo ambientales y sociales.</w:t>
            </w:r>
          </w:p>
        </w:tc>
        <w:tc>
          <w:tcPr>
            <w:tcW w:w="2439" w:type="dxa"/>
            <w:shd w:val="clear" w:color="auto" w:fill="auto"/>
            <w:vAlign w:val="center"/>
          </w:tcPr>
          <w:p w14:paraId="5DF8F6BD" w14:textId="77777777" w:rsidR="00346758" w:rsidRPr="005A03F9" w:rsidRDefault="00346758" w:rsidP="005A03F9">
            <w:pPr>
              <w:spacing w:line="240" w:lineRule="auto"/>
              <w:contextualSpacing/>
              <w:rPr>
                <w:bCs/>
                <w:sz w:val="24"/>
              </w:rPr>
            </w:pPr>
            <w:r w:rsidRPr="005A03F9">
              <w:rPr>
                <w:bCs/>
                <w:sz w:val="24"/>
              </w:rPr>
              <w:t>Alto: impacto adverso significativo a criterio de la entidad.</w:t>
            </w:r>
          </w:p>
          <w:p w14:paraId="331E8B2D" w14:textId="77777777" w:rsidR="00346758" w:rsidRPr="005A03F9" w:rsidRDefault="00346758" w:rsidP="005A03F9">
            <w:pPr>
              <w:spacing w:line="240" w:lineRule="auto"/>
              <w:contextualSpacing/>
              <w:rPr>
                <w:bCs/>
                <w:sz w:val="24"/>
              </w:rPr>
            </w:pPr>
          </w:p>
          <w:p w14:paraId="35CE0102" w14:textId="77777777" w:rsidR="00346758" w:rsidRPr="005A03F9" w:rsidRDefault="00346758" w:rsidP="005A03F9">
            <w:pPr>
              <w:spacing w:line="240" w:lineRule="auto"/>
              <w:contextualSpacing/>
              <w:rPr>
                <w:bCs/>
                <w:strike/>
                <w:color w:val="4472C4"/>
                <w:sz w:val="24"/>
              </w:rPr>
            </w:pPr>
            <w:r w:rsidRPr="005A03F9">
              <w:rPr>
                <w:bCs/>
                <w:sz w:val="24"/>
              </w:rPr>
              <w:t>Medio: impacto adverso moderado a criterio de la entidad.</w:t>
            </w:r>
          </w:p>
          <w:p w14:paraId="3B098464" w14:textId="77777777" w:rsidR="00346758" w:rsidRPr="005A03F9" w:rsidRDefault="00346758" w:rsidP="005A03F9">
            <w:pPr>
              <w:spacing w:line="240" w:lineRule="auto"/>
              <w:contextualSpacing/>
              <w:rPr>
                <w:bCs/>
                <w:sz w:val="24"/>
              </w:rPr>
            </w:pPr>
          </w:p>
          <w:p w14:paraId="7728C1EC" w14:textId="77777777" w:rsidR="00346758" w:rsidRPr="005A03F9" w:rsidRDefault="00346758" w:rsidP="005A03F9">
            <w:pPr>
              <w:spacing w:line="240" w:lineRule="auto"/>
              <w:contextualSpacing/>
              <w:rPr>
                <w:bCs/>
                <w:sz w:val="24"/>
              </w:rPr>
            </w:pPr>
            <w:r w:rsidRPr="005A03F9">
              <w:rPr>
                <w:bCs/>
                <w:sz w:val="24"/>
              </w:rPr>
              <w:t>Bajo: impacto adverso bajo o inexistente a criterio de la entidad.</w:t>
            </w:r>
          </w:p>
        </w:tc>
        <w:tc>
          <w:tcPr>
            <w:tcW w:w="3974" w:type="dxa"/>
            <w:shd w:val="clear" w:color="auto" w:fill="auto"/>
          </w:tcPr>
          <w:p w14:paraId="71A47384" w14:textId="77777777" w:rsidR="00346758" w:rsidRPr="005A03F9" w:rsidRDefault="00346758" w:rsidP="005A03F9">
            <w:pPr>
              <w:pStyle w:val="Prrafodelista"/>
              <w:numPr>
                <w:ilvl w:val="0"/>
                <w:numId w:val="8"/>
              </w:numPr>
              <w:tabs>
                <w:tab w:val="left" w:pos="322"/>
              </w:tabs>
              <w:ind w:left="181" w:hanging="172"/>
              <w:contextualSpacing/>
              <w:jc w:val="both"/>
              <w:rPr>
                <w:rFonts w:ascii="Cambria" w:hAnsi="Cambria"/>
                <w:bCs/>
              </w:rPr>
            </w:pPr>
            <w:r w:rsidRPr="005A03F9">
              <w:rPr>
                <w:rFonts w:ascii="Cambria" w:hAnsi="Cambria"/>
                <w:bCs/>
              </w:rPr>
              <w:t>El flujo de efectivo destinado a la atención de la operación crediticia, en caso de manifestarse factores de riesgo ambiental y social. Por ejemplo:</w:t>
            </w:r>
          </w:p>
          <w:p w14:paraId="4CF087AA" w14:textId="77777777" w:rsidR="00346758" w:rsidRPr="005A03F9" w:rsidRDefault="00346758" w:rsidP="005A03F9">
            <w:pPr>
              <w:pStyle w:val="Prrafodelista"/>
              <w:numPr>
                <w:ilvl w:val="0"/>
                <w:numId w:val="9"/>
              </w:numPr>
              <w:ind w:left="456" w:hanging="172"/>
              <w:contextualSpacing/>
              <w:jc w:val="both"/>
              <w:rPr>
                <w:rFonts w:ascii="Cambria" w:hAnsi="Cambria"/>
                <w:bCs/>
              </w:rPr>
            </w:pPr>
            <w:r w:rsidRPr="005A03F9">
              <w:rPr>
                <w:rFonts w:ascii="Cambria" w:hAnsi="Cambria"/>
                <w:bCs/>
              </w:rPr>
              <w:t>la disrupción de las cadenas de suministros,</w:t>
            </w:r>
          </w:p>
          <w:p w14:paraId="42915036" w14:textId="77777777" w:rsidR="00346758" w:rsidRPr="005A03F9" w:rsidRDefault="00346758" w:rsidP="005A03F9">
            <w:pPr>
              <w:pStyle w:val="Prrafodelista"/>
              <w:numPr>
                <w:ilvl w:val="0"/>
                <w:numId w:val="9"/>
              </w:numPr>
              <w:ind w:left="456" w:hanging="172"/>
              <w:contextualSpacing/>
              <w:jc w:val="both"/>
              <w:rPr>
                <w:rFonts w:ascii="Cambria" w:hAnsi="Cambria"/>
                <w:bCs/>
              </w:rPr>
            </w:pPr>
            <w:r w:rsidRPr="005A03F9">
              <w:rPr>
                <w:rFonts w:ascii="Cambria" w:hAnsi="Cambria"/>
                <w:bCs/>
              </w:rPr>
              <w:t>la suspensión de la actividad económica del deudor como resultado de eventos climáticos extremos, huelgas, sanciones, etc.</w:t>
            </w:r>
          </w:p>
          <w:p w14:paraId="5BBEFE15" w14:textId="77777777" w:rsidR="00346758" w:rsidRPr="005A03F9" w:rsidRDefault="00346758" w:rsidP="005A03F9">
            <w:pPr>
              <w:pStyle w:val="Prrafodelista"/>
              <w:numPr>
                <w:ilvl w:val="0"/>
                <w:numId w:val="9"/>
              </w:numPr>
              <w:ind w:left="456" w:hanging="172"/>
              <w:contextualSpacing/>
              <w:jc w:val="both"/>
              <w:rPr>
                <w:rFonts w:ascii="Cambria" w:hAnsi="Cambria"/>
                <w:bCs/>
              </w:rPr>
            </w:pPr>
            <w:r w:rsidRPr="005A03F9">
              <w:rPr>
                <w:rFonts w:ascii="Cambria" w:hAnsi="Cambria"/>
                <w:bCs/>
              </w:rPr>
              <w:t>la afectación irreversible al medio ambiente; con efectos negativos en reputación del deudor y la aplicación de multas o sanciones.</w:t>
            </w:r>
          </w:p>
          <w:p w14:paraId="49265CFF" w14:textId="77777777" w:rsidR="00346758" w:rsidRPr="005A03F9" w:rsidRDefault="00346758" w:rsidP="005A03F9">
            <w:pPr>
              <w:spacing w:line="240" w:lineRule="auto"/>
              <w:ind w:left="172" w:hanging="172"/>
              <w:contextualSpacing/>
              <w:rPr>
                <w:bCs/>
                <w:sz w:val="24"/>
              </w:rPr>
            </w:pPr>
          </w:p>
          <w:p w14:paraId="5FCA75A8" w14:textId="77777777" w:rsidR="00346758" w:rsidRPr="005A03F9" w:rsidRDefault="00346758" w:rsidP="005A03F9">
            <w:pPr>
              <w:pStyle w:val="Prrafodelista"/>
              <w:numPr>
                <w:ilvl w:val="0"/>
                <w:numId w:val="8"/>
              </w:numPr>
              <w:tabs>
                <w:tab w:val="left" w:pos="322"/>
              </w:tabs>
              <w:ind w:left="181" w:hanging="172"/>
              <w:contextualSpacing/>
              <w:jc w:val="both"/>
              <w:rPr>
                <w:rFonts w:ascii="Cambria" w:hAnsi="Cambria"/>
                <w:bCs/>
              </w:rPr>
            </w:pPr>
            <w:r w:rsidRPr="005A03F9">
              <w:rPr>
                <w:rFonts w:ascii="Cambria" w:hAnsi="Cambria"/>
                <w:bCs/>
              </w:rPr>
              <w:t>La afectación activos relacionados con la actividad o el proyecto objeto de financiamiento, en caso de manifestarse factores o eventos de riesgo ambiental y social. Por ejemplo:</w:t>
            </w:r>
          </w:p>
          <w:p w14:paraId="751091C2" w14:textId="77777777" w:rsidR="00346758" w:rsidRPr="005A03F9" w:rsidRDefault="00346758" w:rsidP="005A03F9">
            <w:pPr>
              <w:pStyle w:val="Prrafodelista"/>
              <w:numPr>
                <w:ilvl w:val="0"/>
                <w:numId w:val="10"/>
              </w:numPr>
              <w:ind w:left="456" w:hanging="284"/>
              <w:contextualSpacing/>
              <w:jc w:val="both"/>
              <w:rPr>
                <w:rFonts w:ascii="Cambria" w:hAnsi="Cambria"/>
                <w:bCs/>
              </w:rPr>
            </w:pPr>
            <w:r w:rsidRPr="005A03F9">
              <w:rPr>
                <w:rFonts w:ascii="Cambria" w:hAnsi="Cambria"/>
                <w:bCs/>
              </w:rPr>
              <w:t>eventos climáticos extremos,</w:t>
            </w:r>
          </w:p>
          <w:p w14:paraId="17B4B69E" w14:textId="77777777" w:rsidR="00346758" w:rsidRPr="005A03F9" w:rsidRDefault="00346758" w:rsidP="005A03F9">
            <w:pPr>
              <w:pStyle w:val="Prrafodelista"/>
              <w:numPr>
                <w:ilvl w:val="0"/>
                <w:numId w:val="10"/>
              </w:numPr>
              <w:ind w:left="456" w:hanging="284"/>
              <w:contextualSpacing/>
              <w:jc w:val="both"/>
              <w:rPr>
                <w:rFonts w:ascii="Cambria" w:hAnsi="Cambria"/>
                <w:bCs/>
              </w:rPr>
            </w:pPr>
            <w:r w:rsidRPr="005A03F9">
              <w:rPr>
                <w:rFonts w:ascii="Cambria" w:hAnsi="Cambria"/>
              </w:rPr>
              <w:t>derrames accidentales o repentinos de residuos tóxicos.</w:t>
            </w:r>
          </w:p>
          <w:p w14:paraId="0ACE77AF" w14:textId="77777777" w:rsidR="00346758" w:rsidRPr="005A03F9" w:rsidRDefault="00346758" w:rsidP="005A03F9">
            <w:pPr>
              <w:pStyle w:val="Prrafodelista"/>
              <w:numPr>
                <w:ilvl w:val="0"/>
                <w:numId w:val="10"/>
              </w:numPr>
              <w:ind w:left="456" w:hanging="284"/>
              <w:contextualSpacing/>
              <w:jc w:val="both"/>
              <w:rPr>
                <w:rFonts w:ascii="Cambria" w:hAnsi="Cambria"/>
                <w:bCs/>
              </w:rPr>
            </w:pPr>
            <w:r w:rsidRPr="005A03F9">
              <w:rPr>
                <w:rFonts w:ascii="Cambria" w:hAnsi="Cambria"/>
              </w:rPr>
              <w:t>emisiones-</w:t>
            </w:r>
          </w:p>
          <w:p w14:paraId="2DD23577" w14:textId="77777777" w:rsidR="00346758" w:rsidRPr="005A03F9" w:rsidRDefault="00346758" w:rsidP="005A03F9">
            <w:pPr>
              <w:pStyle w:val="Prrafodelista"/>
              <w:numPr>
                <w:ilvl w:val="0"/>
                <w:numId w:val="10"/>
              </w:numPr>
              <w:ind w:left="456" w:hanging="284"/>
              <w:contextualSpacing/>
              <w:jc w:val="both"/>
              <w:rPr>
                <w:rFonts w:ascii="Cambria" w:hAnsi="Cambria"/>
                <w:bCs/>
              </w:rPr>
            </w:pPr>
            <w:r w:rsidRPr="005A03F9">
              <w:rPr>
                <w:rFonts w:ascii="Cambria" w:hAnsi="Cambria"/>
                <w:bCs/>
              </w:rPr>
              <w:t>boicots de clientes y consumidores.</w:t>
            </w:r>
            <w:r w:rsidRPr="005A03F9">
              <w:rPr>
                <w:rFonts w:ascii="Cambria" w:hAnsi="Cambria"/>
                <w:color w:val="4472C4"/>
              </w:rPr>
              <w:t xml:space="preserve"> </w:t>
            </w:r>
          </w:p>
        </w:tc>
      </w:tr>
    </w:tbl>
    <w:p w14:paraId="3556A283" w14:textId="77777777" w:rsidR="00346758" w:rsidRPr="005A03F9" w:rsidRDefault="00346758" w:rsidP="005A03F9">
      <w:pPr>
        <w:widowControl w:val="0"/>
        <w:spacing w:after="240" w:line="240" w:lineRule="auto"/>
        <w:ind w:left="567" w:right="618"/>
        <w:contextualSpacing/>
        <w:rPr>
          <w:i/>
          <w:iCs/>
          <w:sz w:val="24"/>
        </w:rPr>
      </w:pPr>
    </w:p>
    <w:p w14:paraId="57A54026" w14:textId="3BF1B345" w:rsidR="00346758" w:rsidRDefault="00346758" w:rsidP="005A03F9">
      <w:pPr>
        <w:widowControl w:val="0"/>
        <w:spacing w:after="240" w:line="240" w:lineRule="auto"/>
        <w:ind w:left="567" w:right="618"/>
        <w:contextualSpacing/>
        <w:rPr>
          <w:i/>
          <w:iCs/>
          <w:sz w:val="24"/>
        </w:rPr>
      </w:pPr>
    </w:p>
    <w:p w14:paraId="42772DF1" w14:textId="77777777" w:rsidR="005A03F9" w:rsidRPr="005A03F9" w:rsidRDefault="005A03F9" w:rsidP="005A03F9">
      <w:pPr>
        <w:widowControl w:val="0"/>
        <w:spacing w:after="240" w:line="240" w:lineRule="auto"/>
        <w:ind w:left="567" w:right="618"/>
        <w:contextualSpacing/>
        <w:rPr>
          <w:i/>
          <w:iCs/>
          <w:sz w:val="24"/>
        </w:rPr>
      </w:pPr>
    </w:p>
    <w:p w14:paraId="2026DD3D" w14:textId="77777777" w:rsidR="00346758" w:rsidRPr="005A03F9" w:rsidRDefault="00346758" w:rsidP="005A03F9">
      <w:pPr>
        <w:widowControl w:val="0"/>
        <w:spacing w:after="240" w:line="240" w:lineRule="auto"/>
        <w:ind w:left="567" w:right="618"/>
        <w:contextualSpacing/>
        <w:rPr>
          <w:b/>
          <w:bCs/>
          <w:i/>
          <w:iCs/>
          <w:sz w:val="24"/>
          <w:u w:val="single"/>
        </w:rPr>
      </w:pPr>
      <w:r w:rsidRPr="005A03F9">
        <w:rPr>
          <w:b/>
          <w:bCs/>
          <w:i/>
          <w:iCs/>
          <w:sz w:val="24"/>
          <w:u w:val="single"/>
        </w:rPr>
        <w:lastRenderedPageBreak/>
        <w:t xml:space="preserve">PASO 3: Clasificación de las operaciones crediticias según el riesgo </w:t>
      </w:r>
    </w:p>
    <w:p w14:paraId="0E024295" w14:textId="712A5927" w:rsidR="00346758" w:rsidRDefault="00346758" w:rsidP="005A03F9">
      <w:pPr>
        <w:widowControl w:val="0"/>
        <w:spacing w:after="240" w:line="240" w:lineRule="auto"/>
        <w:ind w:left="567" w:right="618"/>
        <w:contextualSpacing/>
        <w:rPr>
          <w:i/>
          <w:iCs/>
          <w:sz w:val="24"/>
        </w:rPr>
      </w:pPr>
      <w:r w:rsidRPr="005A03F9">
        <w:rPr>
          <w:i/>
          <w:iCs/>
          <w:sz w:val="24"/>
        </w:rPr>
        <w:t>Las operaciones crediticias deben clasificarse en las categorías de riesgo definidas en el Artículo 39 de este Reglamento.</w:t>
      </w:r>
    </w:p>
    <w:p w14:paraId="00AB2EDF" w14:textId="77777777" w:rsidR="005A03F9" w:rsidRPr="005A03F9" w:rsidRDefault="005A03F9" w:rsidP="005A03F9">
      <w:pPr>
        <w:widowControl w:val="0"/>
        <w:spacing w:after="240" w:line="240" w:lineRule="auto"/>
        <w:ind w:left="567" w:right="618"/>
        <w:contextualSpacing/>
        <w:rPr>
          <w:i/>
          <w:iCs/>
          <w:sz w:val="24"/>
        </w:rPr>
      </w:pPr>
    </w:p>
    <w:p w14:paraId="07C1044E" w14:textId="4231E4AC" w:rsidR="00346758" w:rsidRDefault="00346758" w:rsidP="005A03F9">
      <w:pPr>
        <w:widowControl w:val="0"/>
        <w:spacing w:after="240" w:line="240" w:lineRule="auto"/>
        <w:ind w:left="567" w:right="618"/>
        <w:contextualSpacing/>
        <w:rPr>
          <w:i/>
          <w:iCs/>
          <w:sz w:val="24"/>
        </w:rPr>
      </w:pPr>
      <w:r w:rsidRPr="005A03F9">
        <w:rPr>
          <w:i/>
          <w:iCs/>
          <w:sz w:val="24"/>
        </w:rPr>
        <w:t>A manera de resumen, en la Tabla No. 4 se ejemplifica el resultado final de la aplicación de la metodología.</w:t>
      </w:r>
    </w:p>
    <w:p w14:paraId="0F1E7527" w14:textId="77777777" w:rsidR="005A03F9" w:rsidRPr="005A03F9" w:rsidRDefault="005A03F9" w:rsidP="005A03F9">
      <w:pPr>
        <w:widowControl w:val="0"/>
        <w:spacing w:after="240" w:line="240" w:lineRule="auto"/>
        <w:ind w:left="567" w:right="618"/>
        <w:contextualSpacing/>
        <w:rPr>
          <w:i/>
          <w:iCs/>
          <w:sz w:val="24"/>
        </w:rPr>
      </w:pPr>
    </w:p>
    <w:p w14:paraId="12CEE454" w14:textId="4778B9D3" w:rsidR="00346758" w:rsidRPr="005A03F9" w:rsidRDefault="00346758" w:rsidP="005A03F9">
      <w:pPr>
        <w:widowControl w:val="0"/>
        <w:spacing w:after="240" w:line="240" w:lineRule="auto"/>
        <w:ind w:left="567" w:right="618"/>
        <w:contextualSpacing/>
        <w:jc w:val="center"/>
        <w:rPr>
          <w:i/>
          <w:iCs/>
          <w:sz w:val="24"/>
        </w:rPr>
      </w:pPr>
      <w:r w:rsidRPr="005A03F9">
        <w:rPr>
          <w:i/>
          <w:iCs/>
          <w:noProof/>
          <w:sz w:val="24"/>
        </w:rPr>
        <w:drawing>
          <wp:inline distT="0" distB="0" distL="0" distR="0" wp14:anchorId="0D704825" wp14:editId="288312E6">
            <wp:extent cx="3695700" cy="12477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5700" cy="1247775"/>
                    </a:xfrm>
                    <a:prstGeom prst="rect">
                      <a:avLst/>
                    </a:prstGeom>
                    <a:noFill/>
                    <a:ln>
                      <a:noFill/>
                    </a:ln>
                  </pic:spPr>
                </pic:pic>
              </a:graphicData>
            </a:graphic>
          </wp:inline>
        </w:drawing>
      </w:r>
    </w:p>
    <w:p w14:paraId="459948F7" w14:textId="77777777" w:rsidR="00EA5E9A" w:rsidRPr="005A03F9" w:rsidRDefault="00EA5E9A" w:rsidP="005A03F9">
      <w:pPr>
        <w:widowControl w:val="0"/>
        <w:spacing w:after="240" w:line="240" w:lineRule="auto"/>
        <w:ind w:left="567" w:right="618"/>
        <w:contextualSpacing/>
        <w:rPr>
          <w:i/>
          <w:iCs/>
          <w:sz w:val="24"/>
        </w:rPr>
      </w:pPr>
    </w:p>
    <w:p w14:paraId="261A22A4" w14:textId="1E810FDE" w:rsidR="00346758" w:rsidRDefault="00346758" w:rsidP="005A03F9">
      <w:pPr>
        <w:widowControl w:val="0"/>
        <w:spacing w:after="240" w:line="240" w:lineRule="auto"/>
        <w:ind w:left="567" w:right="618"/>
        <w:contextualSpacing/>
        <w:rPr>
          <w:i/>
          <w:iCs/>
          <w:sz w:val="24"/>
        </w:rPr>
      </w:pPr>
      <w:r w:rsidRPr="005A03F9">
        <w:rPr>
          <w:i/>
          <w:iCs/>
          <w:sz w:val="24"/>
        </w:rPr>
        <w:t>Rige a partir del primero de enero de 2027.</w:t>
      </w:r>
    </w:p>
    <w:p w14:paraId="584A820D" w14:textId="77777777" w:rsidR="005A03F9" w:rsidRPr="005A03F9" w:rsidRDefault="005A03F9" w:rsidP="005A03F9">
      <w:pPr>
        <w:widowControl w:val="0"/>
        <w:spacing w:after="240" w:line="240" w:lineRule="auto"/>
        <w:ind w:left="567" w:right="618"/>
        <w:contextualSpacing/>
        <w:rPr>
          <w:i/>
          <w:iCs/>
          <w:sz w:val="24"/>
        </w:rPr>
      </w:pPr>
    </w:p>
    <w:p w14:paraId="53AFA2ED" w14:textId="2814C5CC" w:rsidR="00346758" w:rsidRPr="005A03F9" w:rsidRDefault="00346758" w:rsidP="005A03F9">
      <w:pPr>
        <w:widowControl w:val="0"/>
        <w:spacing w:after="240" w:line="240" w:lineRule="auto"/>
        <w:ind w:left="567" w:right="618"/>
        <w:contextualSpacing/>
        <w:rPr>
          <w:i/>
          <w:iCs/>
          <w:sz w:val="24"/>
        </w:rPr>
      </w:pPr>
      <w:r w:rsidRPr="005A03F9">
        <w:rPr>
          <w:i/>
          <w:iCs/>
          <w:sz w:val="24"/>
        </w:rPr>
        <w:t>La Superintendencia considera que las entidades que ya cuentan con marcos de gestión y metodologías de calificación de deudores para estos riesgos están en capacidad de adoptar con mayor rapidez el marco de regulación propuesto. Por esta razón, se establec</w:t>
      </w:r>
      <w:r w:rsidR="001E2B61" w:rsidRPr="005A03F9">
        <w:rPr>
          <w:i/>
          <w:iCs/>
          <w:sz w:val="24"/>
        </w:rPr>
        <w:t>e</w:t>
      </w:r>
      <w:r w:rsidRPr="005A03F9">
        <w:rPr>
          <w:i/>
          <w:iCs/>
          <w:sz w:val="24"/>
        </w:rPr>
        <w:t xml:space="preserve"> flexibilidad en la regulación para considerar su aplicación anticipada en el caso de las entidades que así lo manifiesten.”</w:t>
      </w:r>
    </w:p>
    <w:p w14:paraId="53EAB5F3" w14:textId="76009F89" w:rsidR="00181ABF" w:rsidRPr="005A03F9" w:rsidRDefault="00346758" w:rsidP="005A03F9">
      <w:pPr>
        <w:pStyle w:val="Texto"/>
        <w:spacing w:before="0" w:after="0" w:line="240" w:lineRule="auto"/>
        <w:contextualSpacing/>
        <w:rPr>
          <w:sz w:val="24"/>
        </w:rPr>
      </w:pPr>
      <w:r w:rsidRPr="005A03F9">
        <w:rPr>
          <w:noProof/>
          <w:sz w:val="24"/>
          <w:lang w:val="es-CR" w:eastAsia="es-CR"/>
        </w:rPr>
        <w:drawing>
          <wp:anchor distT="0" distB="0" distL="114300" distR="114300" simplePos="0" relativeHeight="251659264" behindDoc="1" locked="0" layoutInCell="1" allowOverlap="1" wp14:anchorId="2AA44274" wp14:editId="3D6F74C2">
            <wp:simplePos x="0" y="0"/>
            <wp:positionH relativeFrom="column">
              <wp:posOffset>-116205</wp:posOffset>
            </wp:positionH>
            <wp:positionV relativeFrom="paragraph">
              <wp:posOffset>150495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00181ABF" w:rsidRPr="005A03F9">
        <w:rPr>
          <w:sz w:val="24"/>
        </w:rPr>
        <w:t>Atentamente,</w:t>
      </w:r>
    </w:p>
    <w:p w14:paraId="6E530424" w14:textId="383C2B96" w:rsidR="00181ABF" w:rsidRPr="005A03F9" w:rsidRDefault="00181ABF" w:rsidP="005A03F9">
      <w:pPr>
        <w:spacing w:line="240" w:lineRule="auto"/>
        <w:contextualSpacing/>
        <w:rPr>
          <w:sz w:val="24"/>
        </w:rPr>
      </w:pPr>
    </w:p>
    <w:p w14:paraId="01D2C341" w14:textId="69B58242" w:rsidR="00181ABF" w:rsidRPr="005A03F9" w:rsidRDefault="00181ABF" w:rsidP="005A03F9">
      <w:pPr>
        <w:spacing w:line="240" w:lineRule="auto"/>
        <w:contextualSpacing/>
        <w:rPr>
          <w:sz w:val="24"/>
        </w:rPr>
      </w:pPr>
    </w:p>
    <w:p w14:paraId="0D9956EE" w14:textId="3703409D" w:rsidR="00181ABF" w:rsidRPr="005A03F9" w:rsidRDefault="00181ABF" w:rsidP="005A03F9">
      <w:pPr>
        <w:spacing w:after="160" w:line="240" w:lineRule="auto"/>
        <w:contextualSpacing/>
        <w:jc w:val="left"/>
        <w:rPr>
          <w:sz w:val="24"/>
        </w:rPr>
      </w:pPr>
      <w:bookmarkStart w:id="1" w:name="_Hlk53758837"/>
      <w:r w:rsidRPr="005A03F9">
        <w:rPr>
          <w:sz w:val="24"/>
        </w:rPr>
        <w:t>Rocío Aguilar Montoya</w:t>
      </w:r>
      <w:r w:rsidRPr="005A03F9">
        <w:rPr>
          <w:sz w:val="24"/>
        </w:rPr>
        <w:br/>
      </w:r>
      <w:r w:rsidRPr="005A03F9">
        <w:rPr>
          <w:b/>
          <w:bCs/>
          <w:sz w:val="24"/>
        </w:rPr>
        <w:t>Superintendente General</w:t>
      </w:r>
    </w:p>
    <w:bookmarkEnd w:id="1"/>
    <w:p w14:paraId="4EA8926C" w14:textId="2E54C873" w:rsidR="00D67CC3" w:rsidRPr="005A03F9" w:rsidRDefault="00D67CC3" w:rsidP="005A03F9">
      <w:pPr>
        <w:pStyle w:val="Negrita"/>
        <w:spacing w:line="240" w:lineRule="auto"/>
        <w:contextualSpacing/>
        <w:jc w:val="left"/>
        <w:rPr>
          <w:b w:val="0"/>
          <w:sz w:val="24"/>
        </w:rPr>
      </w:pPr>
    </w:p>
    <w:p w14:paraId="25F45D19" w14:textId="15DBCA15" w:rsidR="00E42AAC" w:rsidRPr="005A03F9" w:rsidRDefault="00346758" w:rsidP="005A03F9">
      <w:pPr>
        <w:spacing w:line="240" w:lineRule="auto"/>
        <w:contextualSpacing/>
        <w:rPr>
          <w:b/>
          <w:bCs/>
          <w:sz w:val="24"/>
        </w:rPr>
      </w:pPr>
      <w:r w:rsidRPr="005A03F9">
        <w:rPr>
          <w:b/>
          <w:bCs/>
          <w:sz w:val="24"/>
        </w:rPr>
        <w:t>JSC/GAA/MFC/RED/gvl*</w:t>
      </w:r>
      <w:bookmarkEnd w:id="0"/>
    </w:p>
    <w:sectPr w:rsidR="00E42AAC" w:rsidRPr="005A03F9">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6B162" w14:textId="77777777" w:rsidR="00346758" w:rsidRDefault="00346758" w:rsidP="00181ABF">
      <w:pPr>
        <w:spacing w:line="240" w:lineRule="auto"/>
      </w:pPr>
      <w:r>
        <w:separator/>
      </w:r>
    </w:p>
  </w:endnote>
  <w:endnote w:type="continuationSeparator" w:id="0">
    <w:p w14:paraId="6B01E13C" w14:textId="77777777" w:rsidR="00346758" w:rsidRDefault="00346758"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84CE" w14:textId="77777777" w:rsidR="007B5906" w:rsidRDefault="007B59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6"/>
      <w:gridCol w:w="1472"/>
    </w:tblGrid>
    <w:tr w:rsidR="00825A38" w:rsidRPr="009349F3" w14:paraId="25BFBF81" w14:textId="77777777" w:rsidTr="00825A38">
      <w:tc>
        <w:tcPr>
          <w:tcW w:w="7356" w:type="dxa"/>
        </w:tcPr>
        <w:p w14:paraId="59227482" w14:textId="77777777" w:rsidR="00825A38" w:rsidRDefault="00825A38" w:rsidP="00825A38">
          <w:pPr>
            <w:pStyle w:val="Piedepgina"/>
          </w:pPr>
          <w:r>
            <w:rPr>
              <w:b/>
              <w:noProof/>
              <w:color w:val="046BAC"/>
              <w:sz w:val="18"/>
            </w:rPr>
            <mc:AlternateContent>
              <mc:Choice Requires="wps">
                <w:drawing>
                  <wp:anchor distT="0" distB="0" distL="114300" distR="114300" simplePos="0" relativeHeight="251660288" behindDoc="0" locked="0" layoutInCell="0" allowOverlap="1" wp14:anchorId="591E8511" wp14:editId="02E3B299">
                    <wp:simplePos x="0" y="0"/>
                    <wp:positionH relativeFrom="page">
                      <wp:posOffset>0</wp:posOffset>
                    </wp:positionH>
                    <wp:positionV relativeFrom="page">
                      <wp:posOffset>9594215</wp:posOffset>
                    </wp:positionV>
                    <wp:extent cx="7772400" cy="273050"/>
                    <wp:effectExtent l="0" t="0" r="0" b="12700"/>
                    <wp:wrapNone/>
                    <wp:docPr id="5" name="MSIPCMa8994304a1b9467300e87a5c"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5089CC" w14:textId="77777777" w:rsidR="00825A38" w:rsidRPr="00825A38" w:rsidRDefault="00825A38" w:rsidP="00825A38">
                                <w:pPr>
                                  <w:jc w:val="center"/>
                                  <w:rPr>
                                    <w:rFonts w:ascii="Calibri" w:hAnsi="Calibri" w:cs="Calibri"/>
                                    <w:color w:val="000000"/>
                                    <w:sz w:val="20"/>
                                  </w:rPr>
                                </w:pPr>
                                <w:r w:rsidRPr="00825A38">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1E8511" id="_x0000_t202" coordsize="21600,21600" o:spt="202" path="m,l,21600r21600,l21600,xe">
                    <v:stroke joinstyle="miter"/>
                    <v:path gradientshapeok="t" o:connecttype="rect"/>
                  </v:shapetype>
                  <v:shape id="MSIPCMa8994304a1b9467300e87a5c"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115089CC" w14:textId="77777777" w:rsidR="00825A38" w:rsidRPr="00825A38" w:rsidRDefault="00825A38" w:rsidP="00825A38">
                          <w:pPr>
                            <w:jc w:val="center"/>
                            <w:rPr>
                              <w:rFonts w:ascii="Calibri" w:hAnsi="Calibri" w:cs="Calibri"/>
                              <w:color w:val="000000"/>
                              <w:sz w:val="20"/>
                            </w:rPr>
                          </w:pPr>
                          <w:r w:rsidRPr="00825A38">
                            <w:rPr>
                              <w:rFonts w:ascii="Calibri" w:hAnsi="Calibri" w:cs="Calibri"/>
                              <w:color w:val="000000"/>
                              <w:sz w:val="20"/>
                            </w:rPr>
                            <w:t>Uso Interno</w:t>
                          </w:r>
                        </w:p>
                      </w:txbxContent>
                    </v:textbox>
                    <w10:wrap anchorx="page" anchory="page"/>
                  </v:shape>
                </w:pict>
              </mc:Fallback>
            </mc:AlternateContent>
          </w:r>
          <w:r>
            <w:rPr>
              <w:b/>
              <w:color w:val="046BAC"/>
              <w:w w:val="95"/>
              <w:sz w:val="18"/>
            </w:rPr>
            <w:t>Web:</w:t>
          </w:r>
          <w:r>
            <w:rPr>
              <w:b/>
              <w:color w:val="046BAC"/>
              <w:spacing w:val="2"/>
              <w:w w:val="95"/>
              <w:sz w:val="18"/>
            </w:rPr>
            <w:t xml:space="preserve"> </w:t>
          </w:r>
          <w:hyperlink r:id="rId1">
            <w:r>
              <w:rPr>
                <w:color w:val="9D9FA2"/>
                <w:w w:val="95"/>
                <w:sz w:val="18"/>
              </w:rPr>
              <w:t>www.sugef.fi.cr</w:t>
            </w:r>
            <w:r>
              <w:rPr>
                <w:color w:val="9D9FA2"/>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Correo electrónico:</w:t>
          </w:r>
          <w:r>
            <w:rPr>
              <w:b/>
              <w:color w:val="046BAC"/>
              <w:spacing w:val="6"/>
              <w:w w:val="95"/>
              <w:sz w:val="18"/>
            </w:rPr>
            <w:t xml:space="preserve"> </w:t>
          </w:r>
          <w:hyperlink r:id="rId2" w:history="1">
            <w:r w:rsidRPr="002D6337">
              <w:rPr>
                <w:rStyle w:val="Hipervnculo"/>
                <w:w w:val="95"/>
                <w:sz w:val="18"/>
              </w:rPr>
              <w:t>sugefcr@sugef.fi.cr</w:t>
            </w:r>
            <w:r w:rsidRPr="002D6337">
              <w:rPr>
                <w:rStyle w:val="Hipervnculo"/>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Teléfono:</w:t>
          </w:r>
          <w:r>
            <w:rPr>
              <w:b/>
              <w:color w:val="046BAC"/>
              <w:spacing w:val="6"/>
              <w:w w:val="95"/>
              <w:sz w:val="18"/>
            </w:rPr>
            <w:t xml:space="preserve"> </w:t>
          </w:r>
          <w:r>
            <w:rPr>
              <w:color w:val="9D9FA2"/>
              <w:w w:val="95"/>
              <w:sz w:val="18"/>
            </w:rPr>
            <w:t>2243-4848</w:t>
          </w:r>
        </w:p>
        <w:p w14:paraId="19DC76D2" w14:textId="77777777" w:rsidR="00825A38" w:rsidRPr="009349F3" w:rsidRDefault="00825A38" w:rsidP="00181ABF">
          <w:pPr>
            <w:pStyle w:val="Piedepgina"/>
            <w:rPr>
              <w:b/>
              <w:color w:val="7F7F7F" w:themeColor="text1" w:themeTint="80"/>
              <w:sz w:val="16"/>
              <w:szCs w:val="16"/>
            </w:rPr>
          </w:pPr>
        </w:p>
      </w:tc>
      <w:tc>
        <w:tcPr>
          <w:tcW w:w="1472" w:type="dxa"/>
        </w:tcPr>
        <w:p w14:paraId="39C716BA" w14:textId="77777777" w:rsidR="00825A38" w:rsidRPr="009349F3" w:rsidRDefault="00825A38" w:rsidP="00181ABF">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14:paraId="48227AD9" w14:textId="77777777" w:rsidR="00181ABF" w:rsidRPr="00181ABF" w:rsidRDefault="00825A38" w:rsidP="00181ABF">
    <w:pPr>
      <w:pStyle w:val="Piedepgina"/>
    </w:pPr>
    <w:r>
      <w:rPr>
        <w:noProof/>
      </w:rPr>
      <w:drawing>
        <wp:anchor distT="0" distB="0" distL="114300" distR="114300" simplePos="0" relativeHeight="251659264" behindDoc="1" locked="0" layoutInCell="1" allowOverlap="1" wp14:anchorId="74474DC1" wp14:editId="6E7ECB77">
          <wp:simplePos x="0" y="0"/>
          <wp:positionH relativeFrom="page">
            <wp:posOffset>5775960</wp:posOffset>
          </wp:positionH>
          <wp:positionV relativeFrom="paragraph">
            <wp:posOffset>-247650</wp:posOffset>
          </wp:positionV>
          <wp:extent cx="1985645" cy="900161"/>
          <wp:effectExtent l="0" t="0" r="0" b="0"/>
          <wp:wrapNone/>
          <wp:docPr id="9" name="Imagen 9"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D24C" w14:textId="77777777" w:rsidR="007B5906" w:rsidRDefault="007B59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EF117" w14:textId="77777777" w:rsidR="00346758" w:rsidRDefault="00346758" w:rsidP="00181ABF">
      <w:pPr>
        <w:spacing w:line="240" w:lineRule="auto"/>
      </w:pPr>
      <w:r>
        <w:separator/>
      </w:r>
    </w:p>
  </w:footnote>
  <w:footnote w:type="continuationSeparator" w:id="0">
    <w:p w14:paraId="078FBD57" w14:textId="77777777" w:rsidR="00346758" w:rsidRDefault="00346758"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F7BF" w14:textId="77777777" w:rsidR="007B5906" w:rsidRDefault="007B590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782D" w14:textId="77777777" w:rsidR="00181ABF" w:rsidRDefault="00181ABF">
    <w:pPr>
      <w:pStyle w:val="Encabezado"/>
    </w:pPr>
  </w:p>
  <w:p w14:paraId="0BA73CB4" w14:textId="77777777" w:rsidR="00181ABF" w:rsidRDefault="00181ABF" w:rsidP="00825A38">
    <w:pPr>
      <w:pStyle w:val="Encabezado"/>
      <w:jc w:val="left"/>
    </w:pPr>
    <w:r>
      <w:rPr>
        <w:noProof/>
        <w:lang w:val="es-CR" w:eastAsia="es-CR"/>
      </w:rPr>
      <w:drawing>
        <wp:inline distT="0" distB="0" distL="0" distR="0" wp14:anchorId="30128780" wp14:editId="51E4FF2F">
          <wp:extent cx="1473145" cy="691055"/>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43C7" w14:textId="77777777" w:rsidR="007B5906" w:rsidRDefault="007B59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79B5"/>
    <w:multiLevelType w:val="hybridMultilevel"/>
    <w:tmpl w:val="98206EC6"/>
    <w:lvl w:ilvl="0" w:tplc="FF26E8DA">
      <w:start w:val="1"/>
      <w:numFmt w:val="decimal"/>
      <w:lvlText w:val="%1."/>
      <w:lvlJc w:val="left"/>
      <w:pPr>
        <w:ind w:left="360" w:hanging="360"/>
      </w:pPr>
      <w:rPr>
        <w:rFonts w:hint="default"/>
        <w:strike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1306763E"/>
    <w:multiLevelType w:val="hybridMultilevel"/>
    <w:tmpl w:val="BAB4357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288E0D22"/>
    <w:multiLevelType w:val="hybridMultilevel"/>
    <w:tmpl w:val="F21A8442"/>
    <w:lvl w:ilvl="0" w:tplc="D40ED75E">
      <w:start w:val="1"/>
      <w:numFmt w:val="decimal"/>
      <w:lvlText w:val="%1."/>
      <w:lvlJc w:val="left"/>
      <w:pPr>
        <w:ind w:left="720" w:hanging="360"/>
      </w:pPr>
      <w:rPr>
        <w:rFonts w:hint="default"/>
      </w:rPr>
    </w:lvl>
    <w:lvl w:ilvl="1" w:tplc="7C2C0798">
      <w:start w:val="1"/>
      <w:numFmt w:val="lowerRoman"/>
      <w:lvlText w:val="%2."/>
      <w:lvlJc w:val="left"/>
      <w:pPr>
        <w:ind w:left="1440" w:hanging="360"/>
      </w:pPr>
      <w:rPr>
        <w:rFonts w:hint="default"/>
        <w:b w:val="0"/>
        <w:i w:val="0"/>
        <w:strike w:val="0"/>
        <w:dstrike w:val="0"/>
        <w:color w:val="7F7F7F"/>
        <w:sz w:val="14"/>
        <w:szCs w:val="10"/>
        <w:u w:val="none" w:color="000000"/>
        <w:vertAlign w:val="baseline"/>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09232E4"/>
    <w:multiLevelType w:val="hybridMultilevel"/>
    <w:tmpl w:val="6186BC1C"/>
    <w:lvl w:ilvl="0" w:tplc="14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6" w15:restartNumberingAfterBreak="0">
    <w:nsid w:val="583B0AEC"/>
    <w:multiLevelType w:val="hybridMultilevel"/>
    <w:tmpl w:val="4FAE3A72"/>
    <w:lvl w:ilvl="0" w:tplc="FFFFFFFF">
      <w:start w:val="1"/>
      <w:numFmt w:val="lowerRoman"/>
      <w:lvlText w:val="%1."/>
      <w:lvlJc w:val="left"/>
      <w:pPr>
        <w:ind w:left="1160" w:hanging="360"/>
      </w:pPr>
      <w:rPr>
        <w:rFonts w:hint="default"/>
      </w:r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7" w15:restartNumberingAfterBreak="0">
    <w:nsid w:val="5FA16216"/>
    <w:multiLevelType w:val="hybridMultilevel"/>
    <w:tmpl w:val="4FAE3A72"/>
    <w:lvl w:ilvl="0" w:tplc="C868F2C2">
      <w:start w:val="1"/>
      <w:numFmt w:val="lowerRoman"/>
      <w:lvlText w:val="%1."/>
      <w:lvlJc w:val="left"/>
      <w:pPr>
        <w:ind w:left="1160" w:hanging="360"/>
      </w:pPr>
      <w:rPr>
        <w:rFonts w:hint="default"/>
      </w:rPr>
    </w:lvl>
    <w:lvl w:ilvl="1" w:tplc="140A0019" w:tentative="1">
      <w:start w:val="1"/>
      <w:numFmt w:val="lowerLetter"/>
      <w:lvlText w:val="%2."/>
      <w:lvlJc w:val="left"/>
      <w:pPr>
        <w:ind w:left="1880" w:hanging="360"/>
      </w:pPr>
    </w:lvl>
    <w:lvl w:ilvl="2" w:tplc="140A001B" w:tentative="1">
      <w:start w:val="1"/>
      <w:numFmt w:val="lowerRoman"/>
      <w:lvlText w:val="%3."/>
      <w:lvlJc w:val="right"/>
      <w:pPr>
        <w:ind w:left="2600" w:hanging="180"/>
      </w:pPr>
    </w:lvl>
    <w:lvl w:ilvl="3" w:tplc="140A000F" w:tentative="1">
      <w:start w:val="1"/>
      <w:numFmt w:val="decimal"/>
      <w:lvlText w:val="%4."/>
      <w:lvlJc w:val="left"/>
      <w:pPr>
        <w:ind w:left="3320" w:hanging="360"/>
      </w:pPr>
    </w:lvl>
    <w:lvl w:ilvl="4" w:tplc="140A0019" w:tentative="1">
      <w:start w:val="1"/>
      <w:numFmt w:val="lowerLetter"/>
      <w:lvlText w:val="%5."/>
      <w:lvlJc w:val="left"/>
      <w:pPr>
        <w:ind w:left="4040" w:hanging="360"/>
      </w:pPr>
    </w:lvl>
    <w:lvl w:ilvl="5" w:tplc="140A001B" w:tentative="1">
      <w:start w:val="1"/>
      <w:numFmt w:val="lowerRoman"/>
      <w:lvlText w:val="%6."/>
      <w:lvlJc w:val="right"/>
      <w:pPr>
        <w:ind w:left="4760" w:hanging="180"/>
      </w:pPr>
    </w:lvl>
    <w:lvl w:ilvl="6" w:tplc="140A000F" w:tentative="1">
      <w:start w:val="1"/>
      <w:numFmt w:val="decimal"/>
      <w:lvlText w:val="%7."/>
      <w:lvlJc w:val="left"/>
      <w:pPr>
        <w:ind w:left="5480" w:hanging="360"/>
      </w:pPr>
    </w:lvl>
    <w:lvl w:ilvl="7" w:tplc="140A0019" w:tentative="1">
      <w:start w:val="1"/>
      <w:numFmt w:val="lowerLetter"/>
      <w:lvlText w:val="%8."/>
      <w:lvlJc w:val="left"/>
      <w:pPr>
        <w:ind w:left="6200" w:hanging="360"/>
      </w:pPr>
    </w:lvl>
    <w:lvl w:ilvl="8" w:tplc="140A001B" w:tentative="1">
      <w:start w:val="1"/>
      <w:numFmt w:val="lowerRoman"/>
      <w:lvlText w:val="%9."/>
      <w:lvlJc w:val="right"/>
      <w:pPr>
        <w:ind w:left="6920" w:hanging="180"/>
      </w:pPr>
    </w:lvl>
  </w:abstractNum>
  <w:abstractNum w:abstractNumId="8" w15:restartNumberingAfterBreak="0">
    <w:nsid w:val="6E56291B"/>
    <w:multiLevelType w:val="hybridMultilevel"/>
    <w:tmpl w:val="BC9C3058"/>
    <w:lvl w:ilvl="0" w:tplc="35AED6D2">
      <w:start w:val="1"/>
      <w:numFmt w:val="low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9"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1898976288">
    <w:abstractNumId w:val="2"/>
  </w:num>
  <w:num w:numId="2" w16cid:durableId="1196889928">
    <w:abstractNumId w:val="5"/>
  </w:num>
  <w:num w:numId="3" w16cid:durableId="1518931974">
    <w:abstractNumId w:val="9"/>
  </w:num>
  <w:num w:numId="4" w16cid:durableId="1222642218">
    <w:abstractNumId w:val="8"/>
  </w:num>
  <w:num w:numId="5" w16cid:durableId="806357763">
    <w:abstractNumId w:val="1"/>
  </w:num>
  <w:num w:numId="6" w16cid:durableId="530655354">
    <w:abstractNumId w:val="4"/>
  </w:num>
  <w:num w:numId="7" w16cid:durableId="194585724">
    <w:abstractNumId w:val="0"/>
  </w:num>
  <w:num w:numId="8" w16cid:durableId="1691643916">
    <w:abstractNumId w:val="3"/>
  </w:num>
  <w:num w:numId="9" w16cid:durableId="1389911212">
    <w:abstractNumId w:val="7"/>
  </w:num>
  <w:num w:numId="10" w16cid:durableId="19203616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58"/>
    <w:rsid w:val="00014186"/>
    <w:rsid w:val="000202E3"/>
    <w:rsid w:val="00041300"/>
    <w:rsid w:val="000A15E9"/>
    <w:rsid w:val="000D0BC8"/>
    <w:rsid w:val="001607B7"/>
    <w:rsid w:val="00181ABF"/>
    <w:rsid w:val="001C2C49"/>
    <w:rsid w:val="001E2B61"/>
    <w:rsid w:val="00222224"/>
    <w:rsid w:val="00226DDC"/>
    <w:rsid w:val="00292DEB"/>
    <w:rsid w:val="002A23C6"/>
    <w:rsid w:val="00316EDA"/>
    <w:rsid w:val="003172BE"/>
    <w:rsid w:val="00346758"/>
    <w:rsid w:val="0046105A"/>
    <w:rsid w:val="005722AA"/>
    <w:rsid w:val="005A03F9"/>
    <w:rsid w:val="007010B2"/>
    <w:rsid w:val="00714CF0"/>
    <w:rsid w:val="007465F4"/>
    <w:rsid w:val="007B5906"/>
    <w:rsid w:val="00825A38"/>
    <w:rsid w:val="008C7F0D"/>
    <w:rsid w:val="00937EF0"/>
    <w:rsid w:val="00A84A47"/>
    <w:rsid w:val="00B95834"/>
    <w:rsid w:val="00C26FAE"/>
    <w:rsid w:val="00C63137"/>
    <w:rsid w:val="00CD5436"/>
    <w:rsid w:val="00D2422E"/>
    <w:rsid w:val="00D25F25"/>
    <w:rsid w:val="00D67CC3"/>
    <w:rsid w:val="00D90222"/>
    <w:rsid w:val="00DD47D9"/>
    <w:rsid w:val="00DF2ACF"/>
    <w:rsid w:val="00E42AAC"/>
    <w:rsid w:val="00EA0321"/>
    <w:rsid w:val="00EA5E9A"/>
    <w:rsid w:val="00ED796D"/>
    <w:rsid w:val="00EE1F78"/>
    <w:rsid w:val="00F95109"/>
    <w:rsid w:val="00F952B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B0020"/>
  <w15:chartTrackingRefBased/>
  <w15:docId w15:val="{E7A323E2-04DD-4E2C-809B-B9A9C8A1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paragraph" w:styleId="Ttulo3">
    <w:name w:val="heading 3"/>
    <w:basedOn w:val="Normal"/>
    <w:next w:val="Normal"/>
    <w:link w:val="Ttulo3Car"/>
    <w:uiPriority w:val="99"/>
    <w:qFormat/>
    <w:rsid w:val="00346758"/>
    <w:pPr>
      <w:keepNext/>
      <w:spacing w:line="240" w:lineRule="auto"/>
      <w:jc w:val="left"/>
      <w:outlineLvl w:val="2"/>
    </w:pPr>
    <w:rPr>
      <w:rFonts w:ascii="Times New Roman" w:hAnsi="Times New Roman"/>
      <w:b/>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825A38"/>
    <w:rPr>
      <w:color w:val="0563C1" w:themeColor="hyperlink"/>
      <w:u w:val="single"/>
    </w:rPr>
  </w:style>
  <w:style w:type="character" w:customStyle="1" w:styleId="Ttulo3Car">
    <w:name w:val="Título 3 Car"/>
    <w:basedOn w:val="Fuentedeprrafopredeter"/>
    <w:link w:val="Ttulo3"/>
    <w:uiPriority w:val="99"/>
    <w:rsid w:val="00346758"/>
    <w:rPr>
      <w:rFonts w:ascii="Times New Roman" w:eastAsia="Times New Roman" w:hAnsi="Times New Roman" w:cs="Times New Roman"/>
      <w:b/>
      <w:bCs/>
      <w:sz w:val="24"/>
      <w:szCs w:val="20"/>
      <w:lang w:val="es-ES" w:eastAsia="es-ES"/>
    </w:rPr>
  </w:style>
  <w:style w:type="paragraph" w:styleId="Prrafodelista">
    <w:name w:val="List Paragraph"/>
    <w:aliases w:val="Titulo 2,Con viñetas,Normal con viñetas,3,Use Case List Paragraph,Bullet 1,Informe,Segundo nivel de viñetas,Titulo 1,Lista vistosa - Énfasis 11,Párrafo de lista Car Car Car,Bullet List,numbered,FooterText,Bullets,Viñetas,titulo 3"/>
    <w:basedOn w:val="Normal"/>
    <w:link w:val="PrrafodelistaCar"/>
    <w:uiPriority w:val="34"/>
    <w:qFormat/>
    <w:rsid w:val="00346758"/>
    <w:pPr>
      <w:spacing w:line="240" w:lineRule="auto"/>
      <w:ind w:left="708"/>
      <w:jc w:val="center"/>
    </w:pPr>
    <w:rPr>
      <w:rFonts w:ascii="Times New Roman" w:hAnsi="Times New Roman"/>
      <w:sz w:val="24"/>
      <w:lang w:eastAsia="es-ES"/>
    </w:rPr>
  </w:style>
  <w:style w:type="paragraph" w:customStyle="1" w:styleId="Default">
    <w:name w:val="Default"/>
    <w:rsid w:val="00346758"/>
    <w:pPr>
      <w:autoSpaceDE w:val="0"/>
      <w:autoSpaceDN w:val="0"/>
      <w:adjustRightInd w:val="0"/>
      <w:spacing w:after="0" w:line="240" w:lineRule="auto"/>
    </w:pPr>
    <w:rPr>
      <w:rFonts w:ascii="Arial" w:eastAsia="Calibri" w:hAnsi="Arial" w:cs="Arial"/>
      <w:color w:val="000000"/>
      <w:sz w:val="24"/>
      <w:szCs w:val="24"/>
      <w:lang w:eastAsia="es-CR"/>
    </w:rPr>
  </w:style>
  <w:style w:type="character" w:customStyle="1" w:styleId="PrrafodelistaCar">
    <w:name w:val="Párrafo de lista Car"/>
    <w:aliases w:val="Titulo 2 Car,Con viñetas Car,Normal con viñetas Car,3 Car,Use Case List Paragraph Car,Bullet 1 Car,Informe Car,Segundo nivel de viñetas Car,Titulo 1 Car,Lista vistosa - Énfasis 11 Car,Párrafo de lista Car Car Car Car,Bullet List Car"/>
    <w:link w:val="Prrafodelista"/>
    <w:uiPriority w:val="34"/>
    <w:qFormat/>
    <w:locked/>
    <w:rsid w:val="0034675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1BFD599DA54AE8B776F34D501683DE"/>
        <w:category>
          <w:name w:val="General"/>
          <w:gallery w:val="placeholder"/>
        </w:category>
        <w:types>
          <w:type w:val="bbPlcHdr"/>
        </w:types>
        <w:behaviors>
          <w:behavior w:val="content"/>
        </w:behaviors>
        <w:guid w:val="{40C6958A-23CE-46E6-A5CE-9BAB67897A3B}"/>
      </w:docPartPr>
      <w:docPartBody>
        <w:p w:rsidR="00941198" w:rsidRDefault="00941198">
          <w:pPr>
            <w:pStyle w:val="F81BFD599DA54AE8B776F34D501683DE"/>
          </w:pPr>
          <w:r w:rsidRPr="001E0779">
            <w:rPr>
              <w:rStyle w:val="Textodelmarcadordeposicin"/>
            </w:rPr>
            <w:t>Haga clic aquí para escribir texto.</w:t>
          </w:r>
        </w:p>
      </w:docPartBody>
    </w:docPart>
    <w:docPart>
      <w:docPartPr>
        <w:name w:val="96523CDFD71B485CBACD0A1691DE483E"/>
        <w:category>
          <w:name w:val="General"/>
          <w:gallery w:val="placeholder"/>
        </w:category>
        <w:types>
          <w:type w:val="bbPlcHdr"/>
        </w:types>
        <w:behaviors>
          <w:behavior w:val="content"/>
        </w:behaviors>
        <w:guid w:val="{89E74EAC-503F-4CFA-B44A-4FA6AE3D8696}"/>
      </w:docPartPr>
      <w:docPartBody>
        <w:p w:rsidR="00941198" w:rsidRDefault="00941198">
          <w:pPr>
            <w:pStyle w:val="96523CDFD71B485CBACD0A1691DE483E"/>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98"/>
    <w:rsid w:val="0094119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F81BFD599DA54AE8B776F34D501683DE">
    <w:name w:val="F81BFD599DA54AE8B776F34D501683DE"/>
  </w:style>
  <w:style w:type="paragraph" w:customStyle="1" w:styleId="96523CDFD71B485CBACD0A1691DE483E">
    <w:name w:val="96523CDFD71B485CBACD0A1691DE4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WwBEeqUcetfcdrsw7in9y/0YnkcKZxwJVFIaC+nMFRY=</DigestValue>
    </Reference>
    <Reference Type="http://www.w3.org/2000/09/xmldsig#Object" URI="#idOfficeObject">
      <DigestMethod Algorithm="http://www.w3.org/2001/04/xmlenc#sha256"/>
      <DigestValue>GH8i/WTkXg+s1dsGAjJGxnMaFKUQDBfbiSA/pXzgg+w=</DigestValue>
    </Reference>
    <Reference Type="http://uri.etsi.org/01903#SignedProperties" URI="#idSignedProperties">
      <Transforms>
        <Transform Algorithm="http://www.w3.org/TR/2001/REC-xml-c14n-20010315"/>
      </Transforms>
      <DigestMethod Algorithm="http://www.w3.org/2001/04/xmlenc#sha256"/>
      <DigestValue>fFubddVVuLCYNxZTnSLX2pQD/uwDkq9RgwwnKZsQr90=</DigestValue>
    </Reference>
  </SignedInfo>
  <SignatureValue>bTqDzsHtCSaXlg3f4ruT6EN6J0sF0fg5Xa5ao02po7DzELwrW5/6zylmxBE2YccNYcemfAKmpdJy
Vhl0EZugIHDeMXgH9xJqFq4PoejH+lCu2rlKkMZthjW9tqQrs8mB4qFtURxhbUuy1hpPJicfNOns
W6r6mNd9Dr356bLr5zKr2uTxyx4sTIoYQiEFp5lAMXRo31B898wA8XO6QpvfZwpjNbOCa4Z3Wlph
PUGqCnecE4mWJ9QtHEfdRARSQ+iiWKYhiB1Yhq6Uzl6iKidgxsfz3D4gbAAGuj86RGkB/iuWNbjI
z3ZGz5VlpHPrunnUvfM7R2hQN0ub756xdOg83A==</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Q4KnL/6CBN00kH+tYPYu3YM9nW3+TrZkR09uo8HqUpg=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lUFHXFQpx0VZJrvjlB6olPwLQO7xSr79NZFIgD07/bw=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WVEdPuHBhc8ihWxg8WtkDPP8uL/1i41mJ08I09N34jc=</DigestValue>
      </Reference>
      <Reference URI="/word/endnotes.xml?ContentType=application/vnd.openxmlformats-officedocument.wordprocessingml.endnotes+xml">
        <DigestMethod Algorithm="http://www.w3.org/2001/04/xmlenc#sha256"/>
        <DigestValue>j3gL3HtXx9r0PC8DY1YqcxKS2GtjhgKCodQI4zaX6mY=</DigestValue>
      </Reference>
      <Reference URI="/word/fontTable.xml?ContentType=application/vnd.openxmlformats-officedocument.wordprocessingml.fontTable+xml">
        <DigestMethod Algorithm="http://www.w3.org/2001/04/xmlenc#sha256"/>
        <DigestValue>eK5GvWIX1mzsa89U+hT/3OXFs2cNtGlgZuiDxsSZTyU=</DigestValue>
      </Reference>
      <Reference URI="/word/footer1.xml?ContentType=application/vnd.openxmlformats-officedocument.wordprocessingml.footer+xml">
        <DigestMethod Algorithm="http://www.w3.org/2001/04/xmlenc#sha256"/>
        <DigestValue>F3bpVvmM27edIaMwkdPg55DspTytUCT7+y2Yt4oT+RA=</DigestValue>
      </Reference>
      <Reference URI="/word/footer2.xml?ContentType=application/vnd.openxmlformats-officedocument.wordprocessingml.footer+xml">
        <DigestMethod Algorithm="http://www.w3.org/2001/04/xmlenc#sha256"/>
        <DigestValue>wUO8QrChD4AmFmsotojfPzFLH6FxcaUYfxWU0o6dqCI=</DigestValue>
      </Reference>
      <Reference URI="/word/footer3.xml?ContentType=application/vnd.openxmlformats-officedocument.wordprocessingml.footer+xml">
        <DigestMethod Algorithm="http://www.w3.org/2001/04/xmlenc#sha256"/>
        <DigestValue>bXNh9A0clMvLB5QTzXNDmUuz4UDwIxlJ+2Jyg8Tnwds=</DigestValue>
      </Reference>
      <Reference URI="/word/footnotes.xml?ContentType=application/vnd.openxmlformats-officedocument.wordprocessingml.footnotes+xml">
        <DigestMethod Algorithm="http://www.w3.org/2001/04/xmlenc#sha256"/>
        <DigestValue>4MpEeJ3BL6/HCbIKAJpzh67VS9xuXtnsoftlZY6gRmU=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091y2Upqx+j4QZDpyECY1ln+6QecPKbZlyNAUHuOZz8=</DigestValue>
      </Reference>
      <Reference URI="/word/glossary/fontTable.xml?ContentType=application/vnd.openxmlformats-officedocument.wordprocessingml.fontTable+xml">
        <DigestMethod Algorithm="http://www.w3.org/2001/04/xmlenc#sha256"/>
        <DigestValue>eK5GvWIX1mzsa89U+hT/3OXFs2cNtGlgZuiDxsSZTyU=</DigestValue>
      </Reference>
      <Reference URI="/word/glossary/settings.xml?ContentType=application/vnd.openxmlformats-officedocument.wordprocessingml.settings+xml">
        <DigestMethod Algorithm="http://www.w3.org/2001/04/xmlenc#sha256"/>
        <DigestValue>8FuXn/gRodlyUsY/dPioGwTlS5m0jiaj11q8IOZpUMI=</DigestValue>
      </Reference>
      <Reference URI="/word/glossary/styles.xml?ContentType=application/vnd.openxmlformats-officedocument.wordprocessingml.styles+xml">
        <DigestMethod Algorithm="http://www.w3.org/2001/04/xmlenc#sha256"/>
        <DigestValue>/BPSwEtlDuOIyhwNXNPZjWVbvuVAXo4aAZ3ORSPKrDc=</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Vqps0kRS8TaBnetdKh6OzcBoSkLpNR/eUD7QmZJBbF0=</DigestValue>
      </Reference>
      <Reference URI="/word/header2.xml?ContentType=application/vnd.openxmlformats-officedocument.wordprocessingml.header+xml">
        <DigestMethod Algorithm="http://www.w3.org/2001/04/xmlenc#sha256"/>
        <DigestValue>wOMKV8ziQyC3T3spXmxBPGRy3Yoa5CinC/35P699tbM=</DigestValue>
      </Reference>
      <Reference URI="/word/header3.xml?ContentType=application/vnd.openxmlformats-officedocument.wordprocessingml.header+xml">
        <DigestMethod Algorithm="http://www.w3.org/2001/04/xmlenc#sha256"/>
        <DigestValue>BQULbAmtfp1qPFUoD3uThh+E/kWK4r/nEAR1VAudkpY=</DigestValue>
      </Reference>
      <Reference URI="/word/media/image1.png?ContentType=image/png">
        <DigestMethod Algorithm="http://www.w3.org/2001/04/xmlenc#sha256"/>
        <DigestValue>PxQj0WHNS4pZ2DZbbgdFUInEnW0JS1e2xhnC2wegqPo=</DigestValue>
      </Reference>
      <Reference URI="/word/media/image2.jpeg?ContentType=image/jpeg">
        <DigestMethod Algorithm="http://www.w3.org/2001/04/xmlenc#sha256"/>
        <DigestValue>xyj69l3DW8glKu5smMXAwtOjzbX6e4vINW9rhAbhtrc=</DigestValue>
      </Reference>
      <Reference URI="/word/media/image3.png?ContentType=image/png">
        <DigestMethod Algorithm="http://www.w3.org/2001/04/xmlenc#sha256"/>
        <DigestValue>qpOpLv7+AIBBXGXobYzZUmN/7IR83yO/J/JVrvtB94I=</DigestValue>
      </Reference>
      <Reference URI="/word/media/image4.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6M3eRNFlrxX19LHestma4Anohl2cV3AhcEu9EZcs2fk=</DigestValue>
      </Reference>
      <Reference URI="/word/settings.xml?ContentType=application/vnd.openxmlformats-officedocument.wordprocessingml.settings+xml">
        <DigestMethod Algorithm="http://www.w3.org/2001/04/xmlenc#sha256"/>
        <DigestValue>nVEY4/01WmUVz17K5ucnzjAhvZrHW4FpXer7GkLNfWY=</DigestValue>
      </Reference>
      <Reference URI="/word/styles.xml?ContentType=application/vnd.openxmlformats-officedocument.wordprocessingml.styles+xml">
        <DigestMethod Algorithm="http://www.w3.org/2001/04/xmlenc#sha256"/>
        <DigestValue>YkCX2co5w1jRUDPX5bFLAymSnrJPoiTeuRgXydLKgis=</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2023-10-26T15:54:57Z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2023-10-26T15:54:57Z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OPZrZHUarmtlvn2v9tfFSike3dniuFVcHpEQiKV9L0kCBBcc1usYDzIwMjMxMDI2MTU1NDU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AyNjE1NTQ1OVowLwYJKoZIhvcNAQkEMSIEIFRE6N5TgGoQOrAxFpK8SOt467p5gKvjZ/XDy5tLE9ysMDcGCyqGSIb3DQEJEAIvMSgwJjAkMCIEIDcrk3iY5iZu+N7/iFpVKDYeTZ9u7elabVQcL5d9tumpMA0GCSqGSIb3DQEBAQUABIIBAJONSQffzm1sL81emjTPCOUz218boGfo/4zvOf9SGWLvOxdW/Xu4G39aVu9WaFBhQTkt5D+qbWh9Zmb9/PPQ0wyo0HbF5x+l6P9w4N/XcJjMxSUTpaMIyYSdjw0pvf7FFmhHY6tXLS1Pnl7sSAUgEcPcwP+dOtRymjDBm322JGpWgxDaYvoUE7snrNTDx5ZT9IaH0DOE+OYtieL3KPueyyjR1xv5jd9ewfxB+VZ9tOnkyc4S4Cm5028Bj+VwTJqJq3dW6vHKjocaOhJP+hMCOMNU+xAU7w2sFdj+ozrinvsU8K4dz0L42GHBTGY95T7G8wM9/uPW69DAaR09gfSkVN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DA0MjA0NTE2WhcNMjMxMjA1MDkwNTE2WqBfMF0wHwYDVR0jBBgwFoAUsLvgCC5LE2jw0IBEA2ekP/8lY/YwEAYJKwYBBAGCNxUBBAMCAQAwCgYDVR0UBAMCATIwHAYJKwYBBAGCNxUEBA8XDTIzMTIwNDIwNTUxNlowDQYJKoZIhvcNAQENBQADggIBAGriWluihplQysJcU7at4BmTLTGttt4QClpNk9UCpzZ8401e63B6vy1P6CRBrvFnr3cOMhGQjBUckXqh7PgLCNU+wLJ2gy7DFyOjtX0V4kt06BDCXaFJGdb5fnoLK05hZsdLWBGfr7LkVyr2UdSTqat2xGqU1ti6VX2RqaC7F4ztSX+corbE2wa41tZqSV18rZ9xILDOsHp6QiqV1QmtnbXb8ZeZJwwYjFVIxfluxGaHo/rzdZuJip8ayGw1JNLWCNDLR0Ot5sRAWx2eC3aHt5Rooebvx4rNjs6HYh3zowUNBiNWqRmRwbV4xoXDrdQK7uNescZL4lsZGVD1YvAQr3c5WTetrvuyi+JHEssT01seMHzYpa9NSg/AgJPUnxl1cExWhNqnogJVE5NxeFNhj4f41XKDu7NoMQeA48Yir7fgStPGih09pUHhvAmGOPP5/rUK7me1EsNL9hZarZwNG7H2DjqbLrp1zAsi/1rYs1/urIaGRLq6rt8cDvigODBvgoS437k5CtmubSTaq6ipltNMkVNuhCSscno5J7iJxf5Jq0XDdrXUlmWD/Sv5StF6i/c0FXaOSr/D6BPm3UbG5ezpZpBl1mH53Qg2hIggJR2IXEaK1OduYiX0/TOS9AIY/2I9l59rMsMq1BzI6gz1rkKUXtKZBQrHH/UiehLYIkGx</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l4+/CIYue60G0q1Kb929uKm3Iq4=</xd:ByKey>
                  </xd:ResponderID>
                  <xd:ProducedAt>2023-10-25T14:39:12Z</xd:ProducedAt>
                </xd:OCSPIdentifier>
                <xd:DigestAlgAndValue>
                  <DigestMethod Algorithm="http://www.w3.org/2001/04/xmlenc#sha256"/>
                  <DigestValue>eX011eAbER/VPNo+mi19QdLXu8lO9h3wh5M6EqBaHXg=</DigestValue>
                </xd:DigestAlgAndValue>
              </xd:OCSPRef>
            </xd:OCSPRefs>
            <xd:CRLRefs>
              <xd:CRLRef>
                <xd:DigestAlgAndValue>
                  <DigestMethod Algorithm="http://www.w3.org/2001/04/xmlenc#sha256"/>
                  <DigestValue>RteNMiXek6py5a06Q23OpRwr6n/7GJHq9dwp27quXnw=</DigestValue>
                </xd:DigestAlgAndValue>
                <xd:CRLIdentifier>
                  <xd:Issuer>CN=CA POLITICA PERSONA FISICA - COSTA RICA v2, OU=DCFD, O=MICITT, C=CR, SERIALNUMBER=CPJ-2-100-098311</xd:Issuer>
                  <xd:IssueTime>2023-10-04T20:36:34Z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iwoBAKCCBoQwggaABgkrBgEFBQcwAQEEggZxMIIGbTCBxaIWBBSXj78Ihi57rQbSrUpv3b24qbcirhgPMjAyMzEwMjUxNDM5MTJaMIGZMIGWMEwwCQYFKw4DAhoFAAQUzgxHzN03kqP+e9oD7BphnZQwSGIEFF8FGEEQ3hUvOunAFqPnoWpS0TrsAhMUAAkdibcwGcw4YG8RAAEACR2JgAAYDzIwMjMxMDI1MTQyNjM3WqARGA8yMDIzMTAyNzAyNDYzN1qhIDAeMBwGCSsGAQQBgjcVBAQPFw0yMzEwMjYxNDM2MzdaMA0GCSqGSIb3DQEBCwUAA4IBAQAKIzYKyoG9OApcoyzEMCYQ4bjmKeCWzXVHyS/YvvJA7BVPOtHw5Td/pd5zexHfh1AosnXBR/nZh1e8VluyptO593ki85JbgftbhG00NhrB2YtOR8MMDHMusN8Y/IzhjzYi4As22VcUgUPG5rfpA+59fQ6ua1CgjmueQkKi2YnFus0DsSPAm4vuye1wIfNgylZ3PzZ0bqPKH/c+iMvkgiCqdv/dwOYeDzR5Yo0WJKfsqgUI57UKvm2NRSvsaRCkNfTAOJ8xaDRgZs6wSHyFFwuHzNgPe1GG8LBDJym2stt9XreUp7lrjmRiowy6KNb0PcBUu3I9uSxiK6Y9bzmxTdQLoIIEjTCCBIkwggSFMIIDbaADAgECAhMUABIZ27FVSVKIEu8wAAIAEhnbMA0GCSqGSIb3DQEBCwUAMIGZMRkwFwYDVQQFExBDUEotNC0wMDAtMDA0MDE3MQswCQYDVQQGEwJDUjEkMCIGA1UEChMbQkFOQ08gQ0VOVFJBTCBERSBDT1NUQSBSSUNBMSIwIAYDVQQLExlESVZJU0lPTiBTSVNURU1BUyBERSBQQUdPMSUwIwYDVQQDExxDQSBTSU5QRSAtIFBFUlNPTkEgRklTSUNBIHYyMB4XDTIzMTAyMDAyMjU0OFoXDTIzMTEwMzAyMjU0OFowGjEYMBYGA1UEAxMPUE9SVkVOSVIuZmRpLmNyMIIBIjANBgkqhkiG9w0BAQEFAAOCAQ8AMIIBCgKCAQEAq7M6MZp8Ij7PWHaBKYZh3tDCNVNDTaOhPASjde43fmRjYXqL85Gxq3mgDji+DQUp1G6TyhEQNYJAoeTXM3UAyB/kwEr4JKFOewiXzv18DKuowLIPs1VkOzcqWTi/Zao24LajVTW2j766XnD0WsqYE6YN/YCC9oaDEnONr9iZWS5iAtyhJrxNZE3rgyTnDbU/KQBGoYfiOzRpmXPJzkIGwvhgYHWPHQLPYlNXF3MfM0DKrbhzkMt2bL/OTWOmvH00sb1m0mWkh6QioTZObjpvj2nP7XBMtkXACGjbc4diN4Pq5XYBUVTHVF/6IbfN2cTlwHkBWRRGdEx/2GG52LDz5wIDAQABo4IBQjCCAT4wPQYJKwYBBAGCNxUHBDAwLgYmKwYBBAGCNxUIhcTqW4LR4zWVkRuC+ZcYhqXLa4F/g/b8d4G48TMCAWQCAQcwEwYDVR0lBAwwCgYIKwYBBQUHAwkwDgYDVR0PAQH/BAQDAgeAMBsGCSsGAQQBgjcVCgQOMAwwCgYIKwYBBQUHAwkwDwYJKwYBBQUHMAEFBAIFADAfBgNVHSMEGDAWgBRfBRhBEN4VLzrpwBaj56FqUtE67DAdBgNVHQ4EFgQUl4+/CIYue60G0q1Kb929uKm3Iq4wGgYDVR0RBBMwEYIPUE9SVkVOSVIuZmRpLmNyME4GCSsGAQQBgjcZAgRBMD+gPQYKKwYBBAGCNxkCAaAvBC1TLTEtNS0yMS0zMjM5NTUwODc4LTc1Mzc5OTczOS0xNzU2NjAxNTAzLTExMDcwDQYJKoZIhvcNAQELBQADggEBAFT6dk8IU1p3DeFRM802V6R3wmWoXHcf8yj6WptIMueOFY/33fbiKDCEDgkukbrTgG67raR3YWl9+kFGTGDr0/cjrcu8DmXQDIKm6Rn/rR/OMV2TDz0IaWyURYVl12IZwW4w3LlReuQ6+/YiLFkTkyLHBKsXYQJDAWRlwtEwb38/Z9p5sun9oQZZT0XBJRhwbaBWiUP6rp4PFq1BM1uQiEwjH0mauaeFvF1oizXzhdzHhrePBYOmgjjv5o/Jd6DmcKEHe49ddf0QwRwx5pa+tqbg/QLwwg+ip5MThFDv6zV23aBlWLkzf76RJKBS07PFh2eYiK80ycHxDvBDZ+AxpyQ=</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wMDQyMDM2MzRaFw0yMzEyMDUwODU2MzRaoF8wXTAfBgNVHSMEGDAWgBRonWk2y4Rue+qTYRn/WDAd1f9cyzAQBgkrBgEEAYI3FQEEAwIBADAKBgNVHRQEAwIBMzAcBgkrBgEEAYI3FQQEDxcNMjMxMjA0MjA0NjM0WjANBgkqhkiG9w0BAQ0FAAOCAgEANsPvTwtGx1OC2oSmyAUIROXQVa82gbsIvfWtHvznAtSHCoKK2df/DDlzL3VAazNbyTrQzjhOGDJhqQRwS6KLz+nKPVmZ9CAgllPSHe9wO/ZgC+wjgTwzDz5Gx86yBxPm8Zzq6iumLvoNPUefsxCxMGH93/4z/teZ3l/I4fnmtgHrHKCKDQycT3qij3WoGi4fgPF9rvnnZ4L/7E9qToEBWhgmsF45j7L3+mvuJfntq/1nKtnhVLvi/D6dQm8ksz5Tqy5axy0PkNsIbO47ubD/d++uT7vzErqPwbVL5fxWQkHpgdMuPcZAqMoacQE1/cZ+haL/gpQ7y+KGteKpLP4zdkMTsykPzvEPe7ln8QTSLJlmGpqYjouraJ6Th/NnUisTpClehQ8y1MJAfRVqLXNWSLYSiFpQhjG2g5nK8OWRHJgB7fPeRFUTwnRR5ZeUfYOh9mJfiIfPBDnSdxej83Z30KDtRoE1UXJItYpnOQpQS6U2LeKVxAdZzvhzeVZBZt1Gus6U+mrpf6s101ZpnHFtlE1uzzffPP+svCK/qcuaxuD8Zdy7bxWudp99QXwcPqn1lEVT0UoAyy1IhLZBzX9UnTsUHh37ilkf3vSYo+2TWMyllr1z7Jd33ySjHd6sLUuFhFqgAyrWIZRD3b1rbhcaFKvnNCsiRPUEl7oP5gFfwzA=</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HfrCiK4+C45AvccbA9OerywRBbDxOmMegi/p2lXFB7YCBBcc1u0YDzIwMjMxMDI2MTU1NDU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AyNjE1NTQ1OVowLwYJKoZIhvcNAQkEMSIEIJH5MqStkA2fT6x8oD2xgkJo6u2sAaADhl+XL1OHFpwwMDcGCyqGSIb3DQEJEAIvMSgwJjAkMCIEIDcrk3iY5iZu+N7/iFpVKDYeTZ9u7elabVQcL5d9tumpMA0GCSqGSIb3DQEBAQUABIIBADCwIufRkvc6ijnWbsljw+PAdD2SrZ8pZJVwqsNdvHM0JYV9lXEPbUAAWN5wYX2MYSqT11hAU4nz4tETtdeAT9gPQsyJ3lCPjMGlPnlDOOnDi6RiuVeIYcbUvD/p8OQh1DNHP5xTaS9GO7zn4jkhthZduVDrIAeCg5Yix+hA0sw7oNTY5i5vX0QDahIu+ECzoQY/l+Etsup9AOPQb6WUGU7y24hJ6kFbhaFnjv+ywpJCP4Bzwe1wc/OPj4kSSDCH06N2Po5rEEIJccc0IeswS+49mALzGp2JsPN6XJGsIUDfjEKrDkIw9I62CvIwL3ptOpkfWG7DadLvW0kXDIJz1X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183</Value>
      <Value>63</Value>
    </TaxCatchAll>
    <OtraEntidadExterna xmlns="b875e23b-67d9-4b2e-bdec-edacbf90b326">Todas las entidades supervisadas indicadas en la resolución</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Lineamientos Generales, Capítulo IV “Administración de ASG- Acuerdo SUGEF 2-10
Copiar  Saliente Normas.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2023-10-23T06:00:00+00:00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Lineamientos Generales, Capítulo IV “Administración de ASG- Acuerdo SUGEF 2-10 </Subject1>
  </documentManagement>
</p:properties>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877BF-7EAA-46B7-8339-ECE9289922ED}"/>
</file>

<file path=customXml/itemProps2.xml><?xml version="1.0" encoding="utf-8"?>
<ds:datastoreItem xmlns:ds="http://schemas.openxmlformats.org/officeDocument/2006/customXml" ds:itemID="{9E241574-3D5B-4234-9DD6-DE57D741D1A2}"/>
</file>

<file path=customXml/itemProps3.xml><?xml version="1.0" encoding="utf-8"?>
<ds:datastoreItem xmlns:ds="http://schemas.openxmlformats.org/officeDocument/2006/customXml" ds:itemID="{9888BE4C-8CEA-41D9-BBAF-953A7248032B}"/>
</file>

<file path=customXml/itemProps4.xml><?xml version="1.0" encoding="utf-8"?>
<ds:datastoreItem xmlns:ds="http://schemas.openxmlformats.org/officeDocument/2006/customXml" ds:itemID="{75C3DEC4-4717-45B2-981D-9DB7B9885A61}"/>
</file>

<file path=customXml/itemProps5.xml><?xml version="1.0" encoding="utf-8"?>
<ds:datastoreItem xmlns:ds="http://schemas.openxmlformats.org/officeDocument/2006/customXml" ds:itemID="{6BD1AB03-97CA-4022-B4C7-916953FD1FAB}"/>
</file>

<file path=customXml/itemProps6.xml><?xml version="1.0" encoding="utf-8"?>
<ds:datastoreItem xmlns:ds="http://schemas.openxmlformats.org/officeDocument/2006/customXml" ds:itemID="{3D203FFD-AFD8-4D94-B5B8-B012705BEF99}"/>
</file>

<file path=docProps/app.xml><?xml version="1.0" encoding="utf-8"?>
<Properties xmlns="http://schemas.openxmlformats.org/officeDocument/2006/extended-properties" xmlns:vt="http://schemas.openxmlformats.org/officeDocument/2006/docPropsVTypes">
  <Template>plantilla-SGF-DST-DNO-22</Template>
  <TotalTime>129</TotalTime>
  <Pages>9</Pages>
  <Words>2566</Words>
  <Characters>14115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ECHEVERRIA DELGADO RAQUEL</dc:creator>
  <cp:keywords/>
  <dc:description/>
  <cp:lastModifiedBy>VARGAS LEAL MARIA GABRIELA</cp:lastModifiedBy>
  <cp:revision>21</cp:revision>
  <dcterms:created xsi:type="dcterms:W3CDTF">2023-10-23T15:36:00Z</dcterms:created>
  <dcterms:modified xsi:type="dcterms:W3CDTF">2023-10-26T15:08:00Z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183;#Resolución|8250c29f-4595-4728-bcc1-a5fc6a20ed53</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2023-10-23T20:50:15Z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c3097283-5566-4dbc-9e76-e45c4a51d044</vt:lpwstr>
  </property>
  <property fmtid="{D5CDD505-2E9C-101B-9397-08002B2CF9AE}" pid="17" name="MSIP_Label_b8b4be34-365a-4a68-b9fb-75c1b6874315_ContentBits">
    <vt:lpwstr>2</vt:lpwstr>
  </property>
  <property fmtid="{D5CDD505-2E9C-101B-9397-08002B2CF9AE}" pid="18" name="Order">
    <vt:r8>133800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WorkflowChangePath">
    <vt:lpwstr>f1fd9d7f-da86-405a-9476-87cbb240632e,5;769919c7-9da3-41ff-b395-8ac0bca7c92c,8;769919c7-9da3-41ff-b395-8ac0bca7c92c,15;</vt:lpwstr>
  </property>
</Properties>
</file>