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1929" w:rsidR="00AD7560" w:rsidP="00AD7560" w:rsidRDefault="00AD7560" w14:paraId="27DF376C" w14:textId="77777777">
      <w:pPr>
        <w:pStyle w:val="Texto"/>
        <w:spacing w:before="0" w:after="0" w:line="240" w:lineRule="auto"/>
        <w:contextualSpacing/>
        <w:jc w:val="center"/>
        <w:rPr>
          <w:sz w:val="24"/>
        </w:rPr>
      </w:pPr>
      <w:r w:rsidRPr="00641929">
        <w:rPr>
          <w:b/>
          <w:sz w:val="24"/>
        </w:rPr>
        <w:t>Resolución</w:t>
      </w:r>
    </w:p>
    <w:p w:rsidRPr="00641929" w:rsidR="00AD7560" w:rsidP="00AD7560" w:rsidRDefault="00AD7560" w14:paraId="395DFA69" w14:textId="726098BA">
      <w:pPr>
        <w:pStyle w:val="Texto"/>
        <w:spacing w:before="0" w:after="0" w:line="240" w:lineRule="auto"/>
        <w:contextualSpacing/>
        <w:jc w:val="center"/>
        <w:rPr>
          <w:sz w:val="24"/>
        </w:rPr>
      </w:pPr>
      <w:r w:rsidRPr="00641929">
        <w:rPr>
          <w:sz w:val="24"/>
        </w:rPr>
        <w:t>2</w:t>
      </w:r>
      <w:r w:rsidRPr="00641929" w:rsidR="00641929">
        <w:rPr>
          <w:sz w:val="24"/>
        </w:rPr>
        <w:t>3</w:t>
      </w:r>
      <w:r w:rsidRPr="00641929">
        <w:rPr>
          <w:sz w:val="24"/>
        </w:rPr>
        <w:t xml:space="preserve"> de diciembre del 2022</w:t>
      </w:r>
    </w:p>
    <w:sdt>
      <w:sdtPr>
        <w:rPr>
          <w:sz w:val="24"/>
        </w:rPr>
        <w:alias w:val="Consecutivo"/>
        <w:tag w:val="Consecutivo"/>
        <w:id w:val="2052717023"/>
        <w:placeholder>
          <w:docPart w:val="FCA1B5643FF64C1CBCECB19E7EF71034"/>
        </w:placeholder>
        <w:showingPlcHdr/>
        <w:text/>
      </w:sdtPr>
      <w:sdtEndPr/>
      <w:sdtContent>
        <w:p w:rsidRPr="00641929" w:rsidR="00AD7560" w:rsidP="00AD7560" w:rsidRDefault="00AD7560" w14:paraId="655C4F41" w14:textId="77777777">
          <w:pPr>
            <w:tabs>
              <w:tab w:val="left" w:pos="2843"/>
            </w:tabs>
            <w:spacing w:line="240" w:lineRule="auto"/>
            <w:contextualSpacing/>
            <w:jc w:val="center"/>
            <w:rPr>
              <w:sz w:val="24"/>
            </w:rPr>
          </w:pPr>
          <w:r>
            <w:t>SGF-2674-2022</w:t>
          </w:r>
        </w:p>
      </w:sdtContent>
    </w:sdt>
    <w:p w:rsidRPr="00641929" w:rsidR="00AD7560" w:rsidP="00AD7560" w:rsidRDefault="002101D3" w14:paraId="21596AE6" w14:textId="77777777">
      <w:pPr>
        <w:tabs>
          <w:tab w:val="left" w:pos="2843"/>
        </w:tabs>
        <w:spacing w:line="240" w:lineRule="auto"/>
        <w:contextualSpacing/>
        <w:jc w:val="center"/>
        <w:rPr>
          <w:sz w:val="24"/>
        </w:rPr>
      </w:pPr>
      <w:sdt>
        <w:sdtPr>
          <w:rPr>
            <w:sz w:val="24"/>
          </w:rPr>
          <w:alias w:val="Confidencialidad"/>
          <w:tag w:val="Confidencialidad"/>
          <w:id w:val="2135442733"/>
          <w:placeholder>
            <w:docPart w:val="2FD55F415D13408A9B07E9C4136D90BC"/>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41929" w:rsidR="00AD7560">
            <w:rPr>
              <w:sz w:val="24"/>
              <w:lang w:val="es-CR"/>
            </w:rPr>
            <w:t>SGF-PUBLICO</w:t>
          </w:r>
        </w:sdtContent>
      </w:sdt>
    </w:p>
    <w:p w:rsidRPr="00641929" w:rsidR="00AD7560" w:rsidP="00AD7560" w:rsidRDefault="00AD7560" w14:paraId="7E66BDD0" w14:textId="77777777">
      <w:pPr>
        <w:widowControl w:val="0"/>
        <w:spacing w:line="240" w:lineRule="auto"/>
        <w:ind w:left="34" w:right="86"/>
        <w:contextualSpacing/>
        <w:outlineLvl w:val="0"/>
        <w:rPr>
          <w:b/>
          <w:sz w:val="24"/>
          <w:lang w:val="es-CR"/>
        </w:rPr>
      </w:pPr>
    </w:p>
    <w:p w:rsidRPr="00641929" w:rsidR="00AD7560" w:rsidP="00AD7560" w:rsidRDefault="00AD7560" w14:paraId="468CC09C" w14:textId="77777777">
      <w:pPr>
        <w:widowControl w:val="0"/>
        <w:spacing w:line="240" w:lineRule="auto"/>
        <w:ind w:left="34" w:right="86"/>
        <w:contextualSpacing/>
        <w:outlineLvl w:val="0"/>
        <w:rPr>
          <w:b/>
          <w:sz w:val="24"/>
          <w:lang w:val="es-CR"/>
        </w:rPr>
      </w:pPr>
      <w:r w:rsidRPr="00641929">
        <w:rPr>
          <w:b/>
          <w:sz w:val="24"/>
          <w:lang w:val="es-CR"/>
        </w:rPr>
        <w:t xml:space="preserve">Dirigida a: </w:t>
      </w:r>
    </w:p>
    <w:p w:rsidRPr="00641929" w:rsidR="00AD7560" w:rsidP="00AD7560" w:rsidRDefault="00AD7560" w14:paraId="20C5F7D1" w14:textId="77777777">
      <w:pPr>
        <w:widowControl w:val="0"/>
        <w:spacing w:line="240" w:lineRule="auto"/>
        <w:ind w:left="34" w:right="86"/>
        <w:contextualSpacing/>
        <w:outlineLvl w:val="0"/>
        <w:rPr>
          <w:b/>
          <w:sz w:val="24"/>
          <w:lang w:val="es-CR"/>
        </w:rPr>
      </w:pPr>
    </w:p>
    <w:p w:rsidRPr="00641929" w:rsidR="00AD7560" w:rsidP="00AD7560" w:rsidRDefault="00AD7560" w14:paraId="65C0C9EA"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Bancos Comerciales del Estado</w:t>
      </w:r>
    </w:p>
    <w:p w:rsidRPr="00641929" w:rsidR="00AD7560" w:rsidP="00AD7560" w:rsidRDefault="00AD7560" w14:paraId="300F10AB"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Bancos Creados por Leyes Especiales</w:t>
      </w:r>
    </w:p>
    <w:p w:rsidRPr="00641929" w:rsidR="00AD7560" w:rsidP="00AD7560" w:rsidRDefault="00AD7560" w14:paraId="4CFF30DC"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Bancos Privados</w:t>
      </w:r>
    </w:p>
    <w:p w:rsidRPr="00641929" w:rsidR="00AD7560" w:rsidP="00AD7560" w:rsidRDefault="00AD7560" w14:paraId="75023F5C"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Empresas Financieras no Bancarias</w:t>
      </w:r>
    </w:p>
    <w:p w:rsidRPr="00641929" w:rsidR="00AD7560" w:rsidP="00AD7560" w:rsidRDefault="00AD7560" w14:paraId="7245ABA6"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Otras Entidades Financieras</w:t>
      </w:r>
    </w:p>
    <w:p w:rsidRPr="00641929" w:rsidR="00AD7560" w:rsidP="00AD7560" w:rsidRDefault="00AD7560" w14:paraId="75D6E9A0"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Organizaciones Cooperativas de Ahorro y Crédito</w:t>
      </w:r>
    </w:p>
    <w:p w:rsidRPr="00641929" w:rsidR="00AD7560" w:rsidP="00AD7560" w:rsidRDefault="00AD7560" w14:paraId="50CD95BC" w14:textId="77777777">
      <w:pPr>
        <w:widowControl w:val="0"/>
        <w:numPr>
          <w:ilvl w:val="0"/>
          <w:numId w:val="4"/>
        </w:numPr>
        <w:spacing w:after="200" w:line="240" w:lineRule="auto"/>
        <w:ind w:left="567" w:right="86" w:hanging="567"/>
        <w:contextualSpacing/>
        <w:rPr>
          <w:b/>
          <w:sz w:val="24"/>
          <w:lang w:val="es-CR"/>
        </w:rPr>
      </w:pPr>
      <w:r w:rsidRPr="00641929">
        <w:rPr>
          <w:b/>
          <w:sz w:val="24"/>
          <w:lang w:val="es-CR"/>
        </w:rPr>
        <w:t>Entidades Autorizadas del Sistema Financiera Nacional para la Vivienda</w:t>
      </w:r>
    </w:p>
    <w:p w:rsidRPr="00641929" w:rsidR="00AD7560" w:rsidP="00AD7560" w:rsidRDefault="00AD7560" w14:paraId="79F63BD0" w14:textId="77777777">
      <w:pPr>
        <w:pStyle w:val="Texto"/>
        <w:spacing w:line="240" w:lineRule="auto"/>
        <w:contextualSpacing/>
        <w:rPr>
          <w:b/>
          <w:sz w:val="24"/>
        </w:rPr>
      </w:pPr>
    </w:p>
    <w:p w:rsidRPr="00641929" w:rsidR="00AD7560" w:rsidP="00AD7560" w:rsidRDefault="00AD7560" w14:paraId="766197B1" w14:textId="77777777">
      <w:pPr>
        <w:pStyle w:val="Texto"/>
        <w:spacing w:line="240" w:lineRule="auto"/>
        <w:contextualSpacing/>
        <w:rPr>
          <w:i/>
          <w:iCs/>
          <w:sz w:val="24"/>
        </w:rPr>
      </w:pPr>
      <w:r w:rsidRPr="00641929">
        <w:rPr>
          <w:b/>
          <w:sz w:val="24"/>
        </w:rPr>
        <w:t xml:space="preserve">Asunto: </w:t>
      </w:r>
      <w:r w:rsidRPr="00641929">
        <w:rPr>
          <w:i/>
          <w:iCs/>
          <w:sz w:val="24"/>
          <w:lang w:val="es-419"/>
        </w:rPr>
        <w:t>Modificación de los Lineamientos Generales al Reglamento sobre gestión y evaluación del riesgo de crédito para el Sistema de Banca para el Desarrollo, Acuerdo SUGEF 15-16</w:t>
      </w:r>
      <w:r w:rsidRPr="00641929">
        <w:rPr>
          <w:sz w:val="24"/>
          <w:lang w:val="es-419"/>
        </w:rPr>
        <w:t>.</w:t>
      </w:r>
    </w:p>
    <w:p w:rsidRPr="00641929" w:rsidR="00AD7560" w:rsidP="00AD7560" w:rsidRDefault="00AD7560" w14:paraId="19054854" w14:textId="77777777">
      <w:pPr>
        <w:spacing w:line="240" w:lineRule="auto"/>
        <w:ind w:left="34"/>
        <w:contextualSpacing/>
        <w:outlineLvl w:val="0"/>
        <w:rPr>
          <w:b/>
          <w:sz w:val="24"/>
          <w:lang w:val="es-419"/>
        </w:rPr>
      </w:pPr>
    </w:p>
    <w:p w:rsidRPr="00641929" w:rsidR="00AD7560" w:rsidP="00AD7560" w:rsidRDefault="00AD7560" w14:paraId="7AB48F0F" w14:textId="77777777">
      <w:pPr>
        <w:spacing w:line="240" w:lineRule="auto"/>
        <w:ind w:left="34"/>
        <w:contextualSpacing/>
        <w:outlineLvl w:val="0"/>
        <w:rPr>
          <w:sz w:val="24"/>
        </w:rPr>
      </w:pPr>
      <w:r w:rsidRPr="00641929">
        <w:rPr>
          <w:b/>
          <w:sz w:val="24"/>
        </w:rPr>
        <w:t>La Superintendente General de Entidades Financieras,</w:t>
      </w:r>
    </w:p>
    <w:p w:rsidRPr="00641929" w:rsidR="00AD7560" w:rsidP="00AD7560" w:rsidRDefault="00AD7560" w14:paraId="7BE13CC3" w14:textId="77777777">
      <w:pPr>
        <w:spacing w:after="120" w:line="240" w:lineRule="auto"/>
        <w:jc w:val="left"/>
        <w:rPr>
          <w:sz w:val="24"/>
        </w:rPr>
      </w:pPr>
    </w:p>
    <w:p w:rsidRPr="00641929" w:rsidR="00AD7560" w:rsidP="00AD7560" w:rsidRDefault="00AD7560" w14:paraId="0AE51109" w14:textId="77777777">
      <w:pPr>
        <w:spacing w:after="120" w:line="229" w:lineRule="auto"/>
        <w:ind w:hanging="10"/>
        <w:rPr>
          <w:sz w:val="24"/>
        </w:rPr>
      </w:pPr>
      <w:r w:rsidRPr="00641929">
        <w:rPr>
          <w:b/>
          <w:sz w:val="24"/>
        </w:rPr>
        <w:t xml:space="preserve">Considerando que: </w:t>
      </w:r>
    </w:p>
    <w:p w:rsidRPr="00641929" w:rsidR="00AD7560" w:rsidP="00AD7560" w:rsidRDefault="00AD7560" w14:paraId="10CB340E" w14:textId="77777777">
      <w:pPr>
        <w:numPr>
          <w:ilvl w:val="1"/>
          <w:numId w:val="3"/>
        </w:numPr>
        <w:spacing w:after="120" w:line="230" w:lineRule="auto"/>
        <w:ind w:left="567" w:hanging="567"/>
        <w:rPr>
          <w:sz w:val="24"/>
        </w:rPr>
      </w:pPr>
      <w:r w:rsidRPr="00641929">
        <w:rPr>
          <w:sz w:val="24"/>
        </w:rPr>
        <w:lastRenderedPageBreak/>
        <w:t xml:space="preserve">Mediante artículo 12, del acta de la sesión 1251-2016, celebrada el 10 de mayo de 2016, el CONASSIF aprobó el </w:t>
      </w:r>
      <w:r w:rsidRPr="00641929">
        <w:rPr>
          <w:i/>
          <w:iCs/>
          <w:sz w:val="24"/>
        </w:rPr>
        <w:t>Reglamento sobre gestión y evaluación del riesgo de crédito para el Sistema de Banca para el Desarrollo</w:t>
      </w:r>
      <w:r w:rsidRPr="00641929">
        <w:rPr>
          <w:sz w:val="24"/>
        </w:rPr>
        <w:t>, Acuerdo SUGEF 15-16, mediante el cual establece la metodología para la calificación de los deudores beneficiarios de recursos del SBD.</w:t>
      </w:r>
    </w:p>
    <w:p w:rsidRPr="00641929" w:rsidR="00AD7560" w:rsidP="00AD7560" w:rsidRDefault="00AD7560" w14:paraId="5E98AFE3" w14:textId="77777777">
      <w:pPr>
        <w:numPr>
          <w:ilvl w:val="1"/>
          <w:numId w:val="3"/>
        </w:numPr>
        <w:spacing w:after="120" w:line="230" w:lineRule="auto"/>
        <w:ind w:left="567" w:hanging="567"/>
        <w:rPr>
          <w:sz w:val="24"/>
        </w:rPr>
      </w:pPr>
      <w:r w:rsidRPr="00641929">
        <w:rPr>
          <w:sz w:val="24"/>
        </w:rPr>
        <w:t xml:space="preserve">El Artículo 4 del </w:t>
      </w:r>
      <w:r w:rsidRPr="00641929">
        <w:rPr>
          <w:i/>
          <w:iCs/>
          <w:sz w:val="24"/>
        </w:rPr>
        <w:t>Reglamento sobre gestión y evaluación del riesgo de crédito para el Sistema de Banca para el Desarrollo</w:t>
      </w:r>
      <w:r w:rsidRPr="00641929">
        <w:rPr>
          <w:sz w:val="24"/>
        </w:rPr>
        <w:t>, Acuerdo SUGEF 15-16, establece la potestad del Superintendente para emitir los Lineamientos Generales necesarios para la aplicación de dicha regulación. Asimismo, estos Lineamientos Generales pueden ser modificados por el Superintendente cuando lo considere conveniente.</w:t>
      </w:r>
    </w:p>
    <w:p w:rsidRPr="00641929" w:rsidR="00AD7560" w:rsidP="00AD7560" w:rsidRDefault="00AD7560" w14:paraId="22A07726" w14:textId="77777777">
      <w:pPr>
        <w:numPr>
          <w:ilvl w:val="1"/>
          <w:numId w:val="3"/>
        </w:numPr>
        <w:spacing w:after="120" w:line="230" w:lineRule="auto"/>
        <w:ind w:left="567" w:hanging="567"/>
        <w:rPr>
          <w:sz w:val="24"/>
        </w:rPr>
      </w:pPr>
      <w:r w:rsidRPr="00641929">
        <w:rPr>
          <w:sz w:val="24"/>
        </w:rPr>
        <w:t xml:space="preserve">Para este efecto los Lineamientos Generales deben definir los aspectos necesarios para la aplicación del </w:t>
      </w:r>
      <w:r w:rsidRPr="00641929">
        <w:rPr>
          <w:i/>
          <w:iCs/>
          <w:sz w:val="24"/>
        </w:rPr>
        <w:t>Reglamento sobre gestión y evaluación del riesgo de crédito para el Sistema de Banca para el Desarrollo</w:t>
      </w:r>
      <w:r w:rsidRPr="00641929">
        <w:rPr>
          <w:sz w:val="24"/>
        </w:rPr>
        <w:t xml:space="preserve">, Acuerdo SUGEF 15-16, según lo establecido en esa regulación.  </w:t>
      </w:r>
    </w:p>
    <w:p w:rsidRPr="00641929" w:rsidR="00AD7560" w:rsidP="00AD7560" w:rsidRDefault="00AD7560" w14:paraId="0107C4ED" w14:textId="77777777">
      <w:pPr>
        <w:numPr>
          <w:ilvl w:val="1"/>
          <w:numId w:val="3"/>
        </w:numPr>
        <w:spacing w:after="120" w:line="230" w:lineRule="auto"/>
        <w:ind w:left="567" w:hanging="567"/>
        <w:rPr>
          <w:sz w:val="24"/>
        </w:rPr>
      </w:pPr>
      <w:r w:rsidRPr="00641929">
        <w:rPr>
          <w:sz w:val="24"/>
        </w:rPr>
        <w:t>Que de conformidad con el Artículo 131, inciso b) de la Ley Orgánica del Banco Central de Costa Rica, Ley 7558, corresponde al Superintendente tomar las medidas necesarias para ejecutar los acuerdos del Consejo Nacional de Supervisión.</w:t>
      </w:r>
    </w:p>
    <w:p w:rsidRPr="00641929" w:rsidR="00D10F54" w:rsidP="00D10F54" w:rsidRDefault="00AD7560" w14:paraId="7DD51EA7" w14:textId="77777777">
      <w:pPr>
        <w:numPr>
          <w:ilvl w:val="1"/>
          <w:numId w:val="3"/>
        </w:numPr>
        <w:spacing w:after="120" w:line="230" w:lineRule="auto"/>
        <w:ind w:left="567" w:hanging="567"/>
        <w:rPr>
          <w:sz w:val="24"/>
        </w:rPr>
      </w:pPr>
      <w:r w:rsidRPr="00641929">
        <w:rPr>
          <w:sz w:val="24"/>
        </w:rPr>
        <w:t xml:space="preserve">Mediante Acuerdo del Superintendente SGF-R-1763-2016 del 30 de mayo del 2016, se emitieron los Lineamientos Generales al </w:t>
      </w:r>
      <w:r w:rsidRPr="00641929">
        <w:rPr>
          <w:i/>
          <w:iCs/>
          <w:sz w:val="24"/>
        </w:rPr>
        <w:t>Reglamento sobre gestión y evaluación del riesgo de crédito para el Sistema de Banca para el Desarrollo</w:t>
      </w:r>
      <w:r w:rsidRPr="00641929">
        <w:rPr>
          <w:sz w:val="24"/>
        </w:rPr>
        <w:t>, Acuerdo SUGEF 15-16</w:t>
      </w:r>
      <w:r w:rsidRPr="00641929">
        <w:rPr>
          <w:sz w:val="24"/>
          <w:lang w:val="es-419"/>
        </w:rPr>
        <w:t>.</w:t>
      </w:r>
    </w:p>
    <w:p w:rsidRPr="00641929" w:rsidR="00946345" w:rsidP="003820BB" w:rsidRDefault="00C6739B" w14:paraId="7B9578D0" w14:textId="33CE82A5">
      <w:pPr>
        <w:numPr>
          <w:ilvl w:val="1"/>
          <w:numId w:val="3"/>
        </w:numPr>
        <w:spacing w:after="120" w:line="230" w:lineRule="auto"/>
        <w:ind w:left="567" w:hanging="567"/>
        <w:rPr>
          <w:sz w:val="24"/>
        </w:rPr>
      </w:pPr>
      <w:r w:rsidRPr="00641929">
        <w:rPr>
          <w:sz w:val="24"/>
        </w:rPr>
        <w:t xml:space="preserve">El evento de </w:t>
      </w:r>
      <w:r w:rsidRPr="00641929">
        <w:rPr>
          <w:i/>
          <w:iCs/>
          <w:sz w:val="24"/>
        </w:rPr>
        <w:t>dación de bien en pago</w:t>
      </w:r>
      <w:r w:rsidRPr="00641929">
        <w:rPr>
          <w:sz w:val="24"/>
        </w:rPr>
        <w:t xml:space="preserve"> que actualmente detona el pase directo a CPH3 por un periodo de 24 meses, está siendo excluido del </w:t>
      </w:r>
      <w:r w:rsidRPr="00641929">
        <w:rPr>
          <w:color w:val="000000" w:themeColor="text1"/>
          <w:sz w:val="24"/>
        </w:rPr>
        <w:t xml:space="preserve">algoritmo, únicamente cuando esté relacionado con operaciones de crédito de vivienda residencial y la dación en pago produzca </w:t>
      </w:r>
      <w:r w:rsidRPr="00641929">
        <w:rPr>
          <w:color w:val="000000" w:themeColor="text1"/>
          <w:sz w:val="24"/>
        </w:rPr>
        <w:lastRenderedPageBreak/>
        <w:t>la extinción total de la deuda.  Adicionalmente, en línea con la recalibración de la memoria del CPH, en el caso de presentarse alguno de los eventos que detonan el pase directo a CPH3, el deudor se mantendrá en dicho nivel por un periodo de 24 meses.</w:t>
      </w:r>
    </w:p>
    <w:p w:rsidR="00AD7560" w:rsidP="00946345" w:rsidRDefault="00946345" w14:paraId="685ED1F0" w14:textId="4E2354E3">
      <w:pPr>
        <w:numPr>
          <w:ilvl w:val="1"/>
          <w:numId w:val="3"/>
        </w:numPr>
        <w:spacing w:after="120" w:line="230" w:lineRule="auto"/>
        <w:ind w:left="567" w:hanging="567"/>
        <w:rPr>
          <w:color w:val="000000" w:themeColor="text1"/>
          <w:sz w:val="24"/>
        </w:rPr>
      </w:pPr>
      <w:r w:rsidRPr="00641929">
        <w:rPr>
          <w:color w:val="000000" w:themeColor="text1"/>
          <w:sz w:val="24"/>
        </w:rPr>
        <w:t>Mediante Resolución SGF-226</w:t>
      </w:r>
      <w:r w:rsidRPr="00641929" w:rsidR="00AC76F3">
        <w:rPr>
          <w:color w:val="000000" w:themeColor="text1"/>
          <w:sz w:val="24"/>
        </w:rPr>
        <w:t>9</w:t>
      </w:r>
      <w:r w:rsidRPr="00641929">
        <w:rPr>
          <w:color w:val="000000" w:themeColor="text1"/>
          <w:sz w:val="24"/>
        </w:rPr>
        <w:t xml:space="preserve">-2022 del 07 de noviembre del 2022 se remitió en consulta la modificación de los Lineamientos Generales al </w:t>
      </w:r>
      <w:r w:rsidRPr="00641929">
        <w:rPr>
          <w:i/>
          <w:iCs/>
          <w:color w:val="000000" w:themeColor="text1"/>
          <w:sz w:val="24"/>
        </w:rPr>
        <w:t>Reglamento sobre gestión y evaluación del riesgo de crédito para el Sistema de Banca para el Desarrollo</w:t>
      </w:r>
      <w:r w:rsidRPr="00641929">
        <w:rPr>
          <w:color w:val="000000" w:themeColor="text1"/>
          <w:sz w:val="24"/>
        </w:rPr>
        <w:t>, Acuerdo SUGEF 15-16, en cumplimiento de lo establecido en el numeral 2, artículo 361, de la Ley General de la Administración Pública, Ley 6227.</w:t>
      </w:r>
    </w:p>
    <w:p w:rsidRPr="00641929" w:rsidR="00641929" w:rsidP="00641929" w:rsidRDefault="00641929" w14:paraId="7B14A3FA" w14:textId="77777777">
      <w:pPr>
        <w:spacing w:after="120" w:line="230" w:lineRule="auto"/>
        <w:ind w:left="567"/>
        <w:rPr>
          <w:color w:val="000000" w:themeColor="text1"/>
          <w:sz w:val="24"/>
        </w:rPr>
      </w:pPr>
    </w:p>
    <w:p w:rsidRPr="00641929" w:rsidR="00AD7560" w:rsidP="00AD7560" w:rsidRDefault="00AD7560" w14:paraId="18A8DBAA" w14:textId="77777777">
      <w:pPr>
        <w:spacing w:after="120" w:line="229" w:lineRule="auto"/>
        <w:ind w:hanging="10"/>
        <w:rPr>
          <w:sz w:val="24"/>
        </w:rPr>
      </w:pPr>
      <w:r w:rsidRPr="00641929">
        <w:rPr>
          <w:b/>
          <w:sz w:val="24"/>
        </w:rPr>
        <w:t xml:space="preserve">Dispone: </w:t>
      </w:r>
    </w:p>
    <w:p w:rsidRPr="00641929" w:rsidR="00AD7560" w:rsidP="00AD7560" w:rsidRDefault="00AD7560" w14:paraId="20FFC11B" w14:textId="77777777">
      <w:pPr>
        <w:pStyle w:val="Prrafodelista"/>
        <w:ind w:left="494" w:firstLine="0"/>
        <w:rPr>
          <w:rFonts w:ascii="Cambria" w:hAnsi="Cambria"/>
          <w:b/>
          <w:bCs/>
          <w:szCs w:val="24"/>
        </w:rPr>
      </w:pPr>
    </w:p>
    <w:p w:rsidRPr="00641929" w:rsidR="00AD7560" w:rsidP="00AD7560" w:rsidRDefault="00AD7560" w14:paraId="293C86E1" w14:textId="2914B288">
      <w:pPr>
        <w:pStyle w:val="Prrafodelista"/>
        <w:numPr>
          <w:ilvl w:val="0"/>
          <w:numId w:val="5"/>
        </w:numPr>
        <w:rPr>
          <w:rFonts w:ascii="Cambria" w:hAnsi="Cambria"/>
          <w:b/>
          <w:bCs/>
          <w:szCs w:val="24"/>
        </w:rPr>
      </w:pPr>
      <w:r w:rsidRPr="00641929">
        <w:rPr>
          <w:rFonts w:ascii="Cambria" w:hAnsi="Cambria"/>
          <w:b/>
          <w:bCs/>
          <w:szCs w:val="24"/>
        </w:rPr>
        <w:t xml:space="preserve">Modificar </w:t>
      </w:r>
      <w:r w:rsidRPr="00641929" w:rsidR="00C301F5">
        <w:rPr>
          <w:rFonts w:ascii="Cambria" w:hAnsi="Cambria"/>
          <w:b/>
          <w:bCs/>
          <w:szCs w:val="24"/>
        </w:rPr>
        <w:t xml:space="preserve">el </w:t>
      </w:r>
      <w:r w:rsidRPr="00641929">
        <w:rPr>
          <w:rFonts w:ascii="Cambria" w:hAnsi="Cambria"/>
          <w:b/>
          <w:bCs/>
          <w:szCs w:val="24"/>
        </w:rPr>
        <w:t>inciso d) Clasificación directa en CPH-SBD de Nivel 3 de la sección VI. COMPORTAMIENTO DE PAGO HISTÓRICO EN EL SBD (CPH-SBD), de acuerdo con el siguiente texto:</w:t>
      </w:r>
    </w:p>
    <w:p w:rsidRPr="00641929" w:rsidR="00AD7560" w:rsidP="00AD7560" w:rsidRDefault="00AD7560" w14:paraId="120F25F4" w14:textId="77777777">
      <w:pPr>
        <w:rPr>
          <w:b/>
          <w:bCs/>
          <w:sz w:val="24"/>
        </w:rPr>
      </w:pPr>
    </w:p>
    <w:p w:rsidRPr="00641929" w:rsidR="003316B9" w:rsidP="003316B9" w:rsidRDefault="003316B9" w14:paraId="0BEAFFE0" w14:textId="55A5C975">
      <w:pPr>
        <w:ind w:left="494"/>
        <w:rPr>
          <w:b/>
          <w:bCs/>
          <w:i/>
          <w:iCs/>
          <w:sz w:val="24"/>
        </w:rPr>
      </w:pPr>
      <w:r w:rsidRPr="00641929">
        <w:rPr>
          <w:b/>
          <w:bCs/>
          <w:i/>
          <w:iCs/>
          <w:sz w:val="24"/>
        </w:rPr>
        <w:t>“d) Clasificación directa en CPH-SBD de Nivel 3</w:t>
      </w:r>
    </w:p>
    <w:p w:rsidRPr="00641929" w:rsidR="003316B9" w:rsidP="003316B9" w:rsidRDefault="003316B9" w14:paraId="4B259259" w14:textId="095543FB">
      <w:pPr>
        <w:ind w:left="494"/>
        <w:rPr>
          <w:i/>
          <w:iCs/>
          <w:sz w:val="24"/>
        </w:rPr>
      </w:pPr>
      <w:r w:rsidRPr="00641929">
        <w:rPr>
          <w:i/>
          <w:iCs/>
          <w:sz w:val="24"/>
        </w:rPr>
        <w:t>Independientemente del puntaje de CPH-SBD del deudor, el CPH-SBD se ubicará en Nivel</w:t>
      </w:r>
      <w:r w:rsidRPr="00641929" w:rsidR="00040EED">
        <w:rPr>
          <w:i/>
          <w:iCs/>
          <w:sz w:val="24"/>
        </w:rPr>
        <w:t xml:space="preserve"> </w:t>
      </w:r>
      <w:r w:rsidRPr="00641929">
        <w:rPr>
          <w:i/>
          <w:iCs/>
          <w:sz w:val="24"/>
        </w:rPr>
        <w:t xml:space="preserve">3 cuando durante el periodo de </w:t>
      </w:r>
      <w:r w:rsidRPr="00641929" w:rsidR="00040EED">
        <w:rPr>
          <w:i/>
          <w:iCs/>
          <w:sz w:val="24"/>
        </w:rPr>
        <w:t>24 meses que se indica en el inciso b) de esta Sección</w:t>
      </w:r>
      <w:r w:rsidRPr="00641929">
        <w:rPr>
          <w:i/>
          <w:iCs/>
          <w:sz w:val="24"/>
        </w:rPr>
        <w:t>, en relación con al menos una operación directa</w:t>
      </w:r>
      <w:r w:rsidRPr="00641929" w:rsidR="00040EED">
        <w:rPr>
          <w:i/>
          <w:iCs/>
          <w:sz w:val="24"/>
        </w:rPr>
        <w:t xml:space="preserve"> </w:t>
      </w:r>
      <w:r w:rsidRPr="00641929">
        <w:rPr>
          <w:i/>
          <w:iCs/>
          <w:sz w:val="24"/>
        </w:rPr>
        <w:t xml:space="preserve">del SBD, </w:t>
      </w:r>
      <w:bookmarkStart w:name="_Hlk122644975" w:id="0"/>
      <w:r w:rsidRPr="00641929">
        <w:rPr>
          <w:i/>
          <w:iCs/>
          <w:sz w:val="24"/>
        </w:rPr>
        <w:t>se haya presentado cualquiera de las siguientes situaciones</w:t>
      </w:r>
      <w:bookmarkEnd w:id="0"/>
      <w:r w:rsidRPr="00641929">
        <w:rPr>
          <w:i/>
          <w:iCs/>
          <w:sz w:val="24"/>
        </w:rPr>
        <w:t>:</w:t>
      </w:r>
    </w:p>
    <w:p w:rsidRPr="00641929" w:rsidR="003316B9" w:rsidP="003316B9" w:rsidRDefault="003316B9" w14:paraId="3ADC7BD6" w14:textId="77777777">
      <w:pPr>
        <w:ind w:left="494"/>
        <w:rPr>
          <w:i/>
          <w:iCs/>
          <w:sz w:val="24"/>
        </w:rPr>
      </w:pPr>
    </w:p>
    <w:p w:rsidRPr="00641929" w:rsidR="00040EED" w:rsidP="003316B9" w:rsidRDefault="00040EED" w14:paraId="45E639E2" w14:textId="0640A104">
      <w:pPr>
        <w:pStyle w:val="Prrafodelista"/>
        <w:numPr>
          <w:ilvl w:val="0"/>
          <w:numId w:val="7"/>
        </w:numPr>
        <w:ind w:left="1560" w:hanging="567"/>
        <w:rPr>
          <w:rFonts w:ascii="Cambria" w:hAnsi="Cambria"/>
          <w:i/>
          <w:iCs/>
          <w:szCs w:val="24"/>
        </w:rPr>
      </w:pPr>
      <w:r w:rsidRPr="00641929">
        <w:rPr>
          <w:rFonts w:ascii="Cambria" w:hAnsi="Cambria"/>
          <w:i/>
          <w:iCs/>
          <w:szCs w:val="24"/>
        </w:rPr>
        <w:lastRenderedPageBreak/>
        <w:t>Se haya recurrido a la dación de bienes en pago de sus obligaciones. Se exceptúa para efectos de clasificación en el Nivel 3 de CPH-SBD, la dación en pago en el caso de créditos de vivienda residencial en los que la dación produzca la extinción total de la deuda</w:t>
      </w:r>
      <w:r w:rsidRPr="00641929" w:rsidR="003316B9">
        <w:rPr>
          <w:rFonts w:ascii="Cambria" w:hAnsi="Cambria"/>
          <w:i/>
          <w:iCs/>
          <w:szCs w:val="24"/>
        </w:rPr>
        <w:t xml:space="preserve">, </w:t>
      </w:r>
    </w:p>
    <w:p w:rsidRPr="00641929" w:rsidR="00040EED" w:rsidP="00040EED" w:rsidRDefault="00040EED" w14:paraId="7869C314" w14:textId="77777777">
      <w:pPr>
        <w:pStyle w:val="Prrafodelista"/>
        <w:ind w:left="1560" w:firstLine="0"/>
        <w:rPr>
          <w:rFonts w:ascii="Cambria" w:hAnsi="Cambria"/>
          <w:i/>
          <w:iCs/>
          <w:szCs w:val="24"/>
        </w:rPr>
      </w:pPr>
    </w:p>
    <w:p w:rsidRPr="00641929" w:rsidR="003316B9" w:rsidP="003316B9" w:rsidRDefault="00040EED" w14:paraId="0559151F" w14:textId="25B20F1A">
      <w:pPr>
        <w:pStyle w:val="Prrafodelista"/>
        <w:numPr>
          <w:ilvl w:val="0"/>
          <w:numId w:val="7"/>
        </w:numPr>
        <w:ind w:left="1560" w:hanging="567"/>
        <w:rPr>
          <w:rFonts w:ascii="Cambria" w:hAnsi="Cambria"/>
          <w:i/>
          <w:iCs/>
          <w:szCs w:val="24"/>
        </w:rPr>
      </w:pPr>
      <w:r w:rsidRPr="00641929">
        <w:rPr>
          <w:rFonts w:ascii="Cambria" w:hAnsi="Cambria"/>
          <w:i/>
          <w:iCs/>
          <w:szCs w:val="24"/>
        </w:rPr>
        <w:t xml:space="preserve">Se haya cancelado la operación crediticia, total o parcialmente, como </w:t>
      </w:r>
      <w:r w:rsidRPr="00641929" w:rsidR="003316B9">
        <w:rPr>
          <w:rFonts w:ascii="Cambria" w:hAnsi="Cambria"/>
          <w:i/>
          <w:iCs/>
          <w:szCs w:val="24"/>
        </w:rPr>
        <w:t>producto de un proceso de cobro judicial,</w:t>
      </w:r>
    </w:p>
    <w:p w:rsidRPr="00641929" w:rsidR="003316B9" w:rsidP="003316B9" w:rsidRDefault="003316B9" w14:paraId="7FA4DCFB" w14:textId="77777777">
      <w:pPr>
        <w:pStyle w:val="Prrafodelista"/>
        <w:ind w:left="1560" w:hanging="567"/>
        <w:rPr>
          <w:rFonts w:ascii="Cambria" w:hAnsi="Cambria"/>
          <w:i/>
          <w:iCs/>
          <w:szCs w:val="24"/>
        </w:rPr>
      </w:pPr>
    </w:p>
    <w:p w:rsidRPr="00641929" w:rsidR="003316B9" w:rsidP="003316B9" w:rsidRDefault="00040EED" w14:paraId="6AE9C92A" w14:textId="59440D60">
      <w:pPr>
        <w:pStyle w:val="Prrafodelista"/>
        <w:numPr>
          <w:ilvl w:val="0"/>
          <w:numId w:val="7"/>
        </w:numPr>
        <w:ind w:left="1560" w:hanging="567"/>
        <w:rPr>
          <w:rFonts w:ascii="Cambria" w:hAnsi="Cambria"/>
          <w:i/>
          <w:iCs/>
          <w:szCs w:val="24"/>
        </w:rPr>
      </w:pPr>
      <w:r w:rsidRPr="00641929">
        <w:rPr>
          <w:rFonts w:ascii="Cambria" w:hAnsi="Cambria"/>
          <w:i/>
          <w:iCs/>
          <w:szCs w:val="24"/>
        </w:rPr>
        <w:t xml:space="preserve">Se haya </w:t>
      </w:r>
      <w:r w:rsidRPr="00641929" w:rsidR="003316B9">
        <w:rPr>
          <w:rFonts w:ascii="Cambria" w:hAnsi="Cambria"/>
          <w:i/>
          <w:iCs/>
          <w:szCs w:val="24"/>
        </w:rPr>
        <w:t>asumid</w:t>
      </w:r>
      <w:r w:rsidRPr="00641929">
        <w:rPr>
          <w:rFonts w:ascii="Cambria" w:hAnsi="Cambria"/>
          <w:i/>
          <w:iCs/>
          <w:szCs w:val="24"/>
        </w:rPr>
        <w:t>o</w:t>
      </w:r>
      <w:r w:rsidRPr="00641929" w:rsidR="003316B9">
        <w:rPr>
          <w:rFonts w:ascii="Cambria" w:hAnsi="Cambria"/>
          <w:i/>
          <w:iCs/>
          <w:szCs w:val="24"/>
        </w:rPr>
        <w:t xml:space="preserve"> formalmente </w:t>
      </w:r>
      <w:r w:rsidRPr="00641929">
        <w:rPr>
          <w:rFonts w:ascii="Cambria" w:hAnsi="Cambria"/>
          <w:i/>
          <w:iCs/>
          <w:szCs w:val="24"/>
        </w:rPr>
        <w:t xml:space="preserve">la operación </w:t>
      </w:r>
      <w:r w:rsidRPr="00641929" w:rsidR="003316B9">
        <w:rPr>
          <w:rFonts w:ascii="Cambria" w:hAnsi="Cambria"/>
          <w:i/>
          <w:iCs/>
          <w:szCs w:val="24"/>
        </w:rPr>
        <w:t>por un fiador, avalista o la pérdida fue resarcida por algún proveedor de protección crediticia. Se incluye la ejecución de avales del “Fondo de Avales del Fideicomiso Nacional para el Desarrollo”, en adelante” FINADE, y del “Fondo Especial para el Desarrollo de las Micro, Pequeñas y Medianas Empresas”, en adelante FODEMIPYME. Se exceptúa de lo dispuesto en este inciso, el caso de créditos grupales de garantía solidaria y los casos de readecuación a que se refiere el Artículo 46 de la Ley 9174, debidamente aprobados por el Consejo Rector.”</w:t>
      </w:r>
    </w:p>
    <w:p w:rsidRPr="00641929" w:rsidR="00AD7560" w:rsidP="00AD7560" w:rsidRDefault="00AD7560" w14:paraId="40DE0CD8" w14:textId="65439797">
      <w:pPr>
        <w:spacing w:after="120" w:line="229" w:lineRule="auto"/>
        <w:rPr>
          <w:b/>
          <w:bCs/>
          <w:sz w:val="24"/>
        </w:rPr>
      </w:pPr>
    </w:p>
    <w:p w:rsidRPr="00641929" w:rsidR="00D51C96" w:rsidP="00D51C96" w:rsidRDefault="00D51C96" w14:paraId="6D1B56F7" w14:textId="6F427121">
      <w:pPr>
        <w:pStyle w:val="Prrafodelista"/>
        <w:numPr>
          <w:ilvl w:val="0"/>
          <w:numId w:val="5"/>
        </w:numPr>
        <w:rPr>
          <w:rFonts w:ascii="Cambria" w:hAnsi="Cambria"/>
          <w:b/>
          <w:bCs/>
          <w:szCs w:val="24"/>
        </w:rPr>
      </w:pPr>
      <w:r w:rsidRPr="00641929">
        <w:rPr>
          <w:rFonts w:ascii="Cambria" w:hAnsi="Cambria"/>
          <w:b/>
          <w:bCs/>
          <w:szCs w:val="24"/>
        </w:rPr>
        <w:t>Vigencia</w:t>
      </w:r>
    </w:p>
    <w:p w:rsidRPr="00641929" w:rsidR="00D51C96" w:rsidP="00D51C96" w:rsidRDefault="00D51C96" w14:paraId="0DE823C0" w14:textId="122A0189">
      <w:pPr>
        <w:spacing w:after="120" w:line="229" w:lineRule="auto"/>
        <w:ind w:left="567"/>
        <w:rPr>
          <w:i/>
          <w:iCs/>
          <w:sz w:val="24"/>
        </w:rPr>
      </w:pPr>
      <w:r w:rsidRPr="00641929">
        <w:rPr>
          <w:i/>
          <w:iCs/>
          <w:sz w:val="24"/>
        </w:rPr>
        <w:t>Esta modificación entrará en vigencia a más tardar a partir del primero de julio de 2023. La SUGEF pondrá a disposición de cada entidad el archivo descargable debidamente actualizado a más tardar el día 20 de julio de 2023.”</w:t>
      </w:r>
    </w:p>
    <w:p w:rsidRPr="00641929" w:rsidR="00E42AAC" w:rsidP="00D51C96" w:rsidRDefault="00AD7560" w14:paraId="52B93368" w14:textId="4BDEED00">
      <w:pPr>
        <w:spacing w:after="120" w:line="229" w:lineRule="auto"/>
        <w:rPr>
          <w:sz w:val="24"/>
        </w:rPr>
      </w:pPr>
      <w:r w:rsidRPr="00641929">
        <w:rPr>
          <w:sz w:val="24"/>
        </w:rPr>
        <w:t>Rige a partir de su comunicación.</w:t>
      </w:r>
    </w:p>
    <w:p w:rsidRPr="00641929" w:rsidR="00641929" w:rsidP="00641929" w:rsidRDefault="00641929" w14:paraId="4F6586EB" w14:textId="77777777">
      <w:pPr>
        <w:spacing w:after="120" w:line="240" w:lineRule="auto"/>
        <w:contextualSpacing/>
        <w:rPr>
          <w:sz w:val="24"/>
        </w:rPr>
      </w:pPr>
      <w:r w:rsidRPr="00641929">
        <w:rPr>
          <w:sz w:val="24"/>
        </w:rPr>
        <w:t>Atentamente</w:t>
      </w:r>
    </w:p>
    <w:p w:rsidRPr="00641929" w:rsidR="00641929" w:rsidP="00641929" w:rsidRDefault="00641929" w14:paraId="04F5BADE" w14:textId="77777777">
      <w:pPr>
        <w:spacing w:after="120" w:line="240" w:lineRule="auto"/>
        <w:contextualSpacing/>
        <w:rPr>
          <w:sz w:val="24"/>
        </w:rPr>
      </w:pPr>
    </w:p>
    <w:p w:rsidRPr="00641929" w:rsidR="00641929" w:rsidP="00641929" w:rsidRDefault="00641929" w14:paraId="620E93CA" w14:textId="77777777">
      <w:pPr>
        <w:spacing w:after="120" w:line="240" w:lineRule="auto"/>
        <w:contextualSpacing/>
        <w:rPr>
          <w:sz w:val="24"/>
        </w:rPr>
      </w:pPr>
      <w:r w:rsidRPr="00641929">
        <w:rPr>
          <w:noProof/>
          <w:sz w:val="24"/>
          <w:lang w:val="es-CR" w:eastAsia="es-CR"/>
        </w:rPr>
        <w:drawing>
          <wp:anchor distT="0" distB="0" distL="114300" distR="114300" simplePos="0" relativeHeight="251659264" behindDoc="1" locked="0" layoutInCell="1" allowOverlap="1" wp14:editId="64A7851C" wp14:anchorId="578D594B">
            <wp:simplePos x="0" y="0"/>
            <wp:positionH relativeFrom="column">
              <wp:posOffset>0</wp:posOffset>
            </wp:positionH>
            <wp:positionV relativeFrom="paragraph">
              <wp:posOffset>0</wp:posOffset>
            </wp:positionV>
            <wp:extent cx="2519680" cy="390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41929" w:rsidR="00641929" w:rsidP="00641929" w:rsidRDefault="00641929" w14:paraId="64488E9D" w14:textId="77777777">
      <w:pPr>
        <w:spacing w:after="120" w:line="240" w:lineRule="auto"/>
        <w:contextualSpacing/>
        <w:rPr>
          <w:sz w:val="24"/>
        </w:rPr>
      </w:pPr>
    </w:p>
    <w:p w:rsidRPr="00641929" w:rsidR="00641929" w:rsidP="00641929" w:rsidRDefault="00641929" w14:paraId="4E93FBE5" w14:textId="77777777">
      <w:pPr>
        <w:spacing w:after="120" w:line="240" w:lineRule="auto"/>
        <w:contextualSpacing/>
        <w:rPr>
          <w:sz w:val="24"/>
        </w:rPr>
      </w:pPr>
      <w:r w:rsidRPr="00641929">
        <w:rPr>
          <w:sz w:val="24"/>
        </w:rPr>
        <w:t>Rocío Aguilar Montoya</w:t>
      </w:r>
    </w:p>
    <w:p w:rsidRPr="00641929" w:rsidR="00641929" w:rsidP="00641929" w:rsidRDefault="00641929" w14:paraId="1E335862" w14:textId="77777777">
      <w:pPr>
        <w:spacing w:after="120" w:line="240" w:lineRule="auto"/>
        <w:contextualSpacing/>
        <w:rPr>
          <w:b/>
          <w:bCs/>
          <w:sz w:val="24"/>
        </w:rPr>
      </w:pPr>
      <w:r w:rsidRPr="00641929">
        <w:rPr>
          <w:b/>
          <w:bCs/>
          <w:sz w:val="24"/>
        </w:rPr>
        <w:t>Superintendente General</w:t>
      </w:r>
    </w:p>
    <w:p w:rsidRPr="00641929" w:rsidR="00641929" w:rsidP="00641929" w:rsidRDefault="00641929" w14:paraId="32D2796D" w14:textId="77777777">
      <w:pPr>
        <w:spacing w:after="120" w:line="240" w:lineRule="auto"/>
        <w:contextualSpacing/>
        <w:rPr>
          <w:b/>
          <w:bCs/>
          <w:sz w:val="24"/>
        </w:rPr>
      </w:pPr>
    </w:p>
    <w:p w:rsidRPr="00641929" w:rsidR="00641929" w:rsidP="00641929" w:rsidRDefault="00641929" w14:paraId="4F890B8F" w14:textId="77777777">
      <w:pPr>
        <w:spacing w:after="120" w:line="240" w:lineRule="auto"/>
        <w:contextualSpacing/>
        <w:rPr>
          <w:b/>
          <w:bCs/>
          <w:sz w:val="24"/>
        </w:rPr>
      </w:pPr>
      <w:r w:rsidRPr="00641929">
        <w:rPr>
          <w:b/>
          <w:bCs/>
          <w:sz w:val="24"/>
        </w:rPr>
        <w:t>JSC/GAA/gvl*</w:t>
      </w:r>
    </w:p>
    <w:p w:rsidRPr="00641929" w:rsidR="00641929" w:rsidP="00D51C96" w:rsidRDefault="00641929" w14:paraId="4236E7C0" w14:textId="77777777">
      <w:pPr>
        <w:spacing w:after="120" w:line="229" w:lineRule="auto"/>
      </w:pPr>
    </w:p>
    <w:sectPr w:rsidRPr="00641929" w:rsidR="0064192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C4E6" w14:textId="77777777" w:rsidR="00AD7560" w:rsidRDefault="00AD7560" w:rsidP="00181ABF">
      <w:pPr>
        <w:spacing w:line="240" w:lineRule="auto"/>
      </w:pPr>
      <w:r>
        <w:separator/>
      </w:r>
    </w:p>
  </w:endnote>
  <w:endnote w:type="continuationSeparator" w:id="0">
    <w:p w14:paraId="17F07E62" w14:textId="77777777" w:rsidR="00AD7560" w:rsidRDefault="00AD7560"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D3" w:rsidRDefault="002101D3" w14:paraId="2DEA935E"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06B520E1" w14:textId="77777777">
      <w:tc>
        <w:tcPr>
          <w:tcW w:w="2942" w:type="dxa"/>
        </w:tcPr>
        <w:p w:rsidR="00181ABF" w:rsidP="00181ABF" w:rsidRDefault="00AD7560" w14:paraId="2523A86A" w14:textId="0AF090F8">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2D04DF18" wp14:anchorId="49F632E4">
                    <wp:simplePos x="0" y="0"/>
                    <wp:positionH relativeFrom="page">
                      <wp:posOffset>0</wp:posOffset>
                    </wp:positionH>
                    <wp:positionV relativeFrom="page">
                      <wp:posOffset>9594215</wp:posOffset>
                    </wp:positionV>
                    <wp:extent cx="7772400" cy="273050"/>
                    <wp:effectExtent l="0" t="0" r="0" b="12700"/>
                    <wp:wrapNone/>
                    <wp:docPr id="2" name="MSIPCMeb8c4bd1b13b11bacaffc17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D7560" w:rsidR="00AD7560" w:rsidP="00AD7560" w:rsidRDefault="00AD7560" w14:paraId="1080FC18" w14:textId="25BBCD29">
                                <w:pPr>
                                  <w:jc w:val="center"/>
                                  <w:rPr>
                                    <w:rFonts w:ascii="Calibri" w:hAnsi="Calibri" w:cs="Calibri"/>
                                    <w:color w:val="000000"/>
                                    <w:sz w:val="20"/>
                                  </w:rPr>
                                </w:pPr>
                                <w:r w:rsidRPr="00AD7560">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9F632E4">
                    <v:stroke joinstyle="miter"/>
                    <v:path gradientshapeok="t" o:connecttype="rect"/>
                  </v:shapetype>
                  <v:shape id="MSIPCMeb8c4bd1b13b11bacaffc177"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AD7560" w:rsidR="00AD7560" w:rsidP="00AD7560" w:rsidRDefault="00AD7560" w14:paraId="1080FC18" w14:textId="25BBCD29">
                          <w:pPr>
                            <w:jc w:val="center"/>
                            <w:rPr>
                              <w:rFonts w:ascii="Calibri" w:hAnsi="Calibri" w:cs="Calibri"/>
                              <w:color w:val="000000"/>
                              <w:sz w:val="20"/>
                            </w:rPr>
                          </w:pPr>
                          <w:r w:rsidRPr="00AD7560">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6400AF2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094BE09B" w14:textId="77777777">
          <w:pPr>
            <w:pStyle w:val="Piedepgina"/>
            <w:rPr>
              <w:b/>
              <w:color w:val="7F7F7F" w:themeColor="text1" w:themeTint="80"/>
              <w:sz w:val="16"/>
              <w:szCs w:val="16"/>
            </w:rPr>
          </w:pPr>
        </w:p>
      </w:tc>
      <w:tc>
        <w:tcPr>
          <w:tcW w:w="2943" w:type="dxa"/>
        </w:tcPr>
        <w:p w:rsidRPr="009349F3" w:rsidR="00181ABF" w:rsidP="00181ABF" w:rsidRDefault="00181ABF" w14:paraId="3EF45CB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3F94EFF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4FC654E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DBB193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D3" w:rsidRDefault="002101D3" w14:paraId="0DC91A9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CF29" w14:textId="77777777" w:rsidR="00AD7560" w:rsidRDefault="00AD7560" w:rsidP="00181ABF">
      <w:pPr>
        <w:spacing w:line="240" w:lineRule="auto"/>
      </w:pPr>
      <w:r>
        <w:separator/>
      </w:r>
    </w:p>
  </w:footnote>
  <w:footnote w:type="continuationSeparator" w:id="0">
    <w:p w14:paraId="2613805E" w14:textId="77777777" w:rsidR="00AD7560" w:rsidRDefault="00AD7560"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D3" w:rsidRDefault="002101D3" w14:paraId="308645E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740CAD8" w14:textId="77777777">
    <w:pPr>
      <w:pStyle w:val="Encabezado"/>
    </w:pPr>
  </w:p>
  <w:p w:rsidR="00181ABF" w:rsidP="00181ABF" w:rsidRDefault="00181ABF" w14:paraId="7BB28E9E" w14:textId="77777777">
    <w:pPr>
      <w:pStyle w:val="Encabezado"/>
      <w:jc w:val="center"/>
    </w:pPr>
    <w:r>
      <w:rPr>
        <w:noProof/>
        <w:lang w:val="es-CR" w:eastAsia="es-CR"/>
      </w:rPr>
      <w:drawing>
        <wp:inline distT="0" distB="0" distL="0" distR="0" wp14:anchorId="1A17A572" wp14:editId="1832D65E">
          <wp:extent cx="1473145" cy="69105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1D3" w:rsidRDefault="002101D3" w14:paraId="5B80613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71839D8"/>
    <w:multiLevelType w:val="hybridMultilevel"/>
    <w:tmpl w:val="F68ABA68"/>
    <w:lvl w:ilvl="0" w:tplc="FFFFFFFF">
      <w:start w:val="1"/>
      <w:numFmt w:val="lowerRoman"/>
      <w:lvlText w:val="%1."/>
      <w:lvlJc w:val="left"/>
      <w:pPr>
        <w:ind w:left="1214" w:hanging="72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2" w15:restartNumberingAfterBreak="0">
    <w:nsid w:val="22C52686"/>
    <w:multiLevelType w:val="hybridMultilevel"/>
    <w:tmpl w:val="F68ABA68"/>
    <w:lvl w:ilvl="0" w:tplc="84CAD64E">
      <w:start w:val="1"/>
      <w:numFmt w:val="lowerRoman"/>
      <w:lvlText w:val="%1."/>
      <w:lvlJc w:val="left"/>
      <w:pPr>
        <w:ind w:left="1214" w:hanging="720"/>
      </w:pPr>
      <w:rPr>
        <w:rFonts w:hint="default"/>
      </w:rPr>
    </w:lvl>
    <w:lvl w:ilvl="1" w:tplc="140A0019" w:tentative="1">
      <w:start w:val="1"/>
      <w:numFmt w:val="lowerLetter"/>
      <w:lvlText w:val="%2."/>
      <w:lvlJc w:val="left"/>
      <w:pPr>
        <w:ind w:left="1574" w:hanging="360"/>
      </w:pPr>
    </w:lvl>
    <w:lvl w:ilvl="2" w:tplc="140A001B" w:tentative="1">
      <w:start w:val="1"/>
      <w:numFmt w:val="lowerRoman"/>
      <w:lvlText w:val="%3."/>
      <w:lvlJc w:val="right"/>
      <w:pPr>
        <w:ind w:left="2294" w:hanging="180"/>
      </w:pPr>
    </w:lvl>
    <w:lvl w:ilvl="3" w:tplc="140A000F" w:tentative="1">
      <w:start w:val="1"/>
      <w:numFmt w:val="decimal"/>
      <w:lvlText w:val="%4."/>
      <w:lvlJc w:val="left"/>
      <w:pPr>
        <w:ind w:left="3014" w:hanging="360"/>
      </w:pPr>
    </w:lvl>
    <w:lvl w:ilvl="4" w:tplc="140A0019" w:tentative="1">
      <w:start w:val="1"/>
      <w:numFmt w:val="lowerLetter"/>
      <w:lvlText w:val="%5."/>
      <w:lvlJc w:val="left"/>
      <w:pPr>
        <w:ind w:left="3734" w:hanging="360"/>
      </w:pPr>
    </w:lvl>
    <w:lvl w:ilvl="5" w:tplc="140A001B" w:tentative="1">
      <w:start w:val="1"/>
      <w:numFmt w:val="lowerRoman"/>
      <w:lvlText w:val="%6."/>
      <w:lvlJc w:val="right"/>
      <w:pPr>
        <w:ind w:left="4454" w:hanging="180"/>
      </w:pPr>
    </w:lvl>
    <w:lvl w:ilvl="6" w:tplc="140A000F" w:tentative="1">
      <w:start w:val="1"/>
      <w:numFmt w:val="decimal"/>
      <w:lvlText w:val="%7."/>
      <w:lvlJc w:val="left"/>
      <w:pPr>
        <w:ind w:left="5174" w:hanging="360"/>
      </w:pPr>
    </w:lvl>
    <w:lvl w:ilvl="7" w:tplc="140A0019" w:tentative="1">
      <w:start w:val="1"/>
      <w:numFmt w:val="lowerLetter"/>
      <w:lvlText w:val="%8."/>
      <w:lvlJc w:val="left"/>
      <w:pPr>
        <w:ind w:left="5894" w:hanging="360"/>
      </w:pPr>
    </w:lvl>
    <w:lvl w:ilvl="8" w:tplc="140A001B" w:tentative="1">
      <w:start w:val="1"/>
      <w:numFmt w:val="lowerRoman"/>
      <w:lvlText w:val="%9."/>
      <w:lvlJc w:val="right"/>
      <w:pPr>
        <w:ind w:left="6614" w:hanging="180"/>
      </w:pPr>
    </w:lvl>
  </w:abstractNum>
  <w:abstractNum w:abstractNumId="3"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635D3690"/>
    <w:multiLevelType w:val="hybridMultilevel"/>
    <w:tmpl w:val="C41CF81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2774A1"/>
    <w:multiLevelType w:val="hybridMultilevel"/>
    <w:tmpl w:val="227C3B86"/>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804908E">
      <w:start w:val="1"/>
      <w:numFmt w:val="decimal"/>
      <w:lvlText w:val="%2."/>
      <w:lvlJc w:val="left"/>
      <w:pPr>
        <w:ind w:left="862"/>
      </w:pPr>
      <w:rPr>
        <w:rFonts w:ascii="Cambria" w:eastAsia="Times New Roman" w:hAnsi="Cambria"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40EED"/>
    <w:rsid w:val="00151A56"/>
    <w:rsid w:val="00181ABF"/>
    <w:rsid w:val="002101D3"/>
    <w:rsid w:val="00226DDC"/>
    <w:rsid w:val="003172BE"/>
    <w:rsid w:val="003316B9"/>
    <w:rsid w:val="003820BB"/>
    <w:rsid w:val="0046105A"/>
    <w:rsid w:val="004B47E8"/>
    <w:rsid w:val="00504612"/>
    <w:rsid w:val="005655C2"/>
    <w:rsid w:val="00641929"/>
    <w:rsid w:val="007C7FAC"/>
    <w:rsid w:val="00816007"/>
    <w:rsid w:val="0083030B"/>
    <w:rsid w:val="00876F82"/>
    <w:rsid w:val="008B71B5"/>
    <w:rsid w:val="008F2C08"/>
    <w:rsid w:val="00937EF0"/>
    <w:rsid w:val="009404EC"/>
    <w:rsid w:val="00946345"/>
    <w:rsid w:val="00A21CA6"/>
    <w:rsid w:val="00AC76F3"/>
    <w:rsid w:val="00AD7560"/>
    <w:rsid w:val="00C301F5"/>
    <w:rsid w:val="00C6739B"/>
    <w:rsid w:val="00CF6A89"/>
    <w:rsid w:val="00D10F54"/>
    <w:rsid w:val="00D2422E"/>
    <w:rsid w:val="00D51C96"/>
    <w:rsid w:val="00D67CC3"/>
    <w:rsid w:val="00D90222"/>
    <w:rsid w:val="00DF2ACF"/>
    <w:rsid w:val="00E42AAC"/>
    <w:rsid w:val="00E91EC3"/>
    <w:rsid w:val="00EE360E"/>
    <w:rsid w:val="00EF3D9A"/>
    <w:rsid w:val="00F04391"/>
    <w:rsid w:val="00F50B4F"/>
    <w:rsid w:val="00F757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0358"/>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AD7560"/>
    <w:pPr>
      <w:spacing w:after="11" w:line="231" w:lineRule="auto"/>
      <w:ind w:left="720" w:right="6" w:firstLine="7"/>
      <w:contextualSpacing/>
    </w:pPr>
    <w:rPr>
      <w:rFonts w:ascii="Times New Roman" w:hAnsi="Times New Roman"/>
      <w:color w:val="000000"/>
      <w:sz w:val="24"/>
      <w:szCs w:val="22"/>
      <w:lang w:eastAsia="es-ES"/>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D51C96"/>
    <w:rPr>
      <w:rFonts w:ascii="Times New Roman" w:eastAsia="Times New Roman" w:hAnsi="Times New Roman" w:cs="Times New Roman"/>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1B5643FF64C1CBCECB19E7EF71034"/>
        <w:category>
          <w:name w:val="General"/>
          <w:gallery w:val="placeholder"/>
        </w:category>
        <w:types>
          <w:type w:val="bbPlcHdr"/>
        </w:types>
        <w:behaviors>
          <w:behavior w:val="content"/>
        </w:behaviors>
        <w:guid w:val="{B79CC232-6DEA-4CC0-99A4-2AB584144A34}"/>
      </w:docPartPr>
      <w:docPartBody>
        <w:p w:rsidR="006A2424" w:rsidRDefault="00DE6B86" w:rsidP="00DE6B86">
          <w:pPr>
            <w:pStyle w:val="FCA1B5643FF64C1CBCECB19E7EF71034"/>
          </w:pPr>
          <w:r w:rsidRPr="001E0779">
            <w:rPr>
              <w:rStyle w:val="Textodelmarcadordeposicin"/>
            </w:rPr>
            <w:t>Haga clic aquí para escribir texto.</w:t>
          </w:r>
        </w:p>
      </w:docPartBody>
    </w:docPart>
    <w:docPart>
      <w:docPartPr>
        <w:name w:val="2FD55F415D13408A9B07E9C4136D90BC"/>
        <w:category>
          <w:name w:val="General"/>
          <w:gallery w:val="placeholder"/>
        </w:category>
        <w:types>
          <w:type w:val="bbPlcHdr"/>
        </w:types>
        <w:behaviors>
          <w:behavior w:val="content"/>
        </w:behaviors>
        <w:guid w:val="{2FA7D4F1-55EA-45CF-99E7-8658BD8EDEFA}"/>
      </w:docPartPr>
      <w:docPartBody>
        <w:p w:rsidR="006A2424" w:rsidRDefault="00DE6B86" w:rsidP="00DE6B86">
          <w:pPr>
            <w:pStyle w:val="2FD55F415D13408A9B07E9C4136D90B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6A2424"/>
    <w:rsid w:val="00981874"/>
    <w:rsid w:val="009F7D41"/>
    <w:rsid w:val="00DE6B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6B86"/>
  </w:style>
  <w:style w:type="paragraph" w:customStyle="1" w:styleId="FCA1B5643FF64C1CBCECB19E7EF71034">
    <w:name w:val="FCA1B5643FF64C1CBCECB19E7EF71034"/>
    <w:rsid w:val="00DE6B86"/>
  </w:style>
  <w:style w:type="paragraph" w:customStyle="1" w:styleId="2FD55F415D13408A9B07E9C4136D90BC">
    <w:name w:val="2FD55F415D13408A9B07E9C4136D90BC"/>
    <w:rsid w:val="00DE6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8U8j7dJTwtW+aB+C1LdcGd41XgdHsjetdgdAcHS6PYI=</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2QpMgqDpvDwYId4VMhsryWRNMcvDbCqbudA80LbV7ic=</DigestValue>
    </Reference>
  </SignedInfo>
  <SignatureValue>Na1drnC59i2s6wK5u4uVzMfWFVH21Mn2V22Wl6jYUp7KIvFCAuI3fc+jwvQE4V47o3XbUnBLNPbx
8I6qZ8F3Taeq0XppzLq0X4A9MZYg1GTaHkCVlR66MFvVL/DHt5p51wIfx618xuAZXzCtveHBbjmb
sg42rFsX4rRTj5BFjKk6SnXN5oDU6U8p2jFmFmlbrDGpcZjeTtOILvXGBTqovMDSnxtjCjxXGixJ
zdOUWNwSo/iT9IgH9LlWIoEMd8tYd1lJKDvHxS8vxXtQVKYmbDyo0o8nz2jFzqvP8IQu5fFwdVSz
viuzr2QH3PUfaLsFkwsDowsEosFd8JjAChgnmQ==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ecpC55dZh9xVHAE4EfJjv7j5Cc7HfA7PWtd/vqjTYzk=</DigestValue>
      </Reference>
      <Reference URI="/word/endnotes.xml?ContentType=application/vnd.openxmlformats-officedocument.wordprocessingml.endnotes+xml">
        <DigestMethod Algorithm="http://www.w3.org/2001/04/xmlenc#sha256"/>
        <DigestValue>iqsyryDvFGfn3/0NTIaxkqP70bWMH0OEVrqwXEF72/g=</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4ydPWY0pgtbhWLtUHpbetPFd1G6Gk8ORKLFkwPRFOLI=</DigestValue>
      </Reference>
      <Reference URI="/word/footer2.xml?ContentType=application/vnd.openxmlformats-officedocument.wordprocessingml.footer+xml">
        <DigestMethod Algorithm="http://www.w3.org/2001/04/xmlenc#sha256"/>
        <DigestValue>EKCeQvZedH/m25jYPEusUoiYMS9EKf38UGwQPr1SjRA=</DigestValue>
      </Reference>
      <Reference URI="/word/footer3.xml?ContentType=application/vnd.openxmlformats-officedocument.wordprocessingml.footer+xml">
        <DigestMethod Algorithm="http://www.w3.org/2001/04/xmlenc#sha256"/>
        <DigestValue>BsylxL5QczLf6RG+Ow3WaL7m/Io30lGjU1tSEyJKKI0=</DigestValue>
      </Reference>
      <Reference URI="/word/footnotes.xml?ContentType=application/vnd.openxmlformats-officedocument.wordprocessingml.footnotes+xml">
        <DigestMethod Algorithm="http://www.w3.org/2001/04/xmlenc#sha256"/>
        <DigestValue>o0EJpjzwLQ0yYFFuhT3HMay2U8OqJhoTcAJGrpEDnwo=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ygNJPcnU2P8oCQJ1cg/6GtAokKvXBNJCnCSY6WYt/Ms=</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B4/ogLEEfp0qCA74ORkGZUJX8BmkbzEZuYk+OMqlnO8=</DigestValue>
      </Reference>
      <Reference URI="/word/glossary/styles.xml?ContentType=application/vnd.openxmlformats-officedocument.wordprocessingml.styles+xml">
        <DigestMethod Algorithm="http://www.w3.org/2001/04/xmlenc#sha256"/>
        <DigestValue>Y2KHizxU22DG2xFoJgaPrePaufmSbbYIPBzZPpagj/A=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imvqr30uVWp8txjCDAvr4HEeFMSYMHw0+wsKRE0Ed+Y=</DigestValue>
      </Reference>
      <Reference URI="/word/header2.xml?ContentType=application/vnd.openxmlformats-officedocument.wordprocessingml.header+xml">
        <DigestMethod Algorithm="http://www.w3.org/2001/04/xmlenc#sha256"/>
        <DigestValue>GkcBTgqO7wc9N66C9SlwU1EhMTrl8u7dgpkWqD0VgxE=</DigestValue>
      </Reference>
      <Reference URI="/word/header3.xml?ContentType=application/vnd.openxmlformats-officedocument.wordprocessingml.header+xml">
        <DigestMethod Algorithm="http://www.w3.org/2001/04/xmlenc#sha256"/>
        <DigestValue>X3BYrvyqIY95E4VoZjVPXBbGTmreLmIvK1HtlOC238U=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fHFJfiD+XPCRrDmby2sEz0naRolugWbLkWgR5y22RI4=</DigestValue>
      </Reference>
      <Reference URI="/word/settings.xml?ContentType=application/vnd.openxmlformats-officedocument.wordprocessingml.settings+xml">
        <DigestMethod Algorithm="http://www.w3.org/2001/04/xmlenc#sha256"/>
        <DigestValue>819j/x8WBD2AokdrgkoDJNvn+r5bRVBXI/sZjcURTPU=</DigestValue>
      </Reference>
      <Reference URI="/word/styles.xml?ContentType=application/vnd.openxmlformats-officedocument.wordprocessingml.styles+xml">
        <DigestMethod Algorithm="http://www.w3.org/2001/04/xmlenc#sha256"/>
        <DigestValue>8StJJW1t5JVR8DSWGzln9JSvBB+L3PRNj9Z2Exw9i84=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2022-12-23T20:12:58Z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2022-12-23T20:12:58Z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m/iqAmiEqzLSk938Sp5pF7n1f9UFqMdY7JItFviZ4sCBBIlw+UYDzIwMjIxMjIzMjAxMz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HObSOj7BkfRpcMyvouYM/sTo8eI=</xd:ByKey>
                  </xd:ResponderID>
                  <xd:ProducedAt>2022-12-23T20:10:13Z</xd:ProducedAt>
                </xd:OCSPIdentifier>
                <xd:DigestAlgAndValue>
                  <DigestMethod Algorithm="http://www.w3.org/2001/04/xmlenc#sha256"/>
                  <DigestValue>AfocJmjtYzsvYIl1jwe87Ezni1ylQQJNOQt8Mux4B14=</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</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nBcsdA/8ftvyJU/u0C46dFwDg41m5gtUYOn5b5lZ3gCBBIlw+cYDzIwMjIxMjIzMjAxMz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Proyecto Modificacion Lineamientos Acuerdo SUGEF 15-16 20221222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Proyecto Modificacion Lineamientos Acuerdo SUGEF 15-16 20221222</Subject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97877BF-7EAA-46B7-8339-ECE9289922ED}">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b875e23b-67d9-4b2e-bdec-edacbf90b326"/>
  </ds:schemaRefs>
</ds:datastoreItem>
</file>

<file path=customXml/itemProps2.xml><?xml version="1.0" encoding="utf-8"?>
<ds:datastoreItem xmlns:ds="http://schemas.openxmlformats.org/officeDocument/2006/customXml" ds:itemID="{9E241574-3D5B-4234-9DD6-DE57D741D1A2}">
  <ds:schemaRefs>
    <ds:schemaRef ds:uri="Microsoft.SharePoint.Taxonomy.ContentTypeSync"/>
  </ds:schemaRefs>
</ds:datastoreItem>
</file>

<file path=customXml/itemProps3.xml><?xml version="1.0" encoding="utf-8"?>
<ds:datastoreItem xmlns:ds="http://schemas.openxmlformats.org/officeDocument/2006/customXml" ds:itemID="{F6564502-9F56-4132-8B75-38B2C24D633F}"/>
</file>

<file path=customXml/itemProps4.xml><?xml version="1.0" encoding="utf-8"?>
<ds:datastoreItem xmlns:ds="http://schemas.openxmlformats.org/officeDocument/2006/customXml" ds:itemID="{9C9ED4D0-CA46-4382-9C77-C02FFB7C29CF}"/>
</file>

<file path=customXml/itemProps5.xml><?xml version="1.0" encoding="utf-8"?>
<ds:datastoreItem xmlns:ds="http://schemas.openxmlformats.org/officeDocument/2006/customXml" ds:itemID="{06CD4193-0DD3-4DDC-9A4C-E9F5D57421B5}"/>
</file>

<file path=customXml/itemProps6.xml><?xml version="1.0" encoding="utf-8"?>
<ds:datastoreItem xmlns:ds="http://schemas.openxmlformats.org/officeDocument/2006/customXml" ds:itemID="{27B08951-5587-43AB-952F-82966011BC82}"/>
</file>

<file path=docProps/app.xml><?xml version="1.0" encoding="utf-8"?>
<Properties xmlns="http://schemas.openxmlformats.org/officeDocument/2006/extended-properties" xmlns:vt="http://schemas.openxmlformats.org/officeDocument/2006/docPropsVTypes">
  <Template>Normal</Template>
  <TotalTime>38</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32</cp:revision>
  <dcterms:created xsi:type="dcterms:W3CDTF">2022-12-21T15:44:00Z</dcterms:created>
  <dcterms:modified xsi:type="dcterms:W3CDTF">2022-12-23T16:21:00Z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2022-12-22T18:34:32Z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e46e125d-947c-45e4-9b8b-333c1eddae91</vt:lpwstr>
  </property>
  <property fmtid="{D5CDD505-2E9C-101B-9397-08002B2CF9AE}" pid="17" name="MSIP_Label_b8b4be34-365a-4a68-b9fb-75c1b6874315_ContentBits">
    <vt:lpwstr>2</vt:lpwstr>
  </property>
  <property fmtid="{D5CDD505-2E9C-101B-9397-08002B2CF9AE}" pid="18" name="Order">
    <vt:r8>111800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f1fd9d7f-da86-405a-9476-87cbb240632e,5;e296350a-171a-4531-9415-14f9933ddbf9,7;</vt:lpwstr>
  </property>
</Properties>
</file>