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53F" w:rsidP="00F5553F" w:rsidRDefault="00F5553F" w14:paraId="30B39643" w14:textId="77777777">
      <w:pPr>
        <w:pStyle w:val="Texto"/>
        <w:spacing w:before="0" w:after="0" w:line="240" w:lineRule="auto"/>
        <w:jc w:val="center"/>
        <w:rPr>
          <w:sz w:val="24"/>
        </w:rPr>
      </w:pPr>
    </w:p>
    <w:p w:rsidRPr="002E2B0A" w:rsidR="00181ABF" w:rsidP="00F5553F" w:rsidRDefault="002B2727" w14:paraId="7391AB48" w14:textId="71B04BA9">
      <w:pPr>
        <w:pStyle w:val="Texto"/>
        <w:spacing w:before="0" w:after="0" w:line="240" w:lineRule="auto"/>
        <w:jc w:val="center"/>
        <w:rPr>
          <w:sz w:val="24"/>
        </w:rPr>
      </w:pPr>
      <w:r>
        <w:rPr>
          <w:sz w:val="24"/>
        </w:rPr>
        <w:t>2</w:t>
      </w:r>
      <w:r w:rsidR="008F08C6">
        <w:rPr>
          <w:sz w:val="24"/>
        </w:rPr>
        <w:t>6</w:t>
      </w:r>
      <w:r w:rsidRPr="002E2B0A" w:rsidR="00181ABF">
        <w:rPr>
          <w:sz w:val="24"/>
        </w:rPr>
        <w:t xml:space="preserve"> de </w:t>
      </w:r>
      <w:r>
        <w:rPr>
          <w:sz w:val="24"/>
        </w:rPr>
        <w:t xml:space="preserve">setiembre </w:t>
      </w:r>
      <w:r w:rsidRPr="002E2B0A" w:rsidR="00181ABF">
        <w:rPr>
          <w:sz w:val="24"/>
        </w:rPr>
        <w:t xml:space="preserve">de </w:t>
      </w:r>
      <w:r>
        <w:rPr>
          <w:sz w:val="24"/>
        </w:rPr>
        <w:t>2023</w:t>
      </w:r>
    </w:p>
    <w:sdt>
      <w:sdtPr>
        <w:rPr>
          <w:sz w:val="24"/>
        </w:rPr>
        <w:alias w:val="Consecutivo"/>
        <w:tag w:val="Consecutivo"/>
        <w:id w:val="2052717023"/>
        <w:placeholder>
          <w:docPart w:val="6166573F81764797A12DC35BC9C4BD8A"/>
        </w:placeholder>
        <w:text/>
      </w:sdtPr>
      <w:sdtEndPr/>
      <w:sdtContent>
        <w:p w:rsidR="00181ABF" w:rsidP="00F5553F" w:rsidRDefault="00181ABF" w14:paraId="3664EC5B" w14:textId="77777777">
          <w:pPr>
            <w:tabs>
              <w:tab w:val="left" w:pos="2843"/>
            </w:tabs>
            <w:spacing w:line="240" w:lineRule="auto"/>
            <w:jc w:val="center"/>
            <w:rPr>
              <w:sz w:val="24"/>
            </w:rPr>
          </w:pPr>
          <w:r>
            <w:t>SGF-2465-2023</w:t>
          </w:r>
        </w:p>
      </w:sdtContent>
    </w:sdt>
    <w:p w:rsidR="00181ABF" w:rsidP="00F5553F" w:rsidRDefault="008F08C6" w14:paraId="58CC3AFF" w14:textId="6A76E43A">
      <w:pPr>
        <w:tabs>
          <w:tab w:val="left" w:pos="2843"/>
        </w:tabs>
        <w:spacing w:line="240" w:lineRule="auto"/>
        <w:jc w:val="center"/>
        <w:rPr>
          <w:sz w:val="24"/>
        </w:rPr>
      </w:pPr>
      <w:sdt>
        <w:sdtPr>
          <w:rPr>
            <w:sz w:val="24"/>
          </w:rPr>
          <w:alias w:val="Confidencialidad"/>
          <w:tag w:val="Confidencialidad"/>
          <w:id w:val="1447896894"/>
          <w:placeholder>
            <w:docPart w:val="CECCCA0DD4C8430A969B912A41581DE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96A9D">
            <w:rPr>
              <w:sz w:val="24"/>
            </w:rPr>
            <w:t>SGF-PROPIETARIO</w:t>
          </w:r>
        </w:sdtContent>
      </w:sdt>
    </w:p>
    <w:p w:rsidR="00181ABF" w:rsidP="00181ABF" w:rsidRDefault="00181ABF" w14:paraId="2E001D9B" w14:textId="7498457A">
      <w:pPr>
        <w:tabs>
          <w:tab w:val="left" w:pos="2843"/>
        </w:tabs>
        <w:spacing w:line="240" w:lineRule="auto"/>
        <w:rPr>
          <w:sz w:val="24"/>
        </w:rPr>
      </w:pPr>
      <w:r w:rsidRPr="002E2B0A">
        <w:rPr>
          <w:sz w:val="24"/>
        </w:rPr>
        <w:tab/>
      </w:r>
    </w:p>
    <w:p w:rsidRPr="002E2B0A" w:rsidR="00F5553F" w:rsidP="00181ABF" w:rsidRDefault="00F5553F" w14:paraId="10AE61EB" w14:textId="77777777">
      <w:pPr>
        <w:tabs>
          <w:tab w:val="left" w:pos="2843"/>
        </w:tabs>
        <w:spacing w:line="240" w:lineRule="auto"/>
        <w:rPr>
          <w:sz w:val="24"/>
        </w:rPr>
      </w:pPr>
    </w:p>
    <w:p w:rsidRPr="00295205" w:rsidR="00295205" w:rsidP="00295205" w:rsidRDefault="00295205" w14:paraId="2EFB5BE6" w14:textId="48D0A351">
      <w:pPr>
        <w:tabs>
          <w:tab w:val="left" w:pos="2843"/>
        </w:tabs>
        <w:spacing w:line="240" w:lineRule="auto"/>
        <w:contextualSpacing/>
        <w:jc w:val="center"/>
        <w:rPr>
          <w:b/>
          <w:bCs/>
          <w:sz w:val="24"/>
        </w:rPr>
      </w:pPr>
      <w:r w:rsidRPr="00295205">
        <w:rPr>
          <w:rFonts w:cs="Arial"/>
          <w:b/>
          <w:bCs/>
          <w:sz w:val="24"/>
        </w:rPr>
        <w:t xml:space="preserve">Resolución de la Superintendente General de Entidades Financieras sobre el </w:t>
      </w:r>
      <w:r>
        <w:rPr>
          <w:rFonts w:cs="Arial"/>
          <w:b/>
          <w:bCs/>
          <w:sz w:val="24"/>
        </w:rPr>
        <w:t>C</w:t>
      </w:r>
      <w:r w:rsidRPr="00295205">
        <w:rPr>
          <w:rFonts w:cs="Arial"/>
          <w:b/>
          <w:bCs/>
          <w:sz w:val="24"/>
        </w:rPr>
        <w:t>obro del Centro de Información Conozca a su Cliente (CICAC)</w:t>
      </w:r>
    </w:p>
    <w:p w:rsidR="00181ABF" w:rsidP="00181ABF" w:rsidRDefault="00181ABF" w14:paraId="09B8DB51" w14:textId="0CEF2CF2">
      <w:pPr>
        <w:spacing w:line="240" w:lineRule="auto"/>
        <w:rPr>
          <w:sz w:val="24"/>
        </w:rPr>
      </w:pPr>
    </w:p>
    <w:p w:rsidRPr="002E2B0A" w:rsidR="00F5553F" w:rsidP="00181ABF" w:rsidRDefault="00F5553F" w14:paraId="4E9BF8B6" w14:textId="77777777">
      <w:pPr>
        <w:spacing w:line="240" w:lineRule="auto"/>
        <w:rPr>
          <w:sz w:val="24"/>
        </w:rPr>
      </w:pPr>
    </w:p>
    <w:p w:rsidRPr="001E1318" w:rsidR="00530EC6" w:rsidP="00530EC6" w:rsidRDefault="00530EC6" w14:paraId="73494839" w14:textId="77777777">
      <w:pPr>
        <w:tabs>
          <w:tab w:val="left" w:pos="2843"/>
        </w:tabs>
        <w:spacing w:line="240" w:lineRule="auto"/>
        <w:contextualSpacing/>
        <w:rPr>
          <w:b/>
          <w:sz w:val="24"/>
        </w:rPr>
      </w:pPr>
      <w:r w:rsidRPr="001E1318">
        <w:rPr>
          <w:b/>
          <w:sz w:val="24"/>
        </w:rPr>
        <w:t xml:space="preserve">Dirigida a: </w:t>
      </w:r>
    </w:p>
    <w:p w:rsidRPr="001E1318" w:rsidR="00530EC6" w:rsidP="00530EC6" w:rsidRDefault="00530EC6" w14:paraId="5D64A8B8" w14:textId="77777777">
      <w:pPr>
        <w:widowControl w:val="0"/>
        <w:spacing w:line="240" w:lineRule="auto"/>
        <w:ind w:right="86"/>
        <w:contextualSpacing/>
        <w:rPr>
          <w:b/>
          <w:bCs/>
          <w:sz w:val="24"/>
          <w:lang w:eastAsia="es-ES"/>
        </w:rPr>
      </w:pPr>
    </w:p>
    <w:p w:rsidRPr="001E1318" w:rsidR="00530EC6" w:rsidP="00530EC6" w:rsidRDefault="00530EC6" w14:paraId="79A977FA" w14:textId="77777777">
      <w:pPr>
        <w:widowControl w:val="0"/>
        <w:numPr>
          <w:ilvl w:val="0"/>
          <w:numId w:val="4"/>
        </w:numPr>
        <w:spacing w:line="240" w:lineRule="auto"/>
        <w:ind w:right="86"/>
        <w:contextualSpacing/>
        <w:rPr>
          <w:b/>
          <w:bCs/>
          <w:sz w:val="24"/>
          <w:lang w:eastAsia="es-ES"/>
        </w:rPr>
      </w:pPr>
      <w:r w:rsidRPr="001E1318">
        <w:rPr>
          <w:b/>
          <w:bCs/>
          <w:sz w:val="24"/>
          <w:lang w:eastAsia="es-ES"/>
        </w:rPr>
        <w:t>Bancos públicos, privados y mutuales</w:t>
      </w:r>
    </w:p>
    <w:p w:rsidRPr="001E1318" w:rsidR="00530EC6" w:rsidP="00530EC6" w:rsidRDefault="00530EC6" w14:paraId="756CA98E" w14:textId="77777777">
      <w:pPr>
        <w:widowControl w:val="0"/>
        <w:numPr>
          <w:ilvl w:val="0"/>
          <w:numId w:val="4"/>
        </w:numPr>
        <w:spacing w:line="240" w:lineRule="auto"/>
        <w:ind w:right="86"/>
        <w:contextualSpacing/>
        <w:rPr>
          <w:b/>
          <w:bCs/>
          <w:sz w:val="24"/>
          <w:lang w:eastAsia="es-ES"/>
        </w:rPr>
      </w:pPr>
      <w:r w:rsidRPr="001E1318">
        <w:rPr>
          <w:b/>
          <w:bCs/>
          <w:sz w:val="24"/>
          <w:lang w:eastAsia="es-ES"/>
        </w:rPr>
        <w:t>Banco Popular, BANHVI y Caja de Ahorro y Préstamos de la ANDE</w:t>
      </w:r>
    </w:p>
    <w:p w:rsidRPr="001E1318" w:rsidR="00530EC6" w:rsidP="00530EC6" w:rsidRDefault="00530EC6" w14:paraId="64B1909D" w14:textId="77777777">
      <w:pPr>
        <w:widowControl w:val="0"/>
        <w:numPr>
          <w:ilvl w:val="0"/>
          <w:numId w:val="4"/>
        </w:numPr>
        <w:spacing w:line="240" w:lineRule="auto"/>
        <w:ind w:right="86"/>
        <w:contextualSpacing/>
        <w:rPr>
          <w:b/>
          <w:bCs/>
          <w:sz w:val="24"/>
          <w:lang w:eastAsia="es-ES"/>
        </w:rPr>
      </w:pPr>
      <w:r w:rsidRPr="001E1318">
        <w:rPr>
          <w:b/>
          <w:bCs/>
          <w:sz w:val="24"/>
          <w:lang w:eastAsia="es-ES"/>
        </w:rPr>
        <w:t>Cooperativas y empresas financieras supervisadas según el artículo 14 de la Ley 7786.</w:t>
      </w:r>
    </w:p>
    <w:p w:rsidRPr="001E1318" w:rsidR="00530EC6" w:rsidP="00530EC6" w:rsidRDefault="00530EC6" w14:paraId="0B05C3C2" w14:textId="77777777">
      <w:pPr>
        <w:widowControl w:val="0"/>
        <w:numPr>
          <w:ilvl w:val="0"/>
          <w:numId w:val="4"/>
        </w:numPr>
        <w:spacing w:line="240" w:lineRule="auto"/>
        <w:ind w:right="86"/>
        <w:contextualSpacing/>
        <w:rPr>
          <w:b/>
          <w:bCs/>
          <w:sz w:val="24"/>
          <w:lang w:eastAsia="es-ES"/>
        </w:rPr>
      </w:pPr>
      <w:r w:rsidRPr="001E1318">
        <w:rPr>
          <w:b/>
          <w:bCs/>
          <w:sz w:val="24"/>
          <w:lang w:eastAsia="es-ES"/>
        </w:rPr>
        <w:t xml:space="preserve">Grupos y conglomerados financieros </w:t>
      </w:r>
    </w:p>
    <w:p w:rsidRPr="001E1318" w:rsidR="00530EC6" w:rsidP="00530EC6" w:rsidRDefault="00530EC6" w14:paraId="7733B274" w14:textId="77777777">
      <w:pPr>
        <w:widowControl w:val="0"/>
        <w:numPr>
          <w:ilvl w:val="0"/>
          <w:numId w:val="4"/>
        </w:numPr>
        <w:spacing w:line="240" w:lineRule="auto"/>
        <w:ind w:right="86"/>
        <w:contextualSpacing/>
        <w:rPr>
          <w:b/>
          <w:bCs/>
          <w:sz w:val="24"/>
          <w:lang w:eastAsia="es-ES"/>
        </w:rPr>
      </w:pPr>
      <w:r w:rsidRPr="001E1318">
        <w:rPr>
          <w:b/>
          <w:bCs/>
          <w:sz w:val="24"/>
          <w:lang w:eastAsia="es-ES"/>
        </w:rPr>
        <w:t>Casas de cambio</w:t>
      </w:r>
    </w:p>
    <w:p w:rsidR="00530EC6" w:rsidP="00530EC6" w:rsidRDefault="00530EC6" w14:paraId="15520933" w14:textId="77777777">
      <w:pPr>
        <w:spacing w:line="240" w:lineRule="auto"/>
        <w:contextualSpacing/>
        <w:rPr>
          <w:rFonts w:cs="Arial"/>
          <w:b/>
          <w:bCs/>
          <w:sz w:val="24"/>
        </w:rPr>
      </w:pPr>
    </w:p>
    <w:p w:rsidR="00530EC6" w:rsidP="00530EC6" w:rsidRDefault="00530EC6" w14:paraId="0737A327" w14:textId="77777777">
      <w:pPr>
        <w:spacing w:line="240" w:lineRule="auto"/>
        <w:contextualSpacing/>
        <w:rPr>
          <w:rFonts w:cs="Arial"/>
          <w:b/>
          <w:bCs/>
          <w:sz w:val="24"/>
        </w:rPr>
      </w:pPr>
    </w:p>
    <w:p w:rsidR="00530EC6" w:rsidP="00530EC6" w:rsidRDefault="00530EC6" w14:paraId="7C7AB66D" w14:textId="77777777">
      <w:pPr>
        <w:spacing w:line="240" w:lineRule="auto"/>
        <w:contextualSpacing/>
        <w:rPr>
          <w:rFonts w:cs="Arial"/>
          <w:sz w:val="24"/>
        </w:rPr>
      </w:pPr>
      <w:r>
        <w:rPr>
          <w:rFonts w:cs="Arial"/>
          <w:b/>
          <w:bCs/>
          <w:sz w:val="24"/>
        </w:rPr>
        <w:t xml:space="preserve">Asunto: </w:t>
      </w:r>
      <w:r>
        <w:rPr>
          <w:rFonts w:cs="Arial"/>
          <w:b/>
          <w:bCs/>
          <w:sz w:val="24"/>
        </w:rPr>
        <w:tab/>
        <w:t xml:space="preserve">Tarifa y medio de cobro por el uso de los servicios del CICAC, en aras de garantizar un funcionamiento adecuado y sostenible del sistema CICAC. </w:t>
      </w:r>
    </w:p>
    <w:p w:rsidR="00530EC6" w:rsidP="00530EC6" w:rsidRDefault="00530EC6" w14:paraId="6F30C552" w14:textId="50A12BD1">
      <w:pPr>
        <w:spacing w:line="240" w:lineRule="auto"/>
        <w:contextualSpacing/>
        <w:rPr>
          <w:rFonts w:cs="Arial"/>
          <w:sz w:val="24"/>
        </w:rPr>
      </w:pPr>
    </w:p>
    <w:p w:rsidR="00F5553F" w:rsidP="00530EC6" w:rsidRDefault="00F5553F" w14:paraId="521AD8A0" w14:textId="77777777">
      <w:pPr>
        <w:spacing w:line="240" w:lineRule="auto"/>
        <w:contextualSpacing/>
        <w:rPr>
          <w:rFonts w:cs="Arial"/>
          <w:sz w:val="24"/>
        </w:rPr>
      </w:pPr>
    </w:p>
    <w:p w:rsidRPr="001E1318" w:rsidR="00530EC6" w:rsidP="00530EC6" w:rsidRDefault="00530EC6" w14:paraId="3D0EBFA5" w14:textId="77777777">
      <w:pPr>
        <w:spacing w:line="240" w:lineRule="auto"/>
        <w:contextualSpacing/>
        <w:rPr>
          <w:rFonts w:cs="Arial"/>
          <w:b/>
          <w:bCs/>
          <w:sz w:val="24"/>
        </w:rPr>
      </w:pPr>
      <w:r w:rsidRPr="001E1318">
        <w:rPr>
          <w:rFonts w:cs="Arial"/>
          <w:b/>
          <w:bCs/>
          <w:sz w:val="24"/>
        </w:rPr>
        <w:t>La Superintendente General de Entidades Financieras,</w:t>
      </w:r>
    </w:p>
    <w:p w:rsidRPr="001E1318" w:rsidR="00530EC6" w:rsidP="00530EC6" w:rsidRDefault="00530EC6" w14:paraId="79DAE34C" w14:textId="77777777">
      <w:pPr>
        <w:spacing w:line="240" w:lineRule="auto"/>
        <w:contextualSpacing/>
        <w:rPr>
          <w:rFonts w:cs="Arial"/>
          <w:bCs/>
          <w:sz w:val="24"/>
        </w:rPr>
      </w:pPr>
    </w:p>
    <w:p w:rsidRPr="001E1318" w:rsidR="00530EC6" w:rsidP="00530EC6" w:rsidRDefault="00530EC6" w14:paraId="5D4EC9F4" w14:textId="77777777">
      <w:pPr>
        <w:spacing w:line="240" w:lineRule="auto"/>
        <w:contextualSpacing/>
        <w:rPr>
          <w:rFonts w:cs="Arial"/>
          <w:b/>
          <w:sz w:val="24"/>
        </w:rPr>
      </w:pPr>
      <w:r w:rsidRPr="001E1318">
        <w:rPr>
          <w:rFonts w:cs="Arial"/>
          <w:b/>
          <w:bCs/>
          <w:sz w:val="24"/>
        </w:rPr>
        <w:t>Considerando que</w:t>
      </w:r>
      <w:r w:rsidRPr="001E1318">
        <w:rPr>
          <w:rFonts w:cs="Arial"/>
          <w:b/>
          <w:sz w:val="24"/>
        </w:rPr>
        <w:t>:</w:t>
      </w:r>
    </w:p>
    <w:p w:rsidR="00530EC6" w:rsidP="00530EC6" w:rsidRDefault="00530EC6" w14:paraId="32A66C7C" w14:textId="77777777">
      <w:pPr>
        <w:keepNext/>
        <w:keepLines/>
        <w:spacing w:line="240" w:lineRule="auto"/>
        <w:ind w:left="10" w:right="4" w:hanging="10"/>
        <w:contextualSpacing/>
        <w:outlineLvl w:val="0"/>
        <w:rPr>
          <w:rFonts w:eastAsia="Calibri" w:cs="Calibri"/>
          <w:b/>
          <w:sz w:val="24"/>
          <w:u w:color="0563C1"/>
          <w:lang w:eastAsia="es-CR"/>
        </w:rPr>
      </w:pPr>
    </w:p>
    <w:p w:rsidR="00530EC6" w:rsidP="00530EC6" w:rsidRDefault="00530EC6" w14:paraId="359C9888" w14:textId="77777777">
      <w:pPr>
        <w:autoSpaceDE w:val="0"/>
        <w:autoSpaceDN w:val="0"/>
        <w:adjustRightInd w:val="0"/>
        <w:spacing w:line="240" w:lineRule="auto"/>
        <w:contextualSpacing/>
        <w:rPr>
          <w:b/>
          <w:bCs/>
          <w:sz w:val="24"/>
        </w:rPr>
      </w:pPr>
      <w:r w:rsidRPr="00A25469">
        <w:rPr>
          <w:b/>
          <w:bCs/>
          <w:sz w:val="24"/>
        </w:rPr>
        <w:t>Sobre el artículo 16 bis de la Ley 7786:</w:t>
      </w:r>
    </w:p>
    <w:p w:rsidRPr="00A25469" w:rsidR="00530EC6" w:rsidP="00530EC6" w:rsidRDefault="00530EC6" w14:paraId="539457D2" w14:textId="77777777">
      <w:pPr>
        <w:autoSpaceDE w:val="0"/>
        <w:autoSpaceDN w:val="0"/>
        <w:adjustRightInd w:val="0"/>
        <w:spacing w:line="240" w:lineRule="auto"/>
        <w:contextualSpacing/>
        <w:rPr>
          <w:b/>
          <w:bCs/>
          <w:sz w:val="24"/>
        </w:rPr>
      </w:pPr>
    </w:p>
    <w:p w:rsidRPr="001E1318" w:rsidR="00530EC6" w:rsidP="00530EC6" w:rsidRDefault="00530EC6" w14:paraId="7CF9F8E3" w14:textId="77777777">
      <w:pPr>
        <w:numPr>
          <w:ilvl w:val="0"/>
          <w:numId w:val="3"/>
        </w:numPr>
        <w:spacing w:line="240" w:lineRule="auto"/>
        <w:contextualSpacing/>
        <w:rPr>
          <w:sz w:val="24"/>
        </w:rPr>
      </w:pPr>
      <w:r>
        <w:rPr>
          <w:sz w:val="24"/>
        </w:rPr>
        <w:t>El artículo 16 bis de la</w:t>
      </w:r>
      <w:r w:rsidRPr="001E1318">
        <w:rPr>
          <w:i/>
          <w:sz w:val="24"/>
        </w:rPr>
        <w:t xml:space="preserve"> </w:t>
      </w:r>
      <w:r w:rsidRPr="000679D9">
        <w:rPr>
          <w:i/>
        </w:rPr>
        <w:t>Ley sobre estupefacientes, sustancias psicotrópicas, drogas de uso no autorizado, actividades conexas, legitimación de capitales y financiamiento al terrorismo,</w:t>
      </w:r>
      <w:r>
        <w:rPr>
          <w:i/>
          <w:sz w:val="24"/>
        </w:rPr>
        <w:t xml:space="preserve"> </w:t>
      </w:r>
      <w:r w:rsidRPr="000679D9">
        <w:rPr>
          <w:iCs/>
          <w:sz w:val="24"/>
        </w:rPr>
        <w:t>Ley N°7786</w:t>
      </w:r>
      <w:r>
        <w:rPr>
          <w:sz w:val="24"/>
        </w:rPr>
        <w:t>,</w:t>
      </w:r>
      <w:r w:rsidRPr="001E1318">
        <w:rPr>
          <w:sz w:val="24"/>
        </w:rPr>
        <w:t xml:space="preserve"> </w:t>
      </w:r>
      <w:r w:rsidRPr="001E1318">
        <w:rPr>
          <w:rFonts w:cstheme="majorHAnsi"/>
          <w:sz w:val="24"/>
          <w:lang w:eastAsia="es-CR"/>
        </w:rPr>
        <w:t>le ordena a la Superintendencia General de Entidades Financieras (SUGEF) crear una base de datos con información de la política conozca a su cliente.</w:t>
      </w:r>
    </w:p>
    <w:p w:rsidRPr="001E1318" w:rsidR="00530EC6" w:rsidP="00530EC6" w:rsidRDefault="00530EC6" w14:paraId="1CCE285C" w14:textId="77777777">
      <w:pPr>
        <w:spacing w:line="240" w:lineRule="auto"/>
        <w:contextualSpacing/>
        <w:rPr>
          <w:sz w:val="24"/>
          <w:highlight w:val="yellow"/>
        </w:rPr>
      </w:pPr>
    </w:p>
    <w:p w:rsidRPr="00EE76E0" w:rsidR="00530EC6" w:rsidP="00530EC6" w:rsidRDefault="00530EC6" w14:paraId="2BEF09B2" w14:textId="6AF55AF3">
      <w:pPr>
        <w:numPr>
          <w:ilvl w:val="0"/>
          <w:numId w:val="3"/>
        </w:numPr>
        <w:spacing w:line="240" w:lineRule="auto"/>
        <w:contextualSpacing/>
        <w:rPr>
          <w:i/>
          <w:sz w:val="24"/>
          <w:lang w:eastAsia="es-ES"/>
        </w:rPr>
      </w:pPr>
      <w:r>
        <w:rPr>
          <w:iCs/>
          <w:sz w:val="24"/>
          <w:lang w:eastAsia="es-ES"/>
        </w:rPr>
        <w:t>El párrafo último del artículo 16 bis de la Ley N°7786 faculta a la SUGEF establecer un cobro razonable a cargo de las entidades fiscalizadas consultantes, establecidas en el artículo 14 de la Ley, por los servicios de la plataforma requerida a los efectos de implementar lo ordenado en este artículo, en aras de garantizar un funcionamiento adecuado y sostenible.</w:t>
      </w:r>
    </w:p>
    <w:p w:rsidRPr="00AF4350" w:rsidR="00530EC6" w:rsidP="00530EC6" w:rsidRDefault="00530EC6" w14:paraId="0C53B4F4" w14:textId="77777777">
      <w:pPr>
        <w:spacing w:line="240" w:lineRule="auto"/>
        <w:contextualSpacing/>
        <w:rPr>
          <w:i/>
          <w:sz w:val="24"/>
          <w:lang w:eastAsia="es-ES"/>
        </w:rPr>
      </w:pPr>
    </w:p>
    <w:p w:rsidRPr="00585D6E" w:rsidR="00530EC6" w:rsidP="00530EC6" w:rsidRDefault="00530EC6" w14:paraId="0251AC77" w14:textId="77777777">
      <w:pPr>
        <w:numPr>
          <w:ilvl w:val="0"/>
          <w:numId w:val="3"/>
        </w:numPr>
        <w:autoSpaceDE w:val="0"/>
        <w:autoSpaceDN w:val="0"/>
        <w:adjustRightInd w:val="0"/>
        <w:spacing w:line="240" w:lineRule="auto"/>
        <w:ind w:left="1077"/>
        <w:contextualSpacing/>
        <w:rPr>
          <w:sz w:val="24"/>
        </w:rPr>
      </w:pPr>
      <w:r>
        <w:rPr>
          <w:sz w:val="24"/>
        </w:rPr>
        <w:t>El</w:t>
      </w:r>
      <w:r w:rsidRPr="001E1318">
        <w:rPr>
          <w:sz w:val="24"/>
        </w:rPr>
        <w:t xml:space="preserve"> transitorio tercero del </w:t>
      </w:r>
      <w:r w:rsidRPr="00AC65ED">
        <w:rPr>
          <w:i/>
          <w:iCs/>
        </w:rPr>
        <w:t>Reglamento del Centro de Información Conozca a su Cliente</w:t>
      </w:r>
      <w:r w:rsidRPr="001E1318">
        <w:rPr>
          <w:sz w:val="24"/>
        </w:rPr>
        <w:t xml:space="preserve">, </w:t>
      </w:r>
      <w:r>
        <w:rPr>
          <w:sz w:val="24"/>
        </w:rPr>
        <w:t>aprobado por e</w:t>
      </w:r>
      <w:r w:rsidRPr="001E1318">
        <w:rPr>
          <w:sz w:val="24"/>
        </w:rPr>
        <w:t>l Consejo Nacional de Supervisión del Sistema Financiero, en los artículos 7, del acta de la sesión 1637-2021 y 6 del acta de la sesión 1638-2021, celebradas el 18 de enero de 2021</w:t>
      </w:r>
      <w:r>
        <w:rPr>
          <w:sz w:val="24"/>
        </w:rPr>
        <w:t xml:space="preserve"> que entró en vigencia en enero del 2022,</w:t>
      </w:r>
      <w:r w:rsidRPr="001E1318">
        <w:rPr>
          <w:sz w:val="24"/>
        </w:rPr>
        <w:t xml:space="preserve"> </w:t>
      </w:r>
      <w:r>
        <w:rPr>
          <w:sz w:val="24"/>
        </w:rPr>
        <w:t xml:space="preserve">establece lo siguiente: “(…) </w:t>
      </w:r>
      <w:r w:rsidRPr="00AC65ED">
        <w:rPr>
          <w:i/>
          <w:iCs/>
        </w:rPr>
        <w:t xml:space="preserve">La Sugef definirá por Resolución del Superintendente, en un plazo de doce meses a partir de la entrada en vigencia de este reglamento, la tarifa y medio de cobro por el uso de los servicios del CICAC, en aras de garantizar un funcionamiento adecuado y sostenible. En la misma Resolución se establecerá la fecha de entrada en vigencia del cobro correspondiente. </w:t>
      </w:r>
      <w:r>
        <w:rPr>
          <w:i/>
          <w:iCs/>
        </w:rPr>
        <w:t>(…)”</w:t>
      </w:r>
    </w:p>
    <w:p w:rsidRPr="000679D9" w:rsidR="00530EC6" w:rsidP="00530EC6" w:rsidRDefault="00530EC6" w14:paraId="12521113" w14:textId="77777777">
      <w:pPr>
        <w:spacing w:line="240" w:lineRule="auto"/>
        <w:contextualSpacing/>
        <w:rPr>
          <w:i/>
          <w:sz w:val="24"/>
          <w:lang w:eastAsia="es-ES"/>
        </w:rPr>
      </w:pPr>
    </w:p>
    <w:p w:rsidR="00530EC6" w:rsidP="00530EC6" w:rsidRDefault="00530EC6" w14:paraId="7165B016" w14:textId="77777777">
      <w:pPr>
        <w:numPr>
          <w:ilvl w:val="0"/>
          <w:numId w:val="3"/>
        </w:numPr>
        <w:autoSpaceDE w:val="0"/>
        <w:autoSpaceDN w:val="0"/>
        <w:adjustRightInd w:val="0"/>
        <w:spacing w:line="240" w:lineRule="auto"/>
        <w:ind w:left="1077"/>
        <w:contextualSpacing/>
        <w:rPr>
          <w:sz w:val="24"/>
        </w:rPr>
      </w:pPr>
      <w:r>
        <w:rPr>
          <w:sz w:val="24"/>
        </w:rPr>
        <w:t xml:space="preserve">Según lo establecido en la Resolución de la Superintendente SGF-0636-2022 </w:t>
      </w:r>
      <w:r w:rsidRPr="000679D9">
        <w:rPr>
          <w:i/>
          <w:iCs/>
        </w:rPr>
        <w:t>“Resolución de la Superintendente General de Entidades Financieras sobre la puesta en operación del Centro de Información Conozca a su Cliente (CICAC)”</w:t>
      </w:r>
      <w:r>
        <w:rPr>
          <w:i/>
          <w:iCs/>
        </w:rPr>
        <w:t>,</w:t>
      </w:r>
      <w:r>
        <w:rPr>
          <w:sz w:val="24"/>
        </w:rPr>
        <w:t xml:space="preserve"> el sistema CICAC entró en producción el 1° de julio del 2022, iniciando con la primera etapa de implementación del sistema las entidades supervisadas por SUGEF y SUGEVAL y las entidades supervisadas por la SUGESE y SUPEN participarán de la segunda etapa a partir de enero del 2024.</w:t>
      </w:r>
    </w:p>
    <w:p w:rsidR="00530EC6" w:rsidP="00530EC6" w:rsidRDefault="00530EC6" w14:paraId="652136F3" w14:textId="77777777">
      <w:pPr>
        <w:autoSpaceDE w:val="0"/>
        <w:autoSpaceDN w:val="0"/>
        <w:adjustRightInd w:val="0"/>
        <w:spacing w:line="240" w:lineRule="auto"/>
        <w:contextualSpacing/>
        <w:rPr>
          <w:sz w:val="24"/>
        </w:rPr>
      </w:pPr>
    </w:p>
    <w:p w:rsidRPr="00665135" w:rsidR="00530EC6" w:rsidP="00530EC6" w:rsidRDefault="00530EC6" w14:paraId="4645E4F7" w14:textId="77777777">
      <w:pPr>
        <w:numPr>
          <w:ilvl w:val="0"/>
          <w:numId w:val="3"/>
        </w:numPr>
        <w:autoSpaceDE w:val="0"/>
        <w:autoSpaceDN w:val="0"/>
        <w:adjustRightInd w:val="0"/>
        <w:spacing w:line="240" w:lineRule="auto"/>
        <w:ind w:left="1077"/>
        <w:contextualSpacing/>
        <w:rPr>
          <w:sz w:val="24"/>
        </w:rPr>
      </w:pPr>
      <w:r w:rsidRPr="00665135">
        <w:rPr>
          <w:sz w:val="24"/>
        </w:rPr>
        <w:t>Para establecer una tarifa o costo por el uso del CICAC a las entidades consultantes, de conformidad con lo establecido en el artículo 16 bis</w:t>
      </w:r>
      <w:r>
        <w:rPr>
          <w:sz w:val="24"/>
        </w:rPr>
        <w:t xml:space="preserve"> de la Ley 7786</w:t>
      </w:r>
      <w:r w:rsidRPr="00665135">
        <w:rPr>
          <w:sz w:val="24"/>
        </w:rPr>
        <w:t xml:space="preserve">, es necesario que esta Superintendencia considere </w:t>
      </w:r>
      <w:r w:rsidRPr="00665135">
        <w:rPr>
          <w:sz w:val="24"/>
          <w:lang w:val="es-ES_tradnl"/>
        </w:rPr>
        <w:t>la razonabilidad del cobro, lo que implica valorar diversos factores, entre estos</w:t>
      </w:r>
      <w:r>
        <w:rPr>
          <w:sz w:val="24"/>
          <w:lang w:val="es-ES_tradnl"/>
        </w:rPr>
        <w:t>,</w:t>
      </w:r>
      <w:r w:rsidRPr="00665135">
        <w:rPr>
          <w:sz w:val="24"/>
          <w:lang w:val="es-ES_tradnl"/>
        </w:rPr>
        <w:t xml:space="preserve"> </w:t>
      </w:r>
      <w:r>
        <w:rPr>
          <w:sz w:val="24"/>
          <w:lang w:val="es-ES_tradnl"/>
        </w:rPr>
        <w:t xml:space="preserve">la cantidad de expedientes autorizados en el CICAC, </w:t>
      </w:r>
      <w:r w:rsidRPr="00665135">
        <w:rPr>
          <w:sz w:val="24"/>
          <w:lang w:val="es-ES_tradnl"/>
        </w:rPr>
        <w:t>el volumen de uso del sistema</w:t>
      </w:r>
      <w:r>
        <w:rPr>
          <w:sz w:val="24"/>
          <w:lang w:val="es-ES_tradnl"/>
        </w:rPr>
        <w:t xml:space="preserve"> y</w:t>
      </w:r>
      <w:r w:rsidRPr="00665135">
        <w:rPr>
          <w:sz w:val="24"/>
          <w:lang w:val="es-ES_tradnl"/>
        </w:rPr>
        <w:t xml:space="preserve"> complejidad del servicio, </w:t>
      </w:r>
      <w:r>
        <w:rPr>
          <w:sz w:val="24"/>
          <w:lang w:val="es-ES_tradnl"/>
        </w:rPr>
        <w:t>lo cual requiere necesariamente llegar a un punto de madurez y uso del CICAC por parte del Sistema Financiero Nacional.</w:t>
      </w:r>
    </w:p>
    <w:p w:rsidR="00530EC6" w:rsidP="00530EC6" w:rsidRDefault="00530EC6" w14:paraId="026DA5A9" w14:textId="77777777">
      <w:pPr>
        <w:spacing w:line="240" w:lineRule="auto"/>
        <w:contextualSpacing/>
        <w:rPr>
          <w:b/>
          <w:bCs/>
          <w:sz w:val="24"/>
        </w:rPr>
      </w:pPr>
    </w:p>
    <w:p w:rsidR="00530EC6" w:rsidP="00530EC6" w:rsidRDefault="00530EC6" w14:paraId="4378F446" w14:textId="0E0638B9">
      <w:pPr>
        <w:spacing w:line="240" w:lineRule="auto"/>
        <w:contextualSpacing/>
        <w:rPr>
          <w:b/>
          <w:bCs/>
          <w:sz w:val="24"/>
        </w:rPr>
      </w:pPr>
      <w:r w:rsidRPr="00A25469">
        <w:rPr>
          <w:b/>
          <w:bCs/>
          <w:sz w:val="24"/>
        </w:rPr>
        <w:t xml:space="preserve">Sobre </w:t>
      </w:r>
      <w:r w:rsidR="00456634">
        <w:rPr>
          <w:b/>
          <w:bCs/>
          <w:sz w:val="24"/>
        </w:rPr>
        <w:t>los</w:t>
      </w:r>
      <w:r w:rsidRPr="00A25469">
        <w:rPr>
          <w:b/>
          <w:bCs/>
          <w:sz w:val="24"/>
        </w:rPr>
        <w:t xml:space="preserve"> artículo</w:t>
      </w:r>
      <w:r w:rsidR="00456634">
        <w:rPr>
          <w:b/>
          <w:bCs/>
          <w:sz w:val="24"/>
        </w:rPr>
        <w:t>s</w:t>
      </w:r>
      <w:r w:rsidRPr="00A25469">
        <w:rPr>
          <w:b/>
          <w:bCs/>
          <w:sz w:val="24"/>
        </w:rPr>
        <w:t xml:space="preserve"> </w:t>
      </w:r>
      <w:r>
        <w:rPr>
          <w:b/>
          <w:bCs/>
          <w:sz w:val="24"/>
        </w:rPr>
        <w:t xml:space="preserve">174 y </w:t>
      </w:r>
      <w:r w:rsidRPr="00A25469">
        <w:rPr>
          <w:b/>
          <w:bCs/>
          <w:sz w:val="24"/>
        </w:rPr>
        <w:t>175 de</w:t>
      </w:r>
      <w:r>
        <w:rPr>
          <w:b/>
          <w:bCs/>
          <w:sz w:val="24"/>
        </w:rPr>
        <w:t xml:space="preserve"> </w:t>
      </w:r>
      <w:r w:rsidRPr="00A25469">
        <w:rPr>
          <w:b/>
          <w:bCs/>
          <w:sz w:val="24"/>
        </w:rPr>
        <w:t>l</w:t>
      </w:r>
      <w:r>
        <w:rPr>
          <w:b/>
          <w:bCs/>
          <w:sz w:val="24"/>
        </w:rPr>
        <w:t>a Ley Reguladora del</w:t>
      </w:r>
      <w:r w:rsidRPr="00A25469">
        <w:rPr>
          <w:b/>
          <w:bCs/>
          <w:sz w:val="24"/>
        </w:rPr>
        <w:t xml:space="preserve"> Mercado de Valores: </w:t>
      </w:r>
    </w:p>
    <w:p w:rsidRPr="00A25469" w:rsidR="00530EC6" w:rsidP="00530EC6" w:rsidRDefault="00530EC6" w14:paraId="123FFDE6" w14:textId="77777777">
      <w:pPr>
        <w:spacing w:line="240" w:lineRule="auto"/>
        <w:contextualSpacing/>
        <w:rPr>
          <w:b/>
          <w:bCs/>
          <w:sz w:val="24"/>
        </w:rPr>
      </w:pPr>
    </w:p>
    <w:p w:rsidR="00530EC6" w:rsidP="00530EC6" w:rsidRDefault="00530EC6" w14:paraId="3BFC0A37" w14:textId="77777777">
      <w:pPr>
        <w:numPr>
          <w:ilvl w:val="0"/>
          <w:numId w:val="7"/>
        </w:numPr>
        <w:spacing w:line="240" w:lineRule="auto"/>
        <w:contextualSpacing/>
        <w:rPr>
          <w:sz w:val="24"/>
        </w:rPr>
      </w:pPr>
      <w:r w:rsidRPr="003E1C7D">
        <w:rPr>
          <w:sz w:val="24"/>
        </w:rPr>
        <w:t>Que los artículos 174 y 175 de la Ley Reguladora del Mercado de Valores, Ley 7732, establecen que los sujetos fiscalizados deben aportar al presupuesto de la Superintendencia General de Entidades Financieras (Sugef), la Superintendencia General de Valores (Sugeval), la Superintendencia de Pensiones (Supen) y la Superintendencia General de Seguros (Sugese), mediante contribuciones obligatorias.</w:t>
      </w:r>
    </w:p>
    <w:p w:rsidR="00530EC6" w:rsidP="00530EC6" w:rsidRDefault="00530EC6" w14:paraId="4F20B985" w14:textId="77777777">
      <w:pPr>
        <w:spacing w:line="240" w:lineRule="auto"/>
        <w:ind w:left="1077"/>
        <w:contextualSpacing/>
        <w:rPr>
          <w:sz w:val="24"/>
        </w:rPr>
      </w:pPr>
    </w:p>
    <w:p w:rsidR="00530EC6" w:rsidP="00530EC6" w:rsidRDefault="00530EC6" w14:paraId="3579FF7B" w14:textId="07A367A0">
      <w:pPr>
        <w:pStyle w:val="Prrafodelista"/>
        <w:numPr>
          <w:ilvl w:val="0"/>
          <w:numId w:val="7"/>
        </w:numPr>
        <w:spacing w:line="240" w:lineRule="auto"/>
        <w:ind w:left="1077"/>
        <w:rPr>
          <w:sz w:val="24"/>
          <w:lang w:val="es-ES_tradnl"/>
        </w:rPr>
      </w:pPr>
      <w:r w:rsidRPr="0065229B">
        <w:rPr>
          <w:sz w:val="24"/>
          <w:lang w:val="es-ES_tradnl"/>
        </w:rPr>
        <w:t xml:space="preserve">El CICAC fue adscrito a la Superintendencia General de Entidades Financieras y por tanto a su presupuesto, que de conformidad con el artículo 174 de la Ley Reguladora del Mercado de Valores, debe ser financiado en un 50% con recursos del Banco Central de Costa Rica y el otro 50% por las contribuciones de los sujetos fiscalizados, porcentajes a los que se llega de acuerdo con el aumento gradual establecido en el transitorio II de la Ley 9746. </w:t>
      </w:r>
    </w:p>
    <w:p w:rsidR="00530EC6" w:rsidP="00530EC6" w:rsidRDefault="00530EC6" w14:paraId="244AD532" w14:textId="77777777">
      <w:pPr>
        <w:spacing w:line="240" w:lineRule="auto"/>
        <w:ind w:left="1077"/>
        <w:contextualSpacing/>
        <w:rPr>
          <w:sz w:val="24"/>
        </w:rPr>
      </w:pPr>
    </w:p>
    <w:p w:rsidR="00530EC6" w:rsidP="00530EC6" w:rsidRDefault="00530EC6" w14:paraId="65E1ABE3" w14:textId="77777777">
      <w:pPr>
        <w:numPr>
          <w:ilvl w:val="0"/>
          <w:numId w:val="7"/>
        </w:numPr>
        <w:spacing w:line="240" w:lineRule="auto"/>
        <w:ind w:left="1077"/>
        <w:contextualSpacing/>
        <w:rPr>
          <w:sz w:val="24"/>
        </w:rPr>
      </w:pPr>
      <w:r w:rsidRPr="003E1C7D">
        <w:rPr>
          <w:sz w:val="24"/>
        </w:rPr>
        <w:t>Que el transitorio II de la Ley 9746 establece la gradualidad y el plazo para que los sujetos fiscalizados alcancen el aporte del 50% correspondiente al financiamiento del presupuesto de la Sugef, Sugeval, Supen y Sugese. El aumento en el porcentaje de contribución de las entidades supervisadas por Sugef se alcanzará a razón de incrementos graduales anuales, de acuerdo con el siguiente cuadro: </w:t>
      </w:r>
    </w:p>
    <w:p w:rsidRPr="003E1C7D" w:rsidR="00530EC6" w:rsidP="00530EC6" w:rsidRDefault="00530EC6" w14:paraId="1D8C23AB" w14:textId="77777777">
      <w:pPr>
        <w:spacing w:line="240" w:lineRule="auto"/>
        <w:contextualSpacing/>
        <w:rPr>
          <w:sz w:val="24"/>
        </w:rPr>
      </w:pPr>
    </w:p>
    <w:tbl>
      <w:tblPr>
        <w:tblW w:w="7694" w:type="dxa"/>
        <w:tblInd w:w="112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3"/>
        <w:gridCol w:w="992"/>
        <w:gridCol w:w="1134"/>
        <w:gridCol w:w="1276"/>
        <w:gridCol w:w="1134"/>
        <w:gridCol w:w="1134"/>
        <w:gridCol w:w="1031"/>
      </w:tblGrid>
      <w:tr w:rsidRPr="003E1C7D" w:rsidR="00530EC6" w:rsidTr="00024672" w14:paraId="4AB82A39" w14:textId="77777777">
        <w:trPr>
          <w:trHeight w:val="300"/>
        </w:trPr>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244128CC" w14:textId="77777777">
            <w:pPr>
              <w:spacing w:line="240" w:lineRule="auto"/>
              <w:contextualSpacing/>
              <w:textAlignment w:val="baseline"/>
              <w:rPr>
                <w:sz w:val="24"/>
                <w:lang w:eastAsia="es-CR"/>
              </w:rPr>
            </w:pPr>
            <w:r w:rsidRPr="003E1C7D">
              <w:rPr>
                <w:rFonts w:cs="Calibri"/>
                <w:sz w:val="24"/>
                <w:lang w:eastAsia="es-CR"/>
              </w:rPr>
              <w:t>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72C6CD22" w14:textId="77777777">
            <w:pPr>
              <w:spacing w:line="240" w:lineRule="auto"/>
              <w:contextualSpacing/>
              <w:jc w:val="center"/>
              <w:textAlignment w:val="baseline"/>
              <w:rPr>
                <w:sz w:val="24"/>
                <w:lang w:eastAsia="es-CR"/>
              </w:rPr>
            </w:pPr>
            <w:r w:rsidRPr="003E1C7D">
              <w:rPr>
                <w:rFonts w:cs="Calibri"/>
                <w:b/>
                <w:bCs/>
                <w:sz w:val="24"/>
                <w:lang w:eastAsia="es-CR"/>
              </w:rPr>
              <w:t>2022</w:t>
            </w:r>
            <w:r w:rsidRPr="003E1C7D">
              <w:rPr>
                <w:rFonts w:cs="Calibri"/>
                <w:sz w:val="24"/>
                <w:lang w:eastAsia="es-CR"/>
              </w:rPr>
              <w:t> </w:t>
            </w:r>
          </w:p>
          <w:p w:rsidRPr="003E1C7D" w:rsidR="00530EC6" w:rsidP="00024672" w:rsidRDefault="00530EC6" w14:paraId="4FB885F0" w14:textId="77777777">
            <w:pPr>
              <w:spacing w:line="240" w:lineRule="auto"/>
              <w:contextualSpacing/>
              <w:jc w:val="center"/>
              <w:textAlignment w:val="baseline"/>
              <w:rPr>
                <w:sz w:val="24"/>
                <w:lang w:eastAsia="es-CR"/>
              </w:rPr>
            </w:pPr>
            <w:r w:rsidRPr="003E1C7D">
              <w:rPr>
                <w:rFonts w:cs="Calibri"/>
                <w:b/>
                <w:bCs/>
                <w:sz w:val="24"/>
                <w:lang w:eastAsia="es-CR"/>
              </w:rPr>
              <w:t>(Año 3)</w:t>
            </w:r>
            <w:r w:rsidRPr="003E1C7D">
              <w:rPr>
                <w:rFonts w:cs="Calibri"/>
                <w:sz w:val="24"/>
                <w:lang w:eastAsia="es-CR"/>
              </w:rPr>
              <w:t> </w:t>
            </w:r>
          </w:p>
        </w:tc>
        <w:tc>
          <w:tcPr>
            <w:tcW w:w="1134"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74F73A4D" w14:textId="77777777">
            <w:pPr>
              <w:spacing w:line="240" w:lineRule="auto"/>
              <w:contextualSpacing/>
              <w:jc w:val="center"/>
              <w:textAlignment w:val="baseline"/>
              <w:rPr>
                <w:sz w:val="24"/>
                <w:lang w:eastAsia="es-CR"/>
              </w:rPr>
            </w:pPr>
            <w:r w:rsidRPr="003E1C7D">
              <w:rPr>
                <w:rFonts w:cs="Calibri"/>
                <w:b/>
                <w:bCs/>
                <w:sz w:val="24"/>
                <w:lang w:eastAsia="es-CR"/>
              </w:rPr>
              <w:t>2023</w:t>
            </w:r>
            <w:r w:rsidRPr="003E1C7D">
              <w:rPr>
                <w:rFonts w:cs="Calibri"/>
                <w:sz w:val="24"/>
                <w:lang w:eastAsia="es-CR"/>
              </w:rPr>
              <w:t> </w:t>
            </w:r>
          </w:p>
          <w:p w:rsidRPr="003E1C7D" w:rsidR="00530EC6" w:rsidP="00024672" w:rsidRDefault="00530EC6" w14:paraId="4B848E50" w14:textId="77777777">
            <w:pPr>
              <w:spacing w:line="240" w:lineRule="auto"/>
              <w:contextualSpacing/>
              <w:jc w:val="center"/>
              <w:textAlignment w:val="baseline"/>
              <w:rPr>
                <w:sz w:val="24"/>
                <w:lang w:eastAsia="es-CR"/>
              </w:rPr>
            </w:pPr>
            <w:r w:rsidRPr="003E1C7D">
              <w:rPr>
                <w:rFonts w:cs="Calibri"/>
                <w:b/>
                <w:bCs/>
                <w:sz w:val="24"/>
                <w:lang w:eastAsia="es-CR"/>
              </w:rPr>
              <w:t>(Año 4)</w:t>
            </w:r>
            <w:r w:rsidRPr="003E1C7D">
              <w:rPr>
                <w:rFonts w:cs="Calibri"/>
                <w:sz w:val="24"/>
                <w:lang w:eastAsia="es-CR"/>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37547418" w14:textId="77777777">
            <w:pPr>
              <w:spacing w:line="240" w:lineRule="auto"/>
              <w:contextualSpacing/>
              <w:jc w:val="center"/>
              <w:textAlignment w:val="baseline"/>
              <w:rPr>
                <w:sz w:val="24"/>
                <w:lang w:eastAsia="es-CR"/>
              </w:rPr>
            </w:pPr>
            <w:r w:rsidRPr="003E1C7D">
              <w:rPr>
                <w:rFonts w:cs="Calibri"/>
                <w:b/>
                <w:bCs/>
                <w:sz w:val="24"/>
                <w:lang w:eastAsia="es-CR"/>
              </w:rPr>
              <w:t>2024</w:t>
            </w:r>
            <w:r w:rsidRPr="003E1C7D">
              <w:rPr>
                <w:rFonts w:cs="Calibri"/>
                <w:sz w:val="24"/>
                <w:lang w:eastAsia="es-CR"/>
              </w:rPr>
              <w:t> </w:t>
            </w:r>
          </w:p>
          <w:p w:rsidRPr="003E1C7D" w:rsidR="00530EC6" w:rsidP="00024672" w:rsidRDefault="00530EC6" w14:paraId="3DF69F2D" w14:textId="77777777">
            <w:pPr>
              <w:spacing w:line="240" w:lineRule="auto"/>
              <w:contextualSpacing/>
              <w:jc w:val="center"/>
              <w:textAlignment w:val="baseline"/>
              <w:rPr>
                <w:sz w:val="24"/>
                <w:lang w:eastAsia="es-CR"/>
              </w:rPr>
            </w:pPr>
            <w:r w:rsidRPr="003E1C7D">
              <w:rPr>
                <w:rFonts w:cs="Calibri"/>
                <w:b/>
                <w:bCs/>
                <w:sz w:val="24"/>
                <w:lang w:eastAsia="es-CR"/>
              </w:rPr>
              <w:t>(Año 5)</w:t>
            </w:r>
            <w:r w:rsidRPr="003E1C7D">
              <w:rPr>
                <w:rFonts w:cs="Calibri"/>
                <w:sz w:val="24"/>
                <w:lang w:eastAsia="es-CR"/>
              </w:rPr>
              <w:t> </w:t>
            </w:r>
          </w:p>
        </w:tc>
        <w:tc>
          <w:tcPr>
            <w:tcW w:w="1134"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39454EC0" w14:textId="77777777">
            <w:pPr>
              <w:spacing w:line="240" w:lineRule="auto"/>
              <w:contextualSpacing/>
              <w:jc w:val="center"/>
              <w:textAlignment w:val="baseline"/>
              <w:rPr>
                <w:sz w:val="24"/>
                <w:lang w:eastAsia="es-CR"/>
              </w:rPr>
            </w:pPr>
            <w:r w:rsidRPr="003E1C7D">
              <w:rPr>
                <w:rFonts w:cs="Calibri"/>
                <w:b/>
                <w:bCs/>
                <w:sz w:val="24"/>
                <w:lang w:eastAsia="es-CR"/>
              </w:rPr>
              <w:t>2025</w:t>
            </w:r>
            <w:r w:rsidRPr="003E1C7D">
              <w:rPr>
                <w:rFonts w:cs="Calibri"/>
                <w:sz w:val="24"/>
                <w:lang w:eastAsia="es-CR"/>
              </w:rPr>
              <w:t> </w:t>
            </w:r>
          </w:p>
          <w:p w:rsidRPr="003E1C7D" w:rsidR="00530EC6" w:rsidP="00024672" w:rsidRDefault="00530EC6" w14:paraId="32EAE794" w14:textId="77777777">
            <w:pPr>
              <w:spacing w:line="240" w:lineRule="auto"/>
              <w:contextualSpacing/>
              <w:jc w:val="center"/>
              <w:textAlignment w:val="baseline"/>
              <w:rPr>
                <w:sz w:val="24"/>
                <w:lang w:eastAsia="es-CR"/>
              </w:rPr>
            </w:pPr>
            <w:r w:rsidRPr="003E1C7D">
              <w:rPr>
                <w:rFonts w:cs="Calibri"/>
                <w:b/>
                <w:bCs/>
                <w:sz w:val="24"/>
                <w:lang w:eastAsia="es-CR"/>
              </w:rPr>
              <w:t>(Año 6)</w:t>
            </w:r>
            <w:r w:rsidRPr="003E1C7D">
              <w:rPr>
                <w:rFonts w:cs="Calibri"/>
                <w:sz w:val="24"/>
                <w:lang w:eastAsia="es-CR"/>
              </w:rPr>
              <w:t> </w:t>
            </w:r>
          </w:p>
        </w:tc>
        <w:tc>
          <w:tcPr>
            <w:tcW w:w="1134"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78C2EBB5" w14:textId="77777777">
            <w:pPr>
              <w:spacing w:line="240" w:lineRule="auto"/>
              <w:contextualSpacing/>
              <w:jc w:val="center"/>
              <w:textAlignment w:val="baseline"/>
              <w:rPr>
                <w:sz w:val="24"/>
                <w:lang w:eastAsia="es-CR"/>
              </w:rPr>
            </w:pPr>
            <w:r w:rsidRPr="003E1C7D">
              <w:rPr>
                <w:rFonts w:cs="Calibri"/>
                <w:b/>
                <w:bCs/>
                <w:sz w:val="24"/>
                <w:lang w:eastAsia="es-CR"/>
              </w:rPr>
              <w:t>2026</w:t>
            </w:r>
            <w:r w:rsidRPr="003E1C7D">
              <w:rPr>
                <w:rFonts w:cs="Calibri"/>
                <w:sz w:val="24"/>
                <w:lang w:eastAsia="es-CR"/>
              </w:rPr>
              <w:t> </w:t>
            </w:r>
          </w:p>
          <w:p w:rsidRPr="003E1C7D" w:rsidR="00530EC6" w:rsidP="00024672" w:rsidRDefault="00530EC6" w14:paraId="68D981E0" w14:textId="77777777">
            <w:pPr>
              <w:spacing w:line="240" w:lineRule="auto"/>
              <w:contextualSpacing/>
              <w:jc w:val="center"/>
              <w:textAlignment w:val="baseline"/>
              <w:rPr>
                <w:sz w:val="24"/>
                <w:lang w:eastAsia="es-CR"/>
              </w:rPr>
            </w:pPr>
            <w:r w:rsidRPr="003E1C7D">
              <w:rPr>
                <w:rFonts w:cs="Calibri"/>
                <w:b/>
                <w:bCs/>
                <w:sz w:val="24"/>
                <w:lang w:eastAsia="es-CR"/>
              </w:rPr>
              <w:t>(Año 7)</w:t>
            </w:r>
            <w:r w:rsidRPr="003E1C7D">
              <w:rPr>
                <w:rFonts w:cs="Calibri"/>
                <w:sz w:val="24"/>
                <w:lang w:eastAsia="es-CR"/>
              </w:rPr>
              <w:t> </w:t>
            </w:r>
          </w:p>
        </w:tc>
        <w:tc>
          <w:tcPr>
            <w:tcW w:w="1031"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7B5869C7" w14:textId="77777777">
            <w:pPr>
              <w:spacing w:line="240" w:lineRule="auto"/>
              <w:contextualSpacing/>
              <w:jc w:val="center"/>
              <w:textAlignment w:val="baseline"/>
              <w:rPr>
                <w:sz w:val="24"/>
                <w:lang w:eastAsia="es-CR"/>
              </w:rPr>
            </w:pPr>
            <w:r w:rsidRPr="003E1C7D">
              <w:rPr>
                <w:rFonts w:cs="Calibri"/>
                <w:b/>
                <w:bCs/>
                <w:sz w:val="24"/>
                <w:lang w:eastAsia="es-CR"/>
              </w:rPr>
              <w:t>2027</w:t>
            </w:r>
            <w:r w:rsidRPr="003E1C7D">
              <w:rPr>
                <w:rFonts w:cs="Calibri"/>
                <w:sz w:val="24"/>
                <w:lang w:eastAsia="es-CR"/>
              </w:rPr>
              <w:t> </w:t>
            </w:r>
          </w:p>
          <w:p w:rsidRPr="003E1C7D" w:rsidR="00530EC6" w:rsidP="00024672" w:rsidRDefault="00530EC6" w14:paraId="09DEFDB8" w14:textId="77777777">
            <w:pPr>
              <w:spacing w:line="240" w:lineRule="auto"/>
              <w:contextualSpacing/>
              <w:jc w:val="center"/>
              <w:textAlignment w:val="baseline"/>
              <w:rPr>
                <w:sz w:val="24"/>
                <w:lang w:eastAsia="es-CR"/>
              </w:rPr>
            </w:pPr>
            <w:r w:rsidRPr="003E1C7D">
              <w:rPr>
                <w:rFonts w:cs="Calibri"/>
                <w:b/>
                <w:bCs/>
                <w:sz w:val="24"/>
                <w:lang w:eastAsia="es-CR"/>
              </w:rPr>
              <w:t>(Año 8)</w:t>
            </w:r>
            <w:r w:rsidRPr="003E1C7D">
              <w:rPr>
                <w:rFonts w:cs="Calibri"/>
                <w:sz w:val="24"/>
                <w:lang w:eastAsia="es-CR"/>
              </w:rPr>
              <w:t> </w:t>
            </w:r>
          </w:p>
        </w:tc>
      </w:tr>
      <w:tr w:rsidRPr="003E1C7D" w:rsidR="00530EC6" w:rsidTr="00024672" w14:paraId="3CA2ACBE" w14:textId="77777777">
        <w:trPr>
          <w:trHeight w:val="300"/>
        </w:trPr>
        <w:tc>
          <w:tcPr>
            <w:tcW w:w="993"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1638B742" w14:textId="77777777">
            <w:pPr>
              <w:spacing w:line="240" w:lineRule="auto"/>
              <w:contextualSpacing/>
              <w:textAlignment w:val="baseline"/>
              <w:rPr>
                <w:sz w:val="24"/>
                <w:lang w:eastAsia="es-CR"/>
              </w:rPr>
            </w:pPr>
            <w:r w:rsidRPr="003E1C7D">
              <w:rPr>
                <w:rFonts w:cs="Calibri"/>
                <w:sz w:val="24"/>
                <w:lang w:eastAsia="es-CR"/>
              </w:rPr>
              <w:t>Sugef </w:t>
            </w:r>
          </w:p>
        </w:tc>
        <w:tc>
          <w:tcPr>
            <w:tcW w:w="992"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18DB1DB2" w14:textId="77777777">
            <w:pPr>
              <w:spacing w:line="240" w:lineRule="auto"/>
              <w:contextualSpacing/>
              <w:jc w:val="center"/>
              <w:textAlignment w:val="baseline"/>
              <w:rPr>
                <w:sz w:val="24"/>
                <w:lang w:eastAsia="es-CR"/>
              </w:rPr>
            </w:pPr>
            <w:r w:rsidRPr="003E1C7D">
              <w:rPr>
                <w:rFonts w:cs="Calibri"/>
                <w:sz w:val="24"/>
                <w:lang w:eastAsia="es-CR"/>
              </w:rPr>
              <w:t>- </w:t>
            </w:r>
          </w:p>
        </w:tc>
        <w:tc>
          <w:tcPr>
            <w:tcW w:w="1134"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290EEA6A" w14:textId="77777777">
            <w:pPr>
              <w:spacing w:line="240" w:lineRule="auto"/>
              <w:contextualSpacing/>
              <w:jc w:val="center"/>
              <w:textAlignment w:val="baseline"/>
              <w:rPr>
                <w:sz w:val="24"/>
                <w:lang w:eastAsia="es-CR"/>
              </w:rPr>
            </w:pPr>
            <w:r w:rsidRPr="003E1C7D">
              <w:rPr>
                <w:rFonts w:cs="Calibri"/>
                <w:sz w:val="24"/>
                <w:lang w:eastAsia="es-CR"/>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3C43B98D" w14:textId="77777777">
            <w:pPr>
              <w:spacing w:line="240" w:lineRule="auto"/>
              <w:contextualSpacing/>
              <w:jc w:val="center"/>
              <w:textAlignment w:val="baseline"/>
              <w:rPr>
                <w:sz w:val="24"/>
                <w:lang w:eastAsia="es-CR"/>
              </w:rPr>
            </w:pPr>
            <w:r w:rsidRPr="003E1C7D">
              <w:rPr>
                <w:rFonts w:cs="Calibri"/>
                <w:sz w:val="24"/>
                <w:lang w:eastAsia="es-CR"/>
              </w:rPr>
              <w:t>7,5% </w:t>
            </w:r>
          </w:p>
        </w:tc>
        <w:tc>
          <w:tcPr>
            <w:tcW w:w="1134"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0D323649" w14:textId="77777777">
            <w:pPr>
              <w:spacing w:line="240" w:lineRule="auto"/>
              <w:contextualSpacing/>
              <w:jc w:val="center"/>
              <w:textAlignment w:val="baseline"/>
              <w:rPr>
                <w:sz w:val="24"/>
                <w:lang w:eastAsia="es-CR"/>
              </w:rPr>
            </w:pPr>
            <w:r w:rsidRPr="003E1C7D">
              <w:rPr>
                <w:rFonts w:cs="Calibri"/>
                <w:sz w:val="24"/>
                <w:lang w:eastAsia="es-CR"/>
              </w:rPr>
              <w:t>7,5% </w:t>
            </w:r>
          </w:p>
        </w:tc>
        <w:tc>
          <w:tcPr>
            <w:tcW w:w="1134"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5A593CC0" w14:textId="77777777">
            <w:pPr>
              <w:spacing w:line="240" w:lineRule="auto"/>
              <w:contextualSpacing/>
              <w:jc w:val="center"/>
              <w:textAlignment w:val="baseline"/>
              <w:rPr>
                <w:sz w:val="24"/>
                <w:lang w:eastAsia="es-CR"/>
              </w:rPr>
            </w:pPr>
            <w:r w:rsidRPr="003E1C7D">
              <w:rPr>
                <w:rFonts w:cs="Calibri"/>
                <w:sz w:val="24"/>
                <w:lang w:eastAsia="es-CR"/>
              </w:rPr>
              <w:t>7,5% </w:t>
            </w:r>
          </w:p>
        </w:tc>
        <w:tc>
          <w:tcPr>
            <w:tcW w:w="1031" w:type="dxa"/>
            <w:tcBorders>
              <w:top w:val="single" w:color="auto" w:sz="6" w:space="0"/>
              <w:left w:val="single" w:color="auto" w:sz="6" w:space="0"/>
              <w:bottom w:val="single" w:color="auto" w:sz="6" w:space="0"/>
              <w:right w:val="single" w:color="auto" w:sz="6" w:space="0"/>
            </w:tcBorders>
            <w:shd w:val="clear" w:color="auto" w:fill="auto"/>
            <w:hideMark/>
          </w:tcPr>
          <w:p w:rsidRPr="003E1C7D" w:rsidR="00530EC6" w:rsidP="00024672" w:rsidRDefault="00530EC6" w14:paraId="2C7C6E5D" w14:textId="77777777">
            <w:pPr>
              <w:spacing w:line="240" w:lineRule="auto"/>
              <w:contextualSpacing/>
              <w:jc w:val="center"/>
              <w:textAlignment w:val="baseline"/>
              <w:rPr>
                <w:sz w:val="24"/>
                <w:lang w:eastAsia="es-CR"/>
              </w:rPr>
            </w:pPr>
            <w:r w:rsidRPr="003E1C7D">
              <w:rPr>
                <w:rFonts w:cs="Calibri"/>
                <w:sz w:val="24"/>
                <w:lang w:eastAsia="es-CR"/>
              </w:rPr>
              <w:t>7</w:t>
            </w:r>
            <w:r>
              <w:rPr>
                <w:rFonts w:cs="Calibri"/>
                <w:sz w:val="24"/>
                <w:lang w:eastAsia="es-CR"/>
              </w:rPr>
              <w:t>,</w:t>
            </w:r>
            <w:r w:rsidRPr="003E1C7D">
              <w:rPr>
                <w:rFonts w:cs="Calibri"/>
                <w:sz w:val="24"/>
                <w:lang w:eastAsia="es-CR"/>
              </w:rPr>
              <w:t>5% </w:t>
            </w:r>
          </w:p>
        </w:tc>
      </w:tr>
    </w:tbl>
    <w:p w:rsidR="00530EC6" w:rsidP="00530EC6" w:rsidRDefault="00530EC6" w14:paraId="47C9CF63" w14:textId="77777777">
      <w:pPr>
        <w:spacing w:line="240" w:lineRule="auto"/>
        <w:contextualSpacing/>
        <w:rPr>
          <w:sz w:val="24"/>
        </w:rPr>
      </w:pPr>
    </w:p>
    <w:p w:rsidR="00273E80" w:rsidP="00530EC6" w:rsidRDefault="00273E80" w14:paraId="639E4793" w14:textId="77777777">
      <w:pPr>
        <w:spacing w:line="240" w:lineRule="auto"/>
        <w:contextualSpacing/>
        <w:rPr>
          <w:b/>
          <w:bCs/>
          <w:sz w:val="24"/>
        </w:rPr>
      </w:pPr>
    </w:p>
    <w:p w:rsidR="00530EC6" w:rsidP="00530EC6" w:rsidRDefault="00530EC6" w14:paraId="5CD106A0" w14:textId="22CB12D5">
      <w:pPr>
        <w:spacing w:line="240" w:lineRule="auto"/>
        <w:contextualSpacing/>
        <w:rPr>
          <w:b/>
          <w:bCs/>
          <w:sz w:val="24"/>
        </w:rPr>
      </w:pPr>
      <w:r w:rsidRPr="001E1318">
        <w:rPr>
          <w:b/>
          <w:bCs/>
          <w:sz w:val="24"/>
        </w:rPr>
        <w:t>Disp</w:t>
      </w:r>
      <w:r>
        <w:rPr>
          <w:b/>
          <w:bCs/>
          <w:sz w:val="24"/>
        </w:rPr>
        <w:t>one que</w:t>
      </w:r>
      <w:r w:rsidRPr="001E1318">
        <w:rPr>
          <w:b/>
          <w:bCs/>
          <w:sz w:val="24"/>
        </w:rPr>
        <w:t xml:space="preserve">: </w:t>
      </w:r>
    </w:p>
    <w:p w:rsidRPr="001E1318" w:rsidR="00530EC6" w:rsidP="00530EC6" w:rsidRDefault="00530EC6" w14:paraId="59F81F56" w14:textId="77777777">
      <w:pPr>
        <w:spacing w:line="240" w:lineRule="auto"/>
        <w:contextualSpacing/>
        <w:rPr>
          <w:b/>
          <w:bCs/>
          <w:sz w:val="24"/>
        </w:rPr>
      </w:pPr>
    </w:p>
    <w:p w:rsidR="00530EC6" w:rsidP="00530EC6" w:rsidRDefault="00530EC6" w14:paraId="1ED6FFB5" w14:textId="77777777">
      <w:pPr>
        <w:numPr>
          <w:ilvl w:val="0"/>
          <w:numId w:val="5"/>
        </w:numPr>
        <w:autoSpaceDE w:val="0"/>
        <w:autoSpaceDN w:val="0"/>
        <w:adjustRightInd w:val="0"/>
        <w:spacing w:line="240" w:lineRule="auto"/>
        <w:contextualSpacing/>
        <w:rPr>
          <w:sz w:val="24"/>
        </w:rPr>
      </w:pPr>
      <w:r>
        <w:rPr>
          <w:sz w:val="24"/>
        </w:rPr>
        <w:t xml:space="preserve">El cobro </w:t>
      </w:r>
      <w:r w:rsidRPr="00AF4350">
        <w:rPr>
          <w:sz w:val="24"/>
        </w:rPr>
        <w:t xml:space="preserve">de los costos asociados al desarrollo y al mantenimiento del CICAC, para las entidades establecidas en el artículo 14 </w:t>
      </w:r>
      <w:r>
        <w:rPr>
          <w:sz w:val="24"/>
        </w:rPr>
        <w:t xml:space="preserve">de la Ley 7786 </w:t>
      </w:r>
      <w:r w:rsidRPr="00AF4350">
        <w:rPr>
          <w:sz w:val="24"/>
        </w:rPr>
        <w:t>supervisadas por la SUGEF</w:t>
      </w:r>
      <w:r>
        <w:rPr>
          <w:sz w:val="24"/>
        </w:rPr>
        <w:t>,</w:t>
      </w:r>
      <w:r w:rsidRPr="00AF4350">
        <w:rPr>
          <w:sz w:val="24"/>
        </w:rPr>
        <w:t xml:space="preserve"> se realizará mediante la aplicación del artículo 175 de la Ley </w:t>
      </w:r>
      <w:r>
        <w:rPr>
          <w:sz w:val="24"/>
        </w:rPr>
        <w:t xml:space="preserve">Reguladora </w:t>
      </w:r>
      <w:r w:rsidRPr="00AF4350">
        <w:rPr>
          <w:sz w:val="24"/>
        </w:rPr>
        <w:t>de</w:t>
      </w:r>
      <w:r>
        <w:rPr>
          <w:sz w:val="24"/>
        </w:rPr>
        <w:t>l</w:t>
      </w:r>
      <w:r w:rsidRPr="00AF4350">
        <w:rPr>
          <w:sz w:val="24"/>
        </w:rPr>
        <w:t xml:space="preserve"> Mercado de Valores, Ley 7732, </w:t>
      </w:r>
      <w:r>
        <w:rPr>
          <w:sz w:val="24"/>
        </w:rPr>
        <w:t>por lo que no existirá un costo adicional por consulta para las entidades supervisadas por la SUGEF</w:t>
      </w:r>
      <w:r w:rsidRPr="00AF4350">
        <w:rPr>
          <w:sz w:val="24"/>
        </w:rPr>
        <w:t xml:space="preserve">. </w:t>
      </w:r>
    </w:p>
    <w:p w:rsidRPr="00AF4350" w:rsidR="00530EC6" w:rsidP="00530EC6" w:rsidRDefault="00530EC6" w14:paraId="391C97F3" w14:textId="77777777">
      <w:pPr>
        <w:autoSpaceDE w:val="0"/>
        <w:autoSpaceDN w:val="0"/>
        <w:adjustRightInd w:val="0"/>
        <w:spacing w:line="240" w:lineRule="auto"/>
        <w:ind w:left="1080"/>
        <w:contextualSpacing/>
        <w:rPr>
          <w:sz w:val="24"/>
        </w:rPr>
      </w:pPr>
    </w:p>
    <w:p w:rsidRPr="000274F9" w:rsidR="00530EC6" w:rsidP="00530EC6" w:rsidRDefault="00530EC6" w14:paraId="18FE0CE9" w14:textId="77777777">
      <w:pPr>
        <w:numPr>
          <w:ilvl w:val="0"/>
          <w:numId w:val="5"/>
        </w:numPr>
        <w:autoSpaceDE w:val="0"/>
        <w:autoSpaceDN w:val="0"/>
        <w:adjustRightInd w:val="0"/>
        <w:spacing w:line="240" w:lineRule="auto"/>
        <w:contextualSpacing/>
        <w:rPr>
          <w:sz w:val="24"/>
        </w:rPr>
      </w:pPr>
      <w:r w:rsidRPr="000274F9">
        <w:rPr>
          <w:sz w:val="24"/>
        </w:rPr>
        <w:t>Para determinar el cobro a las entidades supervisadas por S</w:t>
      </w:r>
      <w:r>
        <w:rPr>
          <w:sz w:val="24"/>
        </w:rPr>
        <w:t>UGEVAL</w:t>
      </w:r>
      <w:r w:rsidRPr="000274F9">
        <w:rPr>
          <w:sz w:val="24"/>
        </w:rPr>
        <w:t>, S</w:t>
      </w:r>
      <w:r>
        <w:rPr>
          <w:sz w:val="24"/>
        </w:rPr>
        <w:t>UGESE</w:t>
      </w:r>
      <w:r w:rsidRPr="000274F9">
        <w:rPr>
          <w:sz w:val="24"/>
        </w:rPr>
        <w:t xml:space="preserve"> y S</w:t>
      </w:r>
      <w:r>
        <w:rPr>
          <w:sz w:val="24"/>
        </w:rPr>
        <w:t xml:space="preserve">UPEN </w:t>
      </w:r>
      <w:r w:rsidRPr="000274F9">
        <w:rPr>
          <w:sz w:val="24"/>
        </w:rPr>
        <w:t>se establece lo siguiente:</w:t>
      </w:r>
    </w:p>
    <w:p w:rsidRPr="00453C37" w:rsidR="00530EC6" w:rsidP="00530EC6" w:rsidRDefault="00530EC6" w14:paraId="654212FF" w14:textId="77777777">
      <w:pPr>
        <w:spacing w:line="240" w:lineRule="auto"/>
        <w:contextualSpacing/>
        <w:rPr>
          <w:sz w:val="24"/>
        </w:rPr>
      </w:pPr>
    </w:p>
    <w:p w:rsidR="00530EC6" w:rsidP="00530EC6" w:rsidRDefault="00530EC6" w14:paraId="32DF9E00" w14:textId="77777777">
      <w:pPr>
        <w:pStyle w:val="Prrafodelista"/>
        <w:numPr>
          <w:ilvl w:val="0"/>
          <w:numId w:val="6"/>
        </w:numPr>
        <w:spacing w:line="240" w:lineRule="auto"/>
        <w:ind w:left="1428"/>
        <w:rPr>
          <w:sz w:val="24"/>
        </w:rPr>
      </w:pPr>
      <w:r>
        <w:rPr>
          <w:sz w:val="24"/>
        </w:rPr>
        <w:t>El</w:t>
      </w:r>
      <w:r w:rsidRPr="00376B7C">
        <w:rPr>
          <w:sz w:val="24"/>
        </w:rPr>
        <w:t xml:space="preserve"> cobro por el uso del</w:t>
      </w:r>
      <w:r>
        <w:rPr>
          <w:sz w:val="24"/>
        </w:rPr>
        <w:t xml:space="preserve"> </w:t>
      </w:r>
      <w:r w:rsidRPr="00376B7C">
        <w:rPr>
          <w:sz w:val="24"/>
        </w:rPr>
        <w:t>CICAC</w:t>
      </w:r>
      <w:r>
        <w:rPr>
          <w:sz w:val="24"/>
        </w:rPr>
        <w:t xml:space="preserve"> a las entidades consultantes</w:t>
      </w:r>
      <w:r w:rsidRPr="00376B7C">
        <w:rPr>
          <w:sz w:val="24"/>
        </w:rPr>
        <w:t>, de conformidad con el artículo 16 bis de la Ley N°7786</w:t>
      </w:r>
      <w:r>
        <w:rPr>
          <w:sz w:val="24"/>
        </w:rPr>
        <w:t>,</w:t>
      </w:r>
      <w:r w:rsidRPr="00376B7C">
        <w:rPr>
          <w:sz w:val="24"/>
        </w:rPr>
        <w:t xml:space="preserve"> se </w:t>
      </w:r>
      <w:r>
        <w:rPr>
          <w:sz w:val="24"/>
        </w:rPr>
        <w:t>definirá</w:t>
      </w:r>
      <w:r w:rsidRPr="00376B7C">
        <w:rPr>
          <w:sz w:val="24"/>
        </w:rPr>
        <w:t xml:space="preserve"> hasta </w:t>
      </w:r>
      <w:r>
        <w:rPr>
          <w:sz w:val="24"/>
        </w:rPr>
        <w:t>que la Superintendencia cuente</w:t>
      </w:r>
      <w:r w:rsidRPr="00376B7C">
        <w:rPr>
          <w:sz w:val="24"/>
        </w:rPr>
        <w:t xml:space="preserve"> con suficiente información </w:t>
      </w:r>
      <w:r>
        <w:rPr>
          <w:sz w:val="24"/>
        </w:rPr>
        <w:t xml:space="preserve">en el CICAC </w:t>
      </w:r>
      <w:r w:rsidRPr="00376B7C">
        <w:rPr>
          <w:sz w:val="24"/>
        </w:rPr>
        <w:t>que permita establecer un</w:t>
      </w:r>
      <w:r>
        <w:rPr>
          <w:sz w:val="24"/>
        </w:rPr>
        <w:t xml:space="preserve">a </w:t>
      </w:r>
      <w:r w:rsidRPr="00376B7C">
        <w:rPr>
          <w:sz w:val="24"/>
        </w:rPr>
        <w:t xml:space="preserve">tarifa razonable </w:t>
      </w:r>
      <w:r>
        <w:rPr>
          <w:sz w:val="24"/>
        </w:rPr>
        <w:t>y</w:t>
      </w:r>
      <w:r w:rsidRPr="00376B7C">
        <w:rPr>
          <w:sz w:val="24"/>
        </w:rPr>
        <w:t xml:space="preserve"> cumplir con los preceptos de </w:t>
      </w:r>
      <w:r>
        <w:rPr>
          <w:sz w:val="24"/>
        </w:rPr>
        <w:t xml:space="preserve">este </w:t>
      </w:r>
      <w:r w:rsidRPr="00376B7C">
        <w:rPr>
          <w:sz w:val="24"/>
        </w:rPr>
        <w:t>artículo</w:t>
      </w:r>
      <w:r>
        <w:rPr>
          <w:sz w:val="24"/>
        </w:rPr>
        <w:t>.</w:t>
      </w:r>
    </w:p>
    <w:p w:rsidRPr="00376B7C" w:rsidR="00530EC6" w:rsidP="00530EC6" w:rsidRDefault="00530EC6" w14:paraId="47BD25EA" w14:textId="77777777">
      <w:pPr>
        <w:pStyle w:val="Prrafodelista"/>
        <w:spacing w:line="240" w:lineRule="auto"/>
        <w:ind w:left="1428"/>
        <w:rPr>
          <w:sz w:val="24"/>
        </w:rPr>
      </w:pPr>
    </w:p>
    <w:p w:rsidR="00530EC6" w:rsidP="00530EC6" w:rsidRDefault="00530EC6" w14:paraId="3E645986" w14:textId="77777777">
      <w:pPr>
        <w:pStyle w:val="Prrafodelista"/>
        <w:numPr>
          <w:ilvl w:val="0"/>
          <w:numId w:val="6"/>
        </w:numPr>
        <w:spacing w:line="240" w:lineRule="auto"/>
        <w:ind w:left="1428"/>
        <w:rPr>
          <w:sz w:val="24"/>
        </w:rPr>
      </w:pPr>
      <w:r w:rsidRPr="00EB21CE">
        <w:rPr>
          <w:sz w:val="24"/>
        </w:rPr>
        <w:t>La Superintendencia en forma semestral valorará el uso del sistema para los períodos 2023, 2024 y 2025, con el objeto de analizar su evolución.</w:t>
      </w:r>
      <w:r>
        <w:rPr>
          <w:sz w:val="24"/>
        </w:rPr>
        <w:t xml:space="preserve"> En caso necesario</w:t>
      </w:r>
      <w:r w:rsidRPr="00EB21CE">
        <w:rPr>
          <w:sz w:val="24"/>
        </w:rPr>
        <w:t>, la Superintendencia puede prorrogar el período de evaluación de la utilización del sistema CICAC</w:t>
      </w:r>
      <w:r>
        <w:rPr>
          <w:sz w:val="24"/>
        </w:rPr>
        <w:t xml:space="preserve"> para definir la tarifa por consulta.</w:t>
      </w:r>
    </w:p>
    <w:p w:rsidRPr="009B75A6" w:rsidR="00530EC6" w:rsidP="00530EC6" w:rsidRDefault="00530EC6" w14:paraId="2ACB4984" w14:textId="77777777">
      <w:pPr>
        <w:pStyle w:val="Prrafodelista"/>
        <w:rPr>
          <w:sz w:val="24"/>
        </w:rPr>
      </w:pPr>
    </w:p>
    <w:p w:rsidRPr="00EB21CE" w:rsidR="00530EC6" w:rsidP="00530EC6" w:rsidRDefault="00530EC6" w14:paraId="53D00CA4" w14:textId="77777777">
      <w:pPr>
        <w:pStyle w:val="Prrafodelista"/>
        <w:numPr>
          <w:ilvl w:val="0"/>
          <w:numId w:val="6"/>
        </w:numPr>
        <w:spacing w:line="240" w:lineRule="auto"/>
        <w:ind w:left="1428"/>
        <w:rPr>
          <w:sz w:val="24"/>
        </w:rPr>
      </w:pPr>
      <w:r>
        <w:rPr>
          <w:sz w:val="24"/>
        </w:rPr>
        <w:t>Las consultas que se realicen al CICAC no serán sujetas de cobro en tanto esta Superintendencia no haya notificado un costo por consulta, el cual será aplicable a partir de ese momento y no de forma retroactiva.</w:t>
      </w:r>
    </w:p>
    <w:p w:rsidR="00530EC6" w:rsidP="00181ABF" w:rsidRDefault="00530EC6" w14:paraId="47C99FF6" w14:textId="4A2CB635">
      <w:pPr>
        <w:pStyle w:val="Texto"/>
        <w:spacing w:before="0" w:after="0" w:line="240" w:lineRule="auto"/>
        <w:rPr>
          <w:sz w:val="24"/>
        </w:rPr>
      </w:pPr>
    </w:p>
    <w:p w:rsidR="00273E80" w:rsidP="00181ABF" w:rsidRDefault="00273E80" w14:paraId="3056E6FF" w14:textId="77777777">
      <w:pPr>
        <w:pStyle w:val="Texto"/>
        <w:spacing w:before="0" w:after="0" w:line="240" w:lineRule="auto"/>
        <w:rPr>
          <w:sz w:val="24"/>
        </w:rPr>
      </w:pPr>
    </w:p>
    <w:p w:rsidR="00273E80" w:rsidP="00181ABF" w:rsidRDefault="00273E80" w14:paraId="455CB3C7" w14:textId="77777777">
      <w:pPr>
        <w:pStyle w:val="Texto"/>
        <w:spacing w:before="0" w:after="0" w:line="240" w:lineRule="auto"/>
        <w:rPr>
          <w:sz w:val="24"/>
        </w:rPr>
      </w:pPr>
    </w:p>
    <w:p w:rsidR="00273E80" w:rsidP="00181ABF" w:rsidRDefault="00273E80" w14:paraId="4479B4F6" w14:textId="77777777">
      <w:pPr>
        <w:pStyle w:val="Texto"/>
        <w:spacing w:before="0" w:after="0" w:line="240" w:lineRule="auto"/>
        <w:rPr>
          <w:sz w:val="24"/>
        </w:rPr>
      </w:pPr>
    </w:p>
    <w:p w:rsidRPr="002E2B0A" w:rsidR="00181ABF" w:rsidP="00181ABF" w:rsidRDefault="00181ABF" w14:paraId="7DD77C88" w14:textId="1069C365">
      <w:pPr>
        <w:pStyle w:val="Texto"/>
        <w:spacing w:before="0" w:after="0" w:line="240" w:lineRule="auto"/>
        <w:rPr>
          <w:sz w:val="24"/>
        </w:rPr>
      </w:pPr>
      <w:r w:rsidRPr="002E2B0A">
        <w:rPr>
          <w:sz w:val="24"/>
        </w:rPr>
        <w:t>Atentamente,</w:t>
      </w:r>
    </w:p>
    <w:p w:rsidR="00181ABF" w:rsidP="00181ABF" w:rsidRDefault="00273E80" w14:paraId="4ED16750" w14:textId="297AD5A7">
      <w:pPr>
        <w:spacing w:line="240" w:lineRule="auto"/>
        <w:rPr>
          <w:sz w:val="24"/>
        </w:rPr>
      </w:pPr>
      <w:r>
        <w:rPr>
          <w:noProof/>
          <w:lang w:val="es-CR" w:eastAsia="es-CR"/>
        </w:rPr>
        <w:drawing>
          <wp:anchor distT="0" distB="0" distL="114300" distR="114300" simplePos="0" relativeHeight="251659264" behindDoc="1" locked="0" layoutInCell="1" allowOverlap="1" wp14:editId="12F729F2" wp14:anchorId="33387061">
            <wp:simplePos x="0" y="0"/>
            <wp:positionH relativeFrom="column">
              <wp:posOffset>36195</wp:posOffset>
            </wp:positionH>
            <wp:positionV relativeFrom="paragraph">
              <wp:posOffset>180975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181ABF" w:rsidP="00181ABF" w:rsidRDefault="00181ABF" w14:paraId="52755648" w14:textId="0C200ED9">
      <w:pPr>
        <w:spacing w:line="240" w:lineRule="auto"/>
        <w:rPr>
          <w:sz w:val="24"/>
        </w:rPr>
      </w:pPr>
    </w:p>
    <w:p w:rsidR="00273E80" w:rsidP="00181ABF" w:rsidRDefault="00273E80" w14:paraId="44E64744" w14:textId="5148CA87">
      <w:pPr>
        <w:spacing w:line="240" w:lineRule="auto"/>
        <w:rPr>
          <w:sz w:val="24"/>
        </w:rPr>
      </w:pPr>
    </w:p>
    <w:p w:rsidRPr="002E2B0A" w:rsidR="00273E80" w:rsidP="00181ABF" w:rsidRDefault="00273E80" w14:paraId="708E7A2D" w14:textId="77777777">
      <w:pPr>
        <w:spacing w:line="240" w:lineRule="auto"/>
        <w:rPr>
          <w:sz w:val="24"/>
        </w:rPr>
      </w:pPr>
    </w:p>
    <w:p w:rsidRPr="00111293" w:rsidR="00181ABF" w:rsidP="00181ABF" w:rsidRDefault="00181ABF" w14:paraId="7A7BE969" w14:textId="09D516D1">
      <w:pPr>
        <w:spacing w:after="160" w:line="259" w:lineRule="auto"/>
        <w:jc w:val="left"/>
        <w:rPr>
          <w:sz w:val="24"/>
        </w:rPr>
      </w:pPr>
      <w:bookmarkStart w:name="_Hlk53758837" w:id="0"/>
      <w:r w:rsidRPr="00111293">
        <w:rPr>
          <w:sz w:val="24"/>
        </w:rPr>
        <w:t>Rocío Aguilar Montoya</w:t>
      </w:r>
      <w:r w:rsidRPr="00111293">
        <w:rPr>
          <w:sz w:val="24"/>
        </w:rPr>
        <w:br/>
      </w:r>
      <w:r w:rsidRPr="00111293">
        <w:rPr>
          <w:b/>
          <w:bCs/>
          <w:sz w:val="24"/>
        </w:rPr>
        <w:t>Superintendente General</w:t>
      </w:r>
    </w:p>
    <w:bookmarkEnd w:id="0"/>
    <w:p w:rsidR="0028253C" w:rsidP="00181ABF" w:rsidRDefault="0028253C" w14:paraId="50E0DA48" w14:textId="77777777">
      <w:pPr>
        <w:pStyle w:val="Negrita"/>
        <w:spacing w:line="240" w:lineRule="auto"/>
        <w:jc w:val="left"/>
        <w:rPr>
          <w:noProof/>
          <w:lang w:val="es-CR" w:eastAsia="es-CR"/>
        </w:rPr>
      </w:pPr>
    </w:p>
    <w:p w:rsidR="00181ABF" w:rsidP="00181ABF" w:rsidRDefault="00181ABF" w14:paraId="5D22EB46" w14:textId="30618D6A">
      <w:pPr>
        <w:pStyle w:val="Negrita"/>
        <w:spacing w:line="240" w:lineRule="auto"/>
      </w:pPr>
    </w:p>
    <w:p w:rsidR="00181ABF" w:rsidP="00181ABF" w:rsidRDefault="00181ABF" w14:paraId="1FA8C495" w14:textId="77777777">
      <w:pPr>
        <w:pStyle w:val="Negrita"/>
        <w:spacing w:line="240" w:lineRule="auto"/>
      </w:pPr>
    </w:p>
    <w:p w:rsidRPr="00273E80" w:rsidR="00E42AAC" w:rsidRDefault="00530EC6" w14:paraId="59B9427C" w14:textId="6461AE76">
      <w:pPr>
        <w:rPr>
          <w:i/>
          <w:iCs/>
          <w:sz w:val="16"/>
          <w:szCs w:val="16"/>
        </w:rPr>
      </w:pPr>
      <w:r w:rsidRPr="00273E80">
        <w:rPr>
          <w:i/>
          <w:iCs/>
          <w:sz w:val="16"/>
          <w:szCs w:val="16"/>
        </w:rPr>
        <w:t>RAM/RCA/JMM</w:t>
      </w:r>
    </w:p>
    <w:sectPr w:rsidRPr="00273E80" w:rsidR="00E42AAC">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C5DB" w14:textId="77777777" w:rsidR="00995835" w:rsidRDefault="00995835" w:rsidP="00181ABF">
      <w:pPr>
        <w:spacing w:line="240" w:lineRule="auto"/>
      </w:pPr>
      <w:r>
        <w:separator/>
      </w:r>
    </w:p>
  </w:endnote>
  <w:endnote w:type="continuationSeparator" w:id="0">
    <w:p w14:paraId="353BE6EA" w14:textId="77777777" w:rsidR="00995835" w:rsidRDefault="0099583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8C6" w:rsidRDefault="008F08C6" w14:paraId="64135F5B" w14:textId="77777777">
    <w:pPr>
      <w:pStyle w:val="Piedepgina"/>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42"/>
      <w:gridCol w:w="796"/>
    </w:tblGrid>
    <w:tr w:rsidRPr="009349F3" w:rsidR="00C031CA" w:rsidTr="00C031CA" w14:paraId="6AE5EB87" w14:textId="77777777">
      <w:tc>
        <w:tcPr>
          <w:tcW w:w="7388" w:type="dxa"/>
        </w:tcPr>
        <w:tbl>
          <w:tblPr>
            <w:tblStyle w:val="Tablaconcuadrcula"/>
            <w:tblW w:w="78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69"/>
            <w:gridCol w:w="1257"/>
          </w:tblGrid>
          <w:tr w:rsidRPr="009349F3" w:rsidR="00D72B5F" w:rsidTr="00D72B5F" w14:paraId="0F6B8E62" w14:textId="77777777">
            <w:trPr>
              <w:trHeight w:val="593"/>
            </w:trPr>
            <w:tc>
              <w:tcPr>
                <w:tcW w:w="6569" w:type="dxa"/>
              </w:tcPr>
              <w:p w:rsidRPr="00D72B5F" w:rsidR="00D72B5F" w:rsidP="00D72B5F" w:rsidRDefault="00D72B5F" w14:paraId="690C17BE" w14:textId="3D3193C3">
                <w:pPr>
                  <w:pStyle w:val="Piedepgina"/>
                  <w:rPr>
                    <w:sz w:val="18"/>
                    <w:szCs w:val="18"/>
                  </w:rPr>
                </w:pPr>
                <w:bookmarkStart w:name="_Hlk138176356" w:id="1"/>
                <w:r w:rsidRPr="00D72B5F">
                  <w:rPr>
                    <w:b/>
                    <w:color w:val="046BAC"/>
                    <w:w w:val="95"/>
                    <w:sz w:val="18"/>
                    <w:szCs w:val="18"/>
                  </w:rPr>
                  <w:t>Web:</w:t>
                </w:r>
                <w:r w:rsidRPr="00D72B5F">
                  <w:rPr>
                    <w:b/>
                    <w:color w:val="046BAC"/>
                    <w:spacing w:val="2"/>
                    <w:w w:val="95"/>
                    <w:sz w:val="18"/>
                    <w:szCs w:val="18"/>
                  </w:rPr>
                  <w:t xml:space="preserve"> </w:t>
                </w:r>
                <w:hyperlink r:id="rId1">
                  <w:r w:rsidRPr="00D72B5F">
                    <w:rPr>
                      <w:color w:val="9D9FA2"/>
                      <w:w w:val="95"/>
                      <w:sz w:val="18"/>
                      <w:szCs w:val="18"/>
                    </w:rPr>
                    <w:t>www.sugef.fi.cr</w:t>
                  </w:r>
                  <w:r w:rsidRPr="00D72B5F">
                    <w:rPr>
                      <w:color w:val="9D9FA2"/>
                      <w:spacing w:val="1"/>
                      <w:w w:val="95"/>
                      <w:sz w:val="18"/>
                      <w:szCs w:val="18"/>
                    </w:rPr>
                    <w:t xml:space="preserve"> </w:t>
                  </w:r>
                </w:hyperlink>
                <w:r w:rsidRPr="00D72B5F">
                  <w:rPr>
                    <w:color w:val="9D9FA2"/>
                    <w:w w:val="85"/>
                    <w:sz w:val="18"/>
                    <w:szCs w:val="18"/>
                  </w:rPr>
                  <w:t>|</w:t>
                </w:r>
                <w:r w:rsidRPr="00D72B5F">
                  <w:rPr>
                    <w:color w:val="9D9FA2"/>
                    <w:spacing w:val="11"/>
                    <w:w w:val="85"/>
                    <w:sz w:val="18"/>
                    <w:szCs w:val="18"/>
                  </w:rPr>
                  <w:t xml:space="preserve"> </w:t>
                </w:r>
                <w:r w:rsidRPr="00D72B5F">
                  <w:rPr>
                    <w:b/>
                    <w:color w:val="046BAC"/>
                    <w:w w:val="95"/>
                    <w:sz w:val="18"/>
                    <w:szCs w:val="18"/>
                  </w:rPr>
                  <w:t>Correo electrónico:</w:t>
                </w:r>
                <w:r w:rsidRPr="00D72B5F">
                  <w:rPr>
                    <w:b/>
                    <w:color w:val="046BAC"/>
                    <w:spacing w:val="6"/>
                    <w:w w:val="95"/>
                    <w:sz w:val="18"/>
                    <w:szCs w:val="18"/>
                  </w:rPr>
                  <w:t xml:space="preserve"> </w:t>
                </w:r>
                <w:hyperlink w:history="1" r:id="rId2">
                  <w:r w:rsidRPr="00D72B5F">
                    <w:rPr>
                      <w:rStyle w:val="Hipervnculo"/>
                      <w:w w:val="95"/>
                      <w:sz w:val="18"/>
                      <w:szCs w:val="18"/>
                    </w:rPr>
                    <w:t>sugefcr@sugef.fi.cr</w:t>
                  </w:r>
                  <w:r w:rsidRPr="00D72B5F">
                    <w:rPr>
                      <w:rStyle w:val="Hipervnculo"/>
                      <w:spacing w:val="1"/>
                      <w:w w:val="95"/>
                      <w:sz w:val="18"/>
                      <w:szCs w:val="18"/>
                    </w:rPr>
                    <w:t xml:space="preserve"> </w:t>
                  </w:r>
                </w:hyperlink>
                <w:r w:rsidRPr="00D72B5F">
                  <w:rPr>
                    <w:color w:val="9D9FA2"/>
                    <w:w w:val="85"/>
                    <w:sz w:val="18"/>
                    <w:szCs w:val="18"/>
                  </w:rPr>
                  <w:t>|</w:t>
                </w:r>
                <w:r w:rsidRPr="00D72B5F">
                  <w:rPr>
                    <w:color w:val="9D9FA2"/>
                    <w:spacing w:val="11"/>
                    <w:w w:val="85"/>
                    <w:sz w:val="18"/>
                    <w:szCs w:val="18"/>
                  </w:rPr>
                  <w:t xml:space="preserve"> </w:t>
                </w:r>
                <w:r w:rsidRPr="00D72B5F">
                  <w:rPr>
                    <w:b/>
                    <w:color w:val="046BAC"/>
                    <w:w w:val="95"/>
                    <w:sz w:val="18"/>
                    <w:szCs w:val="18"/>
                  </w:rPr>
                  <w:t>Teléfono:</w:t>
                </w:r>
                <w:r w:rsidRPr="00D72B5F">
                  <w:rPr>
                    <w:b/>
                    <w:color w:val="046BAC"/>
                    <w:spacing w:val="6"/>
                    <w:w w:val="95"/>
                    <w:sz w:val="18"/>
                    <w:szCs w:val="18"/>
                  </w:rPr>
                  <w:t xml:space="preserve"> </w:t>
                </w:r>
                <w:r w:rsidRPr="00D72B5F">
                  <w:rPr>
                    <w:color w:val="9D9FA2"/>
                    <w:w w:val="95"/>
                    <w:sz w:val="18"/>
                    <w:szCs w:val="18"/>
                  </w:rPr>
                  <w:t>243-4848</w:t>
                </w:r>
              </w:p>
              <w:bookmarkEnd w:id="1"/>
              <w:p w:rsidRPr="009349F3" w:rsidR="00D72B5F" w:rsidP="00D72B5F" w:rsidRDefault="00D72B5F" w14:paraId="0FF7D2E1" w14:textId="77777777">
                <w:pPr>
                  <w:pStyle w:val="Piedepgina"/>
                  <w:rPr>
                    <w:b/>
                    <w:color w:val="7F7F7F" w:themeColor="text1" w:themeTint="80"/>
                    <w:sz w:val="16"/>
                    <w:szCs w:val="16"/>
                  </w:rPr>
                </w:pPr>
              </w:p>
            </w:tc>
            <w:tc>
              <w:tcPr>
                <w:tcW w:w="1257" w:type="dxa"/>
              </w:tcPr>
              <w:p w:rsidRPr="009349F3" w:rsidR="00D72B5F" w:rsidP="00D72B5F" w:rsidRDefault="00D72B5F" w14:paraId="3161C912" w14:textId="53D85B86">
                <w:pPr>
                  <w:pStyle w:val="Piedepgina"/>
                  <w:jc w:val="right"/>
                  <w:rPr>
                    <w:b/>
                    <w:color w:val="7F7F7F" w:themeColor="text1" w:themeTint="80"/>
                    <w:sz w:val="16"/>
                    <w:szCs w:val="16"/>
                  </w:rPr>
                </w:pPr>
              </w:p>
            </w:tc>
          </w:tr>
        </w:tbl>
        <w:p w:rsidRPr="00181ABF" w:rsidR="00D72B5F" w:rsidP="00D72B5F" w:rsidRDefault="00D72B5F" w14:paraId="2C420D16" w14:textId="415DEEDF">
          <w:pPr>
            <w:pStyle w:val="Piedepgina"/>
          </w:pPr>
          <w:r>
            <w:rPr>
              <w:noProof/>
            </w:rPr>
            <w:drawing>
              <wp:anchor distT="0" distB="0" distL="114300" distR="114300" simplePos="0" relativeHeight="251661312" behindDoc="1" locked="0" layoutInCell="1" allowOverlap="1" wp14:editId="336A8129" wp14:anchorId="6A225F21">
                <wp:simplePos x="0" y="0"/>
                <wp:positionH relativeFrom="page">
                  <wp:posOffset>4703098</wp:posOffset>
                </wp:positionH>
                <wp:positionV relativeFrom="paragraph">
                  <wp:posOffset>-372918</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p w:rsidRPr="009349F3" w:rsidR="00C031CA" w:rsidP="00995835" w:rsidRDefault="00995835" w14:paraId="206C83D5" w14:textId="78BEAE6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3A2CBBDD" wp14:anchorId="4635AD1D">
                    <wp:simplePos x="0" y="0"/>
                    <wp:positionH relativeFrom="page">
                      <wp:posOffset>0</wp:posOffset>
                    </wp:positionH>
                    <wp:positionV relativeFrom="page">
                      <wp:posOffset>9594215</wp:posOffset>
                    </wp:positionV>
                    <wp:extent cx="7772400" cy="273050"/>
                    <wp:effectExtent l="0" t="0" r="0" b="12700"/>
                    <wp:wrapNone/>
                    <wp:docPr id="2" name="MSIPCM4b3c4447ae7d40b193e4f356"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95835" w:rsidR="00995835" w:rsidP="00995835" w:rsidRDefault="00995835" w14:paraId="515F36A6" w14:textId="2A66D8F3">
                                <w:pPr>
                                  <w:jc w:val="center"/>
                                  <w:rPr>
                                    <w:rFonts w:ascii="Calibri" w:hAnsi="Calibri" w:cs="Calibri"/>
                                    <w:color w:val="000000"/>
                                    <w:sz w:val="20"/>
                                  </w:rPr>
                                </w:pPr>
                                <w:r w:rsidRPr="0099583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635AD1D">
                    <v:stroke joinstyle="miter"/>
                    <v:path gradientshapeok="t" o:connecttype="rect"/>
                  </v:shapetype>
                  <v:shape id="MSIPCM4b3c4447ae7d40b193e4f356"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v:textbox inset=",0,,0">
                      <w:txbxContent>
                        <w:p w:rsidRPr="00995835" w:rsidR="00995835" w:rsidP="00995835" w:rsidRDefault="00995835" w14:paraId="515F36A6" w14:textId="2A66D8F3">
                          <w:pPr>
                            <w:jc w:val="center"/>
                            <w:rPr>
                              <w:rFonts w:ascii="Calibri" w:hAnsi="Calibri" w:cs="Calibri"/>
                              <w:color w:val="000000"/>
                              <w:sz w:val="20"/>
                            </w:rPr>
                          </w:pPr>
                          <w:r w:rsidRPr="00995835">
                            <w:rPr>
                              <w:rFonts w:ascii="Calibri" w:hAnsi="Calibri" w:cs="Calibri"/>
                              <w:color w:val="000000"/>
                              <w:sz w:val="20"/>
                            </w:rPr>
                            <w:t>Uso Interno</w:t>
                          </w:r>
                        </w:p>
                      </w:txbxContent>
                    </v:textbox>
                    <w10:wrap anchorx="page" anchory="page"/>
                  </v:shape>
                </w:pict>
              </mc:Fallback>
            </mc:AlternateContent>
          </w:r>
        </w:p>
      </w:tc>
      <w:tc>
        <w:tcPr>
          <w:tcW w:w="1440" w:type="dxa"/>
        </w:tcPr>
        <w:p w:rsidRPr="009349F3" w:rsidR="00C031CA" w:rsidP="00181ABF" w:rsidRDefault="00C031CA" w14:paraId="7E0A442A" w14:textId="7C6ECA90">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11898605" w14:textId="7DD5CA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8C6" w:rsidRDefault="008F08C6" w14:paraId="690BBE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DB2B" w14:textId="77777777" w:rsidR="00995835" w:rsidRDefault="00995835" w:rsidP="00181ABF">
      <w:pPr>
        <w:spacing w:line="240" w:lineRule="auto"/>
      </w:pPr>
      <w:r>
        <w:separator/>
      </w:r>
    </w:p>
  </w:footnote>
  <w:footnote w:type="continuationSeparator" w:id="0">
    <w:p w14:paraId="104965ED" w14:textId="77777777" w:rsidR="00995835" w:rsidRDefault="0099583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8C6" w:rsidRDefault="008F08C6" w14:paraId="7063499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8AEBA97" w14:textId="1ECE5090">
    <w:pPr>
      <w:pStyle w:val="Encabezado"/>
    </w:pPr>
  </w:p>
  <w:p w:rsidR="00181ABF" w:rsidP="00C031CA" w:rsidRDefault="00181ABF" w14:paraId="3238DD6A" w14:textId="5ABCE259">
    <w:pPr>
      <w:pStyle w:val="Encabezado"/>
      <w:jc w:val="left"/>
    </w:pPr>
    <w:r>
      <w:rPr>
        <w:noProof/>
        <w:lang w:val="es-CR" w:eastAsia="es-CR"/>
      </w:rPr>
      <w:drawing>
        <wp:inline distT="0" distB="0" distL="0" distR="0" wp14:anchorId="47DFA47D" wp14:editId="69B63DA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8C6" w:rsidRDefault="008F08C6" w14:paraId="2585F59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541769E"/>
    <w:multiLevelType w:val="hybridMultilevel"/>
    <w:tmpl w:val="469C2804"/>
    <w:lvl w:ilvl="0" w:tplc="140A0017">
      <w:start w:val="1"/>
      <w:numFmt w:val="lowerLetter"/>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24631A"/>
    <w:multiLevelType w:val="hybridMultilevel"/>
    <w:tmpl w:val="41A843C4"/>
    <w:lvl w:ilvl="0" w:tplc="14880320">
      <w:start w:val="1"/>
      <w:numFmt w:val="decimal"/>
      <w:lvlText w:val="%1."/>
      <w:lvlJc w:val="left"/>
      <w:pPr>
        <w:ind w:left="1080" w:hanging="720"/>
      </w:pPr>
      <w:rPr>
        <w:rFonts w:hint="default"/>
        <w:b w:val="0"/>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740123"/>
    <w:multiLevelType w:val="hybridMultilevel"/>
    <w:tmpl w:val="41A843C4"/>
    <w:lvl w:ilvl="0" w:tplc="FFFFFFFF">
      <w:start w:val="1"/>
      <w:numFmt w:val="decimal"/>
      <w:lvlText w:val="%1."/>
      <w:lvlJc w:val="left"/>
      <w:pPr>
        <w:ind w:left="1080" w:hanging="72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E028EA"/>
    <w:multiLevelType w:val="hybridMultilevel"/>
    <w:tmpl w:val="41A843C4"/>
    <w:lvl w:ilvl="0" w:tplc="FFFFFFFF">
      <w:start w:val="1"/>
      <w:numFmt w:val="decimal"/>
      <w:lvlText w:val="%1."/>
      <w:lvlJc w:val="left"/>
      <w:pPr>
        <w:ind w:left="1080" w:hanging="72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1921208">
    <w:abstractNumId w:val="1"/>
  </w:num>
  <w:num w:numId="2" w16cid:durableId="1741101732">
    <w:abstractNumId w:val="2"/>
  </w:num>
  <w:num w:numId="3" w16cid:durableId="2048211871">
    <w:abstractNumId w:val="4"/>
  </w:num>
  <w:num w:numId="4" w16cid:durableId="166990106">
    <w:abstractNumId w:val="0"/>
  </w:num>
  <w:num w:numId="5" w16cid:durableId="1347295314">
    <w:abstractNumId w:val="6"/>
  </w:num>
  <w:num w:numId="6" w16cid:durableId="983898782">
    <w:abstractNumId w:val="3"/>
  </w:num>
  <w:num w:numId="7" w16cid:durableId="1589340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35"/>
    <w:rsid w:val="000202E3"/>
    <w:rsid w:val="000D1005"/>
    <w:rsid w:val="00181ABF"/>
    <w:rsid w:val="00273E80"/>
    <w:rsid w:val="0028253C"/>
    <w:rsid w:val="00295205"/>
    <w:rsid w:val="002B2727"/>
    <w:rsid w:val="003172BE"/>
    <w:rsid w:val="00456634"/>
    <w:rsid w:val="00530EC6"/>
    <w:rsid w:val="00554899"/>
    <w:rsid w:val="00596C67"/>
    <w:rsid w:val="00886FBD"/>
    <w:rsid w:val="008F08C6"/>
    <w:rsid w:val="00937EF0"/>
    <w:rsid w:val="00995835"/>
    <w:rsid w:val="00B96A9D"/>
    <w:rsid w:val="00C031CA"/>
    <w:rsid w:val="00D2422E"/>
    <w:rsid w:val="00D72B5F"/>
    <w:rsid w:val="00D90222"/>
    <w:rsid w:val="00E42AAC"/>
    <w:rsid w:val="00F555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7BA3E"/>
  <w15:chartTrackingRefBased/>
  <w15:docId w15:val="{25BE7626-D524-4718-86D3-80825889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031CA"/>
    <w:rPr>
      <w:color w:val="0563C1" w:themeColor="hyperlink"/>
      <w:u w:val="single"/>
    </w:rPr>
  </w:style>
  <w:style w:type="paragraph" w:styleId="Prrafodelista">
    <w:name w:val="List Paragraph"/>
    <w:basedOn w:val="Normal"/>
    <w:link w:val="PrrafodelistaCar"/>
    <w:uiPriority w:val="34"/>
    <w:qFormat/>
    <w:rsid w:val="00530EC6"/>
    <w:pPr>
      <w:ind w:left="720"/>
      <w:contextualSpacing/>
    </w:pPr>
  </w:style>
  <w:style w:type="character" w:customStyle="1" w:styleId="PrrafodelistaCar">
    <w:name w:val="Párrafo de lista Car"/>
    <w:link w:val="Prrafodelista"/>
    <w:uiPriority w:val="34"/>
    <w:locked/>
    <w:rsid w:val="00530EC6"/>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EntidadesFinancieras/Forms/Correspondencia%20Externa%20SUGEF/plantilla-SGF-ACL-CE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6573F81764797A12DC35BC9C4BD8A"/>
        <w:category>
          <w:name w:val="General"/>
          <w:gallery w:val="placeholder"/>
        </w:category>
        <w:types>
          <w:type w:val="bbPlcHdr"/>
        </w:types>
        <w:behaviors>
          <w:behavior w:val="content"/>
        </w:behaviors>
        <w:guid w:val="{1D79489B-1A6A-461D-BBC1-8669B602B47C}"/>
      </w:docPartPr>
      <w:docPartBody>
        <w:p w:rsidR="00F57B53" w:rsidRDefault="007519B9">
          <w:pPr>
            <w:pStyle w:val="6166573F81764797A12DC35BC9C4BD8A"/>
          </w:pPr>
          <w:r w:rsidRPr="001E0779">
            <w:rPr>
              <w:rStyle w:val="Textodelmarcadordeposicin"/>
            </w:rPr>
            <w:t>Haga clic aquí para escribir texto.</w:t>
          </w:r>
        </w:p>
      </w:docPartBody>
    </w:docPart>
    <w:docPart>
      <w:docPartPr>
        <w:name w:val="CECCCA0DD4C8430A969B912A41581DEF"/>
        <w:category>
          <w:name w:val="General"/>
          <w:gallery w:val="placeholder"/>
        </w:category>
        <w:types>
          <w:type w:val="bbPlcHdr"/>
        </w:types>
        <w:behaviors>
          <w:behavior w:val="content"/>
        </w:behaviors>
        <w:guid w:val="{1EF4FC15-4A7D-4016-90DE-CA66FF379B21}"/>
      </w:docPartPr>
      <w:docPartBody>
        <w:p w:rsidR="00F57B53" w:rsidRDefault="007519B9">
          <w:pPr>
            <w:pStyle w:val="CECCCA0DD4C8430A969B912A41581DE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B9"/>
    <w:rsid w:val="007519B9"/>
    <w:rsid w:val="00F57B5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166573F81764797A12DC35BC9C4BD8A">
    <w:name w:val="6166573F81764797A12DC35BC9C4BD8A"/>
  </w:style>
  <w:style w:type="paragraph" w:customStyle="1" w:styleId="CECCCA0DD4C8430A969B912A41581DEF">
    <w:name w:val="CECCCA0DD4C8430A969B912A41581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P4ytglCqYvNUm7pOarI2u39qVugoET8FYsrQ0C0Cd+g=</DigestValue>
    </Reference>
    <Reference Type="http://www.w3.org/2000/09/xmldsig#Object" URI="#idOfficeObject">
      <DigestMethod Algorithm="http://www.w3.org/2001/04/xmlenc#sha256"/>
      <DigestValue>GH8i/WTkXg+s1dsGAjJGxnMaFKUQDBfbiSA/pXzgg+w=</DigestValue>
    </Reference>
    <Reference Type="http://uri.etsi.org/01903#SignedProperties" URI="#idSignedProperties">
      <Transforms>
        <Transform Algorithm="http://www.w3.org/TR/2001/REC-xml-c14n-20010315"/>
      </Transforms>
      <DigestMethod Algorithm="http://www.w3.org/2001/04/xmlenc#sha256"/>
      <DigestValue>GH32aeQGnMlJ30PbzC6eOW/W+yOmpRRbV8fkOCtzWoU=</DigestValue>
    </Reference>
  </SignedInfo>
  <SignatureValue>J0gzsrKK9kUNHcGOAplrOc5BtaEcsY0oeGyn/kCOCCTM5lqfpkcmAvK0buoFTUDkCVRlVycY080e
zh3P5A9hNoIcHX/hHMxfGzV3lsMN/7onsNbcaw/4Tsq9kR6rV59am3tTO5rLu6BMWMRNxyHwMBRs
VeG5L38GD4kdHnd0N/uFNyIeE+hQLxeRgbN01RqY26J+UObpBzrrub1NeFvrzw0LbUxaZycxIKXF
gGHMKNegauXFPHtiXrsnWm2NB6n6fOoyt2+VZ5XxYWMGQMCDtkA/m3+QAenglW+luS5I7HEANctb
TlsAIRuf/pMFabHm5lI5Bm+axx/TNUyv/a64Qw==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W6wESlsWD4FQQV448X1JWKZrK+C0TDkY58MfU2vBm0Y=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XH2IE9abjj0ZA4Zx8GoYpMn7dfHABSjqXGos3CfwPVw=</DigestValue>
      </Reference>
      <Reference URI="/word/document.xml?ContentType=application/vnd.openxmlformats-officedocument.wordprocessingml.document.main+xml">
        <DigestMethod Algorithm="http://www.w3.org/2001/04/xmlenc#sha256"/>
        <DigestValue>d4q+1eVBCPtx6R2G9lJg4OdMwiJ8j6Jsh2otHfjB7s4=</DigestValue>
      </Reference>
      <Reference URI="/word/endnotes.xml?ContentType=application/vnd.openxmlformats-officedocument.wordprocessingml.endnotes+xml">
        <DigestMethod Algorithm="http://www.w3.org/2001/04/xmlenc#sha256"/>
        <DigestValue>Gb+vV3YCsxqH0sXck8YsSX30oh/VRJMyARNRf65xnfs=</DigestValue>
      </Reference>
      <Reference URI="/word/fontTable.xml?ContentType=application/vnd.openxmlformats-officedocument.wordprocessingml.fontTable+xml">
        <DigestMethod Algorithm="http://www.w3.org/2001/04/xmlenc#sha256"/>
        <DigestValue>Y6AS7jVUHoFoMMm4mSy/PrvnKGvkShlPbGk+mEBkiTI=</DigestValue>
      </Reference>
      <Reference URI="/word/footer1.xml?ContentType=application/vnd.openxmlformats-officedocument.wordprocessingml.footer+xml">
        <DigestMethod Algorithm="http://www.w3.org/2001/04/xmlenc#sha256"/>
        <DigestValue>vsJjPZNeDmwCaQO8HNDpLrM+uqXi7Yp8g1AKromBgn8=</DigestValue>
      </Reference>
      <Reference URI="/word/footer2.xml?ContentType=application/vnd.openxmlformats-officedocument.wordprocessingml.footer+xml">
        <DigestMethod Algorithm="http://www.w3.org/2001/04/xmlenc#sha256"/>
        <DigestValue>HDLIffzfMUqPHM2n/cWc8LqOcvWTYp1UhwrB2ProDMU=</DigestValue>
      </Reference>
      <Reference URI="/word/footer3.xml?ContentType=application/vnd.openxmlformats-officedocument.wordprocessingml.footer+xml">
        <DigestMethod Algorithm="http://www.w3.org/2001/04/xmlenc#sha256"/>
        <DigestValue>pdVn9vEMEffHkez5TCVC8Rf2mLizR/Qy3OdRFtwo+V4=</DigestValue>
      </Reference>
      <Reference URI="/word/footnotes.xml?ContentType=application/vnd.openxmlformats-officedocument.wordprocessingml.footnotes+xml">
        <DigestMethod Algorithm="http://www.w3.org/2001/04/xmlenc#sha256"/>
        <DigestValue>ui2z5Ekav6nyfxgygr5g/Np/sa/8bNCk4/GDDhpVTnI=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1YQGJ7u841/tz8FDBv1wiTaMmkm02sinrzdB5IK7Nbw=</DigestValue>
      </Reference>
      <Reference URI="/word/glossary/fontTable.xml?ContentType=application/vnd.openxmlformats-officedocument.wordprocessingml.fontTable+xml">
        <DigestMethod Algorithm="http://www.w3.org/2001/04/xmlenc#sha256"/>
        <DigestValue>Y6AS7jVUHoFoMMm4mSy/PrvnKGvkShlPbGk+mEBkiTI=</DigestValue>
      </Reference>
      <Reference URI="/word/glossary/settings.xml?ContentType=application/vnd.openxmlformats-officedocument.wordprocessingml.settings+xml">
        <DigestMethod Algorithm="http://www.w3.org/2001/04/xmlenc#sha256"/>
        <DigestValue>hFs0TbK89fnZLFhI3zwv7BjnkuSslYpphCPZJ157oQE=</DigestValue>
      </Reference>
      <Reference URI="/word/glossary/styles.xml?ContentType=application/vnd.openxmlformats-officedocument.wordprocessingml.styles+xml">
        <DigestMethod Algorithm="http://www.w3.org/2001/04/xmlenc#sha256"/>
        <DigestValue>CFz0aVPY3tKAMGbBZknY83PGHB4tj+GMUfM76smR4CY=</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VObfVulAQTO7+cYTuueCckzSI1paCVa83iJtcghEBDk=</DigestValue>
      </Reference>
      <Reference URI="/word/header2.xml?ContentType=application/vnd.openxmlformats-officedocument.wordprocessingml.header+xml">
        <DigestMethod Algorithm="http://www.w3.org/2001/04/xmlenc#sha256"/>
        <DigestValue>qrab7ney71egaux/WuWstcbalCFoneBdsBhXNFJEAhY=</DigestValue>
      </Reference>
      <Reference URI="/word/header3.xml?ContentType=application/vnd.openxmlformats-officedocument.wordprocessingml.header+xml">
        <DigestMethod Algorithm="http://www.w3.org/2001/04/xmlenc#sha256"/>
        <DigestValue>tdmpw/WkCpDoyV/mPMGfwC620ZS627gEt9ytQ5hDW/4=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N4XLlEQ/pZp4fKXhQQa1pz8ZW8p1Bqs0KFwqXGWq9RI=</DigestValue>
      </Reference>
      <Reference URI="/word/settings.xml?ContentType=application/vnd.openxmlformats-officedocument.wordprocessingml.settings+xml">
        <DigestMethod Algorithm="http://www.w3.org/2001/04/xmlenc#sha256"/>
        <DigestValue>yVYPaUvYsAHMfSaNDmJXizkWpO24Bwe9uLrIDB6MTZk=</DigestValue>
      </Reference>
      <Reference URI="/word/styles.xml?ContentType=application/vnd.openxmlformats-officedocument.wordprocessingml.styles+xml">
        <DigestMethod Algorithm="http://www.w3.org/2001/04/xmlenc#sha256"/>
        <DigestValue>miHAE39fCAtaga9WZu91hHgz2hCLJCUmkyEO9G8u+jE=</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2023-09-27T14:46:23Z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2023-09-27T14:46:23Z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cVRpEakE/BfU8+yqMX8KiSbCEAvT39CCesRAybS/5bECBBaT8UQYDzIwMjMwOTI3MTQ0Nj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O6gNlOWuX1UNU1dFdnLbdW3AHKA=</xd:ByKey>
                  </xd:ResponderID>
                  <xd:ProducedAt>2023-09-26T18:21:37Z</xd:ProducedAt>
                </xd:OCSPIdentifier>
                <xd:DigestAlgAndValue>
                  <DigestMethod Algorithm="http://www.w3.org/2001/04/xmlenc#sha256"/>
                  <DigestValue>JwGEXguy60GQluwelo23OWaXpa8TR2MD22XXs9xrTrE=</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pTJBAOj8I3Hw3I86Msw21cVZXfwESqnXLR9cvwaml4CBBaT8UYYDzIwMjMwOTI3MTQ0Nj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98</Value>
      <Value>63</Value>
      <Value>128</Value>
      <Value>161</Value>
      <Value>125</Value>
      <Value>127</Value>
      <Value>183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i:0#.w|pdc-atlantida\segurasa</DisplayName>
        <AccountId>2018</AccountId>
        <AccountType/>
      </UserInfo>
      <UserInfo>
        <DisplayName>i:0#.w|pdc-atlantida\moralesmj</DisplayName>
        <AccountId>1797</AccountId>
        <AccountType/>
      </UserInfo>
      <UserInfo>
        <DisplayName>i:0#.w|pdc-atlantida\lopezsm</DisplayName>
        <AccountId>1743</AccountId>
        <AccountType/>
      </UserInfo>
      <UserInfo>
        <DisplayName>i:0#.w|pdc-atlantida\fallasmj</DisplayName>
        <AccountId>2532</AccountId>
        <AccountType/>
      </UserInfo>
      <UserInfo>
        <DisplayName>i:0#.w|pdc-atlantida\guerrerola</DisplayName>
        <AccountId>2015</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2023-09-27T15:19:04+00:00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&lt;div class="ExternalClassA3C32CF9A26F4856AC1BAFEDBFFC6354"&gt;&lt;p&gt;​Esta circular se debe notificar a las entidades financieras supervisadas por SUGEF y se debe enviar a las otras Superintendencias para que procedan con la notificación correspondiente a sus supervisados.&lt;br&gt;&lt;/p&gt;&lt;/div&gt;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2023-09-25T06:00:00+00:00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Resolución Superintendente - Cobro CICAC</Subject1>
    <_dlc_ExpireDateSaved xmlns="http://schemas.microsoft.com/sharepoint/v3" xsi:nil="true"/>
    <_dlc_ExpireDate xmlns="http://schemas.microsoft.com/sharepoint/v3">2023-10-11T15:19:04+00:00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AFF15AEC-77FF-4061-9321-BBC5A3E9CA46}"/>
</file>

<file path=customXml/itemProps2.xml><?xml version="1.0" encoding="utf-8"?>
<ds:datastoreItem xmlns:ds="http://schemas.openxmlformats.org/officeDocument/2006/customXml" ds:itemID="{04D51A3D-5DAE-41AD-BB48-3EAFBC7AB8B2}"/>
</file>

<file path=customXml/itemProps3.xml><?xml version="1.0" encoding="utf-8"?>
<ds:datastoreItem xmlns:ds="http://schemas.openxmlformats.org/officeDocument/2006/customXml" ds:itemID="{AF156C6F-33DB-4A70-85EC-A7A029348058}"/>
</file>

<file path=customXml/itemProps4.xml><?xml version="1.0" encoding="utf-8"?>
<ds:datastoreItem xmlns:ds="http://schemas.openxmlformats.org/officeDocument/2006/customXml" ds:itemID="{534BCD1F-0D49-4D84-95BC-485E3BB21DF1}"/>
</file>

<file path=customXml/itemProps5.xml><?xml version="1.0" encoding="utf-8"?>
<ds:datastoreItem xmlns:ds="http://schemas.openxmlformats.org/officeDocument/2006/customXml" ds:itemID="{BB56727F-7880-4106-A810-AC447DCA73FA}"/>
</file>

<file path=customXml/itemProps6.xml><?xml version="1.0" encoding="utf-8"?>
<ds:datastoreItem xmlns:ds="http://schemas.openxmlformats.org/officeDocument/2006/customXml" ds:itemID="{BC5625E0-5010-43DA-B1D6-B5A06BF758B1}"/>
</file>

<file path=docProps/app.xml><?xml version="1.0" encoding="utf-8"?>
<Properties xmlns="http://schemas.openxmlformats.org/officeDocument/2006/extended-properties" xmlns:vt="http://schemas.openxmlformats.org/officeDocument/2006/docPropsVTypes">
  <Template>plantilla-SGF-ACL-CEF-22</Template>
  <TotalTime>119</TotalTime>
  <Pages>4</Pages>
  <Words>934</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YENDRY PIEDRA SOLANO</cp:lastModifiedBy>
  <cp:revision>8</cp:revision>
  <dcterms:created xsi:type="dcterms:W3CDTF">2023-09-25T14:01:00Z</dcterms:created>
  <dcterms:modified xsi:type="dcterms:W3CDTF">2023-09-26T22:21:00Z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183;#Resolución|8250c29f-4595-4728-bcc1-a5fc6a20ed53</vt:lpwstr>
  </property>
  <property fmtid="{D5CDD505-2E9C-101B-9397-08002B2CF9AE}" pid="6" name="Unidad de Destino">
    <vt:lpwstr>98;#SUGESE - Despacho|669bcd6e-2e10-45a5-b148-d6913be2b9f5;#116;#SUGEVAL - Despacho|f5550e5c-41ee-4485-b696-5c4b6fa6dc08;#125;#SUPEN|9d5f5258-19b9-49f7-872c-75948bc19861</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2023-03-19T23:06:53Z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85abb228-9ef6-4032-8764-31cea174ce71</vt:lpwstr>
  </property>
  <property fmtid="{D5CDD505-2E9C-101B-9397-08002B2CF9AE}" pid="17" name="MSIP_Label_b8b4be34-365a-4a68-b9fb-75c1b6874315_ContentBits">
    <vt:lpwstr>2</vt:lpwstr>
  </property>
  <property fmtid="{D5CDD505-2E9C-101B-9397-08002B2CF9AE}" pid="18" name="Order">
    <vt:r8>107700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f1fd9d7f-da86-405a-9476-87cbb240632e,7;769919c7-9da3-41ff-b395-8ac0bca7c92c,9;a85bfa03-8193-4272-b95d-eecf291da429,10;a85bfa03-8193-4272-b95d-eecf291da429,10;a85bfa03-8193-4272-b95d-eecf291da429,11;a85bfa03-8193-4272-b95d-eecf291da429,12;</vt:lpwstr>
  </property>
  <property fmtid="{D5CDD505-2E9C-101B-9397-08002B2CF9AE}" pid="23" name="ecm_ItemDeleteBlockHolders">
    <vt:lpwstr>ecm_InPlaceRecordLock</vt:lpwstr>
  </property>
  <property fmtid="{D5CDD505-2E9C-101B-9397-08002B2CF9AE}" pid="24" name="_vti_ItemDeclaredRecord">
    <vt:filetime>2023-09-27T15:20:10Z</vt:filetime>
  </property>
  <property fmtid="{D5CDD505-2E9C-101B-9397-08002B2CF9AE}" pid="25" name="_vti_ItemHoldRecordStatus">
    <vt:i4>273</vt:i4>
  </property>
  <property fmtid="{D5CDD505-2E9C-101B-9397-08002B2CF9AE}" pid="26" name="IconOverlay">
    <vt:lpwstr>|docx|lockoverlay.png</vt:lpwstr>
  </property>
  <property fmtid="{D5CDD505-2E9C-101B-9397-08002B2CF9AE}" pid="27" name="ecm_RecordRestrictions">
    <vt:lpwstr>BlockDelete, BlockEdit</vt:lpwstr>
  </property>
  <property fmtid="{D5CDD505-2E9C-101B-9397-08002B2CF9AE}" pid="28" name="ecm_ItemLockHolders">
    <vt:lpwstr>ecm_InPlaceRecordLock</vt:lpwstr>
  </property>
</Properties>
</file>