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6972C9" w:rsidP="001F00EB" w:rsidRDefault="006972C9" w14:paraId="3CF1BFF7" w14:textId="77777777">
      <w:pPr>
        <w:tabs>
          <w:tab w:val="left" w:pos="2843"/>
        </w:tabs>
        <w:spacing w:line="240" w:lineRule="auto"/>
        <w:rPr>
          <w:sz w:val="24"/>
        </w:rPr>
      </w:pPr>
      <w:r w:rsidRPr="002E2B0A">
        <w:rPr>
          <w:sz w:val="24"/>
        </w:rPr>
        <w:tab/>
      </w:r>
    </w:p>
    <w:p w:rsidRPr="00765E36" w:rsidR="00D06CAA" w:rsidP="00D06CAA" w:rsidRDefault="00E906B1" w14:paraId="3E221963" w14:textId="5E37D9F1">
      <w:pPr>
        <w:autoSpaceDE w:val="0"/>
        <w:autoSpaceDN w:val="0"/>
        <w:adjustRightInd w:val="0"/>
        <w:spacing w:line="240" w:lineRule="auto"/>
        <w:contextualSpacing/>
        <w:jc w:val="center"/>
        <w:rPr>
          <w:rFonts w:cs="TimesNewRoman"/>
          <w:b/>
          <w:color w:val="000000"/>
          <w:sz w:val="24"/>
          <w:lang w:val="es-CR"/>
        </w:rPr>
      </w:pPr>
      <w:r w:rsidRPr="00765E36">
        <w:rPr>
          <w:rFonts w:cs="TimesNewRoman,Bold"/>
          <w:b/>
          <w:bCs/>
          <w:color w:val="000000"/>
          <w:sz w:val="24"/>
        </w:rPr>
        <w:t>Resolución</w:t>
      </w:r>
    </w:p>
    <w:sdt>
      <w:sdtPr>
        <w:rPr>
          <w:sz w:val="24"/>
        </w:rPr>
        <w:alias w:val="Consecutivo"/>
        <w:tag w:val="Consecutivo"/>
        <w:id w:val="-992954769"/>
        <w:placeholder>
          <w:docPart w:val="A6981AF55A3940D0BB02442A324B8142"/>
        </w:placeholder>
        <w:text/>
      </w:sdtPr>
      <w:sdtEndPr/>
      <w:sdtContent>
        <w:p w:rsidRPr="00765E36" w:rsidR="00E906B1" w:rsidP="00E906B1" w:rsidRDefault="00E906B1" w14:paraId="1059B97D" w14:textId="77777777">
          <w:pPr>
            <w:tabs>
              <w:tab w:val="left" w:pos="2843"/>
            </w:tabs>
            <w:spacing w:line="240" w:lineRule="auto"/>
            <w:jc w:val="center"/>
            <w:rPr>
              <w:sz w:val="24"/>
            </w:rPr>
          </w:pPr>
          <w:r>
            <w:t>SGF-2462-2020</w:t>
          </w:r>
        </w:p>
      </w:sdtContent>
    </w:sdt>
    <w:p w:rsidRPr="00765E36" w:rsidR="00D06CAA" w:rsidP="00E906B1" w:rsidRDefault="00E906B1" w14:paraId="2907EBB2" w14:textId="54123E59">
      <w:pPr>
        <w:tabs>
          <w:tab w:val="left" w:pos="2843"/>
        </w:tabs>
        <w:spacing w:line="240" w:lineRule="auto"/>
        <w:contextualSpacing/>
        <w:jc w:val="center"/>
        <w:rPr>
          <w:sz w:val="24"/>
        </w:rPr>
      </w:pPr>
      <w:r w:rsidRPr="00765E36">
        <w:rPr>
          <w:sz w:val="24"/>
        </w:rPr>
        <w:t xml:space="preserve"> </w:t>
      </w:r>
      <w:sdt>
        <w:sdtPr>
          <w:rPr>
            <w:sz w:val="24"/>
          </w:rPr>
          <w:alias w:val="Confidencialidad"/>
          <w:tag w:val="Confidencialidad"/>
          <w:id w:val="-1780480278"/>
          <w:placeholder>
            <w:docPart w:val="82170D514A2A453DB1392559428BE3DF"/>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65E36" w:rsidR="00D06CAA">
            <w:rPr>
              <w:sz w:val="24"/>
            </w:rPr>
            <w:t>SGF-PUBLICO</w:t>
          </w:r>
        </w:sdtContent>
      </w:sdt>
    </w:p>
    <w:p w:rsidRPr="00765E36" w:rsidR="00D06CAA" w:rsidP="00D06CAA" w:rsidRDefault="00CC0B90" w14:paraId="2FE9D3BF" w14:textId="0AF41888">
      <w:pPr>
        <w:autoSpaceDE w:val="0"/>
        <w:autoSpaceDN w:val="0"/>
        <w:adjustRightInd w:val="0"/>
        <w:spacing w:line="240" w:lineRule="auto"/>
        <w:contextualSpacing/>
        <w:jc w:val="center"/>
        <w:rPr>
          <w:rFonts w:cs="TimesNewRoman,Bold"/>
          <w:bCs/>
          <w:color w:val="000000"/>
          <w:sz w:val="24"/>
        </w:rPr>
      </w:pPr>
      <w:r>
        <w:rPr>
          <w:rFonts w:cs="TimesNewRoman,Bold"/>
          <w:bCs/>
          <w:color w:val="000000"/>
          <w:sz w:val="24"/>
        </w:rPr>
        <w:t>20</w:t>
      </w:r>
      <w:r w:rsidRPr="00765E36" w:rsidR="00D06CAA">
        <w:rPr>
          <w:rFonts w:cs="TimesNewRoman,Bold"/>
          <w:bCs/>
          <w:color w:val="000000"/>
          <w:sz w:val="24"/>
        </w:rPr>
        <w:t xml:space="preserve"> de ju</w:t>
      </w:r>
      <w:r w:rsidRPr="00765E36" w:rsidR="00715FA2">
        <w:rPr>
          <w:rFonts w:cs="TimesNewRoman,Bold"/>
          <w:bCs/>
          <w:color w:val="000000"/>
          <w:sz w:val="24"/>
        </w:rPr>
        <w:t>l</w:t>
      </w:r>
      <w:r w:rsidRPr="00765E36" w:rsidR="00D06CAA">
        <w:rPr>
          <w:rFonts w:cs="TimesNewRoman,Bold"/>
          <w:bCs/>
          <w:color w:val="000000"/>
          <w:sz w:val="24"/>
        </w:rPr>
        <w:t>io del 2020</w:t>
      </w:r>
    </w:p>
    <w:p w:rsidRPr="00765E36" w:rsidR="00D06CAA" w:rsidP="00D06CAA" w:rsidRDefault="00D06CAA" w14:paraId="386D1630" w14:textId="23DC6FE6">
      <w:pPr>
        <w:spacing w:line="240" w:lineRule="auto"/>
        <w:contextualSpacing/>
        <w:rPr>
          <w:rFonts w:cstheme="minorBidi"/>
          <w:b/>
          <w:bCs/>
          <w:sz w:val="24"/>
        </w:rPr>
      </w:pPr>
    </w:p>
    <w:p w:rsidRPr="00765E36" w:rsidR="00D06CAA" w:rsidP="00D06CAA" w:rsidRDefault="00D06CAA" w14:paraId="4BF8F412" w14:textId="4EB07D5C">
      <w:pPr>
        <w:spacing w:line="240" w:lineRule="auto"/>
        <w:contextualSpacing/>
        <w:rPr>
          <w:b/>
          <w:bCs/>
          <w:sz w:val="24"/>
        </w:rPr>
      </w:pPr>
      <w:r w:rsidRPr="00765E36">
        <w:rPr>
          <w:b/>
          <w:bCs/>
          <w:sz w:val="24"/>
        </w:rPr>
        <w:t>Dirigida a:</w:t>
      </w:r>
      <w:r w:rsidRPr="00765E36" w:rsidR="00C64610">
        <w:rPr>
          <w:rFonts w:eastAsia="MS Mincho" w:cstheme="minorBidi"/>
          <w:iCs/>
          <w:noProof/>
          <w:color w:val="000000" w:themeColor="text1"/>
          <w:sz w:val="24"/>
          <w:lang w:eastAsia="es-ES"/>
        </w:rPr>
        <w:t xml:space="preserve"> </w:t>
      </w:r>
    </w:p>
    <w:p w:rsidRPr="00765E36" w:rsidR="00D06CAA" w:rsidP="00D06CAA" w:rsidRDefault="00D06CAA" w14:paraId="28B83F11" w14:textId="1863E6CA">
      <w:pPr>
        <w:spacing w:line="240" w:lineRule="auto"/>
        <w:contextualSpacing/>
        <w:rPr>
          <w:b/>
          <w:bCs/>
          <w:sz w:val="24"/>
        </w:rPr>
      </w:pPr>
    </w:p>
    <w:p w:rsidRPr="00765E36" w:rsidR="00D06CAA" w:rsidP="00D06CAA" w:rsidRDefault="00D06CAA" w14:paraId="3F583190" w14:textId="77777777">
      <w:pPr>
        <w:numPr>
          <w:ilvl w:val="0"/>
          <w:numId w:val="3"/>
        </w:numPr>
        <w:spacing w:line="240" w:lineRule="auto"/>
        <w:ind w:left="567" w:hanging="567"/>
        <w:contextualSpacing/>
        <w:rPr>
          <w:bCs/>
          <w:sz w:val="24"/>
          <w:lang w:eastAsia="es-ES"/>
        </w:rPr>
      </w:pPr>
      <w:r w:rsidRPr="00765E36">
        <w:rPr>
          <w:bCs/>
          <w:sz w:val="24"/>
        </w:rPr>
        <w:t>Bancos comerciales del Estado.</w:t>
      </w:r>
    </w:p>
    <w:p w:rsidRPr="00765E36" w:rsidR="00D06CAA" w:rsidP="00D06CAA" w:rsidRDefault="00D06CAA" w14:paraId="3572389B" w14:textId="77777777">
      <w:pPr>
        <w:numPr>
          <w:ilvl w:val="0"/>
          <w:numId w:val="3"/>
        </w:numPr>
        <w:spacing w:line="240" w:lineRule="auto"/>
        <w:ind w:left="567" w:hanging="567"/>
        <w:contextualSpacing/>
        <w:rPr>
          <w:bCs/>
          <w:sz w:val="24"/>
          <w:lang w:eastAsia="es-ES"/>
        </w:rPr>
      </w:pPr>
      <w:r w:rsidRPr="00765E36">
        <w:rPr>
          <w:bCs/>
          <w:sz w:val="24"/>
        </w:rPr>
        <w:t>Bancos creados por leyes especiales.</w:t>
      </w:r>
    </w:p>
    <w:p w:rsidRPr="00765E36" w:rsidR="00D06CAA" w:rsidP="00D06CAA" w:rsidRDefault="00D06CAA" w14:paraId="79F25D3C" w14:textId="77777777">
      <w:pPr>
        <w:numPr>
          <w:ilvl w:val="0"/>
          <w:numId w:val="3"/>
        </w:numPr>
        <w:spacing w:line="240" w:lineRule="auto"/>
        <w:ind w:left="567" w:hanging="567"/>
        <w:contextualSpacing/>
        <w:rPr>
          <w:bCs/>
          <w:sz w:val="24"/>
          <w:lang w:eastAsia="es-ES"/>
        </w:rPr>
      </w:pPr>
      <w:r w:rsidRPr="00765E36">
        <w:rPr>
          <w:bCs/>
          <w:sz w:val="24"/>
        </w:rPr>
        <w:t>Bancos Privados.</w:t>
      </w:r>
    </w:p>
    <w:p w:rsidRPr="00765E36" w:rsidR="00D06CAA" w:rsidP="00D06CAA" w:rsidRDefault="00D06CAA" w14:paraId="61EFB936" w14:textId="77777777">
      <w:pPr>
        <w:numPr>
          <w:ilvl w:val="0"/>
          <w:numId w:val="3"/>
        </w:numPr>
        <w:spacing w:line="240" w:lineRule="auto"/>
        <w:ind w:left="567" w:hanging="567"/>
        <w:contextualSpacing/>
        <w:rPr>
          <w:bCs/>
          <w:sz w:val="24"/>
          <w:lang w:eastAsia="es-ES"/>
        </w:rPr>
      </w:pPr>
      <w:r w:rsidRPr="00765E36">
        <w:rPr>
          <w:bCs/>
          <w:sz w:val="24"/>
        </w:rPr>
        <w:t>Empresas Financieras no bancarias.</w:t>
      </w:r>
    </w:p>
    <w:p w:rsidRPr="00765E36" w:rsidR="00D06CAA" w:rsidP="00D06CAA" w:rsidRDefault="00D06CAA" w14:paraId="44A1348B" w14:textId="77777777">
      <w:pPr>
        <w:numPr>
          <w:ilvl w:val="0"/>
          <w:numId w:val="3"/>
        </w:numPr>
        <w:spacing w:line="240" w:lineRule="auto"/>
        <w:ind w:left="567" w:hanging="567"/>
        <w:contextualSpacing/>
        <w:rPr>
          <w:bCs/>
          <w:sz w:val="24"/>
          <w:lang w:eastAsia="es-ES"/>
        </w:rPr>
      </w:pPr>
      <w:r w:rsidRPr="00765E36">
        <w:rPr>
          <w:bCs/>
          <w:sz w:val="24"/>
        </w:rPr>
        <w:t>Otras entidades financieras.</w:t>
      </w:r>
    </w:p>
    <w:p w:rsidRPr="00765E36" w:rsidR="00D06CAA" w:rsidP="00D06CAA" w:rsidRDefault="00D06CAA" w14:paraId="77698FDC" w14:textId="77777777">
      <w:pPr>
        <w:numPr>
          <w:ilvl w:val="0"/>
          <w:numId w:val="3"/>
        </w:numPr>
        <w:spacing w:line="240" w:lineRule="auto"/>
        <w:ind w:left="567" w:hanging="567"/>
        <w:contextualSpacing/>
        <w:rPr>
          <w:bCs/>
          <w:sz w:val="24"/>
          <w:lang w:eastAsia="es-ES"/>
        </w:rPr>
      </w:pPr>
      <w:r w:rsidRPr="00765E36">
        <w:rPr>
          <w:bCs/>
          <w:sz w:val="24"/>
        </w:rPr>
        <w:t>Organizaciones cooperativas de ahorro y crédito.</w:t>
      </w:r>
    </w:p>
    <w:p w:rsidRPr="00765E36" w:rsidR="00D06CAA" w:rsidP="00D06CAA" w:rsidRDefault="00D06CAA" w14:paraId="27C0E32F" w14:textId="77777777">
      <w:pPr>
        <w:numPr>
          <w:ilvl w:val="0"/>
          <w:numId w:val="3"/>
        </w:numPr>
        <w:spacing w:line="240" w:lineRule="auto"/>
        <w:ind w:left="567" w:hanging="567"/>
        <w:contextualSpacing/>
        <w:rPr>
          <w:bCs/>
          <w:sz w:val="24"/>
          <w:lang w:eastAsia="es-ES"/>
        </w:rPr>
      </w:pPr>
      <w:r w:rsidRPr="00765E36">
        <w:rPr>
          <w:bCs/>
          <w:sz w:val="24"/>
        </w:rPr>
        <w:t>Entidades autorizadas del Sistema Financiero Nacional para la vivienda.</w:t>
      </w:r>
    </w:p>
    <w:p w:rsidRPr="00765E36" w:rsidR="00D06CAA" w:rsidP="00D06CAA" w:rsidRDefault="00D06CAA" w14:paraId="2DD84A15" w14:textId="77777777">
      <w:pPr>
        <w:numPr>
          <w:ilvl w:val="0"/>
          <w:numId w:val="3"/>
        </w:numPr>
        <w:spacing w:line="240" w:lineRule="auto"/>
        <w:ind w:left="567" w:hanging="567"/>
        <w:contextualSpacing/>
        <w:rPr>
          <w:bCs/>
          <w:sz w:val="24"/>
        </w:rPr>
      </w:pPr>
      <w:r w:rsidRPr="00765E36">
        <w:rPr>
          <w:bCs/>
          <w:sz w:val="24"/>
        </w:rPr>
        <w:t>Personas Inscritas al tenor del Artículo 15 de la Ley 7786 y sus reformas “Ley Sobre Estupefacientes, Sustancias Psicotrópicas, Drogas de Uso No Autorizado, Actividades Conexas, Legitimación de Capitales y Financiamiento al Terrorismo”.</w:t>
      </w:r>
    </w:p>
    <w:p w:rsidRPr="00765E36" w:rsidR="00D06CAA" w:rsidP="00D06CAA" w:rsidRDefault="00D06CAA" w14:paraId="5D9ED075" w14:textId="77777777">
      <w:pPr>
        <w:spacing w:line="240" w:lineRule="auto"/>
        <w:contextualSpacing/>
        <w:rPr>
          <w:b/>
          <w:bCs/>
          <w:sz w:val="24"/>
        </w:rPr>
      </w:pPr>
    </w:p>
    <w:p w:rsidRPr="00765E36" w:rsidR="00D06CAA" w:rsidP="00D06CAA" w:rsidRDefault="00D06CAA" w14:paraId="30B007A0" w14:textId="77777777">
      <w:pPr>
        <w:spacing w:line="240" w:lineRule="auto"/>
        <w:ind w:left="1134" w:hanging="1134"/>
        <w:contextualSpacing/>
        <w:rPr>
          <w:bCs/>
          <w:sz w:val="24"/>
        </w:rPr>
      </w:pPr>
      <w:r w:rsidRPr="00765E36">
        <w:rPr>
          <w:b/>
          <w:bCs/>
          <w:sz w:val="24"/>
        </w:rPr>
        <w:t>Asunto</w:t>
      </w:r>
      <w:r w:rsidRPr="00765E36">
        <w:rPr>
          <w:bCs/>
          <w:sz w:val="24"/>
        </w:rPr>
        <w:t>:</w:t>
      </w:r>
      <w:r w:rsidRPr="00765E36">
        <w:rPr>
          <w:bCs/>
          <w:sz w:val="24"/>
        </w:rPr>
        <w:tab/>
        <w:t>Implementar el reporte informático de omisión de cargas de información mediante la utilización de SICVECA, para la Clase de Datos 6- Legitimación de Capitales y Clase de Datos 20- Artículo 15.</w:t>
      </w:r>
    </w:p>
    <w:p w:rsidRPr="00765E36" w:rsidR="00D06CAA" w:rsidP="00D06CAA" w:rsidRDefault="00D06CAA" w14:paraId="6C2146E9" w14:textId="77777777">
      <w:pPr>
        <w:spacing w:line="240" w:lineRule="auto"/>
        <w:contextualSpacing/>
        <w:rPr>
          <w:bCs/>
          <w:sz w:val="24"/>
        </w:rPr>
      </w:pPr>
    </w:p>
    <w:p w:rsidRPr="00765E36" w:rsidR="00D06CAA" w:rsidP="00D06CAA" w:rsidRDefault="00D40A9C" w14:paraId="53AA44EA" w14:textId="0FA1FDC3">
      <w:pPr>
        <w:autoSpaceDE w:val="0"/>
        <w:autoSpaceDN w:val="0"/>
        <w:adjustRightInd w:val="0"/>
        <w:spacing w:line="240" w:lineRule="auto"/>
        <w:contextualSpacing/>
        <w:rPr>
          <w:rFonts w:cs="TimesNewRoman"/>
          <w:color w:val="000000"/>
          <w:sz w:val="24"/>
        </w:rPr>
      </w:pPr>
      <w:r w:rsidRPr="00765E36">
        <w:rPr>
          <w:rFonts w:cs="TimesNewRoman,Bold"/>
          <w:b/>
          <w:bCs/>
          <w:color w:val="000000"/>
          <w:sz w:val="24"/>
        </w:rPr>
        <w:t>El Superintendente</w:t>
      </w:r>
      <w:r w:rsidRPr="00765E36" w:rsidR="00D06CAA">
        <w:rPr>
          <w:rFonts w:cs="TimesNewRoman,Bold"/>
          <w:b/>
          <w:bCs/>
          <w:color w:val="000000"/>
          <w:sz w:val="24"/>
        </w:rPr>
        <w:t xml:space="preserve"> General de Entidades Financieras</w:t>
      </w:r>
    </w:p>
    <w:p w:rsidRPr="00765E36" w:rsidR="00D06CAA" w:rsidP="00D06CAA" w:rsidRDefault="00D06CAA" w14:paraId="4622B0FB" w14:textId="77777777">
      <w:pPr>
        <w:autoSpaceDE w:val="0"/>
        <w:autoSpaceDN w:val="0"/>
        <w:adjustRightInd w:val="0"/>
        <w:spacing w:line="240" w:lineRule="auto"/>
        <w:contextualSpacing/>
        <w:rPr>
          <w:rFonts w:cs="TimesNewRoman,BoldItalic"/>
          <w:b/>
          <w:bCs/>
          <w:iCs/>
          <w:color w:val="000000"/>
          <w:sz w:val="24"/>
        </w:rPr>
      </w:pPr>
    </w:p>
    <w:p w:rsidRPr="00765E36" w:rsidR="00D06CAA" w:rsidP="00D06CAA" w:rsidRDefault="00D06CAA" w14:paraId="3BEC5D35" w14:textId="77777777">
      <w:pPr>
        <w:autoSpaceDE w:val="0"/>
        <w:autoSpaceDN w:val="0"/>
        <w:adjustRightInd w:val="0"/>
        <w:spacing w:line="240" w:lineRule="auto"/>
        <w:contextualSpacing/>
        <w:rPr>
          <w:rFonts w:cs="TimesNewRoman,BoldItalic"/>
          <w:b/>
          <w:bCs/>
          <w:iCs/>
          <w:color w:val="000000"/>
          <w:sz w:val="24"/>
        </w:rPr>
      </w:pPr>
      <w:r w:rsidRPr="00765E36">
        <w:rPr>
          <w:rFonts w:cs="TimesNewRoman,BoldItalic"/>
          <w:b/>
          <w:bCs/>
          <w:iCs/>
          <w:color w:val="000000"/>
          <w:sz w:val="24"/>
        </w:rPr>
        <w:t>Considerando que:</w:t>
      </w:r>
    </w:p>
    <w:p w:rsidRPr="00765E36" w:rsidR="00D06CAA" w:rsidP="00D06CAA" w:rsidRDefault="00D06CAA" w14:paraId="75C093CA" w14:textId="77777777">
      <w:pPr>
        <w:autoSpaceDE w:val="0"/>
        <w:autoSpaceDN w:val="0"/>
        <w:adjustRightInd w:val="0"/>
        <w:spacing w:line="240" w:lineRule="auto"/>
        <w:contextualSpacing/>
        <w:rPr>
          <w:rFonts w:cs="TimesNewRoman,BoldItalic"/>
          <w:b/>
          <w:bCs/>
          <w:iCs/>
          <w:color w:val="000000"/>
          <w:sz w:val="24"/>
        </w:rPr>
      </w:pPr>
    </w:p>
    <w:p w:rsidRPr="00765E36" w:rsidR="00D06CAA" w:rsidP="00D06CAA" w:rsidRDefault="00D06CAA" w14:paraId="77F2AEE8" w14:textId="77777777">
      <w:pPr>
        <w:pStyle w:val="Prrafodelista"/>
        <w:numPr>
          <w:ilvl w:val="0"/>
          <w:numId w:val="4"/>
        </w:numPr>
        <w:ind w:left="567" w:hanging="567"/>
        <w:jc w:val="both"/>
        <w:rPr>
          <w:rFonts w:ascii="Cambria" w:hAnsi="Cambria"/>
        </w:rPr>
      </w:pPr>
      <w:r w:rsidRPr="00765E36">
        <w:rPr>
          <w:rFonts w:ascii="Cambria" w:hAnsi="Cambria"/>
        </w:rPr>
        <w:t>El Consejo Nacional de Supervisión del Sistema Financiero (</w:t>
      </w:r>
      <w:proofErr w:type="spellStart"/>
      <w:r w:rsidRPr="00765E36">
        <w:rPr>
          <w:rFonts w:ascii="Cambria" w:hAnsi="Cambria"/>
        </w:rPr>
        <w:t>Conassif</w:t>
      </w:r>
      <w:proofErr w:type="spellEnd"/>
      <w:r w:rsidRPr="00765E36">
        <w:rPr>
          <w:rFonts w:ascii="Cambria" w:hAnsi="Cambria"/>
        </w:rPr>
        <w:t xml:space="preserve">), mediante artículo 12 de la sesión 893-2010, celebrada el 3 de diciembre del 2010 y publicado en el diario oficial “La Gaceta” N° 248, del 22 de diciembre del 2010, aprobó la </w:t>
      </w:r>
      <w:r w:rsidRPr="00765E36">
        <w:rPr>
          <w:rFonts w:ascii="Cambria" w:hAnsi="Cambria"/>
          <w:i/>
        </w:rPr>
        <w:t>Normativa para el cumplimiento de la Ley Nº 8204, Acuerdo Sugef 12-10</w:t>
      </w:r>
      <w:r w:rsidRPr="00765E36">
        <w:rPr>
          <w:rFonts w:ascii="Cambria" w:hAnsi="Cambria"/>
        </w:rPr>
        <w:t>.</w:t>
      </w:r>
    </w:p>
    <w:p w:rsidRPr="00765E36" w:rsidR="00D06CAA" w:rsidP="00D06CAA" w:rsidRDefault="00D06CAA" w14:paraId="342CE44E" w14:textId="77777777">
      <w:pPr>
        <w:pStyle w:val="Prrafodelista"/>
        <w:ind w:left="567" w:hanging="567"/>
        <w:jc w:val="both"/>
        <w:rPr>
          <w:rFonts w:ascii="Cambria" w:hAnsi="Cambria"/>
        </w:rPr>
      </w:pPr>
    </w:p>
    <w:p w:rsidRPr="00765E36" w:rsidR="00D06CAA" w:rsidP="00D06CAA" w:rsidRDefault="00D06CAA" w14:paraId="393F5F13" w14:textId="77777777">
      <w:pPr>
        <w:pStyle w:val="Prrafodelista"/>
        <w:numPr>
          <w:ilvl w:val="0"/>
          <w:numId w:val="4"/>
        </w:numPr>
        <w:ind w:left="567" w:hanging="567"/>
        <w:jc w:val="both"/>
        <w:rPr>
          <w:rFonts w:ascii="Cambria" w:hAnsi="Cambria"/>
        </w:rPr>
      </w:pPr>
      <w:r w:rsidRPr="00765E36">
        <w:rPr>
          <w:rFonts w:ascii="Cambria" w:hAnsi="Cambria"/>
        </w:rPr>
        <w:t xml:space="preserve">El literal b) del Artículo 131, de la </w:t>
      </w:r>
      <w:r w:rsidRPr="00765E36">
        <w:rPr>
          <w:rFonts w:ascii="Cambria" w:hAnsi="Cambria"/>
          <w:i/>
        </w:rPr>
        <w:t>Ley Orgánica del Banco Central de Costa Rica, Ley 7558</w:t>
      </w:r>
      <w:r w:rsidRPr="00765E36">
        <w:rPr>
          <w:rFonts w:ascii="Cambria" w:hAnsi="Cambria"/>
        </w:rPr>
        <w:t xml:space="preserve">, establece que corresponde al Superintendente ejecutar los acuerdos del </w:t>
      </w:r>
      <w:proofErr w:type="spellStart"/>
      <w:r w:rsidRPr="00765E36">
        <w:rPr>
          <w:rFonts w:ascii="Cambria" w:hAnsi="Cambria"/>
        </w:rPr>
        <w:t>Conassif</w:t>
      </w:r>
      <w:proofErr w:type="spellEnd"/>
      <w:r w:rsidRPr="00765E36">
        <w:rPr>
          <w:rFonts w:ascii="Cambria" w:hAnsi="Cambria"/>
        </w:rPr>
        <w:t xml:space="preserve"> y las demás funciones que le señale la ley.</w:t>
      </w:r>
    </w:p>
    <w:p w:rsidRPr="00765E36" w:rsidR="00D06CAA" w:rsidP="00D06CAA" w:rsidRDefault="00D06CAA" w14:paraId="4F2F3478" w14:textId="77777777">
      <w:pPr>
        <w:pStyle w:val="Prrafodelista"/>
        <w:ind w:left="567" w:hanging="567"/>
        <w:jc w:val="both"/>
        <w:rPr>
          <w:rFonts w:ascii="Cambria" w:hAnsi="Cambria"/>
        </w:rPr>
      </w:pPr>
    </w:p>
    <w:p w:rsidRPr="00765E36" w:rsidR="00D06CAA" w:rsidP="00D06CAA" w:rsidRDefault="00D06CAA" w14:paraId="60FCADE4" w14:textId="77777777">
      <w:pPr>
        <w:pStyle w:val="Prrafodelista"/>
        <w:numPr>
          <w:ilvl w:val="0"/>
          <w:numId w:val="4"/>
        </w:numPr>
        <w:ind w:left="567" w:hanging="567"/>
        <w:jc w:val="both"/>
        <w:rPr>
          <w:rFonts w:ascii="Cambria" w:hAnsi="Cambria"/>
        </w:rPr>
      </w:pPr>
      <w:r w:rsidRPr="00765E36">
        <w:rPr>
          <w:rFonts w:ascii="Cambria" w:hAnsi="Cambria"/>
        </w:rPr>
        <w:t>El artículo 1 del Acuerdo Sugef 12-10 señala que la Superintendencia General de Entidades Financieras (Sugef) podrá emitir lineamientos o directrices diferenciados, de acuerdo con los riesgos y prácticas de legitimación de capitales y financiamiento al terrorismo, estableciendo medidas de debida diligencia simplificadas o reforzadas, según sea el caso. Asimismo, una vez adoptado cualquier lineamiento o directriz diferenciado, la Superintendencia lo remitirá inmediatamente al resto de Superintendencias y al CONASSIF.</w:t>
      </w:r>
    </w:p>
    <w:p w:rsidRPr="00765E36" w:rsidR="00D06CAA" w:rsidP="00D06CAA" w:rsidRDefault="00D06CAA" w14:paraId="58A7FCE9" w14:textId="77777777">
      <w:pPr>
        <w:pStyle w:val="Prrafodelista"/>
        <w:ind w:left="567" w:hanging="567"/>
        <w:jc w:val="both"/>
        <w:rPr>
          <w:rFonts w:ascii="Cambria" w:hAnsi="Cambria"/>
        </w:rPr>
      </w:pPr>
    </w:p>
    <w:p w:rsidRPr="00765E36" w:rsidR="00D06CAA" w:rsidP="00D06CAA" w:rsidRDefault="00D06CAA" w14:paraId="3F9E64DD" w14:textId="77777777">
      <w:pPr>
        <w:pStyle w:val="Prrafodelista"/>
        <w:numPr>
          <w:ilvl w:val="0"/>
          <w:numId w:val="4"/>
        </w:numPr>
        <w:ind w:left="567" w:hanging="567"/>
        <w:jc w:val="both"/>
        <w:rPr>
          <w:rFonts w:ascii="Cambria" w:hAnsi="Cambria"/>
        </w:rPr>
      </w:pPr>
      <w:r w:rsidRPr="00765E36">
        <w:rPr>
          <w:rFonts w:ascii="Cambria" w:hAnsi="Cambria"/>
        </w:rPr>
        <w:lastRenderedPageBreak/>
        <w:t xml:space="preserve">La Sugef utiliza el Sistema de Captura, Verificación y Carga de Datos, conocido por sus siglas como SICVECA, para la recepción de los reportes obligatorios que las entidades financieras y sujetos obligados supervisados deben remitir periódicamente. En el Manual de Información SICVECA, publicado en el sitio web de la Superintendencia, se detallan los datos y campos que debe contener cada reporte. </w:t>
      </w:r>
    </w:p>
    <w:p w:rsidRPr="00765E36" w:rsidR="00D06CAA" w:rsidP="00D06CAA" w:rsidRDefault="00D06CAA" w14:paraId="3A90538B" w14:textId="77777777">
      <w:pPr>
        <w:pStyle w:val="Prrafodelista"/>
        <w:ind w:left="567" w:hanging="567"/>
        <w:jc w:val="both"/>
        <w:rPr>
          <w:rFonts w:ascii="Cambria" w:hAnsi="Cambria"/>
        </w:rPr>
      </w:pPr>
    </w:p>
    <w:p w:rsidRPr="00765E36" w:rsidR="00D06CAA" w:rsidP="00D06CAA" w:rsidRDefault="00D06CAA" w14:paraId="4DE1CC7E" w14:textId="77777777">
      <w:pPr>
        <w:pStyle w:val="Prrafodelista"/>
        <w:numPr>
          <w:ilvl w:val="0"/>
          <w:numId w:val="4"/>
        </w:numPr>
        <w:ind w:left="567" w:hanging="567"/>
        <w:jc w:val="both"/>
        <w:rPr>
          <w:rFonts w:ascii="Cambria" w:hAnsi="Cambria"/>
        </w:rPr>
      </w:pPr>
      <w:r w:rsidRPr="00765E36">
        <w:rPr>
          <w:rFonts w:ascii="Cambria" w:hAnsi="Cambria"/>
        </w:rPr>
        <w:t>El Artículo 21. Remisión de Información a las Superintendencias del Acuerdo Sugef 12-10, dispone que los sujetos fiscalizados deben reportar las transacciones realizadas por sus clientes en efectivo o mediante transferencias desde o hacia el exterior durante el mes calendario, dentro de los 20 días naturales posteriores al cierre de cada mes, por el medio y forma definido. En el caso de los sujetos obligados inscritos conforme el artículo 15 de la Ley 7786, deben reportar las transacciones según los lineamientos emitidos, en los términos y condiciones determinados por la Sugef.</w:t>
      </w:r>
    </w:p>
    <w:p w:rsidRPr="00765E36" w:rsidR="00D06CAA" w:rsidP="00D06CAA" w:rsidRDefault="00D06CAA" w14:paraId="6A6EE52C" w14:textId="77777777">
      <w:pPr>
        <w:pStyle w:val="Prrafodelista"/>
        <w:ind w:left="567" w:hanging="567"/>
        <w:jc w:val="both"/>
        <w:rPr>
          <w:rFonts w:ascii="Cambria" w:hAnsi="Cambria"/>
        </w:rPr>
      </w:pPr>
    </w:p>
    <w:p w:rsidRPr="00765E36" w:rsidR="00D06CAA" w:rsidP="00D06CAA" w:rsidRDefault="00D06CAA" w14:paraId="3B5ABC4D" w14:textId="77777777">
      <w:pPr>
        <w:pStyle w:val="Prrafodelista"/>
        <w:numPr>
          <w:ilvl w:val="0"/>
          <w:numId w:val="4"/>
        </w:numPr>
        <w:ind w:left="567" w:hanging="567"/>
        <w:jc w:val="both"/>
        <w:rPr>
          <w:rFonts w:ascii="Cambria" w:hAnsi="Cambria"/>
        </w:rPr>
      </w:pPr>
      <w:r w:rsidRPr="00765E36">
        <w:rPr>
          <w:rFonts w:ascii="Cambria" w:hAnsi="Cambria"/>
        </w:rPr>
        <w:t xml:space="preserve">La Circular Externa 012-2006, del 31 de mayo de 2006, dispuso que las entidades financieras que no realizan operaciones en el mes de reporte deben informarlo por escrito a la Sugef dentro del plazo establecido en el Acuerdo Sugef 12-10. Por su parte, en el lineamiento f), apartado B), de la Resolución Sugef -R-SGF-1318-2017, del 8 de mayo de 2017, se dispone que los sujetos obligados inscritos en la Sugef conforme con el artículo 15 de la Ley 7786, deben remitir los archivos a través del SICVECA, en el plazo de 20 días naturales después del cierre de cada mes, y cuando no se registren operaciones en el periodo de reporte, los representantes o personas autorizadas ante la Sugef tendrán que comunicarlo, en el mismo plazo, al correo electrónico </w:t>
      </w:r>
      <w:hyperlink w:history="1" r:id="rId12">
        <w:r w:rsidRPr="00765E36">
          <w:rPr>
            <w:rStyle w:val="Hipervnculo"/>
            <w:rFonts w:ascii="Cambria" w:hAnsi="Cambria"/>
          </w:rPr>
          <w:t>notificacionsicvecaLCFT@sugef.fi.cr</w:t>
        </w:r>
      </w:hyperlink>
      <w:r w:rsidRPr="00765E36">
        <w:rPr>
          <w:rFonts w:ascii="Cambria" w:hAnsi="Cambria"/>
        </w:rPr>
        <w:t xml:space="preserve">. </w:t>
      </w:r>
    </w:p>
    <w:p w:rsidRPr="00765E36" w:rsidR="00D06CAA" w:rsidP="00D06CAA" w:rsidRDefault="00D06CAA" w14:paraId="22F69E5B" w14:textId="77777777">
      <w:pPr>
        <w:pStyle w:val="Prrafodelista"/>
        <w:ind w:left="567" w:hanging="567"/>
        <w:jc w:val="both"/>
        <w:rPr>
          <w:rFonts w:ascii="Cambria" w:hAnsi="Cambria"/>
        </w:rPr>
      </w:pPr>
    </w:p>
    <w:p w:rsidRPr="00765E36" w:rsidR="00D06CAA" w:rsidP="00D06CAA" w:rsidRDefault="00D06CAA" w14:paraId="6A25CE5D" w14:textId="77777777">
      <w:pPr>
        <w:pStyle w:val="Prrafodelista"/>
        <w:numPr>
          <w:ilvl w:val="0"/>
          <w:numId w:val="4"/>
        </w:numPr>
        <w:ind w:left="567" w:hanging="567"/>
        <w:jc w:val="both"/>
        <w:rPr>
          <w:rFonts w:ascii="Cambria" w:hAnsi="Cambria"/>
        </w:rPr>
      </w:pPr>
      <w:r w:rsidRPr="00765E36">
        <w:rPr>
          <w:rFonts w:ascii="Cambria" w:hAnsi="Cambria"/>
        </w:rPr>
        <w:t xml:space="preserve">Se considera oportuno eliminar el envío de correos u oficios a la Sugef, como medio utilizado por las entidades financieras y sujetos obligados para comunicar la no realización de operaciones, en acatamiento de lo dispuesto en el Acuerdo Sugef 12-10, lineamientos, circulares y manual de información SICVECA. </w:t>
      </w:r>
    </w:p>
    <w:p w:rsidRPr="00765E36" w:rsidR="00D06CAA" w:rsidP="00D06CAA" w:rsidRDefault="00D06CAA" w14:paraId="476AC6A9" w14:textId="77777777">
      <w:pPr>
        <w:pStyle w:val="Prrafodelista"/>
        <w:ind w:left="567" w:hanging="567"/>
        <w:jc w:val="both"/>
        <w:rPr>
          <w:rFonts w:ascii="Cambria" w:hAnsi="Cambria"/>
        </w:rPr>
      </w:pPr>
    </w:p>
    <w:p w:rsidRPr="00765E36" w:rsidR="00D06CAA" w:rsidP="00D06CAA" w:rsidRDefault="00D06CAA" w14:paraId="66542B6B" w14:textId="77777777">
      <w:pPr>
        <w:pStyle w:val="Prrafodelista"/>
        <w:numPr>
          <w:ilvl w:val="0"/>
          <w:numId w:val="4"/>
        </w:numPr>
        <w:ind w:left="567" w:hanging="567"/>
        <w:jc w:val="both"/>
        <w:rPr>
          <w:rFonts w:ascii="Cambria" w:hAnsi="Cambria"/>
        </w:rPr>
      </w:pPr>
      <w:r w:rsidRPr="00765E36">
        <w:rPr>
          <w:rFonts w:ascii="Cambria" w:hAnsi="Cambria"/>
        </w:rPr>
        <w:t xml:space="preserve">Se desarrolló una solución informática en la Extranet de SICVECA, en la cual se podrá comunicar el no registro de operaciones en el período de reporte, facilitando a las entidades financieras, sujetos obligados, y a la Superintendencia, la automatización de los controles sobre el suministro de la información, en la forma y plazos prevenidos. Esta opción será el único medio aceptado para el envío de los reportes de omisión de cargas para la clase de Datos 6- Legitimación de Capitales y Clase de Datos 20- Artículo 15, los cuales deberán ser firmados y validados contra el “servicio de registro y actualización de roles”. </w:t>
      </w:r>
    </w:p>
    <w:p w:rsidRPr="00765E36" w:rsidR="00D06CAA" w:rsidP="00D06CAA" w:rsidRDefault="00D06CAA" w14:paraId="46128289" w14:textId="77777777">
      <w:pPr>
        <w:pStyle w:val="Prrafodelista"/>
        <w:ind w:left="567" w:hanging="567"/>
        <w:jc w:val="both"/>
        <w:rPr>
          <w:rFonts w:ascii="Cambria" w:hAnsi="Cambria"/>
        </w:rPr>
      </w:pPr>
    </w:p>
    <w:p w:rsidRPr="00765E36" w:rsidR="00D06CAA" w:rsidP="00D06CAA" w:rsidRDefault="00D06CAA" w14:paraId="4F26935E" w14:textId="77777777">
      <w:pPr>
        <w:pStyle w:val="Prrafodelista"/>
        <w:numPr>
          <w:ilvl w:val="0"/>
          <w:numId w:val="4"/>
        </w:numPr>
        <w:ind w:left="567" w:hanging="567"/>
        <w:jc w:val="both"/>
        <w:rPr>
          <w:rFonts w:ascii="Cambria" w:hAnsi="Cambria"/>
        </w:rPr>
      </w:pPr>
      <w:r w:rsidRPr="00765E36">
        <w:rPr>
          <w:rFonts w:ascii="Cambria" w:hAnsi="Cambria"/>
        </w:rPr>
        <w:t xml:space="preserve">En la página web de la Superintendencia se conservan los videos explicativos del proceso a seguir (en la clase de datos de Legitimación de Capitales y Artículo 15): </w:t>
      </w:r>
      <w:hyperlink w:history="1" r:id="rId13">
        <w:r w:rsidRPr="00765E36">
          <w:rPr>
            <w:rStyle w:val="Hipervnculo"/>
            <w:rFonts w:ascii="Cambria" w:hAnsi="Cambria"/>
          </w:rPr>
          <w:t>https://www.sugef.fi.cr/informacion_relevante/manuales/manual_de_informacion_sicveca.aspx</w:t>
        </w:r>
      </w:hyperlink>
      <w:r w:rsidRPr="00765E36">
        <w:rPr>
          <w:rFonts w:ascii="Cambria" w:hAnsi="Cambria"/>
        </w:rPr>
        <w:t>.</w:t>
      </w:r>
    </w:p>
    <w:p w:rsidRPr="00765E36" w:rsidR="00D06CAA" w:rsidP="00D06CAA" w:rsidRDefault="00D06CAA" w14:paraId="15F04F93" w14:textId="77777777">
      <w:pPr>
        <w:pStyle w:val="Prrafodelista"/>
        <w:ind w:left="567" w:hanging="567"/>
        <w:jc w:val="both"/>
        <w:rPr>
          <w:rFonts w:ascii="Cambria" w:hAnsi="Cambria"/>
        </w:rPr>
      </w:pPr>
    </w:p>
    <w:p w:rsidRPr="00765E36" w:rsidR="00D06CAA" w:rsidP="00D06CAA" w:rsidRDefault="00D06CAA" w14:paraId="3F296663" w14:textId="77777777">
      <w:pPr>
        <w:pStyle w:val="Prrafodelista"/>
        <w:numPr>
          <w:ilvl w:val="0"/>
          <w:numId w:val="4"/>
        </w:numPr>
        <w:ind w:left="567" w:hanging="567"/>
        <w:jc w:val="both"/>
        <w:rPr>
          <w:rFonts w:ascii="Cambria" w:hAnsi="Cambria"/>
        </w:rPr>
      </w:pPr>
      <w:r w:rsidRPr="00765E36">
        <w:rPr>
          <w:rFonts w:ascii="Cambria" w:hAnsi="Cambria"/>
        </w:rPr>
        <w:t xml:space="preserve">Los cambios efectuados en la Extranet del SICVECA no requieren que las entidades financieras y sujetos obligados realicen ajustes en sus sistemas. </w:t>
      </w:r>
    </w:p>
    <w:p w:rsidRPr="00765E36" w:rsidR="00D06CAA" w:rsidP="00D06CAA" w:rsidRDefault="00D06CAA" w14:paraId="3249AF58" w14:textId="77777777">
      <w:pPr>
        <w:autoSpaceDE w:val="0"/>
        <w:autoSpaceDN w:val="0"/>
        <w:adjustRightInd w:val="0"/>
        <w:spacing w:line="240" w:lineRule="auto"/>
        <w:contextualSpacing/>
        <w:rPr>
          <w:rFonts w:cs="TimesNewRoman,BoldItalic"/>
          <w:b/>
          <w:bCs/>
          <w:iCs/>
          <w:color w:val="000000"/>
          <w:sz w:val="24"/>
        </w:rPr>
      </w:pPr>
    </w:p>
    <w:p w:rsidRPr="00765E36" w:rsidR="00D06CAA" w:rsidP="00D06CAA" w:rsidRDefault="00D06CAA" w14:paraId="4FD89278" w14:textId="77777777">
      <w:pPr>
        <w:autoSpaceDE w:val="0"/>
        <w:autoSpaceDN w:val="0"/>
        <w:adjustRightInd w:val="0"/>
        <w:spacing w:line="240" w:lineRule="auto"/>
        <w:contextualSpacing/>
        <w:rPr>
          <w:rFonts w:cs="TimesNewRoman,BoldItalic"/>
          <w:b/>
          <w:bCs/>
          <w:iCs/>
          <w:color w:val="000000"/>
          <w:sz w:val="24"/>
        </w:rPr>
      </w:pPr>
      <w:r w:rsidRPr="00765E36">
        <w:rPr>
          <w:rFonts w:cs="TimesNewRoman,BoldItalic"/>
          <w:b/>
          <w:bCs/>
          <w:iCs/>
          <w:color w:val="000000"/>
          <w:sz w:val="24"/>
        </w:rPr>
        <w:t xml:space="preserve">Dispone:  </w:t>
      </w:r>
    </w:p>
    <w:p w:rsidRPr="00765E36" w:rsidR="00D06CAA" w:rsidP="00D06CAA" w:rsidRDefault="00D06CAA" w14:paraId="4277D4B8" w14:textId="77777777">
      <w:pPr>
        <w:autoSpaceDE w:val="0"/>
        <w:autoSpaceDN w:val="0"/>
        <w:adjustRightInd w:val="0"/>
        <w:spacing w:line="240" w:lineRule="auto"/>
        <w:contextualSpacing/>
        <w:rPr>
          <w:rFonts w:cs="TimesNewRoman,BoldItalic"/>
          <w:b/>
          <w:bCs/>
          <w:iCs/>
          <w:color w:val="000000"/>
          <w:sz w:val="24"/>
        </w:rPr>
      </w:pPr>
    </w:p>
    <w:p w:rsidRPr="007730DA" w:rsidR="007730DA" w:rsidP="007730DA" w:rsidRDefault="007730DA" w14:paraId="4F540ABF" w14:textId="19029D0E">
      <w:pPr>
        <w:pStyle w:val="Prrafodelista"/>
        <w:numPr>
          <w:ilvl w:val="0"/>
          <w:numId w:val="5"/>
        </w:numPr>
        <w:ind w:left="567" w:hanging="567"/>
        <w:jc w:val="both"/>
        <w:rPr>
          <w:rFonts w:ascii="Cambria" w:hAnsi="Cambria" w:eastAsia="MS Mincho"/>
          <w:iCs/>
          <w:color w:val="000000" w:themeColor="text1"/>
        </w:rPr>
      </w:pPr>
      <w:r w:rsidRPr="001B3D4F">
        <w:rPr>
          <w:rFonts w:ascii="Cambria" w:hAnsi="Cambria" w:eastAsia="MS Mincho"/>
          <w:iCs/>
          <w:color w:val="000000" w:themeColor="text1"/>
        </w:rPr>
        <w:t>Modificar</w:t>
      </w:r>
      <w:r w:rsidRPr="001B3D4F">
        <w:rPr>
          <w:rFonts w:ascii="Cambria" w:hAnsi="Cambria" w:eastAsia="MS Mincho"/>
          <w:b/>
          <w:iCs/>
          <w:color w:val="000000" w:themeColor="text1"/>
        </w:rPr>
        <w:t xml:space="preserve"> </w:t>
      </w:r>
      <w:r w:rsidRPr="001B3D4F">
        <w:rPr>
          <w:rFonts w:ascii="Cambria" w:hAnsi="Cambria"/>
        </w:rPr>
        <w:t>el ú</w:t>
      </w:r>
      <w:r>
        <w:rPr>
          <w:rFonts w:ascii="Cambria" w:hAnsi="Cambria"/>
        </w:rPr>
        <w:t>ltimo párrafo del literal f) inciso B),  de los Lineamientos, Resolución SUGEF-R-SGF-1318-2017, del 8 de mayo de 2017, para que se lea de la siguiente manera:</w:t>
      </w:r>
    </w:p>
    <w:p w:rsidR="00D06CAA" w:rsidP="007730DA" w:rsidRDefault="00D06CAA" w14:paraId="4B63C7A9" w14:textId="1988C1B2">
      <w:pPr>
        <w:pStyle w:val="Prrafodelista"/>
        <w:ind w:left="567"/>
        <w:jc w:val="both"/>
        <w:rPr>
          <w:rFonts w:ascii="Cambria" w:hAnsi="Cambria" w:eastAsia="MS Mincho"/>
          <w:i/>
          <w:iCs/>
          <w:color w:val="000000" w:themeColor="text1"/>
        </w:rPr>
      </w:pPr>
    </w:p>
    <w:p w:rsidR="007730DA" w:rsidP="007730DA" w:rsidRDefault="000E5CDE" w14:paraId="614A2DC3" w14:textId="65C503CC">
      <w:pPr>
        <w:pStyle w:val="Prrafodelista"/>
        <w:ind w:left="567"/>
        <w:jc w:val="both"/>
        <w:rPr>
          <w:rFonts w:ascii="Cambria" w:hAnsi="Cambria"/>
          <w:i/>
          <w:iCs/>
          <w:color w:val="000000"/>
        </w:rPr>
      </w:pPr>
      <w:r>
        <w:rPr>
          <w:rFonts w:ascii="Cambria" w:hAnsi="Cambria"/>
          <w:i/>
          <w:iCs/>
          <w:color w:val="000000"/>
        </w:rPr>
        <w:t>“</w:t>
      </w:r>
      <w:r w:rsidR="007730DA">
        <w:rPr>
          <w:rFonts w:ascii="Cambria" w:hAnsi="Cambria"/>
          <w:i/>
          <w:iCs/>
          <w:color w:val="000000"/>
        </w:rPr>
        <w:t>B. Emitir lineamientos aplicables a las personas físicas y jurídicas inscritas por realizar alguna de las actividades que se describen en el artículo 15 de la Ley 7786:</w:t>
      </w:r>
    </w:p>
    <w:p w:rsidR="007730DA" w:rsidP="007730DA" w:rsidRDefault="007730DA" w14:paraId="3CD44AE6" w14:textId="77777777">
      <w:pPr>
        <w:pStyle w:val="Prrafodelista"/>
        <w:ind w:left="567"/>
        <w:jc w:val="both"/>
        <w:rPr>
          <w:rFonts w:ascii="Cambria" w:hAnsi="Cambria"/>
          <w:i/>
          <w:iCs/>
          <w:color w:val="000000"/>
        </w:rPr>
      </w:pPr>
    </w:p>
    <w:p w:rsidR="007730DA" w:rsidP="007730DA" w:rsidRDefault="007730DA" w14:paraId="0BF51514" w14:textId="301B579E">
      <w:pPr>
        <w:pStyle w:val="Prrafodelista"/>
        <w:ind w:left="567"/>
        <w:jc w:val="both"/>
      </w:pPr>
      <w:r>
        <w:t>[….]</w:t>
      </w:r>
    </w:p>
    <w:p w:rsidR="007730DA" w:rsidP="007730DA" w:rsidRDefault="007730DA" w14:paraId="11DB9622" w14:textId="77777777">
      <w:pPr>
        <w:pStyle w:val="Prrafodelista"/>
        <w:ind w:left="567"/>
        <w:jc w:val="both"/>
      </w:pPr>
    </w:p>
    <w:p w:rsidR="007730DA" w:rsidP="007730DA" w:rsidRDefault="007730DA" w14:paraId="7933C671" w14:textId="77777777">
      <w:pPr>
        <w:pStyle w:val="Prrafodelista"/>
        <w:ind w:left="567"/>
        <w:jc w:val="both"/>
        <w:rPr>
          <w:rFonts w:ascii="Cambria" w:hAnsi="Cambria"/>
          <w:i/>
          <w:iCs/>
          <w:color w:val="000000"/>
        </w:rPr>
      </w:pPr>
      <w:r w:rsidRPr="007730DA">
        <w:rPr>
          <w:rFonts w:ascii="Cambria" w:hAnsi="Cambria"/>
          <w:i/>
          <w:iCs/>
          <w:color w:val="000000"/>
        </w:rPr>
        <w:t>f) A efecto de cumplir con lo señalado en el artículo 21 de la “Normativa para el Cumplimiento de la Ley 8204”, que dispone que las personas físicas y jurídicas obligadas por el artículo 15 de la Ley 7786 deben reportar las transacciones según los lineamientos que determine la SUGEF, se establece el tipo de información a remitir:</w:t>
      </w:r>
    </w:p>
    <w:p w:rsidRPr="007730DA" w:rsidR="001B3D4F" w:rsidP="007730DA" w:rsidRDefault="001B3D4F" w14:paraId="79F259E2" w14:textId="77777777">
      <w:pPr>
        <w:pStyle w:val="Prrafodelista"/>
        <w:ind w:left="567"/>
        <w:jc w:val="both"/>
        <w:rPr>
          <w:rFonts w:ascii="Cambria" w:hAnsi="Cambria"/>
          <w:i/>
          <w:iCs/>
          <w:color w:val="000000"/>
        </w:rPr>
      </w:pPr>
    </w:p>
    <w:p w:rsidR="007730DA" w:rsidP="001B3D4F" w:rsidRDefault="007730DA" w14:paraId="5250D71C" w14:textId="77777777">
      <w:pPr>
        <w:ind w:firstLine="567"/>
        <w:rPr>
          <w:i/>
          <w:iCs/>
        </w:rPr>
      </w:pPr>
      <w:r>
        <w:rPr>
          <w:i/>
          <w:iCs/>
        </w:rPr>
        <w:t>[…]</w:t>
      </w:r>
    </w:p>
    <w:p w:rsidR="001B3D4F" w:rsidP="007730DA" w:rsidRDefault="001B3D4F" w14:paraId="616F2212" w14:textId="77777777">
      <w:pPr>
        <w:pStyle w:val="Prrafodelista"/>
        <w:ind w:left="567"/>
        <w:jc w:val="both"/>
        <w:rPr>
          <w:rFonts w:ascii="Cambria" w:hAnsi="Cambria"/>
          <w:i/>
          <w:iCs/>
          <w:color w:val="000000"/>
        </w:rPr>
      </w:pPr>
    </w:p>
    <w:p w:rsidR="007730DA" w:rsidP="007730DA" w:rsidRDefault="007730DA" w14:paraId="4C879A5E" w14:textId="03FCEA60">
      <w:pPr>
        <w:pStyle w:val="Prrafodelista"/>
        <w:ind w:left="567"/>
        <w:jc w:val="both"/>
        <w:rPr>
          <w:rFonts w:ascii="Cambria" w:hAnsi="Cambria"/>
          <w:i/>
          <w:iCs/>
          <w:color w:val="000000"/>
        </w:rPr>
      </w:pPr>
      <w:r>
        <w:rPr>
          <w:rFonts w:ascii="Cambria" w:hAnsi="Cambria"/>
          <w:i/>
          <w:iCs/>
          <w:color w:val="000000"/>
        </w:rPr>
        <w:t>Según lo que dispone el artículo 21 de la normativa vigente, el plazo para la remisión de los archivos antes mencionados, a través del SICVECA, es de 20 días naturales después del cierre de cada mes.</w:t>
      </w:r>
      <w:r w:rsidR="000E5CDE">
        <w:rPr>
          <w:rFonts w:ascii="Cambria" w:hAnsi="Cambria"/>
          <w:i/>
          <w:iCs/>
          <w:color w:val="000000"/>
        </w:rPr>
        <w:t>”</w:t>
      </w:r>
    </w:p>
    <w:p w:rsidRPr="00765E36" w:rsidR="007730DA" w:rsidP="007730DA" w:rsidRDefault="007730DA" w14:paraId="21C582B7" w14:textId="77777777">
      <w:pPr>
        <w:pStyle w:val="Prrafodelista"/>
        <w:ind w:left="567"/>
        <w:jc w:val="both"/>
        <w:rPr>
          <w:rFonts w:ascii="Cambria" w:hAnsi="Cambria" w:eastAsia="MS Mincho"/>
          <w:iCs/>
          <w:color w:val="000000" w:themeColor="text1"/>
        </w:rPr>
      </w:pPr>
    </w:p>
    <w:p w:rsidRPr="007730DA" w:rsidR="00BE2EB0" w:rsidP="00BE2EB0" w:rsidRDefault="00BE2EB0" w14:paraId="3210103F" w14:textId="40C5A214">
      <w:pPr>
        <w:pStyle w:val="Prrafodelista"/>
        <w:numPr>
          <w:ilvl w:val="0"/>
          <w:numId w:val="5"/>
        </w:numPr>
        <w:ind w:left="567" w:hanging="567"/>
        <w:jc w:val="both"/>
        <w:rPr>
          <w:rFonts w:ascii="Cambria" w:hAnsi="Cambria" w:eastAsia="MS Mincho"/>
          <w:iCs/>
          <w:color w:val="000000" w:themeColor="text1"/>
        </w:rPr>
      </w:pPr>
      <w:r>
        <w:rPr>
          <w:rFonts w:ascii="Cambria" w:hAnsi="Cambria"/>
        </w:rPr>
        <w:t>Modificar el apartado D) según se lee a continuación:</w:t>
      </w:r>
    </w:p>
    <w:p w:rsidRPr="007730DA" w:rsidR="00BE2EB0" w:rsidP="00BE2EB0" w:rsidRDefault="00BE2EB0" w14:paraId="2D4C0AEB" w14:textId="77777777">
      <w:pPr>
        <w:rPr>
          <w:rFonts w:eastAsia="MS Mincho"/>
          <w:iCs/>
          <w:color w:val="000000" w:themeColor="text1"/>
          <w:sz w:val="24"/>
        </w:rPr>
      </w:pPr>
    </w:p>
    <w:p w:rsidR="00BE2EB0" w:rsidP="00BE2EB0" w:rsidRDefault="000E5CDE" w14:paraId="594B9E87" w14:textId="3DB6FDA8">
      <w:pPr>
        <w:pStyle w:val="Prrafodelista"/>
        <w:ind w:left="567"/>
        <w:jc w:val="both"/>
        <w:rPr>
          <w:rFonts w:ascii="Cambria" w:hAnsi="Cambria"/>
          <w:i/>
          <w:iCs/>
          <w:color w:val="000000"/>
        </w:rPr>
      </w:pPr>
      <w:r>
        <w:rPr>
          <w:rFonts w:ascii="Cambria" w:hAnsi="Cambria"/>
          <w:i/>
          <w:iCs/>
          <w:color w:val="000000"/>
        </w:rPr>
        <w:t>“</w:t>
      </w:r>
      <w:r w:rsidR="00500706">
        <w:rPr>
          <w:rFonts w:ascii="Cambria" w:hAnsi="Cambria"/>
          <w:i/>
          <w:iCs/>
          <w:color w:val="000000"/>
        </w:rPr>
        <w:t>D</w:t>
      </w:r>
      <w:r w:rsidRPr="001B3D4F" w:rsidR="00BE2EB0">
        <w:rPr>
          <w:rFonts w:ascii="Cambria" w:hAnsi="Cambria"/>
          <w:i/>
          <w:iCs/>
          <w:color w:val="000000"/>
        </w:rPr>
        <w:t>) Deróguese lo dispuesto en la Circular Externa SUGEF 004-2009 del 27 de enero de 2009, Circular Externa SGF-3646-2015 del 23 de diciembre de 2015, y Circular Externa 12-2006 del 31 de mayo del 2006.</w:t>
      </w:r>
      <w:r>
        <w:rPr>
          <w:rFonts w:ascii="Cambria" w:hAnsi="Cambria"/>
          <w:i/>
          <w:iCs/>
          <w:color w:val="000000"/>
        </w:rPr>
        <w:t>”</w:t>
      </w:r>
    </w:p>
    <w:p w:rsidRPr="00BE2EB0" w:rsidR="00BE2EB0" w:rsidP="00BE2EB0" w:rsidRDefault="00BE2EB0" w14:paraId="78E7B307" w14:textId="77777777"/>
    <w:p w:rsidRPr="00765E36" w:rsidR="00D06CAA" w:rsidP="00D06CAA" w:rsidRDefault="007730DA" w14:paraId="4DEF83C6" w14:textId="74E266F7">
      <w:pPr>
        <w:pStyle w:val="Prrafodelista"/>
        <w:numPr>
          <w:ilvl w:val="0"/>
          <w:numId w:val="5"/>
        </w:numPr>
        <w:ind w:left="567" w:hanging="567"/>
        <w:jc w:val="both"/>
        <w:rPr>
          <w:rFonts w:ascii="Cambria" w:hAnsi="Cambria"/>
        </w:rPr>
      </w:pPr>
      <w:r>
        <w:rPr>
          <w:rFonts w:ascii="Cambria" w:hAnsi="Cambria"/>
        </w:rPr>
        <w:t xml:space="preserve">Adicionar el apartado </w:t>
      </w:r>
      <w:r w:rsidR="00BE2EB0">
        <w:rPr>
          <w:rFonts w:ascii="Cambria" w:hAnsi="Cambria"/>
        </w:rPr>
        <w:t>E</w:t>
      </w:r>
      <w:r>
        <w:rPr>
          <w:rFonts w:ascii="Cambria" w:hAnsi="Cambria"/>
        </w:rPr>
        <w:t xml:space="preserve">) a los Lineamientos, Resolución SUGEF-R-SGF-1318-2017, del 8 de mayo de 2017, con </w:t>
      </w:r>
      <w:r>
        <w:rPr>
          <w:rFonts w:ascii="Cambria" w:hAnsi="Cambria"/>
          <w:sz w:val="23"/>
          <w:szCs w:val="23"/>
        </w:rPr>
        <w:t>el siguiente texto:</w:t>
      </w:r>
    </w:p>
    <w:p w:rsidRPr="00765E36" w:rsidR="00D06CAA" w:rsidP="00D06CAA" w:rsidRDefault="00D06CAA" w14:paraId="789F138D" w14:textId="77777777">
      <w:pPr>
        <w:pStyle w:val="Default"/>
        <w:ind w:left="567" w:hanging="567"/>
        <w:contextualSpacing/>
        <w:rPr>
          <w:rFonts w:ascii="Cambria" w:hAnsi="Cambria" w:eastAsia="MS Mincho"/>
          <w:iCs/>
          <w:color w:val="000000" w:themeColor="text1"/>
        </w:rPr>
      </w:pPr>
    </w:p>
    <w:p w:rsidRPr="001B3D4F" w:rsidR="007730DA" w:rsidP="001B3D4F" w:rsidRDefault="000E5CDE" w14:paraId="2999D713" w14:textId="05710BD4">
      <w:pPr>
        <w:pStyle w:val="Prrafodelista"/>
        <w:ind w:left="567"/>
        <w:jc w:val="both"/>
        <w:rPr>
          <w:rFonts w:ascii="Cambria" w:hAnsi="Cambria"/>
          <w:i/>
          <w:iCs/>
          <w:color w:val="000000"/>
        </w:rPr>
      </w:pPr>
      <w:r>
        <w:rPr>
          <w:rFonts w:ascii="Cambria" w:hAnsi="Cambria"/>
          <w:i/>
          <w:iCs/>
          <w:color w:val="000000"/>
          <w:lang w:val="es-CR"/>
        </w:rPr>
        <w:t>“</w:t>
      </w:r>
      <w:r w:rsidR="00BE2EB0">
        <w:rPr>
          <w:rFonts w:ascii="Cambria" w:hAnsi="Cambria"/>
          <w:i/>
          <w:iCs/>
          <w:color w:val="000000"/>
          <w:lang w:val="es-CR"/>
        </w:rPr>
        <w:t>E</w:t>
      </w:r>
      <w:r w:rsidRPr="001B3D4F" w:rsidR="007730DA">
        <w:rPr>
          <w:rFonts w:ascii="Cambria" w:hAnsi="Cambria"/>
          <w:i/>
          <w:iCs/>
          <w:color w:val="000000"/>
        </w:rPr>
        <w:t xml:space="preserve">)  De conformidad con lo señalado en el artículo 21 de la Normativa para el Cumplimiento de la Ley 8204 (7786), las Entidades Financieras y Sujetos Obligados  inscritos ante la SUGEF según lo requerido en el Artículo 15 de la Ley 7786, tienen un plazo de 20 días naturales después del cierre de cada mes para la remisión de los archivos de información a través del Sistema de captura, verificación y carga de datos (SICVECA), para la clase de Datos 6- Legitimación de Capitales y </w:t>
      </w:r>
      <w:r w:rsidRPr="001B3D4F" w:rsidR="007730DA">
        <w:rPr>
          <w:rFonts w:ascii="Cambria" w:hAnsi="Cambria"/>
          <w:i/>
          <w:iCs/>
          <w:color w:val="000000"/>
        </w:rPr>
        <w:lastRenderedPageBreak/>
        <w:t>Clase de Datos 20- Artículo 15.  Dichos reportes se deben realizar en los términos y condiciones definidos en el manual de información SICVECA, publicado en el sitio web de la SUGEF.</w:t>
      </w:r>
    </w:p>
    <w:p w:rsidRPr="001B3D4F" w:rsidR="007730DA" w:rsidP="001B3D4F" w:rsidRDefault="007730DA" w14:paraId="0DDCC281" w14:textId="77777777">
      <w:pPr>
        <w:pStyle w:val="Prrafodelista"/>
        <w:ind w:left="567"/>
        <w:jc w:val="both"/>
        <w:rPr>
          <w:rFonts w:ascii="Cambria" w:hAnsi="Cambria"/>
          <w:i/>
          <w:iCs/>
          <w:color w:val="000000"/>
        </w:rPr>
      </w:pPr>
    </w:p>
    <w:p w:rsidRPr="001B3D4F" w:rsidR="007730DA" w:rsidP="001B3D4F" w:rsidRDefault="007730DA" w14:paraId="0C3D6F9A" w14:textId="6D267799">
      <w:pPr>
        <w:pStyle w:val="Prrafodelista"/>
        <w:ind w:left="567"/>
        <w:jc w:val="both"/>
        <w:rPr>
          <w:rFonts w:ascii="Cambria" w:hAnsi="Cambria"/>
          <w:i/>
          <w:iCs/>
          <w:color w:val="000000"/>
        </w:rPr>
      </w:pPr>
      <w:r w:rsidRPr="001B3D4F">
        <w:rPr>
          <w:rFonts w:ascii="Cambria" w:hAnsi="Cambria"/>
          <w:i/>
          <w:iCs/>
          <w:color w:val="000000"/>
        </w:rPr>
        <w:t>Cuando no se registren operaciones en el periodo de reporte, las Entidades Financieras y Sujetos Obligados  inscritos ante la SUGEF según lo requerido en el Artículo 15 de la Ley 7786 tendrán que notificarlo a través de la extranet de SICVECA, que es el único medio para la remisión de los reportes de omisión. En el caso de las Entidades Financieras el reporte debe ser firmado digitalmente por el Oficial de Cumplimiento titular o adjunto, o quien posea la representación legal. Para los Sujetos Obligados por el Artículo 15 aplicará la firma digital solo de quien tenga la representación legal.</w:t>
      </w:r>
      <w:r w:rsidR="000E5CDE">
        <w:rPr>
          <w:rFonts w:ascii="Cambria" w:hAnsi="Cambria"/>
          <w:i/>
          <w:iCs/>
          <w:color w:val="000000"/>
        </w:rPr>
        <w:t>”</w:t>
      </w:r>
    </w:p>
    <w:p w:rsidRPr="00765E36" w:rsidR="007730DA" w:rsidP="007730DA" w:rsidRDefault="007730DA" w14:paraId="1B1AE8A2" w14:textId="77777777">
      <w:pPr>
        <w:pStyle w:val="Prrafodelista"/>
        <w:ind w:left="567" w:hanging="567"/>
        <w:jc w:val="both"/>
        <w:rPr>
          <w:rFonts w:ascii="Cambria" w:hAnsi="Cambria" w:eastAsia="MS Mincho"/>
          <w:iCs/>
          <w:color w:val="000000" w:themeColor="text1"/>
        </w:rPr>
      </w:pPr>
    </w:p>
    <w:p w:rsidRPr="00EF2BAB" w:rsidR="00765E36" w:rsidP="00530BF2" w:rsidRDefault="00530BF2" w14:paraId="0445595E" w14:textId="77777777">
      <w:pPr>
        <w:pStyle w:val="Prrafodelista"/>
        <w:numPr>
          <w:ilvl w:val="0"/>
          <w:numId w:val="5"/>
        </w:numPr>
        <w:ind w:left="567" w:hanging="567"/>
        <w:jc w:val="both"/>
        <w:rPr>
          <w:rFonts w:ascii="Cambria" w:hAnsi="Cambria" w:eastAsia="MS Mincho"/>
          <w:iCs/>
          <w:color w:val="000000" w:themeColor="text1"/>
        </w:rPr>
      </w:pPr>
      <w:r w:rsidRPr="00EF2BAB">
        <w:rPr>
          <w:rFonts w:ascii="Cambria" w:hAnsi="Cambria" w:eastAsia="MS Mincho"/>
          <w:iCs/>
          <w:color w:val="000000" w:themeColor="text1"/>
        </w:rPr>
        <w:t xml:space="preserve">Para </w:t>
      </w:r>
      <w:r w:rsidRPr="00EF2BAB" w:rsidR="00757C10">
        <w:rPr>
          <w:rFonts w:ascii="Cambria" w:hAnsi="Cambria" w:eastAsia="MS Mincho"/>
          <w:iCs/>
          <w:color w:val="000000" w:themeColor="text1"/>
        </w:rPr>
        <w:t xml:space="preserve">consultas </w:t>
      </w:r>
      <w:r w:rsidRPr="00EF2BAB" w:rsidR="00765E36">
        <w:rPr>
          <w:rFonts w:ascii="Cambria" w:hAnsi="Cambria" w:eastAsia="MS Mincho"/>
          <w:iCs/>
          <w:color w:val="000000" w:themeColor="text1"/>
        </w:rPr>
        <w:t>puede dirigirlas a las siguientes personas:</w:t>
      </w:r>
    </w:p>
    <w:tbl>
      <w:tblPr>
        <w:tblW w:w="7500" w:type="dxa"/>
        <w:jc w:val="center"/>
        <w:tblCellMar>
          <w:left w:w="70" w:type="dxa"/>
          <w:right w:w="70" w:type="dxa"/>
        </w:tblCellMar>
        <w:tblLook w:val="04A0" w:firstRow="1" w:lastRow="0" w:firstColumn="1" w:lastColumn="0" w:noHBand="0" w:noVBand="1"/>
      </w:tblPr>
      <w:tblGrid>
        <w:gridCol w:w="3080"/>
        <w:gridCol w:w="2954"/>
        <w:gridCol w:w="1466"/>
      </w:tblGrid>
      <w:tr w:rsidRPr="00EF2BAB" w:rsidR="00765E36" w:rsidTr="00765E36" w14:paraId="0CDEAB20" w14:textId="77777777">
        <w:trPr>
          <w:trHeight w:val="327"/>
          <w:jc w:val="center"/>
        </w:trPr>
        <w:tc>
          <w:tcPr>
            <w:tcW w:w="3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F2BAB" w:rsidR="00765E36" w:rsidP="00765E36" w:rsidRDefault="00765E36" w14:paraId="37E3C5ED" w14:textId="77777777">
            <w:pPr>
              <w:spacing w:line="240" w:lineRule="auto"/>
              <w:jc w:val="left"/>
              <w:rPr>
                <w:rFonts w:cs="Calibri"/>
                <w:b/>
                <w:bCs/>
                <w:color w:val="000000"/>
                <w:sz w:val="24"/>
                <w:lang w:val="es-CR" w:eastAsia="es-CR"/>
              </w:rPr>
            </w:pPr>
            <w:r w:rsidRPr="00EF2BAB">
              <w:rPr>
                <w:rFonts w:cs="Calibri"/>
                <w:b/>
                <w:bCs/>
                <w:color w:val="000000"/>
                <w:sz w:val="24"/>
                <w:lang w:val="es-CR" w:eastAsia="es-CR"/>
              </w:rPr>
              <w:t>Nombre completo</w:t>
            </w:r>
          </w:p>
        </w:tc>
        <w:tc>
          <w:tcPr>
            <w:tcW w:w="2954" w:type="dxa"/>
            <w:tcBorders>
              <w:top w:val="single" w:color="auto" w:sz="4" w:space="0"/>
              <w:left w:val="nil"/>
              <w:bottom w:val="single" w:color="auto" w:sz="4" w:space="0"/>
              <w:right w:val="single" w:color="auto" w:sz="4" w:space="0"/>
            </w:tcBorders>
            <w:shd w:val="clear" w:color="auto" w:fill="auto"/>
            <w:noWrap/>
            <w:vAlign w:val="bottom"/>
            <w:hideMark/>
          </w:tcPr>
          <w:p w:rsidRPr="00EF2BAB" w:rsidR="00765E36" w:rsidP="00765E36" w:rsidRDefault="00765E36" w14:paraId="382CE6D8" w14:textId="77777777">
            <w:pPr>
              <w:spacing w:line="240" w:lineRule="auto"/>
              <w:jc w:val="left"/>
              <w:rPr>
                <w:rFonts w:cs="Calibri"/>
                <w:b/>
                <w:bCs/>
                <w:color w:val="000000"/>
                <w:sz w:val="24"/>
                <w:lang w:val="es-CR" w:eastAsia="es-CR"/>
              </w:rPr>
            </w:pPr>
            <w:r w:rsidRPr="00EF2BAB">
              <w:rPr>
                <w:rFonts w:cs="Calibri"/>
                <w:b/>
                <w:bCs/>
                <w:color w:val="000000"/>
                <w:sz w:val="24"/>
                <w:lang w:val="es-CR" w:eastAsia="es-CR"/>
              </w:rPr>
              <w:t>Correo electrónico</w:t>
            </w:r>
          </w:p>
        </w:tc>
        <w:tc>
          <w:tcPr>
            <w:tcW w:w="1466" w:type="dxa"/>
            <w:tcBorders>
              <w:top w:val="single" w:color="auto" w:sz="4" w:space="0"/>
              <w:left w:val="nil"/>
              <w:bottom w:val="single" w:color="auto" w:sz="4" w:space="0"/>
              <w:right w:val="single" w:color="auto" w:sz="4" w:space="0"/>
            </w:tcBorders>
            <w:shd w:val="clear" w:color="auto" w:fill="auto"/>
            <w:noWrap/>
            <w:vAlign w:val="bottom"/>
            <w:hideMark/>
          </w:tcPr>
          <w:p w:rsidRPr="00EF2BAB" w:rsidR="00765E36" w:rsidP="00765E36" w:rsidRDefault="00765E36" w14:paraId="2DA0CCD4" w14:textId="77777777">
            <w:pPr>
              <w:spacing w:line="240" w:lineRule="auto"/>
              <w:jc w:val="left"/>
              <w:rPr>
                <w:rFonts w:cs="Calibri"/>
                <w:b/>
                <w:bCs/>
                <w:color w:val="000000"/>
                <w:sz w:val="24"/>
                <w:lang w:val="es-CR" w:eastAsia="es-CR"/>
              </w:rPr>
            </w:pPr>
            <w:r w:rsidRPr="00EF2BAB">
              <w:rPr>
                <w:rFonts w:cs="Calibri"/>
                <w:b/>
                <w:bCs/>
                <w:color w:val="000000"/>
                <w:sz w:val="24"/>
                <w:lang w:val="es-CR" w:eastAsia="es-CR"/>
              </w:rPr>
              <w:t>Teléfono</w:t>
            </w:r>
          </w:p>
        </w:tc>
      </w:tr>
      <w:tr w:rsidRPr="00EF2BAB" w:rsidR="00765E36" w:rsidTr="00765E36" w14:paraId="20484D01" w14:textId="77777777">
        <w:trPr>
          <w:trHeight w:val="327"/>
          <w:jc w:val="center"/>
        </w:trPr>
        <w:tc>
          <w:tcPr>
            <w:tcW w:w="3080" w:type="dxa"/>
            <w:tcBorders>
              <w:top w:val="nil"/>
              <w:left w:val="single" w:color="auto" w:sz="4" w:space="0"/>
              <w:bottom w:val="single" w:color="auto" w:sz="4" w:space="0"/>
              <w:right w:val="single" w:color="auto" w:sz="4" w:space="0"/>
            </w:tcBorders>
            <w:shd w:val="clear" w:color="auto" w:fill="auto"/>
            <w:noWrap/>
            <w:vAlign w:val="bottom"/>
            <w:hideMark/>
          </w:tcPr>
          <w:p w:rsidRPr="00EF2BAB" w:rsidR="00765E36" w:rsidP="00765E36" w:rsidRDefault="00765E36" w14:paraId="55579063" w14:textId="77777777">
            <w:pPr>
              <w:spacing w:line="240" w:lineRule="auto"/>
              <w:jc w:val="left"/>
              <w:rPr>
                <w:rFonts w:cs="Calibri"/>
                <w:color w:val="000000"/>
                <w:sz w:val="24"/>
                <w:lang w:val="es-CR" w:eastAsia="es-CR"/>
              </w:rPr>
            </w:pPr>
            <w:proofErr w:type="spellStart"/>
            <w:r w:rsidRPr="00EF2BAB">
              <w:rPr>
                <w:rFonts w:cs="Calibri"/>
                <w:color w:val="000000"/>
                <w:sz w:val="24"/>
                <w:lang w:val="es-CR" w:eastAsia="es-CR"/>
              </w:rPr>
              <w:t>Kattia</w:t>
            </w:r>
            <w:proofErr w:type="spellEnd"/>
            <w:r w:rsidRPr="00EF2BAB">
              <w:rPr>
                <w:rFonts w:cs="Calibri"/>
                <w:color w:val="000000"/>
                <w:sz w:val="24"/>
                <w:lang w:val="es-CR" w:eastAsia="es-CR"/>
              </w:rPr>
              <w:t xml:space="preserve"> Sánchez Hernández</w:t>
            </w:r>
          </w:p>
        </w:tc>
        <w:tc>
          <w:tcPr>
            <w:tcW w:w="2954" w:type="dxa"/>
            <w:tcBorders>
              <w:top w:val="nil"/>
              <w:left w:val="nil"/>
              <w:bottom w:val="single" w:color="auto" w:sz="4" w:space="0"/>
              <w:right w:val="single" w:color="auto" w:sz="4" w:space="0"/>
            </w:tcBorders>
            <w:shd w:val="clear" w:color="auto" w:fill="auto"/>
            <w:noWrap/>
            <w:vAlign w:val="bottom"/>
            <w:hideMark/>
          </w:tcPr>
          <w:p w:rsidRPr="00EF2BAB" w:rsidR="00765E36" w:rsidP="00765E36" w:rsidRDefault="00EF2BAB" w14:paraId="1B4B14C9" w14:textId="77777777">
            <w:pPr>
              <w:spacing w:line="240" w:lineRule="auto"/>
              <w:jc w:val="left"/>
              <w:rPr>
                <w:rFonts w:cs="Calibri"/>
                <w:color w:val="0563C1"/>
                <w:sz w:val="24"/>
                <w:u w:val="single"/>
                <w:lang w:val="es-CR" w:eastAsia="es-CR"/>
              </w:rPr>
            </w:pPr>
            <w:hyperlink w:history="1" r:id="rId14">
              <w:r w:rsidRPr="00EF2BAB" w:rsidR="00765E36">
                <w:rPr>
                  <w:rFonts w:cs="Calibri"/>
                  <w:color w:val="0563C1"/>
                  <w:sz w:val="24"/>
                  <w:u w:val="single"/>
                  <w:lang w:val="es-CR" w:eastAsia="es-CR"/>
                </w:rPr>
                <w:t>sanchezhk@sugef.fi.cr</w:t>
              </w:r>
            </w:hyperlink>
          </w:p>
        </w:tc>
        <w:tc>
          <w:tcPr>
            <w:tcW w:w="1466" w:type="dxa"/>
            <w:tcBorders>
              <w:top w:val="nil"/>
              <w:left w:val="nil"/>
              <w:bottom w:val="single" w:color="auto" w:sz="4" w:space="0"/>
              <w:right w:val="single" w:color="auto" w:sz="4" w:space="0"/>
            </w:tcBorders>
            <w:shd w:val="clear" w:color="auto" w:fill="auto"/>
            <w:noWrap/>
            <w:vAlign w:val="bottom"/>
            <w:hideMark/>
          </w:tcPr>
          <w:p w:rsidRPr="00EF2BAB" w:rsidR="00765E36" w:rsidP="00765E36" w:rsidRDefault="00765E36" w14:paraId="2A692F4C" w14:textId="77777777">
            <w:pPr>
              <w:spacing w:line="240" w:lineRule="auto"/>
              <w:jc w:val="left"/>
              <w:rPr>
                <w:rFonts w:cs="Calibri"/>
                <w:color w:val="000000"/>
                <w:sz w:val="24"/>
                <w:lang w:val="es-CR" w:eastAsia="es-CR"/>
              </w:rPr>
            </w:pPr>
            <w:r w:rsidRPr="00EF2BAB">
              <w:rPr>
                <w:rFonts w:cs="Calibri"/>
                <w:color w:val="000000"/>
                <w:sz w:val="24"/>
                <w:lang w:val="es-CR" w:eastAsia="es-CR"/>
              </w:rPr>
              <w:t>2243-4764</w:t>
            </w:r>
          </w:p>
        </w:tc>
      </w:tr>
      <w:tr w:rsidRPr="00EF2BAB" w:rsidR="00765E36" w:rsidTr="00765E36" w14:paraId="72B58E9C" w14:textId="77777777">
        <w:trPr>
          <w:trHeight w:val="327"/>
          <w:jc w:val="center"/>
        </w:trPr>
        <w:tc>
          <w:tcPr>
            <w:tcW w:w="3080" w:type="dxa"/>
            <w:tcBorders>
              <w:top w:val="nil"/>
              <w:left w:val="single" w:color="auto" w:sz="4" w:space="0"/>
              <w:bottom w:val="single" w:color="auto" w:sz="4" w:space="0"/>
              <w:right w:val="single" w:color="auto" w:sz="4" w:space="0"/>
            </w:tcBorders>
            <w:shd w:val="clear" w:color="auto" w:fill="auto"/>
            <w:noWrap/>
            <w:vAlign w:val="bottom"/>
            <w:hideMark/>
          </w:tcPr>
          <w:p w:rsidRPr="00EF2BAB" w:rsidR="00765E36" w:rsidP="00765E36" w:rsidRDefault="00765E36" w14:paraId="10BEE367" w14:textId="77777777">
            <w:pPr>
              <w:spacing w:line="240" w:lineRule="auto"/>
              <w:jc w:val="left"/>
              <w:rPr>
                <w:rFonts w:cs="Calibri"/>
                <w:color w:val="000000"/>
                <w:sz w:val="24"/>
                <w:lang w:val="es-CR" w:eastAsia="es-CR"/>
              </w:rPr>
            </w:pPr>
            <w:proofErr w:type="spellStart"/>
            <w:r w:rsidRPr="00EF2BAB">
              <w:rPr>
                <w:rFonts w:cs="Calibri"/>
                <w:color w:val="000000"/>
                <w:sz w:val="24"/>
                <w:lang w:val="es-CR" w:eastAsia="es-CR"/>
              </w:rPr>
              <w:t>Milady</w:t>
            </w:r>
            <w:proofErr w:type="spellEnd"/>
            <w:r w:rsidRPr="00EF2BAB">
              <w:rPr>
                <w:rFonts w:cs="Calibri"/>
                <w:color w:val="000000"/>
                <w:sz w:val="24"/>
                <w:lang w:val="es-CR" w:eastAsia="es-CR"/>
              </w:rPr>
              <w:t xml:space="preserve"> Vargas Olivares</w:t>
            </w:r>
          </w:p>
        </w:tc>
        <w:tc>
          <w:tcPr>
            <w:tcW w:w="2954" w:type="dxa"/>
            <w:tcBorders>
              <w:top w:val="nil"/>
              <w:left w:val="nil"/>
              <w:bottom w:val="single" w:color="auto" w:sz="4" w:space="0"/>
              <w:right w:val="single" w:color="auto" w:sz="4" w:space="0"/>
            </w:tcBorders>
            <w:shd w:val="clear" w:color="auto" w:fill="auto"/>
            <w:noWrap/>
            <w:vAlign w:val="bottom"/>
            <w:hideMark/>
          </w:tcPr>
          <w:p w:rsidRPr="00EF2BAB" w:rsidR="00765E36" w:rsidP="00765E36" w:rsidRDefault="00EF2BAB" w14:paraId="06269733" w14:textId="77777777">
            <w:pPr>
              <w:spacing w:line="240" w:lineRule="auto"/>
              <w:jc w:val="left"/>
              <w:rPr>
                <w:rFonts w:cs="Calibri"/>
                <w:color w:val="0563C1"/>
                <w:sz w:val="24"/>
                <w:u w:val="single"/>
                <w:lang w:val="es-CR" w:eastAsia="es-CR"/>
              </w:rPr>
            </w:pPr>
            <w:hyperlink w:history="1" r:id="rId15">
              <w:r w:rsidRPr="00EF2BAB" w:rsidR="00765E36">
                <w:rPr>
                  <w:rFonts w:cs="Calibri"/>
                  <w:color w:val="0563C1"/>
                  <w:sz w:val="24"/>
                  <w:u w:val="single"/>
                  <w:lang w:val="es-CR" w:eastAsia="es-CR"/>
                </w:rPr>
                <w:t>vargasom@sugef.fi.cr</w:t>
              </w:r>
            </w:hyperlink>
          </w:p>
        </w:tc>
        <w:tc>
          <w:tcPr>
            <w:tcW w:w="1466" w:type="dxa"/>
            <w:tcBorders>
              <w:top w:val="nil"/>
              <w:left w:val="nil"/>
              <w:bottom w:val="single" w:color="auto" w:sz="4" w:space="0"/>
              <w:right w:val="single" w:color="auto" w:sz="4" w:space="0"/>
            </w:tcBorders>
            <w:shd w:val="clear" w:color="auto" w:fill="auto"/>
            <w:noWrap/>
            <w:vAlign w:val="bottom"/>
            <w:hideMark/>
          </w:tcPr>
          <w:p w:rsidRPr="00EF2BAB" w:rsidR="00765E36" w:rsidP="00765E36" w:rsidRDefault="00765E36" w14:paraId="11833C86" w14:textId="77777777">
            <w:pPr>
              <w:spacing w:line="240" w:lineRule="auto"/>
              <w:jc w:val="left"/>
              <w:rPr>
                <w:rFonts w:cs="Calibri"/>
                <w:color w:val="000000"/>
                <w:sz w:val="24"/>
                <w:lang w:val="es-CR" w:eastAsia="es-CR"/>
              </w:rPr>
            </w:pPr>
            <w:r w:rsidRPr="00EF2BAB">
              <w:rPr>
                <w:rFonts w:cs="Calibri"/>
                <w:color w:val="000000"/>
                <w:sz w:val="24"/>
                <w:lang w:val="es-CR" w:eastAsia="es-CR"/>
              </w:rPr>
              <w:t>2243-4771</w:t>
            </w:r>
          </w:p>
        </w:tc>
      </w:tr>
    </w:tbl>
    <w:p w:rsidRPr="00EF2BAB" w:rsidR="00765E36" w:rsidP="00765E36" w:rsidRDefault="00765E36" w14:paraId="09A37E21" w14:textId="77777777">
      <w:pPr>
        <w:pStyle w:val="Prrafodelista"/>
        <w:ind w:left="567"/>
        <w:jc w:val="both"/>
        <w:rPr>
          <w:rFonts w:ascii="Cambria" w:hAnsi="Cambria" w:eastAsia="MS Mincho"/>
          <w:iCs/>
          <w:color w:val="000000" w:themeColor="text1"/>
        </w:rPr>
      </w:pPr>
    </w:p>
    <w:p w:rsidRPr="00765E36" w:rsidR="00D06CAA" w:rsidP="00E906B1" w:rsidRDefault="00D06CAA" w14:paraId="4A8FC751" w14:textId="77777777">
      <w:pPr>
        <w:pStyle w:val="Prrafodelista"/>
        <w:numPr>
          <w:ilvl w:val="0"/>
          <w:numId w:val="5"/>
        </w:numPr>
        <w:ind w:left="567" w:hanging="567"/>
        <w:jc w:val="both"/>
        <w:rPr>
          <w:rFonts w:ascii="Cambria" w:hAnsi="Cambria" w:eastAsia="MS Mincho"/>
          <w:iCs/>
          <w:color w:val="000000" w:themeColor="text1"/>
        </w:rPr>
      </w:pPr>
      <w:r w:rsidRPr="00EF2BAB">
        <w:rPr>
          <w:rFonts w:ascii="Cambria" w:hAnsi="Cambria" w:eastAsia="MS Mincho"/>
          <w:iCs/>
          <w:color w:val="000000" w:themeColor="text1"/>
        </w:rPr>
        <w:t>Esta disposición rige a partir del mes siguiente de su publicación en e</w:t>
      </w:r>
      <w:r w:rsidRPr="00765E36">
        <w:rPr>
          <w:rFonts w:ascii="Cambria" w:hAnsi="Cambria" w:eastAsia="MS Mincho"/>
          <w:iCs/>
          <w:color w:val="000000" w:themeColor="text1"/>
        </w:rPr>
        <w:t>l Diario Oficial La Gaceta.</w:t>
      </w:r>
      <w:bookmarkStart w:name="_GoBack" w:id="0"/>
      <w:bookmarkEnd w:id="0"/>
    </w:p>
    <w:p w:rsidRPr="00765E36" w:rsidR="00D06CAA" w:rsidP="00E906B1" w:rsidRDefault="00D06CAA" w14:paraId="08DE4712" w14:textId="77777777">
      <w:pPr>
        <w:rPr>
          <w:rFonts w:eastAsia="MS Mincho"/>
          <w:iCs/>
          <w:color w:val="000000" w:themeColor="text1"/>
          <w:sz w:val="24"/>
        </w:rPr>
      </w:pPr>
    </w:p>
    <w:p w:rsidRPr="00765E36" w:rsidR="00D06CAA" w:rsidP="00D06CAA" w:rsidRDefault="00D06CAA" w14:paraId="52592C72" w14:textId="77777777">
      <w:pPr>
        <w:spacing w:line="240" w:lineRule="auto"/>
        <w:contextualSpacing/>
        <w:rPr>
          <w:sz w:val="24"/>
        </w:rPr>
      </w:pPr>
      <w:r w:rsidRPr="00765E36">
        <w:rPr>
          <w:sz w:val="24"/>
        </w:rPr>
        <w:t>Atentamente,</w:t>
      </w:r>
    </w:p>
    <w:p w:rsidRPr="00765E36" w:rsidR="00D06CAA" w:rsidP="00D06CAA" w:rsidRDefault="00D06CAA" w14:paraId="420AE004" w14:textId="5639AA63">
      <w:pPr>
        <w:spacing w:line="240" w:lineRule="auto"/>
        <w:contextualSpacing/>
        <w:rPr>
          <w:sz w:val="24"/>
        </w:rPr>
      </w:pPr>
      <w:r w:rsidRPr="00765E36">
        <w:rPr>
          <w:rFonts w:asciiTheme="minorHAnsi" w:hAnsiTheme="minorHAnsi" w:eastAsiaTheme="minorHAnsi" w:cstheme="minorBidi"/>
          <w:noProof/>
          <w:sz w:val="24"/>
          <w:lang w:val="es-CR" w:eastAsia="es-CR"/>
        </w:rPr>
        <w:drawing>
          <wp:anchor distT="0" distB="0" distL="114300" distR="114300" simplePos="0" relativeHeight="251661312" behindDoc="1" locked="0" layoutInCell="1" allowOverlap="1" wp14:editId="5ECC1475" wp14:anchorId="3F84A278">
            <wp:simplePos x="0" y="0"/>
            <wp:positionH relativeFrom="column">
              <wp:posOffset>-163830</wp:posOffset>
            </wp:positionH>
            <wp:positionV relativeFrom="paragraph">
              <wp:posOffset>96520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765E36" w:rsidR="00D06CAA" w:rsidP="00D06CAA" w:rsidRDefault="00D06CAA" w14:paraId="3640C1AF" w14:textId="77777777">
      <w:pPr>
        <w:spacing w:line="240" w:lineRule="auto"/>
        <w:contextualSpacing/>
        <w:rPr>
          <w:sz w:val="24"/>
        </w:rPr>
      </w:pPr>
    </w:p>
    <w:p w:rsidRPr="00765E36" w:rsidR="00D06CAA" w:rsidP="00D06CAA" w:rsidRDefault="00D06CAA" w14:paraId="6D53344F" w14:textId="77777777">
      <w:pPr>
        <w:spacing w:line="240" w:lineRule="auto"/>
        <w:contextualSpacing/>
        <w:rPr>
          <w:b/>
          <w:sz w:val="24"/>
        </w:rPr>
      </w:pPr>
    </w:p>
    <w:p w:rsidRPr="00765E36" w:rsidR="00D06CAA" w:rsidP="00D06CAA" w:rsidRDefault="00D06CAA" w14:paraId="2C0A9D75" w14:textId="77777777">
      <w:pPr>
        <w:spacing w:line="240" w:lineRule="auto"/>
        <w:contextualSpacing/>
        <w:rPr>
          <w:sz w:val="24"/>
        </w:rPr>
      </w:pPr>
      <w:r w:rsidRPr="00765E36">
        <w:rPr>
          <w:sz w:val="24"/>
        </w:rPr>
        <w:t>Bernardo Alfaro Araya</w:t>
      </w:r>
    </w:p>
    <w:p w:rsidRPr="00765E36" w:rsidR="006972C9" w:rsidP="00D06CAA" w:rsidRDefault="00D06CAA" w14:paraId="32D2779A" w14:textId="781064B2">
      <w:pPr>
        <w:spacing w:line="240" w:lineRule="auto"/>
        <w:contextualSpacing/>
        <w:rPr>
          <w:b/>
          <w:noProof/>
          <w:sz w:val="24"/>
          <w:lang w:val="es-CR" w:eastAsia="es-CR"/>
        </w:rPr>
      </w:pPr>
      <w:r w:rsidRPr="00765E36">
        <w:rPr>
          <w:b/>
          <w:sz w:val="24"/>
        </w:rPr>
        <w:t>Superintendente General</w:t>
      </w:r>
      <w:r w:rsidRPr="00765E36">
        <w:rPr>
          <w:b/>
          <w:noProof/>
          <w:sz w:val="24"/>
          <w:lang w:eastAsia="es-CR"/>
        </w:rPr>
        <w:t xml:space="preserve"> </w:t>
      </w:r>
    </w:p>
    <w:p w:rsidRPr="00765E36" w:rsidR="006972C9" w:rsidP="001F00EB" w:rsidRDefault="006972C9" w14:paraId="4F430C29" w14:textId="77777777">
      <w:pPr>
        <w:spacing w:line="240" w:lineRule="auto"/>
        <w:rPr>
          <w:sz w:val="24"/>
        </w:rPr>
      </w:pPr>
    </w:p>
    <w:p w:rsidRPr="00765E36" w:rsidR="006972C9" w:rsidP="001F00EB" w:rsidRDefault="00E906B1" w14:paraId="5A366A18" w14:textId="65935DBD">
      <w:pPr>
        <w:spacing w:line="240" w:lineRule="auto"/>
        <w:rPr>
          <w:b/>
          <w:sz w:val="24"/>
        </w:rPr>
      </w:pPr>
      <w:r w:rsidRPr="00765E36">
        <w:rPr>
          <w:b/>
          <w:sz w:val="24"/>
        </w:rPr>
        <w:t>JSC/</w:t>
      </w:r>
      <w:r w:rsidRPr="00765E36" w:rsidR="00765E36">
        <w:rPr>
          <w:b/>
          <w:sz w:val="24"/>
        </w:rPr>
        <w:t>RCA/MLS</w:t>
      </w:r>
      <w:r w:rsidRPr="00765E36">
        <w:rPr>
          <w:b/>
          <w:sz w:val="24"/>
        </w:rPr>
        <w:t>/</w:t>
      </w:r>
      <w:proofErr w:type="spellStart"/>
      <w:r w:rsidRPr="00765E36">
        <w:rPr>
          <w:b/>
          <w:sz w:val="24"/>
        </w:rPr>
        <w:t>gvl</w:t>
      </w:r>
      <w:proofErr w:type="spellEnd"/>
      <w:r w:rsidRPr="00765E36">
        <w:rPr>
          <w:b/>
          <w:sz w:val="24"/>
        </w:rPr>
        <w:t>*</w:t>
      </w:r>
    </w:p>
    <w:p w:rsidRPr="00765E36" w:rsidR="006972C9" w:rsidP="001F00EB" w:rsidRDefault="006972C9" w14:paraId="7490F574" w14:textId="77777777">
      <w:pPr>
        <w:spacing w:line="240" w:lineRule="auto"/>
        <w:rPr>
          <w:sz w:val="24"/>
        </w:rPr>
      </w:pPr>
    </w:p>
    <w:p w:rsidRPr="006972C9" w:rsidR="006972C9" w:rsidP="001F00EB" w:rsidRDefault="006972C9" w14:paraId="78256211" w14:textId="77777777">
      <w:pPr>
        <w:spacing w:line="240" w:lineRule="auto"/>
      </w:pPr>
    </w:p>
    <w:p w:rsidRPr="006972C9" w:rsidR="006972C9" w:rsidP="001F00EB" w:rsidRDefault="006972C9" w14:paraId="4D301AFD" w14:textId="77777777">
      <w:pPr>
        <w:spacing w:line="240" w:lineRule="auto"/>
      </w:pPr>
    </w:p>
    <w:p w:rsidRPr="006972C9" w:rsidR="00AF06C5" w:rsidP="001F00EB" w:rsidRDefault="006972C9" w14:paraId="49883CA4" w14:textId="77777777">
      <w:pPr>
        <w:tabs>
          <w:tab w:val="left" w:pos="7187"/>
        </w:tabs>
        <w:spacing w:line="240" w:lineRule="auto"/>
      </w:pPr>
      <w:r>
        <w:tab/>
      </w:r>
    </w:p>
    <w:sectPr w:rsidRPr="006972C9" w:rsidR="00AF06C5">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DFB5C" w14:textId="77777777" w:rsidR="00866EDD" w:rsidRDefault="00866EDD" w:rsidP="009349F3">
      <w:pPr>
        <w:spacing w:line="240" w:lineRule="auto"/>
      </w:pPr>
      <w:r>
        <w:separator/>
      </w:r>
    </w:p>
  </w:endnote>
  <w:endnote w:type="continuationSeparator" w:id="0">
    <w:p w14:paraId="1E3C41E4" w14:textId="77777777" w:rsidR="00866EDD" w:rsidRDefault="00866ED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67" w:rsidRDefault="002A1D67" w14:paraId="73EA5A81"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B947D76" w14:textId="77777777">
      <w:tc>
        <w:tcPr>
          <w:tcW w:w="2942" w:type="dxa"/>
        </w:tcPr>
        <w:p w:rsidR="00517D62" w:rsidRDefault="00517D62" w14:paraId="6BD9D738"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F22713D"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075EF3C6" w14:textId="77777777">
          <w:pPr>
            <w:pStyle w:val="Piedepgina"/>
            <w:rPr>
              <w:b/>
              <w:color w:val="7F7F7F" w:themeColor="text1" w:themeTint="80"/>
              <w:sz w:val="16"/>
              <w:szCs w:val="16"/>
            </w:rPr>
          </w:pPr>
        </w:p>
      </w:tc>
      <w:tc>
        <w:tcPr>
          <w:tcW w:w="2943" w:type="dxa"/>
        </w:tcPr>
        <w:p w:rsidRPr="009349F3" w:rsidR="00517D62" w:rsidP="00855792" w:rsidRDefault="00517D62" w14:paraId="60BAB8C3"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64EF5C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E3753B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F2BAB">
            <w:rPr>
              <w:b/>
              <w:noProof/>
              <w:color w:val="7F7F7F" w:themeColor="text1" w:themeTint="80"/>
              <w:sz w:val="16"/>
              <w:szCs w:val="16"/>
            </w:rPr>
            <w:t>3</w:t>
          </w:r>
          <w:r w:rsidRPr="006972C9">
            <w:rPr>
              <w:b/>
              <w:color w:val="7F7F7F" w:themeColor="text1" w:themeTint="80"/>
              <w:sz w:val="16"/>
              <w:szCs w:val="16"/>
            </w:rPr>
            <w:fldChar w:fldCharType="end"/>
          </w:r>
        </w:p>
      </w:tc>
    </w:tr>
  </w:tbl>
  <w:p w:rsidR="009349F3" w:rsidRDefault="009349F3" w14:paraId="4A9DDEC0"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67" w:rsidRDefault="002A1D67" w14:paraId="13B19E1D"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5D665" w14:textId="77777777" w:rsidR="00866EDD" w:rsidRDefault="00866EDD" w:rsidP="009349F3">
      <w:pPr>
        <w:spacing w:line="240" w:lineRule="auto"/>
      </w:pPr>
      <w:r>
        <w:separator/>
      </w:r>
    </w:p>
  </w:footnote>
  <w:footnote w:type="continuationSeparator" w:id="0">
    <w:p w14:paraId="2E01565B" w14:textId="77777777" w:rsidR="00866EDD" w:rsidRDefault="00866EDD"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67" w:rsidRDefault="002A1D67" w14:paraId="2C89A108"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32FECF5A" w14:textId="77777777">
    <w:pPr>
      <w:pStyle w:val="Encabezado"/>
    </w:pPr>
    <w:r>
      <w:ptab w:alignment="center" w:relativeTo="margin" w:leader="none"/>
    </w:r>
    <w:r>
      <w:rPr>
        <w:noProof/>
        <w:lang w:val="es-CR" w:eastAsia="es-CR"/>
      </w:rPr>
      <w:drawing>
        <wp:inline distT="0" distB="0" distL="0" distR="0" wp14:anchorId="5F7DF6B5" wp14:editId="7E6E647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67" w:rsidRDefault="002A1D67" w14:paraId="6ABE4EA6"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6DB323E"/>
    <w:multiLevelType w:val="hybridMultilevel"/>
    <w:tmpl w:val="7FB25568"/>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 w15:restartNumberingAfterBreak="0">
    <w:nsid w:val="77B82371"/>
    <w:multiLevelType w:val="hybridMultilevel"/>
    <w:tmpl w:val="999C8198"/>
    <w:lvl w:ilvl="0" w:tplc="71ECC4DE">
      <w:start w:val="1"/>
      <w:numFmt w:val="upperRoman"/>
      <w:lvlText w:val="%1)"/>
      <w:lvlJc w:val="left"/>
      <w:pPr>
        <w:ind w:left="360" w:hanging="360"/>
      </w:pPr>
      <w:rPr>
        <w:b/>
        <w:lang w:val="es-CR"/>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DD"/>
    <w:rsid w:val="000E5CDE"/>
    <w:rsid w:val="001155A7"/>
    <w:rsid w:val="001B3D4F"/>
    <w:rsid w:val="001F00EB"/>
    <w:rsid w:val="002A1D67"/>
    <w:rsid w:val="004313B1"/>
    <w:rsid w:val="00500706"/>
    <w:rsid w:val="00517D62"/>
    <w:rsid w:val="00530BF2"/>
    <w:rsid w:val="006972C9"/>
    <w:rsid w:val="00715FA2"/>
    <w:rsid w:val="00757C10"/>
    <w:rsid w:val="00765E36"/>
    <w:rsid w:val="007730DA"/>
    <w:rsid w:val="007E1EC2"/>
    <w:rsid w:val="008200B7"/>
    <w:rsid w:val="00855792"/>
    <w:rsid w:val="00866EDD"/>
    <w:rsid w:val="008748CC"/>
    <w:rsid w:val="008B0595"/>
    <w:rsid w:val="008E1275"/>
    <w:rsid w:val="00900B79"/>
    <w:rsid w:val="009349F3"/>
    <w:rsid w:val="00AD5B5C"/>
    <w:rsid w:val="00AF06C5"/>
    <w:rsid w:val="00B7752A"/>
    <w:rsid w:val="00BB0D39"/>
    <w:rsid w:val="00BD7E81"/>
    <w:rsid w:val="00BE2EB0"/>
    <w:rsid w:val="00C64610"/>
    <w:rsid w:val="00CC0B90"/>
    <w:rsid w:val="00D06CAA"/>
    <w:rsid w:val="00D40A9C"/>
    <w:rsid w:val="00D40FE9"/>
    <w:rsid w:val="00DE2D06"/>
    <w:rsid w:val="00DF14D4"/>
    <w:rsid w:val="00E906B1"/>
    <w:rsid w:val="00EF2BAB"/>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D9B08F"/>
  <w15:chartTrackingRefBased/>
  <w15:docId w15:val="{F6A0B422-9E68-4DD9-931A-BDC9BBAC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D06CAA"/>
    <w:rPr>
      <w:sz w:val="24"/>
      <w:szCs w:val="24"/>
      <w:lang w:val="es-ES" w:eastAsia="es-ES"/>
    </w:rPr>
  </w:style>
  <w:style w:type="paragraph" w:styleId="Prrafodelista">
    <w:name w:val="List Paragraph"/>
    <w:basedOn w:val="Normal"/>
    <w:link w:val="PrrafodelistaCar"/>
    <w:uiPriority w:val="34"/>
    <w:qFormat/>
    <w:rsid w:val="00D06CAA"/>
    <w:pPr>
      <w:spacing w:line="240" w:lineRule="auto"/>
      <w:ind w:left="720"/>
      <w:contextualSpacing/>
      <w:jc w:val="left"/>
    </w:pPr>
    <w:rPr>
      <w:rFonts w:asciiTheme="minorHAnsi" w:eastAsiaTheme="minorHAnsi" w:hAnsiTheme="minorHAnsi" w:cstheme="minorBidi"/>
      <w:sz w:val="24"/>
      <w:lang w:eastAsia="es-ES"/>
    </w:rPr>
  </w:style>
  <w:style w:type="paragraph" w:customStyle="1" w:styleId="Default">
    <w:name w:val="Default"/>
    <w:rsid w:val="00D06C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631433">
      <w:bodyDiv w:val="1"/>
      <w:marLeft w:val="0"/>
      <w:marRight w:val="0"/>
      <w:marTop w:val="0"/>
      <w:marBottom w:val="0"/>
      <w:divBdr>
        <w:top w:val="none" w:sz="0" w:space="0" w:color="auto"/>
        <w:left w:val="none" w:sz="0" w:space="0" w:color="auto"/>
        <w:bottom w:val="none" w:sz="0" w:space="0" w:color="auto"/>
        <w:right w:val="none" w:sz="0" w:space="0" w:color="auto"/>
      </w:divBdr>
    </w:div>
    <w:div w:id="1154179801">
      <w:bodyDiv w:val="1"/>
      <w:marLeft w:val="0"/>
      <w:marRight w:val="0"/>
      <w:marTop w:val="0"/>
      <w:marBottom w:val="0"/>
      <w:divBdr>
        <w:top w:val="none" w:sz="0" w:space="0" w:color="auto"/>
        <w:left w:val="none" w:sz="0" w:space="0" w:color="auto"/>
        <w:bottom w:val="none" w:sz="0" w:space="0" w:color="auto"/>
        <w:right w:val="none" w:sz="0" w:space="0" w:color="auto"/>
      </w:divBdr>
    </w:div>
    <w:div w:id="1271547813">
      <w:bodyDiv w:val="1"/>
      <w:marLeft w:val="0"/>
      <w:marRight w:val="0"/>
      <w:marTop w:val="0"/>
      <w:marBottom w:val="0"/>
      <w:divBdr>
        <w:top w:val="none" w:sz="0" w:space="0" w:color="auto"/>
        <w:left w:val="none" w:sz="0" w:space="0" w:color="auto"/>
        <w:bottom w:val="none" w:sz="0" w:space="0" w:color="auto"/>
        <w:right w:val="none" w:sz="0" w:space="0" w:color="auto"/>
      </w:divBdr>
    </w:div>
    <w:div w:id="17918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f.fi.cr/informacion_relevante/manuales/manual_de_informacion_sicveca.aspx" TargetMode="External"/><Relationship Id="rId18" Type="http://schemas.openxmlformats.org/officeDocument/2006/relationships/header" Target="header2.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notificacionsicvecaLCFT@sugef.fi.c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argasom@sugef.fi.c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chezhk@sugef.fi.c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170D514A2A453DB1392559428BE3DF"/>
        <w:category>
          <w:name w:val="General"/>
          <w:gallery w:val="placeholder"/>
        </w:category>
        <w:types>
          <w:type w:val="bbPlcHdr"/>
        </w:types>
        <w:behaviors>
          <w:behavior w:val="content"/>
        </w:behaviors>
        <w:guid w:val="{60A3B4D6-4477-47C5-BAE1-EBDAA6C29FEA}"/>
      </w:docPartPr>
      <w:docPartBody>
        <w:p w:rsidR="00191562" w:rsidRDefault="00EA4CF4" w:rsidP="00EA4CF4">
          <w:pPr>
            <w:pStyle w:val="82170D514A2A453DB1392559428BE3DF"/>
          </w:pPr>
          <w:r>
            <w:rPr>
              <w:rStyle w:val="Textodelmarcadordeposicin"/>
            </w:rPr>
            <w:t>Elija un elemento.</w:t>
          </w:r>
        </w:p>
      </w:docPartBody>
    </w:docPart>
    <w:docPart>
      <w:docPartPr>
        <w:name w:val="A6981AF55A3940D0BB02442A324B8142"/>
        <w:category>
          <w:name w:val="General"/>
          <w:gallery w:val="placeholder"/>
        </w:category>
        <w:types>
          <w:type w:val="bbPlcHdr"/>
        </w:types>
        <w:behaviors>
          <w:behavior w:val="content"/>
        </w:behaviors>
        <w:guid w:val="{9B2154FF-BD17-449C-A1ED-15824DA74FB8}"/>
      </w:docPartPr>
      <w:docPartBody>
        <w:p w:rsidR="00225F18" w:rsidRDefault="00191562" w:rsidP="00191562">
          <w:pPr>
            <w:pStyle w:val="A6981AF55A3940D0BB02442A324B8142"/>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F4"/>
    <w:rsid w:val="00191562"/>
    <w:rsid w:val="00225F18"/>
    <w:rsid w:val="00EA4CF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1562"/>
  </w:style>
  <w:style w:type="paragraph" w:customStyle="1" w:styleId="3EB1BDC4917746D79AF9A51DB04D487D">
    <w:name w:val="3EB1BDC4917746D79AF9A51DB04D487D"/>
  </w:style>
  <w:style w:type="paragraph" w:customStyle="1" w:styleId="DA30BF288DEC4F8BAD7DA3FACF2FCD12">
    <w:name w:val="DA30BF288DEC4F8BAD7DA3FACF2FCD12"/>
  </w:style>
  <w:style w:type="paragraph" w:customStyle="1" w:styleId="1EC60A9810EE4D24B7676736B8DA1496">
    <w:name w:val="1EC60A9810EE4D24B7676736B8DA1496"/>
    <w:rsid w:val="00EA4CF4"/>
  </w:style>
  <w:style w:type="paragraph" w:customStyle="1" w:styleId="82170D514A2A453DB1392559428BE3DF">
    <w:name w:val="82170D514A2A453DB1392559428BE3DF"/>
    <w:rsid w:val="00EA4CF4"/>
  </w:style>
  <w:style w:type="paragraph" w:customStyle="1" w:styleId="A6981AF55A3940D0BB02442A324B8142">
    <w:name w:val="A6981AF55A3940D0BB02442A324B8142"/>
    <w:rsid w:val="00191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22Vqk6sjA6mVb2FWNFWRiEuOuwXspkts3VCPuqOP+zM=</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zKzkyYN5s8drSno1b7Jdwuisu117YcmopReiGwunPzc=</DigestValue>
    </Reference>
  </SignedInfo>
  <SignatureValue>RAXfWJHDLX1oTlVKfW7WgW9GX2tOYInLIh352yrRZVog3Obafe3dwQLH60CaZysJb+iSUa+GIuEl
EVsuSVFeFDLWMYP9Gr8ZFLsg6VOr++MKTzBfGT56Xd5WzujytJdaKGger9bfAfXUcR8ELKJFkPg7
BgMnpYHtqyXd2AE8DlPm8MCXI2+uPO95qtjp8p9gEZVXAUTjvwkMTPRPMO+UNLFqA/UlCzRQKPfy
yTWFksda9HEipPpoXlH8SZVnZ2iLDJc1eWWqpCJDkqmYSifB3FEdApn6dvC2b5Eizo8nhO5PuYCr
uSLhSxE9V/u/dZnwL/ZGVwqVp0qH/6pjhbNtzw==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jZY5J3RUaeWA9Fda7QUXIEMzGkQk8WfmeFaJIt3b/qQ=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Nc8NO138ubMoe4MrnZp1crXO8LehieoegynlF/bwlx4=</DigestValue>
      </Reference>
      <Reference URI="/word/endnotes.xml?ContentType=application/vnd.openxmlformats-officedocument.wordprocessingml.endnotes+xml">
        <DigestMethod Algorithm="http://www.w3.org/2001/04/xmlenc#sha256"/>
        <DigestValue>+bwL9G7WscW2Z/3ydl/TUZqwG06Ga3odzF7G64W/3ic=</DigestValue>
      </Reference>
      <Reference URI="/word/fontTable.xml?ContentType=application/vnd.openxmlformats-officedocument.wordprocessingml.fontTable+xml">
        <DigestMethod Algorithm="http://www.w3.org/2001/04/xmlenc#sha256"/>
        <DigestValue>kE3064owJZebz0kWcRrcKD52rE43rbNOeZ1RPhEIjvA=</DigestValue>
      </Reference>
      <Reference URI="/word/footer1.xml?ContentType=application/vnd.openxmlformats-officedocument.wordprocessingml.footer+xml">
        <DigestMethod Algorithm="http://www.w3.org/2001/04/xmlenc#sha256"/>
        <DigestValue>7DSUhM53V9VZUHgI6W+AVfhzWOjt1rHsgxRZREEzel0=</DigestValue>
      </Reference>
      <Reference URI="/word/footer2.xml?ContentType=application/vnd.openxmlformats-officedocument.wordprocessingml.footer+xml">
        <DigestMethod Algorithm="http://www.w3.org/2001/04/xmlenc#sha256"/>
        <DigestValue>kAwV5Q2k1VhwDQqjIhLGJL7P1uOOgWx1B5aV3rwMxhc=</DigestValue>
      </Reference>
      <Reference URI="/word/footer3.xml?ContentType=application/vnd.openxmlformats-officedocument.wordprocessingml.footer+xml">
        <DigestMethod Algorithm="http://www.w3.org/2001/04/xmlenc#sha256"/>
        <DigestValue>GWU/zkZjeG0TQ0gUfNko3BharEQjvC5GikeeBKOMLjE=</DigestValue>
      </Reference>
      <Reference URI="/word/footnotes.xml?ContentType=application/vnd.openxmlformats-officedocument.wordprocessingml.footnotes+xml">
        <DigestMethod Algorithm="http://www.w3.org/2001/04/xmlenc#sha256"/>
        <DigestValue>DKgfaWwgkM3are/HqjednY6s2WZ/P3ml7Mqs8wpD3ZI=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henwJpncerqwFMLs3wS5Ox19rMRNB5x6tjgwSC3354s=</DigestValue>
      </Reference>
      <Reference URI="/word/glossary/fontTable.xml?ContentType=application/vnd.openxmlformats-officedocument.wordprocessingml.fontTable+xml">
        <DigestMethod Algorithm="http://www.w3.org/2001/04/xmlenc#sha256"/>
        <DigestValue>kE3064owJZebz0kWcRrcKD52rE43rbNOeZ1RPhEIjvA=</DigestValue>
      </Reference>
      <Reference URI="/word/glossary/settings.xml?ContentType=application/vnd.openxmlformats-officedocument.wordprocessingml.settings+xml">
        <DigestMethod Algorithm="http://www.w3.org/2001/04/xmlenc#sha256"/>
        <DigestValue>/nAolc7omeEKlMHYWMRIu1AzSgg5BN0npUPnOnI3yGs=</DigestValue>
      </Reference>
      <Reference URI="/word/glossary/styles.xml?ContentType=application/vnd.openxmlformats-officedocument.wordprocessingml.styles+xml">
        <DigestMethod Algorithm="http://www.w3.org/2001/04/xmlenc#sha256"/>
        <DigestValue>aGSVsiPrZIUU009Wr0L3HCpTzGQclEWppbjtmS/Rx5g=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QWYZ8aykmm17j4nk4GM5k/7gnTuCGA7KmMw60AnzIiU=</DigestValue>
      </Reference>
      <Reference URI="/word/header2.xml?ContentType=application/vnd.openxmlformats-officedocument.wordprocessingml.header+xml">
        <DigestMethod Algorithm="http://www.w3.org/2001/04/xmlenc#sha256"/>
        <DigestValue>yhxqo3GaXcOMOKvM2aaHe08OUMGYk7Io0LbuIukx/UM=</DigestValue>
      </Reference>
      <Reference URI="/word/header3.xml?ContentType=application/vnd.openxmlformats-officedocument.wordprocessingml.header+xml">
        <DigestMethod Algorithm="http://www.w3.org/2001/04/xmlenc#sha256"/>
        <DigestValue>BymWbjkzanXp7t0pbVRs0Jx/vii6qEkfKb8M80JZSYY=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qj0K37g8/SzVWn8tv0Vc7IxqzqLbwLYvE1DTGfdf8Uc=</DigestValue>
      </Reference>
      <Reference URI="/word/settings.xml?ContentType=application/vnd.openxmlformats-officedocument.wordprocessingml.settings+xml">
        <DigestMethod Algorithm="http://www.w3.org/2001/04/xmlenc#sha256"/>
        <DigestValue>VdyB3qkWXFFqz9AVZKSmxPPAUBr64PIo4y+imvihjqA=</DigestValue>
      </Reference>
      <Reference URI="/word/styles.xml?ContentType=application/vnd.openxmlformats-officedocument.wordprocessingml.styles+xml">
        <DigestMethod Algorithm="http://www.w3.org/2001/04/xmlenc#sha256"/>
        <DigestValue>h7nErRu3KmVn2lA0P8+qRwX95JLpOtWOKvi1pUBDpSI=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tdofx3AAgcEtrl/j824lF6IGXPkXsDcPrWak22Qs4Q8=</DigestValue>
      </Reference>
    </Manifest>
    <SignatureProperties>
      <SignatureProperty Id="idSignatureTime" Target="#idPackageSignature">
        <mdssi:SignatureTime xmlns:mdssi="http://schemas.openxmlformats.org/package/2006/digital-signature">
          <mdssi:Format>YYYY-MM-DDThh:mm:ssTZD</mdssi:Format>
          <mdssi:Value>2020-07-21T01:50:10Z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2020-07-21T01:50:10Z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fQG4jo0RuMPkBIebFRf3m4U0GHlA7urPEClq+ZZzdUwCBAobTV0YDzIwMjAwNzIxMDE1MD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kFnnpnB2XNuum3GJzSXAV5Wuq2o=</xd:ByKey>
                  </xd:ResponderID>
                  <xd:ProducedAt>2020-07-21T00:51:19Z</xd:ProducedAt>
                </xd:OCSPIdentifier>
                <xd:DigestAlgAndValue>
                  <DigestMethod Algorithm="http://www.w3.org/2001/04/xmlenc#sha256"/>
                  <DigestValue>bChXKFxFB8IV5LtfxZ/TYzlx/iXV79e/4E9EF2vfwtM=</DigestValue>
                </xd:DigestAlgAndValue>
              </xd:OCSPRef>
            </xd:OCSPRefs>
            <xd:CRLRefs>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</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0PFFA3CGfSQr9U4Z29K9+C74DHvdrVcW4nx5TgneLwCBAobTV4YDzIwMjAwNzIxMDE1MD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UserInfo>
        <DisplayName>SALIENTE LEY 8204 ENTIDADES FINANCIERAS</DisplayName>
        <AccountId>713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posee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Coordinación Administrativa para que realice la publicación respectiva en el Diario Oficial La Gaceta
Resolución Archivo de Omisiones SICVECA
Saliente de Normas y Saliente Ley 8204 Entidades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Departamento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Archivo de Omisiones SICVECA</Subject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2.xml><?xml version="1.0" encoding="utf-8"?>
<ds:datastoreItem xmlns:ds="http://schemas.openxmlformats.org/officeDocument/2006/customXml" ds:itemID="{7E7A1D17-D98D-4636-97EC-E9EF2B199446}"/>
</file>

<file path=customXml/itemProps3.xml><?xml version="1.0" encoding="utf-8"?>
<ds:datastoreItem xmlns:ds="http://schemas.openxmlformats.org/officeDocument/2006/customXml" ds:itemID="{1A6FB7B0-B425-4B89-A5C1-7E9987DC47BE}">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b875e23b-67d9-4b2e-bdec-edacbf90b326"/>
  </ds:schemaRefs>
</ds:datastoreItem>
</file>

<file path=customXml/itemProps4.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5.xml><?xml version="1.0" encoding="utf-8"?>
<ds:datastoreItem xmlns:ds="http://schemas.openxmlformats.org/officeDocument/2006/customXml" ds:itemID="{61E00B50-2F21-497C-A45D-240B1AC805EB}"/>
</file>

<file path=customXml/itemProps6.xml><?xml version="1.0" encoding="utf-8"?>
<ds:datastoreItem xmlns:ds="http://schemas.openxmlformats.org/officeDocument/2006/customXml" ds:itemID="{ECD45EE3-F36A-419B-99D5-06C25673C624}"/>
</file>

<file path=docProps/app.xml><?xml version="1.0" encoding="utf-8"?>
<Properties xmlns="http://schemas.openxmlformats.org/officeDocument/2006/extended-properties" xmlns:vt="http://schemas.openxmlformats.org/officeDocument/2006/docPropsVTypes">
  <Template>plantillas-SGF-13-Normas</Template>
  <TotalTime>30</TotalTime>
  <Pages>4</Pages>
  <Words>1276</Words>
  <Characters>7021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MARIA GABRIELA</cp:lastModifiedBy>
  <cp:revision>9</cp:revision>
  <dcterms:created xsi:type="dcterms:W3CDTF">2020-07-17T22:29:00Z</dcterms:created>
  <dcterms:modified xsi:type="dcterms:W3CDTF">2020-07-20T19:25:00Z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109;#Área Coordinación Administrativa|39ce7748-92aa-4572-8334-49785789cb1c</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57700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9117168c-c0c0-43d5-af10-31f90bb255ba,5;ab7952a0-1ae5-4b26-8d7a-be63a467751b,8;</vt:lpwstr>
  </property>
</Properties>
</file>