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D156" w14:textId="4E03BDED" w:rsidR="000D2B8B" w:rsidRPr="000C6408" w:rsidRDefault="000D2B8B" w:rsidP="000C6408">
      <w:pPr>
        <w:pStyle w:val="Texto"/>
        <w:spacing w:before="0" w:after="0" w:line="240" w:lineRule="auto"/>
        <w:contextualSpacing/>
        <w:jc w:val="center"/>
        <w:rPr>
          <w:b/>
          <w:bCs/>
          <w:sz w:val="24"/>
        </w:rPr>
      </w:pPr>
      <w:r w:rsidRPr="000C6408">
        <w:rPr>
          <w:b/>
          <w:bCs/>
          <w:sz w:val="24"/>
        </w:rPr>
        <w:t>Resolución</w:t>
      </w:r>
    </w:p>
    <w:p w14:paraId="442586E5" w14:textId="77777777" w:rsidR="000D2B8B" w:rsidRPr="000C6408" w:rsidRDefault="000D2B8B" w:rsidP="000C6408">
      <w:pPr>
        <w:pStyle w:val="Texto"/>
        <w:spacing w:before="0" w:after="0" w:line="240" w:lineRule="auto"/>
        <w:contextualSpacing/>
        <w:jc w:val="center"/>
        <w:rPr>
          <w:sz w:val="24"/>
        </w:rPr>
      </w:pPr>
      <w:r w:rsidRPr="000C6408">
        <w:rPr>
          <w:sz w:val="24"/>
        </w:rPr>
        <w:t>07 de noviembre del 2022</w:t>
      </w:r>
    </w:p>
    <w:sdt>
      <w:sdtPr>
        <w:rPr>
          <w:sz w:val="24"/>
        </w:rPr>
        <w:alias w:val="Consecutivo"/>
        <w:tag w:val="Consecutivo"/>
        <w:id w:val="2052717023"/>
        <w:placeholder>
          <w:docPart w:val="8CE7BD4172EB405B9D2456AD8A0C1BB0"/>
        </w:placeholder>
        <w:text/>
      </w:sdtPr>
      <w:sdtEndPr/>
      <w:sdtContent>
        <w:p w14:paraId="3636683F" w14:textId="77777777" w:rsidR="006972C9" w:rsidRPr="000C6408" w:rsidRDefault="006972C9" w:rsidP="000C6408">
          <w:pPr>
            <w:tabs>
              <w:tab w:val="left" w:pos="2843"/>
            </w:tabs>
            <w:spacing w:line="240" w:lineRule="auto"/>
            <w:contextualSpacing/>
            <w:jc w:val="center"/>
            <w:rPr>
              <w:sz w:val="24"/>
            </w:rPr>
          </w:pPr>
          <w:r>
            <w:t>SGF-2269-2022</w:t>
          </w:r>
        </w:p>
      </w:sdtContent>
    </w:sdt>
    <w:p w14:paraId="6049F786" w14:textId="2C07D331" w:rsidR="006972C9" w:rsidRPr="000C6408" w:rsidRDefault="00684F97" w:rsidP="000C6408">
      <w:pPr>
        <w:tabs>
          <w:tab w:val="left" w:pos="2843"/>
        </w:tabs>
        <w:spacing w:line="240" w:lineRule="auto"/>
        <w:contextualSpacing/>
        <w:jc w:val="center"/>
        <w:rPr>
          <w:sz w:val="24"/>
        </w:rPr>
      </w:pPr>
      <w:sdt>
        <w:sdtPr>
          <w:rPr>
            <w:sz w:val="24"/>
          </w:rPr>
          <w:alias w:val="Confidencialidad"/>
          <w:tag w:val="Confidencialidad"/>
          <w:id w:val="1447896894"/>
          <w:placeholder>
            <w:docPart w:val="E6D9A0AE6E324C8A856F39E6DC801F4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D2B8B" w:rsidRPr="000C6408">
            <w:rPr>
              <w:sz w:val="24"/>
            </w:rPr>
            <w:t>SGF-PUBLICO</w:t>
          </w:r>
        </w:sdtContent>
      </w:sdt>
    </w:p>
    <w:p w14:paraId="10A9CA31" w14:textId="77777777" w:rsidR="006972C9" w:rsidRPr="000C6408" w:rsidRDefault="006972C9" w:rsidP="000C6408">
      <w:pPr>
        <w:tabs>
          <w:tab w:val="left" w:pos="2843"/>
        </w:tabs>
        <w:spacing w:line="240" w:lineRule="auto"/>
        <w:contextualSpacing/>
        <w:rPr>
          <w:sz w:val="24"/>
        </w:rPr>
      </w:pPr>
      <w:r w:rsidRPr="000C6408">
        <w:rPr>
          <w:sz w:val="24"/>
        </w:rPr>
        <w:tab/>
      </w:r>
    </w:p>
    <w:p w14:paraId="00E8D5F5" w14:textId="77777777" w:rsidR="008E3775" w:rsidRPr="000C6408" w:rsidRDefault="008E3775" w:rsidP="000C6408">
      <w:pPr>
        <w:widowControl w:val="0"/>
        <w:spacing w:line="240" w:lineRule="auto"/>
        <w:ind w:left="34" w:right="86"/>
        <w:contextualSpacing/>
        <w:outlineLvl w:val="0"/>
        <w:rPr>
          <w:b/>
          <w:sz w:val="24"/>
          <w:lang w:val="es-CR"/>
        </w:rPr>
      </w:pPr>
    </w:p>
    <w:p w14:paraId="7F64C495" w14:textId="77777777" w:rsidR="008E3775" w:rsidRPr="000C6408" w:rsidRDefault="008E3775" w:rsidP="000C6408">
      <w:pPr>
        <w:widowControl w:val="0"/>
        <w:spacing w:line="240" w:lineRule="auto"/>
        <w:ind w:left="34" w:right="86"/>
        <w:contextualSpacing/>
        <w:outlineLvl w:val="0"/>
        <w:rPr>
          <w:b/>
          <w:sz w:val="24"/>
          <w:lang w:val="es-CR"/>
        </w:rPr>
      </w:pPr>
      <w:r w:rsidRPr="000C6408">
        <w:rPr>
          <w:b/>
          <w:sz w:val="24"/>
          <w:lang w:val="es-CR"/>
        </w:rPr>
        <w:t xml:space="preserve">Dirigida a: </w:t>
      </w:r>
    </w:p>
    <w:p w14:paraId="57D68B41" w14:textId="77777777" w:rsidR="008E3775" w:rsidRPr="000C6408" w:rsidRDefault="008E3775" w:rsidP="000C6408">
      <w:pPr>
        <w:widowControl w:val="0"/>
        <w:spacing w:line="240" w:lineRule="auto"/>
        <w:ind w:right="86"/>
        <w:contextualSpacing/>
        <w:outlineLvl w:val="0"/>
        <w:rPr>
          <w:b/>
          <w:sz w:val="24"/>
          <w:lang w:val="es-CR"/>
        </w:rPr>
      </w:pPr>
    </w:p>
    <w:p w14:paraId="5CA91D0B"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Bancos Comerciales del Estado</w:t>
      </w:r>
    </w:p>
    <w:p w14:paraId="5ECC266E"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Bancos Creados por Leyes Especiales</w:t>
      </w:r>
    </w:p>
    <w:p w14:paraId="58EB3854"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Bancos Privados</w:t>
      </w:r>
    </w:p>
    <w:p w14:paraId="52DCDDB5"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Empresas Financieras no Bancarias</w:t>
      </w:r>
    </w:p>
    <w:p w14:paraId="7E3257DE"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Otras Entidades Financieras</w:t>
      </w:r>
    </w:p>
    <w:p w14:paraId="6C61EE29"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Organizaciones Cooperativas de Ahorro y Crédito</w:t>
      </w:r>
    </w:p>
    <w:p w14:paraId="03FA8752"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Entidades Autorizadas del Sistema Financiera Nacional para la Vivienda</w:t>
      </w:r>
    </w:p>
    <w:p w14:paraId="3D2601F9"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Secretaría Técnica del Sistema de Banca de Desarrollo</w:t>
      </w:r>
    </w:p>
    <w:p w14:paraId="7626753C" w14:textId="77777777" w:rsidR="008E3775" w:rsidRPr="000C6408" w:rsidRDefault="008E3775" w:rsidP="000C6408">
      <w:pPr>
        <w:pStyle w:val="Texto"/>
        <w:spacing w:line="240" w:lineRule="auto"/>
        <w:contextualSpacing/>
        <w:rPr>
          <w:b/>
          <w:sz w:val="24"/>
        </w:rPr>
      </w:pPr>
    </w:p>
    <w:p w14:paraId="3C6C7F73" w14:textId="77777777" w:rsidR="008E3775" w:rsidRPr="000C6408" w:rsidRDefault="008E3775" w:rsidP="000C6408">
      <w:pPr>
        <w:pStyle w:val="Texto"/>
        <w:spacing w:line="240" w:lineRule="auto"/>
        <w:contextualSpacing/>
        <w:rPr>
          <w:i/>
          <w:iCs/>
          <w:sz w:val="24"/>
          <w:lang w:val="es-419"/>
        </w:rPr>
      </w:pPr>
      <w:r w:rsidRPr="000C6408">
        <w:rPr>
          <w:b/>
          <w:sz w:val="24"/>
        </w:rPr>
        <w:t xml:space="preserve">Asunto: </w:t>
      </w:r>
      <w:r w:rsidRPr="000C6408">
        <w:rPr>
          <w:i/>
          <w:iCs/>
          <w:sz w:val="24"/>
          <w:lang w:val="es-419"/>
        </w:rPr>
        <w:t>Envío en consulta de modificación de los “Lineamientos Generales para la Aplicación del Reglamento sobre gestión y evaluación del riesgo de crédito para el Sistema de Banca para el Desarrollo, Acuerdo SUGEF 15-16</w:t>
      </w:r>
      <w:r w:rsidRPr="000C6408">
        <w:rPr>
          <w:sz w:val="24"/>
          <w:lang w:val="es-419"/>
        </w:rPr>
        <w:t>.</w:t>
      </w:r>
    </w:p>
    <w:p w14:paraId="296233F9" w14:textId="77777777" w:rsidR="008E3775" w:rsidRPr="000C6408" w:rsidRDefault="008E3775" w:rsidP="000C6408">
      <w:pPr>
        <w:widowControl w:val="0"/>
        <w:spacing w:after="120" w:line="240" w:lineRule="auto"/>
        <w:ind w:left="-39"/>
        <w:contextualSpacing/>
        <w:rPr>
          <w:b/>
          <w:bCs/>
          <w:sz w:val="24"/>
          <w:lang w:val="es-419"/>
        </w:rPr>
      </w:pPr>
    </w:p>
    <w:p w14:paraId="37709F17" w14:textId="23CB2C23" w:rsidR="008E3775" w:rsidRPr="000C6408" w:rsidRDefault="000C6408" w:rsidP="000C6408">
      <w:pPr>
        <w:widowControl w:val="0"/>
        <w:spacing w:after="120" w:line="240" w:lineRule="auto"/>
        <w:ind w:left="-39"/>
        <w:contextualSpacing/>
        <w:rPr>
          <w:b/>
          <w:bCs/>
          <w:sz w:val="24"/>
        </w:rPr>
      </w:pPr>
      <w:r>
        <w:rPr>
          <w:b/>
          <w:bCs/>
          <w:sz w:val="24"/>
        </w:rPr>
        <w:t>La</w:t>
      </w:r>
      <w:r w:rsidR="008E3775" w:rsidRPr="000C6408">
        <w:rPr>
          <w:b/>
          <w:bCs/>
          <w:sz w:val="24"/>
        </w:rPr>
        <w:t xml:space="preserve"> Superintenden</w:t>
      </w:r>
      <w:r>
        <w:rPr>
          <w:b/>
          <w:bCs/>
          <w:sz w:val="24"/>
        </w:rPr>
        <w:t>cia</w:t>
      </w:r>
      <w:r w:rsidR="008E3775" w:rsidRPr="000C6408">
        <w:rPr>
          <w:b/>
          <w:bCs/>
          <w:sz w:val="24"/>
        </w:rPr>
        <w:t xml:space="preserve"> General de Entidades Financieras,</w:t>
      </w:r>
    </w:p>
    <w:p w14:paraId="769401B4" w14:textId="77777777" w:rsidR="008E3775" w:rsidRPr="000C6408" w:rsidRDefault="008E3775" w:rsidP="000C6408">
      <w:pPr>
        <w:widowControl w:val="0"/>
        <w:spacing w:line="240" w:lineRule="auto"/>
        <w:contextualSpacing/>
        <w:rPr>
          <w:b/>
          <w:bCs/>
          <w:sz w:val="24"/>
        </w:rPr>
      </w:pPr>
    </w:p>
    <w:p w14:paraId="27125A1E" w14:textId="285AF840" w:rsidR="008E3775" w:rsidRPr="000C6408" w:rsidRDefault="000C6408" w:rsidP="000C6408">
      <w:pPr>
        <w:spacing w:after="120" w:line="240" w:lineRule="auto"/>
        <w:contextualSpacing/>
        <w:rPr>
          <w:rFonts w:cs="Calibri"/>
          <w:b/>
          <w:bCs/>
          <w:sz w:val="24"/>
          <w:lang w:eastAsia="es-CR"/>
        </w:rPr>
      </w:pPr>
      <w:r>
        <w:rPr>
          <w:rFonts w:cs="Calibri"/>
          <w:b/>
          <w:bCs/>
          <w:sz w:val="24"/>
          <w:lang w:eastAsia="es-CR"/>
        </w:rPr>
        <w:t>C</w:t>
      </w:r>
      <w:r w:rsidR="008E3775" w:rsidRPr="000C6408">
        <w:rPr>
          <w:rFonts w:cs="Calibri"/>
          <w:b/>
          <w:bCs/>
          <w:sz w:val="24"/>
          <w:lang w:eastAsia="es-CR"/>
        </w:rPr>
        <w:t xml:space="preserve">onsiderando que: </w:t>
      </w:r>
    </w:p>
    <w:p w14:paraId="0617F0F7" w14:textId="77777777" w:rsidR="008E3775" w:rsidRPr="000C6408" w:rsidRDefault="008E3775" w:rsidP="000C6408">
      <w:pPr>
        <w:pStyle w:val="Prrafodelista"/>
        <w:widowControl w:val="0"/>
        <w:numPr>
          <w:ilvl w:val="0"/>
          <w:numId w:val="6"/>
        </w:numPr>
        <w:spacing w:after="0" w:line="240" w:lineRule="auto"/>
        <w:ind w:left="850" w:hanging="357"/>
        <w:rPr>
          <w:rFonts w:ascii="Cambria" w:hAnsi="Cambria"/>
          <w:szCs w:val="24"/>
          <w:lang w:eastAsia="es-CR"/>
        </w:rPr>
      </w:pPr>
      <w:r w:rsidRPr="000C6408">
        <w:rPr>
          <w:rFonts w:ascii="Cambria" w:hAnsi="Cambria" w:cs="Calibri"/>
          <w:szCs w:val="24"/>
          <w:lang w:eastAsia="es-CR"/>
        </w:rPr>
        <w:t>Se propone mejoras al cálculo del “Comportamiento de Pago Histórico (CPH).</w:t>
      </w:r>
    </w:p>
    <w:p w14:paraId="5F83F2D2" w14:textId="77777777" w:rsidR="008E3775" w:rsidRPr="000C6408" w:rsidRDefault="008E3775" w:rsidP="000C6408">
      <w:pPr>
        <w:pStyle w:val="Prrafodelista"/>
        <w:numPr>
          <w:ilvl w:val="0"/>
          <w:numId w:val="6"/>
        </w:numPr>
        <w:spacing w:after="0" w:line="240" w:lineRule="auto"/>
        <w:ind w:left="850" w:hanging="357"/>
        <w:rPr>
          <w:rFonts w:ascii="Cambria" w:hAnsi="Cambria"/>
          <w:szCs w:val="24"/>
          <w:lang w:eastAsia="es-CR"/>
        </w:rPr>
      </w:pPr>
      <w:r w:rsidRPr="000C6408">
        <w:rPr>
          <w:rFonts w:ascii="Cambria" w:hAnsi="Cambria"/>
          <w:szCs w:val="24"/>
          <w:lang w:eastAsia="es-CR"/>
        </w:rPr>
        <w:t xml:space="preserve">El inciso 2) del artículo 361 Ley General de la Administración Pública establece que se concederá a las entidades representativas de intereses de carácter general o corporativo afectados por la disposición, la oportunidad de exponer su parecer. </w:t>
      </w:r>
    </w:p>
    <w:p w14:paraId="640739E1" w14:textId="77777777" w:rsidR="008E3775" w:rsidRPr="000C6408" w:rsidRDefault="008E3775" w:rsidP="000C6408">
      <w:pPr>
        <w:pStyle w:val="Prrafodelista"/>
        <w:numPr>
          <w:ilvl w:val="0"/>
          <w:numId w:val="6"/>
        </w:numPr>
        <w:spacing w:after="0" w:line="240" w:lineRule="auto"/>
        <w:ind w:left="850" w:hanging="357"/>
        <w:rPr>
          <w:rFonts w:ascii="Cambria" w:hAnsi="Cambria"/>
          <w:szCs w:val="24"/>
          <w:lang w:eastAsia="es-CR"/>
        </w:rPr>
      </w:pPr>
      <w:r w:rsidRPr="000C6408">
        <w:rPr>
          <w:rFonts w:ascii="Cambria" w:hAnsi="Cambria"/>
          <w:szCs w:val="24"/>
          <w:lang w:eastAsia="es-CR"/>
        </w:rPr>
        <w:lastRenderedPageBreak/>
        <w:t xml:space="preserve">En ese sentido, se somete a consulta de las entidades supervisadas, cámaras y gremios la propuesta de modificación a los Lineamientos Generales del </w:t>
      </w:r>
      <w:r w:rsidRPr="000C6408">
        <w:rPr>
          <w:rFonts w:ascii="Cambria" w:hAnsi="Cambria"/>
          <w:i/>
          <w:iCs/>
          <w:szCs w:val="24"/>
          <w:lang w:val="es-419"/>
        </w:rPr>
        <w:t>Reglamento sobre gestión y evaluación del riesgo de crédito para el Sistema de Banca para el Desarrollo, Acuerdo SUGEF 15-16</w:t>
      </w:r>
      <w:r w:rsidRPr="000C6408">
        <w:rPr>
          <w:rFonts w:ascii="Cambria" w:hAnsi="Cambria"/>
          <w:szCs w:val="24"/>
          <w:lang w:val="es-419"/>
        </w:rPr>
        <w:t>.</w:t>
      </w:r>
      <w:r w:rsidRPr="000C6408">
        <w:rPr>
          <w:rFonts w:ascii="Cambria" w:hAnsi="Cambria" w:cs="Calibri"/>
          <w:szCs w:val="24"/>
          <w:lang w:eastAsia="es-CR"/>
        </w:rPr>
        <w:t xml:space="preserve">  </w:t>
      </w:r>
    </w:p>
    <w:p w14:paraId="0444538B" w14:textId="77777777" w:rsidR="008E3775" w:rsidRPr="000C6408" w:rsidRDefault="008E3775" w:rsidP="000C6408">
      <w:pPr>
        <w:spacing w:after="120" w:line="240" w:lineRule="auto"/>
        <w:contextualSpacing/>
        <w:rPr>
          <w:rFonts w:cs="Calibri"/>
          <w:b/>
          <w:bCs/>
          <w:sz w:val="24"/>
          <w:lang w:eastAsia="es-CR"/>
        </w:rPr>
      </w:pPr>
    </w:p>
    <w:p w14:paraId="4C45B710" w14:textId="257F802E" w:rsidR="008E3775" w:rsidRDefault="000C6408" w:rsidP="000C6408">
      <w:pPr>
        <w:spacing w:after="120" w:line="240" w:lineRule="auto"/>
        <w:contextualSpacing/>
        <w:rPr>
          <w:rFonts w:cs="Calibri"/>
          <w:b/>
          <w:bCs/>
          <w:sz w:val="24"/>
          <w:lang w:eastAsia="es-CR"/>
        </w:rPr>
      </w:pPr>
      <w:r>
        <w:rPr>
          <w:rFonts w:cs="Calibri"/>
          <w:b/>
          <w:bCs/>
          <w:sz w:val="24"/>
          <w:lang w:eastAsia="es-CR"/>
        </w:rPr>
        <w:t>D</w:t>
      </w:r>
      <w:r w:rsidR="008E3775" w:rsidRPr="000C6408">
        <w:rPr>
          <w:rFonts w:cs="Calibri"/>
          <w:b/>
          <w:bCs/>
          <w:sz w:val="24"/>
          <w:lang w:eastAsia="es-CR"/>
        </w:rPr>
        <w:t>ispuso en firme:</w:t>
      </w:r>
    </w:p>
    <w:p w14:paraId="2AEFFD4B" w14:textId="77777777" w:rsidR="000C6408" w:rsidRPr="000C6408" w:rsidRDefault="000C6408" w:rsidP="000C6408">
      <w:pPr>
        <w:spacing w:after="120" w:line="240" w:lineRule="auto"/>
        <w:contextualSpacing/>
        <w:rPr>
          <w:rFonts w:cs="Calibri"/>
          <w:b/>
          <w:bCs/>
          <w:sz w:val="24"/>
          <w:lang w:eastAsia="es-CR"/>
        </w:rPr>
      </w:pPr>
    </w:p>
    <w:p w14:paraId="298CCA2A" w14:textId="27652081" w:rsidR="008E3775" w:rsidRDefault="008E3775" w:rsidP="000C6408">
      <w:pPr>
        <w:spacing w:after="120" w:line="240" w:lineRule="auto"/>
        <w:contextualSpacing/>
        <w:rPr>
          <w:rFonts w:cs="Calibri"/>
          <w:sz w:val="24"/>
          <w:lang w:eastAsia="es-CR"/>
        </w:rPr>
      </w:pPr>
      <w:r w:rsidRPr="000C6408">
        <w:rPr>
          <w:rFonts w:cs="Calibri"/>
          <w:sz w:val="24"/>
          <w:lang w:eastAsia="es-CR"/>
        </w:rPr>
        <w:t xml:space="preserve">remitir en consulta, en cumplimiento de lo establecido en el numeral 2, artículo 361, de la Ley General de la Administración Pública, Ley 6227, a todas las entidades supervisadas por la SUGEF, Federación de Cooperativas de Ahorro y Crédito FEDEAC, R.L., Federación de Cooperativas de Ahorro y Crédito FECOOPSE, R.L., Asociación Bancaria Costarricense, Cámara de Bancos e Instituciones Financieras de Costa Rica,  a la Federación de Mutuales de Ahorro y Préstamo y a la Secretaría Técnica del sistema de Banca para el Desarrollo, la propuesta de reforma a los Lineamientos del </w:t>
      </w:r>
      <w:r w:rsidRPr="000C6408">
        <w:rPr>
          <w:i/>
          <w:iCs/>
          <w:sz w:val="24"/>
          <w:lang w:val="es-419"/>
        </w:rPr>
        <w:t>Reglamento sobre gestión y evaluación del riesgo de crédito para el Sistema de Banca para el Desarrollo, Acuerdo SUGEF 15-16</w:t>
      </w:r>
      <w:r w:rsidRPr="000C6408">
        <w:rPr>
          <w:sz w:val="24"/>
          <w:lang w:val="es-419"/>
        </w:rPr>
        <w:t>.</w:t>
      </w:r>
      <w:r w:rsidRPr="000C6408">
        <w:rPr>
          <w:rFonts w:cs="Calibri"/>
          <w:sz w:val="24"/>
          <w:lang w:eastAsia="es-CR"/>
        </w:rPr>
        <w:t xml:space="preserve">   </w:t>
      </w:r>
    </w:p>
    <w:p w14:paraId="6D9CCCC0" w14:textId="77777777" w:rsidR="000C6408" w:rsidRPr="000C6408" w:rsidRDefault="000C6408" w:rsidP="000C6408">
      <w:pPr>
        <w:spacing w:after="120" w:line="240" w:lineRule="auto"/>
        <w:contextualSpacing/>
        <w:rPr>
          <w:rFonts w:cs="Calibri"/>
          <w:sz w:val="24"/>
          <w:lang w:eastAsia="es-CR"/>
        </w:rPr>
      </w:pPr>
    </w:p>
    <w:p w14:paraId="19346F92" w14:textId="3367E46D" w:rsidR="008E3775" w:rsidRDefault="008E3775" w:rsidP="000C6408">
      <w:pPr>
        <w:spacing w:after="120" w:line="240" w:lineRule="auto"/>
        <w:contextualSpacing/>
        <w:rPr>
          <w:rFonts w:cs="Calibri"/>
          <w:sz w:val="24"/>
          <w:lang w:eastAsia="es-CR"/>
        </w:rPr>
      </w:pPr>
      <w:r w:rsidRPr="000C6408">
        <w:rPr>
          <w:rFonts w:cs="Calibri"/>
          <w:sz w:val="24"/>
          <w:lang w:eastAsia="es-CR"/>
        </w:rPr>
        <w:t xml:space="preserve">En el entendido que en un </w:t>
      </w:r>
      <w:r w:rsidRPr="000C6408">
        <w:rPr>
          <w:rFonts w:cs="Calibri"/>
          <w:b/>
          <w:bCs/>
          <w:sz w:val="24"/>
          <w:lang w:eastAsia="es-CR"/>
        </w:rPr>
        <w:t>plazo máximo de diez (10) días hábiles</w:t>
      </w:r>
      <w:r w:rsidRPr="000C6408">
        <w:rPr>
          <w:rFonts w:cs="Calibri"/>
          <w:sz w:val="24"/>
          <w:lang w:eastAsia="es-CR"/>
        </w:rPr>
        <w:t xml:space="preserve">, contados a partir del día hábil siguiente del recibo de la comunicación, deberán incluir los comentarios y observaciones en el formulario que </w:t>
      </w:r>
      <w:r w:rsidRPr="000C6408">
        <w:rPr>
          <w:rFonts w:cs="Calibri"/>
          <w:sz w:val="24"/>
          <w:lang w:val="es-419" w:eastAsia="es-CR"/>
        </w:rPr>
        <w:t xml:space="preserve">está disponible en el apartado </w:t>
      </w:r>
      <w:hyperlink r:id="rId13" w:history="1">
        <w:r w:rsidRPr="000C6408">
          <w:rPr>
            <w:rStyle w:val="Hipervnculo"/>
            <w:rFonts w:cs="Calibri"/>
            <w:sz w:val="24"/>
            <w:lang w:eastAsia="es-CR"/>
          </w:rPr>
          <w:t>“</w:t>
        </w:r>
        <w:r w:rsidRPr="000C6408">
          <w:rPr>
            <w:rStyle w:val="Hipervnculo"/>
            <w:rFonts w:cs="Calibri"/>
            <w:b/>
            <w:bCs/>
            <w:sz w:val="24"/>
            <w:lang w:eastAsia="es-CR"/>
          </w:rPr>
          <w:t>Formularios para remitir observaciones de normativa en consulta”</w:t>
        </w:r>
      </w:hyperlink>
      <w:r w:rsidRPr="000C6408">
        <w:rPr>
          <w:rFonts w:cs="Calibri"/>
          <w:b/>
          <w:bCs/>
          <w:sz w:val="24"/>
          <w:lang w:eastAsia="es-CR"/>
        </w:rPr>
        <w:t xml:space="preserve">, </w:t>
      </w:r>
      <w:r w:rsidRPr="000C6408">
        <w:rPr>
          <w:rFonts w:cs="Calibri"/>
          <w:sz w:val="24"/>
          <w:lang w:eastAsia="es-CR"/>
        </w:rPr>
        <w:t>ubicado en la dirección electrónica de la página oficial de la SUGEF.</w:t>
      </w:r>
    </w:p>
    <w:p w14:paraId="33B2FB0C" w14:textId="77777777" w:rsidR="000C6408" w:rsidRPr="000C6408" w:rsidRDefault="000C6408" w:rsidP="000C6408">
      <w:pPr>
        <w:spacing w:after="120" w:line="240" w:lineRule="auto"/>
        <w:contextualSpacing/>
        <w:rPr>
          <w:rFonts w:cs="Calibri"/>
          <w:sz w:val="24"/>
          <w:lang w:eastAsia="es-CR"/>
        </w:rPr>
      </w:pPr>
    </w:p>
    <w:p w14:paraId="0BA9045E" w14:textId="7455BFD7" w:rsidR="008E3775" w:rsidRDefault="008E3775" w:rsidP="000C6408">
      <w:pPr>
        <w:spacing w:after="120" w:line="240" w:lineRule="auto"/>
        <w:contextualSpacing/>
        <w:rPr>
          <w:rFonts w:cs="Calibri"/>
          <w:sz w:val="24"/>
          <w:lang w:eastAsia="es-CR"/>
        </w:rPr>
      </w:pPr>
      <w:r w:rsidRPr="000C6408">
        <w:rPr>
          <w:rFonts w:cs="Calibri"/>
          <w:sz w:val="24"/>
          <w:lang w:eastAsia="es-CR"/>
        </w:rPr>
        <w:t>El formulario estará disponible hasta el término de la consulta.</w:t>
      </w:r>
    </w:p>
    <w:p w14:paraId="18AD9C0F" w14:textId="77777777" w:rsidR="000C6408" w:rsidRPr="000C6408" w:rsidRDefault="000C6408" w:rsidP="000C6408">
      <w:pPr>
        <w:spacing w:after="120" w:line="240" w:lineRule="auto"/>
        <w:contextualSpacing/>
        <w:rPr>
          <w:rFonts w:cs="Calibri"/>
          <w:sz w:val="24"/>
          <w:lang w:eastAsia="es-CR"/>
        </w:rPr>
      </w:pPr>
    </w:p>
    <w:p w14:paraId="6E1932D5" w14:textId="77777777" w:rsidR="008E3775" w:rsidRPr="000C6408" w:rsidRDefault="008E3775" w:rsidP="000C6408">
      <w:pPr>
        <w:spacing w:after="120" w:line="240" w:lineRule="auto"/>
        <w:contextualSpacing/>
        <w:rPr>
          <w:rFonts w:cs="Calibri"/>
          <w:sz w:val="24"/>
          <w:lang w:eastAsia="es-CR"/>
        </w:rPr>
      </w:pPr>
      <w:r w:rsidRPr="000C6408">
        <w:rPr>
          <w:rFonts w:cs="Calibri"/>
          <w:sz w:val="24"/>
          <w:lang w:eastAsia="es-CR"/>
        </w:rPr>
        <w:t xml:space="preserve">Sin detrimento de lo anterior, las entidades consultadas pueden presentar de manera consolidada sus observaciones y comentarios a través de los gremios y cámaras que les representan. Asimismo, el correo electrónico </w:t>
      </w:r>
      <w:hyperlink r:id="rId14" w:history="1">
        <w:r w:rsidRPr="000C6408">
          <w:rPr>
            <w:rStyle w:val="Hipervnculo"/>
            <w:rFonts w:cs="Calibri"/>
            <w:sz w:val="24"/>
            <w:lang w:eastAsia="es-CR"/>
          </w:rPr>
          <w:t>normativaenconsulta@sugef.fi.cr</w:t>
        </w:r>
      </w:hyperlink>
      <w:r w:rsidRPr="000C6408">
        <w:rPr>
          <w:rFonts w:cs="Calibri"/>
          <w:sz w:val="24"/>
          <w:lang w:eastAsia="es-CR"/>
        </w:rPr>
        <w:t xml:space="preserve"> será utilizado </w:t>
      </w:r>
      <w:r w:rsidRPr="000C6408">
        <w:rPr>
          <w:rFonts w:cs="Calibri"/>
          <w:sz w:val="24"/>
          <w:u w:val="single"/>
          <w:lang w:eastAsia="es-CR"/>
        </w:rPr>
        <w:t>únicamente</w:t>
      </w:r>
      <w:r w:rsidRPr="000C6408">
        <w:rPr>
          <w:rFonts w:cs="Calibri"/>
          <w:sz w:val="24"/>
          <w:lang w:eastAsia="es-CR"/>
        </w:rPr>
        <w:t xml:space="preserve"> como mecanismo de notificación sobre la completitud de dicho formulario, respecto del texto que a continuación se transcribe:</w:t>
      </w:r>
    </w:p>
    <w:p w14:paraId="57C0076B" w14:textId="77777777" w:rsidR="008E3775" w:rsidRPr="000C6408" w:rsidRDefault="008E3775" w:rsidP="000C6408">
      <w:pPr>
        <w:pStyle w:val="Texto"/>
        <w:spacing w:before="0" w:after="0" w:line="240" w:lineRule="auto"/>
        <w:contextualSpacing/>
        <w:jc w:val="center"/>
        <w:rPr>
          <w:b/>
          <w:sz w:val="24"/>
        </w:rPr>
      </w:pPr>
    </w:p>
    <w:p w14:paraId="7CE97F64" w14:textId="77777777" w:rsidR="008E3775" w:rsidRPr="000C6408" w:rsidRDefault="008E3775" w:rsidP="000C6408">
      <w:pPr>
        <w:pStyle w:val="Texto"/>
        <w:spacing w:before="0" w:after="0" w:line="240" w:lineRule="auto"/>
        <w:contextualSpacing/>
        <w:jc w:val="center"/>
        <w:rPr>
          <w:sz w:val="24"/>
        </w:rPr>
      </w:pPr>
      <w:r w:rsidRPr="000C6408">
        <w:rPr>
          <w:b/>
          <w:sz w:val="24"/>
        </w:rPr>
        <w:t>“Resolución</w:t>
      </w:r>
    </w:p>
    <w:p w14:paraId="24C91245" w14:textId="719B2BE2" w:rsidR="008E3775" w:rsidRPr="000C6408" w:rsidRDefault="000C6408" w:rsidP="000C6408">
      <w:pPr>
        <w:pStyle w:val="Texto"/>
        <w:spacing w:before="0" w:after="0" w:line="240" w:lineRule="auto"/>
        <w:contextualSpacing/>
        <w:jc w:val="center"/>
        <w:rPr>
          <w:sz w:val="24"/>
        </w:rPr>
      </w:pPr>
      <w:r>
        <w:rPr>
          <w:sz w:val="24"/>
        </w:rPr>
        <w:t>07</w:t>
      </w:r>
      <w:r w:rsidR="008E3775" w:rsidRPr="000C6408">
        <w:rPr>
          <w:sz w:val="24"/>
        </w:rPr>
        <w:t xml:space="preserve"> de </w:t>
      </w:r>
      <w:r>
        <w:rPr>
          <w:sz w:val="24"/>
        </w:rPr>
        <w:t>noviembre</w:t>
      </w:r>
      <w:r w:rsidR="008E3775" w:rsidRPr="000C6408">
        <w:rPr>
          <w:sz w:val="24"/>
        </w:rPr>
        <w:t xml:space="preserve"> del 2022</w:t>
      </w:r>
    </w:p>
    <w:sdt>
      <w:sdtPr>
        <w:rPr>
          <w:sz w:val="24"/>
        </w:rPr>
        <w:alias w:val="Consecutivo"/>
        <w:tag w:val="Consecutivo"/>
        <w:id w:val="367199131"/>
        <w:placeholder>
          <w:docPart w:val="97549C02A94D4A4C8B8170472F8DCF93"/>
        </w:placeholder>
        <w:text/>
      </w:sdtPr>
      <w:sdtEndPr/>
      <w:sdtContent>
        <w:p w14:paraId="50CEAD1E" w14:textId="20313DB1" w:rsidR="008E3775" w:rsidRPr="000C6408" w:rsidRDefault="00684F97" w:rsidP="000C6408">
          <w:pPr>
            <w:tabs>
              <w:tab w:val="left" w:pos="2843"/>
            </w:tabs>
            <w:spacing w:line="240" w:lineRule="auto"/>
            <w:contextualSpacing/>
            <w:jc w:val="center"/>
            <w:rPr>
              <w:sz w:val="24"/>
            </w:rPr>
          </w:pPr>
          <w:r>
            <w:rPr>
              <w:sz w:val="24"/>
            </w:rPr>
            <w:t>SGF-XXX-2022</w:t>
          </w:r>
        </w:p>
      </w:sdtContent>
    </w:sdt>
    <w:p w14:paraId="23D43FC0" w14:textId="77777777" w:rsidR="008E3775" w:rsidRPr="000C6408" w:rsidRDefault="00684F97" w:rsidP="000C6408">
      <w:pPr>
        <w:tabs>
          <w:tab w:val="left" w:pos="2843"/>
        </w:tabs>
        <w:spacing w:line="240" w:lineRule="auto"/>
        <w:contextualSpacing/>
        <w:jc w:val="center"/>
        <w:rPr>
          <w:sz w:val="24"/>
        </w:rPr>
      </w:pPr>
      <w:sdt>
        <w:sdtPr>
          <w:rPr>
            <w:sz w:val="24"/>
          </w:rPr>
          <w:alias w:val="Confidencialidad"/>
          <w:tag w:val="Confidencialidad"/>
          <w:id w:val="2135442733"/>
          <w:placeholder>
            <w:docPart w:val="772732C87DD1432C86BA8B7BBEDDE36A"/>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E3775" w:rsidRPr="000C6408">
            <w:rPr>
              <w:sz w:val="24"/>
              <w:lang w:val="es-CR"/>
            </w:rPr>
            <w:t>SGF-PUBLICO</w:t>
          </w:r>
        </w:sdtContent>
      </w:sdt>
    </w:p>
    <w:p w14:paraId="209E7926" w14:textId="77777777" w:rsidR="008E3775" w:rsidRPr="000C6408" w:rsidRDefault="008E3775" w:rsidP="000C6408">
      <w:pPr>
        <w:widowControl w:val="0"/>
        <w:spacing w:line="240" w:lineRule="auto"/>
        <w:ind w:left="34" w:right="86"/>
        <w:contextualSpacing/>
        <w:outlineLvl w:val="0"/>
        <w:rPr>
          <w:b/>
          <w:sz w:val="24"/>
          <w:lang w:val="es-CR"/>
        </w:rPr>
      </w:pPr>
    </w:p>
    <w:p w14:paraId="7A9A7CD2" w14:textId="77777777" w:rsidR="008E3775" w:rsidRPr="000C6408" w:rsidRDefault="008E3775" w:rsidP="000C6408">
      <w:pPr>
        <w:widowControl w:val="0"/>
        <w:spacing w:line="240" w:lineRule="auto"/>
        <w:ind w:left="34" w:right="86"/>
        <w:contextualSpacing/>
        <w:outlineLvl w:val="0"/>
        <w:rPr>
          <w:b/>
          <w:sz w:val="24"/>
          <w:lang w:val="es-CR"/>
        </w:rPr>
      </w:pPr>
      <w:r w:rsidRPr="000C6408">
        <w:rPr>
          <w:b/>
          <w:sz w:val="24"/>
          <w:lang w:val="es-CR"/>
        </w:rPr>
        <w:t xml:space="preserve">Dirigida a: </w:t>
      </w:r>
    </w:p>
    <w:p w14:paraId="13B37236" w14:textId="77777777" w:rsidR="008E3775" w:rsidRPr="000C6408" w:rsidRDefault="008E3775" w:rsidP="000C6408">
      <w:pPr>
        <w:widowControl w:val="0"/>
        <w:spacing w:line="240" w:lineRule="auto"/>
        <w:ind w:left="34" w:right="86"/>
        <w:contextualSpacing/>
        <w:outlineLvl w:val="0"/>
        <w:rPr>
          <w:b/>
          <w:sz w:val="24"/>
          <w:lang w:val="es-CR"/>
        </w:rPr>
      </w:pPr>
    </w:p>
    <w:p w14:paraId="66314713"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Bancos Comerciales del Estado</w:t>
      </w:r>
    </w:p>
    <w:p w14:paraId="0B808C5B"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Bancos Creados por Leyes Especiales</w:t>
      </w:r>
    </w:p>
    <w:p w14:paraId="5D953A7A"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Bancos Privados</w:t>
      </w:r>
    </w:p>
    <w:p w14:paraId="40F135BC"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Empresas Financieras no Bancarias</w:t>
      </w:r>
    </w:p>
    <w:p w14:paraId="00A737DB"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Otras Entidades Financieras</w:t>
      </w:r>
    </w:p>
    <w:p w14:paraId="2A1675C5" w14:textId="77777777" w:rsidR="008E3775" w:rsidRPr="000C6408"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Organizaciones Cooperativas de Ahorro y Crédito</w:t>
      </w:r>
    </w:p>
    <w:p w14:paraId="3AB0DCA9" w14:textId="45175CFC" w:rsidR="008E3775" w:rsidRDefault="008E3775"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Entidades Autorizadas del Sistema Financiera Nacional para la Vivienda</w:t>
      </w:r>
    </w:p>
    <w:p w14:paraId="219A11F1" w14:textId="77777777" w:rsidR="000C6408" w:rsidRPr="000C6408" w:rsidRDefault="000C6408" w:rsidP="000C6408">
      <w:pPr>
        <w:widowControl w:val="0"/>
        <w:numPr>
          <w:ilvl w:val="0"/>
          <w:numId w:val="4"/>
        </w:numPr>
        <w:spacing w:after="200" w:line="240" w:lineRule="auto"/>
        <w:ind w:left="567" w:right="86" w:hanging="567"/>
        <w:contextualSpacing/>
        <w:rPr>
          <w:b/>
          <w:sz w:val="24"/>
          <w:lang w:val="es-CR"/>
        </w:rPr>
      </w:pPr>
      <w:r w:rsidRPr="000C6408">
        <w:rPr>
          <w:b/>
          <w:sz w:val="24"/>
          <w:lang w:val="es-CR"/>
        </w:rPr>
        <w:t>Secretaría Técnica del Sistema de Banca de Desarrollo</w:t>
      </w:r>
    </w:p>
    <w:p w14:paraId="2E0E196C" w14:textId="77777777" w:rsidR="008E3775" w:rsidRPr="000C6408" w:rsidRDefault="008E3775" w:rsidP="000C6408">
      <w:pPr>
        <w:pStyle w:val="Texto"/>
        <w:spacing w:line="240" w:lineRule="auto"/>
        <w:contextualSpacing/>
        <w:rPr>
          <w:b/>
          <w:sz w:val="24"/>
        </w:rPr>
      </w:pPr>
    </w:p>
    <w:p w14:paraId="6DF2141B" w14:textId="77777777" w:rsidR="008E3775" w:rsidRPr="000C6408" w:rsidRDefault="008E3775" w:rsidP="000C6408">
      <w:pPr>
        <w:pStyle w:val="Texto"/>
        <w:spacing w:line="240" w:lineRule="auto"/>
        <w:contextualSpacing/>
        <w:rPr>
          <w:i/>
          <w:iCs/>
          <w:sz w:val="24"/>
        </w:rPr>
      </w:pPr>
      <w:r w:rsidRPr="000C6408">
        <w:rPr>
          <w:b/>
          <w:sz w:val="24"/>
        </w:rPr>
        <w:t xml:space="preserve">Asunto: </w:t>
      </w:r>
      <w:r w:rsidRPr="000C6408">
        <w:rPr>
          <w:i/>
          <w:iCs/>
          <w:sz w:val="24"/>
          <w:lang w:val="es-419"/>
        </w:rPr>
        <w:t>Modificación de los Lineamientos Generales al Reglamento sobre gestión y evaluación del riesgo de crédito para el Sistema de Banca para el Desarrollo, Acuerdo SUGEF 15-16</w:t>
      </w:r>
      <w:r w:rsidRPr="000C6408">
        <w:rPr>
          <w:sz w:val="24"/>
          <w:lang w:val="es-419"/>
        </w:rPr>
        <w:t>.</w:t>
      </w:r>
    </w:p>
    <w:p w14:paraId="7AFA41C5" w14:textId="77777777" w:rsidR="008E3775" w:rsidRPr="000C6408" w:rsidRDefault="008E3775" w:rsidP="000C6408">
      <w:pPr>
        <w:spacing w:line="240" w:lineRule="auto"/>
        <w:ind w:left="34"/>
        <w:contextualSpacing/>
        <w:outlineLvl w:val="0"/>
        <w:rPr>
          <w:b/>
          <w:sz w:val="24"/>
          <w:lang w:val="es-419"/>
        </w:rPr>
      </w:pPr>
    </w:p>
    <w:p w14:paraId="6DBA2D68" w14:textId="416EB38F" w:rsidR="008E3775" w:rsidRPr="000C6408" w:rsidRDefault="008E3775" w:rsidP="000C6408">
      <w:pPr>
        <w:spacing w:line="240" w:lineRule="auto"/>
        <w:ind w:left="34"/>
        <w:contextualSpacing/>
        <w:outlineLvl w:val="0"/>
        <w:rPr>
          <w:sz w:val="24"/>
        </w:rPr>
      </w:pPr>
      <w:r w:rsidRPr="000C6408">
        <w:rPr>
          <w:b/>
          <w:sz w:val="24"/>
        </w:rPr>
        <w:t>La Superintende</w:t>
      </w:r>
      <w:r w:rsidR="000C6408">
        <w:rPr>
          <w:b/>
          <w:sz w:val="24"/>
        </w:rPr>
        <w:t>ncia</w:t>
      </w:r>
      <w:r w:rsidRPr="000C6408">
        <w:rPr>
          <w:b/>
          <w:sz w:val="24"/>
        </w:rPr>
        <w:t xml:space="preserve"> General de Entidades Financieras,</w:t>
      </w:r>
    </w:p>
    <w:p w14:paraId="1A6CDEF4" w14:textId="77777777" w:rsidR="008E3775" w:rsidRPr="000C6408" w:rsidRDefault="008E3775" w:rsidP="000C6408">
      <w:pPr>
        <w:spacing w:after="120" w:line="240" w:lineRule="auto"/>
        <w:contextualSpacing/>
        <w:jc w:val="left"/>
        <w:rPr>
          <w:sz w:val="24"/>
        </w:rPr>
      </w:pPr>
    </w:p>
    <w:p w14:paraId="5DB1E6F8" w14:textId="77777777" w:rsidR="008E3775" w:rsidRPr="000C6408" w:rsidRDefault="008E3775" w:rsidP="000C6408">
      <w:pPr>
        <w:spacing w:after="120" w:line="240" w:lineRule="auto"/>
        <w:ind w:hanging="10"/>
        <w:contextualSpacing/>
        <w:rPr>
          <w:sz w:val="24"/>
        </w:rPr>
      </w:pPr>
      <w:r w:rsidRPr="000C6408">
        <w:rPr>
          <w:b/>
          <w:sz w:val="24"/>
        </w:rPr>
        <w:t xml:space="preserve">Considerando que: </w:t>
      </w:r>
    </w:p>
    <w:p w14:paraId="0CF69801" w14:textId="77777777" w:rsidR="008E3775" w:rsidRPr="000C6408" w:rsidRDefault="008E3775" w:rsidP="000C6408">
      <w:pPr>
        <w:numPr>
          <w:ilvl w:val="1"/>
          <w:numId w:val="3"/>
        </w:numPr>
        <w:spacing w:after="120" w:line="240" w:lineRule="auto"/>
        <w:ind w:left="567" w:hanging="567"/>
        <w:contextualSpacing/>
        <w:rPr>
          <w:sz w:val="24"/>
        </w:rPr>
      </w:pPr>
      <w:r w:rsidRPr="000C6408">
        <w:rPr>
          <w:sz w:val="24"/>
        </w:rPr>
        <w:t xml:space="preserve">Mediante artículo 12, del acta de la sesión 1251-2016, celebrada el 10 de mayo de 2016, el CONASSIF aprobó el </w:t>
      </w:r>
      <w:r w:rsidRPr="000C6408">
        <w:rPr>
          <w:i/>
          <w:iCs/>
          <w:sz w:val="24"/>
        </w:rPr>
        <w:t>Reglamento sobre gestión y evaluación del riesgo de crédito para el Sistema de Banca para el Desarrollo</w:t>
      </w:r>
      <w:r w:rsidRPr="000C6408">
        <w:rPr>
          <w:sz w:val="24"/>
        </w:rPr>
        <w:t>, Acuerdo SUGEF 15-16, mediante el cual establece la metodología para la calificación de los deudores beneficiarios de recursos del SBD.</w:t>
      </w:r>
    </w:p>
    <w:p w14:paraId="6B322505" w14:textId="77777777" w:rsidR="008E3775" w:rsidRPr="000C6408" w:rsidRDefault="008E3775" w:rsidP="000C6408">
      <w:pPr>
        <w:numPr>
          <w:ilvl w:val="1"/>
          <w:numId w:val="3"/>
        </w:numPr>
        <w:spacing w:after="120" w:line="240" w:lineRule="auto"/>
        <w:ind w:left="567" w:hanging="567"/>
        <w:contextualSpacing/>
        <w:rPr>
          <w:sz w:val="24"/>
        </w:rPr>
      </w:pPr>
      <w:r w:rsidRPr="000C6408">
        <w:rPr>
          <w:sz w:val="24"/>
        </w:rPr>
        <w:t xml:space="preserve">El Artículo 4 del </w:t>
      </w:r>
      <w:r w:rsidRPr="000C6408">
        <w:rPr>
          <w:i/>
          <w:iCs/>
          <w:sz w:val="24"/>
        </w:rPr>
        <w:t>Reglamento sobre gestión y evaluación del riesgo de crédito para el Sistema de Banca para el Desarrollo</w:t>
      </w:r>
      <w:r w:rsidRPr="000C6408">
        <w:rPr>
          <w:sz w:val="24"/>
        </w:rPr>
        <w:t>, Acuerdo SUGEF 15-16, establece la potestad del Superintendente para emitir los Lineamientos Generales necesarios para la aplicación de dicha regulación. Asimismo, estos Lineamientos Generales pueden ser modificados por el Superintendente cuando lo considere conveniente.</w:t>
      </w:r>
    </w:p>
    <w:p w14:paraId="7DC315AB" w14:textId="77777777" w:rsidR="008E3775" w:rsidRPr="000C6408" w:rsidRDefault="008E3775" w:rsidP="000C6408">
      <w:pPr>
        <w:numPr>
          <w:ilvl w:val="1"/>
          <w:numId w:val="3"/>
        </w:numPr>
        <w:spacing w:after="120" w:line="240" w:lineRule="auto"/>
        <w:ind w:left="567" w:hanging="567"/>
        <w:contextualSpacing/>
        <w:rPr>
          <w:sz w:val="24"/>
        </w:rPr>
      </w:pPr>
      <w:r w:rsidRPr="000C6408">
        <w:rPr>
          <w:sz w:val="24"/>
        </w:rPr>
        <w:lastRenderedPageBreak/>
        <w:t xml:space="preserve">Para este efecto los Lineamientos Generales deben definir los aspectos necesarios para la aplicación del </w:t>
      </w:r>
      <w:r w:rsidRPr="000C6408">
        <w:rPr>
          <w:i/>
          <w:iCs/>
          <w:sz w:val="24"/>
        </w:rPr>
        <w:t>Reglamento sobre gestión y evaluación del riesgo de crédito para el Sistema de Banca para el Desarrollo</w:t>
      </w:r>
      <w:r w:rsidRPr="000C6408">
        <w:rPr>
          <w:sz w:val="24"/>
        </w:rPr>
        <w:t xml:space="preserve">, Acuerdo SUGEF 15-16, según lo establecido en esa regulación.  </w:t>
      </w:r>
    </w:p>
    <w:p w14:paraId="40232DD8" w14:textId="77777777" w:rsidR="008E3775" w:rsidRPr="000C6408" w:rsidRDefault="008E3775" w:rsidP="000C6408">
      <w:pPr>
        <w:numPr>
          <w:ilvl w:val="1"/>
          <w:numId w:val="3"/>
        </w:numPr>
        <w:spacing w:after="120" w:line="240" w:lineRule="auto"/>
        <w:ind w:left="567" w:hanging="567"/>
        <w:contextualSpacing/>
        <w:rPr>
          <w:sz w:val="24"/>
        </w:rPr>
      </w:pPr>
      <w:r w:rsidRPr="000C6408">
        <w:rPr>
          <w:sz w:val="24"/>
        </w:rPr>
        <w:t>Que de conformidad con el Artículo 131, inciso b) de la Ley Orgánica del Banco Central de Costa Rica, Ley 7558, corresponde al Superintendente tomar las medidas necesarias para ejecutar los acuerdos del Consejo Nacional de Supervisión.</w:t>
      </w:r>
    </w:p>
    <w:p w14:paraId="20A28087" w14:textId="77777777" w:rsidR="008E3775" w:rsidRPr="000C6408" w:rsidRDefault="008E3775" w:rsidP="000C6408">
      <w:pPr>
        <w:numPr>
          <w:ilvl w:val="1"/>
          <w:numId w:val="3"/>
        </w:numPr>
        <w:spacing w:after="120" w:line="240" w:lineRule="auto"/>
        <w:ind w:left="567" w:hanging="567"/>
        <w:contextualSpacing/>
        <w:rPr>
          <w:sz w:val="24"/>
        </w:rPr>
      </w:pPr>
      <w:r w:rsidRPr="000C6408">
        <w:rPr>
          <w:sz w:val="24"/>
        </w:rPr>
        <w:t xml:space="preserve">Mediante Acuerdo del Superintendente SGF-R-1763-2016 del 30 de mayo del 2016, se emitieron los Lineamientos Generales al </w:t>
      </w:r>
      <w:r w:rsidRPr="000C6408">
        <w:rPr>
          <w:i/>
          <w:iCs/>
          <w:sz w:val="24"/>
        </w:rPr>
        <w:t>Reglamento sobre gestión y evaluación del riesgo de crédito para el Sistema de Banca para el Desarrollo</w:t>
      </w:r>
      <w:r w:rsidRPr="000C6408">
        <w:rPr>
          <w:sz w:val="24"/>
        </w:rPr>
        <w:t>, Acuerdo SUGEF 15-16</w:t>
      </w:r>
      <w:r w:rsidRPr="000C6408">
        <w:rPr>
          <w:sz w:val="24"/>
          <w:lang w:val="es-419"/>
        </w:rPr>
        <w:t>.</w:t>
      </w:r>
    </w:p>
    <w:p w14:paraId="15297258" w14:textId="77777777" w:rsidR="008E3775" w:rsidRPr="000C6408" w:rsidRDefault="008E3775" w:rsidP="000C6408">
      <w:pPr>
        <w:numPr>
          <w:ilvl w:val="1"/>
          <w:numId w:val="3"/>
        </w:numPr>
        <w:spacing w:after="120" w:line="240" w:lineRule="auto"/>
        <w:ind w:left="567" w:hanging="567"/>
        <w:contextualSpacing/>
        <w:rPr>
          <w:sz w:val="24"/>
        </w:rPr>
      </w:pPr>
      <w:r w:rsidRPr="000C6408">
        <w:rPr>
          <w:sz w:val="24"/>
        </w:rPr>
        <w:t xml:space="preserve">El evento de “dación de bien en pago” que actualmente detona el pase directo a CPH3 por un periodo de 24 meses, está siendo excluido del algoritmo, por considerarse que esta es una acción que refleja la voluntad del deudor de atender su obligación en un escenario de insuficiencia de flujos. </w:t>
      </w:r>
    </w:p>
    <w:p w14:paraId="72144F64" w14:textId="77777777" w:rsidR="008E3775" w:rsidRPr="000C6408" w:rsidRDefault="008E3775" w:rsidP="000C6408">
      <w:pPr>
        <w:spacing w:after="120" w:line="240" w:lineRule="auto"/>
        <w:contextualSpacing/>
        <w:jc w:val="left"/>
        <w:rPr>
          <w:sz w:val="24"/>
        </w:rPr>
      </w:pPr>
    </w:p>
    <w:p w14:paraId="10369CBA" w14:textId="77777777" w:rsidR="008E3775" w:rsidRPr="000C6408" w:rsidRDefault="008E3775" w:rsidP="000C6408">
      <w:pPr>
        <w:spacing w:after="120" w:line="240" w:lineRule="auto"/>
        <w:ind w:hanging="10"/>
        <w:contextualSpacing/>
        <w:rPr>
          <w:sz w:val="24"/>
        </w:rPr>
      </w:pPr>
      <w:r w:rsidRPr="000C6408">
        <w:rPr>
          <w:b/>
          <w:sz w:val="24"/>
        </w:rPr>
        <w:t xml:space="preserve">Dispone: </w:t>
      </w:r>
    </w:p>
    <w:p w14:paraId="31A6465D" w14:textId="77777777" w:rsidR="008E3775" w:rsidRPr="000C6408" w:rsidRDefault="008E3775" w:rsidP="000C6408">
      <w:pPr>
        <w:pStyle w:val="Prrafodelista"/>
        <w:numPr>
          <w:ilvl w:val="0"/>
          <w:numId w:val="5"/>
        </w:numPr>
        <w:spacing w:line="240" w:lineRule="auto"/>
        <w:rPr>
          <w:rFonts w:ascii="Cambria" w:hAnsi="Cambria"/>
          <w:szCs w:val="24"/>
        </w:rPr>
      </w:pPr>
      <w:r w:rsidRPr="000C6408">
        <w:rPr>
          <w:rFonts w:ascii="Cambria" w:hAnsi="Cambria"/>
          <w:b/>
          <w:bCs/>
          <w:szCs w:val="24"/>
        </w:rPr>
        <w:t>Derogar el numeral i) del inciso d) “Clasificación directa en CPH-SBD de Nivel 3” de la sección VI. COMPORTAMIENTO DE PAGO HISTÓRICO EN EL SBD (CPH-SBD).</w:t>
      </w:r>
    </w:p>
    <w:p w14:paraId="52E62B2F" w14:textId="77777777" w:rsidR="008E3775" w:rsidRPr="000C6408" w:rsidRDefault="008E3775" w:rsidP="000C6408">
      <w:pPr>
        <w:spacing w:line="240" w:lineRule="auto"/>
        <w:ind w:left="494"/>
        <w:contextualSpacing/>
        <w:rPr>
          <w:sz w:val="24"/>
        </w:rPr>
      </w:pPr>
      <w:r w:rsidRPr="000C6408">
        <w:rPr>
          <w:sz w:val="24"/>
        </w:rPr>
        <w:t xml:space="preserve"> </w:t>
      </w:r>
    </w:p>
    <w:p w14:paraId="025EAFA7" w14:textId="51398F54" w:rsidR="008E3775" w:rsidRDefault="008E3775" w:rsidP="000C6408">
      <w:pPr>
        <w:spacing w:after="120" w:line="240" w:lineRule="auto"/>
        <w:contextualSpacing/>
        <w:rPr>
          <w:sz w:val="24"/>
        </w:rPr>
      </w:pPr>
      <w:r w:rsidRPr="000C6408">
        <w:rPr>
          <w:i/>
          <w:iCs/>
          <w:sz w:val="24"/>
        </w:rPr>
        <w:t>Rige a partir de su comunicación.</w:t>
      </w:r>
      <w:r w:rsidR="007F3280">
        <w:rPr>
          <w:sz w:val="24"/>
        </w:rPr>
        <w:t>”</w:t>
      </w:r>
    </w:p>
    <w:p w14:paraId="283C5F63" w14:textId="77777777" w:rsidR="007F3280" w:rsidRPr="000C6408" w:rsidRDefault="007F3280" w:rsidP="000C6408">
      <w:pPr>
        <w:spacing w:after="120" w:line="240" w:lineRule="auto"/>
        <w:contextualSpacing/>
        <w:rPr>
          <w:sz w:val="24"/>
        </w:rPr>
      </w:pPr>
    </w:p>
    <w:p w14:paraId="36C3F11A" w14:textId="6C78FE00" w:rsidR="006972C9" w:rsidRDefault="000C6408" w:rsidP="000C6408">
      <w:pPr>
        <w:pStyle w:val="Texto"/>
        <w:spacing w:before="0" w:after="0" w:line="240" w:lineRule="auto"/>
        <w:contextualSpacing/>
        <w:rPr>
          <w:sz w:val="24"/>
        </w:rPr>
      </w:pPr>
      <w:r w:rsidRPr="000C6408">
        <w:rPr>
          <w:noProof/>
          <w:sz w:val="24"/>
          <w:lang w:val="es-CR" w:eastAsia="es-CR"/>
        </w:rPr>
        <w:drawing>
          <wp:anchor distT="0" distB="0" distL="114300" distR="114300" simplePos="0" relativeHeight="251660288" behindDoc="1" locked="0" layoutInCell="1" allowOverlap="1" wp14:anchorId="52BCCF0E" wp14:editId="244E576A">
            <wp:simplePos x="0" y="0"/>
            <wp:positionH relativeFrom="column">
              <wp:posOffset>-97790</wp:posOffset>
            </wp:positionH>
            <wp:positionV relativeFrom="paragraph">
              <wp:posOffset>189966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6972C9" w:rsidRPr="000C6408">
        <w:rPr>
          <w:sz w:val="24"/>
        </w:rPr>
        <w:t>Atentamente,</w:t>
      </w:r>
    </w:p>
    <w:p w14:paraId="78B54141" w14:textId="77777777" w:rsidR="000C6408" w:rsidRPr="000C6408" w:rsidRDefault="000C6408" w:rsidP="000C6408">
      <w:pPr>
        <w:pStyle w:val="Texto"/>
        <w:spacing w:before="0" w:after="0" w:line="240" w:lineRule="auto"/>
        <w:contextualSpacing/>
        <w:rPr>
          <w:sz w:val="24"/>
        </w:rPr>
      </w:pPr>
    </w:p>
    <w:p w14:paraId="1605428C" w14:textId="5E4B370A" w:rsidR="006972C9" w:rsidRPr="000C6408" w:rsidRDefault="006972C9" w:rsidP="000C6408">
      <w:pPr>
        <w:spacing w:line="240" w:lineRule="auto"/>
        <w:contextualSpacing/>
        <w:rPr>
          <w:sz w:val="24"/>
        </w:rPr>
      </w:pPr>
    </w:p>
    <w:p w14:paraId="62D6AF00" w14:textId="7C70D789" w:rsidR="00D74338" w:rsidRPr="000C6408" w:rsidRDefault="00D74338" w:rsidP="000C6408">
      <w:pPr>
        <w:spacing w:line="240" w:lineRule="auto"/>
        <w:contextualSpacing/>
        <w:jc w:val="left"/>
        <w:rPr>
          <w:sz w:val="24"/>
        </w:rPr>
      </w:pPr>
      <w:r w:rsidRPr="000C6408">
        <w:rPr>
          <w:sz w:val="24"/>
        </w:rPr>
        <w:t>Rocío Aguilar Montoya</w:t>
      </w:r>
      <w:r w:rsidRPr="000C6408">
        <w:rPr>
          <w:sz w:val="24"/>
        </w:rPr>
        <w:br/>
      </w:r>
      <w:r w:rsidRPr="000C6408">
        <w:rPr>
          <w:b/>
          <w:bCs/>
          <w:sz w:val="24"/>
        </w:rPr>
        <w:t>Superintendente General</w:t>
      </w:r>
    </w:p>
    <w:p w14:paraId="61049167" w14:textId="77777777" w:rsidR="008B0595" w:rsidRPr="000C6408" w:rsidRDefault="008B0595" w:rsidP="000C6408">
      <w:pPr>
        <w:pStyle w:val="Negrita"/>
        <w:spacing w:line="240" w:lineRule="auto"/>
        <w:contextualSpacing/>
        <w:jc w:val="left"/>
        <w:rPr>
          <w:noProof/>
          <w:sz w:val="24"/>
          <w:lang w:val="es-CR" w:eastAsia="es-CR"/>
        </w:rPr>
      </w:pPr>
    </w:p>
    <w:p w14:paraId="621ECD74" w14:textId="45E4596C" w:rsidR="00AF06C5" w:rsidRPr="000C6408" w:rsidRDefault="000C6408" w:rsidP="000C6408">
      <w:pPr>
        <w:spacing w:line="240" w:lineRule="auto"/>
        <w:contextualSpacing/>
        <w:jc w:val="left"/>
        <w:rPr>
          <w:sz w:val="24"/>
        </w:rPr>
      </w:pPr>
      <w:r w:rsidRPr="000C6408">
        <w:rPr>
          <w:b/>
          <w:bCs/>
          <w:sz w:val="24"/>
        </w:rPr>
        <w:t>JSC/GAA/gvl*</w:t>
      </w:r>
    </w:p>
    <w:sectPr w:rsidR="00AF06C5" w:rsidRPr="000C6408">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DA82" w14:textId="77777777" w:rsidR="00FB2CA8" w:rsidRDefault="00FB2CA8" w:rsidP="009349F3">
      <w:pPr>
        <w:spacing w:line="240" w:lineRule="auto"/>
      </w:pPr>
      <w:r>
        <w:separator/>
      </w:r>
    </w:p>
  </w:endnote>
  <w:endnote w:type="continuationSeparator" w:id="0">
    <w:p w14:paraId="1DF7BFED" w14:textId="77777777" w:rsidR="00FB2CA8" w:rsidRDefault="00FB2CA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B732" w14:textId="77777777" w:rsidR="00684F97" w:rsidRDefault="00684F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7A41F223" w14:textId="77777777" w:rsidTr="00BA2E27">
      <w:tc>
        <w:tcPr>
          <w:tcW w:w="2942" w:type="dxa"/>
        </w:tcPr>
        <w:p w14:paraId="12927CC8"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14:paraId="18C9D13C"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14:paraId="116CB6B4" w14:textId="77777777" w:rsidR="00517D62" w:rsidRPr="009349F3" w:rsidRDefault="00517D62">
          <w:pPr>
            <w:pStyle w:val="Piedepgina"/>
            <w:rPr>
              <w:b/>
              <w:color w:val="7F7F7F" w:themeColor="text1" w:themeTint="80"/>
              <w:sz w:val="16"/>
              <w:szCs w:val="16"/>
            </w:rPr>
          </w:pPr>
        </w:p>
      </w:tc>
      <w:tc>
        <w:tcPr>
          <w:tcW w:w="2943" w:type="dxa"/>
        </w:tcPr>
        <w:p w14:paraId="12A9CAF2"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16DB5832"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77D32511"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14:paraId="4EF31762"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A151" w14:textId="77777777" w:rsidR="00684F97" w:rsidRDefault="00684F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E6E5" w14:textId="77777777" w:rsidR="00FB2CA8" w:rsidRDefault="00FB2CA8" w:rsidP="009349F3">
      <w:pPr>
        <w:spacing w:line="240" w:lineRule="auto"/>
      </w:pPr>
      <w:r>
        <w:separator/>
      </w:r>
    </w:p>
  </w:footnote>
  <w:footnote w:type="continuationSeparator" w:id="0">
    <w:p w14:paraId="40B9D107" w14:textId="77777777" w:rsidR="00FB2CA8" w:rsidRDefault="00FB2CA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0647" w14:textId="77777777" w:rsidR="00684F97" w:rsidRDefault="00684F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844A" w14:textId="77777777" w:rsidR="009349F3" w:rsidRDefault="009349F3">
    <w:pPr>
      <w:pStyle w:val="Encabezado"/>
    </w:pPr>
    <w:r>
      <w:ptab w:relativeTo="margin" w:alignment="center" w:leader="none"/>
    </w:r>
    <w:r>
      <w:rPr>
        <w:noProof/>
        <w:lang w:val="es-CR" w:eastAsia="es-CR"/>
      </w:rPr>
      <w:drawing>
        <wp:inline distT="0" distB="0" distL="0" distR="0" wp14:anchorId="568149C9" wp14:editId="38F8858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A2FF" w14:textId="77777777" w:rsidR="00684F97" w:rsidRDefault="00684F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83F75DA"/>
    <w:multiLevelType w:val="hybridMultilevel"/>
    <w:tmpl w:val="CE4E2CA0"/>
    <w:lvl w:ilvl="0" w:tplc="67DCD0EA">
      <w:start w:val="1"/>
      <w:numFmt w:val="decimal"/>
      <w:lvlText w:val="%1."/>
      <w:lvlJc w:val="left"/>
      <w:pPr>
        <w:ind w:left="494" w:hanging="360"/>
      </w:pPr>
      <w:rPr>
        <w:rFonts w:hint="default"/>
        <w:b/>
        <w:bCs/>
      </w:rPr>
    </w:lvl>
    <w:lvl w:ilvl="1" w:tplc="140A0019" w:tentative="1">
      <w:start w:val="1"/>
      <w:numFmt w:val="lowerLetter"/>
      <w:lvlText w:val="%2."/>
      <w:lvlJc w:val="left"/>
      <w:pPr>
        <w:ind w:left="1214" w:hanging="360"/>
      </w:pPr>
    </w:lvl>
    <w:lvl w:ilvl="2" w:tplc="140A001B" w:tentative="1">
      <w:start w:val="1"/>
      <w:numFmt w:val="lowerRoman"/>
      <w:lvlText w:val="%3."/>
      <w:lvlJc w:val="right"/>
      <w:pPr>
        <w:ind w:left="1934" w:hanging="180"/>
      </w:pPr>
    </w:lvl>
    <w:lvl w:ilvl="3" w:tplc="140A000F" w:tentative="1">
      <w:start w:val="1"/>
      <w:numFmt w:val="decimal"/>
      <w:lvlText w:val="%4."/>
      <w:lvlJc w:val="left"/>
      <w:pPr>
        <w:ind w:left="2654" w:hanging="360"/>
      </w:pPr>
    </w:lvl>
    <w:lvl w:ilvl="4" w:tplc="140A0019" w:tentative="1">
      <w:start w:val="1"/>
      <w:numFmt w:val="lowerLetter"/>
      <w:lvlText w:val="%5."/>
      <w:lvlJc w:val="left"/>
      <w:pPr>
        <w:ind w:left="3374" w:hanging="360"/>
      </w:pPr>
    </w:lvl>
    <w:lvl w:ilvl="5" w:tplc="140A001B" w:tentative="1">
      <w:start w:val="1"/>
      <w:numFmt w:val="lowerRoman"/>
      <w:lvlText w:val="%6."/>
      <w:lvlJc w:val="right"/>
      <w:pPr>
        <w:ind w:left="4094" w:hanging="180"/>
      </w:pPr>
    </w:lvl>
    <w:lvl w:ilvl="6" w:tplc="140A000F" w:tentative="1">
      <w:start w:val="1"/>
      <w:numFmt w:val="decimal"/>
      <w:lvlText w:val="%7."/>
      <w:lvlJc w:val="left"/>
      <w:pPr>
        <w:ind w:left="4814" w:hanging="360"/>
      </w:pPr>
    </w:lvl>
    <w:lvl w:ilvl="7" w:tplc="140A0019" w:tentative="1">
      <w:start w:val="1"/>
      <w:numFmt w:val="lowerLetter"/>
      <w:lvlText w:val="%8."/>
      <w:lvlJc w:val="left"/>
      <w:pPr>
        <w:ind w:left="5534" w:hanging="360"/>
      </w:pPr>
    </w:lvl>
    <w:lvl w:ilvl="8" w:tplc="140A001B" w:tentative="1">
      <w:start w:val="1"/>
      <w:numFmt w:val="lowerRoman"/>
      <w:lvlText w:val="%9."/>
      <w:lvlJc w:val="right"/>
      <w:pPr>
        <w:ind w:left="6254" w:hanging="180"/>
      </w:pPr>
    </w:lvl>
  </w:abstractNum>
  <w:abstractNum w:abstractNumId="2" w15:restartNumberingAfterBreak="0">
    <w:nsid w:val="4D1137DE"/>
    <w:multiLevelType w:val="hybridMultilevel"/>
    <w:tmpl w:val="E17E249C"/>
    <w:lvl w:ilvl="0" w:tplc="FCFE1F80">
      <w:start w:val="1"/>
      <w:numFmt w:val="upperRoman"/>
      <w:lvlText w:val="%1."/>
      <w:lvlJc w:val="right"/>
      <w:pPr>
        <w:ind w:left="851" w:hanging="360"/>
      </w:pPr>
      <w:rPr>
        <w:rFonts w:hint="default"/>
        <w:b w:val="0"/>
        <w:i w:val="0"/>
        <w:strike w:val="0"/>
        <w:dstrike w:val="0"/>
        <w:color w:val="auto"/>
        <w:sz w:val="24"/>
        <w:szCs w:val="20"/>
        <w:u w:val="none" w:color="000000"/>
        <w:vertAlign w:val="baseline"/>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42774A1"/>
    <w:multiLevelType w:val="hybridMultilevel"/>
    <w:tmpl w:val="227C3B86"/>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804908E">
      <w:start w:val="1"/>
      <w:numFmt w:val="decimal"/>
      <w:lvlText w:val="%2."/>
      <w:lvlJc w:val="left"/>
      <w:pPr>
        <w:ind w:left="862"/>
      </w:pPr>
      <w:rPr>
        <w:rFonts w:ascii="Cambria" w:eastAsia="Times New Roman" w:hAnsi="Cambria"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A8"/>
    <w:rsid w:val="000C6408"/>
    <w:rsid w:val="000D2B8B"/>
    <w:rsid w:val="001155A7"/>
    <w:rsid w:val="004313B1"/>
    <w:rsid w:val="00517D62"/>
    <w:rsid w:val="00684F97"/>
    <w:rsid w:val="006972C9"/>
    <w:rsid w:val="006A08C8"/>
    <w:rsid w:val="007A77CF"/>
    <w:rsid w:val="007E1EC2"/>
    <w:rsid w:val="007F3280"/>
    <w:rsid w:val="008200B7"/>
    <w:rsid w:val="00855792"/>
    <w:rsid w:val="008748CC"/>
    <w:rsid w:val="008B0595"/>
    <w:rsid w:val="008E1275"/>
    <w:rsid w:val="008E3775"/>
    <w:rsid w:val="00900B79"/>
    <w:rsid w:val="009349F3"/>
    <w:rsid w:val="00970B96"/>
    <w:rsid w:val="00982DD6"/>
    <w:rsid w:val="00AD5B5C"/>
    <w:rsid w:val="00AF06C5"/>
    <w:rsid w:val="00B7752A"/>
    <w:rsid w:val="00D74338"/>
    <w:rsid w:val="00DE2D06"/>
    <w:rsid w:val="00FB2CA8"/>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FB75"/>
  <w15:chartTrackingRefBased/>
  <w15:docId w15:val="{7C47AF98-D9BC-4234-9951-1DC06952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8E3775"/>
    <w:pPr>
      <w:spacing w:after="11" w:line="231" w:lineRule="auto"/>
      <w:ind w:left="720" w:right="6" w:firstLine="7"/>
      <w:contextualSpacing/>
    </w:pPr>
    <w:rPr>
      <w:rFonts w:ascii="Times New Roman" w:hAnsi="Times New Roman"/>
      <w:color w:val="000000"/>
      <w:sz w:val="24"/>
      <w:szCs w:val="22"/>
      <w:lang w:eastAsia="es-ES"/>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8E3775"/>
    <w:rPr>
      <w:rFonts w:ascii="Times New Roman" w:eastAsia="Times New Roman" w:hAnsi="Times New Roman" w:cs="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normativa/Formularios%20Normativa%20en%20Consulta.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ormativaenconsulta@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7BD4172EB405B9D2456AD8A0C1BB0"/>
        <w:category>
          <w:name w:val="General"/>
          <w:gallery w:val="placeholder"/>
        </w:category>
        <w:types>
          <w:type w:val="bbPlcHdr"/>
        </w:types>
        <w:behaviors>
          <w:behavior w:val="content"/>
        </w:behaviors>
        <w:guid w:val="{A7A929FA-AABC-4275-A03B-94003E507BB8}"/>
      </w:docPartPr>
      <w:docPartBody>
        <w:p w:rsidR="00E2344E" w:rsidRDefault="00E2344E">
          <w:pPr>
            <w:pStyle w:val="8CE7BD4172EB405B9D2456AD8A0C1BB0"/>
          </w:pPr>
          <w:r w:rsidRPr="001E0779">
            <w:rPr>
              <w:rStyle w:val="Textodelmarcadordeposicin"/>
            </w:rPr>
            <w:t>Haga clic aquí para escribir texto.</w:t>
          </w:r>
        </w:p>
      </w:docPartBody>
    </w:docPart>
    <w:docPart>
      <w:docPartPr>
        <w:name w:val="E6D9A0AE6E324C8A856F39E6DC801F4A"/>
        <w:category>
          <w:name w:val="General"/>
          <w:gallery w:val="placeholder"/>
        </w:category>
        <w:types>
          <w:type w:val="bbPlcHdr"/>
        </w:types>
        <w:behaviors>
          <w:behavior w:val="content"/>
        </w:behaviors>
        <w:guid w:val="{EACB6E55-56BB-487F-8635-3FD5B5F64D88}"/>
      </w:docPartPr>
      <w:docPartBody>
        <w:p w:rsidR="00E2344E" w:rsidRDefault="00E2344E">
          <w:pPr>
            <w:pStyle w:val="E6D9A0AE6E324C8A856F39E6DC801F4A"/>
          </w:pPr>
          <w:r>
            <w:rPr>
              <w:rStyle w:val="Textodelmarcadordeposicin"/>
            </w:rPr>
            <w:t>Elija un elemento.</w:t>
          </w:r>
        </w:p>
      </w:docPartBody>
    </w:docPart>
    <w:docPart>
      <w:docPartPr>
        <w:name w:val="97549C02A94D4A4C8B8170472F8DCF93"/>
        <w:category>
          <w:name w:val="General"/>
          <w:gallery w:val="placeholder"/>
        </w:category>
        <w:types>
          <w:type w:val="bbPlcHdr"/>
        </w:types>
        <w:behaviors>
          <w:behavior w:val="content"/>
        </w:behaviors>
        <w:guid w:val="{7D439B3C-0B22-4699-9A1A-0BD68AE0BF02}"/>
      </w:docPartPr>
      <w:docPartBody>
        <w:p w:rsidR="00C02792" w:rsidRDefault="00E2344E" w:rsidP="00E2344E">
          <w:pPr>
            <w:pStyle w:val="97549C02A94D4A4C8B8170472F8DCF93"/>
          </w:pPr>
          <w:r w:rsidRPr="001E0779">
            <w:rPr>
              <w:rStyle w:val="Textodelmarcadordeposicin"/>
            </w:rPr>
            <w:t>Haga clic aquí para escribir texto.</w:t>
          </w:r>
        </w:p>
      </w:docPartBody>
    </w:docPart>
    <w:docPart>
      <w:docPartPr>
        <w:name w:val="772732C87DD1432C86BA8B7BBEDDE36A"/>
        <w:category>
          <w:name w:val="General"/>
          <w:gallery w:val="placeholder"/>
        </w:category>
        <w:types>
          <w:type w:val="bbPlcHdr"/>
        </w:types>
        <w:behaviors>
          <w:behavior w:val="content"/>
        </w:behaviors>
        <w:guid w:val="{EE9E5BD2-10A2-41F9-B458-1EFF1D4030B7}"/>
      </w:docPartPr>
      <w:docPartBody>
        <w:p w:rsidR="00C02792" w:rsidRDefault="00E2344E" w:rsidP="00E2344E">
          <w:pPr>
            <w:pStyle w:val="772732C87DD1432C86BA8B7BBEDDE36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4E"/>
    <w:rsid w:val="00C02792"/>
    <w:rsid w:val="00E234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44E"/>
  </w:style>
  <w:style w:type="paragraph" w:customStyle="1" w:styleId="8CE7BD4172EB405B9D2456AD8A0C1BB0">
    <w:name w:val="8CE7BD4172EB405B9D2456AD8A0C1BB0"/>
  </w:style>
  <w:style w:type="paragraph" w:customStyle="1" w:styleId="E6D9A0AE6E324C8A856F39E6DC801F4A">
    <w:name w:val="E6D9A0AE6E324C8A856F39E6DC801F4A"/>
  </w:style>
  <w:style w:type="paragraph" w:customStyle="1" w:styleId="97549C02A94D4A4C8B8170472F8DCF93">
    <w:name w:val="97549C02A94D4A4C8B8170472F8DCF93"/>
    <w:rsid w:val="00E2344E"/>
  </w:style>
  <w:style w:type="paragraph" w:customStyle="1" w:styleId="772732C87DD1432C86BA8B7BBEDDE36A">
    <w:name w:val="772732C87DD1432C86BA8B7BBEDDE36A"/>
    <w:rsid w:val="00E23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hq1NHod7pOH2g/LmFbMZhwYi0CInAseHbD69Fz0jI4g=</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202FsR3vC7HexotruGwY1B1L/UMoLudbb8zuXF5iWpc=</DigestValue>
    </Reference>
  </SignedInfo>
  <SignatureValue>OgYEWBJ0XzaZ6hsKnvscFvetUSpaJw8cxeUF7q0aSRYnY32hw2Nwr8rP2tniAgDl4u3902GpGvTG
ZSXG+rBp7Ln0C4NZX0vDwts8bVvNZUiBLmu9UOkF75HqjXp2crKQYZFPL6PlhPoK1xwH9jbptFoK
53nUN1zoHtnD1/dWn++05RhSyCA8go0xo2w3nL9sDRmbx/MitR044X4nphJfVW1FX92SIIXHhGun
ew0gEhoSEAScB3YbWeT9B8bukisFko3vIydHQNhYKSgQXVk/CGma94SI25Yb775S6/1Z18vqITbj
HBu32/i/GOsBJnuZo7jsua+lycXsqIypEh9/pQ==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NlPf0wBAeXvup0VOKWYGjeM7f1pZVtfXq1jvyutiaN0=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e3EWFTU1XCY3gHU6f7rWS8WSFAs2geuQp471SSeyk9E=</DigestValue>
      </Reference>
      <Reference URI="/word/endnotes.xml?ContentType=application/vnd.openxmlformats-officedocument.wordprocessingml.endnotes+xml">
        <DigestMethod Algorithm="http://www.w3.org/2001/04/xmlenc#sha256"/>
        <DigestValue>oV7+uS/VMmCwc5PGjMglivSaVT5PrTDzzsvg+09wvPs=</DigestValue>
      </Reference>
      <Reference URI="/word/fontTable.xml?ContentType=application/vnd.openxmlformats-officedocument.wordprocessingml.fontTable+xml">
        <DigestMethod Algorithm="http://www.w3.org/2001/04/xmlenc#sha256"/>
        <DigestValue>9Q1SxIXuMHtR8GipSsi83jZi643FK9iXsVv4BMUPTj4=</DigestValue>
      </Reference>
      <Reference URI="/word/footer1.xml?ContentType=application/vnd.openxmlformats-officedocument.wordprocessingml.footer+xml">
        <DigestMethod Algorithm="http://www.w3.org/2001/04/xmlenc#sha256"/>
        <DigestValue>YoQyhWlETF9IfIQq/KeFPQEcdF0ugnatJDM1b6Y6Dx4=</DigestValue>
      </Reference>
      <Reference URI="/word/footer2.xml?ContentType=application/vnd.openxmlformats-officedocument.wordprocessingml.footer+xml">
        <DigestMethod Algorithm="http://www.w3.org/2001/04/xmlenc#sha256"/>
        <DigestValue>N8fUJeCDqdnVLVqUrDxrmZ1ZaJ5+t3H4idkfg2a2mIY=</DigestValue>
      </Reference>
      <Reference URI="/word/footer3.xml?ContentType=application/vnd.openxmlformats-officedocument.wordprocessingml.footer+xml">
        <DigestMethod Algorithm="http://www.w3.org/2001/04/xmlenc#sha256"/>
        <DigestValue>cCo/H673ttQtLraopb64eGK5r+3c925JY6xHkqlCRnI=</DigestValue>
      </Reference>
      <Reference URI="/word/footnotes.xml?ContentType=application/vnd.openxmlformats-officedocument.wordprocessingml.footnotes+xml">
        <DigestMethod Algorithm="http://www.w3.org/2001/04/xmlenc#sha256"/>
        <DigestValue>ucFNkwoK78Vujxl6XVSzEPoQalBuPZ77QqAXAH4Zv58=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+wbeJPW+vhA4QpMJtLxdydANqdM9iiZoX4ekwf7BUbo=</DigestValue>
      </Reference>
      <Reference URI="/word/glossary/fontTable.xml?ContentType=application/vnd.openxmlformats-officedocument.wordprocessingml.fontTable+xml">
        <DigestMethod Algorithm="http://www.w3.org/2001/04/xmlenc#sha256"/>
        <DigestValue>9Q1SxIXuMHtR8GipSsi83jZi643FK9iXsVv4BMUPTj4=</DigestValue>
      </Reference>
      <Reference URI="/word/glossary/settings.xml?ContentType=application/vnd.openxmlformats-officedocument.wordprocessingml.settings+xml">
        <DigestMethod Algorithm="http://www.w3.org/2001/04/xmlenc#sha256"/>
        <DigestValue>eEP/vzTbGukQV/yFpdFx9jyK3Gml4bz8UcEvxib+VYA=</DigestValue>
      </Reference>
      <Reference URI="/word/glossary/styles.xml?ContentType=application/vnd.openxmlformats-officedocument.wordprocessingml.styles+xml">
        <DigestMethod Algorithm="http://www.w3.org/2001/04/xmlenc#sha256"/>
        <DigestValue>5oi9X4WeUnP/iNJyoZAs2CWQJllB1OIgi/yCny563q8=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hQ499N9j/eP2vqT+Q8tNlhagi9/drGvkSDx8ijHQ/A0=</DigestValue>
      </Reference>
      <Reference URI="/word/header2.xml?ContentType=application/vnd.openxmlformats-officedocument.wordprocessingml.header+xml">
        <DigestMethod Algorithm="http://www.w3.org/2001/04/xmlenc#sha256"/>
        <DigestValue>49Brj5xlwe2pXugDES6pcdgs9JEF0TTMG0UgpHCGl9k=</DigestValue>
      </Reference>
      <Reference URI="/word/header3.xml?ContentType=application/vnd.openxmlformats-officedocument.wordprocessingml.header+xml">
        <DigestMethod Algorithm="http://www.w3.org/2001/04/xmlenc#sha256"/>
        <DigestValue>3frGXfBG6eUbKb0OM2eG9Be9qpB0vjBjgUno+4hITaQ=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EegH24yc0HugQ78JBkJV0xYSEB8aD8DDptDk71/T9Go=</DigestValue>
      </Reference>
      <Reference URI="/word/settings.xml?ContentType=application/vnd.openxmlformats-officedocument.wordprocessingml.settings+xml">
        <DigestMethod Algorithm="http://www.w3.org/2001/04/xmlenc#sha256"/>
        <DigestValue>m6Bsm0ftLGyUXVdOxXWFVnit5E9nSlC6Nz2S0TRlEQU=</DigestValue>
      </Reference>
      <Reference URI="/word/styles.xml?ContentType=application/vnd.openxmlformats-officedocument.wordprocessingml.styles+xml">
        <DigestMethod Algorithm="http://www.w3.org/2001/04/xmlenc#sha256"/>
        <DigestValue>cI/mKCrcJsXitMi8Gdo4RxSCBq3RMdQQfzQ33v+ejgs=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2022-11-08T02:19:33Z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2022-11-08T02:19:33Z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qZyTZqlSx8F3qw5cNNogxGyZH+puxZapxxTsOuAsc0CBBF60HkYDzIwMjIxMTA4MDIxOT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4dG6W5tWyBpRhC6kzbyBv3mbGuc=</xd:ByKey>
                  </xd:ResponderID>
                  <xd:ProducedAt>2022-11-08T02:18:13Z</xd:ProducedAt>
                </xd:OCSPIdentifier>
                <xd:DigestAlgAndValue>
                  <DigestMethod Algorithm="http://www.w3.org/2001/04/xmlenc#sha256"/>
                  <DigestValue>nkvw8+J2iRuZzCs8K2U68IrOvHWmO1DtW6W1t/IDv+U=</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5YRqJnKLoFW3hMKjMiLZ6I6taoyViYNBMM3narJsGMCBBF60HoYDzIwMjIxMTA4MDIxOT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Envío en consulta Modificación Lineamientos CONASSIF 14-21
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Envío en consulta Modificación Lineamientos CONASSIF 14-21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A6FB7B0-B425-4B89-A5C1-7E9987DC47BE}">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875e23b-67d9-4b2e-bdec-edacbf90b326"/>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EA7C149-22EF-4FC6-8D18-8132E2814A33}">
  <ds:schemaRefs>
    <ds:schemaRef ds:uri="http://schemas.microsoft.com/sharepoint/events"/>
  </ds:schemaRefs>
</ds:datastoreItem>
</file>

<file path=customXml/itemProps3.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4.xml><?xml version="1.0" encoding="utf-8"?>
<ds:datastoreItem xmlns:ds="http://schemas.openxmlformats.org/officeDocument/2006/customXml" ds:itemID="{90A8537E-BC92-4508-A0DF-1886A85E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6CD63B-C41E-4112-8955-249D2902500E}">
  <ds:schemaRefs>
    <ds:schemaRef ds:uri="office.server.policy"/>
  </ds:schemaRefs>
</ds:datastoreItem>
</file>

<file path=customXml/itemProps6.xml><?xml version="1.0" encoding="utf-8"?>
<ds:datastoreItem xmlns:ds="http://schemas.openxmlformats.org/officeDocument/2006/customXml" ds:itemID="{0F62D982-3B8F-4900-9368-40E9AECB7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4</TotalTime>
  <Pages>3</Pages>
  <Words>883</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4</cp:revision>
  <dcterms:created xsi:type="dcterms:W3CDTF">2022-11-07T17:22:00Z</dcterms:created>
  <dcterms:modified xsi:type="dcterms:W3CDTF">2022-11-07T23:39:00Z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108100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f1fd9d7f-da86-405a-9476-87cbb240632e,5;e296350a-171a-4531-9415-14f9933ddbf9,8;</vt:lpwstr>
  </property>
</Properties>
</file>