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6E02" w14:textId="4BACD9A0" w:rsidR="003D7679" w:rsidRPr="00C22DBA" w:rsidRDefault="003D7679" w:rsidP="00557BEA">
      <w:pPr>
        <w:pStyle w:val="Texto"/>
        <w:spacing w:before="0" w:after="0" w:line="240" w:lineRule="auto"/>
        <w:contextualSpacing/>
        <w:jc w:val="center"/>
        <w:rPr>
          <w:b/>
          <w:bCs/>
          <w:sz w:val="23"/>
          <w:szCs w:val="23"/>
        </w:rPr>
      </w:pPr>
      <w:r w:rsidRPr="00C22DBA">
        <w:rPr>
          <w:b/>
          <w:bCs/>
          <w:sz w:val="23"/>
          <w:szCs w:val="23"/>
        </w:rPr>
        <w:t>Resolución</w:t>
      </w:r>
    </w:p>
    <w:p w14:paraId="15C99677" w14:textId="3AC5E72B" w:rsidR="00181ABF" w:rsidRPr="00C22DBA" w:rsidRDefault="003D7679" w:rsidP="00557BEA">
      <w:pPr>
        <w:pStyle w:val="Texto"/>
        <w:spacing w:before="0" w:after="0" w:line="240" w:lineRule="auto"/>
        <w:contextualSpacing/>
        <w:jc w:val="center"/>
        <w:rPr>
          <w:sz w:val="23"/>
          <w:szCs w:val="23"/>
        </w:rPr>
      </w:pPr>
      <w:r w:rsidRPr="00C22DBA">
        <w:rPr>
          <w:sz w:val="23"/>
          <w:szCs w:val="23"/>
        </w:rPr>
        <w:t>0</w:t>
      </w:r>
      <w:r w:rsidR="005E4CFF">
        <w:rPr>
          <w:sz w:val="23"/>
          <w:szCs w:val="23"/>
        </w:rPr>
        <w:t>7</w:t>
      </w:r>
      <w:r w:rsidRPr="00C22DBA">
        <w:rPr>
          <w:sz w:val="23"/>
          <w:szCs w:val="23"/>
        </w:rPr>
        <w:t xml:space="preserve"> de noviembre del 2022</w:t>
      </w:r>
    </w:p>
    <w:sdt>
      <w:sdtPr>
        <w:rPr>
          <w:sz w:val="23"/>
          <w:szCs w:val="23"/>
        </w:rPr>
        <w:alias w:val="Consecutivo"/>
        <w:tag w:val="Consecutivo"/>
        <w:id w:val="2052717023"/>
        <w:placeholder>
          <w:docPart w:val="92099032F12E4850B1513BB36AF2B25F"/>
        </w:placeholder>
        <w:text/>
      </w:sdtPr>
      <w:sdtEndPr/>
      <w:sdtContent>
        <w:p w14:paraId="719E158A" w14:textId="77777777" w:rsidR="00181ABF" w:rsidRPr="00C22DBA" w:rsidRDefault="00181ABF" w:rsidP="00557BEA">
          <w:pPr>
            <w:tabs>
              <w:tab w:val="left" w:pos="2843"/>
            </w:tabs>
            <w:spacing w:line="240" w:lineRule="auto"/>
            <w:contextualSpacing/>
            <w:jc w:val="center"/>
            <w:rPr>
              <w:sz w:val="23"/>
              <w:szCs w:val="23"/>
            </w:rPr>
          </w:pPr>
          <w:r>
            <w:t>SGF-2267-2022</w:t>
          </w:r>
        </w:p>
      </w:sdtContent>
    </w:sdt>
    <w:p w14:paraId="58AD45D1" w14:textId="5A5C82F2" w:rsidR="00181ABF" w:rsidRPr="00C22DBA" w:rsidRDefault="000034C1" w:rsidP="00557BEA">
      <w:pPr>
        <w:tabs>
          <w:tab w:val="left" w:pos="2843"/>
        </w:tabs>
        <w:spacing w:line="240" w:lineRule="auto"/>
        <w:contextualSpacing/>
        <w:jc w:val="center"/>
        <w:rPr>
          <w:sz w:val="23"/>
          <w:szCs w:val="23"/>
        </w:rPr>
      </w:pPr>
      <w:sdt>
        <w:sdtPr>
          <w:rPr>
            <w:sz w:val="23"/>
            <w:szCs w:val="23"/>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0235B" w:rsidRPr="00C22DBA">
            <w:rPr>
              <w:sz w:val="23"/>
              <w:szCs w:val="23"/>
            </w:rPr>
            <w:t>SGF-PUBLICO</w:t>
          </w:r>
        </w:sdtContent>
      </w:sdt>
    </w:p>
    <w:p w14:paraId="2B65D37A" w14:textId="651A5838" w:rsidR="00C22DBA" w:rsidRPr="00C22DBA" w:rsidRDefault="00181ABF" w:rsidP="00C22DBA">
      <w:pPr>
        <w:tabs>
          <w:tab w:val="left" w:pos="2843"/>
        </w:tabs>
        <w:spacing w:line="240" w:lineRule="auto"/>
        <w:contextualSpacing/>
        <w:rPr>
          <w:b/>
          <w:sz w:val="23"/>
          <w:szCs w:val="23"/>
          <w:lang w:val="es-CR"/>
        </w:rPr>
      </w:pPr>
      <w:r w:rsidRPr="00C22DBA">
        <w:rPr>
          <w:sz w:val="23"/>
          <w:szCs w:val="23"/>
        </w:rPr>
        <w:tab/>
      </w:r>
    </w:p>
    <w:p w14:paraId="615BB6DD" w14:textId="3884FEF9" w:rsidR="003D7679" w:rsidRPr="00C22DBA" w:rsidRDefault="003D7679" w:rsidP="00557BEA">
      <w:pPr>
        <w:widowControl w:val="0"/>
        <w:spacing w:line="240" w:lineRule="auto"/>
        <w:ind w:left="34" w:right="86"/>
        <w:contextualSpacing/>
        <w:outlineLvl w:val="0"/>
        <w:rPr>
          <w:b/>
          <w:sz w:val="23"/>
          <w:szCs w:val="23"/>
          <w:lang w:val="es-CR"/>
        </w:rPr>
      </w:pPr>
      <w:r w:rsidRPr="00C22DBA">
        <w:rPr>
          <w:b/>
          <w:sz w:val="23"/>
          <w:szCs w:val="23"/>
          <w:lang w:val="es-CR"/>
        </w:rPr>
        <w:t xml:space="preserve">Dirigida a: </w:t>
      </w:r>
    </w:p>
    <w:p w14:paraId="16831D79" w14:textId="77777777" w:rsidR="003D7679" w:rsidRPr="00C22DBA" w:rsidRDefault="003D7679" w:rsidP="00557BEA">
      <w:pPr>
        <w:widowControl w:val="0"/>
        <w:spacing w:line="240" w:lineRule="auto"/>
        <w:ind w:right="86"/>
        <w:contextualSpacing/>
        <w:outlineLvl w:val="0"/>
        <w:rPr>
          <w:b/>
          <w:sz w:val="23"/>
          <w:szCs w:val="23"/>
          <w:lang w:val="es-CR"/>
        </w:rPr>
      </w:pPr>
    </w:p>
    <w:p w14:paraId="3F0E5A16"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Comerciales del Estado</w:t>
      </w:r>
    </w:p>
    <w:p w14:paraId="24A2E180"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Creados por Leyes Especiales</w:t>
      </w:r>
    </w:p>
    <w:p w14:paraId="17B1A75F"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Privados</w:t>
      </w:r>
    </w:p>
    <w:p w14:paraId="156EA003"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Empresas Financieras no Bancarias</w:t>
      </w:r>
    </w:p>
    <w:p w14:paraId="4FFD44EB"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Otras Entidades Financieras</w:t>
      </w:r>
    </w:p>
    <w:p w14:paraId="4249BD31"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Organizaciones Cooperativas de Ahorro y Crédito</w:t>
      </w:r>
    </w:p>
    <w:p w14:paraId="21EBE821"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Entidades Autorizadas del Sistema Financiera Nacional para la Vivienda</w:t>
      </w:r>
    </w:p>
    <w:p w14:paraId="7234FFF8" w14:textId="77777777" w:rsidR="003D7679" w:rsidRPr="00C22DBA" w:rsidRDefault="003D7679" w:rsidP="00557BEA">
      <w:pPr>
        <w:pStyle w:val="Texto"/>
        <w:spacing w:line="240" w:lineRule="auto"/>
        <w:contextualSpacing/>
        <w:rPr>
          <w:b/>
          <w:sz w:val="23"/>
          <w:szCs w:val="23"/>
        </w:rPr>
      </w:pPr>
    </w:p>
    <w:p w14:paraId="764CBFF5" w14:textId="35AE4FC7" w:rsidR="003D7679" w:rsidRPr="00C22DBA" w:rsidRDefault="003D7679" w:rsidP="00557BEA">
      <w:pPr>
        <w:pStyle w:val="Texto"/>
        <w:spacing w:line="240" w:lineRule="auto"/>
        <w:contextualSpacing/>
        <w:rPr>
          <w:i/>
          <w:iCs/>
          <w:sz w:val="23"/>
          <w:szCs w:val="23"/>
          <w:lang w:val="es-419"/>
        </w:rPr>
      </w:pPr>
      <w:r w:rsidRPr="00C22DBA">
        <w:rPr>
          <w:b/>
          <w:sz w:val="23"/>
          <w:szCs w:val="23"/>
        </w:rPr>
        <w:t xml:space="preserve">Asunto: </w:t>
      </w:r>
      <w:r w:rsidRPr="00C22DBA">
        <w:rPr>
          <w:i/>
          <w:iCs/>
          <w:sz w:val="23"/>
          <w:szCs w:val="23"/>
          <w:lang w:val="es-419"/>
        </w:rPr>
        <w:t>Envío en consulta de modificación de los</w:t>
      </w:r>
      <w:r w:rsidR="0060235B" w:rsidRPr="00C22DBA">
        <w:rPr>
          <w:i/>
          <w:iCs/>
          <w:sz w:val="23"/>
          <w:szCs w:val="23"/>
          <w:lang w:val="es-419"/>
        </w:rPr>
        <w:t xml:space="preserve"> </w:t>
      </w:r>
      <w:r w:rsidRPr="00C22DBA">
        <w:rPr>
          <w:i/>
          <w:iCs/>
          <w:sz w:val="23"/>
          <w:szCs w:val="23"/>
          <w:lang w:val="es-419"/>
        </w:rPr>
        <w:t xml:space="preserve">Lineamientos Generales para la Aplicación del </w:t>
      </w:r>
      <w:r w:rsidR="0060235B" w:rsidRPr="00C22DBA">
        <w:rPr>
          <w:i/>
          <w:iCs/>
          <w:sz w:val="23"/>
          <w:szCs w:val="23"/>
          <w:lang w:val="es-419"/>
        </w:rPr>
        <w:t>“</w:t>
      </w:r>
      <w:r w:rsidRPr="00C22DBA">
        <w:rPr>
          <w:i/>
          <w:iCs/>
          <w:sz w:val="23"/>
          <w:szCs w:val="23"/>
          <w:lang w:val="es-419"/>
        </w:rPr>
        <w:t>Reglamento para la Calificación de Deudores, Acuerdo SUGEF 1-05</w:t>
      </w:r>
      <w:r w:rsidR="0060235B" w:rsidRPr="00C22DBA">
        <w:rPr>
          <w:sz w:val="23"/>
          <w:szCs w:val="23"/>
          <w:lang w:val="es-419"/>
        </w:rPr>
        <w:t>”.</w:t>
      </w:r>
    </w:p>
    <w:p w14:paraId="796D055F" w14:textId="77777777" w:rsidR="003D7679" w:rsidRPr="00C22DBA" w:rsidRDefault="003D7679" w:rsidP="00557BEA">
      <w:pPr>
        <w:widowControl w:val="0"/>
        <w:spacing w:after="120" w:line="240" w:lineRule="auto"/>
        <w:ind w:left="-39"/>
        <w:contextualSpacing/>
        <w:rPr>
          <w:b/>
          <w:bCs/>
          <w:sz w:val="23"/>
          <w:szCs w:val="23"/>
        </w:rPr>
      </w:pPr>
    </w:p>
    <w:p w14:paraId="667418F4" w14:textId="276DD657" w:rsidR="003D7679" w:rsidRPr="00C22DBA" w:rsidRDefault="00557BEA" w:rsidP="00557BEA">
      <w:pPr>
        <w:widowControl w:val="0"/>
        <w:spacing w:after="120" w:line="240" w:lineRule="auto"/>
        <w:ind w:left="-39"/>
        <w:contextualSpacing/>
        <w:rPr>
          <w:b/>
          <w:bCs/>
          <w:sz w:val="23"/>
          <w:szCs w:val="23"/>
        </w:rPr>
      </w:pPr>
      <w:r w:rsidRPr="00C22DBA">
        <w:rPr>
          <w:b/>
          <w:bCs/>
          <w:sz w:val="23"/>
          <w:szCs w:val="23"/>
        </w:rPr>
        <w:t>La</w:t>
      </w:r>
      <w:r w:rsidR="003D7679" w:rsidRPr="00C22DBA">
        <w:rPr>
          <w:b/>
          <w:bCs/>
          <w:sz w:val="23"/>
          <w:szCs w:val="23"/>
        </w:rPr>
        <w:t xml:space="preserve"> Superintenden</w:t>
      </w:r>
      <w:r w:rsidRPr="00C22DBA">
        <w:rPr>
          <w:b/>
          <w:bCs/>
          <w:sz w:val="23"/>
          <w:szCs w:val="23"/>
        </w:rPr>
        <w:t>cia</w:t>
      </w:r>
      <w:r w:rsidR="003D7679" w:rsidRPr="00C22DBA">
        <w:rPr>
          <w:b/>
          <w:bCs/>
          <w:sz w:val="23"/>
          <w:szCs w:val="23"/>
        </w:rPr>
        <w:t xml:space="preserve"> General de Entidades Financieras,</w:t>
      </w:r>
    </w:p>
    <w:p w14:paraId="0EEE23D5" w14:textId="77777777" w:rsidR="003D7679" w:rsidRPr="00C22DBA" w:rsidRDefault="003D7679" w:rsidP="00557BEA">
      <w:pPr>
        <w:widowControl w:val="0"/>
        <w:spacing w:line="240" w:lineRule="auto"/>
        <w:contextualSpacing/>
        <w:rPr>
          <w:b/>
          <w:bCs/>
          <w:sz w:val="23"/>
          <w:szCs w:val="23"/>
        </w:rPr>
      </w:pPr>
    </w:p>
    <w:p w14:paraId="60E15807" w14:textId="7DFD0BEA" w:rsidR="003D7679" w:rsidRPr="00C22DBA" w:rsidRDefault="00557BEA" w:rsidP="00557BEA">
      <w:pPr>
        <w:spacing w:after="120" w:line="240" w:lineRule="auto"/>
        <w:contextualSpacing/>
        <w:rPr>
          <w:rFonts w:cs="Calibri"/>
          <w:b/>
          <w:bCs/>
          <w:sz w:val="23"/>
          <w:szCs w:val="23"/>
          <w:lang w:eastAsia="es-CR"/>
        </w:rPr>
      </w:pPr>
      <w:r w:rsidRPr="00C22DBA">
        <w:rPr>
          <w:rFonts w:cs="Calibri"/>
          <w:b/>
          <w:bCs/>
          <w:sz w:val="23"/>
          <w:szCs w:val="23"/>
          <w:lang w:eastAsia="es-CR"/>
        </w:rPr>
        <w:t>C</w:t>
      </w:r>
      <w:r w:rsidR="003D7679" w:rsidRPr="00C22DBA">
        <w:rPr>
          <w:rFonts w:cs="Calibri"/>
          <w:b/>
          <w:bCs/>
          <w:sz w:val="23"/>
          <w:szCs w:val="23"/>
          <w:lang w:eastAsia="es-CR"/>
        </w:rPr>
        <w:t xml:space="preserve">onsiderando que: </w:t>
      </w:r>
    </w:p>
    <w:p w14:paraId="3FFAE07B" w14:textId="7FD495CE" w:rsidR="003D7679" w:rsidRPr="00C22DBA" w:rsidRDefault="003D7679" w:rsidP="00557BEA">
      <w:pPr>
        <w:pStyle w:val="Prrafodelista"/>
        <w:widowControl w:val="0"/>
        <w:numPr>
          <w:ilvl w:val="0"/>
          <w:numId w:val="8"/>
        </w:numPr>
        <w:spacing w:after="0" w:line="240" w:lineRule="auto"/>
        <w:ind w:left="850" w:hanging="357"/>
        <w:rPr>
          <w:rFonts w:ascii="Cambria" w:hAnsi="Cambria"/>
          <w:sz w:val="23"/>
          <w:szCs w:val="23"/>
          <w:lang w:eastAsia="es-CR"/>
        </w:rPr>
      </w:pPr>
      <w:r w:rsidRPr="00C22DBA">
        <w:rPr>
          <w:rFonts w:ascii="Cambria" w:hAnsi="Cambria"/>
          <w:color w:val="auto"/>
          <w:sz w:val="23"/>
          <w:szCs w:val="23"/>
          <w:lang w:eastAsia="es-CR"/>
        </w:rPr>
        <w:t>El Consejo Nacional de Supervisión del Sistema Financiero,</w:t>
      </w:r>
      <w:r w:rsidR="009E7832" w:rsidRPr="00C22DBA">
        <w:rPr>
          <w:rFonts w:ascii="Cambria" w:hAnsi="Cambria"/>
          <w:color w:val="auto"/>
          <w:sz w:val="23"/>
          <w:szCs w:val="23"/>
          <w:lang w:eastAsia="es-CR"/>
        </w:rPr>
        <w:t xml:space="preserve"> en el inciso I, </w:t>
      </w:r>
      <w:r w:rsidRPr="00C22DBA">
        <w:rPr>
          <w:rFonts w:ascii="Cambria" w:hAnsi="Cambria"/>
          <w:color w:val="auto"/>
          <w:sz w:val="23"/>
          <w:szCs w:val="23"/>
          <w:lang w:eastAsia="es-CR"/>
        </w:rPr>
        <w:t xml:space="preserve">artículo </w:t>
      </w:r>
      <w:r w:rsidR="009E7832" w:rsidRPr="00C22DBA">
        <w:rPr>
          <w:rFonts w:ascii="Cambria" w:hAnsi="Cambria"/>
          <w:color w:val="auto"/>
          <w:sz w:val="23"/>
          <w:szCs w:val="23"/>
          <w:lang w:eastAsia="es-CR"/>
        </w:rPr>
        <w:t>11</w:t>
      </w:r>
      <w:r w:rsidRPr="00C22DBA">
        <w:rPr>
          <w:rFonts w:ascii="Cambria" w:hAnsi="Cambria"/>
          <w:color w:val="auto"/>
          <w:sz w:val="23"/>
          <w:szCs w:val="23"/>
          <w:lang w:eastAsia="es-CR"/>
        </w:rPr>
        <w:t xml:space="preserve">, del acta de la sesión </w:t>
      </w:r>
      <w:r w:rsidR="009E7832" w:rsidRPr="00C22DBA">
        <w:rPr>
          <w:rFonts w:ascii="Cambria" w:hAnsi="Cambria"/>
          <w:color w:val="auto"/>
          <w:sz w:val="23"/>
          <w:szCs w:val="23"/>
          <w:lang w:eastAsia="es-CR"/>
        </w:rPr>
        <w:t>1767</w:t>
      </w:r>
      <w:r w:rsidRPr="00C22DBA">
        <w:rPr>
          <w:rFonts w:ascii="Cambria" w:hAnsi="Cambria"/>
          <w:color w:val="auto"/>
          <w:sz w:val="23"/>
          <w:szCs w:val="23"/>
          <w:lang w:eastAsia="es-CR"/>
        </w:rPr>
        <w:t xml:space="preserve">-2022, </w:t>
      </w:r>
      <w:r w:rsidR="009E7832" w:rsidRPr="00C22DBA">
        <w:rPr>
          <w:rFonts w:ascii="Cambria" w:hAnsi="Cambria"/>
          <w:color w:val="auto"/>
          <w:sz w:val="23"/>
          <w:szCs w:val="23"/>
          <w:lang w:eastAsia="es-CR"/>
        </w:rPr>
        <w:t>del 31 de octubre</w:t>
      </w:r>
      <w:r w:rsidRPr="00C22DBA">
        <w:rPr>
          <w:rFonts w:ascii="Cambria" w:hAnsi="Cambria"/>
          <w:color w:val="auto"/>
          <w:sz w:val="23"/>
          <w:szCs w:val="23"/>
          <w:lang w:eastAsia="es-CR"/>
        </w:rPr>
        <w:t xml:space="preserve"> del 2022, aprobó </w:t>
      </w:r>
      <w:r w:rsidRPr="00C22DBA">
        <w:rPr>
          <w:rFonts w:ascii="Cambria" w:hAnsi="Cambria"/>
          <w:sz w:val="23"/>
          <w:szCs w:val="23"/>
          <w:lang w:eastAsia="es-CR"/>
        </w:rPr>
        <w:t xml:space="preserve">enviar en consulta </w:t>
      </w:r>
      <w:r w:rsidR="00557BEA" w:rsidRPr="00C22DBA">
        <w:rPr>
          <w:rFonts w:ascii="Cambria" w:hAnsi="Cambria"/>
          <w:sz w:val="23"/>
          <w:szCs w:val="23"/>
          <w:lang w:eastAsia="es-CR"/>
        </w:rPr>
        <w:t xml:space="preserve">las </w:t>
      </w:r>
      <w:r w:rsidRPr="00C22DBA">
        <w:rPr>
          <w:rFonts w:ascii="Cambria" w:hAnsi="Cambria"/>
          <w:sz w:val="23"/>
          <w:szCs w:val="23"/>
          <w:lang w:eastAsia="es-CR"/>
        </w:rPr>
        <w:t xml:space="preserve">modificaciones al </w:t>
      </w:r>
      <w:r w:rsidRPr="00C22DBA">
        <w:rPr>
          <w:rFonts w:ascii="Cambria" w:hAnsi="Cambria" w:cs="Calibri"/>
          <w:i/>
          <w:iCs/>
          <w:sz w:val="23"/>
          <w:szCs w:val="23"/>
          <w:lang w:eastAsia="es-CR"/>
        </w:rPr>
        <w:t>Reglamento para la Calificación de Deudores, Acuerdo SUGEF 1-05</w:t>
      </w:r>
      <w:r w:rsidR="00557BEA" w:rsidRPr="00C22DBA">
        <w:rPr>
          <w:rFonts w:ascii="Cambria" w:hAnsi="Cambria"/>
          <w:sz w:val="23"/>
          <w:szCs w:val="23"/>
          <w:lang w:eastAsia="es-CR"/>
        </w:rPr>
        <w:t xml:space="preserve"> y al </w:t>
      </w:r>
      <w:r w:rsidRPr="00C22DBA">
        <w:rPr>
          <w:rFonts w:ascii="Cambria" w:hAnsi="Cambria" w:cs="Calibri"/>
          <w:i/>
          <w:iCs/>
          <w:sz w:val="23"/>
          <w:szCs w:val="23"/>
          <w:lang w:eastAsia="es-CR"/>
        </w:rPr>
        <w:t>Reglamento sobre Suficiencia Patrimonial de Entidades, Acuerdo SUGEF 3-06.</w:t>
      </w:r>
    </w:p>
    <w:p w14:paraId="1682A3A8" w14:textId="77777777" w:rsidR="003D7679" w:rsidRPr="00C22DBA" w:rsidRDefault="003D7679" w:rsidP="00557BEA">
      <w:pPr>
        <w:pStyle w:val="Prrafodelista"/>
        <w:widowControl w:val="0"/>
        <w:numPr>
          <w:ilvl w:val="0"/>
          <w:numId w:val="8"/>
        </w:numPr>
        <w:spacing w:after="0" w:line="240" w:lineRule="auto"/>
        <w:ind w:left="850" w:hanging="357"/>
        <w:rPr>
          <w:rFonts w:ascii="Cambria" w:hAnsi="Cambria"/>
          <w:sz w:val="23"/>
          <w:szCs w:val="23"/>
          <w:lang w:eastAsia="es-CR"/>
        </w:rPr>
      </w:pPr>
      <w:r w:rsidRPr="00C22DBA">
        <w:rPr>
          <w:rFonts w:ascii="Cambria" w:hAnsi="Cambria" w:cs="Calibri"/>
          <w:sz w:val="23"/>
          <w:szCs w:val="23"/>
          <w:lang w:eastAsia="es-CR"/>
        </w:rPr>
        <w:t>Se</w:t>
      </w:r>
      <w:r w:rsidRPr="00C22DBA">
        <w:rPr>
          <w:rFonts w:ascii="Cambria" w:hAnsi="Cambria" w:cs="Calibri"/>
          <w:i/>
          <w:iCs/>
          <w:sz w:val="23"/>
          <w:szCs w:val="23"/>
          <w:lang w:eastAsia="es-CR"/>
        </w:rPr>
        <w:t xml:space="preserve"> </w:t>
      </w:r>
      <w:r w:rsidRPr="00C22DBA">
        <w:rPr>
          <w:rFonts w:ascii="Cambria" w:hAnsi="Cambria" w:cs="Calibri"/>
          <w:sz w:val="23"/>
          <w:szCs w:val="23"/>
          <w:lang w:eastAsia="es-CR"/>
        </w:rPr>
        <w:t>proponen mejoras al cálculo del “Comportamiento de Pago Histórico (CPH).</w:t>
      </w:r>
    </w:p>
    <w:p w14:paraId="2CCD16C2" w14:textId="77777777" w:rsidR="003D7679" w:rsidRPr="00C22DBA" w:rsidRDefault="003D7679" w:rsidP="00557BEA">
      <w:pPr>
        <w:pStyle w:val="Prrafodelista"/>
        <w:numPr>
          <w:ilvl w:val="0"/>
          <w:numId w:val="8"/>
        </w:numPr>
        <w:spacing w:after="0" w:line="240" w:lineRule="auto"/>
        <w:ind w:left="850" w:hanging="357"/>
        <w:rPr>
          <w:rFonts w:ascii="Cambria" w:hAnsi="Cambria"/>
          <w:sz w:val="23"/>
          <w:szCs w:val="23"/>
          <w:lang w:eastAsia="es-CR"/>
        </w:rPr>
      </w:pPr>
      <w:r w:rsidRPr="00C22DBA">
        <w:rPr>
          <w:rFonts w:ascii="Cambria" w:hAnsi="Cambria"/>
          <w:sz w:val="23"/>
          <w:szCs w:val="23"/>
          <w:lang w:eastAsia="es-CR"/>
        </w:rPr>
        <w:t xml:space="preserve">El inciso 2) del artículo 361 Ley General de la Administración Pública establece que se concederá a las entidades representativas de intereses de carácter general o corporativo afectados por la disposición, la oportunidad de exponer su parecer. </w:t>
      </w:r>
    </w:p>
    <w:p w14:paraId="52EEE931" w14:textId="77777777" w:rsidR="003D7679" w:rsidRPr="00C22DBA" w:rsidRDefault="003D7679" w:rsidP="00557BEA">
      <w:pPr>
        <w:pStyle w:val="Prrafodelista"/>
        <w:numPr>
          <w:ilvl w:val="0"/>
          <w:numId w:val="8"/>
        </w:numPr>
        <w:spacing w:after="0" w:line="240" w:lineRule="auto"/>
        <w:ind w:left="850" w:hanging="357"/>
        <w:rPr>
          <w:rFonts w:ascii="Cambria" w:hAnsi="Cambria"/>
          <w:sz w:val="23"/>
          <w:szCs w:val="23"/>
          <w:lang w:eastAsia="es-CR"/>
        </w:rPr>
      </w:pPr>
      <w:r w:rsidRPr="00C22DBA">
        <w:rPr>
          <w:rFonts w:ascii="Cambria" w:hAnsi="Cambria"/>
          <w:sz w:val="23"/>
          <w:szCs w:val="23"/>
          <w:lang w:eastAsia="es-CR"/>
        </w:rPr>
        <w:t xml:space="preserve">En ese sentido, se somete a consulta de las entidades supervisadas, cámaras y gremios la propuesta de modificación a los Lineamientos Generales del </w:t>
      </w:r>
      <w:r w:rsidRPr="00C22DBA">
        <w:rPr>
          <w:rFonts w:ascii="Cambria" w:hAnsi="Cambria" w:cs="Calibri"/>
          <w:i/>
          <w:iCs/>
          <w:sz w:val="23"/>
          <w:szCs w:val="23"/>
          <w:lang w:eastAsia="es-CR"/>
        </w:rPr>
        <w:t>Reglamento para la Calificación de Deudores, Acuerdo SUGEF 1-05.</w:t>
      </w:r>
      <w:r w:rsidRPr="00C22DBA">
        <w:rPr>
          <w:rFonts w:ascii="Cambria" w:hAnsi="Cambria" w:cs="Calibri"/>
          <w:sz w:val="23"/>
          <w:szCs w:val="23"/>
          <w:lang w:eastAsia="es-CR"/>
        </w:rPr>
        <w:t xml:space="preserve">  </w:t>
      </w:r>
    </w:p>
    <w:p w14:paraId="3274D90A" w14:textId="77777777" w:rsidR="003D7679" w:rsidRPr="00C22DBA" w:rsidRDefault="003D7679" w:rsidP="00557BEA">
      <w:pPr>
        <w:spacing w:after="120" w:line="240" w:lineRule="auto"/>
        <w:contextualSpacing/>
        <w:rPr>
          <w:rFonts w:cs="Calibri"/>
          <w:b/>
          <w:bCs/>
          <w:sz w:val="23"/>
          <w:szCs w:val="23"/>
          <w:lang w:eastAsia="es-CR"/>
        </w:rPr>
      </w:pPr>
    </w:p>
    <w:p w14:paraId="47B71F1D" w14:textId="486D1579" w:rsidR="003D7679" w:rsidRPr="00C22DBA" w:rsidRDefault="003D7679" w:rsidP="00557BEA">
      <w:pPr>
        <w:spacing w:after="120" w:line="240" w:lineRule="auto"/>
        <w:contextualSpacing/>
        <w:rPr>
          <w:rFonts w:cs="Calibri"/>
          <w:b/>
          <w:bCs/>
          <w:sz w:val="23"/>
          <w:szCs w:val="23"/>
          <w:lang w:eastAsia="es-CR"/>
        </w:rPr>
      </w:pPr>
      <w:r w:rsidRPr="00C22DBA">
        <w:rPr>
          <w:rFonts w:cs="Calibri"/>
          <w:b/>
          <w:bCs/>
          <w:sz w:val="23"/>
          <w:szCs w:val="23"/>
          <w:lang w:eastAsia="es-CR"/>
        </w:rPr>
        <w:t>dispuso en firme:</w:t>
      </w:r>
    </w:p>
    <w:p w14:paraId="1BDD954E" w14:textId="77777777" w:rsidR="00557BEA" w:rsidRPr="00C22DBA" w:rsidRDefault="00557BEA" w:rsidP="00557BEA">
      <w:pPr>
        <w:spacing w:after="120" w:line="240" w:lineRule="auto"/>
        <w:contextualSpacing/>
        <w:rPr>
          <w:rFonts w:cs="Calibri"/>
          <w:b/>
          <w:bCs/>
          <w:sz w:val="23"/>
          <w:szCs w:val="23"/>
          <w:lang w:eastAsia="es-CR"/>
        </w:rPr>
      </w:pPr>
    </w:p>
    <w:p w14:paraId="3849E7FB" w14:textId="77777777" w:rsidR="00557BEA" w:rsidRPr="00C22DBA" w:rsidRDefault="003D7679" w:rsidP="00557BEA">
      <w:pPr>
        <w:spacing w:after="120" w:line="240" w:lineRule="auto"/>
        <w:contextualSpacing/>
        <w:rPr>
          <w:rFonts w:cs="Calibri"/>
          <w:sz w:val="23"/>
          <w:szCs w:val="23"/>
          <w:lang w:eastAsia="es-CR"/>
        </w:rPr>
      </w:pPr>
      <w:r w:rsidRPr="00C22DBA">
        <w:rPr>
          <w:rFonts w:cs="Calibri"/>
          <w:sz w:val="23"/>
          <w:szCs w:val="23"/>
          <w:lang w:eastAsia="es-CR"/>
        </w:rPr>
        <w:t xml:space="preserve">remitir en consulta, en cumplimiento de lo establecido en el numeral 2, artículo 361, de la Ley General de la Administración Pública, Ley 6227, a todas las entidades supervisadas por la SUGEF, Federación de Cooperativas de Ahorro y Crédito FEDEAC, R.L., Federación de Cooperativas de Ahorro y Crédito FECOOPSE, R.L., Asociación Bancaria Costarricense, Cámara de Bancos e Instituciones Financieras de Costa Rica y a la Federación de Mutuales de Ahorro y Préstamo, la propuesta de reforma a los Lineamientos del </w:t>
      </w:r>
      <w:r w:rsidRPr="00C22DBA">
        <w:rPr>
          <w:rFonts w:cs="Calibri"/>
          <w:i/>
          <w:iCs/>
          <w:sz w:val="23"/>
          <w:szCs w:val="23"/>
          <w:lang w:eastAsia="es-CR"/>
        </w:rPr>
        <w:t>Reglamento para la Calificación de Deudores, Acuerdo SUGEF 1-05.</w:t>
      </w:r>
      <w:r w:rsidRPr="00C22DBA">
        <w:rPr>
          <w:rFonts w:cs="Calibri"/>
          <w:sz w:val="23"/>
          <w:szCs w:val="23"/>
          <w:lang w:eastAsia="es-CR"/>
        </w:rPr>
        <w:t xml:space="preserve">  </w:t>
      </w:r>
    </w:p>
    <w:p w14:paraId="57316424" w14:textId="1EB59CB7" w:rsidR="003D7679" w:rsidRPr="00C22DBA" w:rsidRDefault="003D7679" w:rsidP="00557BEA">
      <w:pPr>
        <w:spacing w:after="120" w:line="240" w:lineRule="auto"/>
        <w:contextualSpacing/>
        <w:rPr>
          <w:rFonts w:cs="Calibri"/>
          <w:sz w:val="23"/>
          <w:szCs w:val="23"/>
          <w:lang w:eastAsia="es-CR"/>
        </w:rPr>
      </w:pPr>
      <w:r w:rsidRPr="00C22DBA">
        <w:rPr>
          <w:rFonts w:cs="Calibri"/>
          <w:sz w:val="23"/>
          <w:szCs w:val="23"/>
          <w:lang w:eastAsia="es-CR"/>
        </w:rPr>
        <w:t xml:space="preserve"> </w:t>
      </w:r>
    </w:p>
    <w:p w14:paraId="1CDB934B" w14:textId="3A4C3265" w:rsidR="003D7679" w:rsidRPr="00C22DBA" w:rsidRDefault="003D7679" w:rsidP="00557BEA">
      <w:pPr>
        <w:spacing w:after="120" w:line="240" w:lineRule="auto"/>
        <w:contextualSpacing/>
        <w:rPr>
          <w:rFonts w:cs="Calibri"/>
          <w:sz w:val="23"/>
          <w:szCs w:val="23"/>
          <w:lang w:eastAsia="es-CR"/>
        </w:rPr>
      </w:pPr>
      <w:r w:rsidRPr="00C22DBA">
        <w:rPr>
          <w:rFonts w:cs="Calibri"/>
          <w:sz w:val="23"/>
          <w:szCs w:val="23"/>
          <w:lang w:eastAsia="es-CR"/>
        </w:rPr>
        <w:t xml:space="preserve">En el entendido que en un </w:t>
      </w:r>
      <w:r w:rsidRPr="00C22DBA">
        <w:rPr>
          <w:rFonts w:cs="Calibri"/>
          <w:b/>
          <w:bCs/>
          <w:sz w:val="23"/>
          <w:szCs w:val="23"/>
          <w:lang w:eastAsia="es-CR"/>
        </w:rPr>
        <w:t>plazo máximo de diez (10) días hábiles</w:t>
      </w:r>
      <w:r w:rsidRPr="00C22DBA">
        <w:rPr>
          <w:rFonts w:cs="Calibri"/>
          <w:sz w:val="23"/>
          <w:szCs w:val="23"/>
          <w:lang w:eastAsia="es-CR"/>
        </w:rPr>
        <w:t xml:space="preserve">, contados a partir del día hábil siguiente del recibo de la comunicación, deberán incluir los comentarios y observaciones en el formulario que </w:t>
      </w:r>
      <w:r w:rsidRPr="00C22DBA">
        <w:rPr>
          <w:rFonts w:cs="Calibri"/>
          <w:sz w:val="23"/>
          <w:szCs w:val="23"/>
          <w:lang w:val="es-419" w:eastAsia="es-CR"/>
        </w:rPr>
        <w:t xml:space="preserve">está disponible en el apartado </w:t>
      </w:r>
      <w:hyperlink r:id="rId14" w:history="1">
        <w:r w:rsidRPr="00C22DBA">
          <w:rPr>
            <w:rStyle w:val="Hipervnculo"/>
            <w:rFonts w:cs="Calibri"/>
            <w:sz w:val="23"/>
            <w:szCs w:val="23"/>
            <w:lang w:eastAsia="es-CR"/>
          </w:rPr>
          <w:t>“</w:t>
        </w:r>
        <w:r w:rsidRPr="00C22DBA">
          <w:rPr>
            <w:rStyle w:val="Hipervnculo"/>
            <w:rFonts w:cs="Calibri"/>
            <w:bCs/>
            <w:sz w:val="23"/>
            <w:szCs w:val="23"/>
            <w:lang w:eastAsia="es-CR"/>
          </w:rPr>
          <w:t>Formularios para remitir observaciones de normativa en consulta”</w:t>
        </w:r>
      </w:hyperlink>
      <w:r w:rsidRPr="00C22DBA">
        <w:rPr>
          <w:rFonts w:cs="Calibri"/>
          <w:b/>
          <w:bCs/>
          <w:sz w:val="23"/>
          <w:szCs w:val="23"/>
          <w:lang w:eastAsia="es-CR"/>
        </w:rPr>
        <w:t xml:space="preserve">, </w:t>
      </w:r>
      <w:r w:rsidRPr="00C22DBA">
        <w:rPr>
          <w:rFonts w:cs="Calibri"/>
          <w:sz w:val="23"/>
          <w:szCs w:val="23"/>
          <w:lang w:eastAsia="es-CR"/>
        </w:rPr>
        <w:t>ubicado en la dirección electrónica de la página oficial de la SUGEF.</w:t>
      </w:r>
    </w:p>
    <w:p w14:paraId="18362290" w14:textId="77777777" w:rsidR="0060235B" w:rsidRPr="00C22DBA" w:rsidRDefault="0060235B" w:rsidP="00557BEA">
      <w:pPr>
        <w:spacing w:after="120" w:line="240" w:lineRule="auto"/>
        <w:contextualSpacing/>
        <w:rPr>
          <w:rFonts w:cs="Calibri"/>
          <w:sz w:val="23"/>
          <w:szCs w:val="23"/>
          <w:lang w:eastAsia="es-CR"/>
        </w:rPr>
      </w:pPr>
    </w:p>
    <w:p w14:paraId="2EAE7266" w14:textId="6FD8A7EE" w:rsidR="003D7679" w:rsidRPr="00C22DBA" w:rsidRDefault="003D7679" w:rsidP="00557BEA">
      <w:pPr>
        <w:spacing w:after="120" w:line="240" w:lineRule="auto"/>
        <w:contextualSpacing/>
        <w:rPr>
          <w:rFonts w:cs="Calibri"/>
          <w:sz w:val="23"/>
          <w:szCs w:val="23"/>
          <w:lang w:eastAsia="es-CR"/>
        </w:rPr>
      </w:pPr>
      <w:r w:rsidRPr="00C22DBA">
        <w:rPr>
          <w:rFonts w:cs="Calibri"/>
          <w:sz w:val="23"/>
          <w:szCs w:val="23"/>
          <w:lang w:eastAsia="es-CR"/>
        </w:rPr>
        <w:t>El formulario estará disponible hasta el término de la consulta.</w:t>
      </w:r>
    </w:p>
    <w:p w14:paraId="65AF4973" w14:textId="77777777" w:rsidR="0060235B" w:rsidRPr="00C22DBA" w:rsidRDefault="0060235B" w:rsidP="00557BEA">
      <w:pPr>
        <w:spacing w:after="120" w:line="240" w:lineRule="auto"/>
        <w:contextualSpacing/>
        <w:rPr>
          <w:rFonts w:cs="Calibri"/>
          <w:sz w:val="23"/>
          <w:szCs w:val="23"/>
          <w:lang w:eastAsia="es-CR"/>
        </w:rPr>
      </w:pPr>
    </w:p>
    <w:p w14:paraId="756777D6" w14:textId="1D9ED79A" w:rsidR="003D7679" w:rsidRPr="00C22DBA" w:rsidRDefault="003D7679" w:rsidP="00557BEA">
      <w:pPr>
        <w:spacing w:after="120" w:line="240" w:lineRule="auto"/>
        <w:contextualSpacing/>
        <w:rPr>
          <w:rFonts w:cs="Calibri"/>
          <w:sz w:val="23"/>
          <w:szCs w:val="23"/>
          <w:lang w:eastAsia="es-CR"/>
        </w:rPr>
      </w:pPr>
      <w:r w:rsidRPr="00C22DBA">
        <w:rPr>
          <w:rFonts w:cs="Calibri"/>
          <w:sz w:val="23"/>
          <w:szCs w:val="23"/>
          <w:lang w:eastAsia="es-CR"/>
        </w:rPr>
        <w:t xml:space="preserve">Sin detrimento de lo anterior, las entidades consultadas pueden presentar de manera consolidada sus observaciones y comentarios a través de los gremios y cámaras que les representan. Asimismo, el correo electrónico </w:t>
      </w:r>
      <w:hyperlink r:id="rId15" w:history="1">
        <w:r w:rsidRPr="00C22DBA">
          <w:rPr>
            <w:rStyle w:val="Hipervnculo"/>
            <w:rFonts w:cs="Calibri"/>
            <w:sz w:val="23"/>
            <w:szCs w:val="23"/>
            <w:lang w:eastAsia="es-CR"/>
          </w:rPr>
          <w:t>normativaenconsulta@sugef.fi.cr</w:t>
        </w:r>
      </w:hyperlink>
      <w:r w:rsidRPr="00C22DBA">
        <w:rPr>
          <w:rFonts w:cs="Calibri"/>
          <w:sz w:val="23"/>
          <w:szCs w:val="23"/>
          <w:lang w:eastAsia="es-CR"/>
        </w:rPr>
        <w:t xml:space="preserve"> será utilizado </w:t>
      </w:r>
      <w:r w:rsidRPr="00C22DBA">
        <w:rPr>
          <w:rFonts w:cs="Calibri"/>
          <w:b/>
          <w:bCs/>
          <w:sz w:val="23"/>
          <w:szCs w:val="23"/>
          <w:u w:val="single"/>
          <w:lang w:eastAsia="es-CR"/>
        </w:rPr>
        <w:t>únicamente</w:t>
      </w:r>
      <w:r w:rsidRPr="00C22DBA">
        <w:rPr>
          <w:rFonts w:cs="Calibri"/>
          <w:sz w:val="23"/>
          <w:szCs w:val="23"/>
          <w:lang w:eastAsia="es-CR"/>
        </w:rPr>
        <w:t xml:space="preserve"> como mecanismo de notificación sobre la completitud de dicho formulario, respecto del texto que a continuación se transcribe:</w:t>
      </w:r>
    </w:p>
    <w:p w14:paraId="71C1F29A" w14:textId="7C6EBB98" w:rsidR="0060235B" w:rsidRPr="00C22DBA" w:rsidRDefault="0060235B" w:rsidP="00557BEA">
      <w:pPr>
        <w:spacing w:after="120" w:line="240" w:lineRule="auto"/>
        <w:contextualSpacing/>
        <w:rPr>
          <w:rFonts w:cs="Calibri"/>
          <w:sz w:val="23"/>
          <w:szCs w:val="23"/>
          <w:lang w:eastAsia="es-CR"/>
        </w:rPr>
      </w:pPr>
    </w:p>
    <w:p w14:paraId="03B8027A" w14:textId="77777777" w:rsidR="003D7679" w:rsidRPr="00C22DBA" w:rsidRDefault="003D7679" w:rsidP="00557BEA">
      <w:pPr>
        <w:pStyle w:val="Texto"/>
        <w:spacing w:before="0" w:after="0" w:line="240" w:lineRule="auto"/>
        <w:contextualSpacing/>
        <w:jc w:val="center"/>
        <w:rPr>
          <w:sz w:val="23"/>
          <w:szCs w:val="23"/>
        </w:rPr>
      </w:pPr>
      <w:r w:rsidRPr="00C22DBA">
        <w:rPr>
          <w:b/>
          <w:sz w:val="23"/>
          <w:szCs w:val="23"/>
        </w:rPr>
        <w:t>“Resolución</w:t>
      </w:r>
    </w:p>
    <w:p w14:paraId="4543BAF7" w14:textId="5BFCCD09" w:rsidR="003D7679" w:rsidRPr="00C22DBA" w:rsidRDefault="0060235B" w:rsidP="00557BEA">
      <w:pPr>
        <w:pStyle w:val="Texto"/>
        <w:spacing w:before="0" w:after="0" w:line="240" w:lineRule="auto"/>
        <w:contextualSpacing/>
        <w:jc w:val="center"/>
        <w:rPr>
          <w:sz w:val="23"/>
          <w:szCs w:val="23"/>
        </w:rPr>
      </w:pPr>
      <w:r w:rsidRPr="00C22DBA">
        <w:rPr>
          <w:sz w:val="23"/>
          <w:szCs w:val="23"/>
        </w:rPr>
        <w:t>07</w:t>
      </w:r>
      <w:r w:rsidR="003D7679" w:rsidRPr="00C22DBA">
        <w:rPr>
          <w:sz w:val="23"/>
          <w:szCs w:val="23"/>
        </w:rPr>
        <w:t xml:space="preserve"> de </w:t>
      </w:r>
      <w:r w:rsidRPr="00C22DBA">
        <w:rPr>
          <w:sz w:val="23"/>
          <w:szCs w:val="23"/>
        </w:rPr>
        <w:t>noviembre</w:t>
      </w:r>
      <w:r w:rsidR="003D7679" w:rsidRPr="00C22DBA">
        <w:rPr>
          <w:sz w:val="23"/>
          <w:szCs w:val="23"/>
        </w:rPr>
        <w:t xml:space="preserve"> del 2022</w:t>
      </w:r>
    </w:p>
    <w:sdt>
      <w:sdtPr>
        <w:rPr>
          <w:sz w:val="23"/>
          <w:szCs w:val="23"/>
        </w:rPr>
        <w:alias w:val="Consecutivo"/>
        <w:tag w:val="Consecutivo"/>
        <w:id w:val="760808175"/>
        <w:placeholder>
          <w:docPart w:val="E1865FB544CE42D28317BE335135FB1F"/>
        </w:placeholder>
        <w:text/>
      </w:sdtPr>
      <w:sdtEndPr/>
      <w:sdtContent>
        <w:p w14:paraId="52687BDB" w14:textId="4242B742" w:rsidR="003D7679" w:rsidRPr="00C22DBA" w:rsidRDefault="001A6C69" w:rsidP="00557BEA">
          <w:pPr>
            <w:tabs>
              <w:tab w:val="left" w:pos="2843"/>
            </w:tabs>
            <w:spacing w:line="240" w:lineRule="auto"/>
            <w:contextualSpacing/>
            <w:jc w:val="center"/>
            <w:rPr>
              <w:sz w:val="23"/>
              <w:szCs w:val="23"/>
            </w:rPr>
          </w:pPr>
          <w:r>
            <w:rPr>
              <w:sz w:val="23"/>
              <w:szCs w:val="23"/>
            </w:rPr>
            <w:t>SGF-XXX-2022</w:t>
          </w:r>
        </w:p>
      </w:sdtContent>
    </w:sdt>
    <w:p w14:paraId="0D647081" w14:textId="77777777" w:rsidR="003D7679" w:rsidRPr="00C22DBA" w:rsidRDefault="000034C1" w:rsidP="00557BEA">
      <w:pPr>
        <w:tabs>
          <w:tab w:val="left" w:pos="2843"/>
        </w:tabs>
        <w:spacing w:line="240" w:lineRule="auto"/>
        <w:contextualSpacing/>
        <w:jc w:val="center"/>
        <w:rPr>
          <w:sz w:val="23"/>
          <w:szCs w:val="23"/>
        </w:rPr>
      </w:pPr>
      <w:sdt>
        <w:sdtPr>
          <w:rPr>
            <w:sz w:val="23"/>
            <w:szCs w:val="23"/>
          </w:rPr>
          <w:alias w:val="Confidencialidad"/>
          <w:tag w:val="Confidencialidad"/>
          <w:id w:val="2135442733"/>
          <w:placeholder>
            <w:docPart w:val="62665104B15444DEB1199C84936A197E"/>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D7679" w:rsidRPr="00C22DBA">
            <w:rPr>
              <w:sz w:val="23"/>
              <w:szCs w:val="23"/>
              <w:lang w:val="es-CR"/>
            </w:rPr>
            <w:t>SGF-PUBLICO</w:t>
          </w:r>
        </w:sdtContent>
      </w:sdt>
    </w:p>
    <w:p w14:paraId="613CC693" w14:textId="77777777" w:rsidR="003D7679" w:rsidRPr="00C22DBA" w:rsidRDefault="003D7679" w:rsidP="00557BEA">
      <w:pPr>
        <w:widowControl w:val="0"/>
        <w:spacing w:line="240" w:lineRule="auto"/>
        <w:ind w:left="34" w:right="86"/>
        <w:contextualSpacing/>
        <w:outlineLvl w:val="0"/>
        <w:rPr>
          <w:b/>
          <w:sz w:val="23"/>
          <w:szCs w:val="23"/>
          <w:lang w:val="es-CR"/>
        </w:rPr>
      </w:pPr>
    </w:p>
    <w:p w14:paraId="739ADAB4" w14:textId="77777777" w:rsidR="003D7679" w:rsidRPr="00C22DBA" w:rsidRDefault="003D7679" w:rsidP="00557BEA">
      <w:pPr>
        <w:widowControl w:val="0"/>
        <w:spacing w:line="240" w:lineRule="auto"/>
        <w:ind w:left="34" w:right="86"/>
        <w:contextualSpacing/>
        <w:outlineLvl w:val="0"/>
        <w:rPr>
          <w:b/>
          <w:sz w:val="23"/>
          <w:szCs w:val="23"/>
          <w:lang w:val="es-CR"/>
        </w:rPr>
      </w:pPr>
      <w:r w:rsidRPr="00C22DBA">
        <w:rPr>
          <w:b/>
          <w:sz w:val="23"/>
          <w:szCs w:val="23"/>
          <w:lang w:val="es-CR"/>
        </w:rPr>
        <w:t xml:space="preserve">Dirigida a: </w:t>
      </w:r>
    </w:p>
    <w:p w14:paraId="16C51B69" w14:textId="77777777" w:rsidR="003D7679" w:rsidRPr="00C22DBA" w:rsidRDefault="003D7679" w:rsidP="00557BEA">
      <w:pPr>
        <w:widowControl w:val="0"/>
        <w:spacing w:line="240" w:lineRule="auto"/>
        <w:ind w:right="86"/>
        <w:contextualSpacing/>
        <w:outlineLvl w:val="0"/>
        <w:rPr>
          <w:b/>
          <w:sz w:val="23"/>
          <w:szCs w:val="23"/>
          <w:lang w:val="es-CR"/>
        </w:rPr>
      </w:pPr>
    </w:p>
    <w:p w14:paraId="22B953E7"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Comerciales del Estado</w:t>
      </w:r>
    </w:p>
    <w:p w14:paraId="3AD486B5"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Creados por Leyes Especiales</w:t>
      </w:r>
    </w:p>
    <w:p w14:paraId="064093AA"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Bancos Privados</w:t>
      </w:r>
    </w:p>
    <w:p w14:paraId="766DA64A"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Empresas Financieras no Bancarias</w:t>
      </w:r>
    </w:p>
    <w:p w14:paraId="6791544D"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Otras Entidades Financieras</w:t>
      </w:r>
    </w:p>
    <w:p w14:paraId="4D5BEBB5"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Organizaciones Cooperativas de Ahorro y Crédito</w:t>
      </w:r>
    </w:p>
    <w:p w14:paraId="5A6E6182" w14:textId="77777777" w:rsidR="003D7679" w:rsidRPr="00C22DBA" w:rsidRDefault="003D7679" w:rsidP="00557BEA">
      <w:pPr>
        <w:widowControl w:val="0"/>
        <w:numPr>
          <w:ilvl w:val="0"/>
          <w:numId w:val="4"/>
        </w:numPr>
        <w:spacing w:after="200" w:line="240" w:lineRule="auto"/>
        <w:ind w:left="567" w:right="86" w:hanging="567"/>
        <w:contextualSpacing/>
        <w:rPr>
          <w:b/>
          <w:sz w:val="23"/>
          <w:szCs w:val="23"/>
          <w:lang w:val="es-CR"/>
        </w:rPr>
      </w:pPr>
      <w:r w:rsidRPr="00C22DBA">
        <w:rPr>
          <w:b/>
          <w:sz w:val="23"/>
          <w:szCs w:val="23"/>
          <w:lang w:val="es-CR"/>
        </w:rPr>
        <w:t>Entidades Autorizadas del Sistema Financiera Nacional para la Vivienda</w:t>
      </w:r>
    </w:p>
    <w:p w14:paraId="579FA180" w14:textId="77777777" w:rsidR="003D7679" w:rsidRPr="00C22DBA" w:rsidRDefault="003D7679" w:rsidP="00557BEA">
      <w:pPr>
        <w:pStyle w:val="Texto"/>
        <w:spacing w:line="240" w:lineRule="auto"/>
        <w:contextualSpacing/>
        <w:rPr>
          <w:b/>
          <w:sz w:val="23"/>
          <w:szCs w:val="23"/>
        </w:rPr>
      </w:pPr>
    </w:p>
    <w:p w14:paraId="22038D35" w14:textId="688E1B7E" w:rsidR="003D7679" w:rsidRPr="00C22DBA" w:rsidRDefault="003D7679" w:rsidP="00557BEA">
      <w:pPr>
        <w:pStyle w:val="Texto"/>
        <w:spacing w:line="240" w:lineRule="auto"/>
        <w:contextualSpacing/>
        <w:rPr>
          <w:i/>
          <w:iCs/>
          <w:sz w:val="23"/>
          <w:szCs w:val="23"/>
          <w:lang w:val="es-419"/>
        </w:rPr>
      </w:pPr>
      <w:r w:rsidRPr="00C22DBA">
        <w:rPr>
          <w:b/>
          <w:sz w:val="23"/>
          <w:szCs w:val="23"/>
        </w:rPr>
        <w:t xml:space="preserve">Asunto: </w:t>
      </w:r>
      <w:r w:rsidRPr="00C22DBA">
        <w:rPr>
          <w:i/>
          <w:iCs/>
          <w:sz w:val="23"/>
          <w:szCs w:val="23"/>
          <w:lang w:val="es-419"/>
        </w:rPr>
        <w:t xml:space="preserve">Modificación de los Lineamientos Generales para la Aplicación del </w:t>
      </w:r>
      <w:r w:rsidR="0060235B" w:rsidRPr="00C22DBA">
        <w:rPr>
          <w:i/>
          <w:iCs/>
          <w:sz w:val="23"/>
          <w:szCs w:val="23"/>
          <w:lang w:val="es-419"/>
        </w:rPr>
        <w:t>“</w:t>
      </w:r>
      <w:r w:rsidRPr="00C22DBA">
        <w:rPr>
          <w:i/>
          <w:iCs/>
          <w:sz w:val="23"/>
          <w:szCs w:val="23"/>
          <w:lang w:val="es-419"/>
        </w:rPr>
        <w:t>Reglamento para la Calificación de Deudores, Acuerdo SUGEF 1-05</w:t>
      </w:r>
      <w:r w:rsidR="0060235B" w:rsidRPr="00C22DBA">
        <w:rPr>
          <w:sz w:val="23"/>
          <w:szCs w:val="23"/>
          <w:lang w:val="es-419"/>
        </w:rPr>
        <w:t>”.</w:t>
      </w:r>
    </w:p>
    <w:p w14:paraId="7D4CFEB2" w14:textId="77777777" w:rsidR="003D7679" w:rsidRPr="00C22DBA" w:rsidRDefault="003D7679" w:rsidP="00557BEA">
      <w:pPr>
        <w:spacing w:line="240" w:lineRule="auto"/>
        <w:ind w:left="34"/>
        <w:contextualSpacing/>
        <w:outlineLvl w:val="0"/>
        <w:rPr>
          <w:b/>
          <w:sz w:val="23"/>
          <w:szCs w:val="23"/>
        </w:rPr>
      </w:pPr>
    </w:p>
    <w:p w14:paraId="0DD3E7B5" w14:textId="31AA491F" w:rsidR="003D7679" w:rsidRPr="00C22DBA" w:rsidRDefault="003D7679" w:rsidP="00557BEA">
      <w:pPr>
        <w:spacing w:line="240" w:lineRule="auto"/>
        <w:ind w:left="34"/>
        <w:contextualSpacing/>
        <w:outlineLvl w:val="0"/>
        <w:rPr>
          <w:sz w:val="23"/>
          <w:szCs w:val="23"/>
        </w:rPr>
      </w:pPr>
      <w:r w:rsidRPr="00C22DBA">
        <w:rPr>
          <w:b/>
          <w:sz w:val="23"/>
          <w:szCs w:val="23"/>
        </w:rPr>
        <w:t>La Superintende</w:t>
      </w:r>
      <w:r w:rsidR="0060235B" w:rsidRPr="00C22DBA">
        <w:rPr>
          <w:b/>
          <w:sz w:val="23"/>
          <w:szCs w:val="23"/>
        </w:rPr>
        <w:t>ncia</w:t>
      </w:r>
      <w:r w:rsidRPr="00C22DBA">
        <w:rPr>
          <w:b/>
          <w:sz w:val="23"/>
          <w:szCs w:val="23"/>
        </w:rPr>
        <w:t xml:space="preserve"> General de Entidades Financieras,</w:t>
      </w:r>
    </w:p>
    <w:p w14:paraId="156CB3BE" w14:textId="77777777" w:rsidR="003D7679" w:rsidRPr="00C22DBA" w:rsidRDefault="003D7679" w:rsidP="00557BEA">
      <w:pPr>
        <w:spacing w:after="120" w:line="240" w:lineRule="auto"/>
        <w:contextualSpacing/>
        <w:jc w:val="left"/>
        <w:rPr>
          <w:sz w:val="23"/>
          <w:szCs w:val="23"/>
        </w:rPr>
      </w:pPr>
    </w:p>
    <w:p w14:paraId="06384137" w14:textId="6CC3EB99" w:rsidR="003D7679" w:rsidRPr="00C22DBA" w:rsidRDefault="003D7679" w:rsidP="00557BEA">
      <w:pPr>
        <w:spacing w:after="120" w:line="240" w:lineRule="auto"/>
        <w:ind w:hanging="10"/>
        <w:contextualSpacing/>
        <w:rPr>
          <w:b/>
          <w:sz w:val="23"/>
          <w:szCs w:val="23"/>
        </w:rPr>
      </w:pPr>
      <w:r w:rsidRPr="00C22DBA">
        <w:rPr>
          <w:b/>
          <w:sz w:val="23"/>
          <w:szCs w:val="23"/>
        </w:rPr>
        <w:t xml:space="preserve">Considerando que: </w:t>
      </w:r>
    </w:p>
    <w:p w14:paraId="33323568" w14:textId="77777777" w:rsidR="0060235B" w:rsidRPr="00C22DBA" w:rsidRDefault="0060235B" w:rsidP="00557BEA">
      <w:pPr>
        <w:spacing w:after="120" w:line="240" w:lineRule="auto"/>
        <w:ind w:hanging="10"/>
        <w:contextualSpacing/>
        <w:rPr>
          <w:sz w:val="23"/>
          <w:szCs w:val="23"/>
        </w:rPr>
      </w:pPr>
    </w:p>
    <w:p w14:paraId="372A8F82"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 xml:space="preserve">El Consejo Nacional de Supervisión del Sistema Financiero, mediante el Artículo 7 de la Sesión 540 del 24 de noviembre del 2005 aprobó el </w:t>
      </w:r>
      <w:r w:rsidRPr="00C22DBA">
        <w:rPr>
          <w:i/>
          <w:iCs/>
          <w:sz w:val="23"/>
          <w:szCs w:val="23"/>
        </w:rPr>
        <w:t>Reglamento para la Calificación de Deudores</w:t>
      </w:r>
      <w:r w:rsidRPr="00C22DBA">
        <w:rPr>
          <w:sz w:val="23"/>
          <w:szCs w:val="23"/>
        </w:rPr>
        <w:t xml:space="preserve">, Acuerdo SUGEF 1-05.  </w:t>
      </w:r>
    </w:p>
    <w:p w14:paraId="76D02E5D"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 xml:space="preserve">De conformidad con el Artículo 6 del </w:t>
      </w:r>
      <w:r w:rsidRPr="00C22DBA">
        <w:rPr>
          <w:i/>
          <w:iCs/>
          <w:sz w:val="23"/>
          <w:szCs w:val="23"/>
        </w:rPr>
        <w:t>Reglamento para la Calificación de Deudores</w:t>
      </w:r>
      <w:r w:rsidRPr="00C22DBA">
        <w:rPr>
          <w:sz w:val="23"/>
          <w:szCs w:val="23"/>
        </w:rPr>
        <w:t xml:space="preserve">, Acuerdo SUGEF 1-05, le corresponde al Superintendente emitir los Lineamientos Generales para la Aplicación del Reglamento para la Calificación de Deudores, Acuerdo SUGEF 1-05.  </w:t>
      </w:r>
    </w:p>
    <w:p w14:paraId="2B8F9235"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 xml:space="preserve">Para este efecto los Lineamientos Generales deben definir los aspectos necesarios para la aplicación del </w:t>
      </w:r>
      <w:r w:rsidRPr="00C22DBA">
        <w:rPr>
          <w:i/>
          <w:iCs/>
          <w:sz w:val="23"/>
          <w:szCs w:val="23"/>
        </w:rPr>
        <w:t>Reglamento para la Calificación de Deudores</w:t>
      </w:r>
      <w:r w:rsidRPr="00C22DBA">
        <w:rPr>
          <w:sz w:val="23"/>
          <w:szCs w:val="23"/>
        </w:rPr>
        <w:t xml:space="preserve">, Acuerdo SUGEF 1-05, según lo establecido en esa regulación.  </w:t>
      </w:r>
    </w:p>
    <w:p w14:paraId="3DE8CECD"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Que de conformidad con el Artículo 131, inciso b) de la Ley Orgánica del Banco Central de Costa Rica, Ley 7558, corresponde al Superintendente tomar las medidas necesarias para ejecutar los acuerdos del Consejo Nacional de Supervisión.</w:t>
      </w:r>
    </w:p>
    <w:p w14:paraId="27525641"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 xml:space="preserve">Mediante Acuerdo del Superintendente SUGEF-A-001 del 25 de noviembre del 2005, se emitieron los </w:t>
      </w:r>
      <w:r w:rsidRPr="00C22DBA">
        <w:rPr>
          <w:i/>
          <w:iCs/>
          <w:sz w:val="23"/>
          <w:szCs w:val="23"/>
          <w:lang w:val="es-419"/>
        </w:rPr>
        <w:t>Lineamientos Generales para la Aplicación del Reglamento para la Calificación de Deudores, Acuerdo SUGEF 1-05</w:t>
      </w:r>
      <w:r w:rsidRPr="00C22DBA">
        <w:rPr>
          <w:sz w:val="23"/>
          <w:szCs w:val="23"/>
          <w:lang w:val="es-419"/>
        </w:rPr>
        <w:t>.</w:t>
      </w:r>
    </w:p>
    <w:p w14:paraId="1CC3D5E8" w14:textId="77777777" w:rsidR="003D7679" w:rsidRPr="00C22DBA" w:rsidRDefault="003D7679" w:rsidP="00557BEA">
      <w:pPr>
        <w:numPr>
          <w:ilvl w:val="1"/>
          <w:numId w:val="3"/>
        </w:numPr>
        <w:spacing w:after="120" w:line="240" w:lineRule="auto"/>
        <w:ind w:left="567" w:hanging="567"/>
        <w:contextualSpacing/>
        <w:rPr>
          <w:sz w:val="23"/>
          <w:szCs w:val="23"/>
        </w:rPr>
      </w:pPr>
      <w:r w:rsidRPr="00C22DBA">
        <w:rPr>
          <w:sz w:val="23"/>
          <w:szCs w:val="23"/>
        </w:rPr>
        <w:t xml:space="preserve">Se propone una nueva metodología de comportamiento de pago histórico que aumenta el peso relativo para las observaciones más recientes empleando la metodología de decaimiento exponencial, en lugar de la metodología actual que asigna igual peso a los </w:t>
      </w:r>
      <w:r w:rsidRPr="00C22DBA">
        <w:rPr>
          <w:sz w:val="23"/>
          <w:szCs w:val="23"/>
        </w:rPr>
        <w:lastRenderedPageBreak/>
        <w:t xml:space="preserve">datos de morosidad, independientemente del momento en que ocurran dentro de la ventana de 48 meses. Mediante esta modificación se busca incentivar una gestión de cobranza más proactiva, debido a que los efectos de las acciones en el corto plazo incidirán con mayor peso el puntaje del deudor. Adicionalmente, la variable “morosidad máxima” que actualmente se mantiene constante durante la ventana temporal, estará sujeta a una reducción gradual de su peso conforme el transcurso del tiempo. Finalmente, el evento de “dación de bien en pago” que actualmente detona el pase directo a CPH3 por un periodo de 48 meses, está siendo excluido del algoritmo, por considerarse que esta es una acción que refleja la voluntad del deudor de atender su obligación en un escenario de insuficiencia de flujos. </w:t>
      </w:r>
    </w:p>
    <w:p w14:paraId="1FF1D40A" w14:textId="6E026165" w:rsidR="003D7679" w:rsidRPr="00C22DBA" w:rsidRDefault="003D7679" w:rsidP="00557BEA">
      <w:pPr>
        <w:spacing w:after="120" w:line="240" w:lineRule="auto"/>
        <w:contextualSpacing/>
        <w:jc w:val="left"/>
        <w:rPr>
          <w:sz w:val="23"/>
          <w:szCs w:val="23"/>
        </w:rPr>
      </w:pPr>
    </w:p>
    <w:p w14:paraId="1B60444C" w14:textId="0170B6A0" w:rsidR="003D7679" w:rsidRPr="00C22DBA" w:rsidRDefault="003D7679" w:rsidP="00557BEA">
      <w:pPr>
        <w:spacing w:after="120" w:line="240" w:lineRule="auto"/>
        <w:ind w:hanging="10"/>
        <w:contextualSpacing/>
        <w:rPr>
          <w:b/>
          <w:sz w:val="23"/>
          <w:szCs w:val="23"/>
        </w:rPr>
      </w:pPr>
      <w:r w:rsidRPr="00C22DBA">
        <w:rPr>
          <w:b/>
          <w:sz w:val="23"/>
          <w:szCs w:val="23"/>
        </w:rPr>
        <w:t xml:space="preserve">Dispone: </w:t>
      </w:r>
    </w:p>
    <w:p w14:paraId="5C1AD5DD" w14:textId="77777777" w:rsidR="00C22DBA" w:rsidRPr="00C22DBA" w:rsidRDefault="00C22DBA" w:rsidP="00557BEA">
      <w:pPr>
        <w:spacing w:after="120" w:line="240" w:lineRule="auto"/>
        <w:ind w:hanging="10"/>
        <w:contextualSpacing/>
        <w:rPr>
          <w:sz w:val="23"/>
          <w:szCs w:val="23"/>
        </w:rPr>
      </w:pPr>
    </w:p>
    <w:p w14:paraId="5728E815" w14:textId="77777777" w:rsidR="003D7679" w:rsidRPr="00C22DBA" w:rsidRDefault="003D7679" w:rsidP="00557BEA">
      <w:pPr>
        <w:pStyle w:val="Prrafodelista"/>
        <w:numPr>
          <w:ilvl w:val="0"/>
          <w:numId w:val="5"/>
        </w:numPr>
        <w:spacing w:line="240" w:lineRule="auto"/>
        <w:rPr>
          <w:rFonts w:ascii="Cambria" w:hAnsi="Cambria"/>
          <w:b/>
          <w:bCs/>
          <w:sz w:val="23"/>
          <w:szCs w:val="23"/>
        </w:rPr>
      </w:pPr>
      <w:r w:rsidRPr="00C22DBA">
        <w:rPr>
          <w:rFonts w:ascii="Cambria" w:hAnsi="Cambria"/>
          <w:b/>
          <w:bCs/>
          <w:sz w:val="23"/>
          <w:szCs w:val="23"/>
        </w:rPr>
        <w:t xml:space="preserve">Modificar el párrafo segundo de la sección </w:t>
      </w:r>
      <w:r w:rsidRPr="00C22DBA">
        <w:rPr>
          <w:rFonts w:ascii="Cambria" w:hAnsi="Cambria"/>
          <w:b/>
          <w:bCs/>
          <w:i/>
          <w:iCs/>
          <w:sz w:val="23"/>
          <w:szCs w:val="23"/>
        </w:rPr>
        <w:t>I. ANÁLISIS DE LA CAPACIDAD DE PAGO</w:t>
      </w:r>
      <w:r w:rsidRPr="00C22DBA">
        <w:rPr>
          <w:rFonts w:ascii="Cambria" w:hAnsi="Cambria"/>
          <w:b/>
          <w:bCs/>
          <w:sz w:val="23"/>
          <w:szCs w:val="23"/>
        </w:rPr>
        <w:t>, de acuerdo con el siguiente texto:</w:t>
      </w:r>
    </w:p>
    <w:p w14:paraId="575C4A9D" w14:textId="77777777" w:rsidR="003D7679" w:rsidRPr="00C22DBA" w:rsidRDefault="003D7679" w:rsidP="00557BEA">
      <w:pPr>
        <w:pStyle w:val="Prrafodelista"/>
        <w:spacing w:line="240" w:lineRule="auto"/>
        <w:ind w:left="494" w:firstLine="0"/>
        <w:rPr>
          <w:rFonts w:ascii="Cambria" w:hAnsi="Cambria"/>
          <w:sz w:val="23"/>
          <w:szCs w:val="23"/>
        </w:rPr>
      </w:pPr>
      <w:r w:rsidRPr="00C22DBA">
        <w:rPr>
          <w:rFonts w:ascii="Cambria" w:hAnsi="Cambria"/>
          <w:sz w:val="23"/>
          <w:szCs w:val="23"/>
        </w:rPr>
        <w:t>'[…]</w:t>
      </w:r>
    </w:p>
    <w:p w14:paraId="0AA752D6" w14:textId="77777777" w:rsidR="003D7679" w:rsidRPr="00C22DBA" w:rsidRDefault="003D7679" w:rsidP="00557BEA">
      <w:pPr>
        <w:pStyle w:val="Prrafodelista"/>
        <w:spacing w:line="240" w:lineRule="auto"/>
        <w:ind w:left="494" w:firstLine="0"/>
        <w:rPr>
          <w:rFonts w:ascii="Cambria" w:hAnsi="Cambria"/>
          <w:sz w:val="23"/>
          <w:szCs w:val="23"/>
        </w:rPr>
      </w:pPr>
    </w:p>
    <w:p w14:paraId="5021A180" w14:textId="77777777" w:rsidR="003D7679" w:rsidRPr="00C22DBA" w:rsidRDefault="003D7679" w:rsidP="00557BEA">
      <w:pPr>
        <w:pStyle w:val="Prrafodelista"/>
        <w:spacing w:line="240" w:lineRule="auto"/>
        <w:ind w:left="494" w:firstLine="0"/>
        <w:rPr>
          <w:rFonts w:ascii="Cambria" w:hAnsi="Cambria"/>
          <w:i/>
          <w:iCs/>
          <w:sz w:val="23"/>
          <w:szCs w:val="23"/>
        </w:rPr>
      </w:pPr>
      <w:r w:rsidRPr="00C22DBA">
        <w:rPr>
          <w:rFonts w:ascii="Cambria" w:hAnsi="Cambria"/>
          <w:i/>
          <w:iCs/>
          <w:sz w:val="23"/>
          <w:szCs w:val="23"/>
        </w:rPr>
        <w:t>Esta Sección define los niveles de calificación de la capacidad de pago de los deudores del Grupo 1.</w:t>
      </w:r>
    </w:p>
    <w:p w14:paraId="353D8976" w14:textId="77777777" w:rsidR="003D7679" w:rsidRPr="00C22DBA" w:rsidRDefault="003D7679" w:rsidP="00557BEA">
      <w:pPr>
        <w:pStyle w:val="Prrafodelista"/>
        <w:spacing w:line="240" w:lineRule="auto"/>
        <w:ind w:left="494" w:firstLine="0"/>
        <w:rPr>
          <w:rFonts w:ascii="Cambria" w:hAnsi="Cambria"/>
          <w:sz w:val="23"/>
          <w:szCs w:val="23"/>
        </w:rPr>
      </w:pPr>
    </w:p>
    <w:p w14:paraId="14CF452B" w14:textId="77777777" w:rsidR="003D7679" w:rsidRPr="00C22DBA" w:rsidRDefault="003D7679" w:rsidP="00557BEA">
      <w:pPr>
        <w:pStyle w:val="Prrafodelista"/>
        <w:spacing w:line="240" w:lineRule="auto"/>
        <w:ind w:left="494" w:firstLine="0"/>
        <w:rPr>
          <w:rFonts w:ascii="Cambria" w:hAnsi="Cambria"/>
          <w:i/>
          <w:iCs/>
          <w:sz w:val="23"/>
          <w:szCs w:val="23"/>
        </w:rPr>
      </w:pPr>
      <w:r w:rsidRPr="00C22DBA">
        <w:rPr>
          <w:rFonts w:ascii="Cambria" w:hAnsi="Cambria"/>
          <w:sz w:val="23"/>
          <w:szCs w:val="23"/>
        </w:rPr>
        <w:t>[…]'</w:t>
      </w:r>
    </w:p>
    <w:p w14:paraId="6E9D392B" w14:textId="77777777" w:rsidR="003D7679" w:rsidRPr="00C22DBA" w:rsidRDefault="003D7679" w:rsidP="00557BEA">
      <w:pPr>
        <w:pStyle w:val="Prrafodelista"/>
        <w:spacing w:line="240" w:lineRule="auto"/>
        <w:ind w:left="494" w:firstLine="0"/>
        <w:rPr>
          <w:rFonts w:ascii="Cambria" w:hAnsi="Cambria"/>
          <w:b/>
          <w:bCs/>
          <w:sz w:val="23"/>
          <w:szCs w:val="23"/>
        </w:rPr>
      </w:pPr>
    </w:p>
    <w:p w14:paraId="43227118" w14:textId="77777777" w:rsidR="003D7679" w:rsidRPr="00C22DBA" w:rsidRDefault="003D7679" w:rsidP="00557BEA">
      <w:pPr>
        <w:pStyle w:val="Prrafodelista"/>
        <w:numPr>
          <w:ilvl w:val="0"/>
          <w:numId w:val="5"/>
        </w:numPr>
        <w:spacing w:line="240" w:lineRule="auto"/>
        <w:rPr>
          <w:rFonts w:ascii="Cambria" w:hAnsi="Cambria"/>
          <w:b/>
          <w:bCs/>
          <w:sz w:val="23"/>
          <w:szCs w:val="23"/>
        </w:rPr>
      </w:pPr>
      <w:r w:rsidRPr="00C22DBA">
        <w:rPr>
          <w:rFonts w:ascii="Cambria" w:hAnsi="Cambria"/>
          <w:b/>
          <w:bCs/>
          <w:sz w:val="23"/>
          <w:szCs w:val="23"/>
        </w:rPr>
        <w:t xml:space="preserve">Eliminar la subsección </w:t>
      </w:r>
      <w:r w:rsidRPr="00C22DBA">
        <w:rPr>
          <w:rFonts w:ascii="Cambria" w:hAnsi="Cambria"/>
          <w:b/>
          <w:bCs/>
          <w:i/>
          <w:iCs/>
          <w:sz w:val="23"/>
          <w:szCs w:val="23"/>
        </w:rPr>
        <w:t>C. Análisis de capacidad de pago de deudores clasificados en el grupo 2</w:t>
      </w:r>
      <w:r w:rsidRPr="00C22DBA">
        <w:rPr>
          <w:rFonts w:ascii="Cambria" w:hAnsi="Cambria"/>
          <w:b/>
          <w:bCs/>
          <w:sz w:val="23"/>
          <w:szCs w:val="23"/>
        </w:rPr>
        <w:t xml:space="preserve"> de la sección </w:t>
      </w:r>
      <w:r w:rsidRPr="00C22DBA">
        <w:rPr>
          <w:rFonts w:ascii="Cambria" w:hAnsi="Cambria"/>
          <w:b/>
          <w:bCs/>
          <w:i/>
          <w:iCs/>
          <w:sz w:val="23"/>
          <w:szCs w:val="23"/>
        </w:rPr>
        <w:t>I. ANÁLISIS DE LA CAPACIDAD DE PAGO</w:t>
      </w:r>
      <w:r w:rsidRPr="00C22DBA">
        <w:rPr>
          <w:rFonts w:ascii="Cambria" w:hAnsi="Cambria"/>
          <w:b/>
          <w:bCs/>
          <w:sz w:val="23"/>
          <w:szCs w:val="23"/>
        </w:rPr>
        <w:t>.</w:t>
      </w:r>
    </w:p>
    <w:p w14:paraId="1B598A46" w14:textId="77777777" w:rsidR="003D7679" w:rsidRPr="00C22DBA" w:rsidRDefault="003D7679" w:rsidP="00557BEA">
      <w:pPr>
        <w:pStyle w:val="Prrafodelista"/>
        <w:spacing w:line="240" w:lineRule="auto"/>
        <w:ind w:left="494" w:firstLine="0"/>
        <w:rPr>
          <w:rFonts w:ascii="Cambria" w:hAnsi="Cambria"/>
          <w:b/>
          <w:bCs/>
          <w:sz w:val="23"/>
          <w:szCs w:val="23"/>
        </w:rPr>
      </w:pPr>
    </w:p>
    <w:p w14:paraId="724C6D83" w14:textId="77777777" w:rsidR="003D7679" w:rsidRPr="00C22DBA" w:rsidRDefault="003D7679" w:rsidP="00557BEA">
      <w:pPr>
        <w:pStyle w:val="Prrafodelista"/>
        <w:numPr>
          <w:ilvl w:val="0"/>
          <w:numId w:val="5"/>
        </w:numPr>
        <w:spacing w:line="240" w:lineRule="auto"/>
        <w:rPr>
          <w:rFonts w:ascii="Cambria" w:hAnsi="Cambria"/>
          <w:b/>
          <w:bCs/>
          <w:sz w:val="23"/>
          <w:szCs w:val="23"/>
        </w:rPr>
      </w:pPr>
      <w:r w:rsidRPr="00C22DBA">
        <w:rPr>
          <w:rFonts w:ascii="Cambria" w:hAnsi="Cambria"/>
          <w:b/>
          <w:bCs/>
          <w:sz w:val="23"/>
          <w:szCs w:val="23"/>
        </w:rPr>
        <w:t xml:space="preserve">Modificar la subsección </w:t>
      </w:r>
      <w:r w:rsidRPr="00C22DBA">
        <w:rPr>
          <w:rFonts w:ascii="Cambria" w:hAnsi="Cambria"/>
          <w:b/>
          <w:bCs/>
          <w:i/>
          <w:iCs/>
          <w:sz w:val="23"/>
          <w:szCs w:val="23"/>
        </w:rPr>
        <w:t>D. Análisis de la capacidad de pago de una institución del sector público costarricense</w:t>
      </w:r>
      <w:r w:rsidRPr="00C22DBA">
        <w:rPr>
          <w:rFonts w:ascii="Cambria" w:hAnsi="Cambria"/>
          <w:b/>
          <w:bCs/>
          <w:sz w:val="23"/>
          <w:szCs w:val="23"/>
        </w:rPr>
        <w:t xml:space="preserve"> de la sección </w:t>
      </w:r>
      <w:r w:rsidRPr="00C22DBA">
        <w:rPr>
          <w:rFonts w:ascii="Cambria" w:hAnsi="Cambria"/>
          <w:b/>
          <w:bCs/>
          <w:i/>
          <w:iCs/>
          <w:sz w:val="23"/>
          <w:szCs w:val="23"/>
        </w:rPr>
        <w:t>I. ANÁLISIS DE LA CAPACIDAD DE PAGO</w:t>
      </w:r>
      <w:r w:rsidRPr="00C22DBA">
        <w:rPr>
          <w:rFonts w:ascii="Cambria" w:hAnsi="Cambria"/>
          <w:b/>
          <w:bCs/>
          <w:sz w:val="23"/>
          <w:szCs w:val="23"/>
        </w:rPr>
        <w:t>, de acuerdo con el siguiente texto:</w:t>
      </w:r>
    </w:p>
    <w:p w14:paraId="79123E63" w14:textId="77777777" w:rsidR="003D7679" w:rsidRPr="00C22DBA" w:rsidRDefault="003D7679" w:rsidP="00557BEA">
      <w:pPr>
        <w:pStyle w:val="Prrafodelista"/>
        <w:spacing w:line="240" w:lineRule="auto"/>
        <w:ind w:left="494" w:firstLine="0"/>
        <w:rPr>
          <w:rFonts w:ascii="Cambria" w:hAnsi="Cambria"/>
          <w:sz w:val="23"/>
          <w:szCs w:val="23"/>
        </w:rPr>
      </w:pPr>
    </w:p>
    <w:p w14:paraId="4BF04949" w14:textId="0C8B72E7" w:rsidR="003D7679" w:rsidRPr="00C22DBA" w:rsidRDefault="003D7679" w:rsidP="00557BEA">
      <w:pPr>
        <w:spacing w:line="240" w:lineRule="auto"/>
        <w:ind w:left="426"/>
        <w:contextualSpacing/>
        <w:rPr>
          <w:i/>
          <w:iCs/>
          <w:sz w:val="23"/>
          <w:szCs w:val="23"/>
        </w:rPr>
      </w:pPr>
      <w:r w:rsidRPr="00C22DBA">
        <w:rPr>
          <w:i/>
          <w:iCs/>
          <w:sz w:val="23"/>
          <w:szCs w:val="23"/>
        </w:rPr>
        <w:t>“Tratándose de instituciones del sector público costarricense, éstas no se eximen de las disposiciones establecidas en el Acuerdo SUGEF 1-05 y estos Lineamientos Generales, de manera que dichas disposiciones les son igualmente aplicables.”</w:t>
      </w:r>
    </w:p>
    <w:p w14:paraId="5CC3D145" w14:textId="77777777" w:rsidR="00C22DBA" w:rsidRPr="00C22DBA" w:rsidRDefault="00C22DBA" w:rsidP="00557BEA">
      <w:pPr>
        <w:spacing w:line="240" w:lineRule="auto"/>
        <w:ind w:left="426"/>
        <w:contextualSpacing/>
        <w:rPr>
          <w:i/>
          <w:iCs/>
          <w:sz w:val="23"/>
          <w:szCs w:val="23"/>
        </w:rPr>
      </w:pPr>
    </w:p>
    <w:p w14:paraId="77604D0E" w14:textId="77777777" w:rsidR="003D7679" w:rsidRPr="00C22DBA" w:rsidRDefault="003D7679" w:rsidP="00557BEA">
      <w:pPr>
        <w:pStyle w:val="Prrafodelista"/>
        <w:numPr>
          <w:ilvl w:val="0"/>
          <w:numId w:val="5"/>
        </w:numPr>
        <w:spacing w:after="120" w:line="240" w:lineRule="auto"/>
        <w:ind w:right="0"/>
        <w:rPr>
          <w:rFonts w:ascii="Cambria" w:hAnsi="Cambria"/>
          <w:b/>
          <w:bCs/>
          <w:sz w:val="23"/>
          <w:szCs w:val="23"/>
        </w:rPr>
      </w:pPr>
      <w:r w:rsidRPr="00C22DBA">
        <w:rPr>
          <w:rFonts w:ascii="Cambria" w:hAnsi="Cambria"/>
          <w:b/>
          <w:bCs/>
          <w:sz w:val="23"/>
          <w:szCs w:val="23"/>
        </w:rPr>
        <w:t xml:space="preserve">Modificar la subsección </w:t>
      </w:r>
      <w:r w:rsidRPr="00C22DBA">
        <w:rPr>
          <w:rFonts w:ascii="Cambria" w:hAnsi="Cambria"/>
          <w:b/>
          <w:bCs/>
          <w:i/>
          <w:iCs/>
          <w:sz w:val="23"/>
          <w:szCs w:val="23"/>
        </w:rPr>
        <w:t>E. Calificación de la capacidad de pago de los deudores del grupo 1 y del grupo 2</w:t>
      </w:r>
      <w:r w:rsidRPr="00C22DBA">
        <w:rPr>
          <w:rFonts w:ascii="Cambria" w:hAnsi="Cambria"/>
          <w:b/>
          <w:bCs/>
          <w:sz w:val="23"/>
          <w:szCs w:val="23"/>
        </w:rPr>
        <w:t xml:space="preserve">, y el párrafo primero del apartado </w:t>
      </w:r>
      <w:r w:rsidRPr="00C22DBA">
        <w:rPr>
          <w:rFonts w:ascii="Cambria" w:hAnsi="Cambria"/>
          <w:b/>
          <w:bCs/>
          <w:i/>
          <w:iCs/>
          <w:sz w:val="23"/>
          <w:szCs w:val="23"/>
        </w:rPr>
        <w:t>1. Consideraciones Generales</w:t>
      </w:r>
      <w:r w:rsidRPr="00C22DBA">
        <w:rPr>
          <w:rFonts w:ascii="Cambria" w:hAnsi="Cambria"/>
          <w:b/>
          <w:bCs/>
          <w:sz w:val="23"/>
          <w:szCs w:val="23"/>
        </w:rPr>
        <w:t>, de acuerdo con el siguiente texto:</w:t>
      </w:r>
    </w:p>
    <w:p w14:paraId="4479173C" w14:textId="77777777" w:rsidR="003D7679" w:rsidRPr="00C22DBA" w:rsidRDefault="003D7679" w:rsidP="00557BEA">
      <w:pPr>
        <w:spacing w:line="240" w:lineRule="auto"/>
        <w:ind w:left="494"/>
        <w:contextualSpacing/>
        <w:rPr>
          <w:sz w:val="23"/>
          <w:szCs w:val="23"/>
        </w:rPr>
      </w:pPr>
    </w:p>
    <w:p w14:paraId="747D2A17" w14:textId="77777777" w:rsidR="003D7679" w:rsidRPr="00C22DBA" w:rsidRDefault="003D7679" w:rsidP="00557BEA">
      <w:pPr>
        <w:spacing w:line="240" w:lineRule="auto"/>
        <w:ind w:left="494"/>
        <w:contextualSpacing/>
        <w:rPr>
          <w:b/>
          <w:bCs/>
          <w:i/>
          <w:iCs/>
          <w:sz w:val="23"/>
          <w:szCs w:val="23"/>
        </w:rPr>
      </w:pPr>
      <w:r w:rsidRPr="00C22DBA">
        <w:rPr>
          <w:sz w:val="23"/>
          <w:szCs w:val="23"/>
        </w:rPr>
        <w:t>'</w:t>
      </w:r>
      <w:r w:rsidRPr="00C22DBA">
        <w:rPr>
          <w:b/>
          <w:bCs/>
          <w:i/>
          <w:iCs/>
          <w:sz w:val="23"/>
          <w:szCs w:val="23"/>
        </w:rPr>
        <w:t xml:space="preserve">E. Calificación de la capacidad de pago de los deudores del Grupo 1 </w:t>
      </w:r>
    </w:p>
    <w:p w14:paraId="00C4B7A2" w14:textId="77777777" w:rsidR="003D7679" w:rsidRPr="00C22DBA" w:rsidRDefault="003D7679" w:rsidP="00557BEA">
      <w:pPr>
        <w:spacing w:line="240" w:lineRule="auto"/>
        <w:ind w:left="494"/>
        <w:contextualSpacing/>
        <w:rPr>
          <w:b/>
          <w:bCs/>
          <w:i/>
          <w:iCs/>
          <w:sz w:val="23"/>
          <w:szCs w:val="23"/>
        </w:rPr>
      </w:pPr>
    </w:p>
    <w:p w14:paraId="15C57E52" w14:textId="77777777" w:rsidR="003D7679" w:rsidRPr="00C22DBA" w:rsidRDefault="003D7679" w:rsidP="00557BEA">
      <w:pPr>
        <w:spacing w:line="240" w:lineRule="auto"/>
        <w:ind w:left="494"/>
        <w:contextualSpacing/>
        <w:rPr>
          <w:sz w:val="23"/>
          <w:szCs w:val="23"/>
        </w:rPr>
      </w:pPr>
      <w:r w:rsidRPr="00C22DBA">
        <w:rPr>
          <w:b/>
          <w:bCs/>
          <w:i/>
          <w:iCs/>
          <w:sz w:val="23"/>
          <w:szCs w:val="23"/>
        </w:rPr>
        <w:t>1. Consideraciones Generales</w:t>
      </w:r>
    </w:p>
    <w:p w14:paraId="548BD9AB" w14:textId="77777777" w:rsidR="003D7679" w:rsidRPr="00C22DBA" w:rsidRDefault="003D7679" w:rsidP="00557BEA">
      <w:pPr>
        <w:spacing w:line="240" w:lineRule="auto"/>
        <w:ind w:left="494"/>
        <w:contextualSpacing/>
        <w:rPr>
          <w:sz w:val="23"/>
          <w:szCs w:val="23"/>
        </w:rPr>
      </w:pPr>
    </w:p>
    <w:p w14:paraId="142A5E36" w14:textId="77777777" w:rsidR="003D7679" w:rsidRPr="00C22DBA" w:rsidRDefault="003D7679" w:rsidP="00557BEA">
      <w:pPr>
        <w:spacing w:line="240" w:lineRule="auto"/>
        <w:ind w:left="494"/>
        <w:contextualSpacing/>
        <w:rPr>
          <w:sz w:val="23"/>
          <w:szCs w:val="23"/>
        </w:rPr>
      </w:pPr>
      <w:r w:rsidRPr="00C22DBA">
        <w:rPr>
          <w:i/>
          <w:iCs/>
          <w:sz w:val="23"/>
          <w:szCs w:val="23"/>
        </w:rPr>
        <w:t>La calificación de la capacidad de pago de los deudores de Grupo 1 debe determinarse bajo escenarios de estrés, con base en las metodologías aprobadas por el Órgano de Dirección.</w:t>
      </w:r>
    </w:p>
    <w:p w14:paraId="386CFAC2" w14:textId="77777777" w:rsidR="003D7679" w:rsidRPr="00C22DBA" w:rsidRDefault="003D7679" w:rsidP="00557BEA">
      <w:pPr>
        <w:spacing w:line="240" w:lineRule="auto"/>
        <w:ind w:left="494"/>
        <w:contextualSpacing/>
        <w:rPr>
          <w:sz w:val="23"/>
          <w:szCs w:val="23"/>
        </w:rPr>
      </w:pPr>
    </w:p>
    <w:p w14:paraId="47DCC6B5" w14:textId="77777777" w:rsidR="003D7679" w:rsidRPr="00C22DBA" w:rsidRDefault="003D7679" w:rsidP="00557BEA">
      <w:pPr>
        <w:spacing w:line="240" w:lineRule="auto"/>
        <w:ind w:left="494"/>
        <w:contextualSpacing/>
        <w:rPr>
          <w:sz w:val="23"/>
          <w:szCs w:val="23"/>
        </w:rPr>
      </w:pPr>
      <w:r w:rsidRPr="00C22DBA">
        <w:rPr>
          <w:sz w:val="23"/>
          <w:szCs w:val="23"/>
        </w:rPr>
        <w:t>[…]'</w:t>
      </w:r>
    </w:p>
    <w:p w14:paraId="7BBFEC9C" w14:textId="77777777" w:rsidR="003D7679" w:rsidRPr="00C22DBA" w:rsidRDefault="003D7679" w:rsidP="00557BEA">
      <w:pPr>
        <w:spacing w:line="240" w:lineRule="auto"/>
        <w:contextualSpacing/>
        <w:rPr>
          <w:sz w:val="23"/>
          <w:szCs w:val="23"/>
        </w:rPr>
      </w:pPr>
    </w:p>
    <w:p w14:paraId="4C5251F7" w14:textId="77777777" w:rsidR="003D7679" w:rsidRPr="00C22DBA" w:rsidRDefault="003D7679" w:rsidP="00557BEA">
      <w:pPr>
        <w:pStyle w:val="Prrafodelista"/>
        <w:numPr>
          <w:ilvl w:val="0"/>
          <w:numId w:val="5"/>
        </w:numPr>
        <w:spacing w:line="240" w:lineRule="auto"/>
        <w:rPr>
          <w:rFonts w:ascii="Cambria" w:hAnsi="Cambria"/>
          <w:b/>
          <w:bCs/>
          <w:sz w:val="23"/>
          <w:szCs w:val="23"/>
        </w:rPr>
      </w:pPr>
      <w:r w:rsidRPr="00C22DBA">
        <w:rPr>
          <w:rFonts w:ascii="Cambria" w:hAnsi="Cambria"/>
          <w:b/>
          <w:bCs/>
          <w:sz w:val="23"/>
          <w:szCs w:val="23"/>
        </w:rPr>
        <w:t xml:space="preserve">Sustituir la sección </w:t>
      </w:r>
      <w:bookmarkStart w:id="0" w:name="_Hlk117597198"/>
      <w:r w:rsidRPr="00C22DBA">
        <w:rPr>
          <w:rFonts w:ascii="Cambria" w:hAnsi="Cambria"/>
          <w:b/>
          <w:bCs/>
          <w:i/>
          <w:iCs/>
          <w:sz w:val="23"/>
          <w:szCs w:val="23"/>
        </w:rPr>
        <w:t>II. ANÁLISIS DEL COMPORTAMIENTO DE PAGO HISTÓRICO</w:t>
      </w:r>
      <w:bookmarkEnd w:id="0"/>
      <w:r w:rsidRPr="00C22DBA">
        <w:rPr>
          <w:rFonts w:ascii="Cambria" w:hAnsi="Cambria"/>
          <w:b/>
          <w:bCs/>
          <w:sz w:val="23"/>
          <w:szCs w:val="23"/>
        </w:rPr>
        <w:t>, de acuerdo con el siguiente texto:</w:t>
      </w:r>
    </w:p>
    <w:p w14:paraId="0D1F5F07" w14:textId="77777777" w:rsidR="003D7679" w:rsidRPr="00C22DBA" w:rsidRDefault="003D7679" w:rsidP="00557BEA">
      <w:pPr>
        <w:spacing w:line="240" w:lineRule="auto"/>
        <w:ind w:left="494"/>
        <w:contextualSpacing/>
        <w:rPr>
          <w:sz w:val="23"/>
          <w:szCs w:val="23"/>
        </w:rPr>
      </w:pPr>
    </w:p>
    <w:p w14:paraId="078D5169" w14:textId="77777777" w:rsidR="003D7679" w:rsidRPr="00C22DBA" w:rsidRDefault="003D7679" w:rsidP="00557BEA">
      <w:pPr>
        <w:spacing w:line="240" w:lineRule="auto"/>
        <w:ind w:left="494"/>
        <w:contextualSpacing/>
        <w:rPr>
          <w:i/>
          <w:iCs/>
          <w:sz w:val="23"/>
          <w:szCs w:val="23"/>
        </w:rPr>
      </w:pPr>
      <w:r w:rsidRPr="00C22DBA">
        <w:rPr>
          <w:i/>
          <w:iCs/>
          <w:sz w:val="23"/>
          <w:szCs w:val="23"/>
        </w:rPr>
        <w:lastRenderedPageBreak/>
        <w:t>'</w:t>
      </w:r>
      <w:r w:rsidRPr="00C22DBA">
        <w:rPr>
          <w:b/>
          <w:bCs/>
          <w:i/>
          <w:iCs/>
          <w:sz w:val="23"/>
          <w:szCs w:val="23"/>
        </w:rPr>
        <w:t>II. ANÁLISIS DEL COMPORTAMIENTO DE PAGO HISTÓRICO</w:t>
      </w:r>
    </w:p>
    <w:p w14:paraId="5378CFA8" w14:textId="77777777" w:rsidR="003D7679" w:rsidRPr="00C22DBA" w:rsidRDefault="003D7679" w:rsidP="00557BEA">
      <w:pPr>
        <w:spacing w:before="240" w:after="240" w:line="240" w:lineRule="auto"/>
        <w:ind w:left="1134" w:hanging="1127"/>
        <w:contextualSpacing/>
        <w:rPr>
          <w:i/>
          <w:iCs/>
          <w:sz w:val="23"/>
          <w:szCs w:val="23"/>
        </w:rPr>
      </w:pPr>
      <w:r w:rsidRPr="00C22DBA">
        <w:rPr>
          <w:i/>
          <w:iCs/>
          <w:sz w:val="23"/>
          <w:szCs w:val="23"/>
          <w:u w:val="single" w:color="000000"/>
        </w:rPr>
        <w:t>Objetivo:</w:t>
      </w:r>
      <w:r w:rsidRPr="00C22DBA">
        <w:rPr>
          <w:i/>
          <w:iCs/>
          <w:sz w:val="23"/>
          <w:szCs w:val="23"/>
        </w:rPr>
        <w:tab/>
        <w:t xml:space="preserve">Determinar la conducta de pago del deudor durante los últimos 48 meses en la atención de sus operaciones crediticias directas </w:t>
      </w:r>
      <w:bookmarkStart w:id="1" w:name="_Hlk118726064"/>
      <w:r w:rsidRPr="00C22DBA">
        <w:rPr>
          <w:i/>
          <w:iCs/>
          <w:sz w:val="23"/>
          <w:szCs w:val="23"/>
        </w:rPr>
        <w:t>vigentes o extintas en el Sistema Financiero</w:t>
      </w:r>
      <w:bookmarkEnd w:id="1"/>
      <w:r w:rsidRPr="00C22DBA">
        <w:rPr>
          <w:i/>
          <w:iCs/>
          <w:sz w:val="23"/>
          <w:szCs w:val="23"/>
        </w:rPr>
        <w:t xml:space="preserve">. </w:t>
      </w:r>
    </w:p>
    <w:p w14:paraId="5CC347CE" w14:textId="77777777" w:rsidR="003D7679" w:rsidRPr="00C22DBA" w:rsidRDefault="003D7679" w:rsidP="00557BEA">
      <w:pPr>
        <w:spacing w:before="240" w:after="240" w:line="240" w:lineRule="auto"/>
        <w:ind w:left="1134" w:hanging="1134"/>
        <w:contextualSpacing/>
        <w:rPr>
          <w:i/>
          <w:iCs/>
          <w:sz w:val="23"/>
          <w:szCs w:val="23"/>
        </w:rPr>
      </w:pPr>
      <w:r w:rsidRPr="00C22DBA">
        <w:rPr>
          <w:b/>
          <w:i/>
          <w:iCs/>
          <w:sz w:val="23"/>
          <w:szCs w:val="23"/>
        </w:rPr>
        <w:t>NOTA</w:t>
      </w:r>
      <w:r w:rsidRPr="00C22DBA">
        <w:rPr>
          <w:i/>
          <w:iCs/>
          <w:sz w:val="23"/>
          <w:szCs w:val="23"/>
        </w:rPr>
        <w:t>:</w:t>
      </w:r>
      <w:r w:rsidRPr="00C22DBA">
        <w:rPr>
          <w:i/>
          <w:iCs/>
          <w:sz w:val="23"/>
          <w:szCs w:val="23"/>
        </w:rPr>
        <w:tab/>
        <w:t xml:space="preserve">La SUGEF es responsable de calcular el nivel de comportamiento de pago histórico para los deudores reportados por las entidades el mes anterior. Esta información está disponible para cada entidad en archivos descargables a más tardar el día 20 de cada mes.  </w:t>
      </w:r>
    </w:p>
    <w:p w14:paraId="4AA699A1" w14:textId="77777777" w:rsidR="003D7679" w:rsidRPr="00C22DBA" w:rsidRDefault="003D7679" w:rsidP="00557BEA">
      <w:pPr>
        <w:pStyle w:val="Prrafodelista"/>
        <w:numPr>
          <w:ilvl w:val="0"/>
          <w:numId w:val="7"/>
        </w:numPr>
        <w:spacing w:before="240" w:after="240" w:line="240" w:lineRule="auto"/>
        <w:ind w:left="567" w:right="0" w:hanging="577"/>
        <w:rPr>
          <w:rFonts w:ascii="Cambria" w:hAnsi="Cambria"/>
          <w:i/>
          <w:iCs/>
          <w:sz w:val="23"/>
          <w:szCs w:val="23"/>
        </w:rPr>
      </w:pPr>
      <w:r w:rsidRPr="00C22DBA">
        <w:rPr>
          <w:rFonts w:ascii="Cambria" w:hAnsi="Cambria"/>
          <w:b/>
          <w:i/>
          <w:iCs/>
          <w:sz w:val="23"/>
          <w:szCs w:val="23"/>
        </w:rPr>
        <w:t>Atraso máximo y atraso medio</w:t>
      </w:r>
    </w:p>
    <w:p w14:paraId="74608FA0" w14:textId="77777777" w:rsidR="003D7679" w:rsidRPr="00C22DBA" w:rsidRDefault="003D7679" w:rsidP="00557BEA">
      <w:pPr>
        <w:spacing w:before="240" w:after="240" w:line="240" w:lineRule="auto"/>
        <w:contextualSpacing/>
        <w:rPr>
          <w:i/>
          <w:iCs/>
          <w:sz w:val="23"/>
          <w:szCs w:val="23"/>
        </w:rPr>
      </w:pPr>
      <w:r w:rsidRPr="00C22DBA">
        <w:rPr>
          <w:i/>
          <w:iCs/>
          <w:sz w:val="23"/>
          <w:szCs w:val="23"/>
        </w:rPr>
        <w:t xml:space="preserve">El comportamiento de pago histórico se calcula para un periodo de 48 meses que finaliza el último día del mes anterior al mes de evaluación. El cálculo se hace de la siguiente forma: </w:t>
      </w:r>
    </w:p>
    <w:p w14:paraId="1BDA4EC5" w14:textId="2F28968B" w:rsidR="00B34A38" w:rsidRPr="00C22DBA" w:rsidRDefault="00B34A38" w:rsidP="00B34A38">
      <w:pPr>
        <w:pStyle w:val="Prrafodelista"/>
        <w:numPr>
          <w:ilvl w:val="0"/>
          <w:numId w:val="6"/>
        </w:numPr>
        <w:spacing w:before="240" w:after="240" w:line="240" w:lineRule="auto"/>
        <w:ind w:left="1134" w:right="0" w:hanging="567"/>
        <w:rPr>
          <w:rFonts w:ascii="Cambria" w:hAnsi="Cambria"/>
          <w:i/>
          <w:iCs/>
          <w:color w:val="000000" w:themeColor="text1"/>
          <w:sz w:val="23"/>
          <w:szCs w:val="23"/>
        </w:rPr>
      </w:pPr>
      <w:r w:rsidRPr="00C22DBA">
        <w:rPr>
          <w:rFonts w:ascii="Cambria" w:hAnsi="Cambria"/>
          <w:i/>
          <w:iCs/>
          <w:color w:val="000000" w:themeColor="text1"/>
          <w:sz w:val="23"/>
          <w:szCs w:val="23"/>
        </w:rPr>
        <w:t xml:space="preserve">Se incluyen para efectos del </w:t>
      </w:r>
      <w:r w:rsidR="005C6AA6" w:rsidRPr="00C22DBA">
        <w:rPr>
          <w:rFonts w:ascii="Cambria" w:hAnsi="Cambria"/>
          <w:i/>
          <w:iCs/>
          <w:color w:val="000000" w:themeColor="text1"/>
          <w:sz w:val="23"/>
          <w:szCs w:val="23"/>
        </w:rPr>
        <w:t xml:space="preserve">cálculo del </w:t>
      </w:r>
      <w:r w:rsidRPr="00C22DBA">
        <w:rPr>
          <w:rFonts w:ascii="Cambria" w:hAnsi="Cambria"/>
          <w:i/>
          <w:iCs/>
          <w:color w:val="000000" w:themeColor="text1"/>
          <w:sz w:val="23"/>
          <w:szCs w:val="23"/>
        </w:rPr>
        <w:t xml:space="preserve">“Comportamiento de </w:t>
      </w:r>
      <w:proofErr w:type="spellStart"/>
      <w:r w:rsidRPr="00C22DBA">
        <w:rPr>
          <w:rFonts w:ascii="Cambria" w:hAnsi="Cambria"/>
          <w:i/>
          <w:iCs/>
          <w:color w:val="000000" w:themeColor="text1"/>
          <w:sz w:val="23"/>
          <w:szCs w:val="23"/>
        </w:rPr>
        <w:t>Paho</w:t>
      </w:r>
      <w:proofErr w:type="spellEnd"/>
      <w:r w:rsidRPr="00C22DBA">
        <w:rPr>
          <w:rFonts w:ascii="Cambria" w:hAnsi="Cambria"/>
          <w:i/>
          <w:iCs/>
          <w:color w:val="000000" w:themeColor="text1"/>
          <w:sz w:val="23"/>
          <w:szCs w:val="23"/>
        </w:rPr>
        <w:t xml:space="preserve"> Histórico” (CPH) las operaciones crediticias directas, vigentes o extintas en el Sistema Financiero, cuyo Saldo Total Adeudado</w:t>
      </w:r>
      <w:r w:rsidR="00BF3EA3" w:rsidRPr="00C22DBA">
        <w:rPr>
          <w:rFonts w:ascii="Cambria" w:hAnsi="Cambria"/>
          <w:i/>
          <w:iCs/>
          <w:color w:val="000000" w:themeColor="text1"/>
          <w:sz w:val="23"/>
          <w:szCs w:val="23"/>
        </w:rPr>
        <w:t xml:space="preserve"> en cada mes</w:t>
      </w:r>
      <w:r w:rsidRPr="00C22DBA">
        <w:rPr>
          <w:rFonts w:ascii="Cambria" w:hAnsi="Cambria"/>
          <w:i/>
          <w:iCs/>
          <w:color w:val="000000" w:themeColor="text1"/>
          <w:sz w:val="23"/>
          <w:szCs w:val="23"/>
        </w:rPr>
        <w:t xml:space="preserve"> </w:t>
      </w:r>
      <w:r w:rsidR="00BF3EA3" w:rsidRPr="00C22DBA">
        <w:rPr>
          <w:rFonts w:ascii="Cambria" w:hAnsi="Cambria"/>
          <w:i/>
          <w:iCs/>
          <w:color w:val="000000" w:themeColor="text1"/>
          <w:sz w:val="23"/>
          <w:szCs w:val="23"/>
        </w:rPr>
        <w:t xml:space="preserve">mensual </w:t>
      </w:r>
      <w:r w:rsidRPr="00C22DBA">
        <w:rPr>
          <w:rFonts w:ascii="Cambria" w:hAnsi="Cambria"/>
          <w:i/>
          <w:iCs/>
          <w:color w:val="000000" w:themeColor="text1"/>
          <w:sz w:val="23"/>
          <w:szCs w:val="23"/>
        </w:rPr>
        <w:t xml:space="preserve">sea mayor o igual a un monto equivalente al 30% del monto del salario mínimo mensual para la ocupación genérica 'Trabajadores en Ocupación No Calificada' según la publicación Fijación de salarios mínimos para el sector privado que realiza el Consejo Nacional de Salarios, de acuerdo con la Ley de Salarios Mínimos y Creación del Consejo Nacional de Salarios, Ley </w:t>
      </w:r>
      <w:proofErr w:type="spellStart"/>
      <w:r w:rsidRPr="00C22DBA">
        <w:rPr>
          <w:rFonts w:ascii="Cambria" w:hAnsi="Cambria"/>
          <w:i/>
          <w:iCs/>
          <w:color w:val="000000" w:themeColor="text1"/>
          <w:sz w:val="23"/>
          <w:szCs w:val="23"/>
        </w:rPr>
        <w:t>N°</w:t>
      </w:r>
      <w:proofErr w:type="spellEnd"/>
      <w:r w:rsidRPr="00C22DBA">
        <w:rPr>
          <w:rFonts w:ascii="Cambria" w:hAnsi="Cambria"/>
          <w:i/>
          <w:iCs/>
          <w:color w:val="000000" w:themeColor="text1"/>
          <w:sz w:val="23"/>
          <w:szCs w:val="23"/>
        </w:rPr>
        <w:t xml:space="preserve"> 832, del 4 de noviembre de 1949.</w:t>
      </w:r>
      <w:r w:rsidR="00DD28F7" w:rsidRPr="00C22DBA">
        <w:rPr>
          <w:rStyle w:val="Refdenotaalpie"/>
          <w:i/>
          <w:iCs/>
          <w:sz w:val="23"/>
          <w:szCs w:val="23"/>
        </w:rPr>
        <w:t xml:space="preserve"> </w:t>
      </w:r>
      <w:r w:rsidR="00DD28F7" w:rsidRPr="00C22DBA">
        <w:rPr>
          <w:rStyle w:val="Refdenotaalpie"/>
          <w:i/>
          <w:iCs/>
          <w:sz w:val="23"/>
          <w:szCs w:val="23"/>
        </w:rPr>
        <w:footnoteReference w:id="1"/>
      </w:r>
      <w:r w:rsidRPr="00C22DBA">
        <w:rPr>
          <w:rFonts w:ascii="Cambria" w:hAnsi="Cambria"/>
          <w:i/>
          <w:iCs/>
          <w:color w:val="000000" w:themeColor="text1"/>
          <w:sz w:val="23"/>
          <w:szCs w:val="23"/>
        </w:rPr>
        <w:t xml:space="preserve"> En el caso de tarjetas de crédito el monto a considerar será el monto máximo autorizado en cada mes, durante el periodo de evaluación. En adelante se </w:t>
      </w:r>
      <w:r w:rsidR="00E3615A" w:rsidRPr="00C22DBA">
        <w:rPr>
          <w:rFonts w:ascii="Cambria" w:hAnsi="Cambria"/>
          <w:i/>
          <w:iCs/>
          <w:color w:val="000000" w:themeColor="text1"/>
          <w:sz w:val="23"/>
          <w:szCs w:val="23"/>
        </w:rPr>
        <w:t xml:space="preserve">engloban estas operaciones bajo el término </w:t>
      </w:r>
      <w:r w:rsidRPr="00C22DBA">
        <w:rPr>
          <w:rFonts w:ascii="Cambria" w:hAnsi="Cambria"/>
          <w:i/>
          <w:iCs/>
          <w:color w:val="000000" w:themeColor="text1"/>
          <w:sz w:val="23"/>
          <w:szCs w:val="23"/>
        </w:rPr>
        <w:t xml:space="preserve">“operación crediticia directa”. </w:t>
      </w:r>
    </w:p>
    <w:p w14:paraId="261EC54E" w14:textId="77777777" w:rsidR="00DD28F7" w:rsidRPr="00C22DBA" w:rsidRDefault="00DD28F7" w:rsidP="00DD28F7">
      <w:pPr>
        <w:pStyle w:val="Prrafodelista"/>
        <w:spacing w:before="240" w:after="240" w:line="240" w:lineRule="auto"/>
        <w:ind w:left="1134" w:right="0" w:firstLine="0"/>
        <w:rPr>
          <w:rFonts w:ascii="Cambria" w:hAnsi="Cambria"/>
          <w:i/>
          <w:iCs/>
          <w:color w:val="000000" w:themeColor="text1"/>
          <w:sz w:val="23"/>
          <w:szCs w:val="23"/>
        </w:rPr>
      </w:pPr>
    </w:p>
    <w:p w14:paraId="3772DAAC" w14:textId="2FFC0106" w:rsidR="003D7679" w:rsidRPr="00C22DBA" w:rsidRDefault="003D7679" w:rsidP="00557BEA">
      <w:pPr>
        <w:pStyle w:val="Prrafodelista"/>
        <w:numPr>
          <w:ilvl w:val="0"/>
          <w:numId w:val="6"/>
        </w:numPr>
        <w:spacing w:before="240" w:after="240" w:line="240" w:lineRule="auto"/>
        <w:ind w:left="1134" w:right="0" w:hanging="567"/>
        <w:rPr>
          <w:rFonts w:ascii="Cambria" w:hAnsi="Cambria"/>
          <w:i/>
          <w:iCs/>
          <w:color w:val="000000" w:themeColor="text1"/>
          <w:sz w:val="23"/>
          <w:szCs w:val="23"/>
        </w:rPr>
      </w:pPr>
      <w:r w:rsidRPr="00C22DBA">
        <w:rPr>
          <w:rFonts w:ascii="Cambria" w:hAnsi="Cambria"/>
          <w:i/>
          <w:iCs/>
          <w:color w:val="000000" w:themeColor="text1"/>
          <w:sz w:val="23"/>
          <w:szCs w:val="23"/>
        </w:rPr>
        <w:t>Para cada operación crediticia directa se calcula la morosidad</w:t>
      </w:r>
      <w:r w:rsidR="00E965F2" w:rsidRPr="00C22DBA">
        <w:rPr>
          <w:rStyle w:val="Refdenotaalpie"/>
          <w:rFonts w:ascii="Cambria" w:hAnsi="Cambria"/>
          <w:b/>
          <w:bCs/>
          <w:i/>
          <w:iCs/>
          <w:color w:val="000000" w:themeColor="text1"/>
          <w:sz w:val="23"/>
          <w:szCs w:val="23"/>
        </w:rPr>
        <w:footnoteReference w:id="2"/>
      </w:r>
      <w:r w:rsidRPr="00C22DBA">
        <w:rPr>
          <w:rFonts w:ascii="Cambria" w:hAnsi="Cambria"/>
          <w:i/>
          <w:iCs/>
          <w:color w:val="000000" w:themeColor="text1"/>
          <w:sz w:val="23"/>
          <w:szCs w:val="23"/>
        </w:rPr>
        <w:t xml:space="preserve"> en cada uno de los periodos reportados.</w:t>
      </w:r>
      <w:r w:rsidR="001B37A8" w:rsidRPr="00C22DBA">
        <w:rPr>
          <w:rFonts w:ascii="Cambria" w:hAnsi="Cambria"/>
          <w:i/>
          <w:iCs/>
          <w:color w:val="000000" w:themeColor="text1"/>
          <w:sz w:val="23"/>
          <w:szCs w:val="23"/>
        </w:rPr>
        <w:t xml:space="preserve"> </w:t>
      </w:r>
    </w:p>
    <w:p w14:paraId="366CD208" w14:textId="77777777" w:rsidR="00DD28F7" w:rsidRPr="00C22DBA" w:rsidRDefault="00DD28F7" w:rsidP="00DD28F7">
      <w:pPr>
        <w:pStyle w:val="Prrafodelista"/>
        <w:spacing w:before="240" w:after="240" w:line="240" w:lineRule="auto"/>
        <w:ind w:left="1134" w:right="0" w:firstLine="0"/>
        <w:rPr>
          <w:rFonts w:ascii="Cambria" w:hAnsi="Cambria"/>
          <w:i/>
          <w:iCs/>
          <w:color w:val="000000" w:themeColor="text1"/>
          <w:sz w:val="23"/>
          <w:szCs w:val="23"/>
        </w:rPr>
      </w:pPr>
    </w:p>
    <w:p w14:paraId="4C3BC18A" w14:textId="6722E5EA" w:rsidR="003D7679" w:rsidRPr="00C22DBA" w:rsidRDefault="003D7679" w:rsidP="00557BEA">
      <w:pPr>
        <w:pStyle w:val="Prrafodelista"/>
        <w:numPr>
          <w:ilvl w:val="0"/>
          <w:numId w:val="6"/>
        </w:numPr>
        <w:spacing w:before="240" w:after="240" w:line="240" w:lineRule="auto"/>
        <w:ind w:left="1134" w:right="0" w:hanging="567"/>
        <w:rPr>
          <w:rFonts w:ascii="Cambria" w:hAnsi="Cambria"/>
          <w:i/>
          <w:iCs/>
          <w:color w:val="000000" w:themeColor="text1"/>
          <w:sz w:val="23"/>
          <w:szCs w:val="23"/>
        </w:rPr>
      </w:pPr>
      <w:r w:rsidRPr="00C22DBA">
        <w:rPr>
          <w:rFonts w:ascii="Cambria" w:hAnsi="Cambria"/>
          <w:i/>
          <w:iCs/>
          <w:color w:val="000000" w:themeColor="text1"/>
          <w:sz w:val="23"/>
          <w:szCs w:val="23"/>
        </w:rPr>
        <w:t>Para cada operación crediticia directa, la morosidad en cada periodo reportado debe multiplicarse por el ponderador que corresponde de acuerdo con lo indicado en el siguiente cuadro:</w:t>
      </w:r>
    </w:p>
    <w:p w14:paraId="33ADC424" w14:textId="77777777" w:rsidR="00C22DBA" w:rsidRPr="00C22DBA" w:rsidRDefault="00C22DBA" w:rsidP="00C22DBA">
      <w:pPr>
        <w:pStyle w:val="Prrafodelista"/>
        <w:rPr>
          <w:rFonts w:ascii="Cambria" w:hAnsi="Cambria"/>
          <w:i/>
          <w:iCs/>
          <w:color w:val="000000" w:themeColor="text1"/>
          <w:sz w:val="23"/>
          <w:szCs w:val="23"/>
        </w:rPr>
      </w:pPr>
    </w:p>
    <w:tbl>
      <w:tblPr>
        <w:tblStyle w:val="Tablaconcuadrcula"/>
        <w:tblW w:w="6483" w:type="dxa"/>
        <w:jc w:val="center"/>
        <w:tblLook w:val="04A0" w:firstRow="1" w:lastRow="0" w:firstColumn="1" w:lastColumn="0" w:noHBand="0" w:noVBand="1"/>
      </w:tblPr>
      <w:tblGrid>
        <w:gridCol w:w="1576"/>
        <w:gridCol w:w="1583"/>
        <w:gridCol w:w="236"/>
        <w:gridCol w:w="1505"/>
        <w:gridCol w:w="1583"/>
      </w:tblGrid>
      <w:tr w:rsidR="003D7679" w:rsidRPr="00C22DBA" w14:paraId="36FE5030" w14:textId="77777777" w:rsidTr="001D3FA9">
        <w:trPr>
          <w:trHeight w:val="260"/>
          <w:jc w:val="center"/>
        </w:trPr>
        <w:tc>
          <w:tcPr>
            <w:tcW w:w="1576" w:type="dxa"/>
            <w:shd w:val="clear" w:color="auto" w:fill="D0CECE" w:themeFill="background2" w:themeFillShade="E6"/>
            <w:noWrap/>
            <w:hideMark/>
          </w:tcPr>
          <w:p w14:paraId="2B7CA8CB"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Periodo reportado</w:t>
            </w:r>
          </w:p>
        </w:tc>
        <w:tc>
          <w:tcPr>
            <w:tcW w:w="1583" w:type="dxa"/>
            <w:shd w:val="clear" w:color="auto" w:fill="D0CECE" w:themeFill="background2" w:themeFillShade="E6"/>
            <w:noWrap/>
            <w:hideMark/>
          </w:tcPr>
          <w:p w14:paraId="68644F88"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Ponderación</w:t>
            </w:r>
          </w:p>
          <w:p w14:paraId="6B4C01CD"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(en %)</w:t>
            </w:r>
          </w:p>
        </w:tc>
        <w:tc>
          <w:tcPr>
            <w:tcW w:w="236" w:type="dxa"/>
            <w:shd w:val="clear" w:color="auto" w:fill="D0CECE" w:themeFill="background2" w:themeFillShade="E6"/>
            <w:noWrap/>
            <w:hideMark/>
          </w:tcPr>
          <w:p w14:paraId="5DEDF6CE" w14:textId="77777777" w:rsidR="003D7679" w:rsidRPr="00C22DBA" w:rsidRDefault="003D7679" w:rsidP="00557BEA">
            <w:pPr>
              <w:spacing w:line="240" w:lineRule="auto"/>
              <w:contextualSpacing/>
              <w:jc w:val="center"/>
              <w:rPr>
                <w:rFonts w:cs="Arial"/>
                <w:b/>
                <w:bCs/>
                <w:i/>
                <w:iCs/>
                <w:sz w:val="23"/>
                <w:szCs w:val="23"/>
                <w:lang w:val="es-CR" w:eastAsia="es-CR"/>
              </w:rPr>
            </w:pPr>
          </w:p>
        </w:tc>
        <w:tc>
          <w:tcPr>
            <w:tcW w:w="1505" w:type="dxa"/>
            <w:shd w:val="clear" w:color="auto" w:fill="D0CECE" w:themeFill="background2" w:themeFillShade="E6"/>
            <w:noWrap/>
            <w:hideMark/>
          </w:tcPr>
          <w:p w14:paraId="0D2214E1"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Periodo reportado</w:t>
            </w:r>
          </w:p>
        </w:tc>
        <w:tc>
          <w:tcPr>
            <w:tcW w:w="1583" w:type="dxa"/>
            <w:shd w:val="clear" w:color="auto" w:fill="D0CECE" w:themeFill="background2" w:themeFillShade="E6"/>
            <w:noWrap/>
            <w:hideMark/>
          </w:tcPr>
          <w:p w14:paraId="6F87BF9F"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Ponderación</w:t>
            </w:r>
          </w:p>
          <w:p w14:paraId="45CF2654" w14:textId="77777777" w:rsidR="003D7679" w:rsidRPr="00C22DBA" w:rsidRDefault="003D7679" w:rsidP="00557BEA">
            <w:pPr>
              <w:spacing w:line="240" w:lineRule="auto"/>
              <w:contextualSpacing/>
              <w:jc w:val="center"/>
              <w:rPr>
                <w:rFonts w:cs="Arial"/>
                <w:b/>
                <w:bCs/>
                <w:i/>
                <w:iCs/>
                <w:sz w:val="23"/>
                <w:szCs w:val="23"/>
                <w:lang w:val="es-CR" w:eastAsia="es-CR"/>
              </w:rPr>
            </w:pPr>
            <w:r w:rsidRPr="00C22DBA">
              <w:rPr>
                <w:rFonts w:cs="Arial"/>
                <w:b/>
                <w:bCs/>
                <w:i/>
                <w:iCs/>
                <w:sz w:val="23"/>
                <w:szCs w:val="23"/>
                <w:lang w:val="es-CR" w:eastAsia="es-CR"/>
              </w:rPr>
              <w:t>(en %)</w:t>
            </w:r>
          </w:p>
        </w:tc>
      </w:tr>
      <w:tr w:rsidR="003D7679" w:rsidRPr="00C22DBA" w14:paraId="73E2B3E4" w14:textId="77777777" w:rsidTr="001D3FA9">
        <w:trPr>
          <w:trHeight w:val="250"/>
          <w:jc w:val="center"/>
        </w:trPr>
        <w:tc>
          <w:tcPr>
            <w:tcW w:w="1576" w:type="dxa"/>
            <w:noWrap/>
            <w:hideMark/>
          </w:tcPr>
          <w:p w14:paraId="55571BF3"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48</w:t>
            </w:r>
          </w:p>
        </w:tc>
        <w:tc>
          <w:tcPr>
            <w:tcW w:w="1583" w:type="dxa"/>
            <w:noWrap/>
            <w:hideMark/>
          </w:tcPr>
          <w:p w14:paraId="09D8234E"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0,5</w:t>
            </w:r>
          </w:p>
        </w:tc>
        <w:tc>
          <w:tcPr>
            <w:tcW w:w="236" w:type="dxa"/>
            <w:noWrap/>
            <w:hideMark/>
          </w:tcPr>
          <w:p w14:paraId="43CF1BA3"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7B640DCF"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24</w:t>
            </w:r>
          </w:p>
        </w:tc>
        <w:tc>
          <w:tcPr>
            <w:tcW w:w="1583" w:type="dxa"/>
            <w:noWrap/>
            <w:hideMark/>
          </w:tcPr>
          <w:p w14:paraId="4872B6FC"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24,3</w:t>
            </w:r>
          </w:p>
        </w:tc>
      </w:tr>
      <w:tr w:rsidR="003D7679" w:rsidRPr="00C22DBA" w14:paraId="6CCD6434" w14:textId="77777777" w:rsidTr="001D3FA9">
        <w:trPr>
          <w:trHeight w:val="250"/>
          <w:jc w:val="center"/>
        </w:trPr>
        <w:tc>
          <w:tcPr>
            <w:tcW w:w="1576" w:type="dxa"/>
            <w:noWrap/>
            <w:hideMark/>
          </w:tcPr>
          <w:p w14:paraId="5B1C2391"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47</w:t>
            </w:r>
          </w:p>
        </w:tc>
        <w:tc>
          <w:tcPr>
            <w:tcW w:w="1583" w:type="dxa"/>
            <w:noWrap/>
            <w:hideMark/>
          </w:tcPr>
          <w:p w14:paraId="618D67B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1,0</w:t>
            </w:r>
          </w:p>
        </w:tc>
        <w:tc>
          <w:tcPr>
            <w:tcW w:w="236" w:type="dxa"/>
            <w:noWrap/>
            <w:hideMark/>
          </w:tcPr>
          <w:p w14:paraId="08CFA801"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216CD268"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23</w:t>
            </w:r>
          </w:p>
        </w:tc>
        <w:tc>
          <w:tcPr>
            <w:tcW w:w="1583" w:type="dxa"/>
            <w:noWrap/>
            <w:hideMark/>
          </w:tcPr>
          <w:p w14:paraId="66D0A16B"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26,0</w:t>
            </w:r>
          </w:p>
        </w:tc>
      </w:tr>
      <w:tr w:rsidR="003D7679" w:rsidRPr="00C22DBA" w14:paraId="5151F906" w14:textId="77777777" w:rsidTr="001D3FA9">
        <w:trPr>
          <w:trHeight w:val="250"/>
          <w:jc w:val="center"/>
        </w:trPr>
        <w:tc>
          <w:tcPr>
            <w:tcW w:w="1576" w:type="dxa"/>
            <w:noWrap/>
            <w:hideMark/>
          </w:tcPr>
          <w:p w14:paraId="1E8A1308"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46</w:t>
            </w:r>
          </w:p>
        </w:tc>
        <w:tc>
          <w:tcPr>
            <w:tcW w:w="1583" w:type="dxa"/>
            <w:noWrap/>
            <w:hideMark/>
          </w:tcPr>
          <w:p w14:paraId="3208E25D"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1,6</w:t>
            </w:r>
          </w:p>
        </w:tc>
        <w:tc>
          <w:tcPr>
            <w:tcW w:w="236" w:type="dxa"/>
            <w:noWrap/>
            <w:hideMark/>
          </w:tcPr>
          <w:p w14:paraId="19E0D611"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6180FA34"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22</w:t>
            </w:r>
          </w:p>
        </w:tc>
        <w:tc>
          <w:tcPr>
            <w:tcW w:w="1583" w:type="dxa"/>
            <w:noWrap/>
            <w:hideMark/>
          </w:tcPr>
          <w:p w14:paraId="2C0B874A"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27,9</w:t>
            </w:r>
          </w:p>
        </w:tc>
      </w:tr>
      <w:tr w:rsidR="003D7679" w:rsidRPr="00C22DBA" w14:paraId="1D8CE7C1" w14:textId="77777777" w:rsidTr="001D3FA9">
        <w:trPr>
          <w:trHeight w:val="250"/>
          <w:jc w:val="center"/>
        </w:trPr>
        <w:tc>
          <w:tcPr>
            <w:tcW w:w="1576" w:type="dxa"/>
            <w:noWrap/>
            <w:hideMark/>
          </w:tcPr>
          <w:p w14:paraId="50CB3E89"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45</w:t>
            </w:r>
          </w:p>
        </w:tc>
        <w:tc>
          <w:tcPr>
            <w:tcW w:w="1583" w:type="dxa"/>
            <w:noWrap/>
            <w:hideMark/>
          </w:tcPr>
          <w:p w14:paraId="202AE211"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2,1</w:t>
            </w:r>
          </w:p>
        </w:tc>
        <w:tc>
          <w:tcPr>
            <w:tcW w:w="236" w:type="dxa"/>
            <w:noWrap/>
            <w:hideMark/>
          </w:tcPr>
          <w:p w14:paraId="282F66EA"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3D8BF673"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21</w:t>
            </w:r>
          </w:p>
        </w:tc>
        <w:tc>
          <w:tcPr>
            <w:tcW w:w="1583" w:type="dxa"/>
            <w:noWrap/>
            <w:hideMark/>
          </w:tcPr>
          <w:p w14:paraId="3D7A72A5"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29,9</w:t>
            </w:r>
          </w:p>
        </w:tc>
      </w:tr>
      <w:tr w:rsidR="003D7679" w:rsidRPr="00C22DBA" w14:paraId="7BDDA35D" w14:textId="77777777" w:rsidTr="001D3FA9">
        <w:trPr>
          <w:trHeight w:val="250"/>
          <w:jc w:val="center"/>
        </w:trPr>
        <w:tc>
          <w:tcPr>
            <w:tcW w:w="1576" w:type="dxa"/>
            <w:noWrap/>
            <w:hideMark/>
          </w:tcPr>
          <w:p w14:paraId="41A3995A"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44</w:t>
            </w:r>
          </w:p>
        </w:tc>
        <w:tc>
          <w:tcPr>
            <w:tcW w:w="1583" w:type="dxa"/>
            <w:noWrap/>
            <w:hideMark/>
          </w:tcPr>
          <w:p w14:paraId="3C3EDB0D"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2,7</w:t>
            </w:r>
          </w:p>
        </w:tc>
        <w:tc>
          <w:tcPr>
            <w:tcW w:w="236" w:type="dxa"/>
            <w:noWrap/>
            <w:hideMark/>
          </w:tcPr>
          <w:p w14:paraId="526654E4"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3AD3A07F"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20</w:t>
            </w:r>
          </w:p>
        </w:tc>
        <w:tc>
          <w:tcPr>
            <w:tcW w:w="1583" w:type="dxa"/>
            <w:noWrap/>
            <w:hideMark/>
          </w:tcPr>
          <w:p w14:paraId="63C0F0AA"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31,9</w:t>
            </w:r>
          </w:p>
        </w:tc>
      </w:tr>
      <w:tr w:rsidR="003D7679" w:rsidRPr="00C22DBA" w14:paraId="47D9D594" w14:textId="77777777" w:rsidTr="001D3FA9">
        <w:trPr>
          <w:trHeight w:val="250"/>
          <w:jc w:val="center"/>
        </w:trPr>
        <w:tc>
          <w:tcPr>
            <w:tcW w:w="1576" w:type="dxa"/>
            <w:noWrap/>
            <w:hideMark/>
          </w:tcPr>
          <w:p w14:paraId="00D11F6D"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43</w:t>
            </w:r>
          </w:p>
        </w:tc>
        <w:tc>
          <w:tcPr>
            <w:tcW w:w="1583" w:type="dxa"/>
            <w:noWrap/>
            <w:hideMark/>
          </w:tcPr>
          <w:p w14:paraId="71AF36CB"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3,4</w:t>
            </w:r>
          </w:p>
        </w:tc>
        <w:tc>
          <w:tcPr>
            <w:tcW w:w="236" w:type="dxa"/>
            <w:noWrap/>
            <w:hideMark/>
          </w:tcPr>
          <w:p w14:paraId="69D5EB4D"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4EB0E162"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19</w:t>
            </w:r>
          </w:p>
        </w:tc>
        <w:tc>
          <w:tcPr>
            <w:tcW w:w="1583" w:type="dxa"/>
            <w:noWrap/>
            <w:hideMark/>
          </w:tcPr>
          <w:p w14:paraId="72C34277"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34,1</w:t>
            </w:r>
          </w:p>
        </w:tc>
      </w:tr>
      <w:tr w:rsidR="003D7679" w:rsidRPr="00C22DBA" w14:paraId="165949A9" w14:textId="77777777" w:rsidTr="001D3FA9">
        <w:trPr>
          <w:trHeight w:val="250"/>
          <w:jc w:val="center"/>
        </w:trPr>
        <w:tc>
          <w:tcPr>
            <w:tcW w:w="1576" w:type="dxa"/>
            <w:noWrap/>
            <w:hideMark/>
          </w:tcPr>
          <w:p w14:paraId="0AE35C78"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42</w:t>
            </w:r>
          </w:p>
        </w:tc>
        <w:tc>
          <w:tcPr>
            <w:tcW w:w="1583" w:type="dxa"/>
            <w:noWrap/>
            <w:hideMark/>
          </w:tcPr>
          <w:p w14:paraId="4F5F28EE"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4,0</w:t>
            </w:r>
          </w:p>
        </w:tc>
        <w:tc>
          <w:tcPr>
            <w:tcW w:w="236" w:type="dxa"/>
            <w:noWrap/>
            <w:hideMark/>
          </w:tcPr>
          <w:p w14:paraId="10B21B4A"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1BCD9DC8"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18</w:t>
            </w:r>
          </w:p>
        </w:tc>
        <w:tc>
          <w:tcPr>
            <w:tcW w:w="1583" w:type="dxa"/>
            <w:noWrap/>
            <w:hideMark/>
          </w:tcPr>
          <w:p w14:paraId="3A2AC877"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36,4</w:t>
            </w:r>
          </w:p>
        </w:tc>
      </w:tr>
      <w:tr w:rsidR="003D7679" w:rsidRPr="00C22DBA" w14:paraId="7CBB6DC2" w14:textId="77777777" w:rsidTr="001D3FA9">
        <w:trPr>
          <w:trHeight w:val="250"/>
          <w:jc w:val="center"/>
        </w:trPr>
        <w:tc>
          <w:tcPr>
            <w:tcW w:w="1576" w:type="dxa"/>
            <w:noWrap/>
            <w:hideMark/>
          </w:tcPr>
          <w:p w14:paraId="7A6B965B"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41</w:t>
            </w:r>
          </w:p>
        </w:tc>
        <w:tc>
          <w:tcPr>
            <w:tcW w:w="1583" w:type="dxa"/>
            <w:noWrap/>
            <w:hideMark/>
          </w:tcPr>
          <w:p w14:paraId="0C742995"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4,7</w:t>
            </w:r>
          </w:p>
        </w:tc>
        <w:tc>
          <w:tcPr>
            <w:tcW w:w="236" w:type="dxa"/>
            <w:noWrap/>
            <w:hideMark/>
          </w:tcPr>
          <w:p w14:paraId="5F6BEACE"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4A1BCB15"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17</w:t>
            </w:r>
          </w:p>
        </w:tc>
        <w:tc>
          <w:tcPr>
            <w:tcW w:w="1583" w:type="dxa"/>
            <w:noWrap/>
            <w:hideMark/>
          </w:tcPr>
          <w:p w14:paraId="274AD433"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38,8</w:t>
            </w:r>
          </w:p>
        </w:tc>
      </w:tr>
      <w:tr w:rsidR="003D7679" w:rsidRPr="00C22DBA" w14:paraId="263B9052" w14:textId="77777777" w:rsidTr="001D3FA9">
        <w:trPr>
          <w:trHeight w:val="250"/>
          <w:jc w:val="center"/>
        </w:trPr>
        <w:tc>
          <w:tcPr>
            <w:tcW w:w="1576" w:type="dxa"/>
            <w:noWrap/>
            <w:hideMark/>
          </w:tcPr>
          <w:p w14:paraId="3D6EA563"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40</w:t>
            </w:r>
          </w:p>
        </w:tc>
        <w:tc>
          <w:tcPr>
            <w:tcW w:w="1583" w:type="dxa"/>
            <w:noWrap/>
            <w:hideMark/>
          </w:tcPr>
          <w:p w14:paraId="58CB8ED2"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5,5</w:t>
            </w:r>
          </w:p>
        </w:tc>
        <w:tc>
          <w:tcPr>
            <w:tcW w:w="236" w:type="dxa"/>
            <w:noWrap/>
            <w:hideMark/>
          </w:tcPr>
          <w:p w14:paraId="1432EF8D"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011C9EDC"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16</w:t>
            </w:r>
          </w:p>
        </w:tc>
        <w:tc>
          <w:tcPr>
            <w:tcW w:w="1583" w:type="dxa"/>
            <w:noWrap/>
            <w:hideMark/>
          </w:tcPr>
          <w:p w14:paraId="42071EF6"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41,3</w:t>
            </w:r>
          </w:p>
        </w:tc>
      </w:tr>
      <w:tr w:rsidR="003D7679" w:rsidRPr="00C22DBA" w14:paraId="5316548A" w14:textId="77777777" w:rsidTr="001D3FA9">
        <w:trPr>
          <w:trHeight w:val="250"/>
          <w:jc w:val="center"/>
        </w:trPr>
        <w:tc>
          <w:tcPr>
            <w:tcW w:w="1576" w:type="dxa"/>
            <w:noWrap/>
            <w:hideMark/>
          </w:tcPr>
          <w:p w14:paraId="561C6DA2"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39</w:t>
            </w:r>
          </w:p>
        </w:tc>
        <w:tc>
          <w:tcPr>
            <w:tcW w:w="1583" w:type="dxa"/>
            <w:noWrap/>
            <w:hideMark/>
          </w:tcPr>
          <w:p w14:paraId="1BA6C382"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6,2</w:t>
            </w:r>
          </w:p>
        </w:tc>
        <w:tc>
          <w:tcPr>
            <w:tcW w:w="236" w:type="dxa"/>
            <w:noWrap/>
            <w:hideMark/>
          </w:tcPr>
          <w:p w14:paraId="67A71C07"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10EB3587"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15</w:t>
            </w:r>
          </w:p>
        </w:tc>
        <w:tc>
          <w:tcPr>
            <w:tcW w:w="1583" w:type="dxa"/>
            <w:noWrap/>
            <w:hideMark/>
          </w:tcPr>
          <w:p w14:paraId="2A712E9F"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44,0</w:t>
            </w:r>
          </w:p>
        </w:tc>
      </w:tr>
      <w:tr w:rsidR="003D7679" w:rsidRPr="00C22DBA" w14:paraId="4DA70350" w14:textId="77777777" w:rsidTr="001D3FA9">
        <w:trPr>
          <w:trHeight w:val="250"/>
          <w:jc w:val="center"/>
        </w:trPr>
        <w:tc>
          <w:tcPr>
            <w:tcW w:w="1576" w:type="dxa"/>
            <w:noWrap/>
            <w:hideMark/>
          </w:tcPr>
          <w:p w14:paraId="1AB6169D"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38</w:t>
            </w:r>
          </w:p>
        </w:tc>
        <w:tc>
          <w:tcPr>
            <w:tcW w:w="1583" w:type="dxa"/>
            <w:noWrap/>
            <w:hideMark/>
          </w:tcPr>
          <w:p w14:paraId="568E4EC3"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7,1</w:t>
            </w:r>
          </w:p>
        </w:tc>
        <w:tc>
          <w:tcPr>
            <w:tcW w:w="236" w:type="dxa"/>
            <w:noWrap/>
            <w:hideMark/>
          </w:tcPr>
          <w:p w14:paraId="2C7084DA"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73A57C41"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14</w:t>
            </w:r>
          </w:p>
        </w:tc>
        <w:tc>
          <w:tcPr>
            <w:tcW w:w="1583" w:type="dxa"/>
            <w:noWrap/>
            <w:hideMark/>
          </w:tcPr>
          <w:p w14:paraId="2E9CBA62"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46,8</w:t>
            </w:r>
          </w:p>
        </w:tc>
      </w:tr>
      <w:tr w:rsidR="003D7679" w:rsidRPr="00C22DBA" w14:paraId="050BD48D" w14:textId="77777777" w:rsidTr="001D3FA9">
        <w:trPr>
          <w:trHeight w:val="250"/>
          <w:jc w:val="center"/>
        </w:trPr>
        <w:tc>
          <w:tcPr>
            <w:tcW w:w="1576" w:type="dxa"/>
            <w:noWrap/>
            <w:hideMark/>
          </w:tcPr>
          <w:p w14:paraId="1B36F95E"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37</w:t>
            </w:r>
          </w:p>
        </w:tc>
        <w:tc>
          <w:tcPr>
            <w:tcW w:w="1583" w:type="dxa"/>
            <w:noWrap/>
            <w:hideMark/>
          </w:tcPr>
          <w:p w14:paraId="270954CE"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7,9</w:t>
            </w:r>
          </w:p>
        </w:tc>
        <w:tc>
          <w:tcPr>
            <w:tcW w:w="236" w:type="dxa"/>
            <w:noWrap/>
            <w:hideMark/>
          </w:tcPr>
          <w:p w14:paraId="2C072B85"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2A1D4823"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13</w:t>
            </w:r>
          </w:p>
        </w:tc>
        <w:tc>
          <w:tcPr>
            <w:tcW w:w="1583" w:type="dxa"/>
            <w:noWrap/>
            <w:hideMark/>
          </w:tcPr>
          <w:p w14:paraId="406530BF"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49,8</w:t>
            </w:r>
          </w:p>
        </w:tc>
      </w:tr>
      <w:tr w:rsidR="003D7679" w:rsidRPr="00C22DBA" w14:paraId="083EC449" w14:textId="77777777" w:rsidTr="001D3FA9">
        <w:trPr>
          <w:trHeight w:val="250"/>
          <w:jc w:val="center"/>
        </w:trPr>
        <w:tc>
          <w:tcPr>
            <w:tcW w:w="1576" w:type="dxa"/>
            <w:noWrap/>
            <w:hideMark/>
          </w:tcPr>
          <w:p w14:paraId="31E5CB70"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lastRenderedPageBreak/>
              <w:t>36</w:t>
            </w:r>
          </w:p>
        </w:tc>
        <w:tc>
          <w:tcPr>
            <w:tcW w:w="1583" w:type="dxa"/>
            <w:noWrap/>
            <w:hideMark/>
          </w:tcPr>
          <w:p w14:paraId="57BA5397"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8,8</w:t>
            </w:r>
          </w:p>
        </w:tc>
        <w:tc>
          <w:tcPr>
            <w:tcW w:w="236" w:type="dxa"/>
            <w:noWrap/>
            <w:hideMark/>
          </w:tcPr>
          <w:p w14:paraId="2225A1C6"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18BBDB36"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12</w:t>
            </w:r>
          </w:p>
        </w:tc>
        <w:tc>
          <w:tcPr>
            <w:tcW w:w="1583" w:type="dxa"/>
            <w:noWrap/>
            <w:hideMark/>
          </w:tcPr>
          <w:p w14:paraId="79D55585"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52,9</w:t>
            </w:r>
          </w:p>
        </w:tc>
      </w:tr>
      <w:tr w:rsidR="003D7679" w:rsidRPr="00C22DBA" w14:paraId="672E7203" w14:textId="77777777" w:rsidTr="001D3FA9">
        <w:trPr>
          <w:trHeight w:val="250"/>
          <w:jc w:val="center"/>
        </w:trPr>
        <w:tc>
          <w:tcPr>
            <w:tcW w:w="1576" w:type="dxa"/>
            <w:noWrap/>
            <w:hideMark/>
          </w:tcPr>
          <w:p w14:paraId="6AFCC676"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35</w:t>
            </w:r>
          </w:p>
        </w:tc>
        <w:tc>
          <w:tcPr>
            <w:tcW w:w="1583" w:type="dxa"/>
            <w:noWrap/>
            <w:hideMark/>
          </w:tcPr>
          <w:p w14:paraId="7E568191"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9,8</w:t>
            </w:r>
          </w:p>
        </w:tc>
        <w:tc>
          <w:tcPr>
            <w:tcW w:w="236" w:type="dxa"/>
            <w:noWrap/>
            <w:hideMark/>
          </w:tcPr>
          <w:p w14:paraId="57B59CAC"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6D485C35"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11</w:t>
            </w:r>
          </w:p>
        </w:tc>
        <w:tc>
          <w:tcPr>
            <w:tcW w:w="1583" w:type="dxa"/>
            <w:noWrap/>
            <w:hideMark/>
          </w:tcPr>
          <w:p w14:paraId="0C064269"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56,1</w:t>
            </w:r>
          </w:p>
        </w:tc>
      </w:tr>
      <w:tr w:rsidR="003D7679" w:rsidRPr="00C22DBA" w14:paraId="6527EA46" w14:textId="77777777" w:rsidTr="001D3FA9">
        <w:trPr>
          <w:trHeight w:val="250"/>
          <w:jc w:val="center"/>
        </w:trPr>
        <w:tc>
          <w:tcPr>
            <w:tcW w:w="1576" w:type="dxa"/>
            <w:noWrap/>
            <w:hideMark/>
          </w:tcPr>
          <w:p w14:paraId="7BD8BBF2"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34</w:t>
            </w:r>
          </w:p>
        </w:tc>
        <w:tc>
          <w:tcPr>
            <w:tcW w:w="1583" w:type="dxa"/>
            <w:noWrap/>
            <w:hideMark/>
          </w:tcPr>
          <w:p w14:paraId="44AF3178"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10,8</w:t>
            </w:r>
          </w:p>
        </w:tc>
        <w:tc>
          <w:tcPr>
            <w:tcW w:w="236" w:type="dxa"/>
            <w:noWrap/>
            <w:hideMark/>
          </w:tcPr>
          <w:p w14:paraId="10099A7E"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5B789BB4"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10</w:t>
            </w:r>
          </w:p>
        </w:tc>
        <w:tc>
          <w:tcPr>
            <w:tcW w:w="1583" w:type="dxa"/>
            <w:noWrap/>
            <w:hideMark/>
          </w:tcPr>
          <w:p w14:paraId="3CFA309E"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59,6</w:t>
            </w:r>
          </w:p>
        </w:tc>
      </w:tr>
      <w:tr w:rsidR="003D7679" w:rsidRPr="00C22DBA" w14:paraId="674CA239" w14:textId="77777777" w:rsidTr="001D3FA9">
        <w:trPr>
          <w:trHeight w:val="250"/>
          <w:jc w:val="center"/>
        </w:trPr>
        <w:tc>
          <w:tcPr>
            <w:tcW w:w="1576" w:type="dxa"/>
            <w:noWrap/>
            <w:hideMark/>
          </w:tcPr>
          <w:p w14:paraId="47536735"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33</w:t>
            </w:r>
          </w:p>
        </w:tc>
        <w:tc>
          <w:tcPr>
            <w:tcW w:w="1583" w:type="dxa"/>
            <w:noWrap/>
            <w:hideMark/>
          </w:tcPr>
          <w:p w14:paraId="65AB25AF"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11,9</w:t>
            </w:r>
          </w:p>
        </w:tc>
        <w:tc>
          <w:tcPr>
            <w:tcW w:w="236" w:type="dxa"/>
            <w:noWrap/>
            <w:hideMark/>
          </w:tcPr>
          <w:p w14:paraId="71D184B6"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0DDD27AA"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9</w:t>
            </w:r>
          </w:p>
        </w:tc>
        <w:tc>
          <w:tcPr>
            <w:tcW w:w="1583" w:type="dxa"/>
            <w:noWrap/>
            <w:hideMark/>
          </w:tcPr>
          <w:p w14:paraId="78476DCF"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63,2</w:t>
            </w:r>
          </w:p>
        </w:tc>
      </w:tr>
      <w:tr w:rsidR="003D7679" w:rsidRPr="00C22DBA" w14:paraId="36E4FA6E" w14:textId="77777777" w:rsidTr="001D3FA9">
        <w:trPr>
          <w:trHeight w:val="250"/>
          <w:jc w:val="center"/>
        </w:trPr>
        <w:tc>
          <w:tcPr>
            <w:tcW w:w="1576" w:type="dxa"/>
            <w:noWrap/>
            <w:hideMark/>
          </w:tcPr>
          <w:p w14:paraId="01F840A6"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32</w:t>
            </w:r>
          </w:p>
        </w:tc>
        <w:tc>
          <w:tcPr>
            <w:tcW w:w="1583" w:type="dxa"/>
            <w:noWrap/>
            <w:hideMark/>
          </w:tcPr>
          <w:p w14:paraId="2BD4CEE9"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13,0</w:t>
            </w:r>
          </w:p>
        </w:tc>
        <w:tc>
          <w:tcPr>
            <w:tcW w:w="236" w:type="dxa"/>
            <w:noWrap/>
            <w:hideMark/>
          </w:tcPr>
          <w:p w14:paraId="1E1299BD"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4AA0B104"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8</w:t>
            </w:r>
          </w:p>
        </w:tc>
        <w:tc>
          <w:tcPr>
            <w:tcW w:w="1583" w:type="dxa"/>
            <w:noWrap/>
            <w:hideMark/>
          </w:tcPr>
          <w:p w14:paraId="11B3B9A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67,0</w:t>
            </w:r>
          </w:p>
        </w:tc>
      </w:tr>
      <w:tr w:rsidR="003D7679" w:rsidRPr="00C22DBA" w14:paraId="329FCE2F" w14:textId="77777777" w:rsidTr="001D3FA9">
        <w:trPr>
          <w:trHeight w:val="250"/>
          <w:jc w:val="center"/>
        </w:trPr>
        <w:tc>
          <w:tcPr>
            <w:tcW w:w="1576" w:type="dxa"/>
            <w:noWrap/>
            <w:hideMark/>
          </w:tcPr>
          <w:p w14:paraId="0968167F"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31</w:t>
            </w:r>
          </w:p>
        </w:tc>
        <w:tc>
          <w:tcPr>
            <w:tcW w:w="1583" w:type="dxa"/>
            <w:noWrap/>
            <w:hideMark/>
          </w:tcPr>
          <w:p w14:paraId="7933B304"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14,1</w:t>
            </w:r>
          </w:p>
        </w:tc>
        <w:tc>
          <w:tcPr>
            <w:tcW w:w="236" w:type="dxa"/>
            <w:noWrap/>
            <w:hideMark/>
          </w:tcPr>
          <w:p w14:paraId="4F679916"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5468CBEA"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7</w:t>
            </w:r>
          </w:p>
        </w:tc>
        <w:tc>
          <w:tcPr>
            <w:tcW w:w="1583" w:type="dxa"/>
            <w:noWrap/>
            <w:hideMark/>
          </w:tcPr>
          <w:p w14:paraId="5363B19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71,0</w:t>
            </w:r>
          </w:p>
        </w:tc>
      </w:tr>
      <w:tr w:rsidR="003D7679" w:rsidRPr="00C22DBA" w14:paraId="5358863B" w14:textId="77777777" w:rsidTr="001D3FA9">
        <w:trPr>
          <w:trHeight w:val="250"/>
          <w:jc w:val="center"/>
        </w:trPr>
        <w:tc>
          <w:tcPr>
            <w:tcW w:w="1576" w:type="dxa"/>
            <w:noWrap/>
            <w:hideMark/>
          </w:tcPr>
          <w:p w14:paraId="37B5B7FE"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30</w:t>
            </w:r>
          </w:p>
        </w:tc>
        <w:tc>
          <w:tcPr>
            <w:tcW w:w="1583" w:type="dxa"/>
            <w:noWrap/>
            <w:hideMark/>
          </w:tcPr>
          <w:p w14:paraId="516059B9"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15,4</w:t>
            </w:r>
          </w:p>
        </w:tc>
        <w:tc>
          <w:tcPr>
            <w:tcW w:w="236" w:type="dxa"/>
            <w:noWrap/>
            <w:hideMark/>
          </w:tcPr>
          <w:p w14:paraId="785EEEDD"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6CFE7A43"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6</w:t>
            </w:r>
          </w:p>
        </w:tc>
        <w:tc>
          <w:tcPr>
            <w:tcW w:w="1583" w:type="dxa"/>
            <w:noWrap/>
            <w:hideMark/>
          </w:tcPr>
          <w:p w14:paraId="79A53E6B"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75,3</w:t>
            </w:r>
          </w:p>
        </w:tc>
      </w:tr>
      <w:tr w:rsidR="003D7679" w:rsidRPr="00C22DBA" w14:paraId="37B38BD3" w14:textId="77777777" w:rsidTr="001D3FA9">
        <w:trPr>
          <w:trHeight w:val="250"/>
          <w:jc w:val="center"/>
        </w:trPr>
        <w:tc>
          <w:tcPr>
            <w:tcW w:w="1576" w:type="dxa"/>
            <w:noWrap/>
            <w:hideMark/>
          </w:tcPr>
          <w:p w14:paraId="06226CEA"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29</w:t>
            </w:r>
          </w:p>
        </w:tc>
        <w:tc>
          <w:tcPr>
            <w:tcW w:w="1583" w:type="dxa"/>
            <w:noWrap/>
            <w:hideMark/>
          </w:tcPr>
          <w:p w14:paraId="71B8FA9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16,7</w:t>
            </w:r>
          </w:p>
        </w:tc>
        <w:tc>
          <w:tcPr>
            <w:tcW w:w="236" w:type="dxa"/>
            <w:noWrap/>
            <w:hideMark/>
          </w:tcPr>
          <w:p w14:paraId="607150EF"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763ACCF1"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5</w:t>
            </w:r>
          </w:p>
        </w:tc>
        <w:tc>
          <w:tcPr>
            <w:tcW w:w="1583" w:type="dxa"/>
            <w:noWrap/>
            <w:hideMark/>
          </w:tcPr>
          <w:p w14:paraId="48D53DE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79,7</w:t>
            </w:r>
          </w:p>
        </w:tc>
      </w:tr>
      <w:tr w:rsidR="003D7679" w:rsidRPr="00C22DBA" w14:paraId="03947086" w14:textId="77777777" w:rsidTr="001D3FA9">
        <w:trPr>
          <w:trHeight w:val="250"/>
          <w:jc w:val="center"/>
        </w:trPr>
        <w:tc>
          <w:tcPr>
            <w:tcW w:w="1576" w:type="dxa"/>
            <w:noWrap/>
            <w:hideMark/>
          </w:tcPr>
          <w:p w14:paraId="7E07E222"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28</w:t>
            </w:r>
          </w:p>
        </w:tc>
        <w:tc>
          <w:tcPr>
            <w:tcW w:w="1583" w:type="dxa"/>
            <w:noWrap/>
            <w:hideMark/>
          </w:tcPr>
          <w:p w14:paraId="0F7B334E"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18,0</w:t>
            </w:r>
          </w:p>
        </w:tc>
        <w:tc>
          <w:tcPr>
            <w:tcW w:w="236" w:type="dxa"/>
            <w:noWrap/>
            <w:hideMark/>
          </w:tcPr>
          <w:p w14:paraId="046C020B"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3E971725"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4</w:t>
            </w:r>
          </w:p>
        </w:tc>
        <w:tc>
          <w:tcPr>
            <w:tcW w:w="1583" w:type="dxa"/>
            <w:noWrap/>
            <w:hideMark/>
          </w:tcPr>
          <w:p w14:paraId="455FB44B"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84,4</w:t>
            </w:r>
          </w:p>
        </w:tc>
      </w:tr>
      <w:tr w:rsidR="003D7679" w:rsidRPr="00C22DBA" w14:paraId="5955179D" w14:textId="77777777" w:rsidTr="001D3FA9">
        <w:trPr>
          <w:trHeight w:val="250"/>
          <w:jc w:val="center"/>
        </w:trPr>
        <w:tc>
          <w:tcPr>
            <w:tcW w:w="1576" w:type="dxa"/>
            <w:noWrap/>
            <w:hideMark/>
          </w:tcPr>
          <w:p w14:paraId="70AD7EE5"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27</w:t>
            </w:r>
          </w:p>
        </w:tc>
        <w:tc>
          <w:tcPr>
            <w:tcW w:w="1583" w:type="dxa"/>
            <w:noWrap/>
            <w:hideMark/>
          </w:tcPr>
          <w:p w14:paraId="4AEA1C90"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19,5</w:t>
            </w:r>
          </w:p>
        </w:tc>
        <w:tc>
          <w:tcPr>
            <w:tcW w:w="236" w:type="dxa"/>
            <w:noWrap/>
            <w:hideMark/>
          </w:tcPr>
          <w:p w14:paraId="1256A671"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213C06A2"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3</w:t>
            </w:r>
          </w:p>
        </w:tc>
        <w:tc>
          <w:tcPr>
            <w:tcW w:w="1583" w:type="dxa"/>
            <w:noWrap/>
            <w:hideMark/>
          </w:tcPr>
          <w:p w14:paraId="16D73691"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89,3</w:t>
            </w:r>
          </w:p>
        </w:tc>
      </w:tr>
      <w:tr w:rsidR="003D7679" w:rsidRPr="00C22DBA" w14:paraId="60F12993" w14:textId="77777777" w:rsidTr="001D3FA9">
        <w:trPr>
          <w:trHeight w:val="250"/>
          <w:jc w:val="center"/>
        </w:trPr>
        <w:tc>
          <w:tcPr>
            <w:tcW w:w="1576" w:type="dxa"/>
            <w:noWrap/>
            <w:hideMark/>
          </w:tcPr>
          <w:p w14:paraId="3077D20E"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26</w:t>
            </w:r>
          </w:p>
        </w:tc>
        <w:tc>
          <w:tcPr>
            <w:tcW w:w="1583" w:type="dxa"/>
            <w:noWrap/>
            <w:hideMark/>
          </w:tcPr>
          <w:p w14:paraId="7FC22BC3"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21,0</w:t>
            </w:r>
          </w:p>
        </w:tc>
        <w:tc>
          <w:tcPr>
            <w:tcW w:w="236" w:type="dxa"/>
            <w:noWrap/>
            <w:hideMark/>
          </w:tcPr>
          <w:p w14:paraId="5715DF62"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7D27A311"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w:t>
            </w:r>
          </w:p>
        </w:tc>
        <w:tc>
          <w:tcPr>
            <w:tcW w:w="1583" w:type="dxa"/>
            <w:noWrap/>
            <w:hideMark/>
          </w:tcPr>
          <w:p w14:paraId="74A7B5AA"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94,5</w:t>
            </w:r>
          </w:p>
        </w:tc>
      </w:tr>
      <w:tr w:rsidR="003D7679" w:rsidRPr="00C22DBA" w14:paraId="0AAFC958" w14:textId="77777777" w:rsidTr="001D3FA9">
        <w:trPr>
          <w:trHeight w:val="250"/>
          <w:jc w:val="center"/>
        </w:trPr>
        <w:tc>
          <w:tcPr>
            <w:tcW w:w="1576" w:type="dxa"/>
            <w:noWrap/>
            <w:hideMark/>
          </w:tcPr>
          <w:p w14:paraId="1ED4DF1F"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25</w:t>
            </w:r>
          </w:p>
        </w:tc>
        <w:tc>
          <w:tcPr>
            <w:tcW w:w="1583" w:type="dxa"/>
            <w:noWrap/>
            <w:hideMark/>
          </w:tcPr>
          <w:p w14:paraId="67805F42"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22,6</w:t>
            </w:r>
          </w:p>
        </w:tc>
        <w:tc>
          <w:tcPr>
            <w:tcW w:w="236" w:type="dxa"/>
            <w:noWrap/>
            <w:hideMark/>
          </w:tcPr>
          <w:p w14:paraId="42D34D41" w14:textId="77777777" w:rsidR="003D7679" w:rsidRPr="00C22DBA" w:rsidRDefault="003D7679" w:rsidP="00557BEA">
            <w:pPr>
              <w:spacing w:line="240" w:lineRule="auto"/>
              <w:contextualSpacing/>
              <w:jc w:val="center"/>
              <w:rPr>
                <w:rFonts w:cs="Arial"/>
                <w:i/>
                <w:iCs/>
                <w:sz w:val="23"/>
                <w:szCs w:val="23"/>
                <w:lang w:val="es-CR" w:eastAsia="es-CR"/>
              </w:rPr>
            </w:pPr>
          </w:p>
        </w:tc>
        <w:tc>
          <w:tcPr>
            <w:tcW w:w="1505" w:type="dxa"/>
            <w:noWrap/>
            <w:hideMark/>
          </w:tcPr>
          <w:p w14:paraId="3F478E21" w14:textId="77777777" w:rsidR="003D7679" w:rsidRPr="00C22DBA" w:rsidRDefault="003D7679" w:rsidP="00557BEA">
            <w:pPr>
              <w:spacing w:line="240" w:lineRule="auto"/>
              <w:contextualSpacing/>
              <w:jc w:val="center"/>
              <w:rPr>
                <w:rFonts w:cs="Arial"/>
                <w:i/>
                <w:iCs/>
                <w:sz w:val="23"/>
                <w:szCs w:val="23"/>
                <w:lang w:val="es-CR" w:eastAsia="es-CR"/>
              </w:rPr>
            </w:pPr>
            <w:r w:rsidRPr="00C22DBA">
              <w:rPr>
                <w:rFonts w:cs="Arial"/>
                <w:i/>
                <w:iCs/>
                <w:sz w:val="23"/>
                <w:szCs w:val="23"/>
                <w:lang w:val="es-CR" w:eastAsia="es-CR"/>
              </w:rPr>
              <w:t>1</w:t>
            </w:r>
          </w:p>
        </w:tc>
        <w:tc>
          <w:tcPr>
            <w:tcW w:w="1583" w:type="dxa"/>
            <w:noWrap/>
            <w:hideMark/>
          </w:tcPr>
          <w:p w14:paraId="372467D3" w14:textId="77777777" w:rsidR="003D7679" w:rsidRPr="00C22DBA" w:rsidRDefault="003D7679" w:rsidP="00557BEA">
            <w:pPr>
              <w:spacing w:line="240" w:lineRule="auto"/>
              <w:contextualSpacing/>
              <w:jc w:val="center"/>
              <w:rPr>
                <w:rFonts w:cs="Arial"/>
                <w:i/>
                <w:iCs/>
                <w:sz w:val="23"/>
                <w:szCs w:val="23"/>
                <w:lang w:val="es-CR" w:eastAsia="es-CR"/>
              </w:rPr>
            </w:pPr>
            <w:r w:rsidRPr="00C22DBA">
              <w:rPr>
                <w:i/>
                <w:iCs/>
                <w:sz w:val="23"/>
                <w:szCs w:val="23"/>
              </w:rPr>
              <w:t>100,0</w:t>
            </w:r>
          </w:p>
        </w:tc>
      </w:tr>
    </w:tbl>
    <w:p w14:paraId="396481FA" w14:textId="77777777" w:rsidR="00DB552F" w:rsidRPr="00C22DBA" w:rsidRDefault="00B34A38" w:rsidP="00B34A38">
      <w:pPr>
        <w:pStyle w:val="Prrafodelista"/>
        <w:spacing w:before="240" w:after="240" w:line="240" w:lineRule="auto"/>
        <w:ind w:left="1134" w:firstLine="0"/>
        <w:rPr>
          <w:rFonts w:ascii="Cambria" w:hAnsi="Cambria"/>
          <w:i/>
          <w:iCs/>
          <w:sz w:val="23"/>
          <w:szCs w:val="23"/>
        </w:rPr>
      </w:pPr>
      <w:r w:rsidRPr="00C22DBA">
        <w:rPr>
          <w:rFonts w:ascii="Cambria" w:hAnsi="Cambria"/>
          <w:i/>
          <w:iCs/>
          <w:sz w:val="23"/>
          <w:szCs w:val="23"/>
        </w:rPr>
        <w:t xml:space="preserve">El Periodo Reportado identificado con el número “1” corresponde al periodo más reciente. </w:t>
      </w:r>
    </w:p>
    <w:p w14:paraId="772E55A8" w14:textId="77777777" w:rsidR="00DB552F" w:rsidRPr="00C22DBA" w:rsidRDefault="00DB552F" w:rsidP="00B34A38">
      <w:pPr>
        <w:pStyle w:val="Prrafodelista"/>
        <w:spacing w:before="240" w:after="240" w:line="240" w:lineRule="auto"/>
        <w:ind w:left="1134" w:firstLine="0"/>
        <w:rPr>
          <w:rFonts w:ascii="Cambria" w:hAnsi="Cambria"/>
          <w:i/>
          <w:iCs/>
          <w:sz w:val="23"/>
          <w:szCs w:val="23"/>
        </w:rPr>
      </w:pPr>
    </w:p>
    <w:p w14:paraId="5571D174" w14:textId="777D5995" w:rsidR="00B34A38" w:rsidRPr="00C22DBA" w:rsidRDefault="00B34A38" w:rsidP="00B34A38">
      <w:pPr>
        <w:pStyle w:val="Prrafodelista"/>
        <w:spacing w:before="240" w:after="240" w:line="240" w:lineRule="auto"/>
        <w:ind w:left="1134" w:firstLine="0"/>
        <w:rPr>
          <w:rFonts w:ascii="Cambria" w:hAnsi="Cambria"/>
          <w:i/>
          <w:iCs/>
          <w:sz w:val="23"/>
          <w:szCs w:val="23"/>
        </w:rPr>
      </w:pPr>
      <w:r w:rsidRPr="00C22DBA">
        <w:rPr>
          <w:rFonts w:ascii="Cambria" w:hAnsi="Cambria"/>
          <w:i/>
          <w:iCs/>
          <w:sz w:val="23"/>
          <w:szCs w:val="23"/>
        </w:rPr>
        <w:t xml:space="preserve">Luego multiplicar </w:t>
      </w:r>
      <w:r w:rsidR="00DB552F" w:rsidRPr="00C22DBA">
        <w:rPr>
          <w:rFonts w:ascii="Cambria" w:hAnsi="Cambria"/>
          <w:i/>
          <w:iCs/>
          <w:sz w:val="23"/>
          <w:szCs w:val="23"/>
        </w:rPr>
        <w:t xml:space="preserve">cada </w:t>
      </w:r>
      <w:r w:rsidRPr="00C22DBA">
        <w:rPr>
          <w:rFonts w:ascii="Cambria" w:hAnsi="Cambria"/>
          <w:i/>
          <w:iCs/>
          <w:sz w:val="23"/>
          <w:szCs w:val="23"/>
        </w:rPr>
        <w:t xml:space="preserve">dato de morosidad por </w:t>
      </w:r>
      <w:r w:rsidR="00DB552F" w:rsidRPr="00C22DBA">
        <w:rPr>
          <w:rFonts w:ascii="Cambria" w:hAnsi="Cambria"/>
          <w:i/>
          <w:iCs/>
          <w:sz w:val="23"/>
          <w:szCs w:val="23"/>
        </w:rPr>
        <w:t xml:space="preserve">el correspondiente </w:t>
      </w:r>
      <w:r w:rsidRPr="00C22DBA">
        <w:rPr>
          <w:rFonts w:ascii="Cambria" w:hAnsi="Cambria"/>
          <w:i/>
          <w:iCs/>
          <w:sz w:val="23"/>
          <w:szCs w:val="23"/>
        </w:rPr>
        <w:t>ponderador, se obtiene una serie reportada de morosidad, ponderada cada mes, la cual será el insumo para los siguientes pasos.</w:t>
      </w:r>
    </w:p>
    <w:p w14:paraId="57608C28" w14:textId="77777777" w:rsidR="00B34A38" w:rsidRPr="00C22DBA" w:rsidRDefault="00B34A38" w:rsidP="00B34A38">
      <w:pPr>
        <w:pStyle w:val="Prrafodelista"/>
        <w:spacing w:before="240" w:after="240" w:line="240" w:lineRule="auto"/>
        <w:ind w:left="1134" w:firstLine="0"/>
        <w:rPr>
          <w:i/>
          <w:iCs/>
          <w:sz w:val="23"/>
          <w:szCs w:val="23"/>
        </w:rPr>
      </w:pPr>
    </w:p>
    <w:p w14:paraId="6FE5D4F6" w14:textId="38FCBCCF" w:rsidR="003D7679" w:rsidRPr="00C22DBA" w:rsidRDefault="00B34A38" w:rsidP="00557BEA">
      <w:pPr>
        <w:pStyle w:val="Prrafodelista"/>
        <w:numPr>
          <w:ilvl w:val="0"/>
          <w:numId w:val="6"/>
        </w:numPr>
        <w:spacing w:before="240" w:after="240" w:line="240" w:lineRule="auto"/>
        <w:ind w:left="1134" w:right="0" w:hanging="567"/>
        <w:rPr>
          <w:rFonts w:ascii="Cambria" w:hAnsi="Cambria"/>
          <w:i/>
          <w:iCs/>
          <w:sz w:val="23"/>
          <w:szCs w:val="23"/>
        </w:rPr>
      </w:pPr>
      <w:r w:rsidRPr="00C22DBA">
        <w:rPr>
          <w:rFonts w:ascii="Cambria" w:hAnsi="Cambria"/>
          <w:i/>
          <w:iCs/>
          <w:sz w:val="23"/>
          <w:szCs w:val="23"/>
        </w:rPr>
        <w:t>P</w:t>
      </w:r>
      <w:r w:rsidR="003D7679" w:rsidRPr="00C22DBA">
        <w:rPr>
          <w:rFonts w:ascii="Cambria" w:hAnsi="Cambria"/>
          <w:i/>
          <w:iCs/>
          <w:sz w:val="23"/>
          <w:szCs w:val="23"/>
        </w:rPr>
        <w:t>ara cada operación crediticia directa se calcula el atraso medio, el cual es igual a la suma de la morosidad reportada, ponderada cada mes</w:t>
      </w:r>
      <w:r w:rsidR="00661C89" w:rsidRPr="00C22DBA">
        <w:rPr>
          <w:rFonts w:ascii="Cambria" w:hAnsi="Cambria"/>
          <w:i/>
          <w:iCs/>
          <w:sz w:val="23"/>
          <w:szCs w:val="23"/>
        </w:rPr>
        <w:t xml:space="preserve"> según el inciso c)</w:t>
      </w:r>
      <w:r w:rsidR="003D7679" w:rsidRPr="00C22DBA">
        <w:rPr>
          <w:rFonts w:ascii="Cambria" w:hAnsi="Cambria"/>
          <w:i/>
          <w:iCs/>
          <w:sz w:val="23"/>
          <w:szCs w:val="23"/>
        </w:rPr>
        <w:t>, dividida entre el número de periodos reportados</w:t>
      </w:r>
      <w:r w:rsidR="00661C89" w:rsidRPr="00C22DBA">
        <w:rPr>
          <w:rFonts w:ascii="Cambria" w:hAnsi="Cambria"/>
          <w:i/>
          <w:iCs/>
          <w:sz w:val="23"/>
          <w:szCs w:val="23"/>
        </w:rPr>
        <w:t>. Se toman en consideración los periodos reportados en los que la operación crediticia directa tenga un saldo total adeudado mayor al monto mínimo indicado en el inciso a)</w:t>
      </w:r>
      <w:r w:rsidR="003D7679" w:rsidRPr="00C22DBA">
        <w:rPr>
          <w:rFonts w:ascii="Cambria" w:hAnsi="Cambria"/>
          <w:i/>
          <w:iCs/>
          <w:sz w:val="23"/>
          <w:szCs w:val="23"/>
        </w:rPr>
        <w:t>;</w:t>
      </w:r>
    </w:p>
    <w:p w14:paraId="5177057F" w14:textId="77777777" w:rsidR="00661C89" w:rsidRPr="00C22DBA" w:rsidRDefault="00661C89" w:rsidP="00661C89">
      <w:pPr>
        <w:pStyle w:val="Prrafodelista"/>
        <w:spacing w:before="240" w:after="240" w:line="240" w:lineRule="auto"/>
        <w:ind w:left="1134" w:right="0" w:firstLine="0"/>
        <w:rPr>
          <w:rFonts w:ascii="Cambria" w:hAnsi="Cambria"/>
          <w:i/>
          <w:iCs/>
          <w:sz w:val="23"/>
          <w:szCs w:val="23"/>
        </w:rPr>
      </w:pPr>
    </w:p>
    <w:p w14:paraId="5F27C64B" w14:textId="6FC92AF9" w:rsidR="003D7679" w:rsidRPr="00C22DBA" w:rsidRDefault="00BF3EA3" w:rsidP="00557BEA">
      <w:pPr>
        <w:pStyle w:val="Prrafodelista"/>
        <w:numPr>
          <w:ilvl w:val="0"/>
          <w:numId w:val="6"/>
        </w:numPr>
        <w:spacing w:before="240" w:after="240" w:line="240" w:lineRule="auto"/>
        <w:ind w:left="1134" w:right="0" w:hanging="567"/>
        <w:rPr>
          <w:rFonts w:ascii="Cambria" w:hAnsi="Cambria"/>
          <w:i/>
          <w:iCs/>
          <w:sz w:val="23"/>
          <w:szCs w:val="23"/>
        </w:rPr>
      </w:pPr>
      <w:r w:rsidRPr="00C22DBA">
        <w:rPr>
          <w:rFonts w:ascii="Cambria" w:hAnsi="Cambria"/>
          <w:i/>
          <w:iCs/>
          <w:sz w:val="23"/>
          <w:szCs w:val="23"/>
        </w:rPr>
        <w:t>P</w:t>
      </w:r>
      <w:r w:rsidR="003D7679" w:rsidRPr="00C22DBA">
        <w:rPr>
          <w:rFonts w:ascii="Cambria" w:hAnsi="Cambria"/>
          <w:i/>
          <w:iCs/>
          <w:sz w:val="23"/>
          <w:szCs w:val="23"/>
        </w:rPr>
        <w:t xml:space="preserve">ara cada operación crediticia directa, se calcula la morosidad máxima ponderada en días (calculada en el inciso </w:t>
      </w:r>
      <w:r w:rsidR="00661C89" w:rsidRPr="00C22DBA">
        <w:rPr>
          <w:rFonts w:ascii="Cambria" w:hAnsi="Cambria"/>
          <w:i/>
          <w:iCs/>
          <w:sz w:val="23"/>
          <w:szCs w:val="23"/>
        </w:rPr>
        <w:t>c</w:t>
      </w:r>
      <w:r w:rsidR="003D7679" w:rsidRPr="00C22DBA">
        <w:rPr>
          <w:rFonts w:ascii="Cambria" w:hAnsi="Cambria"/>
          <w:i/>
          <w:iCs/>
          <w:sz w:val="23"/>
          <w:szCs w:val="23"/>
        </w:rPr>
        <w:t>)</w:t>
      </w:r>
      <w:r w:rsidR="00661C89" w:rsidRPr="00C22DBA">
        <w:rPr>
          <w:rFonts w:ascii="Cambria" w:hAnsi="Cambria"/>
          <w:i/>
          <w:iCs/>
          <w:sz w:val="23"/>
          <w:szCs w:val="23"/>
        </w:rPr>
        <w:t>.</w:t>
      </w:r>
      <w:r w:rsidR="003D7679" w:rsidRPr="00C22DBA">
        <w:rPr>
          <w:rFonts w:ascii="Cambria" w:hAnsi="Cambria"/>
          <w:i/>
          <w:iCs/>
          <w:sz w:val="23"/>
          <w:szCs w:val="23"/>
        </w:rPr>
        <w:t xml:space="preserve"> </w:t>
      </w:r>
      <w:r w:rsidR="00661C89" w:rsidRPr="00C22DBA">
        <w:rPr>
          <w:rFonts w:ascii="Cambria" w:hAnsi="Cambria"/>
          <w:i/>
          <w:iCs/>
          <w:sz w:val="23"/>
          <w:szCs w:val="23"/>
        </w:rPr>
        <w:t>Se toman en consideración los periodos reportados en los que la operación crediticia directa tenga un saldo total adeudado mayor al monto mínimo indicado en el inciso a)</w:t>
      </w:r>
      <w:r w:rsidR="003D7679" w:rsidRPr="00C22DBA">
        <w:rPr>
          <w:rFonts w:ascii="Cambria" w:hAnsi="Cambria"/>
          <w:i/>
          <w:iCs/>
          <w:sz w:val="23"/>
          <w:szCs w:val="23"/>
        </w:rPr>
        <w:t>;</w:t>
      </w:r>
    </w:p>
    <w:p w14:paraId="0FD196B8" w14:textId="77777777" w:rsidR="00661C89" w:rsidRPr="00C22DBA" w:rsidRDefault="00661C89" w:rsidP="00661C89">
      <w:pPr>
        <w:pStyle w:val="Prrafodelista"/>
        <w:rPr>
          <w:rFonts w:ascii="Cambria" w:hAnsi="Cambria"/>
          <w:i/>
          <w:iCs/>
          <w:sz w:val="23"/>
          <w:szCs w:val="23"/>
        </w:rPr>
      </w:pPr>
    </w:p>
    <w:p w14:paraId="13EF1EDD" w14:textId="490E0675" w:rsidR="003D7679" w:rsidRPr="00C22DBA" w:rsidRDefault="00661C89" w:rsidP="00557BEA">
      <w:pPr>
        <w:pStyle w:val="Prrafodelista"/>
        <w:numPr>
          <w:ilvl w:val="0"/>
          <w:numId w:val="6"/>
        </w:numPr>
        <w:spacing w:before="240" w:after="240" w:line="240" w:lineRule="auto"/>
        <w:ind w:left="1134" w:right="0" w:hanging="567"/>
        <w:rPr>
          <w:rFonts w:ascii="Cambria" w:hAnsi="Cambria"/>
          <w:i/>
          <w:iCs/>
          <w:sz w:val="23"/>
          <w:szCs w:val="23"/>
        </w:rPr>
      </w:pPr>
      <w:r w:rsidRPr="00C22DBA">
        <w:rPr>
          <w:rFonts w:ascii="Cambria" w:hAnsi="Cambria"/>
          <w:i/>
          <w:iCs/>
          <w:sz w:val="23"/>
          <w:szCs w:val="23"/>
        </w:rPr>
        <w:t xml:space="preserve">Para cada operación crediticia directa </w:t>
      </w:r>
      <w:r w:rsidR="003D7679" w:rsidRPr="00C22DBA">
        <w:rPr>
          <w:rFonts w:ascii="Cambria" w:hAnsi="Cambria"/>
          <w:i/>
          <w:iCs/>
          <w:sz w:val="23"/>
          <w:szCs w:val="23"/>
        </w:rPr>
        <w:t>se asigna un puntaje al atraso máximo</w:t>
      </w:r>
      <w:r w:rsidRPr="00C22DBA">
        <w:rPr>
          <w:rFonts w:ascii="Cambria" w:hAnsi="Cambria"/>
          <w:i/>
          <w:iCs/>
          <w:sz w:val="23"/>
          <w:szCs w:val="23"/>
        </w:rPr>
        <w:t xml:space="preserve"> calculado según el inciso </w:t>
      </w:r>
      <w:proofErr w:type="gramStart"/>
      <w:r w:rsidRPr="00C22DBA">
        <w:rPr>
          <w:rFonts w:ascii="Cambria" w:hAnsi="Cambria"/>
          <w:i/>
          <w:iCs/>
          <w:sz w:val="23"/>
          <w:szCs w:val="23"/>
        </w:rPr>
        <w:t xml:space="preserve">e) </w:t>
      </w:r>
      <w:r w:rsidR="003D7679" w:rsidRPr="00C22DBA">
        <w:rPr>
          <w:rFonts w:ascii="Cambria" w:hAnsi="Cambria"/>
          <w:i/>
          <w:iCs/>
          <w:sz w:val="23"/>
          <w:szCs w:val="23"/>
        </w:rPr>
        <w:t xml:space="preserve"> y</w:t>
      </w:r>
      <w:proofErr w:type="gramEnd"/>
      <w:r w:rsidR="003D7679" w:rsidRPr="00C22DBA">
        <w:rPr>
          <w:rFonts w:ascii="Cambria" w:hAnsi="Cambria"/>
          <w:i/>
          <w:iCs/>
          <w:sz w:val="23"/>
          <w:szCs w:val="23"/>
        </w:rPr>
        <w:t xml:space="preserve"> al atraso medio </w:t>
      </w:r>
      <w:r w:rsidRPr="00C22DBA">
        <w:rPr>
          <w:rFonts w:ascii="Cambria" w:hAnsi="Cambria"/>
          <w:i/>
          <w:iCs/>
          <w:sz w:val="23"/>
          <w:szCs w:val="23"/>
        </w:rPr>
        <w:t xml:space="preserve">calculado según el inciso d), </w:t>
      </w:r>
      <w:r w:rsidR="003D7679" w:rsidRPr="00C22DBA">
        <w:rPr>
          <w:rFonts w:ascii="Cambria" w:hAnsi="Cambria"/>
          <w:i/>
          <w:iCs/>
          <w:sz w:val="23"/>
          <w:szCs w:val="23"/>
        </w:rPr>
        <w:t xml:space="preserve">con base en el siguiente cuadro: </w:t>
      </w:r>
    </w:p>
    <w:tbl>
      <w:tblPr>
        <w:tblStyle w:val="TableGrid"/>
        <w:tblW w:w="7705" w:type="dxa"/>
        <w:jc w:val="center"/>
        <w:tblInd w:w="0" w:type="dxa"/>
        <w:tblCellMar>
          <w:left w:w="122" w:type="dxa"/>
          <w:right w:w="115" w:type="dxa"/>
        </w:tblCellMar>
        <w:tblLook w:val="04A0" w:firstRow="1" w:lastRow="0" w:firstColumn="1" w:lastColumn="0" w:noHBand="0" w:noVBand="1"/>
      </w:tblPr>
      <w:tblGrid>
        <w:gridCol w:w="1380"/>
        <w:gridCol w:w="3153"/>
        <w:gridCol w:w="3172"/>
      </w:tblGrid>
      <w:tr w:rsidR="003D7679" w:rsidRPr="00C22DBA" w14:paraId="3764B698" w14:textId="77777777" w:rsidTr="001D3FA9">
        <w:trPr>
          <w:trHeight w:val="286"/>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268BA7F7" w14:textId="77777777" w:rsidR="00661C89" w:rsidRPr="00C22DBA" w:rsidRDefault="00661C89" w:rsidP="00661C89">
            <w:pPr>
              <w:pStyle w:val="Prrafodelista"/>
              <w:rPr>
                <w:b/>
                <w:i/>
                <w:iCs/>
                <w:sz w:val="23"/>
                <w:szCs w:val="23"/>
              </w:rPr>
            </w:pPr>
          </w:p>
          <w:p w14:paraId="577FC22D" w14:textId="77777777" w:rsidR="003D7679" w:rsidRPr="00C22DBA" w:rsidRDefault="003D7679" w:rsidP="00557BEA">
            <w:pPr>
              <w:spacing w:line="240" w:lineRule="auto"/>
              <w:contextualSpacing/>
              <w:rPr>
                <w:i/>
                <w:iCs/>
                <w:sz w:val="23"/>
                <w:szCs w:val="23"/>
              </w:rPr>
            </w:pPr>
            <w:r w:rsidRPr="00C22DBA">
              <w:rPr>
                <w:b/>
                <w:i/>
                <w:iCs/>
                <w:sz w:val="23"/>
                <w:szCs w:val="23"/>
              </w:rPr>
              <w:t>PUNTAJE</w:t>
            </w:r>
          </w:p>
        </w:tc>
        <w:tc>
          <w:tcPr>
            <w:tcW w:w="3153" w:type="dxa"/>
            <w:tcBorders>
              <w:top w:val="single" w:sz="4" w:space="0" w:color="000000"/>
              <w:left w:val="single" w:sz="4" w:space="0" w:color="000000"/>
              <w:bottom w:val="single" w:sz="4" w:space="0" w:color="000000"/>
              <w:right w:val="single" w:sz="4" w:space="0" w:color="000000"/>
            </w:tcBorders>
            <w:shd w:val="clear" w:color="auto" w:fill="E6E6E6"/>
          </w:tcPr>
          <w:p w14:paraId="5B491389" w14:textId="77777777" w:rsidR="003D7679" w:rsidRPr="00C22DBA" w:rsidRDefault="003D7679" w:rsidP="00557BEA">
            <w:pPr>
              <w:spacing w:line="240" w:lineRule="auto"/>
              <w:contextualSpacing/>
              <w:jc w:val="center"/>
              <w:rPr>
                <w:i/>
                <w:iCs/>
                <w:sz w:val="23"/>
                <w:szCs w:val="23"/>
              </w:rPr>
            </w:pPr>
            <w:r w:rsidRPr="00C22DBA">
              <w:rPr>
                <w:b/>
                <w:i/>
                <w:iCs/>
                <w:sz w:val="23"/>
                <w:szCs w:val="23"/>
              </w:rPr>
              <w:t>Atraso máximo</w:t>
            </w:r>
          </w:p>
        </w:tc>
        <w:tc>
          <w:tcPr>
            <w:tcW w:w="3172" w:type="dxa"/>
            <w:tcBorders>
              <w:top w:val="single" w:sz="4" w:space="0" w:color="000000"/>
              <w:left w:val="single" w:sz="4" w:space="0" w:color="000000"/>
              <w:bottom w:val="single" w:sz="4" w:space="0" w:color="000000"/>
              <w:right w:val="single" w:sz="4" w:space="0" w:color="000000"/>
            </w:tcBorders>
            <w:shd w:val="clear" w:color="auto" w:fill="E6E6E6"/>
          </w:tcPr>
          <w:p w14:paraId="1D7F4AC9" w14:textId="77777777" w:rsidR="003D7679" w:rsidRPr="00C22DBA" w:rsidRDefault="003D7679" w:rsidP="00557BEA">
            <w:pPr>
              <w:spacing w:line="240" w:lineRule="auto"/>
              <w:contextualSpacing/>
              <w:jc w:val="center"/>
              <w:rPr>
                <w:i/>
                <w:iCs/>
                <w:sz w:val="23"/>
                <w:szCs w:val="23"/>
              </w:rPr>
            </w:pPr>
            <w:r w:rsidRPr="00C22DBA">
              <w:rPr>
                <w:b/>
                <w:i/>
                <w:iCs/>
                <w:sz w:val="23"/>
                <w:szCs w:val="23"/>
              </w:rPr>
              <w:t>Atraso medio</w:t>
            </w:r>
          </w:p>
        </w:tc>
      </w:tr>
      <w:tr w:rsidR="003D7679" w:rsidRPr="00C22DBA" w14:paraId="4F2251B6" w14:textId="77777777" w:rsidTr="001D3FA9">
        <w:trPr>
          <w:trHeight w:val="314"/>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2DBDBA30" w14:textId="77777777" w:rsidR="003D7679" w:rsidRPr="00C22DBA" w:rsidRDefault="003D7679" w:rsidP="00661C89">
            <w:pPr>
              <w:spacing w:line="240" w:lineRule="auto"/>
              <w:contextualSpacing/>
              <w:jc w:val="center"/>
              <w:rPr>
                <w:i/>
                <w:iCs/>
                <w:sz w:val="23"/>
                <w:szCs w:val="23"/>
              </w:rPr>
            </w:pPr>
            <w:r w:rsidRPr="00C22DBA">
              <w:rPr>
                <w:b/>
                <w:i/>
                <w:iCs/>
                <w:sz w:val="23"/>
                <w:szCs w:val="23"/>
              </w:rPr>
              <w:t>1</w:t>
            </w:r>
          </w:p>
        </w:tc>
        <w:tc>
          <w:tcPr>
            <w:tcW w:w="3153" w:type="dxa"/>
            <w:tcBorders>
              <w:top w:val="single" w:sz="4" w:space="0" w:color="000000"/>
              <w:left w:val="single" w:sz="4" w:space="0" w:color="000000"/>
              <w:bottom w:val="single" w:sz="4" w:space="0" w:color="000000"/>
              <w:right w:val="single" w:sz="4" w:space="0" w:color="000000"/>
            </w:tcBorders>
          </w:tcPr>
          <w:p w14:paraId="629C9C87" w14:textId="77777777" w:rsidR="003D7679" w:rsidRPr="00C22DBA" w:rsidRDefault="003D7679" w:rsidP="00557BEA">
            <w:pPr>
              <w:spacing w:line="240" w:lineRule="auto"/>
              <w:contextualSpacing/>
              <w:rPr>
                <w:i/>
                <w:iCs/>
                <w:sz w:val="23"/>
                <w:szCs w:val="23"/>
              </w:rPr>
            </w:pPr>
            <w:r w:rsidRPr="00C22DBA">
              <w:rPr>
                <w:i/>
                <w:iCs/>
                <w:sz w:val="23"/>
                <w:szCs w:val="23"/>
              </w:rPr>
              <w:t xml:space="preserve">hasta 30 días </w:t>
            </w:r>
          </w:p>
        </w:tc>
        <w:tc>
          <w:tcPr>
            <w:tcW w:w="3172" w:type="dxa"/>
            <w:tcBorders>
              <w:top w:val="single" w:sz="4" w:space="0" w:color="000000"/>
              <w:left w:val="single" w:sz="4" w:space="0" w:color="000000"/>
              <w:bottom w:val="single" w:sz="4" w:space="0" w:color="000000"/>
              <w:right w:val="single" w:sz="4" w:space="0" w:color="000000"/>
            </w:tcBorders>
          </w:tcPr>
          <w:p w14:paraId="2D2DBFC2" w14:textId="77777777" w:rsidR="003D7679" w:rsidRPr="00C22DBA" w:rsidRDefault="003D7679" w:rsidP="00557BEA">
            <w:pPr>
              <w:spacing w:line="240" w:lineRule="auto"/>
              <w:contextualSpacing/>
              <w:rPr>
                <w:i/>
                <w:iCs/>
                <w:sz w:val="23"/>
                <w:szCs w:val="23"/>
              </w:rPr>
            </w:pPr>
            <w:r w:rsidRPr="00C22DBA">
              <w:rPr>
                <w:i/>
                <w:iCs/>
                <w:sz w:val="23"/>
                <w:szCs w:val="23"/>
              </w:rPr>
              <w:t xml:space="preserve">hasta 10 días </w:t>
            </w:r>
          </w:p>
        </w:tc>
      </w:tr>
      <w:tr w:rsidR="003D7679" w:rsidRPr="00C22DBA" w14:paraId="07FE7282" w14:textId="77777777" w:rsidTr="001D3FA9">
        <w:trPr>
          <w:trHeight w:val="286"/>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72A5A3F5" w14:textId="77777777" w:rsidR="003D7679" w:rsidRPr="00C22DBA" w:rsidRDefault="003D7679" w:rsidP="00661C89">
            <w:pPr>
              <w:spacing w:line="240" w:lineRule="auto"/>
              <w:contextualSpacing/>
              <w:jc w:val="center"/>
              <w:rPr>
                <w:i/>
                <w:iCs/>
                <w:sz w:val="23"/>
                <w:szCs w:val="23"/>
              </w:rPr>
            </w:pPr>
            <w:r w:rsidRPr="00C22DBA">
              <w:rPr>
                <w:b/>
                <w:i/>
                <w:iCs/>
                <w:sz w:val="23"/>
                <w:szCs w:val="23"/>
              </w:rPr>
              <w:t>2</w:t>
            </w:r>
          </w:p>
        </w:tc>
        <w:tc>
          <w:tcPr>
            <w:tcW w:w="3153" w:type="dxa"/>
            <w:tcBorders>
              <w:top w:val="single" w:sz="4" w:space="0" w:color="000000"/>
              <w:left w:val="single" w:sz="4" w:space="0" w:color="000000"/>
              <w:bottom w:val="single" w:sz="4" w:space="0" w:color="000000"/>
              <w:right w:val="single" w:sz="4" w:space="0" w:color="000000"/>
            </w:tcBorders>
          </w:tcPr>
          <w:p w14:paraId="578FDCF9"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30 y hasta 60 días </w:t>
            </w:r>
          </w:p>
        </w:tc>
        <w:tc>
          <w:tcPr>
            <w:tcW w:w="3172" w:type="dxa"/>
            <w:tcBorders>
              <w:top w:val="single" w:sz="4" w:space="0" w:color="000000"/>
              <w:left w:val="single" w:sz="4" w:space="0" w:color="000000"/>
              <w:bottom w:val="single" w:sz="4" w:space="0" w:color="000000"/>
              <w:right w:val="single" w:sz="4" w:space="0" w:color="000000"/>
            </w:tcBorders>
          </w:tcPr>
          <w:p w14:paraId="451D16BF"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10 y hasta 20 días </w:t>
            </w:r>
          </w:p>
        </w:tc>
      </w:tr>
      <w:tr w:rsidR="003D7679" w:rsidRPr="00C22DBA" w14:paraId="5BB6FAE0" w14:textId="77777777" w:rsidTr="001D3FA9">
        <w:trPr>
          <w:trHeight w:val="286"/>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477BA5E4" w14:textId="77777777" w:rsidR="003D7679" w:rsidRPr="00C22DBA" w:rsidRDefault="003D7679" w:rsidP="00661C89">
            <w:pPr>
              <w:spacing w:line="240" w:lineRule="auto"/>
              <w:contextualSpacing/>
              <w:jc w:val="center"/>
              <w:rPr>
                <w:i/>
                <w:iCs/>
                <w:sz w:val="23"/>
                <w:szCs w:val="23"/>
              </w:rPr>
            </w:pPr>
            <w:r w:rsidRPr="00C22DBA">
              <w:rPr>
                <w:b/>
                <w:i/>
                <w:iCs/>
                <w:sz w:val="23"/>
                <w:szCs w:val="23"/>
              </w:rPr>
              <w:t>3</w:t>
            </w:r>
          </w:p>
        </w:tc>
        <w:tc>
          <w:tcPr>
            <w:tcW w:w="3153" w:type="dxa"/>
            <w:tcBorders>
              <w:top w:val="single" w:sz="4" w:space="0" w:color="000000"/>
              <w:left w:val="single" w:sz="4" w:space="0" w:color="000000"/>
              <w:bottom w:val="single" w:sz="4" w:space="0" w:color="000000"/>
              <w:right w:val="single" w:sz="4" w:space="0" w:color="000000"/>
            </w:tcBorders>
          </w:tcPr>
          <w:p w14:paraId="6D97EC4C"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60 y hasta 90 días </w:t>
            </w:r>
          </w:p>
        </w:tc>
        <w:tc>
          <w:tcPr>
            <w:tcW w:w="3172" w:type="dxa"/>
            <w:tcBorders>
              <w:top w:val="single" w:sz="4" w:space="0" w:color="000000"/>
              <w:left w:val="single" w:sz="4" w:space="0" w:color="000000"/>
              <w:bottom w:val="single" w:sz="4" w:space="0" w:color="000000"/>
              <w:right w:val="single" w:sz="4" w:space="0" w:color="000000"/>
            </w:tcBorders>
          </w:tcPr>
          <w:p w14:paraId="785122F5"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20 y hasta 30 días </w:t>
            </w:r>
          </w:p>
        </w:tc>
      </w:tr>
      <w:tr w:rsidR="003D7679" w:rsidRPr="00C22DBA" w14:paraId="2DE74A37" w14:textId="77777777" w:rsidTr="001D3FA9">
        <w:trPr>
          <w:trHeight w:val="286"/>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15C3568B" w14:textId="77777777" w:rsidR="003D7679" w:rsidRPr="00C22DBA" w:rsidRDefault="003D7679" w:rsidP="00661C89">
            <w:pPr>
              <w:spacing w:line="240" w:lineRule="auto"/>
              <w:contextualSpacing/>
              <w:jc w:val="center"/>
              <w:rPr>
                <w:i/>
                <w:iCs/>
                <w:sz w:val="23"/>
                <w:szCs w:val="23"/>
              </w:rPr>
            </w:pPr>
            <w:r w:rsidRPr="00C22DBA">
              <w:rPr>
                <w:b/>
                <w:i/>
                <w:iCs/>
                <w:sz w:val="23"/>
                <w:szCs w:val="23"/>
              </w:rPr>
              <w:t>4</w:t>
            </w:r>
          </w:p>
        </w:tc>
        <w:tc>
          <w:tcPr>
            <w:tcW w:w="3153" w:type="dxa"/>
            <w:tcBorders>
              <w:top w:val="single" w:sz="4" w:space="0" w:color="000000"/>
              <w:left w:val="single" w:sz="4" w:space="0" w:color="000000"/>
              <w:bottom w:val="single" w:sz="4" w:space="0" w:color="000000"/>
              <w:right w:val="single" w:sz="4" w:space="0" w:color="000000"/>
            </w:tcBorders>
          </w:tcPr>
          <w:p w14:paraId="01DBCCF2"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90 y hasta 120 días </w:t>
            </w:r>
          </w:p>
        </w:tc>
        <w:tc>
          <w:tcPr>
            <w:tcW w:w="3172" w:type="dxa"/>
            <w:tcBorders>
              <w:top w:val="single" w:sz="4" w:space="0" w:color="000000"/>
              <w:left w:val="single" w:sz="4" w:space="0" w:color="000000"/>
              <w:bottom w:val="single" w:sz="4" w:space="0" w:color="000000"/>
              <w:right w:val="single" w:sz="4" w:space="0" w:color="000000"/>
            </w:tcBorders>
          </w:tcPr>
          <w:p w14:paraId="68520719"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30 y hasta 40 días </w:t>
            </w:r>
          </w:p>
        </w:tc>
      </w:tr>
      <w:tr w:rsidR="003D7679" w:rsidRPr="00C22DBA" w14:paraId="5C8EAA2D" w14:textId="77777777" w:rsidTr="001D3FA9">
        <w:trPr>
          <w:trHeight w:val="286"/>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E6E6E6"/>
          </w:tcPr>
          <w:p w14:paraId="1D16DB53" w14:textId="77777777" w:rsidR="003D7679" w:rsidRPr="00C22DBA" w:rsidRDefault="003D7679" w:rsidP="00661C89">
            <w:pPr>
              <w:spacing w:line="240" w:lineRule="auto"/>
              <w:contextualSpacing/>
              <w:jc w:val="center"/>
              <w:rPr>
                <w:i/>
                <w:iCs/>
                <w:sz w:val="23"/>
                <w:szCs w:val="23"/>
              </w:rPr>
            </w:pPr>
            <w:r w:rsidRPr="00C22DBA">
              <w:rPr>
                <w:b/>
                <w:i/>
                <w:iCs/>
                <w:sz w:val="23"/>
                <w:szCs w:val="23"/>
              </w:rPr>
              <w:t>5</w:t>
            </w:r>
          </w:p>
        </w:tc>
        <w:tc>
          <w:tcPr>
            <w:tcW w:w="3153" w:type="dxa"/>
            <w:tcBorders>
              <w:top w:val="single" w:sz="4" w:space="0" w:color="000000"/>
              <w:left w:val="single" w:sz="4" w:space="0" w:color="000000"/>
              <w:bottom w:val="single" w:sz="4" w:space="0" w:color="000000"/>
              <w:right w:val="single" w:sz="4" w:space="0" w:color="000000"/>
            </w:tcBorders>
          </w:tcPr>
          <w:p w14:paraId="10E8D39A"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120 días </w:t>
            </w:r>
          </w:p>
        </w:tc>
        <w:tc>
          <w:tcPr>
            <w:tcW w:w="3172" w:type="dxa"/>
            <w:tcBorders>
              <w:top w:val="single" w:sz="4" w:space="0" w:color="000000"/>
              <w:left w:val="single" w:sz="4" w:space="0" w:color="000000"/>
              <w:bottom w:val="single" w:sz="4" w:space="0" w:color="000000"/>
              <w:right w:val="single" w:sz="4" w:space="0" w:color="000000"/>
            </w:tcBorders>
          </w:tcPr>
          <w:p w14:paraId="4F0A6342" w14:textId="77777777" w:rsidR="003D7679" w:rsidRPr="00C22DBA" w:rsidRDefault="003D7679" w:rsidP="00557BEA">
            <w:pPr>
              <w:spacing w:line="240" w:lineRule="auto"/>
              <w:contextualSpacing/>
              <w:rPr>
                <w:i/>
                <w:iCs/>
                <w:sz w:val="23"/>
                <w:szCs w:val="23"/>
              </w:rPr>
            </w:pPr>
            <w:r w:rsidRPr="00C22DBA">
              <w:rPr>
                <w:i/>
                <w:iCs/>
                <w:sz w:val="23"/>
                <w:szCs w:val="23"/>
              </w:rPr>
              <w:t xml:space="preserve">más de 40 días </w:t>
            </w:r>
          </w:p>
        </w:tc>
      </w:tr>
    </w:tbl>
    <w:p w14:paraId="682359F6" w14:textId="3825203A" w:rsidR="003D7679" w:rsidRPr="00C22DBA" w:rsidRDefault="00661C89" w:rsidP="00557BEA">
      <w:pPr>
        <w:pStyle w:val="Prrafodelista"/>
        <w:numPr>
          <w:ilvl w:val="0"/>
          <w:numId w:val="6"/>
        </w:numPr>
        <w:spacing w:before="240" w:after="240" w:line="240" w:lineRule="auto"/>
        <w:ind w:left="1134" w:right="0" w:hanging="567"/>
        <w:rPr>
          <w:rFonts w:ascii="Cambria" w:hAnsi="Cambria"/>
          <w:i/>
          <w:iCs/>
          <w:sz w:val="23"/>
          <w:szCs w:val="23"/>
        </w:rPr>
      </w:pPr>
      <w:r w:rsidRPr="00C22DBA">
        <w:rPr>
          <w:rFonts w:ascii="Cambria" w:hAnsi="Cambria"/>
          <w:i/>
          <w:iCs/>
          <w:sz w:val="23"/>
          <w:szCs w:val="23"/>
        </w:rPr>
        <w:t xml:space="preserve">Para cada operación crediticia </w:t>
      </w:r>
      <w:proofErr w:type="spellStart"/>
      <w:r w:rsidRPr="00C22DBA">
        <w:rPr>
          <w:rFonts w:ascii="Cambria" w:hAnsi="Cambria"/>
          <w:i/>
          <w:iCs/>
          <w:sz w:val="23"/>
          <w:szCs w:val="23"/>
        </w:rPr>
        <w:t>direta</w:t>
      </w:r>
      <w:proofErr w:type="spellEnd"/>
      <w:r w:rsidRPr="00C22DBA">
        <w:rPr>
          <w:rFonts w:ascii="Cambria" w:hAnsi="Cambria"/>
          <w:i/>
          <w:iCs/>
          <w:sz w:val="23"/>
          <w:szCs w:val="23"/>
        </w:rPr>
        <w:t xml:space="preserve"> </w:t>
      </w:r>
      <w:r w:rsidR="003D7679" w:rsidRPr="00C22DBA">
        <w:rPr>
          <w:rFonts w:ascii="Cambria" w:hAnsi="Cambria"/>
          <w:i/>
          <w:iCs/>
          <w:sz w:val="23"/>
          <w:szCs w:val="23"/>
        </w:rPr>
        <w:t xml:space="preserve">se calcula el promedio simple del puntaje asignado al atraso máximo y al atraso medio, </w:t>
      </w:r>
      <w:r w:rsidRPr="00C22DBA">
        <w:rPr>
          <w:rFonts w:ascii="Cambria" w:hAnsi="Cambria"/>
          <w:i/>
          <w:iCs/>
          <w:sz w:val="23"/>
          <w:szCs w:val="23"/>
        </w:rPr>
        <w:t xml:space="preserve">el </w:t>
      </w:r>
      <w:r w:rsidR="003D7679" w:rsidRPr="00C22DBA">
        <w:rPr>
          <w:rFonts w:ascii="Cambria" w:hAnsi="Cambria"/>
          <w:i/>
          <w:iCs/>
          <w:sz w:val="23"/>
          <w:szCs w:val="23"/>
        </w:rPr>
        <w:t xml:space="preserve">cual resulta en un puntaje para cada operación </w:t>
      </w:r>
      <w:r w:rsidRPr="00C22DBA">
        <w:rPr>
          <w:rFonts w:ascii="Cambria" w:hAnsi="Cambria"/>
          <w:i/>
          <w:iCs/>
          <w:sz w:val="23"/>
          <w:szCs w:val="23"/>
        </w:rPr>
        <w:t xml:space="preserve">crediticia </w:t>
      </w:r>
      <w:proofErr w:type="spellStart"/>
      <w:r w:rsidRPr="00C22DBA">
        <w:rPr>
          <w:rFonts w:ascii="Cambria" w:hAnsi="Cambria"/>
          <w:i/>
          <w:iCs/>
          <w:sz w:val="23"/>
          <w:szCs w:val="23"/>
        </w:rPr>
        <w:t>direta</w:t>
      </w:r>
      <w:proofErr w:type="spellEnd"/>
      <w:r w:rsidRPr="00C22DBA">
        <w:rPr>
          <w:rFonts w:ascii="Cambria" w:hAnsi="Cambria"/>
          <w:i/>
          <w:iCs/>
          <w:sz w:val="23"/>
          <w:szCs w:val="23"/>
        </w:rPr>
        <w:t xml:space="preserve">, </w:t>
      </w:r>
      <w:r w:rsidR="003D7679" w:rsidRPr="00C22DBA">
        <w:rPr>
          <w:rFonts w:ascii="Cambria" w:hAnsi="Cambria"/>
          <w:i/>
          <w:iCs/>
          <w:sz w:val="23"/>
          <w:szCs w:val="23"/>
        </w:rPr>
        <w:t>con un valor entre uno y cinco;</w:t>
      </w:r>
    </w:p>
    <w:p w14:paraId="56AC2052" w14:textId="77777777" w:rsidR="00DD28F7" w:rsidRPr="00C22DBA" w:rsidRDefault="00DD28F7" w:rsidP="00DD28F7">
      <w:pPr>
        <w:pStyle w:val="Prrafodelista"/>
        <w:spacing w:before="240" w:after="240" w:line="240" w:lineRule="auto"/>
        <w:ind w:left="1134" w:right="0" w:firstLine="0"/>
        <w:rPr>
          <w:i/>
          <w:iCs/>
          <w:sz w:val="23"/>
          <w:szCs w:val="23"/>
        </w:rPr>
      </w:pPr>
    </w:p>
    <w:p w14:paraId="2F3F1580" w14:textId="717F0279" w:rsidR="003D7679" w:rsidRPr="00C22DBA" w:rsidRDefault="0034361C" w:rsidP="00DD28F7">
      <w:pPr>
        <w:pStyle w:val="Prrafodelista"/>
        <w:numPr>
          <w:ilvl w:val="0"/>
          <w:numId w:val="6"/>
        </w:numPr>
        <w:spacing w:before="240" w:after="240" w:line="240" w:lineRule="auto"/>
        <w:ind w:left="1134" w:right="0" w:hanging="567"/>
        <w:rPr>
          <w:i/>
          <w:iCs/>
          <w:sz w:val="23"/>
          <w:szCs w:val="23"/>
        </w:rPr>
      </w:pPr>
      <w:r w:rsidRPr="00C22DBA">
        <w:rPr>
          <w:rFonts w:ascii="Cambria" w:hAnsi="Cambria"/>
          <w:i/>
          <w:iCs/>
          <w:sz w:val="23"/>
          <w:szCs w:val="23"/>
        </w:rPr>
        <w:t>El</w:t>
      </w:r>
      <w:r w:rsidRPr="00C22DBA">
        <w:rPr>
          <w:i/>
          <w:iCs/>
          <w:sz w:val="23"/>
          <w:szCs w:val="23"/>
        </w:rPr>
        <w:t xml:space="preserve"> puntaje obtenido </w:t>
      </w:r>
      <w:r w:rsidR="003D7679" w:rsidRPr="00C22DBA">
        <w:rPr>
          <w:i/>
          <w:iCs/>
          <w:sz w:val="23"/>
          <w:szCs w:val="23"/>
        </w:rPr>
        <w:t xml:space="preserve">se pondera según </w:t>
      </w:r>
      <w:r w:rsidRPr="00C22DBA">
        <w:rPr>
          <w:i/>
          <w:iCs/>
          <w:sz w:val="23"/>
          <w:szCs w:val="23"/>
        </w:rPr>
        <w:t xml:space="preserve">el porcentaje que represente el Saldo Total Adeudado de la operación crediticia directa, o el monto máximo autorizado en el caso de tarjetas de crédito, respecto a la </w:t>
      </w:r>
      <w:r w:rsidR="003D7679" w:rsidRPr="00C22DBA">
        <w:rPr>
          <w:i/>
          <w:iCs/>
          <w:sz w:val="23"/>
          <w:szCs w:val="23"/>
        </w:rPr>
        <w:t xml:space="preserve">suma de los saldos totales adeudados </w:t>
      </w:r>
      <w:r w:rsidRPr="00C22DBA">
        <w:rPr>
          <w:i/>
          <w:iCs/>
          <w:sz w:val="23"/>
          <w:szCs w:val="23"/>
        </w:rPr>
        <w:t xml:space="preserve">del deudor reportados en el Centro de Información Crediticia (CIC), a la fecha de cálculo. </w:t>
      </w:r>
      <w:r w:rsidRPr="00C22DBA">
        <w:rPr>
          <w:rFonts w:ascii="Cambria" w:hAnsi="Cambria"/>
          <w:i/>
          <w:iCs/>
          <w:sz w:val="23"/>
          <w:szCs w:val="23"/>
        </w:rPr>
        <w:t>Se toman en consideración</w:t>
      </w:r>
      <w:r w:rsidR="00DD28F7" w:rsidRPr="00C22DBA">
        <w:rPr>
          <w:i/>
          <w:iCs/>
          <w:sz w:val="23"/>
          <w:szCs w:val="23"/>
        </w:rPr>
        <w:t xml:space="preserve"> las operaciones crediticias directas </w:t>
      </w:r>
      <w:r w:rsidR="00D8055C" w:rsidRPr="00C22DBA">
        <w:rPr>
          <w:i/>
          <w:iCs/>
          <w:sz w:val="23"/>
          <w:szCs w:val="23"/>
        </w:rPr>
        <w:t xml:space="preserve">a que se refiere </w:t>
      </w:r>
      <w:r w:rsidRPr="00C22DBA">
        <w:rPr>
          <w:rFonts w:ascii="Cambria" w:hAnsi="Cambria"/>
          <w:i/>
          <w:iCs/>
          <w:sz w:val="23"/>
          <w:szCs w:val="23"/>
        </w:rPr>
        <w:t>el inciso a)</w:t>
      </w:r>
      <w:r w:rsidR="003D7679" w:rsidRPr="00C22DBA">
        <w:rPr>
          <w:i/>
          <w:iCs/>
          <w:sz w:val="23"/>
          <w:szCs w:val="23"/>
        </w:rPr>
        <w:t xml:space="preserve">.  </w:t>
      </w:r>
      <w:r w:rsidR="00DD28F7" w:rsidRPr="00C22DBA">
        <w:rPr>
          <w:i/>
          <w:iCs/>
          <w:sz w:val="23"/>
          <w:szCs w:val="23"/>
        </w:rPr>
        <w:t>Como resultado se obtiene el puntaje final del deudor como un valor entre uno y cinco.</w:t>
      </w:r>
    </w:p>
    <w:p w14:paraId="04C4F937" w14:textId="77777777" w:rsidR="00DD28F7" w:rsidRPr="00C22DBA" w:rsidRDefault="00DD28F7" w:rsidP="00DD28F7">
      <w:pPr>
        <w:pStyle w:val="Prrafodelista"/>
        <w:spacing w:before="240" w:after="240" w:line="240" w:lineRule="auto"/>
        <w:ind w:left="1134" w:right="0" w:firstLine="0"/>
        <w:rPr>
          <w:i/>
          <w:iCs/>
          <w:color w:val="auto"/>
          <w:sz w:val="23"/>
          <w:szCs w:val="23"/>
        </w:rPr>
      </w:pPr>
    </w:p>
    <w:p w14:paraId="22288EE4" w14:textId="71176047" w:rsidR="003D7679" w:rsidRPr="00C22DBA" w:rsidRDefault="003D7679" w:rsidP="00DD28F7">
      <w:pPr>
        <w:pStyle w:val="Prrafodelista"/>
        <w:numPr>
          <w:ilvl w:val="0"/>
          <w:numId w:val="6"/>
        </w:numPr>
        <w:spacing w:before="240" w:after="240" w:line="240" w:lineRule="auto"/>
        <w:ind w:left="1134" w:right="0" w:hanging="567"/>
        <w:rPr>
          <w:i/>
          <w:iCs/>
          <w:color w:val="auto"/>
          <w:sz w:val="23"/>
          <w:szCs w:val="23"/>
        </w:rPr>
      </w:pPr>
      <w:r w:rsidRPr="00C22DBA">
        <w:rPr>
          <w:rFonts w:ascii="Cambria" w:hAnsi="Cambria"/>
          <w:i/>
          <w:iCs/>
          <w:sz w:val="23"/>
          <w:szCs w:val="23"/>
        </w:rPr>
        <w:lastRenderedPageBreak/>
        <w:t>El</w:t>
      </w:r>
      <w:r w:rsidRPr="00C22DBA">
        <w:rPr>
          <w:i/>
          <w:iCs/>
          <w:color w:val="auto"/>
          <w:sz w:val="23"/>
          <w:szCs w:val="23"/>
        </w:rPr>
        <w:t xml:space="preserve"> </w:t>
      </w:r>
      <w:r w:rsidR="00DD28F7" w:rsidRPr="00C22DBA">
        <w:rPr>
          <w:i/>
          <w:iCs/>
          <w:color w:val="auto"/>
          <w:sz w:val="23"/>
          <w:szCs w:val="23"/>
        </w:rPr>
        <w:t xml:space="preserve">resultado obtenido en el inciso h) </w:t>
      </w:r>
      <w:r w:rsidRPr="00C22DBA">
        <w:rPr>
          <w:i/>
          <w:iCs/>
          <w:color w:val="auto"/>
          <w:sz w:val="23"/>
          <w:szCs w:val="23"/>
        </w:rPr>
        <w:t xml:space="preserve">determina el puntaje </w:t>
      </w:r>
      <w:r w:rsidR="00DD28F7" w:rsidRPr="00C22DBA">
        <w:rPr>
          <w:i/>
          <w:iCs/>
          <w:color w:val="auto"/>
          <w:sz w:val="23"/>
          <w:szCs w:val="23"/>
        </w:rPr>
        <w:t>final de Comportamiento de Pago Histórico del deudor</w:t>
      </w:r>
      <w:r w:rsidRPr="00C22DBA">
        <w:rPr>
          <w:i/>
          <w:iCs/>
          <w:color w:val="auto"/>
          <w:sz w:val="23"/>
          <w:szCs w:val="23"/>
        </w:rPr>
        <w:t xml:space="preserve">. </w:t>
      </w:r>
    </w:p>
    <w:p w14:paraId="1E758A95" w14:textId="77777777" w:rsidR="00DD28F7" w:rsidRPr="00C22DBA" w:rsidRDefault="00DD28F7" w:rsidP="00DD28F7">
      <w:pPr>
        <w:pStyle w:val="Prrafodelista"/>
        <w:rPr>
          <w:i/>
          <w:iCs/>
          <w:color w:val="auto"/>
          <w:sz w:val="23"/>
          <w:szCs w:val="23"/>
        </w:rPr>
      </w:pPr>
    </w:p>
    <w:p w14:paraId="5FBEEAB9" w14:textId="77777777" w:rsidR="003D7679" w:rsidRPr="00C22DBA" w:rsidRDefault="003D7679" w:rsidP="00557BEA">
      <w:pPr>
        <w:pStyle w:val="Prrafodelista"/>
        <w:numPr>
          <w:ilvl w:val="0"/>
          <w:numId w:val="7"/>
        </w:numPr>
        <w:spacing w:before="240" w:after="240" w:line="240" w:lineRule="auto"/>
        <w:ind w:left="567" w:right="0" w:hanging="577"/>
        <w:rPr>
          <w:rFonts w:ascii="Cambria" w:hAnsi="Cambria"/>
          <w:i/>
          <w:iCs/>
          <w:sz w:val="23"/>
          <w:szCs w:val="23"/>
        </w:rPr>
      </w:pPr>
      <w:r w:rsidRPr="00C22DBA">
        <w:rPr>
          <w:rFonts w:ascii="Cambria" w:hAnsi="Cambria"/>
          <w:b/>
          <w:i/>
          <w:iCs/>
          <w:sz w:val="23"/>
          <w:szCs w:val="23"/>
        </w:rPr>
        <w:t>Nivel de comportamiento de pago histórico según SUGEF</w:t>
      </w:r>
      <w:r w:rsidRPr="00C22DBA">
        <w:rPr>
          <w:rFonts w:ascii="Cambria" w:hAnsi="Cambria"/>
          <w:i/>
          <w:iCs/>
          <w:sz w:val="23"/>
          <w:szCs w:val="23"/>
        </w:rPr>
        <w:t xml:space="preserve"> </w:t>
      </w:r>
    </w:p>
    <w:p w14:paraId="3A3F9678" w14:textId="69246C73" w:rsidR="003D7679" w:rsidRPr="00C22DBA" w:rsidRDefault="003D7679" w:rsidP="00557BEA">
      <w:pPr>
        <w:spacing w:before="240" w:after="240" w:line="240" w:lineRule="auto"/>
        <w:ind w:firstLine="6"/>
        <w:contextualSpacing/>
        <w:rPr>
          <w:i/>
          <w:iCs/>
          <w:sz w:val="23"/>
          <w:szCs w:val="23"/>
        </w:rPr>
      </w:pPr>
      <w:r w:rsidRPr="00C22DBA">
        <w:rPr>
          <w:i/>
          <w:iCs/>
          <w:sz w:val="23"/>
          <w:szCs w:val="23"/>
        </w:rPr>
        <w:t xml:space="preserve">El puntaje final del deudor determina el NIVEL del </w:t>
      </w:r>
      <w:r w:rsidR="005C6AA6" w:rsidRPr="00C22DBA">
        <w:rPr>
          <w:i/>
          <w:iCs/>
          <w:sz w:val="23"/>
          <w:szCs w:val="23"/>
        </w:rPr>
        <w:t>C</w:t>
      </w:r>
      <w:r w:rsidRPr="00C22DBA">
        <w:rPr>
          <w:i/>
          <w:iCs/>
          <w:sz w:val="23"/>
          <w:szCs w:val="23"/>
        </w:rPr>
        <w:t xml:space="preserve">omportamiento de </w:t>
      </w:r>
      <w:r w:rsidR="005C6AA6" w:rsidRPr="00C22DBA">
        <w:rPr>
          <w:i/>
          <w:iCs/>
          <w:sz w:val="23"/>
          <w:szCs w:val="23"/>
        </w:rPr>
        <w:t>P</w:t>
      </w:r>
      <w:r w:rsidRPr="00C22DBA">
        <w:rPr>
          <w:i/>
          <w:iCs/>
          <w:sz w:val="23"/>
          <w:szCs w:val="23"/>
        </w:rPr>
        <w:t xml:space="preserve">ago </w:t>
      </w:r>
      <w:r w:rsidR="005C6AA6" w:rsidRPr="00C22DBA">
        <w:rPr>
          <w:i/>
          <w:iCs/>
          <w:sz w:val="23"/>
          <w:szCs w:val="23"/>
        </w:rPr>
        <w:t>H</w:t>
      </w:r>
      <w:r w:rsidRPr="00C22DBA">
        <w:rPr>
          <w:i/>
          <w:iCs/>
          <w:sz w:val="23"/>
          <w:szCs w:val="23"/>
        </w:rPr>
        <w:t xml:space="preserve">istórico según el siguiente cuadro: </w:t>
      </w:r>
    </w:p>
    <w:tbl>
      <w:tblPr>
        <w:tblStyle w:val="TableGrid"/>
        <w:tblW w:w="4961" w:type="dxa"/>
        <w:jc w:val="center"/>
        <w:tblInd w:w="0" w:type="dxa"/>
        <w:tblCellMar>
          <w:left w:w="107" w:type="dxa"/>
          <w:right w:w="73" w:type="dxa"/>
        </w:tblCellMar>
        <w:tblLook w:val="04A0" w:firstRow="1" w:lastRow="0" w:firstColumn="1" w:lastColumn="0" w:noHBand="0" w:noVBand="1"/>
      </w:tblPr>
      <w:tblGrid>
        <w:gridCol w:w="850"/>
        <w:gridCol w:w="4111"/>
      </w:tblGrid>
      <w:tr w:rsidR="003D7679" w:rsidRPr="00C22DBA" w14:paraId="4D6A78B0" w14:textId="77777777" w:rsidTr="001D3FA9">
        <w:trPr>
          <w:trHeight w:val="2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347C5C93" w14:textId="77777777" w:rsidR="003D7679" w:rsidRPr="00C22DBA" w:rsidRDefault="003D7679" w:rsidP="00557BEA">
            <w:pPr>
              <w:spacing w:line="240" w:lineRule="auto"/>
              <w:contextualSpacing/>
              <w:rPr>
                <w:i/>
                <w:iCs/>
                <w:sz w:val="23"/>
                <w:szCs w:val="23"/>
              </w:rPr>
            </w:pPr>
            <w:r w:rsidRPr="00C22DBA">
              <w:rPr>
                <w:b/>
                <w:i/>
                <w:iCs/>
                <w:sz w:val="23"/>
                <w:szCs w:val="23"/>
              </w:rPr>
              <w:t>NIVEL</w:t>
            </w:r>
          </w:p>
        </w:tc>
        <w:tc>
          <w:tcPr>
            <w:tcW w:w="4111" w:type="dxa"/>
            <w:tcBorders>
              <w:top w:val="single" w:sz="4" w:space="0" w:color="000000"/>
              <w:left w:val="single" w:sz="4" w:space="0" w:color="000000"/>
              <w:bottom w:val="single" w:sz="4" w:space="0" w:color="000000"/>
              <w:right w:val="single" w:sz="4" w:space="0" w:color="000000"/>
            </w:tcBorders>
            <w:shd w:val="clear" w:color="auto" w:fill="E6E6E6"/>
          </w:tcPr>
          <w:p w14:paraId="21F84B38" w14:textId="77777777" w:rsidR="003D7679" w:rsidRPr="00C22DBA" w:rsidRDefault="003D7679" w:rsidP="00557BEA">
            <w:pPr>
              <w:spacing w:line="240" w:lineRule="auto"/>
              <w:contextualSpacing/>
              <w:rPr>
                <w:i/>
                <w:iCs/>
                <w:sz w:val="23"/>
                <w:szCs w:val="23"/>
              </w:rPr>
            </w:pPr>
            <w:r w:rsidRPr="00C22DBA">
              <w:rPr>
                <w:b/>
                <w:i/>
                <w:iCs/>
                <w:sz w:val="23"/>
                <w:szCs w:val="23"/>
              </w:rPr>
              <w:t>PUNTAJE FINAL</w:t>
            </w:r>
          </w:p>
        </w:tc>
      </w:tr>
      <w:tr w:rsidR="003D7679" w:rsidRPr="00C22DBA" w14:paraId="26E8995B" w14:textId="77777777" w:rsidTr="001D3FA9">
        <w:trPr>
          <w:trHeight w:val="286"/>
          <w:jc w:val="center"/>
        </w:trPr>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08A4CD82" w14:textId="77777777" w:rsidR="003D7679" w:rsidRPr="00C22DBA" w:rsidRDefault="003D7679" w:rsidP="00557BEA">
            <w:pPr>
              <w:spacing w:line="240" w:lineRule="auto"/>
              <w:contextualSpacing/>
              <w:rPr>
                <w:i/>
                <w:iCs/>
                <w:sz w:val="23"/>
                <w:szCs w:val="23"/>
              </w:rPr>
            </w:pPr>
            <w:r w:rsidRPr="00C22DBA">
              <w:rPr>
                <w:b/>
                <w:i/>
                <w:iCs/>
                <w:sz w:val="23"/>
                <w:szCs w:val="23"/>
              </w:rPr>
              <w:t>1</w:t>
            </w:r>
          </w:p>
        </w:tc>
        <w:tc>
          <w:tcPr>
            <w:tcW w:w="4111" w:type="dxa"/>
            <w:tcBorders>
              <w:top w:val="single" w:sz="4" w:space="0" w:color="000000"/>
              <w:left w:val="single" w:sz="4" w:space="0" w:color="000000"/>
              <w:bottom w:val="single" w:sz="4" w:space="0" w:color="000000"/>
              <w:right w:val="single" w:sz="4" w:space="0" w:color="000000"/>
            </w:tcBorders>
          </w:tcPr>
          <w:p w14:paraId="356CB856" w14:textId="77777777" w:rsidR="003D7679" w:rsidRPr="00C22DBA" w:rsidRDefault="003D7679" w:rsidP="00557BEA">
            <w:pPr>
              <w:spacing w:line="240" w:lineRule="auto"/>
              <w:contextualSpacing/>
              <w:rPr>
                <w:i/>
                <w:iCs/>
                <w:sz w:val="23"/>
                <w:szCs w:val="23"/>
              </w:rPr>
            </w:pPr>
            <w:r w:rsidRPr="00C22DBA">
              <w:rPr>
                <w:i/>
                <w:iCs/>
                <w:sz w:val="23"/>
                <w:szCs w:val="23"/>
              </w:rPr>
              <w:t xml:space="preserve">Igual o menor a 2,33 </w:t>
            </w:r>
          </w:p>
        </w:tc>
      </w:tr>
      <w:tr w:rsidR="003D7679" w:rsidRPr="00C22DBA" w14:paraId="657D6891" w14:textId="77777777" w:rsidTr="001D3FA9">
        <w:trPr>
          <w:trHeight w:val="286"/>
          <w:jc w:val="center"/>
        </w:trPr>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444FF0EE" w14:textId="77777777" w:rsidR="003D7679" w:rsidRPr="00C22DBA" w:rsidRDefault="003D7679" w:rsidP="00557BEA">
            <w:pPr>
              <w:spacing w:line="240" w:lineRule="auto"/>
              <w:contextualSpacing/>
              <w:rPr>
                <w:i/>
                <w:iCs/>
                <w:sz w:val="23"/>
                <w:szCs w:val="23"/>
              </w:rPr>
            </w:pPr>
            <w:r w:rsidRPr="00C22DBA">
              <w:rPr>
                <w:b/>
                <w:i/>
                <w:iCs/>
                <w:sz w:val="23"/>
                <w:szCs w:val="23"/>
              </w:rPr>
              <w:t>2</w:t>
            </w:r>
          </w:p>
        </w:tc>
        <w:tc>
          <w:tcPr>
            <w:tcW w:w="4111" w:type="dxa"/>
            <w:tcBorders>
              <w:top w:val="single" w:sz="4" w:space="0" w:color="000000"/>
              <w:left w:val="single" w:sz="4" w:space="0" w:color="000000"/>
              <w:bottom w:val="single" w:sz="4" w:space="0" w:color="000000"/>
              <w:right w:val="single" w:sz="4" w:space="0" w:color="000000"/>
            </w:tcBorders>
          </w:tcPr>
          <w:p w14:paraId="49DAAF21" w14:textId="77777777" w:rsidR="003D7679" w:rsidRPr="00C22DBA" w:rsidRDefault="003D7679" w:rsidP="00557BEA">
            <w:pPr>
              <w:spacing w:line="240" w:lineRule="auto"/>
              <w:contextualSpacing/>
              <w:rPr>
                <w:i/>
                <w:iCs/>
                <w:sz w:val="23"/>
                <w:szCs w:val="23"/>
              </w:rPr>
            </w:pPr>
            <w:r w:rsidRPr="00C22DBA">
              <w:rPr>
                <w:i/>
                <w:iCs/>
                <w:sz w:val="23"/>
                <w:szCs w:val="23"/>
              </w:rPr>
              <w:t xml:space="preserve">Mayor a 2,33 e igual o menor a 3,66 </w:t>
            </w:r>
          </w:p>
        </w:tc>
      </w:tr>
      <w:tr w:rsidR="003D7679" w:rsidRPr="00C22DBA" w14:paraId="0932701B" w14:textId="77777777" w:rsidTr="001D3FA9">
        <w:trPr>
          <w:trHeight w:val="2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17216BE1" w14:textId="77777777" w:rsidR="003D7679" w:rsidRPr="00C22DBA" w:rsidRDefault="003D7679" w:rsidP="00557BEA">
            <w:pPr>
              <w:spacing w:line="240" w:lineRule="auto"/>
              <w:contextualSpacing/>
              <w:rPr>
                <w:i/>
                <w:iCs/>
                <w:sz w:val="23"/>
                <w:szCs w:val="23"/>
              </w:rPr>
            </w:pPr>
            <w:r w:rsidRPr="00C22DBA">
              <w:rPr>
                <w:b/>
                <w:i/>
                <w:iCs/>
                <w:sz w:val="23"/>
                <w:szCs w:val="23"/>
              </w:rPr>
              <w:t>3</w:t>
            </w:r>
          </w:p>
        </w:tc>
        <w:tc>
          <w:tcPr>
            <w:tcW w:w="4111" w:type="dxa"/>
            <w:tcBorders>
              <w:top w:val="single" w:sz="4" w:space="0" w:color="000000"/>
              <w:left w:val="single" w:sz="4" w:space="0" w:color="000000"/>
              <w:bottom w:val="single" w:sz="4" w:space="0" w:color="000000"/>
              <w:right w:val="single" w:sz="4" w:space="0" w:color="000000"/>
            </w:tcBorders>
          </w:tcPr>
          <w:p w14:paraId="78344B1C" w14:textId="77777777" w:rsidR="003D7679" w:rsidRPr="00C22DBA" w:rsidRDefault="003D7679" w:rsidP="00557BEA">
            <w:pPr>
              <w:spacing w:line="240" w:lineRule="auto"/>
              <w:contextualSpacing/>
              <w:rPr>
                <w:i/>
                <w:iCs/>
                <w:sz w:val="23"/>
                <w:szCs w:val="23"/>
              </w:rPr>
            </w:pPr>
            <w:r w:rsidRPr="00C22DBA">
              <w:rPr>
                <w:i/>
                <w:iCs/>
                <w:sz w:val="23"/>
                <w:szCs w:val="23"/>
              </w:rPr>
              <w:t xml:space="preserve">Mayor a 3,66 </w:t>
            </w:r>
          </w:p>
        </w:tc>
      </w:tr>
    </w:tbl>
    <w:p w14:paraId="3AD01A34" w14:textId="77777777" w:rsidR="0060235B" w:rsidRPr="00C22DBA" w:rsidRDefault="0060235B" w:rsidP="00557BEA">
      <w:pPr>
        <w:spacing w:before="240" w:after="240" w:line="240" w:lineRule="auto"/>
        <w:ind w:firstLine="6"/>
        <w:contextualSpacing/>
        <w:rPr>
          <w:i/>
          <w:iCs/>
          <w:sz w:val="23"/>
          <w:szCs w:val="23"/>
        </w:rPr>
      </w:pPr>
    </w:p>
    <w:p w14:paraId="6F0363E5" w14:textId="5C8A1F32" w:rsidR="003D7679" w:rsidRPr="00C22DBA" w:rsidRDefault="003D7679" w:rsidP="00557BEA">
      <w:pPr>
        <w:spacing w:before="240" w:after="240" w:line="240" w:lineRule="auto"/>
        <w:ind w:firstLine="6"/>
        <w:contextualSpacing/>
        <w:rPr>
          <w:i/>
          <w:iCs/>
          <w:sz w:val="23"/>
          <w:szCs w:val="23"/>
        </w:rPr>
      </w:pPr>
      <w:r w:rsidRPr="00C22DBA">
        <w:rPr>
          <w:i/>
          <w:iCs/>
          <w:sz w:val="23"/>
          <w:szCs w:val="23"/>
        </w:rPr>
        <w:t xml:space="preserve">A los deudores para los cuales no existe información crediticia en el Centro de Información Crediticia de la SUGEF, se </w:t>
      </w:r>
      <w:proofErr w:type="gramStart"/>
      <w:r w:rsidRPr="00C22DBA">
        <w:rPr>
          <w:i/>
          <w:iCs/>
          <w:sz w:val="23"/>
          <w:szCs w:val="23"/>
        </w:rPr>
        <w:t>les</w:t>
      </w:r>
      <w:proofErr w:type="gramEnd"/>
      <w:r w:rsidRPr="00C22DBA">
        <w:rPr>
          <w:i/>
          <w:iCs/>
          <w:sz w:val="23"/>
          <w:szCs w:val="23"/>
        </w:rPr>
        <w:t xml:space="preserve"> asigna un puntaje final igual a cero y se clasifican en el NIVEL 1 de comportamiento de pago histórico.  </w:t>
      </w:r>
    </w:p>
    <w:p w14:paraId="39DBA6FE" w14:textId="77777777" w:rsidR="0060235B" w:rsidRPr="00C22DBA" w:rsidRDefault="0060235B" w:rsidP="00557BEA">
      <w:pPr>
        <w:spacing w:before="240" w:after="240" w:line="240" w:lineRule="auto"/>
        <w:ind w:firstLine="6"/>
        <w:contextualSpacing/>
        <w:rPr>
          <w:i/>
          <w:iCs/>
          <w:sz w:val="23"/>
          <w:szCs w:val="23"/>
        </w:rPr>
      </w:pPr>
    </w:p>
    <w:p w14:paraId="701C28D9" w14:textId="77777777" w:rsidR="003D7679" w:rsidRPr="00C22DBA" w:rsidRDefault="003D7679" w:rsidP="00557BEA">
      <w:pPr>
        <w:spacing w:before="240" w:after="240" w:line="240" w:lineRule="auto"/>
        <w:contextualSpacing/>
        <w:rPr>
          <w:i/>
          <w:iCs/>
          <w:sz w:val="23"/>
          <w:szCs w:val="23"/>
        </w:rPr>
      </w:pPr>
      <w:r w:rsidRPr="00C22DBA">
        <w:rPr>
          <w:i/>
          <w:iCs/>
          <w:sz w:val="23"/>
          <w:szCs w:val="23"/>
        </w:rPr>
        <w:t xml:space="preserve">El nivel obtenido por el deudor representa la clasificación del deudor en relación con su comportamiento de pago histórico según SUGEF. La entidad puede clasificar el comportamiento de pago histórico del deudor en el mismo Nivel que la SUGEF o en un Nivel de mayor riesgo. </w:t>
      </w:r>
    </w:p>
    <w:p w14:paraId="0357F2F7" w14:textId="77777777" w:rsidR="003D7679" w:rsidRPr="00C22DBA" w:rsidRDefault="003D7679" w:rsidP="00557BEA">
      <w:pPr>
        <w:pStyle w:val="Prrafodelista"/>
        <w:numPr>
          <w:ilvl w:val="0"/>
          <w:numId w:val="7"/>
        </w:numPr>
        <w:spacing w:before="240" w:after="240" w:line="240" w:lineRule="auto"/>
        <w:ind w:left="567" w:right="0" w:hanging="567"/>
        <w:rPr>
          <w:rFonts w:ascii="Cambria" w:hAnsi="Cambria"/>
          <w:i/>
          <w:iCs/>
          <w:sz w:val="23"/>
          <w:szCs w:val="23"/>
        </w:rPr>
      </w:pPr>
      <w:r w:rsidRPr="00C22DBA">
        <w:rPr>
          <w:rFonts w:ascii="Cambria" w:hAnsi="Cambria"/>
          <w:b/>
          <w:i/>
          <w:iCs/>
          <w:sz w:val="23"/>
          <w:szCs w:val="23"/>
        </w:rPr>
        <w:t>Clasificación directa en NIVEL 3</w:t>
      </w:r>
    </w:p>
    <w:p w14:paraId="60109105" w14:textId="77777777" w:rsidR="003D7679" w:rsidRPr="00C22DBA" w:rsidRDefault="003D7679" w:rsidP="00557BEA">
      <w:pPr>
        <w:spacing w:before="240" w:after="240" w:line="240" w:lineRule="auto"/>
        <w:contextualSpacing/>
        <w:rPr>
          <w:i/>
          <w:iCs/>
          <w:sz w:val="23"/>
          <w:szCs w:val="23"/>
        </w:rPr>
      </w:pPr>
      <w:r w:rsidRPr="00C22DBA">
        <w:rPr>
          <w:i/>
          <w:iCs/>
          <w:sz w:val="23"/>
          <w:szCs w:val="23"/>
        </w:rPr>
        <w:t>Independientemente del puntaje final del deudor, el comportamiento de pago histórico de un deudor es clasificado en NIVEL 3 cuando durante el periodo de evaluación el deudor, en relación con al menos una operación directa, haya sido cancelada su obligación, total o parcialmente, como producto de un proceso de cobro judicial; o haya sido asumida formalmente por un fiador o avalista. En esos dos casos el comportamiento de pago histórico de un deudor se calificará en Nivel 3 por 24 meses; posterior a ese periodo, el CPH estará definido por el valor del puntaje final.'</w:t>
      </w:r>
    </w:p>
    <w:p w14:paraId="76985BDB" w14:textId="77777777" w:rsidR="003D7679" w:rsidRPr="00C22DBA" w:rsidRDefault="003D7679" w:rsidP="00557BEA">
      <w:pPr>
        <w:spacing w:before="240" w:after="240" w:line="240" w:lineRule="auto"/>
        <w:contextualSpacing/>
        <w:rPr>
          <w:sz w:val="23"/>
          <w:szCs w:val="23"/>
        </w:rPr>
      </w:pPr>
    </w:p>
    <w:p w14:paraId="4E08E81A" w14:textId="73786D34" w:rsidR="003D7679" w:rsidRPr="00C22DBA" w:rsidRDefault="003D7679" w:rsidP="00557BEA">
      <w:pPr>
        <w:spacing w:after="120" w:line="240" w:lineRule="auto"/>
        <w:contextualSpacing/>
        <w:rPr>
          <w:sz w:val="23"/>
          <w:szCs w:val="23"/>
        </w:rPr>
      </w:pPr>
      <w:r w:rsidRPr="00C22DBA">
        <w:rPr>
          <w:i/>
          <w:iCs/>
          <w:sz w:val="23"/>
          <w:szCs w:val="23"/>
        </w:rPr>
        <w:t>Rige a partir de su comunicación.</w:t>
      </w:r>
      <w:r w:rsidR="0060235B" w:rsidRPr="00C22DBA">
        <w:rPr>
          <w:sz w:val="23"/>
          <w:szCs w:val="23"/>
        </w:rPr>
        <w:t>”</w:t>
      </w:r>
    </w:p>
    <w:p w14:paraId="7F275516" w14:textId="77777777" w:rsidR="003D7679" w:rsidRPr="00C22DBA" w:rsidRDefault="003D7679" w:rsidP="00557BEA">
      <w:pPr>
        <w:pStyle w:val="Texto"/>
        <w:spacing w:before="0" w:after="0" w:line="240" w:lineRule="auto"/>
        <w:contextualSpacing/>
        <w:rPr>
          <w:sz w:val="23"/>
          <w:szCs w:val="23"/>
        </w:rPr>
      </w:pPr>
    </w:p>
    <w:p w14:paraId="67CC606F" w14:textId="7549672A" w:rsidR="00181ABF" w:rsidRPr="00C22DBA" w:rsidRDefault="00181ABF" w:rsidP="00557BEA">
      <w:pPr>
        <w:pStyle w:val="Texto"/>
        <w:spacing w:before="0" w:after="0" w:line="240" w:lineRule="auto"/>
        <w:contextualSpacing/>
        <w:rPr>
          <w:sz w:val="23"/>
          <w:szCs w:val="23"/>
        </w:rPr>
      </w:pPr>
      <w:r w:rsidRPr="00C22DBA">
        <w:rPr>
          <w:sz w:val="23"/>
          <w:szCs w:val="23"/>
        </w:rPr>
        <w:t>Atentamente,</w:t>
      </w:r>
    </w:p>
    <w:p w14:paraId="6525331A" w14:textId="1C07B052" w:rsidR="0060235B" w:rsidRPr="00C22DBA" w:rsidRDefault="0060235B" w:rsidP="00557BEA">
      <w:pPr>
        <w:pStyle w:val="Texto"/>
        <w:spacing w:before="0" w:after="0" w:line="240" w:lineRule="auto"/>
        <w:contextualSpacing/>
        <w:rPr>
          <w:sz w:val="23"/>
          <w:szCs w:val="23"/>
        </w:rPr>
      </w:pPr>
      <w:r w:rsidRPr="00C22DBA">
        <w:rPr>
          <w:noProof/>
          <w:sz w:val="23"/>
          <w:szCs w:val="23"/>
          <w:lang w:val="es-CR" w:eastAsia="es-CR"/>
        </w:rPr>
        <w:drawing>
          <wp:anchor distT="0" distB="0" distL="114300" distR="114300" simplePos="0" relativeHeight="251659264" behindDoc="1" locked="0" layoutInCell="1" allowOverlap="1" wp14:anchorId="1B07D7FC" wp14:editId="62B1B8A8">
            <wp:simplePos x="0" y="0"/>
            <wp:positionH relativeFrom="column">
              <wp:posOffset>-163830</wp:posOffset>
            </wp:positionH>
            <wp:positionV relativeFrom="paragraph">
              <wp:posOffset>111684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69C835A" w14:textId="24E1C3C3" w:rsidR="00181ABF" w:rsidRPr="00C22DBA" w:rsidRDefault="00181ABF" w:rsidP="00557BEA">
      <w:pPr>
        <w:spacing w:line="240" w:lineRule="auto"/>
        <w:contextualSpacing/>
        <w:rPr>
          <w:sz w:val="23"/>
          <w:szCs w:val="23"/>
        </w:rPr>
      </w:pPr>
    </w:p>
    <w:p w14:paraId="5D67E54A" w14:textId="2E5389BC" w:rsidR="00181ABF" w:rsidRPr="00C22DBA" w:rsidRDefault="00181ABF" w:rsidP="00557BEA">
      <w:pPr>
        <w:spacing w:line="240" w:lineRule="auto"/>
        <w:contextualSpacing/>
        <w:rPr>
          <w:sz w:val="23"/>
          <w:szCs w:val="23"/>
        </w:rPr>
      </w:pPr>
    </w:p>
    <w:p w14:paraId="75D440AA" w14:textId="27B91352" w:rsidR="00181ABF" w:rsidRPr="00C22DBA" w:rsidRDefault="00181ABF" w:rsidP="00557BEA">
      <w:pPr>
        <w:spacing w:after="160" w:line="240" w:lineRule="auto"/>
        <w:contextualSpacing/>
        <w:jc w:val="left"/>
        <w:rPr>
          <w:sz w:val="23"/>
          <w:szCs w:val="23"/>
        </w:rPr>
      </w:pPr>
      <w:bookmarkStart w:id="2" w:name="_Hlk53758837"/>
      <w:r w:rsidRPr="00C22DBA">
        <w:rPr>
          <w:sz w:val="23"/>
          <w:szCs w:val="23"/>
        </w:rPr>
        <w:t>Rocío Aguilar Montoya</w:t>
      </w:r>
      <w:r w:rsidRPr="00C22DBA">
        <w:rPr>
          <w:sz w:val="23"/>
          <w:szCs w:val="23"/>
        </w:rPr>
        <w:br/>
      </w:r>
      <w:r w:rsidRPr="00C22DBA">
        <w:rPr>
          <w:b/>
          <w:bCs/>
          <w:sz w:val="23"/>
          <w:szCs w:val="23"/>
        </w:rPr>
        <w:t>Superintendente General</w:t>
      </w:r>
    </w:p>
    <w:bookmarkEnd w:id="2"/>
    <w:p w14:paraId="6AC1B277" w14:textId="29303A34" w:rsidR="00181ABF" w:rsidRPr="00C22DBA" w:rsidRDefault="00181ABF" w:rsidP="00557BEA">
      <w:pPr>
        <w:pStyle w:val="Negrita"/>
        <w:spacing w:line="240" w:lineRule="auto"/>
        <w:contextualSpacing/>
        <w:jc w:val="left"/>
        <w:rPr>
          <w:b w:val="0"/>
          <w:sz w:val="23"/>
          <w:szCs w:val="23"/>
        </w:rPr>
      </w:pPr>
    </w:p>
    <w:p w14:paraId="37772305" w14:textId="5B267A13" w:rsidR="00181ABF" w:rsidRPr="00C22DBA" w:rsidRDefault="0060235B" w:rsidP="00557BEA">
      <w:pPr>
        <w:pStyle w:val="Negrita"/>
        <w:spacing w:line="240" w:lineRule="auto"/>
        <w:contextualSpacing/>
        <w:rPr>
          <w:sz w:val="23"/>
          <w:szCs w:val="23"/>
        </w:rPr>
      </w:pPr>
      <w:r w:rsidRPr="00C22DBA">
        <w:rPr>
          <w:sz w:val="23"/>
          <w:szCs w:val="23"/>
        </w:rPr>
        <w:t>JSC/GAA/</w:t>
      </w:r>
      <w:proofErr w:type="spellStart"/>
      <w:r w:rsidRPr="00C22DBA">
        <w:rPr>
          <w:sz w:val="23"/>
          <w:szCs w:val="23"/>
        </w:rPr>
        <w:t>gvl</w:t>
      </w:r>
      <w:proofErr w:type="spellEnd"/>
      <w:r w:rsidRPr="00C22DBA">
        <w:rPr>
          <w:sz w:val="23"/>
          <w:szCs w:val="23"/>
        </w:rPr>
        <w:t>*</w:t>
      </w:r>
    </w:p>
    <w:sectPr w:rsidR="00181ABF" w:rsidRPr="00C22DBA">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DB7" w14:textId="77777777" w:rsidR="0066435D" w:rsidRDefault="0066435D" w:rsidP="00181ABF">
      <w:pPr>
        <w:spacing w:line="240" w:lineRule="auto"/>
      </w:pPr>
      <w:r>
        <w:separator/>
      </w:r>
    </w:p>
  </w:endnote>
  <w:endnote w:type="continuationSeparator" w:id="0">
    <w:p w14:paraId="7D2D3766" w14:textId="77777777" w:rsidR="0066435D" w:rsidRDefault="0066435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550C" w14:textId="77777777" w:rsidR="005E4CFF" w:rsidRDefault="005E4C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33C24354" w14:textId="77777777" w:rsidTr="00123A91">
      <w:tc>
        <w:tcPr>
          <w:tcW w:w="2942" w:type="dxa"/>
        </w:tcPr>
        <w:p w14:paraId="5D8CC8D1" w14:textId="77777777" w:rsidR="00181ABF" w:rsidRDefault="00181ABF" w:rsidP="00181ABF">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14:paraId="7D00EF43"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27E7C86A" w14:textId="77777777" w:rsidR="00181ABF" w:rsidRPr="009349F3" w:rsidRDefault="00181ABF" w:rsidP="00181ABF">
          <w:pPr>
            <w:pStyle w:val="Piedepgina"/>
            <w:rPr>
              <w:b/>
              <w:color w:val="7F7F7F" w:themeColor="text1" w:themeTint="80"/>
              <w:sz w:val="16"/>
              <w:szCs w:val="16"/>
            </w:rPr>
          </w:pPr>
        </w:p>
      </w:tc>
      <w:tc>
        <w:tcPr>
          <w:tcW w:w="2943" w:type="dxa"/>
        </w:tcPr>
        <w:p w14:paraId="020053B8"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19858B6"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2C903808"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3E9DBEBD"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CDFD" w14:textId="77777777" w:rsidR="005E4CFF" w:rsidRDefault="005E4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4BBC" w14:textId="77777777" w:rsidR="0066435D" w:rsidRDefault="0066435D" w:rsidP="00181ABF">
      <w:pPr>
        <w:spacing w:line="240" w:lineRule="auto"/>
      </w:pPr>
      <w:r>
        <w:separator/>
      </w:r>
    </w:p>
  </w:footnote>
  <w:footnote w:type="continuationSeparator" w:id="0">
    <w:p w14:paraId="79F95863" w14:textId="77777777" w:rsidR="0066435D" w:rsidRDefault="0066435D" w:rsidP="00181ABF">
      <w:pPr>
        <w:spacing w:line="240" w:lineRule="auto"/>
      </w:pPr>
      <w:r>
        <w:continuationSeparator/>
      </w:r>
    </w:p>
  </w:footnote>
  <w:footnote w:id="1">
    <w:p w14:paraId="2784049B" w14:textId="77777777" w:rsidR="00DD28F7" w:rsidRPr="00834010" w:rsidRDefault="00DD28F7" w:rsidP="00E965F2">
      <w:pPr>
        <w:pStyle w:val="Textonotapie"/>
        <w:jc w:val="both"/>
        <w:rPr>
          <w:lang w:val="es-419"/>
        </w:rPr>
      </w:pPr>
      <w:r>
        <w:rPr>
          <w:rStyle w:val="Refdenotaalpie"/>
        </w:rPr>
        <w:footnoteRef/>
      </w:r>
      <w:r>
        <w:t xml:space="preserve"> </w:t>
      </w:r>
      <w:r w:rsidRPr="003639A4">
        <w:rPr>
          <w:i/>
          <w:lang w:val="es-MX"/>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w:t>
      </w:r>
      <w:r>
        <w:rPr>
          <w:i/>
          <w:lang w:val="es-MX"/>
        </w:rPr>
        <w:t> </w:t>
      </w:r>
      <w:r w:rsidRPr="003639A4">
        <w:rPr>
          <w:i/>
          <w:lang w:val="es-MX"/>
        </w:rPr>
        <w:t>743</w:t>
      </w:r>
      <w:r>
        <w:rPr>
          <w:i/>
          <w:lang w:val="es-MX"/>
        </w:rPr>
        <w:t>.</w:t>
      </w:r>
    </w:p>
  </w:footnote>
  <w:footnote w:id="2">
    <w:p w14:paraId="71C01F57" w14:textId="0E6820ED" w:rsidR="00E965F2" w:rsidRDefault="00E965F2" w:rsidP="00E965F2">
      <w:pPr>
        <w:pStyle w:val="Textonotapie"/>
        <w:jc w:val="both"/>
      </w:pPr>
      <w:r>
        <w:rPr>
          <w:rStyle w:val="Refdenotaalpie"/>
        </w:rPr>
        <w:footnoteRef/>
      </w:r>
      <w:r>
        <w:t xml:space="preserve"> Se define morosidad como: El mayor número de días de atraso en el pago de principal, intereses, otros productos y cuentas por cobrar asociados a la operación crediticia, contados a partir del primer día de atraso, que presenta el deudor en la atención de sus operaciones crediticias en la entidad a una fecha determinada según las condiciones contractuales de pago.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8E80" w14:textId="77777777" w:rsidR="005E4CFF" w:rsidRDefault="005E4C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3E93" w14:textId="77777777" w:rsidR="00181ABF" w:rsidRDefault="00181ABF">
    <w:pPr>
      <w:pStyle w:val="Encabezado"/>
    </w:pPr>
  </w:p>
  <w:p w14:paraId="74BA8057" w14:textId="77777777" w:rsidR="00181ABF" w:rsidRDefault="00181ABF" w:rsidP="00181ABF">
    <w:pPr>
      <w:pStyle w:val="Encabezado"/>
      <w:jc w:val="center"/>
    </w:pPr>
    <w:r>
      <w:rPr>
        <w:noProof/>
        <w:lang w:val="es-CR" w:eastAsia="es-CR"/>
      </w:rPr>
      <w:drawing>
        <wp:inline distT="0" distB="0" distL="0" distR="0" wp14:anchorId="276EA8CF" wp14:editId="5B4ED9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7A5" w14:textId="77777777" w:rsidR="005E4CFF" w:rsidRDefault="005E4C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3" w15:restartNumberingAfterBreak="0">
    <w:nsid w:val="4D1137DE"/>
    <w:multiLevelType w:val="hybridMultilevel"/>
    <w:tmpl w:val="A03CBC98"/>
    <w:lvl w:ilvl="0" w:tplc="B9B26FBA">
      <w:start w:val="1"/>
      <w:numFmt w:val="upperRoman"/>
      <w:lvlText w:val="%1."/>
      <w:lvlJc w:val="right"/>
      <w:pPr>
        <w:ind w:left="851" w:hanging="360"/>
      </w:pPr>
      <w:rPr>
        <w:rFonts w:hint="default"/>
        <w:b w:val="0"/>
        <w:i w:val="0"/>
        <w:strike w:val="0"/>
        <w:dstrike w:val="0"/>
        <w:color w:val="auto"/>
        <w:sz w:val="24"/>
        <w:szCs w:val="20"/>
        <w:u w:val="none" w:color="000000"/>
        <w:vertAlign w:val="baseline"/>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A4607FD"/>
    <w:multiLevelType w:val="hybridMultilevel"/>
    <w:tmpl w:val="CB4497F4"/>
    <w:lvl w:ilvl="0" w:tplc="9DB005BE">
      <w:start w:val="1"/>
      <w:numFmt w:val="upperLetter"/>
      <w:lvlText w:val="%1."/>
      <w:lvlJc w:val="left"/>
      <w:pPr>
        <w:ind w:left="350" w:hanging="360"/>
      </w:pPr>
      <w:rPr>
        <w:rFonts w:hint="default"/>
        <w:b/>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6"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F135019"/>
    <w:multiLevelType w:val="hybridMultilevel"/>
    <w:tmpl w:val="1902B32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034C1"/>
    <w:rsid w:val="000202E3"/>
    <w:rsid w:val="00123FA8"/>
    <w:rsid w:val="00181ABF"/>
    <w:rsid w:val="001A6C69"/>
    <w:rsid w:val="001B37A8"/>
    <w:rsid w:val="003172BE"/>
    <w:rsid w:val="0034361C"/>
    <w:rsid w:val="003739B0"/>
    <w:rsid w:val="003D7679"/>
    <w:rsid w:val="00427E00"/>
    <w:rsid w:val="00463958"/>
    <w:rsid w:val="00557BEA"/>
    <w:rsid w:val="005C6AA6"/>
    <w:rsid w:val="005E4CFF"/>
    <w:rsid w:val="0060235B"/>
    <w:rsid w:val="00633340"/>
    <w:rsid w:val="00661C89"/>
    <w:rsid w:val="0066435D"/>
    <w:rsid w:val="007D448F"/>
    <w:rsid w:val="00937EF0"/>
    <w:rsid w:val="009E7832"/>
    <w:rsid w:val="00B34A38"/>
    <w:rsid w:val="00B7201B"/>
    <w:rsid w:val="00BF3EA3"/>
    <w:rsid w:val="00C22DBA"/>
    <w:rsid w:val="00D2422E"/>
    <w:rsid w:val="00D8055C"/>
    <w:rsid w:val="00D90222"/>
    <w:rsid w:val="00DB552F"/>
    <w:rsid w:val="00DD28F7"/>
    <w:rsid w:val="00E3615A"/>
    <w:rsid w:val="00E40B40"/>
    <w:rsid w:val="00E42AAC"/>
    <w:rsid w:val="00E965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7783"/>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3D7679"/>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3D7679"/>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3D7679"/>
    <w:rPr>
      <w:rFonts w:ascii="Times New Roman" w:eastAsia="Times New Roman" w:hAnsi="Times New Roman" w:cs="Times New Roman"/>
      <w:color w:val="000000"/>
      <w:sz w:val="24"/>
      <w:lang w:val="es-ES" w:eastAsia="es-ES"/>
    </w:rPr>
  </w:style>
  <w:style w:type="paragraph" w:styleId="Textonotapie">
    <w:name w:val="footnote text"/>
    <w:aliases w:val="Car1"/>
    <w:basedOn w:val="Normal"/>
    <w:link w:val="TextonotapieCar"/>
    <w:uiPriority w:val="99"/>
    <w:unhideWhenUsed/>
    <w:rsid w:val="003D7679"/>
    <w:pPr>
      <w:spacing w:line="240" w:lineRule="auto"/>
      <w:jc w:val="center"/>
    </w:pPr>
    <w:rPr>
      <w:rFonts w:ascii="Times New Roman" w:hAnsi="Times New Roman"/>
      <w:sz w:val="20"/>
      <w:szCs w:val="20"/>
      <w:lang w:val="es-CR" w:eastAsia="es-ES"/>
    </w:rPr>
  </w:style>
  <w:style w:type="character" w:customStyle="1" w:styleId="TextonotapieCar">
    <w:name w:val="Texto nota pie Car"/>
    <w:aliases w:val="Car1 Car"/>
    <w:basedOn w:val="Fuentedeprrafopredeter"/>
    <w:link w:val="Textonotapie"/>
    <w:uiPriority w:val="99"/>
    <w:rsid w:val="003D7679"/>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3D7679"/>
    <w:rPr>
      <w:vertAlign w:val="superscript"/>
    </w:rPr>
  </w:style>
  <w:style w:type="character" w:styleId="Hipervnculo">
    <w:name w:val="Hyperlink"/>
    <w:uiPriority w:val="99"/>
    <w:unhideWhenUsed/>
    <w:rsid w:val="003D7679"/>
    <w:rPr>
      <w:color w:val="4F81BD"/>
      <w:u w:val="single"/>
    </w:rPr>
  </w:style>
  <w:style w:type="character" w:styleId="Hipervnculovisitado">
    <w:name w:val="FollowedHyperlink"/>
    <w:basedOn w:val="Fuentedeprrafopredeter"/>
    <w:uiPriority w:val="99"/>
    <w:semiHidden/>
    <w:unhideWhenUsed/>
    <w:rsid w:val="00602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normativaenconsulta@sugef.fi.c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ugef.fi.cr/normativa/Formularios%20Normativa%20en%20Consulta.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
      <w:docPartPr>
        <w:name w:val="E1865FB544CE42D28317BE335135FB1F"/>
        <w:category>
          <w:name w:val="General"/>
          <w:gallery w:val="placeholder"/>
        </w:category>
        <w:types>
          <w:type w:val="bbPlcHdr"/>
        </w:types>
        <w:behaviors>
          <w:behavior w:val="content"/>
        </w:behaviors>
        <w:guid w:val="{CF3F011E-5D67-4457-81EB-ADDF8DA02F95}"/>
      </w:docPartPr>
      <w:docPartBody>
        <w:p w:rsidR="00EB086F" w:rsidRDefault="00EE4E45" w:rsidP="00EE4E45">
          <w:pPr>
            <w:pStyle w:val="E1865FB544CE42D28317BE335135FB1F"/>
          </w:pPr>
          <w:r w:rsidRPr="001E0779">
            <w:rPr>
              <w:rStyle w:val="Textodelmarcadordeposicin"/>
            </w:rPr>
            <w:t>Haga clic aquí para escribir texto.</w:t>
          </w:r>
        </w:p>
      </w:docPartBody>
    </w:docPart>
    <w:docPart>
      <w:docPartPr>
        <w:name w:val="62665104B15444DEB1199C84936A197E"/>
        <w:category>
          <w:name w:val="General"/>
          <w:gallery w:val="placeholder"/>
        </w:category>
        <w:types>
          <w:type w:val="bbPlcHdr"/>
        </w:types>
        <w:behaviors>
          <w:behavior w:val="content"/>
        </w:behaviors>
        <w:guid w:val="{D3F145A1-858A-4061-B113-F5C454EA92D3}"/>
      </w:docPartPr>
      <w:docPartBody>
        <w:p w:rsidR="00EB086F" w:rsidRDefault="00EE4E45" w:rsidP="00EE4E45">
          <w:pPr>
            <w:pStyle w:val="62665104B15444DEB1199C84936A197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EB086F"/>
    <w:rsid w:val="00EE4E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4E45"/>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 w:type="paragraph" w:customStyle="1" w:styleId="E1865FB544CE42D28317BE335135FB1F">
    <w:name w:val="E1865FB544CE42D28317BE335135FB1F"/>
    <w:rsid w:val="00EE4E45"/>
  </w:style>
  <w:style w:type="paragraph" w:customStyle="1" w:styleId="62665104B15444DEB1199C84936A197E">
    <w:name w:val="62665104B15444DEB1199C84936A197E"/>
    <w:rsid w:val="00EE4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NnB9cNWcL8l0V+yfyAeH4VCOeW3UcNPXwI6cUxrvaHg=</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cnmPkSUc3PDEz1PE59GJjgkNjtGidv/1jkAUO83yNFw=</DigestValue>
    </Reference>
  </SignedInfo>
  <SignatureValue>XIw5nADmUMOgFglOTiCtjozJgTsp+ak4uTjpBYkfWkEKxy8HWsBTQiK7mSLX+XpbVfv9TLCBWdmO
u4jgSPqOYyV88xdo81lB1XAhpG6M097O5Z72xbn9sheCHKwTm/oykPRTO59BEacTMD508kFeLE/O
BoSChI82BqimY2IKkG5wkNGMiDljUHkUuE74D+2EkrhORKi6hNImRHayKklx9jFOwSP9vQNKjkmS
6eFaSIQC5pCBi6CrJd2Kv8F910YPgl5JiFyk9Q9Y5HAuK4Ow6PEfWOG2xKM/yY1+ZZkXinfS9u5z
2OJ6s4TW+NSVeeZHcZasfMNB7PN+kcenFspvGQ==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AozU3/ofFtlxQ6P+Dgz9n07n2PFbpehahC2qDsbkqcM=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0A8hZWnB9eJUTC608YtfvXT40/ccUOwvISDvagNvRWQ=</DigestValue>
      </Reference>
      <Reference URI="/word/endnotes.xml?ContentType=application/vnd.openxmlformats-officedocument.wordprocessingml.endnotes+xml">
        <DigestMethod Algorithm="http://www.w3.org/2001/04/xmlenc#sha256"/>
        <DigestValue>KkqnsbaN+BSDvPgPwRL+lJwLSouPNXbvsX/v/TdhTk8=</DigestValue>
      </Reference>
      <Reference URI="/word/fontTable.xml?ContentType=application/vnd.openxmlformats-officedocument.wordprocessingml.fontTable+xml">
        <DigestMethod Algorithm="http://www.w3.org/2001/04/xmlenc#sha256"/>
        <DigestValue>O2ubsxSHp981zBDWKsw3mdvG7v/W4ATIwaNAkY/YJWw=</DigestValue>
      </Reference>
      <Reference URI="/word/footer1.xml?ContentType=application/vnd.openxmlformats-officedocument.wordprocessingml.footer+xml">
        <DigestMethod Algorithm="http://www.w3.org/2001/04/xmlenc#sha256"/>
        <DigestValue>9vjS3WIU69i4ejl0JZJ5ZhNwOSZtXf1uu92cCaLBHxw=</DigestValue>
      </Reference>
      <Reference URI="/word/footer2.xml?ContentType=application/vnd.openxmlformats-officedocument.wordprocessingml.footer+xml">
        <DigestMethod Algorithm="http://www.w3.org/2001/04/xmlenc#sha256"/>
        <DigestValue>+D17AKA7PwLdTINJ+EjV0QgTab9hm3dJaq/AZYIe6Sw=</DigestValue>
      </Reference>
      <Reference URI="/word/footer3.xml?ContentType=application/vnd.openxmlformats-officedocument.wordprocessingml.footer+xml">
        <DigestMethod Algorithm="http://www.w3.org/2001/04/xmlenc#sha256"/>
        <DigestValue>mampGo4ibV+wiKfK3LxNSHdp3RUhc3F0dr1KdMYxJgA=</DigestValue>
      </Reference>
      <Reference URI="/word/footnotes.xml?ContentType=application/vnd.openxmlformats-officedocument.wordprocessingml.footnotes+xml">
        <DigestMethod Algorithm="http://www.w3.org/2001/04/xmlenc#sha256"/>
        <DigestValue>awgn1o2x1cQZjyFS0bMHKAr15biURJgfnqqj+rnbFPM=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yCTNmVN+oWDPy6H9n51SUKMGRk+doXr6B6gA3fFQyck=</DigestValue>
      </Reference>
      <Reference URI="/word/glossary/fontTable.xml?ContentType=application/vnd.openxmlformats-officedocument.wordprocessingml.fontTable+xml">
        <DigestMethod Algorithm="http://www.w3.org/2001/04/xmlenc#sha256"/>
        <DigestValue>O2ubsxSHp981zBDWKsw3mdvG7v/W4ATIwaNAkY/YJWw=</DigestValue>
      </Reference>
      <Reference URI="/word/glossary/settings.xml?ContentType=application/vnd.openxmlformats-officedocument.wordprocessingml.settings+xml">
        <DigestMethod Algorithm="http://www.w3.org/2001/04/xmlenc#sha256"/>
        <DigestValue>ILj72V8t50UWsD0dEVSby4pYnxU4roeLtyDt30XUato=</DigestValue>
      </Reference>
      <Reference URI="/word/glossary/styles.xml?ContentType=application/vnd.openxmlformats-officedocument.wordprocessingml.styles+xml">
        <DigestMethod Algorithm="http://www.w3.org/2001/04/xmlenc#sha256"/>
        <DigestValue>pji4U+BVpXID7oxSanRCb1DXN4ao6fBeMaHndoqutCs=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YbvSq39Aqd1djejdBFjDv1EizWJ7Z8+/97vdDwCTAKI=</DigestValue>
      </Reference>
      <Reference URI="/word/header2.xml?ContentType=application/vnd.openxmlformats-officedocument.wordprocessingml.header+xml">
        <DigestMethod Algorithm="http://www.w3.org/2001/04/xmlenc#sha256"/>
        <DigestValue>i/TRM5hc7eoA6cRL6ovUu9LXGPVGpywhmtw22JMXlxs=</DigestValue>
      </Reference>
      <Reference URI="/word/header3.xml?ContentType=application/vnd.openxmlformats-officedocument.wordprocessingml.header+xml">
        <DigestMethod Algorithm="http://www.w3.org/2001/04/xmlenc#sha256"/>
        <DigestValue>AUkAy7Zh06FDxH/A+tvnnlCMZHQ2gI+dhpLNvcp9DH4=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Be/u69dtHrPFl5EIO3z/9oGrNv1OAd0VOc8HOStrWnk=</DigestValue>
      </Reference>
      <Reference URI="/word/settings.xml?ContentType=application/vnd.openxmlformats-officedocument.wordprocessingml.settings+xml">
        <DigestMethod Algorithm="http://www.w3.org/2001/04/xmlenc#sha256"/>
        <DigestValue>tz4slAX2Gn+6VUV+HgCHlKpSzmVD/oUx5YJ8j010D0c=</DigestValue>
      </Reference>
      <Reference URI="/word/styles.xml?ContentType=application/vnd.openxmlformats-officedocument.wordprocessingml.styles+xml">
        <DigestMethod Algorithm="http://www.w3.org/2001/04/xmlenc#sha256"/>
        <DigestValue>aaVDAy4ZRaHFRPL3nvBZeI8c+1zp1ycKknEdPsBMFTs=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2022-11-08T02:19:04Z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2022-11-08T02:19:04Z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u5+Sq9bWdsYIMMV8KQjEi2UENqBRInDAh3JkLkQeZkCBBF60E4YDzIwMjIxMTA4MDIxOT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AyMTkwNlowLwYJKoZIhvcNAQkEMSIEINwZiWvERp4W93wqACZzNWYmPP07P1MXM/stmO3B6Nh0MDcGCyqGSIb3DQEJEAIvMSgwJjAkMCIEIDcrk3iY5iZu+N7/iFpVKDYeTZ9u7elabVQcL5d9tumpMA0GCSqGSIb3DQEBAQUABIIBAMUlQXINGFhSoA2jzx0/0Ze3cfSFlzDHiSrM4ckhbPwnVJxn0F0JNH5j1swU90mMvP//8GpwwOJj+pdACqYuK8zdaZf3yRPXaFYUVbw3WSpOiajr1hEPJAdFrztkdBNUimjC1H41RqQIz5wRIfm6Mp+LJAAU/zuJNn9WweFc40/WXz0uByYe34XWuUp3l6Y2m0su6SKgyfOESsuhtv9ZNvnkVEdoQbGiphycPXkE3L95LmLr/YjYqKvXHCbhHWPCIebJR6/FKJnPXziKt04NoWJCiBRSf3NjInzh+D/SXfjKuG4cp2hTYSQKrx3bGCXCJsa3rSEHrGAU+Ni2XQL7fo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2022-11-08T02:18:13Z</xd:ProducedAt>
                </xd:OCSPIdentifier>
                <xd:DigestAlgAndValue>
                  <DigestMethod Algorithm="http://www.w3.org/2001/04/xmlenc#sha256"/>
                  <DigestValue>nkvw8+J2iRuZzCs8K2U68IrOvHWmO1DtW6W1t/IDv+U=</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gwMjE4MTNaMIGZMIGWMEwwCQYFKw4DAhoFAAQUzgxHzN03kqP+e9oD7BphnZQwSGIEFF8FGEEQ3hUvOunAFqPnoWpS0TrsAhMUAAkdibcwGcw4YG8RAAEACR2JgAAYDzIwMjIxMTA4MDAxMDA3WqARGA8yMDIyMTEwOTEyMzAwN1qhIDAeMBwGCSsGAQQBgjcVBAQPFw0yMjExMDkwMDIwMDdaMA0GCSqGSIb3DQEBCwUAA4IBAQCXWvpv4FJdLurOPiQsUdQ3oRHjyZRrAjegLEPpjWwkcwLuhHB0UQo+995hrpl2APcP0IANShJ3RlViHBDwiIzZOT7eGwRUSwRdHDtb5mE19w0Myyee9NH7Zc3Sz0di2CI4Cg4nUJXZZQfmzkoRBeJsYOK5gugCLwlEroQVclM7X62cBK4FFNmSUfyItJnNWSALL+MTo1yuJCAR7gDWBJwaekcK/GUI0NNguu6Ce/Glk2iwD6TS/wtXiOyUbg5xZQRLEhZIH35qfn4BheStvhctMJq0Pf4fahg3yfzwHeTtqvhbULNH9EDFh7dkBl5R6Swcgwtf93Y8r+0IO/6FNc9M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Mn0Y5r26WqajjK8y7H0aJYHGIwndL5efX7U7hBnVdoCBBF60E8YDzIwMjIxMTA4MDIxOT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AyMTkwNlowLwYJKoZIhvcNAQkEMSIEIH8ztDbcg0j4zEqeUP5GxGrnfpuyByDQsNVfRjXaRLZfMDcGCyqGSIb3DQEJEAIvMSgwJjAkMCIEIDcrk3iY5iZu+N7/iFpVKDYeTZ9u7elabVQcL5d9tumpMA0GCSqGSIb3DQEBAQUABIIBAA2YAL1FuENyIuukZb0T6YpveR7Jj0cQAP+BWRLK4WEpwgzSKPH/+gQC9uOjM4jNUVGTgNdpiGamP7r+AVN+QLYKSl83NGnV879l9T4y++dZS8iRgiLK2/pns7F0Y/oXSahUCU7X2tmqzvdvw172uQ+rlk/6DzOLYbOS01fn+30fAvhJhuq7VKTbiJPuaL1iXAXJj1rVQXYCfwMpfzZjPc8ZBhNbZZ1rtFtEgUmT4v57EgUNFTH8FgEnLdVVotNaa2TJhO4Uub6rSWaJIv/uQE1U5pFMm1jNjsJ2QSfDV7hOE4HiaAxDc01q3QPY+ZkUv983Or45pUv2Jvxq6eQCE+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130</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Envío en consulta Modificación Lineamientos Acuerdo SUGEF 1-05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Despacho</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Envío en consulta Modificación Lineamientos Acuerdo SUGEF 1-05</Subject1>
  </documentManagement>
</p: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93FB720-C212-48DB-9ABC-275520DD122F}">
  <ds:schemaRefs>
    <ds:schemaRef ds:uri="Microsoft.SharePoint.Taxonomy.ContentTypeSync"/>
  </ds:schemaRefs>
</ds:datastoreItem>
</file>

<file path=customXml/itemProps2.xml><?xml version="1.0" encoding="utf-8"?>
<ds:datastoreItem xmlns:ds="http://schemas.openxmlformats.org/officeDocument/2006/customXml" ds:itemID="{E81FB412-3358-4615-9412-4411879D696B}">
  <ds:schemaRefs>
    <ds:schemaRef ds:uri="office.server.policy"/>
  </ds:schemaRefs>
</ds:datastoreItem>
</file>

<file path=customXml/itemProps3.xml><?xml version="1.0" encoding="utf-8"?>
<ds:datastoreItem xmlns:ds="http://schemas.openxmlformats.org/officeDocument/2006/customXml" ds:itemID="{F6FF7BA1-DF68-4D20-A532-7DF984618E98}">
  <ds:schemaRefs>
    <ds:schemaRef ds:uri="http://schemas.microsoft.com/sharepoint/v3/contenttype/forms"/>
  </ds:schemaRefs>
</ds:datastoreItem>
</file>

<file path=customXml/itemProps4.xml><?xml version="1.0" encoding="utf-8"?>
<ds:datastoreItem xmlns:ds="http://schemas.openxmlformats.org/officeDocument/2006/customXml" ds:itemID="{EAFEC6EE-A3B0-4022-9C16-BDE458EE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F260B-E509-4E4C-9096-76439E3F1297}">
  <ds:schemaRefs>
    <ds:schemaRef ds:uri="http://schemas.openxmlformats.org/officeDocument/2006/bibliography"/>
  </ds:schemaRefs>
</ds:datastoreItem>
</file>

<file path=customXml/itemProps6.xml><?xml version="1.0" encoding="utf-8"?>
<ds:datastoreItem xmlns:ds="http://schemas.openxmlformats.org/officeDocument/2006/customXml" ds:itemID="{CD644179-293F-4493-86F5-73D7360A9269}">
  <ds:schemaRefs>
    <ds:schemaRef ds:uri="http://purl.org/dc/terms/"/>
    <ds:schemaRef ds:uri="http://schemas.microsoft.com/office/2006/documentManagement/types"/>
    <ds:schemaRef ds:uri="b875e23b-67d9-4b2e-bdec-edacbf90b326"/>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C18F1729-A668-49CB-9908-C7999B6BB4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32</cp:revision>
  <dcterms:created xsi:type="dcterms:W3CDTF">2022-11-07T17:06:00Z</dcterms:created>
  <dcterms:modified xsi:type="dcterms:W3CDTF">2022-11-08T00:55:00Z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183;#Resolución|8250c29f-4595-4728-bcc1-a5fc6a20ed53</vt:lpwstr>
  </property>
  <property fmtid="{D5CDD505-2E9C-101B-9397-08002B2CF9AE}" pid="4" name="Unidad de Destino">
    <vt:lpwstr/>
  </property>
  <property fmtid="{D5CDD505-2E9C-101B-9397-08002B2CF9AE}" pid="5" name="ConfidencialidadNueva">
    <vt:lpwstr>130;#Confidencial|d19c5cf3-f0e9-4d18-86d2-7bee4000e1ea</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Order">
    <vt:r8>107900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f1fd9d7f-da86-405a-9476-87cbb240632e,5;e296350a-171a-4531-9415-14f9933ddbf9,10;</vt:lpwstr>
  </property>
</Properties>
</file>