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E2D5F" w14:textId="28F9C514" w:rsidR="00D60C46" w:rsidRPr="00FC3DD6" w:rsidRDefault="00D60C46" w:rsidP="000E6BFB">
      <w:pPr>
        <w:pStyle w:val="Texto"/>
        <w:tabs>
          <w:tab w:val="left" w:pos="3825"/>
          <w:tab w:val="center" w:pos="4419"/>
        </w:tabs>
        <w:spacing w:before="0" w:after="0" w:line="240" w:lineRule="auto"/>
        <w:jc w:val="center"/>
        <w:rPr>
          <w:b/>
          <w:sz w:val="24"/>
          <w:lang w:val="es-CR"/>
        </w:rPr>
      </w:pPr>
      <w:r w:rsidRPr="00FC3DD6">
        <w:rPr>
          <w:b/>
          <w:sz w:val="24"/>
          <w:lang w:val="es-CR"/>
        </w:rPr>
        <w:t>Resolución</w:t>
      </w:r>
    </w:p>
    <w:p w14:paraId="4FAF4C22" w14:textId="64AFD56E" w:rsidR="00D60C46" w:rsidRPr="00FC3DD6" w:rsidRDefault="00D60C46" w:rsidP="000E6BFB">
      <w:pPr>
        <w:pStyle w:val="Texto"/>
        <w:spacing w:before="0" w:after="0" w:line="240" w:lineRule="auto"/>
        <w:jc w:val="center"/>
        <w:rPr>
          <w:sz w:val="24"/>
          <w:lang w:val="es-CR"/>
        </w:rPr>
      </w:pPr>
    </w:p>
    <w:p w14:paraId="13089E27" w14:textId="38858DB5" w:rsidR="00D60C46" w:rsidRPr="00FC3DD6" w:rsidRDefault="000867E7" w:rsidP="000E6BFB">
      <w:pPr>
        <w:pStyle w:val="Texto"/>
        <w:spacing w:before="0" w:after="0" w:line="240" w:lineRule="auto"/>
        <w:jc w:val="center"/>
        <w:rPr>
          <w:sz w:val="24"/>
          <w:lang w:val="es-CR"/>
        </w:rPr>
      </w:pPr>
      <w:r>
        <w:rPr>
          <w:sz w:val="24"/>
          <w:lang w:val="es-CR"/>
        </w:rPr>
        <w:t>2</w:t>
      </w:r>
      <w:r w:rsidR="00885E30">
        <w:rPr>
          <w:sz w:val="24"/>
          <w:lang w:val="es-CR"/>
        </w:rPr>
        <w:t>4</w:t>
      </w:r>
      <w:r w:rsidR="008E3277">
        <w:rPr>
          <w:sz w:val="24"/>
          <w:lang w:val="es-CR"/>
        </w:rPr>
        <w:t xml:space="preserve"> </w:t>
      </w:r>
      <w:r w:rsidR="00511DF1" w:rsidRPr="00FC3DD6">
        <w:rPr>
          <w:sz w:val="24"/>
          <w:lang w:val="es-CR"/>
        </w:rPr>
        <w:t xml:space="preserve">de </w:t>
      </w:r>
      <w:r w:rsidR="008E3277">
        <w:rPr>
          <w:sz w:val="24"/>
          <w:lang w:val="es-CR"/>
        </w:rPr>
        <w:t>juni</w:t>
      </w:r>
      <w:r w:rsidR="00511DF1" w:rsidRPr="00FC3DD6">
        <w:rPr>
          <w:sz w:val="24"/>
          <w:lang w:val="es-CR"/>
        </w:rPr>
        <w:t xml:space="preserve">o </w:t>
      </w:r>
      <w:r w:rsidR="00D60C46" w:rsidRPr="00FC3DD6">
        <w:rPr>
          <w:sz w:val="24"/>
          <w:lang w:val="es-CR"/>
        </w:rPr>
        <w:t>de 2020</w:t>
      </w:r>
    </w:p>
    <w:p w14:paraId="2A25F969" w14:textId="31C75E16" w:rsidR="00E543E3" w:rsidRDefault="00105006" w:rsidP="000E6BFB">
      <w:pPr>
        <w:tabs>
          <w:tab w:val="left" w:pos="2843"/>
        </w:tabs>
        <w:spacing w:after="0" w:line="240" w:lineRule="auto"/>
        <w:jc w:val="center"/>
        <w:rPr>
          <w:rFonts w:ascii="Cambria" w:hAnsi="Cambria"/>
          <w:sz w:val="24"/>
          <w:szCs w:val="24"/>
        </w:rPr>
      </w:pPr>
      <w:sdt>
        <w:sdtPr>
          <w:rPr>
            <w:rFonts w:ascii="Cambria" w:hAnsi="Cambria"/>
            <w:sz w:val="24"/>
            <w:szCs w:val="24"/>
          </w:rPr>
          <w:alias w:val="Consecutivo"/>
          <w:tag w:val="Consecutivo"/>
          <w:id w:val="2052717023"/>
          <w:placeholder>
            <w:docPart w:val="116A75B14CAA4304B618442CB55A19FF"/>
          </w:placeholder>
          <w:text/>
        </w:sdtPr>
        <w:sdtEndPr/>
        <w:sdtContent>
          <w:r>
            <w:rPr>
              <w:rFonts w:ascii="Cambria" w:hAnsi="Cambria"/>
              <w:sz w:val="24"/>
              <w:szCs w:val="24"/>
            </w:rPr>
            <w:t>SGF-2198-2020</w:t>
          </w:r>
        </w:sdtContent>
      </w:sdt>
      <w:r w:rsidR="000E6BFB" w:rsidRPr="00FC3DD6">
        <w:rPr>
          <w:rFonts w:ascii="Cambria" w:hAnsi="Cambria"/>
          <w:sz w:val="24"/>
          <w:szCs w:val="24"/>
        </w:rPr>
        <w:t>-</w:t>
      </w:r>
    </w:p>
    <w:p w14:paraId="64AB790E" w14:textId="0DDDF003" w:rsidR="00D60C46" w:rsidRPr="00FC3DD6" w:rsidRDefault="00105006" w:rsidP="000E6BFB">
      <w:pPr>
        <w:tabs>
          <w:tab w:val="left" w:pos="2843"/>
        </w:tabs>
        <w:spacing w:after="0" w:line="240" w:lineRule="auto"/>
        <w:jc w:val="center"/>
        <w:rPr>
          <w:rFonts w:ascii="Cambria" w:hAnsi="Cambria"/>
          <w:sz w:val="24"/>
          <w:szCs w:val="24"/>
        </w:rPr>
      </w:pPr>
      <w:sdt>
        <w:sdtPr>
          <w:rPr>
            <w:rFonts w:ascii="Cambria" w:hAnsi="Cambria"/>
            <w:sz w:val="24"/>
            <w:szCs w:val="24"/>
          </w:rPr>
          <w:alias w:val="Confidencialidad"/>
          <w:tag w:val="Confidencialidad"/>
          <w:id w:val="1447896894"/>
          <w:placeholder>
            <w:docPart w:val="E3EB933700854FDBB6219E4EEC9C5798"/>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D60C46" w:rsidRPr="00FC3DD6">
            <w:rPr>
              <w:rFonts w:ascii="Cambria" w:hAnsi="Cambria"/>
              <w:sz w:val="24"/>
              <w:szCs w:val="24"/>
            </w:rPr>
            <w:t>SGF-PUBLICO</w:t>
          </w:r>
        </w:sdtContent>
      </w:sdt>
    </w:p>
    <w:p w14:paraId="15F94D4D" w14:textId="17EE021E" w:rsidR="00D60C46" w:rsidRDefault="00D60C46" w:rsidP="000E6BFB">
      <w:pPr>
        <w:spacing w:after="0" w:line="240" w:lineRule="auto"/>
        <w:jc w:val="both"/>
        <w:rPr>
          <w:rFonts w:ascii="Cambria" w:hAnsi="Cambria"/>
          <w:sz w:val="24"/>
          <w:szCs w:val="24"/>
        </w:rPr>
      </w:pPr>
    </w:p>
    <w:p w14:paraId="061025C3" w14:textId="77777777" w:rsidR="00B91DDE" w:rsidRPr="00FC3DD6" w:rsidRDefault="00B91DDE" w:rsidP="000E6BFB">
      <w:pPr>
        <w:spacing w:after="0" w:line="240" w:lineRule="auto"/>
        <w:jc w:val="both"/>
        <w:rPr>
          <w:rFonts w:ascii="Cambria" w:hAnsi="Cambria"/>
          <w:sz w:val="24"/>
          <w:szCs w:val="24"/>
        </w:rPr>
      </w:pPr>
    </w:p>
    <w:p w14:paraId="441A534E" w14:textId="4F93323C" w:rsidR="00FD1FF7" w:rsidRDefault="00FD1FF7" w:rsidP="00FD1FF7">
      <w:pPr>
        <w:pStyle w:val="Default"/>
        <w:rPr>
          <w:rFonts w:ascii="Cambria" w:hAnsi="Cambria"/>
          <w:b/>
          <w:bCs/>
        </w:rPr>
      </w:pPr>
      <w:r w:rsidRPr="00D225F8">
        <w:rPr>
          <w:rFonts w:ascii="Cambria" w:hAnsi="Cambria"/>
          <w:b/>
          <w:bCs/>
        </w:rPr>
        <w:t xml:space="preserve">Dirigida a: </w:t>
      </w:r>
    </w:p>
    <w:p w14:paraId="40FAA556" w14:textId="02C6C0B9" w:rsidR="00FD1FF7" w:rsidRPr="00D225F8" w:rsidRDefault="00FD1FF7" w:rsidP="00FD1FF7">
      <w:pPr>
        <w:pStyle w:val="Default"/>
        <w:rPr>
          <w:rFonts w:ascii="Cambria" w:hAnsi="Cambria"/>
        </w:rPr>
      </w:pPr>
    </w:p>
    <w:p w14:paraId="6AA5B173" w14:textId="77777777" w:rsidR="00FD1FF7" w:rsidRPr="00D225F8" w:rsidRDefault="00FD1FF7" w:rsidP="00FD1FF7">
      <w:pPr>
        <w:pStyle w:val="Default"/>
        <w:numPr>
          <w:ilvl w:val="0"/>
          <w:numId w:val="2"/>
        </w:numPr>
        <w:spacing w:after="9"/>
        <w:rPr>
          <w:rFonts w:ascii="Cambria" w:hAnsi="Cambria"/>
        </w:rPr>
      </w:pPr>
      <w:r w:rsidRPr="00D225F8">
        <w:rPr>
          <w:rFonts w:ascii="Cambria" w:hAnsi="Cambria"/>
          <w:b/>
          <w:bCs/>
        </w:rPr>
        <w:t xml:space="preserve">Bancos Comerciales del Estado </w:t>
      </w:r>
    </w:p>
    <w:p w14:paraId="7195877A" w14:textId="77777777" w:rsidR="00FD1FF7" w:rsidRPr="00D225F8" w:rsidRDefault="00FD1FF7" w:rsidP="00FD1FF7">
      <w:pPr>
        <w:pStyle w:val="Default"/>
        <w:numPr>
          <w:ilvl w:val="0"/>
          <w:numId w:val="2"/>
        </w:numPr>
        <w:spacing w:after="9"/>
        <w:rPr>
          <w:rFonts w:ascii="Cambria" w:hAnsi="Cambria"/>
        </w:rPr>
      </w:pPr>
      <w:r w:rsidRPr="00D225F8">
        <w:rPr>
          <w:rFonts w:ascii="Cambria" w:hAnsi="Cambria"/>
          <w:b/>
          <w:bCs/>
        </w:rPr>
        <w:t xml:space="preserve">Bancos Creados por Leyes Especiales </w:t>
      </w:r>
    </w:p>
    <w:p w14:paraId="107B5972" w14:textId="77777777" w:rsidR="00FD1FF7" w:rsidRPr="00D225F8" w:rsidRDefault="00FD1FF7" w:rsidP="00FD1FF7">
      <w:pPr>
        <w:pStyle w:val="Default"/>
        <w:numPr>
          <w:ilvl w:val="0"/>
          <w:numId w:val="2"/>
        </w:numPr>
        <w:spacing w:after="9"/>
        <w:rPr>
          <w:rFonts w:ascii="Cambria" w:hAnsi="Cambria"/>
        </w:rPr>
      </w:pPr>
      <w:r w:rsidRPr="00D225F8">
        <w:rPr>
          <w:rFonts w:ascii="Cambria" w:hAnsi="Cambria"/>
          <w:b/>
          <w:bCs/>
        </w:rPr>
        <w:t xml:space="preserve">Bancos Privados </w:t>
      </w:r>
    </w:p>
    <w:p w14:paraId="67232348" w14:textId="77777777" w:rsidR="00FD1FF7" w:rsidRPr="00385076" w:rsidRDefault="00FD1FF7" w:rsidP="00FD1FF7">
      <w:pPr>
        <w:pStyle w:val="Default"/>
        <w:numPr>
          <w:ilvl w:val="0"/>
          <w:numId w:val="2"/>
        </w:numPr>
        <w:spacing w:after="9"/>
        <w:rPr>
          <w:rFonts w:ascii="Cambria" w:hAnsi="Cambria"/>
        </w:rPr>
      </w:pPr>
      <w:r w:rsidRPr="00385076">
        <w:rPr>
          <w:rFonts w:ascii="Cambria" w:hAnsi="Cambria"/>
          <w:b/>
          <w:bCs/>
        </w:rPr>
        <w:t xml:space="preserve">Empresas Financieras no Bancarias </w:t>
      </w:r>
      <w:bookmarkStart w:id="0" w:name="_GoBack"/>
      <w:bookmarkEnd w:id="0"/>
    </w:p>
    <w:p w14:paraId="4A0D7C30" w14:textId="77777777" w:rsidR="00FD1FF7" w:rsidRPr="00385076" w:rsidRDefault="00FD1FF7" w:rsidP="00FD1FF7">
      <w:pPr>
        <w:pStyle w:val="Default"/>
        <w:numPr>
          <w:ilvl w:val="0"/>
          <w:numId w:val="2"/>
        </w:numPr>
        <w:spacing w:after="9"/>
        <w:rPr>
          <w:rFonts w:ascii="Cambria" w:hAnsi="Cambria"/>
        </w:rPr>
      </w:pPr>
      <w:r w:rsidRPr="00385076">
        <w:rPr>
          <w:rFonts w:ascii="Cambria" w:hAnsi="Cambria"/>
          <w:b/>
          <w:bCs/>
        </w:rPr>
        <w:t xml:space="preserve">Otras Entidades Financieras </w:t>
      </w:r>
    </w:p>
    <w:p w14:paraId="02622105" w14:textId="77777777" w:rsidR="00FD1FF7" w:rsidRPr="00385076" w:rsidRDefault="00FD1FF7" w:rsidP="00FD1FF7">
      <w:pPr>
        <w:pStyle w:val="Default"/>
        <w:numPr>
          <w:ilvl w:val="0"/>
          <w:numId w:val="2"/>
        </w:numPr>
        <w:spacing w:after="9"/>
        <w:rPr>
          <w:rFonts w:ascii="Cambria" w:hAnsi="Cambria"/>
        </w:rPr>
      </w:pPr>
      <w:r w:rsidRPr="00385076">
        <w:rPr>
          <w:rFonts w:ascii="Cambria" w:hAnsi="Cambria"/>
          <w:b/>
          <w:bCs/>
        </w:rPr>
        <w:t xml:space="preserve">Organizaciones Cooperativas de Ahorro y Crédito </w:t>
      </w:r>
    </w:p>
    <w:p w14:paraId="09997FA8" w14:textId="77777777" w:rsidR="00FD1FF7" w:rsidRPr="00385076" w:rsidRDefault="00FD1FF7" w:rsidP="00FD1FF7">
      <w:pPr>
        <w:pStyle w:val="Default"/>
        <w:numPr>
          <w:ilvl w:val="0"/>
          <w:numId w:val="2"/>
        </w:numPr>
        <w:rPr>
          <w:rFonts w:ascii="Cambria" w:hAnsi="Cambria"/>
        </w:rPr>
      </w:pPr>
      <w:r w:rsidRPr="00385076">
        <w:rPr>
          <w:rFonts w:ascii="Cambria" w:hAnsi="Cambria"/>
          <w:b/>
          <w:bCs/>
        </w:rPr>
        <w:t xml:space="preserve">Entidades Autorizadas del Sistema Financiera Nacional para la Vivienda </w:t>
      </w:r>
    </w:p>
    <w:p w14:paraId="510122E1" w14:textId="77777777" w:rsidR="00D60C46" w:rsidRPr="00FD1FF7" w:rsidRDefault="00D60C46" w:rsidP="000E6BFB">
      <w:pPr>
        <w:spacing w:after="0" w:line="240" w:lineRule="auto"/>
        <w:jc w:val="both"/>
        <w:rPr>
          <w:rFonts w:ascii="Cambria" w:hAnsi="Cambria"/>
          <w:sz w:val="24"/>
          <w:szCs w:val="24"/>
          <w:lang w:val="es-ES"/>
        </w:rPr>
      </w:pPr>
    </w:p>
    <w:p w14:paraId="33A3FA1D" w14:textId="26464F6D" w:rsidR="00D60C46" w:rsidRPr="0067626F" w:rsidRDefault="00D60C46" w:rsidP="000E6BFB">
      <w:pPr>
        <w:autoSpaceDE w:val="0"/>
        <w:autoSpaceDN w:val="0"/>
        <w:adjustRightInd w:val="0"/>
        <w:spacing w:after="0" w:line="240" w:lineRule="auto"/>
        <w:jc w:val="both"/>
        <w:rPr>
          <w:rFonts w:ascii="Cambria" w:hAnsi="Cambria"/>
          <w:sz w:val="24"/>
          <w:szCs w:val="24"/>
        </w:rPr>
      </w:pPr>
      <w:r w:rsidRPr="0067626F">
        <w:rPr>
          <w:rFonts w:ascii="Cambria" w:hAnsi="Cambria"/>
          <w:b/>
          <w:sz w:val="24"/>
          <w:szCs w:val="24"/>
        </w:rPr>
        <w:t>Asunto:</w:t>
      </w:r>
      <w:r w:rsidRPr="0067626F">
        <w:rPr>
          <w:rFonts w:ascii="Cambria" w:hAnsi="Cambria"/>
          <w:sz w:val="24"/>
          <w:szCs w:val="24"/>
        </w:rPr>
        <w:t xml:space="preserve"> </w:t>
      </w:r>
      <w:r w:rsidR="00385076" w:rsidRPr="00385076">
        <w:rPr>
          <w:rFonts w:ascii="Cambria" w:hAnsi="Cambria"/>
          <w:sz w:val="24"/>
          <w:szCs w:val="24"/>
        </w:rPr>
        <w:t>Actualización de las cuentas contables para el registro de los créditos concedidos al Estado y demás instituciones de derecho público, por parte del Sistema Bancario Nacional, en cumplimiento de lo dispuesto en el inciso 5) del Artículo 61 de la Ley Orgánica del Sistema Bancario Nacional.</w:t>
      </w:r>
    </w:p>
    <w:p w14:paraId="34BF0559" w14:textId="68212FDC" w:rsidR="00D60C46" w:rsidRPr="0067626F" w:rsidRDefault="00D60C46" w:rsidP="000E6BFB">
      <w:pPr>
        <w:spacing w:after="0" w:line="240" w:lineRule="auto"/>
        <w:jc w:val="both"/>
        <w:rPr>
          <w:rFonts w:ascii="Cambria" w:hAnsi="Cambria"/>
          <w:sz w:val="24"/>
          <w:szCs w:val="24"/>
        </w:rPr>
      </w:pPr>
    </w:p>
    <w:p w14:paraId="1F3D06DE" w14:textId="77777777" w:rsidR="00D60C46" w:rsidRPr="0067626F" w:rsidRDefault="00D60C46" w:rsidP="000E6BFB">
      <w:pPr>
        <w:spacing w:after="0" w:line="240" w:lineRule="auto"/>
        <w:jc w:val="both"/>
        <w:rPr>
          <w:rFonts w:ascii="Cambria" w:hAnsi="Cambria"/>
          <w:sz w:val="24"/>
          <w:szCs w:val="24"/>
        </w:rPr>
      </w:pPr>
      <w:r w:rsidRPr="0067626F">
        <w:rPr>
          <w:rFonts w:ascii="Cambria" w:hAnsi="Cambria"/>
          <w:sz w:val="24"/>
          <w:szCs w:val="24"/>
        </w:rPr>
        <w:t xml:space="preserve">El Superintendente de Entidades Financieras, </w:t>
      </w:r>
    </w:p>
    <w:p w14:paraId="773AF7A0" w14:textId="77777777" w:rsidR="000E6BFB" w:rsidRPr="0067626F" w:rsidRDefault="000E6BFB" w:rsidP="000E6BFB">
      <w:pPr>
        <w:spacing w:after="0" w:line="240" w:lineRule="auto"/>
        <w:jc w:val="both"/>
        <w:rPr>
          <w:rFonts w:ascii="Cambria" w:hAnsi="Cambria"/>
          <w:sz w:val="24"/>
          <w:szCs w:val="24"/>
        </w:rPr>
      </w:pPr>
    </w:p>
    <w:p w14:paraId="32FBDCE6" w14:textId="77777777" w:rsidR="00FD1FF7" w:rsidRPr="0067626F" w:rsidRDefault="00FD1FF7" w:rsidP="00FD1FF7">
      <w:pPr>
        <w:rPr>
          <w:sz w:val="24"/>
          <w:lang w:val="es-419"/>
        </w:rPr>
      </w:pPr>
      <w:r w:rsidRPr="0067626F">
        <w:rPr>
          <w:b/>
          <w:sz w:val="24"/>
          <w:lang w:val="es-419"/>
        </w:rPr>
        <w:t>Considerando que</w:t>
      </w:r>
      <w:r w:rsidRPr="0067626F">
        <w:rPr>
          <w:sz w:val="24"/>
          <w:lang w:val="es-419"/>
        </w:rPr>
        <w:t>:</w:t>
      </w:r>
    </w:p>
    <w:p w14:paraId="03563588" w14:textId="77777777" w:rsidR="00FD1FF7" w:rsidRPr="0067626F" w:rsidRDefault="00FD1FF7" w:rsidP="00FD1FF7">
      <w:pPr>
        <w:pStyle w:val="Prrafodelista"/>
        <w:numPr>
          <w:ilvl w:val="0"/>
          <w:numId w:val="1"/>
        </w:numPr>
        <w:jc w:val="both"/>
        <w:rPr>
          <w:rFonts w:ascii="Cambria" w:hAnsi="Cambria" w:cs="Times New Roman"/>
          <w:sz w:val="24"/>
          <w:szCs w:val="24"/>
          <w:lang w:val="es-419"/>
        </w:rPr>
      </w:pPr>
      <w:r w:rsidRPr="0067626F">
        <w:rPr>
          <w:rFonts w:ascii="Cambria" w:hAnsi="Cambria" w:cs="Times New Roman"/>
          <w:sz w:val="24"/>
          <w:szCs w:val="24"/>
          <w:lang w:val="es-419"/>
        </w:rPr>
        <w:t>Que mediante el artículo 8 del Acta de la Sesión 211-2001, celebrada el 26 de febrero del 2001,  el Consejo Nacional de Supervisión del Sistema Financiero (en adelante: CONASSIF) estableció las cuentas contables en las que se registran los créditos concedidos al Estado y demás instituciones de derecho público, para efectos de la aplicación del inciso 5) del Artículo 61 de la Ley Orgánica del Sistema Bancario Nacional.</w:t>
      </w:r>
    </w:p>
    <w:p w14:paraId="1D504AF2" w14:textId="77777777" w:rsidR="00FD1FF7" w:rsidRPr="0067626F" w:rsidRDefault="00FD1FF7" w:rsidP="00FD1FF7">
      <w:pPr>
        <w:pStyle w:val="Prrafodelista"/>
        <w:jc w:val="both"/>
        <w:rPr>
          <w:rFonts w:ascii="Cambria" w:hAnsi="Cambria" w:cs="Times New Roman"/>
          <w:sz w:val="24"/>
          <w:szCs w:val="24"/>
          <w:lang w:val="es-419"/>
        </w:rPr>
      </w:pPr>
    </w:p>
    <w:p w14:paraId="2C57E3A8" w14:textId="77777777" w:rsidR="00FD1FF7" w:rsidRPr="0067626F" w:rsidRDefault="00FD1FF7" w:rsidP="00FD1FF7">
      <w:pPr>
        <w:pStyle w:val="Prrafodelista"/>
        <w:numPr>
          <w:ilvl w:val="0"/>
          <w:numId w:val="1"/>
        </w:numPr>
        <w:jc w:val="both"/>
        <w:rPr>
          <w:rFonts w:ascii="Cambria" w:hAnsi="Cambria" w:cs="Times New Roman"/>
          <w:sz w:val="24"/>
          <w:szCs w:val="24"/>
          <w:lang w:val="es-419"/>
        </w:rPr>
      </w:pPr>
      <w:r w:rsidRPr="0067626F">
        <w:rPr>
          <w:rFonts w:ascii="Cambria" w:hAnsi="Cambria" w:cs="Times New Roman"/>
          <w:sz w:val="24"/>
          <w:szCs w:val="24"/>
          <w:lang w:val="es-419"/>
        </w:rPr>
        <w:t>Que mediante disposición 6 del Acta de la sesión 211-2001 citada en el considerando anterior, se facultó al Superintendente General de Entidades Financieras (en adelante: Superintendente) para que actualice las partidas contables ante modificaciones al Plan de Cuentas para Entidades Financieras. En la práctica, el Superintendente ejerce esta facultad mediante la emisión de acuerdos.</w:t>
      </w:r>
    </w:p>
    <w:p w14:paraId="42C57148" w14:textId="77777777" w:rsidR="00FD1FF7" w:rsidRPr="0067626F" w:rsidRDefault="00FD1FF7" w:rsidP="00FD1FF7">
      <w:pPr>
        <w:pStyle w:val="Prrafodelista"/>
        <w:rPr>
          <w:rFonts w:ascii="Cambria" w:hAnsi="Cambria"/>
          <w:sz w:val="24"/>
          <w:szCs w:val="24"/>
          <w:lang w:val="es-419"/>
        </w:rPr>
      </w:pPr>
    </w:p>
    <w:p w14:paraId="2B97BB69" w14:textId="77777777" w:rsidR="00FD1FF7" w:rsidRPr="0067626F" w:rsidRDefault="00FD1FF7" w:rsidP="00FD1FF7">
      <w:pPr>
        <w:pStyle w:val="Prrafodelista"/>
        <w:numPr>
          <w:ilvl w:val="0"/>
          <w:numId w:val="1"/>
        </w:numPr>
        <w:jc w:val="both"/>
        <w:rPr>
          <w:rFonts w:ascii="Cambria" w:hAnsi="Cambria" w:cs="Times New Roman"/>
          <w:sz w:val="24"/>
          <w:szCs w:val="24"/>
          <w:lang w:val="es-419"/>
        </w:rPr>
      </w:pPr>
      <w:r w:rsidRPr="0067626F">
        <w:rPr>
          <w:rFonts w:ascii="Cambria" w:hAnsi="Cambria" w:cs="Times New Roman"/>
          <w:sz w:val="24"/>
          <w:szCs w:val="24"/>
          <w:lang w:val="es-419"/>
        </w:rPr>
        <w:t xml:space="preserve">Que mediante los artículos 6 y 5 de las actas de las sesiones 1442-2018 y 1443-2018, ambas celebradas el 11 de setiembre de 2018 y publicado en el Alcance N°188 del Diario Oficial La Gaceta N° 196 del 24 de octubre del 2018, se aprobó el </w:t>
      </w:r>
      <w:r w:rsidRPr="0067626F">
        <w:rPr>
          <w:rFonts w:ascii="Cambria" w:hAnsi="Cambria" w:cs="Times New Roman"/>
          <w:i/>
          <w:sz w:val="24"/>
          <w:szCs w:val="24"/>
          <w:lang w:val="es-419"/>
        </w:rPr>
        <w:t xml:space="preserve">Reglamento de Información Financiera </w:t>
      </w:r>
      <w:r w:rsidRPr="0067626F">
        <w:rPr>
          <w:rFonts w:ascii="Cambria" w:hAnsi="Cambria" w:cs="Times New Roman"/>
          <w:color w:val="000000"/>
          <w:sz w:val="24"/>
          <w:szCs w:val="24"/>
          <w:lang w:val="es-419"/>
        </w:rPr>
        <w:t>(</w:t>
      </w:r>
      <w:r w:rsidRPr="0067626F">
        <w:rPr>
          <w:rFonts w:ascii="Cambria" w:hAnsi="Cambria" w:cs="Times New Roman"/>
          <w:sz w:val="24"/>
          <w:szCs w:val="24"/>
          <w:lang w:val="es-419"/>
        </w:rPr>
        <w:t xml:space="preserve">en adelante: </w:t>
      </w:r>
      <w:r w:rsidRPr="0067626F">
        <w:rPr>
          <w:rFonts w:ascii="Cambria" w:hAnsi="Cambria" w:cs="Times New Roman"/>
          <w:color w:val="000000"/>
          <w:sz w:val="24"/>
          <w:szCs w:val="24"/>
          <w:lang w:val="es-419"/>
        </w:rPr>
        <w:t>RIF)</w:t>
      </w:r>
      <w:r w:rsidRPr="0067626F">
        <w:rPr>
          <w:rFonts w:ascii="Cambria" w:hAnsi="Cambria" w:cs="Times New Roman"/>
          <w:sz w:val="24"/>
          <w:szCs w:val="24"/>
          <w:lang w:val="es-419"/>
        </w:rPr>
        <w:t xml:space="preserve"> que rige a partir del 01 de enero de 2020. </w:t>
      </w:r>
      <w:r w:rsidRPr="0067626F">
        <w:rPr>
          <w:rFonts w:ascii="Cambria" w:hAnsi="Cambria" w:cs="Times New Roman"/>
          <w:color w:val="000000"/>
          <w:sz w:val="24"/>
          <w:szCs w:val="24"/>
        </w:rPr>
        <w:t xml:space="preserve">El RIF actualiza la base contable regulatoria con el propósito de avanzar en la adopción de las Normas Internacionales de </w:t>
      </w:r>
      <w:r w:rsidRPr="0067626F">
        <w:rPr>
          <w:rFonts w:ascii="Cambria" w:hAnsi="Cambria" w:cs="Times New Roman"/>
          <w:color w:val="000000"/>
          <w:sz w:val="24"/>
          <w:szCs w:val="24"/>
        </w:rPr>
        <w:lastRenderedPageBreak/>
        <w:t xml:space="preserve">Información Financiera (NIIF) con sus textos más recientes, por parte de las entidades del Sistema Financiero Nacional, lo cual favorece su comparabilidad y la lectura de la información financiera, tanto para los usuarios nacionales como extranjeros. </w:t>
      </w:r>
    </w:p>
    <w:p w14:paraId="76FD8654" w14:textId="77777777" w:rsidR="00FD1FF7" w:rsidRPr="0067626F" w:rsidRDefault="00FD1FF7" w:rsidP="00FD1FF7">
      <w:pPr>
        <w:pStyle w:val="Prrafodelista"/>
        <w:rPr>
          <w:rFonts w:ascii="Cambria" w:hAnsi="Cambria" w:cs="Times New Roman"/>
          <w:sz w:val="24"/>
          <w:szCs w:val="24"/>
          <w:lang w:val="es-419"/>
        </w:rPr>
      </w:pPr>
    </w:p>
    <w:p w14:paraId="771746E3" w14:textId="77777777" w:rsidR="00FD1FF7" w:rsidRPr="0067626F" w:rsidRDefault="00FD1FF7" w:rsidP="00FD1FF7">
      <w:pPr>
        <w:pStyle w:val="Prrafodelista"/>
        <w:numPr>
          <w:ilvl w:val="0"/>
          <w:numId w:val="1"/>
        </w:numPr>
        <w:jc w:val="both"/>
        <w:rPr>
          <w:rFonts w:ascii="Cambria" w:hAnsi="Cambria" w:cs="Times New Roman"/>
          <w:sz w:val="24"/>
          <w:szCs w:val="24"/>
          <w:lang w:val="es-419"/>
        </w:rPr>
      </w:pPr>
      <w:r w:rsidRPr="0067626F">
        <w:rPr>
          <w:rFonts w:ascii="Cambria" w:hAnsi="Cambria" w:cs="Times New Roman"/>
          <w:sz w:val="24"/>
          <w:szCs w:val="24"/>
          <w:lang w:val="es-419"/>
        </w:rPr>
        <w:t>Como consecuencia de las modificaciones en las NIIF emitidas por la Junta de Normas Internacionales de Contabilidad (IASB por sus siglas en inglés), y la incorporación de éstas en la base contable CONASSIF, se requiere incluir o eliminar cuentas, subcuentas y cuentas analíticas, así como actualizar la definición incluida en el Plan de Cuentas.</w:t>
      </w:r>
    </w:p>
    <w:p w14:paraId="6017583F" w14:textId="77777777" w:rsidR="00FD1FF7" w:rsidRPr="0067626F" w:rsidRDefault="00FD1FF7" w:rsidP="00FD1FF7">
      <w:pPr>
        <w:pStyle w:val="Default"/>
        <w:numPr>
          <w:ilvl w:val="0"/>
          <w:numId w:val="1"/>
        </w:numPr>
        <w:contextualSpacing/>
        <w:jc w:val="both"/>
        <w:rPr>
          <w:rFonts w:ascii="Cambria" w:hAnsi="Cambria"/>
        </w:rPr>
      </w:pPr>
      <w:r w:rsidRPr="0067626F">
        <w:rPr>
          <w:rFonts w:ascii="Cambria" w:hAnsi="Cambria"/>
        </w:rPr>
        <w:t>De conformidad con el Artículo 131, inciso b) de la Ley N°7558, corresponde al Superintendente tomar las medidas necesarias para ejecutar los acuerdos del CONASSIF.</w:t>
      </w:r>
    </w:p>
    <w:p w14:paraId="3E1657F0" w14:textId="77777777" w:rsidR="009B6A39" w:rsidRPr="0067626F" w:rsidRDefault="009B6A39" w:rsidP="000E6BFB">
      <w:pPr>
        <w:pStyle w:val="Default"/>
        <w:jc w:val="both"/>
        <w:rPr>
          <w:rFonts w:ascii="Cambria" w:hAnsi="Cambria"/>
        </w:rPr>
      </w:pPr>
    </w:p>
    <w:p w14:paraId="50D9085A" w14:textId="77777777" w:rsidR="00E543E3" w:rsidRPr="0067626F" w:rsidRDefault="00E543E3" w:rsidP="00E543E3">
      <w:pPr>
        <w:autoSpaceDE w:val="0"/>
        <w:autoSpaceDN w:val="0"/>
        <w:adjustRightInd w:val="0"/>
        <w:spacing w:line="240" w:lineRule="auto"/>
        <w:rPr>
          <w:color w:val="000000"/>
          <w:sz w:val="24"/>
        </w:rPr>
      </w:pPr>
      <w:r w:rsidRPr="0067626F">
        <w:rPr>
          <w:b/>
          <w:color w:val="000000"/>
          <w:sz w:val="24"/>
        </w:rPr>
        <w:t>Dispone</w:t>
      </w:r>
      <w:r w:rsidRPr="0067626F">
        <w:rPr>
          <w:color w:val="000000"/>
          <w:sz w:val="24"/>
        </w:rPr>
        <w:t xml:space="preserve">: </w:t>
      </w:r>
    </w:p>
    <w:p w14:paraId="70C3A8A7" w14:textId="31223ED6" w:rsidR="00E543E3" w:rsidRPr="0067626F" w:rsidRDefault="00E543E3" w:rsidP="00E543E3">
      <w:pPr>
        <w:pStyle w:val="Prrafodelista"/>
        <w:numPr>
          <w:ilvl w:val="0"/>
          <w:numId w:val="4"/>
        </w:numPr>
        <w:autoSpaceDE w:val="0"/>
        <w:autoSpaceDN w:val="0"/>
        <w:adjustRightInd w:val="0"/>
        <w:spacing w:line="240" w:lineRule="auto"/>
        <w:jc w:val="both"/>
        <w:rPr>
          <w:color w:val="000000"/>
          <w:sz w:val="24"/>
        </w:rPr>
      </w:pPr>
      <w:r w:rsidRPr="0067626F">
        <w:rPr>
          <w:sz w:val="24"/>
          <w:lang w:val="es-419"/>
        </w:rPr>
        <w:t xml:space="preserve">Actualizar las cuentas contables en las que se registran los créditos concedidos al Estado y demás instituciones de derecho público, para efectos de la aplicación del inciso 5) del Artículo 61 de la Ley Orgánica del Sistema Bancario Nacional, </w:t>
      </w:r>
      <w:r w:rsidRPr="0067626F">
        <w:rPr>
          <w:color w:val="000000"/>
          <w:sz w:val="24"/>
        </w:rPr>
        <w:t xml:space="preserve">en relación con las disposiciones contenidas en los Anexos I y III del </w:t>
      </w:r>
      <w:r w:rsidRPr="0067626F">
        <w:rPr>
          <w:i/>
          <w:color w:val="000000"/>
          <w:sz w:val="24"/>
        </w:rPr>
        <w:t>Reglamento de Información Financiera</w:t>
      </w:r>
      <w:r w:rsidRPr="0067626F">
        <w:rPr>
          <w:color w:val="000000"/>
          <w:sz w:val="24"/>
        </w:rPr>
        <w:t xml:space="preserve"> de conformidad con el siguiente texto:</w:t>
      </w:r>
    </w:p>
    <w:p w14:paraId="31195010" w14:textId="77777777" w:rsidR="0067626F" w:rsidRDefault="0067626F" w:rsidP="000867E7">
      <w:pPr>
        <w:pStyle w:val="Prrafodelista"/>
        <w:autoSpaceDE w:val="0"/>
        <w:autoSpaceDN w:val="0"/>
        <w:adjustRightInd w:val="0"/>
        <w:spacing w:line="240" w:lineRule="auto"/>
        <w:jc w:val="both"/>
        <w:rPr>
          <w:i/>
          <w:color w:val="000000"/>
          <w:sz w:val="24"/>
        </w:rPr>
      </w:pPr>
    </w:p>
    <w:p w14:paraId="6F9AE900" w14:textId="54CA4969" w:rsidR="00E543E3" w:rsidRPr="0067626F" w:rsidRDefault="00E543E3" w:rsidP="000867E7">
      <w:pPr>
        <w:pStyle w:val="Prrafodelista"/>
        <w:autoSpaceDE w:val="0"/>
        <w:autoSpaceDN w:val="0"/>
        <w:adjustRightInd w:val="0"/>
        <w:spacing w:line="240" w:lineRule="auto"/>
        <w:jc w:val="both"/>
        <w:rPr>
          <w:i/>
          <w:color w:val="000000"/>
          <w:sz w:val="24"/>
        </w:rPr>
      </w:pPr>
      <w:r w:rsidRPr="0067626F">
        <w:rPr>
          <w:i/>
          <w:color w:val="000000"/>
          <w:sz w:val="24"/>
        </w:rPr>
        <w:t>Entre otras operaciones, pero no limitadas a éstas, deberán considerarse como operaciones activas directas o indirectas aquellas que por su naturaleza se registran en las siguientes cuentas o subcuentas, conforme la codificación del</w:t>
      </w:r>
      <w:r w:rsidRPr="0067626F">
        <w:rPr>
          <w:i/>
          <w:sz w:val="24"/>
          <w:lang w:val="es-419"/>
        </w:rPr>
        <w:t xml:space="preserve"> Reglamento de Información Financiera</w:t>
      </w:r>
      <w:r w:rsidRPr="0067626F">
        <w:rPr>
          <w:i/>
          <w:color w:val="000000"/>
          <w:sz w:val="24"/>
        </w:rPr>
        <w:t>:</w:t>
      </w:r>
    </w:p>
    <w:p w14:paraId="61348151" w14:textId="77777777" w:rsidR="000E6BFB" w:rsidRPr="0067626F" w:rsidRDefault="000E6BFB" w:rsidP="000E6BFB">
      <w:pPr>
        <w:autoSpaceDE w:val="0"/>
        <w:autoSpaceDN w:val="0"/>
        <w:adjustRightInd w:val="0"/>
        <w:spacing w:after="0" w:line="240" w:lineRule="auto"/>
        <w:ind w:left="567"/>
        <w:jc w:val="both"/>
        <w:rPr>
          <w:rFonts w:ascii="Cambria" w:hAnsi="Cambria"/>
          <w:sz w:val="24"/>
          <w:szCs w:val="24"/>
        </w:rPr>
      </w:pPr>
    </w:p>
    <w:tbl>
      <w:tblPr>
        <w:tblStyle w:val="Tablaconcuadrcula"/>
        <w:tblW w:w="10060" w:type="dxa"/>
        <w:jc w:val="center"/>
        <w:tblLayout w:type="fixed"/>
        <w:tblLook w:val="04A0" w:firstRow="1" w:lastRow="0" w:firstColumn="1" w:lastColumn="0" w:noHBand="0" w:noVBand="1"/>
      </w:tblPr>
      <w:tblGrid>
        <w:gridCol w:w="2547"/>
        <w:gridCol w:w="7513"/>
      </w:tblGrid>
      <w:tr w:rsidR="00D60C46" w:rsidRPr="0067626F" w14:paraId="4C91AE84" w14:textId="77777777" w:rsidTr="00E543E3">
        <w:trPr>
          <w:trHeight w:val="20"/>
          <w:tblHeader/>
          <w:jc w:val="center"/>
        </w:trPr>
        <w:tc>
          <w:tcPr>
            <w:tcW w:w="10060" w:type="dxa"/>
            <w:gridSpan w:val="2"/>
          </w:tcPr>
          <w:p w14:paraId="613BC216" w14:textId="77777777" w:rsidR="00D60C46" w:rsidRPr="0067626F" w:rsidRDefault="00D60C46" w:rsidP="000E6BFB">
            <w:pPr>
              <w:jc w:val="both"/>
              <w:rPr>
                <w:rFonts w:ascii="Cambria" w:hAnsi="Cambria"/>
                <w:b/>
                <w:i/>
                <w:color w:val="000000"/>
                <w:sz w:val="24"/>
                <w:szCs w:val="24"/>
              </w:rPr>
            </w:pPr>
            <w:r w:rsidRPr="0067626F">
              <w:rPr>
                <w:rFonts w:ascii="Cambria" w:hAnsi="Cambria"/>
                <w:b/>
                <w:i/>
                <w:color w:val="000000"/>
                <w:sz w:val="24"/>
                <w:szCs w:val="24"/>
              </w:rPr>
              <w:t>Grupo 130 Cartera de Créditos</w:t>
            </w:r>
          </w:p>
        </w:tc>
      </w:tr>
      <w:tr w:rsidR="00D60C46" w:rsidRPr="0067626F" w14:paraId="58E02A80" w14:textId="77777777" w:rsidTr="00E543E3">
        <w:trPr>
          <w:trHeight w:val="20"/>
          <w:jc w:val="center"/>
        </w:trPr>
        <w:tc>
          <w:tcPr>
            <w:tcW w:w="2547" w:type="dxa"/>
          </w:tcPr>
          <w:p w14:paraId="0BE0E6B5" w14:textId="77777777"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131.35</w:t>
            </w:r>
          </w:p>
        </w:tc>
        <w:tc>
          <w:tcPr>
            <w:tcW w:w="7513" w:type="dxa"/>
          </w:tcPr>
          <w:p w14:paraId="4DFF5EAE" w14:textId="0BD591E8" w:rsidR="00D60C46" w:rsidRPr="0067626F" w:rsidRDefault="000E6BFB" w:rsidP="000E6BFB">
            <w:pPr>
              <w:jc w:val="both"/>
              <w:rPr>
                <w:rFonts w:ascii="Cambria" w:hAnsi="Cambria"/>
                <w:i/>
                <w:color w:val="000000"/>
                <w:sz w:val="24"/>
                <w:szCs w:val="24"/>
              </w:rPr>
            </w:pPr>
            <w:r w:rsidRPr="0067626F">
              <w:rPr>
                <w:rFonts w:ascii="Cambria" w:hAnsi="Cambria"/>
                <w:i/>
                <w:color w:val="000000"/>
                <w:sz w:val="24"/>
                <w:szCs w:val="24"/>
              </w:rPr>
              <w:t>Créditos – Sector Público</w:t>
            </w:r>
          </w:p>
        </w:tc>
      </w:tr>
      <w:tr w:rsidR="00D60C46" w:rsidRPr="0067626F" w14:paraId="11B569CF" w14:textId="77777777" w:rsidTr="00E543E3">
        <w:trPr>
          <w:trHeight w:val="20"/>
          <w:jc w:val="center"/>
        </w:trPr>
        <w:tc>
          <w:tcPr>
            <w:tcW w:w="2547" w:type="dxa"/>
          </w:tcPr>
          <w:p w14:paraId="579E92DB" w14:textId="04F3E9B0"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132.35</w:t>
            </w:r>
          </w:p>
        </w:tc>
        <w:tc>
          <w:tcPr>
            <w:tcW w:w="7513" w:type="dxa"/>
          </w:tcPr>
          <w:p w14:paraId="7974D251" w14:textId="5153826B"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C</w:t>
            </w:r>
            <w:r w:rsidR="000E6BFB" w:rsidRPr="0067626F">
              <w:rPr>
                <w:rFonts w:ascii="Cambria" w:hAnsi="Cambria"/>
                <w:i/>
                <w:color w:val="000000"/>
                <w:sz w:val="24"/>
                <w:szCs w:val="24"/>
              </w:rPr>
              <w:t>réditos - Sector Público</w:t>
            </w:r>
          </w:p>
        </w:tc>
      </w:tr>
      <w:tr w:rsidR="00D60C46" w:rsidRPr="0067626F" w14:paraId="5F296E0F" w14:textId="77777777" w:rsidTr="00E543E3">
        <w:trPr>
          <w:trHeight w:val="20"/>
          <w:jc w:val="center"/>
        </w:trPr>
        <w:tc>
          <w:tcPr>
            <w:tcW w:w="2547" w:type="dxa"/>
          </w:tcPr>
          <w:p w14:paraId="274F64DD" w14:textId="1C58C4EE"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133.35</w:t>
            </w:r>
          </w:p>
        </w:tc>
        <w:tc>
          <w:tcPr>
            <w:tcW w:w="7513" w:type="dxa"/>
          </w:tcPr>
          <w:p w14:paraId="2BDD2D8E" w14:textId="63C20BFD"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C</w:t>
            </w:r>
            <w:r w:rsidR="000E6BFB" w:rsidRPr="0067626F">
              <w:rPr>
                <w:rFonts w:ascii="Cambria" w:hAnsi="Cambria"/>
                <w:i/>
                <w:color w:val="000000"/>
                <w:sz w:val="24"/>
                <w:szCs w:val="24"/>
              </w:rPr>
              <w:t>réditos - Sector Público</w:t>
            </w:r>
          </w:p>
        </w:tc>
      </w:tr>
      <w:tr w:rsidR="00D60C46" w:rsidRPr="0067626F" w14:paraId="7D491645" w14:textId="77777777" w:rsidTr="00E543E3">
        <w:trPr>
          <w:trHeight w:val="20"/>
          <w:jc w:val="center"/>
        </w:trPr>
        <w:tc>
          <w:tcPr>
            <w:tcW w:w="2547" w:type="dxa"/>
          </w:tcPr>
          <w:p w14:paraId="53702E9B" w14:textId="77777777"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134</w:t>
            </w:r>
          </w:p>
        </w:tc>
        <w:tc>
          <w:tcPr>
            <w:tcW w:w="7513" w:type="dxa"/>
          </w:tcPr>
          <w:p w14:paraId="11B8E580" w14:textId="4BC490DF"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Créditos Restringidos</w:t>
            </w:r>
            <w:r w:rsidRPr="0067626F">
              <w:rPr>
                <w:rFonts w:ascii="Cambria" w:hAnsi="Cambria"/>
                <w:b/>
                <w:i/>
                <w:color w:val="000000"/>
                <w:sz w:val="24"/>
                <w:szCs w:val="24"/>
              </w:rPr>
              <w:t>*</w:t>
            </w:r>
          </w:p>
        </w:tc>
      </w:tr>
      <w:tr w:rsidR="00D60C46" w:rsidRPr="0067626F" w14:paraId="4C9F7338" w14:textId="77777777" w:rsidTr="00E543E3">
        <w:trPr>
          <w:trHeight w:val="20"/>
          <w:jc w:val="center"/>
        </w:trPr>
        <w:tc>
          <w:tcPr>
            <w:tcW w:w="2547" w:type="dxa"/>
          </w:tcPr>
          <w:p w14:paraId="77E84CCC" w14:textId="77777777"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138.35</w:t>
            </w:r>
          </w:p>
        </w:tc>
        <w:tc>
          <w:tcPr>
            <w:tcW w:w="7513" w:type="dxa"/>
          </w:tcPr>
          <w:p w14:paraId="25D73881" w14:textId="77777777"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Productos por cobrar por Créditos – Sector Público</w:t>
            </w:r>
          </w:p>
        </w:tc>
      </w:tr>
      <w:tr w:rsidR="00351CF5" w:rsidRPr="0067626F" w14:paraId="57A734C1" w14:textId="77777777" w:rsidTr="00E543E3">
        <w:trPr>
          <w:trHeight w:val="20"/>
          <w:jc w:val="center"/>
        </w:trPr>
        <w:tc>
          <w:tcPr>
            <w:tcW w:w="2547" w:type="dxa"/>
          </w:tcPr>
          <w:p w14:paraId="76ADDB5B" w14:textId="6092CB6A" w:rsidR="00351CF5" w:rsidRPr="0067626F" w:rsidRDefault="00351CF5" w:rsidP="000E6BFB">
            <w:pPr>
              <w:jc w:val="both"/>
              <w:rPr>
                <w:rFonts w:ascii="Cambria" w:hAnsi="Cambria"/>
                <w:i/>
                <w:color w:val="000000"/>
                <w:sz w:val="24"/>
                <w:szCs w:val="24"/>
              </w:rPr>
            </w:pPr>
            <w:r w:rsidRPr="0067626F">
              <w:rPr>
                <w:rFonts w:ascii="Cambria" w:hAnsi="Cambria"/>
                <w:i/>
                <w:color w:val="000000"/>
                <w:sz w:val="24"/>
                <w:szCs w:val="24"/>
              </w:rPr>
              <w:t>138.41</w:t>
            </w:r>
          </w:p>
        </w:tc>
        <w:tc>
          <w:tcPr>
            <w:tcW w:w="7513" w:type="dxa"/>
          </w:tcPr>
          <w:p w14:paraId="06C53C4E" w14:textId="35960529" w:rsidR="00351CF5" w:rsidRPr="0067626F" w:rsidRDefault="00351CF5" w:rsidP="000E6BFB">
            <w:pPr>
              <w:jc w:val="both"/>
              <w:rPr>
                <w:rFonts w:ascii="Cambria" w:hAnsi="Cambria"/>
                <w:i/>
                <w:color w:val="000000"/>
                <w:sz w:val="24"/>
                <w:szCs w:val="24"/>
              </w:rPr>
            </w:pPr>
            <w:r w:rsidRPr="0067626F">
              <w:rPr>
                <w:rFonts w:ascii="Cambria" w:hAnsi="Cambria"/>
                <w:i/>
                <w:color w:val="000000"/>
                <w:sz w:val="24"/>
                <w:szCs w:val="24"/>
              </w:rPr>
              <w:t>Cuentas por cobrar asociadas a cartera de créditos</w:t>
            </w:r>
            <w:r w:rsidRPr="0067626F">
              <w:rPr>
                <w:rFonts w:ascii="Cambria" w:hAnsi="Cambria"/>
                <w:b/>
                <w:i/>
                <w:color w:val="000000"/>
                <w:sz w:val="24"/>
                <w:szCs w:val="24"/>
              </w:rPr>
              <w:t>*</w:t>
            </w:r>
          </w:p>
        </w:tc>
      </w:tr>
    </w:tbl>
    <w:p w14:paraId="64FFFF1A" w14:textId="6030E9F5" w:rsidR="00C15062" w:rsidRPr="0067626F" w:rsidRDefault="000E6BFB" w:rsidP="000E6BFB">
      <w:pPr>
        <w:autoSpaceDE w:val="0"/>
        <w:autoSpaceDN w:val="0"/>
        <w:adjustRightInd w:val="0"/>
        <w:spacing w:after="0" w:line="240" w:lineRule="auto"/>
        <w:ind w:left="567" w:hanging="567"/>
        <w:jc w:val="both"/>
        <w:rPr>
          <w:rFonts w:ascii="Cambria" w:hAnsi="Cambria"/>
          <w:i/>
          <w:sz w:val="24"/>
          <w:szCs w:val="24"/>
        </w:rPr>
      </w:pPr>
      <w:r w:rsidRPr="0067626F">
        <w:rPr>
          <w:rFonts w:ascii="Cambria" w:hAnsi="Cambria"/>
          <w:b/>
          <w:i/>
          <w:sz w:val="24"/>
          <w:szCs w:val="24"/>
        </w:rPr>
        <w:t>*</w:t>
      </w:r>
      <w:r w:rsidRPr="0067626F">
        <w:rPr>
          <w:rFonts w:ascii="Cambria" w:hAnsi="Cambria"/>
          <w:i/>
          <w:sz w:val="24"/>
          <w:szCs w:val="24"/>
        </w:rPr>
        <w:tab/>
      </w:r>
      <w:r w:rsidR="00EB384B" w:rsidRPr="0067626F">
        <w:rPr>
          <w:rFonts w:ascii="Cambria" w:hAnsi="Cambria"/>
          <w:i/>
          <w:sz w:val="20"/>
          <w:szCs w:val="20"/>
        </w:rPr>
        <w:t>C</w:t>
      </w:r>
      <w:r w:rsidR="00C15062" w:rsidRPr="0067626F">
        <w:rPr>
          <w:rFonts w:ascii="Cambria" w:hAnsi="Cambria"/>
          <w:i/>
          <w:sz w:val="20"/>
          <w:szCs w:val="20"/>
        </w:rPr>
        <w:t>réditos restringidos concedidos al Estado y demás instituciones de derecho público, en cumplimiento de lo dispuesto en el inciso 5) del Artículo 61 de la Ley Orgánica del Sistema Bancario Nacional</w:t>
      </w:r>
      <w:r w:rsidR="00EB384B" w:rsidRPr="0067626F">
        <w:rPr>
          <w:rFonts w:ascii="Cambria" w:hAnsi="Cambria"/>
          <w:i/>
          <w:sz w:val="20"/>
          <w:szCs w:val="20"/>
        </w:rPr>
        <w:t>.</w:t>
      </w:r>
    </w:p>
    <w:p w14:paraId="59395DB1" w14:textId="77777777" w:rsidR="000E6BFB" w:rsidRPr="0067626F" w:rsidRDefault="000E6BFB" w:rsidP="000E6BFB">
      <w:pPr>
        <w:autoSpaceDE w:val="0"/>
        <w:autoSpaceDN w:val="0"/>
        <w:adjustRightInd w:val="0"/>
        <w:spacing w:after="0" w:line="240" w:lineRule="auto"/>
        <w:jc w:val="both"/>
        <w:rPr>
          <w:rFonts w:ascii="Cambria" w:hAnsi="Cambria"/>
          <w:i/>
          <w:color w:val="000000"/>
          <w:sz w:val="24"/>
          <w:szCs w:val="24"/>
        </w:rPr>
      </w:pPr>
    </w:p>
    <w:tbl>
      <w:tblPr>
        <w:tblStyle w:val="Tablaconcuadrcula"/>
        <w:tblW w:w="10060" w:type="dxa"/>
        <w:tblLook w:val="04A0" w:firstRow="1" w:lastRow="0" w:firstColumn="1" w:lastColumn="0" w:noHBand="0" w:noVBand="1"/>
      </w:tblPr>
      <w:tblGrid>
        <w:gridCol w:w="2830"/>
        <w:gridCol w:w="7230"/>
      </w:tblGrid>
      <w:tr w:rsidR="00D60C46" w:rsidRPr="0067626F" w14:paraId="7D1B6094" w14:textId="77777777" w:rsidTr="000E6BFB">
        <w:trPr>
          <w:trHeight w:val="20"/>
        </w:trPr>
        <w:tc>
          <w:tcPr>
            <w:tcW w:w="10060" w:type="dxa"/>
            <w:gridSpan w:val="2"/>
          </w:tcPr>
          <w:p w14:paraId="7E5E276C" w14:textId="2999370A" w:rsidR="00D60C46" w:rsidRPr="0067626F" w:rsidRDefault="00D60C46" w:rsidP="00351CF5">
            <w:pPr>
              <w:jc w:val="both"/>
              <w:rPr>
                <w:rFonts w:ascii="Cambria" w:hAnsi="Cambria"/>
                <w:b/>
                <w:i/>
                <w:color w:val="000000"/>
                <w:sz w:val="24"/>
                <w:szCs w:val="24"/>
              </w:rPr>
            </w:pPr>
            <w:r w:rsidRPr="0067626F">
              <w:rPr>
                <w:rFonts w:ascii="Cambria" w:hAnsi="Cambria"/>
                <w:b/>
                <w:i/>
                <w:color w:val="000000"/>
                <w:sz w:val="24"/>
                <w:szCs w:val="24"/>
              </w:rPr>
              <w:t>Grupo 140</w:t>
            </w:r>
            <w:r w:rsidR="000E6BFB" w:rsidRPr="0067626F">
              <w:rPr>
                <w:rFonts w:ascii="Cambria" w:hAnsi="Cambria"/>
                <w:b/>
                <w:i/>
                <w:color w:val="000000"/>
                <w:sz w:val="24"/>
                <w:szCs w:val="24"/>
              </w:rPr>
              <w:t xml:space="preserve"> </w:t>
            </w:r>
            <w:r w:rsidRPr="0067626F">
              <w:rPr>
                <w:rFonts w:ascii="Cambria" w:hAnsi="Cambria"/>
                <w:b/>
                <w:i/>
                <w:color w:val="000000"/>
                <w:sz w:val="24"/>
                <w:szCs w:val="24"/>
              </w:rPr>
              <w:t xml:space="preserve">Cuentas y </w:t>
            </w:r>
            <w:r w:rsidR="00351CF5" w:rsidRPr="0067626F">
              <w:rPr>
                <w:rFonts w:ascii="Cambria" w:hAnsi="Cambria"/>
                <w:b/>
                <w:i/>
                <w:color w:val="000000"/>
                <w:sz w:val="24"/>
                <w:szCs w:val="24"/>
              </w:rPr>
              <w:t xml:space="preserve">Comisiones </w:t>
            </w:r>
            <w:r w:rsidRPr="0067626F">
              <w:rPr>
                <w:rFonts w:ascii="Cambria" w:hAnsi="Cambria"/>
                <w:b/>
                <w:i/>
                <w:color w:val="000000"/>
                <w:sz w:val="24"/>
                <w:szCs w:val="24"/>
              </w:rPr>
              <w:t>por Cobrar</w:t>
            </w:r>
            <w:r w:rsidR="00351CF5" w:rsidRPr="0067626F">
              <w:rPr>
                <w:rFonts w:ascii="Cambria" w:hAnsi="Cambria"/>
                <w:b/>
                <w:i/>
                <w:color w:val="000000"/>
                <w:sz w:val="24"/>
                <w:szCs w:val="24"/>
              </w:rPr>
              <w:t>*</w:t>
            </w:r>
          </w:p>
        </w:tc>
      </w:tr>
      <w:tr w:rsidR="00D60C46" w:rsidRPr="0067626F" w14:paraId="14D963FF" w14:textId="77777777" w:rsidTr="000E6BFB">
        <w:trPr>
          <w:trHeight w:val="20"/>
        </w:trPr>
        <w:tc>
          <w:tcPr>
            <w:tcW w:w="2830" w:type="dxa"/>
          </w:tcPr>
          <w:p w14:paraId="5C23EA7C" w14:textId="77777777"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142.01</w:t>
            </w:r>
          </w:p>
        </w:tc>
        <w:tc>
          <w:tcPr>
            <w:tcW w:w="7230" w:type="dxa"/>
          </w:tcPr>
          <w:p w14:paraId="68E784AA" w14:textId="77777777"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Comisiones por cobrar por créditos contingentes</w:t>
            </w:r>
          </w:p>
        </w:tc>
      </w:tr>
      <w:tr w:rsidR="00D60C46" w:rsidRPr="0067626F" w14:paraId="0F70E671" w14:textId="77777777" w:rsidTr="000E6BFB">
        <w:trPr>
          <w:trHeight w:val="20"/>
        </w:trPr>
        <w:tc>
          <w:tcPr>
            <w:tcW w:w="2830" w:type="dxa"/>
          </w:tcPr>
          <w:p w14:paraId="72DDF93D" w14:textId="77777777"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147.04</w:t>
            </w:r>
          </w:p>
        </w:tc>
        <w:tc>
          <w:tcPr>
            <w:tcW w:w="7230" w:type="dxa"/>
          </w:tcPr>
          <w:p w14:paraId="48AF7D90" w14:textId="77777777"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Otros Gastos por recuperar</w:t>
            </w:r>
          </w:p>
        </w:tc>
      </w:tr>
      <w:tr w:rsidR="00D60C46" w:rsidRPr="0067626F" w14:paraId="156CD0CE" w14:textId="77777777" w:rsidTr="000E6BFB">
        <w:trPr>
          <w:trHeight w:val="20"/>
        </w:trPr>
        <w:tc>
          <w:tcPr>
            <w:tcW w:w="2830" w:type="dxa"/>
          </w:tcPr>
          <w:p w14:paraId="79452A74" w14:textId="77777777"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148</w:t>
            </w:r>
          </w:p>
        </w:tc>
        <w:tc>
          <w:tcPr>
            <w:tcW w:w="7230" w:type="dxa"/>
          </w:tcPr>
          <w:p w14:paraId="6D7AA730" w14:textId="77777777"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Productos por cobrar asociados a las cuentas por cobrar (derivados de las transacciones registradas en las cuentas y subcuentas de este grupo detallado anteriormente)</w:t>
            </w:r>
          </w:p>
        </w:tc>
      </w:tr>
    </w:tbl>
    <w:p w14:paraId="34D879B4" w14:textId="77777777" w:rsidR="00351CF5" w:rsidRPr="0067626F" w:rsidRDefault="00351CF5" w:rsidP="00351CF5">
      <w:pPr>
        <w:autoSpaceDE w:val="0"/>
        <w:autoSpaceDN w:val="0"/>
        <w:adjustRightInd w:val="0"/>
        <w:spacing w:after="0" w:line="240" w:lineRule="auto"/>
        <w:ind w:left="567" w:hanging="567"/>
        <w:jc w:val="both"/>
        <w:rPr>
          <w:rFonts w:ascii="Cambria" w:hAnsi="Cambria"/>
          <w:i/>
          <w:sz w:val="24"/>
          <w:szCs w:val="24"/>
        </w:rPr>
      </w:pPr>
      <w:r w:rsidRPr="0067626F">
        <w:rPr>
          <w:rFonts w:ascii="Cambria" w:hAnsi="Cambria"/>
          <w:b/>
          <w:i/>
          <w:sz w:val="24"/>
          <w:szCs w:val="24"/>
        </w:rPr>
        <w:t>*</w:t>
      </w:r>
      <w:r w:rsidRPr="0067626F">
        <w:rPr>
          <w:rFonts w:ascii="Cambria" w:hAnsi="Cambria"/>
          <w:i/>
          <w:sz w:val="24"/>
          <w:szCs w:val="24"/>
        </w:rPr>
        <w:tab/>
      </w:r>
      <w:r w:rsidRPr="0067626F">
        <w:rPr>
          <w:rFonts w:ascii="Cambria" w:hAnsi="Cambria"/>
          <w:i/>
          <w:sz w:val="20"/>
          <w:szCs w:val="20"/>
        </w:rPr>
        <w:t>Créditos restringidos concedidos al Estado y demás instituciones de derecho público, en cumplimiento de lo dispuesto en el inciso 5) del Artículo 61 de la Ley Orgánica del Sistema Bancario Nacional.</w:t>
      </w:r>
    </w:p>
    <w:p w14:paraId="0A9325C3" w14:textId="4226F9D9" w:rsidR="000E6BFB" w:rsidRPr="0067626F" w:rsidRDefault="000E6BFB" w:rsidP="000E6BFB">
      <w:pPr>
        <w:autoSpaceDE w:val="0"/>
        <w:autoSpaceDN w:val="0"/>
        <w:adjustRightInd w:val="0"/>
        <w:spacing w:after="0" w:line="240" w:lineRule="auto"/>
        <w:jc w:val="both"/>
        <w:rPr>
          <w:rFonts w:ascii="Cambria" w:hAnsi="Cambria"/>
          <w:color w:val="000000"/>
          <w:sz w:val="24"/>
          <w:szCs w:val="24"/>
        </w:rPr>
      </w:pPr>
    </w:p>
    <w:tbl>
      <w:tblPr>
        <w:tblStyle w:val="Tablaconcuadrcula"/>
        <w:tblW w:w="9925" w:type="dxa"/>
        <w:jc w:val="center"/>
        <w:tblLook w:val="04A0" w:firstRow="1" w:lastRow="0" w:firstColumn="1" w:lastColumn="0" w:noHBand="0" w:noVBand="1"/>
      </w:tblPr>
      <w:tblGrid>
        <w:gridCol w:w="2792"/>
        <w:gridCol w:w="7133"/>
      </w:tblGrid>
      <w:tr w:rsidR="00D60C46" w:rsidRPr="0067626F" w14:paraId="1D81D07E" w14:textId="77777777" w:rsidTr="00E543E3">
        <w:trPr>
          <w:trHeight w:val="20"/>
          <w:jc w:val="center"/>
        </w:trPr>
        <w:tc>
          <w:tcPr>
            <w:tcW w:w="9925" w:type="dxa"/>
            <w:gridSpan w:val="2"/>
          </w:tcPr>
          <w:p w14:paraId="3E0694A8" w14:textId="7522C12E" w:rsidR="00D60C46" w:rsidRPr="0067626F" w:rsidRDefault="00FC3DD6" w:rsidP="000E6BFB">
            <w:pPr>
              <w:jc w:val="both"/>
              <w:rPr>
                <w:rFonts w:ascii="Cambria" w:hAnsi="Cambria"/>
                <w:b/>
                <w:i/>
                <w:color w:val="000000"/>
                <w:sz w:val="24"/>
                <w:szCs w:val="24"/>
              </w:rPr>
            </w:pPr>
            <w:r w:rsidRPr="0067626F">
              <w:br w:type="page"/>
            </w:r>
            <w:r w:rsidR="00D60C46" w:rsidRPr="0067626F">
              <w:rPr>
                <w:rFonts w:ascii="Cambria" w:hAnsi="Cambria"/>
                <w:b/>
                <w:i/>
                <w:color w:val="000000"/>
                <w:sz w:val="24"/>
                <w:szCs w:val="24"/>
              </w:rPr>
              <w:t>Grupo 610</w:t>
            </w:r>
            <w:r w:rsidR="000E6BFB" w:rsidRPr="0067626F">
              <w:rPr>
                <w:rFonts w:ascii="Cambria" w:hAnsi="Cambria"/>
                <w:b/>
                <w:i/>
                <w:color w:val="000000"/>
                <w:sz w:val="24"/>
                <w:szCs w:val="24"/>
              </w:rPr>
              <w:t xml:space="preserve"> </w:t>
            </w:r>
            <w:r w:rsidR="00D60C46" w:rsidRPr="0067626F">
              <w:rPr>
                <w:rFonts w:ascii="Cambria" w:hAnsi="Cambria"/>
                <w:b/>
                <w:i/>
                <w:color w:val="000000"/>
                <w:sz w:val="24"/>
                <w:szCs w:val="24"/>
              </w:rPr>
              <w:t>Cuentas Contingentes Deudoras</w:t>
            </w:r>
            <w:r w:rsidR="00351CF5" w:rsidRPr="0067626F">
              <w:rPr>
                <w:rFonts w:ascii="Cambria" w:hAnsi="Cambria"/>
                <w:b/>
                <w:i/>
                <w:sz w:val="24"/>
                <w:szCs w:val="24"/>
              </w:rPr>
              <w:t>*</w:t>
            </w:r>
          </w:p>
        </w:tc>
      </w:tr>
      <w:tr w:rsidR="00D60C46" w:rsidRPr="0067626F" w14:paraId="715CE929" w14:textId="77777777" w:rsidTr="00E543E3">
        <w:trPr>
          <w:trHeight w:val="20"/>
          <w:jc w:val="center"/>
        </w:trPr>
        <w:tc>
          <w:tcPr>
            <w:tcW w:w="2792" w:type="dxa"/>
          </w:tcPr>
          <w:p w14:paraId="182834FD" w14:textId="77777777"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lastRenderedPageBreak/>
              <w:t>611.01.M.02</w:t>
            </w:r>
          </w:p>
        </w:tc>
        <w:tc>
          <w:tcPr>
            <w:tcW w:w="7133" w:type="dxa"/>
          </w:tcPr>
          <w:p w14:paraId="59857EC3" w14:textId="77777777"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Avales saldo sin depósito previo</w:t>
            </w:r>
          </w:p>
        </w:tc>
      </w:tr>
      <w:tr w:rsidR="00D60C46" w:rsidRPr="0067626F" w14:paraId="2B4A135A" w14:textId="77777777" w:rsidTr="00E543E3">
        <w:trPr>
          <w:trHeight w:val="20"/>
          <w:jc w:val="center"/>
        </w:trPr>
        <w:tc>
          <w:tcPr>
            <w:tcW w:w="2792" w:type="dxa"/>
          </w:tcPr>
          <w:p w14:paraId="1469C06F" w14:textId="77777777"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611.02.M.02</w:t>
            </w:r>
          </w:p>
        </w:tc>
        <w:tc>
          <w:tcPr>
            <w:tcW w:w="7133" w:type="dxa"/>
          </w:tcPr>
          <w:p w14:paraId="38082396" w14:textId="77777777"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Garantía de cumplimiento saldo sin depósito previo</w:t>
            </w:r>
          </w:p>
        </w:tc>
      </w:tr>
      <w:tr w:rsidR="00D60C46" w:rsidRPr="0067626F" w14:paraId="3B6E61F5" w14:textId="77777777" w:rsidTr="00E543E3">
        <w:trPr>
          <w:trHeight w:val="20"/>
          <w:jc w:val="center"/>
        </w:trPr>
        <w:tc>
          <w:tcPr>
            <w:tcW w:w="2792" w:type="dxa"/>
          </w:tcPr>
          <w:p w14:paraId="53D51FB6" w14:textId="77777777"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611.03.M.02</w:t>
            </w:r>
          </w:p>
        </w:tc>
        <w:tc>
          <w:tcPr>
            <w:tcW w:w="7133" w:type="dxa"/>
          </w:tcPr>
          <w:p w14:paraId="322E75EA" w14:textId="77777777"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Garantía de participación saldo sin depósito previo</w:t>
            </w:r>
          </w:p>
        </w:tc>
      </w:tr>
      <w:tr w:rsidR="00D60C46" w:rsidRPr="0067626F" w14:paraId="20188413" w14:textId="77777777" w:rsidTr="00E543E3">
        <w:trPr>
          <w:trHeight w:val="20"/>
          <w:jc w:val="center"/>
        </w:trPr>
        <w:tc>
          <w:tcPr>
            <w:tcW w:w="2792" w:type="dxa"/>
          </w:tcPr>
          <w:p w14:paraId="14B0C694" w14:textId="77777777"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611.04.M.02</w:t>
            </w:r>
          </w:p>
        </w:tc>
        <w:tc>
          <w:tcPr>
            <w:tcW w:w="7133" w:type="dxa"/>
          </w:tcPr>
          <w:p w14:paraId="5CBED5AF" w14:textId="77777777"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Otras garantías saldo sin depósito previo</w:t>
            </w:r>
          </w:p>
        </w:tc>
      </w:tr>
      <w:tr w:rsidR="00D60C46" w:rsidRPr="0067626F" w14:paraId="2E45CC0D" w14:textId="77777777" w:rsidTr="00E543E3">
        <w:trPr>
          <w:trHeight w:val="20"/>
          <w:jc w:val="center"/>
        </w:trPr>
        <w:tc>
          <w:tcPr>
            <w:tcW w:w="2792" w:type="dxa"/>
          </w:tcPr>
          <w:p w14:paraId="678F9D26" w14:textId="77777777"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612.02</w:t>
            </w:r>
          </w:p>
        </w:tc>
        <w:tc>
          <w:tcPr>
            <w:tcW w:w="7133" w:type="dxa"/>
          </w:tcPr>
          <w:p w14:paraId="0B8CA941" w14:textId="77777777"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Cartas de crédito a la vista saldo sin depósito previo</w:t>
            </w:r>
          </w:p>
        </w:tc>
      </w:tr>
      <w:tr w:rsidR="00D60C46" w:rsidRPr="0067626F" w14:paraId="1BCF66E2" w14:textId="77777777" w:rsidTr="00E543E3">
        <w:trPr>
          <w:trHeight w:val="20"/>
          <w:jc w:val="center"/>
        </w:trPr>
        <w:tc>
          <w:tcPr>
            <w:tcW w:w="2792" w:type="dxa"/>
          </w:tcPr>
          <w:p w14:paraId="46B1D35B" w14:textId="77777777"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612.04</w:t>
            </w:r>
          </w:p>
        </w:tc>
        <w:tc>
          <w:tcPr>
            <w:tcW w:w="7133" w:type="dxa"/>
          </w:tcPr>
          <w:p w14:paraId="2F063296" w14:textId="77777777"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Cartas de crédito diferidas saldo sin depósito previo</w:t>
            </w:r>
          </w:p>
        </w:tc>
      </w:tr>
      <w:tr w:rsidR="00D60C46" w:rsidRPr="0067626F" w14:paraId="0FAE0BCC" w14:textId="77777777" w:rsidTr="00E543E3">
        <w:trPr>
          <w:trHeight w:val="20"/>
          <w:jc w:val="center"/>
        </w:trPr>
        <w:tc>
          <w:tcPr>
            <w:tcW w:w="2792" w:type="dxa"/>
          </w:tcPr>
          <w:p w14:paraId="7EAA9D07" w14:textId="77777777"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613.01.M.02</w:t>
            </w:r>
          </w:p>
        </w:tc>
        <w:tc>
          <w:tcPr>
            <w:tcW w:w="7133" w:type="dxa"/>
          </w:tcPr>
          <w:p w14:paraId="725706D5" w14:textId="77777777"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Cartas de crédito confirmadas no negociadas saldo sin depósito previo</w:t>
            </w:r>
          </w:p>
        </w:tc>
      </w:tr>
      <w:tr w:rsidR="00D60C46" w:rsidRPr="0067626F" w14:paraId="49CBE817" w14:textId="77777777" w:rsidTr="00E543E3">
        <w:trPr>
          <w:trHeight w:val="20"/>
          <w:jc w:val="center"/>
        </w:trPr>
        <w:tc>
          <w:tcPr>
            <w:tcW w:w="2792" w:type="dxa"/>
          </w:tcPr>
          <w:p w14:paraId="230752AC" w14:textId="77777777"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614</w:t>
            </w:r>
          </w:p>
        </w:tc>
        <w:tc>
          <w:tcPr>
            <w:tcW w:w="7133" w:type="dxa"/>
          </w:tcPr>
          <w:p w14:paraId="6AFB67D9" w14:textId="77777777"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Documentos descontados</w:t>
            </w:r>
          </w:p>
        </w:tc>
      </w:tr>
      <w:tr w:rsidR="00D60C46" w:rsidRPr="0067626F" w14:paraId="6EC8282C" w14:textId="77777777" w:rsidTr="00E543E3">
        <w:trPr>
          <w:trHeight w:val="20"/>
          <w:jc w:val="center"/>
        </w:trPr>
        <w:tc>
          <w:tcPr>
            <w:tcW w:w="2792" w:type="dxa"/>
          </w:tcPr>
          <w:p w14:paraId="2E93A8BA" w14:textId="77777777"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615</w:t>
            </w:r>
          </w:p>
        </w:tc>
        <w:tc>
          <w:tcPr>
            <w:tcW w:w="7133" w:type="dxa"/>
          </w:tcPr>
          <w:p w14:paraId="71BCB066" w14:textId="77777777"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Líneas de crédito de utilización automática</w:t>
            </w:r>
          </w:p>
        </w:tc>
      </w:tr>
      <w:tr w:rsidR="00D60C46" w:rsidRPr="0067626F" w14:paraId="3489C56C" w14:textId="77777777" w:rsidTr="00E543E3">
        <w:trPr>
          <w:trHeight w:val="20"/>
          <w:jc w:val="center"/>
        </w:trPr>
        <w:tc>
          <w:tcPr>
            <w:tcW w:w="2792" w:type="dxa"/>
          </w:tcPr>
          <w:p w14:paraId="0FBA0837" w14:textId="77777777"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617.01</w:t>
            </w:r>
          </w:p>
        </w:tc>
        <w:tc>
          <w:tcPr>
            <w:tcW w:w="7133" w:type="dxa"/>
          </w:tcPr>
          <w:p w14:paraId="6ED9CC91" w14:textId="77777777"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Otras contingencias crediticias</w:t>
            </w:r>
          </w:p>
        </w:tc>
      </w:tr>
      <w:tr w:rsidR="00D60C46" w:rsidRPr="0067626F" w14:paraId="5D25DED1" w14:textId="77777777" w:rsidTr="00E543E3">
        <w:trPr>
          <w:trHeight w:val="20"/>
          <w:jc w:val="center"/>
        </w:trPr>
        <w:tc>
          <w:tcPr>
            <w:tcW w:w="2792" w:type="dxa"/>
          </w:tcPr>
          <w:p w14:paraId="3280BFC1" w14:textId="30DF635E"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619</w:t>
            </w:r>
          </w:p>
        </w:tc>
        <w:tc>
          <w:tcPr>
            <w:tcW w:w="7133" w:type="dxa"/>
          </w:tcPr>
          <w:p w14:paraId="10490A89" w14:textId="58C37DAC" w:rsidR="00D60C46" w:rsidRPr="0067626F" w:rsidRDefault="00D60C46" w:rsidP="000E6BFB">
            <w:pPr>
              <w:jc w:val="both"/>
              <w:rPr>
                <w:rFonts w:ascii="Cambria" w:hAnsi="Cambria"/>
                <w:i/>
                <w:color w:val="000000"/>
                <w:sz w:val="24"/>
                <w:szCs w:val="24"/>
              </w:rPr>
            </w:pPr>
            <w:r w:rsidRPr="0067626F">
              <w:rPr>
                <w:rFonts w:ascii="Cambria" w:hAnsi="Cambria"/>
                <w:i/>
                <w:color w:val="000000"/>
                <w:sz w:val="24"/>
                <w:szCs w:val="24"/>
              </w:rPr>
              <w:t>Créditos pendientes de desembolsar</w:t>
            </w:r>
          </w:p>
        </w:tc>
      </w:tr>
    </w:tbl>
    <w:p w14:paraId="301F1011" w14:textId="77777777" w:rsidR="00351CF5" w:rsidRPr="0067626F" w:rsidRDefault="00351CF5" w:rsidP="00351CF5">
      <w:pPr>
        <w:autoSpaceDE w:val="0"/>
        <w:autoSpaceDN w:val="0"/>
        <w:adjustRightInd w:val="0"/>
        <w:spacing w:after="0" w:line="240" w:lineRule="auto"/>
        <w:ind w:left="567" w:hanging="567"/>
        <w:jc w:val="both"/>
        <w:rPr>
          <w:rFonts w:ascii="Cambria" w:hAnsi="Cambria"/>
          <w:i/>
          <w:sz w:val="24"/>
          <w:szCs w:val="24"/>
        </w:rPr>
      </w:pPr>
      <w:r w:rsidRPr="0067626F">
        <w:rPr>
          <w:rFonts w:ascii="Cambria" w:hAnsi="Cambria"/>
          <w:b/>
          <w:i/>
          <w:sz w:val="24"/>
          <w:szCs w:val="24"/>
        </w:rPr>
        <w:t>*</w:t>
      </w:r>
      <w:r w:rsidRPr="0067626F">
        <w:rPr>
          <w:rFonts w:ascii="Cambria" w:hAnsi="Cambria"/>
          <w:i/>
          <w:sz w:val="24"/>
          <w:szCs w:val="24"/>
        </w:rPr>
        <w:tab/>
      </w:r>
      <w:r w:rsidRPr="0067626F">
        <w:rPr>
          <w:rFonts w:ascii="Cambria" w:hAnsi="Cambria"/>
          <w:i/>
          <w:sz w:val="20"/>
          <w:szCs w:val="20"/>
        </w:rPr>
        <w:t>Créditos restringidos concedidos al Estado y demás instituciones de derecho público, en cumplimiento de lo dispuesto en el inciso 5) del Artículo 61 de la Ley Orgánica del Sistema Bancario Nacional.</w:t>
      </w:r>
    </w:p>
    <w:p w14:paraId="10E1E8D9" w14:textId="77777777" w:rsidR="00D60C46" w:rsidRPr="0067626F" w:rsidRDefault="00D60C46" w:rsidP="000E6BFB">
      <w:pPr>
        <w:autoSpaceDE w:val="0"/>
        <w:autoSpaceDN w:val="0"/>
        <w:adjustRightInd w:val="0"/>
        <w:spacing w:after="0" w:line="240" w:lineRule="auto"/>
        <w:jc w:val="both"/>
        <w:rPr>
          <w:rFonts w:ascii="Cambria" w:hAnsi="Cambria"/>
          <w:color w:val="000000"/>
          <w:sz w:val="24"/>
          <w:szCs w:val="24"/>
        </w:rPr>
      </w:pPr>
    </w:p>
    <w:p w14:paraId="727B73F8" w14:textId="252F0268" w:rsidR="00E543E3" w:rsidRPr="0067626F" w:rsidRDefault="00E543E3" w:rsidP="000E6BFB">
      <w:pPr>
        <w:spacing w:after="0" w:line="240" w:lineRule="auto"/>
        <w:rPr>
          <w:rFonts w:ascii="Cambria" w:hAnsi="Cambria"/>
          <w:color w:val="000000"/>
          <w:sz w:val="24"/>
          <w:szCs w:val="24"/>
          <w:lang w:val="es-419"/>
        </w:rPr>
      </w:pPr>
    </w:p>
    <w:p w14:paraId="0C4A9BFC" w14:textId="14905A33" w:rsidR="00E543E3" w:rsidRPr="00B91DDE" w:rsidRDefault="00E543E3" w:rsidP="00E543E3">
      <w:pPr>
        <w:pStyle w:val="Prrafodelista"/>
        <w:numPr>
          <w:ilvl w:val="0"/>
          <w:numId w:val="4"/>
        </w:numPr>
        <w:autoSpaceDE w:val="0"/>
        <w:autoSpaceDN w:val="0"/>
        <w:adjustRightInd w:val="0"/>
        <w:spacing w:line="240" w:lineRule="auto"/>
        <w:jc w:val="both"/>
        <w:rPr>
          <w:color w:val="000000"/>
          <w:sz w:val="24"/>
        </w:rPr>
      </w:pPr>
      <w:r w:rsidRPr="00B91DDE">
        <w:rPr>
          <w:color w:val="000000"/>
          <w:sz w:val="24"/>
        </w:rPr>
        <w:t xml:space="preserve">Para determinar el porcentaje de endeudamiento que cada entidad mantiene con el estado y sus instituciones de derecho público, se debe sumar el total de las operaciones activas directas e indirectas que la entidad registra en las cuentas indicadas anteriormente y dividirlo entre la sumatoria del capital (310 Capital Social) y sus reservas (340 Reservas), la entidad presentará </w:t>
      </w:r>
      <w:r w:rsidRPr="00B91DDE" w:rsidDel="005F0F9C">
        <w:rPr>
          <w:color w:val="000000"/>
          <w:sz w:val="24"/>
        </w:rPr>
        <w:t xml:space="preserve"> </w:t>
      </w:r>
      <w:r w:rsidRPr="00B91DDE">
        <w:rPr>
          <w:color w:val="000000"/>
          <w:sz w:val="24"/>
        </w:rPr>
        <w:t xml:space="preserve">una infracción cuando el porcentaje resultante exceda al límite permitido. </w:t>
      </w:r>
    </w:p>
    <w:p w14:paraId="5C34AD26" w14:textId="77777777" w:rsidR="00E543E3" w:rsidRPr="00B91DDE" w:rsidRDefault="00E543E3" w:rsidP="00E543E3">
      <w:pPr>
        <w:pStyle w:val="Prrafodelista"/>
        <w:autoSpaceDE w:val="0"/>
        <w:autoSpaceDN w:val="0"/>
        <w:adjustRightInd w:val="0"/>
        <w:spacing w:line="240" w:lineRule="auto"/>
        <w:jc w:val="both"/>
        <w:rPr>
          <w:color w:val="000000"/>
          <w:sz w:val="24"/>
        </w:rPr>
      </w:pPr>
    </w:p>
    <w:p w14:paraId="6BE376B3" w14:textId="30BEBE69" w:rsidR="00E543E3" w:rsidRPr="00B91DDE" w:rsidRDefault="00E543E3" w:rsidP="00E543E3">
      <w:pPr>
        <w:pStyle w:val="Prrafodelista"/>
        <w:numPr>
          <w:ilvl w:val="0"/>
          <w:numId w:val="4"/>
        </w:numPr>
        <w:autoSpaceDE w:val="0"/>
        <w:autoSpaceDN w:val="0"/>
        <w:adjustRightInd w:val="0"/>
        <w:spacing w:line="240" w:lineRule="auto"/>
        <w:jc w:val="both"/>
        <w:rPr>
          <w:color w:val="000000"/>
          <w:sz w:val="24"/>
        </w:rPr>
      </w:pPr>
      <w:r w:rsidRPr="00B91DDE">
        <w:rPr>
          <w:color w:val="000000"/>
          <w:sz w:val="24"/>
        </w:rPr>
        <w:t>Para el reporte de las excepciones incluidas en el inciso 5) del Artículo 61 de la Ley Orgánica del Sistema Bancario Nacional, Ley No. 1644, las entidades deben utilizar los códigos establecidos en la tabla denominada “</w:t>
      </w:r>
      <w:proofErr w:type="spellStart"/>
      <w:r w:rsidRPr="00B91DDE">
        <w:rPr>
          <w:color w:val="000000"/>
          <w:sz w:val="24"/>
        </w:rPr>
        <w:t>Tipo_Naturaleza_Gasto</w:t>
      </w:r>
      <w:proofErr w:type="spellEnd"/>
      <w:r w:rsidRPr="00B91DDE">
        <w:rPr>
          <w:color w:val="000000"/>
          <w:sz w:val="24"/>
        </w:rPr>
        <w:t xml:space="preserve">”, que se encuentra en el Manual  de Información SICVECA/Crediticio/Línea Base Crédito (1.12) vigencia enero 2020, en el documento denominado </w:t>
      </w:r>
      <w:proofErr w:type="spellStart"/>
      <w:r w:rsidRPr="00B91DDE">
        <w:rPr>
          <w:color w:val="000000"/>
          <w:sz w:val="24"/>
        </w:rPr>
        <w:t>TablasDocumentacionXML</w:t>
      </w:r>
      <w:proofErr w:type="spellEnd"/>
      <w:r w:rsidRPr="00B91DDE">
        <w:rPr>
          <w:color w:val="000000"/>
          <w:sz w:val="24"/>
        </w:rPr>
        <w:softHyphen/>
        <w:t>_</w:t>
      </w:r>
      <w:r w:rsidRPr="00B91DDE">
        <w:rPr>
          <w:color w:val="000000"/>
          <w:sz w:val="24"/>
        </w:rPr>
        <w:softHyphen/>
      </w:r>
      <w:r w:rsidRPr="00B91DDE">
        <w:rPr>
          <w:color w:val="000000"/>
          <w:sz w:val="24"/>
        </w:rPr>
        <w:softHyphen/>
        <w:t>Segunda Parte (Línea base 1.12),  en la sección Naturaleza Económica del Gasto, ubicada en la siguiente dirección:</w:t>
      </w:r>
    </w:p>
    <w:p w14:paraId="0D111327" w14:textId="77777777" w:rsidR="00E543E3" w:rsidRPr="00B91DDE" w:rsidRDefault="00105006" w:rsidP="00E543E3">
      <w:pPr>
        <w:ind w:left="720"/>
        <w:rPr>
          <w:sz w:val="24"/>
          <w:lang w:val="es-419"/>
        </w:rPr>
      </w:pPr>
      <w:hyperlink r:id="rId13" w:history="1">
        <w:r w:rsidR="00E543E3" w:rsidRPr="00B91DDE">
          <w:rPr>
            <w:rStyle w:val="Hipervnculo"/>
            <w:sz w:val="24"/>
            <w:lang w:val="es-419"/>
          </w:rPr>
          <w:t>https://www.sugef.fi.cr/informacion_relevante/manuales/manual_sicveca/crediticio/Linea%20Base%20Credito%20(1.12)%20vigencia%20enero_2020.zip</w:t>
        </w:r>
      </w:hyperlink>
    </w:p>
    <w:p w14:paraId="40D7784D" w14:textId="77777777" w:rsidR="00E543E3" w:rsidRPr="00E543E3" w:rsidRDefault="00E543E3" w:rsidP="000E6BFB">
      <w:pPr>
        <w:spacing w:after="0" w:line="240" w:lineRule="auto"/>
        <w:rPr>
          <w:rFonts w:ascii="Cambria" w:hAnsi="Cambria"/>
          <w:color w:val="000000"/>
          <w:sz w:val="24"/>
          <w:szCs w:val="24"/>
          <w:lang w:val="es-419"/>
        </w:rPr>
      </w:pPr>
    </w:p>
    <w:p w14:paraId="0DF58A6D" w14:textId="717CA166" w:rsidR="00D60C46" w:rsidRPr="00B91DDE" w:rsidRDefault="00D60C46" w:rsidP="00B91DDE">
      <w:pPr>
        <w:pStyle w:val="Prrafodelista"/>
        <w:numPr>
          <w:ilvl w:val="0"/>
          <w:numId w:val="4"/>
        </w:numPr>
        <w:autoSpaceDE w:val="0"/>
        <w:autoSpaceDN w:val="0"/>
        <w:adjustRightInd w:val="0"/>
        <w:spacing w:line="240" w:lineRule="auto"/>
        <w:jc w:val="both"/>
        <w:rPr>
          <w:color w:val="000000"/>
          <w:sz w:val="24"/>
        </w:rPr>
      </w:pPr>
      <w:r w:rsidRPr="00B91DDE">
        <w:rPr>
          <w:color w:val="000000"/>
          <w:sz w:val="24"/>
        </w:rPr>
        <w:t xml:space="preserve">Derogar el Acuerdo del Superintendente </w:t>
      </w:r>
      <w:r w:rsidR="00511DF1" w:rsidRPr="00B91DDE">
        <w:rPr>
          <w:color w:val="000000"/>
          <w:sz w:val="24"/>
        </w:rPr>
        <w:t>SGF-503-2020</w:t>
      </w:r>
      <w:r w:rsidR="000E6BFB" w:rsidRPr="00B91DDE">
        <w:rPr>
          <w:color w:val="000000"/>
          <w:sz w:val="24"/>
        </w:rPr>
        <w:t xml:space="preserve"> del 13 de febrero del 2020</w:t>
      </w:r>
      <w:r w:rsidR="00511DF1" w:rsidRPr="00B91DDE">
        <w:rPr>
          <w:color w:val="000000"/>
          <w:sz w:val="24"/>
        </w:rPr>
        <w:t>.</w:t>
      </w:r>
    </w:p>
    <w:p w14:paraId="040C37D4" w14:textId="77777777" w:rsidR="00134E64" w:rsidRPr="00FC3DD6" w:rsidRDefault="00134E64" w:rsidP="000E6BFB">
      <w:pPr>
        <w:autoSpaceDE w:val="0"/>
        <w:autoSpaceDN w:val="0"/>
        <w:adjustRightInd w:val="0"/>
        <w:spacing w:after="0" w:line="240" w:lineRule="auto"/>
        <w:jc w:val="both"/>
        <w:rPr>
          <w:rFonts w:ascii="Cambria" w:hAnsi="Cambria"/>
          <w:color w:val="000000"/>
          <w:sz w:val="24"/>
          <w:szCs w:val="24"/>
        </w:rPr>
      </w:pPr>
    </w:p>
    <w:p w14:paraId="6CE68174" w14:textId="70AC0407" w:rsidR="00FB04B3" w:rsidRPr="00FC3DD6" w:rsidRDefault="00D60C46" w:rsidP="000E6BFB">
      <w:pPr>
        <w:autoSpaceDE w:val="0"/>
        <w:autoSpaceDN w:val="0"/>
        <w:adjustRightInd w:val="0"/>
        <w:spacing w:after="0" w:line="240" w:lineRule="auto"/>
        <w:jc w:val="both"/>
        <w:rPr>
          <w:rFonts w:ascii="Cambria" w:hAnsi="Cambria"/>
          <w:sz w:val="24"/>
          <w:szCs w:val="24"/>
        </w:rPr>
      </w:pPr>
      <w:r w:rsidRPr="00FC3DD6">
        <w:rPr>
          <w:rFonts w:ascii="Cambria" w:hAnsi="Cambria"/>
          <w:color w:val="000000"/>
          <w:sz w:val="24"/>
          <w:szCs w:val="24"/>
        </w:rPr>
        <w:t>Rige a partir de su comunicación.</w:t>
      </w:r>
    </w:p>
    <w:p w14:paraId="62013BAB" w14:textId="77777777" w:rsidR="00FB04B3" w:rsidRPr="00FC3DD6" w:rsidRDefault="00FB04B3" w:rsidP="000E6BFB">
      <w:pPr>
        <w:pStyle w:val="Texto"/>
        <w:spacing w:before="0" w:after="0" w:line="240" w:lineRule="auto"/>
        <w:rPr>
          <w:sz w:val="24"/>
          <w:lang w:val="es-CR"/>
        </w:rPr>
      </w:pPr>
    </w:p>
    <w:p w14:paraId="4427828C" w14:textId="77777777" w:rsidR="00D60C46" w:rsidRPr="00FC3DD6" w:rsidRDefault="00D60C46" w:rsidP="000E6BFB">
      <w:pPr>
        <w:pStyle w:val="Texto"/>
        <w:spacing w:before="0" w:after="0" w:line="240" w:lineRule="auto"/>
        <w:rPr>
          <w:sz w:val="24"/>
          <w:lang w:val="es-CR"/>
        </w:rPr>
      </w:pPr>
      <w:r w:rsidRPr="00FC3DD6">
        <w:rPr>
          <w:sz w:val="24"/>
          <w:lang w:val="es-CR"/>
        </w:rPr>
        <w:t>Atentamente,</w:t>
      </w:r>
    </w:p>
    <w:p w14:paraId="3AC8058F" w14:textId="77777777" w:rsidR="00D60C46" w:rsidRPr="00FC3DD6" w:rsidRDefault="00D60C46" w:rsidP="000E6BFB">
      <w:pPr>
        <w:spacing w:after="0" w:line="240" w:lineRule="auto"/>
        <w:jc w:val="both"/>
        <w:rPr>
          <w:rFonts w:ascii="Cambria" w:hAnsi="Cambria"/>
          <w:sz w:val="24"/>
          <w:szCs w:val="24"/>
        </w:rPr>
      </w:pPr>
      <w:r w:rsidRPr="00FC3DD6">
        <w:rPr>
          <w:rFonts w:ascii="Cambria" w:hAnsi="Cambria"/>
          <w:noProof/>
          <w:sz w:val="24"/>
          <w:szCs w:val="24"/>
          <w:lang w:eastAsia="es-CR"/>
        </w:rPr>
        <w:drawing>
          <wp:anchor distT="0" distB="0" distL="114300" distR="114300" simplePos="0" relativeHeight="251658240" behindDoc="1" locked="0" layoutInCell="1" allowOverlap="1" wp14:anchorId="27EA3679" wp14:editId="5F3887A9">
            <wp:simplePos x="0" y="0"/>
            <wp:positionH relativeFrom="margin">
              <wp:posOffset>-635</wp:posOffset>
            </wp:positionH>
            <wp:positionV relativeFrom="paragraph">
              <wp:posOffset>36830</wp:posOffset>
            </wp:positionV>
            <wp:extent cx="2343150" cy="3111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343150" cy="311150"/>
                    </a:xfrm>
                    <a:prstGeom prst="rect">
                      <a:avLst/>
                    </a:prstGeom>
                    <a:noFill/>
                  </pic:spPr>
                </pic:pic>
              </a:graphicData>
            </a:graphic>
            <wp14:sizeRelH relativeFrom="page">
              <wp14:pctWidth>0</wp14:pctWidth>
            </wp14:sizeRelH>
            <wp14:sizeRelV relativeFrom="page">
              <wp14:pctHeight>0</wp14:pctHeight>
            </wp14:sizeRelV>
          </wp:anchor>
        </w:drawing>
      </w:r>
    </w:p>
    <w:p w14:paraId="268A0A7B" w14:textId="77777777" w:rsidR="00D60C46" w:rsidRPr="00FC3DD6" w:rsidRDefault="00D60C46" w:rsidP="000E6BFB">
      <w:pPr>
        <w:spacing w:after="0" w:line="240" w:lineRule="auto"/>
        <w:jc w:val="both"/>
        <w:rPr>
          <w:rFonts w:ascii="Cambria" w:hAnsi="Cambria"/>
          <w:sz w:val="24"/>
          <w:szCs w:val="24"/>
        </w:rPr>
      </w:pPr>
    </w:p>
    <w:p w14:paraId="18C0C7C2" w14:textId="77777777" w:rsidR="009B6A39" w:rsidRPr="00FC3DD6" w:rsidRDefault="00D60C46" w:rsidP="000E6BFB">
      <w:pPr>
        <w:pStyle w:val="Negrita"/>
        <w:spacing w:line="240" w:lineRule="auto"/>
        <w:rPr>
          <w:b w:val="0"/>
          <w:sz w:val="24"/>
          <w:lang w:val="es-CR"/>
        </w:rPr>
      </w:pPr>
      <w:r w:rsidRPr="00FC3DD6">
        <w:rPr>
          <w:b w:val="0"/>
          <w:sz w:val="24"/>
          <w:lang w:val="es-CR"/>
        </w:rPr>
        <w:t>Bernardo Alfaro A.</w:t>
      </w:r>
    </w:p>
    <w:p w14:paraId="36BC245C" w14:textId="645B0B20" w:rsidR="00D60C46" w:rsidRPr="00FC3DD6" w:rsidRDefault="00D60C46" w:rsidP="000E6BFB">
      <w:pPr>
        <w:pStyle w:val="Negrita"/>
        <w:spacing w:line="240" w:lineRule="auto"/>
        <w:rPr>
          <w:sz w:val="24"/>
          <w:lang w:val="es-CR" w:eastAsia="es-CR"/>
        </w:rPr>
      </w:pPr>
      <w:r w:rsidRPr="00FC3DD6">
        <w:rPr>
          <w:sz w:val="24"/>
          <w:lang w:val="es-CR"/>
        </w:rPr>
        <w:t xml:space="preserve">Superintendente </w:t>
      </w:r>
    </w:p>
    <w:p w14:paraId="6ACBB0D1" w14:textId="77777777" w:rsidR="00D60C46" w:rsidRPr="00FC3DD6" w:rsidRDefault="00D60C46" w:rsidP="000E6BFB">
      <w:pPr>
        <w:pStyle w:val="Negrita"/>
        <w:spacing w:line="240" w:lineRule="auto"/>
        <w:rPr>
          <w:sz w:val="16"/>
          <w:szCs w:val="16"/>
          <w:lang w:val="es-CR" w:eastAsia="es-CR"/>
        </w:rPr>
      </w:pPr>
    </w:p>
    <w:p w14:paraId="146954E3" w14:textId="43F9B9CA" w:rsidR="00064CDD" w:rsidRPr="000867E7" w:rsidRDefault="00E543E3" w:rsidP="000E6BFB">
      <w:pPr>
        <w:autoSpaceDE w:val="0"/>
        <w:autoSpaceDN w:val="0"/>
        <w:adjustRightInd w:val="0"/>
        <w:spacing w:after="0" w:line="240" w:lineRule="auto"/>
        <w:jc w:val="both"/>
        <w:rPr>
          <w:rFonts w:ascii="Cambria" w:hAnsi="Cambria"/>
          <w:b/>
          <w:color w:val="000000"/>
          <w:sz w:val="16"/>
          <w:szCs w:val="16"/>
        </w:rPr>
      </w:pPr>
      <w:r w:rsidRPr="000867E7">
        <w:rPr>
          <w:rFonts w:ascii="Cambria" w:hAnsi="Cambria"/>
          <w:b/>
          <w:color w:val="000000"/>
          <w:sz w:val="16"/>
          <w:szCs w:val="16"/>
        </w:rPr>
        <w:t>JSC/</w:t>
      </w:r>
      <w:r w:rsidR="00D60C46" w:rsidRPr="000867E7">
        <w:rPr>
          <w:rFonts w:ascii="Cambria" w:hAnsi="Cambria"/>
          <w:b/>
          <w:color w:val="000000"/>
          <w:sz w:val="16"/>
          <w:szCs w:val="16"/>
        </w:rPr>
        <w:t>GAA/EAMS/ALVB/MACH-CRC/</w:t>
      </w:r>
      <w:proofErr w:type="spellStart"/>
      <w:r w:rsidR="00D60C46" w:rsidRPr="000867E7">
        <w:rPr>
          <w:rFonts w:ascii="Cambria" w:hAnsi="Cambria"/>
          <w:b/>
          <w:color w:val="000000"/>
          <w:sz w:val="16"/>
          <w:szCs w:val="16"/>
        </w:rPr>
        <w:t>gvl</w:t>
      </w:r>
      <w:proofErr w:type="spellEnd"/>
      <w:r w:rsidR="00D60C46" w:rsidRPr="000867E7">
        <w:rPr>
          <w:rFonts w:ascii="Cambria" w:hAnsi="Cambria"/>
          <w:b/>
          <w:color w:val="000000"/>
          <w:sz w:val="16"/>
          <w:szCs w:val="16"/>
        </w:rPr>
        <w:t>*</w:t>
      </w:r>
    </w:p>
    <w:sectPr w:rsidR="00064CDD" w:rsidRPr="000867E7" w:rsidSect="000E6BFB">
      <w:headerReference w:type="default" r:id="rId15"/>
      <w:footerReference w:type="default" r:id="rId1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58225" w14:textId="77777777" w:rsidR="006B62A6" w:rsidRDefault="006B62A6">
      <w:pPr>
        <w:spacing w:after="0" w:line="240" w:lineRule="auto"/>
      </w:pPr>
      <w:r>
        <w:separator/>
      </w:r>
    </w:p>
  </w:endnote>
  <w:endnote w:type="continuationSeparator" w:id="0">
    <w:p w14:paraId="78DC1B76" w14:textId="77777777" w:rsidR="006B62A6" w:rsidRDefault="006B62A6">
      <w:pPr>
        <w:spacing w:after="0" w:line="240" w:lineRule="auto"/>
      </w:pPr>
      <w:r>
        <w:continuationSeparator/>
      </w:r>
    </w:p>
  </w:endnote>
  <w:endnote w:type="continuationNotice" w:id="1">
    <w:p w14:paraId="0E35ADA3" w14:textId="77777777" w:rsidR="0062556C" w:rsidRDefault="00625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1617"/>
      <w:gridCol w:w="1472"/>
    </w:tblGrid>
    <w:tr w:rsidR="006B62A6" w14:paraId="1FA0F5AD" w14:textId="77777777" w:rsidTr="006B62A6">
      <w:tc>
        <w:tcPr>
          <w:tcW w:w="2942" w:type="dxa"/>
        </w:tcPr>
        <w:p w14:paraId="49E780E7" w14:textId="77777777" w:rsidR="006B62A6" w:rsidRDefault="006B62A6">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Pr>
              <w:b/>
              <w:color w:val="7F7F7F" w:themeColor="text1" w:themeTint="80"/>
              <w:sz w:val="16"/>
              <w:szCs w:val="16"/>
            </w:rPr>
            <w:t>-</w:t>
          </w:r>
          <w:r w:rsidRPr="009349F3">
            <w:rPr>
              <w:b/>
              <w:color w:val="7F7F7F" w:themeColor="text1" w:themeTint="80"/>
              <w:sz w:val="16"/>
              <w:szCs w:val="16"/>
            </w:rPr>
            <w:t>4848</w:t>
          </w:r>
        </w:p>
        <w:p w14:paraId="5148F2D0" w14:textId="77777777" w:rsidR="006B62A6" w:rsidRPr="009349F3" w:rsidRDefault="006B62A6">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14:paraId="7697E7AE" w14:textId="77777777" w:rsidR="006B62A6" w:rsidRPr="009349F3" w:rsidRDefault="006B62A6">
          <w:pPr>
            <w:pStyle w:val="Piedepgina"/>
            <w:rPr>
              <w:b/>
              <w:color w:val="7F7F7F" w:themeColor="text1" w:themeTint="80"/>
              <w:sz w:val="16"/>
              <w:szCs w:val="16"/>
            </w:rPr>
          </w:pPr>
        </w:p>
      </w:tc>
      <w:tc>
        <w:tcPr>
          <w:tcW w:w="2943" w:type="dxa"/>
        </w:tcPr>
        <w:p w14:paraId="3CA00169" w14:textId="77777777" w:rsidR="006B62A6" w:rsidRPr="009349F3" w:rsidRDefault="006B62A6" w:rsidP="006B62A6">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6162F514" w14:textId="77777777" w:rsidR="006B62A6" w:rsidRPr="009349F3" w:rsidRDefault="006B62A6">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2C60FB99" w14:textId="77777777" w:rsidR="006B62A6" w:rsidRPr="009349F3" w:rsidRDefault="006B62A6" w:rsidP="006B62A6">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105006">
            <w:rPr>
              <w:b/>
              <w:noProof/>
              <w:color w:val="7F7F7F" w:themeColor="text1" w:themeTint="80"/>
              <w:sz w:val="16"/>
              <w:szCs w:val="16"/>
            </w:rPr>
            <w:t>1</w:t>
          </w:r>
          <w:r w:rsidRPr="006972C9">
            <w:rPr>
              <w:b/>
              <w:color w:val="7F7F7F" w:themeColor="text1" w:themeTint="80"/>
              <w:sz w:val="16"/>
              <w:szCs w:val="16"/>
            </w:rPr>
            <w:fldChar w:fldCharType="end"/>
          </w:r>
        </w:p>
      </w:tc>
    </w:tr>
  </w:tbl>
  <w:p w14:paraId="7CFDA032" w14:textId="77777777" w:rsidR="006B62A6" w:rsidRDefault="006B62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2471F" w14:textId="77777777" w:rsidR="006B62A6" w:rsidRDefault="006B62A6">
      <w:pPr>
        <w:spacing w:after="0" w:line="240" w:lineRule="auto"/>
      </w:pPr>
      <w:r>
        <w:separator/>
      </w:r>
    </w:p>
  </w:footnote>
  <w:footnote w:type="continuationSeparator" w:id="0">
    <w:p w14:paraId="46C100BF" w14:textId="77777777" w:rsidR="006B62A6" w:rsidRDefault="006B62A6">
      <w:pPr>
        <w:spacing w:after="0" w:line="240" w:lineRule="auto"/>
      </w:pPr>
      <w:r>
        <w:continuationSeparator/>
      </w:r>
    </w:p>
  </w:footnote>
  <w:footnote w:type="continuationNotice" w:id="1">
    <w:p w14:paraId="53795EAF" w14:textId="77777777" w:rsidR="0062556C" w:rsidRDefault="0062556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DF96B" w14:textId="77777777" w:rsidR="006B62A6" w:rsidRDefault="006B62A6">
    <w:pPr>
      <w:pStyle w:val="Encabezado"/>
    </w:pPr>
    <w:r>
      <w:ptab w:relativeTo="margin" w:alignment="center" w:leader="none"/>
    </w:r>
    <w:r>
      <w:rPr>
        <w:noProof/>
        <w:lang w:val="es-CR" w:eastAsia="es-CR"/>
      </w:rPr>
      <w:drawing>
        <wp:inline distT="0" distB="0" distL="0" distR="0" wp14:anchorId="171D670E" wp14:editId="5E0733D0">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E25CC"/>
    <w:multiLevelType w:val="hybridMultilevel"/>
    <w:tmpl w:val="5F08482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CE816E1"/>
    <w:multiLevelType w:val="hybridMultilevel"/>
    <w:tmpl w:val="D430C6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357C0B85"/>
    <w:multiLevelType w:val="hybridMultilevel"/>
    <w:tmpl w:val="33B2823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7571D59"/>
    <w:multiLevelType w:val="hybridMultilevel"/>
    <w:tmpl w:val="60A654E4"/>
    <w:lvl w:ilvl="0" w:tplc="14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C46"/>
    <w:rsid w:val="0000596B"/>
    <w:rsid w:val="00030D34"/>
    <w:rsid w:val="00035133"/>
    <w:rsid w:val="00041298"/>
    <w:rsid w:val="000561EB"/>
    <w:rsid w:val="00062AC4"/>
    <w:rsid w:val="00062C17"/>
    <w:rsid w:val="00064CDD"/>
    <w:rsid w:val="000664DD"/>
    <w:rsid w:val="00074DBD"/>
    <w:rsid w:val="000867E7"/>
    <w:rsid w:val="000C2626"/>
    <w:rsid w:val="000C5116"/>
    <w:rsid w:val="000E0BC2"/>
    <w:rsid w:val="000E6BFB"/>
    <w:rsid w:val="00105006"/>
    <w:rsid w:val="00134E64"/>
    <w:rsid w:val="00142569"/>
    <w:rsid w:val="001527D4"/>
    <w:rsid w:val="00170BED"/>
    <w:rsid w:val="00192D9B"/>
    <w:rsid w:val="001A5A0F"/>
    <w:rsid w:val="001B5E9B"/>
    <w:rsid w:val="001C610C"/>
    <w:rsid w:val="00206B96"/>
    <w:rsid w:val="00214AA1"/>
    <w:rsid w:val="00220BE7"/>
    <w:rsid w:val="00231C0E"/>
    <w:rsid w:val="00234388"/>
    <w:rsid w:val="0028050B"/>
    <w:rsid w:val="0029188A"/>
    <w:rsid w:val="00296468"/>
    <w:rsid w:val="002F56CF"/>
    <w:rsid w:val="00300BCB"/>
    <w:rsid w:val="0031542D"/>
    <w:rsid w:val="00323977"/>
    <w:rsid w:val="003462CB"/>
    <w:rsid w:val="00347B76"/>
    <w:rsid w:val="00350707"/>
    <w:rsid w:val="00351CF5"/>
    <w:rsid w:val="00362C0E"/>
    <w:rsid w:val="00374131"/>
    <w:rsid w:val="0038109F"/>
    <w:rsid w:val="00385076"/>
    <w:rsid w:val="003871A2"/>
    <w:rsid w:val="003E363F"/>
    <w:rsid w:val="004073C0"/>
    <w:rsid w:val="00431B43"/>
    <w:rsid w:val="00433538"/>
    <w:rsid w:val="00447093"/>
    <w:rsid w:val="00496FE8"/>
    <w:rsid w:val="004A16B3"/>
    <w:rsid w:val="00501DBD"/>
    <w:rsid w:val="00511DF1"/>
    <w:rsid w:val="00522578"/>
    <w:rsid w:val="0053706F"/>
    <w:rsid w:val="005447E7"/>
    <w:rsid w:val="00555FB5"/>
    <w:rsid w:val="0059077A"/>
    <w:rsid w:val="005D1FC6"/>
    <w:rsid w:val="006076BE"/>
    <w:rsid w:val="006123A6"/>
    <w:rsid w:val="0062556C"/>
    <w:rsid w:val="00640586"/>
    <w:rsid w:val="00641E75"/>
    <w:rsid w:val="00646532"/>
    <w:rsid w:val="00672FDB"/>
    <w:rsid w:val="0067626F"/>
    <w:rsid w:val="006B62A6"/>
    <w:rsid w:val="006F2E35"/>
    <w:rsid w:val="00706D66"/>
    <w:rsid w:val="0073600E"/>
    <w:rsid w:val="00795848"/>
    <w:rsid w:val="007A679A"/>
    <w:rsid w:val="007B561C"/>
    <w:rsid w:val="007D18EC"/>
    <w:rsid w:val="007D21C2"/>
    <w:rsid w:val="007D5730"/>
    <w:rsid w:val="007E5ACC"/>
    <w:rsid w:val="007F2C0A"/>
    <w:rsid w:val="00807E45"/>
    <w:rsid w:val="00841B99"/>
    <w:rsid w:val="00845FBD"/>
    <w:rsid w:val="00850D3B"/>
    <w:rsid w:val="0085576A"/>
    <w:rsid w:val="00882280"/>
    <w:rsid w:val="00885E30"/>
    <w:rsid w:val="008B0976"/>
    <w:rsid w:val="008B3ECC"/>
    <w:rsid w:val="008C4D36"/>
    <w:rsid w:val="008E3277"/>
    <w:rsid w:val="00934669"/>
    <w:rsid w:val="00966295"/>
    <w:rsid w:val="009B14FE"/>
    <w:rsid w:val="009B6A39"/>
    <w:rsid w:val="009D1EF2"/>
    <w:rsid w:val="009E7402"/>
    <w:rsid w:val="009F3C07"/>
    <w:rsid w:val="00A90030"/>
    <w:rsid w:val="00A91204"/>
    <w:rsid w:val="00AD4A87"/>
    <w:rsid w:val="00AD5009"/>
    <w:rsid w:val="00AF3B4B"/>
    <w:rsid w:val="00B81D6A"/>
    <w:rsid w:val="00B8238E"/>
    <w:rsid w:val="00B859B8"/>
    <w:rsid w:val="00B91DDE"/>
    <w:rsid w:val="00B92F9B"/>
    <w:rsid w:val="00BA6BC7"/>
    <w:rsid w:val="00BE0540"/>
    <w:rsid w:val="00BF42DB"/>
    <w:rsid w:val="00C01E6E"/>
    <w:rsid w:val="00C05ED8"/>
    <w:rsid w:val="00C15062"/>
    <w:rsid w:val="00C217B9"/>
    <w:rsid w:val="00C567D4"/>
    <w:rsid w:val="00C74DB6"/>
    <w:rsid w:val="00C77F7E"/>
    <w:rsid w:val="00C85AD2"/>
    <w:rsid w:val="00CA4CDD"/>
    <w:rsid w:val="00CD2DF5"/>
    <w:rsid w:val="00CE7198"/>
    <w:rsid w:val="00CF335F"/>
    <w:rsid w:val="00D54B1B"/>
    <w:rsid w:val="00D60C46"/>
    <w:rsid w:val="00D630C6"/>
    <w:rsid w:val="00D6683D"/>
    <w:rsid w:val="00D74D51"/>
    <w:rsid w:val="00DA1880"/>
    <w:rsid w:val="00DC6F90"/>
    <w:rsid w:val="00E30CD2"/>
    <w:rsid w:val="00E31878"/>
    <w:rsid w:val="00E42FEE"/>
    <w:rsid w:val="00E51C9F"/>
    <w:rsid w:val="00E543E3"/>
    <w:rsid w:val="00E94ED4"/>
    <w:rsid w:val="00EB384B"/>
    <w:rsid w:val="00ED2706"/>
    <w:rsid w:val="00ED3992"/>
    <w:rsid w:val="00F05F77"/>
    <w:rsid w:val="00F209F3"/>
    <w:rsid w:val="00F4050C"/>
    <w:rsid w:val="00F41788"/>
    <w:rsid w:val="00F719D9"/>
    <w:rsid w:val="00FA44E1"/>
    <w:rsid w:val="00FB04B3"/>
    <w:rsid w:val="00FB04C2"/>
    <w:rsid w:val="00FC3DD6"/>
    <w:rsid w:val="00FC6FA2"/>
    <w:rsid w:val="00FD1FF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8AD0"/>
  <w15:chartTrackingRefBased/>
  <w15:docId w15:val="{0CE77750-317A-46B4-9749-F9CD6D5D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C46"/>
    <w:pPr>
      <w:tabs>
        <w:tab w:val="center" w:pos="4419"/>
        <w:tab w:val="right" w:pos="8838"/>
      </w:tabs>
      <w:spacing w:after="0" w:line="240" w:lineRule="auto"/>
      <w:jc w:val="both"/>
    </w:pPr>
    <w:rPr>
      <w:rFonts w:ascii="Cambria" w:eastAsia="Times New Roman" w:hAnsi="Cambria" w:cs="Times New Roman"/>
      <w:szCs w:val="24"/>
      <w:lang w:val="es-ES"/>
    </w:rPr>
  </w:style>
  <w:style w:type="character" w:customStyle="1" w:styleId="EncabezadoCar">
    <w:name w:val="Encabezado Car"/>
    <w:basedOn w:val="Fuentedeprrafopredeter"/>
    <w:link w:val="Encabezado"/>
    <w:uiPriority w:val="99"/>
    <w:rsid w:val="00D60C46"/>
    <w:rPr>
      <w:rFonts w:ascii="Cambria" w:eastAsia="Times New Roman" w:hAnsi="Cambria" w:cs="Times New Roman"/>
      <w:szCs w:val="24"/>
      <w:lang w:val="es-ES"/>
    </w:rPr>
  </w:style>
  <w:style w:type="paragraph" w:styleId="Piedepgina">
    <w:name w:val="footer"/>
    <w:basedOn w:val="Normal"/>
    <w:link w:val="PiedepginaCar"/>
    <w:uiPriority w:val="99"/>
    <w:unhideWhenUsed/>
    <w:rsid w:val="00D60C46"/>
    <w:pPr>
      <w:tabs>
        <w:tab w:val="center" w:pos="4419"/>
        <w:tab w:val="right" w:pos="8838"/>
      </w:tabs>
      <w:spacing w:after="0" w:line="240" w:lineRule="auto"/>
      <w:jc w:val="both"/>
    </w:pPr>
    <w:rPr>
      <w:rFonts w:ascii="Cambria" w:eastAsia="Times New Roman" w:hAnsi="Cambria" w:cs="Times New Roman"/>
      <w:szCs w:val="24"/>
      <w:lang w:val="es-ES"/>
    </w:rPr>
  </w:style>
  <w:style w:type="character" w:customStyle="1" w:styleId="PiedepginaCar">
    <w:name w:val="Pie de página Car"/>
    <w:basedOn w:val="Fuentedeprrafopredeter"/>
    <w:link w:val="Piedepgina"/>
    <w:uiPriority w:val="99"/>
    <w:rsid w:val="00D60C46"/>
    <w:rPr>
      <w:rFonts w:ascii="Cambria" w:eastAsia="Times New Roman" w:hAnsi="Cambria" w:cs="Times New Roman"/>
      <w:szCs w:val="24"/>
      <w:lang w:val="es-ES"/>
    </w:rPr>
  </w:style>
  <w:style w:type="table" w:styleId="Tablaconcuadrcula">
    <w:name w:val="Table Grid"/>
    <w:basedOn w:val="Tablanormal"/>
    <w:uiPriority w:val="39"/>
    <w:rsid w:val="00D60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60C46"/>
    <w:rPr>
      <w:color w:val="0563C1" w:themeColor="hyperlink"/>
      <w:u w:val="single"/>
    </w:rPr>
  </w:style>
  <w:style w:type="paragraph" w:customStyle="1" w:styleId="Texto">
    <w:name w:val="Texto"/>
    <w:basedOn w:val="Normal"/>
    <w:link w:val="TextoChar"/>
    <w:qFormat/>
    <w:rsid w:val="00D60C46"/>
    <w:pPr>
      <w:spacing w:before="120" w:after="120" w:line="360" w:lineRule="auto"/>
      <w:jc w:val="both"/>
    </w:pPr>
    <w:rPr>
      <w:rFonts w:ascii="Cambria" w:eastAsia="Times New Roman" w:hAnsi="Cambria" w:cs="Times New Roman"/>
      <w:szCs w:val="24"/>
      <w:lang w:val="es-ES"/>
    </w:rPr>
  </w:style>
  <w:style w:type="paragraph" w:customStyle="1" w:styleId="Negrita">
    <w:name w:val="Negrita"/>
    <w:basedOn w:val="Texto"/>
    <w:link w:val="NegritaChar1"/>
    <w:uiPriority w:val="1"/>
    <w:qFormat/>
    <w:rsid w:val="00D60C46"/>
    <w:pPr>
      <w:spacing w:before="0" w:after="0"/>
    </w:pPr>
    <w:rPr>
      <w:b/>
    </w:rPr>
  </w:style>
  <w:style w:type="character" w:customStyle="1" w:styleId="TextoChar">
    <w:name w:val="Texto Char"/>
    <w:basedOn w:val="Fuentedeprrafopredeter"/>
    <w:link w:val="Texto"/>
    <w:rsid w:val="00D60C46"/>
    <w:rPr>
      <w:rFonts w:ascii="Cambria" w:eastAsia="Times New Roman" w:hAnsi="Cambria" w:cs="Times New Roman"/>
      <w:szCs w:val="24"/>
      <w:lang w:val="es-ES"/>
    </w:rPr>
  </w:style>
  <w:style w:type="character" w:customStyle="1" w:styleId="NegritaChar1">
    <w:name w:val="Negrita Char1"/>
    <w:basedOn w:val="Fuentedeprrafopredeter"/>
    <w:link w:val="Negrita"/>
    <w:uiPriority w:val="1"/>
    <w:rsid w:val="00D60C46"/>
    <w:rPr>
      <w:rFonts w:ascii="Cambria" w:eastAsia="Times New Roman" w:hAnsi="Cambria" w:cs="Times New Roman"/>
      <w:b/>
      <w:szCs w:val="24"/>
      <w:lang w:val="es-ES"/>
    </w:rPr>
  </w:style>
  <w:style w:type="paragraph" w:customStyle="1" w:styleId="Default">
    <w:name w:val="Default"/>
    <w:rsid w:val="00D60C46"/>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Prrafodelista">
    <w:name w:val="List Paragraph"/>
    <w:basedOn w:val="Normal"/>
    <w:uiPriority w:val="34"/>
    <w:qFormat/>
    <w:rsid w:val="00D60C46"/>
    <w:pPr>
      <w:ind w:left="720"/>
      <w:contextualSpacing/>
    </w:pPr>
    <w:rPr>
      <w:lang w:val="es-ES"/>
    </w:rPr>
  </w:style>
  <w:style w:type="character" w:styleId="Hipervnculovisitado">
    <w:name w:val="FollowedHyperlink"/>
    <w:basedOn w:val="Fuentedeprrafopredeter"/>
    <w:uiPriority w:val="99"/>
    <w:semiHidden/>
    <w:unhideWhenUsed/>
    <w:rsid w:val="009B6A39"/>
    <w:rPr>
      <w:color w:val="954F72" w:themeColor="followedHyperlink"/>
      <w:u w:val="single"/>
    </w:rPr>
  </w:style>
  <w:style w:type="character" w:styleId="Refdecomentario">
    <w:name w:val="annotation reference"/>
    <w:basedOn w:val="Fuentedeprrafopredeter"/>
    <w:uiPriority w:val="99"/>
    <w:semiHidden/>
    <w:unhideWhenUsed/>
    <w:rsid w:val="0059077A"/>
    <w:rPr>
      <w:sz w:val="16"/>
      <w:szCs w:val="16"/>
    </w:rPr>
  </w:style>
  <w:style w:type="paragraph" w:styleId="Textocomentario">
    <w:name w:val="annotation text"/>
    <w:basedOn w:val="Normal"/>
    <w:link w:val="TextocomentarioCar"/>
    <w:uiPriority w:val="99"/>
    <w:semiHidden/>
    <w:unhideWhenUsed/>
    <w:rsid w:val="005907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9077A"/>
    <w:rPr>
      <w:sz w:val="20"/>
      <w:szCs w:val="20"/>
    </w:rPr>
  </w:style>
  <w:style w:type="paragraph" w:styleId="Asuntodelcomentario">
    <w:name w:val="annotation subject"/>
    <w:basedOn w:val="Textocomentario"/>
    <w:next w:val="Textocomentario"/>
    <w:link w:val="AsuntodelcomentarioCar"/>
    <w:uiPriority w:val="99"/>
    <w:semiHidden/>
    <w:unhideWhenUsed/>
    <w:rsid w:val="0059077A"/>
    <w:rPr>
      <w:b/>
      <w:bCs/>
    </w:rPr>
  </w:style>
  <w:style w:type="character" w:customStyle="1" w:styleId="AsuntodelcomentarioCar">
    <w:name w:val="Asunto del comentario Car"/>
    <w:basedOn w:val="TextocomentarioCar"/>
    <w:link w:val="Asuntodelcomentario"/>
    <w:uiPriority w:val="99"/>
    <w:semiHidden/>
    <w:rsid w:val="0059077A"/>
    <w:rPr>
      <w:b/>
      <w:bCs/>
      <w:sz w:val="20"/>
      <w:szCs w:val="20"/>
    </w:rPr>
  </w:style>
  <w:style w:type="paragraph" w:styleId="Textodeglobo">
    <w:name w:val="Balloon Text"/>
    <w:basedOn w:val="Normal"/>
    <w:link w:val="TextodegloboCar"/>
    <w:uiPriority w:val="99"/>
    <w:semiHidden/>
    <w:unhideWhenUsed/>
    <w:rsid w:val="005907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077A"/>
    <w:rPr>
      <w:rFonts w:ascii="Segoe UI" w:hAnsi="Segoe UI" w:cs="Segoe UI"/>
      <w:sz w:val="18"/>
      <w:szCs w:val="18"/>
    </w:rPr>
  </w:style>
  <w:style w:type="paragraph" w:styleId="Revisin">
    <w:name w:val="Revision"/>
    <w:hidden/>
    <w:uiPriority w:val="99"/>
    <w:semiHidden/>
    <w:rsid w:val="00E30CD2"/>
    <w:pPr>
      <w:spacing w:after="0" w:line="240" w:lineRule="auto"/>
    </w:pPr>
  </w:style>
  <w:style w:type="character" w:styleId="Textodelmarcadordeposicin">
    <w:name w:val="Placeholder Text"/>
    <w:basedOn w:val="Fuentedeprrafopredeter"/>
    <w:uiPriority w:val="99"/>
    <w:semiHidden/>
    <w:rsid w:val="00FD1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100443">
      <w:bodyDiv w:val="1"/>
      <w:marLeft w:val="0"/>
      <w:marRight w:val="0"/>
      <w:marTop w:val="0"/>
      <w:marBottom w:val="0"/>
      <w:divBdr>
        <w:top w:val="none" w:sz="0" w:space="0" w:color="auto"/>
        <w:left w:val="none" w:sz="0" w:space="0" w:color="auto"/>
        <w:bottom w:val="none" w:sz="0" w:space="0" w:color="auto"/>
        <w:right w:val="none" w:sz="0" w:space="0" w:color="auto"/>
      </w:divBdr>
    </w:div>
    <w:div w:id="918487737">
      <w:bodyDiv w:val="1"/>
      <w:marLeft w:val="0"/>
      <w:marRight w:val="0"/>
      <w:marTop w:val="0"/>
      <w:marBottom w:val="0"/>
      <w:divBdr>
        <w:top w:val="none" w:sz="0" w:space="0" w:color="auto"/>
        <w:left w:val="none" w:sz="0" w:space="0" w:color="auto"/>
        <w:bottom w:val="none" w:sz="0" w:space="0" w:color="auto"/>
        <w:right w:val="none" w:sz="0" w:space="0" w:color="auto"/>
      </w:divBdr>
      <w:divsChild>
        <w:div w:id="1785541858">
          <w:marLeft w:val="0"/>
          <w:marRight w:val="0"/>
          <w:marTop w:val="0"/>
          <w:marBottom w:val="0"/>
          <w:divBdr>
            <w:top w:val="none" w:sz="0" w:space="0" w:color="auto"/>
            <w:left w:val="none" w:sz="0" w:space="0" w:color="auto"/>
            <w:bottom w:val="none" w:sz="0" w:space="0" w:color="auto"/>
            <w:right w:val="none" w:sz="0" w:space="0" w:color="auto"/>
          </w:divBdr>
          <w:divsChild>
            <w:div w:id="913778584">
              <w:marLeft w:val="0"/>
              <w:marRight w:val="0"/>
              <w:marTop w:val="0"/>
              <w:marBottom w:val="0"/>
              <w:divBdr>
                <w:top w:val="none" w:sz="0" w:space="0" w:color="auto"/>
                <w:left w:val="none" w:sz="0" w:space="0" w:color="auto"/>
                <w:bottom w:val="none" w:sz="0" w:space="0" w:color="auto"/>
                <w:right w:val="none" w:sz="0" w:space="0" w:color="auto"/>
              </w:divBdr>
              <w:divsChild>
                <w:div w:id="3508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429757">
      <w:bodyDiv w:val="1"/>
      <w:marLeft w:val="0"/>
      <w:marRight w:val="0"/>
      <w:marTop w:val="0"/>
      <w:marBottom w:val="0"/>
      <w:divBdr>
        <w:top w:val="none" w:sz="0" w:space="0" w:color="auto"/>
        <w:left w:val="none" w:sz="0" w:space="0" w:color="auto"/>
        <w:bottom w:val="none" w:sz="0" w:space="0" w:color="auto"/>
        <w:right w:val="none" w:sz="0" w:space="0" w:color="auto"/>
      </w:divBdr>
      <w:divsChild>
        <w:div w:id="2027822227">
          <w:marLeft w:val="0"/>
          <w:marRight w:val="0"/>
          <w:marTop w:val="0"/>
          <w:marBottom w:val="0"/>
          <w:divBdr>
            <w:top w:val="none" w:sz="0" w:space="0" w:color="auto"/>
            <w:left w:val="none" w:sz="0" w:space="0" w:color="auto"/>
            <w:bottom w:val="none" w:sz="0" w:space="0" w:color="auto"/>
            <w:right w:val="none" w:sz="0" w:space="0" w:color="auto"/>
          </w:divBdr>
          <w:divsChild>
            <w:div w:id="1533955710">
              <w:marLeft w:val="0"/>
              <w:marRight w:val="0"/>
              <w:marTop w:val="0"/>
              <w:marBottom w:val="0"/>
              <w:divBdr>
                <w:top w:val="none" w:sz="0" w:space="0" w:color="auto"/>
                <w:left w:val="none" w:sz="0" w:space="0" w:color="auto"/>
                <w:bottom w:val="none" w:sz="0" w:space="0" w:color="auto"/>
                <w:right w:val="none" w:sz="0" w:space="0" w:color="auto"/>
              </w:divBdr>
              <w:divsChild>
                <w:div w:id="479928203">
                  <w:marLeft w:val="0"/>
                  <w:marRight w:val="0"/>
                  <w:marTop w:val="0"/>
                  <w:marBottom w:val="0"/>
                  <w:divBdr>
                    <w:top w:val="none" w:sz="0" w:space="0" w:color="auto"/>
                    <w:left w:val="none" w:sz="0" w:space="0" w:color="auto"/>
                    <w:bottom w:val="none" w:sz="0" w:space="0" w:color="auto"/>
                    <w:right w:val="none" w:sz="0" w:space="0" w:color="auto"/>
                  </w:divBdr>
                  <w:divsChild>
                    <w:div w:id="5803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78981">
      <w:bodyDiv w:val="1"/>
      <w:marLeft w:val="0"/>
      <w:marRight w:val="0"/>
      <w:marTop w:val="0"/>
      <w:marBottom w:val="0"/>
      <w:divBdr>
        <w:top w:val="none" w:sz="0" w:space="0" w:color="auto"/>
        <w:left w:val="none" w:sz="0" w:space="0" w:color="auto"/>
        <w:bottom w:val="none" w:sz="0" w:space="0" w:color="auto"/>
        <w:right w:val="none" w:sz="0" w:space="0" w:color="auto"/>
      </w:divBdr>
      <w:divsChild>
        <w:div w:id="403334245">
          <w:marLeft w:val="0"/>
          <w:marRight w:val="0"/>
          <w:marTop w:val="0"/>
          <w:marBottom w:val="0"/>
          <w:divBdr>
            <w:top w:val="none" w:sz="0" w:space="0" w:color="auto"/>
            <w:left w:val="none" w:sz="0" w:space="0" w:color="auto"/>
            <w:bottom w:val="none" w:sz="0" w:space="0" w:color="auto"/>
            <w:right w:val="none" w:sz="0" w:space="0" w:color="auto"/>
          </w:divBdr>
          <w:divsChild>
            <w:div w:id="661084726">
              <w:marLeft w:val="0"/>
              <w:marRight w:val="0"/>
              <w:marTop w:val="0"/>
              <w:marBottom w:val="0"/>
              <w:divBdr>
                <w:top w:val="none" w:sz="0" w:space="0" w:color="auto"/>
                <w:left w:val="none" w:sz="0" w:space="0" w:color="auto"/>
                <w:bottom w:val="none" w:sz="0" w:space="0" w:color="auto"/>
                <w:right w:val="none" w:sz="0" w:space="0" w:color="auto"/>
              </w:divBdr>
              <w:divsChild>
                <w:div w:id="214122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ugef.fi.cr/informacion_relevante/manuales/manual_sicveca/crediticio/Linea%20Base%20Credito%20(1.12)%20vigencia%20enero_2020.zip"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6A75B14CAA4304B618442CB55A19FF"/>
        <w:category>
          <w:name w:val="General"/>
          <w:gallery w:val="placeholder"/>
        </w:category>
        <w:types>
          <w:type w:val="bbPlcHdr"/>
        </w:types>
        <w:behaviors>
          <w:behavior w:val="content"/>
        </w:behaviors>
        <w:guid w:val="{68ABB1DA-6A92-4E12-8F09-ACFD9278A82D}"/>
      </w:docPartPr>
      <w:docPartBody>
        <w:p w:rsidR="005A2DFD" w:rsidRDefault="00FA1E90" w:rsidP="00FA1E90">
          <w:pPr>
            <w:pStyle w:val="116A75B14CAA4304B618442CB55A19FF"/>
          </w:pPr>
          <w:r w:rsidRPr="001E0779">
            <w:rPr>
              <w:rStyle w:val="Textodelmarcadordeposicin"/>
            </w:rPr>
            <w:t>Haga clic aquí para escribir texto.</w:t>
          </w:r>
        </w:p>
      </w:docPartBody>
    </w:docPart>
    <w:docPart>
      <w:docPartPr>
        <w:name w:val="E3EB933700854FDBB6219E4EEC9C5798"/>
        <w:category>
          <w:name w:val="General"/>
          <w:gallery w:val="placeholder"/>
        </w:category>
        <w:types>
          <w:type w:val="bbPlcHdr"/>
        </w:types>
        <w:behaviors>
          <w:behavior w:val="content"/>
        </w:behaviors>
        <w:guid w:val="{0DE391E5-80BF-4E43-968A-58DB8493113F}"/>
      </w:docPartPr>
      <w:docPartBody>
        <w:p w:rsidR="005A2DFD" w:rsidRDefault="00FA1E90" w:rsidP="00FA1E90">
          <w:pPr>
            <w:pStyle w:val="E3EB933700854FDBB6219E4EEC9C5798"/>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90"/>
    <w:rsid w:val="005A2DFD"/>
    <w:rsid w:val="00B644B2"/>
    <w:rsid w:val="00B7570D"/>
    <w:rsid w:val="00BD406F"/>
    <w:rsid w:val="00C24055"/>
    <w:rsid w:val="00CA2D03"/>
    <w:rsid w:val="00FA1E9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644B2"/>
  </w:style>
  <w:style w:type="paragraph" w:customStyle="1" w:styleId="116A75B14CAA4304B618442CB55A19FF">
    <w:name w:val="116A75B14CAA4304B618442CB55A19FF"/>
    <w:rsid w:val="00FA1E90"/>
  </w:style>
  <w:style w:type="paragraph" w:customStyle="1" w:styleId="E3EB933700854FDBB6219E4EEC9C5798">
    <w:name w:val="E3EB933700854FDBB6219E4EEC9C5798"/>
    <w:rsid w:val="00FA1E90"/>
  </w:style>
  <w:style w:type="paragraph" w:customStyle="1" w:styleId="A938A627683947189F328AF486A5C44C">
    <w:name w:val="A938A627683947189F328AF486A5C44C"/>
    <w:rsid w:val="00B64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bD5dhQ2nYfdZKkkTFZ/a2z3RnstrvvmG/VHFNUwkLRw=</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+Kd17CO37g7Dda7wlz9XZnyF3qF/NGegX2FRjA+QXNM=</DigestValue>
    </Reference>
  </SignedInfo>
  <SignatureValue>M21ty4NwDynODuYZQF9G7Mlk5THBsCcY7SRg8O5aI8uA9sZt3SQgxUKLtym+fVT+3lFNqYVp11J0
k57GsmyrUSGLERYMKLJFezArsR4mdB1IgUC3+rgibdB3jMdGimvJkEA5+/l5z0lxqakrlWT96u2q
rsZkp6PhaTDAcO6XxxGGwkMeB+yWtA5APWNy42H9zi0TQz7oG5SKvpM21UBvdgsvucr1Ts+6XFrz
Nh64CS0rT+vLIHfHYAt6Jv+7q0zLxhhu8z4NcWoQcHeQJhPEl7ruTFx5MXP1Ahtjchxi6atnhSgy
UfcRu1rng5jD+lOTDy0hOjMz4k0P9bG9BEr8tA==</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OkXFri4k7a6E8RZ9K8JWD/PsarsGvaUGJPGOC+olUgQ=</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Dys5wUBg2s/MmLS/xwUv7VGQesUWHKRpaxr3aew1kMQ=</DigestValue>
      </Reference>
      <Reference URI="/word/endnotes.xml?ContentType=application/vnd.openxmlformats-officedocument.wordprocessingml.endnotes+xml">
        <DigestMethod Algorithm="http://www.w3.org/2001/04/xmlenc#sha256"/>
        <DigestValue>BGq963kx1nsc+1SssjpjhdBtNIDmzOzvrOkjDX13FJU=</DigestValue>
      </Reference>
      <Reference URI="/word/fontTable.xml?ContentType=application/vnd.openxmlformats-officedocument.wordprocessingml.fontTable+xml">
        <DigestMethod Algorithm="http://www.w3.org/2001/04/xmlenc#sha256"/>
        <DigestValue>rNU7YE9cBgJCZZtuBWFrLeH2GDcCPeoQPisSEbBMk1k=</DigestValue>
      </Reference>
      <Reference URI="/word/footer1.xml?ContentType=application/vnd.openxmlformats-officedocument.wordprocessingml.footer+xml">
        <DigestMethod Algorithm="http://www.w3.org/2001/04/xmlenc#sha256"/>
        <DigestValue>6EnAayh6OkEwTppipF3qhhMlgkYq99tK/zVw/CRlHEE=</DigestValue>
      </Reference>
      <Reference URI="/word/footnotes.xml?ContentType=application/vnd.openxmlformats-officedocument.wordprocessingml.footnotes+xml">
        <DigestMethod Algorithm="http://www.w3.org/2001/04/xmlenc#sha256"/>
        <DigestValue>tNzgwE4PKBExv9xlokdzGJV1u5nX+xTwsk2BUBjTFyk=</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sU7U1a/pZFVWbdTOsaUgfVYybe/6pQC5hybZIybIyO4=</DigestValue>
      </Reference>
      <Reference URI="/word/glossary/fontTable.xml?ContentType=application/vnd.openxmlformats-officedocument.wordprocessingml.fontTable+xml">
        <DigestMethod Algorithm="http://www.w3.org/2001/04/xmlenc#sha256"/>
        <DigestValue>rNU7YE9cBgJCZZtuBWFrLeH2GDcCPeoQPisSEbBMk1k=</DigestValue>
      </Reference>
      <Reference URI="/word/glossary/settings.xml?ContentType=application/vnd.openxmlformats-officedocument.wordprocessingml.settings+xml">
        <DigestMethod Algorithm="http://www.w3.org/2001/04/xmlenc#sha256"/>
        <DigestValue>oXN7qQ7SrDhm6k7KjppdbBEHHNpd5hxKkUjKhT9LZl8=</DigestValue>
      </Reference>
      <Reference URI="/word/glossary/styles.xml?ContentType=application/vnd.openxmlformats-officedocument.wordprocessingml.styles+xml">
        <DigestMethod Algorithm="http://www.w3.org/2001/04/xmlenc#sha256"/>
        <DigestValue>tkdMw0FGlny8uS6oqlPusbLuBAz/p/LAtx9gh901iXU=</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Aexvs74BG8WoRZyf2SfksoyDYzofRkj1nqis1IUdPfo=</DigestValue>
      </Reference>
      <Reference URI="/word/media/image1.jpeg?ContentType=image/jpeg">
        <DigestMethod Algorithm="http://www.w3.org/2001/04/xmlenc#sha256"/>
        <DigestValue>9FUd+SIYvchjmYKf/AGWgQVH3Hx/tZZi8oENfG6/vfY=</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RvBWYwE05F8G2uIiZwT+IcITMqxYU9W9gCloPUYeyvE=</DigestValue>
      </Reference>
      <Reference URI="/word/settings.xml?ContentType=application/vnd.openxmlformats-officedocument.wordprocessingml.settings+xml">
        <DigestMethod Algorithm="http://www.w3.org/2001/04/xmlenc#sha256"/>
        <DigestValue>Hee3wwgBMr0aALqfS9oUyHsmUubnuaZWtSC+Gzz0m6s=</DigestValue>
      </Reference>
      <Reference URI="/word/styles.xml?ContentType=application/vnd.openxmlformats-officedocument.wordprocessingml.styles+xml">
        <DigestMethod Algorithm="http://www.w3.org/2001/04/xmlenc#sha256"/>
        <DigestValue>nPNLHNdzLzVA6CNxdffT3ws2pngiUDNoTtXWS9uwedc=</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7JSAEAfgq/x6dboNshLMVVN+qFy7rojtMdcOiAiI9ig=</DigestValue>
      </Reference>
    </Manifest>
    <SignatureProperties>
      <SignatureProperty Id="idSignatureTime" Target="#idPackageSignature">
        <mdssi:SignatureTime xmlns:mdssi="http://schemas.openxmlformats.org/package/2006/digital-signature">
          <mdssi:Format>YYYY-MM-DDThh:mm:ssTZD</mdssi:Format>
          <mdssi:Value>2020-06-25T15:04:38Z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2020-06-25T15:04:38Z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vHwUeX7XQBiojZxXv64IEPSMjcJzL+/ZZJOyb9yLyJcCBAn/QmMYDzIwMjAwNjI1MTUwNDU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</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</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CIjA/mQHmYJ0Yc/tXbtgyA8rV/g=</xd:ByKey>
                  </xd:ResponderID>
                  <xd:ProducedAt>2020-06-25T15:04:36Z</xd:ProducedAt>
                </xd:OCSPIdentifier>
                <xd:DigestAlgAndValue>
                  <DigestMethod Algorithm="http://www.w3.org/2001/04/xmlenc#sha256"/>
                  <DigestValue>iSPpju6hLQMr9F7TUXK7ITwvKgn74m0OwGe7ACLbyow=</DigestValue>
                </xd:DigestAlgAndValue>
              </xd:OCSPRef>
            </xd:OCSPRefs>
            <xd:CRLRefs>
              <xd:CRLRef>
                <xd:DigestAlgAndValue>
                  <DigestMethod Algorithm="http://www.w3.org/2001/04/xmlenc#sha256"/>
                  <DigestValue>4k5NmmNd3USkBwZp4RwL9qd8665U/Lu8ngPcxNIJCPU=</DigestValue>
                </xd:DigestAlgAndValue>
                <xd:CRLIdentifier>
                  <xd:Issuer>CN=CA POLITICA PERSONA FISICA - COSTA RICA v2, OU=DCFD, O=MICITT, C=CR, SERIALNUMBER=CPJ-2-100-098311</xd:Issuer>
                  <xd:IssueTime>2020-05-15T17:39:22Z</xd:IssueTime>
                </xd:CRLIdentifier>
              </xd:CRLRef>
              <xd:CRLRef>
                <xd:DigestAlgAndValue>
                  <DigestMethod Algorithm="http://www.w3.org/2001/04/xmlenc#sha256"/>
                  <DigestValue>5oogyZeGbDhG0LzyS2Dt49yDLGWsgSPrJMafbH3ZacQ=</DigestValue>
                </xd:DigestAlgAndValue>
                <xd:CRLIdentifier>
                  <xd:Issuer>CN=CA RAIZ NACIONAL - COSTA RICA v2, C=CR, O=MICITT, OU=DCFD, SERIALNUMBER=CPJ-2-100-098311</xd:Issuer>
                  <xd:IssueTime>2020-05-15T17:00:18Z</xd:IssueTime>
                </xd:CRLIdentifier>
              </xd:CRLRef>
            </xd:CRLRefs>
          </xd:CompleteRevocationRefs>
          <xd:RevocationValues>
            <xd:OCSPValues>
              <xd:EncapsulatedOCSPValue>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</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</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QI7KrPRcsN+yf7eHzMTu5tWKhZ/CyhI70HBQD7nHT5YCBAn/QmUYDzIwMjAwNjI1MTUwNDU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</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8" ma:contentTypeDescription="Crear nuevo documento." ma:contentTypeScope="" ma:versionID="f281877b29d0a66c289056ec8e85ac11">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183</Value>
      <Value>63</Value>
      <Value>109</Value>
      <Value>3</Value>
      <Value>2</Value>
      <Value>1</Value>
    </TaxCatchAll>
    <OtraEntidadExterna xmlns="b875e23b-67d9-4b2e-bdec-edacbf90b326">A las entidades indicadas en la Resolución</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tiene</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Se envía a Coordinación Administrativo para la publicación en La Gaceta
Copiar a: SALIENTE NORMAS</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2020-06-12T15:59:00+00:00</FechaDocumento>
    <RemitenteOriginal xmlns="b875e23b-67d9-4b2e-bdec-edacbf90b326">Servicios Técnicos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Área Coordinación Administrativa</TermName>
          <TermId xmlns="http://schemas.microsoft.com/office/infopath/2007/PartnerControls">39ce7748-92aa-4572-8334-49785789cb1c</TermId>
        </TermInfo>
      </Term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Resolución SGF-XXXXX-2020 Articulo 61 LOSBN</Subject1>
  </documentManagement>
</p:properties>
</file>

<file path=customXml/itemProps1.xml><?xml version="1.0" encoding="utf-8"?>
<ds:datastoreItem xmlns:ds="http://schemas.openxmlformats.org/officeDocument/2006/customXml" ds:itemID="{548508D3-79BC-4EC3-8951-B4BC29C09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CBDFF5-C882-4892-B17E-541C73CA25D2}">
  <ds:schemaRefs>
    <ds:schemaRef ds:uri="Microsoft.SharePoint.Taxonomy.ContentTypeSync"/>
  </ds:schemaRefs>
</ds:datastoreItem>
</file>

<file path=customXml/itemProps3.xml><?xml version="1.0" encoding="utf-8"?>
<ds:datastoreItem xmlns:ds="http://schemas.openxmlformats.org/officeDocument/2006/customXml" ds:itemID="{E1B8BE83-4909-4B4E-B1FF-E93A477E5BC1}">
  <ds:schemaRefs>
    <ds:schemaRef ds:uri="office.server.policy"/>
  </ds:schemaRefs>
</ds:datastoreItem>
</file>

<file path=customXml/itemProps4.xml><?xml version="1.0" encoding="utf-8"?>
<ds:datastoreItem xmlns:ds="http://schemas.openxmlformats.org/officeDocument/2006/customXml" ds:itemID="{67B1D49D-A21E-45F2-98EA-B67EE5756D4A}">
  <ds:schemaRefs>
    <ds:schemaRef ds:uri="http://schemas.microsoft.com/sharepoint/v3/contenttype/forms"/>
  </ds:schemaRefs>
</ds:datastoreItem>
</file>

<file path=customXml/itemProps5.xml><?xml version="1.0" encoding="utf-8"?>
<ds:datastoreItem xmlns:ds="http://schemas.openxmlformats.org/officeDocument/2006/customXml" ds:itemID="{5388697C-6958-4CC7-A40E-F6987A3D3FD9}">
  <ds:schemaRefs>
    <ds:schemaRef ds:uri="http://schemas.microsoft.com/sharepoint/events"/>
  </ds:schemaRefs>
</ds:datastoreItem>
</file>

<file path=customXml/itemProps6.xml><?xml version="1.0" encoding="utf-8"?>
<ds:datastoreItem xmlns:ds="http://schemas.openxmlformats.org/officeDocument/2006/customXml" ds:itemID="{15390046-6849-40FF-B2E4-EDAF91637BC5}">
  <ds:schemaRefs>
    <ds:schemaRef ds:uri="http://www.w3.org/XML/1998/namespace"/>
    <ds:schemaRef ds:uri="http://schemas.microsoft.com/office/2006/metadata/properties"/>
    <ds:schemaRef ds:uri="b875e23b-67d9-4b2e-bdec-edacbf90b326"/>
    <ds:schemaRef ds:uri="http://purl.org/dc/elements/1.1/"/>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1035</Words>
  <Characters>5698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Lorena Villegas Barahona</dc:creator>
  <cp:keywords/>
  <dc:description/>
  <cp:lastModifiedBy>VARGAS LEAL MARIA GABRIELA</cp:lastModifiedBy>
  <cp:revision>11</cp:revision>
  <dcterms:created xsi:type="dcterms:W3CDTF">2020-06-12T15:57:00Z</dcterms:created>
  <dcterms:modified xsi:type="dcterms:W3CDTF">2020-06-25T14:41:00Z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183;#Resolución|8250c29f-4595-4728-bcc1-a5fc6a20ed53</vt:lpwstr>
  </property>
  <property fmtid="{D5CDD505-2E9C-101B-9397-08002B2CF9AE}" pid="5" name="Unidad de Destino">
    <vt:lpwstr>109;#Área Coordinación Administrativa|39ce7748-92aa-4572-8334-49785789cb1c</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54600</vt:r8>
  </property>
  <property fmtid="{D5CDD505-2E9C-101B-9397-08002B2CF9AE}" pid="11" name="_dlc_policyId">
    <vt:lpwstr>0x010100E97154E09FCE6A4E8EAEBD5C54DD1AE4|-1695030217</vt:lpwstr>
  </property>
  <property fmtid="{D5CDD505-2E9C-101B-9397-08002B2CF9AE}" pid="1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3" name="Confidencialidad">
    <vt:lpwstr>Público|99c2402f-8ec3-4ca8-8024-be52e4e7f629</vt:lpwstr>
  </property>
  <property fmtid="{D5CDD505-2E9C-101B-9397-08002B2CF9AE}" pid="14" name="WorkflowChangePath">
    <vt:lpwstr>546dfbb4-8cc0-45d4-a64c-4db3fdd3f8fe,4;ab7952a0-1ae5-4b26-8d7a-be63a467751b,7;ab7952a0-1ae5-4b26-8d7a-be63a467751b,13;</vt:lpwstr>
  </property>
</Properties>
</file>