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85A07" w:rsidR="00097C3C" w:rsidP="00C85A07" w:rsidRDefault="00097C3C" w14:paraId="3CD3F0D6" w14:textId="51DB9167">
      <w:pPr>
        <w:pStyle w:val="Texto"/>
        <w:spacing w:before="0" w:after="0" w:line="240" w:lineRule="auto"/>
        <w:contextualSpacing/>
        <w:jc w:val="center"/>
        <w:rPr>
          <w:b/>
          <w:bCs/>
          <w:sz w:val="24"/>
        </w:rPr>
      </w:pPr>
      <w:r w:rsidRPr="00C85A07">
        <w:rPr>
          <w:b/>
          <w:bCs/>
          <w:sz w:val="24"/>
        </w:rPr>
        <w:t>Resolución</w:t>
      </w:r>
    </w:p>
    <w:p w:rsidRPr="00C85A07" w:rsidR="006972C9" w:rsidP="00C85A07" w:rsidRDefault="00FC5D26" w14:paraId="0D23F462" w14:textId="5DF57ADE">
      <w:pPr>
        <w:pStyle w:val="Texto"/>
        <w:spacing w:before="0" w:after="0" w:line="240" w:lineRule="auto"/>
        <w:contextualSpacing/>
        <w:jc w:val="center"/>
        <w:rPr>
          <w:sz w:val="24"/>
        </w:rPr>
      </w:pPr>
      <w:r>
        <w:rPr>
          <w:sz w:val="24"/>
        </w:rPr>
        <w:t>07</w:t>
      </w:r>
      <w:r w:rsidRPr="00C85A07" w:rsidR="00CD3E6A">
        <w:rPr>
          <w:sz w:val="24"/>
        </w:rPr>
        <w:t xml:space="preserve"> de </w:t>
      </w:r>
      <w:r w:rsidRPr="00C85A07" w:rsidR="00C85A07">
        <w:rPr>
          <w:sz w:val="24"/>
        </w:rPr>
        <w:t>octu</w:t>
      </w:r>
      <w:r w:rsidRPr="00C85A07" w:rsidR="00CD3E6A">
        <w:rPr>
          <w:sz w:val="24"/>
        </w:rPr>
        <w:t>bre de 2022</w:t>
      </w:r>
    </w:p>
    <w:sdt>
      <w:sdtPr>
        <w:rPr>
          <w:sz w:val="24"/>
        </w:rPr>
        <w:alias w:val="Consecutivo"/>
        <w:tag w:val="Consecutivo"/>
        <w:id w:val="2052717023"/>
        <w:placeholder>
          <w:docPart w:val="FDEEBDE279E64725BFFC89BF44C8829D"/>
        </w:placeholder>
        <w:text/>
      </w:sdtPr>
      <w:sdtEndPr/>
      <w:sdtContent>
        <w:p w:rsidRPr="00C85A07" w:rsidR="006972C9" w:rsidP="00C85A07" w:rsidRDefault="006972C9" w14:paraId="37630DF9" w14:textId="77777777">
          <w:pPr>
            <w:tabs>
              <w:tab w:val="left" w:pos="2843"/>
            </w:tabs>
            <w:spacing w:line="240" w:lineRule="auto"/>
            <w:contextualSpacing/>
            <w:jc w:val="center"/>
            <w:rPr>
              <w:sz w:val="24"/>
            </w:rPr>
          </w:pPr>
          <w:r>
            <w:t>SGF-2041-2022</w:t>
          </w:r>
        </w:p>
      </w:sdtContent>
    </w:sdt>
    <w:p w:rsidRPr="00C85A07" w:rsidR="006972C9" w:rsidP="00C85A07" w:rsidRDefault="00FC5D26" w14:paraId="6E1BD009" w14:textId="4D8737E6">
      <w:pPr>
        <w:tabs>
          <w:tab w:val="left" w:pos="2843"/>
        </w:tabs>
        <w:spacing w:line="240" w:lineRule="auto"/>
        <w:contextualSpacing/>
        <w:jc w:val="center"/>
        <w:rPr>
          <w:sz w:val="24"/>
        </w:rPr>
      </w:pPr>
      <w:sdt>
        <w:sdtPr>
          <w:rPr>
            <w:sz w:val="24"/>
          </w:rPr>
          <w:alias w:val="Confidencialidad"/>
          <w:tag w:val="Confidencialidad"/>
          <w:id w:val="1447896894"/>
          <w:placeholder>
            <w:docPart w:val="7B9083D9B29046A2A2CF7C9B90DC292A"/>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C85A07" w:rsidR="00097C3C">
            <w:rPr>
              <w:sz w:val="24"/>
            </w:rPr>
            <w:t>SGF-PUBLICO</w:t>
          </w:r>
        </w:sdtContent>
      </w:sdt>
    </w:p>
    <w:p w:rsidRPr="00C85A07" w:rsidR="006972C9" w:rsidP="00C85A07" w:rsidRDefault="006972C9" w14:paraId="3C08ED85" w14:textId="577849D8">
      <w:pPr>
        <w:tabs>
          <w:tab w:val="left" w:pos="2843"/>
        </w:tabs>
        <w:spacing w:line="240" w:lineRule="auto"/>
        <w:contextualSpacing/>
        <w:rPr>
          <w:sz w:val="24"/>
        </w:rPr>
      </w:pPr>
    </w:p>
    <w:p w:rsidR="00097C3C" w:rsidP="00C85A07" w:rsidRDefault="00097C3C" w14:paraId="2574D67A" w14:textId="63900B0F">
      <w:pPr>
        <w:spacing w:line="240" w:lineRule="auto"/>
        <w:contextualSpacing/>
        <w:jc w:val="left"/>
        <w:rPr>
          <w:b/>
          <w:sz w:val="24"/>
        </w:rPr>
      </w:pPr>
      <w:r w:rsidRPr="00C85A07">
        <w:rPr>
          <w:b/>
          <w:sz w:val="24"/>
        </w:rPr>
        <w:t xml:space="preserve">Dirigida a: </w:t>
      </w:r>
    </w:p>
    <w:p w:rsidRPr="00C85A07" w:rsidR="00C85A07" w:rsidP="00C85A07" w:rsidRDefault="00C85A07" w14:paraId="28051D4F" w14:textId="77777777">
      <w:pPr>
        <w:spacing w:line="240" w:lineRule="auto"/>
        <w:contextualSpacing/>
        <w:jc w:val="left"/>
        <w:rPr>
          <w:b/>
          <w:sz w:val="24"/>
        </w:rPr>
      </w:pPr>
    </w:p>
    <w:p w:rsidRPr="00C85A07" w:rsidR="00097C3C" w:rsidP="00C85A07" w:rsidRDefault="00097C3C" w14:paraId="0E54CAF5" w14:textId="77777777">
      <w:pPr>
        <w:tabs>
          <w:tab w:val="center" w:pos="4419"/>
          <w:tab w:val="left" w:pos="6765"/>
        </w:tabs>
        <w:spacing w:line="240" w:lineRule="auto"/>
        <w:ind w:left="567" w:hanging="567"/>
        <w:contextualSpacing/>
        <w:rPr>
          <w:b/>
          <w:sz w:val="24"/>
        </w:rPr>
      </w:pPr>
      <w:r w:rsidRPr="00C85A07">
        <w:rPr>
          <w:b/>
          <w:sz w:val="24"/>
        </w:rPr>
        <w:t>1)</w:t>
      </w:r>
      <w:r w:rsidRPr="00C85A07">
        <w:rPr>
          <w:b/>
          <w:sz w:val="24"/>
        </w:rPr>
        <w:tab/>
        <w:t xml:space="preserve">Supervisados por Sugef: </w:t>
      </w:r>
    </w:p>
    <w:p w:rsidRPr="00C85A07" w:rsidR="00097C3C" w:rsidP="00C85A07" w:rsidRDefault="00097C3C" w14:paraId="65FADB2A" w14:textId="77777777">
      <w:pPr>
        <w:pStyle w:val="Prrafodelista"/>
        <w:numPr>
          <w:ilvl w:val="0"/>
          <w:numId w:val="6"/>
        </w:numPr>
        <w:tabs>
          <w:tab w:val="center" w:pos="4419"/>
          <w:tab w:val="left" w:pos="6765"/>
        </w:tabs>
        <w:jc w:val="both"/>
        <w:rPr>
          <w:rFonts w:ascii="Cambria" w:hAnsi="Cambria"/>
          <w:bCs/>
          <w:sz w:val="24"/>
        </w:rPr>
      </w:pPr>
      <w:r w:rsidRPr="00C85A07">
        <w:rPr>
          <w:rFonts w:ascii="Cambria" w:hAnsi="Cambria"/>
          <w:bCs/>
          <w:sz w:val="24"/>
        </w:rPr>
        <w:t xml:space="preserve">Bancos comerciales del Estado. </w:t>
      </w:r>
    </w:p>
    <w:p w:rsidRPr="00C85A07" w:rsidR="00097C3C" w:rsidP="00C85A07" w:rsidRDefault="00097C3C" w14:paraId="63B6C301" w14:textId="77777777">
      <w:pPr>
        <w:pStyle w:val="Prrafodelista"/>
        <w:numPr>
          <w:ilvl w:val="0"/>
          <w:numId w:val="6"/>
        </w:numPr>
        <w:tabs>
          <w:tab w:val="center" w:pos="4419"/>
          <w:tab w:val="left" w:pos="6765"/>
        </w:tabs>
        <w:jc w:val="both"/>
        <w:rPr>
          <w:rFonts w:ascii="Cambria" w:hAnsi="Cambria"/>
          <w:bCs/>
          <w:sz w:val="24"/>
        </w:rPr>
      </w:pPr>
      <w:r w:rsidRPr="00C85A07">
        <w:rPr>
          <w:rFonts w:ascii="Cambria" w:hAnsi="Cambria"/>
          <w:bCs/>
          <w:sz w:val="24"/>
        </w:rPr>
        <w:t xml:space="preserve">Bancos creados por ley especial. </w:t>
      </w:r>
    </w:p>
    <w:p w:rsidRPr="00C85A07" w:rsidR="00097C3C" w:rsidP="00C85A07" w:rsidRDefault="00097C3C" w14:paraId="7563FB04" w14:textId="77777777">
      <w:pPr>
        <w:pStyle w:val="Prrafodelista"/>
        <w:numPr>
          <w:ilvl w:val="0"/>
          <w:numId w:val="6"/>
        </w:numPr>
        <w:tabs>
          <w:tab w:val="center" w:pos="4419"/>
          <w:tab w:val="left" w:pos="6765"/>
        </w:tabs>
        <w:jc w:val="both"/>
        <w:rPr>
          <w:rFonts w:ascii="Cambria" w:hAnsi="Cambria"/>
          <w:bCs/>
          <w:sz w:val="24"/>
        </w:rPr>
      </w:pPr>
      <w:r w:rsidRPr="00C85A07">
        <w:rPr>
          <w:rFonts w:ascii="Cambria" w:hAnsi="Cambria"/>
          <w:bCs/>
          <w:sz w:val="24"/>
        </w:rPr>
        <w:t xml:space="preserve">Bancos privados. </w:t>
      </w:r>
    </w:p>
    <w:p w:rsidRPr="00C85A07" w:rsidR="00097C3C" w:rsidP="00C85A07" w:rsidRDefault="00097C3C" w14:paraId="17A1B9BF" w14:textId="77777777">
      <w:pPr>
        <w:pStyle w:val="Prrafodelista"/>
        <w:numPr>
          <w:ilvl w:val="0"/>
          <w:numId w:val="6"/>
        </w:numPr>
        <w:tabs>
          <w:tab w:val="center" w:pos="4419"/>
          <w:tab w:val="left" w:pos="6765"/>
        </w:tabs>
        <w:jc w:val="both"/>
        <w:rPr>
          <w:rFonts w:ascii="Cambria" w:hAnsi="Cambria"/>
          <w:bCs/>
          <w:sz w:val="24"/>
        </w:rPr>
      </w:pPr>
      <w:r w:rsidRPr="00C85A07">
        <w:rPr>
          <w:rFonts w:ascii="Cambria" w:hAnsi="Cambria"/>
          <w:bCs/>
          <w:sz w:val="24"/>
        </w:rPr>
        <w:t xml:space="preserve">Empresas financieras no bancarias. </w:t>
      </w:r>
    </w:p>
    <w:p w:rsidRPr="00C85A07" w:rsidR="00097C3C" w:rsidP="00C85A07" w:rsidRDefault="00097C3C" w14:paraId="325FA071" w14:textId="77777777">
      <w:pPr>
        <w:pStyle w:val="Prrafodelista"/>
        <w:numPr>
          <w:ilvl w:val="0"/>
          <w:numId w:val="6"/>
        </w:numPr>
        <w:tabs>
          <w:tab w:val="center" w:pos="4419"/>
          <w:tab w:val="left" w:pos="6765"/>
        </w:tabs>
        <w:jc w:val="both"/>
        <w:rPr>
          <w:rFonts w:ascii="Cambria" w:hAnsi="Cambria"/>
          <w:bCs/>
          <w:sz w:val="24"/>
        </w:rPr>
      </w:pPr>
      <w:r w:rsidRPr="00C85A07">
        <w:rPr>
          <w:rFonts w:ascii="Cambria" w:hAnsi="Cambria"/>
          <w:bCs/>
          <w:sz w:val="24"/>
        </w:rPr>
        <w:t xml:space="preserve">Organizaciones cooperativas de ahorro y crédito. </w:t>
      </w:r>
    </w:p>
    <w:p w:rsidRPr="00C85A07" w:rsidR="00097C3C" w:rsidP="00C85A07" w:rsidRDefault="00097C3C" w14:paraId="199AD08A" w14:textId="77777777">
      <w:pPr>
        <w:pStyle w:val="Prrafodelista"/>
        <w:numPr>
          <w:ilvl w:val="0"/>
          <w:numId w:val="6"/>
        </w:numPr>
        <w:tabs>
          <w:tab w:val="center" w:pos="4419"/>
          <w:tab w:val="left" w:pos="6765"/>
        </w:tabs>
        <w:jc w:val="both"/>
        <w:rPr>
          <w:rFonts w:ascii="Cambria" w:hAnsi="Cambria"/>
          <w:bCs/>
          <w:sz w:val="24"/>
        </w:rPr>
      </w:pPr>
      <w:r w:rsidRPr="00C85A07">
        <w:rPr>
          <w:rFonts w:ascii="Cambria" w:hAnsi="Cambria"/>
          <w:bCs/>
          <w:sz w:val="24"/>
        </w:rPr>
        <w:t xml:space="preserve">Entidades Autorizadas del Sistema Financiera Nacional para la Vivienda. </w:t>
      </w:r>
    </w:p>
    <w:p w:rsidRPr="00C85A07" w:rsidR="00097C3C" w:rsidP="00C85A07" w:rsidRDefault="00097C3C" w14:paraId="633F0E87" w14:textId="77777777">
      <w:pPr>
        <w:pStyle w:val="Prrafodelista"/>
        <w:numPr>
          <w:ilvl w:val="0"/>
          <w:numId w:val="6"/>
        </w:numPr>
        <w:tabs>
          <w:tab w:val="center" w:pos="4419"/>
          <w:tab w:val="left" w:pos="6765"/>
        </w:tabs>
        <w:jc w:val="both"/>
        <w:rPr>
          <w:rFonts w:ascii="Cambria" w:hAnsi="Cambria"/>
          <w:bCs/>
          <w:sz w:val="24"/>
        </w:rPr>
      </w:pPr>
      <w:r w:rsidRPr="00C85A07">
        <w:rPr>
          <w:rFonts w:ascii="Cambria" w:hAnsi="Cambria"/>
          <w:bCs/>
          <w:sz w:val="24"/>
        </w:rPr>
        <w:t xml:space="preserve">Otras Entidades Financieras. </w:t>
      </w:r>
    </w:p>
    <w:p w:rsidR="00097C3C" w:rsidP="00C85A07" w:rsidRDefault="00097C3C" w14:paraId="051D4D6E" w14:textId="7D534192">
      <w:pPr>
        <w:pStyle w:val="Prrafodelista"/>
        <w:numPr>
          <w:ilvl w:val="0"/>
          <w:numId w:val="6"/>
        </w:numPr>
        <w:tabs>
          <w:tab w:val="center" w:pos="4419"/>
          <w:tab w:val="left" w:pos="6765"/>
        </w:tabs>
        <w:jc w:val="both"/>
        <w:rPr>
          <w:rFonts w:ascii="Cambria" w:hAnsi="Cambria"/>
          <w:bCs/>
          <w:sz w:val="24"/>
        </w:rPr>
      </w:pPr>
      <w:r w:rsidRPr="00C85A07">
        <w:rPr>
          <w:rFonts w:ascii="Cambria" w:hAnsi="Cambria"/>
          <w:bCs/>
          <w:sz w:val="24"/>
        </w:rPr>
        <w:t>Casas de Cambio.</w:t>
      </w:r>
    </w:p>
    <w:p w:rsidR="00C85A07" w:rsidP="00C85A07" w:rsidRDefault="00C85A07" w14:paraId="7E0783DC" w14:textId="77777777">
      <w:pPr>
        <w:pStyle w:val="Prrafodelista"/>
        <w:tabs>
          <w:tab w:val="center" w:pos="4419"/>
          <w:tab w:val="left" w:pos="6765"/>
        </w:tabs>
        <w:ind w:left="1068"/>
        <w:jc w:val="both"/>
        <w:rPr>
          <w:rFonts w:ascii="Cambria" w:hAnsi="Cambria"/>
          <w:bCs/>
          <w:sz w:val="24"/>
        </w:rPr>
      </w:pPr>
    </w:p>
    <w:p w:rsidRPr="00C85A07" w:rsidR="00097C3C" w:rsidP="00C85A07" w:rsidRDefault="00097C3C" w14:paraId="50301627" w14:textId="77777777">
      <w:pPr>
        <w:tabs>
          <w:tab w:val="center" w:pos="4419"/>
          <w:tab w:val="left" w:pos="6765"/>
        </w:tabs>
        <w:spacing w:line="240" w:lineRule="auto"/>
        <w:ind w:left="567" w:hanging="567"/>
        <w:contextualSpacing/>
        <w:rPr>
          <w:b/>
          <w:sz w:val="24"/>
        </w:rPr>
      </w:pPr>
      <w:r w:rsidRPr="00C85A07">
        <w:rPr>
          <w:b/>
          <w:sz w:val="24"/>
        </w:rPr>
        <w:t>2)</w:t>
      </w:r>
      <w:r w:rsidRPr="00C85A07">
        <w:rPr>
          <w:b/>
          <w:sz w:val="24"/>
        </w:rPr>
        <w:tab/>
        <w:t xml:space="preserve">Supervisados por Sugeval: </w:t>
      </w:r>
    </w:p>
    <w:p w:rsidRPr="00C85A07" w:rsidR="00097C3C" w:rsidP="00C85A07" w:rsidRDefault="00097C3C" w14:paraId="5FCEC1EA" w14:textId="77777777">
      <w:pPr>
        <w:pStyle w:val="Prrafodelista"/>
        <w:numPr>
          <w:ilvl w:val="0"/>
          <w:numId w:val="7"/>
        </w:numPr>
        <w:tabs>
          <w:tab w:val="center" w:pos="4419"/>
          <w:tab w:val="left" w:pos="6765"/>
        </w:tabs>
        <w:jc w:val="both"/>
        <w:rPr>
          <w:bCs/>
          <w:sz w:val="24"/>
        </w:rPr>
      </w:pPr>
      <w:r w:rsidRPr="00C85A07">
        <w:rPr>
          <w:bCs/>
          <w:sz w:val="24"/>
        </w:rPr>
        <w:t xml:space="preserve">Puestos de Bolsa y Sociedades Administradoras de Fondos de Inversión; Sociedades Titularizadoras y Sociedades Fiduciarias. </w:t>
      </w:r>
    </w:p>
    <w:p w:rsidRPr="00C85A07" w:rsidR="00097C3C" w:rsidP="00C85A07" w:rsidRDefault="00097C3C" w14:paraId="19F20F7E" w14:textId="77777777">
      <w:pPr>
        <w:pStyle w:val="Prrafodelista"/>
        <w:numPr>
          <w:ilvl w:val="0"/>
          <w:numId w:val="7"/>
        </w:numPr>
        <w:tabs>
          <w:tab w:val="center" w:pos="4419"/>
          <w:tab w:val="left" w:pos="6765"/>
        </w:tabs>
        <w:jc w:val="both"/>
        <w:rPr>
          <w:bCs/>
          <w:sz w:val="24"/>
        </w:rPr>
      </w:pPr>
      <w:r w:rsidRPr="00C85A07">
        <w:rPr>
          <w:bCs/>
          <w:sz w:val="24"/>
        </w:rPr>
        <w:t xml:space="preserve">Bolsas de Valores. </w:t>
      </w:r>
    </w:p>
    <w:p w:rsidRPr="00C85A07" w:rsidR="00097C3C" w:rsidP="00C85A07" w:rsidRDefault="00097C3C" w14:paraId="7649144F" w14:textId="77777777">
      <w:pPr>
        <w:pStyle w:val="Prrafodelista"/>
        <w:numPr>
          <w:ilvl w:val="0"/>
          <w:numId w:val="7"/>
        </w:numPr>
        <w:tabs>
          <w:tab w:val="center" w:pos="4419"/>
          <w:tab w:val="left" w:pos="6765"/>
        </w:tabs>
        <w:jc w:val="both"/>
        <w:rPr>
          <w:bCs/>
          <w:sz w:val="24"/>
        </w:rPr>
      </w:pPr>
      <w:r w:rsidRPr="00C85A07">
        <w:rPr>
          <w:bCs/>
          <w:sz w:val="24"/>
        </w:rPr>
        <w:t xml:space="preserve">Sociedades de compensación y liquidación. </w:t>
      </w:r>
    </w:p>
    <w:p w:rsidRPr="00C85A07" w:rsidR="00097C3C" w:rsidP="00C85A07" w:rsidRDefault="00097C3C" w14:paraId="6C9D1C19" w14:textId="77777777">
      <w:pPr>
        <w:pStyle w:val="Prrafodelista"/>
        <w:numPr>
          <w:ilvl w:val="0"/>
          <w:numId w:val="7"/>
        </w:numPr>
        <w:tabs>
          <w:tab w:val="center" w:pos="4419"/>
          <w:tab w:val="left" w:pos="6765"/>
        </w:tabs>
        <w:jc w:val="both"/>
        <w:rPr>
          <w:bCs/>
          <w:sz w:val="24"/>
        </w:rPr>
      </w:pPr>
      <w:r w:rsidRPr="00C85A07">
        <w:rPr>
          <w:bCs/>
          <w:sz w:val="24"/>
        </w:rPr>
        <w:t xml:space="preserve">Sociedades Calificadoras de Riesgo. </w:t>
      </w:r>
    </w:p>
    <w:p w:rsidRPr="00C85A07" w:rsidR="00097C3C" w:rsidP="00C85A07" w:rsidRDefault="00097C3C" w14:paraId="624BDF98" w14:textId="77777777">
      <w:pPr>
        <w:pStyle w:val="Prrafodelista"/>
        <w:numPr>
          <w:ilvl w:val="0"/>
          <w:numId w:val="7"/>
        </w:numPr>
        <w:tabs>
          <w:tab w:val="center" w:pos="4419"/>
          <w:tab w:val="left" w:pos="6765"/>
        </w:tabs>
        <w:jc w:val="both"/>
        <w:rPr>
          <w:bCs/>
          <w:sz w:val="24"/>
        </w:rPr>
      </w:pPr>
      <w:r w:rsidRPr="00C85A07">
        <w:rPr>
          <w:bCs/>
          <w:sz w:val="24"/>
        </w:rPr>
        <w:t xml:space="preserve">Proveedores de Precio. </w:t>
      </w:r>
    </w:p>
    <w:p w:rsidRPr="00C85A07" w:rsidR="00097C3C" w:rsidP="00C85A07" w:rsidRDefault="00097C3C" w14:paraId="13CDB572" w14:textId="77777777">
      <w:pPr>
        <w:pStyle w:val="Prrafodelista"/>
        <w:numPr>
          <w:ilvl w:val="0"/>
          <w:numId w:val="7"/>
        </w:numPr>
        <w:tabs>
          <w:tab w:val="center" w:pos="4419"/>
          <w:tab w:val="left" w:pos="6765"/>
        </w:tabs>
        <w:jc w:val="both"/>
        <w:rPr>
          <w:bCs/>
          <w:sz w:val="24"/>
        </w:rPr>
      </w:pPr>
      <w:r w:rsidRPr="00C85A07">
        <w:rPr>
          <w:bCs/>
          <w:sz w:val="24"/>
        </w:rPr>
        <w:t xml:space="preserve">Emisores no financieros, excepto los vehículos de administración de recursos de terceros que sean emisores de valores. </w:t>
      </w:r>
    </w:p>
    <w:p w:rsidR="00097C3C" w:rsidP="00C85A07" w:rsidRDefault="00097C3C" w14:paraId="55B6871E" w14:textId="5F623196">
      <w:pPr>
        <w:pStyle w:val="Prrafodelista"/>
        <w:numPr>
          <w:ilvl w:val="0"/>
          <w:numId w:val="7"/>
        </w:numPr>
        <w:tabs>
          <w:tab w:val="center" w:pos="4419"/>
          <w:tab w:val="left" w:pos="6765"/>
        </w:tabs>
        <w:jc w:val="both"/>
        <w:rPr>
          <w:bCs/>
          <w:sz w:val="24"/>
        </w:rPr>
      </w:pPr>
      <w:r w:rsidRPr="00C85A07">
        <w:rPr>
          <w:bCs/>
          <w:sz w:val="24"/>
        </w:rPr>
        <w:t xml:space="preserve">Centrales de Anotación en cuenta. </w:t>
      </w:r>
    </w:p>
    <w:p w:rsidRPr="00C85A07" w:rsidR="00C85A07" w:rsidP="00C85A07" w:rsidRDefault="00C85A07" w14:paraId="55153317" w14:textId="77777777">
      <w:pPr>
        <w:pStyle w:val="Prrafodelista"/>
        <w:tabs>
          <w:tab w:val="center" w:pos="4419"/>
          <w:tab w:val="left" w:pos="6765"/>
        </w:tabs>
        <w:ind w:left="1068"/>
        <w:jc w:val="both"/>
        <w:rPr>
          <w:bCs/>
          <w:sz w:val="24"/>
        </w:rPr>
      </w:pPr>
    </w:p>
    <w:p w:rsidRPr="00C85A07" w:rsidR="00097C3C" w:rsidP="00C85A07" w:rsidRDefault="00097C3C" w14:paraId="566A6649" w14:textId="77777777">
      <w:pPr>
        <w:tabs>
          <w:tab w:val="center" w:pos="4419"/>
          <w:tab w:val="left" w:pos="6765"/>
        </w:tabs>
        <w:spacing w:line="240" w:lineRule="auto"/>
        <w:ind w:left="567" w:hanging="567"/>
        <w:contextualSpacing/>
        <w:rPr>
          <w:b/>
          <w:sz w:val="24"/>
        </w:rPr>
      </w:pPr>
      <w:r w:rsidRPr="00C85A07">
        <w:rPr>
          <w:b/>
          <w:sz w:val="24"/>
        </w:rPr>
        <w:t>3)</w:t>
      </w:r>
      <w:r w:rsidRPr="00C85A07">
        <w:rPr>
          <w:b/>
          <w:sz w:val="24"/>
        </w:rPr>
        <w:tab/>
        <w:t xml:space="preserve">Supervisados por Sugese: </w:t>
      </w:r>
    </w:p>
    <w:p w:rsidRPr="00C85A07" w:rsidR="00097C3C" w:rsidP="00C85A07" w:rsidRDefault="00097C3C" w14:paraId="4AE2D6EF" w14:textId="77777777">
      <w:pPr>
        <w:pStyle w:val="Prrafodelista"/>
        <w:numPr>
          <w:ilvl w:val="0"/>
          <w:numId w:val="8"/>
        </w:numPr>
        <w:tabs>
          <w:tab w:val="center" w:pos="4419"/>
          <w:tab w:val="left" w:pos="6765"/>
        </w:tabs>
        <w:jc w:val="both"/>
        <w:rPr>
          <w:bCs/>
          <w:sz w:val="24"/>
        </w:rPr>
      </w:pPr>
      <w:r w:rsidRPr="00C85A07">
        <w:rPr>
          <w:bCs/>
          <w:sz w:val="24"/>
        </w:rPr>
        <w:t xml:space="preserve">Entidades Aseguradoras y Reaseguradoras. </w:t>
      </w:r>
    </w:p>
    <w:p w:rsidR="00097C3C" w:rsidP="00C85A07" w:rsidRDefault="00097C3C" w14:paraId="7B5C758C" w14:textId="2955CCE7">
      <w:pPr>
        <w:pStyle w:val="Prrafodelista"/>
        <w:numPr>
          <w:ilvl w:val="0"/>
          <w:numId w:val="8"/>
        </w:numPr>
        <w:tabs>
          <w:tab w:val="center" w:pos="4419"/>
          <w:tab w:val="left" w:pos="6765"/>
        </w:tabs>
        <w:jc w:val="both"/>
        <w:rPr>
          <w:bCs/>
          <w:sz w:val="24"/>
        </w:rPr>
      </w:pPr>
      <w:r w:rsidRPr="00C85A07">
        <w:rPr>
          <w:bCs/>
          <w:sz w:val="24"/>
        </w:rPr>
        <w:t xml:space="preserve">Sociedades Corredoras de Seguros. </w:t>
      </w:r>
    </w:p>
    <w:p w:rsidRPr="00C85A07" w:rsidR="00C85A07" w:rsidP="00C85A07" w:rsidRDefault="00C85A07" w14:paraId="5BA281B3" w14:textId="77777777">
      <w:pPr>
        <w:pStyle w:val="Prrafodelista"/>
        <w:tabs>
          <w:tab w:val="center" w:pos="4419"/>
          <w:tab w:val="left" w:pos="6765"/>
        </w:tabs>
        <w:ind w:left="1068"/>
        <w:jc w:val="both"/>
        <w:rPr>
          <w:bCs/>
          <w:sz w:val="24"/>
        </w:rPr>
      </w:pPr>
    </w:p>
    <w:p w:rsidRPr="00C85A07" w:rsidR="00097C3C" w:rsidP="00C85A07" w:rsidRDefault="00097C3C" w14:paraId="25167D30" w14:textId="77777777">
      <w:pPr>
        <w:tabs>
          <w:tab w:val="center" w:pos="4419"/>
          <w:tab w:val="left" w:pos="6765"/>
        </w:tabs>
        <w:spacing w:line="240" w:lineRule="auto"/>
        <w:ind w:left="567" w:hanging="567"/>
        <w:contextualSpacing/>
        <w:rPr>
          <w:b/>
          <w:sz w:val="24"/>
        </w:rPr>
      </w:pPr>
      <w:r w:rsidRPr="00C85A07">
        <w:rPr>
          <w:b/>
          <w:sz w:val="24"/>
        </w:rPr>
        <w:t>4)</w:t>
      </w:r>
      <w:r w:rsidRPr="00C85A07">
        <w:rPr>
          <w:b/>
          <w:sz w:val="24"/>
        </w:rPr>
        <w:tab/>
        <w:t xml:space="preserve">Supervisados por Supen: </w:t>
      </w:r>
    </w:p>
    <w:p w:rsidR="00097C3C" w:rsidP="00C85A07" w:rsidRDefault="00097C3C" w14:paraId="6ACD61B1" w14:textId="04568A52">
      <w:pPr>
        <w:pStyle w:val="Prrafodelista"/>
        <w:numPr>
          <w:ilvl w:val="0"/>
          <w:numId w:val="9"/>
        </w:numPr>
        <w:tabs>
          <w:tab w:val="center" w:pos="4419"/>
          <w:tab w:val="left" w:pos="6765"/>
        </w:tabs>
        <w:jc w:val="both"/>
        <w:rPr>
          <w:bCs/>
          <w:sz w:val="24"/>
        </w:rPr>
      </w:pPr>
      <w:r w:rsidRPr="00C85A07">
        <w:rPr>
          <w:bCs/>
          <w:sz w:val="24"/>
        </w:rPr>
        <w:t>Operadoras de Pensiones.</w:t>
      </w:r>
    </w:p>
    <w:p w:rsidRPr="00C85A07" w:rsidR="00C85A07" w:rsidP="00C85A07" w:rsidRDefault="00C85A07" w14:paraId="07051A8C" w14:textId="77777777">
      <w:pPr>
        <w:pStyle w:val="Prrafodelista"/>
        <w:tabs>
          <w:tab w:val="center" w:pos="4419"/>
          <w:tab w:val="left" w:pos="6765"/>
        </w:tabs>
        <w:ind w:left="1068"/>
        <w:jc w:val="both"/>
        <w:rPr>
          <w:bCs/>
          <w:sz w:val="24"/>
        </w:rPr>
      </w:pPr>
    </w:p>
    <w:p w:rsidRPr="00C85A07" w:rsidR="00097C3C" w:rsidP="00C85A07" w:rsidRDefault="00097C3C" w14:paraId="6429B989" w14:textId="158C991C">
      <w:pPr>
        <w:tabs>
          <w:tab w:val="center" w:pos="4419"/>
          <w:tab w:val="left" w:pos="6765"/>
        </w:tabs>
        <w:spacing w:line="240" w:lineRule="auto"/>
        <w:ind w:left="567" w:hanging="567"/>
        <w:contextualSpacing/>
        <w:rPr>
          <w:b/>
          <w:sz w:val="24"/>
        </w:rPr>
      </w:pPr>
      <w:r w:rsidRPr="00C85A07">
        <w:rPr>
          <w:b/>
          <w:sz w:val="24"/>
        </w:rPr>
        <w:t>5)</w:t>
      </w:r>
      <w:r w:rsidRPr="00C85A07">
        <w:rPr>
          <w:b/>
          <w:sz w:val="24"/>
        </w:rPr>
        <w:tab/>
        <w:t>Controladoras de grupos y conglomerados financieros supervisados.</w:t>
      </w:r>
    </w:p>
    <w:p w:rsidRPr="00C85A07" w:rsidR="00097C3C" w:rsidP="00C85A07" w:rsidRDefault="00097C3C" w14:paraId="4DDA8955" w14:textId="77777777">
      <w:pPr>
        <w:tabs>
          <w:tab w:val="center" w:pos="4419"/>
          <w:tab w:val="left" w:pos="6765"/>
        </w:tabs>
        <w:spacing w:line="240" w:lineRule="auto"/>
        <w:ind w:left="567" w:hanging="567"/>
        <w:contextualSpacing/>
        <w:rPr>
          <w:b/>
          <w:sz w:val="24"/>
        </w:rPr>
      </w:pPr>
    </w:p>
    <w:p w:rsidRPr="00C85A07" w:rsidR="00097C3C" w:rsidP="00C85A07" w:rsidRDefault="00097C3C" w14:paraId="2FBFAEE3" w14:textId="77777777">
      <w:pPr>
        <w:tabs>
          <w:tab w:val="center" w:pos="4419"/>
          <w:tab w:val="left" w:pos="6765"/>
        </w:tabs>
        <w:spacing w:line="240" w:lineRule="auto"/>
        <w:ind w:left="1134" w:hanging="1134"/>
        <w:contextualSpacing/>
        <w:rPr>
          <w:bCs/>
          <w:sz w:val="24"/>
        </w:rPr>
      </w:pPr>
      <w:r w:rsidRPr="00C85A07">
        <w:rPr>
          <w:b/>
          <w:sz w:val="24"/>
        </w:rPr>
        <w:t>Asunto</w:t>
      </w:r>
      <w:r w:rsidRPr="00C85A07">
        <w:rPr>
          <w:bCs/>
          <w:sz w:val="24"/>
        </w:rPr>
        <w:t>:</w:t>
      </w:r>
      <w:r w:rsidRPr="00C85A07">
        <w:rPr>
          <w:bCs/>
          <w:sz w:val="24"/>
        </w:rPr>
        <w:tab/>
        <w:t xml:space="preserve">Consulta externa a la propuesta de modificación a la Resolución SGF-0241-2021 </w:t>
      </w:r>
      <w:r w:rsidRPr="00C85A07">
        <w:rPr>
          <w:bCs/>
          <w:i/>
          <w:iCs/>
          <w:sz w:val="24"/>
        </w:rPr>
        <w:t>Lineamientos operativos para el funcionamiento, acceso y uso del Centro de información conozca a su cliente</w:t>
      </w:r>
      <w:r w:rsidRPr="00C85A07">
        <w:rPr>
          <w:bCs/>
          <w:sz w:val="24"/>
        </w:rPr>
        <w:t>, Acuerdo CONASSIF 11-21.</w:t>
      </w:r>
    </w:p>
    <w:p w:rsidRPr="00C85A07" w:rsidR="00097C3C" w:rsidP="00C85A07" w:rsidRDefault="00097C3C" w14:paraId="67A50671" w14:textId="77777777">
      <w:pPr>
        <w:tabs>
          <w:tab w:val="center" w:pos="4419"/>
          <w:tab w:val="left" w:pos="6765"/>
        </w:tabs>
        <w:spacing w:line="240" w:lineRule="auto"/>
        <w:ind w:left="1134" w:hanging="1134"/>
        <w:contextualSpacing/>
        <w:rPr>
          <w:bCs/>
          <w:sz w:val="24"/>
        </w:rPr>
      </w:pPr>
    </w:p>
    <w:p w:rsidR="00097C3C" w:rsidP="00C85A07" w:rsidRDefault="00097C3C" w14:paraId="40F4FDEF" w14:textId="674237E3">
      <w:pPr>
        <w:tabs>
          <w:tab w:val="center" w:pos="4419"/>
          <w:tab w:val="left" w:pos="6765"/>
        </w:tabs>
        <w:spacing w:line="240" w:lineRule="auto"/>
        <w:contextualSpacing/>
        <w:rPr>
          <w:b/>
          <w:sz w:val="24"/>
        </w:rPr>
      </w:pPr>
      <w:r w:rsidRPr="00C85A07">
        <w:rPr>
          <w:b/>
          <w:sz w:val="24"/>
        </w:rPr>
        <w:t xml:space="preserve">La Superintendente General de Entidades Financieras, </w:t>
      </w:r>
    </w:p>
    <w:p w:rsidRPr="00C85A07" w:rsidR="00C85A07" w:rsidP="00C85A07" w:rsidRDefault="00C85A07" w14:paraId="7266F7A6" w14:textId="77777777">
      <w:pPr>
        <w:tabs>
          <w:tab w:val="center" w:pos="4419"/>
          <w:tab w:val="left" w:pos="6765"/>
        </w:tabs>
        <w:spacing w:line="240" w:lineRule="auto"/>
        <w:contextualSpacing/>
        <w:rPr>
          <w:b/>
          <w:sz w:val="24"/>
        </w:rPr>
      </w:pPr>
    </w:p>
    <w:p w:rsidR="00097C3C" w:rsidP="00C85A07" w:rsidRDefault="00097C3C" w14:paraId="11BE8E59" w14:textId="657E13FF">
      <w:pPr>
        <w:tabs>
          <w:tab w:val="center" w:pos="4419"/>
          <w:tab w:val="left" w:pos="6765"/>
        </w:tabs>
        <w:spacing w:line="240" w:lineRule="auto"/>
        <w:contextualSpacing/>
        <w:rPr>
          <w:b/>
          <w:sz w:val="24"/>
        </w:rPr>
      </w:pPr>
      <w:r w:rsidRPr="00C85A07">
        <w:rPr>
          <w:b/>
          <w:sz w:val="24"/>
        </w:rPr>
        <w:t xml:space="preserve">considerando que: </w:t>
      </w:r>
    </w:p>
    <w:p w:rsidRPr="00C85A07" w:rsidR="00FC5D26" w:rsidP="00C85A07" w:rsidRDefault="00FC5D26" w14:paraId="30D208A3" w14:textId="77777777">
      <w:pPr>
        <w:tabs>
          <w:tab w:val="center" w:pos="4419"/>
          <w:tab w:val="left" w:pos="6765"/>
        </w:tabs>
        <w:spacing w:line="240" w:lineRule="auto"/>
        <w:contextualSpacing/>
        <w:rPr>
          <w:b/>
          <w:sz w:val="24"/>
        </w:rPr>
      </w:pPr>
    </w:p>
    <w:p w:rsidRPr="00C85A07" w:rsidR="00097C3C" w:rsidP="00C85A07" w:rsidRDefault="00097C3C" w14:paraId="56679B9C" w14:textId="77777777">
      <w:pPr>
        <w:tabs>
          <w:tab w:val="center" w:pos="4419"/>
          <w:tab w:val="left" w:pos="6765"/>
        </w:tabs>
        <w:spacing w:line="240" w:lineRule="auto"/>
        <w:ind w:left="567" w:hanging="567"/>
        <w:contextualSpacing/>
        <w:rPr>
          <w:bCs/>
          <w:sz w:val="24"/>
        </w:rPr>
      </w:pPr>
      <w:r w:rsidRPr="00C85A07">
        <w:rPr>
          <w:bCs/>
          <w:sz w:val="24"/>
        </w:rPr>
        <w:t>I.</w:t>
      </w:r>
      <w:r w:rsidRPr="00C85A07">
        <w:rPr>
          <w:bCs/>
          <w:sz w:val="24"/>
        </w:rPr>
        <w:tab/>
        <w:t xml:space="preserve">El inciso 2) del artículo 361 de la </w:t>
      </w:r>
      <w:r w:rsidRPr="00C85A07">
        <w:rPr>
          <w:bCs/>
          <w:i/>
          <w:iCs/>
          <w:sz w:val="24"/>
        </w:rPr>
        <w:t>Ley General de la Administración Pública</w:t>
      </w:r>
      <w:r w:rsidRPr="00C85A07">
        <w:rPr>
          <w:bCs/>
          <w:sz w:val="24"/>
        </w:rPr>
        <w:t xml:space="preserve"> establece que se concederá a las entidades representativas de intereses de carácter general o corporativo afectados por la disposición, la oportunidad de exponer su parecer.</w:t>
      </w:r>
    </w:p>
    <w:p w:rsidRPr="00C85A07" w:rsidR="00097C3C" w:rsidP="00C85A07" w:rsidRDefault="00097C3C" w14:paraId="5FC9A11D" w14:textId="77777777">
      <w:pPr>
        <w:tabs>
          <w:tab w:val="center" w:pos="4419"/>
          <w:tab w:val="left" w:pos="6765"/>
        </w:tabs>
        <w:spacing w:line="240" w:lineRule="auto"/>
        <w:ind w:left="567" w:hanging="567"/>
        <w:contextualSpacing/>
        <w:rPr>
          <w:bCs/>
          <w:sz w:val="24"/>
        </w:rPr>
      </w:pPr>
      <w:r w:rsidRPr="00C85A07">
        <w:rPr>
          <w:bCs/>
          <w:sz w:val="24"/>
        </w:rPr>
        <w:t>II.</w:t>
      </w:r>
      <w:r w:rsidRPr="00C85A07">
        <w:rPr>
          <w:bCs/>
          <w:sz w:val="24"/>
        </w:rPr>
        <w:tab/>
        <w:t xml:space="preserve">Se elaboró el proyecto de modificación a la Resolución SGF-0241-2021 </w:t>
      </w:r>
      <w:r w:rsidRPr="00C85A07">
        <w:rPr>
          <w:bCs/>
          <w:i/>
          <w:iCs/>
          <w:sz w:val="24"/>
        </w:rPr>
        <w:t>Lineamientos operativos para el funcionamiento, acceso y uso del Centro de información conozca a su cliente</w:t>
      </w:r>
      <w:r w:rsidRPr="00C85A07">
        <w:rPr>
          <w:bCs/>
          <w:sz w:val="24"/>
        </w:rPr>
        <w:t>, Acuerdo CONASSIF 11-21 en procura de incorporar mejoras, el mismo debe ser sometido a consulta de las entidades supervisadas, cámaras y gremios y a los grupos y conglomerados financieros.</w:t>
      </w:r>
    </w:p>
    <w:p w:rsidRPr="00C85A07" w:rsidR="00097C3C" w:rsidP="00C85A07" w:rsidRDefault="00097C3C" w14:paraId="61F01E8B" w14:textId="77777777">
      <w:pPr>
        <w:tabs>
          <w:tab w:val="center" w:pos="4419"/>
          <w:tab w:val="left" w:pos="6765"/>
        </w:tabs>
        <w:spacing w:line="240" w:lineRule="auto"/>
        <w:contextualSpacing/>
        <w:rPr>
          <w:b/>
          <w:sz w:val="24"/>
        </w:rPr>
      </w:pPr>
    </w:p>
    <w:p w:rsidRPr="00C85A07" w:rsidR="00097C3C" w:rsidP="00C85A07" w:rsidRDefault="00097C3C" w14:paraId="5536AF86" w14:textId="7082B895">
      <w:pPr>
        <w:tabs>
          <w:tab w:val="center" w:pos="4419"/>
          <w:tab w:val="left" w:pos="6765"/>
        </w:tabs>
        <w:spacing w:line="240" w:lineRule="auto"/>
        <w:contextualSpacing/>
        <w:rPr>
          <w:b/>
          <w:sz w:val="24"/>
        </w:rPr>
      </w:pPr>
      <w:r w:rsidRPr="00C85A07">
        <w:rPr>
          <w:b/>
          <w:sz w:val="24"/>
        </w:rPr>
        <w:t>dispuso en firme:</w:t>
      </w:r>
    </w:p>
    <w:p w:rsidRPr="00C85A07" w:rsidR="0053682A" w:rsidP="00C85A07" w:rsidRDefault="0053682A" w14:paraId="6E2F5F31" w14:textId="77777777">
      <w:pPr>
        <w:tabs>
          <w:tab w:val="center" w:pos="4419"/>
          <w:tab w:val="left" w:pos="6765"/>
        </w:tabs>
        <w:spacing w:line="240" w:lineRule="auto"/>
        <w:contextualSpacing/>
        <w:rPr>
          <w:bCs/>
          <w:sz w:val="24"/>
        </w:rPr>
      </w:pPr>
    </w:p>
    <w:p w:rsidR="00C85A07" w:rsidP="00C85A07" w:rsidRDefault="00097C3C" w14:paraId="6798AAC1" w14:textId="205F9A95">
      <w:pPr>
        <w:tabs>
          <w:tab w:val="center" w:pos="4419"/>
          <w:tab w:val="left" w:pos="6765"/>
        </w:tabs>
        <w:spacing w:line="240" w:lineRule="auto"/>
        <w:contextualSpacing/>
        <w:rPr>
          <w:bCs/>
          <w:sz w:val="24"/>
        </w:rPr>
      </w:pPr>
      <w:r w:rsidRPr="00C85A07">
        <w:rPr>
          <w:bCs/>
          <w:sz w:val="24"/>
        </w:rPr>
        <w:lastRenderedPageBreak/>
        <w:t xml:space="preserve">remitir en consulta al sistema financiero nacional, en cumplimiento de lo establecido en el numeral 2, artículo 361, de la Ley General de la Administración Pública, la propuesta de modificación a la Resolución SGF-0241-2021 </w:t>
      </w:r>
      <w:r w:rsidRPr="00C85A07">
        <w:rPr>
          <w:bCs/>
          <w:i/>
          <w:iCs/>
          <w:sz w:val="24"/>
        </w:rPr>
        <w:t>Lineamientos operativos para el funcionamiento, acceso y uso del Centro de información conozca a su cliente</w:t>
      </w:r>
      <w:r w:rsidRPr="00C85A07">
        <w:rPr>
          <w:bCs/>
          <w:sz w:val="24"/>
        </w:rPr>
        <w:t xml:space="preserve">, Acuerdo CONASSIF 11-21, cuyo texto se incluye a continuación, en el entendido de que en un plazo máximo de diez (10) días hábiles, contados a partir del día hábil siguiente del recibo de la respectiva comunicación, deberán enviar al Despacho de la Superintendente General de Entidades Financieras, sus comentarios y observaciones mediante el canal oficial dispuesto en el Sitio Web de la SUGEF llamado “Formularios para remitir observaciones de normativa en consulta”, ubicado en la siguiente dirección electrónica: </w:t>
      </w:r>
      <w:hyperlink w:history="1" r:id="rId13">
        <w:r w:rsidRPr="00DA12A1" w:rsidR="00C85A07">
          <w:rPr>
            <w:rStyle w:val="Hipervnculo"/>
            <w:bCs/>
            <w:sz w:val="24"/>
          </w:rPr>
          <w:t>https://www.sugef.fi.cr/normativa/Formularios%20Normativa%20en%20Consulta.aspx</w:t>
        </w:r>
      </w:hyperlink>
    </w:p>
    <w:p w:rsidR="00D35D54" w:rsidP="00C85A07" w:rsidRDefault="00D35D54" w14:paraId="0501F834" w14:textId="77777777">
      <w:pPr>
        <w:tabs>
          <w:tab w:val="center" w:pos="4419"/>
          <w:tab w:val="left" w:pos="6765"/>
        </w:tabs>
        <w:spacing w:line="240" w:lineRule="auto"/>
        <w:contextualSpacing/>
        <w:rPr>
          <w:bCs/>
          <w:sz w:val="24"/>
        </w:rPr>
      </w:pPr>
    </w:p>
    <w:p w:rsidR="00097C3C" w:rsidP="00C85A07" w:rsidRDefault="00097C3C" w14:paraId="2DF8874A" w14:textId="2CE269CF">
      <w:pPr>
        <w:tabs>
          <w:tab w:val="center" w:pos="4419"/>
          <w:tab w:val="left" w:pos="6765"/>
        </w:tabs>
        <w:spacing w:line="240" w:lineRule="auto"/>
        <w:contextualSpacing/>
        <w:rPr>
          <w:bCs/>
          <w:sz w:val="24"/>
        </w:rPr>
      </w:pPr>
      <w:r w:rsidRPr="00C85A07">
        <w:rPr>
          <w:bCs/>
          <w:sz w:val="24"/>
        </w:rPr>
        <w:t>El formulario estará disponible hasta el término de la consulta pública.</w:t>
      </w:r>
    </w:p>
    <w:p w:rsidRPr="00C85A07" w:rsidR="00C85A07" w:rsidP="00C85A07" w:rsidRDefault="00C85A07" w14:paraId="2127C258" w14:textId="77777777">
      <w:pPr>
        <w:tabs>
          <w:tab w:val="center" w:pos="4419"/>
          <w:tab w:val="left" w:pos="6765"/>
        </w:tabs>
        <w:spacing w:line="240" w:lineRule="auto"/>
        <w:contextualSpacing/>
        <w:rPr>
          <w:bCs/>
          <w:sz w:val="24"/>
        </w:rPr>
      </w:pPr>
    </w:p>
    <w:p w:rsidRPr="00C85A07" w:rsidR="00097C3C" w:rsidP="00C85A07" w:rsidRDefault="00097C3C" w14:paraId="326AF308" w14:textId="36EE218D">
      <w:pPr>
        <w:tabs>
          <w:tab w:val="center" w:pos="4419"/>
          <w:tab w:val="left" w:pos="6765"/>
        </w:tabs>
        <w:spacing w:line="240" w:lineRule="auto"/>
        <w:contextualSpacing/>
        <w:rPr>
          <w:bCs/>
          <w:sz w:val="24"/>
        </w:rPr>
      </w:pPr>
      <w:r w:rsidRPr="00C85A07">
        <w:rPr>
          <w:bCs/>
          <w:sz w:val="24"/>
        </w:rPr>
        <w:t>Sin detrimento de lo anterior, las entidades consultadas pueden presentar de manera consolidada sus observaciones y comentarios a través de los gremios y cámaras qu</w:t>
      </w:r>
      <w:r w:rsidRPr="00C85A07" w:rsidR="0053682A">
        <w:rPr>
          <w:bCs/>
          <w:sz w:val="24"/>
        </w:rPr>
        <w:t>e les representan. Asi</w:t>
      </w:r>
      <w:r w:rsidRPr="00C85A07">
        <w:rPr>
          <w:bCs/>
          <w:sz w:val="24"/>
        </w:rPr>
        <w:t xml:space="preserve">mismo, el correo electrónico normativaenconsulta@sugef.fi.cr será utilizado </w:t>
      </w:r>
      <w:r w:rsidRPr="00D35D54">
        <w:rPr>
          <w:b/>
          <w:sz w:val="24"/>
          <w:u w:val="single"/>
        </w:rPr>
        <w:t>únicamente</w:t>
      </w:r>
      <w:r w:rsidRPr="00C85A07">
        <w:rPr>
          <w:bCs/>
          <w:sz w:val="24"/>
        </w:rPr>
        <w:t xml:space="preserve"> como mecanismo de notificación sobre la completitud de dicho formulario. </w:t>
      </w:r>
    </w:p>
    <w:p w:rsidRPr="00C85A07" w:rsidR="00097C3C" w:rsidP="00C85A07" w:rsidRDefault="00097C3C" w14:paraId="24103767" w14:textId="77777777">
      <w:pPr>
        <w:tabs>
          <w:tab w:val="center" w:pos="4419"/>
          <w:tab w:val="left" w:pos="6765"/>
        </w:tabs>
        <w:spacing w:line="240" w:lineRule="auto"/>
        <w:contextualSpacing/>
        <w:rPr>
          <w:b/>
          <w:sz w:val="24"/>
        </w:rPr>
      </w:pPr>
    </w:p>
    <w:p w:rsidR="00097C3C" w:rsidP="00C85A07" w:rsidRDefault="00097C3C" w14:paraId="4BFA48E1" w14:textId="733782A1">
      <w:pPr>
        <w:tabs>
          <w:tab w:val="center" w:pos="4419"/>
          <w:tab w:val="left" w:pos="6765"/>
        </w:tabs>
        <w:spacing w:line="240" w:lineRule="auto"/>
        <w:contextualSpacing/>
        <w:rPr>
          <w:b/>
          <w:sz w:val="24"/>
        </w:rPr>
      </w:pPr>
      <w:r w:rsidRPr="00C85A07">
        <w:rPr>
          <w:b/>
          <w:sz w:val="24"/>
        </w:rPr>
        <w:t xml:space="preserve">“La Superintendente General de Entidades Financieras, </w:t>
      </w:r>
    </w:p>
    <w:p w:rsidRPr="00C85A07" w:rsidR="00C85A07" w:rsidP="00C85A07" w:rsidRDefault="00C85A07" w14:paraId="339B46E9" w14:textId="77777777">
      <w:pPr>
        <w:tabs>
          <w:tab w:val="center" w:pos="4419"/>
          <w:tab w:val="left" w:pos="6765"/>
        </w:tabs>
        <w:spacing w:line="240" w:lineRule="auto"/>
        <w:contextualSpacing/>
        <w:rPr>
          <w:b/>
          <w:sz w:val="24"/>
        </w:rPr>
      </w:pPr>
    </w:p>
    <w:p w:rsidRPr="00C85A07" w:rsidR="00097C3C" w:rsidP="00C85A07" w:rsidRDefault="00097C3C" w14:paraId="5BCACACF" w14:textId="1D2A2C48">
      <w:pPr>
        <w:tabs>
          <w:tab w:val="center" w:pos="4419"/>
          <w:tab w:val="left" w:pos="6765"/>
        </w:tabs>
        <w:spacing w:line="240" w:lineRule="auto"/>
        <w:contextualSpacing/>
        <w:rPr>
          <w:b/>
          <w:sz w:val="24"/>
        </w:rPr>
      </w:pPr>
      <w:r w:rsidRPr="00C85A07">
        <w:rPr>
          <w:b/>
          <w:sz w:val="24"/>
        </w:rPr>
        <w:t xml:space="preserve">Considerando que: </w:t>
      </w:r>
    </w:p>
    <w:p w:rsidRPr="00C85A07" w:rsidR="00097C3C" w:rsidP="00C85A07" w:rsidRDefault="00097C3C" w14:paraId="0DD356B2" w14:textId="4FA281AE">
      <w:pPr>
        <w:tabs>
          <w:tab w:val="center" w:pos="4419"/>
          <w:tab w:val="left" w:pos="6765"/>
        </w:tabs>
        <w:spacing w:line="240" w:lineRule="auto"/>
        <w:ind w:left="567" w:hanging="567"/>
        <w:contextualSpacing/>
        <w:rPr>
          <w:bCs/>
          <w:sz w:val="24"/>
        </w:rPr>
      </w:pPr>
      <w:r w:rsidRPr="00C85A07">
        <w:rPr>
          <w:bCs/>
          <w:sz w:val="24"/>
        </w:rPr>
        <w:t>1)</w:t>
      </w:r>
      <w:r w:rsidRPr="00C85A07">
        <w:rPr>
          <w:bCs/>
          <w:sz w:val="24"/>
        </w:rPr>
        <w:tab/>
      </w:r>
      <w:r w:rsidRPr="00C85A07">
        <w:rPr>
          <w:bCs/>
          <w:sz w:val="24"/>
        </w:rPr>
        <w:tab/>
        <w:t xml:space="preserve">El Consejo Nacional de Supervisión del Sistema Financiero (CONASSIF) mediante Artículos 7 y 6 de las actas de las sesiones 1637-2020 y 1638-2020, celebradas el 18 de enero del 2021 aprobó el </w:t>
      </w:r>
      <w:r w:rsidRPr="00C85A07">
        <w:rPr>
          <w:bCs/>
          <w:i/>
          <w:iCs/>
          <w:sz w:val="24"/>
        </w:rPr>
        <w:t>Reglamento del centro de información conozca a su cliente, Acuerdo SUGEF 35-21</w:t>
      </w:r>
      <w:r w:rsidRPr="00C85A07">
        <w:rPr>
          <w:bCs/>
          <w:sz w:val="24"/>
        </w:rPr>
        <w:t xml:space="preserve">, por medio del cual se establecen las disposiciones de funcionamiento, acceso y uso de la información que se encuentre en el Centro de </w:t>
      </w:r>
      <w:r w:rsidRPr="00C85A07">
        <w:rPr>
          <w:bCs/>
          <w:sz w:val="24"/>
        </w:rPr>
        <w:lastRenderedPageBreak/>
        <w:t>información conozca a su cliente (CICAC). Este reglamento rige a partir del 1° de enero de 2022 y fue publicado en el Alcance 17 a La Gaceta 19 del jueves 28 de enero de 2021.</w:t>
      </w:r>
    </w:p>
    <w:p w:rsidRPr="00C85A07" w:rsidR="00097C3C" w:rsidP="00C85A07" w:rsidRDefault="00097C3C" w14:paraId="7FB1A8ED" w14:textId="77777777">
      <w:pPr>
        <w:tabs>
          <w:tab w:val="center" w:pos="4419"/>
          <w:tab w:val="left" w:pos="6765"/>
        </w:tabs>
        <w:spacing w:line="240" w:lineRule="auto"/>
        <w:ind w:left="567" w:hanging="567"/>
        <w:contextualSpacing/>
        <w:rPr>
          <w:bCs/>
          <w:sz w:val="24"/>
        </w:rPr>
      </w:pPr>
      <w:r w:rsidRPr="00C85A07">
        <w:rPr>
          <w:bCs/>
          <w:sz w:val="24"/>
        </w:rPr>
        <w:t>2)</w:t>
      </w:r>
      <w:r w:rsidRPr="00C85A07">
        <w:rPr>
          <w:bCs/>
          <w:sz w:val="24"/>
        </w:rPr>
        <w:tab/>
      </w:r>
      <w:r w:rsidRPr="00C85A07">
        <w:rPr>
          <w:bCs/>
          <w:sz w:val="24"/>
        </w:rPr>
        <w:tab/>
        <w:t>Asimismo, el CONASSIF en los artículos 8 y 9 de las actas de las sesiones 1725-2022 y 1726-2022, celebradas el 18 de abril del 2022, dispuso en firme cambiar la codificación del Acuerdo SUGEF 35-21 por Acuerdo CONASSIF 11-21.</w:t>
      </w:r>
    </w:p>
    <w:p w:rsidRPr="00C85A07" w:rsidR="00097C3C" w:rsidP="00C85A07" w:rsidRDefault="00097C3C" w14:paraId="5DAA8A20" w14:textId="77777777">
      <w:pPr>
        <w:tabs>
          <w:tab w:val="center" w:pos="4419"/>
          <w:tab w:val="left" w:pos="6765"/>
        </w:tabs>
        <w:spacing w:line="240" w:lineRule="auto"/>
        <w:ind w:left="567" w:hanging="567"/>
        <w:contextualSpacing/>
        <w:rPr>
          <w:bCs/>
          <w:sz w:val="24"/>
        </w:rPr>
      </w:pPr>
      <w:r w:rsidRPr="00C85A07">
        <w:rPr>
          <w:bCs/>
          <w:sz w:val="24"/>
        </w:rPr>
        <w:t>3)</w:t>
      </w:r>
      <w:r w:rsidRPr="00C85A07">
        <w:rPr>
          <w:bCs/>
          <w:sz w:val="24"/>
        </w:rPr>
        <w:tab/>
        <w:t xml:space="preserve">El artículo 1) del Reglamento del CICAC señala que la Superintendencia podrá emitir Lineamientos operativos para el funcionamiento, acceso y uso del CICAC. </w:t>
      </w:r>
    </w:p>
    <w:p w:rsidRPr="00C85A07" w:rsidR="00097C3C" w:rsidP="00C85A07" w:rsidRDefault="00097C3C" w14:paraId="7281DB8B" w14:textId="2D952858">
      <w:pPr>
        <w:tabs>
          <w:tab w:val="center" w:pos="4419"/>
          <w:tab w:val="left" w:pos="6765"/>
        </w:tabs>
        <w:spacing w:line="240" w:lineRule="auto"/>
        <w:ind w:left="567" w:hanging="567"/>
        <w:contextualSpacing/>
        <w:rPr>
          <w:bCs/>
          <w:sz w:val="24"/>
        </w:rPr>
      </w:pPr>
      <w:r w:rsidRPr="00C85A07">
        <w:rPr>
          <w:bCs/>
          <w:sz w:val="24"/>
        </w:rPr>
        <w:t>4)</w:t>
      </w:r>
      <w:r w:rsidRPr="00C85A07">
        <w:rPr>
          <w:bCs/>
          <w:sz w:val="24"/>
        </w:rPr>
        <w:tab/>
        <w:t>De conformidad con el artículo 131, inciso b) de la Ley 7558 corresponde a</w:t>
      </w:r>
      <w:r w:rsidRPr="00C85A07" w:rsidR="00412CB6">
        <w:rPr>
          <w:bCs/>
          <w:sz w:val="24"/>
        </w:rPr>
        <w:t xml:space="preserve"> </w:t>
      </w:r>
      <w:r w:rsidRPr="00C85A07">
        <w:rPr>
          <w:bCs/>
          <w:sz w:val="24"/>
        </w:rPr>
        <w:t>l</w:t>
      </w:r>
      <w:r w:rsidRPr="00C85A07" w:rsidR="00412CB6">
        <w:rPr>
          <w:bCs/>
          <w:sz w:val="24"/>
        </w:rPr>
        <w:t>a</w:t>
      </w:r>
      <w:r w:rsidRPr="00C85A07">
        <w:rPr>
          <w:bCs/>
          <w:sz w:val="24"/>
        </w:rPr>
        <w:t xml:space="preserve"> Superintendente tomar las medidas necesarias para ejecutar los acuerdos del CONASSIF. </w:t>
      </w:r>
    </w:p>
    <w:p w:rsidRPr="00C85A07" w:rsidR="00097C3C" w:rsidP="00C85A07" w:rsidRDefault="00097C3C" w14:paraId="2C15A10A" w14:textId="77777777">
      <w:pPr>
        <w:tabs>
          <w:tab w:val="center" w:pos="4419"/>
          <w:tab w:val="left" w:pos="6765"/>
        </w:tabs>
        <w:spacing w:line="240" w:lineRule="auto"/>
        <w:ind w:left="567" w:hanging="567"/>
        <w:contextualSpacing/>
        <w:rPr>
          <w:b/>
          <w:sz w:val="24"/>
        </w:rPr>
      </w:pPr>
    </w:p>
    <w:p w:rsidR="00097C3C" w:rsidP="00C85A07" w:rsidRDefault="00097C3C" w14:paraId="7AD04F3D" w14:textId="172BA302">
      <w:pPr>
        <w:tabs>
          <w:tab w:val="center" w:pos="4419"/>
          <w:tab w:val="left" w:pos="6765"/>
        </w:tabs>
        <w:spacing w:line="240" w:lineRule="auto"/>
        <w:ind w:left="567" w:hanging="567"/>
        <w:contextualSpacing/>
        <w:rPr>
          <w:b/>
          <w:sz w:val="24"/>
        </w:rPr>
      </w:pPr>
      <w:r w:rsidRPr="00C85A07">
        <w:rPr>
          <w:b/>
          <w:sz w:val="24"/>
        </w:rPr>
        <w:t>Sobre la modificación a los lineamientos operativos del CICAC:</w:t>
      </w:r>
    </w:p>
    <w:p w:rsidRPr="00C85A07" w:rsidR="00FC5D26" w:rsidP="00C85A07" w:rsidRDefault="00FC5D26" w14:paraId="00194BD0" w14:textId="77777777">
      <w:pPr>
        <w:tabs>
          <w:tab w:val="center" w:pos="4419"/>
          <w:tab w:val="left" w:pos="6765"/>
        </w:tabs>
        <w:spacing w:line="240" w:lineRule="auto"/>
        <w:ind w:left="567" w:hanging="567"/>
        <w:contextualSpacing/>
        <w:rPr>
          <w:b/>
          <w:sz w:val="24"/>
        </w:rPr>
      </w:pPr>
    </w:p>
    <w:p w:rsidRPr="00C85A07" w:rsidR="00097C3C" w:rsidP="00C85A07" w:rsidRDefault="00097C3C" w14:paraId="247CDF28" w14:textId="77777777">
      <w:pPr>
        <w:tabs>
          <w:tab w:val="center" w:pos="4419"/>
          <w:tab w:val="left" w:pos="6765"/>
        </w:tabs>
        <w:spacing w:line="240" w:lineRule="auto"/>
        <w:ind w:left="567" w:hanging="567"/>
        <w:contextualSpacing/>
        <w:rPr>
          <w:b/>
          <w:sz w:val="24"/>
        </w:rPr>
      </w:pPr>
      <w:r w:rsidRPr="00C85A07">
        <w:rPr>
          <w:bCs/>
          <w:sz w:val="24"/>
        </w:rPr>
        <w:t>5)</w:t>
      </w:r>
      <w:r w:rsidRPr="00C85A07">
        <w:rPr>
          <w:b/>
          <w:sz w:val="24"/>
        </w:rPr>
        <w:t xml:space="preserve"> </w:t>
      </w:r>
      <w:r w:rsidRPr="00C85A07">
        <w:rPr>
          <w:bCs/>
          <w:sz w:val="24"/>
        </w:rPr>
        <w:tab/>
        <w:t>En el artículo 6 “Expediente conozca a su cliente” del Acuerdo CONASSIF 11-21 se está aclarando que el concepto de “capacidad de inversión” aplica únicamente para intermediarios de valores supervisados por SUGEVAL, y que en el artículo 15 “Autorizaciones” de este mismo acuerdo, se está aclarando los términos de firma digital certificada y firma digital, es necesario realizar las modificaciones correspondientes en los Lineamientos operativos para el funcionamiento, acceso y uso del CICAC.</w:t>
      </w:r>
    </w:p>
    <w:p w:rsidRPr="00C85A07" w:rsidR="00097C3C" w:rsidP="00C85A07" w:rsidRDefault="00097C3C" w14:paraId="43415EB1" w14:textId="77777777">
      <w:pPr>
        <w:tabs>
          <w:tab w:val="center" w:pos="4419"/>
          <w:tab w:val="left" w:pos="6765"/>
        </w:tabs>
        <w:spacing w:line="240" w:lineRule="auto"/>
        <w:contextualSpacing/>
        <w:rPr>
          <w:b/>
          <w:sz w:val="24"/>
        </w:rPr>
      </w:pPr>
    </w:p>
    <w:p w:rsidR="00097C3C" w:rsidP="00C85A07" w:rsidRDefault="00097C3C" w14:paraId="6589CF14" w14:textId="66FC2C30">
      <w:pPr>
        <w:tabs>
          <w:tab w:val="center" w:pos="4419"/>
          <w:tab w:val="left" w:pos="6765"/>
        </w:tabs>
        <w:spacing w:line="240" w:lineRule="auto"/>
        <w:contextualSpacing/>
        <w:rPr>
          <w:b/>
          <w:sz w:val="24"/>
        </w:rPr>
      </w:pPr>
      <w:r w:rsidRPr="00C85A07">
        <w:rPr>
          <w:b/>
          <w:sz w:val="24"/>
        </w:rPr>
        <w:t xml:space="preserve">dispone: </w:t>
      </w:r>
    </w:p>
    <w:p w:rsidRPr="00C85A07" w:rsidR="00C85A07" w:rsidP="00C85A07" w:rsidRDefault="00C85A07" w14:paraId="73381B94" w14:textId="77777777">
      <w:pPr>
        <w:tabs>
          <w:tab w:val="center" w:pos="4419"/>
          <w:tab w:val="left" w:pos="6765"/>
        </w:tabs>
        <w:spacing w:line="240" w:lineRule="auto"/>
        <w:contextualSpacing/>
        <w:rPr>
          <w:b/>
          <w:sz w:val="24"/>
        </w:rPr>
      </w:pPr>
    </w:p>
    <w:p w:rsidR="00097C3C" w:rsidP="00C85A07" w:rsidRDefault="00097C3C" w14:paraId="72DA3264" w14:textId="2D776EFE">
      <w:pPr>
        <w:tabs>
          <w:tab w:val="center" w:pos="4419"/>
          <w:tab w:val="left" w:pos="6765"/>
        </w:tabs>
        <w:spacing w:line="240" w:lineRule="auto"/>
        <w:contextualSpacing/>
        <w:rPr>
          <w:bCs/>
          <w:sz w:val="24"/>
        </w:rPr>
      </w:pPr>
      <w:r w:rsidRPr="00C85A07">
        <w:rPr>
          <w:bCs/>
          <w:sz w:val="24"/>
        </w:rPr>
        <w:t xml:space="preserve">aprobar las modificaciones a los </w:t>
      </w:r>
      <w:r w:rsidRPr="00C85A07">
        <w:rPr>
          <w:bCs/>
          <w:i/>
          <w:iCs/>
          <w:sz w:val="24"/>
        </w:rPr>
        <w:t>Lineamientos operativos para el funcionamiento, acceso y uso del Centro de información conozca a su cliente (Lineamientos del CICAC)</w:t>
      </w:r>
      <w:r w:rsidRPr="00C85A07">
        <w:rPr>
          <w:bCs/>
          <w:sz w:val="24"/>
        </w:rPr>
        <w:t>, de conformidad con lo establecido a continuación:</w:t>
      </w:r>
    </w:p>
    <w:p w:rsidRPr="00C85A07" w:rsidR="00FC5D26" w:rsidP="00C85A07" w:rsidRDefault="00FC5D26" w14:paraId="59E9BFAB" w14:textId="77777777">
      <w:pPr>
        <w:tabs>
          <w:tab w:val="center" w:pos="4419"/>
          <w:tab w:val="left" w:pos="6765"/>
        </w:tabs>
        <w:spacing w:line="240" w:lineRule="auto"/>
        <w:contextualSpacing/>
        <w:rPr>
          <w:bCs/>
          <w:sz w:val="24"/>
        </w:rPr>
      </w:pPr>
    </w:p>
    <w:p w:rsidRPr="00FC5D26" w:rsidR="00097C3C" w:rsidP="00C85A07" w:rsidRDefault="00097C3C" w14:paraId="37CC1765" w14:textId="768C85BA">
      <w:pPr>
        <w:pStyle w:val="Prrafodelista"/>
        <w:widowControl w:val="0"/>
        <w:numPr>
          <w:ilvl w:val="0"/>
          <w:numId w:val="3"/>
        </w:numPr>
        <w:ind w:left="567" w:hanging="567"/>
        <w:jc w:val="both"/>
        <w:rPr>
          <w:rFonts w:ascii="Cambria" w:hAnsi="Cambria"/>
          <w:b/>
          <w:sz w:val="24"/>
          <w:szCs w:val="24"/>
        </w:rPr>
      </w:pPr>
      <w:r w:rsidRPr="00C85A07">
        <w:rPr>
          <w:rFonts w:ascii="Cambria" w:hAnsi="Cambria"/>
          <w:b/>
          <w:sz w:val="24"/>
          <w:szCs w:val="24"/>
        </w:rPr>
        <w:t xml:space="preserve">Modificar en la </w:t>
      </w:r>
      <w:r w:rsidRPr="00C85A07">
        <w:rPr>
          <w:rFonts w:ascii="Cambria" w:hAnsi="Cambria"/>
          <w:b/>
          <w:i/>
          <w:iCs/>
          <w:sz w:val="24"/>
          <w:szCs w:val="24"/>
        </w:rPr>
        <w:t>Sección I: Información del expediente conozca a su cliente</w:t>
      </w:r>
      <w:r w:rsidRPr="00C85A07">
        <w:rPr>
          <w:rFonts w:ascii="Cambria" w:hAnsi="Cambria"/>
          <w:b/>
          <w:sz w:val="24"/>
          <w:szCs w:val="24"/>
        </w:rPr>
        <w:t xml:space="preserve">, apartado </w:t>
      </w:r>
      <w:r w:rsidRPr="00C85A07">
        <w:rPr>
          <w:rFonts w:ascii="Cambria" w:hAnsi="Cambria"/>
          <w:b/>
          <w:i/>
          <w:iCs/>
          <w:sz w:val="24"/>
          <w:szCs w:val="24"/>
        </w:rPr>
        <w:t>A) Información para persona física</w:t>
      </w:r>
      <w:r w:rsidRPr="00C85A07">
        <w:rPr>
          <w:rFonts w:ascii="Cambria" w:hAnsi="Cambria"/>
          <w:b/>
          <w:sz w:val="24"/>
          <w:szCs w:val="24"/>
        </w:rPr>
        <w:t>, el contenido del literal</w:t>
      </w:r>
      <w:r w:rsidRPr="00C85A07">
        <w:rPr>
          <w:rFonts w:ascii="Cambria" w:hAnsi="Cambria"/>
          <w:b/>
          <w:i/>
          <w:iCs/>
          <w:sz w:val="24"/>
          <w:szCs w:val="24"/>
        </w:rPr>
        <w:t xml:space="preserve"> g) Capacidad de inversión,</w:t>
      </w:r>
      <w:r w:rsidRPr="00C85A07">
        <w:rPr>
          <w:rFonts w:ascii="Cambria" w:hAnsi="Cambria"/>
          <w:b/>
          <w:sz w:val="24"/>
          <w:szCs w:val="24"/>
          <w:lang w:val="es-ES" w:eastAsia="es-CR"/>
        </w:rPr>
        <w:t xml:space="preserve"> de manera que se lea como se indica a continuación:</w:t>
      </w:r>
    </w:p>
    <w:p w:rsidRPr="00C85A07" w:rsidR="00FC5D26" w:rsidP="00FC5D26" w:rsidRDefault="00FC5D26" w14:paraId="07F32DAB" w14:textId="77777777">
      <w:pPr>
        <w:pStyle w:val="Prrafodelista"/>
        <w:widowControl w:val="0"/>
        <w:ind w:left="567"/>
        <w:jc w:val="both"/>
        <w:rPr>
          <w:rFonts w:ascii="Cambria" w:hAnsi="Cambria"/>
          <w:b/>
          <w:sz w:val="24"/>
          <w:szCs w:val="24"/>
        </w:rPr>
      </w:pPr>
    </w:p>
    <w:p w:rsidRPr="00C85A07" w:rsidR="00097C3C" w:rsidP="00C85A07" w:rsidRDefault="00097C3C" w14:paraId="2BAA5B47" w14:textId="77777777">
      <w:pPr>
        <w:pStyle w:val="Prrafodelista"/>
        <w:tabs>
          <w:tab w:val="center" w:pos="4419"/>
          <w:tab w:val="left" w:pos="6765"/>
        </w:tabs>
        <w:ind w:left="567"/>
        <w:jc w:val="both"/>
        <w:rPr>
          <w:rFonts w:ascii="Cambria" w:hAnsi="Cambria"/>
          <w:b/>
          <w:sz w:val="24"/>
          <w:szCs w:val="24"/>
        </w:rPr>
      </w:pPr>
      <w:r w:rsidRPr="00C85A07">
        <w:rPr>
          <w:rFonts w:ascii="Cambria" w:hAnsi="Cambria"/>
          <w:b/>
          <w:sz w:val="24"/>
          <w:szCs w:val="24"/>
        </w:rPr>
        <w:t xml:space="preserve">“SECCIÓN I: INFORMACIÓN DEL EXPEDIENTE CONOZCA A SU CLIENTE </w:t>
      </w:r>
    </w:p>
    <w:p w:rsidRPr="00C85A07" w:rsidR="00097C3C" w:rsidP="00C85A07" w:rsidRDefault="00097C3C" w14:paraId="417C879D" w14:textId="77777777">
      <w:pPr>
        <w:tabs>
          <w:tab w:val="center" w:pos="4419"/>
          <w:tab w:val="left" w:pos="6765"/>
        </w:tabs>
        <w:spacing w:line="240" w:lineRule="auto"/>
        <w:ind w:left="1134" w:hanging="567"/>
        <w:contextualSpacing/>
        <w:rPr>
          <w:b/>
          <w:sz w:val="24"/>
        </w:rPr>
      </w:pPr>
      <w:r w:rsidRPr="00C85A07">
        <w:rPr>
          <w:b/>
          <w:sz w:val="24"/>
        </w:rPr>
        <w:lastRenderedPageBreak/>
        <w:t>A)</w:t>
      </w:r>
      <w:r w:rsidRPr="00C85A07">
        <w:rPr>
          <w:b/>
          <w:sz w:val="24"/>
        </w:rPr>
        <w:tab/>
        <w:t>Información para persona física</w:t>
      </w:r>
    </w:p>
    <w:p w:rsidRPr="00C85A07" w:rsidR="00097C3C" w:rsidP="00C85A07" w:rsidRDefault="00097C3C" w14:paraId="616B5D30" w14:textId="77777777">
      <w:pPr>
        <w:widowControl w:val="0"/>
        <w:spacing w:line="240" w:lineRule="auto"/>
        <w:ind w:left="1134" w:right="616"/>
        <w:contextualSpacing/>
        <w:rPr>
          <w:iCs/>
          <w:sz w:val="24"/>
        </w:rPr>
      </w:pPr>
      <w:r w:rsidRPr="00C85A07">
        <w:rPr>
          <w:iCs/>
          <w:sz w:val="24"/>
        </w:rPr>
        <w:t>[…]</w:t>
      </w:r>
    </w:p>
    <w:p w:rsidRPr="00C85A07" w:rsidR="00097C3C" w:rsidP="00C85A07" w:rsidRDefault="00097C3C" w14:paraId="6EE2DB64" w14:textId="77777777">
      <w:pPr>
        <w:widowControl w:val="0"/>
        <w:spacing w:line="240" w:lineRule="auto"/>
        <w:ind w:left="1701" w:right="616" w:hanging="567"/>
        <w:contextualSpacing/>
        <w:rPr>
          <w:sz w:val="24"/>
        </w:rPr>
      </w:pPr>
      <w:r w:rsidRPr="00C85A07">
        <w:rPr>
          <w:sz w:val="24"/>
        </w:rPr>
        <w:t>g)</w:t>
      </w:r>
      <w:r w:rsidRPr="00C85A07">
        <w:rPr>
          <w:sz w:val="24"/>
        </w:rPr>
        <w:tab/>
        <w:t>Capacidad de inversión.</w:t>
      </w:r>
    </w:p>
    <w:p w:rsidRPr="00C85A07" w:rsidR="00097C3C" w:rsidP="00C85A07" w:rsidRDefault="00097C3C" w14:paraId="10078D2F" w14:textId="77777777">
      <w:pPr>
        <w:widowControl w:val="0"/>
        <w:spacing w:line="240" w:lineRule="auto"/>
        <w:ind w:left="1134" w:right="616"/>
        <w:contextualSpacing/>
        <w:rPr>
          <w:sz w:val="24"/>
          <w:lang w:eastAsia="es-CR"/>
        </w:rPr>
      </w:pPr>
      <w:r w:rsidRPr="00C85A07">
        <w:rPr>
          <w:sz w:val="24"/>
        </w:rPr>
        <w:t xml:space="preserve">En este módulo se debe indicar la capacidad de inversión referida como el portafolio de inversiones en instrumentos financieros de un cliente, en forma individual o mediante vehículos de inversión colectiva, que incluye la aportación inicial y las posibles aportaciones o inversiones futuras, extraordinarias o periódicas, de las que el cliente manifieste tener capacidad, respaldada en la información que suministre como origen de los fondos o justificada con documentos idóneos custodiados por la entidad; </w:t>
      </w:r>
      <w:r w:rsidRPr="00C85A07">
        <w:rPr>
          <w:sz w:val="24"/>
          <w:lang w:eastAsia="es-CR"/>
        </w:rPr>
        <w:t>aplica únicamente para intermediarios de valores supervisados por SUGEVAL.</w:t>
      </w:r>
    </w:p>
    <w:p w:rsidR="00097C3C" w:rsidP="00C85A07" w:rsidRDefault="00097C3C" w14:paraId="0CBFEF50" w14:textId="776AE234">
      <w:pPr>
        <w:widowControl w:val="0"/>
        <w:spacing w:line="240" w:lineRule="auto"/>
        <w:ind w:left="1134" w:right="616"/>
        <w:contextualSpacing/>
        <w:rPr>
          <w:i/>
          <w:iCs/>
          <w:sz w:val="24"/>
        </w:rPr>
      </w:pPr>
      <w:r w:rsidRPr="00C85A07">
        <w:rPr>
          <w:iCs/>
          <w:sz w:val="24"/>
        </w:rPr>
        <w:t>[…]</w:t>
      </w:r>
      <w:r w:rsidRPr="00C85A07">
        <w:rPr>
          <w:i/>
          <w:iCs/>
          <w:sz w:val="24"/>
        </w:rPr>
        <w:t>”</w:t>
      </w:r>
    </w:p>
    <w:p w:rsidRPr="00C85A07" w:rsidR="00FC5D26" w:rsidP="00C85A07" w:rsidRDefault="00FC5D26" w14:paraId="5A74D1FC" w14:textId="77777777">
      <w:pPr>
        <w:widowControl w:val="0"/>
        <w:spacing w:line="240" w:lineRule="auto"/>
        <w:ind w:left="1134" w:right="616"/>
        <w:contextualSpacing/>
        <w:rPr>
          <w:i/>
          <w:iCs/>
          <w:sz w:val="24"/>
        </w:rPr>
      </w:pPr>
    </w:p>
    <w:p w:rsidRPr="00FC5D26" w:rsidR="00097C3C" w:rsidP="00C85A07" w:rsidRDefault="00097C3C" w14:paraId="3A4C7C1F" w14:textId="0E19C424">
      <w:pPr>
        <w:pStyle w:val="Prrafodelista"/>
        <w:widowControl w:val="0"/>
        <w:numPr>
          <w:ilvl w:val="0"/>
          <w:numId w:val="3"/>
        </w:numPr>
        <w:ind w:left="567" w:hanging="567"/>
        <w:jc w:val="both"/>
        <w:rPr>
          <w:rFonts w:ascii="Cambria" w:hAnsi="Cambria"/>
          <w:b/>
          <w:sz w:val="24"/>
          <w:szCs w:val="24"/>
        </w:rPr>
      </w:pPr>
      <w:r w:rsidRPr="00C85A07">
        <w:rPr>
          <w:rFonts w:ascii="Cambria" w:hAnsi="Cambria"/>
          <w:b/>
          <w:sz w:val="24"/>
          <w:szCs w:val="24"/>
        </w:rPr>
        <w:t xml:space="preserve">Modificar en la </w:t>
      </w:r>
      <w:r w:rsidRPr="00C85A07">
        <w:rPr>
          <w:rFonts w:ascii="Cambria" w:hAnsi="Cambria"/>
          <w:b/>
          <w:i/>
          <w:iCs/>
          <w:sz w:val="24"/>
          <w:szCs w:val="24"/>
        </w:rPr>
        <w:t>Sección I: Información del expediente conozca a su cliente</w:t>
      </w:r>
      <w:r w:rsidRPr="00C85A07">
        <w:rPr>
          <w:rFonts w:ascii="Cambria" w:hAnsi="Cambria"/>
          <w:b/>
          <w:sz w:val="24"/>
          <w:szCs w:val="24"/>
        </w:rPr>
        <w:t xml:space="preserve">, apartado </w:t>
      </w:r>
      <w:r w:rsidRPr="00C85A07">
        <w:rPr>
          <w:rFonts w:ascii="Cambria" w:hAnsi="Cambria"/>
          <w:b/>
          <w:i/>
          <w:iCs/>
          <w:sz w:val="24"/>
          <w:szCs w:val="24"/>
        </w:rPr>
        <w:t>B) Información para persona jurídica</w:t>
      </w:r>
      <w:r w:rsidRPr="00C85A07">
        <w:rPr>
          <w:rFonts w:ascii="Cambria" w:hAnsi="Cambria"/>
          <w:b/>
          <w:sz w:val="24"/>
          <w:szCs w:val="24"/>
        </w:rPr>
        <w:t>, el contenido del literal</w:t>
      </w:r>
      <w:r w:rsidRPr="00C85A07">
        <w:rPr>
          <w:rFonts w:ascii="Cambria" w:hAnsi="Cambria"/>
          <w:b/>
          <w:i/>
          <w:iCs/>
          <w:sz w:val="24"/>
          <w:szCs w:val="24"/>
        </w:rPr>
        <w:t xml:space="preserve"> f) Capacidad de inversión, </w:t>
      </w:r>
      <w:r w:rsidRPr="00C85A07">
        <w:rPr>
          <w:rFonts w:ascii="Cambria" w:hAnsi="Cambria"/>
          <w:b/>
          <w:sz w:val="24"/>
          <w:szCs w:val="24"/>
          <w:lang w:val="es-ES" w:eastAsia="es-CR"/>
        </w:rPr>
        <w:t>de manera que se lea como se indica a continuación:</w:t>
      </w:r>
    </w:p>
    <w:p w:rsidRPr="00C85A07" w:rsidR="00FC5D26" w:rsidP="00FC5D26" w:rsidRDefault="00FC5D26" w14:paraId="0D865C38" w14:textId="77777777">
      <w:pPr>
        <w:pStyle w:val="Prrafodelista"/>
        <w:widowControl w:val="0"/>
        <w:ind w:left="567"/>
        <w:jc w:val="both"/>
        <w:rPr>
          <w:rFonts w:ascii="Cambria" w:hAnsi="Cambria"/>
          <w:b/>
          <w:sz w:val="24"/>
          <w:szCs w:val="24"/>
        </w:rPr>
      </w:pPr>
    </w:p>
    <w:p w:rsidRPr="00C85A07" w:rsidR="00097C3C" w:rsidP="00C85A07" w:rsidRDefault="00097C3C" w14:paraId="2342839C" w14:textId="77777777">
      <w:pPr>
        <w:tabs>
          <w:tab w:val="center" w:pos="4419"/>
          <w:tab w:val="left" w:pos="6765"/>
        </w:tabs>
        <w:spacing w:line="240" w:lineRule="auto"/>
        <w:ind w:left="567"/>
        <w:contextualSpacing/>
        <w:rPr>
          <w:b/>
          <w:sz w:val="24"/>
        </w:rPr>
      </w:pPr>
      <w:r w:rsidRPr="00C85A07">
        <w:rPr>
          <w:b/>
          <w:sz w:val="24"/>
        </w:rPr>
        <w:t xml:space="preserve">“SECCIÓN I: INFORMACIÓN DEL EXPEDIENTE CONOZCA A SU CLIENTE </w:t>
      </w:r>
    </w:p>
    <w:p w:rsidRPr="00C85A07" w:rsidR="00097C3C" w:rsidP="00C85A07" w:rsidRDefault="00097C3C" w14:paraId="49BFC30D" w14:textId="77777777">
      <w:pPr>
        <w:widowControl w:val="0"/>
        <w:spacing w:line="240" w:lineRule="auto"/>
        <w:ind w:left="1134" w:hanging="567"/>
        <w:contextualSpacing/>
        <w:rPr>
          <w:b/>
          <w:sz w:val="24"/>
        </w:rPr>
      </w:pPr>
      <w:r w:rsidRPr="00C85A07">
        <w:rPr>
          <w:b/>
          <w:sz w:val="24"/>
        </w:rPr>
        <w:t>B)</w:t>
      </w:r>
      <w:r w:rsidRPr="00C85A07">
        <w:rPr>
          <w:b/>
          <w:sz w:val="24"/>
        </w:rPr>
        <w:tab/>
        <w:t>Información para persona jurídica</w:t>
      </w:r>
    </w:p>
    <w:p w:rsidRPr="00C85A07" w:rsidR="00097C3C" w:rsidP="00C85A07" w:rsidRDefault="00097C3C" w14:paraId="5CAA9938" w14:textId="77777777">
      <w:pPr>
        <w:widowControl w:val="0"/>
        <w:spacing w:line="240" w:lineRule="auto"/>
        <w:ind w:left="1134" w:right="616"/>
        <w:contextualSpacing/>
        <w:rPr>
          <w:iCs/>
          <w:sz w:val="24"/>
        </w:rPr>
      </w:pPr>
      <w:r w:rsidRPr="00C85A07">
        <w:rPr>
          <w:iCs/>
          <w:sz w:val="24"/>
        </w:rPr>
        <w:t>[…]</w:t>
      </w:r>
    </w:p>
    <w:p w:rsidRPr="00C85A07" w:rsidR="00097C3C" w:rsidP="00C85A07" w:rsidRDefault="00097C3C" w14:paraId="17C4EED6" w14:textId="77777777">
      <w:pPr>
        <w:widowControl w:val="0"/>
        <w:spacing w:line="240" w:lineRule="auto"/>
        <w:ind w:left="1701" w:hanging="567"/>
        <w:contextualSpacing/>
        <w:rPr>
          <w:b/>
          <w:sz w:val="24"/>
        </w:rPr>
      </w:pPr>
      <w:r w:rsidRPr="00C85A07">
        <w:rPr>
          <w:sz w:val="24"/>
        </w:rPr>
        <w:t>f)</w:t>
      </w:r>
      <w:r w:rsidRPr="00C85A07">
        <w:rPr>
          <w:sz w:val="24"/>
        </w:rPr>
        <w:tab/>
        <w:t>Capacidad de inversión</w:t>
      </w:r>
    </w:p>
    <w:p w:rsidRPr="00C85A07" w:rsidR="00097C3C" w:rsidP="00C85A07" w:rsidRDefault="00097C3C" w14:paraId="790B3406" w14:textId="77777777">
      <w:pPr>
        <w:widowControl w:val="0"/>
        <w:spacing w:line="240" w:lineRule="auto"/>
        <w:ind w:left="1134" w:right="616"/>
        <w:contextualSpacing/>
        <w:rPr>
          <w:sz w:val="24"/>
        </w:rPr>
      </w:pPr>
      <w:r w:rsidRPr="00C85A07">
        <w:rPr>
          <w:sz w:val="24"/>
        </w:rPr>
        <w:t xml:space="preserve">En este módulo se debe indicar la capacidad de inversión referida como el portafolio de inversiones en instrumentos financieros de un cliente, en forma individual o mediante vehículos de inversión colectiva, que incluye la aportación inicial y las posibles aportaciones o inversiones futuras, extraordinarias o periódicas, de las que el cliente manifieste tener capacidad, respaldada en la información que suministre como origen de los fondos o justificada con documentos idóneos custodiados por la entidad; aplica únicamente para intermediarios de valores supervisados </w:t>
      </w:r>
      <w:r w:rsidRPr="00C85A07">
        <w:rPr>
          <w:sz w:val="24"/>
        </w:rPr>
        <w:lastRenderedPageBreak/>
        <w:t>por SUGEVAL.</w:t>
      </w:r>
    </w:p>
    <w:p w:rsidR="00097C3C" w:rsidP="00C85A07" w:rsidRDefault="00EE402A" w14:paraId="3DD7B16E" w14:textId="4EA89C5E">
      <w:pPr>
        <w:pStyle w:val="Prrafodelista"/>
        <w:widowControl w:val="0"/>
        <w:ind w:left="1080" w:right="616"/>
        <w:jc w:val="both"/>
        <w:rPr>
          <w:rFonts w:ascii="Cambria" w:hAnsi="Cambria"/>
          <w:i/>
          <w:iCs/>
          <w:sz w:val="24"/>
          <w:szCs w:val="24"/>
        </w:rPr>
      </w:pPr>
      <w:r w:rsidRPr="00C85A07">
        <w:rPr>
          <w:rFonts w:ascii="Cambria" w:hAnsi="Cambria"/>
          <w:iCs/>
          <w:sz w:val="24"/>
          <w:szCs w:val="24"/>
        </w:rPr>
        <w:t>[...</w:t>
      </w:r>
      <w:r w:rsidRPr="00C85A07" w:rsidR="00097C3C">
        <w:rPr>
          <w:rFonts w:ascii="Cambria" w:hAnsi="Cambria"/>
          <w:iCs/>
          <w:sz w:val="24"/>
          <w:szCs w:val="24"/>
        </w:rPr>
        <w:t>]</w:t>
      </w:r>
      <w:r w:rsidRPr="00C85A07" w:rsidR="00097C3C">
        <w:rPr>
          <w:rFonts w:ascii="Cambria" w:hAnsi="Cambria"/>
          <w:i/>
          <w:iCs/>
          <w:sz w:val="24"/>
          <w:szCs w:val="24"/>
        </w:rPr>
        <w:t>”</w:t>
      </w:r>
    </w:p>
    <w:p w:rsidRPr="00C85A07" w:rsidR="00FC5D26" w:rsidP="00C85A07" w:rsidRDefault="00FC5D26" w14:paraId="3583AA99" w14:textId="77777777">
      <w:pPr>
        <w:pStyle w:val="Prrafodelista"/>
        <w:widowControl w:val="0"/>
        <w:ind w:left="1080" w:right="616"/>
        <w:jc w:val="both"/>
        <w:rPr>
          <w:rFonts w:ascii="Cambria" w:hAnsi="Cambria"/>
          <w:i/>
          <w:iCs/>
          <w:sz w:val="24"/>
          <w:szCs w:val="24"/>
        </w:rPr>
      </w:pPr>
    </w:p>
    <w:p w:rsidRPr="00FC5D26" w:rsidR="00097C3C" w:rsidP="00C85A07" w:rsidRDefault="00097C3C" w14:paraId="16BEAE7E" w14:textId="470406C9">
      <w:pPr>
        <w:pStyle w:val="Prrafodelista"/>
        <w:widowControl w:val="0"/>
        <w:numPr>
          <w:ilvl w:val="0"/>
          <w:numId w:val="3"/>
        </w:numPr>
        <w:ind w:left="567" w:hanging="567"/>
        <w:jc w:val="both"/>
        <w:rPr>
          <w:rFonts w:ascii="Cambria" w:hAnsi="Cambria"/>
          <w:b/>
          <w:sz w:val="24"/>
          <w:szCs w:val="24"/>
        </w:rPr>
      </w:pPr>
      <w:r w:rsidRPr="00C85A07">
        <w:rPr>
          <w:rFonts w:ascii="Cambria" w:hAnsi="Cambria"/>
          <w:b/>
          <w:sz w:val="24"/>
          <w:szCs w:val="24"/>
        </w:rPr>
        <w:t xml:space="preserve">Modificar, en la </w:t>
      </w:r>
      <w:r w:rsidRPr="00C85A07">
        <w:rPr>
          <w:rFonts w:ascii="Cambria" w:hAnsi="Cambria"/>
          <w:b/>
          <w:i/>
          <w:iCs/>
          <w:sz w:val="24"/>
          <w:szCs w:val="24"/>
        </w:rPr>
        <w:t>Sección V: Autorizaciones</w:t>
      </w:r>
      <w:r w:rsidRPr="00C85A07">
        <w:rPr>
          <w:rFonts w:ascii="Cambria" w:hAnsi="Cambria"/>
          <w:b/>
          <w:sz w:val="24"/>
          <w:szCs w:val="24"/>
        </w:rPr>
        <w:t xml:space="preserve">, apartado </w:t>
      </w:r>
      <w:r w:rsidRPr="00C85A07">
        <w:rPr>
          <w:rFonts w:ascii="Cambria" w:hAnsi="Cambria"/>
          <w:b/>
          <w:i/>
          <w:iCs/>
          <w:sz w:val="24"/>
          <w:szCs w:val="24"/>
        </w:rPr>
        <w:t>C) Tipos de verificación de la autorización,</w:t>
      </w:r>
      <w:r w:rsidRPr="00C85A07">
        <w:rPr>
          <w:rFonts w:ascii="Cambria" w:hAnsi="Cambria"/>
          <w:b/>
          <w:sz w:val="24"/>
          <w:szCs w:val="24"/>
          <w:lang w:val="es-ES" w:eastAsia="es-CR"/>
        </w:rPr>
        <w:t xml:space="preserve"> ambos incisos b), de manera que los dos incisos b) se lean como se indica a continuación:</w:t>
      </w:r>
    </w:p>
    <w:p w:rsidRPr="00C85A07" w:rsidR="00FC5D26" w:rsidP="00FC5D26" w:rsidRDefault="00FC5D26" w14:paraId="00851F98" w14:textId="77777777">
      <w:pPr>
        <w:pStyle w:val="Prrafodelista"/>
        <w:widowControl w:val="0"/>
        <w:ind w:left="567"/>
        <w:jc w:val="both"/>
        <w:rPr>
          <w:rFonts w:ascii="Cambria" w:hAnsi="Cambria"/>
          <w:b/>
          <w:sz w:val="24"/>
          <w:szCs w:val="24"/>
        </w:rPr>
      </w:pPr>
    </w:p>
    <w:p w:rsidRPr="00C85A07" w:rsidR="00097C3C" w:rsidP="00C85A07" w:rsidRDefault="00097C3C" w14:paraId="2C38CFF9" w14:textId="77777777">
      <w:pPr>
        <w:tabs>
          <w:tab w:val="center" w:pos="4419"/>
          <w:tab w:val="left" w:pos="6765"/>
        </w:tabs>
        <w:spacing w:line="240" w:lineRule="auto"/>
        <w:ind w:left="567"/>
        <w:contextualSpacing/>
        <w:rPr>
          <w:b/>
          <w:sz w:val="24"/>
        </w:rPr>
      </w:pPr>
      <w:r w:rsidRPr="00C85A07">
        <w:rPr>
          <w:b/>
          <w:sz w:val="24"/>
        </w:rPr>
        <w:t>“SECCIÓN V: AUTORIZACIONES</w:t>
      </w:r>
    </w:p>
    <w:p w:rsidRPr="00C85A07" w:rsidR="00097C3C" w:rsidP="00C85A07" w:rsidRDefault="00097C3C" w14:paraId="1A8F3FC7" w14:textId="77777777">
      <w:pPr>
        <w:widowControl w:val="0"/>
        <w:spacing w:line="240" w:lineRule="auto"/>
        <w:ind w:left="1134" w:hanging="567"/>
        <w:contextualSpacing/>
        <w:rPr>
          <w:b/>
          <w:sz w:val="24"/>
        </w:rPr>
      </w:pPr>
      <w:r w:rsidRPr="00C85A07">
        <w:rPr>
          <w:b/>
          <w:sz w:val="24"/>
        </w:rPr>
        <w:t>C)</w:t>
      </w:r>
      <w:r w:rsidRPr="00C85A07">
        <w:rPr>
          <w:b/>
          <w:sz w:val="24"/>
        </w:rPr>
        <w:tab/>
        <w:t>Tipos de verificación de la autorización</w:t>
      </w:r>
    </w:p>
    <w:p w:rsidRPr="00C85A07" w:rsidR="00097C3C" w:rsidP="00C85A07" w:rsidRDefault="00097C3C" w14:paraId="048E713D" w14:textId="77777777">
      <w:pPr>
        <w:widowControl w:val="0"/>
        <w:spacing w:line="240" w:lineRule="auto"/>
        <w:ind w:left="1134"/>
        <w:contextualSpacing/>
        <w:rPr>
          <w:iCs/>
          <w:sz w:val="24"/>
          <w:lang w:eastAsia="es-CR"/>
        </w:rPr>
      </w:pPr>
      <w:r w:rsidRPr="00C85A07">
        <w:rPr>
          <w:iCs/>
          <w:sz w:val="24"/>
          <w:lang w:eastAsia="es-CR"/>
        </w:rPr>
        <w:t>[…]</w:t>
      </w:r>
    </w:p>
    <w:p w:rsidR="00097C3C" w:rsidP="00C85A07" w:rsidRDefault="00097C3C" w14:paraId="679AF09F" w14:textId="1734915E">
      <w:pPr>
        <w:widowControl w:val="0"/>
        <w:spacing w:line="240" w:lineRule="auto"/>
        <w:ind w:left="1701" w:hanging="567"/>
        <w:contextualSpacing/>
        <w:rPr>
          <w:i/>
          <w:iCs/>
          <w:sz w:val="24"/>
          <w:lang w:eastAsia="es-CR"/>
        </w:rPr>
      </w:pPr>
      <w:r w:rsidRPr="00C85A07">
        <w:rPr>
          <w:sz w:val="24"/>
          <w:lang w:eastAsia="es-CR"/>
        </w:rPr>
        <w:t>b)</w:t>
      </w:r>
      <w:r w:rsidRPr="00C85A07">
        <w:rPr>
          <w:sz w:val="24"/>
          <w:lang w:eastAsia="es-CR"/>
        </w:rPr>
        <w:tab/>
        <w:t>Firma digital certificada emitida por el Banco Central de Costa Rica.</w:t>
      </w:r>
      <w:r w:rsidRPr="00C85A07">
        <w:rPr>
          <w:i/>
          <w:iCs/>
          <w:sz w:val="24"/>
          <w:lang w:eastAsia="es-CR"/>
        </w:rPr>
        <w:t>”</w:t>
      </w:r>
    </w:p>
    <w:p w:rsidRPr="00C85A07" w:rsidR="00FC5D26" w:rsidP="00C85A07" w:rsidRDefault="00FC5D26" w14:paraId="56B97832" w14:textId="77777777">
      <w:pPr>
        <w:widowControl w:val="0"/>
        <w:spacing w:line="240" w:lineRule="auto"/>
        <w:ind w:left="1701" w:hanging="567"/>
        <w:contextualSpacing/>
        <w:rPr>
          <w:i/>
          <w:iCs/>
          <w:sz w:val="24"/>
          <w:lang w:eastAsia="es-CR"/>
        </w:rPr>
      </w:pPr>
    </w:p>
    <w:p w:rsidRPr="00FC5D26" w:rsidR="00097C3C" w:rsidP="00C85A07" w:rsidRDefault="00097C3C" w14:paraId="3E0DFE32" w14:textId="24450715">
      <w:pPr>
        <w:pStyle w:val="Prrafodelista"/>
        <w:widowControl w:val="0"/>
        <w:numPr>
          <w:ilvl w:val="0"/>
          <w:numId w:val="3"/>
        </w:numPr>
        <w:ind w:left="567" w:hanging="567"/>
        <w:jc w:val="both"/>
        <w:rPr>
          <w:rFonts w:ascii="Cambria" w:hAnsi="Cambria"/>
          <w:b/>
          <w:sz w:val="24"/>
          <w:szCs w:val="24"/>
        </w:rPr>
      </w:pPr>
      <w:r w:rsidRPr="00C85A07">
        <w:rPr>
          <w:rFonts w:ascii="Cambria" w:hAnsi="Cambria"/>
          <w:b/>
          <w:sz w:val="24"/>
          <w:szCs w:val="24"/>
        </w:rPr>
        <w:t xml:space="preserve">Agregar, en la </w:t>
      </w:r>
      <w:r w:rsidRPr="00C85A07">
        <w:rPr>
          <w:rFonts w:ascii="Cambria" w:hAnsi="Cambria"/>
          <w:b/>
          <w:i/>
          <w:iCs/>
          <w:sz w:val="24"/>
          <w:szCs w:val="24"/>
        </w:rPr>
        <w:t>Sección V: Autorizaciones</w:t>
      </w:r>
      <w:r w:rsidRPr="00C85A07">
        <w:rPr>
          <w:rFonts w:ascii="Cambria" w:hAnsi="Cambria"/>
          <w:b/>
          <w:sz w:val="24"/>
          <w:szCs w:val="24"/>
        </w:rPr>
        <w:t xml:space="preserve">, apartado </w:t>
      </w:r>
      <w:r w:rsidRPr="00C85A07">
        <w:rPr>
          <w:rFonts w:ascii="Cambria" w:hAnsi="Cambria"/>
          <w:b/>
          <w:i/>
          <w:iCs/>
          <w:sz w:val="24"/>
          <w:szCs w:val="24"/>
        </w:rPr>
        <w:t>C) Tipos de verificación de la autorización,</w:t>
      </w:r>
      <w:r w:rsidRPr="00C85A07">
        <w:rPr>
          <w:rFonts w:ascii="Cambria" w:hAnsi="Cambria"/>
          <w:b/>
          <w:sz w:val="24"/>
          <w:szCs w:val="24"/>
          <w:lang w:val="es-ES" w:eastAsia="es-CR"/>
        </w:rPr>
        <w:t xml:space="preserve"> un inciso g), de manera que se lea como se indica a continuación:</w:t>
      </w:r>
    </w:p>
    <w:p w:rsidRPr="00C85A07" w:rsidR="00FC5D26" w:rsidP="00FC5D26" w:rsidRDefault="00FC5D26" w14:paraId="072D8035" w14:textId="77777777">
      <w:pPr>
        <w:pStyle w:val="Prrafodelista"/>
        <w:widowControl w:val="0"/>
        <w:ind w:left="567"/>
        <w:jc w:val="both"/>
        <w:rPr>
          <w:rFonts w:ascii="Cambria" w:hAnsi="Cambria"/>
          <w:b/>
          <w:sz w:val="24"/>
          <w:szCs w:val="24"/>
        </w:rPr>
      </w:pPr>
    </w:p>
    <w:p w:rsidRPr="00C85A07" w:rsidR="00097C3C" w:rsidP="00C85A07" w:rsidRDefault="00097C3C" w14:paraId="39DD965C" w14:textId="77777777">
      <w:pPr>
        <w:tabs>
          <w:tab w:val="center" w:pos="4419"/>
          <w:tab w:val="left" w:pos="6765"/>
        </w:tabs>
        <w:spacing w:line="240" w:lineRule="auto"/>
        <w:ind w:left="567"/>
        <w:contextualSpacing/>
        <w:rPr>
          <w:b/>
          <w:sz w:val="24"/>
        </w:rPr>
      </w:pPr>
      <w:r w:rsidRPr="00C85A07">
        <w:rPr>
          <w:b/>
          <w:sz w:val="24"/>
        </w:rPr>
        <w:t>“SECCIÓN V: AUTORIZACIONES</w:t>
      </w:r>
    </w:p>
    <w:p w:rsidRPr="00C85A07" w:rsidR="00097C3C" w:rsidP="00C85A07" w:rsidRDefault="00097C3C" w14:paraId="04DE2B3B" w14:textId="77777777">
      <w:pPr>
        <w:widowControl w:val="0"/>
        <w:spacing w:line="240" w:lineRule="auto"/>
        <w:ind w:left="1134" w:hanging="567"/>
        <w:contextualSpacing/>
        <w:rPr>
          <w:b/>
          <w:sz w:val="24"/>
        </w:rPr>
      </w:pPr>
      <w:r w:rsidRPr="00C85A07">
        <w:rPr>
          <w:b/>
          <w:sz w:val="24"/>
        </w:rPr>
        <w:t>C)</w:t>
      </w:r>
      <w:r w:rsidRPr="00C85A07">
        <w:rPr>
          <w:b/>
          <w:sz w:val="24"/>
        </w:rPr>
        <w:tab/>
        <w:t>Tipos de verificación de la autorización</w:t>
      </w:r>
    </w:p>
    <w:p w:rsidRPr="00C85A07" w:rsidR="00097C3C" w:rsidP="00C85A07" w:rsidRDefault="00097C3C" w14:paraId="5A2D27CF" w14:textId="77777777">
      <w:pPr>
        <w:widowControl w:val="0"/>
        <w:spacing w:line="240" w:lineRule="auto"/>
        <w:ind w:left="1134"/>
        <w:contextualSpacing/>
        <w:rPr>
          <w:iCs/>
          <w:sz w:val="24"/>
          <w:lang w:eastAsia="es-CR"/>
        </w:rPr>
      </w:pPr>
      <w:r w:rsidRPr="00C85A07">
        <w:rPr>
          <w:iCs/>
          <w:sz w:val="24"/>
          <w:lang w:eastAsia="es-CR"/>
        </w:rPr>
        <w:t>[…]</w:t>
      </w:r>
    </w:p>
    <w:p w:rsidRPr="00C85A07" w:rsidR="00097C3C" w:rsidP="00C85A07" w:rsidRDefault="00097C3C" w14:paraId="115D24F1" w14:textId="77777777">
      <w:pPr>
        <w:pStyle w:val="Prrafodelista"/>
        <w:widowControl w:val="0"/>
        <w:numPr>
          <w:ilvl w:val="0"/>
          <w:numId w:val="5"/>
        </w:numPr>
        <w:ind w:left="1701" w:hanging="567"/>
        <w:jc w:val="both"/>
        <w:rPr>
          <w:rFonts w:ascii="Cambria" w:hAnsi="Cambria"/>
          <w:bCs/>
          <w:sz w:val="24"/>
          <w:szCs w:val="24"/>
          <w:lang w:val="es-ES"/>
        </w:rPr>
      </w:pPr>
      <w:r w:rsidRPr="00C85A07">
        <w:rPr>
          <w:rFonts w:ascii="Cambria" w:hAnsi="Cambria"/>
          <w:bCs/>
          <w:sz w:val="24"/>
          <w:szCs w:val="24"/>
          <w:lang w:val="es-ES"/>
        </w:rPr>
        <w:t xml:space="preserve">Firma digital </w:t>
      </w:r>
    </w:p>
    <w:p w:rsidR="00097C3C" w:rsidP="00C85A07" w:rsidRDefault="00097C3C" w14:paraId="3D5EE4E1" w14:textId="779C20FB">
      <w:pPr>
        <w:widowControl w:val="0"/>
        <w:spacing w:line="240" w:lineRule="auto"/>
        <w:ind w:left="1134"/>
        <w:contextualSpacing/>
        <w:rPr>
          <w:i/>
          <w:iCs/>
          <w:sz w:val="24"/>
          <w:lang w:eastAsia="es-CR"/>
        </w:rPr>
      </w:pPr>
      <w:r w:rsidRPr="00C85A07">
        <w:rPr>
          <w:iCs/>
          <w:sz w:val="24"/>
          <w:lang w:eastAsia="es-CR"/>
        </w:rPr>
        <w:t>[…]</w:t>
      </w:r>
      <w:r w:rsidRPr="00C85A07">
        <w:rPr>
          <w:i/>
          <w:iCs/>
          <w:sz w:val="24"/>
          <w:lang w:eastAsia="es-CR"/>
        </w:rPr>
        <w:t>”</w:t>
      </w:r>
    </w:p>
    <w:p w:rsidRPr="00C85A07" w:rsidR="00FC5D26" w:rsidP="00C85A07" w:rsidRDefault="00FC5D26" w14:paraId="3BAA3213" w14:textId="77777777">
      <w:pPr>
        <w:widowControl w:val="0"/>
        <w:spacing w:line="240" w:lineRule="auto"/>
        <w:ind w:left="1134"/>
        <w:contextualSpacing/>
        <w:rPr>
          <w:i/>
          <w:iCs/>
          <w:sz w:val="24"/>
          <w:lang w:eastAsia="es-CR"/>
        </w:rPr>
      </w:pPr>
    </w:p>
    <w:p w:rsidRPr="00FC5D26" w:rsidR="00097C3C" w:rsidP="00C85A07" w:rsidRDefault="00097C3C" w14:paraId="7C7F4F78" w14:textId="0B4FC42B">
      <w:pPr>
        <w:pStyle w:val="Prrafodelista"/>
        <w:widowControl w:val="0"/>
        <w:numPr>
          <w:ilvl w:val="0"/>
          <w:numId w:val="3"/>
        </w:numPr>
        <w:ind w:left="567" w:hanging="567"/>
        <w:jc w:val="both"/>
        <w:rPr>
          <w:rFonts w:ascii="Cambria" w:hAnsi="Cambria"/>
          <w:b/>
          <w:sz w:val="24"/>
          <w:szCs w:val="24"/>
        </w:rPr>
      </w:pPr>
      <w:r w:rsidRPr="00C85A07">
        <w:rPr>
          <w:rFonts w:ascii="Cambria" w:hAnsi="Cambria"/>
          <w:b/>
          <w:sz w:val="24"/>
          <w:szCs w:val="24"/>
        </w:rPr>
        <w:t xml:space="preserve">Modificar, en la </w:t>
      </w:r>
      <w:r w:rsidRPr="00C85A07">
        <w:rPr>
          <w:rFonts w:ascii="Cambria" w:hAnsi="Cambria"/>
          <w:b/>
          <w:i/>
          <w:iCs/>
          <w:sz w:val="24"/>
          <w:szCs w:val="24"/>
        </w:rPr>
        <w:t>Sección V: Autorizaciones</w:t>
      </w:r>
      <w:r w:rsidRPr="00C85A07">
        <w:rPr>
          <w:rFonts w:ascii="Cambria" w:hAnsi="Cambria"/>
          <w:b/>
          <w:sz w:val="24"/>
          <w:szCs w:val="24"/>
        </w:rPr>
        <w:t xml:space="preserve">, apartado </w:t>
      </w:r>
      <w:r w:rsidRPr="00C85A07">
        <w:rPr>
          <w:rFonts w:ascii="Cambria" w:hAnsi="Cambria"/>
          <w:b/>
          <w:i/>
          <w:iCs/>
          <w:sz w:val="24"/>
          <w:szCs w:val="24"/>
        </w:rPr>
        <w:t>C) Tipos de verificación de la autorización,</w:t>
      </w:r>
      <w:r w:rsidRPr="00C85A07">
        <w:rPr>
          <w:rFonts w:ascii="Cambria" w:hAnsi="Cambria"/>
          <w:b/>
          <w:sz w:val="24"/>
          <w:szCs w:val="24"/>
          <w:lang w:val="es-ES" w:eastAsia="es-CR"/>
        </w:rPr>
        <w:t xml:space="preserve"> el segundo párrafo después del inciso g), de manera que se lea como se indica a continuación:</w:t>
      </w:r>
    </w:p>
    <w:p w:rsidRPr="00C85A07" w:rsidR="00FC5D26" w:rsidP="00FC5D26" w:rsidRDefault="00FC5D26" w14:paraId="0E25611E" w14:textId="77777777">
      <w:pPr>
        <w:pStyle w:val="Prrafodelista"/>
        <w:widowControl w:val="0"/>
        <w:ind w:left="567"/>
        <w:jc w:val="both"/>
        <w:rPr>
          <w:rFonts w:ascii="Cambria" w:hAnsi="Cambria"/>
          <w:b/>
          <w:sz w:val="24"/>
          <w:szCs w:val="24"/>
        </w:rPr>
      </w:pPr>
    </w:p>
    <w:p w:rsidRPr="00C85A07" w:rsidR="00097C3C" w:rsidP="00C85A07" w:rsidRDefault="00097C3C" w14:paraId="3B18B697" w14:textId="77777777">
      <w:pPr>
        <w:tabs>
          <w:tab w:val="center" w:pos="4419"/>
          <w:tab w:val="left" w:pos="6765"/>
        </w:tabs>
        <w:spacing w:line="240" w:lineRule="auto"/>
        <w:ind w:left="567"/>
        <w:contextualSpacing/>
        <w:rPr>
          <w:b/>
          <w:sz w:val="24"/>
        </w:rPr>
      </w:pPr>
      <w:r w:rsidRPr="00C85A07">
        <w:rPr>
          <w:b/>
          <w:sz w:val="24"/>
        </w:rPr>
        <w:t>“SECCIÓN V: AUTORIZACIONES</w:t>
      </w:r>
    </w:p>
    <w:p w:rsidRPr="00C85A07" w:rsidR="00097C3C" w:rsidP="00C85A07" w:rsidRDefault="00097C3C" w14:paraId="3E218C68" w14:textId="77777777">
      <w:pPr>
        <w:widowControl w:val="0"/>
        <w:spacing w:line="240" w:lineRule="auto"/>
        <w:ind w:left="1134" w:hanging="567"/>
        <w:contextualSpacing/>
        <w:rPr>
          <w:b/>
          <w:sz w:val="24"/>
        </w:rPr>
      </w:pPr>
      <w:r w:rsidRPr="00C85A07">
        <w:rPr>
          <w:b/>
          <w:sz w:val="24"/>
        </w:rPr>
        <w:t>C)</w:t>
      </w:r>
      <w:r w:rsidRPr="00C85A07">
        <w:rPr>
          <w:b/>
          <w:sz w:val="24"/>
        </w:rPr>
        <w:tab/>
        <w:t>Tipos de verificación de la autorización</w:t>
      </w:r>
    </w:p>
    <w:p w:rsidRPr="00C85A07" w:rsidR="00097C3C" w:rsidP="00C85A07" w:rsidRDefault="00097C3C" w14:paraId="28144B8C" w14:textId="77777777">
      <w:pPr>
        <w:widowControl w:val="0"/>
        <w:spacing w:line="240" w:lineRule="auto"/>
        <w:ind w:left="1134"/>
        <w:contextualSpacing/>
        <w:rPr>
          <w:iCs/>
          <w:sz w:val="24"/>
          <w:lang w:eastAsia="es-CR"/>
        </w:rPr>
      </w:pPr>
      <w:r w:rsidRPr="00C85A07">
        <w:rPr>
          <w:iCs/>
          <w:sz w:val="24"/>
          <w:lang w:eastAsia="es-CR"/>
        </w:rPr>
        <w:t>[…]</w:t>
      </w:r>
    </w:p>
    <w:p w:rsidRPr="00C85A07" w:rsidR="00097C3C" w:rsidP="00C85A07" w:rsidRDefault="00097C3C" w14:paraId="2DA30490" w14:textId="77777777">
      <w:pPr>
        <w:pStyle w:val="Prrafodelista"/>
        <w:widowControl w:val="0"/>
        <w:numPr>
          <w:ilvl w:val="0"/>
          <w:numId w:val="5"/>
        </w:numPr>
        <w:ind w:left="1701" w:hanging="567"/>
        <w:jc w:val="both"/>
        <w:rPr>
          <w:rFonts w:ascii="Cambria" w:hAnsi="Cambria"/>
          <w:bCs/>
          <w:sz w:val="24"/>
          <w:szCs w:val="24"/>
          <w:lang w:val="es-ES"/>
        </w:rPr>
      </w:pPr>
      <w:r w:rsidRPr="00C85A07">
        <w:rPr>
          <w:rFonts w:ascii="Cambria" w:hAnsi="Cambria"/>
          <w:bCs/>
          <w:sz w:val="24"/>
          <w:szCs w:val="24"/>
          <w:lang w:val="es-ES"/>
        </w:rPr>
        <w:t xml:space="preserve">Firma digital </w:t>
      </w:r>
    </w:p>
    <w:p w:rsidRPr="00C85A07" w:rsidR="00097C3C" w:rsidP="00C85A07" w:rsidRDefault="00097C3C" w14:paraId="61F2E5D2" w14:textId="77777777">
      <w:pPr>
        <w:widowControl w:val="0"/>
        <w:spacing w:line="240" w:lineRule="auto"/>
        <w:ind w:left="1134"/>
        <w:contextualSpacing/>
        <w:rPr>
          <w:sz w:val="24"/>
          <w:lang w:eastAsia="es-CR"/>
        </w:rPr>
      </w:pPr>
      <w:r w:rsidRPr="00C85A07">
        <w:rPr>
          <w:sz w:val="24"/>
          <w:lang w:eastAsia="es-CR"/>
        </w:rPr>
        <w:t xml:space="preserve">Cuando se brinde la autorización al CICAC por primera vez, debe ser firmada por el titular de la información, mediante los siguientes tipos de verificación: </w:t>
      </w:r>
    </w:p>
    <w:p w:rsidR="00097C3C" w:rsidP="00C85A07" w:rsidRDefault="00097C3C" w14:paraId="3E679D81" w14:textId="4B0B77EA">
      <w:pPr>
        <w:widowControl w:val="0"/>
        <w:spacing w:line="240" w:lineRule="auto"/>
        <w:ind w:left="1134"/>
        <w:contextualSpacing/>
        <w:rPr>
          <w:i/>
          <w:iCs/>
          <w:sz w:val="24"/>
          <w:lang w:eastAsia="es-CR"/>
        </w:rPr>
      </w:pPr>
      <w:r w:rsidRPr="00C85A07">
        <w:rPr>
          <w:iCs/>
          <w:sz w:val="24"/>
          <w:lang w:eastAsia="es-CR"/>
        </w:rPr>
        <w:t>[…]</w:t>
      </w:r>
      <w:r w:rsidRPr="00C85A07">
        <w:rPr>
          <w:i/>
          <w:iCs/>
          <w:sz w:val="24"/>
          <w:lang w:eastAsia="es-CR"/>
        </w:rPr>
        <w:t>”</w:t>
      </w:r>
    </w:p>
    <w:p w:rsidRPr="00C85A07" w:rsidR="00FC5D26" w:rsidP="00C85A07" w:rsidRDefault="00FC5D26" w14:paraId="120438CF" w14:textId="77777777">
      <w:pPr>
        <w:widowControl w:val="0"/>
        <w:spacing w:line="240" w:lineRule="auto"/>
        <w:ind w:left="1134"/>
        <w:contextualSpacing/>
        <w:rPr>
          <w:i/>
          <w:iCs/>
          <w:sz w:val="24"/>
          <w:lang w:eastAsia="es-CR"/>
        </w:rPr>
      </w:pPr>
    </w:p>
    <w:p w:rsidRPr="00C85A07" w:rsidR="00097C3C" w:rsidP="00C85A07" w:rsidRDefault="00097C3C" w14:paraId="28122D24" w14:textId="2B7A5CB7">
      <w:pPr>
        <w:widowControl w:val="0"/>
        <w:spacing w:after="240" w:line="240" w:lineRule="auto"/>
        <w:contextualSpacing/>
        <w:rPr>
          <w:bCs/>
          <w:sz w:val="24"/>
        </w:rPr>
      </w:pPr>
      <w:r w:rsidRPr="00C85A07">
        <w:rPr>
          <w:bCs/>
          <w:sz w:val="24"/>
        </w:rPr>
        <w:t>Estas modificaciones rigen a partir de su publicación en el diario oficial La Gaceta.</w:t>
      </w:r>
    </w:p>
    <w:p w:rsidRPr="00C85A07" w:rsidR="006972C9" w:rsidP="00C85A07" w:rsidRDefault="006972C9" w14:paraId="4CD77AA3" w14:textId="77777777">
      <w:pPr>
        <w:pStyle w:val="Texto"/>
        <w:spacing w:before="0" w:after="0" w:line="240" w:lineRule="auto"/>
        <w:contextualSpacing/>
        <w:rPr>
          <w:sz w:val="24"/>
        </w:rPr>
      </w:pPr>
      <w:r w:rsidRPr="00C85A07">
        <w:rPr>
          <w:sz w:val="24"/>
        </w:rPr>
        <w:lastRenderedPageBreak/>
        <w:t>Atentamente,</w:t>
      </w:r>
    </w:p>
    <w:p w:rsidRPr="00C85A07" w:rsidR="00097C3C" w:rsidP="00C85A07" w:rsidRDefault="00097C3C" w14:paraId="79889CA0" w14:textId="0DEC3EAF">
      <w:pPr>
        <w:spacing w:line="240" w:lineRule="auto"/>
        <w:contextualSpacing/>
        <w:rPr>
          <w:sz w:val="24"/>
        </w:rPr>
      </w:pPr>
      <w:r w:rsidRPr="00C85A07">
        <w:rPr>
          <w:noProof/>
          <w:sz w:val="24"/>
          <w:lang w:val="es-CR" w:eastAsia="es-CR"/>
        </w:rPr>
        <w:drawing>
          <wp:anchor distT="0" distB="0" distL="114300" distR="114300" simplePos="0" relativeHeight="251659264" behindDoc="1" locked="0" layoutInCell="1" allowOverlap="1" wp14:editId="21CCC748" wp14:anchorId="18B24781">
            <wp:simplePos x="0" y="0"/>
            <wp:positionH relativeFrom="margin">
              <wp:align>left</wp:align>
            </wp:positionH>
            <wp:positionV relativeFrom="paragraph">
              <wp:posOffset>96520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C85A07" w:rsidR="00097C3C" w:rsidP="00C85A07" w:rsidRDefault="00097C3C" w14:paraId="1CDF7B33" w14:textId="0CA5376B">
      <w:pPr>
        <w:spacing w:line="240" w:lineRule="auto"/>
        <w:contextualSpacing/>
        <w:rPr>
          <w:sz w:val="24"/>
        </w:rPr>
      </w:pPr>
    </w:p>
    <w:p w:rsidRPr="00C85A07" w:rsidR="007A7184" w:rsidP="00C85A07" w:rsidRDefault="007A7184" w14:paraId="3475C4F2" w14:textId="77777777">
      <w:pPr>
        <w:spacing w:line="240" w:lineRule="auto"/>
        <w:contextualSpacing/>
        <w:jc w:val="left"/>
        <w:rPr>
          <w:sz w:val="24"/>
        </w:rPr>
      </w:pPr>
    </w:p>
    <w:p w:rsidRPr="00C85A07" w:rsidR="007A7184" w:rsidP="00C85A07" w:rsidRDefault="007A7184" w14:paraId="45FAF3FE" w14:textId="3CB630AA">
      <w:pPr>
        <w:spacing w:line="240" w:lineRule="auto"/>
        <w:contextualSpacing/>
        <w:jc w:val="left"/>
        <w:rPr>
          <w:sz w:val="24"/>
        </w:rPr>
      </w:pPr>
      <w:r w:rsidRPr="00C85A07">
        <w:rPr>
          <w:sz w:val="24"/>
        </w:rPr>
        <w:t>Rocío Aguilar Montoya</w:t>
      </w:r>
      <w:r w:rsidRPr="00C85A07">
        <w:rPr>
          <w:sz w:val="24"/>
        </w:rPr>
        <w:br/>
      </w:r>
      <w:r w:rsidRPr="00C85A07">
        <w:rPr>
          <w:b/>
          <w:bCs/>
          <w:sz w:val="24"/>
        </w:rPr>
        <w:t>Superintendente General</w:t>
      </w:r>
    </w:p>
    <w:p w:rsidRPr="00C85A07" w:rsidR="00097C3C" w:rsidP="00C85A07" w:rsidRDefault="00097C3C" w14:paraId="2F020B44" w14:textId="7C76EFB0">
      <w:pPr>
        <w:spacing w:line="240" w:lineRule="auto"/>
        <w:contextualSpacing/>
        <w:jc w:val="left"/>
        <w:rPr>
          <w:b/>
          <w:bCs/>
          <w:sz w:val="24"/>
        </w:rPr>
      </w:pPr>
    </w:p>
    <w:p w:rsidRPr="00C85A07" w:rsidR="00097C3C" w:rsidP="00C85A07" w:rsidRDefault="00097C3C" w14:paraId="79D637C8" w14:textId="7866CA6B">
      <w:pPr>
        <w:spacing w:line="240" w:lineRule="auto"/>
        <w:contextualSpacing/>
        <w:jc w:val="left"/>
        <w:rPr>
          <w:sz w:val="24"/>
        </w:rPr>
      </w:pPr>
      <w:r w:rsidRPr="00C85A07">
        <w:rPr>
          <w:b/>
          <w:bCs/>
          <w:sz w:val="24"/>
        </w:rPr>
        <w:t>JSC/RCA/GAA/JCCM/JRMM/XMR/</w:t>
      </w:r>
      <w:r w:rsidR="00C85A07">
        <w:rPr>
          <w:b/>
          <w:bCs/>
          <w:sz w:val="24"/>
        </w:rPr>
        <w:t>gvl*</w:t>
      </w:r>
    </w:p>
    <w:sectPr w:rsidRPr="00C85A07" w:rsidR="00097C3C">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2BDA" w14:textId="77777777" w:rsidR="00097C3C" w:rsidRDefault="00097C3C" w:rsidP="009349F3">
      <w:pPr>
        <w:spacing w:line="240" w:lineRule="auto"/>
      </w:pPr>
      <w:r>
        <w:separator/>
      </w:r>
    </w:p>
  </w:endnote>
  <w:endnote w:type="continuationSeparator" w:id="0">
    <w:p w14:paraId="5A51CBEE" w14:textId="77777777" w:rsidR="00097C3C" w:rsidRDefault="00097C3C"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5D26" w:rsidRDefault="00FC5D26" w14:paraId="134E6BEB"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7C3C" w:rsidRDefault="00097C3C" w14:paraId="140F7179" w14:textId="77777777"/>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097C3C" w14:paraId="3B7A94BC" w14:textId="77777777">
      <w:tc>
        <w:tcPr>
          <w:tcW w:w="2890" w:type="dxa"/>
        </w:tcPr>
        <w:p w:rsidR="00517D62" w:rsidRDefault="00517D62" w14:paraId="17685DB2"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8748CC">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19DF3F3F"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8748CC">
            <w:rPr>
              <w:b/>
              <w:color w:val="7F7F7F" w:themeColor="text1" w:themeTint="80"/>
              <w:sz w:val="16"/>
              <w:szCs w:val="16"/>
            </w:rPr>
            <w:t>-4849</w:t>
          </w:r>
        </w:p>
        <w:p w:rsidRPr="009349F3" w:rsidR="00517D62" w:rsidRDefault="00517D62" w14:paraId="248A159A" w14:textId="77777777">
          <w:pPr>
            <w:pStyle w:val="Piedepgina"/>
            <w:rPr>
              <w:b/>
              <w:color w:val="7F7F7F" w:themeColor="text1" w:themeTint="80"/>
              <w:sz w:val="16"/>
              <w:szCs w:val="16"/>
            </w:rPr>
          </w:pPr>
        </w:p>
      </w:tc>
      <w:tc>
        <w:tcPr>
          <w:tcW w:w="2890" w:type="dxa"/>
        </w:tcPr>
        <w:p w:rsidRPr="009349F3" w:rsidR="00517D62" w:rsidP="00855792" w:rsidRDefault="00517D62" w14:paraId="606B73E2"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617" w:type="dxa"/>
        </w:tcPr>
        <w:p w:rsidRPr="009349F3" w:rsidR="00517D62" w:rsidRDefault="00517D62" w14:paraId="1549951F"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41" w:type="dxa"/>
        </w:tcPr>
        <w:p w:rsidRPr="009349F3" w:rsidR="00517D62" w:rsidP="00517D62" w:rsidRDefault="006972C9" w14:paraId="42EA8EF1"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EE402A">
            <w:rPr>
              <w:b/>
              <w:noProof/>
              <w:color w:val="7F7F7F" w:themeColor="text1" w:themeTint="80"/>
              <w:sz w:val="16"/>
              <w:szCs w:val="16"/>
            </w:rPr>
            <w:t>4</w:t>
          </w:r>
          <w:r w:rsidRPr="006972C9">
            <w:rPr>
              <w:b/>
              <w:color w:val="7F7F7F" w:themeColor="text1" w:themeTint="80"/>
              <w:sz w:val="16"/>
              <w:szCs w:val="16"/>
            </w:rPr>
            <w:fldChar w:fldCharType="end"/>
          </w:r>
        </w:p>
      </w:tc>
    </w:tr>
  </w:tbl>
  <w:p w:rsidR="009349F3" w:rsidRDefault="009349F3" w14:paraId="68A8BA53"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5D26" w:rsidRDefault="00FC5D26" w14:paraId="23424AC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8D21D" w14:textId="77777777" w:rsidR="00097C3C" w:rsidRDefault="00097C3C" w:rsidP="009349F3">
      <w:pPr>
        <w:spacing w:line="240" w:lineRule="auto"/>
      </w:pPr>
      <w:r>
        <w:separator/>
      </w:r>
    </w:p>
  </w:footnote>
  <w:footnote w:type="continuationSeparator" w:id="0">
    <w:p w14:paraId="38667DA5" w14:textId="77777777" w:rsidR="00097C3C" w:rsidRDefault="00097C3C"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5D26" w:rsidRDefault="00FC5D26" w14:paraId="6A3A9FAE"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49F3" w:rsidRDefault="009349F3" w14:paraId="3F8258BC" w14:textId="01824060">
    <w:pPr>
      <w:pStyle w:val="Encabezado"/>
    </w:pPr>
    <w:r>
      <w:ptab w:alignment="center" w:relativeTo="margin" w:leader="none"/>
    </w:r>
    <w:r>
      <w:rPr>
        <w:noProof/>
        <w:lang w:val="es-CR" w:eastAsia="es-CR"/>
      </w:rPr>
      <w:drawing>
        <wp:inline distT="0" distB="0" distL="0" distR="0" wp14:anchorId="54BE0880" wp14:editId="1959052C">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p w:rsidR="00097C3C" w:rsidRDefault="00097C3C" w14:paraId="7CEC65EF"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5D26" w:rsidRDefault="00FC5D26" w14:paraId="7CFBE351"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299"/>
    <w:multiLevelType w:val="hybridMultilevel"/>
    <w:tmpl w:val="5E766F32"/>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1BD90806"/>
    <w:multiLevelType w:val="hybridMultilevel"/>
    <w:tmpl w:val="13A279E4"/>
    <w:lvl w:ilvl="0" w:tplc="ECE6FA96">
      <w:start w:val="8"/>
      <w:numFmt w:val="bullet"/>
      <w:lvlText w:val=""/>
      <w:lvlJc w:val="left"/>
      <w:pPr>
        <w:ind w:left="927" w:hanging="360"/>
      </w:pPr>
      <w:rPr>
        <w:rFonts w:ascii="Times New Roman" w:eastAsia="Times New Roman" w:hAnsi="Times New Roman" w:cs="Times New Roman" w:hint="default"/>
      </w:rPr>
    </w:lvl>
    <w:lvl w:ilvl="1" w:tplc="140A0003" w:tentative="1">
      <w:start w:val="1"/>
      <w:numFmt w:val="bullet"/>
      <w:lvlText w:val="o"/>
      <w:lvlJc w:val="left"/>
      <w:pPr>
        <w:ind w:left="1647" w:hanging="360"/>
      </w:pPr>
      <w:rPr>
        <w:rFonts w:ascii="Courier New" w:hAnsi="Courier New" w:cs="Courier New" w:hint="default"/>
      </w:rPr>
    </w:lvl>
    <w:lvl w:ilvl="2" w:tplc="140A0005" w:tentative="1">
      <w:start w:val="1"/>
      <w:numFmt w:val="bullet"/>
      <w:lvlText w:val=""/>
      <w:lvlJc w:val="left"/>
      <w:pPr>
        <w:ind w:left="2367" w:hanging="360"/>
      </w:pPr>
      <w:rPr>
        <w:rFonts w:ascii="Wingdings" w:hAnsi="Wingdings" w:hint="default"/>
      </w:rPr>
    </w:lvl>
    <w:lvl w:ilvl="3" w:tplc="140A0001" w:tentative="1">
      <w:start w:val="1"/>
      <w:numFmt w:val="bullet"/>
      <w:lvlText w:val=""/>
      <w:lvlJc w:val="left"/>
      <w:pPr>
        <w:ind w:left="3087" w:hanging="360"/>
      </w:pPr>
      <w:rPr>
        <w:rFonts w:ascii="Symbol" w:hAnsi="Symbol" w:hint="default"/>
      </w:rPr>
    </w:lvl>
    <w:lvl w:ilvl="4" w:tplc="140A0003" w:tentative="1">
      <w:start w:val="1"/>
      <w:numFmt w:val="bullet"/>
      <w:lvlText w:val="o"/>
      <w:lvlJc w:val="left"/>
      <w:pPr>
        <w:ind w:left="3807" w:hanging="360"/>
      </w:pPr>
      <w:rPr>
        <w:rFonts w:ascii="Courier New" w:hAnsi="Courier New" w:cs="Courier New" w:hint="default"/>
      </w:rPr>
    </w:lvl>
    <w:lvl w:ilvl="5" w:tplc="140A0005" w:tentative="1">
      <w:start w:val="1"/>
      <w:numFmt w:val="bullet"/>
      <w:lvlText w:val=""/>
      <w:lvlJc w:val="left"/>
      <w:pPr>
        <w:ind w:left="4527" w:hanging="360"/>
      </w:pPr>
      <w:rPr>
        <w:rFonts w:ascii="Wingdings" w:hAnsi="Wingdings" w:hint="default"/>
      </w:rPr>
    </w:lvl>
    <w:lvl w:ilvl="6" w:tplc="140A0001" w:tentative="1">
      <w:start w:val="1"/>
      <w:numFmt w:val="bullet"/>
      <w:lvlText w:val=""/>
      <w:lvlJc w:val="left"/>
      <w:pPr>
        <w:ind w:left="5247" w:hanging="360"/>
      </w:pPr>
      <w:rPr>
        <w:rFonts w:ascii="Symbol" w:hAnsi="Symbol" w:hint="default"/>
      </w:rPr>
    </w:lvl>
    <w:lvl w:ilvl="7" w:tplc="140A0003" w:tentative="1">
      <w:start w:val="1"/>
      <w:numFmt w:val="bullet"/>
      <w:lvlText w:val="o"/>
      <w:lvlJc w:val="left"/>
      <w:pPr>
        <w:ind w:left="5967" w:hanging="360"/>
      </w:pPr>
      <w:rPr>
        <w:rFonts w:ascii="Courier New" w:hAnsi="Courier New" w:cs="Courier New" w:hint="default"/>
      </w:rPr>
    </w:lvl>
    <w:lvl w:ilvl="8" w:tplc="140A0005" w:tentative="1">
      <w:start w:val="1"/>
      <w:numFmt w:val="bullet"/>
      <w:lvlText w:val=""/>
      <w:lvlJc w:val="left"/>
      <w:pPr>
        <w:ind w:left="6687" w:hanging="360"/>
      </w:pPr>
      <w:rPr>
        <w:rFonts w:ascii="Wingdings" w:hAnsi="Wingdings" w:hint="default"/>
      </w:rPr>
    </w:lvl>
  </w:abstractNum>
  <w:abstractNum w:abstractNumId="3" w15:restartNumberingAfterBreak="0">
    <w:nsid w:val="1CFF27BC"/>
    <w:multiLevelType w:val="hybridMultilevel"/>
    <w:tmpl w:val="17BA8B9E"/>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4" w15:restartNumberingAfterBreak="0">
    <w:nsid w:val="219C176A"/>
    <w:multiLevelType w:val="hybridMultilevel"/>
    <w:tmpl w:val="040A6186"/>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6" w15:restartNumberingAfterBreak="0">
    <w:nsid w:val="5D152794"/>
    <w:multiLevelType w:val="hybridMultilevel"/>
    <w:tmpl w:val="FED60ED6"/>
    <w:lvl w:ilvl="0" w:tplc="140A0017">
      <w:start w:val="7"/>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30C16C8"/>
    <w:multiLevelType w:val="hybridMultilevel"/>
    <w:tmpl w:val="13669A22"/>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73F555D0"/>
    <w:multiLevelType w:val="hybridMultilevel"/>
    <w:tmpl w:val="C3F2AF72"/>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6"/>
  </w:num>
  <w:num w:numId="6">
    <w:abstractNumId w:val="4"/>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3C"/>
    <w:rsid w:val="00097C3C"/>
    <w:rsid w:val="000E1F33"/>
    <w:rsid w:val="001155A7"/>
    <w:rsid w:val="00412CB6"/>
    <w:rsid w:val="004313B1"/>
    <w:rsid w:val="00517D62"/>
    <w:rsid w:val="0053682A"/>
    <w:rsid w:val="006972C9"/>
    <w:rsid w:val="007A7184"/>
    <w:rsid w:val="007A77CF"/>
    <w:rsid w:val="007E1EC2"/>
    <w:rsid w:val="008200B7"/>
    <w:rsid w:val="0085276F"/>
    <w:rsid w:val="00855792"/>
    <w:rsid w:val="008748CC"/>
    <w:rsid w:val="008B0595"/>
    <w:rsid w:val="008E1275"/>
    <w:rsid w:val="00900B79"/>
    <w:rsid w:val="009349F3"/>
    <w:rsid w:val="00970B96"/>
    <w:rsid w:val="00982DD6"/>
    <w:rsid w:val="009E7593"/>
    <w:rsid w:val="00AD5B5C"/>
    <w:rsid w:val="00AF06C5"/>
    <w:rsid w:val="00B7752A"/>
    <w:rsid w:val="00C85A07"/>
    <w:rsid w:val="00CD3E6A"/>
    <w:rsid w:val="00D35D54"/>
    <w:rsid w:val="00D74338"/>
    <w:rsid w:val="00DE2D06"/>
    <w:rsid w:val="00EE402A"/>
    <w:rsid w:val="00FC5D26"/>
    <w:rsid w:val="00FD2AB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979CA"/>
  <w15:chartTrackingRefBased/>
  <w15:docId w15:val="{21276C70-F07C-4E69-BA52-F7B0E271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paragraph" w:styleId="Prrafodelista">
    <w:name w:val="List Paragraph"/>
    <w:aliases w:val="List Paragraph 1,Numbered List Paragraph,Main numbered paragraph,Bullets,List Paragraph (numbered (a)),Akapit z listą BS,List_Paragraph,Multilevel para_II,List Paragraph1,References,Liste 1,ReferencesCxSpLast,Medium Grid 1 - Accent 21,3"/>
    <w:basedOn w:val="Normal"/>
    <w:link w:val="PrrafodelistaCar"/>
    <w:uiPriority w:val="34"/>
    <w:qFormat/>
    <w:rsid w:val="00097C3C"/>
    <w:pPr>
      <w:spacing w:line="240" w:lineRule="auto"/>
      <w:ind w:left="720"/>
      <w:contextualSpacing/>
      <w:jc w:val="center"/>
    </w:pPr>
    <w:rPr>
      <w:rFonts w:ascii="Times New Roman" w:hAnsi="Times New Roman"/>
      <w:sz w:val="20"/>
      <w:szCs w:val="20"/>
      <w:lang w:val="es-CR" w:eastAsia="es-ES"/>
    </w:rPr>
  </w:style>
  <w:style w:type="character" w:customStyle="1" w:styleId="PrrafodelistaCar">
    <w:name w:val="Párrafo de lista Car"/>
    <w:aliases w:val="List Paragraph 1 Car,Numbered List Paragraph Car,Main numbered paragraph Car,Bullets Car,List Paragraph (numbered (a)) Car,Akapit z listą BS Car,List_Paragraph Car,Multilevel para_II Car,List Paragraph1 Car,References Car,3 Car"/>
    <w:link w:val="Prrafodelista"/>
    <w:uiPriority w:val="34"/>
    <w:qFormat/>
    <w:locked/>
    <w:rsid w:val="00097C3C"/>
    <w:rPr>
      <w:rFonts w:ascii="Times New Roman" w:eastAsia="Times New Roman" w:hAnsi="Times New Roman" w:cs="Times New Roman"/>
      <w:sz w:val="20"/>
      <w:szCs w:val="20"/>
      <w:lang w:eastAsia="es-ES"/>
    </w:rPr>
  </w:style>
  <w:style w:type="character" w:styleId="Mencinsinresolver">
    <w:name w:val="Unresolved Mention"/>
    <w:basedOn w:val="Fuentedeprrafopredeter"/>
    <w:uiPriority w:val="99"/>
    <w:semiHidden/>
    <w:unhideWhenUsed/>
    <w:rsid w:val="00C85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ugef.fi.cr/normativa/Formularios%20Normativa%20en%20Consulta.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EEBDE279E64725BFFC89BF44C8829D"/>
        <w:category>
          <w:name w:val="General"/>
          <w:gallery w:val="placeholder"/>
        </w:category>
        <w:types>
          <w:type w:val="bbPlcHdr"/>
        </w:types>
        <w:behaviors>
          <w:behavior w:val="content"/>
        </w:behaviors>
        <w:guid w:val="{57C831E2-2E84-4CFB-A1B1-5AFFCFCCBDBC}"/>
      </w:docPartPr>
      <w:docPartBody>
        <w:p w:rsidR="00F002E0" w:rsidRDefault="00F002E0">
          <w:pPr>
            <w:pStyle w:val="FDEEBDE279E64725BFFC89BF44C8829D"/>
          </w:pPr>
          <w:r w:rsidRPr="001E0779">
            <w:rPr>
              <w:rStyle w:val="Textodelmarcadordeposicin"/>
            </w:rPr>
            <w:t>Haga clic aquí para escribir texto.</w:t>
          </w:r>
        </w:p>
      </w:docPartBody>
    </w:docPart>
    <w:docPart>
      <w:docPartPr>
        <w:name w:val="7B9083D9B29046A2A2CF7C9B90DC292A"/>
        <w:category>
          <w:name w:val="General"/>
          <w:gallery w:val="placeholder"/>
        </w:category>
        <w:types>
          <w:type w:val="bbPlcHdr"/>
        </w:types>
        <w:behaviors>
          <w:behavior w:val="content"/>
        </w:behaviors>
        <w:guid w:val="{A344382A-B227-4984-A565-782EB06965A2}"/>
      </w:docPartPr>
      <w:docPartBody>
        <w:p w:rsidR="00F002E0" w:rsidRDefault="00F002E0">
          <w:pPr>
            <w:pStyle w:val="7B9083D9B29046A2A2CF7C9B90DC292A"/>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2E0"/>
    <w:rsid w:val="00F002E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FDEEBDE279E64725BFFC89BF44C8829D">
    <w:name w:val="FDEEBDE279E64725BFFC89BF44C8829D"/>
  </w:style>
  <w:style w:type="paragraph" w:customStyle="1" w:styleId="7B9083D9B29046A2A2CF7C9B90DC292A">
    <w:name w:val="7B9083D9B29046A2A2CF7C9B90DC29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W08e92u4GeLLdz8AgMbSfH5eDobS0gc94w1/0xlXBs8=</DigestValue>
    </Reference>
    <Reference Type="http://www.w3.org/2000/09/xmldsig#Object" URI="#idOfficeObject">
      <DigestMethod Algorithm="http://www.w3.org/2001/04/xmlenc#sha256"/>
      <DigestValue>aB7pJBBD8fCEhFRe7G6JE2C54naMFxOXLpyZ9iQZvwU=</DigestValue>
    </Reference>
    <Reference Type="http://uri.etsi.org/01903#SignedProperties" URI="#idSignedProperties">
      <Transforms>
        <Transform Algorithm="http://www.w3.org/TR/2001/REC-xml-c14n-20010315"/>
      </Transforms>
      <DigestMethod Algorithm="http://www.w3.org/2001/04/xmlenc#sha256"/>
      <DigestValue>BVU3s/mnHR6T0IpIBLaUENErtmJd+2aSDROzUAmHpWo=</DigestValue>
    </Reference>
  </SignedInfo>
  <SignatureValue>RRdg+glgqwG/tO4R4Ow2DyHMCi16X0QdzJSn4oLklhK53Px9AffhJGunzv2mR6eeMZnJkA4Dzjdr
a/007VYgMyWvitBsSDhPSDJmDweZsmMzyKzOeiY1nEyVur9XN26uD6Qfiw2iL9inNn6iYZ9ep/SA
CDlrxpRqUwYFD/GkAObR0L3ijSmlUgaMUZi2Og1ossGbs9sQdFexkdiLlHvik+ovnv3uCHKGsM+t
fqIOQxcj9pmS7r+W0X5gTOjUTMup+kibhkzIwpy2zDS+tQiYLpNl1Oz2xYLLbeVu2FdYxNI+e+qd
h93urt31TK68R5mBpj4jUtc/OYhvAVgY8BrAew==</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8rtmhUZFR1OIwzVaV0oI7Ij2u1dnfdy5V/lTPzhgyQE=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HO/N8RJqUcaEe2A+ATrqR0MADwXZ/AWbyrAotIcuLbE=</DigestValue>
      </Reference>
      <Reference URI="/word/document.xml?ContentType=application/vnd.openxmlformats-officedocument.wordprocessingml.document.main+xml">
        <DigestMethod Algorithm="http://www.w3.org/2001/04/xmlenc#sha256"/>
        <DigestValue>Qgoh1DUDnDK6p5+KpnByiQPfocpLfae+xv9GTMJwtaE=</DigestValue>
      </Reference>
      <Reference URI="/word/endnotes.xml?ContentType=application/vnd.openxmlformats-officedocument.wordprocessingml.endnotes+xml">
        <DigestMethod Algorithm="http://www.w3.org/2001/04/xmlenc#sha256"/>
        <DigestValue>Ig929COwFprmqLOnhr+tXkRMGxTxz9AlCjUhcSsOzUU=</DigestValue>
      </Reference>
      <Reference URI="/word/fontTable.xml?ContentType=application/vnd.openxmlformats-officedocument.wordprocessingml.fontTable+xml">
        <DigestMethod Algorithm="http://www.w3.org/2001/04/xmlenc#sha256"/>
        <DigestValue>V7SxND0c+hpDIl6sFzYHNj2zsAGSgmqufFMwXXyAcbM=</DigestValue>
      </Reference>
      <Reference URI="/word/footer1.xml?ContentType=application/vnd.openxmlformats-officedocument.wordprocessingml.footer+xml">
        <DigestMethod Algorithm="http://www.w3.org/2001/04/xmlenc#sha256"/>
        <DigestValue>XM/Z2H/eE6m+EgAASetH6URWYO4KpLLicWFlfgNSgRs=</DigestValue>
      </Reference>
      <Reference URI="/word/footer2.xml?ContentType=application/vnd.openxmlformats-officedocument.wordprocessingml.footer+xml">
        <DigestMethod Algorithm="http://www.w3.org/2001/04/xmlenc#sha256"/>
        <DigestValue>9wxW3tSWtwPKXDFZcEfhICOcu61o2Ktg9eLQcRYinKk=</DigestValue>
      </Reference>
      <Reference URI="/word/footer3.xml?ContentType=application/vnd.openxmlformats-officedocument.wordprocessingml.footer+xml">
        <DigestMethod Algorithm="http://www.w3.org/2001/04/xmlenc#sha256"/>
        <DigestValue>ccdwfjK1qGqD9UclPLvHaZYfn+tHLls1IEwP1L6Irp4=</DigestValue>
      </Reference>
      <Reference URI="/word/footnotes.xml?ContentType=application/vnd.openxmlformats-officedocument.wordprocessingml.footnotes+xml">
        <DigestMethod Algorithm="http://www.w3.org/2001/04/xmlenc#sha256"/>
        <DigestValue>6YYUpVw9sWGqWeegqojXDVwtz/xg27vERsGi9G5MsyI=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pw5daVbcF6HtKCsfBBAj9kYEoSEip2fhC52VAv2c66E=</DigestValue>
      </Reference>
      <Reference URI="/word/glossary/fontTable.xml?ContentType=application/vnd.openxmlformats-officedocument.wordprocessingml.fontTable+xml">
        <DigestMethod Algorithm="http://www.w3.org/2001/04/xmlenc#sha256"/>
        <DigestValue>V7SxND0c+hpDIl6sFzYHNj2zsAGSgmqufFMwXXyAcbM=</DigestValue>
      </Reference>
      <Reference URI="/word/glossary/settings.xml?ContentType=application/vnd.openxmlformats-officedocument.wordprocessingml.settings+xml">
        <DigestMethod Algorithm="http://www.w3.org/2001/04/xmlenc#sha256"/>
        <DigestValue>Olqx8qbQZ+ef4+lx/2Dn0ftaXSZQh+JcJAbuNyMAbSY=</DigestValue>
      </Reference>
      <Reference URI="/word/glossary/styles.xml?ContentType=application/vnd.openxmlformats-officedocument.wordprocessingml.styles+xml">
        <DigestMethod Algorithm="http://www.w3.org/2001/04/xmlenc#sha256"/>
        <DigestValue>t0evCdVZpmW67OdNBaypr6WZV2hGeA4oDuueWr9P2C4=</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hPf4Fx6PMU97VP/9d40oeHE+7anfuTTXYieSa7RJC6c=</DigestValue>
      </Reference>
      <Reference URI="/word/header2.xml?ContentType=application/vnd.openxmlformats-officedocument.wordprocessingml.header+xml">
        <DigestMethod Algorithm="http://www.w3.org/2001/04/xmlenc#sha256"/>
        <DigestValue>nG7gsYXVzi4ipvhRBNOuy4ljvdOpUzr0D29MGZto9pA=</DigestValue>
      </Reference>
      <Reference URI="/word/header3.xml?ContentType=application/vnd.openxmlformats-officedocument.wordprocessingml.header+xml">
        <DigestMethod Algorithm="http://www.w3.org/2001/04/xmlenc#sha256"/>
        <DigestValue>VR/Wvz2nQqZmtxi4N83SFk4FFq12lnYMh1Z4dfjV7ZE=</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tVGY0sKiwJJA3QyWxy6EaO2bF+yzRLwd+iWL7cksdDs=</DigestValue>
      </Reference>
      <Reference URI="/word/settings.xml?ContentType=application/vnd.openxmlformats-officedocument.wordprocessingml.settings+xml">
        <DigestMethod Algorithm="http://www.w3.org/2001/04/xmlenc#sha256"/>
        <DigestValue>nvzlaUDzpUX+2mFGMIwcyesMFekisFDc8PEiHYfceUM=</DigestValue>
      </Reference>
      <Reference URI="/word/styles.xml?ContentType=application/vnd.openxmlformats-officedocument.wordprocessingml.styles+xml">
        <DigestMethod Algorithm="http://www.w3.org/2001/04/xmlenc#sha256"/>
        <DigestValue>s9tX26a71FlZiMpImM18adKitRELD2RZA0fjGs92f0Q=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2022-10-08T00:43:33Z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2022-10-08T00:43:33Z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al9L6I5UOVls2yRAcnBV8Wx/l7btPxxve+4hW8EcdwYCBBEFef0YDzIwMjIxMDA4MDA0MzM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</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nFD3IIs5FxBztRgBVbxfe/NPCO8=</xd:ByKey>
                  </xd:ResponderID>
                  <xd:ProducedAt>2022-10-08T00:41:13Z</xd:ProducedAt>
                </xd:OCSPIdentifier>
                <xd:DigestAlgAndValue>
                  <DigestMethod Algorithm="http://www.w3.org/2001/04/xmlenc#sha256"/>
                  <DigestValue>EFQvzlfHAEDmwDwvjThL/A7MZ/zIzO/coNC4W9teI9U=</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</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eWV1pMnWjH4ZIPtm4ky3Wl2yT2KZO96cTmov8OcxqdgCBBEFef4YDzIwMjIxMDA4MDA0MzM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</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183</Value>
      <Value>63</Value>
      <Value>109</Value>
      <Value>3</Value>
      <Value>2</Value>
      <Value>1</Value>
    </TaxCatchAll>
    <OtraEntidadExterna xmlns="b875e23b-67d9-4b2e-bdec-edacbf90b326">A las entidades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UserInfo>
        <DisplayName>SALIENTE ADMINISTRATIVO</DisplayName>
        <AccountId>715</AccountId>
        <AccountType/>
      </UserInfo>
      <UserInfo>
        <DisplayName>SALIENTE LEY 8204 ENTIDADES FINANCIERAS</DisplayName>
        <AccountId>713</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responde ninguna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Tercera consulta externa Lineamientos CONASSIF 11-21
COPIAR A: Saliente Normas, Saliente Ley 8204 Entidades Financieras y Saliente Administrativo</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Tercera consulta externa Lineamientos CONASSIF 11-21</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1" ma:contentTypeDescription="Crear nuevo documento." ma:contentTypeScope="" ma:versionID="047117e462af2f116ed2f1cb77ba7e4d">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2.xml><?xml version="1.0" encoding="utf-8"?>
<ds:datastoreItem xmlns:ds="http://schemas.openxmlformats.org/officeDocument/2006/customXml" ds:itemID="{927E2D6B-D2B5-4F63-ABED-4148245995A4}">
  <ds:schemaRefs>
    <ds:schemaRef ds:uri="office.server.policy"/>
  </ds:schemaRefs>
</ds:datastoreItem>
</file>

<file path=customXml/itemProps3.xml><?xml version="1.0" encoding="utf-8"?>
<ds:datastoreItem xmlns:ds="http://schemas.openxmlformats.org/officeDocument/2006/customXml" ds:itemID="{222C0476-7FB7-4EC3-887B-746727E96235}">
  <ds:schemaRefs>
    <ds:schemaRef ds:uri="http://schemas.microsoft.com/sharepoint/events"/>
  </ds:schemaRefs>
</ds:datastoreItem>
</file>

<file path=customXml/itemProps4.xml><?xml version="1.0" encoding="utf-8"?>
<ds:datastoreItem xmlns:ds="http://schemas.openxmlformats.org/officeDocument/2006/customXml" ds:itemID="{9ECA5836-4888-4816-88A2-2709C1D3B7A0}">
  <ds:schemaRefs>
    <ds:schemaRef ds:uri="http://schemas.microsoft.com/sharepoint/v3/contenttype/forms"/>
  </ds:schemaRefs>
</ds:datastoreItem>
</file>

<file path=customXml/itemProps5.xml><?xml version="1.0" encoding="utf-8"?>
<ds:datastoreItem xmlns:ds="http://schemas.openxmlformats.org/officeDocument/2006/customXml" ds:itemID="{1A6FB7B0-B425-4B89-A5C1-7E9987DC47BE}">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b875e23b-67d9-4b2e-bdec-edacbf90b326"/>
    <ds:schemaRef ds:uri="http://www.w3.org/XML/1998/namespace"/>
    <ds:schemaRef ds:uri="http://purl.org/dc/elements/1.1/"/>
    <ds:schemaRef ds:uri="http://schemas.microsoft.com/office/infopath/2007/PartnerControls"/>
    <ds:schemaRef ds:uri="http://schemas.microsoft.com/sharepoint/v3"/>
    <ds:schemaRef ds:uri="http://purl.org/dc/dcmitype/"/>
  </ds:schemaRefs>
</ds:datastoreItem>
</file>

<file path=customXml/itemProps6.xml><?xml version="1.0" encoding="utf-8"?>
<ds:datastoreItem xmlns:ds="http://schemas.openxmlformats.org/officeDocument/2006/customXml" ds:itemID="{FD957B27-6C5B-46F5-AA9D-72A4F83BD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plantillas-SGF-13-Normas</Template>
  <TotalTime>46</TotalTime>
  <Pages>5</Pages>
  <Words>1325</Words>
  <Characters>7288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RODRIGUEZ XINIA MARIA</dc:creator>
  <cp:keywords/>
  <dc:description/>
  <cp:lastModifiedBy>VARGAS LEAL MARIA GABRIELA</cp:lastModifiedBy>
  <cp:revision>10</cp:revision>
  <dcterms:created xsi:type="dcterms:W3CDTF">2022-08-24T15:05:00Z</dcterms:created>
  <dcterms:modified xsi:type="dcterms:W3CDTF">2022-10-07T15:07:00Z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183;#Resolución|8250c29f-4595-4728-bcc1-a5fc6a20ed53</vt:lpwstr>
  </property>
  <property fmtid="{D5CDD505-2E9C-101B-9397-08002B2CF9AE}" pid="5" name="Unidad de Destino">
    <vt:lpwstr>109;#Área Coordinación Administrativa|39ce7748-92aa-4572-8334-49785789cb1c</vt:lpwstr>
  </property>
  <property fmtid="{D5CDD505-2E9C-101B-9397-08002B2CF9AE}" pid="6" name="Disponibilidad">
    <vt:lpwstr>3;#Media|3f3debfe-f918-4d91-ad3c-df12ce43024d</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103900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f1fd9d7f-da86-405a-9476-87cbb240632e,6;e296350a-171a-4531-9415-14f9933ddbf9,8;</vt:lpwstr>
  </property>
</Properties>
</file>